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C93F" w14:textId="77777777" w:rsidR="00D23C84" w:rsidRPr="006C4B40" w:rsidRDefault="00D23C84" w:rsidP="006C4B40">
      <w:pPr>
        <w:shd w:val="clear" w:color="auto" w:fill="385623" w:themeFill="accent6" w:themeFillShade="80"/>
        <w:spacing w:before="360" w:after="360"/>
        <w:jc w:val="right"/>
        <w:rPr>
          <w:rFonts w:ascii="Arial" w:hAnsi="Arial" w:cs="Arial"/>
          <w:color w:val="FFFFFF" w:themeColor="background1"/>
          <w:sz w:val="56"/>
          <w:szCs w:val="56"/>
        </w:rPr>
      </w:pPr>
      <w:r w:rsidRPr="006C4B40">
        <w:rPr>
          <w:rFonts w:ascii="Arial" w:hAnsi="Arial" w:cs="Arial"/>
          <w:color w:val="FFFFFF" w:themeColor="background1"/>
          <w:sz w:val="56"/>
          <w:szCs w:val="56"/>
        </w:rPr>
        <w:t>2017</w:t>
      </w:r>
    </w:p>
    <w:p w14:paraId="380E368D" w14:textId="77777777" w:rsidR="009F0C39" w:rsidRPr="006C4B40" w:rsidRDefault="009F0C39" w:rsidP="006C4B40">
      <w:pPr>
        <w:pStyle w:val="Heading1"/>
        <w:shd w:val="clear" w:color="auto" w:fill="1F3864" w:themeFill="accent5" w:themeFillShade="80"/>
        <w:spacing w:before="840" w:after="480"/>
        <w:jc w:val="right"/>
        <w:rPr>
          <w:color w:val="FFFFFF" w:themeColor="background1"/>
          <w:sz w:val="56"/>
          <w:szCs w:val="56"/>
        </w:rPr>
      </w:pPr>
      <w:r w:rsidRPr="006C4B40">
        <w:rPr>
          <w:color w:val="FFFFFF" w:themeColor="background1"/>
          <w:sz w:val="56"/>
          <w:szCs w:val="56"/>
        </w:rPr>
        <w:t>State Service Delivery Plan</w:t>
      </w:r>
    </w:p>
    <w:p w14:paraId="144F8FB3" w14:textId="77777777" w:rsidR="006C4B40" w:rsidRDefault="007626CD" w:rsidP="006C4B40">
      <w:pPr>
        <w:rPr>
          <w:rFonts w:ascii="Arial" w:hAnsi="Arial" w:cs="Arial"/>
          <w:sz w:val="32"/>
          <w:szCs w:val="32"/>
        </w:rPr>
      </w:pPr>
      <w:r>
        <w:rPr>
          <w:noProof/>
        </w:rPr>
        <w:drawing>
          <wp:inline distT="0" distB="0" distL="0" distR="0" wp14:anchorId="26A61F2B" wp14:editId="4E066AA5">
            <wp:extent cx="3117850" cy="3495675"/>
            <wp:effectExtent l="0" t="0" r="6350" b="9525"/>
            <wp:docPr id="5" name="Picture 3" descr="State of California Migrant Education Program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of California Migrant Education Program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850" cy="3495675"/>
                    </a:xfrm>
                    <a:prstGeom prst="rect">
                      <a:avLst/>
                    </a:prstGeom>
                    <a:noFill/>
                    <a:ln>
                      <a:noFill/>
                    </a:ln>
                  </pic:spPr>
                </pic:pic>
              </a:graphicData>
            </a:graphic>
          </wp:inline>
        </w:drawing>
      </w:r>
    </w:p>
    <w:p w14:paraId="4B487CA6" w14:textId="77777777" w:rsidR="006C4B40" w:rsidRPr="006C4B40" w:rsidRDefault="006C4B40" w:rsidP="006C4B40">
      <w:pPr>
        <w:pBdr>
          <w:between w:val="single" w:sz="4" w:space="1" w:color="385623" w:themeColor="accent6" w:themeShade="80"/>
        </w:pBdr>
        <w:shd w:val="clear" w:color="auto" w:fill="385623" w:themeFill="accent6" w:themeFillShade="80"/>
        <w:spacing w:before="120"/>
        <w:jc w:val="right"/>
        <w:rPr>
          <w:rFonts w:ascii="Arial" w:hAnsi="Arial" w:cs="Arial"/>
          <w:color w:val="FFFFFF" w:themeColor="background1"/>
          <w:sz w:val="28"/>
          <w:szCs w:val="28"/>
        </w:rPr>
      </w:pPr>
      <w:r w:rsidRPr="006C4B40">
        <w:rPr>
          <w:rFonts w:ascii="Arial" w:hAnsi="Arial" w:cs="Arial"/>
          <w:color w:val="FFFFFF" w:themeColor="background1"/>
          <w:sz w:val="28"/>
          <w:szCs w:val="28"/>
        </w:rPr>
        <w:t>California Department of Education</w:t>
      </w:r>
    </w:p>
    <w:p w14:paraId="36E2D61B" w14:textId="77777777" w:rsidR="006C4B40" w:rsidRDefault="009F0C39" w:rsidP="006C4B40">
      <w:pPr>
        <w:pBdr>
          <w:between w:val="single" w:sz="4" w:space="1" w:color="385623" w:themeColor="accent6" w:themeShade="80"/>
        </w:pBdr>
        <w:shd w:val="clear" w:color="auto" w:fill="385623" w:themeFill="accent6" w:themeFillShade="80"/>
        <w:spacing w:before="120"/>
        <w:jc w:val="right"/>
        <w:rPr>
          <w:rFonts w:ascii="Arial" w:hAnsi="Arial" w:cs="Arial"/>
          <w:color w:val="FFFFFF" w:themeColor="background1"/>
          <w:sz w:val="28"/>
          <w:szCs w:val="28"/>
        </w:rPr>
      </w:pPr>
      <w:r w:rsidRPr="006C4B40">
        <w:rPr>
          <w:rFonts w:ascii="Arial" w:hAnsi="Arial" w:cs="Arial"/>
          <w:color w:val="FFFFFF" w:themeColor="background1"/>
          <w:sz w:val="28"/>
          <w:szCs w:val="28"/>
        </w:rPr>
        <w:t>Migrant Education Office</w:t>
      </w:r>
    </w:p>
    <w:p w14:paraId="373C8F91" w14:textId="77777777" w:rsidR="009F0C39" w:rsidRPr="006C4B40" w:rsidRDefault="009F0C39" w:rsidP="006C4B40">
      <w:pPr>
        <w:pBdr>
          <w:between w:val="single" w:sz="4" w:space="1" w:color="385623" w:themeColor="accent6" w:themeShade="80"/>
        </w:pBdr>
        <w:shd w:val="clear" w:color="auto" w:fill="385623" w:themeFill="accent6" w:themeFillShade="80"/>
        <w:spacing w:before="120"/>
        <w:jc w:val="right"/>
        <w:rPr>
          <w:rFonts w:ascii="Arial" w:hAnsi="Arial" w:cs="Arial"/>
          <w:color w:val="FFFFFF" w:themeColor="background1"/>
          <w:sz w:val="28"/>
          <w:szCs w:val="28"/>
        </w:rPr>
      </w:pPr>
      <w:r w:rsidRPr="006C4B40">
        <w:rPr>
          <w:rFonts w:ascii="Arial" w:hAnsi="Arial" w:cs="Arial"/>
          <w:color w:val="FFFFFF" w:themeColor="background1"/>
          <w:sz w:val="28"/>
          <w:szCs w:val="28"/>
        </w:rPr>
        <w:t>Sacramento, California</w:t>
      </w:r>
    </w:p>
    <w:p w14:paraId="295C8BA3" w14:textId="77777777" w:rsidR="009F0C39" w:rsidRDefault="009F0C39" w:rsidP="006C4B40">
      <w:pPr>
        <w:pBdr>
          <w:between w:val="single" w:sz="4" w:space="1" w:color="385623" w:themeColor="accent6" w:themeShade="80"/>
        </w:pBdr>
        <w:shd w:val="clear" w:color="auto" w:fill="385623" w:themeFill="accent6" w:themeFillShade="80"/>
        <w:spacing w:before="120"/>
        <w:jc w:val="right"/>
        <w:rPr>
          <w:rFonts w:ascii="Arial" w:hAnsi="Arial" w:cs="Arial"/>
          <w:color w:val="FFFFFF" w:themeColor="background1"/>
          <w:sz w:val="28"/>
          <w:szCs w:val="28"/>
        </w:rPr>
      </w:pPr>
      <w:r w:rsidRPr="006C4B40">
        <w:rPr>
          <w:rFonts w:ascii="Arial" w:hAnsi="Arial" w:cs="Arial"/>
          <w:color w:val="FFFFFF" w:themeColor="background1"/>
          <w:sz w:val="28"/>
          <w:szCs w:val="28"/>
        </w:rPr>
        <w:t>November 28, 2017</w:t>
      </w:r>
    </w:p>
    <w:p w14:paraId="5E65BD83" w14:textId="35C9991D" w:rsidR="00065DDE" w:rsidRDefault="00065DDE" w:rsidP="006C4B40">
      <w:pPr>
        <w:pBdr>
          <w:between w:val="single" w:sz="4" w:space="1" w:color="385623" w:themeColor="accent6" w:themeShade="80"/>
        </w:pBdr>
        <w:shd w:val="clear" w:color="auto" w:fill="385623" w:themeFill="accent6" w:themeFillShade="80"/>
        <w:spacing w:before="120"/>
        <w:jc w:val="right"/>
        <w:rPr>
          <w:rFonts w:ascii="Arial" w:hAnsi="Arial" w:cs="Arial"/>
          <w:color w:val="FFFFFF" w:themeColor="background1"/>
          <w:sz w:val="28"/>
          <w:szCs w:val="28"/>
        </w:rPr>
      </w:pPr>
      <w:r>
        <w:rPr>
          <w:rFonts w:ascii="Arial" w:hAnsi="Arial" w:cs="Arial"/>
          <w:color w:val="FFFFFF" w:themeColor="background1"/>
          <w:sz w:val="28"/>
          <w:szCs w:val="28"/>
        </w:rPr>
        <w:t>Amended Spring 202</w:t>
      </w:r>
      <w:r w:rsidR="0039220E">
        <w:rPr>
          <w:rFonts w:ascii="Arial" w:hAnsi="Arial" w:cs="Arial"/>
          <w:color w:val="FFFFFF" w:themeColor="background1"/>
          <w:sz w:val="28"/>
          <w:szCs w:val="28"/>
        </w:rPr>
        <w:t>2</w:t>
      </w:r>
    </w:p>
    <w:p w14:paraId="18876ADB" w14:textId="341FE0CD" w:rsidR="00D50E2C" w:rsidRPr="006C4B40" w:rsidRDefault="00D50E2C" w:rsidP="006C4B40">
      <w:pPr>
        <w:pBdr>
          <w:between w:val="single" w:sz="4" w:space="1" w:color="385623" w:themeColor="accent6" w:themeShade="80"/>
        </w:pBdr>
        <w:shd w:val="clear" w:color="auto" w:fill="385623" w:themeFill="accent6" w:themeFillShade="80"/>
        <w:spacing w:before="120"/>
        <w:jc w:val="right"/>
        <w:rPr>
          <w:rFonts w:ascii="Arial" w:hAnsi="Arial" w:cs="Arial"/>
          <w:color w:val="FFFFFF" w:themeColor="background1"/>
          <w:sz w:val="28"/>
          <w:szCs w:val="28"/>
        </w:rPr>
      </w:pPr>
      <w:r>
        <w:rPr>
          <w:rFonts w:ascii="Arial" w:hAnsi="Arial" w:cs="Arial"/>
          <w:color w:val="FFFFFF" w:themeColor="background1"/>
          <w:sz w:val="28"/>
          <w:szCs w:val="28"/>
        </w:rPr>
        <w:t>Amendment 2, Spring 2023</w:t>
      </w:r>
    </w:p>
    <w:p w14:paraId="00242781" w14:textId="77777777" w:rsidR="009F0C39" w:rsidRPr="006C4B40" w:rsidRDefault="009F0C39" w:rsidP="006C4B40">
      <w:pPr>
        <w:pBdr>
          <w:between w:val="single" w:sz="4" w:space="1" w:color="385623" w:themeColor="accent6" w:themeShade="80"/>
        </w:pBdr>
        <w:shd w:val="clear" w:color="auto" w:fill="385623" w:themeFill="accent6" w:themeFillShade="80"/>
        <w:spacing w:before="120"/>
        <w:jc w:val="right"/>
        <w:rPr>
          <w:rFonts w:ascii="Arial" w:hAnsi="Arial" w:cs="Arial"/>
          <w:color w:val="FFFFFF" w:themeColor="background1"/>
          <w:sz w:val="28"/>
          <w:szCs w:val="28"/>
        </w:rPr>
        <w:sectPr w:rsidR="009F0C39" w:rsidRPr="006C4B40" w:rsidSect="001E263E">
          <w:headerReference w:type="default" r:id="rId10"/>
          <w:footerReference w:type="default" r:id="rId11"/>
          <w:footerReference w:type="first" r:id="rId12"/>
          <w:pgSz w:w="12240" w:h="15840"/>
          <w:pgMar w:top="1440" w:right="1440" w:bottom="1440" w:left="1440" w:header="720" w:footer="720" w:gutter="0"/>
          <w:pgNumType w:fmt="lowerRoman"/>
          <w:cols w:space="720"/>
          <w:titlePg/>
          <w:docGrid w:linePitch="360"/>
        </w:sectPr>
      </w:pPr>
    </w:p>
    <w:p w14:paraId="063FF00C" w14:textId="77777777" w:rsidR="0039220E" w:rsidRPr="008F3B76" w:rsidRDefault="0039220E" w:rsidP="0039220E">
      <w:pPr>
        <w:pStyle w:val="Heading2"/>
      </w:pPr>
      <w:r>
        <w:lastRenderedPageBreak/>
        <w:t xml:space="preserve">Foreword: </w:t>
      </w:r>
      <w:r w:rsidRPr="008F3B76">
        <w:t>2021–2022 State Service Delivery Plan Amendment</w:t>
      </w:r>
    </w:p>
    <w:p w14:paraId="539D6C7A" w14:textId="77777777" w:rsidR="00F14980" w:rsidRPr="00F14980" w:rsidRDefault="00F14980" w:rsidP="00F14980">
      <w:pPr>
        <w:spacing w:after="240"/>
        <w:rPr>
          <w:rFonts w:ascii="Arial" w:hAnsi="Arial" w:cs="Arial"/>
          <w:color w:val="242424"/>
          <w:shd w:val="clear" w:color="auto" w:fill="FFFFFF"/>
        </w:rPr>
      </w:pPr>
      <w:r w:rsidRPr="00F14980">
        <w:rPr>
          <w:rFonts w:ascii="Arial" w:hAnsi="Arial" w:cs="Arial"/>
          <w:color w:val="242424"/>
          <w:shd w:val="clear" w:color="auto" w:fill="FFFFFF"/>
        </w:rPr>
        <w:t xml:space="preserve">After three years of collecting and reporting data on the State Service Delivery Plan (SSDP) Measurable Program Objectives (MPOs) and Performance Targets (PTs), the California Department of Education (CDE) Migrant Education Office (MEO) gathered sufficient information and feedback to recommend changes to some of the MPOs. Specifically, the CDE MEO reviewed three years’ of MPO data and PT data, data collection challenges, resources necessary for implementing all SSDP Strategies, and the </w:t>
      </w:r>
      <w:proofErr w:type="spellStart"/>
      <w:r w:rsidRPr="00F14980">
        <w:rPr>
          <w:rFonts w:ascii="Arial" w:hAnsi="Arial" w:cs="Arial"/>
          <w:color w:val="242424"/>
          <w:shd w:val="clear" w:color="auto" w:fill="FFFFFF"/>
        </w:rPr>
        <w:t>importantce</w:t>
      </w:r>
      <w:proofErr w:type="spellEnd"/>
      <w:r w:rsidRPr="00F14980">
        <w:rPr>
          <w:rFonts w:ascii="Arial" w:hAnsi="Arial" w:cs="Arial"/>
          <w:color w:val="242424"/>
          <w:shd w:val="clear" w:color="auto" w:fill="FFFFFF"/>
        </w:rPr>
        <w:t xml:space="preserve"> of the Strategy and MPO in meeting migratory students’ needs. The CDE MEO determined the following changes should be considered: amend MPOs, eliminate MPOs and/or merge MPOs etc. The CDE conferred with its local program directors, the state parent advisory council, and internal staff. Based on the input from these three groups, the CDE made the following changes: </w:t>
      </w:r>
    </w:p>
    <w:p w14:paraId="595762BB" w14:textId="77777777" w:rsidR="00F14980" w:rsidRPr="00F14980" w:rsidRDefault="00F14980" w:rsidP="00F14980">
      <w:pPr>
        <w:pStyle w:val="ListParagraph"/>
        <w:numPr>
          <w:ilvl w:val="0"/>
          <w:numId w:val="71"/>
        </w:numPr>
        <w:spacing w:after="240"/>
        <w:contextualSpacing w:val="0"/>
        <w:rPr>
          <w:rFonts w:ascii="Arial" w:hAnsi="Arial" w:cs="Arial"/>
          <w:color w:val="242424"/>
          <w:shd w:val="clear" w:color="auto" w:fill="FFFFFF"/>
        </w:rPr>
      </w:pPr>
      <w:r w:rsidRPr="00F14980">
        <w:rPr>
          <w:rFonts w:ascii="Arial" w:hAnsi="Arial" w:cs="Arial"/>
          <w:color w:val="242424"/>
          <w:shd w:val="clear" w:color="auto" w:fill="FFFFFF"/>
        </w:rPr>
        <w:t>Revised MPOs 1.0, 2.0, 9.0, 9.1, and 13.2</w:t>
      </w:r>
    </w:p>
    <w:p w14:paraId="087374AE" w14:textId="77777777" w:rsidR="00F14980" w:rsidRPr="00F14980" w:rsidRDefault="00F14980" w:rsidP="00F14980">
      <w:pPr>
        <w:pStyle w:val="ListParagraph"/>
        <w:numPr>
          <w:ilvl w:val="0"/>
          <w:numId w:val="71"/>
        </w:numPr>
        <w:spacing w:after="240"/>
        <w:contextualSpacing w:val="0"/>
        <w:rPr>
          <w:rFonts w:ascii="Arial" w:hAnsi="Arial" w:cs="Arial"/>
          <w:color w:val="242424"/>
          <w:shd w:val="clear" w:color="auto" w:fill="FFFFFF"/>
        </w:rPr>
      </w:pPr>
      <w:r w:rsidRPr="00F14980">
        <w:rPr>
          <w:rFonts w:ascii="Arial" w:hAnsi="Arial" w:cs="Arial"/>
          <w:color w:val="242424"/>
          <w:shd w:val="clear" w:color="auto" w:fill="FFFFFF"/>
        </w:rPr>
        <w:t>Moved the parent workshop for the Social Emotional Maturity Goal Area to SSDP Strategy 7.1 within Primary and Secondary Language Development Goal Area within the School Readiness Focus Area</w:t>
      </w:r>
    </w:p>
    <w:p w14:paraId="504FFB65" w14:textId="77777777" w:rsidR="00F14980" w:rsidRPr="00F14980" w:rsidRDefault="00F14980" w:rsidP="00F14980">
      <w:pPr>
        <w:pStyle w:val="ListParagraph"/>
        <w:numPr>
          <w:ilvl w:val="0"/>
          <w:numId w:val="71"/>
        </w:numPr>
        <w:spacing w:after="240"/>
        <w:contextualSpacing w:val="0"/>
        <w:rPr>
          <w:rFonts w:ascii="Arial" w:hAnsi="Arial" w:cs="Arial"/>
          <w:color w:val="242424"/>
          <w:shd w:val="clear" w:color="auto" w:fill="FFFFFF"/>
        </w:rPr>
      </w:pPr>
      <w:r w:rsidRPr="00F14980">
        <w:rPr>
          <w:rFonts w:ascii="Arial" w:hAnsi="Arial" w:cs="Arial"/>
          <w:color w:val="242424"/>
          <w:shd w:val="clear" w:color="auto" w:fill="FFFFFF"/>
        </w:rPr>
        <w:t>Deleted Strategy and MPO 9.2</w:t>
      </w:r>
    </w:p>
    <w:p w14:paraId="276C36C6" w14:textId="04CD28C2" w:rsidR="00F14980" w:rsidRPr="00F14980" w:rsidRDefault="00F14980" w:rsidP="00F14980">
      <w:pPr>
        <w:pStyle w:val="ListParagraph"/>
        <w:numPr>
          <w:ilvl w:val="0"/>
          <w:numId w:val="71"/>
        </w:numPr>
        <w:spacing w:after="240"/>
        <w:contextualSpacing w:val="0"/>
        <w:rPr>
          <w:rFonts w:ascii="Arial" w:hAnsi="Arial" w:cs="Arial"/>
          <w:color w:val="242424"/>
          <w:shd w:val="clear" w:color="auto" w:fill="FFFFFF"/>
        </w:rPr>
      </w:pPr>
      <w:r w:rsidRPr="00F14980">
        <w:rPr>
          <w:rFonts w:ascii="Arial" w:hAnsi="Arial" w:cs="Arial"/>
          <w:color w:val="242424"/>
          <w:shd w:val="clear" w:color="auto" w:fill="FFFFFF"/>
        </w:rPr>
        <w:t>Kept the Strategies and MPOs for 11.2, 12.0</w:t>
      </w:r>
      <w:r w:rsidR="00465ECC">
        <w:rPr>
          <w:rFonts w:ascii="Arial" w:hAnsi="Arial" w:cs="Arial"/>
          <w:color w:val="242424"/>
          <w:shd w:val="clear" w:color="auto" w:fill="FFFFFF"/>
        </w:rPr>
        <w:t>,</w:t>
      </w:r>
      <w:r w:rsidRPr="00F14980">
        <w:rPr>
          <w:rFonts w:ascii="Arial" w:hAnsi="Arial" w:cs="Arial"/>
          <w:color w:val="242424"/>
          <w:shd w:val="clear" w:color="auto" w:fill="FFFFFF"/>
        </w:rPr>
        <w:t xml:space="preserve"> and 12.1 as is</w:t>
      </w:r>
    </w:p>
    <w:p w14:paraId="6B528D66" w14:textId="0C0DA05A" w:rsidR="0039220E" w:rsidRPr="00F14980" w:rsidRDefault="00F14980" w:rsidP="00F14980">
      <w:pPr>
        <w:spacing w:after="240"/>
        <w:rPr>
          <w:rFonts w:asciiTheme="minorHAnsi" w:hAnsiTheme="minorHAnsi" w:cstheme="minorHAnsi"/>
        </w:rPr>
      </w:pPr>
      <w:r>
        <w:rPr>
          <w:rFonts w:ascii="Arial" w:hAnsi="Arial" w:cs="Arial"/>
        </w:rPr>
        <w:t xml:space="preserve">In Section III: General Framework for the State Service Delivery Plan, modifications have been made to alert the reader to these changes. </w:t>
      </w:r>
      <w:r w:rsidRPr="00F14980">
        <w:rPr>
          <w:rFonts w:ascii="Arial" w:hAnsi="Arial" w:cs="Arial"/>
        </w:rPr>
        <w:t xml:space="preserve">All revised MPOs are marked as “revised”; if the strategy needed to be revised based on the MPO revision, the strategy will also be marked as “revised.” Strategies and MPOs that were eliminated are identified with a strikethrough and </w:t>
      </w:r>
      <w:proofErr w:type="spellStart"/>
      <w:r w:rsidRPr="00F14980">
        <w:rPr>
          <w:rFonts w:ascii="Arial" w:hAnsi="Arial" w:cs="Arial"/>
        </w:rPr>
        <w:t>labled</w:t>
      </w:r>
      <w:proofErr w:type="spellEnd"/>
      <w:r w:rsidRPr="00F14980">
        <w:rPr>
          <w:rFonts w:ascii="Arial" w:hAnsi="Arial" w:cs="Arial"/>
        </w:rPr>
        <w:t xml:space="preserve"> “removed.”</w:t>
      </w:r>
      <w:r w:rsidR="0039220E">
        <w:rPr>
          <w:rFonts w:cs="Arial"/>
        </w:rPr>
        <w:br w:type="page"/>
      </w:r>
    </w:p>
    <w:p w14:paraId="060C3C56" w14:textId="46B365BB" w:rsidR="00072681" w:rsidRPr="005E0053" w:rsidRDefault="00072681" w:rsidP="005E0053">
      <w:pPr>
        <w:pStyle w:val="Heading2"/>
        <w:rPr>
          <w:rFonts w:cs="Arial"/>
        </w:rPr>
      </w:pPr>
      <w:r w:rsidRPr="005E0053">
        <w:rPr>
          <w:rFonts w:cs="Arial"/>
        </w:rPr>
        <w:lastRenderedPageBreak/>
        <w:t>Table of Contents</w:t>
      </w:r>
    </w:p>
    <w:p w14:paraId="1E7352C3" w14:textId="0EB0E136" w:rsidR="00C11858" w:rsidRPr="00147CFF" w:rsidRDefault="00072681" w:rsidP="00B81939">
      <w:pPr>
        <w:pStyle w:val="TOC1"/>
        <w:rPr>
          <w:rFonts w:eastAsia="Times New Roman"/>
          <w:noProof/>
        </w:rPr>
      </w:pPr>
      <w:r w:rsidRPr="00147CFF">
        <w:fldChar w:fldCharType="begin"/>
      </w:r>
      <w:r w:rsidRPr="00147CFF">
        <w:instrText xml:space="preserve"> TOC \o "1-3" \h \z \u </w:instrText>
      </w:r>
      <w:r w:rsidRPr="00147CFF">
        <w:fldChar w:fldCharType="separate"/>
      </w:r>
      <w:hyperlink w:anchor="_Toc504520838" w:history="1">
        <w:r w:rsidR="00C11858" w:rsidRPr="00147CFF">
          <w:rPr>
            <w:rStyle w:val="Hyperlink"/>
            <w:noProof/>
          </w:rPr>
          <w:t>List of Figures</w:t>
        </w:r>
        <w:r w:rsidR="00C11858" w:rsidRPr="00147CFF">
          <w:rPr>
            <w:noProof/>
            <w:webHidden/>
          </w:rPr>
          <w:tab/>
        </w:r>
        <w:r w:rsidR="00C11858" w:rsidRPr="00147CFF">
          <w:rPr>
            <w:noProof/>
            <w:webHidden/>
          </w:rPr>
          <w:fldChar w:fldCharType="begin"/>
        </w:r>
        <w:r w:rsidR="00C11858" w:rsidRPr="00147CFF">
          <w:rPr>
            <w:noProof/>
            <w:webHidden/>
          </w:rPr>
          <w:instrText xml:space="preserve"> PAGEREF _Toc504520838 \h </w:instrText>
        </w:r>
        <w:r w:rsidR="00C11858" w:rsidRPr="00147CFF">
          <w:rPr>
            <w:noProof/>
            <w:webHidden/>
          </w:rPr>
        </w:r>
        <w:r w:rsidR="00C11858" w:rsidRPr="00147CFF">
          <w:rPr>
            <w:noProof/>
            <w:webHidden/>
          </w:rPr>
          <w:fldChar w:fldCharType="separate"/>
        </w:r>
        <w:r w:rsidR="00465ECC">
          <w:rPr>
            <w:noProof/>
            <w:webHidden/>
          </w:rPr>
          <w:t>4</w:t>
        </w:r>
        <w:r w:rsidR="00C11858" w:rsidRPr="00147CFF">
          <w:rPr>
            <w:noProof/>
            <w:webHidden/>
          </w:rPr>
          <w:fldChar w:fldCharType="end"/>
        </w:r>
      </w:hyperlink>
    </w:p>
    <w:p w14:paraId="493AC86F" w14:textId="503234A1" w:rsidR="00C11858" w:rsidRPr="00147CFF" w:rsidRDefault="00C11858" w:rsidP="00940589">
      <w:pPr>
        <w:pStyle w:val="TOC1"/>
        <w:rPr>
          <w:rFonts w:eastAsia="Times New Roman"/>
          <w:noProof/>
        </w:rPr>
      </w:pPr>
      <w:hyperlink w:anchor="_Toc504520839" w:history="1">
        <w:r w:rsidRPr="00147CFF">
          <w:rPr>
            <w:rStyle w:val="Hyperlink"/>
            <w:noProof/>
          </w:rPr>
          <w:t>List of Tables</w:t>
        </w:r>
        <w:r w:rsidRPr="00147CFF">
          <w:rPr>
            <w:noProof/>
            <w:webHidden/>
          </w:rPr>
          <w:tab/>
        </w:r>
        <w:r w:rsidRPr="00147CFF">
          <w:rPr>
            <w:noProof/>
            <w:webHidden/>
          </w:rPr>
          <w:fldChar w:fldCharType="begin"/>
        </w:r>
        <w:r w:rsidRPr="00147CFF">
          <w:rPr>
            <w:noProof/>
            <w:webHidden/>
          </w:rPr>
          <w:instrText xml:space="preserve"> PAGEREF _Toc504520839 \h </w:instrText>
        </w:r>
        <w:r w:rsidRPr="00147CFF">
          <w:rPr>
            <w:noProof/>
            <w:webHidden/>
          </w:rPr>
        </w:r>
        <w:r w:rsidRPr="00147CFF">
          <w:rPr>
            <w:noProof/>
            <w:webHidden/>
          </w:rPr>
          <w:fldChar w:fldCharType="separate"/>
        </w:r>
        <w:r w:rsidR="00465ECC">
          <w:rPr>
            <w:noProof/>
            <w:webHidden/>
          </w:rPr>
          <w:t>4</w:t>
        </w:r>
        <w:r w:rsidRPr="00147CFF">
          <w:rPr>
            <w:noProof/>
            <w:webHidden/>
          </w:rPr>
          <w:fldChar w:fldCharType="end"/>
        </w:r>
      </w:hyperlink>
    </w:p>
    <w:p w14:paraId="6F2829D1" w14:textId="6947A44F" w:rsidR="00C11858" w:rsidRPr="00147CFF" w:rsidRDefault="00C11858" w:rsidP="00EF59DB">
      <w:pPr>
        <w:pStyle w:val="TOC1"/>
        <w:rPr>
          <w:rFonts w:eastAsia="Times New Roman"/>
          <w:noProof/>
        </w:rPr>
      </w:pPr>
      <w:hyperlink w:anchor="_Toc504520840" w:history="1">
        <w:r w:rsidRPr="00147CFF">
          <w:rPr>
            <w:rStyle w:val="Hyperlink"/>
            <w:noProof/>
          </w:rPr>
          <w:t>Attachments</w:t>
        </w:r>
        <w:r w:rsidRPr="00147CFF">
          <w:rPr>
            <w:noProof/>
            <w:webHidden/>
          </w:rPr>
          <w:tab/>
        </w:r>
        <w:r w:rsidRPr="00147CFF">
          <w:rPr>
            <w:noProof/>
            <w:webHidden/>
          </w:rPr>
          <w:fldChar w:fldCharType="begin"/>
        </w:r>
        <w:r w:rsidRPr="00147CFF">
          <w:rPr>
            <w:noProof/>
            <w:webHidden/>
          </w:rPr>
          <w:instrText xml:space="preserve"> PAGEREF _Toc504520840 \h </w:instrText>
        </w:r>
        <w:r w:rsidRPr="00147CFF">
          <w:rPr>
            <w:noProof/>
            <w:webHidden/>
          </w:rPr>
        </w:r>
        <w:r w:rsidRPr="00147CFF">
          <w:rPr>
            <w:noProof/>
            <w:webHidden/>
          </w:rPr>
          <w:fldChar w:fldCharType="separate"/>
        </w:r>
        <w:r w:rsidR="00465ECC">
          <w:rPr>
            <w:noProof/>
            <w:webHidden/>
          </w:rPr>
          <w:t>6</w:t>
        </w:r>
        <w:r w:rsidRPr="00147CFF">
          <w:rPr>
            <w:noProof/>
            <w:webHidden/>
          </w:rPr>
          <w:fldChar w:fldCharType="end"/>
        </w:r>
      </w:hyperlink>
    </w:p>
    <w:p w14:paraId="72D93733" w14:textId="43DC7BC5" w:rsidR="00C11858" w:rsidRPr="00147CFF" w:rsidRDefault="00C11858" w:rsidP="0004661B">
      <w:pPr>
        <w:pStyle w:val="TOC1"/>
        <w:rPr>
          <w:rFonts w:eastAsia="Times New Roman"/>
          <w:noProof/>
        </w:rPr>
      </w:pPr>
      <w:hyperlink w:anchor="_Toc504520841" w:history="1">
        <w:r w:rsidRPr="00147CFF">
          <w:rPr>
            <w:rStyle w:val="Hyperlink"/>
            <w:noProof/>
          </w:rPr>
          <w:t>Acknowledgments</w:t>
        </w:r>
        <w:r w:rsidRPr="00147CFF">
          <w:rPr>
            <w:noProof/>
            <w:webHidden/>
          </w:rPr>
          <w:tab/>
        </w:r>
        <w:r w:rsidRPr="00147CFF">
          <w:rPr>
            <w:noProof/>
            <w:webHidden/>
          </w:rPr>
          <w:fldChar w:fldCharType="begin"/>
        </w:r>
        <w:r w:rsidRPr="00147CFF">
          <w:rPr>
            <w:noProof/>
            <w:webHidden/>
          </w:rPr>
          <w:instrText xml:space="preserve"> PAGEREF _Toc504520841 \h </w:instrText>
        </w:r>
        <w:r w:rsidRPr="00147CFF">
          <w:rPr>
            <w:noProof/>
            <w:webHidden/>
          </w:rPr>
        </w:r>
        <w:r w:rsidRPr="00147CFF">
          <w:rPr>
            <w:noProof/>
            <w:webHidden/>
          </w:rPr>
          <w:fldChar w:fldCharType="separate"/>
        </w:r>
        <w:r w:rsidR="00465ECC">
          <w:rPr>
            <w:noProof/>
            <w:webHidden/>
          </w:rPr>
          <w:t>7</w:t>
        </w:r>
        <w:r w:rsidRPr="00147CFF">
          <w:rPr>
            <w:noProof/>
            <w:webHidden/>
          </w:rPr>
          <w:fldChar w:fldCharType="end"/>
        </w:r>
      </w:hyperlink>
    </w:p>
    <w:p w14:paraId="12279E89" w14:textId="510BBD15" w:rsidR="00C11858" w:rsidRPr="00147CFF" w:rsidRDefault="00C11858" w:rsidP="0004661B">
      <w:pPr>
        <w:pStyle w:val="TOC1"/>
        <w:rPr>
          <w:rFonts w:eastAsia="Times New Roman"/>
          <w:noProof/>
        </w:rPr>
      </w:pPr>
      <w:hyperlink w:anchor="_Toc504520842" w:history="1">
        <w:r w:rsidRPr="00147CFF">
          <w:rPr>
            <w:rStyle w:val="Hyperlink"/>
            <w:noProof/>
          </w:rPr>
          <w:t>Executive Summary</w:t>
        </w:r>
        <w:r w:rsidRPr="00147CFF">
          <w:rPr>
            <w:noProof/>
            <w:webHidden/>
          </w:rPr>
          <w:tab/>
        </w:r>
        <w:r w:rsidRPr="00147CFF">
          <w:rPr>
            <w:noProof/>
            <w:webHidden/>
          </w:rPr>
          <w:fldChar w:fldCharType="begin"/>
        </w:r>
        <w:r w:rsidRPr="00147CFF">
          <w:rPr>
            <w:noProof/>
            <w:webHidden/>
          </w:rPr>
          <w:instrText xml:space="preserve"> PAGEREF _Toc504520842 \h </w:instrText>
        </w:r>
        <w:r w:rsidRPr="00147CFF">
          <w:rPr>
            <w:noProof/>
            <w:webHidden/>
          </w:rPr>
        </w:r>
        <w:r w:rsidRPr="00147CFF">
          <w:rPr>
            <w:noProof/>
            <w:webHidden/>
          </w:rPr>
          <w:fldChar w:fldCharType="separate"/>
        </w:r>
        <w:r w:rsidR="00465ECC">
          <w:rPr>
            <w:noProof/>
            <w:webHidden/>
          </w:rPr>
          <w:t>9</w:t>
        </w:r>
        <w:r w:rsidRPr="00147CFF">
          <w:rPr>
            <w:noProof/>
            <w:webHidden/>
          </w:rPr>
          <w:fldChar w:fldCharType="end"/>
        </w:r>
      </w:hyperlink>
    </w:p>
    <w:p w14:paraId="14F99CC1" w14:textId="4598D04D" w:rsidR="00C11858" w:rsidRPr="00147CFF" w:rsidRDefault="00C11858" w:rsidP="0004661B">
      <w:pPr>
        <w:pStyle w:val="TOC1"/>
        <w:rPr>
          <w:rFonts w:eastAsia="Times New Roman"/>
          <w:noProof/>
        </w:rPr>
      </w:pPr>
      <w:hyperlink w:anchor="_Toc504520843" w:history="1">
        <w:r w:rsidRPr="00147CFF">
          <w:rPr>
            <w:rStyle w:val="Hyperlink"/>
            <w:noProof/>
          </w:rPr>
          <w:t>Section I: Introduction</w:t>
        </w:r>
        <w:r w:rsidRPr="00147CFF">
          <w:rPr>
            <w:noProof/>
            <w:webHidden/>
          </w:rPr>
          <w:tab/>
        </w:r>
        <w:r w:rsidRPr="00147CFF">
          <w:rPr>
            <w:noProof/>
            <w:webHidden/>
          </w:rPr>
          <w:fldChar w:fldCharType="begin"/>
        </w:r>
        <w:r w:rsidRPr="00147CFF">
          <w:rPr>
            <w:noProof/>
            <w:webHidden/>
          </w:rPr>
          <w:instrText xml:space="preserve"> PAGEREF _Toc504520843 \h </w:instrText>
        </w:r>
        <w:r w:rsidRPr="00147CFF">
          <w:rPr>
            <w:noProof/>
            <w:webHidden/>
          </w:rPr>
        </w:r>
        <w:r w:rsidRPr="00147CFF">
          <w:rPr>
            <w:noProof/>
            <w:webHidden/>
          </w:rPr>
          <w:fldChar w:fldCharType="separate"/>
        </w:r>
        <w:r w:rsidR="00465ECC">
          <w:rPr>
            <w:noProof/>
            <w:webHidden/>
          </w:rPr>
          <w:t>11</w:t>
        </w:r>
        <w:r w:rsidRPr="00147CFF">
          <w:rPr>
            <w:noProof/>
            <w:webHidden/>
          </w:rPr>
          <w:fldChar w:fldCharType="end"/>
        </w:r>
      </w:hyperlink>
    </w:p>
    <w:p w14:paraId="46FF4751" w14:textId="01C9A028" w:rsidR="00C11858" w:rsidRPr="00147CFF" w:rsidRDefault="00C11858">
      <w:pPr>
        <w:pStyle w:val="TOC2"/>
        <w:tabs>
          <w:tab w:val="right" w:leader="dot" w:pos="9350"/>
        </w:tabs>
        <w:rPr>
          <w:rFonts w:ascii="Arial" w:eastAsia="Times New Roman" w:hAnsi="Arial" w:cs="Arial"/>
          <w:noProof/>
        </w:rPr>
      </w:pPr>
      <w:hyperlink w:anchor="_Toc504520844" w:history="1">
        <w:r w:rsidRPr="00147CFF">
          <w:rPr>
            <w:rStyle w:val="Hyperlink"/>
            <w:rFonts w:ascii="Arial" w:hAnsi="Arial" w:cs="Arial"/>
            <w:noProof/>
          </w:rPr>
          <w:t>Legislative Mandate</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_Toc504520844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11</w:t>
        </w:r>
        <w:r w:rsidRPr="00147CFF">
          <w:rPr>
            <w:rFonts w:ascii="Arial" w:hAnsi="Arial" w:cs="Arial"/>
            <w:noProof/>
            <w:webHidden/>
          </w:rPr>
          <w:fldChar w:fldCharType="end"/>
        </w:r>
      </w:hyperlink>
    </w:p>
    <w:p w14:paraId="4A5FD8E6" w14:textId="57C8153E" w:rsidR="00C11858" w:rsidRPr="00147CFF" w:rsidRDefault="00C11858">
      <w:pPr>
        <w:pStyle w:val="TOC2"/>
        <w:tabs>
          <w:tab w:val="right" w:leader="dot" w:pos="9350"/>
        </w:tabs>
        <w:rPr>
          <w:rFonts w:ascii="Arial" w:eastAsia="Times New Roman" w:hAnsi="Arial" w:cs="Arial"/>
          <w:noProof/>
        </w:rPr>
      </w:pPr>
      <w:hyperlink w:anchor="_Toc504520845" w:history="1">
        <w:r w:rsidRPr="00147CFF">
          <w:rPr>
            <w:rStyle w:val="Hyperlink"/>
            <w:rFonts w:ascii="Arial" w:hAnsi="Arial" w:cs="Arial"/>
            <w:noProof/>
          </w:rPr>
          <w:t>Description of California’s Migrant Education Program</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_Toc504520845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11</w:t>
        </w:r>
        <w:r w:rsidRPr="00147CFF">
          <w:rPr>
            <w:rFonts w:ascii="Arial" w:hAnsi="Arial" w:cs="Arial"/>
            <w:noProof/>
            <w:webHidden/>
          </w:rPr>
          <w:fldChar w:fldCharType="end"/>
        </w:r>
      </w:hyperlink>
    </w:p>
    <w:p w14:paraId="5A10CDAA" w14:textId="3DC92D11" w:rsidR="00C11858" w:rsidRPr="00147CFF" w:rsidRDefault="00C11858">
      <w:pPr>
        <w:pStyle w:val="TOC2"/>
        <w:tabs>
          <w:tab w:val="right" w:leader="dot" w:pos="9350"/>
        </w:tabs>
        <w:rPr>
          <w:rFonts w:ascii="Arial" w:eastAsia="Times New Roman" w:hAnsi="Arial" w:cs="Arial"/>
          <w:noProof/>
        </w:rPr>
      </w:pPr>
      <w:hyperlink w:anchor="_Toc504520846" w:history="1">
        <w:r w:rsidRPr="00147CFF">
          <w:rPr>
            <w:rStyle w:val="Hyperlink"/>
            <w:rFonts w:ascii="Arial" w:hAnsi="Arial" w:cs="Arial"/>
            <w:noProof/>
          </w:rPr>
          <w:t>Planning Process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_Toc504520846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16</w:t>
        </w:r>
        <w:r w:rsidRPr="00147CFF">
          <w:rPr>
            <w:rFonts w:ascii="Arial" w:hAnsi="Arial" w:cs="Arial"/>
            <w:noProof/>
            <w:webHidden/>
          </w:rPr>
          <w:fldChar w:fldCharType="end"/>
        </w:r>
      </w:hyperlink>
    </w:p>
    <w:p w14:paraId="51AED1FE" w14:textId="60CA63D0" w:rsidR="00C11858" w:rsidRPr="00147CFF" w:rsidRDefault="00C11858" w:rsidP="00B81939">
      <w:pPr>
        <w:pStyle w:val="TOC1"/>
        <w:rPr>
          <w:rFonts w:eastAsia="Times New Roman"/>
          <w:noProof/>
        </w:rPr>
      </w:pPr>
      <w:hyperlink w:anchor="_Toc504520847" w:history="1">
        <w:r w:rsidRPr="00147CFF">
          <w:rPr>
            <w:rStyle w:val="Hyperlink"/>
            <w:noProof/>
          </w:rPr>
          <w:t>Section II: Comprehensive Needs Assessment: Identifying Needs</w:t>
        </w:r>
        <w:r w:rsidRPr="00147CFF">
          <w:rPr>
            <w:noProof/>
            <w:webHidden/>
          </w:rPr>
          <w:tab/>
        </w:r>
        <w:r w:rsidRPr="00147CFF">
          <w:rPr>
            <w:noProof/>
            <w:webHidden/>
          </w:rPr>
          <w:fldChar w:fldCharType="begin"/>
        </w:r>
        <w:r w:rsidRPr="00147CFF">
          <w:rPr>
            <w:noProof/>
            <w:webHidden/>
          </w:rPr>
          <w:instrText xml:space="preserve"> PAGEREF _Toc504520847 \h </w:instrText>
        </w:r>
        <w:r w:rsidRPr="00147CFF">
          <w:rPr>
            <w:noProof/>
            <w:webHidden/>
          </w:rPr>
        </w:r>
        <w:r w:rsidRPr="00147CFF">
          <w:rPr>
            <w:noProof/>
            <w:webHidden/>
          </w:rPr>
          <w:fldChar w:fldCharType="separate"/>
        </w:r>
        <w:r w:rsidR="00465ECC">
          <w:rPr>
            <w:noProof/>
            <w:webHidden/>
          </w:rPr>
          <w:t>18</w:t>
        </w:r>
        <w:r w:rsidRPr="00147CFF">
          <w:rPr>
            <w:noProof/>
            <w:webHidden/>
          </w:rPr>
          <w:fldChar w:fldCharType="end"/>
        </w:r>
      </w:hyperlink>
    </w:p>
    <w:p w14:paraId="3ABAD1F1" w14:textId="1A9F53C7" w:rsidR="00C11858" w:rsidRPr="00147CFF" w:rsidRDefault="00C11858">
      <w:pPr>
        <w:pStyle w:val="TOC2"/>
        <w:tabs>
          <w:tab w:val="right" w:leader="dot" w:pos="9350"/>
        </w:tabs>
        <w:rPr>
          <w:rFonts w:ascii="Arial" w:eastAsia="Times New Roman" w:hAnsi="Arial" w:cs="Arial"/>
          <w:noProof/>
        </w:rPr>
      </w:pPr>
      <w:hyperlink w:anchor="_Toc504520848" w:history="1">
        <w:r w:rsidRPr="00147CFF">
          <w:rPr>
            <w:rStyle w:val="Hyperlink"/>
            <w:rFonts w:ascii="Arial" w:hAnsi="Arial" w:cs="Arial"/>
            <w:noProof/>
          </w:rPr>
          <w:t>Overview of the Comprehensive Needs Assessment Process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_Toc504520848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18</w:t>
        </w:r>
        <w:r w:rsidRPr="00147CFF">
          <w:rPr>
            <w:rFonts w:ascii="Arial" w:hAnsi="Arial" w:cs="Arial"/>
            <w:noProof/>
            <w:webHidden/>
          </w:rPr>
          <w:fldChar w:fldCharType="end"/>
        </w:r>
      </w:hyperlink>
    </w:p>
    <w:p w14:paraId="2C14EE22" w14:textId="2446FA98" w:rsidR="00C11858" w:rsidRPr="00147CFF" w:rsidRDefault="00C11858">
      <w:pPr>
        <w:pStyle w:val="TOC2"/>
        <w:tabs>
          <w:tab w:val="right" w:leader="dot" w:pos="9350"/>
        </w:tabs>
        <w:rPr>
          <w:rFonts w:ascii="Arial" w:eastAsia="Times New Roman" w:hAnsi="Arial" w:cs="Arial"/>
          <w:noProof/>
        </w:rPr>
      </w:pPr>
      <w:hyperlink w:anchor="_Toc504520849" w:history="1">
        <w:r w:rsidRPr="00147CFF">
          <w:rPr>
            <w:rStyle w:val="Hyperlink"/>
            <w:rFonts w:ascii="Arial" w:hAnsi="Arial" w:cs="Arial"/>
            <w:noProof/>
          </w:rPr>
          <w:t>Comprehensive Needs Assessment Findings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_Toc504520849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19</w:t>
        </w:r>
        <w:r w:rsidRPr="00147CFF">
          <w:rPr>
            <w:rFonts w:ascii="Arial" w:hAnsi="Arial" w:cs="Arial"/>
            <w:noProof/>
            <w:webHidden/>
          </w:rPr>
          <w:fldChar w:fldCharType="end"/>
        </w:r>
      </w:hyperlink>
    </w:p>
    <w:p w14:paraId="3A005130" w14:textId="584F2FBF" w:rsidR="00C11858" w:rsidRPr="00147CFF" w:rsidRDefault="00C11858">
      <w:pPr>
        <w:pStyle w:val="TOC3"/>
        <w:tabs>
          <w:tab w:val="right" w:leader="dot" w:pos="9350"/>
        </w:tabs>
        <w:rPr>
          <w:rFonts w:ascii="Arial" w:eastAsia="Times New Roman" w:hAnsi="Arial" w:cs="Arial"/>
          <w:noProof/>
        </w:rPr>
      </w:pPr>
      <w:hyperlink w:anchor="_Toc504520850" w:history="1">
        <w:r w:rsidRPr="00147CFF">
          <w:rPr>
            <w:rStyle w:val="Hyperlink"/>
            <w:rFonts w:ascii="Arial" w:hAnsi="Arial" w:cs="Arial"/>
            <w:noProof/>
          </w:rPr>
          <w:t>English Language Arts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_Toc504520850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20</w:t>
        </w:r>
        <w:r w:rsidRPr="00147CFF">
          <w:rPr>
            <w:rFonts w:ascii="Arial" w:hAnsi="Arial" w:cs="Arial"/>
            <w:noProof/>
            <w:webHidden/>
          </w:rPr>
          <w:fldChar w:fldCharType="end"/>
        </w:r>
      </w:hyperlink>
    </w:p>
    <w:p w14:paraId="3937792D" w14:textId="3EA59913" w:rsidR="00C11858" w:rsidRPr="00147CFF" w:rsidRDefault="00C11858">
      <w:pPr>
        <w:pStyle w:val="TOC3"/>
        <w:tabs>
          <w:tab w:val="right" w:leader="dot" w:pos="9350"/>
        </w:tabs>
        <w:rPr>
          <w:rFonts w:ascii="Arial" w:eastAsia="Times New Roman" w:hAnsi="Arial" w:cs="Arial"/>
          <w:noProof/>
        </w:rPr>
      </w:pPr>
      <w:hyperlink w:anchor="_Toc504520851" w:history="1">
        <w:r w:rsidRPr="00147CFF">
          <w:rPr>
            <w:rStyle w:val="Hyperlink"/>
            <w:rFonts w:ascii="Arial" w:hAnsi="Arial" w:cs="Arial"/>
            <w:noProof/>
          </w:rPr>
          <w:t>Mathematics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_Toc504520851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23</w:t>
        </w:r>
        <w:r w:rsidRPr="00147CFF">
          <w:rPr>
            <w:rFonts w:ascii="Arial" w:hAnsi="Arial" w:cs="Arial"/>
            <w:noProof/>
            <w:webHidden/>
          </w:rPr>
          <w:fldChar w:fldCharType="end"/>
        </w:r>
      </w:hyperlink>
    </w:p>
    <w:p w14:paraId="20308BEA" w14:textId="737B1085" w:rsidR="00C11858" w:rsidRPr="00147CFF" w:rsidRDefault="00C11858">
      <w:pPr>
        <w:pStyle w:val="TOC3"/>
        <w:tabs>
          <w:tab w:val="right" w:leader="dot" w:pos="9350"/>
        </w:tabs>
        <w:rPr>
          <w:rFonts w:ascii="Arial" w:eastAsia="Times New Roman" w:hAnsi="Arial" w:cs="Arial"/>
          <w:noProof/>
        </w:rPr>
      </w:pPr>
      <w:hyperlink w:anchor="_Toc504520852" w:history="1">
        <w:r w:rsidRPr="00147CFF">
          <w:rPr>
            <w:rStyle w:val="Hyperlink"/>
            <w:rFonts w:ascii="Arial" w:hAnsi="Arial" w:cs="Arial"/>
            <w:noProof/>
          </w:rPr>
          <w:t>English Language Development</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_Toc504520852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25</w:t>
        </w:r>
        <w:r w:rsidRPr="00147CFF">
          <w:rPr>
            <w:rFonts w:ascii="Arial" w:hAnsi="Arial" w:cs="Arial"/>
            <w:noProof/>
            <w:webHidden/>
          </w:rPr>
          <w:fldChar w:fldCharType="end"/>
        </w:r>
      </w:hyperlink>
    </w:p>
    <w:p w14:paraId="01745E50" w14:textId="6F900296" w:rsidR="00C11858" w:rsidRPr="00147CFF" w:rsidRDefault="00C11858">
      <w:pPr>
        <w:pStyle w:val="TOC3"/>
        <w:tabs>
          <w:tab w:val="right" w:leader="dot" w:pos="9350"/>
        </w:tabs>
        <w:rPr>
          <w:rFonts w:ascii="Arial" w:eastAsia="Times New Roman" w:hAnsi="Arial" w:cs="Arial"/>
          <w:noProof/>
        </w:rPr>
      </w:pPr>
      <w:hyperlink w:anchor="_Toc504520853" w:history="1">
        <w:r w:rsidRPr="00147CFF">
          <w:rPr>
            <w:rStyle w:val="Hyperlink"/>
            <w:rFonts w:ascii="Arial" w:hAnsi="Arial" w:cs="Arial"/>
            <w:noProof/>
          </w:rPr>
          <w:t>High School Graduation and Dropout Rates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_Toc504520853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28</w:t>
        </w:r>
        <w:r w:rsidRPr="00147CFF">
          <w:rPr>
            <w:rFonts w:ascii="Arial" w:hAnsi="Arial" w:cs="Arial"/>
            <w:noProof/>
            <w:webHidden/>
          </w:rPr>
          <w:fldChar w:fldCharType="end"/>
        </w:r>
      </w:hyperlink>
    </w:p>
    <w:p w14:paraId="6852CF6B" w14:textId="44B24236" w:rsidR="00C11858" w:rsidRPr="00147CFF" w:rsidRDefault="00C11858">
      <w:pPr>
        <w:pStyle w:val="TOC3"/>
        <w:tabs>
          <w:tab w:val="right" w:leader="dot" w:pos="9350"/>
        </w:tabs>
        <w:rPr>
          <w:rFonts w:ascii="Arial" w:eastAsia="Times New Roman" w:hAnsi="Arial" w:cs="Arial"/>
          <w:noProof/>
        </w:rPr>
      </w:pPr>
      <w:hyperlink w:anchor="_Toc504520854" w:history="1">
        <w:r w:rsidRPr="00147CFF">
          <w:rPr>
            <w:rStyle w:val="Hyperlink"/>
            <w:rFonts w:ascii="Arial" w:hAnsi="Arial" w:cs="Arial"/>
            <w:noProof/>
          </w:rPr>
          <w:t>School Readiness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_Toc504520854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29</w:t>
        </w:r>
        <w:r w:rsidRPr="00147CFF">
          <w:rPr>
            <w:rFonts w:ascii="Arial" w:hAnsi="Arial" w:cs="Arial"/>
            <w:noProof/>
            <w:webHidden/>
          </w:rPr>
          <w:fldChar w:fldCharType="end"/>
        </w:r>
      </w:hyperlink>
    </w:p>
    <w:p w14:paraId="4BEC2A17" w14:textId="54357EBA" w:rsidR="00C11858" w:rsidRPr="00147CFF" w:rsidRDefault="00C11858">
      <w:pPr>
        <w:pStyle w:val="TOC3"/>
        <w:tabs>
          <w:tab w:val="right" w:leader="dot" w:pos="9350"/>
        </w:tabs>
        <w:rPr>
          <w:rFonts w:ascii="Arial" w:eastAsia="Times New Roman" w:hAnsi="Arial" w:cs="Arial"/>
          <w:noProof/>
        </w:rPr>
      </w:pPr>
      <w:hyperlink w:anchor="_Toc504520855" w:history="1">
        <w:r w:rsidRPr="00147CFF">
          <w:rPr>
            <w:rStyle w:val="Hyperlink"/>
            <w:rFonts w:ascii="Arial" w:hAnsi="Arial" w:cs="Arial"/>
            <w:noProof/>
          </w:rPr>
          <w:t>Out-of-School Youth</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_Toc504520855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30</w:t>
        </w:r>
        <w:r w:rsidRPr="00147CFF">
          <w:rPr>
            <w:rFonts w:ascii="Arial" w:hAnsi="Arial" w:cs="Arial"/>
            <w:noProof/>
            <w:webHidden/>
          </w:rPr>
          <w:fldChar w:fldCharType="end"/>
        </w:r>
      </w:hyperlink>
    </w:p>
    <w:p w14:paraId="3E17A114" w14:textId="39B9B033" w:rsidR="00C11858" w:rsidRPr="00147CFF" w:rsidRDefault="00C11858">
      <w:pPr>
        <w:pStyle w:val="TOC3"/>
        <w:tabs>
          <w:tab w:val="right" w:leader="dot" w:pos="9350"/>
        </w:tabs>
        <w:rPr>
          <w:rFonts w:ascii="Arial" w:eastAsia="Times New Roman" w:hAnsi="Arial" w:cs="Arial"/>
          <w:noProof/>
        </w:rPr>
      </w:pPr>
      <w:hyperlink w:anchor="_Toc504520856" w:history="1">
        <w:r w:rsidRPr="00147CFF">
          <w:rPr>
            <w:rStyle w:val="Hyperlink"/>
            <w:rFonts w:ascii="Arial" w:hAnsi="Arial" w:cs="Arial"/>
            <w:noProof/>
          </w:rPr>
          <w:t>Health</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_Toc504520856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31</w:t>
        </w:r>
        <w:r w:rsidRPr="00147CFF">
          <w:rPr>
            <w:rFonts w:ascii="Arial" w:hAnsi="Arial" w:cs="Arial"/>
            <w:noProof/>
            <w:webHidden/>
          </w:rPr>
          <w:fldChar w:fldCharType="end"/>
        </w:r>
      </w:hyperlink>
    </w:p>
    <w:p w14:paraId="2B8B453F" w14:textId="6140D602" w:rsidR="00C11858" w:rsidRPr="00147CFF" w:rsidRDefault="00C11858">
      <w:pPr>
        <w:pStyle w:val="TOC3"/>
        <w:tabs>
          <w:tab w:val="right" w:leader="dot" w:pos="9350"/>
        </w:tabs>
        <w:rPr>
          <w:rFonts w:ascii="Arial" w:eastAsia="Times New Roman" w:hAnsi="Arial" w:cs="Arial"/>
          <w:noProof/>
        </w:rPr>
      </w:pPr>
      <w:hyperlink w:anchor="_Toc504520857" w:history="1">
        <w:r w:rsidRPr="00147CFF">
          <w:rPr>
            <w:rStyle w:val="Hyperlink"/>
            <w:rFonts w:ascii="Arial" w:hAnsi="Arial" w:cs="Arial"/>
            <w:noProof/>
          </w:rPr>
          <w:t>Parent and Family Engagement</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_Toc504520857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32</w:t>
        </w:r>
        <w:r w:rsidRPr="00147CFF">
          <w:rPr>
            <w:rFonts w:ascii="Arial" w:hAnsi="Arial" w:cs="Arial"/>
            <w:noProof/>
            <w:webHidden/>
          </w:rPr>
          <w:fldChar w:fldCharType="end"/>
        </w:r>
      </w:hyperlink>
    </w:p>
    <w:p w14:paraId="18EC5895" w14:textId="70861B51" w:rsidR="00C11858" w:rsidRPr="00147CFF" w:rsidRDefault="00C11858">
      <w:pPr>
        <w:pStyle w:val="TOC3"/>
        <w:tabs>
          <w:tab w:val="right" w:leader="dot" w:pos="9350"/>
        </w:tabs>
        <w:rPr>
          <w:rFonts w:ascii="Arial" w:eastAsia="Times New Roman" w:hAnsi="Arial" w:cs="Arial"/>
          <w:noProof/>
        </w:rPr>
      </w:pPr>
      <w:hyperlink w:anchor="_Toc504520858" w:history="1">
        <w:r w:rsidRPr="00147CFF">
          <w:rPr>
            <w:rStyle w:val="Hyperlink"/>
            <w:rFonts w:ascii="Arial" w:hAnsi="Arial" w:cs="Arial"/>
            <w:noProof/>
          </w:rPr>
          <w:t>Student Engagement</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_Toc504520858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33</w:t>
        </w:r>
        <w:r w:rsidRPr="00147CFF">
          <w:rPr>
            <w:rFonts w:ascii="Arial" w:hAnsi="Arial" w:cs="Arial"/>
            <w:noProof/>
            <w:webHidden/>
          </w:rPr>
          <w:fldChar w:fldCharType="end"/>
        </w:r>
      </w:hyperlink>
    </w:p>
    <w:p w14:paraId="3E0F05AD" w14:textId="5F8EFEF3" w:rsidR="00C11858" w:rsidRPr="00147CFF" w:rsidRDefault="00C11858" w:rsidP="00B81939">
      <w:pPr>
        <w:pStyle w:val="TOC1"/>
        <w:rPr>
          <w:rFonts w:eastAsia="Times New Roman"/>
          <w:noProof/>
        </w:rPr>
      </w:pPr>
      <w:hyperlink w:anchor="_Toc504520859" w:history="1">
        <w:r w:rsidRPr="00147CFF">
          <w:rPr>
            <w:rStyle w:val="Hyperlink"/>
            <w:noProof/>
          </w:rPr>
          <w:t>Section III: General Framework: State Service Delivery Plan</w:t>
        </w:r>
        <w:r w:rsidRPr="00147CFF">
          <w:rPr>
            <w:noProof/>
            <w:webHidden/>
          </w:rPr>
          <w:tab/>
        </w:r>
        <w:r w:rsidRPr="00147CFF">
          <w:rPr>
            <w:noProof/>
            <w:webHidden/>
          </w:rPr>
          <w:fldChar w:fldCharType="begin"/>
        </w:r>
        <w:r w:rsidRPr="00147CFF">
          <w:rPr>
            <w:noProof/>
            <w:webHidden/>
          </w:rPr>
          <w:instrText xml:space="preserve"> PAGEREF _Toc504520859 \h </w:instrText>
        </w:r>
        <w:r w:rsidRPr="00147CFF">
          <w:rPr>
            <w:noProof/>
            <w:webHidden/>
          </w:rPr>
        </w:r>
        <w:r w:rsidRPr="00147CFF">
          <w:rPr>
            <w:noProof/>
            <w:webHidden/>
          </w:rPr>
          <w:fldChar w:fldCharType="separate"/>
        </w:r>
        <w:r w:rsidR="00465ECC">
          <w:rPr>
            <w:noProof/>
            <w:webHidden/>
          </w:rPr>
          <w:t>35</w:t>
        </w:r>
        <w:r w:rsidRPr="00147CFF">
          <w:rPr>
            <w:noProof/>
            <w:webHidden/>
          </w:rPr>
          <w:fldChar w:fldCharType="end"/>
        </w:r>
      </w:hyperlink>
    </w:p>
    <w:p w14:paraId="61598481" w14:textId="02AC3008" w:rsidR="00C11858" w:rsidRPr="00147CFF" w:rsidRDefault="00C11858">
      <w:pPr>
        <w:pStyle w:val="TOC2"/>
        <w:tabs>
          <w:tab w:val="right" w:leader="dot" w:pos="9350"/>
        </w:tabs>
        <w:rPr>
          <w:rFonts w:ascii="Arial" w:eastAsia="Times New Roman" w:hAnsi="Arial" w:cs="Arial"/>
          <w:noProof/>
        </w:rPr>
      </w:pPr>
      <w:hyperlink w:anchor="_Toc504520860" w:history="1">
        <w:r w:rsidRPr="00147CFF">
          <w:rPr>
            <w:rStyle w:val="Hyperlink"/>
            <w:rFonts w:ascii="Arial" w:hAnsi="Arial" w:cs="Arial"/>
            <w:noProof/>
          </w:rPr>
          <w:t>Performance Targets, Service Delivery Strategies, and Measurable Program Objectives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_Toc504520860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35</w:t>
        </w:r>
        <w:r w:rsidRPr="00147CFF">
          <w:rPr>
            <w:rFonts w:ascii="Arial" w:hAnsi="Arial" w:cs="Arial"/>
            <w:noProof/>
            <w:webHidden/>
          </w:rPr>
          <w:fldChar w:fldCharType="end"/>
        </w:r>
      </w:hyperlink>
    </w:p>
    <w:p w14:paraId="423D2DB8" w14:textId="07A425C0" w:rsidR="00C11858" w:rsidRPr="00147CFF" w:rsidRDefault="00C11858">
      <w:pPr>
        <w:pStyle w:val="TOC3"/>
        <w:tabs>
          <w:tab w:val="right" w:leader="dot" w:pos="9350"/>
        </w:tabs>
        <w:rPr>
          <w:rFonts w:ascii="Arial" w:eastAsia="Times New Roman" w:hAnsi="Arial" w:cs="Arial"/>
          <w:noProof/>
        </w:rPr>
      </w:pPr>
      <w:hyperlink w:anchor="_Toc504520861" w:history="1">
        <w:r w:rsidRPr="00147CFF">
          <w:rPr>
            <w:rStyle w:val="Hyperlink"/>
            <w:rFonts w:ascii="Arial" w:hAnsi="Arial" w:cs="Arial"/>
            <w:noProof/>
          </w:rPr>
          <w:t>English Language Arts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_Toc504520861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38</w:t>
        </w:r>
        <w:r w:rsidRPr="00147CFF">
          <w:rPr>
            <w:rFonts w:ascii="Arial" w:hAnsi="Arial" w:cs="Arial"/>
            <w:noProof/>
            <w:webHidden/>
          </w:rPr>
          <w:fldChar w:fldCharType="end"/>
        </w:r>
      </w:hyperlink>
    </w:p>
    <w:p w14:paraId="400FB20D" w14:textId="1E82C538" w:rsidR="00C11858" w:rsidRPr="00147CFF" w:rsidRDefault="00C11858">
      <w:pPr>
        <w:pStyle w:val="TOC3"/>
        <w:tabs>
          <w:tab w:val="right" w:leader="dot" w:pos="9350"/>
        </w:tabs>
        <w:rPr>
          <w:rFonts w:ascii="Arial" w:eastAsia="Times New Roman" w:hAnsi="Arial" w:cs="Arial"/>
          <w:noProof/>
        </w:rPr>
      </w:pPr>
      <w:hyperlink w:anchor="_Toc504520862" w:history="1">
        <w:r w:rsidRPr="00147CFF">
          <w:rPr>
            <w:rStyle w:val="Hyperlink"/>
            <w:rFonts w:ascii="Arial" w:hAnsi="Arial" w:cs="Arial"/>
            <w:noProof/>
          </w:rPr>
          <w:t>Mathematics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_Toc504520862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40</w:t>
        </w:r>
        <w:r w:rsidRPr="00147CFF">
          <w:rPr>
            <w:rFonts w:ascii="Arial" w:hAnsi="Arial" w:cs="Arial"/>
            <w:noProof/>
            <w:webHidden/>
          </w:rPr>
          <w:fldChar w:fldCharType="end"/>
        </w:r>
      </w:hyperlink>
    </w:p>
    <w:p w14:paraId="352E7E21" w14:textId="3CD1B8B2" w:rsidR="00C11858" w:rsidRPr="00147CFF" w:rsidRDefault="00C11858">
      <w:pPr>
        <w:pStyle w:val="TOC3"/>
        <w:tabs>
          <w:tab w:val="right" w:leader="dot" w:pos="9350"/>
        </w:tabs>
        <w:rPr>
          <w:rFonts w:ascii="Arial" w:eastAsia="Times New Roman" w:hAnsi="Arial" w:cs="Arial"/>
          <w:noProof/>
        </w:rPr>
      </w:pPr>
      <w:hyperlink w:anchor="_Toc504520863" w:history="1">
        <w:r w:rsidRPr="00147CFF">
          <w:rPr>
            <w:rStyle w:val="Hyperlink"/>
            <w:rFonts w:ascii="Arial" w:hAnsi="Arial" w:cs="Arial"/>
            <w:noProof/>
          </w:rPr>
          <w:t>English Language Development</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_Toc504520863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42</w:t>
        </w:r>
        <w:r w:rsidRPr="00147CFF">
          <w:rPr>
            <w:rFonts w:ascii="Arial" w:hAnsi="Arial" w:cs="Arial"/>
            <w:noProof/>
            <w:webHidden/>
          </w:rPr>
          <w:fldChar w:fldCharType="end"/>
        </w:r>
      </w:hyperlink>
    </w:p>
    <w:p w14:paraId="53A996EC" w14:textId="6F21C8CC" w:rsidR="00C11858" w:rsidRPr="00147CFF" w:rsidRDefault="00C11858">
      <w:pPr>
        <w:pStyle w:val="TOC3"/>
        <w:tabs>
          <w:tab w:val="right" w:leader="dot" w:pos="9350"/>
        </w:tabs>
        <w:rPr>
          <w:rFonts w:ascii="Arial" w:eastAsia="Times New Roman" w:hAnsi="Arial" w:cs="Arial"/>
          <w:noProof/>
        </w:rPr>
      </w:pPr>
      <w:hyperlink w:anchor="_Toc504520864" w:history="1">
        <w:r w:rsidRPr="00147CFF">
          <w:rPr>
            <w:rStyle w:val="Hyperlink"/>
            <w:rFonts w:ascii="Arial" w:hAnsi="Arial" w:cs="Arial"/>
            <w:noProof/>
          </w:rPr>
          <w:t>High School Graduation and Dropout Rates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_Toc504520864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44</w:t>
        </w:r>
        <w:r w:rsidRPr="00147CFF">
          <w:rPr>
            <w:rFonts w:ascii="Arial" w:hAnsi="Arial" w:cs="Arial"/>
            <w:noProof/>
            <w:webHidden/>
          </w:rPr>
          <w:fldChar w:fldCharType="end"/>
        </w:r>
      </w:hyperlink>
    </w:p>
    <w:p w14:paraId="2C0FBAE5" w14:textId="646822C7" w:rsidR="00C11858" w:rsidRPr="00147CFF" w:rsidRDefault="00C11858">
      <w:pPr>
        <w:pStyle w:val="TOC3"/>
        <w:tabs>
          <w:tab w:val="right" w:leader="dot" w:pos="9350"/>
        </w:tabs>
        <w:rPr>
          <w:rFonts w:ascii="Arial" w:eastAsia="Times New Roman" w:hAnsi="Arial" w:cs="Arial"/>
          <w:noProof/>
        </w:rPr>
      </w:pPr>
      <w:hyperlink w:anchor="_Toc504520865" w:history="1">
        <w:r w:rsidRPr="00147CFF">
          <w:rPr>
            <w:rStyle w:val="Hyperlink"/>
            <w:rFonts w:ascii="Arial" w:hAnsi="Arial" w:cs="Arial"/>
            <w:noProof/>
          </w:rPr>
          <w:t>School Readiness</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_Toc504520865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47</w:t>
        </w:r>
        <w:r w:rsidRPr="00147CFF">
          <w:rPr>
            <w:rFonts w:ascii="Arial" w:hAnsi="Arial" w:cs="Arial"/>
            <w:noProof/>
            <w:webHidden/>
          </w:rPr>
          <w:fldChar w:fldCharType="end"/>
        </w:r>
      </w:hyperlink>
    </w:p>
    <w:p w14:paraId="7281B0E4" w14:textId="795EBC28" w:rsidR="00C11858" w:rsidRPr="00147CFF" w:rsidRDefault="00C11858">
      <w:pPr>
        <w:pStyle w:val="TOC3"/>
        <w:tabs>
          <w:tab w:val="right" w:leader="dot" w:pos="9350"/>
        </w:tabs>
        <w:rPr>
          <w:rFonts w:ascii="Arial" w:eastAsia="Times New Roman" w:hAnsi="Arial" w:cs="Arial"/>
          <w:noProof/>
        </w:rPr>
      </w:pPr>
      <w:hyperlink w:anchor="_Toc504520866" w:history="1">
        <w:r w:rsidRPr="00147CFF">
          <w:rPr>
            <w:rStyle w:val="Hyperlink"/>
            <w:rFonts w:ascii="Arial" w:hAnsi="Arial" w:cs="Arial"/>
            <w:noProof/>
          </w:rPr>
          <w:t>Out-of-School Youth</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_Toc504520866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49</w:t>
        </w:r>
        <w:r w:rsidRPr="00147CFF">
          <w:rPr>
            <w:rFonts w:ascii="Arial" w:hAnsi="Arial" w:cs="Arial"/>
            <w:noProof/>
            <w:webHidden/>
          </w:rPr>
          <w:fldChar w:fldCharType="end"/>
        </w:r>
      </w:hyperlink>
    </w:p>
    <w:p w14:paraId="746C0287" w14:textId="22A4C830" w:rsidR="00C11858" w:rsidRPr="00147CFF" w:rsidRDefault="00C11858">
      <w:pPr>
        <w:pStyle w:val="TOC3"/>
        <w:tabs>
          <w:tab w:val="right" w:leader="dot" w:pos="9350"/>
        </w:tabs>
        <w:rPr>
          <w:rFonts w:ascii="Arial" w:eastAsia="Times New Roman" w:hAnsi="Arial" w:cs="Arial"/>
          <w:noProof/>
        </w:rPr>
      </w:pPr>
      <w:hyperlink w:anchor="_Toc504520867" w:history="1">
        <w:r w:rsidRPr="00147CFF">
          <w:rPr>
            <w:rStyle w:val="Hyperlink"/>
            <w:rFonts w:ascii="Arial" w:hAnsi="Arial" w:cs="Arial"/>
            <w:noProof/>
          </w:rPr>
          <w:t>Health</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_Toc504520867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52</w:t>
        </w:r>
        <w:r w:rsidRPr="00147CFF">
          <w:rPr>
            <w:rFonts w:ascii="Arial" w:hAnsi="Arial" w:cs="Arial"/>
            <w:noProof/>
            <w:webHidden/>
          </w:rPr>
          <w:fldChar w:fldCharType="end"/>
        </w:r>
      </w:hyperlink>
    </w:p>
    <w:p w14:paraId="6EA9DDDD" w14:textId="6C369ECA" w:rsidR="00C11858" w:rsidRPr="00147CFF" w:rsidRDefault="00C11858">
      <w:pPr>
        <w:pStyle w:val="TOC3"/>
        <w:tabs>
          <w:tab w:val="right" w:leader="dot" w:pos="9350"/>
        </w:tabs>
        <w:rPr>
          <w:rFonts w:ascii="Arial" w:eastAsia="Times New Roman" w:hAnsi="Arial" w:cs="Arial"/>
          <w:noProof/>
        </w:rPr>
      </w:pPr>
      <w:hyperlink w:anchor="_Toc504520868" w:history="1">
        <w:r w:rsidRPr="00147CFF">
          <w:rPr>
            <w:rStyle w:val="Hyperlink"/>
            <w:rFonts w:ascii="Arial" w:hAnsi="Arial" w:cs="Arial"/>
            <w:noProof/>
          </w:rPr>
          <w:t>Parent and Family Engagement</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_Toc504520868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54</w:t>
        </w:r>
        <w:r w:rsidRPr="00147CFF">
          <w:rPr>
            <w:rFonts w:ascii="Arial" w:hAnsi="Arial" w:cs="Arial"/>
            <w:noProof/>
            <w:webHidden/>
          </w:rPr>
          <w:fldChar w:fldCharType="end"/>
        </w:r>
      </w:hyperlink>
    </w:p>
    <w:p w14:paraId="05B16BFD" w14:textId="31F3C54C" w:rsidR="00C11858" w:rsidRPr="00147CFF" w:rsidRDefault="00C11858">
      <w:pPr>
        <w:pStyle w:val="TOC3"/>
        <w:tabs>
          <w:tab w:val="right" w:leader="dot" w:pos="9350"/>
        </w:tabs>
        <w:rPr>
          <w:rFonts w:ascii="Arial" w:eastAsia="Times New Roman" w:hAnsi="Arial" w:cs="Arial"/>
          <w:noProof/>
        </w:rPr>
      </w:pPr>
      <w:hyperlink w:anchor="_Toc504520869" w:history="1">
        <w:r w:rsidRPr="00147CFF">
          <w:rPr>
            <w:rStyle w:val="Hyperlink"/>
            <w:rFonts w:ascii="Arial" w:hAnsi="Arial" w:cs="Arial"/>
            <w:noProof/>
          </w:rPr>
          <w:t>Student Engagement</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_Toc504520869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55</w:t>
        </w:r>
        <w:r w:rsidRPr="00147CFF">
          <w:rPr>
            <w:rFonts w:ascii="Arial" w:hAnsi="Arial" w:cs="Arial"/>
            <w:noProof/>
            <w:webHidden/>
          </w:rPr>
          <w:fldChar w:fldCharType="end"/>
        </w:r>
      </w:hyperlink>
    </w:p>
    <w:p w14:paraId="02887067" w14:textId="197AE02F" w:rsidR="00C11858" w:rsidRPr="00147CFF" w:rsidRDefault="00C11858">
      <w:pPr>
        <w:pStyle w:val="TOC2"/>
        <w:tabs>
          <w:tab w:val="right" w:leader="dot" w:pos="9350"/>
        </w:tabs>
        <w:rPr>
          <w:rFonts w:ascii="Arial" w:eastAsia="Times New Roman" w:hAnsi="Arial" w:cs="Arial"/>
          <w:noProof/>
        </w:rPr>
      </w:pPr>
      <w:hyperlink w:anchor="_Toc504520870" w:history="1">
        <w:r w:rsidRPr="00147CFF">
          <w:rPr>
            <w:rStyle w:val="Hyperlink"/>
            <w:rFonts w:ascii="Arial" w:hAnsi="Arial" w:cs="Arial"/>
            <w:noProof/>
          </w:rPr>
          <w:t>Annual Performance Review Plan</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_Toc504520870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57</w:t>
        </w:r>
        <w:r w:rsidRPr="00147CFF">
          <w:rPr>
            <w:rFonts w:ascii="Arial" w:hAnsi="Arial" w:cs="Arial"/>
            <w:noProof/>
            <w:webHidden/>
          </w:rPr>
          <w:fldChar w:fldCharType="end"/>
        </w:r>
      </w:hyperlink>
    </w:p>
    <w:p w14:paraId="474CC854" w14:textId="44887090" w:rsidR="00C11858" w:rsidRPr="00147CFF" w:rsidRDefault="00C11858">
      <w:pPr>
        <w:pStyle w:val="TOC2"/>
        <w:tabs>
          <w:tab w:val="right" w:leader="dot" w:pos="9350"/>
        </w:tabs>
        <w:rPr>
          <w:rFonts w:ascii="Arial" w:eastAsia="Times New Roman" w:hAnsi="Arial" w:cs="Arial"/>
          <w:noProof/>
        </w:rPr>
      </w:pPr>
      <w:hyperlink w:anchor="_Toc504520871" w:history="1">
        <w:r w:rsidRPr="00147CFF">
          <w:rPr>
            <w:rStyle w:val="Hyperlink"/>
            <w:rFonts w:ascii="Arial" w:hAnsi="Arial" w:cs="Arial"/>
            <w:noProof/>
          </w:rPr>
          <w:t>Technical Assistance and Monitoring</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_Toc504520871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66</w:t>
        </w:r>
        <w:r w:rsidRPr="00147CFF">
          <w:rPr>
            <w:rFonts w:ascii="Arial" w:hAnsi="Arial" w:cs="Arial"/>
            <w:noProof/>
            <w:webHidden/>
          </w:rPr>
          <w:fldChar w:fldCharType="end"/>
        </w:r>
      </w:hyperlink>
    </w:p>
    <w:p w14:paraId="67AE1F19" w14:textId="4D3FB55E" w:rsidR="00C11858" w:rsidRPr="00147CFF" w:rsidRDefault="00C11858">
      <w:pPr>
        <w:pStyle w:val="TOC2"/>
        <w:tabs>
          <w:tab w:val="right" w:leader="dot" w:pos="9350"/>
        </w:tabs>
        <w:rPr>
          <w:rFonts w:ascii="Arial" w:eastAsia="Times New Roman" w:hAnsi="Arial" w:cs="Arial"/>
          <w:noProof/>
        </w:rPr>
      </w:pPr>
      <w:hyperlink w:anchor="_Toc504520872" w:history="1">
        <w:r w:rsidRPr="00147CFF">
          <w:rPr>
            <w:rStyle w:val="Hyperlink"/>
            <w:rFonts w:ascii="Arial" w:hAnsi="Arial" w:cs="Arial"/>
            <w:noProof/>
          </w:rPr>
          <w:t>Additional Considerations for Program Improvement</w:t>
        </w:r>
        <w:r w:rsidRPr="00147CFF">
          <w:rPr>
            <w:rFonts w:ascii="Arial" w:hAnsi="Arial" w:cs="Arial"/>
            <w:noProof/>
            <w:webHidden/>
          </w:rPr>
          <w:tab/>
        </w:r>
        <w:r w:rsidRPr="00147CFF">
          <w:rPr>
            <w:rFonts w:ascii="Arial" w:hAnsi="Arial" w:cs="Arial"/>
            <w:noProof/>
            <w:webHidden/>
          </w:rPr>
          <w:fldChar w:fldCharType="begin"/>
        </w:r>
        <w:r w:rsidRPr="00147CFF">
          <w:rPr>
            <w:rFonts w:ascii="Arial" w:hAnsi="Arial" w:cs="Arial"/>
            <w:noProof/>
            <w:webHidden/>
          </w:rPr>
          <w:instrText xml:space="preserve"> PAGEREF _Toc504520872 \h </w:instrText>
        </w:r>
        <w:r w:rsidRPr="00147CFF">
          <w:rPr>
            <w:rFonts w:ascii="Arial" w:hAnsi="Arial" w:cs="Arial"/>
            <w:noProof/>
            <w:webHidden/>
          </w:rPr>
        </w:r>
        <w:r w:rsidRPr="00147CFF">
          <w:rPr>
            <w:rFonts w:ascii="Arial" w:hAnsi="Arial" w:cs="Arial"/>
            <w:noProof/>
            <w:webHidden/>
          </w:rPr>
          <w:fldChar w:fldCharType="separate"/>
        </w:r>
        <w:r w:rsidR="00465ECC">
          <w:rPr>
            <w:rFonts w:ascii="Arial" w:hAnsi="Arial" w:cs="Arial"/>
            <w:noProof/>
            <w:webHidden/>
          </w:rPr>
          <w:t>67</w:t>
        </w:r>
        <w:r w:rsidRPr="00147CFF">
          <w:rPr>
            <w:rFonts w:ascii="Arial" w:hAnsi="Arial" w:cs="Arial"/>
            <w:noProof/>
            <w:webHidden/>
          </w:rPr>
          <w:fldChar w:fldCharType="end"/>
        </w:r>
      </w:hyperlink>
    </w:p>
    <w:p w14:paraId="1DEBF819" w14:textId="03C36BDD" w:rsidR="00C11858" w:rsidRPr="00147CFF" w:rsidRDefault="00C11858" w:rsidP="00B81939">
      <w:pPr>
        <w:pStyle w:val="TOC1"/>
        <w:rPr>
          <w:rFonts w:eastAsia="Times New Roman"/>
          <w:noProof/>
        </w:rPr>
      </w:pPr>
      <w:hyperlink w:anchor="_Toc504520873" w:history="1">
        <w:r w:rsidRPr="00147CFF">
          <w:rPr>
            <w:rStyle w:val="Hyperlink"/>
            <w:noProof/>
          </w:rPr>
          <w:t>Section IV: Priority for Services Students</w:t>
        </w:r>
        <w:r w:rsidRPr="00147CFF">
          <w:rPr>
            <w:noProof/>
            <w:webHidden/>
          </w:rPr>
          <w:tab/>
        </w:r>
        <w:r w:rsidRPr="00147CFF">
          <w:rPr>
            <w:noProof/>
            <w:webHidden/>
          </w:rPr>
          <w:fldChar w:fldCharType="begin"/>
        </w:r>
        <w:r w:rsidRPr="00147CFF">
          <w:rPr>
            <w:noProof/>
            <w:webHidden/>
          </w:rPr>
          <w:instrText xml:space="preserve"> PAGEREF _Toc504520873 \h </w:instrText>
        </w:r>
        <w:r w:rsidRPr="00147CFF">
          <w:rPr>
            <w:noProof/>
            <w:webHidden/>
          </w:rPr>
        </w:r>
        <w:r w:rsidRPr="00147CFF">
          <w:rPr>
            <w:noProof/>
            <w:webHidden/>
          </w:rPr>
          <w:fldChar w:fldCharType="separate"/>
        </w:r>
        <w:r w:rsidR="00465ECC">
          <w:rPr>
            <w:noProof/>
            <w:webHidden/>
          </w:rPr>
          <w:t>71</w:t>
        </w:r>
        <w:r w:rsidRPr="00147CFF">
          <w:rPr>
            <w:noProof/>
            <w:webHidden/>
          </w:rPr>
          <w:fldChar w:fldCharType="end"/>
        </w:r>
      </w:hyperlink>
    </w:p>
    <w:p w14:paraId="00998DC9" w14:textId="16697492" w:rsidR="00C11858" w:rsidRPr="00147CFF" w:rsidRDefault="00C11858" w:rsidP="00940589">
      <w:pPr>
        <w:pStyle w:val="TOC1"/>
        <w:rPr>
          <w:rFonts w:eastAsia="Times New Roman"/>
          <w:noProof/>
        </w:rPr>
      </w:pPr>
      <w:hyperlink w:anchor="_Toc504520874" w:history="1">
        <w:r w:rsidRPr="00147CFF">
          <w:rPr>
            <w:rStyle w:val="Hyperlink"/>
            <w:noProof/>
          </w:rPr>
          <w:t>Section V: Identification and Recruitment Plan</w:t>
        </w:r>
        <w:r w:rsidRPr="00147CFF">
          <w:rPr>
            <w:noProof/>
            <w:webHidden/>
          </w:rPr>
          <w:tab/>
        </w:r>
        <w:r w:rsidRPr="00147CFF">
          <w:rPr>
            <w:noProof/>
            <w:webHidden/>
          </w:rPr>
          <w:fldChar w:fldCharType="begin"/>
        </w:r>
        <w:r w:rsidRPr="00147CFF">
          <w:rPr>
            <w:noProof/>
            <w:webHidden/>
          </w:rPr>
          <w:instrText xml:space="preserve"> PAGEREF _Toc504520874 \h </w:instrText>
        </w:r>
        <w:r w:rsidRPr="00147CFF">
          <w:rPr>
            <w:noProof/>
            <w:webHidden/>
          </w:rPr>
        </w:r>
        <w:r w:rsidRPr="00147CFF">
          <w:rPr>
            <w:noProof/>
            <w:webHidden/>
          </w:rPr>
          <w:fldChar w:fldCharType="separate"/>
        </w:r>
        <w:r w:rsidR="00465ECC">
          <w:rPr>
            <w:noProof/>
            <w:webHidden/>
          </w:rPr>
          <w:t>73</w:t>
        </w:r>
        <w:r w:rsidRPr="00147CFF">
          <w:rPr>
            <w:noProof/>
            <w:webHidden/>
          </w:rPr>
          <w:fldChar w:fldCharType="end"/>
        </w:r>
      </w:hyperlink>
    </w:p>
    <w:p w14:paraId="1DE0FC10" w14:textId="040A1974" w:rsidR="00C11858" w:rsidRPr="00147CFF" w:rsidRDefault="00C11858" w:rsidP="00EF59DB">
      <w:pPr>
        <w:pStyle w:val="TOC1"/>
        <w:rPr>
          <w:rFonts w:eastAsia="Times New Roman"/>
          <w:noProof/>
        </w:rPr>
      </w:pPr>
      <w:hyperlink w:anchor="_Toc504520875" w:history="1">
        <w:r w:rsidRPr="00147CFF">
          <w:rPr>
            <w:rStyle w:val="Hyperlink"/>
            <w:noProof/>
          </w:rPr>
          <w:t>Section VI: Parent Involvement Plan</w:t>
        </w:r>
        <w:r w:rsidRPr="00147CFF">
          <w:rPr>
            <w:noProof/>
            <w:webHidden/>
          </w:rPr>
          <w:tab/>
        </w:r>
        <w:r w:rsidRPr="00147CFF">
          <w:rPr>
            <w:noProof/>
            <w:webHidden/>
          </w:rPr>
          <w:fldChar w:fldCharType="begin"/>
        </w:r>
        <w:r w:rsidRPr="00147CFF">
          <w:rPr>
            <w:noProof/>
            <w:webHidden/>
          </w:rPr>
          <w:instrText xml:space="preserve"> PAGEREF _Toc504520875 \h </w:instrText>
        </w:r>
        <w:r w:rsidRPr="00147CFF">
          <w:rPr>
            <w:noProof/>
            <w:webHidden/>
          </w:rPr>
        </w:r>
        <w:r w:rsidRPr="00147CFF">
          <w:rPr>
            <w:noProof/>
            <w:webHidden/>
          </w:rPr>
          <w:fldChar w:fldCharType="separate"/>
        </w:r>
        <w:r w:rsidR="00465ECC">
          <w:rPr>
            <w:noProof/>
            <w:webHidden/>
          </w:rPr>
          <w:t>76</w:t>
        </w:r>
        <w:r w:rsidRPr="00147CFF">
          <w:rPr>
            <w:noProof/>
            <w:webHidden/>
          </w:rPr>
          <w:fldChar w:fldCharType="end"/>
        </w:r>
      </w:hyperlink>
    </w:p>
    <w:p w14:paraId="5B32B373" w14:textId="591F507D" w:rsidR="00C11858" w:rsidRPr="00147CFF" w:rsidRDefault="00C11858" w:rsidP="0004661B">
      <w:pPr>
        <w:pStyle w:val="TOC1"/>
        <w:rPr>
          <w:rFonts w:eastAsia="Times New Roman"/>
          <w:noProof/>
        </w:rPr>
      </w:pPr>
      <w:hyperlink w:anchor="_Toc504520876" w:history="1">
        <w:r w:rsidRPr="00147CFF">
          <w:rPr>
            <w:rStyle w:val="Hyperlink"/>
            <w:noProof/>
          </w:rPr>
          <w:t>Section VII: Exchange of Student Records</w:t>
        </w:r>
        <w:r w:rsidRPr="00147CFF">
          <w:rPr>
            <w:noProof/>
            <w:webHidden/>
          </w:rPr>
          <w:tab/>
        </w:r>
        <w:r w:rsidRPr="00147CFF">
          <w:rPr>
            <w:noProof/>
            <w:webHidden/>
          </w:rPr>
          <w:fldChar w:fldCharType="begin"/>
        </w:r>
        <w:r w:rsidRPr="00147CFF">
          <w:rPr>
            <w:noProof/>
            <w:webHidden/>
          </w:rPr>
          <w:instrText xml:space="preserve"> PAGEREF _Toc504520876 \h </w:instrText>
        </w:r>
        <w:r w:rsidRPr="00147CFF">
          <w:rPr>
            <w:noProof/>
            <w:webHidden/>
          </w:rPr>
        </w:r>
        <w:r w:rsidRPr="00147CFF">
          <w:rPr>
            <w:noProof/>
            <w:webHidden/>
          </w:rPr>
          <w:fldChar w:fldCharType="separate"/>
        </w:r>
        <w:r w:rsidR="00465ECC">
          <w:rPr>
            <w:noProof/>
            <w:webHidden/>
          </w:rPr>
          <w:t>80</w:t>
        </w:r>
        <w:r w:rsidRPr="00147CFF">
          <w:rPr>
            <w:noProof/>
            <w:webHidden/>
          </w:rPr>
          <w:fldChar w:fldCharType="end"/>
        </w:r>
      </w:hyperlink>
    </w:p>
    <w:p w14:paraId="431B2C9D" w14:textId="175F7CE8" w:rsidR="00C11858" w:rsidRPr="00147CFF" w:rsidRDefault="00C11858" w:rsidP="0004661B">
      <w:pPr>
        <w:pStyle w:val="TOC1"/>
        <w:rPr>
          <w:rFonts w:eastAsia="Times New Roman"/>
          <w:noProof/>
        </w:rPr>
      </w:pPr>
      <w:hyperlink w:anchor="_Toc504520877" w:history="1">
        <w:r w:rsidRPr="00147CFF">
          <w:rPr>
            <w:rStyle w:val="Hyperlink"/>
            <w:noProof/>
          </w:rPr>
          <w:t>Section VIII: Migrant Education Program Professional Development Plan</w:t>
        </w:r>
        <w:r w:rsidRPr="00147CFF">
          <w:rPr>
            <w:noProof/>
            <w:webHidden/>
          </w:rPr>
          <w:tab/>
        </w:r>
        <w:r w:rsidRPr="00147CFF">
          <w:rPr>
            <w:noProof/>
            <w:webHidden/>
          </w:rPr>
          <w:fldChar w:fldCharType="begin"/>
        </w:r>
        <w:r w:rsidRPr="00147CFF">
          <w:rPr>
            <w:noProof/>
            <w:webHidden/>
          </w:rPr>
          <w:instrText xml:space="preserve"> PAGEREF _Toc504520877 \h </w:instrText>
        </w:r>
        <w:r w:rsidRPr="00147CFF">
          <w:rPr>
            <w:noProof/>
            <w:webHidden/>
          </w:rPr>
        </w:r>
        <w:r w:rsidRPr="00147CFF">
          <w:rPr>
            <w:noProof/>
            <w:webHidden/>
          </w:rPr>
          <w:fldChar w:fldCharType="separate"/>
        </w:r>
        <w:r w:rsidR="00465ECC">
          <w:rPr>
            <w:noProof/>
            <w:webHidden/>
          </w:rPr>
          <w:t>81</w:t>
        </w:r>
        <w:r w:rsidRPr="00147CFF">
          <w:rPr>
            <w:noProof/>
            <w:webHidden/>
          </w:rPr>
          <w:fldChar w:fldCharType="end"/>
        </w:r>
      </w:hyperlink>
    </w:p>
    <w:p w14:paraId="048B5F80" w14:textId="0CE84CC4" w:rsidR="00C11858" w:rsidRPr="00147CFF" w:rsidRDefault="00C11858" w:rsidP="0004661B">
      <w:pPr>
        <w:pStyle w:val="TOC1"/>
        <w:rPr>
          <w:rFonts w:eastAsia="Times New Roman"/>
          <w:noProof/>
        </w:rPr>
      </w:pPr>
      <w:hyperlink w:anchor="_Toc504520878" w:history="1">
        <w:r w:rsidRPr="00147CFF">
          <w:rPr>
            <w:rStyle w:val="Hyperlink"/>
            <w:noProof/>
          </w:rPr>
          <w:t>Section IX: Looking Forward: Next Steps</w:t>
        </w:r>
        <w:r w:rsidRPr="00147CFF">
          <w:rPr>
            <w:noProof/>
            <w:webHidden/>
          </w:rPr>
          <w:tab/>
        </w:r>
        <w:r w:rsidRPr="00147CFF">
          <w:rPr>
            <w:noProof/>
            <w:webHidden/>
          </w:rPr>
          <w:fldChar w:fldCharType="begin"/>
        </w:r>
        <w:r w:rsidRPr="00147CFF">
          <w:rPr>
            <w:noProof/>
            <w:webHidden/>
          </w:rPr>
          <w:instrText xml:space="preserve"> PAGEREF _Toc504520878 \h </w:instrText>
        </w:r>
        <w:r w:rsidRPr="00147CFF">
          <w:rPr>
            <w:noProof/>
            <w:webHidden/>
          </w:rPr>
        </w:r>
        <w:r w:rsidRPr="00147CFF">
          <w:rPr>
            <w:noProof/>
            <w:webHidden/>
          </w:rPr>
          <w:fldChar w:fldCharType="separate"/>
        </w:r>
        <w:r w:rsidR="00465ECC">
          <w:rPr>
            <w:noProof/>
            <w:webHidden/>
          </w:rPr>
          <w:t>82</w:t>
        </w:r>
        <w:r w:rsidRPr="00147CFF">
          <w:rPr>
            <w:noProof/>
            <w:webHidden/>
          </w:rPr>
          <w:fldChar w:fldCharType="end"/>
        </w:r>
      </w:hyperlink>
    </w:p>
    <w:p w14:paraId="71DB6A85" w14:textId="77777777" w:rsidR="00CD11DF" w:rsidRPr="00F62746" w:rsidRDefault="00072681" w:rsidP="0073568C">
      <w:pPr>
        <w:pStyle w:val="TOC2"/>
        <w:tabs>
          <w:tab w:val="right" w:leader="dot" w:pos="9350"/>
        </w:tabs>
        <w:rPr>
          <w:rFonts w:ascii="Arial" w:eastAsia="Times New Roman" w:hAnsi="Arial" w:cs="Arial"/>
          <w:color w:val="2E74B5"/>
        </w:rPr>
      </w:pPr>
      <w:r w:rsidRPr="00147CFF">
        <w:rPr>
          <w:rFonts w:ascii="Arial" w:hAnsi="Arial" w:cs="Arial"/>
          <w:b/>
          <w:bCs/>
          <w:noProof/>
        </w:rPr>
        <w:fldChar w:fldCharType="end"/>
      </w:r>
      <w:r w:rsidR="00CD11DF" w:rsidRPr="005E0053">
        <w:rPr>
          <w:rFonts w:ascii="Arial" w:hAnsi="Arial" w:cs="Arial"/>
        </w:rPr>
        <w:br w:type="page"/>
      </w:r>
    </w:p>
    <w:p w14:paraId="099252ED" w14:textId="77777777" w:rsidR="00DC5C7D" w:rsidRPr="005E0053" w:rsidRDefault="00DC5C7D" w:rsidP="005E0053">
      <w:pPr>
        <w:pStyle w:val="Heading3"/>
        <w:rPr>
          <w:rFonts w:cs="Arial"/>
        </w:rPr>
      </w:pPr>
      <w:bookmarkStart w:id="0" w:name="_Toc504520838"/>
      <w:r w:rsidRPr="005E0053">
        <w:rPr>
          <w:rFonts w:cs="Arial"/>
        </w:rPr>
        <w:lastRenderedPageBreak/>
        <w:t>List of Figures</w:t>
      </w:r>
      <w:bookmarkEnd w:id="0"/>
    </w:p>
    <w:p w14:paraId="4D840312" w14:textId="437AA145" w:rsidR="00705CE8" w:rsidRPr="00F62746" w:rsidRDefault="00DC5C7D" w:rsidP="00261292">
      <w:pPr>
        <w:pStyle w:val="TableofFigures"/>
        <w:tabs>
          <w:tab w:val="right" w:leader="dot" w:pos="9350"/>
        </w:tabs>
        <w:spacing w:after="120"/>
        <w:ind w:left="360" w:hanging="360"/>
        <w:rPr>
          <w:rFonts w:ascii="Arial" w:eastAsia="Times New Roman" w:hAnsi="Arial" w:cs="Arial"/>
          <w:noProof/>
        </w:rPr>
      </w:pPr>
      <w:r w:rsidRPr="005E0053">
        <w:rPr>
          <w:rFonts w:ascii="Arial" w:hAnsi="Arial" w:cs="Arial"/>
        </w:rPr>
        <w:fldChar w:fldCharType="begin"/>
      </w:r>
      <w:r w:rsidRPr="005E0053">
        <w:rPr>
          <w:rFonts w:ascii="Arial" w:hAnsi="Arial" w:cs="Arial"/>
        </w:rPr>
        <w:instrText xml:space="preserve"> TOC \h \z \c "Figure" </w:instrText>
      </w:r>
      <w:r w:rsidRPr="005E0053">
        <w:rPr>
          <w:rFonts w:ascii="Arial" w:hAnsi="Arial" w:cs="Arial"/>
        </w:rPr>
        <w:fldChar w:fldCharType="separate"/>
      </w:r>
      <w:hyperlink w:anchor="_Toc495328440" w:history="1">
        <w:r w:rsidR="00705CE8" w:rsidRPr="005E0053">
          <w:rPr>
            <w:rStyle w:val="Hyperlink"/>
            <w:rFonts w:ascii="Arial" w:hAnsi="Arial" w:cs="Arial"/>
            <w:noProof/>
          </w:rPr>
          <w:t>Figure 1. Structure of the California Migrant Education Program</w:t>
        </w:r>
        <w:r w:rsidR="00705CE8" w:rsidRPr="005E0053">
          <w:rPr>
            <w:rFonts w:ascii="Arial" w:hAnsi="Arial" w:cs="Arial"/>
            <w:noProof/>
            <w:webHidden/>
          </w:rPr>
          <w:tab/>
        </w:r>
        <w:r w:rsidR="00705CE8" w:rsidRPr="005E0053">
          <w:rPr>
            <w:rFonts w:ascii="Arial" w:hAnsi="Arial" w:cs="Arial"/>
            <w:noProof/>
            <w:webHidden/>
          </w:rPr>
          <w:fldChar w:fldCharType="begin"/>
        </w:r>
        <w:r w:rsidR="00705CE8" w:rsidRPr="005E0053">
          <w:rPr>
            <w:rFonts w:ascii="Arial" w:hAnsi="Arial" w:cs="Arial"/>
            <w:noProof/>
            <w:webHidden/>
          </w:rPr>
          <w:instrText xml:space="preserve"> PAGEREF _Toc495328440 \h </w:instrText>
        </w:r>
        <w:r w:rsidR="00705CE8" w:rsidRPr="005E0053">
          <w:rPr>
            <w:rFonts w:ascii="Arial" w:hAnsi="Arial" w:cs="Arial"/>
            <w:noProof/>
            <w:webHidden/>
          </w:rPr>
        </w:r>
        <w:r w:rsidR="00705CE8" w:rsidRPr="005E0053">
          <w:rPr>
            <w:rFonts w:ascii="Arial" w:hAnsi="Arial" w:cs="Arial"/>
            <w:noProof/>
            <w:webHidden/>
          </w:rPr>
          <w:fldChar w:fldCharType="separate"/>
        </w:r>
        <w:r w:rsidR="00465ECC">
          <w:rPr>
            <w:rFonts w:ascii="Arial" w:hAnsi="Arial" w:cs="Arial"/>
            <w:noProof/>
            <w:webHidden/>
          </w:rPr>
          <w:t>12</w:t>
        </w:r>
        <w:r w:rsidR="00705CE8" w:rsidRPr="005E0053">
          <w:rPr>
            <w:rFonts w:ascii="Arial" w:hAnsi="Arial" w:cs="Arial"/>
            <w:noProof/>
            <w:webHidden/>
          </w:rPr>
          <w:fldChar w:fldCharType="end"/>
        </w:r>
      </w:hyperlink>
    </w:p>
    <w:p w14:paraId="5C76B37C" w14:textId="4AC241CE" w:rsidR="00705CE8" w:rsidRPr="00F62746" w:rsidRDefault="00705CE8" w:rsidP="00261292">
      <w:pPr>
        <w:pStyle w:val="TableofFigures"/>
        <w:tabs>
          <w:tab w:val="right" w:leader="dot" w:pos="9350"/>
        </w:tabs>
        <w:spacing w:after="120"/>
        <w:ind w:left="360" w:hanging="360"/>
        <w:rPr>
          <w:rFonts w:ascii="Arial" w:eastAsia="Times New Roman" w:hAnsi="Arial" w:cs="Arial"/>
          <w:noProof/>
        </w:rPr>
      </w:pPr>
      <w:hyperlink w:anchor="_Toc495328441" w:history="1">
        <w:r w:rsidRPr="005E0053">
          <w:rPr>
            <w:rStyle w:val="Hyperlink"/>
            <w:rFonts w:ascii="Arial" w:hAnsi="Arial" w:cs="Arial"/>
            <w:noProof/>
          </w:rPr>
          <w:t>Figure 2. Trend in the Number of Migratory Children in California, Age 3 to 21 years 2011–12 to 2015–16</w:t>
        </w:r>
        <w:r w:rsidRPr="005E0053">
          <w:rPr>
            <w:rFonts w:ascii="Arial" w:hAnsi="Arial" w:cs="Arial"/>
            <w:noProof/>
            <w:webHidden/>
          </w:rPr>
          <w:tab/>
        </w:r>
        <w:r w:rsidRPr="005E0053">
          <w:rPr>
            <w:rFonts w:ascii="Arial" w:hAnsi="Arial" w:cs="Arial"/>
            <w:noProof/>
            <w:webHidden/>
          </w:rPr>
          <w:fldChar w:fldCharType="begin"/>
        </w:r>
        <w:r w:rsidRPr="005E0053">
          <w:rPr>
            <w:rFonts w:ascii="Arial" w:hAnsi="Arial" w:cs="Arial"/>
            <w:noProof/>
            <w:webHidden/>
          </w:rPr>
          <w:instrText xml:space="preserve"> PAGEREF _Toc495328441 \h </w:instrText>
        </w:r>
        <w:r w:rsidRPr="005E0053">
          <w:rPr>
            <w:rFonts w:ascii="Arial" w:hAnsi="Arial" w:cs="Arial"/>
            <w:noProof/>
            <w:webHidden/>
          </w:rPr>
        </w:r>
        <w:r w:rsidRPr="005E0053">
          <w:rPr>
            <w:rFonts w:ascii="Arial" w:hAnsi="Arial" w:cs="Arial"/>
            <w:noProof/>
            <w:webHidden/>
          </w:rPr>
          <w:fldChar w:fldCharType="separate"/>
        </w:r>
        <w:r w:rsidR="00465ECC">
          <w:rPr>
            <w:rFonts w:ascii="Arial" w:hAnsi="Arial" w:cs="Arial"/>
            <w:noProof/>
            <w:webHidden/>
          </w:rPr>
          <w:t>13</w:t>
        </w:r>
        <w:r w:rsidRPr="005E0053">
          <w:rPr>
            <w:rFonts w:ascii="Arial" w:hAnsi="Arial" w:cs="Arial"/>
            <w:noProof/>
            <w:webHidden/>
          </w:rPr>
          <w:fldChar w:fldCharType="end"/>
        </w:r>
      </w:hyperlink>
    </w:p>
    <w:p w14:paraId="50D0961B" w14:textId="19636796" w:rsidR="0003757C" w:rsidRPr="005E0053" w:rsidRDefault="0003757C" w:rsidP="00261292">
      <w:pPr>
        <w:pStyle w:val="TableofFigures"/>
        <w:tabs>
          <w:tab w:val="right" w:leader="dot" w:pos="9350"/>
        </w:tabs>
        <w:spacing w:after="120"/>
        <w:ind w:left="360" w:hanging="360"/>
        <w:rPr>
          <w:rStyle w:val="Hyperlink"/>
          <w:rFonts w:ascii="Arial" w:hAnsi="Arial" w:cs="Arial"/>
          <w:noProof/>
        </w:rPr>
      </w:pPr>
      <w:r w:rsidRPr="005E0053">
        <w:rPr>
          <w:rFonts w:ascii="Arial" w:hAnsi="Arial" w:cs="Arial"/>
          <w:noProof/>
        </w:rPr>
        <w:fldChar w:fldCharType="begin"/>
      </w:r>
      <w:r w:rsidRPr="005E0053">
        <w:rPr>
          <w:rFonts w:ascii="Arial" w:hAnsi="Arial" w:cs="Arial"/>
          <w:noProof/>
        </w:rPr>
        <w:instrText xml:space="preserve"> HYPERLINK \l "_Toc495328442" </w:instrText>
      </w:r>
      <w:r w:rsidRPr="005E0053">
        <w:rPr>
          <w:rFonts w:ascii="Arial" w:hAnsi="Arial" w:cs="Arial"/>
          <w:noProof/>
        </w:rPr>
      </w:r>
      <w:r w:rsidRPr="005E0053">
        <w:rPr>
          <w:rFonts w:ascii="Arial" w:hAnsi="Arial" w:cs="Arial"/>
          <w:noProof/>
        </w:rPr>
        <w:fldChar w:fldCharType="separate"/>
      </w:r>
      <w:r w:rsidR="00705CE8" w:rsidRPr="005E0053">
        <w:rPr>
          <w:rStyle w:val="Hyperlink"/>
          <w:rFonts w:ascii="Arial" w:hAnsi="Arial" w:cs="Arial"/>
          <w:noProof/>
        </w:rPr>
        <w:t>Figure 3. Number of Migratory Children Recruited in California, by Originating Location,</w:t>
      </w:r>
    </w:p>
    <w:p w14:paraId="6D1B5F86" w14:textId="5BE36693" w:rsidR="00705CE8" w:rsidRPr="00F62746" w:rsidRDefault="0003757C" w:rsidP="00261292">
      <w:pPr>
        <w:pStyle w:val="TableofFigures"/>
        <w:tabs>
          <w:tab w:val="right" w:leader="dot" w:pos="9350"/>
        </w:tabs>
        <w:spacing w:after="120"/>
        <w:ind w:left="360"/>
        <w:rPr>
          <w:rFonts w:ascii="Arial" w:eastAsia="Times New Roman" w:hAnsi="Arial" w:cs="Arial"/>
          <w:noProof/>
        </w:rPr>
      </w:pPr>
      <w:r w:rsidRPr="005E0053">
        <w:rPr>
          <w:rStyle w:val="Hyperlink"/>
          <w:rFonts w:ascii="Arial" w:hAnsi="Arial" w:cs="Arial"/>
          <w:noProof/>
        </w:rPr>
        <w:t>2013–14</w:t>
      </w:r>
      <w:r w:rsidR="00705CE8" w:rsidRPr="005E0053">
        <w:rPr>
          <w:rFonts w:ascii="Arial" w:hAnsi="Arial" w:cs="Arial"/>
          <w:noProof/>
          <w:webHidden/>
        </w:rPr>
        <w:tab/>
      </w:r>
      <w:r w:rsidR="00705CE8" w:rsidRPr="005E0053">
        <w:rPr>
          <w:rFonts w:ascii="Arial" w:hAnsi="Arial" w:cs="Arial"/>
          <w:noProof/>
          <w:webHidden/>
        </w:rPr>
        <w:fldChar w:fldCharType="begin"/>
      </w:r>
      <w:r w:rsidR="00705CE8" w:rsidRPr="005E0053">
        <w:rPr>
          <w:rFonts w:ascii="Arial" w:hAnsi="Arial" w:cs="Arial"/>
          <w:noProof/>
          <w:webHidden/>
        </w:rPr>
        <w:instrText xml:space="preserve"> PAGEREF _Toc495328442 \h </w:instrText>
      </w:r>
      <w:r w:rsidR="00705CE8" w:rsidRPr="005E0053">
        <w:rPr>
          <w:rFonts w:ascii="Arial" w:hAnsi="Arial" w:cs="Arial"/>
          <w:noProof/>
          <w:webHidden/>
        </w:rPr>
      </w:r>
      <w:r w:rsidR="00705CE8" w:rsidRPr="005E0053">
        <w:rPr>
          <w:rFonts w:ascii="Arial" w:hAnsi="Arial" w:cs="Arial"/>
          <w:noProof/>
          <w:webHidden/>
        </w:rPr>
        <w:fldChar w:fldCharType="separate"/>
      </w:r>
      <w:r w:rsidR="00465ECC">
        <w:rPr>
          <w:rFonts w:ascii="Arial" w:hAnsi="Arial" w:cs="Arial"/>
          <w:noProof/>
          <w:webHidden/>
        </w:rPr>
        <w:t>13</w:t>
      </w:r>
      <w:r w:rsidR="00705CE8" w:rsidRPr="005E0053">
        <w:rPr>
          <w:rFonts w:ascii="Arial" w:hAnsi="Arial" w:cs="Arial"/>
          <w:noProof/>
          <w:webHidden/>
        </w:rPr>
        <w:fldChar w:fldCharType="end"/>
      </w:r>
      <w:r w:rsidRPr="005E0053">
        <w:rPr>
          <w:rFonts w:ascii="Arial" w:hAnsi="Arial" w:cs="Arial"/>
          <w:noProof/>
        </w:rPr>
        <w:fldChar w:fldCharType="end"/>
      </w:r>
    </w:p>
    <w:p w14:paraId="4E2C9017" w14:textId="114BC8CF" w:rsidR="00705CE8" w:rsidRPr="00F62746" w:rsidRDefault="00705CE8" w:rsidP="00261292">
      <w:pPr>
        <w:pStyle w:val="TableofFigures"/>
        <w:tabs>
          <w:tab w:val="right" w:leader="dot" w:pos="9350"/>
        </w:tabs>
        <w:spacing w:after="120"/>
        <w:ind w:left="360" w:hanging="360"/>
        <w:rPr>
          <w:rFonts w:ascii="Arial" w:eastAsia="Times New Roman" w:hAnsi="Arial" w:cs="Arial"/>
          <w:noProof/>
        </w:rPr>
      </w:pPr>
      <w:hyperlink w:anchor="_Toc495328443" w:history="1">
        <w:r w:rsidRPr="005E0053">
          <w:rPr>
            <w:rStyle w:val="Hyperlink"/>
            <w:rFonts w:ascii="Arial" w:hAnsi="Arial" w:cs="Arial"/>
            <w:noProof/>
          </w:rPr>
          <w:t>Figure 4. Migrant Education Program Subgrantee Program Areas</w:t>
        </w:r>
        <w:r w:rsidRPr="005E0053">
          <w:rPr>
            <w:rFonts w:ascii="Arial" w:hAnsi="Arial" w:cs="Arial"/>
            <w:noProof/>
            <w:webHidden/>
          </w:rPr>
          <w:tab/>
        </w:r>
        <w:r w:rsidRPr="005E0053">
          <w:rPr>
            <w:rFonts w:ascii="Arial" w:hAnsi="Arial" w:cs="Arial"/>
            <w:noProof/>
            <w:webHidden/>
          </w:rPr>
          <w:fldChar w:fldCharType="begin"/>
        </w:r>
        <w:r w:rsidRPr="005E0053">
          <w:rPr>
            <w:rFonts w:ascii="Arial" w:hAnsi="Arial" w:cs="Arial"/>
            <w:noProof/>
            <w:webHidden/>
          </w:rPr>
          <w:instrText xml:space="preserve"> PAGEREF _Toc495328443 \h </w:instrText>
        </w:r>
        <w:r w:rsidRPr="005E0053">
          <w:rPr>
            <w:rFonts w:ascii="Arial" w:hAnsi="Arial" w:cs="Arial"/>
            <w:noProof/>
            <w:webHidden/>
          </w:rPr>
        </w:r>
        <w:r w:rsidRPr="005E0053">
          <w:rPr>
            <w:rFonts w:ascii="Arial" w:hAnsi="Arial" w:cs="Arial"/>
            <w:noProof/>
            <w:webHidden/>
          </w:rPr>
          <w:fldChar w:fldCharType="separate"/>
        </w:r>
        <w:r w:rsidR="00465ECC">
          <w:rPr>
            <w:rFonts w:ascii="Arial" w:hAnsi="Arial" w:cs="Arial"/>
            <w:noProof/>
            <w:webHidden/>
          </w:rPr>
          <w:t>15</w:t>
        </w:r>
        <w:r w:rsidRPr="005E0053">
          <w:rPr>
            <w:rFonts w:ascii="Arial" w:hAnsi="Arial" w:cs="Arial"/>
            <w:noProof/>
            <w:webHidden/>
          </w:rPr>
          <w:fldChar w:fldCharType="end"/>
        </w:r>
      </w:hyperlink>
    </w:p>
    <w:p w14:paraId="1EA0984D" w14:textId="77777777" w:rsidR="008C68F6" w:rsidRPr="005E0053" w:rsidRDefault="00DC5C7D" w:rsidP="00EC06D4">
      <w:pPr>
        <w:pStyle w:val="Heading3"/>
        <w:spacing w:before="240"/>
      </w:pPr>
      <w:r w:rsidRPr="005E0053">
        <w:fldChar w:fldCharType="end"/>
      </w:r>
      <w:bookmarkStart w:id="1" w:name="_Toc504520839"/>
      <w:r w:rsidR="008C68F6" w:rsidRPr="005E0053">
        <w:t>List of Tables</w:t>
      </w:r>
      <w:bookmarkEnd w:id="1"/>
    </w:p>
    <w:p w14:paraId="47F33A71" w14:textId="30AD27E8" w:rsidR="0004661B" w:rsidRPr="0004661B" w:rsidRDefault="008C68F6" w:rsidP="0004661B">
      <w:pPr>
        <w:pStyle w:val="TableofFigures"/>
        <w:tabs>
          <w:tab w:val="right" w:leader="dot" w:pos="9350"/>
        </w:tabs>
        <w:spacing w:after="240"/>
        <w:rPr>
          <w:rFonts w:ascii="Arial" w:eastAsiaTheme="minorEastAsia" w:hAnsi="Arial" w:cs="Arial"/>
          <w:noProof/>
          <w:sz w:val="22"/>
          <w:szCs w:val="22"/>
        </w:rPr>
      </w:pPr>
      <w:r w:rsidRPr="00261292">
        <w:rPr>
          <w:rFonts w:ascii="Arial" w:hAnsi="Arial" w:cs="Arial"/>
        </w:rPr>
        <w:fldChar w:fldCharType="begin"/>
      </w:r>
      <w:r w:rsidRPr="00261292">
        <w:rPr>
          <w:rFonts w:ascii="Arial" w:hAnsi="Arial" w:cs="Arial"/>
        </w:rPr>
        <w:instrText xml:space="preserve"> TOC \h \z \c "Table" </w:instrText>
      </w:r>
      <w:r w:rsidRPr="00261292">
        <w:rPr>
          <w:rFonts w:ascii="Arial" w:hAnsi="Arial" w:cs="Arial"/>
        </w:rPr>
        <w:fldChar w:fldCharType="separate"/>
      </w:r>
      <w:hyperlink w:anchor="_Toc101961093" w:history="1">
        <w:r w:rsidR="0004661B" w:rsidRPr="0004661B">
          <w:rPr>
            <w:rStyle w:val="Hyperlink"/>
            <w:rFonts w:ascii="Arial" w:hAnsi="Arial" w:cs="Arial"/>
            <w:noProof/>
          </w:rPr>
          <w:t>Table 1. Number of Migratory Student Classified as Priority for Service, 2010–11 to 2015–16</w:t>
        </w:r>
        <w:r w:rsidR="0004661B" w:rsidRPr="0004661B">
          <w:rPr>
            <w:rFonts w:ascii="Arial" w:hAnsi="Arial" w:cs="Arial"/>
            <w:noProof/>
            <w:webHidden/>
          </w:rPr>
          <w:tab/>
        </w:r>
        <w:r w:rsidR="0004661B" w:rsidRPr="0004661B">
          <w:rPr>
            <w:rFonts w:ascii="Arial" w:hAnsi="Arial" w:cs="Arial"/>
            <w:noProof/>
            <w:webHidden/>
          </w:rPr>
          <w:fldChar w:fldCharType="begin"/>
        </w:r>
        <w:r w:rsidR="0004661B" w:rsidRPr="0004661B">
          <w:rPr>
            <w:rFonts w:ascii="Arial" w:hAnsi="Arial" w:cs="Arial"/>
            <w:noProof/>
            <w:webHidden/>
          </w:rPr>
          <w:instrText xml:space="preserve"> PAGEREF _Toc101961093 \h </w:instrText>
        </w:r>
        <w:r w:rsidR="0004661B" w:rsidRPr="0004661B">
          <w:rPr>
            <w:rFonts w:ascii="Arial" w:hAnsi="Arial" w:cs="Arial"/>
            <w:noProof/>
            <w:webHidden/>
          </w:rPr>
        </w:r>
        <w:r w:rsidR="0004661B" w:rsidRPr="0004661B">
          <w:rPr>
            <w:rFonts w:ascii="Arial" w:hAnsi="Arial" w:cs="Arial"/>
            <w:noProof/>
            <w:webHidden/>
          </w:rPr>
          <w:fldChar w:fldCharType="separate"/>
        </w:r>
        <w:r w:rsidR="00465ECC">
          <w:rPr>
            <w:rFonts w:ascii="Arial" w:hAnsi="Arial" w:cs="Arial"/>
            <w:noProof/>
            <w:webHidden/>
          </w:rPr>
          <w:t>14</w:t>
        </w:r>
        <w:r w:rsidR="0004661B" w:rsidRPr="0004661B">
          <w:rPr>
            <w:rFonts w:ascii="Arial" w:hAnsi="Arial" w:cs="Arial"/>
            <w:noProof/>
            <w:webHidden/>
          </w:rPr>
          <w:fldChar w:fldCharType="end"/>
        </w:r>
      </w:hyperlink>
    </w:p>
    <w:p w14:paraId="5915E7A1" w14:textId="07FBE72F"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094" w:history="1">
        <w:r w:rsidRPr="0004661B">
          <w:rPr>
            <w:rStyle w:val="Hyperlink"/>
            <w:rFonts w:ascii="Arial" w:hAnsi="Arial" w:cs="Arial"/>
            <w:noProof/>
            <w:u w:val="none"/>
          </w:rPr>
          <w:t>Table 2. Planning Team Members</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_Toc101961094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16</w:t>
        </w:r>
        <w:r w:rsidRPr="0004661B">
          <w:rPr>
            <w:rFonts w:ascii="Arial" w:hAnsi="Arial" w:cs="Arial"/>
            <w:noProof/>
            <w:webHidden/>
          </w:rPr>
          <w:fldChar w:fldCharType="end"/>
        </w:r>
      </w:hyperlink>
    </w:p>
    <w:p w14:paraId="3863EF85" w14:textId="750A3663"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095" w:history="1">
        <w:r w:rsidRPr="0004661B">
          <w:rPr>
            <w:rStyle w:val="Hyperlink"/>
            <w:rFonts w:ascii="Arial" w:hAnsi="Arial" w:cs="Arial"/>
            <w:noProof/>
          </w:rPr>
          <w:t>Table 3. Comprehensive Needs Assessment and State Service Delivery Plan Project Timeline</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_Toc101961095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16</w:t>
        </w:r>
        <w:r w:rsidRPr="0004661B">
          <w:rPr>
            <w:rFonts w:ascii="Arial" w:hAnsi="Arial" w:cs="Arial"/>
            <w:noProof/>
            <w:webHidden/>
          </w:rPr>
          <w:fldChar w:fldCharType="end"/>
        </w:r>
      </w:hyperlink>
    </w:p>
    <w:p w14:paraId="6CE88799" w14:textId="385D206E"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096" w:history="1">
        <w:r w:rsidRPr="0004661B">
          <w:rPr>
            <w:rStyle w:val="Hyperlink"/>
            <w:rFonts w:ascii="Arial" w:hAnsi="Arial" w:cs="Arial"/>
            <w:noProof/>
          </w:rPr>
          <w:t>Table 4. Data Summary, Concern Statement, and Need Statement for Overall English Language Arts Achievement</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_Toc101961096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21</w:t>
        </w:r>
        <w:r w:rsidRPr="0004661B">
          <w:rPr>
            <w:rFonts w:ascii="Arial" w:hAnsi="Arial" w:cs="Arial"/>
            <w:noProof/>
            <w:webHidden/>
          </w:rPr>
          <w:fldChar w:fldCharType="end"/>
        </w:r>
      </w:hyperlink>
    </w:p>
    <w:p w14:paraId="2FA6E0F5" w14:textId="03EDE17E"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097" w:history="1">
        <w:r w:rsidRPr="0004661B">
          <w:rPr>
            <w:rStyle w:val="Hyperlink"/>
            <w:rFonts w:ascii="Arial" w:hAnsi="Arial" w:cs="Arial"/>
            <w:noProof/>
          </w:rPr>
          <w:t>Table 5. Data Summary, Concern Statement, and Need Statement for Claim 1 - Reading Achievement</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_Toc101961097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22</w:t>
        </w:r>
        <w:r w:rsidRPr="0004661B">
          <w:rPr>
            <w:rFonts w:ascii="Arial" w:hAnsi="Arial" w:cs="Arial"/>
            <w:noProof/>
            <w:webHidden/>
          </w:rPr>
          <w:fldChar w:fldCharType="end"/>
        </w:r>
      </w:hyperlink>
    </w:p>
    <w:p w14:paraId="3010F1E5" w14:textId="1320385E"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098" w:history="1">
        <w:r w:rsidRPr="0004661B">
          <w:rPr>
            <w:rStyle w:val="Hyperlink"/>
            <w:rFonts w:ascii="Arial" w:hAnsi="Arial" w:cs="Arial"/>
            <w:noProof/>
          </w:rPr>
          <w:t>Table 6. Data Summary, Concern Statement, and Need Statement for Claim 2 – Writing</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_Toc101961098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22</w:t>
        </w:r>
        <w:r w:rsidRPr="0004661B">
          <w:rPr>
            <w:rFonts w:ascii="Arial" w:hAnsi="Arial" w:cs="Arial"/>
            <w:noProof/>
            <w:webHidden/>
          </w:rPr>
          <w:fldChar w:fldCharType="end"/>
        </w:r>
      </w:hyperlink>
    </w:p>
    <w:p w14:paraId="151C9E55" w14:textId="18AC62A0"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099" w:history="1">
        <w:r w:rsidRPr="0004661B">
          <w:rPr>
            <w:rStyle w:val="Hyperlink"/>
            <w:rFonts w:ascii="Arial" w:hAnsi="Arial" w:cs="Arial"/>
            <w:noProof/>
          </w:rPr>
          <w:t>Table 7. Data Summary, Concern Statement, and Need Statement for Overall Mathematics Achievement</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_Toc101961099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23</w:t>
        </w:r>
        <w:r w:rsidRPr="0004661B">
          <w:rPr>
            <w:rFonts w:ascii="Arial" w:hAnsi="Arial" w:cs="Arial"/>
            <w:noProof/>
            <w:webHidden/>
          </w:rPr>
          <w:fldChar w:fldCharType="end"/>
        </w:r>
      </w:hyperlink>
    </w:p>
    <w:p w14:paraId="05F2E8F1" w14:textId="32D1AD62"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0" w:history="1">
        <w:r w:rsidRPr="0004661B">
          <w:rPr>
            <w:rStyle w:val="Hyperlink"/>
            <w:rFonts w:ascii="Arial" w:hAnsi="Arial" w:cs="Arial"/>
            <w:noProof/>
          </w:rPr>
          <w:t>Table 8. Data Summary, Concern Statement, and Need Statement for Claim 2 - Problem Solving and Modeling Data</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_Toc101961100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24</w:t>
        </w:r>
        <w:r w:rsidRPr="0004661B">
          <w:rPr>
            <w:rFonts w:ascii="Arial" w:hAnsi="Arial" w:cs="Arial"/>
            <w:noProof/>
            <w:webHidden/>
          </w:rPr>
          <w:fldChar w:fldCharType="end"/>
        </w:r>
      </w:hyperlink>
    </w:p>
    <w:p w14:paraId="52DF12A8" w14:textId="2F85186F"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1" w:history="1">
        <w:r w:rsidRPr="0004661B">
          <w:rPr>
            <w:rStyle w:val="Hyperlink"/>
            <w:rFonts w:ascii="Arial" w:hAnsi="Arial" w:cs="Arial"/>
            <w:noProof/>
          </w:rPr>
          <w:t>Table 9. Data Summary, Concern Statement, and Need Statement for Math Claim 1 - Concepts and Procedures</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_Toc101961101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25</w:t>
        </w:r>
        <w:r w:rsidRPr="0004661B">
          <w:rPr>
            <w:rFonts w:ascii="Arial" w:hAnsi="Arial" w:cs="Arial"/>
            <w:noProof/>
            <w:webHidden/>
          </w:rPr>
          <w:fldChar w:fldCharType="end"/>
        </w:r>
      </w:hyperlink>
    </w:p>
    <w:p w14:paraId="52DB9E35" w14:textId="578C1A03"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2" w:history="1">
        <w:r w:rsidRPr="0004661B">
          <w:rPr>
            <w:rStyle w:val="Hyperlink"/>
            <w:rFonts w:ascii="Arial" w:hAnsi="Arial" w:cs="Arial"/>
            <w:noProof/>
          </w:rPr>
          <w:t>Table 10. Data Summary, Concern Statement, and Need Statement for English Language Development</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_Toc101961102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27</w:t>
        </w:r>
        <w:r w:rsidRPr="0004661B">
          <w:rPr>
            <w:rFonts w:ascii="Arial" w:hAnsi="Arial" w:cs="Arial"/>
            <w:noProof/>
            <w:webHidden/>
          </w:rPr>
          <w:fldChar w:fldCharType="end"/>
        </w:r>
      </w:hyperlink>
    </w:p>
    <w:p w14:paraId="4E5135AA" w14:textId="6C9A5590"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3" w:history="1">
        <w:r w:rsidRPr="0004661B">
          <w:rPr>
            <w:rStyle w:val="Hyperlink"/>
            <w:rFonts w:ascii="Arial" w:hAnsi="Arial" w:cs="Arial"/>
            <w:noProof/>
          </w:rPr>
          <w:t>Table 11. Data Summary, Concern Statement, and Need Statement for High School Graduation</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_Toc101961103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28</w:t>
        </w:r>
        <w:r w:rsidRPr="0004661B">
          <w:rPr>
            <w:rFonts w:ascii="Arial" w:hAnsi="Arial" w:cs="Arial"/>
            <w:noProof/>
            <w:webHidden/>
          </w:rPr>
          <w:fldChar w:fldCharType="end"/>
        </w:r>
      </w:hyperlink>
    </w:p>
    <w:p w14:paraId="1C848F81" w14:textId="4546EB5B"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4" w:history="1">
        <w:r w:rsidRPr="0004661B">
          <w:rPr>
            <w:rStyle w:val="Hyperlink"/>
            <w:rFonts w:ascii="Arial" w:hAnsi="Arial" w:cs="Arial"/>
            <w:noProof/>
          </w:rPr>
          <w:t>Table 12. Data Summary, Concern Statement, and Need Statement for High School Dropout Rate</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_Toc101961104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29</w:t>
        </w:r>
        <w:r w:rsidRPr="0004661B">
          <w:rPr>
            <w:rFonts w:ascii="Arial" w:hAnsi="Arial" w:cs="Arial"/>
            <w:noProof/>
            <w:webHidden/>
          </w:rPr>
          <w:fldChar w:fldCharType="end"/>
        </w:r>
      </w:hyperlink>
    </w:p>
    <w:p w14:paraId="24820C0D" w14:textId="5E62D2C8"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5" w:history="1">
        <w:r w:rsidRPr="0004661B">
          <w:rPr>
            <w:rStyle w:val="Hyperlink"/>
            <w:rFonts w:ascii="Arial" w:hAnsi="Arial" w:cs="Arial"/>
            <w:noProof/>
          </w:rPr>
          <w:t>Table 13. Data Summary, Concern Statement, and Need Statement for School Readiness: Primary and Secondary Language Development</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_Toc101961105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29</w:t>
        </w:r>
        <w:r w:rsidRPr="0004661B">
          <w:rPr>
            <w:rFonts w:ascii="Arial" w:hAnsi="Arial" w:cs="Arial"/>
            <w:noProof/>
            <w:webHidden/>
          </w:rPr>
          <w:fldChar w:fldCharType="end"/>
        </w:r>
      </w:hyperlink>
    </w:p>
    <w:p w14:paraId="2C150D70" w14:textId="7D0407F8"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6" w:history="1">
        <w:r w:rsidRPr="0004661B">
          <w:rPr>
            <w:rStyle w:val="Hyperlink"/>
            <w:rFonts w:ascii="Arial" w:hAnsi="Arial" w:cs="Arial"/>
            <w:noProof/>
          </w:rPr>
          <w:t>Table 14. Data Summary, Concern Statement, and Need Statement for School Readiness: Social Emotional Maturity</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_Toc101961106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30</w:t>
        </w:r>
        <w:r w:rsidRPr="0004661B">
          <w:rPr>
            <w:rFonts w:ascii="Arial" w:hAnsi="Arial" w:cs="Arial"/>
            <w:noProof/>
            <w:webHidden/>
          </w:rPr>
          <w:fldChar w:fldCharType="end"/>
        </w:r>
      </w:hyperlink>
    </w:p>
    <w:p w14:paraId="3EB15CCD" w14:textId="7A770E5E"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7" w:history="1">
        <w:r w:rsidRPr="0004661B">
          <w:rPr>
            <w:rStyle w:val="Hyperlink"/>
            <w:rFonts w:ascii="Arial" w:hAnsi="Arial" w:cs="Arial"/>
            <w:noProof/>
          </w:rPr>
          <w:t>Table 15. Data Summary, Concern Statement, and Need Statement for OSY Health Services</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_Toc101961107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31</w:t>
        </w:r>
        <w:r w:rsidRPr="0004661B">
          <w:rPr>
            <w:rFonts w:ascii="Arial" w:hAnsi="Arial" w:cs="Arial"/>
            <w:noProof/>
            <w:webHidden/>
          </w:rPr>
          <w:fldChar w:fldCharType="end"/>
        </w:r>
      </w:hyperlink>
    </w:p>
    <w:p w14:paraId="3541F984" w14:textId="0C109C80"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8" w:history="1">
        <w:r w:rsidRPr="0004661B">
          <w:rPr>
            <w:rStyle w:val="Hyperlink"/>
            <w:rFonts w:ascii="Arial" w:hAnsi="Arial" w:cs="Arial"/>
            <w:noProof/>
          </w:rPr>
          <w:t>Table 16. Data Summary, Concern Statement, and Need Statement for OSY Literacy</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_Toc101961108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31</w:t>
        </w:r>
        <w:r w:rsidRPr="0004661B">
          <w:rPr>
            <w:rFonts w:ascii="Arial" w:hAnsi="Arial" w:cs="Arial"/>
            <w:noProof/>
            <w:webHidden/>
          </w:rPr>
          <w:fldChar w:fldCharType="end"/>
        </w:r>
      </w:hyperlink>
    </w:p>
    <w:p w14:paraId="3F0E1D03" w14:textId="5B86E2C1"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09" w:history="1">
        <w:r w:rsidRPr="0004661B">
          <w:rPr>
            <w:rStyle w:val="Hyperlink"/>
            <w:rFonts w:ascii="Arial" w:hAnsi="Arial" w:cs="Arial"/>
            <w:noProof/>
          </w:rPr>
          <w:t>Table 17. Data Summary, Concern Statement, and Need Statement for Mental Health Services</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_Toc101961109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32</w:t>
        </w:r>
        <w:r w:rsidRPr="0004661B">
          <w:rPr>
            <w:rFonts w:ascii="Arial" w:hAnsi="Arial" w:cs="Arial"/>
            <w:noProof/>
            <w:webHidden/>
          </w:rPr>
          <w:fldChar w:fldCharType="end"/>
        </w:r>
      </w:hyperlink>
    </w:p>
    <w:p w14:paraId="1B7BD0B0" w14:textId="46400641"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0" w:history="1">
        <w:r w:rsidRPr="0004661B">
          <w:rPr>
            <w:rStyle w:val="Hyperlink"/>
            <w:rFonts w:ascii="Arial" w:hAnsi="Arial" w:cs="Arial"/>
            <w:noProof/>
          </w:rPr>
          <w:t>Table 18. Data Summary, Concern Statement, and Need Statement for Parent and Family Engagement: Capacity Building</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_Toc101961110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33</w:t>
        </w:r>
        <w:r w:rsidRPr="0004661B">
          <w:rPr>
            <w:rFonts w:ascii="Arial" w:hAnsi="Arial" w:cs="Arial"/>
            <w:noProof/>
            <w:webHidden/>
          </w:rPr>
          <w:fldChar w:fldCharType="end"/>
        </w:r>
      </w:hyperlink>
    </w:p>
    <w:p w14:paraId="7801A62F" w14:textId="7191CDE3"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1" w:history="1">
        <w:r w:rsidRPr="0004661B">
          <w:rPr>
            <w:rStyle w:val="Hyperlink"/>
            <w:rFonts w:ascii="Arial" w:hAnsi="Arial" w:cs="Arial"/>
            <w:noProof/>
          </w:rPr>
          <w:t>Table 19. Data Summary, Concern Statement, and Need Statement for Student Engagement: Self and Cultural Pride</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_Toc101961111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33</w:t>
        </w:r>
        <w:r w:rsidRPr="0004661B">
          <w:rPr>
            <w:rFonts w:ascii="Arial" w:hAnsi="Arial" w:cs="Arial"/>
            <w:noProof/>
            <w:webHidden/>
          </w:rPr>
          <w:fldChar w:fldCharType="end"/>
        </w:r>
      </w:hyperlink>
    </w:p>
    <w:p w14:paraId="72514664" w14:textId="57A742C7"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2" w:history="1">
        <w:r w:rsidRPr="0004661B">
          <w:rPr>
            <w:rStyle w:val="Hyperlink"/>
            <w:rFonts w:ascii="Arial" w:hAnsi="Arial" w:cs="Arial"/>
            <w:noProof/>
          </w:rPr>
          <w:t>Table 20. Strategies and Measurable Program Objectives Increasing Overall ELA Achievement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_Toc101961112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39</w:t>
        </w:r>
        <w:r w:rsidRPr="0004661B">
          <w:rPr>
            <w:rFonts w:ascii="Arial" w:hAnsi="Arial" w:cs="Arial"/>
            <w:noProof/>
            <w:webHidden/>
          </w:rPr>
          <w:fldChar w:fldCharType="end"/>
        </w:r>
      </w:hyperlink>
    </w:p>
    <w:p w14:paraId="33066B22" w14:textId="5F6F3DFD"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3" w:history="1">
        <w:r w:rsidRPr="0004661B">
          <w:rPr>
            <w:rStyle w:val="Hyperlink"/>
            <w:rFonts w:ascii="Arial" w:hAnsi="Arial" w:cs="Arial"/>
            <w:noProof/>
          </w:rPr>
          <w:t>Table 21. Strategies and Measurable Program Objectives for Increasing Overall Math Achievement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_Toc101961113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41</w:t>
        </w:r>
        <w:r w:rsidRPr="0004661B">
          <w:rPr>
            <w:rFonts w:ascii="Arial" w:hAnsi="Arial" w:cs="Arial"/>
            <w:noProof/>
            <w:webHidden/>
          </w:rPr>
          <w:fldChar w:fldCharType="end"/>
        </w:r>
      </w:hyperlink>
    </w:p>
    <w:p w14:paraId="1848B41F" w14:textId="73959AAF"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4" w:history="1">
        <w:r w:rsidRPr="0004661B">
          <w:rPr>
            <w:rStyle w:val="Hyperlink"/>
            <w:rFonts w:ascii="Arial" w:hAnsi="Arial" w:cs="Arial"/>
            <w:noProof/>
          </w:rPr>
          <w:t>Table 22. Strategies and Measurable Program Objectives for Increasing English Language Proficiency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_Toc101961114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44</w:t>
        </w:r>
        <w:r w:rsidRPr="0004661B">
          <w:rPr>
            <w:rFonts w:ascii="Arial" w:hAnsi="Arial" w:cs="Arial"/>
            <w:noProof/>
            <w:webHidden/>
          </w:rPr>
          <w:fldChar w:fldCharType="end"/>
        </w:r>
      </w:hyperlink>
    </w:p>
    <w:p w14:paraId="3832C8A7" w14:textId="18D9D161"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5" w:history="1">
        <w:r w:rsidRPr="0004661B">
          <w:rPr>
            <w:rStyle w:val="Hyperlink"/>
            <w:rFonts w:ascii="Arial" w:hAnsi="Arial" w:cs="Arial"/>
            <w:noProof/>
          </w:rPr>
          <w:t>Table 23. Strategies and Measurable Program Objectives for Increasing the High School Graduation Rate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_Toc101961115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45</w:t>
        </w:r>
        <w:r w:rsidRPr="0004661B">
          <w:rPr>
            <w:rFonts w:ascii="Arial" w:hAnsi="Arial" w:cs="Arial"/>
            <w:noProof/>
            <w:webHidden/>
          </w:rPr>
          <w:fldChar w:fldCharType="end"/>
        </w:r>
      </w:hyperlink>
    </w:p>
    <w:p w14:paraId="0F487BC6" w14:textId="064186D7"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6" w:history="1">
        <w:r w:rsidRPr="0004661B">
          <w:rPr>
            <w:rStyle w:val="Hyperlink"/>
            <w:rFonts w:ascii="Arial" w:hAnsi="Arial" w:cs="Arial"/>
            <w:noProof/>
          </w:rPr>
          <w:t>Table 24. Strategies and Measurable Program Objectives for Decreasing the High School Dropout Rate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_Toc101961116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46</w:t>
        </w:r>
        <w:r w:rsidRPr="0004661B">
          <w:rPr>
            <w:rFonts w:ascii="Arial" w:hAnsi="Arial" w:cs="Arial"/>
            <w:noProof/>
            <w:webHidden/>
          </w:rPr>
          <w:fldChar w:fldCharType="end"/>
        </w:r>
      </w:hyperlink>
    </w:p>
    <w:p w14:paraId="6AC10AE2" w14:textId="18146638"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7" w:history="1">
        <w:r w:rsidRPr="0004661B">
          <w:rPr>
            <w:rStyle w:val="Hyperlink"/>
            <w:rFonts w:ascii="Arial" w:hAnsi="Arial" w:cs="Arial"/>
            <w:noProof/>
          </w:rPr>
          <w:t>Table 25. Strategies and Measurable Program Objectives for Increasing Language Skills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_Toc101961117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48</w:t>
        </w:r>
        <w:r w:rsidRPr="0004661B">
          <w:rPr>
            <w:rFonts w:ascii="Arial" w:hAnsi="Arial" w:cs="Arial"/>
            <w:noProof/>
            <w:webHidden/>
          </w:rPr>
          <w:fldChar w:fldCharType="end"/>
        </w:r>
      </w:hyperlink>
    </w:p>
    <w:p w14:paraId="0ACB6389" w14:textId="795C0784"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8" w:history="1">
        <w:r w:rsidRPr="0004661B">
          <w:rPr>
            <w:rStyle w:val="Hyperlink"/>
            <w:rFonts w:ascii="Arial" w:hAnsi="Arial" w:cs="Arial"/>
            <w:noProof/>
          </w:rPr>
          <w:t>Table 26. Strategies and Measurable Program Objectives for Increasing Social Emotional Maturity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_Toc101961118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49</w:t>
        </w:r>
        <w:r w:rsidRPr="0004661B">
          <w:rPr>
            <w:rFonts w:ascii="Arial" w:hAnsi="Arial" w:cs="Arial"/>
            <w:noProof/>
            <w:webHidden/>
          </w:rPr>
          <w:fldChar w:fldCharType="end"/>
        </w:r>
      </w:hyperlink>
    </w:p>
    <w:p w14:paraId="37B633AB" w14:textId="546AA3FA"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19" w:history="1">
        <w:r w:rsidRPr="0004661B">
          <w:rPr>
            <w:rStyle w:val="Hyperlink"/>
            <w:rFonts w:ascii="Arial" w:hAnsi="Arial" w:cs="Arial"/>
            <w:noProof/>
          </w:rPr>
          <w:t>Table 27. Strategies and Measurable Program Objectives for OSY Access to Health Services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_Toc101961119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51</w:t>
        </w:r>
        <w:r w:rsidRPr="0004661B">
          <w:rPr>
            <w:rFonts w:ascii="Arial" w:hAnsi="Arial" w:cs="Arial"/>
            <w:noProof/>
            <w:webHidden/>
          </w:rPr>
          <w:fldChar w:fldCharType="end"/>
        </w:r>
      </w:hyperlink>
    </w:p>
    <w:p w14:paraId="63E90A19" w14:textId="2740A009"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0" w:history="1">
        <w:r w:rsidRPr="0004661B">
          <w:rPr>
            <w:rStyle w:val="Hyperlink"/>
            <w:rFonts w:ascii="Arial" w:hAnsi="Arial" w:cs="Arial"/>
            <w:noProof/>
          </w:rPr>
          <w:t>Table 28. Strategies and Measurable Program Objectives for Increasing OSY Literacy Skills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_Toc101961120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52</w:t>
        </w:r>
        <w:r w:rsidRPr="0004661B">
          <w:rPr>
            <w:rFonts w:ascii="Arial" w:hAnsi="Arial" w:cs="Arial"/>
            <w:noProof/>
            <w:webHidden/>
          </w:rPr>
          <w:fldChar w:fldCharType="end"/>
        </w:r>
      </w:hyperlink>
    </w:p>
    <w:p w14:paraId="7E355F42" w14:textId="417C513A"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1" w:history="1">
        <w:r w:rsidRPr="0004661B">
          <w:rPr>
            <w:rStyle w:val="Hyperlink"/>
            <w:rFonts w:ascii="Arial" w:hAnsi="Arial" w:cs="Arial"/>
            <w:noProof/>
          </w:rPr>
          <w:t>Table 29. Strategies and Measurable Program Objectives for Increasing Access to Mental Health Services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_Toc101961121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53</w:t>
        </w:r>
        <w:r w:rsidRPr="0004661B">
          <w:rPr>
            <w:rFonts w:ascii="Arial" w:hAnsi="Arial" w:cs="Arial"/>
            <w:noProof/>
            <w:webHidden/>
          </w:rPr>
          <w:fldChar w:fldCharType="end"/>
        </w:r>
      </w:hyperlink>
    </w:p>
    <w:p w14:paraId="609462AE" w14:textId="0EFFF8FA"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2" w:history="1">
        <w:r w:rsidRPr="0004661B">
          <w:rPr>
            <w:rStyle w:val="Hyperlink"/>
            <w:rFonts w:ascii="Arial" w:hAnsi="Arial" w:cs="Arial"/>
            <w:noProof/>
          </w:rPr>
          <w:t>Table 30. Strategies and Measurable Program Objective for Building Parent Capacity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_Toc101961122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55</w:t>
        </w:r>
        <w:r w:rsidRPr="0004661B">
          <w:rPr>
            <w:rFonts w:ascii="Arial" w:hAnsi="Arial" w:cs="Arial"/>
            <w:noProof/>
            <w:webHidden/>
          </w:rPr>
          <w:fldChar w:fldCharType="end"/>
        </w:r>
      </w:hyperlink>
    </w:p>
    <w:p w14:paraId="379AA938" w14:textId="2C055F48"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3" w:history="1">
        <w:r w:rsidRPr="0004661B">
          <w:rPr>
            <w:rStyle w:val="Hyperlink"/>
            <w:rFonts w:ascii="Arial" w:hAnsi="Arial" w:cs="Arial"/>
            <w:noProof/>
          </w:rPr>
          <w:t>Table 31. Strategies and Measurable Program Objectives for Increasing Self- and Cultural Pride (Revised)</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_Toc101961123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56</w:t>
        </w:r>
        <w:r w:rsidRPr="0004661B">
          <w:rPr>
            <w:rFonts w:ascii="Arial" w:hAnsi="Arial" w:cs="Arial"/>
            <w:noProof/>
            <w:webHidden/>
          </w:rPr>
          <w:fldChar w:fldCharType="end"/>
        </w:r>
      </w:hyperlink>
    </w:p>
    <w:p w14:paraId="435A946C" w14:textId="24079CB4"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4" w:history="1">
        <w:r w:rsidRPr="0004661B">
          <w:rPr>
            <w:rStyle w:val="Hyperlink"/>
            <w:rFonts w:ascii="Arial" w:hAnsi="Arial" w:cs="Arial"/>
            <w:noProof/>
          </w:rPr>
          <w:t>Table 32. Sub Questions, Data Sources, Collection Methods, and Indicators for the Performance Targets</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_Toc101961124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57</w:t>
        </w:r>
        <w:r w:rsidRPr="0004661B">
          <w:rPr>
            <w:rFonts w:ascii="Arial" w:hAnsi="Arial" w:cs="Arial"/>
            <w:noProof/>
            <w:webHidden/>
          </w:rPr>
          <w:fldChar w:fldCharType="end"/>
        </w:r>
      </w:hyperlink>
    </w:p>
    <w:p w14:paraId="04FCCD3A" w14:textId="59DD2546"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5" w:history="1">
        <w:r w:rsidRPr="0004661B">
          <w:rPr>
            <w:rStyle w:val="Hyperlink"/>
            <w:rFonts w:ascii="Arial" w:hAnsi="Arial" w:cs="Arial"/>
            <w:noProof/>
          </w:rPr>
          <w:t>Table 33. Sub Questions, Data Sources, Collection Methods, and Indicators for the Performance Targets for Output-based Focus Areas</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_Toc101961125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61</w:t>
        </w:r>
        <w:r w:rsidRPr="0004661B">
          <w:rPr>
            <w:rFonts w:ascii="Arial" w:hAnsi="Arial" w:cs="Arial"/>
            <w:noProof/>
            <w:webHidden/>
          </w:rPr>
          <w:fldChar w:fldCharType="end"/>
        </w:r>
      </w:hyperlink>
    </w:p>
    <w:p w14:paraId="7159E350" w14:textId="2D5B1B68"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6" w:history="1">
        <w:r w:rsidRPr="0004661B">
          <w:rPr>
            <w:rStyle w:val="Hyperlink"/>
            <w:rFonts w:ascii="Arial" w:hAnsi="Arial" w:cs="Arial"/>
            <w:noProof/>
          </w:rPr>
          <w:t>Table 34. State and Local Strategies to Increase Parent and Family Involvement</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_Toc101961126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77</w:t>
        </w:r>
        <w:r w:rsidRPr="0004661B">
          <w:rPr>
            <w:rFonts w:ascii="Arial" w:hAnsi="Arial" w:cs="Arial"/>
            <w:noProof/>
            <w:webHidden/>
          </w:rPr>
          <w:fldChar w:fldCharType="end"/>
        </w:r>
      </w:hyperlink>
    </w:p>
    <w:p w14:paraId="20726B93" w14:textId="3245825F" w:rsidR="0004661B" w:rsidRPr="0004661B" w:rsidRDefault="0004661B" w:rsidP="0004661B">
      <w:pPr>
        <w:pStyle w:val="TableofFigures"/>
        <w:tabs>
          <w:tab w:val="right" w:leader="dot" w:pos="9350"/>
        </w:tabs>
        <w:spacing w:after="240"/>
        <w:rPr>
          <w:rFonts w:ascii="Arial" w:eastAsiaTheme="minorEastAsia" w:hAnsi="Arial" w:cs="Arial"/>
          <w:noProof/>
          <w:sz w:val="22"/>
          <w:szCs w:val="22"/>
        </w:rPr>
      </w:pPr>
      <w:hyperlink w:anchor="_Toc101961127" w:history="1">
        <w:r w:rsidRPr="0004661B">
          <w:rPr>
            <w:rStyle w:val="Hyperlink"/>
            <w:rFonts w:ascii="Arial" w:hAnsi="Arial" w:cs="Arial"/>
            <w:noProof/>
          </w:rPr>
          <w:t>Table 37. State Service Delivery Plan Communication Plan for MEP Directors and Staff</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_Toc101961127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82</w:t>
        </w:r>
        <w:r w:rsidRPr="0004661B">
          <w:rPr>
            <w:rFonts w:ascii="Arial" w:hAnsi="Arial" w:cs="Arial"/>
            <w:noProof/>
            <w:webHidden/>
          </w:rPr>
          <w:fldChar w:fldCharType="end"/>
        </w:r>
      </w:hyperlink>
    </w:p>
    <w:p w14:paraId="6095B573" w14:textId="505E1ED9" w:rsidR="0004661B" w:rsidRPr="0004661B" w:rsidRDefault="0004661B" w:rsidP="0004661B">
      <w:pPr>
        <w:pStyle w:val="TableofFigures"/>
        <w:tabs>
          <w:tab w:val="right" w:leader="dot" w:pos="9350"/>
        </w:tabs>
        <w:spacing w:after="240"/>
        <w:rPr>
          <w:rFonts w:asciiTheme="minorHAnsi" w:eastAsiaTheme="minorEastAsia" w:hAnsiTheme="minorHAnsi" w:cstheme="minorBidi"/>
          <w:noProof/>
          <w:sz w:val="22"/>
          <w:szCs w:val="22"/>
        </w:rPr>
      </w:pPr>
      <w:hyperlink w:anchor="_Toc101961128" w:history="1">
        <w:r w:rsidRPr="0004661B">
          <w:rPr>
            <w:rStyle w:val="Hyperlink"/>
            <w:rFonts w:ascii="Arial" w:hAnsi="Arial" w:cs="Arial"/>
            <w:noProof/>
          </w:rPr>
          <w:t>Table 38. State Service Delivery Plan Communication Plan for Other Interested Parties</w:t>
        </w:r>
        <w:r w:rsidRPr="0004661B">
          <w:rPr>
            <w:rFonts w:ascii="Arial" w:hAnsi="Arial" w:cs="Arial"/>
            <w:noProof/>
            <w:webHidden/>
          </w:rPr>
          <w:tab/>
        </w:r>
        <w:r w:rsidRPr="0004661B">
          <w:rPr>
            <w:rFonts w:ascii="Arial" w:hAnsi="Arial" w:cs="Arial"/>
            <w:noProof/>
            <w:webHidden/>
          </w:rPr>
          <w:fldChar w:fldCharType="begin"/>
        </w:r>
        <w:r w:rsidRPr="0004661B">
          <w:rPr>
            <w:rFonts w:ascii="Arial" w:hAnsi="Arial" w:cs="Arial"/>
            <w:noProof/>
            <w:webHidden/>
          </w:rPr>
          <w:instrText xml:space="preserve"> PAGEREF _Toc101961128 \h </w:instrText>
        </w:r>
        <w:r w:rsidRPr="0004661B">
          <w:rPr>
            <w:rFonts w:ascii="Arial" w:hAnsi="Arial" w:cs="Arial"/>
            <w:noProof/>
            <w:webHidden/>
          </w:rPr>
        </w:r>
        <w:r w:rsidRPr="0004661B">
          <w:rPr>
            <w:rFonts w:ascii="Arial" w:hAnsi="Arial" w:cs="Arial"/>
            <w:noProof/>
            <w:webHidden/>
          </w:rPr>
          <w:fldChar w:fldCharType="separate"/>
        </w:r>
        <w:r w:rsidR="00465ECC">
          <w:rPr>
            <w:rFonts w:ascii="Arial" w:hAnsi="Arial" w:cs="Arial"/>
            <w:noProof/>
            <w:webHidden/>
          </w:rPr>
          <w:t>83</w:t>
        </w:r>
        <w:r w:rsidRPr="0004661B">
          <w:rPr>
            <w:rFonts w:ascii="Arial" w:hAnsi="Arial" w:cs="Arial"/>
            <w:noProof/>
            <w:webHidden/>
          </w:rPr>
          <w:fldChar w:fldCharType="end"/>
        </w:r>
      </w:hyperlink>
    </w:p>
    <w:p w14:paraId="28A1FF2B" w14:textId="01EEF9D6" w:rsidR="00B74D5D" w:rsidRPr="005E0053" w:rsidRDefault="008C68F6" w:rsidP="00261292">
      <w:pPr>
        <w:pStyle w:val="Heading4"/>
        <w:spacing w:after="120"/>
      </w:pPr>
      <w:r w:rsidRPr="00261292">
        <w:rPr>
          <w:rFonts w:cs="Arial"/>
          <w:b w:val="0"/>
          <w:sz w:val="24"/>
        </w:rPr>
        <w:fldChar w:fldCharType="end"/>
      </w:r>
      <w:bookmarkStart w:id="2" w:name="_Toc497923148"/>
      <w:bookmarkStart w:id="3" w:name="_Toc504520840"/>
      <w:r w:rsidR="00B74D5D" w:rsidRPr="005E0053">
        <w:t>Attachments</w:t>
      </w:r>
      <w:bookmarkEnd w:id="2"/>
      <w:bookmarkEnd w:id="3"/>
    </w:p>
    <w:p w14:paraId="69C6E5EB" w14:textId="77777777" w:rsidR="00DC5C7D" w:rsidRPr="00F62746" w:rsidRDefault="00B74D5D" w:rsidP="00705CE8">
      <w:pPr>
        <w:pStyle w:val="TableofFigures"/>
        <w:tabs>
          <w:tab w:val="right" w:leader="dot" w:pos="9350"/>
        </w:tabs>
        <w:ind w:left="360" w:hanging="360"/>
        <w:rPr>
          <w:rFonts w:ascii="Arial" w:eastAsia="Times New Roman" w:hAnsi="Arial" w:cs="Arial"/>
          <w:noProof/>
        </w:rPr>
      </w:pPr>
      <w:r w:rsidRPr="005E0053">
        <w:rPr>
          <w:rFonts w:ascii="Arial" w:hAnsi="Arial" w:cs="Arial"/>
          <w:noProof/>
        </w:rPr>
        <w:t>Migrant Education Office Logic Model</w:t>
      </w:r>
      <w:r w:rsidR="00D533F5" w:rsidRPr="005E0053">
        <w:rPr>
          <w:rFonts w:ascii="Arial" w:hAnsi="Arial" w:cs="Arial"/>
          <w:noProof/>
          <w:webHidden/>
        </w:rPr>
        <w:tab/>
      </w:r>
      <w:r w:rsidR="003A33C0" w:rsidRPr="005E0053">
        <w:rPr>
          <w:rFonts w:ascii="Arial" w:hAnsi="Arial" w:cs="Arial"/>
          <w:noProof/>
          <w:webHidden/>
        </w:rPr>
        <w:t>A</w:t>
      </w:r>
    </w:p>
    <w:p w14:paraId="0E6F4549" w14:textId="77777777" w:rsidR="00072681" w:rsidRPr="005E0053" w:rsidRDefault="003A33C0" w:rsidP="0073568C">
      <w:pPr>
        <w:pStyle w:val="Heading3"/>
      </w:pPr>
      <w:r w:rsidRPr="005E0053">
        <w:br w:type="page"/>
      </w:r>
      <w:bookmarkStart w:id="4" w:name="_Toc504520841"/>
      <w:r w:rsidR="00072681" w:rsidRPr="005E0053">
        <w:lastRenderedPageBreak/>
        <w:t>Acknowledgments</w:t>
      </w:r>
      <w:bookmarkEnd w:id="4"/>
    </w:p>
    <w:p w14:paraId="5DC1BDFC" w14:textId="77777777" w:rsidR="00737ED4" w:rsidRPr="005E0053" w:rsidRDefault="00737ED4" w:rsidP="00705CE8">
      <w:pPr>
        <w:contextualSpacing/>
        <w:rPr>
          <w:rFonts w:ascii="Arial" w:hAnsi="Arial" w:cs="Arial"/>
        </w:rPr>
      </w:pPr>
      <w:r w:rsidRPr="005E0053">
        <w:rPr>
          <w:rFonts w:ascii="Arial" w:hAnsi="Arial" w:cs="Arial"/>
        </w:rPr>
        <w:t>Preparation for the development of this Statewide Service Delivery Plan (SSDP) began in August 2016. Many dedicated individuals assisted the California Department of Education (CDE) Migrant Education Office (MEO) at different phases throughout this process.</w:t>
      </w:r>
    </w:p>
    <w:p w14:paraId="6CA25CC9" w14:textId="77777777" w:rsidR="00737ED4" w:rsidRPr="005E0053" w:rsidRDefault="00737ED4" w:rsidP="00EC06D4">
      <w:pPr>
        <w:spacing w:before="240"/>
        <w:rPr>
          <w:rFonts w:ascii="Arial" w:hAnsi="Arial" w:cs="Arial"/>
        </w:rPr>
      </w:pPr>
      <w:r w:rsidRPr="005E0053">
        <w:rPr>
          <w:rFonts w:ascii="Arial" w:hAnsi="Arial" w:cs="Arial"/>
        </w:rPr>
        <w:t>We are indebted to the members of the CDE Management and Data Team for designing, implementing and coordinating the development of the 2017 SSDP. Team members include:</w:t>
      </w:r>
    </w:p>
    <w:p w14:paraId="2BCE8EF8" w14:textId="77777777" w:rsidR="00737ED4" w:rsidRPr="005E0053" w:rsidRDefault="00737ED4" w:rsidP="00EC06D4">
      <w:pPr>
        <w:spacing w:before="240"/>
        <w:rPr>
          <w:rFonts w:ascii="Arial" w:hAnsi="Arial" w:cs="Arial"/>
        </w:rPr>
      </w:pPr>
      <w:r w:rsidRPr="005E0053">
        <w:rPr>
          <w:rFonts w:ascii="Arial" w:hAnsi="Arial" w:cs="Arial"/>
          <w:b/>
        </w:rPr>
        <w:t>Celina Torres,</w:t>
      </w:r>
      <w:r w:rsidR="00E857B4" w:rsidRPr="005E0053">
        <w:rPr>
          <w:rFonts w:ascii="Arial" w:hAnsi="Arial" w:cs="Arial"/>
        </w:rPr>
        <w:t xml:space="preserve"> Administrator, </w:t>
      </w:r>
      <w:r w:rsidRPr="005E0053">
        <w:rPr>
          <w:rFonts w:ascii="Arial" w:hAnsi="Arial" w:cs="Arial"/>
        </w:rPr>
        <w:t>MEO</w:t>
      </w:r>
      <w:r w:rsidR="00E857B4" w:rsidRPr="005E0053">
        <w:rPr>
          <w:rFonts w:ascii="Arial" w:hAnsi="Arial" w:cs="Arial"/>
        </w:rPr>
        <w:t>, CDE</w:t>
      </w:r>
    </w:p>
    <w:p w14:paraId="2E4F94FD" w14:textId="77777777" w:rsidR="00737ED4" w:rsidRPr="005E0053" w:rsidRDefault="00737ED4" w:rsidP="00737ED4">
      <w:pPr>
        <w:contextualSpacing/>
        <w:rPr>
          <w:rFonts w:ascii="Arial" w:hAnsi="Arial" w:cs="Arial"/>
        </w:rPr>
      </w:pPr>
      <w:r w:rsidRPr="005E0053">
        <w:rPr>
          <w:rFonts w:ascii="Arial" w:hAnsi="Arial" w:cs="Arial"/>
          <w:b/>
        </w:rPr>
        <w:t>Chunxia Wang,</w:t>
      </w:r>
      <w:r w:rsidRPr="005E0053">
        <w:rPr>
          <w:rFonts w:ascii="Arial" w:hAnsi="Arial" w:cs="Arial"/>
        </w:rPr>
        <w:t xml:space="preserve"> Education Research and Evaluation Consultant, MEO</w:t>
      </w:r>
      <w:r w:rsidR="00E857B4" w:rsidRPr="005E0053">
        <w:rPr>
          <w:rFonts w:ascii="Arial" w:hAnsi="Arial" w:cs="Arial"/>
        </w:rPr>
        <w:t>, CDE</w:t>
      </w:r>
    </w:p>
    <w:p w14:paraId="3E138008" w14:textId="77777777" w:rsidR="00737ED4" w:rsidRPr="005E0053" w:rsidRDefault="00737ED4" w:rsidP="00737ED4">
      <w:pPr>
        <w:contextualSpacing/>
        <w:rPr>
          <w:rFonts w:ascii="Arial" w:hAnsi="Arial" w:cs="Arial"/>
        </w:rPr>
      </w:pPr>
      <w:r w:rsidRPr="005E0053">
        <w:rPr>
          <w:rFonts w:ascii="Arial" w:hAnsi="Arial" w:cs="Arial"/>
          <w:b/>
        </w:rPr>
        <w:t>Melissa Mallory,</w:t>
      </w:r>
      <w:r w:rsidRPr="005E0053">
        <w:rPr>
          <w:rFonts w:ascii="Arial" w:hAnsi="Arial" w:cs="Arial"/>
        </w:rPr>
        <w:t xml:space="preserve"> Project Lead, Education Programs </w:t>
      </w:r>
      <w:r w:rsidR="00F043D1" w:rsidRPr="005E0053">
        <w:rPr>
          <w:rFonts w:ascii="Arial" w:hAnsi="Arial" w:cs="Arial"/>
        </w:rPr>
        <w:t>Consultant</w:t>
      </w:r>
      <w:r w:rsidRPr="005E0053">
        <w:rPr>
          <w:rFonts w:ascii="Arial" w:hAnsi="Arial" w:cs="Arial"/>
        </w:rPr>
        <w:t>, MEO</w:t>
      </w:r>
      <w:r w:rsidR="00E857B4" w:rsidRPr="005E0053">
        <w:rPr>
          <w:rFonts w:ascii="Arial" w:hAnsi="Arial" w:cs="Arial"/>
        </w:rPr>
        <w:t>, CDE</w:t>
      </w:r>
    </w:p>
    <w:p w14:paraId="0D238FBF" w14:textId="1C557DA3" w:rsidR="00737ED4" w:rsidRPr="009934C2" w:rsidRDefault="00737ED4" w:rsidP="00737ED4">
      <w:pPr>
        <w:contextualSpacing/>
        <w:rPr>
          <w:rFonts w:ascii="Arial" w:hAnsi="Arial" w:cs="Arial"/>
          <w:lang w:val="es-MX"/>
        </w:rPr>
      </w:pPr>
      <w:r w:rsidRPr="009934C2">
        <w:rPr>
          <w:rFonts w:ascii="Arial" w:hAnsi="Arial" w:cs="Arial"/>
          <w:b/>
          <w:lang w:val="es-MX"/>
        </w:rPr>
        <w:t>Veronica Aguila,</w:t>
      </w:r>
      <w:r w:rsidRPr="009934C2">
        <w:rPr>
          <w:rFonts w:ascii="Arial" w:hAnsi="Arial" w:cs="Arial"/>
          <w:lang w:val="es-MX"/>
        </w:rPr>
        <w:t xml:space="preserve"> Director, </w:t>
      </w:r>
      <w:r w:rsidR="009934C2" w:rsidRPr="009934C2">
        <w:rPr>
          <w:rFonts w:ascii="Arial" w:hAnsi="Arial" w:cs="Arial"/>
          <w:lang w:val="es-MX"/>
        </w:rPr>
        <w:t>Multilingual</w:t>
      </w:r>
      <w:r w:rsidRPr="009934C2">
        <w:rPr>
          <w:rFonts w:ascii="Arial" w:hAnsi="Arial" w:cs="Arial"/>
          <w:lang w:val="es-MX"/>
        </w:rPr>
        <w:t xml:space="preserve"> </w:t>
      </w:r>
      <w:proofErr w:type="spellStart"/>
      <w:r w:rsidRPr="009934C2">
        <w:rPr>
          <w:rFonts w:ascii="Arial" w:hAnsi="Arial" w:cs="Arial"/>
          <w:lang w:val="es-MX"/>
        </w:rPr>
        <w:t>S</w:t>
      </w:r>
      <w:r w:rsidR="00B21026" w:rsidRPr="009934C2">
        <w:rPr>
          <w:rFonts w:ascii="Arial" w:hAnsi="Arial" w:cs="Arial"/>
          <w:lang w:val="es-MX"/>
        </w:rPr>
        <w:t>upport</w:t>
      </w:r>
      <w:proofErr w:type="spellEnd"/>
      <w:r w:rsidR="00B21026" w:rsidRPr="009934C2">
        <w:rPr>
          <w:rFonts w:ascii="Arial" w:hAnsi="Arial" w:cs="Arial"/>
          <w:lang w:val="es-MX"/>
        </w:rPr>
        <w:t xml:space="preserve"> </w:t>
      </w:r>
      <w:proofErr w:type="spellStart"/>
      <w:r w:rsidR="00B21026" w:rsidRPr="009934C2">
        <w:rPr>
          <w:rFonts w:ascii="Arial" w:hAnsi="Arial" w:cs="Arial"/>
          <w:lang w:val="es-MX"/>
        </w:rPr>
        <w:t>Division</w:t>
      </w:r>
      <w:proofErr w:type="spellEnd"/>
      <w:r w:rsidR="00B21026" w:rsidRPr="009934C2">
        <w:rPr>
          <w:rFonts w:ascii="Arial" w:hAnsi="Arial" w:cs="Arial"/>
          <w:lang w:val="es-MX"/>
        </w:rPr>
        <w:t xml:space="preserve"> (</w:t>
      </w:r>
      <w:r w:rsidR="009934C2">
        <w:rPr>
          <w:rFonts w:ascii="Arial" w:hAnsi="Arial" w:cs="Arial"/>
          <w:lang w:val="es-MX"/>
        </w:rPr>
        <w:t>M</w:t>
      </w:r>
      <w:r w:rsidR="00B21026" w:rsidRPr="009934C2">
        <w:rPr>
          <w:rFonts w:ascii="Arial" w:hAnsi="Arial" w:cs="Arial"/>
          <w:lang w:val="es-MX"/>
        </w:rPr>
        <w:t>SD), CDE</w:t>
      </w:r>
    </w:p>
    <w:p w14:paraId="284E47E3" w14:textId="77777777" w:rsidR="00737ED4" w:rsidRPr="005E0053" w:rsidRDefault="00737ED4" w:rsidP="00EC06D4">
      <w:pPr>
        <w:spacing w:before="240"/>
        <w:rPr>
          <w:rFonts w:ascii="Arial" w:hAnsi="Arial" w:cs="Arial"/>
        </w:rPr>
      </w:pPr>
      <w:r w:rsidRPr="005E0053">
        <w:rPr>
          <w:rFonts w:ascii="Arial" w:hAnsi="Arial" w:cs="Arial"/>
        </w:rPr>
        <w:t xml:space="preserve">The California Comprehensive Center (CA CC) at WestEd provided technical assistance and support throughout </w:t>
      </w:r>
      <w:r w:rsidR="00E857B4" w:rsidRPr="005E0053">
        <w:rPr>
          <w:rFonts w:ascii="Arial" w:hAnsi="Arial" w:cs="Arial"/>
        </w:rPr>
        <w:t>this project. Colleagues include</w:t>
      </w:r>
      <w:r w:rsidRPr="005E0053">
        <w:rPr>
          <w:rFonts w:ascii="Arial" w:hAnsi="Arial" w:cs="Arial"/>
        </w:rPr>
        <w:t>:</w:t>
      </w:r>
    </w:p>
    <w:p w14:paraId="5E289D77" w14:textId="77777777" w:rsidR="00737ED4" w:rsidRPr="005E0053" w:rsidRDefault="00737ED4" w:rsidP="00EC06D4">
      <w:pPr>
        <w:spacing w:before="240"/>
        <w:rPr>
          <w:rFonts w:ascii="Arial" w:eastAsia="Times New Roman" w:hAnsi="Arial" w:cs="Arial"/>
          <w:color w:val="000000"/>
        </w:rPr>
      </w:pPr>
      <w:r w:rsidRPr="005E0053">
        <w:rPr>
          <w:rFonts w:ascii="Arial" w:eastAsia="Times New Roman" w:hAnsi="Arial" w:cs="Arial"/>
          <w:b/>
          <w:color w:val="000000"/>
        </w:rPr>
        <w:t>Debra T. Benitez,</w:t>
      </w:r>
      <w:r w:rsidRPr="005E0053">
        <w:rPr>
          <w:rFonts w:ascii="Arial" w:eastAsia="Times New Roman" w:hAnsi="Arial" w:cs="Arial"/>
          <w:color w:val="000000"/>
        </w:rPr>
        <w:t xml:space="preserve"> Director of Research and Impact Assessment Services, CA CC, WestEd</w:t>
      </w:r>
    </w:p>
    <w:p w14:paraId="572DBB71" w14:textId="77777777" w:rsidR="00737ED4" w:rsidRPr="005E0053" w:rsidRDefault="00737ED4" w:rsidP="00737ED4">
      <w:pPr>
        <w:contextualSpacing/>
        <w:rPr>
          <w:rFonts w:ascii="Arial" w:hAnsi="Arial" w:cs="Arial"/>
        </w:rPr>
      </w:pPr>
      <w:r w:rsidRPr="005E0053">
        <w:rPr>
          <w:rFonts w:ascii="Arial" w:hAnsi="Arial" w:cs="Arial"/>
          <w:b/>
        </w:rPr>
        <w:t>Glenn Miller,</w:t>
      </w:r>
      <w:r w:rsidRPr="005E0053">
        <w:rPr>
          <w:rFonts w:ascii="Arial" w:hAnsi="Arial" w:cs="Arial"/>
        </w:rPr>
        <w:t xml:space="preserve"> Senior Research Associate, CA CC, WestEd</w:t>
      </w:r>
    </w:p>
    <w:p w14:paraId="107CB665" w14:textId="77777777" w:rsidR="00737ED4" w:rsidRPr="005E0053" w:rsidRDefault="00737ED4" w:rsidP="00737ED4">
      <w:pPr>
        <w:contextualSpacing/>
        <w:rPr>
          <w:rFonts w:ascii="Arial" w:hAnsi="Arial" w:cs="Arial"/>
        </w:rPr>
      </w:pPr>
      <w:r w:rsidRPr="005E0053">
        <w:rPr>
          <w:rFonts w:ascii="Arial" w:hAnsi="Arial" w:cs="Arial"/>
          <w:b/>
        </w:rPr>
        <w:t>Lisa Severino,</w:t>
      </w:r>
      <w:r w:rsidRPr="005E0053">
        <w:rPr>
          <w:rFonts w:ascii="Arial" w:hAnsi="Arial" w:cs="Arial"/>
        </w:rPr>
        <w:t xml:space="preserve"> Research Associate, CA CC, WestEd</w:t>
      </w:r>
    </w:p>
    <w:p w14:paraId="1B6DFA17" w14:textId="77777777" w:rsidR="00D37EFC" w:rsidRPr="005E0053" w:rsidRDefault="00D37EFC" w:rsidP="00D37EFC">
      <w:pPr>
        <w:rPr>
          <w:rFonts w:ascii="Arial" w:eastAsia="Times New Roman" w:hAnsi="Arial" w:cs="Arial"/>
          <w:color w:val="000000"/>
        </w:rPr>
      </w:pPr>
      <w:r w:rsidRPr="005E0053">
        <w:rPr>
          <w:rStyle w:val="u-smo-texttruncate"/>
          <w:rFonts w:ascii="Arial" w:eastAsia="Times New Roman" w:hAnsi="Arial" w:cs="Arial"/>
          <w:b/>
          <w:color w:val="000000"/>
        </w:rPr>
        <w:t>Laurel Groff,</w:t>
      </w:r>
      <w:r w:rsidRPr="005E0053">
        <w:rPr>
          <w:rStyle w:val="u-smo-texttruncate"/>
          <w:rFonts w:ascii="Arial" w:eastAsia="Times New Roman" w:hAnsi="Arial" w:cs="Arial"/>
          <w:color w:val="000000"/>
        </w:rPr>
        <w:t xml:space="preserve"> Research Associate, Comprehensive School Assistance Program</w:t>
      </w:r>
    </w:p>
    <w:p w14:paraId="651FFD13" w14:textId="77777777" w:rsidR="00B11F8F" w:rsidRPr="005E0053" w:rsidRDefault="00B11F8F" w:rsidP="00B11F8F">
      <w:pPr>
        <w:rPr>
          <w:rFonts w:ascii="Arial" w:hAnsi="Arial" w:cs="Arial"/>
        </w:rPr>
      </w:pPr>
      <w:r w:rsidRPr="005E0053">
        <w:rPr>
          <w:rFonts w:ascii="Arial" w:eastAsia="Times New Roman" w:hAnsi="Arial" w:cs="Arial"/>
          <w:b/>
        </w:rPr>
        <w:t>Marisela Sifuentes,</w:t>
      </w:r>
      <w:r w:rsidR="00171580" w:rsidRPr="005E0053">
        <w:rPr>
          <w:rFonts w:ascii="Arial" w:eastAsia="Times New Roman" w:hAnsi="Arial" w:cs="Arial"/>
        </w:rPr>
        <w:t xml:space="preserve"> </w:t>
      </w:r>
      <w:r w:rsidRPr="005E0053">
        <w:rPr>
          <w:rFonts w:ascii="Arial" w:hAnsi="Arial" w:cs="Arial"/>
        </w:rPr>
        <w:t>Research Assistant, WestEd</w:t>
      </w:r>
    </w:p>
    <w:p w14:paraId="173CAF00" w14:textId="77777777" w:rsidR="00D37EFC" w:rsidRPr="005E0053" w:rsidRDefault="00D37EFC" w:rsidP="00D37EFC">
      <w:pPr>
        <w:rPr>
          <w:rStyle w:val="u-smo-texttruncate"/>
          <w:rFonts w:ascii="Arial" w:eastAsia="Times New Roman" w:hAnsi="Arial" w:cs="Arial"/>
          <w:color w:val="000000"/>
        </w:rPr>
      </w:pPr>
      <w:r w:rsidRPr="005E0053">
        <w:rPr>
          <w:rFonts w:ascii="Arial" w:eastAsia="Times New Roman" w:hAnsi="Arial" w:cs="Arial"/>
          <w:b/>
          <w:color w:val="000000"/>
        </w:rPr>
        <w:t>Meena Kaur,</w:t>
      </w:r>
      <w:r w:rsidRPr="005E0053">
        <w:rPr>
          <w:rFonts w:ascii="Arial" w:eastAsia="Times New Roman" w:hAnsi="Arial" w:cs="Arial"/>
          <w:color w:val="000000"/>
        </w:rPr>
        <w:t xml:space="preserve"> </w:t>
      </w:r>
      <w:r w:rsidRPr="005E0053">
        <w:rPr>
          <w:rStyle w:val="u-smo-texttruncate"/>
          <w:rFonts w:ascii="Arial" w:eastAsia="Times New Roman" w:hAnsi="Arial" w:cs="Arial"/>
          <w:color w:val="000000"/>
        </w:rPr>
        <w:t>Data Analyst, Comprehensive School Assistance Program</w:t>
      </w:r>
    </w:p>
    <w:p w14:paraId="0E125876" w14:textId="77777777" w:rsidR="00D37EFC" w:rsidRPr="005E0053" w:rsidRDefault="00D37EFC" w:rsidP="00D37EFC">
      <w:pPr>
        <w:rPr>
          <w:rFonts w:ascii="Arial" w:eastAsia="Times New Roman" w:hAnsi="Arial" w:cs="Arial"/>
          <w:color w:val="000000"/>
        </w:rPr>
      </w:pPr>
      <w:r w:rsidRPr="005E0053">
        <w:rPr>
          <w:rStyle w:val="u-smo-texttruncate"/>
          <w:rFonts w:ascii="Arial" w:eastAsia="Times New Roman" w:hAnsi="Arial" w:cs="Arial"/>
          <w:b/>
          <w:color w:val="000000"/>
        </w:rPr>
        <w:t>Nane Zadouri,</w:t>
      </w:r>
      <w:r w:rsidRPr="005E0053">
        <w:rPr>
          <w:rStyle w:val="u-smo-texttruncate"/>
          <w:rFonts w:ascii="Arial" w:eastAsia="Times New Roman" w:hAnsi="Arial" w:cs="Arial"/>
          <w:color w:val="000000"/>
        </w:rPr>
        <w:t xml:space="preserve"> Research Associate, Comprehensive School Assistance Program</w:t>
      </w:r>
    </w:p>
    <w:p w14:paraId="70D868F4" w14:textId="77777777" w:rsidR="007A4B1E" w:rsidRPr="005E0053" w:rsidRDefault="007A4B1E" w:rsidP="007A4B1E">
      <w:pPr>
        <w:rPr>
          <w:rFonts w:ascii="Arial" w:eastAsia="Times New Roman" w:hAnsi="Arial" w:cs="Arial"/>
          <w:color w:val="000000"/>
        </w:rPr>
      </w:pPr>
      <w:r w:rsidRPr="005E0053">
        <w:rPr>
          <w:rFonts w:ascii="Arial" w:eastAsia="Times New Roman" w:hAnsi="Arial" w:cs="Arial"/>
          <w:b/>
          <w:color w:val="000000"/>
        </w:rPr>
        <w:t>Scott Vince,</w:t>
      </w:r>
      <w:r w:rsidRPr="005E0053">
        <w:rPr>
          <w:rFonts w:ascii="Arial" w:eastAsia="Times New Roman" w:hAnsi="Arial" w:cs="Arial"/>
          <w:color w:val="000000"/>
        </w:rPr>
        <w:t xml:space="preserve"> Research Associate, </w:t>
      </w:r>
      <w:r w:rsidRPr="005E0053">
        <w:rPr>
          <w:rStyle w:val="u-smo-texttruncate"/>
          <w:rFonts w:ascii="Arial" w:eastAsia="Times New Roman" w:hAnsi="Arial" w:cs="Arial"/>
          <w:color w:val="000000"/>
        </w:rPr>
        <w:t>Comprehensive School Assistance Program</w:t>
      </w:r>
    </w:p>
    <w:p w14:paraId="393F3A6C" w14:textId="4DD25DA0" w:rsidR="00737ED4" w:rsidRPr="005E0053" w:rsidRDefault="00737ED4" w:rsidP="00EC06D4">
      <w:pPr>
        <w:spacing w:before="240"/>
        <w:rPr>
          <w:rFonts w:ascii="Arial" w:hAnsi="Arial" w:cs="Arial"/>
        </w:rPr>
      </w:pPr>
      <w:r w:rsidRPr="005E0053">
        <w:rPr>
          <w:rFonts w:ascii="Arial" w:hAnsi="Arial" w:cs="Arial"/>
        </w:rPr>
        <w:t xml:space="preserve">Collecting input </w:t>
      </w:r>
      <w:r w:rsidR="007D1324">
        <w:rPr>
          <w:rFonts w:ascii="Arial" w:hAnsi="Arial" w:cs="Arial"/>
        </w:rPr>
        <w:t xml:space="preserve">from interested parties </w:t>
      </w:r>
      <w:r w:rsidRPr="005E0053">
        <w:rPr>
          <w:rFonts w:ascii="Arial" w:hAnsi="Arial" w:cs="Arial"/>
        </w:rPr>
        <w:t>was essential to ensure the SSDP provided meaningful information as a basis for program development. The C</w:t>
      </w:r>
      <w:r w:rsidR="00E857B4" w:rsidRPr="005E0053">
        <w:rPr>
          <w:rFonts w:ascii="Arial" w:hAnsi="Arial" w:cs="Arial"/>
        </w:rPr>
        <w:t xml:space="preserve">omprehensive </w:t>
      </w:r>
      <w:r w:rsidRPr="005E0053">
        <w:rPr>
          <w:rFonts w:ascii="Arial" w:hAnsi="Arial" w:cs="Arial"/>
        </w:rPr>
        <w:t>N</w:t>
      </w:r>
      <w:r w:rsidR="00E857B4" w:rsidRPr="005E0053">
        <w:rPr>
          <w:rFonts w:ascii="Arial" w:hAnsi="Arial" w:cs="Arial"/>
        </w:rPr>
        <w:t xml:space="preserve">eeds </w:t>
      </w:r>
      <w:r w:rsidRPr="005E0053">
        <w:rPr>
          <w:rFonts w:ascii="Arial" w:hAnsi="Arial" w:cs="Arial"/>
        </w:rPr>
        <w:t>A</w:t>
      </w:r>
      <w:r w:rsidR="00E857B4" w:rsidRPr="005E0053">
        <w:rPr>
          <w:rFonts w:ascii="Arial" w:hAnsi="Arial" w:cs="Arial"/>
        </w:rPr>
        <w:t>ssessment</w:t>
      </w:r>
      <w:r w:rsidRPr="005E0053">
        <w:rPr>
          <w:rFonts w:ascii="Arial" w:hAnsi="Arial" w:cs="Arial"/>
        </w:rPr>
        <w:t>/S</w:t>
      </w:r>
      <w:r w:rsidR="00E857B4" w:rsidRPr="005E0053">
        <w:rPr>
          <w:rFonts w:ascii="Arial" w:hAnsi="Arial" w:cs="Arial"/>
        </w:rPr>
        <w:t xml:space="preserve">tate </w:t>
      </w:r>
      <w:r w:rsidRPr="005E0053">
        <w:rPr>
          <w:rFonts w:ascii="Arial" w:hAnsi="Arial" w:cs="Arial"/>
        </w:rPr>
        <w:t>S</w:t>
      </w:r>
      <w:r w:rsidR="00E857B4" w:rsidRPr="005E0053">
        <w:rPr>
          <w:rFonts w:ascii="Arial" w:hAnsi="Arial" w:cs="Arial"/>
        </w:rPr>
        <w:t xml:space="preserve">ervice </w:t>
      </w:r>
      <w:r w:rsidRPr="005E0053">
        <w:rPr>
          <w:rFonts w:ascii="Arial" w:hAnsi="Arial" w:cs="Arial"/>
        </w:rPr>
        <w:t>D</w:t>
      </w:r>
      <w:r w:rsidR="00E857B4" w:rsidRPr="005E0053">
        <w:rPr>
          <w:rFonts w:ascii="Arial" w:hAnsi="Arial" w:cs="Arial"/>
        </w:rPr>
        <w:t xml:space="preserve">elivery </w:t>
      </w:r>
      <w:r w:rsidRPr="005E0053">
        <w:rPr>
          <w:rFonts w:ascii="Arial" w:hAnsi="Arial" w:cs="Arial"/>
        </w:rPr>
        <w:t>P</w:t>
      </w:r>
      <w:r w:rsidR="00E857B4" w:rsidRPr="005E0053">
        <w:rPr>
          <w:rFonts w:ascii="Arial" w:hAnsi="Arial" w:cs="Arial"/>
        </w:rPr>
        <w:t>lan (CNA/SSDP)</w:t>
      </w:r>
      <w:r w:rsidRPr="005E0053">
        <w:rPr>
          <w:rFonts w:ascii="Arial" w:hAnsi="Arial" w:cs="Arial"/>
        </w:rPr>
        <w:t xml:space="preserve"> Committee utilized small and large group settings to complete the process for developing the statewide </w:t>
      </w:r>
      <w:r w:rsidR="00E857B4" w:rsidRPr="005E0053">
        <w:rPr>
          <w:rFonts w:ascii="Arial" w:hAnsi="Arial" w:cs="Arial"/>
        </w:rPr>
        <w:t>CNA</w:t>
      </w:r>
      <w:r w:rsidR="00F043D1" w:rsidRPr="005E0053">
        <w:rPr>
          <w:rFonts w:ascii="Arial" w:hAnsi="Arial" w:cs="Arial"/>
        </w:rPr>
        <w:t xml:space="preserve"> and SSDP</w:t>
      </w:r>
      <w:r w:rsidRPr="005E0053">
        <w:rPr>
          <w:rFonts w:ascii="Arial" w:hAnsi="Arial" w:cs="Arial"/>
        </w:rPr>
        <w:t>. Members include:</w:t>
      </w:r>
    </w:p>
    <w:p w14:paraId="49B11CB9" w14:textId="77777777" w:rsidR="00737ED4" w:rsidRPr="005E0053" w:rsidRDefault="00737ED4" w:rsidP="00EC06D4">
      <w:pPr>
        <w:spacing w:before="240"/>
        <w:rPr>
          <w:rFonts w:ascii="Arial" w:hAnsi="Arial" w:cs="Arial"/>
        </w:rPr>
      </w:pPr>
      <w:r w:rsidRPr="005E0053">
        <w:rPr>
          <w:rFonts w:ascii="Arial" w:hAnsi="Arial" w:cs="Arial"/>
          <w:b/>
        </w:rPr>
        <w:t>Alejandra Mora,</w:t>
      </w:r>
      <w:r w:rsidRPr="005E0053">
        <w:rPr>
          <w:rFonts w:ascii="Arial" w:hAnsi="Arial" w:cs="Arial"/>
        </w:rPr>
        <w:t xml:space="preserve"> Migrant Education Program Advocate, San Diego County Office of Education</w:t>
      </w:r>
    </w:p>
    <w:p w14:paraId="2AA7B6BB" w14:textId="77777777" w:rsidR="00737ED4" w:rsidRPr="005E0053" w:rsidRDefault="00737ED4" w:rsidP="00737ED4">
      <w:pPr>
        <w:contextualSpacing/>
        <w:rPr>
          <w:rFonts w:ascii="Arial" w:hAnsi="Arial" w:cs="Arial"/>
        </w:rPr>
      </w:pPr>
      <w:r w:rsidRPr="005E0053">
        <w:rPr>
          <w:rFonts w:ascii="Arial" w:hAnsi="Arial" w:cs="Arial"/>
          <w:b/>
        </w:rPr>
        <w:t>Ana Avila,</w:t>
      </w:r>
      <w:r w:rsidRPr="005E0053">
        <w:rPr>
          <w:rFonts w:ascii="Arial" w:hAnsi="Arial" w:cs="Arial"/>
        </w:rPr>
        <w:t xml:space="preserve"> Out-of-School Youth Outreach, San Diego County Office of Education</w:t>
      </w:r>
    </w:p>
    <w:p w14:paraId="7F19EF62" w14:textId="77777777" w:rsidR="00737ED4" w:rsidRPr="005E0053" w:rsidRDefault="00737ED4" w:rsidP="00737ED4">
      <w:pPr>
        <w:contextualSpacing/>
        <w:rPr>
          <w:rFonts w:ascii="Arial" w:hAnsi="Arial" w:cs="Arial"/>
        </w:rPr>
      </w:pPr>
      <w:r w:rsidRPr="005E0053">
        <w:rPr>
          <w:rFonts w:ascii="Arial" w:hAnsi="Arial" w:cs="Arial"/>
          <w:b/>
        </w:rPr>
        <w:t>Esmeralda Perez,</w:t>
      </w:r>
      <w:r w:rsidRPr="005E0053">
        <w:rPr>
          <w:rFonts w:ascii="Arial" w:hAnsi="Arial" w:cs="Arial"/>
        </w:rPr>
        <w:t xml:space="preserve"> Migrant Education Outreach Specialist, Pajaro Valley Unified School District</w:t>
      </w:r>
    </w:p>
    <w:p w14:paraId="21017F6F" w14:textId="77777777" w:rsidR="00737ED4" w:rsidRPr="005E0053" w:rsidRDefault="00737ED4" w:rsidP="00737ED4">
      <w:pPr>
        <w:contextualSpacing/>
        <w:rPr>
          <w:rFonts w:ascii="Arial" w:hAnsi="Arial" w:cs="Arial"/>
        </w:rPr>
      </w:pPr>
      <w:r w:rsidRPr="005E0053">
        <w:rPr>
          <w:rFonts w:ascii="Arial" w:hAnsi="Arial" w:cs="Arial"/>
          <w:b/>
        </w:rPr>
        <w:t>Gabriela Beas,</w:t>
      </w:r>
      <w:r w:rsidRPr="005E0053">
        <w:rPr>
          <w:rFonts w:ascii="Arial" w:hAnsi="Arial" w:cs="Arial"/>
        </w:rPr>
        <w:t xml:space="preserve"> Migrant Education Program Advocate, San Diego County Office of Education</w:t>
      </w:r>
    </w:p>
    <w:p w14:paraId="5182907A" w14:textId="77777777" w:rsidR="00737ED4" w:rsidRPr="005E0053" w:rsidRDefault="00737ED4" w:rsidP="00EF603E">
      <w:pPr>
        <w:contextualSpacing/>
        <w:rPr>
          <w:rFonts w:ascii="Arial" w:hAnsi="Arial" w:cs="Arial"/>
        </w:rPr>
      </w:pPr>
      <w:r w:rsidRPr="005E0053">
        <w:rPr>
          <w:rFonts w:ascii="Arial" w:hAnsi="Arial" w:cs="Arial"/>
          <w:b/>
        </w:rPr>
        <w:t>Giselle Perry,</w:t>
      </w:r>
      <w:r w:rsidRPr="005E0053">
        <w:rPr>
          <w:rFonts w:ascii="Arial" w:hAnsi="Arial" w:cs="Arial"/>
        </w:rPr>
        <w:t xml:space="preserve"> School Counseling Specialist, Migrant Education Advisor Program, Sonoma State University</w:t>
      </w:r>
    </w:p>
    <w:p w14:paraId="18ED7948" w14:textId="77777777" w:rsidR="00737ED4" w:rsidRPr="005E0053" w:rsidRDefault="00737ED4" w:rsidP="00737ED4">
      <w:pPr>
        <w:contextualSpacing/>
        <w:rPr>
          <w:rFonts w:ascii="Arial" w:hAnsi="Arial" w:cs="Arial"/>
          <w:b/>
        </w:rPr>
      </w:pPr>
      <w:r w:rsidRPr="005E0053">
        <w:rPr>
          <w:rFonts w:ascii="Arial" w:hAnsi="Arial" w:cs="Arial"/>
          <w:b/>
        </w:rPr>
        <w:t>Herlinda Hurtado,</w:t>
      </w:r>
      <w:r w:rsidRPr="005E0053">
        <w:rPr>
          <w:rFonts w:ascii="Arial" w:hAnsi="Arial" w:cs="Arial"/>
        </w:rPr>
        <w:t xml:space="preserve"> Parent, Bakersfield County Office of Education</w:t>
      </w:r>
      <w:r w:rsidRPr="005E0053">
        <w:rPr>
          <w:rFonts w:ascii="Arial" w:hAnsi="Arial" w:cs="Arial"/>
          <w:b/>
        </w:rPr>
        <w:t xml:space="preserve"> </w:t>
      </w:r>
    </w:p>
    <w:p w14:paraId="69527447" w14:textId="77777777" w:rsidR="00737ED4" w:rsidRPr="005E0053" w:rsidRDefault="00737ED4" w:rsidP="00737ED4">
      <w:pPr>
        <w:contextualSpacing/>
        <w:rPr>
          <w:rFonts w:ascii="Arial" w:hAnsi="Arial" w:cs="Arial"/>
          <w:highlight w:val="yellow"/>
        </w:rPr>
      </w:pPr>
      <w:r w:rsidRPr="005E0053">
        <w:rPr>
          <w:rFonts w:ascii="Arial" w:hAnsi="Arial" w:cs="Arial"/>
          <w:b/>
        </w:rPr>
        <w:lastRenderedPageBreak/>
        <w:t>Javier Mendoza-Sanchez,</w:t>
      </w:r>
      <w:r w:rsidRPr="005E0053">
        <w:rPr>
          <w:rFonts w:ascii="Arial" w:hAnsi="Arial" w:cs="Arial"/>
        </w:rPr>
        <w:t xml:space="preserve"> Program Manager I, San Joaquin County Office of Education</w:t>
      </w:r>
    </w:p>
    <w:p w14:paraId="1B43BFAE" w14:textId="77777777" w:rsidR="00737ED4" w:rsidRPr="005E0053" w:rsidRDefault="00737ED4" w:rsidP="00737ED4">
      <w:pPr>
        <w:contextualSpacing/>
        <w:rPr>
          <w:rFonts w:ascii="Arial" w:hAnsi="Arial" w:cs="Arial"/>
        </w:rPr>
      </w:pPr>
      <w:r w:rsidRPr="005E0053">
        <w:rPr>
          <w:rFonts w:ascii="Arial" w:hAnsi="Arial" w:cs="Arial"/>
          <w:b/>
        </w:rPr>
        <w:t>Jose Morales,</w:t>
      </w:r>
      <w:r w:rsidRPr="005E0053">
        <w:rPr>
          <w:rFonts w:ascii="Arial" w:hAnsi="Arial" w:cs="Arial"/>
        </w:rPr>
        <w:t xml:space="preserve"> Director, Kern County Office of Education</w:t>
      </w:r>
    </w:p>
    <w:p w14:paraId="111D41AB" w14:textId="77777777" w:rsidR="00737ED4" w:rsidRPr="005E0053" w:rsidRDefault="00737ED4" w:rsidP="0073568C">
      <w:pPr>
        <w:rPr>
          <w:rFonts w:ascii="Arial" w:hAnsi="Arial" w:cs="Arial"/>
        </w:rPr>
      </w:pPr>
      <w:r w:rsidRPr="005E0053">
        <w:rPr>
          <w:rFonts w:ascii="Arial" w:hAnsi="Arial" w:cs="Arial"/>
          <w:b/>
        </w:rPr>
        <w:t>Julio Salazar,</w:t>
      </w:r>
      <w:r w:rsidRPr="005E0053">
        <w:rPr>
          <w:rFonts w:ascii="Arial" w:hAnsi="Arial" w:cs="Arial"/>
        </w:rPr>
        <w:t xml:space="preserve"> Parent/Former State Parent Advisory Council President, Santa Clara County Office</w:t>
      </w:r>
      <w:r w:rsidR="00EC06D4">
        <w:rPr>
          <w:rFonts w:ascii="Arial" w:hAnsi="Arial" w:cs="Arial"/>
        </w:rPr>
        <w:t xml:space="preserve"> </w:t>
      </w:r>
      <w:r w:rsidRPr="005E0053">
        <w:rPr>
          <w:rFonts w:ascii="Arial" w:hAnsi="Arial" w:cs="Arial"/>
        </w:rPr>
        <w:t>of Education</w:t>
      </w:r>
    </w:p>
    <w:p w14:paraId="2A6CED3A" w14:textId="77777777" w:rsidR="00737ED4" w:rsidRPr="005E0053" w:rsidRDefault="00737ED4" w:rsidP="00737ED4">
      <w:pPr>
        <w:contextualSpacing/>
        <w:rPr>
          <w:rFonts w:ascii="Arial" w:hAnsi="Arial" w:cs="Arial"/>
        </w:rPr>
      </w:pPr>
      <w:r w:rsidRPr="005E0053">
        <w:rPr>
          <w:rFonts w:ascii="Arial" w:hAnsi="Arial" w:cs="Arial"/>
          <w:b/>
        </w:rPr>
        <w:t>Katherine Scheler,</w:t>
      </w:r>
      <w:r w:rsidRPr="005E0053">
        <w:rPr>
          <w:rFonts w:ascii="Arial" w:hAnsi="Arial" w:cs="Arial"/>
        </w:rPr>
        <w:t xml:space="preserve"> Program Specialist, Bakersfield County Office of Education</w:t>
      </w:r>
    </w:p>
    <w:p w14:paraId="2FD59513" w14:textId="77777777" w:rsidR="00737ED4" w:rsidRPr="005E0053" w:rsidRDefault="00737ED4" w:rsidP="00737ED4">
      <w:pPr>
        <w:contextualSpacing/>
        <w:rPr>
          <w:rFonts w:ascii="Arial" w:hAnsi="Arial" w:cs="Arial"/>
        </w:rPr>
      </w:pPr>
      <w:r w:rsidRPr="005E0053">
        <w:rPr>
          <w:rFonts w:ascii="Arial" w:hAnsi="Arial" w:cs="Arial"/>
          <w:b/>
        </w:rPr>
        <w:t>Laura Jimenez Trevino,</w:t>
      </w:r>
      <w:r w:rsidRPr="005E0053">
        <w:rPr>
          <w:rFonts w:ascii="Arial" w:hAnsi="Arial" w:cs="Arial"/>
        </w:rPr>
        <w:t xml:space="preserve"> Parent, Fresno County Office of Education</w:t>
      </w:r>
    </w:p>
    <w:p w14:paraId="2FC4CCED" w14:textId="77777777" w:rsidR="00737ED4" w:rsidRPr="005E0053" w:rsidRDefault="00737ED4" w:rsidP="00737ED4">
      <w:pPr>
        <w:contextualSpacing/>
        <w:rPr>
          <w:rFonts w:ascii="Arial" w:hAnsi="Arial" w:cs="Arial"/>
          <w:b/>
        </w:rPr>
      </w:pPr>
      <w:r w:rsidRPr="005E0053">
        <w:rPr>
          <w:rFonts w:ascii="Arial" w:hAnsi="Arial" w:cs="Arial"/>
          <w:b/>
        </w:rPr>
        <w:t>Manuel Nunez,</w:t>
      </w:r>
      <w:r w:rsidRPr="005E0053">
        <w:rPr>
          <w:rFonts w:ascii="Arial" w:hAnsi="Arial" w:cs="Arial"/>
        </w:rPr>
        <w:t xml:space="preserve"> Director, San Joaquin County Office of Education</w:t>
      </w:r>
      <w:r w:rsidRPr="005E0053">
        <w:rPr>
          <w:rFonts w:ascii="Arial" w:hAnsi="Arial" w:cs="Arial"/>
          <w:b/>
        </w:rPr>
        <w:t xml:space="preserve"> </w:t>
      </w:r>
    </w:p>
    <w:p w14:paraId="2BF65D77" w14:textId="77777777" w:rsidR="00737ED4" w:rsidRPr="005E0053" w:rsidRDefault="00737ED4" w:rsidP="00737ED4">
      <w:pPr>
        <w:contextualSpacing/>
        <w:rPr>
          <w:rFonts w:ascii="Arial" w:hAnsi="Arial" w:cs="Arial"/>
        </w:rPr>
      </w:pPr>
      <w:r w:rsidRPr="005E0053">
        <w:rPr>
          <w:rFonts w:ascii="Arial" w:hAnsi="Arial" w:cs="Arial"/>
          <w:b/>
        </w:rPr>
        <w:t>Margarita Zaske,</w:t>
      </w:r>
      <w:r w:rsidRPr="005E0053">
        <w:rPr>
          <w:rFonts w:ascii="Arial" w:hAnsi="Arial" w:cs="Arial"/>
        </w:rPr>
        <w:t xml:space="preserve"> Director, Santa Maria Bonita School District</w:t>
      </w:r>
    </w:p>
    <w:p w14:paraId="256C6F01" w14:textId="77777777" w:rsidR="00737ED4" w:rsidRPr="005E0053" w:rsidRDefault="00737ED4" w:rsidP="00737ED4">
      <w:pPr>
        <w:contextualSpacing/>
        <w:rPr>
          <w:rFonts w:ascii="Arial" w:hAnsi="Arial" w:cs="Arial"/>
        </w:rPr>
      </w:pPr>
      <w:r w:rsidRPr="005E0053">
        <w:rPr>
          <w:rFonts w:ascii="Arial" w:hAnsi="Arial" w:cs="Arial"/>
          <w:b/>
        </w:rPr>
        <w:t>Rosa Briones,</w:t>
      </w:r>
      <w:r w:rsidRPr="005E0053">
        <w:rPr>
          <w:rFonts w:ascii="Arial" w:hAnsi="Arial" w:cs="Arial"/>
        </w:rPr>
        <w:t xml:space="preserve"> Parent, Butte County Office of Education</w:t>
      </w:r>
    </w:p>
    <w:p w14:paraId="4BEB4BDC" w14:textId="77777777" w:rsidR="00737ED4" w:rsidRPr="005E0053" w:rsidRDefault="00737ED4" w:rsidP="00737ED4">
      <w:pPr>
        <w:contextualSpacing/>
        <w:rPr>
          <w:rFonts w:ascii="Arial" w:hAnsi="Arial" w:cs="Arial"/>
        </w:rPr>
      </w:pPr>
      <w:r w:rsidRPr="005E0053">
        <w:rPr>
          <w:rFonts w:ascii="Arial" w:hAnsi="Arial" w:cs="Arial"/>
          <w:b/>
        </w:rPr>
        <w:t>Ruben Castillo,</w:t>
      </w:r>
      <w:r w:rsidRPr="005E0053">
        <w:rPr>
          <w:rFonts w:ascii="Arial" w:hAnsi="Arial" w:cs="Arial"/>
        </w:rPr>
        <w:t xml:space="preserve"> Director, Fresno County Office of Education </w:t>
      </w:r>
    </w:p>
    <w:p w14:paraId="1CCA103D" w14:textId="77777777" w:rsidR="00737ED4" w:rsidRPr="005E0053" w:rsidRDefault="00737ED4" w:rsidP="00737ED4">
      <w:pPr>
        <w:contextualSpacing/>
        <w:rPr>
          <w:rFonts w:ascii="Arial" w:hAnsi="Arial" w:cs="Arial"/>
        </w:rPr>
      </w:pPr>
      <w:r w:rsidRPr="005E0053">
        <w:rPr>
          <w:rFonts w:ascii="Arial" w:hAnsi="Arial" w:cs="Arial"/>
          <w:b/>
        </w:rPr>
        <w:t>Zaida Garcia,</w:t>
      </w:r>
      <w:r w:rsidRPr="005E0053">
        <w:rPr>
          <w:rFonts w:ascii="Arial" w:hAnsi="Arial" w:cs="Arial"/>
        </w:rPr>
        <w:t xml:space="preserve"> Coordinator II, Los Angeles County Office of Education</w:t>
      </w:r>
    </w:p>
    <w:p w14:paraId="0EDDBB6C" w14:textId="1A5EB252" w:rsidR="00737ED4" w:rsidRPr="005E0053" w:rsidRDefault="00737ED4" w:rsidP="00EC06D4">
      <w:pPr>
        <w:spacing w:before="240"/>
        <w:rPr>
          <w:rFonts w:ascii="Arial" w:hAnsi="Arial" w:cs="Arial"/>
        </w:rPr>
      </w:pPr>
      <w:r w:rsidRPr="005E0053">
        <w:rPr>
          <w:rFonts w:ascii="Arial" w:hAnsi="Arial" w:cs="Arial"/>
        </w:rPr>
        <w:t>Additional CDE staff provided invaluable su</w:t>
      </w:r>
      <w:r w:rsidR="00DC1BE4" w:rsidRPr="005E0053">
        <w:rPr>
          <w:rFonts w:ascii="Arial" w:hAnsi="Arial" w:cs="Arial"/>
        </w:rPr>
        <w:t>pport via facilitation and note</w:t>
      </w:r>
      <w:r w:rsidRPr="005E0053">
        <w:rPr>
          <w:rFonts w:ascii="Arial" w:hAnsi="Arial" w:cs="Arial"/>
        </w:rPr>
        <w:t>taking during the CNA/SSDP Committee meetings, including:</w:t>
      </w:r>
    </w:p>
    <w:p w14:paraId="6B6BC7BE" w14:textId="77777777" w:rsidR="00737ED4" w:rsidRPr="005E0053" w:rsidRDefault="00737ED4" w:rsidP="00EC06D4">
      <w:pPr>
        <w:spacing w:before="240"/>
        <w:rPr>
          <w:rFonts w:ascii="Arial" w:hAnsi="Arial" w:cs="Arial"/>
        </w:rPr>
      </w:pPr>
      <w:r w:rsidRPr="005E0053">
        <w:rPr>
          <w:rFonts w:ascii="Arial" w:hAnsi="Arial" w:cs="Arial"/>
          <w:b/>
        </w:rPr>
        <w:t>Elvia McGuire,</w:t>
      </w:r>
      <w:r w:rsidRPr="005E0053">
        <w:rPr>
          <w:rFonts w:ascii="Arial" w:hAnsi="Arial" w:cs="Arial"/>
        </w:rPr>
        <w:t xml:space="preserve"> Education Programs Consultant, MEO</w:t>
      </w:r>
      <w:r w:rsidR="00196CEB" w:rsidRPr="005E0053">
        <w:rPr>
          <w:rFonts w:ascii="Arial" w:hAnsi="Arial" w:cs="Arial"/>
        </w:rPr>
        <w:t>, CDE</w:t>
      </w:r>
    </w:p>
    <w:p w14:paraId="20DAB5FE" w14:textId="77777777" w:rsidR="00737ED4" w:rsidRPr="005E0053" w:rsidRDefault="00737ED4" w:rsidP="00737ED4">
      <w:pPr>
        <w:contextualSpacing/>
        <w:rPr>
          <w:rFonts w:ascii="Arial" w:hAnsi="Arial" w:cs="Arial"/>
        </w:rPr>
      </w:pPr>
      <w:r w:rsidRPr="005E0053">
        <w:rPr>
          <w:rFonts w:ascii="Arial" w:hAnsi="Arial" w:cs="Arial"/>
          <w:b/>
        </w:rPr>
        <w:t>Flori Huitt,</w:t>
      </w:r>
      <w:r w:rsidRPr="005E0053">
        <w:rPr>
          <w:rFonts w:ascii="Arial" w:hAnsi="Arial" w:cs="Arial"/>
        </w:rPr>
        <w:t xml:space="preserve"> Education Programs Consultant, MEO</w:t>
      </w:r>
      <w:r w:rsidR="00196CEB" w:rsidRPr="005E0053">
        <w:rPr>
          <w:rFonts w:ascii="Arial" w:hAnsi="Arial" w:cs="Arial"/>
        </w:rPr>
        <w:t>, CDE</w:t>
      </w:r>
    </w:p>
    <w:p w14:paraId="01848F65" w14:textId="77777777" w:rsidR="00737ED4" w:rsidRPr="005E0053" w:rsidRDefault="00737ED4" w:rsidP="00737ED4">
      <w:pPr>
        <w:contextualSpacing/>
        <w:rPr>
          <w:rFonts w:ascii="Arial" w:hAnsi="Arial" w:cs="Arial"/>
        </w:rPr>
      </w:pPr>
      <w:r w:rsidRPr="005E0053">
        <w:rPr>
          <w:rFonts w:ascii="Arial" w:hAnsi="Arial" w:cs="Arial"/>
          <w:b/>
        </w:rPr>
        <w:t>Jamie Contreras,</w:t>
      </w:r>
      <w:r w:rsidRPr="005E0053">
        <w:rPr>
          <w:rFonts w:ascii="Arial" w:hAnsi="Arial" w:cs="Arial"/>
        </w:rPr>
        <w:t xml:space="preserve"> Education Programs Consultant, MEO</w:t>
      </w:r>
      <w:r w:rsidR="00196CEB" w:rsidRPr="005E0053">
        <w:rPr>
          <w:rFonts w:ascii="Arial" w:hAnsi="Arial" w:cs="Arial"/>
        </w:rPr>
        <w:t>, CDE</w:t>
      </w:r>
    </w:p>
    <w:p w14:paraId="557DB90E" w14:textId="77777777" w:rsidR="00737ED4" w:rsidRPr="005E0053" w:rsidRDefault="00737ED4" w:rsidP="00737ED4">
      <w:pPr>
        <w:contextualSpacing/>
        <w:rPr>
          <w:rFonts w:ascii="Arial" w:hAnsi="Arial" w:cs="Arial"/>
        </w:rPr>
      </w:pPr>
      <w:r w:rsidRPr="005E0053">
        <w:rPr>
          <w:rFonts w:ascii="Arial" w:hAnsi="Arial" w:cs="Arial"/>
          <w:b/>
        </w:rPr>
        <w:t>John Oses,</w:t>
      </w:r>
      <w:r w:rsidRPr="005E0053">
        <w:rPr>
          <w:rFonts w:ascii="Arial" w:hAnsi="Arial" w:cs="Arial"/>
        </w:rPr>
        <w:t xml:space="preserve"> Education Programs Assistant, MEO</w:t>
      </w:r>
      <w:r w:rsidR="00196CEB" w:rsidRPr="005E0053">
        <w:rPr>
          <w:rFonts w:ascii="Arial" w:hAnsi="Arial" w:cs="Arial"/>
        </w:rPr>
        <w:t>, CDE</w:t>
      </w:r>
    </w:p>
    <w:p w14:paraId="53314419" w14:textId="77777777" w:rsidR="00737ED4" w:rsidRPr="005E0053" w:rsidRDefault="00737ED4" w:rsidP="00737ED4">
      <w:pPr>
        <w:contextualSpacing/>
        <w:rPr>
          <w:rFonts w:ascii="Arial" w:hAnsi="Arial" w:cs="Arial"/>
        </w:rPr>
      </w:pPr>
      <w:r w:rsidRPr="005E0053">
        <w:rPr>
          <w:rFonts w:ascii="Arial" w:hAnsi="Arial" w:cs="Arial"/>
          <w:b/>
        </w:rPr>
        <w:t>Noelia Hernandez,</w:t>
      </w:r>
      <w:r w:rsidRPr="005E0053">
        <w:rPr>
          <w:rFonts w:ascii="Arial" w:hAnsi="Arial" w:cs="Arial"/>
        </w:rPr>
        <w:t xml:space="preserve"> Education Programs Consultant, MEO</w:t>
      </w:r>
      <w:r w:rsidR="00196CEB" w:rsidRPr="005E0053">
        <w:rPr>
          <w:rFonts w:ascii="Arial" w:hAnsi="Arial" w:cs="Arial"/>
        </w:rPr>
        <w:t>, CDE</w:t>
      </w:r>
    </w:p>
    <w:p w14:paraId="240E5B9C" w14:textId="77777777" w:rsidR="00737ED4" w:rsidRPr="005E0053" w:rsidRDefault="00737ED4" w:rsidP="00737ED4">
      <w:pPr>
        <w:contextualSpacing/>
        <w:rPr>
          <w:rFonts w:ascii="Arial" w:hAnsi="Arial" w:cs="Arial"/>
        </w:rPr>
      </w:pPr>
      <w:r w:rsidRPr="005E0053">
        <w:rPr>
          <w:rFonts w:ascii="Arial" w:hAnsi="Arial" w:cs="Arial"/>
          <w:b/>
        </w:rPr>
        <w:t>Susie Watt,</w:t>
      </w:r>
      <w:r w:rsidRPr="005E0053">
        <w:rPr>
          <w:rFonts w:ascii="Arial" w:hAnsi="Arial" w:cs="Arial"/>
        </w:rPr>
        <w:t xml:space="preserve"> Education Programs Consultant, MEO</w:t>
      </w:r>
      <w:r w:rsidR="00196CEB" w:rsidRPr="005E0053">
        <w:rPr>
          <w:rFonts w:ascii="Arial" w:hAnsi="Arial" w:cs="Arial"/>
        </w:rPr>
        <w:t>, CDE</w:t>
      </w:r>
    </w:p>
    <w:p w14:paraId="55DD320F" w14:textId="77777777" w:rsidR="00737ED4" w:rsidRPr="005E0053" w:rsidRDefault="00C53053" w:rsidP="00EC06D4">
      <w:pPr>
        <w:spacing w:before="240"/>
        <w:rPr>
          <w:rFonts w:ascii="Arial" w:hAnsi="Arial" w:cs="Arial"/>
        </w:rPr>
      </w:pPr>
      <w:r w:rsidRPr="005E0053">
        <w:rPr>
          <w:rFonts w:ascii="Arial" w:hAnsi="Arial" w:cs="Arial"/>
        </w:rPr>
        <w:t>S</w:t>
      </w:r>
      <w:r w:rsidR="00737ED4" w:rsidRPr="005E0053">
        <w:rPr>
          <w:rFonts w:ascii="Arial" w:hAnsi="Arial" w:cs="Arial"/>
        </w:rPr>
        <w:t>pecial appreciation is due to the administrative and fiscal staff who assisted with the development this project:</w:t>
      </w:r>
    </w:p>
    <w:p w14:paraId="21D640BE" w14:textId="0D66AE4A" w:rsidR="00737ED4" w:rsidRPr="005E0053" w:rsidRDefault="00737ED4" w:rsidP="00EC06D4">
      <w:pPr>
        <w:spacing w:before="240"/>
        <w:rPr>
          <w:rFonts w:ascii="Arial" w:hAnsi="Arial" w:cs="Arial"/>
        </w:rPr>
      </w:pPr>
      <w:r w:rsidRPr="005E0053">
        <w:rPr>
          <w:rFonts w:ascii="Arial" w:hAnsi="Arial" w:cs="Arial"/>
          <w:b/>
        </w:rPr>
        <w:t>Barbara Garcia,</w:t>
      </w:r>
      <w:r w:rsidRPr="005E0053">
        <w:rPr>
          <w:rFonts w:ascii="Arial" w:hAnsi="Arial" w:cs="Arial"/>
        </w:rPr>
        <w:t xml:space="preserve"> Executive Secretary, </w:t>
      </w:r>
      <w:r w:rsidR="009934C2">
        <w:rPr>
          <w:rFonts w:ascii="Arial" w:hAnsi="Arial" w:cs="Arial"/>
        </w:rPr>
        <w:t>M</w:t>
      </w:r>
      <w:r w:rsidRPr="005E0053">
        <w:rPr>
          <w:rFonts w:ascii="Arial" w:hAnsi="Arial" w:cs="Arial"/>
        </w:rPr>
        <w:t>SD</w:t>
      </w:r>
      <w:r w:rsidR="00196CEB" w:rsidRPr="005E0053">
        <w:rPr>
          <w:rFonts w:ascii="Arial" w:hAnsi="Arial" w:cs="Arial"/>
        </w:rPr>
        <w:t>, CDE</w:t>
      </w:r>
    </w:p>
    <w:p w14:paraId="337E83F4" w14:textId="77777777" w:rsidR="00737ED4" w:rsidRPr="005E0053" w:rsidRDefault="00737ED4" w:rsidP="00737ED4">
      <w:pPr>
        <w:contextualSpacing/>
        <w:rPr>
          <w:rFonts w:ascii="Arial" w:hAnsi="Arial" w:cs="Arial"/>
        </w:rPr>
      </w:pPr>
      <w:r w:rsidRPr="005E0053">
        <w:rPr>
          <w:rFonts w:ascii="Arial" w:hAnsi="Arial" w:cs="Arial"/>
          <w:b/>
        </w:rPr>
        <w:t>Jennifer Cordova,</w:t>
      </w:r>
      <w:r w:rsidRPr="005E0053">
        <w:rPr>
          <w:rFonts w:ascii="Arial" w:hAnsi="Arial" w:cs="Arial"/>
        </w:rPr>
        <w:t xml:space="preserve"> Associate Government Program Analyst, </w:t>
      </w:r>
      <w:r w:rsidR="00DC5C7D" w:rsidRPr="005E0053">
        <w:rPr>
          <w:rFonts w:ascii="Arial" w:hAnsi="Arial" w:cs="Arial"/>
        </w:rPr>
        <w:t>Division</w:t>
      </w:r>
      <w:r w:rsidRPr="005E0053">
        <w:rPr>
          <w:rFonts w:ascii="Arial" w:hAnsi="Arial" w:cs="Arial"/>
        </w:rPr>
        <w:t xml:space="preserve"> Support Office</w:t>
      </w:r>
      <w:r w:rsidR="00196CEB" w:rsidRPr="005E0053">
        <w:rPr>
          <w:rFonts w:ascii="Arial" w:hAnsi="Arial" w:cs="Arial"/>
        </w:rPr>
        <w:t>, CDE</w:t>
      </w:r>
    </w:p>
    <w:p w14:paraId="1798F3B2" w14:textId="755B5E3D" w:rsidR="008721C2" w:rsidRPr="005E0053" w:rsidRDefault="008721C2" w:rsidP="00737ED4">
      <w:pPr>
        <w:contextualSpacing/>
        <w:rPr>
          <w:rFonts w:ascii="Arial" w:hAnsi="Arial" w:cs="Arial"/>
        </w:rPr>
      </w:pPr>
      <w:r w:rsidRPr="005E0053">
        <w:rPr>
          <w:rFonts w:ascii="Arial" w:hAnsi="Arial" w:cs="Arial"/>
          <w:b/>
        </w:rPr>
        <w:t>Marcela Rodriguez</w:t>
      </w:r>
      <w:r w:rsidRPr="005E0053">
        <w:rPr>
          <w:rFonts w:ascii="Arial" w:hAnsi="Arial" w:cs="Arial"/>
        </w:rPr>
        <w:t xml:space="preserve">, Educations Programs Consultant, </w:t>
      </w:r>
      <w:r w:rsidR="009934C2">
        <w:rPr>
          <w:rFonts w:ascii="Arial" w:hAnsi="Arial" w:cs="Arial"/>
        </w:rPr>
        <w:t>M</w:t>
      </w:r>
      <w:r w:rsidRPr="005E0053">
        <w:rPr>
          <w:rFonts w:ascii="Arial" w:hAnsi="Arial" w:cs="Arial"/>
        </w:rPr>
        <w:t>SD, CDE</w:t>
      </w:r>
    </w:p>
    <w:p w14:paraId="61C9B526" w14:textId="77777777" w:rsidR="00737ED4" w:rsidRPr="005E0053" w:rsidRDefault="00737ED4" w:rsidP="00737ED4">
      <w:pPr>
        <w:contextualSpacing/>
        <w:rPr>
          <w:rFonts w:ascii="Arial" w:hAnsi="Arial" w:cs="Arial"/>
        </w:rPr>
      </w:pPr>
      <w:r w:rsidRPr="005E0053">
        <w:rPr>
          <w:rFonts w:ascii="Arial" w:hAnsi="Arial" w:cs="Arial"/>
          <w:b/>
        </w:rPr>
        <w:t xml:space="preserve">Silvia </w:t>
      </w:r>
      <w:proofErr w:type="spellStart"/>
      <w:r w:rsidRPr="005E0053">
        <w:rPr>
          <w:rFonts w:ascii="Arial" w:hAnsi="Arial" w:cs="Arial"/>
          <w:b/>
        </w:rPr>
        <w:t>Sat</w:t>
      </w:r>
      <w:r w:rsidR="00937771" w:rsidRPr="005E0053">
        <w:rPr>
          <w:rFonts w:ascii="Arial" w:hAnsi="Arial" w:cs="Arial"/>
          <w:b/>
        </w:rPr>
        <w:t>a</w:t>
      </w:r>
      <w:r w:rsidRPr="005E0053">
        <w:rPr>
          <w:rFonts w:ascii="Arial" w:hAnsi="Arial" w:cs="Arial"/>
          <w:b/>
        </w:rPr>
        <w:t>ray</w:t>
      </w:r>
      <w:proofErr w:type="spellEnd"/>
      <w:r w:rsidRPr="005E0053">
        <w:rPr>
          <w:rFonts w:ascii="Arial" w:hAnsi="Arial" w:cs="Arial"/>
          <w:b/>
        </w:rPr>
        <w:t>,</w:t>
      </w:r>
      <w:r w:rsidRPr="005E0053">
        <w:rPr>
          <w:rFonts w:ascii="Arial" w:hAnsi="Arial" w:cs="Arial"/>
        </w:rPr>
        <w:t xml:space="preserve"> Office Technician, MEO</w:t>
      </w:r>
      <w:r w:rsidR="00196CEB" w:rsidRPr="005E0053">
        <w:rPr>
          <w:rFonts w:ascii="Arial" w:hAnsi="Arial" w:cs="Arial"/>
        </w:rPr>
        <w:t>, CDE</w:t>
      </w:r>
    </w:p>
    <w:p w14:paraId="12376992" w14:textId="77777777" w:rsidR="00737ED4" w:rsidRPr="005E0053" w:rsidRDefault="00737ED4" w:rsidP="00737ED4">
      <w:pPr>
        <w:contextualSpacing/>
        <w:rPr>
          <w:rFonts w:ascii="Arial" w:hAnsi="Arial" w:cs="Arial"/>
        </w:rPr>
      </w:pPr>
      <w:r w:rsidRPr="005E0053">
        <w:rPr>
          <w:rFonts w:ascii="Arial" w:hAnsi="Arial" w:cs="Arial"/>
          <w:b/>
        </w:rPr>
        <w:t xml:space="preserve">Zenaida </w:t>
      </w:r>
      <w:r w:rsidR="00937771" w:rsidRPr="005E0053">
        <w:rPr>
          <w:rFonts w:ascii="Arial" w:hAnsi="Arial" w:cs="Arial"/>
          <w:b/>
        </w:rPr>
        <w:t>Gutierrez</w:t>
      </w:r>
      <w:r w:rsidRPr="005E0053">
        <w:rPr>
          <w:rFonts w:ascii="Arial" w:hAnsi="Arial" w:cs="Arial"/>
          <w:b/>
        </w:rPr>
        <w:t>,</w:t>
      </w:r>
      <w:r w:rsidRPr="005E0053">
        <w:rPr>
          <w:rFonts w:ascii="Arial" w:hAnsi="Arial" w:cs="Arial"/>
        </w:rPr>
        <w:t xml:space="preserve"> Administrative Assistant, WestEd</w:t>
      </w:r>
    </w:p>
    <w:p w14:paraId="72D9B5B1" w14:textId="7607FD6B" w:rsidR="00C53053" w:rsidRPr="005E0053" w:rsidRDefault="00C53053" w:rsidP="00EC06D4">
      <w:pPr>
        <w:spacing w:before="240"/>
        <w:rPr>
          <w:rFonts w:ascii="Arial" w:hAnsi="Arial" w:cs="Arial"/>
        </w:rPr>
      </w:pPr>
      <w:r w:rsidRPr="005E0053">
        <w:rPr>
          <w:rFonts w:ascii="Arial" w:hAnsi="Arial" w:cs="Arial"/>
        </w:rPr>
        <w:t xml:space="preserve">Finally, the SSDP would not be possible without the support from </w:t>
      </w:r>
      <w:r w:rsidR="009934C2">
        <w:rPr>
          <w:rFonts w:ascii="Arial" w:hAnsi="Arial" w:cs="Arial"/>
        </w:rPr>
        <w:t>M</w:t>
      </w:r>
      <w:r w:rsidRPr="005E0053">
        <w:rPr>
          <w:rFonts w:ascii="Arial" w:hAnsi="Arial" w:cs="Arial"/>
        </w:rPr>
        <w:t>SD’s Deputy and Chief Deputies:</w:t>
      </w:r>
    </w:p>
    <w:p w14:paraId="251C3539" w14:textId="77777777" w:rsidR="00C53053" w:rsidRPr="005E0053" w:rsidRDefault="00C53053" w:rsidP="00EC06D4">
      <w:pPr>
        <w:spacing w:before="240"/>
        <w:rPr>
          <w:rFonts w:ascii="Arial" w:hAnsi="Arial" w:cs="Arial"/>
        </w:rPr>
      </w:pPr>
      <w:r w:rsidRPr="005E0053">
        <w:rPr>
          <w:rFonts w:ascii="Arial" w:hAnsi="Arial" w:cs="Arial"/>
          <w:b/>
        </w:rPr>
        <w:t>Glen Price</w:t>
      </w:r>
      <w:r w:rsidRPr="005E0053">
        <w:rPr>
          <w:rFonts w:ascii="Arial" w:hAnsi="Arial" w:cs="Arial"/>
        </w:rPr>
        <w:t xml:space="preserve">, Chief Deputy Superintendent, </w:t>
      </w:r>
      <w:r w:rsidR="00081269" w:rsidRPr="005E0053">
        <w:rPr>
          <w:rFonts w:ascii="Arial" w:hAnsi="Arial" w:cs="Arial"/>
        </w:rPr>
        <w:t>CDE</w:t>
      </w:r>
    </w:p>
    <w:p w14:paraId="4632912A" w14:textId="77777777" w:rsidR="00081269" w:rsidRPr="005E0053" w:rsidRDefault="00081269" w:rsidP="00737ED4">
      <w:pPr>
        <w:contextualSpacing/>
        <w:rPr>
          <w:rFonts w:ascii="Arial" w:hAnsi="Arial" w:cs="Arial"/>
        </w:rPr>
      </w:pPr>
      <w:r w:rsidRPr="005E0053">
        <w:rPr>
          <w:rFonts w:ascii="Arial" w:hAnsi="Arial" w:cs="Arial"/>
          <w:b/>
        </w:rPr>
        <w:t>Michelle Zumot</w:t>
      </w:r>
      <w:r w:rsidRPr="005E0053">
        <w:rPr>
          <w:rFonts w:ascii="Arial" w:hAnsi="Arial" w:cs="Arial"/>
        </w:rPr>
        <w:t>, Chief Deputy Superintendent, CDE</w:t>
      </w:r>
    </w:p>
    <w:p w14:paraId="1CF7E0B6" w14:textId="77777777" w:rsidR="00C53053" w:rsidRPr="005E0053" w:rsidRDefault="00C53053" w:rsidP="00737ED4">
      <w:pPr>
        <w:contextualSpacing/>
        <w:rPr>
          <w:rFonts w:ascii="Arial" w:hAnsi="Arial" w:cs="Arial"/>
        </w:rPr>
      </w:pPr>
      <w:r w:rsidRPr="005E0053">
        <w:rPr>
          <w:rFonts w:ascii="Arial" w:hAnsi="Arial" w:cs="Arial"/>
          <w:b/>
        </w:rPr>
        <w:t>Tom Adams</w:t>
      </w:r>
      <w:r w:rsidRPr="005E0053">
        <w:rPr>
          <w:rFonts w:ascii="Arial" w:hAnsi="Arial" w:cs="Arial"/>
        </w:rPr>
        <w:t>, De</w:t>
      </w:r>
      <w:r w:rsidR="00DC1BE4" w:rsidRPr="005E0053">
        <w:rPr>
          <w:rFonts w:ascii="Arial" w:hAnsi="Arial" w:cs="Arial"/>
        </w:rPr>
        <w:t xml:space="preserve">puty Superintendent, Teaching and </w:t>
      </w:r>
      <w:r w:rsidRPr="005E0053">
        <w:rPr>
          <w:rFonts w:ascii="Arial" w:hAnsi="Arial" w:cs="Arial"/>
        </w:rPr>
        <w:t>Learning Support Branch, CDE</w:t>
      </w:r>
    </w:p>
    <w:p w14:paraId="6C746188" w14:textId="0490951A" w:rsidR="00857299" w:rsidRDefault="00737ED4" w:rsidP="00EC06D4">
      <w:pPr>
        <w:spacing w:before="240"/>
        <w:rPr>
          <w:rFonts w:ascii="Arial" w:hAnsi="Arial" w:cs="Arial"/>
        </w:rPr>
      </w:pPr>
      <w:r w:rsidRPr="005E0053">
        <w:rPr>
          <w:rFonts w:ascii="Arial" w:hAnsi="Arial" w:cs="Arial"/>
        </w:rPr>
        <w:t>Thank you to these individuals for their vital contributions to this project and report.</w:t>
      </w:r>
    </w:p>
    <w:p w14:paraId="39B4C9E2" w14:textId="77777777" w:rsidR="00857299" w:rsidRDefault="00857299">
      <w:pPr>
        <w:rPr>
          <w:rFonts w:ascii="Arial" w:hAnsi="Arial" w:cs="Arial"/>
        </w:rPr>
      </w:pPr>
      <w:r>
        <w:rPr>
          <w:rFonts w:ascii="Arial" w:hAnsi="Arial" w:cs="Arial"/>
        </w:rPr>
        <w:br w:type="page"/>
      </w:r>
    </w:p>
    <w:p w14:paraId="47CEA02F" w14:textId="77777777" w:rsidR="00072681" w:rsidRPr="005E0053" w:rsidRDefault="00072681" w:rsidP="005E0053">
      <w:pPr>
        <w:pStyle w:val="Heading3"/>
        <w:rPr>
          <w:rFonts w:cs="Arial"/>
        </w:rPr>
      </w:pPr>
      <w:bookmarkStart w:id="5" w:name="_Toc504520842"/>
      <w:r w:rsidRPr="005E0053">
        <w:rPr>
          <w:rFonts w:cs="Arial"/>
        </w:rPr>
        <w:lastRenderedPageBreak/>
        <w:t>Executive Summary</w:t>
      </w:r>
      <w:bookmarkEnd w:id="5"/>
    </w:p>
    <w:p w14:paraId="5CE3F5A0" w14:textId="50E75F5B" w:rsidR="00072681" w:rsidRPr="005E0053" w:rsidRDefault="00293E5D" w:rsidP="00072681">
      <w:pPr>
        <w:rPr>
          <w:rFonts w:ascii="Arial" w:hAnsi="Arial" w:cs="Arial"/>
        </w:rPr>
      </w:pPr>
      <w:r w:rsidRPr="005E0053">
        <w:rPr>
          <w:rFonts w:ascii="Arial" w:hAnsi="Arial" w:cs="Arial"/>
        </w:rPr>
        <w:t>California’s State Service Delivery Plan serves as a guiding document in the implementation of Title I, Part C services for migratory children as required under Section 1306 of the Every S</w:t>
      </w:r>
      <w:r w:rsidR="005D0E9C" w:rsidRPr="005E0053">
        <w:rPr>
          <w:rFonts w:ascii="Arial" w:hAnsi="Arial" w:cs="Arial"/>
        </w:rPr>
        <w:t xml:space="preserve">tudent Succeeds Act. This </w:t>
      </w:r>
      <w:r w:rsidR="00610248">
        <w:rPr>
          <w:rFonts w:ascii="Arial" w:hAnsi="Arial" w:cs="Arial"/>
        </w:rPr>
        <w:t>five</w:t>
      </w:r>
      <w:r w:rsidR="005D0E9C" w:rsidRPr="005E0053">
        <w:rPr>
          <w:rFonts w:ascii="Arial" w:hAnsi="Arial" w:cs="Arial"/>
        </w:rPr>
        <w:t>-</w:t>
      </w:r>
      <w:r w:rsidRPr="005E0053">
        <w:rPr>
          <w:rFonts w:ascii="Arial" w:hAnsi="Arial" w:cs="Arial"/>
        </w:rPr>
        <w:t xml:space="preserve">year plan will be implemented starting in the 2018–19 school </w:t>
      </w:r>
      <w:r w:rsidR="007B3EC5" w:rsidRPr="005E0053">
        <w:rPr>
          <w:rFonts w:ascii="Arial" w:hAnsi="Arial" w:cs="Arial"/>
        </w:rPr>
        <w:t>year and run through the 202</w:t>
      </w:r>
      <w:r w:rsidR="00610248">
        <w:rPr>
          <w:rFonts w:ascii="Arial" w:hAnsi="Arial" w:cs="Arial"/>
        </w:rPr>
        <w:t>2</w:t>
      </w:r>
      <w:r w:rsidR="007B3EC5" w:rsidRPr="005E0053">
        <w:rPr>
          <w:rFonts w:ascii="Arial" w:hAnsi="Arial" w:cs="Arial"/>
        </w:rPr>
        <w:t>–</w:t>
      </w:r>
      <w:r w:rsidRPr="005E0053">
        <w:rPr>
          <w:rFonts w:ascii="Arial" w:hAnsi="Arial" w:cs="Arial"/>
        </w:rPr>
        <w:t>2</w:t>
      </w:r>
      <w:r w:rsidR="00610248">
        <w:rPr>
          <w:rFonts w:ascii="Arial" w:hAnsi="Arial" w:cs="Arial"/>
        </w:rPr>
        <w:t>3</w:t>
      </w:r>
      <w:r w:rsidRPr="005E0053">
        <w:rPr>
          <w:rFonts w:ascii="Arial" w:hAnsi="Arial" w:cs="Arial"/>
        </w:rPr>
        <w:t xml:space="preserve"> school year.</w:t>
      </w:r>
    </w:p>
    <w:p w14:paraId="3052F110" w14:textId="5C299983" w:rsidR="00247E94" w:rsidRPr="005E0053" w:rsidRDefault="00293E5D" w:rsidP="00EC06D4">
      <w:pPr>
        <w:spacing w:before="240"/>
        <w:rPr>
          <w:rFonts w:ascii="Arial" w:hAnsi="Arial" w:cs="Arial"/>
        </w:rPr>
      </w:pPr>
      <w:r w:rsidRPr="005E0053">
        <w:rPr>
          <w:rFonts w:ascii="Arial" w:hAnsi="Arial" w:cs="Arial"/>
        </w:rPr>
        <w:t xml:space="preserve">In 2016–17, </w:t>
      </w:r>
      <w:r w:rsidR="00247E94" w:rsidRPr="005E0053">
        <w:rPr>
          <w:rFonts w:ascii="Arial" w:hAnsi="Arial" w:cs="Arial"/>
        </w:rPr>
        <w:t>the C</w:t>
      </w:r>
      <w:r w:rsidR="007B3EC5" w:rsidRPr="005E0053">
        <w:rPr>
          <w:rFonts w:ascii="Arial" w:hAnsi="Arial" w:cs="Arial"/>
        </w:rPr>
        <w:t xml:space="preserve">alifornia </w:t>
      </w:r>
      <w:r w:rsidR="00247E94" w:rsidRPr="005E0053">
        <w:rPr>
          <w:rFonts w:ascii="Arial" w:hAnsi="Arial" w:cs="Arial"/>
        </w:rPr>
        <w:t>D</w:t>
      </w:r>
      <w:r w:rsidR="007B3EC5" w:rsidRPr="005E0053">
        <w:rPr>
          <w:rFonts w:ascii="Arial" w:hAnsi="Arial" w:cs="Arial"/>
        </w:rPr>
        <w:t xml:space="preserve">epartment of </w:t>
      </w:r>
      <w:r w:rsidR="00247E94" w:rsidRPr="005E0053">
        <w:rPr>
          <w:rFonts w:ascii="Arial" w:hAnsi="Arial" w:cs="Arial"/>
        </w:rPr>
        <w:t>E</w:t>
      </w:r>
      <w:r w:rsidR="007B3EC5" w:rsidRPr="005E0053">
        <w:rPr>
          <w:rFonts w:ascii="Arial" w:hAnsi="Arial" w:cs="Arial"/>
        </w:rPr>
        <w:t>ducation</w:t>
      </w:r>
      <w:r w:rsidR="00755CA2" w:rsidRPr="005E0053">
        <w:rPr>
          <w:rFonts w:ascii="Arial" w:hAnsi="Arial" w:cs="Arial"/>
        </w:rPr>
        <w:t xml:space="preserve"> </w:t>
      </w:r>
      <w:r w:rsidRPr="005E0053">
        <w:rPr>
          <w:rFonts w:ascii="Arial" w:hAnsi="Arial" w:cs="Arial"/>
        </w:rPr>
        <w:t xml:space="preserve">began the process for developing this comprehensive plan for how Migrant Education Program services are delivered </w:t>
      </w:r>
      <w:r w:rsidR="00247E94" w:rsidRPr="005E0053">
        <w:rPr>
          <w:rFonts w:ascii="Arial" w:hAnsi="Arial" w:cs="Arial"/>
        </w:rPr>
        <w:t xml:space="preserve">throughout the </w:t>
      </w:r>
      <w:r w:rsidR="00C9094A" w:rsidRPr="005E0053">
        <w:rPr>
          <w:rFonts w:ascii="Arial" w:hAnsi="Arial" w:cs="Arial"/>
        </w:rPr>
        <w:t>s</w:t>
      </w:r>
      <w:r w:rsidR="00247E94" w:rsidRPr="005E0053">
        <w:rPr>
          <w:rFonts w:ascii="Arial" w:hAnsi="Arial" w:cs="Arial"/>
        </w:rPr>
        <w:t xml:space="preserve">tate </w:t>
      </w:r>
      <w:r w:rsidRPr="005E0053">
        <w:rPr>
          <w:rFonts w:ascii="Arial" w:hAnsi="Arial" w:cs="Arial"/>
        </w:rPr>
        <w:t>in order to mee</w:t>
      </w:r>
      <w:r w:rsidR="00247E94" w:rsidRPr="005E0053">
        <w:rPr>
          <w:rFonts w:ascii="Arial" w:hAnsi="Arial" w:cs="Arial"/>
        </w:rPr>
        <w:t xml:space="preserve">t the unique needs of migratory children. A series of </w:t>
      </w:r>
      <w:r w:rsidR="00B81939">
        <w:rPr>
          <w:rFonts w:ascii="Arial" w:hAnsi="Arial" w:cs="Arial"/>
        </w:rPr>
        <w:t>CNA/SSDP Committee</w:t>
      </w:r>
      <w:r w:rsidR="00B81939" w:rsidRPr="005E0053">
        <w:rPr>
          <w:rFonts w:ascii="Arial" w:hAnsi="Arial" w:cs="Arial"/>
        </w:rPr>
        <w:t xml:space="preserve"> </w:t>
      </w:r>
      <w:r w:rsidR="00247E94" w:rsidRPr="005E0053">
        <w:rPr>
          <w:rFonts w:ascii="Arial" w:hAnsi="Arial" w:cs="Arial"/>
        </w:rPr>
        <w:t xml:space="preserve">meetings allowed </w:t>
      </w:r>
      <w:r w:rsidR="00B81939">
        <w:rPr>
          <w:rFonts w:ascii="Arial" w:hAnsi="Arial" w:cs="Arial"/>
        </w:rPr>
        <w:t xml:space="preserve">interested </w:t>
      </w:r>
      <w:proofErr w:type="spellStart"/>
      <w:r w:rsidR="00B81939">
        <w:rPr>
          <w:rFonts w:ascii="Arial" w:hAnsi="Arial" w:cs="Arial"/>
        </w:rPr>
        <w:t>partiees</w:t>
      </w:r>
      <w:proofErr w:type="spellEnd"/>
      <w:r w:rsidR="00247E94" w:rsidRPr="005E0053">
        <w:rPr>
          <w:rFonts w:ascii="Arial" w:hAnsi="Arial" w:cs="Arial"/>
        </w:rPr>
        <w:t xml:space="preserve">, including migratory parents, </w:t>
      </w:r>
      <w:r w:rsidR="0059465A" w:rsidRPr="005E0053">
        <w:rPr>
          <w:rFonts w:ascii="Arial" w:hAnsi="Arial" w:cs="Arial"/>
        </w:rPr>
        <w:t>to examine</w:t>
      </w:r>
      <w:r w:rsidR="00247E94" w:rsidRPr="005E0053">
        <w:rPr>
          <w:rFonts w:ascii="Arial" w:hAnsi="Arial" w:cs="Arial"/>
        </w:rPr>
        <w:t xml:space="preserve"> both student achievement and programmatic data. In reviewing the data, </w:t>
      </w:r>
      <w:r w:rsidR="00B81939">
        <w:rPr>
          <w:rFonts w:ascii="Arial" w:hAnsi="Arial" w:cs="Arial"/>
        </w:rPr>
        <w:t>committee members</w:t>
      </w:r>
      <w:r w:rsidR="00B81939" w:rsidRPr="005E0053">
        <w:rPr>
          <w:rFonts w:ascii="Arial" w:hAnsi="Arial" w:cs="Arial"/>
        </w:rPr>
        <w:t xml:space="preserve"> </w:t>
      </w:r>
      <w:r w:rsidR="00247E94" w:rsidRPr="005E0053">
        <w:rPr>
          <w:rFonts w:ascii="Arial" w:hAnsi="Arial" w:cs="Arial"/>
        </w:rPr>
        <w:t>identified and prioritized migratory students’ needs and selected preli</w:t>
      </w:r>
      <w:r w:rsidR="00DC1BE4" w:rsidRPr="005E0053">
        <w:rPr>
          <w:rFonts w:ascii="Arial" w:hAnsi="Arial" w:cs="Arial"/>
        </w:rPr>
        <w:t>minary strategies to address tho</w:t>
      </w:r>
      <w:r w:rsidR="00247E94" w:rsidRPr="005E0053">
        <w:rPr>
          <w:rFonts w:ascii="Arial" w:hAnsi="Arial" w:cs="Arial"/>
        </w:rPr>
        <w:t xml:space="preserve">se needs. In total, the committee prioritized </w:t>
      </w:r>
      <w:r w:rsidR="00C9094A" w:rsidRPr="005E0053">
        <w:rPr>
          <w:rFonts w:ascii="Arial" w:hAnsi="Arial" w:cs="Arial"/>
        </w:rPr>
        <w:t xml:space="preserve">more than </w:t>
      </w:r>
      <w:r w:rsidR="00247E94" w:rsidRPr="005E0053">
        <w:rPr>
          <w:rFonts w:ascii="Arial" w:hAnsi="Arial" w:cs="Arial"/>
        </w:rPr>
        <w:t>26 stude</w:t>
      </w:r>
      <w:r w:rsidR="00D5555A" w:rsidRPr="005E0053">
        <w:rPr>
          <w:rFonts w:ascii="Arial" w:hAnsi="Arial" w:cs="Arial"/>
        </w:rPr>
        <w:t xml:space="preserve">nt needs over the following </w:t>
      </w:r>
      <w:r w:rsidR="005D0E9C" w:rsidRPr="005E0053">
        <w:rPr>
          <w:rFonts w:ascii="Arial" w:hAnsi="Arial" w:cs="Arial"/>
        </w:rPr>
        <w:t>nine</w:t>
      </w:r>
      <w:r w:rsidR="00DC1BE4" w:rsidRPr="005E0053">
        <w:rPr>
          <w:rFonts w:ascii="Arial" w:hAnsi="Arial" w:cs="Arial"/>
        </w:rPr>
        <w:t xml:space="preserve"> </w:t>
      </w:r>
      <w:r w:rsidR="00D5555A" w:rsidRPr="005E0053">
        <w:rPr>
          <w:rFonts w:ascii="Arial" w:hAnsi="Arial" w:cs="Arial"/>
        </w:rPr>
        <w:t>focus areas</w:t>
      </w:r>
      <w:r w:rsidR="00247E94" w:rsidRPr="005E0053">
        <w:rPr>
          <w:rFonts w:ascii="Arial" w:hAnsi="Arial" w:cs="Arial"/>
        </w:rPr>
        <w:t>:</w:t>
      </w:r>
    </w:p>
    <w:p w14:paraId="78F6C8E7" w14:textId="77777777" w:rsidR="00247E94" w:rsidRPr="005E0053" w:rsidRDefault="00247E94" w:rsidP="007D443E">
      <w:pPr>
        <w:pStyle w:val="ListParagraph"/>
        <w:numPr>
          <w:ilvl w:val="0"/>
          <w:numId w:val="58"/>
        </w:numPr>
        <w:spacing w:before="240"/>
        <w:contextualSpacing w:val="0"/>
        <w:rPr>
          <w:rFonts w:ascii="Arial" w:hAnsi="Arial" w:cs="Arial"/>
        </w:rPr>
      </w:pPr>
      <w:r w:rsidRPr="005E0053">
        <w:rPr>
          <w:rFonts w:ascii="Arial" w:hAnsi="Arial" w:cs="Arial"/>
        </w:rPr>
        <w:t>English Language Arts</w:t>
      </w:r>
    </w:p>
    <w:p w14:paraId="2E863ACF" w14:textId="77777777" w:rsidR="00247E94" w:rsidRPr="005E0053" w:rsidRDefault="00247E94" w:rsidP="007D443E">
      <w:pPr>
        <w:pStyle w:val="ListParagraph"/>
        <w:numPr>
          <w:ilvl w:val="0"/>
          <w:numId w:val="58"/>
        </w:numPr>
        <w:rPr>
          <w:rFonts w:ascii="Arial" w:hAnsi="Arial" w:cs="Arial"/>
        </w:rPr>
      </w:pPr>
      <w:r w:rsidRPr="005E0053">
        <w:rPr>
          <w:rFonts w:ascii="Arial" w:hAnsi="Arial" w:cs="Arial"/>
        </w:rPr>
        <w:t>Mathematics</w:t>
      </w:r>
    </w:p>
    <w:p w14:paraId="6E8AD876" w14:textId="77777777" w:rsidR="00247E94" w:rsidRPr="005E0053" w:rsidRDefault="00247E94" w:rsidP="007D443E">
      <w:pPr>
        <w:pStyle w:val="ListParagraph"/>
        <w:numPr>
          <w:ilvl w:val="0"/>
          <w:numId w:val="58"/>
        </w:numPr>
        <w:rPr>
          <w:rFonts w:ascii="Arial" w:hAnsi="Arial" w:cs="Arial"/>
        </w:rPr>
      </w:pPr>
      <w:r w:rsidRPr="005E0053">
        <w:rPr>
          <w:rFonts w:ascii="Arial" w:hAnsi="Arial" w:cs="Arial"/>
        </w:rPr>
        <w:t>English Language Development</w:t>
      </w:r>
    </w:p>
    <w:p w14:paraId="5F9F08B9" w14:textId="77777777" w:rsidR="00247E94" w:rsidRPr="005E0053" w:rsidRDefault="00247E94" w:rsidP="007D443E">
      <w:pPr>
        <w:pStyle w:val="ListParagraph"/>
        <w:numPr>
          <w:ilvl w:val="0"/>
          <w:numId w:val="58"/>
        </w:numPr>
        <w:rPr>
          <w:rFonts w:ascii="Arial" w:hAnsi="Arial" w:cs="Arial"/>
        </w:rPr>
      </w:pPr>
      <w:r w:rsidRPr="005E0053">
        <w:rPr>
          <w:rFonts w:ascii="Arial" w:hAnsi="Arial" w:cs="Arial"/>
        </w:rPr>
        <w:t>High School Graduation/Dropout Prevention</w:t>
      </w:r>
    </w:p>
    <w:p w14:paraId="731E83BC" w14:textId="77777777" w:rsidR="00247E94" w:rsidRPr="005E0053" w:rsidRDefault="00247E94" w:rsidP="007D443E">
      <w:pPr>
        <w:pStyle w:val="ListParagraph"/>
        <w:numPr>
          <w:ilvl w:val="0"/>
          <w:numId w:val="58"/>
        </w:numPr>
        <w:rPr>
          <w:rFonts w:ascii="Arial" w:hAnsi="Arial" w:cs="Arial"/>
        </w:rPr>
      </w:pPr>
      <w:r w:rsidRPr="005E0053">
        <w:rPr>
          <w:rFonts w:ascii="Arial" w:hAnsi="Arial" w:cs="Arial"/>
        </w:rPr>
        <w:t>School Readiness</w:t>
      </w:r>
    </w:p>
    <w:p w14:paraId="74B0BE07" w14:textId="77777777" w:rsidR="00247E94" w:rsidRPr="005E0053" w:rsidRDefault="007B3EC5" w:rsidP="007D443E">
      <w:pPr>
        <w:pStyle w:val="ListParagraph"/>
        <w:numPr>
          <w:ilvl w:val="0"/>
          <w:numId w:val="58"/>
        </w:numPr>
        <w:rPr>
          <w:rFonts w:ascii="Arial" w:hAnsi="Arial" w:cs="Arial"/>
        </w:rPr>
      </w:pPr>
      <w:r w:rsidRPr="005E0053">
        <w:rPr>
          <w:rFonts w:ascii="Arial" w:hAnsi="Arial" w:cs="Arial"/>
        </w:rPr>
        <w:t>Out-of-</w:t>
      </w:r>
      <w:r w:rsidR="00247E94" w:rsidRPr="005E0053">
        <w:rPr>
          <w:rFonts w:ascii="Arial" w:hAnsi="Arial" w:cs="Arial"/>
        </w:rPr>
        <w:t>School</w:t>
      </w:r>
      <w:r w:rsidRPr="005E0053">
        <w:rPr>
          <w:rFonts w:ascii="Arial" w:hAnsi="Arial" w:cs="Arial"/>
        </w:rPr>
        <w:t xml:space="preserve"> </w:t>
      </w:r>
      <w:r w:rsidR="00247E94" w:rsidRPr="005E0053">
        <w:rPr>
          <w:rFonts w:ascii="Arial" w:hAnsi="Arial" w:cs="Arial"/>
        </w:rPr>
        <w:t>Youth</w:t>
      </w:r>
    </w:p>
    <w:p w14:paraId="3B7700C3" w14:textId="77777777" w:rsidR="00247E94" w:rsidRPr="005E0053" w:rsidRDefault="00247E94" w:rsidP="007D443E">
      <w:pPr>
        <w:pStyle w:val="ListParagraph"/>
        <w:numPr>
          <w:ilvl w:val="0"/>
          <w:numId w:val="58"/>
        </w:numPr>
        <w:rPr>
          <w:rFonts w:ascii="Arial" w:hAnsi="Arial" w:cs="Arial"/>
        </w:rPr>
      </w:pPr>
      <w:r w:rsidRPr="005E0053">
        <w:rPr>
          <w:rFonts w:ascii="Arial" w:hAnsi="Arial" w:cs="Arial"/>
        </w:rPr>
        <w:t>Health</w:t>
      </w:r>
    </w:p>
    <w:p w14:paraId="5F651A2C" w14:textId="77777777" w:rsidR="00247E94" w:rsidRPr="005E0053" w:rsidRDefault="00247E94" w:rsidP="007D443E">
      <w:pPr>
        <w:pStyle w:val="ListParagraph"/>
        <w:numPr>
          <w:ilvl w:val="0"/>
          <w:numId w:val="58"/>
        </w:numPr>
        <w:rPr>
          <w:rFonts w:ascii="Arial" w:hAnsi="Arial" w:cs="Arial"/>
        </w:rPr>
      </w:pPr>
      <w:r w:rsidRPr="005E0053">
        <w:rPr>
          <w:rFonts w:ascii="Arial" w:hAnsi="Arial" w:cs="Arial"/>
        </w:rPr>
        <w:t>Parent and Family Engagement</w:t>
      </w:r>
    </w:p>
    <w:p w14:paraId="44A9E1F3" w14:textId="77777777" w:rsidR="00247E94" w:rsidRPr="005E0053" w:rsidRDefault="00247E94" w:rsidP="007D443E">
      <w:pPr>
        <w:pStyle w:val="ListParagraph"/>
        <w:numPr>
          <w:ilvl w:val="0"/>
          <w:numId w:val="58"/>
        </w:numPr>
        <w:rPr>
          <w:rFonts w:ascii="Arial" w:hAnsi="Arial" w:cs="Arial"/>
        </w:rPr>
      </w:pPr>
      <w:r w:rsidRPr="005E0053">
        <w:rPr>
          <w:rFonts w:ascii="Arial" w:hAnsi="Arial" w:cs="Arial"/>
        </w:rPr>
        <w:t>Student Engagement</w:t>
      </w:r>
    </w:p>
    <w:p w14:paraId="444E0A8F" w14:textId="0505F864" w:rsidR="009D09F0" w:rsidRPr="005E0053" w:rsidRDefault="009D09F0" w:rsidP="00EC06D4">
      <w:pPr>
        <w:spacing w:before="240"/>
        <w:rPr>
          <w:rFonts w:ascii="Arial" w:hAnsi="Arial" w:cs="Arial"/>
        </w:rPr>
      </w:pPr>
      <w:r w:rsidRPr="005E0053">
        <w:rPr>
          <w:rFonts w:ascii="Arial" w:hAnsi="Arial" w:cs="Arial"/>
        </w:rPr>
        <w:t>T</w:t>
      </w:r>
      <w:r w:rsidR="00247E94" w:rsidRPr="005E0053">
        <w:rPr>
          <w:rFonts w:ascii="Arial" w:hAnsi="Arial" w:cs="Arial"/>
        </w:rPr>
        <w:t xml:space="preserve">he </w:t>
      </w:r>
      <w:r w:rsidRPr="005E0053">
        <w:rPr>
          <w:rFonts w:ascii="Arial" w:hAnsi="Arial" w:cs="Arial"/>
        </w:rPr>
        <w:t xml:space="preserve">high </w:t>
      </w:r>
      <w:r w:rsidR="00247E94" w:rsidRPr="005E0053">
        <w:rPr>
          <w:rFonts w:ascii="Arial" w:hAnsi="Arial" w:cs="Arial"/>
        </w:rPr>
        <w:t>number of</w:t>
      </w:r>
      <w:r w:rsidRPr="005E0053">
        <w:rPr>
          <w:rFonts w:ascii="Arial" w:hAnsi="Arial" w:cs="Arial"/>
        </w:rPr>
        <w:t xml:space="preserve"> migratory student</w:t>
      </w:r>
      <w:r w:rsidR="00247E94" w:rsidRPr="005E0053">
        <w:rPr>
          <w:rFonts w:ascii="Arial" w:hAnsi="Arial" w:cs="Arial"/>
        </w:rPr>
        <w:t xml:space="preserve"> needs</w:t>
      </w:r>
      <w:r w:rsidRPr="005E0053">
        <w:rPr>
          <w:rFonts w:ascii="Arial" w:hAnsi="Arial" w:cs="Arial"/>
        </w:rPr>
        <w:t xml:space="preserve"> identified by </w:t>
      </w:r>
      <w:r w:rsidR="00B81939">
        <w:rPr>
          <w:rFonts w:ascii="Arial" w:hAnsi="Arial" w:cs="Arial"/>
        </w:rPr>
        <w:t>the committee</w:t>
      </w:r>
      <w:r w:rsidR="00B81939" w:rsidRPr="005E0053">
        <w:rPr>
          <w:rFonts w:ascii="Arial" w:hAnsi="Arial" w:cs="Arial"/>
        </w:rPr>
        <w:t xml:space="preserve"> </w:t>
      </w:r>
      <w:r w:rsidRPr="005E0053">
        <w:rPr>
          <w:rFonts w:ascii="Arial" w:hAnsi="Arial" w:cs="Arial"/>
        </w:rPr>
        <w:t xml:space="preserve">required further prioritization by </w:t>
      </w:r>
      <w:r w:rsidR="007B3EC5" w:rsidRPr="005E0053">
        <w:rPr>
          <w:rFonts w:ascii="Arial" w:hAnsi="Arial" w:cs="Arial"/>
        </w:rPr>
        <w:t xml:space="preserve">the </w:t>
      </w:r>
      <w:r w:rsidR="00C9094A" w:rsidRPr="005E0053">
        <w:rPr>
          <w:rFonts w:ascii="Arial" w:hAnsi="Arial" w:cs="Arial"/>
        </w:rPr>
        <w:t xml:space="preserve">California Department of Education </w:t>
      </w:r>
      <w:r w:rsidR="00247E94" w:rsidRPr="005E0053">
        <w:rPr>
          <w:rFonts w:ascii="Arial" w:hAnsi="Arial" w:cs="Arial"/>
        </w:rPr>
        <w:t xml:space="preserve">and </w:t>
      </w:r>
      <w:r w:rsidR="00B81939">
        <w:rPr>
          <w:rFonts w:ascii="Arial" w:hAnsi="Arial" w:cs="Arial"/>
        </w:rPr>
        <w:t>committee members</w:t>
      </w:r>
      <w:r w:rsidRPr="005E0053">
        <w:rPr>
          <w:rFonts w:ascii="Arial" w:hAnsi="Arial" w:cs="Arial"/>
        </w:rPr>
        <w:t>.</w:t>
      </w:r>
      <w:r w:rsidR="00247E94" w:rsidRPr="005E0053">
        <w:rPr>
          <w:rFonts w:ascii="Arial" w:hAnsi="Arial" w:cs="Arial"/>
        </w:rPr>
        <w:t xml:space="preserve"> </w:t>
      </w:r>
      <w:r w:rsidRPr="005E0053">
        <w:rPr>
          <w:rFonts w:ascii="Arial" w:hAnsi="Arial" w:cs="Arial"/>
        </w:rPr>
        <w:t xml:space="preserve">The </w:t>
      </w:r>
      <w:r w:rsidR="00D5555A" w:rsidRPr="005E0053">
        <w:rPr>
          <w:rFonts w:ascii="Arial" w:hAnsi="Arial" w:cs="Arial"/>
        </w:rPr>
        <w:t xml:space="preserve">migratory student </w:t>
      </w:r>
      <w:r w:rsidR="00301A34" w:rsidRPr="005E0053">
        <w:rPr>
          <w:rFonts w:ascii="Arial" w:hAnsi="Arial" w:cs="Arial"/>
        </w:rPr>
        <w:t>needs</w:t>
      </w:r>
      <w:r w:rsidR="00D5555A" w:rsidRPr="005E0053">
        <w:rPr>
          <w:rFonts w:ascii="Arial" w:hAnsi="Arial" w:cs="Arial"/>
        </w:rPr>
        <w:t xml:space="preserve"> that were</w:t>
      </w:r>
      <w:r w:rsidRPr="005E0053">
        <w:rPr>
          <w:rFonts w:ascii="Arial" w:hAnsi="Arial" w:cs="Arial"/>
        </w:rPr>
        <w:t xml:space="preserve"> determined to be not as critical</w:t>
      </w:r>
      <w:r w:rsidR="00301A34" w:rsidRPr="005E0053">
        <w:rPr>
          <w:rFonts w:ascii="Arial" w:hAnsi="Arial" w:cs="Arial"/>
        </w:rPr>
        <w:t xml:space="preserve"> </w:t>
      </w:r>
      <w:r w:rsidRPr="005E0053">
        <w:rPr>
          <w:rFonts w:ascii="Arial" w:hAnsi="Arial" w:cs="Arial"/>
        </w:rPr>
        <w:t xml:space="preserve">were moved </w:t>
      </w:r>
      <w:r w:rsidR="00301A34" w:rsidRPr="005E0053">
        <w:rPr>
          <w:rFonts w:ascii="Arial" w:hAnsi="Arial" w:cs="Arial"/>
        </w:rPr>
        <w:t>to informal program guidance</w:t>
      </w:r>
      <w:r w:rsidR="00D5555A" w:rsidRPr="005E0053">
        <w:rPr>
          <w:rFonts w:ascii="Arial" w:hAnsi="Arial" w:cs="Arial"/>
        </w:rPr>
        <w:t xml:space="preserve"> found in Section III</w:t>
      </w:r>
      <w:r w:rsidR="00301A34" w:rsidRPr="005E0053">
        <w:rPr>
          <w:rFonts w:ascii="Arial" w:hAnsi="Arial" w:cs="Arial"/>
        </w:rPr>
        <w:t xml:space="preserve">. </w:t>
      </w:r>
    </w:p>
    <w:p w14:paraId="00F7DD48" w14:textId="77777777" w:rsidR="00072681" w:rsidRPr="005E0053" w:rsidRDefault="00C9094A" w:rsidP="00EC06D4">
      <w:pPr>
        <w:spacing w:before="240"/>
        <w:rPr>
          <w:rFonts w:ascii="Arial" w:hAnsi="Arial" w:cs="Arial"/>
        </w:rPr>
      </w:pPr>
      <w:r w:rsidRPr="005E0053">
        <w:rPr>
          <w:rFonts w:ascii="Arial" w:hAnsi="Arial" w:cs="Arial"/>
        </w:rPr>
        <w:t xml:space="preserve">The </w:t>
      </w:r>
      <w:r w:rsidR="00301A34" w:rsidRPr="005E0053">
        <w:rPr>
          <w:rFonts w:ascii="Arial" w:hAnsi="Arial" w:cs="Arial"/>
        </w:rPr>
        <w:t>State Service Delivery Plan identifies 12 priority needs and multiple strategies to address each need.</w:t>
      </w:r>
      <w:r w:rsidR="00E66CBC" w:rsidRPr="005E0053">
        <w:rPr>
          <w:rStyle w:val="FootnoteReference"/>
          <w:rFonts w:ascii="Arial" w:hAnsi="Arial" w:cs="Arial"/>
        </w:rPr>
        <w:t xml:space="preserve"> </w:t>
      </w:r>
      <w:r w:rsidR="00E66CBC" w:rsidRPr="005E0053">
        <w:rPr>
          <w:rStyle w:val="FootnoteReference"/>
          <w:rFonts w:ascii="Arial" w:hAnsi="Arial" w:cs="Arial"/>
        </w:rPr>
        <w:footnoteReference w:id="1"/>
      </w:r>
      <w:r w:rsidR="00301A34" w:rsidRPr="005E0053">
        <w:rPr>
          <w:rFonts w:ascii="Arial" w:hAnsi="Arial" w:cs="Arial"/>
        </w:rPr>
        <w:t xml:space="preserve"> Strategies for service delivery are monitored by </w:t>
      </w:r>
      <w:r w:rsidR="00940B6C" w:rsidRPr="005E0053">
        <w:rPr>
          <w:rFonts w:ascii="Arial" w:hAnsi="Arial" w:cs="Arial"/>
        </w:rPr>
        <w:t>measurable program outcomes</w:t>
      </w:r>
      <w:r w:rsidR="0059465A" w:rsidRPr="005E0053">
        <w:rPr>
          <w:rFonts w:ascii="Arial" w:hAnsi="Arial" w:cs="Arial"/>
        </w:rPr>
        <w:t xml:space="preserve"> to evaluate the strategies’ implementation by subgrantees. </w:t>
      </w:r>
    </w:p>
    <w:p w14:paraId="3FF0B1A7" w14:textId="54069732" w:rsidR="009D09F0" w:rsidRPr="005E0053" w:rsidRDefault="0059465A" w:rsidP="00EC06D4">
      <w:pPr>
        <w:spacing w:before="240"/>
        <w:rPr>
          <w:rFonts w:ascii="Arial" w:hAnsi="Arial" w:cs="Arial"/>
        </w:rPr>
      </w:pPr>
      <w:r w:rsidRPr="005E0053">
        <w:rPr>
          <w:rFonts w:ascii="Arial" w:hAnsi="Arial" w:cs="Arial"/>
        </w:rPr>
        <w:t xml:space="preserve">To evaluate program effectiveness, the </w:t>
      </w:r>
      <w:r w:rsidR="00C9094A" w:rsidRPr="005E0053">
        <w:rPr>
          <w:rFonts w:ascii="Arial" w:hAnsi="Arial" w:cs="Arial"/>
        </w:rPr>
        <w:t xml:space="preserve">California Department of Education </w:t>
      </w:r>
      <w:r w:rsidRPr="005E0053">
        <w:rPr>
          <w:rFonts w:ascii="Arial" w:hAnsi="Arial" w:cs="Arial"/>
        </w:rPr>
        <w:t xml:space="preserve">will employ a two-pronged approach: 1) </w:t>
      </w:r>
      <w:r w:rsidR="00D5555A" w:rsidRPr="005E0053">
        <w:rPr>
          <w:rFonts w:ascii="Arial" w:hAnsi="Arial" w:cs="Arial"/>
        </w:rPr>
        <w:t xml:space="preserve">provide </w:t>
      </w:r>
      <w:r w:rsidRPr="005E0053">
        <w:rPr>
          <w:rFonts w:ascii="Arial" w:hAnsi="Arial" w:cs="Arial"/>
        </w:rPr>
        <w:t>subgrantee</w:t>
      </w:r>
      <w:r w:rsidR="00D5555A" w:rsidRPr="005E0053">
        <w:rPr>
          <w:rFonts w:ascii="Arial" w:hAnsi="Arial" w:cs="Arial"/>
        </w:rPr>
        <w:t>s’ with annual</w:t>
      </w:r>
      <w:r w:rsidRPr="005E0053">
        <w:rPr>
          <w:rFonts w:ascii="Arial" w:hAnsi="Arial" w:cs="Arial"/>
        </w:rPr>
        <w:t xml:space="preserve"> </w:t>
      </w:r>
      <w:r w:rsidR="007B3EC5" w:rsidRPr="005E0053">
        <w:rPr>
          <w:rFonts w:ascii="Arial" w:hAnsi="Arial" w:cs="Arial"/>
        </w:rPr>
        <w:t>and end-of-plan progress reports,</w:t>
      </w:r>
      <w:r w:rsidR="00D5555A" w:rsidRPr="005E0053">
        <w:rPr>
          <w:rFonts w:ascii="Arial" w:hAnsi="Arial" w:cs="Arial"/>
        </w:rPr>
        <w:t xml:space="preserve"> </w:t>
      </w:r>
      <w:r w:rsidRPr="005E0053">
        <w:rPr>
          <w:rFonts w:ascii="Arial" w:hAnsi="Arial" w:cs="Arial"/>
        </w:rPr>
        <w:t xml:space="preserve">2) </w:t>
      </w:r>
      <w:r w:rsidR="00D5555A" w:rsidRPr="005E0053">
        <w:rPr>
          <w:rFonts w:ascii="Arial" w:hAnsi="Arial" w:cs="Arial"/>
        </w:rPr>
        <w:t xml:space="preserve">develop </w:t>
      </w:r>
      <w:r w:rsidR="00326281" w:rsidRPr="005E0053">
        <w:rPr>
          <w:rFonts w:ascii="Arial" w:hAnsi="Arial" w:cs="Arial"/>
        </w:rPr>
        <w:t xml:space="preserve">a </w:t>
      </w:r>
      <w:r w:rsidRPr="005E0053">
        <w:rPr>
          <w:rFonts w:ascii="Arial" w:hAnsi="Arial" w:cs="Arial"/>
        </w:rPr>
        <w:t xml:space="preserve">final </w:t>
      </w:r>
      <w:r w:rsidR="00ED68F8" w:rsidRPr="005E0053">
        <w:rPr>
          <w:rFonts w:ascii="Arial" w:hAnsi="Arial" w:cs="Arial"/>
        </w:rPr>
        <w:t>performance</w:t>
      </w:r>
      <w:r w:rsidRPr="005E0053">
        <w:rPr>
          <w:rFonts w:ascii="Arial" w:hAnsi="Arial" w:cs="Arial"/>
        </w:rPr>
        <w:t xml:space="preserve"> report </w:t>
      </w:r>
      <w:r w:rsidR="00D5555A" w:rsidRPr="005E0053">
        <w:rPr>
          <w:rFonts w:ascii="Arial" w:hAnsi="Arial" w:cs="Arial"/>
        </w:rPr>
        <w:t>for local, state</w:t>
      </w:r>
      <w:r w:rsidR="007B3EC5" w:rsidRPr="005E0053">
        <w:rPr>
          <w:rFonts w:ascii="Arial" w:hAnsi="Arial" w:cs="Arial"/>
        </w:rPr>
        <w:t>,</w:t>
      </w:r>
      <w:r w:rsidR="00D5555A" w:rsidRPr="005E0053">
        <w:rPr>
          <w:rFonts w:ascii="Arial" w:hAnsi="Arial" w:cs="Arial"/>
        </w:rPr>
        <w:t xml:space="preserve"> and federal use</w:t>
      </w:r>
      <w:r w:rsidRPr="005E0053">
        <w:rPr>
          <w:rFonts w:ascii="Arial" w:hAnsi="Arial" w:cs="Arial"/>
        </w:rPr>
        <w:t>. The annual progress reports for subgrantees will support local M</w:t>
      </w:r>
      <w:r w:rsidR="007B3EC5" w:rsidRPr="005E0053">
        <w:rPr>
          <w:rFonts w:ascii="Arial" w:hAnsi="Arial" w:cs="Arial"/>
        </w:rPr>
        <w:t xml:space="preserve">igrant </w:t>
      </w:r>
      <w:r w:rsidRPr="005E0053">
        <w:rPr>
          <w:rFonts w:ascii="Arial" w:hAnsi="Arial" w:cs="Arial"/>
        </w:rPr>
        <w:t>E</w:t>
      </w:r>
      <w:r w:rsidR="007B3EC5" w:rsidRPr="005E0053">
        <w:rPr>
          <w:rFonts w:ascii="Arial" w:hAnsi="Arial" w:cs="Arial"/>
        </w:rPr>
        <w:t xml:space="preserve">ducation </w:t>
      </w:r>
      <w:r w:rsidRPr="005E0053">
        <w:rPr>
          <w:rFonts w:ascii="Arial" w:hAnsi="Arial" w:cs="Arial"/>
        </w:rPr>
        <w:t>P</w:t>
      </w:r>
      <w:r w:rsidR="007B3EC5" w:rsidRPr="005E0053">
        <w:rPr>
          <w:rFonts w:ascii="Arial" w:hAnsi="Arial" w:cs="Arial"/>
        </w:rPr>
        <w:t>rogram</w:t>
      </w:r>
      <w:r w:rsidRPr="005E0053">
        <w:rPr>
          <w:rFonts w:ascii="Arial" w:hAnsi="Arial" w:cs="Arial"/>
        </w:rPr>
        <w:t xml:space="preserve">s in continuous program improvement, including showing growth towards the performance targets set forth in this plan. The final </w:t>
      </w:r>
      <w:r w:rsidR="00885C18" w:rsidRPr="005E0053">
        <w:rPr>
          <w:rFonts w:ascii="Arial" w:hAnsi="Arial" w:cs="Arial"/>
        </w:rPr>
        <w:t>performance report</w:t>
      </w:r>
      <w:r w:rsidRPr="005E0053">
        <w:rPr>
          <w:rFonts w:ascii="Arial" w:hAnsi="Arial" w:cs="Arial"/>
        </w:rPr>
        <w:t xml:space="preserve"> will detail the </w:t>
      </w:r>
      <w:r w:rsidRPr="005E0053">
        <w:rPr>
          <w:rFonts w:ascii="Arial" w:hAnsi="Arial" w:cs="Arial"/>
        </w:rPr>
        <w:lastRenderedPageBreak/>
        <w:t xml:space="preserve">statewide progress on meeting the performance targets set by the </w:t>
      </w:r>
      <w:r w:rsidR="00DC1BE4" w:rsidRPr="005E0053">
        <w:rPr>
          <w:rFonts w:ascii="Arial" w:hAnsi="Arial" w:cs="Arial"/>
        </w:rPr>
        <w:t xml:space="preserve">California Department of Education and </w:t>
      </w:r>
      <w:r w:rsidRPr="005E0053">
        <w:rPr>
          <w:rFonts w:ascii="Arial" w:hAnsi="Arial" w:cs="Arial"/>
        </w:rPr>
        <w:t xml:space="preserve">its </w:t>
      </w:r>
      <w:proofErr w:type="spellStart"/>
      <w:r w:rsidR="00B81939">
        <w:rPr>
          <w:rFonts w:ascii="Arial" w:hAnsi="Arial" w:cs="Arial"/>
        </w:rPr>
        <w:t>intereseted</w:t>
      </w:r>
      <w:proofErr w:type="spellEnd"/>
      <w:r w:rsidR="00B81939">
        <w:rPr>
          <w:rFonts w:ascii="Arial" w:hAnsi="Arial" w:cs="Arial"/>
        </w:rPr>
        <w:t xml:space="preserve"> parties</w:t>
      </w:r>
      <w:r w:rsidRPr="005E0053">
        <w:rPr>
          <w:rFonts w:ascii="Arial" w:hAnsi="Arial" w:cs="Arial"/>
        </w:rPr>
        <w:t>.</w:t>
      </w:r>
      <w:r w:rsidR="00D5555A" w:rsidRPr="005E0053">
        <w:rPr>
          <w:rFonts w:ascii="Arial" w:hAnsi="Arial" w:cs="Arial"/>
        </w:rPr>
        <w:t xml:space="preserve"> </w:t>
      </w:r>
    </w:p>
    <w:p w14:paraId="0FDC2ABD" w14:textId="77777777" w:rsidR="005E0053" w:rsidRDefault="00DC1BE4" w:rsidP="00EC06D4">
      <w:pPr>
        <w:spacing w:before="240"/>
        <w:rPr>
          <w:rFonts w:ascii="Arial" w:hAnsi="Arial" w:cs="Arial"/>
        </w:rPr>
      </w:pPr>
      <w:r w:rsidRPr="005E0053">
        <w:rPr>
          <w:rFonts w:ascii="Arial" w:hAnsi="Arial" w:cs="Arial"/>
        </w:rPr>
        <w:t>Beginning in 2018</w:t>
      </w:r>
      <w:r w:rsidR="009D09F0" w:rsidRPr="005E0053">
        <w:rPr>
          <w:rFonts w:ascii="Arial" w:hAnsi="Arial" w:cs="Arial"/>
        </w:rPr>
        <w:t xml:space="preserve">, the </w:t>
      </w:r>
      <w:r w:rsidR="00755CA2" w:rsidRPr="005E0053">
        <w:rPr>
          <w:rFonts w:ascii="Arial" w:hAnsi="Arial" w:cs="Arial"/>
        </w:rPr>
        <w:t>C</w:t>
      </w:r>
      <w:r w:rsidRPr="005E0053">
        <w:rPr>
          <w:rFonts w:ascii="Arial" w:hAnsi="Arial" w:cs="Arial"/>
        </w:rPr>
        <w:t xml:space="preserve">alifornia Department of Education </w:t>
      </w:r>
      <w:r w:rsidR="009D09F0" w:rsidRPr="005E0053">
        <w:rPr>
          <w:rFonts w:ascii="Arial" w:hAnsi="Arial" w:cs="Arial"/>
        </w:rPr>
        <w:t xml:space="preserve">will implement a series of local trainings in order to support subgrantees. These trainings will provide direct support in aligning current local services to the State Service Delivery Plan. </w:t>
      </w:r>
      <w:bookmarkStart w:id="6" w:name="_Toc504520843"/>
    </w:p>
    <w:p w14:paraId="0C605627" w14:textId="77777777" w:rsidR="005E0053" w:rsidRDefault="005E0053">
      <w:pPr>
        <w:spacing w:after="160" w:line="259" w:lineRule="auto"/>
        <w:rPr>
          <w:rFonts w:ascii="Arial" w:hAnsi="Arial" w:cs="Arial"/>
        </w:rPr>
      </w:pPr>
      <w:r>
        <w:rPr>
          <w:rFonts w:ascii="Arial" w:hAnsi="Arial" w:cs="Arial"/>
        </w:rPr>
        <w:br w:type="page"/>
      </w:r>
    </w:p>
    <w:p w14:paraId="66D5C033" w14:textId="77777777" w:rsidR="00072681" w:rsidRPr="005E0053" w:rsidRDefault="00293E5D" w:rsidP="005E0053">
      <w:pPr>
        <w:pStyle w:val="Heading3"/>
      </w:pPr>
      <w:r w:rsidRPr="005E0053">
        <w:lastRenderedPageBreak/>
        <w:t xml:space="preserve">Section I: </w:t>
      </w:r>
      <w:r w:rsidR="004F6691" w:rsidRPr="005E0053">
        <w:t>Introduction</w:t>
      </w:r>
      <w:bookmarkEnd w:id="6"/>
    </w:p>
    <w:p w14:paraId="313B60E9" w14:textId="77777777" w:rsidR="00431C79" w:rsidRPr="005E0053" w:rsidRDefault="00661064" w:rsidP="00431C79">
      <w:pPr>
        <w:contextualSpacing/>
        <w:rPr>
          <w:rFonts w:ascii="Arial" w:hAnsi="Arial" w:cs="Arial"/>
        </w:rPr>
      </w:pPr>
      <w:r w:rsidRPr="005E0053">
        <w:rPr>
          <w:rFonts w:ascii="Arial" w:hAnsi="Arial" w:cs="Arial"/>
        </w:rPr>
        <w:t>One of the primary objectives of t</w:t>
      </w:r>
      <w:r w:rsidR="00431C79" w:rsidRPr="005E0053">
        <w:rPr>
          <w:rFonts w:ascii="Arial" w:hAnsi="Arial" w:cs="Arial"/>
        </w:rPr>
        <w:t xml:space="preserve">he California Department of Education </w:t>
      </w:r>
      <w:r w:rsidR="0035681B" w:rsidRPr="005E0053">
        <w:rPr>
          <w:rFonts w:ascii="Arial" w:hAnsi="Arial" w:cs="Arial"/>
        </w:rPr>
        <w:t xml:space="preserve">(CDE) </w:t>
      </w:r>
      <w:r w:rsidRPr="005E0053">
        <w:rPr>
          <w:rFonts w:ascii="Arial" w:hAnsi="Arial" w:cs="Arial"/>
        </w:rPr>
        <w:t xml:space="preserve">is the implementation of </w:t>
      </w:r>
      <w:r w:rsidR="005D0E9C" w:rsidRPr="005E0053">
        <w:rPr>
          <w:rFonts w:ascii="Arial" w:hAnsi="Arial" w:cs="Arial"/>
        </w:rPr>
        <w:t>high-</w:t>
      </w:r>
      <w:r w:rsidR="00C9094A" w:rsidRPr="005E0053">
        <w:rPr>
          <w:rFonts w:ascii="Arial" w:hAnsi="Arial" w:cs="Arial"/>
        </w:rPr>
        <w:t>quality</w:t>
      </w:r>
      <w:r w:rsidR="005D0E9C" w:rsidRPr="005E0053">
        <w:rPr>
          <w:rFonts w:ascii="Arial" w:hAnsi="Arial" w:cs="Arial"/>
        </w:rPr>
        <w:t xml:space="preserve"> </w:t>
      </w:r>
      <w:r w:rsidR="0035681B" w:rsidRPr="005E0053">
        <w:rPr>
          <w:rFonts w:ascii="Arial" w:hAnsi="Arial" w:cs="Arial"/>
        </w:rPr>
        <w:t xml:space="preserve">effective </w:t>
      </w:r>
      <w:r w:rsidRPr="005E0053">
        <w:rPr>
          <w:rFonts w:ascii="Arial" w:hAnsi="Arial" w:cs="Arial"/>
        </w:rPr>
        <w:t>programs</w:t>
      </w:r>
      <w:r w:rsidR="004C691F" w:rsidRPr="005E0053">
        <w:rPr>
          <w:rFonts w:ascii="Arial" w:hAnsi="Arial" w:cs="Arial"/>
        </w:rPr>
        <w:t xml:space="preserve"> and services for migratory children (ages 3–21) throughout California.</w:t>
      </w:r>
      <w:r w:rsidR="001A3300" w:rsidRPr="005E0053">
        <w:rPr>
          <w:rFonts w:ascii="Arial" w:hAnsi="Arial" w:cs="Arial"/>
        </w:rPr>
        <w:t xml:space="preserve"> In order to ensure that program and services meet the needs of migratory children and their families, </w:t>
      </w:r>
      <w:r w:rsidR="009F7A7C" w:rsidRPr="005E0053">
        <w:rPr>
          <w:rFonts w:ascii="Arial" w:hAnsi="Arial" w:cs="Arial"/>
        </w:rPr>
        <w:t>the CDE routinely assesses the needs of migratory children and parents/guardians</w:t>
      </w:r>
      <w:r w:rsidR="00B35B88" w:rsidRPr="005E0053">
        <w:rPr>
          <w:rFonts w:ascii="Arial" w:hAnsi="Arial" w:cs="Arial"/>
        </w:rPr>
        <w:t xml:space="preserve"> through a local and statewide </w:t>
      </w:r>
      <w:r w:rsidR="005D0E9C" w:rsidRPr="005E0053">
        <w:rPr>
          <w:rFonts w:ascii="Arial" w:hAnsi="Arial" w:cs="Arial"/>
        </w:rPr>
        <w:t>CNA</w:t>
      </w:r>
      <w:r w:rsidR="00BE54BB" w:rsidRPr="005E0053">
        <w:rPr>
          <w:rFonts w:ascii="Arial" w:hAnsi="Arial" w:cs="Arial"/>
        </w:rPr>
        <w:t xml:space="preserve">. </w:t>
      </w:r>
      <w:r w:rsidR="00B35B88" w:rsidRPr="005E0053">
        <w:rPr>
          <w:rFonts w:ascii="Arial" w:hAnsi="Arial" w:cs="Arial"/>
        </w:rPr>
        <w:t xml:space="preserve">Based on the needs </w:t>
      </w:r>
      <w:r w:rsidR="005F2AE7" w:rsidRPr="005E0053">
        <w:rPr>
          <w:rFonts w:ascii="Arial" w:hAnsi="Arial" w:cs="Arial"/>
        </w:rPr>
        <w:t>identified in the statewide CNA, the SSDP</w:t>
      </w:r>
      <w:r w:rsidR="00232497" w:rsidRPr="005E0053">
        <w:rPr>
          <w:rFonts w:ascii="Arial" w:hAnsi="Arial" w:cs="Arial"/>
        </w:rPr>
        <w:t xml:space="preserve"> outlines California’s plan to deliver and evaluate Migrant Education Program-f</w:t>
      </w:r>
      <w:r w:rsidR="007B3EC5" w:rsidRPr="005E0053">
        <w:rPr>
          <w:rFonts w:ascii="Arial" w:hAnsi="Arial" w:cs="Arial"/>
        </w:rPr>
        <w:t>unded services and activities for</w:t>
      </w:r>
      <w:r w:rsidR="00232497" w:rsidRPr="005E0053">
        <w:rPr>
          <w:rFonts w:ascii="Arial" w:hAnsi="Arial" w:cs="Arial"/>
        </w:rPr>
        <w:t xml:space="preserve"> migratory children and their families. </w:t>
      </w:r>
    </w:p>
    <w:p w14:paraId="4E019233" w14:textId="77777777" w:rsidR="004F6691" w:rsidRPr="005E0053" w:rsidRDefault="004F6691" w:rsidP="005E0053">
      <w:pPr>
        <w:pStyle w:val="Heading4"/>
        <w:rPr>
          <w:rFonts w:cs="Arial"/>
        </w:rPr>
      </w:pPr>
      <w:bookmarkStart w:id="7" w:name="_Toc504520844"/>
      <w:r w:rsidRPr="005E0053">
        <w:rPr>
          <w:rFonts w:cs="Arial"/>
        </w:rPr>
        <w:t>Legislative Mandate</w:t>
      </w:r>
      <w:bookmarkEnd w:id="7"/>
    </w:p>
    <w:p w14:paraId="2D529A47" w14:textId="1BE3454A" w:rsidR="002B011D" w:rsidRPr="005E0053" w:rsidRDefault="003541F1" w:rsidP="00C91878">
      <w:pPr>
        <w:pStyle w:val="Default"/>
        <w:rPr>
          <w:rFonts w:ascii="Arial" w:hAnsi="Arial" w:cs="Arial"/>
        </w:rPr>
      </w:pPr>
      <w:r w:rsidRPr="005E0053">
        <w:rPr>
          <w:rFonts w:ascii="Arial" w:hAnsi="Arial" w:cs="Arial"/>
        </w:rPr>
        <w:t>As noted by the</w:t>
      </w:r>
      <w:r w:rsidR="0035681B" w:rsidRPr="005E0053">
        <w:rPr>
          <w:rFonts w:ascii="Arial" w:hAnsi="Arial" w:cs="Arial"/>
        </w:rPr>
        <w:t xml:space="preserve"> federal</w:t>
      </w:r>
      <w:r w:rsidRPr="005E0053">
        <w:rPr>
          <w:rFonts w:ascii="Arial" w:hAnsi="Arial" w:cs="Arial"/>
        </w:rPr>
        <w:t xml:space="preserve"> Office of Migrant Education</w:t>
      </w:r>
      <w:r w:rsidR="00B32E36" w:rsidRPr="005E0053">
        <w:rPr>
          <w:rFonts w:ascii="Arial" w:hAnsi="Arial" w:cs="Arial"/>
        </w:rPr>
        <w:t xml:space="preserve"> </w:t>
      </w:r>
      <w:r w:rsidR="007036FF" w:rsidRPr="005E0053">
        <w:rPr>
          <w:rFonts w:ascii="Arial" w:hAnsi="Arial" w:cs="Arial"/>
        </w:rPr>
        <w:t>(OME)</w:t>
      </w:r>
      <w:r w:rsidR="004D6F02" w:rsidRPr="005E0053">
        <w:rPr>
          <w:rFonts w:ascii="Arial" w:hAnsi="Arial" w:cs="Arial"/>
        </w:rPr>
        <w:t>,</w:t>
      </w:r>
      <w:r w:rsidR="007036FF" w:rsidRPr="005E0053">
        <w:rPr>
          <w:rFonts w:ascii="Arial" w:hAnsi="Arial" w:cs="Arial"/>
        </w:rPr>
        <w:t xml:space="preserve"> </w:t>
      </w:r>
      <w:r w:rsidR="00B32E36" w:rsidRPr="005E0053">
        <w:rPr>
          <w:rFonts w:ascii="Arial" w:hAnsi="Arial" w:cs="Arial"/>
        </w:rPr>
        <w:t xml:space="preserve">in the </w:t>
      </w:r>
      <w:r w:rsidR="00833FB8" w:rsidRPr="005E0053">
        <w:rPr>
          <w:rFonts w:ascii="Arial" w:hAnsi="Arial" w:cs="Arial"/>
          <w:i/>
        </w:rPr>
        <w:t>Migrant Education</w:t>
      </w:r>
      <w:r w:rsidR="00833FB8" w:rsidRPr="005E0053">
        <w:rPr>
          <w:rFonts w:ascii="Arial" w:hAnsi="Arial" w:cs="Arial"/>
        </w:rPr>
        <w:t xml:space="preserve"> </w:t>
      </w:r>
      <w:r w:rsidR="00B32E36" w:rsidRPr="005E0053">
        <w:rPr>
          <w:rFonts w:ascii="Arial" w:hAnsi="Arial" w:cs="Arial"/>
          <w:i/>
        </w:rPr>
        <w:t>Service Delivery Plan Toolkit</w:t>
      </w:r>
      <w:r w:rsidR="00740CB9" w:rsidRPr="005E0053">
        <w:rPr>
          <w:rFonts w:ascii="Arial" w:hAnsi="Arial" w:cs="Arial"/>
          <w:i/>
        </w:rPr>
        <w:t xml:space="preserve"> </w:t>
      </w:r>
      <w:r w:rsidR="00740CB9" w:rsidRPr="005E0053">
        <w:rPr>
          <w:rFonts w:ascii="Arial" w:hAnsi="Arial" w:cs="Arial"/>
        </w:rPr>
        <w:t>(Toolkit)</w:t>
      </w:r>
      <w:r w:rsidR="00833FB8" w:rsidRPr="005E0053">
        <w:rPr>
          <w:rStyle w:val="FootnoteReference"/>
          <w:rFonts w:ascii="Arial" w:hAnsi="Arial" w:cs="Arial"/>
          <w:i/>
        </w:rPr>
        <w:footnoteReference w:id="2"/>
      </w:r>
      <w:r w:rsidRPr="005E0053">
        <w:rPr>
          <w:rFonts w:ascii="Arial" w:hAnsi="Arial" w:cs="Arial"/>
        </w:rPr>
        <w:t xml:space="preserve">, three main documents </w:t>
      </w:r>
      <w:r w:rsidR="0035681B" w:rsidRPr="005E0053">
        <w:rPr>
          <w:rFonts w:ascii="Arial" w:hAnsi="Arial" w:cs="Arial"/>
        </w:rPr>
        <w:t>direct</w:t>
      </w:r>
      <w:r w:rsidRPr="005E0053">
        <w:rPr>
          <w:rFonts w:ascii="Arial" w:hAnsi="Arial" w:cs="Arial"/>
        </w:rPr>
        <w:t xml:space="preserve"> and guide migrant education programs and their service delivery: 1) </w:t>
      </w:r>
      <w:r w:rsidR="00D1549C" w:rsidRPr="005E0053">
        <w:rPr>
          <w:rFonts w:ascii="Arial" w:hAnsi="Arial" w:cs="Arial"/>
        </w:rPr>
        <w:t>t</w:t>
      </w:r>
      <w:r w:rsidR="00932254" w:rsidRPr="005E0053">
        <w:rPr>
          <w:rFonts w:ascii="Arial" w:hAnsi="Arial" w:cs="Arial"/>
        </w:rPr>
        <w:t>he Elementary and Secondary Education Act (ESEA)</w:t>
      </w:r>
      <w:r w:rsidR="00426A8B" w:rsidRPr="005E0053">
        <w:rPr>
          <w:rFonts w:ascii="Arial" w:hAnsi="Arial" w:cs="Arial"/>
        </w:rPr>
        <w:t xml:space="preserve"> as reauthorized by the Every Student Succeeds Act (ESSA)</w:t>
      </w:r>
      <w:r w:rsidR="00932254" w:rsidRPr="005E0053">
        <w:rPr>
          <w:rFonts w:ascii="Arial" w:hAnsi="Arial" w:cs="Arial"/>
        </w:rPr>
        <w:t xml:space="preserve">, </w:t>
      </w:r>
      <w:r w:rsidRPr="005E0053">
        <w:rPr>
          <w:rFonts w:ascii="Arial" w:hAnsi="Arial" w:cs="Arial"/>
        </w:rPr>
        <w:t xml:space="preserve">2) </w:t>
      </w:r>
      <w:r w:rsidR="00B460CA" w:rsidRPr="005E0053">
        <w:rPr>
          <w:rFonts w:ascii="Arial" w:hAnsi="Arial" w:cs="Arial"/>
        </w:rPr>
        <w:t xml:space="preserve">the </w:t>
      </w:r>
      <w:r w:rsidR="00932254" w:rsidRPr="005E0053">
        <w:rPr>
          <w:rFonts w:ascii="Arial" w:hAnsi="Arial" w:cs="Arial"/>
        </w:rPr>
        <w:t xml:space="preserve">Code of Federal Regulations, </w:t>
      </w:r>
      <w:r w:rsidRPr="005E0053">
        <w:rPr>
          <w:rFonts w:ascii="Arial" w:hAnsi="Arial" w:cs="Arial"/>
        </w:rPr>
        <w:t xml:space="preserve">and 3) </w:t>
      </w:r>
      <w:r w:rsidR="00B460CA" w:rsidRPr="005E0053">
        <w:rPr>
          <w:rFonts w:ascii="Arial" w:hAnsi="Arial" w:cs="Arial"/>
        </w:rPr>
        <w:t xml:space="preserve">the </w:t>
      </w:r>
      <w:r w:rsidRPr="005E0053">
        <w:rPr>
          <w:rFonts w:ascii="Arial" w:hAnsi="Arial" w:cs="Arial"/>
        </w:rPr>
        <w:t xml:space="preserve">Non-Regulatory Guidance. </w:t>
      </w:r>
      <w:r w:rsidR="00592524" w:rsidRPr="005E0053">
        <w:rPr>
          <w:rFonts w:ascii="Arial" w:hAnsi="Arial" w:cs="Arial"/>
        </w:rPr>
        <w:t xml:space="preserve">All three of </w:t>
      </w:r>
      <w:r w:rsidR="009E3484" w:rsidRPr="005E0053">
        <w:rPr>
          <w:rFonts w:ascii="Arial" w:hAnsi="Arial" w:cs="Arial"/>
        </w:rPr>
        <w:t xml:space="preserve">these documents </w:t>
      </w:r>
      <w:r w:rsidR="00004EC0" w:rsidRPr="005E0053">
        <w:rPr>
          <w:rFonts w:ascii="Arial" w:hAnsi="Arial" w:cs="Arial"/>
        </w:rPr>
        <w:t xml:space="preserve">require each State </w:t>
      </w:r>
      <w:r w:rsidR="00BF6403" w:rsidRPr="005E0053">
        <w:rPr>
          <w:rFonts w:ascii="Arial" w:hAnsi="Arial" w:cs="Arial"/>
        </w:rPr>
        <w:t>Education Agency (SEA)</w:t>
      </w:r>
      <w:r w:rsidR="00004EC0" w:rsidRPr="005E0053">
        <w:rPr>
          <w:rFonts w:ascii="Arial" w:hAnsi="Arial" w:cs="Arial"/>
        </w:rPr>
        <w:t xml:space="preserve"> </w:t>
      </w:r>
      <w:r w:rsidR="004D6F02" w:rsidRPr="005E0053">
        <w:rPr>
          <w:rFonts w:ascii="Arial" w:hAnsi="Arial" w:cs="Arial"/>
        </w:rPr>
        <w:t>Migrant Education Program</w:t>
      </w:r>
      <w:r w:rsidR="00004EC0" w:rsidRPr="005E0053">
        <w:rPr>
          <w:rFonts w:ascii="Arial" w:hAnsi="Arial" w:cs="Arial"/>
        </w:rPr>
        <w:t xml:space="preserve"> receiving Title I, Part C federal funds</w:t>
      </w:r>
      <w:r w:rsidR="004D6F02" w:rsidRPr="005E0053">
        <w:rPr>
          <w:rFonts w:ascii="Arial" w:hAnsi="Arial" w:cs="Arial"/>
        </w:rPr>
        <w:t>,</w:t>
      </w:r>
      <w:r w:rsidR="00004EC0" w:rsidRPr="005E0053">
        <w:rPr>
          <w:rFonts w:ascii="Arial" w:hAnsi="Arial" w:cs="Arial"/>
        </w:rPr>
        <w:t xml:space="preserve"> to ensure that the state</w:t>
      </w:r>
      <w:r w:rsidRPr="005E0053">
        <w:rPr>
          <w:rFonts w:ascii="Arial" w:hAnsi="Arial" w:cs="Arial"/>
        </w:rPr>
        <w:t xml:space="preserve"> and local operating agencies</w:t>
      </w:r>
      <w:r w:rsidR="00004EC0" w:rsidRPr="005E0053">
        <w:rPr>
          <w:rFonts w:ascii="Arial" w:hAnsi="Arial" w:cs="Arial"/>
        </w:rPr>
        <w:t xml:space="preserve"> identify and address the unique educational needs of migratory children through the development of a statewide </w:t>
      </w:r>
      <w:r w:rsidR="004D6F02" w:rsidRPr="005E0053">
        <w:rPr>
          <w:rFonts w:ascii="Arial" w:hAnsi="Arial" w:cs="Arial"/>
        </w:rPr>
        <w:t>CNA</w:t>
      </w:r>
      <w:r w:rsidR="00004EC0" w:rsidRPr="005E0053">
        <w:rPr>
          <w:rFonts w:ascii="Arial" w:hAnsi="Arial" w:cs="Arial"/>
        </w:rPr>
        <w:t xml:space="preserve"> and S</w:t>
      </w:r>
      <w:r w:rsidR="004D6F02" w:rsidRPr="005E0053">
        <w:rPr>
          <w:rFonts w:ascii="Arial" w:hAnsi="Arial" w:cs="Arial"/>
        </w:rPr>
        <w:t>SDP</w:t>
      </w:r>
      <w:r w:rsidR="00004EC0" w:rsidRPr="005E0053">
        <w:rPr>
          <w:rFonts w:ascii="Arial" w:hAnsi="Arial" w:cs="Arial"/>
        </w:rPr>
        <w:t xml:space="preserve">. </w:t>
      </w:r>
      <w:r w:rsidR="00A55869" w:rsidRPr="005E0053">
        <w:rPr>
          <w:rFonts w:ascii="Arial" w:hAnsi="Arial" w:cs="Arial"/>
        </w:rPr>
        <w:t>The ESEA provides the statutory authority for the M</w:t>
      </w:r>
      <w:r w:rsidR="00761A04" w:rsidRPr="005E0053">
        <w:rPr>
          <w:rFonts w:ascii="Arial" w:hAnsi="Arial" w:cs="Arial"/>
        </w:rPr>
        <w:t xml:space="preserve">igrant </w:t>
      </w:r>
      <w:proofErr w:type="spellStart"/>
      <w:r w:rsidR="00761A04" w:rsidRPr="005E0053">
        <w:rPr>
          <w:rFonts w:ascii="Arial" w:hAnsi="Arial" w:cs="Arial"/>
        </w:rPr>
        <w:t>Educaton</w:t>
      </w:r>
      <w:proofErr w:type="spellEnd"/>
      <w:r w:rsidR="00761A04" w:rsidRPr="005E0053">
        <w:rPr>
          <w:rFonts w:ascii="Arial" w:hAnsi="Arial" w:cs="Arial"/>
        </w:rPr>
        <w:t xml:space="preserve"> Program (M</w:t>
      </w:r>
      <w:r w:rsidR="00A55869" w:rsidRPr="005E0053">
        <w:rPr>
          <w:rFonts w:ascii="Arial" w:hAnsi="Arial" w:cs="Arial"/>
        </w:rPr>
        <w:t>EP</w:t>
      </w:r>
      <w:r w:rsidR="00761A04" w:rsidRPr="005E0053">
        <w:rPr>
          <w:rFonts w:ascii="Arial" w:hAnsi="Arial" w:cs="Arial"/>
        </w:rPr>
        <w:t>),</w:t>
      </w:r>
      <w:r w:rsidR="00A55869" w:rsidRPr="005E0053">
        <w:rPr>
          <w:rFonts w:ascii="Arial" w:hAnsi="Arial" w:cs="Arial"/>
        </w:rPr>
        <w:t xml:space="preserve"> while the </w:t>
      </w:r>
      <w:r w:rsidR="00C91878" w:rsidRPr="005E0053">
        <w:rPr>
          <w:rFonts w:ascii="Arial" w:hAnsi="Arial" w:cs="Arial"/>
        </w:rPr>
        <w:t>Code of Federal Regulations (Title 34, Sec. 200.83)</w:t>
      </w:r>
      <w:r w:rsidR="00B460CA" w:rsidRPr="005E0053">
        <w:rPr>
          <w:rFonts w:ascii="Arial" w:hAnsi="Arial" w:cs="Arial"/>
        </w:rPr>
        <w:t xml:space="preserve"> and the Non-Regulatory Guidance for Title I, Part C</w:t>
      </w:r>
      <w:r w:rsidR="00761A04" w:rsidRPr="005E0053">
        <w:rPr>
          <w:rFonts w:ascii="Arial" w:hAnsi="Arial" w:cs="Arial"/>
        </w:rPr>
        <w:t>,</w:t>
      </w:r>
      <w:r w:rsidR="00B460CA" w:rsidRPr="005E0053">
        <w:rPr>
          <w:rFonts w:ascii="Arial" w:hAnsi="Arial" w:cs="Arial"/>
        </w:rPr>
        <w:t xml:space="preserve"> of ESEA</w:t>
      </w:r>
      <w:r w:rsidR="004D6F02" w:rsidRPr="005E0053">
        <w:rPr>
          <w:rFonts w:ascii="Arial" w:hAnsi="Arial" w:cs="Arial"/>
        </w:rPr>
        <w:t>,</w:t>
      </w:r>
      <w:r w:rsidR="00B460CA" w:rsidRPr="005E0053">
        <w:rPr>
          <w:rFonts w:ascii="Arial" w:hAnsi="Arial" w:cs="Arial"/>
        </w:rPr>
        <w:t xml:space="preserve"> identify specific components that must be included in the SSDP and </w:t>
      </w:r>
      <w:r w:rsidR="00C91878" w:rsidRPr="005E0053">
        <w:rPr>
          <w:rFonts w:ascii="Arial" w:hAnsi="Arial" w:cs="Arial"/>
        </w:rPr>
        <w:t>require</w:t>
      </w:r>
      <w:r w:rsidR="00761A04" w:rsidRPr="005E0053">
        <w:rPr>
          <w:rFonts w:ascii="Arial" w:hAnsi="Arial" w:cs="Arial"/>
        </w:rPr>
        <w:t>s</w:t>
      </w:r>
      <w:r w:rsidR="00C91878" w:rsidRPr="005E0053">
        <w:rPr>
          <w:rFonts w:ascii="Arial" w:hAnsi="Arial" w:cs="Arial"/>
        </w:rPr>
        <w:t xml:space="preserve"> the SEA to evaluate the effectiveness of their SSDP.</w:t>
      </w:r>
      <w:r w:rsidR="00A55869" w:rsidRPr="005E0053">
        <w:rPr>
          <w:rFonts w:ascii="Arial" w:hAnsi="Arial" w:cs="Arial"/>
        </w:rPr>
        <w:t xml:space="preserve"> Consistent with guidance, the CDE identified the unique educational needs of migratory children via the statewide CNA and developed the SSDP to provide guidance to local MEPs in addressing those needs through a collaborative process. </w:t>
      </w:r>
    </w:p>
    <w:p w14:paraId="54F550E9" w14:textId="77777777" w:rsidR="004F6691" w:rsidRPr="005E0053" w:rsidRDefault="004F6691" w:rsidP="005E0053">
      <w:pPr>
        <w:pStyle w:val="Heading4"/>
        <w:rPr>
          <w:rFonts w:cs="Arial"/>
        </w:rPr>
      </w:pPr>
      <w:bookmarkStart w:id="8" w:name="_Toc504520845"/>
      <w:r w:rsidRPr="005E0053">
        <w:rPr>
          <w:rFonts w:cs="Arial"/>
        </w:rPr>
        <w:t xml:space="preserve">Description of California’s </w:t>
      </w:r>
      <w:r w:rsidR="000728C2" w:rsidRPr="005E0053">
        <w:rPr>
          <w:rFonts w:cs="Arial"/>
        </w:rPr>
        <w:t>Migrant Education Program</w:t>
      </w:r>
      <w:bookmarkEnd w:id="8"/>
    </w:p>
    <w:p w14:paraId="622DE08C" w14:textId="77777777" w:rsidR="00A25EF0" w:rsidRPr="005E0053" w:rsidRDefault="00FD581D" w:rsidP="00A25EF0">
      <w:pPr>
        <w:contextualSpacing/>
        <w:rPr>
          <w:rFonts w:ascii="Arial" w:hAnsi="Arial" w:cs="Arial"/>
          <w:color w:val="000000"/>
          <w:lang w:val="en"/>
        </w:rPr>
      </w:pPr>
      <w:r w:rsidRPr="005E0053">
        <w:rPr>
          <w:rFonts w:ascii="Arial" w:hAnsi="Arial" w:cs="Arial"/>
        </w:rPr>
        <w:t>The California MEP is a federally funded program authorized under Title I</w:t>
      </w:r>
      <w:r w:rsidR="00DC1BE4" w:rsidRPr="005E0053">
        <w:rPr>
          <w:rFonts w:ascii="Arial" w:hAnsi="Arial" w:cs="Arial"/>
        </w:rPr>
        <w:t>,</w:t>
      </w:r>
      <w:r w:rsidRPr="005E0053">
        <w:rPr>
          <w:rFonts w:ascii="Arial" w:hAnsi="Arial" w:cs="Arial"/>
        </w:rPr>
        <w:t xml:space="preserve"> Part C. The provisions of the MEP are included in Part C of Title I of the </w:t>
      </w:r>
      <w:r w:rsidR="004D6F02" w:rsidRPr="005E0053">
        <w:rPr>
          <w:rFonts w:ascii="Arial" w:hAnsi="Arial" w:cs="Arial"/>
        </w:rPr>
        <w:t>ESEA</w:t>
      </w:r>
      <w:r w:rsidRPr="005E0053">
        <w:rPr>
          <w:rFonts w:ascii="Arial" w:hAnsi="Arial" w:cs="Arial"/>
        </w:rPr>
        <w:t xml:space="preserve">. The MEP is designed to support high-quality supplemental and comprehensive educational programs for migrant children to help reduce the </w:t>
      </w:r>
      <w:r w:rsidR="006C5768" w:rsidRPr="005E0053">
        <w:rPr>
          <w:rFonts w:ascii="Arial" w:hAnsi="Arial" w:cs="Arial"/>
        </w:rPr>
        <w:t>education disruption</w:t>
      </w:r>
      <w:r w:rsidRPr="005E0053">
        <w:rPr>
          <w:rFonts w:ascii="Arial" w:hAnsi="Arial" w:cs="Arial"/>
        </w:rPr>
        <w:t xml:space="preserve"> and other problems that result from repeated moves. </w:t>
      </w:r>
      <w:r w:rsidR="00833FB8" w:rsidRPr="005E0053">
        <w:rPr>
          <w:rFonts w:ascii="Arial" w:hAnsi="Arial" w:cs="Arial"/>
        </w:rPr>
        <w:t>The most recent data for the MEP from 2015–16 shows</w:t>
      </w:r>
      <w:r w:rsidR="00833FB8" w:rsidRPr="005E0053">
        <w:rPr>
          <w:rFonts w:ascii="Arial" w:hAnsi="Arial" w:cs="Arial"/>
          <w:color w:val="000000"/>
          <w:lang w:val="en"/>
        </w:rPr>
        <w:t xml:space="preserve"> there were over 96,750 </w:t>
      </w:r>
      <w:r w:rsidR="00A25EF0" w:rsidRPr="005E0053">
        <w:rPr>
          <w:rFonts w:ascii="Arial" w:hAnsi="Arial" w:cs="Arial"/>
        </w:rPr>
        <w:t xml:space="preserve">migratory </w:t>
      </w:r>
      <w:r w:rsidRPr="005E0053">
        <w:rPr>
          <w:rFonts w:ascii="Arial" w:hAnsi="Arial" w:cs="Arial"/>
        </w:rPr>
        <w:t>children, including prekindergarten and Out</w:t>
      </w:r>
      <w:r w:rsidR="004D6F02" w:rsidRPr="005E0053">
        <w:rPr>
          <w:rFonts w:ascii="Arial" w:hAnsi="Arial" w:cs="Arial"/>
        </w:rPr>
        <w:t>-</w:t>
      </w:r>
      <w:r w:rsidRPr="005E0053">
        <w:rPr>
          <w:rFonts w:ascii="Arial" w:hAnsi="Arial" w:cs="Arial"/>
        </w:rPr>
        <w:t>of</w:t>
      </w:r>
      <w:r w:rsidR="004D6F02" w:rsidRPr="005E0053">
        <w:rPr>
          <w:rFonts w:ascii="Arial" w:hAnsi="Arial" w:cs="Arial"/>
        </w:rPr>
        <w:t>-</w:t>
      </w:r>
      <w:r w:rsidRPr="005E0053">
        <w:rPr>
          <w:rFonts w:ascii="Arial" w:hAnsi="Arial" w:cs="Arial"/>
        </w:rPr>
        <w:t xml:space="preserve">School Youth (OSY) statewide. </w:t>
      </w:r>
    </w:p>
    <w:p w14:paraId="150C35E6" w14:textId="77777777" w:rsidR="00FD581D" w:rsidRPr="005E0053" w:rsidRDefault="00FD581D" w:rsidP="00743715">
      <w:pPr>
        <w:pStyle w:val="Heading5"/>
      </w:pPr>
      <w:r w:rsidRPr="005E0053">
        <w:lastRenderedPageBreak/>
        <w:t xml:space="preserve">Structure of the State Program </w:t>
      </w:r>
    </w:p>
    <w:p w14:paraId="107C86A2" w14:textId="77777777" w:rsidR="008C68F6" w:rsidRPr="005E0053" w:rsidRDefault="00FD581D" w:rsidP="00A25EF0">
      <w:pPr>
        <w:contextualSpacing/>
        <w:rPr>
          <w:rFonts w:ascii="Arial" w:hAnsi="Arial" w:cs="Arial"/>
        </w:rPr>
      </w:pPr>
      <w:r w:rsidRPr="005E0053">
        <w:rPr>
          <w:rFonts w:ascii="Arial" w:hAnsi="Arial" w:cs="Arial"/>
        </w:rPr>
        <w:t xml:space="preserve">The California MEP is </w:t>
      </w:r>
      <w:r w:rsidR="00833FB8" w:rsidRPr="005E0053">
        <w:rPr>
          <w:rFonts w:ascii="Arial" w:hAnsi="Arial" w:cs="Arial"/>
        </w:rPr>
        <w:t xml:space="preserve">primarily </w:t>
      </w:r>
      <w:r w:rsidRPr="005E0053">
        <w:rPr>
          <w:rFonts w:ascii="Arial" w:hAnsi="Arial" w:cs="Arial"/>
        </w:rPr>
        <w:t>operated based on a regional structure</w:t>
      </w:r>
      <w:r w:rsidR="00833FB8" w:rsidRPr="005E0053">
        <w:rPr>
          <w:rFonts w:ascii="Arial" w:hAnsi="Arial" w:cs="Arial"/>
        </w:rPr>
        <w:t xml:space="preserve"> and</w:t>
      </w:r>
      <w:r w:rsidRPr="005E0053">
        <w:rPr>
          <w:rFonts w:ascii="Arial" w:hAnsi="Arial" w:cs="Arial"/>
        </w:rPr>
        <w:t xml:space="preserve"> 15 multidistrict regional subgrantees and </w:t>
      </w:r>
      <w:r w:rsidR="006C5768" w:rsidRPr="005E0053">
        <w:rPr>
          <w:rFonts w:ascii="Arial" w:hAnsi="Arial" w:cs="Arial"/>
        </w:rPr>
        <w:t>5</w:t>
      </w:r>
      <w:r w:rsidRPr="005E0053">
        <w:rPr>
          <w:rFonts w:ascii="Arial" w:hAnsi="Arial" w:cs="Arial"/>
        </w:rPr>
        <w:t xml:space="preserve"> direct-funded single-district subgrantees. Under the direct supervision of the 15 regional subgrantees are approximately 212 school districts</w:t>
      </w:r>
      <w:r w:rsidR="00833FB8" w:rsidRPr="005E0053">
        <w:rPr>
          <w:rFonts w:ascii="Arial" w:hAnsi="Arial" w:cs="Arial"/>
        </w:rPr>
        <w:t xml:space="preserve"> with migratory students</w:t>
      </w:r>
      <w:r w:rsidRPr="005E0053">
        <w:rPr>
          <w:rFonts w:ascii="Arial" w:hAnsi="Arial" w:cs="Arial"/>
        </w:rPr>
        <w:t xml:space="preserve"> that have either a District Service Agreement or a Memorandum of Understanding with individual regional subgrantees</w:t>
      </w:r>
      <w:r w:rsidR="008C68F6" w:rsidRPr="005E0053">
        <w:rPr>
          <w:rFonts w:ascii="Arial" w:hAnsi="Arial" w:cs="Arial"/>
        </w:rPr>
        <w:t xml:space="preserve"> (see Figure 1 below)</w:t>
      </w:r>
      <w:r w:rsidRPr="005E0053">
        <w:rPr>
          <w:rFonts w:ascii="Arial" w:hAnsi="Arial" w:cs="Arial"/>
        </w:rPr>
        <w:t>.</w:t>
      </w:r>
    </w:p>
    <w:p w14:paraId="1445B2AC" w14:textId="77777777" w:rsidR="00424E1D" w:rsidRDefault="008C68F6" w:rsidP="00424E1D">
      <w:pPr>
        <w:pStyle w:val="Heading6"/>
      </w:pPr>
      <w:bookmarkStart w:id="9" w:name="_Toc495328440"/>
      <w:r w:rsidRPr="005E0053">
        <w:t xml:space="preserve">Figure </w:t>
      </w:r>
      <w:fldSimple w:instr=" SEQ Figure \* ARABIC ">
        <w:r w:rsidR="00791A0A">
          <w:rPr>
            <w:noProof/>
          </w:rPr>
          <w:t>1</w:t>
        </w:r>
      </w:fldSimple>
      <w:r w:rsidRPr="005E0053">
        <w:t>. Structure of t</w:t>
      </w:r>
      <w:r w:rsidR="00424E1D">
        <w:t xml:space="preserve">he California Migrant Education </w:t>
      </w:r>
      <w:r w:rsidRPr="005E0053">
        <w:t>Program</w:t>
      </w:r>
      <w:bookmarkEnd w:id="9"/>
    </w:p>
    <w:p w14:paraId="50E41E57" w14:textId="77777777" w:rsidR="00424E1D" w:rsidRDefault="007626CD" w:rsidP="003820A9">
      <w:r w:rsidRPr="00F62746">
        <w:rPr>
          <w:noProof/>
        </w:rPr>
        <w:drawing>
          <wp:inline distT="0" distB="0" distL="0" distR="0" wp14:anchorId="6736145B" wp14:editId="619B63C8">
            <wp:extent cx="5743575" cy="1323975"/>
            <wp:effectExtent l="0" t="0" r="9525" b="9525"/>
            <wp:docPr id="1" name="Diagram 6" descr="Flow chart showing the California Department of Education Migrant Education Office flowing to 15 Regional Subgrantees and 5 Direct Funded Districts. From the Regional Subgrantees is 212 School Distric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6" descr="Flow chart showing the California Department of Education Migrant Education Office flowing to 15 Regional Subgantees and 5 Direct Funded Districts. From the Regional Subgrantees is 212 School Districts."/>
                    <pic:cNvPicPr>
                      <a:picLocks noChangeArrowheads="1"/>
                    </pic:cNvPicPr>
                  </pic:nvPicPr>
                  <pic:blipFill>
                    <a:blip r:embed="rId13">
                      <a:extLst>
                        <a:ext uri="{28A0092B-C50C-407E-A947-70E740481C1C}">
                          <a14:useLocalDpi xmlns:a14="http://schemas.microsoft.com/office/drawing/2010/main" val="0"/>
                        </a:ext>
                      </a:extLst>
                    </a:blip>
                    <a:srcRect l="-792" r="-792"/>
                    <a:stretch>
                      <a:fillRect/>
                    </a:stretch>
                  </pic:blipFill>
                  <pic:spPr bwMode="auto">
                    <a:xfrm>
                      <a:off x="0" y="0"/>
                      <a:ext cx="5743575" cy="1323975"/>
                    </a:xfrm>
                    <a:prstGeom prst="rect">
                      <a:avLst/>
                    </a:prstGeom>
                    <a:noFill/>
                    <a:ln>
                      <a:noFill/>
                    </a:ln>
                  </pic:spPr>
                </pic:pic>
              </a:graphicData>
            </a:graphic>
          </wp:inline>
        </w:drawing>
      </w:r>
    </w:p>
    <w:p w14:paraId="5A6CCFBD" w14:textId="77777777" w:rsidR="00C83239" w:rsidRPr="00424E1D" w:rsidRDefault="00C83239" w:rsidP="00424E1D">
      <w:pPr>
        <w:pStyle w:val="Heading6"/>
        <w:rPr>
          <w:rStyle w:val="Heading5Char"/>
          <w:i w:val="0"/>
          <w:sz w:val="24"/>
        </w:rPr>
      </w:pPr>
      <w:r w:rsidRPr="00A76388">
        <w:rPr>
          <w:rStyle w:val="Heading5Char"/>
          <w:rFonts w:eastAsia="Calibri"/>
        </w:rPr>
        <w:t>Characteristics of California’</w:t>
      </w:r>
      <w:r w:rsidR="000C6D1F" w:rsidRPr="00A76388">
        <w:rPr>
          <w:rStyle w:val="Heading5Char"/>
          <w:rFonts w:eastAsia="Calibri"/>
        </w:rPr>
        <w:t>s Migra</w:t>
      </w:r>
      <w:r w:rsidRPr="00A76388">
        <w:rPr>
          <w:rStyle w:val="Heading5Char"/>
          <w:rFonts w:eastAsia="Calibri"/>
        </w:rPr>
        <w:t>t</w:t>
      </w:r>
      <w:r w:rsidR="000C6D1F" w:rsidRPr="00A76388">
        <w:rPr>
          <w:rStyle w:val="Heading5Char"/>
          <w:rFonts w:eastAsia="Calibri"/>
        </w:rPr>
        <w:t>ory</w:t>
      </w:r>
      <w:r w:rsidRPr="00A76388">
        <w:rPr>
          <w:rStyle w:val="Heading5Char"/>
          <w:rFonts w:eastAsia="Calibri"/>
        </w:rPr>
        <w:t xml:space="preserve"> Population</w:t>
      </w:r>
    </w:p>
    <w:p w14:paraId="1B6A613A" w14:textId="77777777" w:rsidR="00C83239" w:rsidRPr="005E0053" w:rsidRDefault="00C83239" w:rsidP="00C83239">
      <w:pPr>
        <w:rPr>
          <w:rFonts w:ascii="Arial" w:hAnsi="Arial" w:cs="Arial"/>
        </w:rPr>
      </w:pPr>
      <w:r w:rsidRPr="005E0053">
        <w:rPr>
          <w:rFonts w:ascii="Arial" w:hAnsi="Arial" w:cs="Arial"/>
        </w:rPr>
        <w:t>California continues to have the largest migratory student population as it is the leading state in cash farm receipts in the country.</w:t>
      </w:r>
      <w:r w:rsidRPr="005E0053">
        <w:rPr>
          <w:rStyle w:val="FootnoteReference"/>
          <w:rFonts w:ascii="Arial" w:hAnsi="Arial" w:cs="Arial"/>
        </w:rPr>
        <w:footnoteReference w:id="3"/>
      </w:r>
      <w:r w:rsidRPr="005E0053">
        <w:rPr>
          <w:rFonts w:ascii="Arial" w:hAnsi="Arial" w:cs="Arial"/>
        </w:rPr>
        <w:t xml:space="preserve"> California provides over a third of the country’s vegetables and approximately two-thirds of the country’s fruits and nuts. The California Department of Food &amp; Agriculture notes that California’s leading exports in 2015, by value, were almonds, dairy products, walnuts, wine</w:t>
      </w:r>
      <w:r w:rsidR="006C5768" w:rsidRPr="005E0053">
        <w:rPr>
          <w:rFonts w:ascii="Arial" w:hAnsi="Arial" w:cs="Arial"/>
        </w:rPr>
        <w:t>,</w:t>
      </w:r>
      <w:r w:rsidRPr="005E0053">
        <w:rPr>
          <w:rFonts w:ascii="Arial" w:hAnsi="Arial" w:cs="Arial"/>
        </w:rPr>
        <w:t xml:space="preserve"> and pistachios. Due to the high n</w:t>
      </w:r>
      <w:r w:rsidR="009C2A4D" w:rsidRPr="005E0053">
        <w:rPr>
          <w:rFonts w:ascii="Arial" w:hAnsi="Arial" w:cs="Arial"/>
        </w:rPr>
        <w:t>eed for agricultural labor, California’s</w:t>
      </w:r>
      <w:r w:rsidRPr="005E0053">
        <w:rPr>
          <w:rFonts w:ascii="Arial" w:hAnsi="Arial" w:cs="Arial"/>
        </w:rPr>
        <w:t xml:space="preserve"> migratory population is more than twice that of Texas, which is home to the second largest migratory population in the country. In 201</w:t>
      </w:r>
      <w:r w:rsidR="00601557" w:rsidRPr="005E0053">
        <w:rPr>
          <w:rFonts w:ascii="Arial" w:hAnsi="Arial" w:cs="Arial"/>
        </w:rPr>
        <w:t>4</w:t>
      </w:r>
      <w:r w:rsidRPr="005E0053">
        <w:rPr>
          <w:rFonts w:ascii="Arial" w:hAnsi="Arial" w:cs="Arial"/>
        </w:rPr>
        <w:t>–1</w:t>
      </w:r>
      <w:r w:rsidR="00601557" w:rsidRPr="005E0053">
        <w:rPr>
          <w:rFonts w:ascii="Arial" w:hAnsi="Arial" w:cs="Arial"/>
        </w:rPr>
        <w:t>5</w:t>
      </w:r>
      <w:r w:rsidRPr="005E0053">
        <w:rPr>
          <w:rFonts w:ascii="Arial" w:hAnsi="Arial" w:cs="Arial"/>
        </w:rPr>
        <w:t>, the U.S. Department of Educa</w:t>
      </w:r>
      <w:r w:rsidR="00601557" w:rsidRPr="005E0053">
        <w:rPr>
          <w:rFonts w:ascii="Arial" w:hAnsi="Arial" w:cs="Arial"/>
        </w:rPr>
        <w:t>tion (ED) reported a total of 10</w:t>
      </w:r>
      <w:r w:rsidRPr="005E0053">
        <w:rPr>
          <w:rFonts w:ascii="Arial" w:hAnsi="Arial" w:cs="Arial"/>
        </w:rPr>
        <w:t>2,</w:t>
      </w:r>
      <w:r w:rsidR="00601557" w:rsidRPr="005E0053">
        <w:rPr>
          <w:rFonts w:ascii="Arial" w:hAnsi="Arial" w:cs="Arial"/>
        </w:rPr>
        <w:t>348</w:t>
      </w:r>
      <w:r w:rsidRPr="005E0053">
        <w:rPr>
          <w:rFonts w:ascii="Arial" w:hAnsi="Arial" w:cs="Arial"/>
        </w:rPr>
        <w:t xml:space="preserve"> migratory children eligible for services (3</w:t>
      </w:r>
      <w:r w:rsidR="00601557" w:rsidRPr="005E0053">
        <w:rPr>
          <w:rFonts w:ascii="Arial" w:hAnsi="Arial" w:cs="Arial"/>
        </w:rPr>
        <w:t>1</w:t>
      </w:r>
      <w:r w:rsidRPr="005E0053">
        <w:rPr>
          <w:rFonts w:ascii="Arial" w:hAnsi="Arial" w:cs="Arial"/>
        </w:rPr>
        <w:t xml:space="preserve"> percent of the national total), while Texas reported 4</w:t>
      </w:r>
      <w:r w:rsidR="00601557" w:rsidRPr="005E0053">
        <w:rPr>
          <w:rFonts w:ascii="Arial" w:hAnsi="Arial" w:cs="Arial"/>
        </w:rPr>
        <w:t>2</w:t>
      </w:r>
      <w:r w:rsidRPr="005E0053">
        <w:rPr>
          <w:rFonts w:ascii="Arial" w:hAnsi="Arial" w:cs="Arial"/>
        </w:rPr>
        <w:t>,</w:t>
      </w:r>
      <w:r w:rsidR="00601557" w:rsidRPr="005E0053">
        <w:rPr>
          <w:rFonts w:ascii="Arial" w:hAnsi="Arial" w:cs="Arial"/>
        </w:rPr>
        <w:t>276</w:t>
      </w:r>
      <w:r w:rsidRPr="005E0053">
        <w:rPr>
          <w:rFonts w:ascii="Arial" w:hAnsi="Arial" w:cs="Arial"/>
        </w:rPr>
        <w:t xml:space="preserve"> migratory children eligible for services (13 p</w:t>
      </w:r>
      <w:r w:rsidR="00833FB8" w:rsidRPr="005E0053">
        <w:rPr>
          <w:rFonts w:ascii="Arial" w:hAnsi="Arial" w:cs="Arial"/>
        </w:rPr>
        <w:t>ercent of the national total). However, s</w:t>
      </w:r>
      <w:r w:rsidRPr="005E0053">
        <w:rPr>
          <w:rFonts w:ascii="Arial" w:hAnsi="Arial" w:cs="Arial"/>
        </w:rPr>
        <w:t xml:space="preserve">imilar to other Title I, Part C funded programs, California’s migratory population has been on the decline for the past several years. </w:t>
      </w:r>
    </w:p>
    <w:p w14:paraId="5B20A032" w14:textId="77777777" w:rsidR="00833FB8" w:rsidRPr="005E0053" w:rsidRDefault="00833FB8" w:rsidP="00C83239">
      <w:pPr>
        <w:rPr>
          <w:rFonts w:ascii="Arial" w:hAnsi="Arial" w:cs="Arial"/>
        </w:rPr>
      </w:pPr>
    </w:p>
    <w:p w14:paraId="0DAE8BDD" w14:textId="77777777" w:rsidR="00B532E8" w:rsidRPr="005E0053" w:rsidRDefault="00C83239" w:rsidP="00C83239">
      <w:pPr>
        <w:contextualSpacing/>
        <w:rPr>
          <w:rFonts w:ascii="Arial" w:hAnsi="Arial" w:cs="Arial"/>
        </w:rPr>
      </w:pPr>
      <w:r w:rsidRPr="005E0053">
        <w:rPr>
          <w:rFonts w:ascii="Arial" w:hAnsi="Arial" w:cs="Arial"/>
        </w:rPr>
        <w:t xml:space="preserve">While California’s migratory population remains the largest in the nation, California’s migratory child count decreased to </w:t>
      </w:r>
      <w:r w:rsidR="00601557" w:rsidRPr="005E0053">
        <w:rPr>
          <w:rFonts w:ascii="Arial" w:hAnsi="Arial" w:cs="Arial"/>
        </w:rPr>
        <w:t>96,750 in 2015–16</w:t>
      </w:r>
      <w:r w:rsidRPr="005E0053">
        <w:rPr>
          <w:rFonts w:ascii="Arial" w:hAnsi="Arial" w:cs="Arial"/>
        </w:rPr>
        <w:t xml:space="preserve">, a decrease of nearly </w:t>
      </w:r>
      <w:r w:rsidR="00601557" w:rsidRPr="005E0053">
        <w:rPr>
          <w:rFonts w:ascii="Arial" w:hAnsi="Arial" w:cs="Arial"/>
        </w:rPr>
        <w:t>7</w:t>
      </w:r>
      <w:r w:rsidRPr="005E0053">
        <w:rPr>
          <w:rFonts w:ascii="Arial" w:hAnsi="Arial" w:cs="Arial"/>
        </w:rPr>
        <w:t xml:space="preserve"> percent compared to the numbers identified in 201</w:t>
      </w:r>
      <w:r w:rsidR="00601557" w:rsidRPr="005E0053">
        <w:rPr>
          <w:rFonts w:ascii="Arial" w:hAnsi="Arial" w:cs="Arial"/>
        </w:rPr>
        <w:t>4</w:t>
      </w:r>
      <w:r w:rsidRPr="005E0053">
        <w:rPr>
          <w:rFonts w:ascii="Arial" w:hAnsi="Arial" w:cs="Arial"/>
        </w:rPr>
        <w:t>–1</w:t>
      </w:r>
      <w:r w:rsidR="00601557" w:rsidRPr="005E0053">
        <w:rPr>
          <w:rFonts w:ascii="Arial" w:hAnsi="Arial" w:cs="Arial"/>
        </w:rPr>
        <w:t>5</w:t>
      </w:r>
      <w:r w:rsidRPr="005E0053">
        <w:rPr>
          <w:rFonts w:ascii="Arial" w:hAnsi="Arial" w:cs="Arial"/>
        </w:rPr>
        <w:t>. This downward trend is consistent across all age groups of migratory children, with the largest population declines</w:t>
      </w:r>
      <w:r w:rsidR="006C5768" w:rsidRPr="005E0053">
        <w:rPr>
          <w:rFonts w:ascii="Arial" w:hAnsi="Arial" w:cs="Arial"/>
        </w:rPr>
        <w:t xml:space="preserve"> among OSY ages 19 to 21 years.</w:t>
      </w:r>
    </w:p>
    <w:p w14:paraId="7C384DC3" w14:textId="77777777" w:rsidR="00C83239" w:rsidRPr="005E0053" w:rsidRDefault="00C83239" w:rsidP="00C83239">
      <w:pPr>
        <w:contextualSpacing/>
        <w:rPr>
          <w:rFonts w:ascii="Arial" w:hAnsi="Arial" w:cs="Arial"/>
        </w:rPr>
      </w:pPr>
      <w:r w:rsidRPr="005E0053">
        <w:rPr>
          <w:rFonts w:ascii="Arial" w:hAnsi="Arial" w:cs="Arial"/>
        </w:rPr>
        <w:t>Figure 2 shows the downward trend in migratory children population size between 201</w:t>
      </w:r>
      <w:r w:rsidR="00AA3534" w:rsidRPr="005E0053">
        <w:rPr>
          <w:rFonts w:ascii="Arial" w:hAnsi="Arial" w:cs="Arial"/>
        </w:rPr>
        <w:t>1</w:t>
      </w:r>
      <w:r w:rsidRPr="005E0053">
        <w:rPr>
          <w:rFonts w:ascii="Arial" w:hAnsi="Arial" w:cs="Arial"/>
        </w:rPr>
        <w:t>–1</w:t>
      </w:r>
      <w:r w:rsidR="00AA3534" w:rsidRPr="005E0053">
        <w:rPr>
          <w:rFonts w:ascii="Arial" w:hAnsi="Arial" w:cs="Arial"/>
        </w:rPr>
        <w:t>2 and 2015</w:t>
      </w:r>
      <w:r w:rsidRPr="005E0053">
        <w:rPr>
          <w:rFonts w:ascii="Arial" w:hAnsi="Arial" w:cs="Arial"/>
        </w:rPr>
        <w:t>–1</w:t>
      </w:r>
      <w:r w:rsidR="00AA3534" w:rsidRPr="005E0053">
        <w:rPr>
          <w:rFonts w:ascii="Arial" w:hAnsi="Arial" w:cs="Arial"/>
        </w:rPr>
        <w:t>6</w:t>
      </w:r>
      <w:r w:rsidRPr="005E0053">
        <w:rPr>
          <w:rFonts w:ascii="Arial" w:hAnsi="Arial" w:cs="Arial"/>
        </w:rPr>
        <w:t xml:space="preserve">. </w:t>
      </w:r>
    </w:p>
    <w:p w14:paraId="170C1FB0" w14:textId="77777777" w:rsidR="00C83239" w:rsidRPr="005E0053" w:rsidRDefault="00C83239" w:rsidP="00743715">
      <w:pPr>
        <w:pStyle w:val="Heading6"/>
      </w:pPr>
      <w:bookmarkStart w:id="10" w:name="_Toc478397514"/>
      <w:bookmarkStart w:id="11" w:name="_Toc495328441"/>
      <w:r w:rsidRPr="005E0053">
        <w:lastRenderedPageBreak/>
        <w:t xml:space="preserve">Figure </w:t>
      </w:r>
      <w:fldSimple w:instr=" SEQ Figure \* ARABIC ">
        <w:r w:rsidR="00791A0A">
          <w:rPr>
            <w:noProof/>
          </w:rPr>
          <w:t>2</w:t>
        </w:r>
      </w:fldSimple>
      <w:r w:rsidRPr="005E0053">
        <w:t>. Trend in the Number of Migratory Children in Ca</w:t>
      </w:r>
      <w:r w:rsidR="00601557" w:rsidRPr="005E0053">
        <w:t>lifornia, Age 3 to 21 years 2011–12</w:t>
      </w:r>
      <w:r w:rsidRPr="005E0053">
        <w:t xml:space="preserve"> to</w:t>
      </w:r>
      <w:r w:rsidR="00601557" w:rsidRPr="005E0053">
        <w:t xml:space="preserve"> 2015</w:t>
      </w:r>
      <w:r w:rsidRPr="005E0053">
        <w:t>–1</w:t>
      </w:r>
      <w:bookmarkEnd w:id="10"/>
      <w:r w:rsidR="00601557" w:rsidRPr="005E0053">
        <w:t>6</w:t>
      </w:r>
      <w:bookmarkEnd w:id="11"/>
    </w:p>
    <w:p w14:paraId="47286181" w14:textId="77777777" w:rsidR="00C83239" w:rsidRPr="005E0053" w:rsidRDefault="007626CD" w:rsidP="00C83239">
      <w:pPr>
        <w:pStyle w:val="Header5"/>
      </w:pPr>
      <w:r w:rsidRPr="00DC1595">
        <w:rPr>
          <w:noProof/>
          <w:lang w:eastAsia="en-US"/>
        </w:rPr>
        <w:drawing>
          <wp:inline distT="0" distB="0" distL="0" distR="0" wp14:anchorId="465E72FB" wp14:editId="306DF4A8">
            <wp:extent cx="5534025" cy="1809750"/>
            <wp:effectExtent l="0" t="0" r="9525" b="0"/>
            <wp:docPr id="2" name="Chart 7" descr="Downward trend from 139,590 (11/12), 122,145 (12/13), 112,130 (13/14), 102,348 (14/15) to 96,750 in 1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descr="Downward trend from 139,590 (11/12), 122,145 (12/13), 112,130 (13/14), 102,348 (14/15) to 96,750 in 15/16."/>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1809750"/>
                    </a:xfrm>
                    <a:prstGeom prst="rect">
                      <a:avLst/>
                    </a:prstGeom>
                    <a:noFill/>
                    <a:ln>
                      <a:noFill/>
                    </a:ln>
                  </pic:spPr>
                </pic:pic>
              </a:graphicData>
            </a:graphic>
          </wp:inline>
        </w:drawing>
      </w:r>
    </w:p>
    <w:p w14:paraId="73315F09" w14:textId="77777777" w:rsidR="00C83239" w:rsidRPr="005E0053" w:rsidRDefault="00C83239" w:rsidP="00C83239">
      <w:pPr>
        <w:pStyle w:val="DataSource"/>
        <w:rPr>
          <w:rFonts w:ascii="Arial" w:hAnsi="Arial" w:cs="Arial"/>
          <w:color w:val="auto"/>
          <w:sz w:val="24"/>
        </w:rPr>
      </w:pPr>
      <w:r w:rsidRPr="005E0053">
        <w:rPr>
          <w:rFonts w:ascii="Arial" w:hAnsi="Arial" w:cs="Arial"/>
          <w:color w:val="auto"/>
          <w:sz w:val="24"/>
        </w:rPr>
        <w:t>Source: Consolidated State Performance Report, 201</w:t>
      </w:r>
      <w:r w:rsidR="00601557" w:rsidRPr="005E0053">
        <w:rPr>
          <w:rFonts w:ascii="Arial" w:hAnsi="Arial" w:cs="Arial"/>
          <w:color w:val="auto"/>
          <w:sz w:val="24"/>
        </w:rPr>
        <w:t>1</w:t>
      </w:r>
      <w:r w:rsidRPr="005E0053">
        <w:rPr>
          <w:rFonts w:ascii="Arial" w:hAnsi="Arial" w:cs="Arial"/>
          <w:sz w:val="24"/>
        </w:rPr>
        <w:t>–</w:t>
      </w:r>
      <w:r w:rsidRPr="005E0053">
        <w:rPr>
          <w:rFonts w:ascii="Arial" w:hAnsi="Arial" w:cs="Arial"/>
          <w:color w:val="auto"/>
          <w:sz w:val="24"/>
        </w:rPr>
        <w:t>1</w:t>
      </w:r>
      <w:r w:rsidR="00601557" w:rsidRPr="005E0053">
        <w:rPr>
          <w:rFonts w:ascii="Arial" w:hAnsi="Arial" w:cs="Arial"/>
          <w:color w:val="auto"/>
          <w:sz w:val="24"/>
        </w:rPr>
        <w:t>2</w:t>
      </w:r>
      <w:r w:rsidRPr="005E0053">
        <w:rPr>
          <w:rFonts w:ascii="Arial" w:hAnsi="Arial" w:cs="Arial"/>
          <w:color w:val="auto"/>
          <w:sz w:val="24"/>
        </w:rPr>
        <w:t xml:space="preserve"> to 201</w:t>
      </w:r>
      <w:r w:rsidR="00601557" w:rsidRPr="005E0053">
        <w:rPr>
          <w:rFonts w:ascii="Arial" w:hAnsi="Arial" w:cs="Arial"/>
          <w:color w:val="auto"/>
          <w:sz w:val="24"/>
        </w:rPr>
        <w:t>5</w:t>
      </w:r>
      <w:r w:rsidRPr="005E0053">
        <w:rPr>
          <w:rFonts w:ascii="Arial" w:hAnsi="Arial" w:cs="Arial"/>
          <w:sz w:val="24"/>
        </w:rPr>
        <w:t>–</w:t>
      </w:r>
      <w:r w:rsidRPr="005E0053">
        <w:rPr>
          <w:rFonts w:ascii="Arial" w:hAnsi="Arial" w:cs="Arial"/>
          <w:color w:val="auto"/>
          <w:sz w:val="24"/>
        </w:rPr>
        <w:t>1</w:t>
      </w:r>
      <w:r w:rsidR="00601557" w:rsidRPr="005E0053">
        <w:rPr>
          <w:rFonts w:ascii="Arial" w:hAnsi="Arial" w:cs="Arial"/>
          <w:color w:val="auto"/>
          <w:sz w:val="24"/>
        </w:rPr>
        <w:t>6</w:t>
      </w:r>
      <w:r w:rsidRPr="005E0053">
        <w:rPr>
          <w:rFonts w:ascii="Arial" w:hAnsi="Arial" w:cs="Arial"/>
          <w:color w:val="auto"/>
          <w:sz w:val="24"/>
        </w:rPr>
        <w:t>.</w:t>
      </w:r>
    </w:p>
    <w:p w14:paraId="4817DFEB" w14:textId="77777777" w:rsidR="00C83239" w:rsidRPr="005E0053" w:rsidRDefault="00C83239" w:rsidP="00CB2C23">
      <w:pPr>
        <w:pStyle w:val="NormalWeb"/>
        <w:spacing w:before="240" w:beforeAutospacing="0" w:after="0" w:afterAutospacing="0"/>
        <w:rPr>
          <w:rFonts w:ascii="Arial" w:hAnsi="Arial" w:cs="Arial"/>
        </w:rPr>
      </w:pPr>
      <w:r w:rsidRPr="005E0053">
        <w:rPr>
          <w:rFonts w:ascii="Arial" w:hAnsi="Arial" w:cs="Arial"/>
        </w:rPr>
        <w:t xml:space="preserve">The California MEP recruits migratory students who primarily </w:t>
      </w:r>
      <w:r w:rsidR="00211962" w:rsidRPr="005E0053">
        <w:rPr>
          <w:rFonts w:ascii="Arial" w:hAnsi="Arial" w:cs="Arial"/>
        </w:rPr>
        <w:t>migrate within California as well as</w:t>
      </w:r>
      <w:r w:rsidRPr="005E0053">
        <w:rPr>
          <w:rFonts w:ascii="Arial" w:hAnsi="Arial" w:cs="Arial"/>
        </w:rPr>
        <w:t xml:space="preserve"> Mexico and several states within the U</w:t>
      </w:r>
      <w:r w:rsidR="00C00ED9" w:rsidRPr="005E0053">
        <w:rPr>
          <w:rFonts w:ascii="Arial" w:hAnsi="Arial" w:cs="Arial"/>
        </w:rPr>
        <w:t xml:space="preserve">nited </w:t>
      </w:r>
      <w:r w:rsidRPr="005E0053">
        <w:rPr>
          <w:rFonts w:ascii="Arial" w:hAnsi="Arial" w:cs="Arial"/>
        </w:rPr>
        <w:t>S</w:t>
      </w:r>
      <w:r w:rsidR="00C00ED9" w:rsidRPr="005E0053">
        <w:rPr>
          <w:rFonts w:ascii="Arial" w:hAnsi="Arial" w:cs="Arial"/>
        </w:rPr>
        <w:t>tates</w:t>
      </w:r>
      <w:r w:rsidRPr="005E0053">
        <w:rPr>
          <w:rFonts w:ascii="Arial" w:hAnsi="Arial" w:cs="Arial"/>
        </w:rPr>
        <w:t xml:space="preserve">. Most of California’s migratory children make intrastate qualifying moves. In 2013–14, California recruited 77,808 migratory children who made a qualifying move </w:t>
      </w:r>
      <w:r w:rsidR="006C5768" w:rsidRPr="005E0053">
        <w:rPr>
          <w:rFonts w:ascii="Arial" w:hAnsi="Arial" w:cs="Arial"/>
        </w:rPr>
        <w:t xml:space="preserve">within California. </w:t>
      </w:r>
      <w:r w:rsidRPr="005E0053">
        <w:rPr>
          <w:rFonts w:ascii="Arial" w:hAnsi="Arial" w:cs="Arial"/>
        </w:rPr>
        <w:t>The second largest group of migratory children, approximately 36,500 migratory children, made a qualifying move from Mexico. Washington, Oregon, and Arizona</w:t>
      </w:r>
      <w:r w:rsidR="00C00ED9" w:rsidRPr="005E0053">
        <w:rPr>
          <w:rFonts w:ascii="Arial" w:hAnsi="Arial" w:cs="Arial"/>
        </w:rPr>
        <w:t>,</w:t>
      </w:r>
      <w:r w:rsidRPr="005E0053">
        <w:rPr>
          <w:rFonts w:ascii="Arial" w:hAnsi="Arial" w:cs="Arial"/>
        </w:rPr>
        <w:t xml:space="preserve"> also share a </w:t>
      </w:r>
      <w:r w:rsidR="00C00ED9" w:rsidRPr="005E0053">
        <w:rPr>
          <w:rFonts w:ascii="Arial" w:hAnsi="Arial" w:cs="Arial"/>
        </w:rPr>
        <w:t>significant</w:t>
      </w:r>
      <w:r w:rsidRPr="005E0053">
        <w:rPr>
          <w:rFonts w:ascii="Arial" w:hAnsi="Arial" w:cs="Arial"/>
        </w:rPr>
        <w:t xml:space="preserve"> number of migratory children with California. Figure </w:t>
      </w:r>
      <w:r w:rsidR="00211962" w:rsidRPr="005E0053">
        <w:rPr>
          <w:rFonts w:ascii="Arial" w:hAnsi="Arial" w:cs="Arial"/>
        </w:rPr>
        <w:t>3</w:t>
      </w:r>
      <w:r w:rsidRPr="005E0053">
        <w:rPr>
          <w:rFonts w:ascii="Arial" w:hAnsi="Arial" w:cs="Arial"/>
        </w:rPr>
        <w:t xml:space="preserve"> shows the number of children recruited in California by originating location. </w:t>
      </w:r>
    </w:p>
    <w:p w14:paraId="56F619C1" w14:textId="77777777" w:rsidR="00C83239" w:rsidRDefault="00B532E8" w:rsidP="00743715">
      <w:pPr>
        <w:pStyle w:val="Heading6"/>
      </w:pPr>
      <w:bookmarkStart w:id="12" w:name="_Toc478397515"/>
      <w:bookmarkStart w:id="13" w:name="_Toc495328442"/>
      <w:r w:rsidRPr="005E0053">
        <w:t xml:space="preserve">Figure </w:t>
      </w:r>
      <w:fldSimple w:instr=" SEQ Figure \* ARABIC ">
        <w:r w:rsidR="00791A0A">
          <w:rPr>
            <w:noProof/>
          </w:rPr>
          <w:t>3</w:t>
        </w:r>
      </w:fldSimple>
      <w:r w:rsidRPr="005E0053">
        <w:t>. Number of Migratory Children Recruited in California, by Originating Location, 2013–14</w:t>
      </w:r>
      <w:bookmarkEnd w:id="12"/>
      <w:bookmarkEnd w:id="13"/>
      <w:r w:rsidRPr="005E0053">
        <w:t xml:space="preserve"> </w:t>
      </w:r>
    </w:p>
    <w:p w14:paraId="3A46E3B8" w14:textId="77777777" w:rsidR="006A6171" w:rsidRPr="006A6171" w:rsidRDefault="00E34CE0" w:rsidP="006A6171">
      <w:r>
        <w:rPr>
          <w:noProof/>
        </w:rPr>
        <w:drawing>
          <wp:inline distT="0" distB="0" distL="0" distR="0" wp14:anchorId="054F92F9" wp14:editId="58C607F0">
            <wp:extent cx="5559552" cy="2459736"/>
            <wp:effectExtent l="0" t="0" r="3175" b="0"/>
            <wp:docPr id="7" name="Picture 7" descr="Number of Migratory Children Recruited in California, by Originating Location, 2013–14: California 77,808, Mexico 36,435, Washington 5,500, Oregon 5,135, Arizona 4,481, Texas 1,244, All others 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1.jpg"/>
                    <pic:cNvPicPr/>
                  </pic:nvPicPr>
                  <pic:blipFill>
                    <a:blip r:embed="rId15">
                      <a:extLst>
                        <a:ext uri="{28A0092B-C50C-407E-A947-70E740481C1C}">
                          <a14:useLocalDpi xmlns:a14="http://schemas.microsoft.com/office/drawing/2010/main" val="0"/>
                        </a:ext>
                      </a:extLst>
                    </a:blip>
                    <a:stretch>
                      <a:fillRect/>
                    </a:stretch>
                  </pic:blipFill>
                  <pic:spPr>
                    <a:xfrm>
                      <a:off x="0" y="0"/>
                      <a:ext cx="5559552" cy="2459736"/>
                    </a:xfrm>
                    <a:prstGeom prst="rect">
                      <a:avLst/>
                    </a:prstGeom>
                  </pic:spPr>
                </pic:pic>
              </a:graphicData>
            </a:graphic>
          </wp:inline>
        </w:drawing>
      </w:r>
    </w:p>
    <w:p w14:paraId="4C9AE52E" w14:textId="77777777" w:rsidR="00C83239" w:rsidRPr="005E0053" w:rsidRDefault="00C83239" w:rsidP="00C83239">
      <w:pPr>
        <w:pStyle w:val="NormalWeb"/>
        <w:spacing w:before="0" w:beforeAutospacing="0" w:after="0" w:afterAutospacing="0"/>
        <w:rPr>
          <w:rFonts w:ascii="Arial" w:hAnsi="Arial" w:cs="Arial"/>
        </w:rPr>
      </w:pPr>
      <w:r w:rsidRPr="005E0053">
        <w:rPr>
          <w:rFonts w:ascii="Arial" w:hAnsi="Arial" w:cs="Arial"/>
        </w:rPr>
        <w:t>Source: M</w:t>
      </w:r>
      <w:r w:rsidR="00B2330D" w:rsidRPr="005E0053">
        <w:rPr>
          <w:rFonts w:ascii="Arial" w:hAnsi="Arial" w:cs="Arial"/>
        </w:rPr>
        <w:t>igrant Student Information Network (MSIN)</w:t>
      </w:r>
      <w:r w:rsidRPr="005E0053">
        <w:rPr>
          <w:rFonts w:ascii="Arial" w:hAnsi="Arial" w:cs="Arial"/>
        </w:rPr>
        <w:t xml:space="preserve"> Databases for the MEP, 2013–14. </w:t>
      </w:r>
    </w:p>
    <w:p w14:paraId="6D56FFA8" w14:textId="77777777" w:rsidR="00C83239" w:rsidRPr="005E0053" w:rsidRDefault="00C83239" w:rsidP="00CB2C23">
      <w:pPr>
        <w:pStyle w:val="NormalWeb"/>
        <w:spacing w:before="240" w:beforeAutospacing="0" w:after="0" w:afterAutospacing="0"/>
        <w:rPr>
          <w:rFonts w:ascii="Arial" w:hAnsi="Arial" w:cs="Arial"/>
        </w:rPr>
      </w:pPr>
      <w:r w:rsidRPr="005E0053">
        <w:rPr>
          <w:rFonts w:ascii="Arial" w:hAnsi="Arial" w:cs="Arial"/>
        </w:rPr>
        <w:t>Migratory students who have made a qualifying move within the previous year and who are failing, or most a</w:t>
      </w:r>
      <w:r w:rsidR="00C00ED9" w:rsidRPr="005E0053">
        <w:rPr>
          <w:rFonts w:ascii="Arial" w:hAnsi="Arial" w:cs="Arial"/>
        </w:rPr>
        <w:t>t risk of failing, to meet the s</w:t>
      </w:r>
      <w:r w:rsidRPr="005E0053">
        <w:rPr>
          <w:rFonts w:ascii="Arial" w:hAnsi="Arial" w:cs="Arial"/>
        </w:rPr>
        <w:t>tate’s challenging academic standards, or who have dropped out of school, are classified as priority for service (PFS). Local MEPs have the responsibility to ensure that these students are prior</w:t>
      </w:r>
      <w:r w:rsidR="005722DB" w:rsidRPr="005E0053">
        <w:rPr>
          <w:rFonts w:ascii="Arial" w:hAnsi="Arial" w:cs="Arial"/>
        </w:rPr>
        <w:t xml:space="preserve">itized for MEP </w:t>
      </w:r>
      <w:r w:rsidR="005722DB" w:rsidRPr="005E0053">
        <w:rPr>
          <w:rFonts w:ascii="Arial" w:hAnsi="Arial" w:cs="Arial"/>
        </w:rPr>
        <w:lastRenderedPageBreak/>
        <w:t>services. In 2015–16</w:t>
      </w:r>
      <w:r w:rsidRPr="005E0053">
        <w:rPr>
          <w:rFonts w:ascii="Arial" w:hAnsi="Arial" w:cs="Arial"/>
        </w:rPr>
        <w:t>, the California MEP had a total of 5</w:t>
      </w:r>
      <w:r w:rsidR="005722DB" w:rsidRPr="005E0053">
        <w:rPr>
          <w:rFonts w:ascii="Arial" w:hAnsi="Arial" w:cs="Arial"/>
        </w:rPr>
        <w:t>,435</w:t>
      </w:r>
      <w:r w:rsidRPr="005E0053">
        <w:rPr>
          <w:rFonts w:ascii="Arial" w:hAnsi="Arial" w:cs="Arial"/>
        </w:rPr>
        <w:t xml:space="preserve"> PFS students, which is an increase of</w:t>
      </w:r>
      <w:r w:rsidR="005722DB" w:rsidRPr="005E0053">
        <w:rPr>
          <w:rFonts w:ascii="Arial" w:hAnsi="Arial" w:cs="Arial"/>
        </w:rPr>
        <w:t xml:space="preserve"> 351</w:t>
      </w:r>
      <w:r w:rsidRPr="005E0053">
        <w:rPr>
          <w:rFonts w:ascii="Arial" w:hAnsi="Arial" w:cs="Arial"/>
        </w:rPr>
        <w:t xml:space="preserve"> students from 2013–14. Table 1 identifies the number of eligible migratory students classified as P</w:t>
      </w:r>
      <w:r w:rsidR="005722DB" w:rsidRPr="005E0053">
        <w:rPr>
          <w:rFonts w:ascii="Arial" w:hAnsi="Arial" w:cs="Arial"/>
        </w:rPr>
        <w:t>FS for year 2010–11 through 2015–16</w:t>
      </w:r>
      <w:r w:rsidRPr="005E0053">
        <w:rPr>
          <w:rFonts w:ascii="Arial" w:hAnsi="Arial" w:cs="Arial"/>
        </w:rPr>
        <w:t>.</w:t>
      </w:r>
    </w:p>
    <w:p w14:paraId="3D9ACA17" w14:textId="77777777" w:rsidR="00C83239" w:rsidRPr="005E0053" w:rsidRDefault="00C83239" w:rsidP="00743715">
      <w:pPr>
        <w:pStyle w:val="Heading6"/>
      </w:pPr>
      <w:bookmarkStart w:id="14" w:name="_Toc478920614"/>
      <w:bookmarkStart w:id="15" w:name="_Toc101961093"/>
      <w:r w:rsidRPr="005E0053">
        <w:t xml:space="preserve">Table </w:t>
      </w:r>
      <w:fldSimple w:instr=" SEQ Table \* ARABIC ">
        <w:r w:rsidR="00791A0A">
          <w:rPr>
            <w:noProof/>
          </w:rPr>
          <w:t>1</w:t>
        </w:r>
      </w:fldSimple>
      <w:r w:rsidRPr="005E0053">
        <w:t>. Number of Migratory Student Classified as Prior</w:t>
      </w:r>
      <w:r w:rsidR="00833FB8" w:rsidRPr="005E0053">
        <w:t>ity for Service, 2010–11 to 2015</w:t>
      </w:r>
      <w:r w:rsidRPr="005E0053">
        <w:t>–1</w:t>
      </w:r>
      <w:bookmarkEnd w:id="14"/>
      <w:r w:rsidR="00833FB8" w:rsidRPr="005E0053">
        <w:t>6</w:t>
      </w:r>
      <w:bookmarkEnd w:id="15"/>
    </w:p>
    <w:tbl>
      <w:tblPr>
        <w:tblStyle w:val="GridTable4-Accent1"/>
        <w:tblW w:w="9350" w:type="dxa"/>
        <w:tblLook w:val="0420" w:firstRow="1" w:lastRow="0" w:firstColumn="0" w:lastColumn="0" w:noHBand="0" w:noVBand="1"/>
        <w:tblDescription w:val="Number of Migratory Students Classified as Priority for Service in 2010-11 to 2015-16."/>
      </w:tblPr>
      <w:tblGrid>
        <w:gridCol w:w="1433"/>
        <w:gridCol w:w="1344"/>
        <w:gridCol w:w="1344"/>
        <w:gridCol w:w="1344"/>
        <w:gridCol w:w="1345"/>
        <w:gridCol w:w="1345"/>
        <w:gridCol w:w="1195"/>
      </w:tblGrid>
      <w:tr w:rsidR="005722DB" w:rsidRPr="00F62746" w14:paraId="72446BA8" w14:textId="77777777" w:rsidTr="00666FB3">
        <w:trPr>
          <w:cnfStyle w:val="100000000000" w:firstRow="1" w:lastRow="0" w:firstColumn="0" w:lastColumn="0" w:oddVBand="0" w:evenVBand="0" w:oddHBand="0" w:evenHBand="0" w:firstRowFirstColumn="0" w:firstRowLastColumn="0" w:lastRowFirstColumn="0" w:lastRowLastColumn="0"/>
          <w:cantSplit/>
          <w:tblHeader/>
        </w:trPr>
        <w:tc>
          <w:tcPr>
            <w:tcW w:w="1433" w:type="dxa"/>
            <w:tcBorders>
              <w:right w:val="single" w:sz="4" w:space="0" w:color="4472C4"/>
            </w:tcBorders>
            <w:shd w:val="clear" w:color="auto" w:fill="1F3864" w:themeFill="accent5" w:themeFillShade="80"/>
            <w:vAlign w:val="center"/>
          </w:tcPr>
          <w:p w14:paraId="7647AA25" w14:textId="77777777" w:rsidR="005722DB" w:rsidRPr="00F62746" w:rsidRDefault="005722DB" w:rsidP="00666FB3">
            <w:pPr>
              <w:pStyle w:val="NormalWeb"/>
              <w:spacing w:before="0" w:beforeAutospacing="0" w:after="0" w:afterAutospacing="0"/>
              <w:jc w:val="center"/>
              <w:rPr>
                <w:rFonts w:ascii="Arial" w:hAnsi="Arial" w:cs="Arial"/>
                <w:b w:val="0"/>
              </w:rPr>
            </w:pPr>
            <w:r w:rsidRPr="00F62746">
              <w:rPr>
                <w:rFonts w:ascii="Arial" w:hAnsi="Arial" w:cs="Arial"/>
              </w:rPr>
              <w:t>Academic Year</w:t>
            </w:r>
          </w:p>
        </w:tc>
        <w:tc>
          <w:tcPr>
            <w:tcW w:w="1344" w:type="dxa"/>
            <w:tcBorders>
              <w:left w:val="single" w:sz="4" w:space="0" w:color="4472C4"/>
              <w:right w:val="single" w:sz="4" w:space="0" w:color="4472C4"/>
            </w:tcBorders>
            <w:shd w:val="clear" w:color="auto" w:fill="1F3864" w:themeFill="accent5" w:themeFillShade="80"/>
            <w:vAlign w:val="center"/>
          </w:tcPr>
          <w:p w14:paraId="36574CD2" w14:textId="77777777" w:rsidR="005722DB" w:rsidRPr="00F62746" w:rsidRDefault="005722DB" w:rsidP="00666FB3">
            <w:pPr>
              <w:pStyle w:val="NormalWeb"/>
              <w:spacing w:before="0" w:beforeAutospacing="0" w:after="0" w:afterAutospacing="0"/>
              <w:jc w:val="center"/>
              <w:rPr>
                <w:rFonts w:ascii="Arial" w:hAnsi="Arial" w:cs="Arial"/>
                <w:b w:val="0"/>
              </w:rPr>
            </w:pPr>
            <w:r w:rsidRPr="00F62746">
              <w:rPr>
                <w:rFonts w:ascii="Arial" w:hAnsi="Arial" w:cs="Arial"/>
              </w:rPr>
              <w:t>2010–11</w:t>
            </w:r>
          </w:p>
        </w:tc>
        <w:tc>
          <w:tcPr>
            <w:tcW w:w="1344" w:type="dxa"/>
            <w:tcBorders>
              <w:left w:val="single" w:sz="4" w:space="0" w:color="4472C4"/>
              <w:right w:val="single" w:sz="4" w:space="0" w:color="4472C4"/>
            </w:tcBorders>
            <w:shd w:val="clear" w:color="auto" w:fill="1F3864" w:themeFill="accent5" w:themeFillShade="80"/>
            <w:vAlign w:val="center"/>
          </w:tcPr>
          <w:p w14:paraId="4E2AE609" w14:textId="77777777" w:rsidR="005722DB" w:rsidRPr="00F62746" w:rsidRDefault="005722DB" w:rsidP="00666FB3">
            <w:pPr>
              <w:pStyle w:val="NormalWeb"/>
              <w:spacing w:before="0" w:beforeAutospacing="0" w:after="0" w:afterAutospacing="0"/>
              <w:jc w:val="center"/>
              <w:rPr>
                <w:rFonts w:ascii="Arial" w:hAnsi="Arial" w:cs="Arial"/>
                <w:b w:val="0"/>
              </w:rPr>
            </w:pPr>
            <w:r w:rsidRPr="00F62746">
              <w:rPr>
                <w:rFonts w:ascii="Arial" w:hAnsi="Arial" w:cs="Arial"/>
              </w:rPr>
              <w:t>2011–12</w:t>
            </w:r>
          </w:p>
        </w:tc>
        <w:tc>
          <w:tcPr>
            <w:tcW w:w="1344" w:type="dxa"/>
            <w:tcBorders>
              <w:left w:val="single" w:sz="4" w:space="0" w:color="4472C4"/>
              <w:right w:val="single" w:sz="4" w:space="0" w:color="4472C4"/>
            </w:tcBorders>
            <w:shd w:val="clear" w:color="auto" w:fill="1F3864" w:themeFill="accent5" w:themeFillShade="80"/>
            <w:vAlign w:val="center"/>
          </w:tcPr>
          <w:p w14:paraId="5EC7C7A0" w14:textId="77777777" w:rsidR="005722DB" w:rsidRPr="00F62746" w:rsidRDefault="005722DB" w:rsidP="00666FB3">
            <w:pPr>
              <w:pStyle w:val="NormalWeb"/>
              <w:spacing w:before="0" w:beforeAutospacing="0" w:after="0" w:afterAutospacing="0"/>
              <w:jc w:val="center"/>
              <w:rPr>
                <w:rFonts w:ascii="Arial" w:hAnsi="Arial" w:cs="Arial"/>
                <w:b w:val="0"/>
              </w:rPr>
            </w:pPr>
            <w:r w:rsidRPr="00F62746">
              <w:rPr>
                <w:rFonts w:ascii="Arial" w:hAnsi="Arial" w:cs="Arial"/>
              </w:rPr>
              <w:t>2012–13</w:t>
            </w:r>
          </w:p>
        </w:tc>
        <w:tc>
          <w:tcPr>
            <w:tcW w:w="1345" w:type="dxa"/>
            <w:tcBorders>
              <w:left w:val="single" w:sz="4" w:space="0" w:color="4472C4"/>
              <w:right w:val="single" w:sz="4" w:space="0" w:color="4472C4"/>
            </w:tcBorders>
            <w:shd w:val="clear" w:color="auto" w:fill="1F3864" w:themeFill="accent5" w:themeFillShade="80"/>
            <w:vAlign w:val="center"/>
          </w:tcPr>
          <w:p w14:paraId="31423598" w14:textId="77777777" w:rsidR="005722DB" w:rsidRPr="00F62746" w:rsidRDefault="005722DB" w:rsidP="00666FB3">
            <w:pPr>
              <w:pStyle w:val="NormalWeb"/>
              <w:spacing w:before="0" w:beforeAutospacing="0" w:after="0" w:afterAutospacing="0"/>
              <w:jc w:val="center"/>
              <w:rPr>
                <w:rFonts w:ascii="Arial" w:hAnsi="Arial" w:cs="Arial"/>
                <w:b w:val="0"/>
              </w:rPr>
            </w:pPr>
            <w:r w:rsidRPr="00F62746">
              <w:rPr>
                <w:rFonts w:ascii="Arial" w:hAnsi="Arial" w:cs="Arial"/>
              </w:rPr>
              <w:t>2013–14</w:t>
            </w:r>
          </w:p>
        </w:tc>
        <w:tc>
          <w:tcPr>
            <w:tcW w:w="1345" w:type="dxa"/>
            <w:tcBorders>
              <w:left w:val="single" w:sz="4" w:space="0" w:color="4472C4"/>
              <w:right w:val="single" w:sz="4" w:space="0" w:color="4472C4"/>
            </w:tcBorders>
            <w:shd w:val="clear" w:color="auto" w:fill="1F3864" w:themeFill="accent5" w:themeFillShade="80"/>
            <w:vAlign w:val="center"/>
          </w:tcPr>
          <w:p w14:paraId="540ED458" w14:textId="77777777" w:rsidR="005722DB" w:rsidRPr="00F62746" w:rsidRDefault="005722DB" w:rsidP="00666FB3">
            <w:pPr>
              <w:pStyle w:val="NormalWeb"/>
              <w:spacing w:before="0" w:beforeAutospacing="0" w:after="0" w:afterAutospacing="0"/>
              <w:jc w:val="center"/>
              <w:rPr>
                <w:rFonts w:ascii="Arial" w:hAnsi="Arial" w:cs="Arial"/>
                <w:b w:val="0"/>
              </w:rPr>
            </w:pPr>
            <w:r w:rsidRPr="00F62746">
              <w:rPr>
                <w:rFonts w:ascii="Arial" w:hAnsi="Arial" w:cs="Arial"/>
              </w:rPr>
              <w:t>2014–15</w:t>
            </w:r>
          </w:p>
        </w:tc>
        <w:tc>
          <w:tcPr>
            <w:tcW w:w="1195" w:type="dxa"/>
            <w:tcBorders>
              <w:left w:val="single" w:sz="4" w:space="0" w:color="4472C4"/>
            </w:tcBorders>
            <w:shd w:val="clear" w:color="auto" w:fill="1F3864" w:themeFill="accent5" w:themeFillShade="80"/>
            <w:vAlign w:val="center"/>
          </w:tcPr>
          <w:p w14:paraId="57F522C9" w14:textId="77777777" w:rsidR="005722DB" w:rsidRPr="00F62746" w:rsidRDefault="005722DB" w:rsidP="00666FB3">
            <w:pPr>
              <w:pStyle w:val="NormalWeb"/>
              <w:spacing w:before="0" w:beforeAutospacing="0" w:after="0" w:afterAutospacing="0"/>
              <w:jc w:val="center"/>
              <w:rPr>
                <w:rFonts w:ascii="Arial" w:hAnsi="Arial" w:cs="Arial"/>
                <w:b w:val="0"/>
              </w:rPr>
            </w:pPr>
            <w:r w:rsidRPr="00F62746">
              <w:rPr>
                <w:rFonts w:ascii="Arial" w:hAnsi="Arial" w:cs="Arial"/>
              </w:rPr>
              <w:t>2015–16</w:t>
            </w:r>
          </w:p>
        </w:tc>
      </w:tr>
      <w:tr w:rsidR="005722DB" w:rsidRPr="00F62746" w14:paraId="5E9A6005"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1433" w:type="dxa"/>
          </w:tcPr>
          <w:p w14:paraId="45E308C9" w14:textId="77777777" w:rsidR="005722DB" w:rsidRPr="00F62746" w:rsidRDefault="005722DB" w:rsidP="00F62746">
            <w:pPr>
              <w:pStyle w:val="NormalWeb"/>
              <w:spacing w:before="0" w:beforeAutospacing="0" w:after="0" w:afterAutospacing="0"/>
              <w:rPr>
                <w:rFonts w:ascii="Arial" w:hAnsi="Arial" w:cs="Arial"/>
                <w:b/>
              </w:rPr>
            </w:pPr>
            <w:r w:rsidRPr="00F62746">
              <w:rPr>
                <w:rFonts w:ascii="Arial" w:hAnsi="Arial" w:cs="Arial"/>
                <w:b/>
              </w:rPr>
              <w:t>Number of PFS students</w:t>
            </w:r>
          </w:p>
        </w:tc>
        <w:tc>
          <w:tcPr>
            <w:tcW w:w="1344" w:type="dxa"/>
          </w:tcPr>
          <w:p w14:paraId="31D4F17E" w14:textId="77777777" w:rsidR="005722DB" w:rsidRPr="00F62746" w:rsidRDefault="005722DB" w:rsidP="00F62746">
            <w:pPr>
              <w:pStyle w:val="NormalWeb"/>
              <w:spacing w:before="0" w:beforeAutospacing="0" w:after="0" w:afterAutospacing="0"/>
              <w:jc w:val="center"/>
              <w:rPr>
                <w:rFonts w:ascii="Arial" w:hAnsi="Arial" w:cs="Arial"/>
              </w:rPr>
            </w:pPr>
            <w:r w:rsidRPr="00F62746">
              <w:rPr>
                <w:rFonts w:ascii="Arial" w:hAnsi="Arial" w:cs="Arial"/>
              </w:rPr>
              <w:t>6,256</w:t>
            </w:r>
          </w:p>
        </w:tc>
        <w:tc>
          <w:tcPr>
            <w:tcW w:w="1344" w:type="dxa"/>
          </w:tcPr>
          <w:p w14:paraId="51414CE2" w14:textId="77777777" w:rsidR="005722DB" w:rsidRPr="00F62746" w:rsidRDefault="005722DB" w:rsidP="00F62746">
            <w:pPr>
              <w:pStyle w:val="NormalWeb"/>
              <w:spacing w:before="0" w:beforeAutospacing="0" w:after="0" w:afterAutospacing="0"/>
              <w:jc w:val="center"/>
              <w:rPr>
                <w:rFonts w:ascii="Arial" w:hAnsi="Arial" w:cs="Arial"/>
              </w:rPr>
            </w:pPr>
            <w:r w:rsidRPr="00F62746">
              <w:rPr>
                <w:rFonts w:ascii="Arial" w:hAnsi="Arial" w:cs="Arial"/>
              </w:rPr>
              <w:t>6,054</w:t>
            </w:r>
          </w:p>
        </w:tc>
        <w:tc>
          <w:tcPr>
            <w:tcW w:w="1344" w:type="dxa"/>
          </w:tcPr>
          <w:p w14:paraId="512F5956" w14:textId="77777777" w:rsidR="005722DB" w:rsidRPr="00F62746" w:rsidRDefault="005722DB" w:rsidP="00F62746">
            <w:pPr>
              <w:pStyle w:val="NormalWeb"/>
              <w:spacing w:before="0" w:beforeAutospacing="0" w:after="0" w:afterAutospacing="0"/>
              <w:jc w:val="center"/>
              <w:rPr>
                <w:rFonts w:ascii="Arial" w:hAnsi="Arial" w:cs="Arial"/>
              </w:rPr>
            </w:pPr>
            <w:r w:rsidRPr="00F62746">
              <w:rPr>
                <w:rFonts w:ascii="Arial" w:hAnsi="Arial" w:cs="Arial"/>
              </w:rPr>
              <w:t>6,088</w:t>
            </w:r>
          </w:p>
        </w:tc>
        <w:tc>
          <w:tcPr>
            <w:tcW w:w="1345" w:type="dxa"/>
          </w:tcPr>
          <w:p w14:paraId="20830CEA" w14:textId="77777777" w:rsidR="005722DB" w:rsidRPr="00F62746" w:rsidRDefault="005722DB" w:rsidP="00F62746">
            <w:pPr>
              <w:pStyle w:val="NormalWeb"/>
              <w:spacing w:before="0" w:beforeAutospacing="0" w:after="0" w:afterAutospacing="0"/>
              <w:jc w:val="center"/>
              <w:rPr>
                <w:rFonts w:ascii="Arial" w:hAnsi="Arial" w:cs="Arial"/>
              </w:rPr>
            </w:pPr>
            <w:r w:rsidRPr="00F62746">
              <w:rPr>
                <w:rFonts w:ascii="Arial" w:hAnsi="Arial" w:cs="Arial"/>
              </w:rPr>
              <w:t>5,084</w:t>
            </w:r>
          </w:p>
        </w:tc>
        <w:tc>
          <w:tcPr>
            <w:tcW w:w="1345" w:type="dxa"/>
          </w:tcPr>
          <w:p w14:paraId="5E932A39" w14:textId="77777777" w:rsidR="005722DB" w:rsidRPr="00F62746" w:rsidRDefault="005722DB" w:rsidP="00F62746">
            <w:pPr>
              <w:pStyle w:val="NormalWeb"/>
              <w:spacing w:before="0" w:beforeAutospacing="0" w:after="0" w:afterAutospacing="0"/>
              <w:jc w:val="center"/>
              <w:rPr>
                <w:rFonts w:ascii="Arial" w:hAnsi="Arial" w:cs="Arial"/>
              </w:rPr>
            </w:pPr>
            <w:r w:rsidRPr="00F62746">
              <w:rPr>
                <w:rFonts w:ascii="Arial" w:hAnsi="Arial" w:cs="Arial"/>
              </w:rPr>
              <w:t>5,231</w:t>
            </w:r>
          </w:p>
        </w:tc>
        <w:tc>
          <w:tcPr>
            <w:tcW w:w="1195" w:type="dxa"/>
          </w:tcPr>
          <w:p w14:paraId="4EC7B5E8" w14:textId="77777777" w:rsidR="005722DB" w:rsidRPr="00F62746" w:rsidRDefault="005722DB" w:rsidP="00F62746">
            <w:pPr>
              <w:pStyle w:val="NormalWeb"/>
              <w:spacing w:before="0" w:beforeAutospacing="0" w:after="0" w:afterAutospacing="0"/>
              <w:jc w:val="center"/>
              <w:rPr>
                <w:rFonts w:ascii="Arial" w:hAnsi="Arial" w:cs="Arial"/>
              </w:rPr>
            </w:pPr>
            <w:r w:rsidRPr="00F62746">
              <w:rPr>
                <w:rFonts w:ascii="Arial" w:hAnsi="Arial" w:cs="Arial"/>
              </w:rPr>
              <w:t>5,435</w:t>
            </w:r>
          </w:p>
        </w:tc>
      </w:tr>
    </w:tbl>
    <w:p w14:paraId="63627861" w14:textId="77777777" w:rsidR="00C83239" w:rsidRPr="005E0053" w:rsidRDefault="00C83239" w:rsidP="00C83239">
      <w:pPr>
        <w:pStyle w:val="NormalWeb"/>
        <w:spacing w:before="0" w:beforeAutospacing="0" w:after="0" w:afterAutospacing="0"/>
        <w:rPr>
          <w:rFonts w:ascii="Arial" w:hAnsi="Arial" w:cs="Arial"/>
        </w:rPr>
      </w:pPr>
      <w:r w:rsidRPr="005E0053">
        <w:rPr>
          <w:rFonts w:ascii="Arial" w:hAnsi="Arial" w:cs="Arial"/>
        </w:rPr>
        <w:t xml:space="preserve">Source: </w:t>
      </w:r>
      <w:r w:rsidR="005722DB" w:rsidRPr="005E0053">
        <w:rPr>
          <w:rFonts w:ascii="Arial" w:hAnsi="Arial" w:cs="Arial"/>
        </w:rPr>
        <w:t>Ed Data Express, 2010–11 to 2015–16</w:t>
      </w:r>
      <w:r w:rsidRPr="005E0053">
        <w:rPr>
          <w:rFonts w:ascii="Arial" w:hAnsi="Arial" w:cs="Arial"/>
        </w:rPr>
        <w:t xml:space="preserve">. </w:t>
      </w:r>
    </w:p>
    <w:p w14:paraId="53B115E7" w14:textId="77777777" w:rsidR="00FD581D" w:rsidRPr="005E0053" w:rsidRDefault="00FD581D" w:rsidP="003A4C93">
      <w:pPr>
        <w:pStyle w:val="Heading5"/>
        <w:rPr>
          <w:b/>
        </w:rPr>
      </w:pPr>
      <w:r w:rsidRPr="005E0053">
        <w:rPr>
          <w:b/>
        </w:rPr>
        <w:t>California Migrant Education Office</w:t>
      </w:r>
    </w:p>
    <w:p w14:paraId="4BA211A3" w14:textId="77777777" w:rsidR="00FD581D" w:rsidRPr="005E0053" w:rsidRDefault="00A25EF0" w:rsidP="00FD581D">
      <w:pPr>
        <w:contextualSpacing/>
        <w:rPr>
          <w:rFonts w:ascii="Arial" w:hAnsi="Arial" w:cs="Arial"/>
        </w:rPr>
      </w:pPr>
      <w:r w:rsidRPr="005E0053">
        <w:rPr>
          <w:rFonts w:ascii="Arial" w:hAnsi="Arial" w:cs="Arial"/>
        </w:rPr>
        <w:t>As noted above, t</w:t>
      </w:r>
      <w:r w:rsidR="00FD581D" w:rsidRPr="005E0053">
        <w:rPr>
          <w:rFonts w:ascii="Arial" w:hAnsi="Arial" w:cs="Arial"/>
        </w:rPr>
        <w:t xml:space="preserve">he </w:t>
      </w:r>
      <w:r w:rsidR="00601557" w:rsidRPr="005E0053">
        <w:rPr>
          <w:rFonts w:ascii="Arial" w:hAnsi="Arial" w:cs="Arial"/>
        </w:rPr>
        <w:t>CDE</w:t>
      </w:r>
      <w:r w:rsidR="00FD581D" w:rsidRPr="005E0053">
        <w:rPr>
          <w:rFonts w:ascii="Arial" w:hAnsi="Arial" w:cs="Arial"/>
        </w:rPr>
        <w:t xml:space="preserve"> </w:t>
      </w:r>
      <w:r w:rsidR="007A4B1E" w:rsidRPr="005E0053">
        <w:rPr>
          <w:rFonts w:ascii="Arial" w:hAnsi="Arial" w:cs="Arial"/>
        </w:rPr>
        <w:t>subgrants funds to</w:t>
      </w:r>
      <w:r w:rsidR="00FD581D" w:rsidRPr="005E0053">
        <w:rPr>
          <w:rFonts w:ascii="Arial" w:hAnsi="Arial" w:cs="Arial"/>
        </w:rPr>
        <w:t xml:space="preserve"> 20 </w:t>
      </w:r>
      <w:r w:rsidR="007A4B1E" w:rsidRPr="005E0053">
        <w:rPr>
          <w:rFonts w:ascii="Arial" w:hAnsi="Arial" w:cs="Arial"/>
        </w:rPr>
        <w:t>local education</w:t>
      </w:r>
      <w:r w:rsidR="00C00ED9" w:rsidRPr="005E0053">
        <w:rPr>
          <w:rFonts w:ascii="Arial" w:hAnsi="Arial" w:cs="Arial"/>
        </w:rPr>
        <w:t>al</w:t>
      </w:r>
      <w:r w:rsidR="007A4B1E" w:rsidRPr="005E0053">
        <w:rPr>
          <w:rFonts w:ascii="Arial" w:hAnsi="Arial" w:cs="Arial"/>
        </w:rPr>
        <w:t xml:space="preserve"> agencies</w:t>
      </w:r>
      <w:r w:rsidR="00601557" w:rsidRPr="005E0053">
        <w:rPr>
          <w:rFonts w:ascii="Arial" w:hAnsi="Arial" w:cs="Arial"/>
        </w:rPr>
        <w:t xml:space="preserve"> (Figure 4</w:t>
      </w:r>
      <w:r w:rsidR="008C68F6" w:rsidRPr="005E0053">
        <w:rPr>
          <w:rFonts w:ascii="Arial" w:hAnsi="Arial" w:cs="Arial"/>
        </w:rPr>
        <w:t xml:space="preserve"> identifies the locations of each of the 20 subgrantee program areas)</w:t>
      </w:r>
      <w:r w:rsidR="00FD581D" w:rsidRPr="005E0053">
        <w:rPr>
          <w:rFonts w:ascii="Arial" w:hAnsi="Arial" w:cs="Arial"/>
        </w:rPr>
        <w:t xml:space="preserve">. The </w:t>
      </w:r>
      <w:r w:rsidR="00601557" w:rsidRPr="005E0053">
        <w:rPr>
          <w:rFonts w:ascii="Arial" w:hAnsi="Arial" w:cs="Arial"/>
        </w:rPr>
        <w:t>CDE</w:t>
      </w:r>
      <w:r w:rsidR="00FD581D" w:rsidRPr="005E0053">
        <w:rPr>
          <w:rFonts w:ascii="Arial" w:hAnsi="Arial" w:cs="Arial"/>
        </w:rPr>
        <w:t xml:space="preserve"> annually reviews the grant applications and allocates </w:t>
      </w:r>
      <w:r w:rsidR="007A4B1E" w:rsidRPr="005E0053">
        <w:rPr>
          <w:rFonts w:ascii="Arial" w:hAnsi="Arial" w:cs="Arial"/>
        </w:rPr>
        <w:t xml:space="preserve">99 </w:t>
      </w:r>
      <w:r w:rsidR="00C00ED9" w:rsidRPr="005E0053">
        <w:rPr>
          <w:rFonts w:ascii="Arial" w:hAnsi="Arial" w:cs="Arial"/>
        </w:rPr>
        <w:t>percent</w:t>
      </w:r>
      <w:r w:rsidR="007A4B1E" w:rsidRPr="005E0053">
        <w:rPr>
          <w:rFonts w:ascii="Arial" w:hAnsi="Arial" w:cs="Arial"/>
        </w:rPr>
        <w:t xml:space="preserve"> of funds</w:t>
      </w:r>
      <w:r w:rsidR="00FD581D" w:rsidRPr="005E0053">
        <w:rPr>
          <w:rFonts w:ascii="Arial" w:hAnsi="Arial" w:cs="Arial"/>
        </w:rPr>
        <w:t xml:space="preserve"> to su</w:t>
      </w:r>
      <w:r w:rsidR="00C00ED9" w:rsidRPr="005E0053">
        <w:rPr>
          <w:rFonts w:ascii="Arial" w:hAnsi="Arial" w:cs="Arial"/>
        </w:rPr>
        <w:t>bgrantees. To further monitor</w:t>
      </w:r>
      <w:r w:rsidR="00FD581D" w:rsidRPr="005E0053">
        <w:rPr>
          <w:rFonts w:ascii="Arial" w:hAnsi="Arial" w:cs="Arial"/>
        </w:rPr>
        <w:t xml:space="preserve"> the local grant utilization, the </w:t>
      </w:r>
      <w:r w:rsidR="007A4B1E" w:rsidRPr="005E0053">
        <w:rPr>
          <w:rFonts w:ascii="Arial" w:hAnsi="Arial" w:cs="Arial"/>
        </w:rPr>
        <w:t>CDE</w:t>
      </w:r>
      <w:r w:rsidR="00FD581D" w:rsidRPr="005E0053">
        <w:rPr>
          <w:rFonts w:ascii="Arial" w:hAnsi="Arial" w:cs="Arial"/>
        </w:rPr>
        <w:t xml:space="preserve"> conducts </w:t>
      </w:r>
      <w:r w:rsidR="007A4B1E" w:rsidRPr="005E0053">
        <w:rPr>
          <w:rFonts w:ascii="Arial" w:hAnsi="Arial" w:cs="Arial"/>
        </w:rPr>
        <w:t xml:space="preserve">Federal Program Monitoring visits, </w:t>
      </w:r>
      <w:r w:rsidR="00FD581D" w:rsidRPr="005E0053">
        <w:rPr>
          <w:rFonts w:ascii="Arial" w:hAnsi="Arial" w:cs="Arial"/>
        </w:rPr>
        <w:t>quarterly budget expenditure reviews</w:t>
      </w:r>
      <w:r w:rsidR="00C00ED9" w:rsidRPr="005E0053">
        <w:rPr>
          <w:rFonts w:ascii="Arial" w:hAnsi="Arial" w:cs="Arial"/>
        </w:rPr>
        <w:t>,</w:t>
      </w:r>
      <w:r w:rsidR="00FD581D" w:rsidRPr="005E0053">
        <w:rPr>
          <w:rFonts w:ascii="Arial" w:hAnsi="Arial" w:cs="Arial"/>
        </w:rPr>
        <w:t xml:space="preserve"> and works</w:t>
      </w:r>
      <w:r w:rsidR="007A4B1E" w:rsidRPr="005E0053">
        <w:rPr>
          <w:rFonts w:ascii="Arial" w:hAnsi="Arial" w:cs="Arial"/>
        </w:rPr>
        <w:t xml:space="preserve"> closely</w:t>
      </w:r>
      <w:r w:rsidR="00FD581D" w:rsidRPr="005E0053">
        <w:rPr>
          <w:rFonts w:ascii="Arial" w:hAnsi="Arial" w:cs="Arial"/>
        </w:rPr>
        <w:t xml:space="preserve"> with subgrantees to reduce administrative costs. </w:t>
      </w:r>
    </w:p>
    <w:p w14:paraId="238B8870" w14:textId="77777777" w:rsidR="00FD581D" w:rsidRPr="005E0053" w:rsidRDefault="00FD581D" w:rsidP="00CB2C23">
      <w:pPr>
        <w:spacing w:before="240"/>
        <w:rPr>
          <w:rFonts w:ascii="Arial" w:hAnsi="Arial" w:cs="Arial"/>
        </w:rPr>
      </w:pPr>
      <w:r w:rsidRPr="005E0053">
        <w:rPr>
          <w:rFonts w:ascii="Arial" w:hAnsi="Arial" w:cs="Arial"/>
        </w:rPr>
        <w:t xml:space="preserve">In additional to the grant review and monitoring responsibilities, the </w:t>
      </w:r>
      <w:r w:rsidR="007A4B1E" w:rsidRPr="005E0053">
        <w:rPr>
          <w:rFonts w:ascii="Arial" w:hAnsi="Arial" w:cs="Arial"/>
        </w:rPr>
        <w:t>CDE</w:t>
      </w:r>
      <w:r w:rsidRPr="005E0053">
        <w:rPr>
          <w:rFonts w:ascii="Arial" w:hAnsi="Arial" w:cs="Arial"/>
        </w:rPr>
        <w:t xml:space="preserve"> manages the California Migrant Student Information Network (MSIN), which is separate from the California Longitudinal Pupil Achievement Data System (CALPADS)</w:t>
      </w:r>
      <w:r w:rsidR="007A4B1E" w:rsidRPr="005E0053">
        <w:rPr>
          <w:rStyle w:val="FootnoteReference"/>
          <w:rFonts w:ascii="Arial" w:hAnsi="Arial" w:cs="Arial"/>
        </w:rPr>
        <w:footnoteReference w:id="4"/>
      </w:r>
      <w:r w:rsidRPr="005E0053">
        <w:rPr>
          <w:rFonts w:ascii="Arial" w:hAnsi="Arial" w:cs="Arial"/>
        </w:rPr>
        <w:t xml:space="preserve">. The MSIN </w:t>
      </w:r>
      <w:r w:rsidR="007A4B1E" w:rsidRPr="005E0053">
        <w:rPr>
          <w:rFonts w:ascii="Arial" w:hAnsi="Arial" w:cs="Arial"/>
        </w:rPr>
        <w:t>collects all federally required data elements and generates</w:t>
      </w:r>
      <w:r w:rsidRPr="005E0053">
        <w:rPr>
          <w:rFonts w:ascii="Arial" w:hAnsi="Arial" w:cs="Arial"/>
        </w:rPr>
        <w:t xml:space="preserve"> data reports that guide state and local migrant program development and evaluation. It </w:t>
      </w:r>
      <w:r w:rsidR="007A4B1E" w:rsidRPr="005E0053">
        <w:rPr>
          <w:rFonts w:ascii="Arial" w:hAnsi="Arial" w:cs="Arial"/>
        </w:rPr>
        <w:t>is able to provide</w:t>
      </w:r>
      <w:r w:rsidRPr="005E0053">
        <w:rPr>
          <w:rFonts w:ascii="Arial" w:hAnsi="Arial" w:cs="Arial"/>
        </w:rPr>
        <w:t xml:space="preserve"> </w:t>
      </w:r>
      <w:r w:rsidR="007A4B1E" w:rsidRPr="005E0053">
        <w:rPr>
          <w:rFonts w:ascii="Arial" w:hAnsi="Arial" w:cs="Arial"/>
        </w:rPr>
        <w:t>migratory</w:t>
      </w:r>
      <w:r w:rsidRPr="005E0053">
        <w:rPr>
          <w:rFonts w:ascii="Arial" w:hAnsi="Arial" w:cs="Arial"/>
        </w:rPr>
        <w:t xml:space="preserve"> student service tracking and move-pattern analysis. In addition, the system provides daily and annual data for submission of reports to the federal government. </w:t>
      </w:r>
    </w:p>
    <w:p w14:paraId="3AFDEB95" w14:textId="77777777" w:rsidR="00FD581D" w:rsidRPr="005E0053" w:rsidRDefault="00FD581D" w:rsidP="00CB2C23">
      <w:pPr>
        <w:spacing w:before="240"/>
        <w:rPr>
          <w:rFonts w:ascii="Arial" w:hAnsi="Arial" w:cs="Arial"/>
        </w:rPr>
      </w:pPr>
      <w:r w:rsidRPr="005E0053">
        <w:rPr>
          <w:rFonts w:ascii="Arial" w:hAnsi="Arial" w:cs="Arial"/>
        </w:rPr>
        <w:t xml:space="preserve">The </w:t>
      </w:r>
      <w:r w:rsidR="00601557" w:rsidRPr="005E0053">
        <w:rPr>
          <w:rFonts w:ascii="Arial" w:hAnsi="Arial" w:cs="Arial"/>
        </w:rPr>
        <w:t>CDE</w:t>
      </w:r>
      <w:r w:rsidRPr="005E0053">
        <w:rPr>
          <w:rFonts w:ascii="Arial" w:hAnsi="Arial" w:cs="Arial"/>
        </w:rPr>
        <w:t xml:space="preserve"> provides extensive technical assistance in</w:t>
      </w:r>
      <w:r w:rsidR="007E7C2C" w:rsidRPr="005E0053">
        <w:rPr>
          <w:rFonts w:ascii="Arial" w:hAnsi="Arial" w:cs="Arial"/>
        </w:rPr>
        <w:t xml:space="preserve"> eight</w:t>
      </w:r>
      <w:r w:rsidRPr="005E0053">
        <w:rPr>
          <w:rFonts w:ascii="Arial" w:hAnsi="Arial" w:cs="Arial"/>
        </w:rPr>
        <w:t xml:space="preserve"> areas of</w:t>
      </w:r>
      <w:r w:rsidR="007E7C2C" w:rsidRPr="005E0053">
        <w:rPr>
          <w:rFonts w:ascii="Arial" w:hAnsi="Arial" w:cs="Arial"/>
        </w:rPr>
        <w:t xml:space="preserve"> the prior SSDP: English language arts, </w:t>
      </w:r>
      <w:r w:rsidRPr="005E0053">
        <w:rPr>
          <w:rFonts w:ascii="Arial" w:hAnsi="Arial" w:cs="Arial"/>
        </w:rPr>
        <w:t xml:space="preserve">math, </w:t>
      </w:r>
      <w:r w:rsidR="007E7C2C" w:rsidRPr="005E0053">
        <w:rPr>
          <w:rFonts w:ascii="Arial" w:hAnsi="Arial" w:cs="Arial"/>
        </w:rPr>
        <w:t>high school graduation, OSY</w:t>
      </w:r>
      <w:r w:rsidRPr="005E0053">
        <w:rPr>
          <w:rFonts w:ascii="Arial" w:hAnsi="Arial" w:cs="Arial"/>
        </w:rPr>
        <w:t xml:space="preserve">, school readiness, </w:t>
      </w:r>
      <w:r w:rsidR="007E7C2C" w:rsidRPr="005E0053">
        <w:rPr>
          <w:rFonts w:ascii="Arial" w:hAnsi="Arial" w:cs="Arial"/>
        </w:rPr>
        <w:t>health,</w:t>
      </w:r>
      <w:r w:rsidRPr="005E0053">
        <w:rPr>
          <w:rFonts w:ascii="Arial" w:hAnsi="Arial" w:cs="Arial"/>
        </w:rPr>
        <w:t xml:space="preserve"> parent </w:t>
      </w:r>
      <w:r w:rsidR="007E7C2C" w:rsidRPr="005E0053">
        <w:rPr>
          <w:rFonts w:ascii="Arial" w:hAnsi="Arial" w:cs="Arial"/>
        </w:rPr>
        <w:t xml:space="preserve">involvement and identification and recruitment </w:t>
      </w:r>
      <w:r w:rsidRPr="005E0053">
        <w:rPr>
          <w:rFonts w:ascii="Arial" w:hAnsi="Arial" w:cs="Arial"/>
        </w:rPr>
        <w:t xml:space="preserve">through site visits, webinars, workshops, and conferences. </w:t>
      </w:r>
    </w:p>
    <w:p w14:paraId="3A438421" w14:textId="77777777" w:rsidR="00DC5C7D" w:rsidRPr="005E0053" w:rsidRDefault="00DC5C7D" w:rsidP="00743715">
      <w:pPr>
        <w:pStyle w:val="Heading6"/>
      </w:pPr>
      <w:bookmarkStart w:id="16" w:name="_Toc495328443"/>
      <w:r w:rsidRPr="005E0053">
        <w:lastRenderedPageBreak/>
        <w:t xml:space="preserve">Figure </w:t>
      </w:r>
      <w:fldSimple w:instr=" SEQ Figure \* ARABIC ">
        <w:r w:rsidR="00791A0A">
          <w:rPr>
            <w:noProof/>
          </w:rPr>
          <w:t>4</w:t>
        </w:r>
      </w:fldSimple>
      <w:r w:rsidRPr="005E0053">
        <w:t>. Migrant Education Program Subgrantee Program Areas</w:t>
      </w:r>
      <w:bookmarkEnd w:id="16"/>
    </w:p>
    <w:p w14:paraId="4B30A707" w14:textId="77777777" w:rsidR="002B011D" w:rsidRDefault="007626CD" w:rsidP="002B011D">
      <w:pPr>
        <w:pStyle w:val="NormalWeb"/>
        <w:spacing w:before="0" w:beforeAutospacing="0" w:after="0" w:afterAutospacing="0"/>
        <w:rPr>
          <w:rFonts w:ascii="Arial" w:hAnsi="Arial" w:cs="Arial"/>
        </w:rPr>
      </w:pPr>
      <w:r w:rsidRPr="00F62746">
        <w:rPr>
          <w:rFonts w:ascii="Arial" w:hAnsi="Arial" w:cs="Arial"/>
          <w:noProof/>
        </w:rPr>
        <w:drawing>
          <wp:inline distT="0" distB="0" distL="0" distR="0" wp14:anchorId="402B65D8" wp14:editId="5BEED946">
            <wp:extent cx="5781675" cy="6334125"/>
            <wp:effectExtent l="0" t="0" r="9525" b="9525"/>
            <wp:docPr id="4" name="Picture 4" descr="Map of the state of California with the Migrant Education Program regions highlighted. Details on the MEP Regions and Direct-Funded District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state of California with the Migrant Education Program regions highlighted. Details on the MEP Regions and Direct-Funded Districts web 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675" cy="6334125"/>
                    </a:xfrm>
                    <a:prstGeom prst="rect">
                      <a:avLst/>
                    </a:prstGeom>
                    <a:noFill/>
                    <a:ln>
                      <a:noFill/>
                    </a:ln>
                  </pic:spPr>
                </pic:pic>
              </a:graphicData>
            </a:graphic>
          </wp:inline>
        </w:drawing>
      </w:r>
    </w:p>
    <w:p w14:paraId="2484847F" w14:textId="77777777" w:rsidR="00B45BD6" w:rsidRPr="005E0053" w:rsidRDefault="00147CFF" w:rsidP="002B011D">
      <w:pPr>
        <w:pStyle w:val="NormalWeb"/>
        <w:spacing w:before="0" w:beforeAutospacing="0" w:after="0" w:afterAutospacing="0"/>
        <w:rPr>
          <w:rFonts w:ascii="Arial" w:hAnsi="Arial" w:cs="Arial"/>
        </w:rPr>
      </w:pPr>
      <w:hyperlink r:id="rId17" w:tooltip="Migrant Education Program Regions and Direct-Funded Districts" w:history="1">
        <w:r w:rsidRPr="00695725">
          <w:rPr>
            <w:rStyle w:val="Hyperlink"/>
            <w:rFonts w:ascii="Arial" w:hAnsi="Arial" w:cs="Arial"/>
          </w:rPr>
          <w:t>https://www.cde.ca.gov/sp/me/mt/mepsubgrantees.asp</w:t>
        </w:r>
      </w:hyperlink>
    </w:p>
    <w:p w14:paraId="0ADBC485" w14:textId="77777777" w:rsidR="00FD581D" w:rsidRPr="005E0053" w:rsidRDefault="00FD581D" w:rsidP="002B011D">
      <w:pPr>
        <w:rPr>
          <w:rFonts w:ascii="Arial" w:hAnsi="Arial" w:cs="Arial"/>
        </w:rPr>
      </w:pPr>
    </w:p>
    <w:p w14:paraId="2C0EE7A0" w14:textId="77777777" w:rsidR="00FC172E" w:rsidRPr="005E0053" w:rsidRDefault="00FC172E" w:rsidP="002B011D">
      <w:pPr>
        <w:rPr>
          <w:rFonts w:ascii="Arial" w:hAnsi="Arial" w:cs="Arial"/>
        </w:rPr>
        <w:sectPr w:rsidR="00FC172E" w:rsidRPr="005E0053" w:rsidSect="00791A0A">
          <w:headerReference w:type="first" r:id="rId18"/>
          <w:footerReference w:type="first" r:id="rId19"/>
          <w:pgSz w:w="12240" w:h="15840"/>
          <w:pgMar w:top="1440" w:right="1440" w:bottom="1440" w:left="1440" w:header="720" w:footer="720" w:gutter="0"/>
          <w:pgNumType w:start="1"/>
          <w:cols w:space="720"/>
          <w:titlePg/>
          <w:docGrid w:linePitch="360"/>
        </w:sectPr>
      </w:pPr>
    </w:p>
    <w:p w14:paraId="52D8BFA3" w14:textId="77777777" w:rsidR="004F6691" w:rsidRPr="005E0053" w:rsidRDefault="004F6691" w:rsidP="00B45BD6">
      <w:pPr>
        <w:pStyle w:val="Heading4"/>
      </w:pPr>
      <w:bookmarkStart w:id="17" w:name="_Toc504520846"/>
      <w:r w:rsidRPr="005E0053">
        <w:lastRenderedPageBreak/>
        <w:t>Planning Process</w:t>
      </w:r>
      <w:bookmarkEnd w:id="17"/>
    </w:p>
    <w:p w14:paraId="603CBA3D" w14:textId="77777777" w:rsidR="00AB1B24" w:rsidRPr="005E0053" w:rsidRDefault="00AB1B24" w:rsidP="00CD49BD">
      <w:pPr>
        <w:rPr>
          <w:rFonts w:ascii="Arial" w:hAnsi="Arial" w:cs="Arial"/>
        </w:rPr>
      </w:pPr>
      <w:r w:rsidRPr="005E0053">
        <w:rPr>
          <w:rFonts w:ascii="Arial" w:hAnsi="Arial" w:cs="Arial"/>
        </w:rPr>
        <w:t>Developing the SSDP required extensive planning and coordination.</w:t>
      </w:r>
      <w:r w:rsidR="00FA71E4" w:rsidRPr="005E0053">
        <w:rPr>
          <w:rFonts w:ascii="Arial" w:hAnsi="Arial" w:cs="Arial"/>
        </w:rPr>
        <w:t xml:space="preserve"> Table 2 identifies the CDE and CA CC staff </w:t>
      </w:r>
      <w:r w:rsidR="00081269" w:rsidRPr="005E0053">
        <w:rPr>
          <w:rFonts w:ascii="Arial" w:hAnsi="Arial" w:cs="Arial"/>
        </w:rPr>
        <w:t>responsible for</w:t>
      </w:r>
      <w:r w:rsidR="00FA71E4" w:rsidRPr="005E0053">
        <w:rPr>
          <w:rFonts w:ascii="Arial" w:hAnsi="Arial" w:cs="Arial"/>
        </w:rPr>
        <w:t xml:space="preserve"> the planning and implementation of the SSDP’s development. </w:t>
      </w:r>
    </w:p>
    <w:p w14:paraId="14C190D4" w14:textId="77777777" w:rsidR="00FA71E4" w:rsidRPr="006C4B40" w:rsidRDefault="00FA71E4" w:rsidP="006C4B40">
      <w:pPr>
        <w:pStyle w:val="Heading5"/>
        <w:spacing w:after="0"/>
        <w:rPr>
          <w:b/>
          <w:i w:val="0"/>
          <w:sz w:val="24"/>
        </w:rPr>
      </w:pPr>
      <w:bookmarkStart w:id="18" w:name="_Toc101961094"/>
      <w:r w:rsidRPr="006C4B40">
        <w:rPr>
          <w:b/>
          <w:i w:val="0"/>
          <w:sz w:val="24"/>
        </w:rPr>
        <w:t xml:space="preserve">Table </w:t>
      </w:r>
      <w:r w:rsidR="006C4B40" w:rsidRPr="006C4B40">
        <w:rPr>
          <w:b/>
          <w:i w:val="0"/>
          <w:sz w:val="24"/>
        </w:rPr>
        <w:fldChar w:fldCharType="begin"/>
      </w:r>
      <w:r w:rsidR="006C4B40" w:rsidRPr="006C4B40">
        <w:rPr>
          <w:b/>
          <w:i w:val="0"/>
          <w:sz w:val="24"/>
        </w:rPr>
        <w:instrText xml:space="preserve"> SEQ Table \* ARABIC </w:instrText>
      </w:r>
      <w:r w:rsidR="006C4B40" w:rsidRPr="006C4B40">
        <w:rPr>
          <w:b/>
          <w:i w:val="0"/>
          <w:sz w:val="24"/>
        </w:rPr>
        <w:fldChar w:fldCharType="separate"/>
      </w:r>
      <w:r w:rsidR="00791A0A" w:rsidRPr="006C4B40">
        <w:rPr>
          <w:b/>
          <w:i w:val="0"/>
          <w:noProof/>
          <w:sz w:val="24"/>
        </w:rPr>
        <w:t>2</w:t>
      </w:r>
      <w:r w:rsidR="006C4B40" w:rsidRPr="006C4B40">
        <w:rPr>
          <w:b/>
          <w:i w:val="0"/>
          <w:noProof/>
          <w:sz w:val="24"/>
        </w:rPr>
        <w:fldChar w:fldCharType="end"/>
      </w:r>
      <w:r w:rsidRPr="006C4B40">
        <w:rPr>
          <w:b/>
          <w:i w:val="0"/>
          <w:sz w:val="24"/>
        </w:rPr>
        <w:t>. Planning Team Members</w:t>
      </w:r>
      <w:bookmarkEnd w:id="18"/>
    </w:p>
    <w:tbl>
      <w:tblPr>
        <w:tblStyle w:val="GridTable4-Accent6"/>
        <w:tblW w:w="0" w:type="auto"/>
        <w:tblLook w:val="0420" w:firstRow="1" w:lastRow="0" w:firstColumn="0" w:lastColumn="0" w:noHBand="0" w:noVBand="1"/>
        <w:tblDescription w:val="Planning team members for the SSDP."/>
      </w:tblPr>
      <w:tblGrid>
        <w:gridCol w:w="2335"/>
        <w:gridCol w:w="7015"/>
      </w:tblGrid>
      <w:tr w:rsidR="00FA71E4" w:rsidRPr="00F62746" w14:paraId="4ABC7DD5" w14:textId="77777777" w:rsidTr="00E53F38">
        <w:trPr>
          <w:cnfStyle w:val="100000000000" w:firstRow="1" w:lastRow="0" w:firstColumn="0" w:lastColumn="0" w:oddVBand="0" w:evenVBand="0" w:oddHBand="0" w:evenHBand="0" w:firstRowFirstColumn="0" w:firstRowLastColumn="0" w:lastRowFirstColumn="0" w:lastRowLastColumn="0"/>
          <w:cantSplit/>
          <w:trHeight w:val="377"/>
          <w:tblHeader/>
        </w:trPr>
        <w:tc>
          <w:tcPr>
            <w:tcW w:w="2335" w:type="dxa"/>
            <w:tcBorders>
              <w:right w:val="single" w:sz="4" w:space="0" w:color="70AD47" w:themeColor="accent6"/>
            </w:tcBorders>
            <w:shd w:val="clear" w:color="auto" w:fill="385623" w:themeFill="accent6" w:themeFillShade="80"/>
            <w:vAlign w:val="center"/>
          </w:tcPr>
          <w:p w14:paraId="60DDC03F" w14:textId="77777777" w:rsidR="00FA71E4" w:rsidRPr="00F62746" w:rsidRDefault="00FA71E4" w:rsidP="00E53F38">
            <w:pPr>
              <w:jc w:val="center"/>
              <w:rPr>
                <w:rFonts w:ascii="Arial" w:hAnsi="Arial" w:cs="Arial"/>
                <w:b w:val="0"/>
                <w:color w:val="FFFFFF"/>
              </w:rPr>
            </w:pPr>
            <w:r w:rsidRPr="00F62746">
              <w:rPr>
                <w:rFonts w:ascii="Arial" w:hAnsi="Arial" w:cs="Arial"/>
                <w:color w:val="FFFFFF"/>
              </w:rPr>
              <w:t>Personnel</w:t>
            </w:r>
          </w:p>
        </w:tc>
        <w:tc>
          <w:tcPr>
            <w:tcW w:w="7015" w:type="dxa"/>
            <w:tcBorders>
              <w:left w:val="single" w:sz="4" w:space="0" w:color="70AD47" w:themeColor="accent6"/>
            </w:tcBorders>
            <w:shd w:val="clear" w:color="auto" w:fill="385623" w:themeFill="accent6" w:themeFillShade="80"/>
            <w:vAlign w:val="center"/>
          </w:tcPr>
          <w:p w14:paraId="362529AC" w14:textId="77777777" w:rsidR="00FA71E4" w:rsidRPr="00F62746" w:rsidRDefault="00FA71E4" w:rsidP="00E53F38">
            <w:pPr>
              <w:jc w:val="center"/>
              <w:rPr>
                <w:rFonts w:ascii="Arial" w:hAnsi="Arial" w:cs="Arial"/>
                <w:b w:val="0"/>
                <w:color w:val="FFFFFF"/>
              </w:rPr>
            </w:pPr>
            <w:r w:rsidRPr="00F62746">
              <w:rPr>
                <w:rFonts w:ascii="Arial" w:hAnsi="Arial" w:cs="Arial"/>
                <w:color w:val="FFFFFF"/>
              </w:rPr>
              <w:t>Job Title/Organization</w:t>
            </w:r>
          </w:p>
        </w:tc>
      </w:tr>
      <w:tr w:rsidR="00FA71E4" w:rsidRPr="00F62746" w14:paraId="119E59F3"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3C341FC2" w14:textId="77777777" w:rsidR="00FA71E4" w:rsidRPr="00F62746" w:rsidRDefault="00FA71E4" w:rsidP="00FA71E4">
            <w:pPr>
              <w:contextualSpacing/>
              <w:rPr>
                <w:rFonts w:ascii="Arial" w:hAnsi="Arial" w:cs="Arial"/>
              </w:rPr>
            </w:pPr>
            <w:r w:rsidRPr="00F62746">
              <w:rPr>
                <w:rFonts w:ascii="Arial" w:hAnsi="Arial" w:cs="Arial"/>
              </w:rPr>
              <w:t>Celina Torres</w:t>
            </w:r>
          </w:p>
        </w:tc>
        <w:tc>
          <w:tcPr>
            <w:tcW w:w="7015" w:type="dxa"/>
          </w:tcPr>
          <w:p w14:paraId="36B324FA" w14:textId="77777777" w:rsidR="00FA71E4" w:rsidRPr="00F62746" w:rsidRDefault="00FA71E4" w:rsidP="002119B3">
            <w:pPr>
              <w:contextualSpacing/>
              <w:rPr>
                <w:rFonts w:ascii="Arial" w:hAnsi="Arial" w:cs="Arial"/>
              </w:rPr>
            </w:pPr>
            <w:r w:rsidRPr="00F62746">
              <w:rPr>
                <w:rFonts w:ascii="Arial" w:hAnsi="Arial" w:cs="Arial"/>
              </w:rPr>
              <w:t>Administrator, MEO</w:t>
            </w:r>
            <w:r w:rsidR="002119B3" w:rsidRPr="00F62746">
              <w:rPr>
                <w:rFonts w:ascii="Arial" w:hAnsi="Arial" w:cs="Arial"/>
              </w:rPr>
              <w:t>, CDE</w:t>
            </w:r>
          </w:p>
        </w:tc>
      </w:tr>
      <w:tr w:rsidR="00FA71E4" w:rsidRPr="00F62746" w14:paraId="78936DE8" w14:textId="77777777" w:rsidTr="00CD6849">
        <w:trPr>
          <w:cantSplit/>
        </w:trPr>
        <w:tc>
          <w:tcPr>
            <w:tcW w:w="2335" w:type="dxa"/>
          </w:tcPr>
          <w:p w14:paraId="02ED6B90" w14:textId="77777777" w:rsidR="00FA71E4" w:rsidRPr="00F62746" w:rsidRDefault="00FA71E4" w:rsidP="00FA71E4">
            <w:pPr>
              <w:contextualSpacing/>
              <w:rPr>
                <w:rFonts w:ascii="Arial" w:hAnsi="Arial" w:cs="Arial"/>
              </w:rPr>
            </w:pPr>
            <w:r w:rsidRPr="00F62746">
              <w:rPr>
                <w:rFonts w:ascii="Arial" w:hAnsi="Arial" w:cs="Arial"/>
              </w:rPr>
              <w:t>Chunxia Wang</w:t>
            </w:r>
          </w:p>
        </w:tc>
        <w:tc>
          <w:tcPr>
            <w:tcW w:w="7015" w:type="dxa"/>
          </w:tcPr>
          <w:p w14:paraId="69443433" w14:textId="77777777" w:rsidR="00FA71E4" w:rsidRPr="00F62746" w:rsidRDefault="00FA71E4" w:rsidP="002119B3">
            <w:pPr>
              <w:contextualSpacing/>
              <w:rPr>
                <w:rFonts w:ascii="Arial" w:hAnsi="Arial" w:cs="Arial"/>
              </w:rPr>
            </w:pPr>
            <w:r w:rsidRPr="00F62746">
              <w:rPr>
                <w:rFonts w:ascii="Arial" w:hAnsi="Arial" w:cs="Arial"/>
              </w:rPr>
              <w:t>Education Research and Evaluation Consultant, MEO</w:t>
            </w:r>
            <w:r w:rsidR="002119B3" w:rsidRPr="00F62746">
              <w:rPr>
                <w:rFonts w:ascii="Arial" w:hAnsi="Arial" w:cs="Arial"/>
              </w:rPr>
              <w:t>, CDE</w:t>
            </w:r>
          </w:p>
        </w:tc>
      </w:tr>
      <w:tr w:rsidR="00FA71E4" w:rsidRPr="00F62746" w14:paraId="0BBDB2F8"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4AEC44E8" w14:textId="77777777" w:rsidR="00FA71E4" w:rsidRPr="00F62746" w:rsidRDefault="00FA71E4" w:rsidP="00FA71E4">
            <w:pPr>
              <w:contextualSpacing/>
              <w:rPr>
                <w:rFonts w:ascii="Arial" w:hAnsi="Arial" w:cs="Arial"/>
              </w:rPr>
            </w:pPr>
            <w:r w:rsidRPr="00F62746">
              <w:rPr>
                <w:rFonts w:ascii="Arial" w:hAnsi="Arial" w:cs="Arial"/>
              </w:rPr>
              <w:t>Melissa Mallory</w:t>
            </w:r>
          </w:p>
        </w:tc>
        <w:tc>
          <w:tcPr>
            <w:tcW w:w="7015" w:type="dxa"/>
          </w:tcPr>
          <w:p w14:paraId="651C5A36" w14:textId="77777777" w:rsidR="00FA71E4" w:rsidRPr="00F62746" w:rsidRDefault="00FA71E4" w:rsidP="002119B3">
            <w:pPr>
              <w:contextualSpacing/>
              <w:rPr>
                <w:rFonts w:ascii="Arial" w:hAnsi="Arial" w:cs="Arial"/>
              </w:rPr>
            </w:pPr>
            <w:r w:rsidRPr="00F62746">
              <w:rPr>
                <w:rFonts w:ascii="Arial" w:hAnsi="Arial" w:cs="Arial"/>
              </w:rPr>
              <w:t>Project Lead, Education Programs Consultant, MEO</w:t>
            </w:r>
            <w:r w:rsidR="002119B3" w:rsidRPr="00F62746">
              <w:rPr>
                <w:rFonts w:ascii="Arial" w:hAnsi="Arial" w:cs="Arial"/>
              </w:rPr>
              <w:t>, CDE</w:t>
            </w:r>
          </w:p>
        </w:tc>
      </w:tr>
      <w:tr w:rsidR="00FA71E4" w:rsidRPr="00F62746" w14:paraId="18B8AEDC" w14:textId="77777777" w:rsidTr="00CD6849">
        <w:trPr>
          <w:cantSplit/>
        </w:trPr>
        <w:tc>
          <w:tcPr>
            <w:tcW w:w="2335" w:type="dxa"/>
          </w:tcPr>
          <w:p w14:paraId="07879669" w14:textId="77777777" w:rsidR="00FA71E4" w:rsidRPr="00F62746" w:rsidRDefault="00FA71E4" w:rsidP="00FA71E4">
            <w:pPr>
              <w:contextualSpacing/>
              <w:rPr>
                <w:rFonts w:ascii="Arial" w:hAnsi="Arial" w:cs="Arial"/>
              </w:rPr>
            </w:pPr>
            <w:r w:rsidRPr="00F62746">
              <w:rPr>
                <w:rFonts w:ascii="Arial" w:hAnsi="Arial" w:cs="Arial"/>
              </w:rPr>
              <w:t>Veronica Aguila</w:t>
            </w:r>
          </w:p>
        </w:tc>
        <w:tc>
          <w:tcPr>
            <w:tcW w:w="7015" w:type="dxa"/>
          </w:tcPr>
          <w:p w14:paraId="77A1E41A" w14:textId="037E276B" w:rsidR="00FA71E4" w:rsidRPr="00F62746" w:rsidRDefault="00FA71E4" w:rsidP="00FA71E4">
            <w:pPr>
              <w:contextualSpacing/>
              <w:rPr>
                <w:rFonts w:ascii="Arial" w:hAnsi="Arial" w:cs="Arial"/>
              </w:rPr>
            </w:pPr>
            <w:r w:rsidRPr="00F62746">
              <w:rPr>
                <w:rFonts w:ascii="Arial" w:hAnsi="Arial" w:cs="Arial"/>
              </w:rPr>
              <w:t xml:space="preserve">Director, </w:t>
            </w:r>
            <w:r w:rsidR="009934C2">
              <w:rPr>
                <w:rFonts w:ascii="Arial" w:hAnsi="Arial" w:cs="Arial"/>
              </w:rPr>
              <w:t>MSD</w:t>
            </w:r>
            <w:r w:rsidRPr="00F62746">
              <w:rPr>
                <w:rFonts w:ascii="Arial" w:hAnsi="Arial" w:cs="Arial"/>
              </w:rPr>
              <w:t>, CDE</w:t>
            </w:r>
          </w:p>
        </w:tc>
      </w:tr>
      <w:tr w:rsidR="00FA71E4" w:rsidRPr="00F62746" w14:paraId="01FDD88A"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0018F9AE" w14:textId="77777777" w:rsidR="00FA71E4" w:rsidRPr="00F62746" w:rsidRDefault="00FA71E4" w:rsidP="00FA71E4">
            <w:pPr>
              <w:contextualSpacing/>
              <w:rPr>
                <w:rFonts w:ascii="Arial" w:hAnsi="Arial" w:cs="Arial"/>
              </w:rPr>
            </w:pPr>
            <w:r w:rsidRPr="00F62746">
              <w:rPr>
                <w:rFonts w:ascii="Arial" w:hAnsi="Arial" w:cs="Arial"/>
              </w:rPr>
              <w:t>Lisa Severino</w:t>
            </w:r>
          </w:p>
        </w:tc>
        <w:tc>
          <w:tcPr>
            <w:tcW w:w="7015" w:type="dxa"/>
          </w:tcPr>
          <w:p w14:paraId="592F2DD3" w14:textId="77777777" w:rsidR="00FA71E4" w:rsidRPr="00F62746" w:rsidRDefault="00FA71E4" w:rsidP="00FA71E4">
            <w:pPr>
              <w:contextualSpacing/>
              <w:rPr>
                <w:rFonts w:ascii="Arial" w:hAnsi="Arial" w:cs="Arial"/>
              </w:rPr>
            </w:pPr>
            <w:r w:rsidRPr="00F62746">
              <w:rPr>
                <w:rFonts w:ascii="Arial" w:hAnsi="Arial" w:cs="Arial"/>
              </w:rPr>
              <w:t>Research Associate, CA CC, WestEd</w:t>
            </w:r>
          </w:p>
        </w:tc>
      </w:tr>
      <w:tr w:rsidR="00FA71E4" w:rsidRPr="00F62746" w14:paraId="5ABB9538" w14:textId="77777777" w:rsidTr="00CD6849">
        <w:trPr>
          <w:cantSplit/>
        </w:trPr>
        <w:tc>
          <w:tcPr>
            <w:tcW w:w="2335" w:type="dxa"/>
          </w:tcPr>
          <w:p w14:paraId="0268E1EE" w14:textId="77777777" w:rsidR="00FA71E4" w:rsidRPr="00F62746" w:rsidRDefault="00FA71E4" w:rsidP="00FA71E4">
            <w:pPr>
              <w:contextualSpacing/>
              <w:rPr>
                <w:rFonts w:ascii="Arial" w:eastAsia="Times New Roman" w:hAnsi="Arial" w:cs="Arial"/>
                <w:color w:val="000000"/>
              </w:rPr>
            </w:pPr>
            <w:r w:rsidRPr="00F62746">
              <w:rPr>
                <w:rFonts w:ascii="Arial" w:eastAsia="Times New Roman" w:hAnsi="Arial" w:cs="Arial"/>
                <w:color w:val="000000"/>
              </w:rPr>
              <w:t>Debra T. Benitez</w:t>
            </w:r>
          </w:p>
        </w:tc>
        <w:tc>
          <w:tcPr>
            <w:tcW w:w="7015" w:type="dxa"/>
          </w:tcPr>
          <w:p w14:paraId="0CB018FF" w14:textId="77777777" w:rsidR="00FA71E4" w:rsidRPr="00F62746" w:rsidRDefault="00FA71E4" w:rsidP="00326281">
            <w:pPr>
              <w:contextualSpacing/>
              <w:rPr>
                <w:rFonts w:ascii="Arial" w:eastAsia="Times New Roman" w:hAnsi="Arial" w:cs="Arial"/>
                <w:color w:val="000000"/>
              </w:rPr>
            </w:pPr>
            <w:r w:rsidRPr="00F62746">
              <w:rPr>
                <w:rFonts w:ascii="Arial" w:eastAsia="Times New Roman" w:hAnsi="Arial" w:cs="Arial"/>
                <w:color w:val="000000"/>
              </w:rPr>
              <w:t>Director of Research and Impact Assessment Services, CA CC, WestEd</w:t>
            </w:r>
          </w:p>
        </w:tc>
      </w:tr>
    </w:tbl>
    <w:p w14:paraId="69586C76" w14:textId="77777777" w:rsidR="00CD49BD" w:rsidRPr="005E0053" w:rsidRDefault="00AB1B24" w:rsidP="00CB2C23">
      <w:pPr>
        <w:spacing w:before="240"/>
        <w:rPr>
          <w:rFonts w:ascii="Arial" w:hAnsi="Arial" w:cs="Arial"/>
        </w:rPr>
      </w:pPr>
      <w:r w:rsidRPr="005E0053">
        <w:rPr>
          <w:rFonts w:ascii="Arial" w:hAnsi="Arial" w:cs="Arial"/>
        </w:rPr>
        <w:t>The</w:t>
      </w:r>
      <w:r w:rsidR="00CD49BD" w:rsidRPr="005E0053">
        <w:rPr>
          <w:rFonts w:ascii="Arial" w:hAnsi="Arial" w:cs="Arial"/>
        </w:rPr>
        <w:t xml:space="preserve"> major activities conducted during the development of the statewide </w:t>
      </w:r>
      <w:r w:rsidR="007036FF" w:rsidRPr="005E0053">
        <w:rPr>
          <w:rFonts w:ascii="Arial" w:hAnsi="Arial" w:cs="Arial"/>
        </w:rPr>
        <w:t>CNA and SSDP</w:t>
      </w:r>
      <w:r w:rsidR="00CD49BD" w:rsidRPr="005E0053">
        <w:rPr>
          <w:rFonts w:ascii="Arial" w:hAnsi="Arial" w:cs="Arial"/>
        </w:rPr>
        <w:t xml:space="preserve"> are listed below acco</w:t>
      </w:r>
      <w:r w:rsidR="00FA71E4" w:rsidRPr="005E0053">
        <w:rPr>
          <w:rFonts w:ascii="Arial" w:hAnsi="Arial" w:cs="Arial"/>
        </w:rPr>
        <w:t>rding to the following calendar in Table 3.</w:t>
      </w:r>
    </w:p>
    <w:p w14:paraId="0045E0CF" w14:textId="77777777" w:rsidR="00FA71E4" w:rsidRPr="005E0053" w:rsidRDefault="00FA71E4" w:rsidP="00743715">
      <w:pPr>
        <w:pStyle w:val="Heading6"/>
      </w:pPr>
      <w:bookmarkStart w:id="19" w:name="_Toc101961095"/>
      <w:r w:rsidRPr="005E0053">
        <w:t xml:space="preserve">Table </w:t>
      </w:r>
      <w:fldSimple w:instr=" SEQ Table \* ARABIC ">
        <w:r w:rsidR="00791A0A">
          <w:rPr>
            <w:noProof/>
          </w:rPr>
          <w:t>3</w:t>
        </w:r>
      </w:fldSimple>
      <w:r w:rsidRPr="005E0053">
        <w:t>. Comprehensive Needs Assessment and State Service Delivery Plan Project Timeline</w:t>
      </w:r>
      <w:bookmarkEnd w:id="19"/>
    </w:p>
    <w:tbl>
      <w:tblPr>
        <w:tblStyle w:val="GridTable4-Accent6"/>
        <w:tblW w:w="0" w:type="auto"/>
        <w:tblLook w:val="0420" w:firstRow="1" w:lastRow="0" w:firstColumn="0" w:lastColumn="0" w:noHBand="0" w:noVBand="1"/>
        <w:tblDescription w:val="Project timeline for the Comprehensive Needs Assessment and the State Service Delivery Plan."/>
      </w:tblPr>
      <w:tblGrid>
        <w:gridCol w:w="2335"/>
        <w:gridCol w:w="7015"/>
      </w:tblGrid>
      <w:tr w:rsidR="00E72202" w:rsidRPr="002D35D7" w14:paraId="4B30058A" w14:textId="77777777" w:rsidTr="00E53F38">
        <w:trPr>
          <w:cnfStyle w:val="100000000000" w:firstRow="1" w:lastRow="0" w:firstColumn="0" w:lastColumn="0" w:oddVBand="0" w:evenVBand="0" w:oddHBand="0" w:evenHBand="0" w:firstRowFirstColumn="0" w:firstRowLastColumn="0" w:lastRowFirstColumn="0" w:lastRowLastColumn="0"/>
          <w:cantSplit/>
          <w:trHeight w:val="377"/>
          <w:tblHeader/>
        </w:trPr>
        <w:tc>
          <w:tcPr>
            <w:tcW w:w="2335" w:type="dxa"/>
            <w:tcBorders>
              <w:right w:val="single" w:sz="4" w:space="0" w:color="70AD47" w:themeColor="accent6"/>
            </w:tcBorders>
            <w:shd w:val="clear" w:color="auto" w:fill="385623" w:themeFill="accent6" w:themeFillShade="80"/>
            <w:vAlign w:val="center"/>
          </w:tcPr>
          <w:p w14:paraId="13CE14EE" w14:textId="77777777" w:rsidR="00C55CA8" w:rsidRPr="002D35D7" w:rsidRDefault="00C55CA8" w:rsidP="00E53F38">
            <w:pPr>
              <w:jc w:val="center"/>
              <w:rPr>
                <w:rFonts w:ascii="Arial" w:hAnsi="Arial" w:cs="Arial"/>
                <w:b w:val="0"/>
                <w:color w:val="FFFFFF"/>
              </w:rPr>
            </w:pPr>
            <w:r w:rsidRPr="002D35D7">
              <w:rPr>
                <w:rFonts w:ascii="Arial" w:hAnsi="Arial" w:cs="Arial"/>
                <w:color w:val="FFFFFF"/>
              </w:rPr>
              <w:t>Timeline</w:t>
            </w:r>
          </w:p>
        </w:tc>
        <w:tc>
          <w:tcPr>
            <w:tcW w:w="7015" w:type="dxa"/>
            <w:tcBorders>
              <w:left w:val="single" w:sz="4" w:space="0" w:color="70AD47" w:themeColor="accent6"/>
            </w:tcBorders>
            <w:shd w:val="clear" w:color="auto" w:fill="385623" w:themeFill="accent6" w:themeFillShade="80"/>
            <w:vAlign w:val="center"/>
          </w:tcPr>
          <w:p w14:paraId="6405BCFC" w14:textId="77777777" w:rsidR="00C55CA8" w:rsidRPr="002D35D7" w:rsidRDefault="00C55CA8" w:rsidP="00E53F38">
            <w:pPr>
              <w:jc w:val="center"/>
              <w:rPr>
                <w:rFonts w:ascii="Arial" w:hAnsi="Arial" w:cs="Arial"/>
                <w:b w:val="0"/>
                <w:color w:val="FFFFFF"/>
              </w:rPr>
            </w:pPr>
            <w:r w:rsidRPr="002D35D7">
              <w:rPr>
                <w:rFonts w:ascii="Arial" w:hAnsi="Arial" w:cs="Arial"/>
                <w:color w:val="FFFFFF"/>
              </w:rPr>
              <w:t>Activity</w:t>
            </w:r>
          </w:p>
        </w:tc>
      </w:tr>
      <w:tr w:rsidR="00CD49BD" w:rsidRPr="00F62746" w14:paraId="0FDF7533"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0C516411" w14:textId="77777777" w:rsidR="00CD49BD" w:rsidRPr="00F62746" w:rsidRDefault="00CD49BD">
            <w:pPr>
              <w:rPr>
                <w:rFonts w:ascii="Arial" w:hAnsi="Arial" w:cs="Arial"/>
              </w:rPr>
            </w:pPr>
            <w:r w:rsidRPr="00F62746">
              <w:rPr>
                <w:rFonts w:ascii="Arial" w:hAnsi="Arial" w:cs="Arial"/>
              </w:rPr>
              <w:t>2014–15</w:t>
            </w:r>
            <w:r w:rsidR="00FC3448" w:rsidRPr="00F62746">
              <w:rPr>
                <w:rFonts w:ascii="Arial" w:hAnsi="Arial" w:cs="Arial"/>
              </w:rPr>
              <w:t xml:space="preserve"> Program Year</w:t>
            </w:r>
          </w:p>
        </w:tc>
        <w:tc>
          <w:tcPr>
            <w:tcW w:w="7015" w:type="dxa"/>
          </w:tcPr>
          <w:p w14:paraId="297886FE" w14:textId="78E5DF7A" w:rsidR="00CD49BD" w:rsidRPr="00F62746" w:rsidRDefault="00FC3448">
            <w:pPr>
              <w:rPr>
                <w:rFonts w:ascii="Arial" w:hAnsi="Arial" w:cs="Arial"/>
              </w:rPr>
            </w:pPr>
            <w:r w:rsidRPr="00F62746">
              <w:rPr>
                <w:rFonts w:ascii="Arial" w:hAnsi="Arial" w:cs="Arial"/>
              </w:rPr>
              <w:t>Implementation of 20 local CNAs; gathering local input</w:t>
            </w:r>
            <w:r w:rsidR="00B81939">
              <w:rPr>
                <w:rFonts w:ascii="Arial" w:hAnsi="Arial" w:cs="Arial"/>
              </w:rPr>
              <w:t xml:space="preserve"> from interested parties</w:t>
            </w:r>
          </w:p>
        </w:tc>
      </w:tr>
      <w:tr w:rsidR="00CD49BD" w:rsidRPr="00F62746" w14:paraId="0F5EDDAE" w14:textId="77777777" w:rsidTr="00CD6849">
        <w:trPr>
          <w:cantSplit/>
        </w:trPr>
        <w:tc>
          <w:tcPr>
            <w:tcW w:w="2335" w:type="dxa"/>
          </w:tcPr>
          <w:p w14:paraId="0A9FDE7A" w14:textId="77777777" w:rsidR="00CD49BD" w:rsidRPr="00F62746" w:rsidRDefault="00CD49BD">
            <w:pPr>
              <w:rPr>
                <w:rFonts w:ascii="Arial" w:hAnsi="Arial" w:cs="Arial"/>
              </w:rPr>
            </w:pPr>
            <w:r w:rsidRPr="00F62746">
              <w:rPr>
                <w:rFonts w:ascii="Arial" w:hAnsi="Arial" w:cs="Arial"/>
              </w:rPr>
              <w:t>Apr. 2016</w:t>
            </w:r>
          </w:p>
        </w:tc>
        <w:tc>
          <w:tcPr>
            <w:tcW w:w="7015" w:type="dxa"/>
          </w:tcPr>
          <w:p w14:paraId="3226A398" w14:textId="77777777" w:rsidR="00CD49BD" w:rsidRPr="00F62746" w:rsidRDefault="00FC3448">
            <w:pPr>
              <w:rPr>
                <w:rFonts w:ascii="Arial" w:hAnsi="Arial" w:cs="Arial"/>
              </w:rPr>
            </w:pPr>
            <w:r w:rsidRPr="00F62746">
              <w:rPr>
                <w:rFonts w:ascii="Arial" w:hAnsi="Arial" w:cs="Arial"/>
              </w:rPr>
              <w:t>CDE receives final drafts of the 20 local CNA reports</w:t>
            </w:r>
          </w:p>
        </w:tc>
      </w:tr>
      <w:tr w:rsidR="00CD49BD" w:rsidRPr="00F62746" w14:paraId="7B8BAB19"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456B1F6C" w14:textId="77777777" w:rsidR="00CD49BD" w:rsidRPr="00F62746" w:rsidRDefault="00CD49BD">
            <w:pPr>
              <w:rPr>
                <w:rFonts w:ascii="Arial" w:hAnsi="Arial" w:cs="Arial"/>
              </w:rPr>
            </w:pPr>
            <w:r w:rsidRPr="00F62746">
              <w:rPr>
                <w:rFonts w:ascii="Arial" w:hAnsi="Arial" w:cs="Arial"/>
              </w:rPr>
              <w:t>Aug. 2016</w:t>
            </w:r>
          </w:p>
        </w:tc>
        <w:tc>
          <w:tcPr>
            <w:tcW w:w="7015" w:type="dxa"/>
          </w:tcPr>
          <w:p w14:paraId="39A14974" w14:textId="77777777" w:rsidR="00CD49BD" w:rsidRPr="00F62746" w:rsidRDefault="00FC3448">
            <w:pPr>
              <w:rPr>
                <w:rFonts w:ascii="Arial" w:hAnsi="Arial" w:cs="Arial"/>
              </w:rPr>
            </w:pPr>
            <w:r w:rsidRPr="00F62746">
              <w:rPr>
                <w:rFonts w:ascii="Arial" w:hAnsi="Arial" w:cs="Arial"/>
              </w:rPr>
              <w:t>Establishment of CNA/SSDP Management and Data Team</w:t>
            </w:r>
          </w:p>
        </w:tc>
      </w:tr>
      <w:tr w:rsidR="00CD49BD" w:rsidRPr="00F62746" w14:paraId="7E875D08" w14:textId="77777777" w:rsidTr="00CD6849">
        <w:trPr>
          <w:cantSplit/>
        </w:trPr>
        <w:tc>
          <w:tcPr>
            <w:tcW w:w="2335" w:type="dxa"/>
          </w:tcPr>
          <w:p w14:paraId="382FD49F" w14:textId="77777777" w:rsidR="00CD49BD" w:rsidRPr="00F62746" w:rsidRDefault="00CD49BD" w:rsidP="00C55CA8">
            <w:pPr>
              <w:rPr>
                <w:rFonts w:ascii="Arial" w:hAnsi="Arial" w:cs="Arial"/>
              </w:rPr>
            </w:pPr>
            <w:r w:rsidRPr="00F62746">
              <w:rPr>
                <w:rFonts w:ascii="Arial" w:hAnsi="Arial" w:cs="Arial"/>
              </w:rPr>
              <w:t>Aug.–Jan. 2016</w:t>
            </w:r>
          </w:p>
        </w:tc>
        <w:tc>
          <w:tcPr>
            <w:tcW w:w="7015" w:type="dxa"/>
          </w:tcPr>
          <w:p w14:paraId="1DFC9907" w14:textId="77777777" w:rsidR="00CD49BD" w:rsidRPr="00F62746" w:rsidRDefault="00FC3448">
            <w:pPr>
              <w:rPr>
                <w:rFonts w:ascii="Arial" w:hAnsi="Arial" w:cs="Arial"/>
              </w:rPr>
            </w:pPr>
            <w:r w:rsidRPr="00F62746">
              <w:rPr>
                <w:rFonts w:ascii="Arial" w:hAnsi="Arial" w:cs="Arial"/>
              </w:rPr>
              <w:t>CNA/SSDP Bi-monthly Planning Meetings</w:t>
            </w:r>
          </w:p>
        </w:tc>
      </w:tr>
      <w:tr w:rsidR="00CD49BD" w:rsidRPr="00F62746" w14:paraId="39453244"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2A0904A7" w14:textId="77777777" w:rsidR="00CD49BD" w:rsidRPr="00F62746" w:rsidRDefault="00CD49BD">
            <w:pPr>
              <w:rPr>
                <w:rFonts w:ascii="Arial" w:hAnsi="Arial" w:cs="Arial"/>
              </w:rPr>
            </w:pPr>
            <w:r w:rsidRPr="00F62746">
              <w:rPr>
                <w:rFonts w:ascii="Arial" w:hAnsi="Arial" w:cs="Arial"/>
              </w:rPr>
              <w:t>Sept. 2016</w:t>
            </w:r>
          </w:p>
        </w:tc>
        <w:tc>
          <w:tcPr>
            <w:tcW w:w="7015" w:type="dxa"/>
          </w:tcPr>
          <w:p w14:paraId="3704412D" w14:textId="77777777" w:rsidR="00CD49BD" w:rsidRPr="00F62746" w:rsidRDefault="00FC3448">
            <w:pPr>
              <w:rPr>
                <w:rFonts w:ascii="Arial" w:hAnsi="Arial" w:cs="Arial"/>
              </w:rPr>
            </w:pPr>
            <w:r w:rsidRPr="00F62746">
              <w:rPr>
                <w:rFonts w:ascii="Arial" w:hAnsi="Arial" w:cs="Arial"/>
              </w:rPr>
              <w:t>MEP Directors’ Meeting: CNA Update</w:t>
            </w:r>
          </w:p>
        </w:tc>
      </w:tr>
      <w:tr w:rsidR="00CD49BD" w:rsidRPr="00F62746" w14:paraId="1C048DA2" w14:textId="77777777" w:rsidTr="00CD6849">
        <w:trPr>
          <w:cantSplit/>
        </w:trPr>
        <w:tc>
          <w:tcPr>
            <w:tcW w:w="2335" w:type="dxa"/>
          </w:tcPr>
          <w:p w14:paraId="2EA62928" w14:textId="77777777" w:rsidR="00CD49BD" w:rsidRPr="00F62746" w:rsidRDefault="00CD49BD">
            <w:pPr>
              <w:rPr>
                <w:rFonts w:ascii="Arial" w:hAnsi="Arial" w:cs="Arial"/>
              </w:rPr>
            </w:pPr>
            <w:r w:rsidRPr="00F62746">
              <w:rPr>
                <w:rFonts w:ascii="Arial" w:hAnsi="Arial" w:cs="Arial"/>
              </w:rPr>
              <w:t>Sept. 2016</w:t>
            </w:r>
          </w:p>
        </w:tc>
        <w:tc>
          <w:tcPr>
            <w:tcW w:w="7015" w:type="dxa"/>
          </w:tcPr>
          <w:p w14:paraId="37859DD4" w14:textId="77777777" w:rsidR="00CD49BD" w:rsidRPr="00F62746" w:rsidRDefault="00FC3448">
            <w:pPr>
              <w:rPr>
                <w:rFonts w:ascii="Arial" w:hAnsi="Arial" w:cs="Arial"/>
              </w:rPr>
            </w:pPr>
            <w:r w:rsidRPr="00F62746">
              <w:rPr>
                <w:rFonts w:ascii="Arial" w:hAnsi="Arial" w:cs="Arial"/>
              </w:rPr>
              <w:t>Meta-analysis of 20 local CNAs completed</w:t>
            </w:r>
          </w:p>
        </w:tc>
      </w:tr>
      <w:tr w:rsidR="00CD49BD" w:rsidRPr="00F62746" w14:paraId="2092F3FD"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75BA3B7E" w14:textId="77777777" w:rsidR="00CD49BD" w:rsidRPr="00F62746" w:rsidRDefault="00C55CA8">
            <w:pPr>
              <w:rPr>
                <w:rFonts w:ascii="Arial" w:hAnsi="Arial" w:cs="Arial"/>
              </w:rPr>
            </w:pPr>
            <w:r w:rsidRPr="00F62746">
              <w:rPr>
                <w:rFonts w:ascii="Arial" w:hAnsi="Arial" w:cs="Arial"/>
              </w:rPr>
              <w:t>Sept.</w:t>
            </w:r>
            <w:r w:rsidR="00CD49BD" w:rsidRPr="00F62746">
              <w:rPr>
                <w:rFonts w:ascii="Arial" w:hAnsi="Arial" w:cs="Arial"/>
              </w:rPr>
              <w:t>–Nov. 2016</w:t>
            </w:r>
          </w:p>
        </w:tc>
        <w:tc>
          <w:tcPr>
            <w:tcW w:w="7015" w:type="dxa"/>
          </w:tcPr>
          <w:p w14:paraId="04894118" w14:textId="77777777" w:rsidR="00CD49BD" w:rsidRPr="00F62746" w:rsidRDefault="00FC3448">
            <w:pPr>
              <w:rPr>
                <w:rFonts w:ascii="Arial" w:hAnsi="Arial" w:cs="Arial"/>
              </w:rPr>
            </w:pPr>
            <w:r w:rsidRPr="00F62746">
              <w:rPr>
                <w:rFonts w:ascii="Arial" w:hAnsi="Arial" w:cs="Arial"/>
              </w:rPr>
              <w:t>Intensive data collection period</w:t>
            </w:r>
          </w:p>
        </w:tc>
      </w:tr>
      <w:tr w:rsidR="00CD49BD" w:rsidRPr="00F62746" w14:paraId="265DF6C7" w14:textId="77777777" w:rsidTr="00CD6849">
        <w:trPr>
          <w:cantSplit/>
        </w:trPr>
        <w:tc>
          <w:tcPr>
            <w:tcW w:w="2335" w:type="dxa"/>
          </w:tcPr>
          <w:p w14:paraId="40A6E237" w14:textId="77777777" w:rsidR="00CD49BD" w:rsidRPr="00F62746" w:rsidRDefault="00CD49BD" w:rsidP="00C55CA8">
            <w:pPr>
              <w:rPr>
                <w:rFonts w:ascii="Arial" w:hAnsi="Arial" w:cs="Arial"/>
              </w:rPr>
            </w:pPr>
            <w:r w:rsidRPr="00F62746">
              <w:rPr>
                <w:rFonts w:ascii="Arial" w:hAnsi="Arial" w:cs="Arial"/>
              </w:rPr>
              <w:t>Sept.–Dec. 2016</w:t>
            </w:r>
          </w:p>
        </w:tc>
        <w:tc>
          <w:tcPr>
            <w:tcW w:w="7015" w:type="dxa"/>
          </w:tcPr>
          <w:p w14:paraId="5D411F63" w14:textId="77777777" w:rsidR="00CD49BD" w:rsidRPr="00F62746" w:rsidRDefault="00FC3448">
            <w:pPr>
              <w:rPr>
                <w:rFonts w:ascii="Arial" w:hAnsi="Arial" w:cs="Arial"/>
              </w:rPr>
            </w:pPr>
            <w:r w:rsidRPr="00F62746">
              <w:rPr>
                <w:rFonts w:ascii="Arial" w:hAnsi="Arial" w:cs="Arial"/>
              </w:rPr>
              <w:t>Review research on evidence-based practices for specific focus areas</w:t>
            </w:r>
          </w:p>
        </w:tc>
      </w:tr>
      <w:tr w:rsidR="00CD49BD" w:rsidRPr="00F62746" w14:paraId="724A8484"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7DD0F3A6" w14:textId="77777777" w:rsidR="00CD49BD" w:rsidRPr="00F62746" w:rsidRDefault="00CD49BD">
            <w:pPr>
              <w:rPr>
                <w:rFonts w:ascii="Arial" w:hAnsi="Arial" w:cs="Arial"/>
              </w:rPr>
            </w:pPr>
            <w:r w:rsidRPr="00F62746">
              <w:rPr>
                <w:rFonts w:ascii="Arial" w:hAnsi="Arial" w:cs="Arial"/>
              </w:rPr>
              <w:t>Oct. 2016</w:t>
            </w:r>
          </w:p>
        </w:tc>
        <w:tc>
          <w:tcPr>
            <w:tcW w:w="7015" w:type="dxa"/>
          </w:tcPr>
          <w:p w14:paraId="542032D2" w14:textId="77777777" w:rsidR="00CD49BD" w:rsidRPr="00F62746" w:rsidRDefault="00FC3448">
            <w:pPr>
              <w:rPr>
                <w:rFonts w:ascii="Arial" w:hAnsi="Arial" w:cs="Arial"/>
              </w:rPr>
            </w:pPr>
            <w:r w:rsidRPr="00F62746">
              <w:rPr>
                <w:rFonts w:ascii="Arial" w:hAnsi="Arial" w:cs="Arial"/>
              </w:rPr>
              <w:t>Webinar: Findings from the CNA Meta-analysis</w:t>
            </w:r>
          </w:p>
        </w:tc>
      </w:tr>
      <w:tr w:rsidR="00CD49BD" w:rsidRPr="00F62746" w14:paraId="0F3746B3" w14:textId="77777777" w:rsidTr="00CD6849">
        <w:trPr>
          <w:cantSplit/>
        </w:trPr>
        <w:tc>
          <w:tcPr>
            <w:tcW w:w="2335" w:type="dxa"/>
          </w:tcPr>
          <w:p w14:paraId="2FCAC12D" w14:textId="77777777" w:rsidR="00CD49BD" w:rsidRPr="00F62746" w:rsidRDefault="00FC3448">
            <w:pPr>
              <w:rPr>
                <w:rFonts w:ascii="Arial" w:hAnsi="Arial" w:cs="Arial"/>
              </w:rPr>
            </w:pPr>
            <w:r w:rsidRPr="00F62746">
              <w:rPr>
                <w:rFonts w:ascii="Arial" w:hAnsi="Arial" w:cs="Arial"/>
              </w:rPr>
              <w:t>Nov. 2016</w:t>
            </w:r>
          </w:p>
        </w:tc>
        <w:tc>
          <w:tcPr>
            <w:tcW w:w="7015" w:type="dxa"/>
          </w:tcPr>
          <w:p w14:paraId="1061B3B1" w14:textId="25BB42FC" w:rsidR="00CD49BD" w:rsidRPr="00940589" w:rsidRDefault="00FC3448" w:rsidP="00B81939">
            <w:pPr>
              <w:pStyle w:val="TOC1"/>
            </w:pPr>
            <w:r w:rsidRPr="00B81939">
              <w:t>Application for participation on the CNA/SSDP Committee sent to MEP staff</w:t>
            </w:r>
          </w:p>
        </w:tc>
      </w:tr>
      <w:tr w:rsidR="00CD49BD" w:rsidRPr="00F62746" w14:paraId="096EB782"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569FF9BF" w14:textId="77777777" w:rsidR="00CD49BD" w:rsidRPr="00F62746" w:rsidRDefault="00FC3448">
            <w:pPr>
              <w:rPr>
                <w:rFonts w:ascii="Arial" w:hAnsi="Arial" w:cs="Arial"/>
              </w:rPr>
            </w:pPr>
            <w:r w:rsidRPr="00F62746">
              <w:rPr>
                <w:rFonts w:ascii="Arial" w:hAnsi="Arial" w:cs="Arial"/>
              </w:rPr>
              <w:t>Dec. 2016</w:t>
            </w:r>
          </w:p>
        </w:tc>
        <w:tc>
          <w:tcPr>
            <w:tcW w:w="7015" w:type="dxa"/>
          </w:tcPr>
          <w:p w14:paraId="523D017B" w14:textId="77777777" w:rsidR="00CD49BD" w:rsidRPr="00F62746" w:rsidRDefault="00C55CA8">
            <w:pPr>
              <w:rPr>
                <w:rFonts w:ascii="Arial" w:hAnsi="Arial" w:cs="Arial"/>
              </w:rPr>
            </w:pPr>
            <w:r w:rsidRPr="00F62746">
              <w:rPr>
                <w:rFonts w:ascii="Arial" w:hAnsi="Arial" w:cs="Arial"/>
              </w:rPr>
              <w:t>Migrant Student Profile finalized</w:t>
            </w:r>
          </w:p>
        </w:tc>
      </w:tr>
      <w:tr w:rsidR="00CD49BD" w:rsidRPr="00F62746" w14:paraId="43A457F5" w14:textId="77777777" w:rsidTr="00CD6849">
        <w:trPr>
          <w:cantSplit/>
        </w:trPr>
        <w:tc>
          <w:tcPr>
            <w:tcW w:w="2335" w:type="dxa"/>
          </w:tcPr>
          <w:p w14:paraId="7782B84F" w14:textId="77777777" w:rsidR="00CD49BD" w:rsidRPr="00F62746" w:rsidRDefault="00FC3448">
            <w:pPr>
              <w:rPr>
                <w:rFonts w:ascii="Arial" w:hAnsi="Arial" w:cs="Arial"/>
              </w:rPr>
            </w:pPr>
            <w:r w:rsidRPr="00F62746">
              <w:rPr>
                <w:rFonts w:ascii="Arial" w:hAnsi="Arial" w:cs="Arial"/>
              </w:rPr>
              <w:t>Dec. 2016</w:t>
            </w:r>
          </w:p>
        </w:tc>
        <w:tc>
          <w:tcPr>
            <w:tcW w:w="7015" w:type="dxa"/>
          </w:tcPr>
          <w:p w14:paraId="6CE5B6D7" w14:textId="77777777" w:rsidR="00CD49BD" w:rsidRPr="00F62746" w:rsidRDefault="00C55CA8">
            <w:pPr>
              <w:rPr>
                <w:rFonts w:ascii="Arial" w:hAnsi="Arial" w:cs="Arial"/>
              </w:rPr>
            </w:pPr>
            <w:r w:rsidRPr="00F62746">
              <w:rPr>
                <w:rFonts w:ascii="Arial" w:hAnsi="Arial" w:cs="Arial"/>
              </w:rPr>
              <w:t xml:space="preserve">MEP Directors’ Presentation: Findings from the CNA Meta-analysis </w:t>
            </w:r>
          </w:p>
        </w:tc>
      </w:tr>
      <w:tr w:rsidR="00CD49BD" w:rsidRPr="00F62746" w14:paraId="19C2F17F"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12CF239B" w14:textId="77777777" w:rsidR="00CD49BD" w:rsidRPr="00F62746" w:rsidRDefault="00FC3448">
            <w:pPr>
              <w:rPr>
                <w:rFonts w:ascii="Arial" w:hAnsi="Arial" w:cs="Arial"/>
              </w:rPr>
            </w:pPr>
            <w:r w:rsidRPr="00F62746">
              <w:rPr>
                <w:rFonts w:ascii="Arial" w:hAnsi="Arial" w:cs="Arial"/>
              </w:rPr>
              <w:t>Dec. 2016</w:t>
            </w:r>
          </w:p>
        </w:tc>
        <w:tc>
          <w:tcPr>
            <w:tcW w:w="7015" w:type="dxa"/>
          </w:tcPr>
          <w:p w14:paraId="2F959D5E" w14:textId="1C05742C" w:rsidR="00CD49BD" w:rsidRPr="00F62746" w:rsidRDefault="00C55CA8">
            <w:pPr>
              <w:rPr>
                <w:rFonts w:ascii="Arial" w:hAnsi="Arial" w:cs="Arial"/>
              </w:rPr>
            </w:pPr>
            <w:r w:rsidRPr="00F62746">
              <w:rPr>
                <w:rFonts w:ascii="Arial" w:hAnsi="Arial" w:cs="Arial"/>
              </w:rPr>
              <w:t>Participants for the CNA/SSDP Committee are selected</w:t>
            </w:r>
          </w:p>
        </w:tc>
      </w:tr>
      <w:tr w:rsidR="00CD49BD" w:rsidRPr="00F62746" w14:paraId="74396C43" w14:textId="77777777" w:rsidTr="00CD6849">
        <w:trPr>
          <w:cantSplit/>
        </w:trPr>
        <w:tc>
          <w:tcPr>
            <w:tcW w:w="2335" w:type="dxa"/>
          </w:tcPr>
          <w:p w14:paraId="66B76083" w14:textId="77777777" w:rsidR="00CD49BD" w:rsidRPr="00F62746" w:rsidRDefault="00FC3448">
            <w:pPr>
              <w:rPr>
                <w:rFonts w:ascii="Arial" w:hAnsi="Arial" w:cs="Arial"/>
              </w:rPr>
            </w:pPr>
            <w:r w:rsidRPr="00F62746">
              <w:rPr>
                <w:rFonts w:ascii="Arial" w:hAnsi="Arial" w:cs="Arial"/>
              </w:rPr>
              <w:t>Feb. 2017</w:t>
            </w:r>
          </w:p>
        </w:tc>
        <w:tc>
          <w:tcPr>
            <w:tcW w:w="7015" w:type="dxa"/>
          </w:tcPr>
          <w:p w14:paraId="23FE7774" w14:textId="18467F6C" w:rsidR="00CD49BD" w:rsidRPr="00F62746" w:rsidRDefault="00C55CA8">
            <w:pPr>
              <w:rPr>
                <w:rFonts w:ascii="Arial" w:hAnsi="Arial" w:cs="Arial"/>
              </w:rPr>
            </w:pPr>
            <w:r w:rsidRPr="00F62746">
              <w:rPr>
                <w:rFonts w:ascii="Arial" w:hAnsi="Arial" w:cs="Arial"/>
              </w:rPr>
              <w:t>Held four CNA Committee and Subcommittee meetings</w:t>
            </w:r>
          </w:p>
        </w:tc>
      </w:tr>
      <w:tr w:rsidR="00CD49BD" w:rsidRPr="00F62746" w14:paraId="7D83B960"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59FB3F59" w14:textId="77777777" w:rsidR="00CD49BD" w:rsidRPr="00F62746" w:rsidRDefault="00FC3448">
            <w:pPr>
              <w:rPr>
                <w:rFonts w:ascii="Arial" w:hAnsi="Arial" w:cs="Arial"/>
              </w:rPr>
            </w:pPr>
            <w:r w:rsidRPr="00F62746">
              <w:rPr>
                <w:rFonts w:ascii="Arial" w:hAnsi="Arial" w:cs="Arial"/>
              </w:rPr>
              <w:t>Mar. 2017</w:t>
            </w:r>
          </w:p>
        </w:tc>
        <w:tc>
          <w:tcPr>
            <w:tcW w:w="7015" w:type="dxa"/>
          </w:tcPr>
          <w:p w14:paraId="16BA20A9" w14:textId="77777777" w:rsidR="00CD49BD" w:rsidRPr="00F62746" w:rsidRDefault="00C55CA8" w:rsidP="00AC45A5">
            <w:pPr>
              <w:rPr>
                <w:rFonts w:ascii="Arial" w:hAnsi="Arial" w:cs="Arial"/>
              </w:rPr>
            </w:pPr>
            <w:r w:rsidRPr="00F62746">
              <w:rPr>
                <w:rFonts w:ascii="Arial" w:hAnsi="Arial" w:cs="Arial"/>
              </w:rPr>
              <w:t xml:space="preserve">Development of draft statewide </w:t>
            </w:r>
            <w:r w:rsidR="00A155EF" w:rsidRPr="00F62746">
              <w:rPr>
                <w:rFonts w:ascii="Arial" w:hAnsi="Arial" w:cs="Arial"/>
              </w:rPr>
              <w:t>CN</w:t>
            </w:r>
            <w:r w:rsidR="00AC45A5" w:rsidRPr="00F62746">
              <w:rPr>
                <w:rFonts w:ascii="Arial" w:hAnsi="Arial" w:cs="Arial"/>
              </w:rPr>
              <w:t xml:space="preserve">A </w:t>
            </w:r>
          </w:p>
        </w:tc>
      </w:tr>
      <w:tr w:rsidR="00CD49BD" w:rsidRPr="00F62746" w14:paraId="508EF7E9" w14:textId="77777777" w:rsidTr="00CD6849">
        <w:trPr>
          <w:cantSplit/>
        </w:trPr>
        <w:tc>
          <w:tcPr>
            <w:tcW w:w="2335" w:type="dxa"/>
          </w:tcPr>
          <w:p w14:paraId="416B8ABE" w14:textId="77777777" w:rsidR="00CD49BD" w:rsidRPr="00F62746" w:rsidRDefault="00FC3448">
            <w:pPr>
              <w:rPr>
                <w:rFonts w:ascii="Arial" w:hAnsi="Arial" w:cs="Arial"/>
              </w:rPr>
            </w:pPr>
            <w:r w:rsidRPr="00F62746">
              <w:rPr>
                <w:rFonts w:ascii="Arial" w:hAnsi="Arial" w:cs="Arial"/>
              </w:rPr>
              <w:lastRenderedPageBreak/>
              <w:t>Mar. 2017</w:t>
            </w:r>
          </w:p>
        </w:tc>
        <w:tc>
          <w:tcPr>
            <w:tcW w:w="7015" w:type="dxa"/>
          </w:tcPr>
          <w:p w14:paraId="55B66008" w14:textId="77777777" w:rsidR="00CD49BD" w:rsidRPr="00F62746" w:rsidRDefault="00C55CA8">
            <w:pPr>
              <w:rPr>
                <w:rFonts w:ascii="Arial" w:hAnsi="Arial" w:cs="Arial"/>
              </w:rPr>
            </w:pPr>
            <w:r w:rsidRPr="00F62746">
              <w:rPr>
                <w:rFonts w:ascii="Arial" w:hAnsi="Arial" w:cs="Arial"/>
              </w:rPr>
              <w:t>Development of draft outcomes, outputs, indicators and performance targets for SSDP</w:t>
            </w:r>
          </w:p>
        </w:tc>
      </w:tr>
      <w:tr w:rsidR="00CD49BD" w:rsidRPr="00F62746" w14:paraId="12C4C18C"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17C979CB" w14:textId="77777777" w:rsidR="00CD49BD" w:rsidRPr="00F62746" w:rsidRDefault="00FC3448">
            <w:pPr>
              <w:rPr>
                <w:rFonts w:ascii="Arial" w:hAnsi="Arial" w:cs="Arial"/>
              </w:rPr>
            </w:pPr>
            <w:r w:rsidRPr="00F62746">
              <w:rPr>
                <w:rFonts w:ascii="Arial" w:hAnsi="Arial" w:cs="Arial"/>
              </w:rPr>
              <w:t>Apr. 2017</w:t>
            </w:r>
          </w:p>
        </w:tc>
        <w:tc>
          <w:tcPr>
            <w:tcW w:w="7015" w:type="dxa"/>
          </w:tcPr>
          <w:p w14:paraId="2752138D" w14:textId="639317FE" w:rsidR="00CD49BD" w:rsidRPr="00F62746" w:rsidRDefault="00C55CA8" w:rsidP="00C55CA8">
            <w:pPr>
              <w:rPr>
                <w:rFonts w:ascii="Arial" w:hAnsi="Arial" w:cs="Arial"/>
              </w:rPr>
            </w:pPr>
            <w:r w:rsidRPr="00F62746">
              <w:rPr>
                <w:rFonts w:ascii="Arial" w:hAnsi="Arial" w:cs="Arial"/>
              </w:rPr>
              <w:t xml:space="preserve">CNA Committee provides input on draft statewide CNA </w:t>
            </w:r>
          </w:p>
        </w:tc>
      </w:tr>
      <w:tr w:rsidR="00CD49BD" w:rsidRPr="00F62746" w14:paraId="37582FC4" w14:textId="77777777" w:rsidTr="00CD6849">
        <w:trPr>
          <w:cantSplit/>
        </w:trPr>
        <w:tc>
          <w:tcPr>
            <w:tcW w:w="2335" w:type="dxa"/>
          </w:tcPr>
          <w:p w14:paraId="2141C99D" w14:textId="77777777" w:rsidR="00CD49BD" w:rsidRPr="00F62746" w:rsidRDefault="00FC3448">
            <w:pPr>
              <w:rPr>
                <w:rFonts w:ascii="Arial" w:hAnsi="Arial" w:cs="Arial"/>
              </w:rPr>
            </w:pPr>
            <w:r w:rsidRPr="00F62746">
              <w:rPr>
                <w:rFonts w:ascii="Arial" w:hAnsi="Arial" w:cs="Arial"/>
              </w:rPr>
              <w:t>Apr. 2017</w:t>
            </w:r>
          </w:p>
        </w:tc>
        <w:tc>
          <w:tcPr>
            <w:tcW w:w="7015" w:type="dxa"/>
          </w:tcPr>
          <w:p w14:paraId="73E056E3" w14:textId="1D0C493C" w:rsidR="00A155EF" w:rsidRPr="00F62746" w:rsidRDefault="00C55CA8" w:rsidP="00C55CA8">
            <w:pPr>
              <w:rPr>
                <w:rFonts w:ascii="Arial" w:hAnsi="Arial" w:cs="Arial"/>
              </w:rPr>
            </w:pPr>
            <w:r w:rsidRPr="00F62746">
              <w:rPr>
                <w:rFonts w:ascii="Arial" w:hAnsi="Arial" w:cs="Arial"/>
              </w:rPr>
              <w:t xml:space="preserve">Fifth and sixth </w:t>
            </w:r>
            <w:proofErr w:type="spellStart"/>
            <w:r w:rsidRPr="00F62746">
              <w:rPr>
                <w:rFonts w:ascii="Arial" w:hAnsi="Arial" w:cs="Arial"/>
              </w:rPr>
              <w:t>SSDPCommittee</w:t>
            </w:r>
            <w:proofErr w:type="spellEnd"/>
            <w:r w:rsidRPr="00F62746">
              <w:rPr>
                <w:rFonts w:ascii="Arial" w:hAnsi="Arial" w:cs="Arial"/>
              </w:rPr>
              <w:t xml:space="preserve"> meeting; review </w:t>
            </w:r>
          </w:p>
          <w:p w14:paraId="00722DEB" w14:textId="77777777" w:rsidR="00CD49BD" w:rsidRPr="00F62746" w:rsidRDefault="00C55CA8" w:rsidP="00C55CA8">
            <w:pPr>
              <w:rPr>
                <w:rFonts w:ascii="Arial" w:hAnsi="Arial" w:cs="Arial"/>
              </w:rPr>
            </w:pPr>
            <w:r w:rsidRPr="00F62746">
              <w:rPr>
                <w:rFonts w:ascii="Arial" w:hAnsi="Arial" w:cs="Arial"/>
              </w:rPr>
              <w:t>2015–2016 statewide ELA and Math data</w:t>
            </w:r>
          </w:p>
        </w:tc>
      </w:tr>
      <w:tr w:rsidR="00B73C48" w:rsidRPr="00F62746" w14:paraId="0596ECB7"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4D2D502A" w14:textId="77777777" w:rsidR="00B73C48" w:rsidRPr="00F62746" w:rsidRDefault="00B73C48">
            <w:pPr>
              <w:rPr>
                <w:rFonts w:ascii="Arial" w:hAnsi="Arial" w:cs="Arial"/>
              </w:rPr>
            </w:pPr>
            <w:r w:rsidRPr="00F62746">
              <w:rPr>
                <w:rFonts w:ascii="Arial" w:hAnsi="Arial" w:cs="Arial"/>
              </w:rPr>
              <w:t>Apr. 2017</w:t>
            </w:r>
          </w:p>
        </w:tc>
        <w:tc>
          <w:tcPr>
            <w:tcW w:w="7015" w:type="dxa"/>
          </w:tcPr>
          <w:p w14:paraId="5E693804" w14:textId="77777777" w:rsidR="00B73C48" w:rsidRPr="00F62746" w:rsidRDefault="00B73C48" w:rsidP="00171580">
            <w:pPr>
              <w:rPr>
                <w:rFonts w:ascii="Arial" w:hAnsi="Arial" w:cs="Arial"/>
              </w:rPr>
            </w:pPr>
            <w:r w:rsidRPr="00F62746">
              <w:rPr>
                <w:rFonts w:ascii="Arial" w:hAnsi="Arial" w:cs="Arial"/>
              </w:rPr>
              <w:t>Present CNA and SSDP findings to State Parent Advisory Council (</w:t>
            </w:r>
            <w:r w:rsidR="00171580" w:rsidRPr="00F62746">
              <w:rPr>
                <w:rFonts w:ascii="Arial" w:hAnsi="Arial" w:cs="Arial"/>
              </w:rPr>
              <w:t>SPAC</w:t>
            </w:r>
            <w:r w:rsidRPr="00F62746">
              <w:rPr>
                <w:rFonts w:ascii="Arial" w:hAnsi="Arial" w:cs="Arial"/>
              </w:rPr>
              <w:t>); collect input from SPAC</w:t>
            </w:r>
          </w:p>
        </w:tc>
      </w:tr>
      <w:tr w:rsidR="00CD49BD" w:rsidRPr="00F62746" w14:paraId="12B68680" w14:textId="77777777" w:rsidTr="00CD6849">
        <w:trPr>
          <w:cantSplit/>
        </w:trPr>
        <w:tc>
          <w:tcPr>
            <w:tcW w:w="2335" w:type="dxa"/>
          </w:tcPr>
          <w:p w14:paraId="0A03D43E" w14:textId="77777777" w:rsidR="00CD49BD" w:rsidRPr="00F62746" w:rsidRDefault="00C55CA8">
            <w:pPr>
              <w:rPr>
                <w:rFonts w:ascii="Arial" w:hAnsi="Arial" w:cs="Arial"/>
              </w:rPr>
            </w:pPr>
            <w:r w:rsidRPr="00F62746">
              <w:rPr>
                <w:rFonts w:ascii="Arial" w:hAnsi="Arial" w:cs="Arial"/>
              </w:rPr>
              <w:t>Apr.</w:t>
            </w:r>
            <w:r w:rsidR="00FC3448" w:rsidRPr="00F62746">
              <w:rPr>
                <w:rFonts w:ascii="Arial" w:hAnsi="Arial" w:cs="Arial"/>
              </w:rPr>
              <w:t>–May 2017</w:t>
            </w:r>
          </w:p>
        </w:tc>
        <w:tc>
          <w:tcPr>
            <w:tcW w:w="7015" w:type="dxa"/>
          </w:tcPr>
          <w:p w14:paraId="4FF204FF" w14:textId="77777777" w:rsidR="00CD49BD" w:rsidRPr="00F62746" w:rsidRDefault="00C55CA8" w:rsidP="00C55CA8">
            <w:pPr>
              <w:rPr>
                <w:rFonts w:ascii="Arial" w:hAnsi="Arial" w:cs="Arial"/>
              </w:rPr>
            </w:pPr>
            <w:r w:rsidRPr="00F62746">
              <w:rPr>
                <w:rFonts w:ascii="Arial" w:hAnsi="Arial" w:cs="Arial"/>
              </w:rPr>
              <w:t>Finalize dra</w:t>
            </w:r>
            <w:r w:rsidR="00C82D8D" w:rsidRPr="00F62746">
              <w:rPr>
                <w:rFonts w:ascii="Arial" w:hAnsi="Arial" w:cs="Arial"/>
              </w:rPr>
              <w:t>f</w:t>
            </w:r>
            <w:r w:rsidRPr="00F62746">
              <w:rPr>
                <w:rFonts w:ascii="Arial" w:hAnsi="Arial" w:cs="Arial"/>
              </w:rPr>
              <w:t xml:space="preserve">t statewide </w:t>
            </w:r>
            <w:r w:rsidR="00AC45A5" w:rsidRPr="00F62746">
              <w:rPr>
                <w:rFonts w:ascii="Arial" w:hAnsi="Arial" w:cs="Arial"/>
              </w:rPr>
              <w:t>C</w:t>
            </w:r>
            <w:r w:rsidR="00A155EF" w:rsidRPr="00F62746">
              <w:rPr>
                <w:rFonts w:ascii="Arial" w:hAnsi="Arial" w:cs="Arial"/>
              </w:rPr>
              <w:t>N</w:t>
            </w:r>
            <w:r w:rsidR="00AC45A5" w:rsidRPr="00F62746">
              <w:rPr>
                <w:rFonts w:ascii="Arial" w:hAnsi="Arial" w:cs="Arial"/>
              </w:rPr>
              <w:t xml:space="preserve">A </w:t>
            </w:r>
          </w:p>
        </w:tc>
      </w:tr>
      <w:tr w:rsidR="00FC3448" w:rsidRPr="00F62746" w14:paraId="0CD79776"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7F52AA7F" w14:textId="77777777" w:rsidR="00FC3448" w:rsidRPr="00F62746" w:rsidRDefault="00FC3448">
            <w:pPr>
              <w:rPr>
                <w:rFonts w:ascii="Arial" w:hAnsi="Arial" w:cs="Arial"/>
              </w:rPr>
            </w:pPr>
            <w:r w:rsidRPr="00F62746">
              <w:rPr>
                <w:rFonts w:ascii="Arial" w:hAnsi="Arial" w:cs="Arial"/>
              </w:rPr>
              <w:t>May 2017</w:t>
            </w:r>
          </w:p>
        </w:tc>
        <w:tc>
          <w:tcPr>
            <w:tcW w:w="7015" w:type="dxa"/>
          </w:tcPr>
          <w:p w14:paraId="2163CDB7" w14:textId="77777777" w:rsidR="00FC3448" w:rsidRPr="00F62746" w:rsidRDefault="00C55CA8">
            <w:pPr>
              <w:rPr>
                <w:rFonts w:ascii="Arial" w:hAnsi="Arial" w:cs="Arial"/>
              </w:rPr>
            </w:pPr>
            <w:r w:rsidRPr="00F62746">
              <w:rPr>
                <w:rFonts w:ascii="Arial" w:hAnsi="Arial" w:cs="Arial"/>
              </w:rPr>
              <w:t xml:space="preserve">MEP Directors’ Presentation: California’s Statewide </w:t>
            </w:r>
            <w:r w:rsidR="00AC45A5" w:rsidRPr="00F62746">
              <w:rPr>
                <w:rFonts w:ascii="Arial" w:hAnsi="Arial" w:cs="Arial"/>
              </w:rPr>
              <w:t>C</w:t>
            </w:r>
            <w:r w:rsidR="00A155EF" w:rsidRPr="00F62746">
              <w:rPr>
                <w:rFonts w:ascii="Arial" w:hAnsi="Arial" w:cs="Arial"/>
              </w:rPr>
              <w:t>N</w:t>
            </w:r>
            <w:r w:rsidR="00AC45A5" w:rsidRPr="00F62746">
              <w:rPr>
                <w:rFonts w:ascii="Arial" w:hAnsi="Arial" w:cs="Arial"/>
              </w:rPr>
              <w:t xml:space="preserve">A </w:t>
            </w:r>
          </w:p>
        </w:tc>
      </w:tr>
      <w:tr w:rsidR="00FC3448" w:rsidRPr="00F62746" w14:paraId="51DB5C54" w14:textId="77777777" w:rsidTr="00CD6849">
        <w:trPr>
          <w:cantSplit/>
        </w:trPr>
        <w:tc>
          <w:tcPr>
            <w:tcW w:w="2335" w:type="dxa"/>
          </w:tcPr>
          <w:p w14:paraId="45DA4343" w14:textId="77777777" w:rsidR="00FC3448" w:rsidRPr="00F62746" w:rsidRDefault="00C55CA8" w:rsidP="00AC45A5">
            <w:pPr>
              <w:rPr>
                <w:rFonts w:ascii="Arial" w:hAnsi="Arial" w:cs="Arial"/>
              </w:rPr>
            </w:pPr>
            <w:r w:rsidRPr="00F62746">
              <w:rPr>
                <w:rFonts w:ascii="Arial" w:hAnsi="Arial" w:cs="Arial"/>
              </w:rPr>
              <w:t>Jun.</w:t>
            </w:r>
            <w:r w:rsidR="00FC3448" w:rsidRPr="00F62746">
              <w:rPr>
                <w:rFonts w:ascii="Arial" w:hAnsi="Arial" w:cs="Arial"/>
              </w:rPr>
              <w:t>–</w:t>
            </w:r>
            <w:r w:rsidR="00AC45A5" w:rsidRPr="00F62746">
              <w:rPr>
                <w:rFonts w:ascii="Arial" w:hAnsi="Arial" w:cs="Arial"/>
              </w:rPr>
              <w:t>Aug</w:t>
            </w:r>
            <w:r w:rsidR="00FC3448" w:rsidRPr="00F62746">
              <w:rPr>
                <w:rFonts w:ascii="Arial" w:hAnsi="Arial" w:cs="Arial"/>
              </w:rPr>
              <w:t>. 2017</w:t>
            </w:r>
          </w:p>
        </w:tc>
        <w:tc>
          <w:tcPr>
            <w:tcW w:w="7015" w:type="dxa"/>
          </w:tcPr>
          <w:p w14:paraId="6153406C" w14:textId="77777777" w:rsidR="00FC3448" w:rsidRPr="00F62746" w:rsidRDefault="00C55CA8">
            <w:pPr>
              <w:rPr>
                <w:rFonts w:ascii="Arial" w:hAnsi="Arial" w:cs="Arial"/>
              </w:rPr>
            </w:pPr>
            <w:r w:rsidRPr="00F62746">
              <w:rPr>
                <w:rFonts w:ascii="Arial" w:hAnsi="Arial" w:cs="Arial"/>
              </w:rPr>
              <w:t>Development of draft SSDP</w:t>
            </w:r>
          </w:p>
        </w:tc>
      </w:tr>
      <w:tr w:rsidR="00FC3448" w:rsidRPr="00F62746" w14:paraId="2ED20515"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335" w:type="dxa"/>
          </w:tcPr>
          <w:p w14:paraId="6771EE56" w14:textId="77777777" w:rsidR="00FC3448" w:rsidRPr="00F62746" w:rsidRDefault="00ED68F8" w:rsidP="004C495B">
            <w:pPr>
              <w:rPr>
                <w:rFonts w:ascii="Arial" w:hAnsi="Arial" w:cs="Arial"/>
                <w:highlight w:val="yellow"/>
              </w:rPr>
            </w:pPr>
            <w:r w:rsidRPr="00F62746">
              <w:rPr>
                <w:rFonts w:ascii="Arial" w:hAnsi="Arial" w:cs="Arial"/>
              </w:rPr>
              <w:t>Jan. – Feb. 2018</w:t>
            </w:r>
          </w:p>
        </w:tc>
        <w:tc>
          <w:tcPr>
            <w:tcW w:w="7015" w:type="dxa"/>
          </w:tcPr>
          <w:p w14:paraId="18D141B2" w14:textId="77777777" w:rsidR="00FC3448" w:rsidRPr="00F62746" w:rsidRDefault="00C55CA8" w:rsidP="004C495B">
            <w:pPr>
              <w:rPr>
                <w:rFonts w:ascii="Arial" w:hAnsi="Arial" w:cs="Arial"/>
              </w:rPr>
            </w:pPr>
            <w:r w:rsidRPr="00F62746">
              <w:rPr>
                <w:rFonts w:ascii="Arial" w:hAnsi="Arial" w:cs="Arial"/>
              </w:rPr>
              <w:t xml:space="preserve">Presentations and </w:t>
            </w:r>
            <w:r w:rsidR="004C495B" w:rsidRPr="00F62746">
              <w:rPr>
                <w:rFonts w:ascii="Arial" w:hAnsi="Arial" w:cs="Arial"/>
              </w:rPr>
              <w:t>Trainings</w:t>
            </w:r>
            <w:r w:rsidRPr="00F62746">
              <w:rPr>
                <w:rFonts w:ascii="Arial" w:hAnsi="Arial" w:cs="Arial"/>
              </w:rPr>
              <w:t>: California’s Statewide CNA and SSDP</w:t>
            </w:r>
          </w:p>
        </w:tc>
      </w:tr>
    </w:tbl>
    <w:p w14:paraId="4A19D20B" w14:textId="77777777" w:rsidR="004F6691" w:rsidRPr="005E0053" w:rsidRDefault="004F6691" w:rsidP="009677C8">
      <w:pPr>
        <w:pStyle w:val="Heading3"/>
      </w:pPr>
      <w:r w:rsidRPr="005E0053">
        <w:rPr>
          <w:rFonts w:cs="Arial"/>
        </w:rPr>
        <w:br w:type="page"/>
      </w:r>
      <w:bookmarkStart w:id="20" w:name="_Toc504520847"/>
      <w:r w:rsidR="00293E5D" w:rsidRPr="005E0053">
        <w:lastRenderedPageBreak/>
        <w:t>S</w:t>
      </w:r>
      <w:r w:rsidR="00326281" w:rsidRPr="005E0053">
        <w:t>e</w:t>
      </w:r>
      <w:r w:rsidR="00293E5D" w:rsidRPr="005E0053">
        <w:t xml:space="preserve">ction II: </w:t>
      </w:r>
      <w:r w:rsidR="00A858C1" w:rsidRPr="005E0053">
        <w:t>Comprehensive Needs Assessment: Identifying Needs</w:t>
      </w:r>
      <w:bookmarkEnd w:id="20"/>
    </w:p>
    <w:p w14:paraId="5B9BBA8C" w14:textId="77777777" w:rsidR="00C0763C" w:rsidRPr="005E0053" w:rsidRDefault="00A858C1" w:rsidP="00B45BD6">
      <w:pPr>
        <w:pStyle w:val="Heading4"/>
      </w:pPr>
      <w:bookmarkStart w:id="21" w:name="_Toc504520848"/>
      <w:r w:rsidRPr="005E0053">
        <w:t>Overview of the Comprehensive Needs Assessment Process</w:t>
      </w:r>
      <w:bookmarkEnd w:id="21"/>
    </w:p>
    <w:p w14:paraId="005082CD" w14:textId="7B625417" w:rsidR="007A113F" w:rsidRPr="005E0053" w:rsidRDefault="007A113F" w:rsidP="007A113F">
      <w:pPr>
        <w:rPr>
          <w:rFonts w:ascii="Arial" w:hAnsi="Arial" w:cs="Arial"/>
        </w:rPr>
      </w:pPr>
      <w:r w:rsidRPr="005E0053">
        <w:rPr>
          <w:rFonts w:ascii="Arial" w:hAnsi="Arial" w:cs="Arial"/>
        </w:rPr>
        <w:t xml:space="preserve">The development of the statewide </w:t>
      </w:r>
      <w:r w:rsidR="00DC135A" w:rsidRPr="005E0053">
        <w:rPr>
          <w:rFonts w:ascii="Arial" w:hAnsi="Arial" w:cs="Arial"/>
        </w:rPr>
        <w:t>CNA</w:t>
      </w:r>
      <w:r w:rsidR="00386708" w:rsidRPr="005E0053">
        <w:rPr>
          <w:rFonts w:ascii="Arial" w:hAnsi="Arial" w:cs="Arial"/>
        </w:rPr>
        <w:t xml:space="preserve"> was</w:t>
      </w:r>
      <w:r w:rsidRPr="005E0053">
        <w:rPr>
          <w:rFonts w:ascii="Arial" w:hAnsi="Arial" w:cs="Arial"/>
        </w:rPr>
        <w:t xml:space="preserve"> a multiple step process consisting of careful planning, data </w:t>
      </w:r>
      <w:r w:rsidR="00933081" w:rsidRPr="005E0053">
        <w:rPr>
          <w:rFonts w:ascii="Arial" w:hAnsi="Arial" w:cs="Arial"/>
        </w:rPr>
        <w:t xml:space="preserve">collection and </w:t>
      </w:r>
      <w:r w:rsidRPr="005E0053">
        <w:rPr>
          <w:rFonts w:ascii="Arial" w:hAnsi="Arial" w:cs="Arial"/>
        </w:rPr>
        <w:t>analysis</w:t>
      </w:r>
      <w:r w:rsidR="003214B9" w:rsidRPr="005E0053">
        <w:rPr>
          <w:rFonts w:ascii="Arial" w:hAnsi="Arial" w:cs="Arial"/>
        </w:rPr>
        <w:t>,</w:t>
      </w:r>
      <w:r w:rsidRPr="005E0053">
        <w:rPr>
          <w:rFonts w:ascii="Arial" w:hAnsi="Arial" w:cs="Arial"/>
        </w:rPr>
        <w:t xml:space="preserve"> and collaboration with </w:t>
      </w:r>
      <w:proofErr w:type="spellStart"/>
      <w:r w:rsidR="00B81939">
        <w:rPr>
          <w:rFonts w:ascii="Arial" w:hAnsi="Arial" w:cs="Arial"/>
        </w:rPr>
        <w:t>intrested</w:t>
      </w:r>
      <w:proofErr w:type="spellEnd"/>
      <w:r w:rsidR="00B81939">
        <w:rPr>
          <w:rFonts w:ascii="Arial" w:hAnsi="Arial" w:cs="Arial"/>
        </w:rPr>
        <w:t xml:space="preserve"> parties</w:t>
      </w:r>
      <w:r w:rsidRPr="005E0053">
        <w:rPr>
          <w:rFonts w:ascii="Arial" w:hAnsi="Arial" w:cs="Arial"/>
        </w:rPr>
        <w:t xml:space="preserve">. The </w:t>
      </w:r>
      <w:r w:rsidR="00960956" w:rsidRPr="005E0053">
        <w:rPr>
          <w:rFonts w:ascii="Arial" w:hAnsi="Arial" w:cs="Arial"/>
        </w:rPr>
        <w:t>CDE</w:t>
      </w:r>
      <w:r w:rsidRPr="005E0053">
        <w:rPr>
          <w:rFonts w:ascii="Arial" w:hAnsi="Arial" w:cs="Arial"/>
        </w:rPr>
        <w:t xml:space="preserve"> Management and Data Team</w:t>
      </w:r>
      <w:r w:rsidR="00D37EFC" w:rsidRPr="005E0053">
        <w:rPr>
          <w:rStyle w:val="FootnoteReference"/>
          <w:rFonts w:ascii="Arial" w:hAnsi="Arial" w:cs="Arial"/>
        </w:rPr>
        <w:footnoteReference w:id="5"/>
      </w:r>
      <w:r w:rsidRPr="005E0053">
        <w:rPr>
          <w:rFonts w:ascii="Arial" w:hAnsi="Arial" w:cs="Arial"/>
        </w:rPr>
        <w:t xml:space="preserve"> followed the broad steps identified below:</w:t>
      </w:r>
    </w:p>
    <w:p w14:paraId="2BB6A234" w14:textId="77777777" w:rsidR="007A113F" w:rsidRPr="005E0053" w:rsidRDefault="007A113F" w:rsidP="00CB2C23">
      <w:pPr>
        <w:spacing w:before="240" w:after="240"/>
        <w:rPr>
          <w:rFonts w:ascii="Arial" w:hAnsi="Arial" w:cs="Arial"/>
        </w:rPr>
      </w:pPr>
      <w:r w:rsidRPr="005E0053">
        <w:rPr>
          <w:rFonts w:ascii="Arial" w:hAnsi="Arial" w:cs="Arial"/>
        </w:rPr>
        <w:t>Step 1: Planning</w:t>
      </w:r>
    </w:p>
    <w:p w14:paraId="1879736B" w14:textId="77777777" w:rsidR="00960956" w:rsidRPr="005E0053" w:rsidRDefault="00B62115" w:rsidP="00CB2C23">
      <w:pPr>
        <w:spacing w:after="240"/>
        <w:rPr>
          <w:rFonts w:ascii="Arial" w:hAnsi="Arial" w:cs="Arial"/>
        </w:rPr>
      </w:pPr>
      <w:r w:rsidRPr="005E0053">
        <w:rPr>
          <w:rFonts w:ascii="Arial" w:hAnsi="Arial" w:cs="Arial"/>
        </w:rPr>
        <w:t xml:space="preserve">With guidance from OME, the CDE identified the process for developing the CNA and SSDP. </w:t>
      </w:r>
      <w:r w:rsidR="00960956" w:rsidRPr="005E0053">
        <w:rPr>
          <w:rFonts w:ascii="Arial" w:hAnsi="Arial" w:cs="Arial"/>
        </w:rPr>
        <w:t>The following key elements were completed during the planning phase of the CNA/SSDP process:</w:t>
      </w:r>
    </w:p>
    <w:p w14:paraId="064D9F86" w14:textId="77777777" w:rsidR="007A113F" w:rsidRPr="005E0053" w:rsidRDefault="007A113F" w:rsidP="009E570F">
      <w:pPr>
        <w:pStyle w:val="ListParagraph"/>
        <w:numPr>
          <w:ilvl w:val="0"/>
          <w:numId w:val="2"/>
        </w:numPr>
        <w:rPr>
          <w:rFonts w:ascii="Arial" w:hAnsi="Arial" w:cs="Arial"/>
        </w:rPr>
      </w:pPr>
      <w:r w:rsidRPr="005E0053">
        <w:rPr>
          <w:rFonts w:ascii="Arial" w:hAnsi="Arial" w:cs="Arial"/>
        </w:rPr>
        <w:t>Review</w:t>
      </w:r>
      <w:r w:rsidR="00386708" w:rsidRPr="005E0053">
        <w:rPr>
          <w:rFonts w:ascii="Arial" w:hAnsi="Arial" w:cs="Arial"/>
        </w:rPr>
        <w:t>ed</w:t>
      </w:r>
      <w:r w:rsidRPr="005E0053">
        <w:rPr>
          <w:rFonts w:ascii="Arial" w:hAnsi="Arial" w:cs="Arial"/>
        </w:rPr>
        <w:t xml:space="preserve"> all CNA and SSDP guidance and resources from OME.</w:t>
      </w:r>
    </w:p>
    <w:p w14:paraId="6AED8E60" w14:textId="77777777" w:rsidR="007A113F" w:rsidRPr="005E0053" w:rsidRDefault="007A113F" w:rsidP="009E570F">
      <w:pPr>
        <w:pStyle w:val="ListParagraph"/>
        <w:numPr>
          <w:ilvl w:val="0"/>
          <w:numId w:val="2"/>
        </w:numPr>
        <w:rPr>
          <w:rFonts w:ascii="Arial" w:hAnsi="Arial" w:cs="Arial"/>
        </w:rPr>
      </w:pPr>
      <w:r w:rsidRPr="005E0053">
        <w:rPr>
          <w:rFonts w:ascii="Arial" w:hAnsi="Arial" w:cs="Arial"/>
        </w:rPr>
        <w:t>Design</w:t>
      </w:r>
      <w:r w:rsidR="00386708" w:rsidRPr="005E0053">
        <w:rPr>
          <w:rFonts w:ascii="Arial" w:hAnsi="Arial" w:cs="Arial"/>
        </w:rPr>
        <w:t>ed</w:t>
      </w:r>
      <w:r w:rsidRPr="005E0053">
        <w:rPr>
          <w:rFonts w:ascii="Arial" w:hAnsi="Arial" w:cs="Arial"/>
        </w:rPr>
        <w:t xml:space="preserve"> CNA and SSDP process and timelines complete with milestones.</w:t>
      </w:r>
    </w:p>
    <w:p w14:paraId="367BE9A5" w14:textId="0640F9A2" w:rsidR="007A113F" w:rsidRPr="005E0053" w:rsidRDefault="007A113F" w:rsidP="009E570F">
      <w:pPr>
        <w:pStyle w:val="ListParagraph"/>
        <w:numPr>
          <w:ilvl w:val="0"/>
          <w:numId w:val="2"/>
        </w:numPr>
        <w:rPr>
          <w:rFonts w:ascii="Arial" w:hAnsi="Arial" w:cs="Arial"/>
        </w:rPr>
      </w:pPr>
      <w:r w:rsidRPr="005E0053">
        <w:rPr>
          <w:rFonts w:ascii="Arial" w:hAnsi="Arial" w:cs="Arial"/>
        </w:rPr>
        <w:t>Establish</w:t>
      </w:r>
      <w:r w:rsidR="00386708" w:rsidRPr="005E0053">
        <w:rPr>
          <w:rFonts w:ascii="Arial" w:hAnsi="Arial" w:cs="Arial"/>
        </w:rPr>
        <w:t>ed</w:t>
      </w:r>
      <w:r w:rsidRPr="005E0053">
        <w:rPr>
          <w:rFonts w:ascii="Arial" w:hAnsi="Arial" w:cs="Arial"/>
        </w:rPr>
        <w:t xml:space="preserve"> the CNA/SSDP Committee.</w:t>
      </w:r>
    </w:p>
    <w:p w14:paraId="4ABF20A7" w14:textId="77777777" w:rsidR="007A113F" w:rsidRPr="005E0053" w:rsidRDefault="007A113F" w:rsidP="00CB2C23">
      <w:pPr>
        <w:spacing w:before="240" w:after="240"/>
        <w:rPr>
          <w:rFonts w:ascii="Arial" w:hAnsi="Arial" w:cs="Arial"/>
        </w:rPr>
      </w:pPr>
      <w:r w:rsidRPr="005E0053">
        <w:rPr>
          <w:rFonts w:ascii="Arial" w:hAnsi="Arial" w:cs="Arial"/>
        </w:rPr>
        <w:t>Step 2: Data Collection</w:t>
      </w:r>
    </w:p>
    <w:p w14:paraId="21548BF9" w14:textId="05B57853" w:rsidR="00B62115" w:rsidRPr="005E0053" w:rsidRDefault="007E7C2C" w:rsidP="00CB2C23">
      <w:pPr>
        <w:spacing w:after="240"/>
        <w:rPr>
          <w:rFonts w:ascii="Arial" w:hAnsi="Arial" w:cs="Arial"/>
        </w:rPr>
      </w:pPr>
      <w:r w:rsidRPr="005E0053">
        <w:rPr>
          <w:rFonts w:ascii="Arial" w:hAnsi="Arial" w:cs="Arial"/>
        </w:rPr>
        <w:t>Developing appropriate outcomes, indicators,</w:t>
      </w:r>
      <w:r w:rsidR="00B62115" w:rsidRPr="005E0053">
        <w:rPr>
          <w:rFonts w:ascii="Arial" w:hAnsi="Arial" w:cs="Arial"/>
        </w:rPr>
        <w:t xml:space="preserve"> performance targets</w:t>
      </w:r>
      <w:r w:rsidR="003214B9" w:rsidRPr="005E0053">
        <w:rPr>
          <w:rFonts w:ascii="Arial" w:hAnsi="Arial" w:cs="Arial"/>
        </w:rPr>
        <w:t>,</w:t>
      </w:r>
      <w:r w:rsidR="00B62115" w:rsidRPr="005E0053">
        <w:rPr>
          <w:rFonts w:ascii="Arial" w:hAnsi="Arial" w:cs="Arial"/>
        </w:rPr>
        <w:t xml:space="preserve"> and </w:t>
      </w:r>
      <w:r w:rsidRPr="005E0053">
        <w:rPr>
          <w:rFonts w:ascii="Arial" w:hAnsi="Arial" w:cs="Arial"/>
        </w:rPr>
        <w:t xml:space="preserve">soliciting </w:t>
      </w:r>
      <w:r w:rsidR="00B62115" w:rsidRPr="005E0053">
        <w:rPr>
          <w:rFonts w:ascii="Arial" w:hAnsi="Arial" w:cs="Arial"/>
        </w:rPr>
        <w:t xml:space="preserve">authentic </w:t>
      </w:r>
      <w:r w:rsidRPr="005E0053">
        <w:rPr>
          <w:rFonts w:ascii="Arial" w:hAnsi="Arial" w:cs="Arial"/>
        </w:rPr>
        <w:t>inpu</w:t>
      </w:r>
      <w:r w:rsidR="00B62115" w:rsidRPr="005E0053">
        <w:rPr>
          <w:rFonts w:ascii="Arial" w:hAnsi="Arial" w:cs="Arial"/>
        </w:rPr>
        <w:t xml:space="preserve">t are dependent on reliable data. </w:t>
      </w:r>
      <w:r w:rsidR="003214B9" w:rsidRPr="005E0053">
        <w:rPr>
          <w:rFonts w:ascii="Arial" w:hAnsi="Arial" w:cs="Arial"/>
        </w:rPr>
        <w:t>Data for the CNA and SSDP were</w:t>
      </w:r>
      <w:r w:rsidRPr="005E0053">
        <w:rPr>
          <w:rFonts w:ascii="Arial" w:hAnsi="Arial" w:cs="Arial"/>
        </w:rPr>
        <w:t xml:space="preserve"> gathered from multiple sources. </w:t>
      </w:r>
      <w:r w:rsidR="00B62115" w:rsidRPr="005E0053">
        <w:rPr>
          <w:rFonts w:ascii="Arial" w:hAnsi="Arial" w:cs="Arial"/>
        </w:rPr>
        <w:t>Step 2 in the process included the following actions:</w:t>
      </w:r>
    </w:p>
    <w:p w14:paraId="438A991D" w14:textId="77777777" w:rsidR="007A113F" w:rsidRPr="005E0053" w:rsidRDefault="007A113F" w:rsidP="009E570F">
      <w:pPr>
        <w:pStyle w:val="ListParagraph"/>
        <w:numPr>
          <w:ilvl w:val="0"/>
          <w:numId w:val="2"/>
        </w:numPr>
        <w:rPr>
          <w:rFonts w:ascii="Arial" w:hAnsi="Arial" w:cs="Arial"/>
        </w:rPr>
      </w:pPr>
      <w:r w:rsidRPr="005E0053">
        <w:rPr>
          <w:rFonts w:ascii="Arial" w:hAnsi="Arial" w:cs="Arial"/>
        </w:rPr>
        <w:t>Complete</w:t>
      </w:r>
      <w:r w:rsidR="00386708" w:rsidRPr="005E0053">
        <w:rPr>
          <w:rFonts w:ascii="Arial" w:hAnsi="Arial" w:cs="Arial"/>
        </w:rPr>
        <w:t>d</w:t>
      </w:r>
      <w:r w:rsidRPr="005E0053">
        <w:rPr>
          <w:rFonts w:ascii="Arial" w:hAnsi="Arial" w:cs="Arial"/>
        </w:rPr>
        <w:t xml:space="preserve"> a meta-analysis of the 20 local CNAs administered by MEP subgrantees.</w:t>
      </w:r>
    </w:p>
    <w:p w14:paraId="3720B637" w14:textId="77777777" w:rsidR="007A113F" w:rsidRPr="005E0053" w:rsidRDefault="007A113F" w:rsidP="009E570F">
      <w:pPr>
        <w:pStyle w:val="ListParagraph"/>
        <w:numPr>
          <w:ilvl w:val="0"/>
          <w:numId w:val="2"/>
        </w:numPr>
        <w:rPr>
          <w:rFonts w:ascii="Arial" w:hAnsi="Arial" w:cs="Arial"/>
        </w:rPr>
      </w:pPr>
      <w:r w:rsidRPr="005E0053">
        <w:rPr>
          <w:rFonts w:ascii="Arial" w:hAnsi="Arial" w:cs="Arial"/>
        </w:rPr>
        <w:t>Develop</w:t>
      </w:r>
      <w:r w:rsidR="00386708" w:rsidRPr="005E0053">
        <w:rPr>
          <w:rFonts w:ascii="Arial" w:hAnsi="Arial" w:cs="Arial"/>
        </w:rPr>
        <w:t>ed</w:t>
      </w:r>
      <w:r w:rsidRPr="005E0053">
        <w:rPr>
          <w:rFonts w:ascii="Arial" w:hAnsi="Arial" w:cs="Arial"/>
        </w:rPr>
        <w:t xml:space="preserve"> the Migrant Student Profile.</w:t>
      </w:r>
      <w:r w:rsidR="00D37EFC" w:rsidRPr="005E0053">
        <w:rPr>
          <w:rStyle w:val="FootnoteReference"/>
          <w:rFonts w:ascii="Arial" w:hAnsi="Arial" w:cs="Arial"/>
        </w:rPr>
        <w:footnoteReference w:id="6"/>
      </w:r>
    </w:p>
    <w:p w14:paraId="7CFB3D29" w14:textId="77777777" w:rsidR="007A113F" w:rsidRPr="005E0053" w:rsidRDefault="007A113F" w:rsidP="009E570F">
      <w:pPr>
        <w:pStyle w:val="ListParagraph"/>
        <w:numPr>
          <w:ilvl w:val="0"/>
          <w:numId w:val="2"/>
        </w:numPr>
        <w:rPr>
          <w:rFonts w:ascii="Arial" w:hAnsi="Arial" w:cs="Arial"/>
        </w:rPr>
      </w:pPr>
      <w:r w:rsidRPr="005E0053">
        <w:rPr>
          <w:rFonts w:ascii="Arial" w:hAnsi="Arial" w:cs="Arial"/>
        </w:rPr>
        <w:t>Review</w:t>
      </w:r>
      <w:r w:rsidR="00386708" w:rsidRPr="005E0053">
        <w:rPr>
          <w:rFonts w:ascii="Arial" w:hAnsi="Arial" w:cs="Arial"/>
        </w:rPr>
        <w:t>ed</w:t>
      </w:r>
      <w:r w:rsidRPr="005E0053">
        <w:rPr>
          <w:rFonts w:ascii="Arial" w:hAnsi="Arial" w:cs="Arial"/>
        </w:rPr>
        <w:t xml:space="preserve"> literature on best practices to address deficiencies for identified focus areas.</w:t>
      </w:r>
    </w:p>
    <w:p w14:paraId="4D663E49" w14:textId="1DD5ABAC" w:rsidR="007A113F" w:rsidRPr="005E0053" w:rsidRDefault="007A113F" w:rsidP="00CB2C23">
      <w:pPr>
        <w:spacing w:before="240" w:after="240"/>
        <w:rPr>
          <w:rFonts w:ascii="Arial" w:hAnsi="Arial" w:cs="Arial"/>
        </w:rPr>
      </w:pPr>
      <w:r w:rsidRPr="005E0053">
        <w:rPr>
          <w:rFonts w:ascii="Arial" w:hAnsi="Arial" w:cs="Arial"/>
        </w:rPr>
        <w:t>Step 3: Gathering Input</w:t>
      </w:r>
      <w:r w:rsidR="00B81939">
        <w:rPr>
          <w:rFonts w:ascii="Arial" w:hAnsi="Arial" w:cs="Arial"/>
        </w:rPr>
        <w:t xml:space="preserve"> from Interested Parties</w:t>
      </w:r>
    </w:p>
    <w:p w14:paraId="6670620A" w14:textId="6FB3A092" w:rsidR="00B62115" w:rsidRPr="005E0053" w:rsidRDefault="00B62115" w:rsidP="007A113F">
      <w:pPr>
        <w:rPr>
          <w:rFonts w:ascii="Arial" w:hAnsi="Arial" w:cs="Arial"/>
        </w:rPr>
      </w:pPr>
      <w:r w:rsidRPr="005E0053">
        <w:rPr>
          <w:rFonts w:ascii="Arial" w:hAnsi="Arial" w:cs="Arial"/>
        </w:rPr>
        <w:t xml:space="preserve">The CNA/SSDP Committee participated in a collaborative process to identify key elements of the CNA and SSDP. </w:t>
      </w:r>
      <w:r w:rsidR="001B7E0D" w:rsidRPr="005E0053">
        <w:rPr>
          <w:rFonts w:ascii="Arial" w:hAnsi="Arial" w:cs="Arial"/>
        </w:rPr>
        <w:t xml:space="preserve">In Step 3 of the process, </w:t>
      </w:r>
      <w:r w:rsidR="00B81939">
        <w:rPr>
          <w:rFonts w:ascii="Arial" w:hAnsi="Arial" w:cs="Arial"/>
        </w:rPr>
        <w:t>committee members</w:t>
      </w:r>
      <w:r w:rsidR="001B7E0D" w:rsidRPr="005E0053">
        <w:rPr>
          <w:rFonts w:ascii="Arial" w:hAnsi="Arial" w:cs="Arial"/>
        </w:rPr>
        <w:t>:</w:t>
      </w:r>
    </w:p>
    <w:p w14:paraId="006E0C94" w14:textId="5923F28E" w:rsidR="007A113F" w:rsidRPr="005E0053" w:rsidRDefault="007A113F" w:rsidP="009E570F">
      <w:pPr>
        <w:pStyle w:val="ListParagraph"/>
        <w:numPr>
          <w:ilvl w:val="0"/>
          <w:numId w:val="3"/>
        </w:numPr>
        <w:rPr>
          <w:rFonts w:ascii="Arial" w:hAnsi="Arial" w:cs="Arial"/>
        </w:rPr>
      </w:pPr>
      <w:r w:rsidRPr="005E0053">
        <w:rPr>
          <w:rFonts w:ascii="Arial" w:hAnsi="Arial" w:cs="Arial"/>
        </w:rPr>
        <w:t>Review</w:t>
      </w:r>
      <w:r w:rsidR="00386708" w:rsidRPr="005E0053">
        <w:rPr>
          <w:rFonts w:ascii="Arial" w:hAnsi="Arial" w:cs="Arial"/>
        </w:rPr>
        <w:t>ed</w:t>
      </w:r>
      <w:r w:rsidRPr="005E0053">
        <w:rPr>
          <w:rFonts w:ascii="Arial" w:hAnsi="Arial" w:cs="Arial"/>
        </w:rPr>
        <w:t xml:space="preserve"> findings from the meta-analysis and the Migrant Student Profile with </w:t>
      </w:r>
      <w:r w:rsidR="003214B9" w:rsidRPr="005E0053">
        <w:rPr>
          <w:rFonts w:ascii="Arial" w:hAnsi="Arial" w:cs="Arial"/>
        </w:rPr>
        <w:t xml:space="preserve">the </w:t>
      </w:r>
      <w:r w:rsidRPr="005E0053">
        <w:rPr>
          <w:rFonts w:ascii="Arial" w:hAnsi="Arial" w:cs="Arial"/>
        </w:rPr>
        <w:t>CNA/SSDP r Committee.</w:t>
      </w:r>
    </w:p>
    <w:p w14:paraId="18E52F4F" w14:textId="77777777" w:rsidR="007A113F" w:rsidRPr="005E0053" w:rsidRDefault="007A113F" w:rsidP="009E570F">
      <w:pPr>
        <w:pStyle w:val="ListParagraph"/>
        <w:numPr>
          <w:ilvl w:val="0"/>
          <w:numId w:val="3"/>
        </w:numPr>
        <w:rPr>
          <w:rFonts w:ascii="Arial" w:hAnsi="Arial" w:cs="Arial"/>
        </w:rPr>
      </w:pPr>
      <w:r w:rsidRPr="005E0053">
        <w:rPr>
          <w:rFonts w:ascii="Arial" w:hAnsi="Arial" w:cs="Arial"/>
        </w:rPr>
        <w:t>Review</w:t>
      </w:r>
      <w:r w:rsidR="00386708" w:rsidRPr="005E0053">
        <w:rPr>
          <w:rFonts w:ascii="Arial" w:hAnsi="Arial" w:cs="Arial"/>
        </w:rPr>
        <w:t>ed</w:t>
      </w:r>
      <w:r w:rsidRPr="005E0053">
        <w:rPr>
          <w:rFonts w:ascii="Arial" w:hAnsi="Arial" w:cs="Arial"/>
        </w:rPr>
        <w:t xml:space="preserve"> evidence-based practices to improve achievement in all areas.</w:t>
      </w:r>
    </w:p>
    <w:p w14:paraId="2B549D41" w14:textId="77777777" w:rsidR="007A113F" w:rsidRPr="005E0053" w:rsidRDefault="00386708" w:rsidP="009E570F">
      <w:pPr>
        <w:pStyle w:val="ListParagraph"/>
        <w:numPr>
          <w:ilvl w:val="0"/>
          <w:numId w:val="3"/>
        </w:numPr>
        <w:rPr>
          <w:rFonts w:ascii="Arial" w:hAnsi="Arial" w:cs="Arial"/>
        </w:rPr>
      </w:pPr>
      <w:r w:rsidRPr="005E0053">
        <w:rPr>
          <w:rFonts w:ascii="Arial" w:hAnsi="Arial" w:cs="Arial"/>
        </w:rPr>
        <w:t>Mad</w:t>
      </w:r>
      <w:r w:rsidR="007A113F" w:rsidRPr="005E0053">
        <w:rPr>
          <w:rFonts w:ascii="Arial" w:hAnsi="Arial" w:cs="Arial"/>
        </w:rPr>
        <w:t>e key decision points for the three major areas of the CNA:</w:t>
      </w:r>
    </w:p>
    <w:p w14:paraId="68218464" w14:textId="77777777" w:rsidR="007A113F" w:rsidRPr="005E0053" w:rsidRDefault="007A113F" w:rsidP="009E570F">
      <w:pPr>
        <w:pStyle w:val="ListParagraph"/>
        <w:numPr>
          <w:ilvl w:val="1"/>
          <w:numId w:val="3"/>
        </w:numPr>
        <w:rPr>
          <w:rFonts w:ascii="Arial" w:hAnsi="Arial" w:cs="Arial"/>
        </w:rPr>
      </w:pPr>
      <w:r w:rsidRPr="005E0053">
        <w:rPr>
          <w:rFonts w:ascii="Arial" w:hAnsi="Arial" w:cs="Arial"/>
        </w:rPr>
        <w:t>Develop and prioritize concern statements</w:t>
      </w:r>
    </w:p>
    <w:p w14:paraId="68E0D43E" w14:textId="77777777" w:rsidR="007A113F" w:rsidRPr="005E0053" w:rsidRDefault="007A113F" w:rsidP="009E570F">
      <w:pPr>
        <w:pStyle w:val="ListParagraph"/>
        <w:numPr>
          <w:ilvl w:val="1"/>
          <w:numId w:val="3"/>
        </w:numPr>
        <w:rPr>
          <w:rFonts w:ascii="Arial" w:hAnsi="Arial" w:cs="Arial"/>
        </w:rPr>
      </w:pPr>
      <w:r w:rsidRPr="005E0053">
        <w:rPr>
          <w:rFonts w:ascii="Arial" w:hAnsi="Arial" w:cs="Arial"/>
        </w:rPr>
        <w:lastRenderedPageBreak/>
        <w:t xml:space="preserve">Identify and prioritize need statements </w:t>
      </w:r>
    </w:p>
    <w:p w14:paraId="143B43DD" w14:textId="77777777" w:rsidR="007A113F" w:rsidRPr="005E0053" w:rsidRDefault="007A113F" w:rsidP="009E570F">
      <w:pPr>
        <w:pStyle w:val="ListParagraph"/>
        <w:numPr>
          <w:ilvl w:val="1"/>
          <w:numId w:val="3"/>
        </w:numPr>
        <w:rPr>
          <w:rFonts w:ascii="Arial" w:hAnsi="Arial" w:cs="Arial"/>
        </w:rPr>
      </w:pPr>
      <w:r w:rsidRPr="005E0053">
        <w:rPr>
          <w:rFonts w:ascii="Arial" w:hAnsi="Arial" w:cs="Arial"/>
        </w:rPr>
        <w:t>Select initial strategies to address specific needs</w:t>
      </w:r>
    </w:p>
    <w:p w14:paraId="40A739FF" w14:textId="77777777" w:rsidR="007A113F" w:rsidRPr="005E0053" w:rsidRDefault="007A113F" w:rsidP="009E570F">
      <w:pPr>
        <w:pStyle w:val="ListParagraph"/>
        <w:numPr>
          <w:ilvl w:val="1"/>
          <w:numId w:val="3"/>
        </w:numPr>
        <w:rPr>
          <w:rFonts w:ascii="Arial" w:hAnsi="Arial" w:cs="Arial"/>
        </w:rPr>
      </w:pPr>
      <w:r w:rsidRPr="005E0053">
        <w:rPr>
          <w:rFonts w:ascii="Arial" w:hAnsi="Arial" w:cs="Arial"/>
        </w:rPr>
        <w:t>Identify areas in which data collection can improve</w:t>
      </w:r>
    </w:p>
    <w:p w14:paraId="6A68B4C4" w14:textId="77777777" w:rsidR="007A113F" w:rsidRPr="005E0053" w:rsidRDefault="007A113F" w:rsidP="00CB2C23">
      <w:pPr>
        <w:spacing w:before="240" w:after="240"/>
        <w:rPr>
          <w:rFonts w:ascii="Arial" w:hAnsi="Arial" w:cs="Arial"/>
        </w:rPr>
      </w:pPr>
      <w:r w:rsidRPr="005E0053">
        <w:rPr>
          <w:rFonts w:ascii="Arial" w:hAnsi="Arial" w:cs="Arial"/>
        </w:rPr>
        <w:t>Step 4: Transitioning to a State Service Delivery Plan</w:t>
      </w:r>
    </w:p>
    <w:p w14:paraId="4DEBA7D5" w14:textId="77777777" w:rsidR="00275DCA" w:rsidRPr="005E0053" w:rsidRDefault="003214B9" w:rsidP="00CB2C23">
      <w:pPr>
        <w:spacing w:after="240"/>
        <w:rPr>
          <w:rFonts w:ascii="Arial" w:hAnsi="Arial" w:cs="Arial"/>
        </w:rPr>
      </w:pPr>
      <w:r w:rsidRPr="005E0053">
        <w:rPr>
          <w:rFonts w:ascii="Arial" w:hAnsi="Arial" w:cs="Arial"/>
        </w:rPr>
        <w:t>Transitioning from identification of</w:t>
      </w:r>
      <w:r w:rsidR="00275DCA" w:rsidRPr="005E0053">
        <w:rPr>
          <w:rFonts w:ascii="Arial" w:hAnsi="Arial" w:cs="Arial"/>
        </w:rPr>
        <w:t xml:space="preserve"> needs in the C</w:t>
      </w:r>
      <w:r w:rsidRPr="005E0053">
        <w:rPr>
          <w:rFonts w:ascii="Arial" w:hAnsi="Arial" w:cs="Arial"/>
        </w:rPr>
        <w:t>NA to development of</w:t>
      </w:r>
      <w:r w:rsidR="00275DCA" w:rsidRPr="005E0053">
        <w:rPr>
          <w:rFonts w:ascii="Arial" w:hAnsi="Arial" w:cs="Arial"/>
        </w:rPr>
        <w:t xml:space="preserve"> the appropriate performance targets for the SSDP included:</w:t>
      </w:r>
    </w:p>
    <w:p w14:paraId="64926E0B" w14:textId="77777777" w:rsidR="007A113F" w:rsidRPr="005E0053" w:rsidRDefault="007A113F" w:rsidP="009E570F">
      <w:pPr>
        <w:pStyle w:val="ListParagraph"/>
        <w:numPr>
          <w:ilvl w:val="0"/>
          <w:numId w:val="4"/>
        </w:numPr>
        <w:rPr>
          <w:rFonts w:ascii="Arial" w:hAnsi="Arial" w:cs="Arial"/>
        </w:rPr>
      </w:pPr>
      <w:r w:rsidRPr="005E0053">
        <w:rPr>
          <w:rFonts w:ascii="Arial" w:hAnsi="Arial" w:cs="Arial"/>
        </w:rPr>
        <w:t>Develop</w:t>
      </w:r>
      <w:r w:rsidR="003214B9" w:rsidRPr="005E0053">
        <w:rPr>
          <w:rFonts w:ascii="Arial" w:hAnsi="Arial" w:cs="Arial"/>
        </w:rPr>
        <w:t>ment of</w:t>
      </w:r>
      <w:r w:rsidRPr="005E0053">
        <w:rPr>
          <w:rFonts w:ascii="Arial" w:hAnsi="Arial" w:cs="Arial"/>
        </w:rPr>
        <w:t xml:space="preserve"> the final draft of the statewide CNA.</w:t>
      </w:r>
    </w:p>
    <w:p w14:paraId="609489C4" w14:textId="531D129E" w:rsidR="007A113F" w:rsidRPr="005E0053" w:rsidRDefault="007A113F" w:rsidP="009E570F">
      <w:pPr>
        <w:pStyle w:val="ListParagraph"/>
        <w:numPr>
          <w:ilvl w:val="0"/>
          <w:numId w:val="4"/>
        </w:numPr>
        <w:rPr>
          <w:rFonts w:ascii="Arial" w:hAnsi="Arial" w:cs="Arial"/>
        </w:rPr>
      </w:pPr>
      <w:r w:rsidRPr="005E0053">
        <w:rPr>
          <w:rFonts w:ascii="Arial" w:hAnsi="Arial" w:cs="Arial"/>
        </w:rPr>
        <w:t>Share</w:t>
      </w:r>
      <w:r w:rsidR="00275DCA" w:rsidRPr="005E0053">
        <w:rPr>
          <w:rFonts w:ascii="Arial" w:hAnsi="Arial" w:cs="Arial"/>
        </w:rPr>
        <w:t>d</w:t>
      </w:r>
      <w:r w:rsidRPr="005E0053">
        <w:rPr>
          <w:rFonts w:ascii="Arial" w:hAnsi="Arial" w:cs="Arial"/>
        </w:rPr>
        <w:t xml:space="preserve"> </w:t>
      </w:r>
      <w:r w:rsidR="00105D9B" w:rsidRPr="005E0053">
        <w:rPr>
          <w:rFonts w:ascii="Arial" w:hAnsi="Arial" w:cs="Arial"/>
        </w:rPr>
        <w:t xml:space="preserve">the draft </w:t>
      </w:r>
      <w:r w:rsidRPr="005E0053">
        <w:rPr>
          <w:rFonts w:ascii="Arial" w:hAnsi="Arial" w:cs="Arial"/>
        </w:rPr>
        <w:t xml:space="preserve">statewide CNA with </w:t>
      </w:r>
      <w:r w:rsidR="00C52B3A">
        <w:rPr>
          <w:rFonts w:ascii="Arial" w:hAnsi="Arial" w:cs="Arial"/>
        </w:rPr>
        <w:t>interested parties</w:t>
      </w:r>
      <w:r w:rsidR="00DC135A" w:rsidRPr="005E0053">
        <w:rPr>
          <w:rFonts w:ascii="Arial" w:hAnsi="Arial" w:cs="Arial"/>
        </w:rPr>
        <w:t xml:space="preserve">, including the </w:t>
      </w:r>
      <w:r w:rsidR="00275DCA" w:rsidRPr="005E0053">
        <w:rPr>
          <w:rFonts w:ascii="Arial" w:hAnsi="Arial" w:cs="Arial"/>
        </w:rPr>
        <w:t xml:space="preserve">SPAC, </w:t>
      </w:r>
      <w:r w:rsidR="00DC135A" w:rsidRPr="005E0053">
        <w:rPr>
          <w:rFonts w:ascii="Arial" w:hAnsi="Arial" w:cs="Arial"/>
        </w:rPr>
        <w:t>for input and feedback</w:t>
      </w:r>
      <w:r w:rsidRPr="005E0053">
        <w:rPr>
          <w:rFonts w:ascii="Arial" w:hAnsi="Arial" w:cs="Arial"/>
        </w:rPr>
        <w:t>.</w:t>
      </w:r>
    </w:p>
    <w:p w14:paraId="3D760204" w14:textId="77777777" w:rsidR="007A113F" w:rsidRPr="005E0053" w:rsidRDefault="007A113F" w:rsidP="009E570F">
      <w:pPr>
        <w:pStyle w:val="ListParagraph"/>
        <w:numPr>
          <w:ilvl w:val="0"/>
          <w:numId w:val="4"/>
        </w:numPr>
        <w:rPr>
          <w:rFonts w:ascii="Arial" w:hAnsi="Arial" w:cs="Arial"/>
        </w:rPr>
      </w:pPr>
      <w:r w:rsidRPr="005E0053">
        <w:rPr>
          <w:rFonts w:ascii="Arial" w:hAnsi="Arial" w:cs="Arial"/>
        </w:rPr>
        <w:t>Use</w:t>
      </w:r>
      <w:r w:rsidR="00275DCA" w:rsidRPr="005E0053">
        <w:rPr>
          <w:rFonts w:ascii="Arial" w:hAnsi="Arial" w:cs="Arial"/>
        </w:rPr>
        <w:t>d</w:t>
      </w:r>
      <w:r w:rsidRPr="005E0053">
        <w:rPr>
          <w:rFonts w:ascii="Arial" w:hAnsi="Arial" w:cs="Arial"/>
        </w:rPr>
        <w:t xml:space="preserve"> CNA as the starting point to initiate the SSDP process.</w:t>
      </w:r>
    </w:p>
    <w:p w14:paraId="733816D0" w14:textId="0ACCB3F7" w:rsidR="00DC135A" w:rsidRPr="005E0053" w:rsidRDefault="00275DCA" w:rsidP="009E570F">
      <w:pPr>
        <w:pStyle w:val="ListParagraph"/>
        <w:numPr>
          <w:ilvl w:val="0"/>
          <w:numId w:val="4"/>
        </w:numPr>
        <w:rPr>
          <w:rFonts w:ascii="Arial" w:hAnsi="Arial" w:cs="Arial"/>
        </w:rPr>
      </w:pPr>
      <w:r w:rsidRPr="005E0053">
        <w:rPr>
          <w:rFonts w:ascii="Arial" w:hAnsi="Arial" w:cs="Arial"/>
        </w:rPr>
        <w:t>Presented the</w:t>
      </w:r>
      <w:r w:rsidR="00DC135A" w:rsidRPr="005E0053">
        <w:rPr>
          <w:rFonts w:ascii="Arial" w:hAnsi="Arial" w:cs="Arial"/>
        </w:rPr>
        <w:t xml:space="preserve"> draft</w:t>
      </w:r>
      <w:r w:rsidR="00933081" w:rsidRPr="005E0053">
        <w:rPr>
          <w:rFonts w:ascii="Arial" w:hAnsi="Arial" w:cs="Arial"/>
        </w:rPr>
        <w:t xml:space="preserve"> performance targets</w:t>
      </w:r>
      <w:r w:rsidRPr="005E0053">
        <w:rPr>
          <w:rFonts w:ascii="Arial" w:hAnsi="Arial" w:cs="Arial"/>
        </w:rPr>
        <w:t xml:space="preserve"> to</w:t>
      </w:r>
      <w:r w:rsidR="00DC135A" w:rsidRPr="005E0053">
        <w:rPr>
          <w:rFonts w:ascii="Arial" w:hAnsi="Arial" w:cs="Arial"/>
        </w:rPr>
        <w:t xml:space="preserve"> </w:t>
      </w:r>
      <w:r w:rsidR="00C52B3A">
        <w:rPr>
          <w:rFonts w:ascii="Arial" w:hAnsi="Arial" w:cs="Arial"/>
        </w:rPr>
        <w:t>the CNA/SSDP Committee as well as</w:t>
      </w:r>
      <w:r w:rsidR="00DC135A" w:rsidRPr="005E0053">
        <w:rPr>
          <w:rFonts w:ascii="Arial" w:hAnsi="Arial" w:cs="Arial"/>
        </w:rPr>
        <w:t xml:space="preserve"> the </w:t>
      </w:r>
      <w:r w:rsidRPr="005E0053">
        <w:rPr>
          <w:rFonts w:ascii="Arial" w:hAnsi="Arial" w:cs="Arial"/>
        </w:rPr>
        <w:t>SPAC</w:t>
      </w:r>
      <w:r w:rsidR="00DC135A" w:rsidRPr="005E0053">
        <w:rPr>
          <w:rFonts w:ascii="Arial" w:hAnsi="Arial" w:cs="Arial"/>
        </w:rPr>
        <w:t xml:space="preserve"> for input and feedback.</w:t>
      </w:r>
    </w:p>
    <w:p w14:paraId="49D00EB7" w14:textId="0314411D" w:rsidR="00A858C1" w:rsidRPr="005E0053" w:rsidRDefault="007E7C2C" w:rsidP="00CB2C23">
      <w:pPr>
        <w:spacing w:before="240" w:after="240"/>
        <w:rPr>
          <w:rFonts w:ascii="Arial" w:hAnsi="Arial" w:cs="Arial"/>
        </w:rPr>
      </w:pPr>
      <w:r w:rsidRPr="005E0053">
        <w:rPr>
          <w:rFonts w:ascii="Arial" w:hAnsi="Arial" w:cs="Arial"/>
        </w:rPr>
        <w:t>T</w:t>
      </w:r>
      <w:r w:rsidR="007A113F" w:rsidRPr="005E0053">
        <w:rPr>
          <w:rFonts w:ascii="Arial" w:hAnsi="Arial" w:cs="Arial"/>
        </w:rPr>
        <w:t xml:space="preserve">he CDE </w:t>
      </w:r>
      <w:r w:rsidR="003214B9" w:rsidRPr="005E0053">
        <w:rPr>
          <w:rFonts w:ascii="Arial" w:hAnsi="Arial" w:cs="Arial"/>
        </w:rPr>
        <w:t>laid out the plan for development</w:t>
      </w:r>
      <w:r w:rsidR="007A113F" w:rsidRPr="005E0053">
        <w:rPr>
          <w:rFonts w:ascii="Arial" w:hAnsi="Arial" w:cs="Arial"/>
        </w:rPr>
        <w:t xml:space="preserve"> the SSDP beginning in August 2016. </w:t>
      </w:r>
      <w:r w:rsidR="00DC67D3" w:rsidRPr="005E0053">
        <w:rPr>
          <w:rFonts w:ascii="Arial" w:hAnsi="Arial" w:cs="Arial"/>
        </w:rPr>
        <w:t xml:space="preserve">Focus areas </w:t>
      </w:r>
      <w:r w:rsidR="00255DB7" w:rsidRPr="005E0053">
        <w:rPr>
          <w:rFonts w:ascii="Arial" w:hAnsi="Arial" w:cs="Arial"/>
        </w:rPr>
        <w:t xml:space="preserve">contained in the CNA and SSDP were identified </w:t>
      </w:r>
      <w:r w:rsidR="00293BAF" w:rsidRPr="005E0053">
        <w:rPr>
          <w:rFonts w:ascii="Arial" w:hAnsi="Arial" w:cs="Arial"/>
        </w:rPr>
        <w:t>after conducting</w:t>
      </w:r>
      <w:r w:rsidR="00255DB7" w:rsidRPr="005E0053">
        <w:rPr>
          <w:rFonts w:ascii="Arial" w:hAnsi="Arial" w:cs="Arial"/>
        </w:rPr>
        <w:t xml:space="preserve"> a meta-analysis of 20 local CNAs implemented by the subgrantees. </w:t>
      </w:r>
      <w:r w:rsidR="003214B9" w:rsidRPr="005E0053">
        <w:rPr>
          <w:rFonts w:ascii="Arial" w:hAnsi="Arial" w:cs="Arial"/>
        </w:rPr>
        <w:t>D</w:t>
      </w:r>
      <w:r w:rsidR="00933081" w:rsidRPr="005E0053">
        <w:rPr>
          <w:rFonts w:ascii="Arial" w:hAnsi="Arial" w:cs="Arial"/>
        </w:rPr>
        <w:t xml:space="preserve">ata collection, </w:t>
      </w:r>
      <w:r w:rsidR="003214B9" w:rsidRPr="005E0053">
        <w:rPr>
          <w:rFonts w:ascii="Arial" w:hAnsi="Arial" w:cs="Arial"/>
        </w:rPr>
        <w:t xml:space="preserve">through </w:t>
      </w:r>
      <w:r w:rsidR="00933081" w:rsidRPr="005E0053">
        <w:rPr>
          <w:rFonts w:ascii="Arial" w:hAnsi="Arial" w:cs="Arial"/>
        </w:rPr>
        <w:t>the development</w:t>
      </w:r>
      <w:r w:rsidR="00275DCA" w:rsidRPr="005E0053">
        <w:rPr>
          <w:rFonts w:ascii="Arial" w:hAnsi="Arial" w:cs="Arial"/>
        </w:rPr>
        <w:t xml:space="preserve"> of the Migrant Student Profile</w:t>
      </w:r>
      <w:r w:rsidR="003214B9" w:rsidRPr="005E0053">
        <w:rPr>
          <w:rFonts w:ascii="Arial" w:hAnsi="Arial" w:cs="Arial"/>
        </w:rPr>
        <w:t>,</w:t>
      </w:r>
      <w:r w:rsidR="003D2B71" w:rsidRPr="005E0053">
        <w:rPr>
          <w:rFonts w:ascii="Arial" w:hAnsi="Arial" w:cs="Arial"/>
        </w:rPr>
        <w:t xml:space="preserve"> and research of</w:t>
      </w:r>
      <w:r w:rsidR="00933081" w:rsidRPr="005E0053">
        <w:rPr>
          <w:rFonts w:ascii="Arial" w:hAnsi="Arial" w:cs="Arial"/>
        </w:rPr>
        <w:t xml:space="preserve"> best practices for identified focus areas were all conducted prior to relevant </w:t>
      </w:r>
      <w:r w:rsidR="00C52B3A">
        <w:rPr>
          <w:rFonts w:ascii="Arial" w:hAnsi="Arial" w:cs="Arial"/>
        </w:rPr>
        <w:t>committee</w:t>
      </w:r>
      <w:r w:rsidR="00C52B3A" w:rsidRPr="005E0053">
        <w:rPr>
          <w:rFonts w:ascii="Arial" w:hAnsi="Arial" w:cs="Arial"/>
        </w:rPr>
        <w:t xml:space="preserve"> </w:t>
      </w:r>
      <w:r w:rsidR="00933081" w:rsidRPr="005E0053">
        <w:rPr>
          <w:rFonts w:ascii="Arial" w:hAnsi="Arial" w:cs="Arial"/>
        </w:rPr>
        <w:t xml:space="preserve">meetings. </w:t>
      </w:r>
      <w:r w:rsidR="001A6754" w:rsidRPr="005E0053">
        <w:rPr>
          <w:rFonts w:ascii="Arial" w:hAnsi="Arial" w:cs="Arial"/>
        </w:rPr>
        <w:t>With the assistance of interpreters</w:t>
      </w:r>
      <w:r w:rsidR="00255DB7" w:rsidRPr="005E0053">
        <w:rPr>
          <w:rStyle w:val="FootnoteReference"/>
          <w:rFonts w:ascii="Arial" w:hAnsi="Arial" w:cs="Arial"/>
        </w:rPr>
        <w:footnoteReference w:id="7"/>
      </w:r>
      <w:r w:rsidR="001A6754" w:rsidRPr="005E0053">
        <w:rPr>
          <w:rFonts w:ascii="Arial" w:hAnsi="Arial" w:cs="Arial"/>
        </w:rPr>
        <w:t>, t</w:t>
      </w:r>
      <w:r w:rsidR="008943D6" w:rsidRPr="005E0053">
        <w:rPr>
          <w:rFonts w:ascii="Arial" w:hAnsi="Arial" w:cs="Arial"/>
        </w:rPr>
        <w:t xml:space="preserve">he CNA/SSDP </w:t>
      </w:r>
      <w:r w:rsidR="000D558B" w:rsidRPr="005E0053">
        <w:rPr>
          <w:rFonts w:ascii="Arial" w:hAnsi="Arial" w:cs="Arial"/>
        </w:rPr>
        <w:t>Committee</w:t>
      </w:r>
      <w:r w:rsidR="003D54FC" w:rsidRPr="005E0053">
        <w:rPr>
          <w:rFonts w:ascii="Arial" w:hAnsi="Arial" w:cs="Arial"/>
        </w:rPr>
        <w:t xml:space="preserve"> met </w:t>
      </w:r>
      <w:r w:rsidR="00275DCA" w:rsidRPr="005E0053">
        <w:rPr>
          <w:rFonts w:ascii="Arial" w:hAnsi="Arial" w:cs="Arial"/>
        </w:rPr>
        <w:t xml:space="preserve">four </w:t>
      </w:r>
      <w:r w:rsidR="003D54FC" w:rsidRPr="005E0053">
        <w:rPr>
          <w:rFonts w:ascii="Arial" w:hAnsi="Arial" w:cs="Arial"/>
        </w:rPr>
        <w:t>times to review</w:t>
      </w:r>
      <w:r w:rsidR="001A6754" w:rsidRPr="005E0053">
        <w:rPr>
          <w:rFonts w:ascii="Arial" w:hAnsi="Arial" w:cs="Arial"/>
        </w:rPr>
        <w:t xml:space="preserve"> the Migrant Student Profile,</w:t>
      </w:r>
      <w:r w:rsidR="003D54FC" w:rsidRPr="005E0053">
        <w:rPr>
          <w:rFonts w:ascii="Arial" w:hAnsi="Arial" w:cs="Arial"/>
        </w:rPr>
        <w:t xml:space="preserve"> deliberate on </w:t>
      </w:r>
      <w:r w:rsidR="001A6754" w:rsidRPr="005E0053">
        <w:rPr>
          <w:rFonts w:ascii="Arial" w:hAnsi="Arial" w:cs="Arial"/>
        </w:rPr>
        <w:t>their concerns about migratory students</w:t>
      </w:r>
      <w:r w:rsidR="003D2B71" w:rsidRPr="005E0053">
        <w:rPr>
          <w:rFonts w:ascii="Arial" w:hAnsi="Arial" w:cs="Arial"/>
        </w:rPr>
        <w:t>, and identify</w:t>
      </w:r>
      <w:r w:rsidR="001A6754" w:rsidRPr="005E0053">
        <w:rPr>
          <w:rFonts w:ascii="Arial" w:hAnsi="Arial" w:cs="Arial"/>
        </w:rPr>
        <w:t xml:space="preserve"> migratory student needs.</w:t>
      </w:r>
      <w:r w:rsidR="007B0D6D" w:rsidRPr="005E0053">
        <w:rPr>
          <w:rFonts w:ascii="Arial" w:hAnsi="Arial" w:cs="Arial"/>
        </w:rPr>
        <w:t xml:space="preserve"> Findings from the CNA/SSDP collaborative process are identified in the next section.</w:t>
      </w:r>
    </w:p>
    <w:p w14:paraId="4DD164B6" w14:textId="77777777" w:rsidR="00A858C1" w:rsidRPr="005E0053" w:rsidRDefault="00A858C1" w:rsidP="00B45BD6">
      <w:pPr>
        <w:pStyle w:val="Heading4"/>
      </w:pPr>
      <w:bookmarkStart w:id="22" w:name="_Toc504520849"/>
      <w:r w:rsidRPr="005E0053">
        <w:t>Comprehensive Needs Assessment Findings</w:t>
      </w:r>
      <w:bookmarkEnd w:id="22"/>
    </w:p>
    <w:p w14:paraId="751178F9" w14:textId="60E8C01F" w:rsidR="00052DC4" w:rsidRPr="005E0053" w:rsidRDefault="002B3F16" w:rsidP="00052DC4">
      <w:pPr>
        <w:contextualSpacing/>
        <w:rPr>
          <w:rFonts w:ascii="Arial" w:hAnsi="Arial" w:cs="Arial"/>
        </w:rPr>
      </w:pPr>
      <w:r w:rsidRPr="005E0053">
        <w:rPr>
          <w:rFonts w:ascii="Arial" w:hAnsi="Arial" w:cs="Arial"/>
        </w:rPr>
        <w:t>The CDE CNA/SSDP</w:t>
      </w:r>
      <w:r w:rsidR="001830F1" w:rsidRPr="005E0053">
        <w:rPr>
          <w:rFonts w:ascii="Arial" w:hAnsi="Arial" w:cs="Arial"/>
        </w:rPr>
        <w:t xml:space="preserve"> process was completed in April 2017. </w:t>
      </w:r>
      <w:r w:rsidR="00052DC4" w:rsidRPr="005E0053">
        <w:rPr>
          <w:rFonts w:ascii="Arial" w:hAnsi="Arial" w:cs="Arial"/>
        </w:rPr>
        <w:t xml:space="preserve">The Migrant Student Profile was designed to assist </w:t>
      </w:r>
      <w:r w:rsidR="00C52B3A">
        <w:rPr>
          <w:rFonts w:ascii="Arial" w:hAnsi="Arial" w:cs="Arial"/>
        </w:rPr>
        <w:t>committee members</w:t>
      </w:r>
      <w:r w:rsidR="00C52B3A" w:rsidRPr="005E0053">
        <w:rPr>
          <w:rFonts w:ascii="Arial" w:hAnsi="Arial" w:cs="Arial"/>
        </w:rPr>
        <w:t xml:space="preserve"> </w:t>
      </w:r>
      <w:r w:rsidR="00052DC4" w:rsidRPr="005E0053">
        <w:rPr>
          <w:rFonts w:ascii="Arial" w:hAnsi="Arial" w:cs="Arial"/>
        </w:rPr>
        <w:t>in understanding the demographic characteristics and unique educational needs of California’s MEP-eligible children.</w:t>
      </w:r>
      <w:r w:rsidR="00052DC4" w:rsidRPr="005E0053">
        <w:rPr>
          <w:rFonts w:ascii="Arial" w:hAnsi="Arial" w:cs="Arial"/>
          <w:vertAlign w:val="superscript"/>
        </w:rPr>
        <w:t xml:space="preserve"> </w:t>
      </w:r>
      <w:r w:rsidR="00052DC4" w:rsidRPr="005E0053">
        <w:rPr>
          <w:rFonts w:ascii="Arial" w:hAnsi="Arial" w:cs="Arial"/>
        </w:rPr>
        <w:t>It provides</w:t>
      </w:r>
      <w:r w:rsidR="003D2B71" w:rsidRPr="005E0053">
        <w:rPr>
          <w:rFonts w:ascii="Arial" w:hAnsi="Arial" w:cs="Arial"/>
        </w:rPr>
        <w:t xml:space="preserve"> an</w:t>
      </w:r>
      <w:r w:rsidR="00052DC4" w:rsidRPr="005E0053">
        <w:rPr>
          <w:rFonts w:ascii="Arial" w:hAnsi="Arial" w:cs="Arial"/>
        </w:rPr>
        <w:t xml:space="preserve"> a</w:t>
      </w:r>
      <w:r w:rsidR="003D2B71" w:rsidRPr="005E0053">
        <w:rPr>
          <w:rFonts w:ascii="Arial" w:hAnsi="Arial" w:cs="Arial"/>
        </w:rPr>
        <w:t>wareness of migratory children</w:t>
      </w:r>
      <w:r w:rsidR="00052DC4" w:rsidRPr="005E0053">
        <w:rPr>
          <w:rFonts w:ascii="Arial" w:hAnsi="Arial" w:cs="Arial"/>
        </w:rPr>
        <w:t xml:space="preserve"> population size, age, home language, and educational outcomes. It also explores characteristics of California’s migratory Out-of-School Youth (OSY) popu</w:t>
      </w:r>
      <w:r w:rsidR="003D2B71" w:rsidRPr="005E0053">
        <w:rPr>
          <w:rFonts w:ascii="Arial" w:hAnsi="Arial" w:cs="Arial"/>
        </w:rPr>
        <w:t>lation, and migratory children</w:t>
      </w:r>
      <w:r w:rsidR="00052DC4" w:rsidRPr="005E0053">
        <w:rPr>
          <w:rFonts w:ascii="Arial" w:hAnsi="Arial" w:cs="Arial"/>
        </w:rPr>
        <w:t xml:space="preserve"> school readiness, parent involvement, health service needs, and engagement in school. </w:t>
      </w:r>
      <w:r w:rsidR="00C52B3A">
        <w:rPr>
          <w:rFonts w:ascii="Arial" w:hAnsi="Arial" w:cs="Arial"/>
        </w:rPr>
        <w:t>CNA/SSDP Committee members</w:t>
      </w:r>
      <w:r w:rsidR="00C52B3A" w:rsidRPr="005E0053">
        <w:rPr>
          <w:rFonts w:ascii="Arial" w:hAnsi="Arial" w:cs="Arial"/>
        </w:rPr>
        <w:t xml:space="preserve"> </w:t>
      </w:r>
      <w:r w:rsidR="00052DC4" w:rsidRPr="005E0053">
        <w:rPr>
          <w:rFonts w:ascii="Arial" w:hAnsi="Arial" w:cs="Arial"/>
        </w:rPr>
        <w:t>utilized this profile as they identified migratory student needs. The CNA/SSDP Committee</w:t>
      </w:r>
      <w:r w:rsidR="00EE4E51" w:rsidRPr="005E0053">
        <w:rPr>
          <w:rFonts w:ascii="Arial" w:hAnsi="Arial" w:cs="Arial"/>
        </w:rPr>
        <w:t xml:space="preserve"> divided into content</w:t>
      </w:r>
      <w:r w:rsidR="003D2B71" w:rsidRPr="005E0053">
        <w:rPr>
          <w:rFonts w:ascii="Arial" w:hAnsi="Arial" w:cs="Arial"/>
        </w:rPr>
        <w:t>-</w:t>
      </w:r>
      <w:r w:rsidR="00EE4E51" w:rsidRPr="005E0053">
        <w:rPr>
          <w:rFonts w:ascii="Arial" w:hAnsi="Arial" w:cs="Arial"/>
        </w:rPr>
        <w:t>specific subcommittees in which participants</w:t>
      </w:r>
      <w:r w:rsidR="00052DC4" w:rsidRPr="005E0053">
        <w:rPr>
          <w:rFonts w:ascii="Arial" w:hAnsi="Arial" w:cs="Arial"/>
        </w:rPr>
        <w:t xml:space="preserve"> reviewed student achievement data, English language proficiency</w:t>
      </w:r>
      <w:r w:rsidR="003D2B71" w:rsidRPr="005E0053">
        <w:rPr>
          <w:rFonts w:ascii="Arial" w:hAnsi="Arial" w:cs="Arial"/>
        </w:rPr>
        <w:t xml:space="preserve"> data</w:t>
      </w:r>
      <w:r w:rsidR="00052DC4" w:rsidRPr="005E0053">
        <w:rPr>
          <w:rFonts w:ascii="Arial" w:hAnsi="Arial" w:cs="Arial"/>
        </w:rPr>
        <w:t xml:space="preserve">, high school graduation and dropout rates. </w:t>
      </w:r>
      <w:r w:rsidR="00B81939">
        <w:rPr>
          <w:rFonts w:ascii="Arial" w:hAnsi="Arial" w:cs="Arial"/>
        </w:rPr>
        <w:t>CNA/SSDP</w:t>
      </w:r>
      <w:r w:rsidR="00B81939" w:rsidRPr="005E0053">
        <w:rPr>
          <w:rFonts w:ascii="Arial" w:hAnsi="Arial" w:cs="Arial"/>
        </w:rPr>
        <w:t xml:space="preserve"> </w:t>
      </w:r>
      <w:r w:rsidR="00EE4E51" w:rsidRPr="005E0053">
        <w:rPr>
          <w:rFonts w:ascii="Arial" w:hAnsi="Arial" w:cs="Arial"/>
        </w:rPr>
        <w:t>subcommittees reviewed limited data</w:t>
      </w:r>
      <w:r w:rsidR="00052DC4" w:rsidRPr="005E0053">
        <w:rPr>
          <w:rFonts w:ascii="Arial" w:hAnsi="Arial" w:cs="Arial"/>
        </w:rPr>
        <w:t xml:space="preserve"> on </w:t>
      </w:r>
      <w:r w:rsidR="00EE4E51" w:rsidRPr="005E0053">
        <w:rPr>
          <w:rFonts w:ascii="Arial" w:hAnsi="Arial" w:cs="Arial"/>
        </w:rPr>
        <w:t>school readiness, OSY</w:t>
      </w:r>
      <w:r w:rsidR="003D2B71" w:rsidRPr="005E0053">
        <w:rPr>
          <w:rFonts w:ascii="Arial" w:hAnsi="Arial" w:cs="Arial"/>
        </w:rPr>
        <w:t xml:space="preserve">, </w:t>
      </w:r>
      <w:r w:rsidR="00052DC4" w:rsidRPr="005E0053">
        <w:rPr>
          <w:rFonts w:ascii="Arial" w:hAnsi="Arial" w:cs="Arial"/>
        </w:rPr>
        <w:t xml:space="preserve">parent and family engagement, </w:t>
      </w:r>
      <w:r w:rsidR="003D2B71" w:rsidRPr="005E0053">
        <w:rPr>
          <w:rFonts w:ascii="Arial" w:hAnsi="Arial" w:cs="Arial"/>
        </w:rPr>
        <w:t xml:space="preserve">and </w:t>
      </w:r>
      <w:r w:rsidR="00052DC4" w:rsidRPr="005E0053">
        <w:rPr>
          <w:rFonts w:ascii="Arial" w:hAnsi="Arial" w:cs="Arial"/>
        </w:rPr>
        <w:t>student engagement</w:t>
      </w:r>
      <w:r w:rsidR="003D2B71" w:rsidRPr="005E0053">
        <w:rPr>
          <w:rFonts w:ascii="Arial" w:hAnsi="Arial" w:cs="Arial"/>
        </w:rPr>
        <w:t>.</w:t>
      </w:r>
    </w:p>
    <w:p w14:paraId="3A5AE703" w14:textId="560AAEE3" w:rsidR="0087251D" w:rsidRPr="005E0053" w:rsidRDefault="00556049" w:rsidP="00CB2C23">
      <w:pPr>
        <w:spacing w:before="240" w:after="240"/>
        <w:rPr>
          <w:rFonts w:ascii="Arial" w:hAnsi="Arial" w:cs="Arial"/>
        </w:rPr>
      </w:pPr>
      <w:r w:rsidRPr="005E0053">
        <w:rPr>
          <w:rFonts w:ascii="Arial" w:hAnsi="Arial" w:cs="Arial"/>
        </w:rPr>
        <w:t xml:space="preserve">Furthermore, </w:t>
      </w:r>
      <w:r w:rsidR="00C52B3A">
        <w:rPr>
          <w:rFonts w:ascii="Arial" w:hAnsi="Arial" w:cs="Arial"/>
        </w:rPr>
        <w:t>CNA/SSDP Committee members</w:t>
      </w:r>
      <w:r w:rsidR="00C52B3A" w:rsidRPr="005E0053">
        <w:rPr>
          <w:rFonts w:ascii="Arial" w:hAnsi="Arial" w:cs="Arial"/>
        </w:rPr>
        <w:t xml:space="preserve"> </w:t>
      </w:r>
      <w:r w:rsidRPr="005E0053">
        <w:rPr>
          <w:rFonts w:ascii="Arial" w:hAnsi="Arial" w:cs="Arial"/>
        </w:rPr>
        <w:t xml:space="preserve">reviewed research on evidence-based strategies to support at-risk populations and the </w:t>
      </w:r>
      <w:r w:rsidR="00EE4E51" w:rsidRPr="005E0053">
        <w:rPr>
          <w:rStyle w:val="Emphasis"/>
          <w:rFonts w:ascii="Arial" w:hAnsi="Arial" w:cs="Arial"/>
          <w:color w:val="333333"/>
        </w:rPr>
        <w:t xml:space="preserve">English Language Arts/English </w:t>
      </w:r>
      <w:r w:rsidR="00EE4E51" w:rsidRPr="005E0053">
        <w:rPr>
          <w:rStyle w:val="Emphasis"/>
          <w:rFonts w:ascii="Arial" w:hAnsi="Arial" w:cs="Arial"/>
          <w:color w:val="333333"/>
        </w:rPr>
        <w:lastRenderedPageBreak/>
        <w:t>Language Development Framework for California Public Schools: Kindergarten Through Grade Twelve</w:t>
      </w:r>
      <w:r w:rsidR="00EE4E51" w:rsidRPr="005E0053">
        <w:rPr>
          <w:rFonts w:ascii="Arial" w:hAnsi="Arial" w:cs="Arial"/>
          <w:color w:val="333333"/>
        </w:rPr>
        <w:t xml:space="preserve"> </w:t>
      </w:r>
      <w:r w:rsidR="00213C78" w:rsidRPr="005E0053">
        <w:rPr>
          <w:rStyle w:val="FootnoteReference"/>
          <w:rFonts w:ascii="Arial" w:hAnsi="Arial" w:cs="Arial"/>
        </w:rPr>
        <w:footnoteReference w:id="8"/>
      </w:r>
      <w:r w:rsidRPr="005E0053">
        <w:rPr>
          <w:rFonts w:ascii="Arial" w:hAnsi="Arial" w:cs="Arial"/>
        </w:rPr>
        <w:t xml:space="preserve"> and </w:t>
      </w:r>
      <w:r w:rsidR="00EE4E51" w:rsidRPr="005E0053">
        <w:rPr>
          <w:rFonts w:ascii="Arial" w:hAnsi="Arial" w:cs="Arial"/>
        </w:rPr>
        <w:t xml:space="preserve">the </w:t>
      </w:r>
      <w:r w:rsidR="00EE4E51" w:rsidRPr="005E0053">
        <w:rPr>
          <w:rStyle w:val="Emphasis"/>
          <w:rFonts w:ascii="Arial" w:hAnsi="Arial" w:cs="Arial"/>
          <w:color w:val="333333"/>
        </w:rPr>
        <w:t>Mathematics Framework for California Public Schools, K-12</w:t>
      </w:r>
      <w:r w:rsidR="00EE4E51" w:rsidRPr="005E0053">
        <w:rPr>
          <w:rFonts w:ascii="Arial" w:hAnsi="Arial" w:cs="Arial"/>
          <w:color w:val="333333"/>
        </w:rPr>
        <w:t xml:space="preserve"> </w:t>
      </w:r>
      <w:r w:rsidR="00213C78" w:rsidRPr="005E0053">
        <w:rPr>
          <w:rStyle w:val="FootnoteReference"/>
          <w:rFonts w:ascii="Arial" w:hAnsi="Arial" w:cs="Arial"/>
        </w:rPr>
        <w:footnoteReference w:id="9"/>
      </w:r>
      <w:r w:rsidR="0087251D" w:rsidRPr="005E0053">
        <w:rPr>
          <w:rFonts w:ascii="Arial" w:hAnsi="Arial" w:cs="Arial"/>
        </w:rPr>
        <w:t xml:space="preserve"> in order to prioritize possible strategies to address the unique needs of migratory children. Throughout this process, </w:t>
      </w:r>
      <w:r w:rsidR="00C52B3A">
        <w:rPr>
          <w:rFonts w:ascii="Arial" w:hAnsi="Arial" w:cs="Arial"/>
        </w:rPr>
        <w:t>committee members</w:t>
      </w:r>
      <w:r w:rsidR="00C52B3A" w:rsidRPr="005E0053">
        <w:rPr>
          <w:rFonts w:ascii="Arial" w:hAnsi="Arial" w:cs="Arial"/>
        </w:rPr>
        <w:t xml:space="preserve"> </w:t>
      </w:r>
      <w:r w:rsidR="0087251D" w:rsidRPr="005E0053">
        <w:rPr>
          <w:rFonts w:ascii="Arial" w:hAnsi="Arial" w:cs="Arial"/>
        </w:rPr>
        <w:t>reflected on the following questions:</w:t>
      </w:r>
      <w:r w:rsidRPr="005E0053">
        <w:rPr>
          <w:rFonts w:ascii="Arial" w:hAnsi="Arial" w:cs="Arial"/>
        </w:rPr>
        <w:t xml:space="preserve"> </w:t>
      </w:r>
    </w:p>
    <w:p w14:paraId="4C5D2FFC" w14:textId="77777777" w:rsidR="0087251D" w:rsidRPr="005E0053" w:rsidRDefault="0087251D" w:rsidP="007D443E">
      <w:pPr>
        <w:pStyle w:val="ListParagraph"/>
        <w:numPr>
          <w:ilvl w:val="0"/>
          <w:numId w:val="22"/>
        </w:numPr>
        <w:spacing w:after="240"/>
        <w:rPr>
          <w:rFonts w:ascii="Arial" w:hAnsi="Arial" w:cs="Arial"/>
        </w:rPr>
      </w:pPr>
      <w:r w:rsidRPr="005E0053">
        <w:rPr>
          <w:rFonts w:ascii="Arial" w:hAnsi="Arial" w:cs="Arial"/>
        </w:rPr>
        <w:t>What evidence-ba</w:t>
      </w:r>
      <w:r w:rsidR="003D2B71" w:rsidRPr="005E0053">
        <w:rPr>
          <w:rFonts w:ascii="Arial" w:hAnsi="Arial" w:cs="Arial"/>
        </w:rPr>
        <w:t>sed strategies and supports do</w:t>
      </w:r>
      <w:r w:rsidRPr="005E0053">
        <w:rPr>
          <w:rFonts w:ascii="Arial" w:hAnsi="Arial" w:cs="Arial"/>
        </w:rPr>
        <w:t xml:space="preserve"> the research identify for this specific focus area?</w:t>
      </w:r>
    </w:p>
    <w:p w14:paraId="2E06C4D8" w14:textId="77777777" w:rsidR="0087251D" w:rsidRPr="005E0053" w:rsidRDefault="0087251D" w:rsidP="007D443E">
      <w:pPr>
        <w:pStyle w:val="ListParagraph"/>
        <w:numPr>
          <w:ilvl w:val="0"/>
          <w:numId w:val="22"/>
        </w:numPr>
        <w:spacing w:after="240"/>
        <w:rPr>
          <w:rFonts w:ascii="Arial" w:hAnsi="Arial" w:cs="Arial"/>
        </w:rPr>
      </w:pPr>
      <w:r w:rsidRPr="005E0053">
        <w:rPr>
          <w:rFonts w:ascii="Arial" w:hAnsi="Arial" w:cs="Arial"/>
        </w:rPr>
        <w:t>What possible challenges do you see with this strategy/support?</w:t>
      </w:r>
    </w:p>
    <w:p w14:paraId="54BA5454" w14:textId="77777777" w:rsidR="0087251D" w:rsidRPr="005E0053" w:rsidRDefault="0087251D" w:rsidP="007D443E">
      <w:pPr>
        <w:pStyle w:val="ListParagraph"/>
        <w:numPr>
          <w:ilvl w:val="0"/>
          <w:numId w:val="22"/>
        </w:numPr>
        <w:spacing w:after="240"/>
        <w:rPr>
          <w:rFonts w:ascii="Arial" w:hAnsi="Arial" w:cs="Arial"/>
        </w:rPr>
      </w:pPr>
      <w:r w:rsidRPr="005E0053">
        <w:rPr>
          <w:rFonts w:ascii="Arial" w:hAnsi="Arial" w:cs="Arial"/>
        </w:rPr>
        <w:t>Has this been implemented in your region? If so, what resources were needed?</w:t>
      </w:r>
    </w:p>
    <w:p w14:paraId="0B420DC2" w14:textId="41590876" w:rsidR="00E35659" w:rsidRPr="005E0053" w:rsidRDefault="006D6407" w:rsidP="00CB2C23">
      <w:pPr>
        <w:spacing w:before="240"/>
        <w:rPr>
          <w:rFonts w:ascii="Arial" w:hAnsi="Arial" w:cs="Arial"/>
        </w:rPr>
      </w:pPr>
      <w:r w:rsidRPr="005E0053">
        <w:rPr>
          <w:rFonts w:ascii="Arial" w:hAnsi="Arial" w:cs="Arial"/>
        </w:rPr>
        <w:t>The SSDP strategies</w:t>
      </w:r>
      <w:r w:rsidR="003D2B71" w:rsidRPr="005E0053">
        <w:rPr>
          <w:rFonts w:ascii="Arial" w:hAnsi="Arial" w:cs="Arial"/>
        </w:rPr>
        <w:t xml:space="preserve"> and supports</w:t>
      </w:r>
      <w:r w:rsidRPr="005E0053">
        <w:rPr>
          <w:rFonts w:ascii="Arial" w:hAnsi="Arial" w:cs="Arial"/>
        </w:rPr>
        <w:t xml:space="preserve"> will be discussed in the next chapter of this report. </w:t>
      </w:r>
      <w:r w:rsidR="00556049" w:rsidRPr="005E0053">
        <w:rPr>
          <w:rFonts w:ascii="Arial" w:hAnsi="Arial" w:cs="Arial"/>
        </w:rPr>
        <w:t>T</w:t>
      </w:r>
      <w:r w:rsidR="00906FB1" w:rsidRPr="005E0053">
        <w:rPr>
          <w:rFonts w:ascii="Arial" w:hAnsi="Arial" w:cs="Arial"/>
        </w:rPr>
        <w:t xml:space="preserve">he following </w:t>
      </w:r>
      <w:r w:rsidR="00F062E2" w:rsidRPr="005E0053">
        <w:rPr>
          <w:rFonts w:ascii="Arial" w:hAnsi="Arial" w:cs="Arial"/>
        </w:rPr>
        <w:t>tables</w:t>
      </w:r>
      <w:r w:rsidR="00906FB1" w:rsidRPr="005E0053">
        <w:rPr>
          <w:rFonts w:ascii="Arial" w:hAnsi="Arial" w:cs="Arial"/>
        </w:rPr>
        <w:t xml:space="preserve"> summarize the</w:t>
      </w:r>
      <w:r w:rsidR="00F062E2" w:rsidRPr="005E0053">
        <w:rPr>
          <w:rFonts w:ascii="Arial" w:hAnsi="Arial" w:cs="Arial"/>
        </w:rPr>
        <w:t xml:space="preserve"> data </w:t>
      </w:r>
      <w:r w:rsidR="00C52B3A">
        <w:rPr>
          <w:rFonts w:ascii="Arial" w:hAnsi="Arial" w:cs="Arial"/>
        </w:rPr>
        <w:t>the CNA/SSDP Committee</w:t>
      </w:r>
      <w:r w:rsidR="00C52B3A" w:rsidRPr="005E0053">
        <w:rPr>
          <w:rFonts w:ascii="Arial" w:hAnsi="Arial" w:cs="Arial"/>
        </w:rPr>
        <w:t xml:space="preserve"> </w:t>
      </w:r>
      <w:r w:rsidR="003D2B71" w:rsidRPr="005E0053">
        <w:rPr>
          <w:rFonts w:ascii="Arial" w:hAnsi="Arial" w:cs="Arial"/>
        </w:rPr>
        <w:t>analyzed</w:t>
      </w:r>
      <w:r w:rsidR="00F062E2" w:rsidRPr="005E0053">
        <w:rPr>
          <w:rFonts w:ascii="Arial" w:hAnsi="Arial" w:cs="Arial"/>
        </w:rPr>
        <w:t xml:space="preserve"> and</w:t>
      </w:r>
      <w:r w:rsidR="00906FB1" w:rsidRPr="005E0053">
        <w:rPr>
          <w:rFonts w:ascii="Arial" w:hAnsi="Arial" w:cs="Arial"/>
        </w:rPr>
        <w:t xml:space="preserve"> key</w:t>
      </w:r>
      <w:r w:rsidR="00776BE1" w:rsidRPr="005E0053">
        <w:rPr>
          <w:rFonts w:ascii="Arial" w:hAnsi="Arial" w:cs="Arial"/>
        </w:rPr>
        <w:t xml:space="preserve"> decision</w:t>
      </w:r>
      <w:r w:rsidR="00906FB1" w:rsidRPr="005E0053">
        <w:rPr>
          <w:rFonts w:ascii="Arial" w:hAnsi="Arial" w:cs="Arial"/>
        </w:rPr>
        <w:t xml:space="preserve"> points for each of the nine focus areas</w:t>
      </w:r>
      <w:r w:rsidRPr="005E0053">
        <w:rPr>
          <w:rFonts w:ascii="Arial" w:hAnsi="Arial" w:cs="Arial"/>
        </w:rPr>
        <w:t xml:space="preserve"> developed during the CNA</w:t>
      </w:r>
      <w:r w:rsidR="00C52B3A">
        <w:rPr>
          <w:rFonts w:ascii="Arial" w:hAnsi="Arial" w:cs="Arial"/>
        </w:rPr>
        <w:t xml:space="preserve"> development</w:t>
      </w:r>
      <w:r w:rsidRPr="005E0053">
        <w:rPr>
          <w:rFonts w:ascii="Arial" w:hAnsi="Arial" w:cs="Arial"/>
        </w:rPr>
        <w:t xml:space="preserve"> process</w:t>
      </w:r>
      <w:r w:rsidR="00906FB1" w:rsidRPr="005E0053">
        <w:rPr>
          <w:rFonts w:ascii="Arial" w:hAnsi="Arial" w:cs="Arial"/>
        </w:rPr>
        <w:t>.</w:t>
      </w:r>
      <w:r w:rsidR="00960389" w:rsidRPr="005E0053">
        <w:rPr>
          <w:rFonts w:ascii="Arial" w:hAnsi="Arial" w:cs="Arial"/>
        </w:rPr>
        <w:t xml:space="preserve"> </w:t>
      </w:r>
      <w:r w:rsidR="0042789B" w:rsidRPr="005E0053">
        <w:rPr>
          <w:rFonts w:ascii="Arial" w:hAnsi="Arial" w:cs="Arial"/>
        </w:rPr>
        <w:t>It was important</w:t>
      </w:r>
      <w:r w:rsidR="008721C2" w:rsidRPr="005E0053">
        <w:rPr>
          <w:rFonts w:ascii="Arial" w:hAnsi="Arial" w:cs="Arial"/>
        </w:rPr>
        <w:t xml:space="preserve"> to the collaborative process that the CDE</w:t>
      </w:r>
      <w:r w:rsidR="0042789B" w:rsidRPr="005E0053">
        <w:rPr>
          <w:rFonts w:ascii="Arial" w:hAnsi="Arial" w:cs="Arial"/>
        </w:rPr>
        <w:t xml:space="preserve"> maintain the authenticity of </w:t>
      </w:r>
      <w:r w:rsidR="00C52B3A">
        <w:rPr>
          <w:rFonts w:ascii="Arial" w:hAnsi="Arial" w:cs="Arial"/>
        </w:rPr>
        <w:t>committee member</w:t>
      </w:r>
      <w:r w:rsidR="00C52B3A" w:rsidRPr="005E0053">
        <w:rPr>
          <w:rFonts w:ascii="Arial" w:hAnsi="Arial" w:cs="Arial"/>
        </w:rPr>
        <w:t xml:space="preserve"> </w:t>
      </w:r>
      <w:r w:rsidR="0042789B" w:rsidRPr="005E0053">
        <w:rPr>
          <w:rFonts w:ascii="Arial" w:hAnsi="Arial" w:cs="Arial"/>
        </w:rPr>
        <w:t xml:space="preserve">responses; however, the CDE did reformat the data sections in order for </w:t>
      </w:r>
      <w:r w:rsidR="008721C2" w:rsidRPr="005E0053">
        <w:rPr>
          <w:rFonts w:ascii="Arial" w:hAnsi="Arial" w:cs="Arial"/>
        </w:rPr>
        <w:t>readability purposes.</w:t>
      </w:r>
    </w:p>
    <w:p w14:paraId="00168CE5" w14:textId="77777777" w:rsidR="00C0763C" w:rsidRPr="005E0053" w:rsidRDefault="00906FB1" w:rsidP="00B45BD6">
      <w:pPr>
        <w:pStyle w:val="Heading5"/>
      </w:pPr>
      <w:bookmarkStart w:id="23" w:name="_Toc504520850"/>
      <w:r w:rsidRPr="005E0053">
        <w:t>English Language A</w:t>
      </w:r>
      <w:r w:rsidR="00A858C1" w:rsidRPr="005E0053">
        <w:t>rts</w:t>
      </w:r>
      <w:bookmarkEnd w:id="23"/>
    </w:p>
    <w:p w14:paraId="7C27D041" w14:textId="0FA67F52" w:rsidR="00B978C7" w:rsidRPr="005E0053" w:rsidRDefault="00677C19" w:rsidP="00CB2C23">
      <w:pPr>
        <w:spacing w:after="240"/>
        <w:rPr>
          <w:rFonts w:ascii="Arial" w:hAnsi="Arial" w:cs="Arial"/>
        </w:rPr>
      </w:pPr>
      <w:r w:rsidRPr="005E0053">
        <w:rPr>
          <w:rFonts w:ascii="Arial" w:eastAsia="Times New Roman" w:hAnsi="Arial" w:cs="Arial"/>
        </w:rPr>
        <w:t>T</w:t>
      </w:r>
      <w:r w:rsidR="005000B7" w:rsidRPr="005E0053">
        <w:rPr>
          <w:rFonts w:ascii="Arial" w:eastAsia="Times New Roman" w:hAnsi="Arial" w:cs="Arial"/>
        </w:rPr>
        <w:t>he CNA/SSDP Committee had access to both the California St</w:t>
      </w:r>
      <w:r w:rsidR="003D2B71" w:rsidRPr="005E0053">
        <w:rPr>
          <w:rFonts w:ascii="Arial" w:eastAsia="Times New Roman" w:hAnsi="Arial" w:cs="Arial"/>
        </w:rPr>
        <w:t xml:space="preserve">andards Test (CST) data and </w:t>
      </w:r>
      <w:r w:rsidR="005000B7" w:rsidRPr="005E0053">
        <w:rPr>
          <w:rFonts w:ascii="Arial" w:eastAsia="Times New Roman" w:hAnsi="Arial" w:cs="Arial"/>
        </w:rPr>
        <w:t xml:space="preserve">Smarter Balanced Assessment data to analyze while identifying </w:t>
      </w:r>
      <w:r w:rsidRPr="005E0053">
        <w:rPr>
          <w:rFonts w:ascii="Arial" w:eastAsia="Times New Roman" w:hAnsi="Arial" w:cs="Arial"/>
        </w:rPr>
        <w:t xml:space="preserve">migratory student </w:t>
      </w:r>
      <w:r w:rsidR="005000B7" w:rsidRPr="005E0053">
        <w:rPr>
          <w:rFonts w:ascii="Arial" w:eastAsia="Times New Roman" w:hAnsi="Arial" w:cs="Arial"/>
        </w:rPr>
        <w:t xml:space="preserve">needs </w:t>
      </w:r>
      <w:r w:rsidRPr="005E0053">
        <w:rPr>
          <w:rFonts w:ascii="Arial" w:eastAsia="Times New Roman" w:hAnsi="Arial" w:cs="Arial"/>
        </w:rPr>
        <w:t>in</w:t>
      </w:r>
      <w:r w:rsidR="005000B7" w:rsidRPr="005E0053">
        <w:rPr>
          <w:rFonts w:ascii="Arial" w:eastAsia="Times New Roman" w:hAnsi="Arial" w:cs="Arial"/>
        </w:rPr>
        <w:t xml:space="preserve"> ELA. </w:t>
      </w:r>
      <w:r w:rsidR="00B978C7" w:rsidRPr="005E0053">
        <w:rPr>
          <w:rFonts w:ascii="Arial" w:eastAsia="Times New Roman" w:hAnsi="Arial" w:cs="Arial"/>
        </w:rPr>
        <w:t xml:space="preserve">Beginning with the 2013–14 school year, </w:t>
      </w:r>
      <w:r w:rsidR="00516387" w:rsidRPr="005E0053">
        <w:rPr>
          <w:rFonts w:ascii="Arial" w:hAnsi="Arial" w:cs="Arial"/>
        </w:rPr>
        <w:t>California Assessment of Student Performance and Progress (CAASPP)</w:t>
      </w:r>
      <w:r w:rsidR="00B978C7" w:rsidRPr="005E0053">
        <w:rPr>
          <w:rFonts w:ascii="Arial" w:eastAsia="Times New Roman" w:hAnsi="Arial" w:cs="Arial"/>
        </w:rPr>
        <w:t xml:space="preserve"> replaced the Standardized Testing and R</w:t>
      </w:r>
      <w:r w:rsidR="003D2B71" w:rsidRPr="005E0053">
        <w:rPr>
          <w:rFonts w:ascii="Arial" w:eastAsia="Times New Roman" w:hAnsi="Arial" w:cs="Arial"/>
        </w:rPr>
        <w:t xml:space="preserve">eporting (STAR) </w:t>
      </w:r>
      <w:r w:rsidR="009A17F4" w:rsidRPr="005E0053">
        <w:rPr>
          <w:rFonts w:ascii="Arial" w:eastAsia="Times New Roman" w:hAnsi="Arial" w:cs="Arial"/>
        </w:rPr>
        <w:t>system, which</w:t>
      </w:r>
      <w:r w:rsidR="003D2B71" w:rsidRPr="005E0053">
        <w:rPr>
          <w:rFonts w:ascii="Arial" w:eastAsia="Times New Roman" w:hAnsi="Arial" w:cs="Arial"/>
        </w:rPr>
        <w:t xml:space="preserve"> had</w:t>
      </w:r>
      <w:r w:rsidR="00B978C7" w:rsidRPr="005E0053">
        <w:rPr>
          <w:rFonts w:ascii="Arial" w:eastAsia="Times New Roman" w:hAnsi="Arial" w:cs="Arial"/>
        </w:rPr>
        <w:t xml:space="preserve"> been in place since 1998.</w:t>
      </w:r>
      <w:r w:rsidR="00B978C7" w:rsidRPr="005E0053">
        <w:rPr>
          <w:rFonts w:ascii="Arial" w:hAnsi="Arial" w:cs="Arial"/>
        </w:rPr>
        <w:t xml:space="preserve"> The CAASPP </w:t>
      </w:r>
      <w:r w:rsidR="00516387" w:rsidRPr="005E0053">
        <w:rPr>
          <w:rFonts w:ascii="Arial" w:hAnsi="Arial" w:cs="Arial"/>
        </w:rPr>
        <w:t xml:space="preserve">Smarter Balanced </w:t>
      </w:r>
      <w:r w:rsidR="00B978C7" w:rsidRPr="005E0053">
        <w:rPr>
          <w:rFonts w:ascii="Arial" w:hAnsi="Arial" w:cs="Arial"/>
        </w:rPr>
        <w:t xml:space="preserve">ELA and Mathematics </w:t>
      </w:r>
      <w:r w:rsidR="00516387" w:rsidRPr="005E0053">
        <w:rPr>
          <w:rFonts w:ascii="Arial" w:hAnsi="Arial" w:cs="Arial"/>
        </w:rPr>
        <w:t>A</w:t>
      </w:r>
      <w:r w:rsidR="003D2B71" w:rsidRPr="005E0053">
        <w:rPr>
          <w:rFonts w:ascii="Arial" w:hAnsi="Arial" w:cs="Arial"/>
        </w:rPr>
        <w:t>ssessments are aligned to</w:t>
      </w:r>
      <w:r w:rsidR="00B978C7" w:rsidRPr="005E0053">
        <w:rPr>
          <w:rFonts w:ascii="Arial" w:hAnsi="Arial" w:cs="Arial"/>
        </w:rPr>
        <w:t xml:space="preserve"> California’s state-adopted academic standards. The CAASPP allows students to demonstrate analytical writing, critical thinking, and </w:t>
      </w:r>
      <w:proofErr w:type="gramStart"/>
      <w:r w:rsidR="00B978C7" w:rsidRPr="005E0053">
        <w:rPr>
          <w:rFonts w:ascii="Arial" w:hAnsi="Arial" w:cs="Arial"/>
        </w:rPr>
        <w:t>problem solving</w:t>
      </w:r>
      <w:proofErr w:type="gramEnd"/>
      <w:r w:rsidR="00B978C7" w:rsidRPr="005E0053">
        <w:rPr>
          <w:rFonts w:ascii="Arial" w:hAnsi="Arial" w:cs="Arial"/>
        </w:rPr>
        <w:t xml:space="preserve"> skills </w:t>
      </w:r>
      <w:r w:rsidR="00960389" w:rsidRPr="005E0053">
        <w:rPr>
          <w:rFonts w:ascii="Arial" w:hAnsi="Arial" w:cs="Arial"/>
        </w:rPr>
        <w:t xml:space="preserve">of </w:t>
      </w:r>
      <w:r w:rsidR="00B978C7" w:rsidRPr="005E0053">
        <w:rPr>
          <w:rFonts w:ascii="Arial" w:hAnsi="Arial" w:cs="Arial"/>
        </w:rPr>
        <w:t>content knowledge in ELA.</w:t>
      </w:r>
      <w:r w:rsidR="00B978C7" w:rsidRPr="005E0053">
        <w:rPr>
          <w:rStyle w:val="FootnoteReference"/>
          <w:rFonts w:ascii="Arial" w:hAnsi="Arial" w:cs="Arial"/>
        </w:rPr>
        <w:footnoteReference w:id="10"/>
      </w:r>
    </w:p>
    <w:p w14:paraId="1E6D4E1E" w14:textId="77777777" w:rsidR="00B978C7" w:rsidRPr="005E0053" w:rsidRDefault="00B978C7" w:rsidP="00B978C7">
      <w:pPr>
        <w:rPr>
          <w:rFonts w:ascii="Arial" w:hAnsi="Arial" w:cs="Arial"/>
        </w:rPr>
      </w:pPr>
      <w:r w:rsidRPr="005E0053">
        <w:rPr>
          <w:rFonts w:ascii="Arial" w:hAnsi="Arial" w:cs="Arial"/>
        </w:rPr>
        <w:t>Student scores are reported on overall achievement and by claims that focus on specific knowledge and skills. Overall ELA or Math Achievement levels consist of Level 1 – Standard Not Met, Level 2 – Standard Nearly Met, Level 3 – Standard Met</w:t>
      </w:r>
      <w:r w:rsidR="00960389" w:rsidRPr="005E0053">
        <w:rPr>
          <w:rFonts w:ascii="Arial" w:hAnsi="Arial" w:cs="Arial"/>
        </w:rPr>
        <w:t>,</w:t>
      </w:r>
      <w:r w:rsidRPr="005E0053">
        <w:rPr>
          <w:rFonts w:ascii="Arial" w:hAnsi="Arial" w:cs="Arial"/>
        </w:rPr>
        <w:t xml:space="preserve"> and Level 4 – Standard Exceeded. </w:t>
      </w:r>
    </w:p>
    <w:p w14:paraId="625AA9CA" w14:textId="77777777" w:rsidR="00B978C7" w:rsidRPr="005E0053" w:rsidRDefault="00960389" w:rsidP="00CB2C23">
      <w:pPr>
        <w:spacing w:before="240" w:after="240"/>
        <w:rPr>
          <w:rFonts w:ascii="Arial" w:eastAsia="Times New Roman" w:hAnsi="Arial" w:cs="Arial"/>
        </w:rPr>
      </w:pPr>
      <w:r w:rsidRPr="005E0053">
        <w:rPr>
          <w:rFonts w:ascii="Arial" w:hAnsi="Arial" w:cs="Arial"/>
        </w:rPr>
        <w:t>Students’ CAASPP scores are</w:t>
      </w:r>
      <w:r w:rsidR="00B978C7" w:rsidRPr="005E0053">
        <w:rPr>
          <w:rFonts w:ascii="Arial" w:hAnsi="Arial" w:cs="Arial"/>
        </w:rPr>
        <w:t xml:space="preserve"> categorized by claims</w:t>
      </w:r>
      <w:r w:rsidR="005000B7" w:rsidRPr="005E0053">
        <w:rPr>
          <w:rFonts w:ascii="Arial" w:hAnsi="Arial" w:cs="Arial"/>
        </w:rPr>
        <w:t>, which are broad, evidence-</w:t>
      </w:r>
      <w:r w:rsidR="00B978C7" w:rsidRPr="005E0053">
        <w:rPr>
          <w:rFonts w:ascii="Arial" w:hAnsi="Arial" w:cs="Arial"/>
        </w:rPr>
        <w:t xml:space="preserve">based statements about </w:t>
      </w:r>
      <w:r w:rsidR="00B978C7" w:rsidRPr="005E0053">
        <w:rPr>
          <w:rFonts w:ascii="Arial" w:eastAsia="Times New Roman" w:hAnsi="Arial" w:cs="Arial"/>
        </w:rPr>
        <w:t>what students know and can do</w:t>
      </w:r>
      <w:r w:rsidR="00677C19" w:rsidRPr="005E0053">
        <w:rPr>
          <w:rFonts w:ascii="Arial" w:eastAsia="Times New Roman" w:hAnsi="Arial" w:cs="Arial"/>
        </w:rPr>
        <w:t xml:space="preserve"> in specific areas</w:t>
      </w:r>
      <w:r w:rsidR="00B978C7" w:rsidRPr="005E0053">
        <w:rPr>
          <w:rFonts w:ascii="Arial" w:eastAsia="Times New Roman" w:hAnsi="Arial" w:cs="Arial"/>
        </w:rPr>
        <w:t>, as demonstrated by their performance on the assessment. The claims for ELA are:</w:t>
      </w:r>
    </w:p>
    <w:p w14:paraId="4B30A2DE" w14:textId="77777777" w:rsidR="00B978C7" w:rsidRPr="005E0053" w:rsidRDefault="00B978C7" w:rsidP="007D443E">
      <w:pPr>
        <w:pStyle w:val="ListParagraph"/>
        <w:numPr>
          <w:ilvl w:val="0"/>
          <w:numId w:val="48"/>
        </w:numPr>
        <w:rPr>
          <w:rFonts w:ascii="Arial" w:hAnsi="Arial" w:cs="Arial"/>
        </w:rPr>
      </w:pPr>
      <w:r w:rsidRPr="005E0053">
        <w:rPr>
          <w:rFonts w:ascii="Arial" w:hAnsi="Arial" w:cs="Arial"/>
        </w:rPr>
        <w:lastRenderedPageBreak/>
        <w:t>Claim 1 - Reading</w:t>
      </w:r>
    </w:p>
    <w:p w14:paraId="23E4FB7D" w14:textId="77777777" w:rsidR="00B978C7" w:rsidRPr="005E0053" w:rsidRDefault="00B978C7" w:rsidP="007D443E">
      <w:pPr>
        <w:pStyle w:val="ListParagraph"/>
        <w:numPr>
          <w:ilvl w:val="0"/>
          <w:numId w:val="48"/>
        </w:numPr>
        <w:rPr>
          <w:rFonts w:ascii="Arial" w:hAnsi="Arial" w:cs="Arial"/>
        </w:rPr>
      </w:pPr>
      <w:r w:rsidRPr="005E0053">
        <w:rPr>
          <w:rFonts w:ascii="Arial" w:hAnsi="Arial" w:cs="Arial"/>
        </w:rPr>
        <w:t>Claim 2 - Writing</w:t>
      </w:r>
    </w:p>
    <w:p w14:paraId="22909FE9" w14:textId="77777777" w:rsidR="00B978C7" w:rsidRPr="005E0053" w:rsidRDefault="00B978C7" w:rsidP="007D443E">
      <w:pPr>
        <w:pStyle w:val="ListParagraph"/>
        <w:numPr>
          <w:ilvl w:val="0"/>
          <w:numId w:val="48"/>
        </w:numPr>
        <w:rPr>
          <w:rFonts w:ascii="Arial" w:hAnsi="Arial" w:cs="Arial"/>
        </w:rPr>
      </w:pPr>
      <w:r w:rsidRPr="005E0053">
        <w:rPr>
          <w:rFonts w:ascii="Arial" w:hAnsi="Arial" w:cs="Arial"/>
        </w:rPr>
        <w:t>Claim 3 - Speaking and Listening</w:t>
      </w:r>
    </w:p>
    <w:p w14:paraId="21537BA6" w14:textId="77777777" w:rsidR="00B978C7" w:rsidRPr="005E0053" w:rsidRDefault="00B978C7" w:rsidP="007D443E">
      <w:pPr>
        <w:pStyle w:val="ListParagraph"/>
        <w:numPr>
          <w:ilvl w:val="0"/>
          <w:numId w:val="48"/>
        </w:numPr>
        <w:rPr>
          <w:rFonts w:ascii="Arial" w:hAnsi="Arial" w:cs="Arial"/>
        </w:rPr>
      </w:pPr>
      <w:r w:rsidRPr="005E0053">
        <w:rPr>
          <w:rFonts w:ascii="Arial" w:hAnsi="Arial" w:cs="Arial"/>
        </w:rPr>
        <w:t>Claim 4 - Research and Inquiry</w:t>
      </w:r>
    </w:p>
    <w:p w14:paraId="1ABB4628" w14:textId="77777777" w:rsidR="00B978C7" w:rsidRPr="005E0053" w:rsidRDefault="00B978C7" w:rsidP="00CB2C23">
      <w:pPr>
        <w:spacing w:before="240"/>
        <w:rPr>
          <w:rFonts w:ascii="Arial" w:hAnsi="Arial" w:cs="Arial"/>
        </w:rPr>
      </w:pPr>
      <w:r w:rsidRPr="005E0053">
        <w:rPr>
          <w:rFonts w:ascii="Arial" w:hAnsi="Arial" w:cs="Arial"/>
        </w:rPr>
        <w:t>Based on their assessment performance, students are assigned one of three claim achievement levels: Below Standard, Near Standard, or Above Standard.</w:t>
      </w:r>
      <w:r w:rsidR="00677C19" w:rsidRPr="005E0053">
        <w:rPr>
          <w:rFonts w:ascii="Arial" w:hAnsi="Arial" w:cs="Arial"/>
        </w:rPr>
        <w:t xml:space="preserve"> All of the goal areas, including the data summaries, concern statements</w:t>
      </w:r>
      <w:r w:rsidR="00960389" w:rsidRPr="005E0053">
        <w:rPr>
          <w:rFonts w:ascii="Arial" w:hAnsi="Arial" w:cs="Arial"/>
        </w:rPr>
        <w:t>,</w:t>
      </w:r>
      <w:r w:rsidR="00677C19" w:rsidRPr="005E0053">
        <w:rPr>
          <w:rFonts w:ascii="Arial" w:hAnsi="Arial" w:cs="Arial"/>
        </w:rPr>
        <w:t xml:space="preserve"> and ne</w:t>
      </w:r>
      <w:r w:rsidR="009A17F4" w:rsidRPr="005E0053">
        <w:rPr>
          <w:rFonts w:ascii="Arial" w:hAnsi="Arial" w:cs="Arial"/>
        </w:rPr>
        <w:t xml:space="preserve">ed statements </w:t>
      </w:r>
      <w:r w:rsidR="007C549E" w:rsidRPr="005E0053">
        <w:rPr>
          <w:rFonts w:ascii="Arial" w:hAnsi="Arial" w:cs="Arial"/>
        </w:rPr>
        <w:t>identified below</w:t>
      </w:r>
      <w:r w:rsidR="009A17F4" w:rsidRPr="005E0053">
        <w:rPr>
          <w:rFonts w:ascii="Arial" w:hAnsi="Arial" w:cs="Arial"/>
        </w:rPr>
        <w:t>,</w:t>
      </w:r>
      <w:r w:rsidR="007C549E" w:rsidRPr="005E0053">
        <w:rPr>
          <w:rFonts w:ascii="Arial" w:hAnsi="Arial" w:cs="Arial"/>
        </w:rPr>
        <w:t xml:space="preserve"> are based on the needs i</w:t>
      </w:r>
      <w:r w:rsidR="00EE4E51" w:rsidRPr="005E0053">
        <w:rPr>
          <w:rFonts w:ascii="Arial" w:hAnsi="Arial" w:cs="Arial"/>
        </w:rPr>
        <w:t>dentified in the review of 2015</w:t>
      </w:r>
      <w:r w:rsidR="007C549E" w:rsidRPr="005E0053">
        <w:rPr>
          <w:rFonts w:ascii="Arial" w:hAnsi="Arial" w:cs="Arial"/>
        </w:rPr>
        <w:t>–16 CAASPP data.</w:t>
      </w:r>
    </w:p>
    <w:p w14:paraId="1D7F1E83" w14:textId="77777777" w:rsidR="006143B6" w:rsidRDefault="006143B6" w:rsidP="00857299">
      <w:pPr>
        <w:pStyle w:val="Heading6"/>
        <w:spacing w:before="120" w:after="240"/>
        <w:jc w:val="center"/>
      </w:pPr>
      <w:r w:rsidRPr="00EF603E">
        <w:t>GOAL AREA: Overall ELA Achievement</w:t>
      </w:r>
      <w:r w:rsidRPr="00EF603E">
        <w:rPr>
          <w:rStyle w:val="FootnoteReference"/>
          <w:rFonts w:cs="Arial"/>
          <w:b w:val="0"/>
        </w:rPr>
        <w:footnoteReference w:id="11"/>
      </w:r>
    </w:p>
    <w:p w14:paraId="30C240FC" w14:textId="77777777" w:rsidR="001A6754" w:rsidRDefault="00293BAF" w:rsidP="00857299">
      <w:pPr>
        <w:pStyle w:val="Heading6"/>
        <w:spacing w:before="0"/>
      </w:pPr>
      <w:bookmarkStart w:id="24" w:name="_Toc101961096"/>
      <w:r w:rsidRPr="005E0053">
        <w:t xml:space="preserve">Table </w:t>
      </w:r>
      <w:fldSimple w:instr=" SEQ Table \* ARABIC ">
        <w:r w:rsidR="00791A0A">
          <w:rPr>
            <w:noProof/>
          </w:rPr>
          <w:t>4</w:t>
        </w:r>
      </w:fldSimple>
      <w:r w:rsidRPr="005E0053">
        <w:t>. Data Summary, Concern Statement</w:t>
      </w:r>
      <w:r w:rsidR="00960389" w:rsidRPr="005E0053">
        <w:t>,</w:t>
      </w:r>
      <w:r w:rsidRPr="005E0053">
        <w:t xml:space="preserve"> and Need Statement for Overall English Language Arts Achievement</w:t>
      </w:r>
      <w:bookmarkEnd w:id="24"/>
    </w:p>
    <w:tbl>
      <w:tblPr>
        <w:tblStyle w:val="GridTable4-Accent5"/>
        <w:tblW w:w="0" w:type="auto"/>
        <w:tblLook w:val="0420" w:firstRow="1" w:lastRow="0" w:firstColumn="0" w:lastColumn="0" w:noHBand="0" w:noVBand="1"/>
        <w:tblDescription w:val="Data Summary, Concern Statement, and Need Statement for Overall English Language Arts Achievement"/>
      </w:tblPr>
      <w:tblGrid>
        <w:gridCol w:w="4518"/>
        <w:gridCol w:w="2700"/>
        <w:gridCol w:w="2132"/>
      </w:tblGrid>
      <w:tr w:rsidR="00791A0A" w:rsidRPr="00F62746" w14:paraId="72ACA538"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4518" w:type="dxa"/>
            <w:tcBorders>
              <w:right w:val="single" w:sz="4" w:space="0" w:color="5B9BD5" w:themeColor="accent1"/>
            </w:tcBorders>
            <w:shd w:val="clear" w:color="auto" w:fill="1F3864" w:themeFill="accent5" w:themeFillShade="80"/>
            <w:vAlign w:val="center"/>
          </w:tcPr>
          <w:p w14:paraId="2743E2A2" w14:textId="77777777" w:rsidR="00791A0A" w:rsidRPr="00F62746" w:rsidRDefault="00791A0A" w:rsidP="00E53F38">
            <w:pPr>
              <w:jc w:val="center"/>
              <w:rPr>
                <w:rFonts w:ascii="Arial" w:hAnsi="Arial" w:cs="Arial"/>
                <w:b w:val="0"/>
                <w:color w:val="FFFFFF"/>
              </w:rPr>
            </w:pPr>
            <w:r w:rsidRPr="00F62746">
              <w:rPr>
                <w:rFonts w:ascii="Arial" w:hAnsi="Arial" w:cs="Arial"/>
                <w:color w:val="FFFFFF"/>
              </w:rPr>
              <w:t>Data Summary:</w:t>
            </w:r>
          </w:p>
          <w:p w14:paraId="725A2795" w14:textId="77777777" w:rsidR="00791A0A" w:rsidRPr="00F62746" w:rsidRDefault="00791A0A" w:rsidP="00E53F38">
            <w:pPr>
              <w:jc w:val="center"/>
              <w:rPr>
                <w:color w:val="FFFFFF"/>
              </w:rPr>
            </w:pPr>
            <w:r w:rsidRPr="00F62746">
              <w:rPr>
                <w:rFonts w:ascii="Arial" w:hAnsi="Arial" w:cs="Arial"/>
                <w:color w:val="FFFFFF"/>
              </w:rPr>
              <w:t>2015–16 CAASSP ELA Achievement</w:t>
            </w:r>
          </w:p>
        </w:tc>
        <w:tc>
          <w:tcPr>
            <w:tcW w:w="2700" w:type="dxa"/>
            <w:tcBorders>
              <w:left w:val="single" w:sz="4" w:space="0" w:color="5B9BD5" w:themeColor="accent1"/>
              <w:right w:val="single" w:sz="4" w:space="0" w:color="5B9BD5" w:themeColor="accent1"/>
            </w:tcBorders>
            <w:shd w:val="clear" w:color="auto" w:fill="1F3864" w:themeFill="accent5" w:themeFillShade="80"/>
            <w:vAlign w:val="center"/>
          </w:tcPr>
          <w:p w14:paraId="07AD6AF4" w14:textId="77777777" w:rsidR="00791A0A" w:rsidRPr="00F62746" w:rsidRDefault="00791A0A" w:rsidP="00E53F38">
            <w:pPr>
              <w:jc w:val="center"/>
              <w:rPr>
                <w:color w:val="FFFFFF"/>
              </w:rPr>
            </w:pPr>
            <w:r w:rsidRPr="00F62746">
              <w:rPr>
                <w:rFonts w:ascii="Arial" w:hAnsi="Arial" w:cs="Arial"/>
                <w:color w:val="FFFFFF"/>
              </w:rPr>
              <w:t>Concern Statement</w:t>
            </w:r>
          </w:p>
        </w:tc>
        <w:tc>
          <w:tcPr>
            <w:tcW w:w="2132" w:type="dxa"/>
            <w:tcBorders>
              <w:left w:val="single" w:sz="4" w:space="0" w:color="5B9BD5" w:themeColor="accent1"/>
            </w:tcBorders>
            <w:shd w:val="clear" w:color="auto" w:fill="1F3864" w:themeFill="accent5" w:themeFillShade="80"/>
            <w:vAlign w:val="center"/>
          </w:tcPr>
          <w:p w14:paraId="22ECD4CE" w14:textId="77777777" w:rsidR="00791A0A" w:rsidRPr="00F62746" w:rsidRDefault="00791A0A" w:rsidP="00E53F38">
            <w:pPr>
              <w:jc w:val="center"/>
              <w:rPr>
                <w:color w:val="FFFFFF"/>
              </w:rPr>
            </w:pPr>
            <w:r w:rsidRPr="00F62746">
              <w:rPr>
                <w:rFonts w:ascii="Arial" w:hAnsi="Arial" w:cs="Arial"/>
                <w:color w:val="FFFFFF"/>
              </w:rPr>
              <w:t>Need Statement</w:t>
            </w:r>
          </w:p>
        </w:tc>
      </w:tr>
      <w:tr w:rsidR="00791A0A" w:rsidRPr="00F62746" w14:paraId="1E10E093"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4518" w:type="dxa"/>
          </w:tcPr>
          <w:p w14:paraId="644B52FF" w14:textId="77777777" w:rsidR="00791A0A" w:rsidRPr="00F62746" w:rsidRDefault="00791A0A" w:rsidP="007D443E">
            <w:pPr>
              <w:pStyle w:val="ListParagraph"/>
              <w:numPr>
                <w:ilvl w:val="0"/>
                <w:numId w:val="25"/>
              </w:numPr>
              <w:ind w:left="328"/>
              <w:rPr>
                <w:rFonts w:ascii="Arial" w:hAnsi="Arial" w:cs="Arial"/>
              </w:rPr>
            </w:pPr>
            <w:r w:rsidRPr="00F62746">
              <w:rPr>
                <w:rFonts w:ascii="Arial" w:hAnsi="Arial" w:cs="Arial"/>
                <w:b/>
              </w:rPr>
              <w:t>Migratory Students:</w:t>
            </w:r>
            <w:r w:rsidRPr="00F62746">
              <w:rPr>
                <w:rFonts w:ascii="Arial" w:hAnsi="Arial" w:cs="Arial"/>
              </w:rPr>
              <w:t xml:space="preserve"> 24 percent met or exceeded the standard.</w:t>
            </w:r>
          </w:p>
          <w:p w14:paraId="38BBF201" w14:textId="77777777" w:rsidR="00791A0A" w:rsidRPr="00F62746" w:rsidRDefault="00791A0A" w:rsidP="007D443E">
            <w:pPr>
              <w:pStyle w:val="ListParagraph"/>
              <w:numPr>
                <w:ilvl w:val="0"/>
                <w:numId w:val="25"/>
              </w:numPr>
              <w:ind w:left="328"/>
              <w:rPr>
                <w:rFonts w:ascii="Arial" w:hAnsi="Arial" w:cs="Arial"/>
              </w:rPr>
            </w:pPr>
            <w:r w:rsidRPr="00F62746">
              <w:rPr>
                <w:rFonts w:ascii="Arial" w:hAnsi="Arial" w:cs="Arial"/>
                <w:b/>
              </w:rPr>
              <w:t>Migratory PFS Students:</w:t>
            </w:r>
            <w:r w:rsidRPr="00F62746">
              <w:rPr>
                <w:rFonts w:ascii="Arial" w:hAnsi="Arial" w:cs="Arial"/>
              </w:rPr>
              <w:t xml:space="preserve"> 11 percent met or exceeded the standard.</w:t>
            </w:r>
          </w:p>
          <w:p w14:paraId="1D3FE363" w14:textId="77777777" w:rsidR="00791A0A" w:rsidRPr="00F62746" w:rsidRDefault="00791A0A" w:rsidP="007D443E">
            <w:pPr>
              <w:pStyle w:val="ListParagraph"/>
              <w:numPr>
                <w:ilvl w:val="0"/>
                <w:numId w:val="25"/>
              </w:numPr>
              <w:ind w:left="328"/>
              <w:rPr>
                <w:rFonts w:ascii="Arial" w:hAnsi="Arial" w:cs="Arial"/>
              </w:rPr>
            </w:pPr>
            <w:r w:rsidRPr="00F62746">
              <w:rPr>
                <w:rFonts w:ascii="Arial" w:hAnsi="Arial" w:cs="Arial"/>
                <w:b/>
              </w:rPr>
              <w:t>All Students:</w:t>
            </w:r>
            <w:r w:rsidRPr="00F62746">
              <w:rPr>
                <w:rFonts w:ascii="Arial" w:hAnsi="Arial" w:cs="Arial"/>
              </w:rPr>
              <w:t xml:space="preserve"> 49 percent scored at Level 3 - Standard Met and Level 4 – Standard Exceeded.</w:t>
            </w:r>
          </w:p>
          <w:p w14:paraId="37030A55" w14:textId="77777777" w:rsidR="00791A0A" w:rsidRPr="00F62746" w:rsidRDefault="00791A0A" w:rsidP="007D443E">
            <w:pPr>
              <w:pStyle w:val="ListParagraph"/>
              <w:numPr>
                <w:ilvl w:val="0"/>
                <w:numId w:val="25"/>
              </w:numPr>
              <w:ind w:left="328"/>
              <w:rPr>
                <w:rFonts w:ascii="Arial" w:hAnsi="Arial" w:cs="Arial"/>
              </w:rPr>
            </w:pPr>
            <w:r w:rsidRPr="00F62746">
              <w:rPr>
                <w:rFonts w:ascii="Arial" w:hAnsi="Arial" w:cs="Arial"/>
              </w:rPr>
              <w:t>The overall achievement gap between Migratory and All Students is 25 percentage points, while the gap widens when comparing Migratory PFS and All Students to 38 percentage points.</w:t>
            </w:r>
          </w:p>
        </w:tc>
        <w:tc>
          <w:tcPr>
            <w:tcW w:w="2700" w:type="dxa"/>
          </w:tcPr>
          <w:p w14:paraId="0AB02FA8" w14:textId="77777777" w:rsidR="00791A0A" w:rsidRPr="00F62746" w:rsidRDefault="00791A0A" w:rsidP="00F84410">
            <w:r w:rsidRPr="00F62746">
              <w:rPr>
                <w:rFonts w:ascii="Arial" w:hAnsi="Arial" w:cs="Arial"/>
              </w:rPr>
              <w:t>We are concerned that the majority of Migratory Students are performing at Below Standard in overall ELA achievement.</w:t>
            </w:r>
          </w:p>
        </w:tc>
        <w:tc>
          <w:tcPr>
            <w:tcW w:w="2132" w:type="dxa"/>
          </w:tcPr>
          <w:p w14:paraId="2420EC2B" w14:textId="77777777" w:rsidR="00791A0A" w:rsidRPr="00F62746" w:rsidRDefault="00791A0A" w:rsidP="00F84410">
            <w:r w:rsidRPr="00F62746">
              <w:rPr>
                <w:rFonts w:ascii="Arial" w:hAnsi="Arial" w:cs="Arial"/>
              </w:rPr>
              <w:t>An additional 25 percent of Migratory Students need to meet or exceed the ELA standards.</w:t>
            </w:r>
          </w:p>
        </w:tc>
      </w:tr>
    </w:tbl>
    <w:p w14:paraId="08842EAA" w14:textId="77777777" w:rsidR="006143B6" w:rsidRDefault="009677C8" w:rsidP="006143B6">
      <w:pPr>
        <w:pStyle w:val="Heading6"/>
        <w:spacing w:before="0"/>
        <w:jc w:val="center"/>
      </w:pPr>
      <w:r>
        <w:br w:type="page"/>
      </w:r>
      <w:r w:rsidR="006143B6" w:rsidRPr="00D7247F">
        <w:lastRenderedPageBreak/>
        <w:t xml:space="preserve">GOAL AREA: Claim 1 </w:t>
      </w:r>
      <w:r w:rsidR="006143B6">
        <w:t>–</w:t>
      </w:r>
      <w:r w:rsidR="006143B6" w:rsidRPr="00D7247F">
        <w:t xml:space="preserve"> Reading</w:t>
      </w:r>
    </w:p>
    <w:p w14:paraId="51FED944" w14:textId="77777777" w:rsidR="009C48A3" w:rsidRDefault="009C48A3" w:rsidP="006143B6">
      <w:pPr>
        <w:pStyle w:val="Heading6"/>
        <w:spacing w:before="120"/>
      </w:pPr>
      <w:bookmarkStart w:id="25" w:name="_Toc101961097"/>
      <w:r w:rsidRPr="005E0053">
        <w:t xml:space="preserve">Table </w:t>
      </w:r>
      <w:fldSimple w:instr=" SEQ Table \* ARABIC ">
        <w:r w:rsidR="00791A0A">
          <w:rPr>
            <w:noProof/>
          </w:rPr>
          <w:t>5</w:t>
        </w:r>
      </w:fldSimple>
      <w:r w:rsidRPr="005E0053">
        <w:t>. Data Summ</w:t>
      </w:r>
      <w:r w:rsidR="00960389" w:rsidRPr="005E0053">
        <w:t>ary, Concern Statement, and Need</w:t>
      </w:r>
      <w:r w:rsidRPr="005E0053">
        <w:t xml:space="preserve"> Statement for Claim 1 - Reading Achievement</w:t>
      </w:r>
      <w:bookmarkEnd w:id="25"/>
    </w:p>
    <w:tbl>
      <w:tblPr>
        <w:tblStyle w:val="GridTable4-Accent5"/>
        <w:tblW w:w="0" w:type="auto"/>
        <w:tblLook w:val="0420" w:firstRow="1" w:lastRow="0" w:firstColumn="0" w:lastColumn="0" w:noHBand="0" w:noVBand="1"/>
        <w:tblDescription w:val="Data Summary, Concern Statement, and Need Statement for Claim 1 - Reading Achievement"/>
      </w:tblPr>
      <w:tblGrid>
        <w:gridCol w:w="4474"/>
        <w:gridCol w:w="2552"/>
        <w:gridCol w:w="2324"/>
      </w:tblGrid>
      <w:tr w:rsidR="00455E68" w:rsidRPr="00455E68" w14:paraId="52C9129B" w14:textId="77777777" w:rsidTr="00666FB3">
        <w:trPr>
          <w:cnfStyle w:val="100000000000" w:firstRow="1" w:lastRow="0" w:firstColumn="0" w:lastColumn="0" w:oddVBand="0" w:evenVBand="0" w:oddHBand="0" w:evenHBand="0" w:firstRowFirstColumn="0" w:firstRowLastColumn="0" w:lastRowFirstColumn="0" w:lastRowLastColumn="0"/>
          <w:cantSplit/>
          <w:tblHeader/>
        </w:trPr>
        <w:tc>
          <w:tcPr>
            <w:tcW w:w="4608" w:type="dxa"/>
            <w:tcBorders>
              <w:right w:val="single" w:sz="4" w:space="0" w:color="5B9BD5" w:themeColor="accent1"/>
            </w:tcBorders>
            <w:shd w:val="clear" w:color="auto" w:fill="1F3864" w:themeFill="accent5" w:themeFillShade="80"/>
          </w:tcPr>
          <w:p w14:paraId="38E1F7AB" w14:textId="77777777" w:rsidR="00D7247F" w:rsidRPr="00455E68" w:rsidRDefault="00D7247F" w:rsidP="00455E68">
            <w:pPr>
              <w:jc w:val="center"/>
              <w:rPr>
                <w:color w:val="FFFFFF"/>
              </w:rPr>
            </w:pPr>
            <w:r w:rsidRPr="00455E68">
              <w:rPr>
                <w:rFonts w:ascii="Arial" w:hAnsi="Arial" w:cs="Arial"/>
                <w:color w:val="FFFFFF"/>
              </w:rPr>
              <w:t>Data Summary: 2015–16 CAASSP Claim 1 – Reading</w:t>
            </w:r>
          </w:p>
        </w:tc>
        <w:tc>
          <w:tcPr>
            <w:tcW w:w="2610" w:type="dxa"/>
            <w:tcBorders>
              <w:left w:val="single" w:sz="4" w:space="0" w:color="5B9BD5" w:themeColor="accent1"/>
              <w:right w:val="single" w:sz="4" w:space="0" w:color="5B9BD5" w:themeColor="accent1"/>
            </w:tcBorders>
            <w:shd w:val="clear" w:color="auto" w:fill="1F3864" w:themeFill="accent5" w:themeFillShade="80"/>
            <w:vAlign w:val="center"/>
          </w:tcPr>
          <w:p w14:paraId="4FE73F86" w14:textId="77777777" w:rsidR="00D7247F" w:rsidRPr="00455E68" w:rsidRDefault="00D7247F" w:rsidP="00666FB3">
            <w:pPr>
              <w:jc w:val="center"/>
              <w:rPr>
                <w:color w:val="FFFFFF"/>
              </w:rPr>
            </w:pPr>
            <w:r w:rsidRPr="00455E68">
              <w:rPr>
                <w:rFonts w:ascii="Arial" w:hAnsi="Arial" w:cs="Arial"/>
                <w:color w:val="FFFFFF"/>
              </w:rPr>
              <w:t>Concern Statement</w:t>
            </w:r>
          </w:p>
        </w:tc>
        <w:tc>
          <w:tcPr>
            <w:tcW w:w="2358" w:type="dxa"/>
            <w:tcBorders>
              <w:left w:val="single" w:sz="4" w:space="0" w:color="5B9BD5" w:themeColor="accent1"/>
            </w:tcBorders>
            <w:shd w:val="clear" w:color="auto" w:fill="1F3864" w:themeFill="accent5" w:themeFillShade="80"/>
            <w:vAlign w:val="center"/>
          </w:tcPr>
          <w:p w14:paraId="757CE0CD" w14:textId="77777777" w:rsidR="00D7247F" w:rsidRPr="00455E68" w:rsidRDefault="00D7247F" w:rsidP="00666FB3">
            <w:pPr>
              <w:jc w:val="center"/>
              <w:rPr>
                <w:color w:val="FFFFFF"/>
              </w:rPr>
            </w:pPr>
            <w:r w:rsidRPr="00455E68">
              <w:rPr>
                <w:rFonts w:ascii="Arial" w:hAnsi="Arial" w:cs="Arial"/>
                <w:color w:val="FFFFFF"/>
              </w:rPr>
              <w:t>Need Statement</w:t>
            </w:r>
          </w:p>
        </w:tc>
      </w:tr>
      <w:tr w:rsidR="00455E68" w14:paraId="1334E586"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4608" w:type="dxa"/>
          </w:tcPr>
          <w:p w14:paraId="06DBA126" w14:textId="77777777" w:rsidR="00D7247F" w:rsidRPr="00455E68" w:rsidRDefault="00D7247F" w:rsidP="00455E68">
            <w:pPr>
              <w:pStyle w:val="ListParagraph"/>
              <w:numPr>
                <w:ilvl w:val="0"/>
                <w:numId w:val="11"/>
              </w:numPr>
              <w:ind w:left="360"/>
              <w:contextualSpacing w:val="0"/>
              <w:rPr>
                <w:rFonts w:ascii="Arial" w:hAnsi="Arial" w:cs="Arial"/>
              </w:rPr>
            </w:pPr>
            <w:r w:rsidRPr="00455E68">
              <w:rPr>
                <w:rFonts w:ascii="Arial" w:hAnsi="Arial" w:cs="Arial"/>
                <w:b/>
              </w:rPr>
              <w:t>Migratory Students:</w:t>
            </w:r>
            <w:r w:rsidRPr="00455E68">
              <w:rPr>
                <w:rFonts w:ascii="Arial" w:hAnsi="Arial" w:cs="Arial"/>
              </w:rPr>
              <w:t xml:space="preserve"> 45 percent performed at Near or Above Standard.</w:t>
            </w:r>
          </w:p>
          <w:p w14:paraId="32C1E44E" w14:textId="77777777" w:rsidR="00D7247F" w:rsidRPr="00455E68" w:rsidRDefault="00D7247F" w:rsidP="00455E68">
            <w:pPr>
              <w:pStyle w:val="ListParagraph"/>
              <w:numPr>
                <w:ilvl w:val="0"/>
                <w:numId w:val="11"/>
              </w:numPr>
              <w:ind w:left="360"/>
              <w:contextualSpacing w:val="0"/>
              <w:rPr>
                <w:rFonts w:ascii="Arial" w:hAnsi="Arial" w:cs="Arial"/>
              </w:rPr>
            </w:pPr>
            <w:r w:rsidRPr="00455E68">
              <w:rPr>
                <w:rFonts w:ascii="Arial" w:hAnsi="Arial" w:cs="Arial"/>
                <w:b/>
              </w:rPr>
              <w:t>Migratory PFS Students:</w:t>
            </w:r>
            <w:r w:rsidRPr="00455E68">
              <w:rPr>
                <w:rFonts w:ascii="Arial" w:hAnsi="Arial" w:cs="Arial"/>
              </w:rPr>
              <w:t xml:space="preserve"> 34 percent scored Near or Above Standard.</w:t>
            </w:r>
          </w:p>
          <w:p w14:paraId="53605256" w14:textId="77777777" w:rsidR="00D7247F" w:rsidRPr="00455E68" w:rsidRDefault="00D7247F" w:rsidP="00455E68">
            <w:pPr>
              <w:pStyle w:val="ListParagraph"/>
              <w:numPr>
                <w:ilvl w:val="0"/>
                <w:numId w:val="11"/>
              </w:numPr>
              <w:ind w:left="360"/>
              <w:contextualSpacing w:val="0"/>
              <w:rPr>
                <w:rFonts w:ascii="Arial" w:hAnsi="Arial" w:cs="Arial"/>
              </w:rPr>
            </w:pPr>
            <w:r w:rsidRPr="00455E68">
              <w:rPr>
                <w:rFonts w:ascii="Arial" w:hAnsi="Arial" w:cs="Arial"/>
                <w:b/>
              </w:rPr>
              <w:t>All Students:</w:t>
            </w:r>
            <w:r w:rsidRPr="00455E68">
              <w:rPr>
                <w:rFonts w:ascii="Arial" w:hAnsi="Arial" w:cs="Arial"/>
              </w:rPr>
              <w:t xml:space="preserve"> 67 percent scored at Near or Above Standard.</w:t>
            </w:r>
          </w:p>
          <w:p w14:paraId="31438A74" w14:textId="77777777" w:rsidR="00D7247F" w:rsidRPr="00455E68" w:rsidRDefault="00D7247F" w:rsidP="00455E68">
            <w:pPr>
              <w:pStyle w:val="ListParagraph"/>
              <w:numPr>
                <w:ilvl w:val="0"/>
                <w:numId w:val="11"/>
              </w:numPr>
              <w:ind w:left="360"/>
              <w:contextualSpacing w:val="0"/>
              <w:rPr>
                <w:rFonts w:ascii="Arial" w:hAnsi="Arial" w:cs="Arial"/>
              </w:rPr>
            </w:pPr>
            <w:r w:rsidRPr="00455E68">
              <w:rPr>
                <w:rFonts w:ascii="Arial" w:hAnsi="Arial" w:cs="Arial"/>
              </w:rPr>
              <w:t>The gap between Migratory and All Students who perform Near or Above Standard is 22 percentage points.</w:t>
            </w:r>
          </w:p>
          <w:p w14:paraId="07235C7C" w14:textId="77777777" w:rsidR="00D7247F" w:rsidRPr="00455E68" w:rsidRDefault="00D7247F" w:rsidP="00455E68">
            <w:pPr>
              <w:pStyle w:val="ListParagraph"/>
              <w:numPr>
                <w:ilvl w:val="0"/>
                <w:numId w:val="11"/>
              </w:numPr>
              <w:ind w:left="360"/>
              <w:contextualSpacing w:val="0"/>
              <w:rPr>
                <w:rFonts w:ascii="Arial" w:hAnsi="Arial" w:cs="Arial"/>
              </w:rPr>
            </w:pPr>
            <w:r w:rsidRPr="00455E68">
              <w:rPr>
                <w:rFonts w:ascii="Arial" w:hAnsi="Arial" w:cs="Arial"/>
              </w:rPr>
              <w:t>The gap between Migratory PFS and All Students who perform Near or Above Standard is 33 percentage points.</w:t>
            </w:r>
          </w:p>
        </w:tc>
        <w:tc>
          <w:tcPr>
            <w:tcW w:w="2610" w:type="dxa"/>
          </w:tcPr>
          <w:p w14:paraId="729FBA70" w14:textId="77777777" w:rsidR="00D7247F" w:rsidRDefault="00D7247F" w:rsidP="00D7247F">
            <w:r w:rsidRPr="00455E68">
              <w:rPr>
                <w:rFonts w:ascii="Arial" w:hAnsi="Arial" w:cs="Arial"/>
              </w:rPr>
              <w:t>We are concerned that the majority of migratory students are performing Below Standard in reading.</w:t>
            </w:r>
          </w:p>
        </w:tc>
        <w:tc>
          <w:tcPr>
            <w:tcW w:w="2358" w:type="dxa"/>
          </w:tcPr>
          <w:p w14:paraId="74C06022" w14:textId="77777777" w:rsidR="00D7247F" w:rsidRDefault="00D7247F" w:rsidP="00D7247F">
            <w:r w:rsidRPr="00455E68">
              <w:rPr>
                <w:rFonts w:ascii="Arial" w:hAnsi="Arial" w:cs="Arial"/>
              </w:rPr>
              <w:t>An additional 22 percent of Migratory Students need to score Near or Above Standard in reading achievement.</w:t>
            </w:r>
          </w:p>
        </w:tc>
      </w:tr>
    </w:tbl>
    <w:p w14:paraId="6F56122E" w14:textId="77777777" w:rsidR="006143B6" w:rsidRDefault="006143B6" w:rsidP="006143B6">
      <w:pPr>
        <w:pStyle w:val="Heading6"/>
        <w:jc w:val="center"/>
      </w:pPr>
      <w:r w:rsidRPr="00D7247F">
        <w:t xml:space="preserve">GOAL AREA: Claim 2 </w:t>
      </w:r>
      <w:r>
        <w:t>–</w:t>
      </w:r>
      <w:r w:rsidRPr="00D7247F">
        <w:t xml:space="preserve"> Writing</w:t>
      </w:r>
    </w:p>
    <w:p w14:paraId="54045A02" w14:textId="77777777" w:rsidR="009C48A3" w:rsidRDefault="009C48A3" w:rsidP="006143B6">
      <w:pPr>
        <w:pStyle w:val="Heading6"/>
        <w:spacing w:before="120"/>
      </w:pPr>
      <w:bookmarkStart w:id="26" w:name="_Toc101961098"/>
      <w:r w:rsidRPr="005E0053">
        <w:t xml:space="preserve">Table </w:t>
      </w:r>
      <w:fldSimple w:instr=" SEQ Table \* ARABIC ">
        <w:r w:rsidR="00791A0A">
          <w:rPr>
            <w:noProof/>
          </w:rPr>
          <w:t>6</w:t>
        </w:r>
      </w:fldSimple>
      <w:r w:rsidRPr="005E0053">
        <w:t>. Data Summary, Concern Statement</w:t>
      </w:r>
      <w:r w:rsidR="00960389" w:rsidRPr="005E0053">
        <w:t>, and Need</w:t>
      </w:r>
      <w:r w:rsidRPr="005E0053">
        <w:t xml:space="preserve"> Statement for Claim 2 </w:t>
      </w:r>
      <w:r w:rsidR="00D7247F">
        <w:t>–</w:t>
      </w:r>
      <w:r w:rsidRPr="005E0053">
        <w:t xml:space="preserve"> Writing</w:t>
      </w:r>
      <w:bookmarkEnd w:id="26"/>
    </w:p>
    <w:tbl>
      <w:tblPr>
        <w:tblStyle w:val="GridTable4-Accent5"/>
        <w:tblW w:w="0" w:type="auto"/>
        <w:tblLook w:val="0420" w:firstRow="1" w:lastRow="0" w:firstColumn="0" w:lastColumn="0" w:noHBand="0" w:noVBand="1"/>
        <w:tblDescription w:val="Data Summary, Concern Statement, and Need Statement for Claim 2 – Writing"/>
      </w:tblPr>
      <w:tblGrid>
        <w:gridCol w:w="4481"/>
        <w:gridCol w:w="2555"/>
        <w:gridCol w:w="2314"/>
      </w:tblGrid>
      <w:tr w:rsidR="00455E68" w:rsidRPr="00455E68" w14:paraId="4C8390BD" w14:textId="77777777" w:rsidTr="00666FB3">
        <w:trPr>
          <w:cnfStyle w:val="100000000000" w:firstRow="1" w:lastRow="0" w:firstColumn="0" w:lastColumn="0" w:oddVBand="0" w:evenVBand="0" w:oddHBand="0" w:evenHBand="0" w:firstRowFirstColumn="0" w:firstRowLastColumn="0" w:lastRowFirstColumn="0" w:lastRowLastColumn="0"/>
          <w:cantSplit/>
          <w:tblHeader/>
        </w:trPr>
        <w:tc>
          <w:tcPr>
            <w:tcW w:w="4608" w:type="dxa"/>
            <w:tcBorders>
              <w:right w:val="single" w:sz="4" w:space="0" w:color="5B9BD5" w:themeColor="accent1"/>
            </w:tcBorders>
            <w:shd w:val="clear" w:color="auto" w:fill="1F3864" w:themeFill="accent5" w:themeFillShade="80"/>
          </w:tcPr>
          <w:p w14:paraId="45FDDCC3" w14:textId="77777777" w:rsidR="00D7247F" w:rsidRPr="00455E68" w:rsidRDefault="00D7247F" w:rsidP="00455E68">
            <w:pPr>
              <w:jc w:val="center"/>
              <w:rPr>
                <w:rFonts w:ascii="Arial" w:hAnsi="Arial" w:cs="Arial"/>
                <w:b w:val="0"/>
                <w:color w:val="FFFFFF"/>
              </w:rPr>
            </w:pPr>
            <w:r w:rsidRPr="00455E68">
              <w:rPr>
                <w:rFonts w:ascii="Arial" w:hAnsi="Arial" w:cs="Arial"/>
                <w:color w:val="FFFFFF"/>
              </w:rPr>
              <w:t>Data Summary:</w:t>
            </w:r>
          </w:p>
          <w:p w14:paraId="370AFD1B" w14:textId="77777777" w:rsidR="00D7247F" w:rsidRPr="00455E68" w:rsidRDefault="00D7247F" w:rsidP="00455E68">
            <w:pPr>
              <w:jc w:val="center"/>
              <w:rPr>
                <w:color w:val="FFFFFF"/>
              </w:rPr>
            </w:pPr>
            <w:r w:rsidRPr="00455E68">
              <w:rPr>
                <w:rFonts w:ascii="Arial" w:hAnsi="Arial" w:cs="Arial"/>
                <w:color w:val="FFFFFF"/>
              </w:rPr>
              <w:t>2015–16 CAASSP Claim 2 – Writing</w:t>
            </w:r>
          </w:p>
        </w:tc>
        <w:tc>
          <w:tcPr>
            <w:tcW w:w="2610" w:type="dxa"/>
            <w:tcBorders>
              <w:left w:val="single" w:sz="4" w:space="0" w:color="5B9BD5" w:themeColor="accent1"/>
              <w:right w:val="single" w:sz="4" w:space="0" w:color="5B9BD5" w:themeColor="accent1"/>
            </w:tcBorders>
            <w:shd w:val="clear" w:color="auto" w:fill="1F3864" w:themeFill="accent5" w:themeFillShade="80"/>
            <w:vAlign w:val="center"/>
          </w:tcPr>
          <w:p w14:paraId="3B9CCD99" w14:textId="77777777" w:rsidR="00D7247F" w:rsidRPr="00455E68" w:rsidRDefault="00D7247F" w:rsidP="00666FB3">
            <w:pPr>
              <w:jc w:val="center"/>
              <w:rPr>
                <w:color w:val="FFFFFF"/>
              </w:rPr>
            </w:pPr>
            <w:r w:rsidRPr="00455E68">
              <w:rPr>
                <w:rFonts w:ascii="Arial" w:hAnsi="Arial" w:cs="Arial"/>
                <w:color w:val="FFFFFF"/>
              </w:rPr>
              <w:t>Concern Statement</w:t>
            </w:r>
          </w:p>
        </w:tc>
        <w:tc>
          <w:tcPr>
            <w:tcW w:w="2358" w:type="dxa"/>
            <w:tcBorders>
              <w:left w:val="single" w:sz="4" w:space="0" w:color="5B9BD5" w:themeColor="accent1"/>
            </w:tcBorders>
            <w:shd w:val="clear" w:color="auto" w:fill="1F3864" w:themeFill="accent5" w:themeFillShade="80"/>
            <w:vAlign w:val="center"/>
          </w:tcPr>
          <w:p w14:paraId="098849CA" w14:textId="77777777" w:rsidR="00D7247F" w:rsidRPr="00455E68" w:rsidRDefault="00D7247F" w:rsidP="00666FB3">
            <w:pPr>
              <w:jc w:val="center"/>
              <w:rPr>
                <w:color w:val="FFFFFF"/>
              </w:rPr>
            </w:pPr>
            <w:r w:rsidRPr="00455E68">
              <w:rPr>
                <w:rFonts w:ascii="Arial" w:hAnsi="Arial" w:cs="Arial"/>
                <w:color w:val="FFFFFF"/>
              </w:rPr>
              <w:t>Need Statement</w:t>
            </w:r>
          </w:p>
        </w:tc>
      </w:tr>
      <w:tr w:rsidR="00455E68" w14:paraId="284303BF"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4608" w:type="dxa"/>
          </w:tcPr>
          <w:p w14:paraId="6E549200" w14:textId="77777777" w:rsidR="00D7247F" w:rsidRPr="00455E68" w:rsidRDefault="00D7247F" w:rsidP="00455E68">
            <w:pPr>
              <w:pStyle w:val="ListParagraph"/>
              <w:numPr>
                <w:ilvl w:val="0"/>
                <w:numId w:val="12"/>
              </w:numPr>
              <w:tabs>
                <w:tab w:val="clear" w:pos="720"/>
                <w:tab w:val="num" w:pos="360"/>
              </w:tabs>
              <w:ind w:left="360" w:hanging="290"/>
              <w:rPr>
                <w:rFonts w:ascii="Arial" w:hAnsi="Arial" w:cs="Arial"/>
              </w:rPr>
            </w:pPr>
            <w:r w:rsidRPr="00455E68">
              <w:rPr>
                <w:rFonts w:ascii="Arial" w:hAnsi="Arial" w:cs="Arial"/>
                <w:b/>
              </w:rPr>
              <w:t>Migratory Students:</w:t>
            </w:r>
            <w:r w:rsidRPr="00455E68">
              <w:rPr>
                <w:rFonts w:ascii="Arial" w:hAnsi="Arial" w:cs="Arial"/>
              </w:rPr>
              <w:t xml:space="preserve"> 50 percent scored Near or Above Standard.</w:t>
            </w:r>
          </w:p>
          <w:p w14:paraId="3D72070E" w14:textId="77777777" w:rsidR="00D7247F" w:rsidRPr="00455E68" w:rsidRDefault="00D7247F" w:rsidP="00455E68">
            <w:pPr>
              <w:pStyle w:val="ListParagraph"/>
              <w:numPr>
                <w:ilvl w:val="0"/>
                <w:numId w:val="12"/>
              </w:numPr>
              <w:tabs>
                <w:tab w:val="clear" w:pos="720"/>
                <w:tab w:val="num" w:pos="360"/>
              </w:tabs>
              <w:ind w:left="360" w:hanging="290"/>
              <w:rPr>
                <w:rFonts w:ascii="Arial" w:hAnsi="Arial" w:cs="Arial"/>
              </w:rPr>
            </w:pPr>
            <w:r w:rsidRPr="00455E68">
              <w:rPr>
                <w:rFonts w:ascii="Arial" w:hAnsi="Arial" w:cs="Arial"/>
                <w:b/>
              </w:rPr>
              <w:t>Migratory PFS Students:</w:t>
            </w:r>
            <w:r w:rsidRPr="00455E68">
              <w:rPr>
                <w:rFonts w:ascii="Arial" w:hAnsi="Arial" w:cs="Arial"/>
              </w:rPr>
              <w:t xml:space="preserve"> 35 percent scored Near Standard; only three percent are Above Standard.</w:t>
            </w:r>
          </w:p>
          <w:p w14:paraId="5A858411" w14:textId="77777777" w:rsidR="00D7247F" w:rsidRPr="00455E68" w:rsidRDefault="00D7247F" w:rsidP="00455E68">
            <w:pPr>
              <w:pStyle w:val="ListParagraph"/>
              <w:numPr>
                <w:ilvl w:val="0"/>
                <w:numId w:val="12"/>
              </w:numPr>
              <w:tabs>
                <w:tab w:val="clear" w:pos="720"/>
                <w:tab w:val="num" w:pos="360"/>
              </w:tabs>
              <w:ind w:left="360" w:hanging="290"/>
              <w:rPr>
                <w:rFonts w:ascii="Arial" w:hAnsi="Arial" w:cs="Arial"/>
              </w:rPr>
            </w:pPr>
            <w:r w:rsidRPr="00455E68">
              <w:rPr>
                <w:rFonts w:ascii="Arial" w:hAnsi="Arial" w:cs="Arial"/>
                <w:b/>
              </w:rPr>
              <w:t>All Students:</w:t>
            </w:r>
            <w:r w:rsidRPr="00455E68">
              <w:rPr>
                <w:rFonts w:ascii="Arial" w:hAnsi="Arial" w:cs="Arial"/>
              </w:rPr>
              <w:t xml:space="preserve"> 71 percent scored Near or Above Standard.</w:t>
            </w:r>
          </w:p>
          <w:p w14:paraId="4F28742A" w14:textId="77777777" w:rsidR="00D7247F" w:rsidRPr="00455E68" w:rsidRDefault="00D7247F" w:rsidP="00455E68">
            <w:pPr>
              <w:pStyle w:val="ListParagraph"/>
              <w:numPr>
                <w:ilvl w:val="0"/>
                <w:numId w:val="12"/>
              </w:numPr>
              <w:tabs>
                <w:tab w:val="num" w:pos="360"/>
              </w:tabs>
              <w:ind w:left="360" w:hanging="290"/>
              <w:rPr>
                <w:rFonts w:ascii="Arial" w:hAnsi="Arial" w:cs="Arial"/>
              </w:rPr>
            </w:pPr>
            <w:r w:rsidRPr="00455E68">
              <w:rPr>
                <w:rFonts w:ascii="Arial" w:hAnsi="Arial" w:cs="Arial"/>
              </w:rPr>
              <w:t>The gap between Migratory and All Students who perform Near or Above Standard is 21 percentage points.</w:t>
            </w:r>
          </w:p>
          <w:p w14:paraId="5DFD4FFD" w14:textId="77777777" w:rsidR="00D7247F" w:rsidRPr="00455E68" w:rsidRDefault="00D7247F" w:rsidP="00455E68">
            <w:pPr>
              <w:pStyle w:val="ListParagraph"/>
              <w:numPr>
                <w:ilvl w:val="0"/>
                <w:numId w:val="12"/>
              </w:numPr>
              <w:tabs>
                <w:tab w:val="num" w:pos="360"/>
              </w:tabs>
              <w:ind w:left="360" w:hanging="290"/>
              <w:rPr>
                <w:rFonts w:ascii="Arial" w:hAnsi="Arial" w:cs="Arial"/>
              </w:rPr>
            </w:pPr>
            <w:r w:rsidRPr="00455E68">
              <w:rPr>
                <w:rFonts w:ascii="Arial" w:hAnsi="Arial" w:cs="Arial"/>
              </w:rPr>
              <w:t xml:space="preserve">There is a </w:t>
            </w:r>
            <w:proofErr w:type="gramStart"/>
            <w:r w:rsidRPr="00455E68">
              <w:rPr>
                <w:rFonts w:ascii="Arial" w:hAnsi="Arial" w:cs="Arial"/>
              </w:rPr>
              <w:t>36 percentage</w:t>
            </w:r>
            <w:proofErr w:type="gramEnd"/>
            <w:r w:rsidRPr="00455E68">
              <w:rPr>
                <w:rFonts w:ascii="Arial" w:hAnsi="Arial" w:cs="Arial"/>
              </w:rPr>
              <w:t xml:space="preserve"> point difference between Migratory PFS and All Students scoring near or above standard.</w:t>
            </w:r>
          </w:p>
        </w:tc>
        <w:tc>
          <w:tcPr>
            <w:tcW w:w="2610" w:type="dxa"/>
          </w:tcPr>
          <w:p w14:paraId="59F289DB" w14:textId="77777777" w:rsidR="00D7247F" w:rsidRDefault="009677C8" w:rsidP="00D7247F">
            <w:r w:rsidRPr="00455E68">
              <w:rPr>
                <w:rFonts w:ascii="Arial" w:hAnsi="Arial" w:cs="Arial"/>
              </w:rPr>
              <w:t>We are concerned that the majority of migratory students are performing Below Standard in writing.</w:t>
            </w:r>
          </w:p>
        </w:tc>
        <w:tc>
          <w:tcPr>
            <w:tcW w:w="2358" w:type="dxa"/>
          </w:tcPr>
          <w:p w14:paraId="489F7472" w14:textId="77777777" w:rsidR="00D7247F" w:rsidRDefault="009677C8" w:rsidP="00D7247F">
            <w:r w:rsidRPr="00455E68">
              <w:rPr>
                <w:rFonts w:ascii="Arial" w:hAnsi="Arial" w:cs="Arial"/>
              </w:rPr>
              <w:t>An additional 21 percent of Migratory Students will move from Below Standard to Near or Above Standard in writing.</w:t>
            </w:r>
          </w:p>
        </w:tc>
      </w:tr>
    </w:tbl>
    <w:p w14:paraId="2DF3710F" w14:textId="77777777" w:rsidR="005814EB" w:rsidRPr="005E0053" w:rsidRDefault="005814EB" w:rsidP="00B45BD6">
      <w:pPr>
        <w:pStyle w:val="Heading5"/>
      </w:pPr>
      <w:bookmarkStart w:id="27" w:name="_Toc504520851"/>
      <w:r w:rsidRPr="005E0053">
        <w:lastRenderedPageBreak/>
        <w:t>Mathematics</w:t>
      </w:r>
      <w:bookmarkEnd w:id="27"/>
    </w:p>
    <w:p w14:paraId="6F45088A" w14:textId="77777777" w:rsidR="007C549E" w:rsidRPr="005E0053" w:rsidRDefault="007C549E" w:rsidP="00DD752E">
      <w:pPr>
        <w:rPr>
          <w:rFonts w:ascii="Arial" w:hAnsi="Arial" w:cs="Arial"/>
        </w:rPr>
      </w:pPr>
      <w:r w:rsidRPr="005E0053">
        <w:rPr>
          <w:rFonts w:ascii="Arial" w:hAnsi="Arial" w:cs="Arial"/>
        </w:rPr>
        <w:t xml:space="preserve">Similar to ELA, Students’ CAASPP mathematics scores are scored by overall mathematical achievement </w:t>
      </w:r>
      <w:r w:rsidR="000E2933" w:rsidRPr="005E0053">
        <w:rPr>
          <w:rFonts w:ascii="Arial" w:hAnsi="Arial" w:cs="Arial"/>
        </w:rPr>
        <w:t>with the same achievement levels (i.e., Level 1 – Standard Not Met, Level 2 – Standard Nearly Met, Level 3 – Standard Met</w:t>
      </w:r>
      <w:r w:rsidR="00960389" w:rsidRPr="005E0053">
        <w:rPr>
          <w:rFonts w:ascii="Arial" w:hAnsi="Arial" w:cs="Arial"/>
        </w:rPr>
        <w:t>,</w:t>
      </w:r>
      <w:r w:rsidR="000E2933" w:rsidRPr="005E0053">
        <w:rPr>
          <w:rFonts w:ascii="Arial" w:hAnsi="Arial" w:cs="Arial"/>
        </w:rPr>
        <w:t xml:space="preserve"> and Level 4 – Standard Exceeded). </w:t>
      </w:r>
      <w:r w:rsidRPr="005E0053">
        <w:rPr>
          <w:rFonts w:ascii="Arial" w:eastAsia="Times New Roman" w:hAnsi="Arial" w:cs="Arial"/>
        </w:rPr>
        <w:t>There are three claims</w:t>
      </w:r>
      <w:r w:rsidR="000E2933" w:rsidRPr="005E0053">
        <w:rPr>
          <w:rFonts w:ascii="Arial" w:eastAsia="Times New Roman" w:hAnsi="Arial" w:cs="Arial"/>
        </w:rPr>
        <w:t xml:space="preserve"> related to specific knowledge and skills</w:t>
      </w:r>
      <w:r w:rsidRPr="005E0053">
        <w:rPr>
          <w:rFonts w:ascii="Arial" w:eastAsia="Times New Roman" w:hAnsi="Arial" w:cs="Arial"/>
        </w:rPr>
        <w:t xml:space="preserve"> </w:t>
      </w:r>
      <w:r w:rsidR="000E2933" w:rsidRPr="005E0053">
        <w:rPr>
          <w:rFonts w:ascii="Arial" w:eastAsia="Times New Roman" w:hAnsi="Arial" w:cs="Arial"/>
        </w:rPr>
        <w:t>on the Smarter Balanced Assessment for math. They are</w:t>
      </w:r>
      <w:r w:rsidRPr="005E0053">
        <w:rPr>
          <w:rFonts w:ascii="Arial" w:eastAsia="Times New Roman" w:hAnsi="Arial" w:cs="Arial"/>
        </w:rPr>
        <w:t>:</w:t>
      </w:r>
      <w:r w:rsidR="00DD752E" w:rsidRPr="005E0053">
        <w:rPr>
          <w:rFonts w:ascii="Arial" w:eastAsia="Times New Roman" w:hAnsi="Arial" w:cs="Arial"/>
        </w:rPr>
        <w:t xml:space="preserve"> </w:t>
      </w:r>
      <w:r w:rsidR="005558C5" w:rsidRPr="005E0053">
        <w:rPr>
          <w:rFonts w:ascii="Arial" w:eastAsia="Times New Roman" w:hAnsi="Arial" w:cs="Arial"/>
        </w:rPr>
        <w:t>(</w:t>
      </w:r>
      <w:r w:rsidR="00DD752E" w:rsidRPr="005E0053">
        <w:rPr>
          <w:rFonts w:ascii="Arial" w:eastAsia="Times New Roman" w:hAnsi="Arial" w:cs="Arial"/>
        </w:rPr>
        <w:t xml:space="preserve">1) </w:t>
      </w:r>
      <w:r w:rsidRPr="005E0053">
        <w:rPr>
          <w:rFonts w:ascii="Arial" w:hAnsi="Arial" w:cs="Arial"/>
        </w:rPr>
        <w:t>Claim 1 - Concepts and Procedures</w:t>
      </w:r>
      <w:r w:rsidR="00DD752E" w:rsidRPr="005E0053">
        <w:rPr>
          <w:rFonts w:ascii="Arial" w:hAnsi="Arial" w:cs="Arial"/>
        </w:rPr>
        <w:t xml:space="preserve">, </w:t>
      </w:r>
      <w:r w:rsidR="005558C5" w:rsidRPr="005E0053">
        <w:rPr>
          <w:rFonts w:ascii="Arial" w:hAnsi="Arial" w:cs="Arial"/>
        </w:rPr>
        <w:t>(</w:t>
      </w:r>
      <w:r w:rsidR="00DD752E" w:rsidRPr="005E0053">
        <w:rPr>
          <w:rFonts w:ascii="Arial" w:hAnsi="Arial" w:cs="Arial"/>
        </w:rPr>
        <w:t xml:space="preserve">2) </w:t>
      </w:r>
      <w:r w:rsidRPr="005E0053">
        <w:rPr>
          <w:rFonts w:ascii="Arial" w:hAnsi="Arial" w:cs="Arial"/>
        </w:rPr>
        <w:t>Claim 2 - Problem Solving</w:t>
      </w:r>
      <w:r w:rsidR="00DD752E" w:rsidRPr="005E0053">
        <w:rPr>
          <w:rFonts w:ascii="Arial" w:hAnsi="Arial" w:cs="Arial"/>
        </w:rPr>
        <w:t xml:space="preserve"> and </w:t>
      </w:r>
      <w:r w:rsidR="005558C5" w:rsidRPr="005E0053">
        <w:rPr>
          <w:rFonts w:ascii="Arial" w:hAnsi="Arial" w:cs="Arial"/>
        </w:rPr>
        <w:t>(</w:t>
      </w:r>
      <w:r w:rsidR="00DD752E" w:rsidRPr="005E0053">
        <w:rPr>
          <w:rFonts w:ascii="Arial" w:hAnsi="Arial" w:cs="Arial"/>
        </w:rPr>
        <w:t xml:space="preserve">3) </w:t>
      </w:r>
      <w:r w:rsidRPr="005E0053">
        <w:rPr>
          <w:rFonts w:ascii="Arial" w:hAnsi="Arial" w:cs="Arial"/>
        </w:rPr>
        <w:t>Claim 3 - Communicating Reasoning</w:t>
      </w:r>
      <w:r w:rsidR="00DD752E" w:rsidRPr="005E0053">
        <w:rPr>
          <w:rFonts w:ascii="Arial" w:hAnsi="Arial" w:cs="Arial"/>
        </w:rPr>
        <w:t>.</w:t>
      </w:r>
    </w:p>
    <w:p w14:paraId="466589E6" w14:textId="016F2836" w:rsidR="007C549E" w:rsidRPr="005E0053" w:rsidRDefault="007C549E" w:rsidP="00CB2C23">
      <w:pPr>
        <w:spacing w:before="240"/>
        <w:rPr>
          <w:rFonts w:ascii="Arial" w:hAnsi="Arial" w:cs="Arial"/>
        </w:rPr>
      </w:pPr>
      <w:r w:rsidRPr="005E0053">
        <w:rPr>
          <w:rFonts w:ascii="Arial" w:hAnsi="Arial" w:cs="Arial"/>
        </w:rPr>
        <w:t>Based on their performance</w:t>
      </w:r>
      <w:r w:rsidR="000E2933" w:rsidRPr="005E0053">
        <w:rPr>
          <w:rFonts w:ascii="Arial" w:hAnsi="Arial" w:cs="Arial"/>
        </w:rPr>
        <w:t xml:space="preserve"> on the math assessment</w:t>
      </w:r>
      <w:r w:rsidR="005558C5" w:rsidRPr="005E0053">
        <w:rPr>
          <w:rFonts w:ascii="Arial" w:hAnsi="Arial" w:cs="Arial"/>
        </w:rPr>
        <w:t>s</w:t>
      </w:r>
      <w:r w:rsidRPr="005E0053">
        <w:rPr>
          <w:rFonts w:ascii="Arial" w:hAnsi="Arial" w:cs="Arial"/>
        </w:rPr>
        <w:t>, students are assigned one of three claim achievement levels: Below Standard, Near Standard, or Above Standard.</w:t>
      </w:r>
      <w:r w:rsidR="00EE4E51" w:rsidRPr="005E0053">
        <w:rPr>
          <w:rFonts w:ascii="Arial" w:hAnsi="Arial" w:cs="Arial"/>
        </w:rPr>
        <w:t xml:space="preserve"> The Math Subcommittee reviewed two years (i.e., 2014–15 and 2015–16) of CAASPP math achievement d</w:t>
      </w:r>
      <w:r w:rsidR="005558C5" w:rsidRPr="005E0053">
        <w:rPr>
          <w:rFonts w:ascii="Arial" w:hAnsi="Arial" w:cs="Arial"/>
        </w:rPr>
        <w:t>ata. The tables below identify</w:t>
      </w:r>
      <w:r w:rsidR="00EE4E51" w:rsidRPr="005E0053">
        <w:rPr>
          <w:rFonts w:ascii="Arial" w:hAnsi="Arial" w:cs="Arial"/>
        </w:rPr>
        <w:t xml:space="preserve"> the data to support both the concern and need statements.</w:t>
      </w:r>
    </w:p>
    <w:p w14:paraId="40680875" w14:textId="77777777" w:rsidR="006143B6" w:rsidRDefault="006143B6" w:rsidP="006143B6">
      <w:pPr>
        <w:pStyle w:val="Heading6"/>
        <w:jc w:val="center"/>
      </w:pPr>
      <w:r w:rsidRPr="009677C8">
        <w:t>GOAL AREA: Overall Math Achievement</w:t>
      </w:r>
      <w:r w:rsidRPr="009677C8">
        <w:rPr>
          <w:rStyle w:val="FootnoteReference"/>
          <w:rFonts w:cs="Arial"/>
          <w:b w:val="0"/>
        </w:rPr>
        <w:footnoteReference w:id="12"/>
      </w:r>
    </w:p>
    <w:p w14:paraId="72194A6A" w14:textId="77777777" w:rsidR="009C48A3" w:rsidRDefault="009C48A3" w:rsidP="006143B6">
      <w:pPr>
        <w:pStyle w:val="Heading6"/>
        <w:spacing w:before="120"/>
      </w:pPr>
      <w:bookmarkStart w:id="28" w:name="_Toc101961099"/>
      <w:r w:rsidRPr="005E0053">
        <w:t xml:space="preserve">Table </w:t>
      </w:r>
      <w:fldSimple w:instr=" SEQ Table \* ARABIC ">
        <w:r w:rsidR="00791A0A">
          <w:rPr>
            <w:noProof/>
          </w:rPr>
          <w:t>7</w:t>
        </w:r>
      </w:fldSimple>
      <w:r w:rsidRPr="005E0053">
        <w:t>. Data Summary, Concern Statement</w:t>
      </w:r>
      <w:r w:rsidR="000075C1" w:rsidRPr="005E0053">
        <w:t>, and Need</w:t>
      </w:r>
      <w:r w:rsidRPr="005E0053">
        <w:t xml:space="preserve"> Statement for Overall Mathematics Achievement</w:t>
      </w:r>
      <w:bookmarkEnd w:id="28"/>
    </w:p>
    <w:tbl>
      <w:tblPr>
        <w:tblStyle w:val="GridTable4-Accent5"/>
        <w:tblW w:w="0" w:type="auto"/>
        <w:tblLook w:val="0420" w:firstRow="1" w:lastRow="0" w:firstColumn="0" w:lastColumn="0" w:noHBand="0" w:noVBand="1"/>
        <w:tblDescription w:val="Data Summary, Concern Statement, and Need Statement for Overall Mathematics Achievement"/>
      </w:tblPr>
      <w:tblGrid>
        <w:gridCol w:w="4478"/>
        <w:gridCol w:w="2648"/>
        <w:gridCol w:w="2224"/>
      </w:tblGrid>
      <w:tr w:rsidR="00455E68" w:rsidRPr="00455E68" w14:paraId="3CE0FB95" w14:textId="77777777" w:rsidTr="00666FB3">
        <w:trPr>
          <w:cnfStyle w:val="100000000000" w:firstRow="1" w:lastRow="0" w:firstColumn="0" w:lastColumn="0" w:oddVBand="0" w:evenVBand="0" w:oddHBand="0" w:evenHBand="0" w:firstRowFirstColumn="0" w:firstRowLastColumn="0" w:lastRowFirstColumn="0" w:lastRowLastColumn="0"/>
          <w:cantSplit/>
          <w:tblHeader/>
        </w:trPr>
        <w:tc>
          <w:tcPr>
            <w:tcW w:w="4608" w:type="dxa"/>
            <w:tcBorders>
              <w:right w:val="single" w:sz="4" w:space="0" w:color="5B9BD5" w:themeColor="accent1"/>
            </w:tcBorders>
            <w:shd w:val="clear" w:color="auto" w:fill="1F3864" w:themeFill="accent5" w:themeFillShade="80"/>
          </w:tcPr>
          <w:p w14:paraId="4F48C383" w14:textId="77777777" w:rsidR="009677C8" w:rsidRPr="00455E68" w:rsidRDefault="009677C8" w:rsidP="00455E68">
            <w:pPr>
              <w:jc w:val="center"/>
              <w:rPr>
                <w:rFonts w:ascii="Arial" w:hAnsi="Arial" w:cs="Arial"/>
                <w:b w:val="0"/>
                <w:color w:val="FFFFFF"/>
              </w:rPr>
            </w:pPr>
            <w:r w:rsidRPr="00455E68">
              <w:rPr>
                <w:rFonts w:ascii="Arial" w:hAnsi="Arial" w:cs="Arial"/>
                <w:color w:val="FFFFFF"/>
              </w:rPr>
              <w:t>Data Summary:</w:t>
            </w:r>
          </w:p>
          <w:p w14:paraId="35814DEF" w14:textId="77777777" w:rsidR="009677C8" w:rsidRPr="00455E68" w:rsidRDefault="009677C8" w:rsidP="00455E68">
            <w:pPr>
              <w:jc w:val="center"/>
              <w:rPr>
                <w:color w:val="FFFFFF"/>
              </w:rPr>
            </w:pPr>
            <w:r w:rsidRPr="00455E68">
              <w:rPr>
                <w:rFonts w:ascii="Arial" w:hAnsi="Arial" w:cs="Arial"/>
                <w:color w:val="FFFFFF"/>
              </w:rPr>
              <w:t>2015–16 CAASSP Math Achievement</w:t>
            </w:r>
          </w:p>
        </w:tc>
        <w:tc>
          <w:tcPr>
            <w:tcW w:w="2700" w:type="dxa"/>
            <w:tcBorders>
              <w:left w:val="single" w:sz="4" w:space="0" w:color="5B9BD5" w:themeColor="accent1"/>
              <w:right w:val="single" w:sz="4" w:space="0" w:color="5B9BD5" w:themeColor="accent1"/>
            </w:tcBorders>
            <w:shd w:val="clear" w:color="auto" w:fill="1F3864" w:themeFill="accent5" w:themeFillShade="80"/>
            <w:vAlign w:val="center"/>
          </w:tcPr>
          <w:p w14:paraId="3C979F65" w14:textId="77777777" w:rsidR="009677C8" w:rsidRPr="00455E68" w:rsidRDefault="009677C8" w:rsidP="00666FB3">
            <w:pPr>
              <w:jc w:val="center"/>
              <w:rPr>
                <w:color w:val="FFFFFF"/>
              </w:rPr>
            </w:pPr>
            <w:r w:rsidRPr="00455E68">
              <w:rPr>
                <w:rFonts w:ascii="Arial" w:hAnsi="Arial" w:cs="Arial"/>
                <w:color w:val="FFFFFF"/>
              </w:rPr>
              <w:t>Concern Statement</w:t>
            </w:r>
          </w:p>
        </w:tc>
        <w:tc>
          <w:tcPr>
            <w:tcW w:w="2268" w:type="dxa"/>
            <w:tcBorders>
              <w:left w:val="single" w:sz="4" w:space="0" w:color="5B9BD5" w:themeColor="accent1"/>
            </w:tcBorders>
            <w:shd w:val="clear" w:color="auto" w:fill="1F3864" w:themeFill="accent5" w:themeFillShade="80"/>
            <w:vAlign w:val="center"/>
          </w:tcPr>
          <w:p w14:paraId="1FCAA9CE" w14:textId="77777777" w:rsidR="009677C8" w:rsidRPr="00455E68" w:rsidRDefault="009677C8" w:rsidP="00666FB3">
            <w:pPr>
              <w:jc w:val="center"/>
              <w:rPr>
                <w:color w:val="FFFFFF"/>
              </w:rPr>
            </w:pPr>
            <w:r w:rsidRPr="00455E68">
              <w:rPr>
                <w:rFonts w:ascii="Arial" w:hAnsi="Arial" w:cs="Arial"/>
                <w:color w:val="FFFFFF"/>
              </w:rPr>
              <w:t>Need Statement</w:t>
            </w:r>
          </w:p>
        </w:tc>
      </w:tr>
      <w:tr w:rsidR="00455E68" w14:paraId="7333A7BB"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4608" w:type="dxa"/>
          </w:tcPr>
          <w:p w14:paraId="1E20625D" w14:textId="77777777" w:rsidR="009677C8" w:rsidRPr="00455E68" w:rsidRDefault="009677C8" w:rsidP="00455E68">
            <w:pPr>
              <w:pStyle w:val="ListParagraph"/>
              <w:numPr>
                <w:ilvl w:val="0"/>
                <w:numId w:val="12"/>
              </w:numPr>
              <w:tabs>
                <w:tab w:val="clear" w:pos="720"/>
                <w:tab w:val="num" w:pos="360"/>
              </w:tabs>
              <w:ind w:left="360" w:hanging="270"/>
              <w:rPr>
                <w:rFonts w:ascii="Arial" w:hAnsi="Arial" w:cs="Arial"/>
              </w:rPr>
            </w:pPr>
            <w:r w:rsidRPr="00455E68">
              <w:rPr>
                <w:rFonts w:ascii="Arial" w:hAnsi="Arial" w:cs="Arial"/>
                <w:b/>
              </w:rPr>
              <w:t>Migratory Students:</w:t>
            </w:r>
            <w:r w:rsidRPr="00455E68">
              <w:rPr>
                <w:rFonts w:ascii="Arial" w:hAnsi="Arial" w:cs="Arial"/>
              </w:rPr>
              <w:t xml:space="preserve"> 16 percent scored at Level 3 - Standard Met and Level 4 – Standard Exceeded on overall math achievement.</w:t>
            </w:r>
          </w:p>
          <w:p w14:paraId="5B6A5E74" w14:textId="77777777" w:rsidR="009677C8" w:rsidRPr="00455E68" w:rsidRDefault="009677C8" w:rsidP="00455E68">
            <w:pPr>
              <w:pStyle w:val="ListParagraph"/>
              <w:numPr>
                <w:ilvl w:val="0"/>
                <w:numId w:val="12"/>
              </w:numPr>
              <w:tabs>
                <w:tab w:val="clear" w:pos="720"/>
                <w:tab w:val="num" w:pos="360"/>
              </w:tabs>
              <w:ind w:left="360" w:hanging="270"/>
              <w:rPr>
                <w:rFonts w:ascii="Arial" w:hAnsi="Arial" w:cs="Arial"/>
              </w:rPr>
            </w:pPr>
            <w:r w:rsidRPr="00455E68">
              <w:rPr>
                <w:rFonts w:ascii="Arial" w:hAnsi="Arial" w:cs="Arial"/>
                <w:b/>
              </w:rPr>
              <w:t>Migratory PFS Students:</w:t>
            </w:r>
            <w:r w:rsidRPr="00455E68">
              <w:rPr>
                <w:rFonts w:ascii="Arial" w:hAnsi="Arial" w:cs="Arial"/>
              </w:rPr>
              <w:t xml:space="preserve"> 5 percent met the standard.</w:t>
            </w:r>
          </w:p>
          <w:p w14:paraId="1AB66BB9" w14:textId="77777777" w:rsidR="009677C8" w:rsidRPr="00455E68" w:rsidRDefault="009677C8" w:rsidP="00455E68">
            <w:pPr>
              <w:pStyle w:val="ListParagraph"/>
              <w:numPr>
                <w:ilvl w:val="0"/>
                <w:numId w:val="12"/>
              </w:numPr>
              <w:tabs>
                <w:tab w:val="clear" w:pos="720"/>
                <w:tab w:val="num" w:pos="360"/>
              </w:tabs>
              <w:ind w:left="360" w:hanging="270"/>
              <w:rPr>
                <w:rFonts w:ascii="Arial" w:hAnsi="Arial" w:cs="Arial"/>
              </w:rPr>
            </w:pPr>
            <w:r w:rsidRPr="00455E68">
              <w:rPr>
                <w:rFonts w:ascii="Arial" w:hAnsi="Arial" w:cs="Arial"/>
                <w:b/>
              </w:rPr>
              <w:t>All Students:</w:t>
            </w:r>
            <w:r w:rsidRPr="00455E68">
              <w:rPr>
                <w:rFonts w:ascii="Arial" w:hAnsi="Arial" w:cs="Arial"/>
              </w:rPr>
              <w:t xml:space="preserve"> 37 percent met or exceeded the math standards creating a </w:t>
            </w:r>
            <w:proofErr w:type="gramStart"/>
            <w:r w:rsidRPr="00455E68">
              <w:rPr>
                <w:rFonts w:ascii="Arial" w:hAnsi="Arial" w:cs="Arial"/>
              </w:rPr>
              <w:t>21 percentage</w:t>
            </w:r>
            <w:proofErr w:type="gramEnd"/>
            <w:r w:rsidRPr="00455E68">
              <w:rPr>
                <w:rFonts w:ascii="Arial" w:hAnsi="Arial" w:cs="Arial"/>
              </w:rPr>
              <w:t xml:space="preserve"> point gap between Migratory and All Students.</w:t>
            </w:r>
          </w:p>
          <w:p w14:paraId="634F5B0B" w14:textId="77777777" w:rsidR="009677C8" w:rsidRPr="00455E68" w:rsidRDefault="009677C8" w:rsidP="00455E68">
            <w:pPr>
              <w:pStyle w:val="ListParagraph"/>
              <w:numPr>
                <w:ilvl w:val="0"/>
                <w:numId w:val="12"/>
              </w:numPr>
              <w:tabs>
                <w:tab w:val="clear" w:pos="720"/>
                <w:tab w:val="num" w:pos="360"/>
              </w:tabs>
              <w:ind w:left="360" w:hanging="270"/>
              <w:rPr>
                <w:rFonts w:ascii="Arial" w:hAnsi="Arial" w:cs="Arial"/>
              </w:rPr>
            </w:pPr>
            <w:r w:rsidRPr="00455E68">
              <w:rPr>
                <w:rFonts w:ascii="Arial" w:hAnsi="Arial" w:cs="Arial"/>
              </w:rPr>
              <w:t>Migratory Students are 21 percent less likely to meet or exceed the overall math standards. When comparing Migratory PFS and All Students, the gap widens to 32 percentage points.</w:t>
            </w:r>
          </w:p>
        </w:tc>
        <w:tc>
          <w:tcPr>
            <w:tcW w:w="2700" w:type="dxa"/>
          </w:tcPr>
          <w:p w14:paraId="76648FBB" w14:textId="77777777" w:rsidR="009677C8" w:rsidRDefault="009677C8" w:rsidP="00455E68">
            <w:r w:rsidRPr="00455E68">
              <w:rPr>
                <w:rFonts w:ascii="Arial" w:hAnsi="Arial" w:cs="Arial"/>
              </w:rPr>
              <w:t>We are concerned that the majority of Migratory Students are performing Below Standard in overall math achievement.</w:t>
            </w:r>
          </w:p>
        </w:tc>
        <w:tc>
          <w:tcPr>
            <w:tcW w:w="2268" w:type="dxa"/>
          </w:tcPr>
          <w:p w14:paraId="0AEAF7DE" w14:textId="77777777" w:rsidR="009677C8" w:rsidRDefault="009677C8" w:rsidP="00455E68">
            <w:r w:rsidRPr="00455E68">
              <w:rPr>
                <w:rFonts w:ascii="Arial" w:hAnsi="Arial" w:cs="Arial"/>
              </w:rPr>
              <w:t>An additional 21 percent of migratory students need to meet or exceed the math standards.</w:t>
            </w:r>
          </w:p>
        </w:tc>
      </w:tr>
    </w:tbl>
    <w:p w14:paraId="1FB6B7F5" w14:textId="77777777" w:rsidR="009677C8" w:rsidRPr="009677C8" w:rsidRDefault="009677C8" w:rsidP="009677C8"/>
    <w:p w14:paraId="3FBBF1C5" w14:textId="77777777" w:rsidR="006143B6" w:rsidRDefault="006143B6" w:rsidP="006143B6">
      <w:pPr>
        <w:pStyle w:val="Heading6"/>
        <w:jc w:val="center"/>
      </w:pPr>
      <w:r w:rsidRPr="003852AC">
        <w:lastRenderedPageBreak/>
        <w:t>GOAL AREA: Problem Solving and Modeling Data</w:t>
      </w:r>
    </w:p>
    <w:p w14:paraId="2836DC26" w14:textId="77777777" w:rsidR="009C48A3" w:rsidRDefault="009C48A3" w:rsidP="006143B6">
      <w:pPr>
        <w:pStyle w:val="Heading6"/>
        <w:spacing w:before="120"/>
      </w:pPr>
      <w:bookmarkStart w:id="29" w:name="_Toc101961100"/>
      <w:r w:rsidRPr="005E0053">
        <w:t xml:space="preserve">Table </w:t>
      </w:r>
      <w:fldSimple w:instr=" SEQ Table \* ARABIC ">
        <w:r w:rsidR="00791A0A">
          <w:rPr>
            <w:noProof/>
          </w:rPr>
          <w:t>8</w:t>
        </w:r>
      </w:fldSimple>
      <w:r w:rsidRPr="005E0053">
        <w:t>. Data Summary, Concern Statement</w:t>
      </w:r>
      <w:r w:rsidR="000075C1" w:rsidRPr="005E0053">
        <w:t>, and Need</w:t>
      </w:r>
      <w:r w:rsidRPr="005E0053">
        <w:t xml:space="preserve"> Statement for Claim 2 - Problem Solving and Modeling Data</w:t>
      </w:r>
      <w:bookmarkEnd w:id="29"/>
    </w:p>
    <w:tbl>
      <w:tblPr>
        <w:tblStyle w:val="GridTable4-Accent5"/>
        <w:tblW w:w="0" w:type="auto"/>
        <w:tblLook w:val="0420" w:firstRow="1" w:lastRow="0" w:firstColumn="0" w:lastColumn="0" w:noHBand="0" w:noVBand="1"/>
        <w:tblDescription w:val="Data Summary, Concern Statement, and Need Statement for Claim 2 - Problem Solving and Modeling Data"/>
      </w:tblPr>
      <w:tblGrid>
        <w:gridCol w:w="4721"/>
        <w:gridCol w:w="2492"/>
        <w:gridCol w:w="2137"/>
      </w:tblGrid>
      <w:tr w:rsidR="009677C8" w:rsidRPr="00455E68" w14:paraId="25D27ABD" w14:textId="77777777" w:rsidTr="00666FB3">
        <w:trPr>
          <w:cnfStyle w:val="100000000000" w:firstRow="1" w:lastRow="0" w:firstColumn="0" w:lastColumn="0" w:oddVBand="0" w:evenVBand="0" w:oddHBand="0" w:evenHBand="0" w:firstRowFirstColumn="0" w:firstRowLastColumn="0" w:lastRowFirstColumn="0" w:lastRowLastColumn="0"/>
          <w:cantSplit/>
          <w:tblHeader/>
        </w:trPr>
        <w:tc>
          <w:tcPr>
            <w:tcW w:w="4878" w:type="dxa"/>
            <w:tcBorders>
              <w:right w:val="single" w:sz="4" w:space="0" w:color="5B9BD5" w:themeColor="accent1"/>
            </w:tcBorders>
            <w:shd w:val="clear" w:color="auto" w:fill="1F3864" w:themeFill="accent5" w:themeFillShade="80"/>
            <w:vAlign w:val="center"/>
          </w:tcPr>
          <w:p w14:paraId="5BA85F84" w14:textId="77777777" w:rsidR="009677C8" w:rsidRPr="00455E68" w:rsidRDefault="009677C8" w:rsidP="00666FB3">
            <w:pPr>
              <w:jc w:val="center"/>
              <w:rPr>
                <w:rFonts w:ascii="Arial" w:hAnsi="Arial" w:cs="Arial"/>
                <w:b w:val="0"/>
                <w:color w:val="FFFFFF"/>
              </w:rPr>
            </w:pPr>
            <w:r w:rsidRPr="00455E68">
              <w:rPr>
                <w:rFonts w:ascii="Arial" w:hAnsi="Arial" w:cs="Arial"/>
                <w:color w:val="FFFFFF"/>
              </w:rPr>
              <w:t>Data Summary:</w:t>
            </w:r>
          </w:p>
          <w:p w14:paraId="65653041" w14:textId="77777777" w:rsidR="009677C8" w:rsidRPr="00455E68" w:rsidRDefault="009677C8" w:rsidP="00666FB3">
            <w:pPr>
              <w:jc w:val="center"/>
              <w:rPr>
                <w:rFonts w:ascii="Arial" w:hAnsi="Arial" w:cs="Arial"/>
                <w:color w:val="FFFFFF"/>
              </w:rPr>
            </w:pPr>
            <w:r w:rsidRPr="00455E68">
              <w:rPr>
                <w:rFonts w:ascii="Arial" w:hAnsi="Arial" w:cs="Arial"/>
                <w:color w:val="FFFFFF"/>
              </w:rPr>
              <w:t>2015–16 CAASSP Claim 2 – Problem Solving and Modeling Data</w:t>
            </w:r>
          </w:p>
        </w:tc>
        <w:tc>
          <w:tcPr>
            <w:tcW w:w="2520" w:type="dxa"/>
            <w:tcBorders>
              <w:left w:val="single" w:sz="4" w:space="0" w:color="5B9BD5" w:themeColor="accent1"/>
              <w:right w:val="single" w:sz="4" w:space="0" w:color="5B9BD5" w:themeColor="accent1"/>
            </w:tcBorders>
            <w:shd w:val="clear" w:color="auto" w:fill="1F3864" w:themeFill="accent5" w:themeFillShade="80"/>
            <w:vAlign w:val="center"/>
          </w:tcPr>
          <w:p w14:paraId="75F91DA1" w14:textId="77777777" w:rsidR="009677C8" w:rsidRPr="00455E68" w:rsidRDefault="009677C8" w:rsidP="00666FB3">
            <w:pPr>
              <w:pStyle w:val="ListParagraph"/>
              <w:widowControl w:val="0"/>
              <w:autoSpaceDE w:val="0"/>
              <w:autoSpaceDN w:val="0"/>
              <w:adjustRightInd w:val="0"/>
              <w:ind w:left="0"/>
              <w:contextualSpacing w:val="0"/>
              <w:jc w:val="center"/>
              <w:rPr>
                <w:rFonts w:ascii="Arial" w:hAnsi="Arial" w:cs="Arial"/>
                <w:color w:val="FFFFFF"/>
              </w:rPr>
            </w:pPr>
            <w:r w:rsidRPr="00455E68">
              <w:rPr>
                <w:rFonts w:ascii="Arial" w:hAnsi="Arial" w:cs="Arial"/>
                <w:color w:val="FFFFFF"/>
              </w:rPr>
              <w:t>Concern Statement</w:t>
            </w:r>
          </w:p>
        </w:tc>
        <w:tc>
          <w:tcPr>
            <w:tcW w:w="2178" w:type="dxa"/>
            <w:tcBorders>
              <w:left w:val="single" w:sz="4" w:space="0" w:color="5B9BD5" w:themeColor="accent1"/>
            </w:tcBorders>
            <w:shd w:val="clear" w:color="auto" w:fill="1F3864" w:themeFill="accent5" w:themeFillShade="80"/>
            <w:vAlign w:val="center"/>
          </w:tcPr>
          <w:p w14:paraId="70F29888" w14:textId="77777777" w:rsidR="009677C8" w:rsidRPr="00455E68" w:rsidRDefault="009677C8" w:rsidP="00666FB3">
            <w:pPr>
              <w:pStyle w:val="ListParagraph"/>
              <w:widowControl w:val="0"/>
              <w:autoSpaceDE w:val="0"/>
              <w:autoSpaceDN w:val="0"/>
              <w:adjustRightInd w:val="0"/>
              <w:ind w:left="0"/>
              <w:contextualSpacing w:val="0"/>
              <w:jc w:val="center"/>
              <w:rPr>
                <w:rFonts w:ascii="Arial" w:hAnsi="Arial" w:cs="Arial"/>
                <w:color w:val="FFFFFF"/>
              </w:rPr>
            </w:pPr>
            <w:r w:rsidRPr="00455E68">
              <w:rPr>
                <w:rFonts w:ascii="Arial" w:hAnsi="Arial" w:cs="Arial"/>
                <w:color w:val="FFFFFF"/>
              </w:rPr>
              <w:t>Need Statement</w:t>
            </w:r>
          </w:p>
        </w:tc>
      </w:tr>
      <w:tr w:rsidR="009677C8" w:rsidRPr="00F62746" w14:paraId="49E2D7C0"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4878" w:type="dxa"/>
          </w:tcPr>
          <w:p w14:paraId="16BB7CB4" w14:textId="77777777" w:rsidR="009677C8" w:rsidRPr="009677C8" w:rsidRDefault="009677C8" w:rsidP="009677C8">
            <w:pPr>
              <w:pStyle w:val="ListParagraph"/>
              <w:widowControl w:val="0"/>
              <w:numPr>
                <w:ilvl w:val="0"/>
                <w:numId w:val="13"/>
              </w:numPr>
              <w:autoSpaceDE w:val="0"/>
              <w:autoSpaceDN w:val="0"/>
              <w:adjustRightInd w:val="0"/>
              <w:contextualSpacing w:val="0"/>
              <w:rPr>
                <w:rFonts w:ascii="Arial" w:hAnsi="Arial" w:cs="Arial"/>
              </w:rPr>
            </w:pPr>
            <w:r w:rsidRPr="009677C8">
              <w:rPr>
                <w:rFonts w:ascii="Arial" w:hAnsi="Arial" w:cs="Arial"/>
                <w:b/>
              </w:rPr>
              <w:t>Migratory Students:</w:t>
            </w:r>
            <w:r w:rsidRPr="009677C8">
              <w:rPr>
                <w:rFonts w:ascii="Arial" w:hAnsi="Arial" w:cs="Arial"/>
              </w:rPr>
              <w:t xml:space="preserve"> 44 percent scored at Near or Above Standard.</w:t>
            </w:r>
          </w:p>
          <w:p w14:paraId="31ABC947" w14:textId="77777777" w:rsidR="009677C8" w:rsidRPr="00F62746" w:rsidRDefault="009677C8" w:rsidP="009677C8">
            <w:pPr>
              <w:pStyle w:val="ListParagraph"/>
              <w:widowControl w:val="0"/>
              <w:numPr>
                <w:ilvl w:val="0"/>
                <w:numId w:val="13"/>
              </w:numPr>
              <w:autoSpaceDE w:val="0"/>
              <w:autoSpaceDN w:val="0"/>
              <w:adjustRightInd w:val="0"/>
              <w:contextualSpacing w:val="0"/>
              <w:rPr>
                <w:rFonts w:ascii="Arial" w:hAnsi="Arial" w:cs="Arial"/>
              </w:rPr>
            </w:pPr>
            <w:r w:rsidRPr="00F62746">
              <w:rPr>
                <w:rFonts w:ascii="Arial" w:hAnsi="Arial" w:cs="Arial"/>
                <w:b/>
              </w:rPr>
              <w:t>Migratory PFS Students:</w:t>
            </w:r>
            <w:r w:rsidRPr="00F62746">
              <w:rPr>
                <w:rFonts w:ascii="Arial" w:hAnsi="Arial" w:cs="Arial"/>
              </w:rPr>
              <w:t xml:space="preserve"> 35 percent scored Near Standard; only three percent are Above Standard.</w:t>
            </w:r>
          </w:p>
          <w:p w14:paraId="26557200" w14:textId="77777777" w:rsidR="009677C8" w:rsidRPr="00F62746" w:rsidRDefault="009677C8" w:rsidP="009677C8">
            <w:pPr>
              <w:pStyle w:val="ListParagraph"/>
              <w:widowControl w:val="0"/>
              <w:numPr>
                <w:ilvl w:val="0"/>
                <w:numId w:val="13"/>
              </w:numPr>
              <w:autoSpaceDE w:val="0"/>
              <w:autoSpaceDN w:val="0"/>
              <w:adjustRightInd w:val="0"/>
              <w:contextualSpacing w:val="0"/>
              <w:rPr>
                <w:rFonts w:ascii="Arial" w:hAnsi="Arial" w:cs="Arial"/>
              </w:rPr>
            </w:pPr>
            <w:r w:rsidRPr="00F62746">
              <w:rPr>
                <w:rFonts w:ascii="Arial" w:hAnsi="Arial" w:cs="Arial"/>
                <w:b/>
              </w:rPr>
              <w:t>All Students:</w:t>
            </w:r>
            <w:r w:rsidRPr="00F62746">
              <w:rPr>
                <w:rFonts w:ascii="Arial" w:hAnsi="Arial" w:cs="Arial"/>
              </w:rPr>
              <w:t xml:space="preserve"> 64 percent scored at Near or Above Standard.</w:t>
            </w:r>
          </w:p>
          <w:p w14:paraId="37032F3C" w14:textId="77777777" w:rsidR="009677C8" w:rsidRDefault="009677C8" w:rsidP="009677C8">
            <w:pPr>
              <w:pStyle w:val="ListParagraph"/>
              <w:widowControl w:val="0"/>
              <w:numPr>
                <w:ilvl w:val="0"/>
                <w:numId w:val="13"/>
              </w:numPr>
              <w:autoSpaceDE w:val="0"/>
              <w:autoSpaceDN w:val="0"/>
              <w:adjustRightInd w:val="0"/>
              <w:contextualSpacing w:val="0"/>
              <w:rPr>
                <w:rFonts w:ascii="Arial" w:hAnsi="Arial" w:cs="Arial"/>
              </w:rPr>
            </w:pPr>
            <w:r w:rsidRPr="00F62746">
              <w:rPr>
                <w:rFonts w:ascii="Arial" w:hAnsi="Arial" w:cs="Arial"/>
              </w:rPr>
              <w:t>Migratory Students are 20 percentage points less likely to score at the Near or Above Standard level than All Students in problem solving and modeling data.</w:t>
            </w:r>
          </w:p>
          <w:p w14:paraId="1037E458" w14:textId="77777777" w:rsidR="009677C8" w:rsidRPr="009677C8" w:rsidRDefault="009677C8" w:rsidP="009677C8">
            <w:pPr>
              <w:pStyle w:val="ListParagraph"/>
              <w:widowControl w:val="0"/>
              <w:numPr>
                <w:ilvl w:val="0"/>
                <w:numId w:val="13"/>
              </w:numPr>
              <w:autoSpaceDE w:val="0"/>
              <w:autoSpaceDN w:val="0"/>
              <w:adjustRightInd w:val="0"/>
              <w:contextualSpacing w:val="0"/>
              <w:rPr>
                <w:rFonts w:ascii="Arial" w:hAnsi="Arial" w:cs="Arial"/>
              </w:rPr>
            </w:pPr>
            <w:r w:rsidRPr="009677C8">
              <w:rPr>
                <w:rFonts w:ascii="Arial" w:hAnsi="Arial" w:cs="Arial"/>
              </w:rPr>
              <w:t>Migratory PFS Students are 29 percentage points less likely to score at the Near or Above Standard levels when compared with All Students.</w:t>
            </w:r>
          </w:p>
        </w:tc>
        <w:tc>
          <w:tcPr>
            <w:tcW w:w="2520" w:type="dxa"/>
          </w:tcPr>
          <w:p w14:paraId="4B3FCBC0" w14:textId="77777777" w:rsidR="009677C8" w:rsidRPr="00F62746" w:rsidRDefault="009677C8" w:rsidP="0014514B">
            <w:pPr>
              <w:rPr>
                <w:rFonts w:ascii="Arial" w:hAnsi="Arial" w:cs="Arial"/>
              </w:rPr>
            </w:pPr>
            <w:r w:rsidRPr="00F62746">
              <w:rPr>
                <w:rFonts w:ascii="Arial" w:hAnsi="Arial" w:cs="Arial"/>
              </w:rPr>
              <w:t>We are concerned that migratory students are underperforming in problem solving and modeling data.</w:t>
            </w:r>
          </w:p>
        </w:tc>
        <w:tc>
          <w:tcPr>
            <w:tcW w:w="2178" w:type="dxa"/>
          </w:tcPr>
          <w:p w14:paraId="69785F09" w14:textId="77777777" w:rsidR="009677C8" w:rsidRPr="00F62746" w:rsidRDefault="009677C8" w:rsidP="0014514B">
            <w:pPr>
              <w:rPr>
                <w:rFonts w:ascii="Arial" w:hAnsi="Arial" w:cs="Arial"/>
              </w:rPr>
            </w:pPr>
            <w:r w:rsidRPr="00F62746">
              <w:rPr>
                <w:rFonts w:ascii="Arial" w:hAnsi="Arial" w:cs="Arial"/>
              </w:rPr>
              <w:t>Twenty percent of Migratory Students need to move their scores to the Near or Above Standard levels.</w:t>
            </w:r>
          </w:p>
        </w:tc>
      </w:tr>
    </w:tbl>
    <w:p w14:paraId="1E7BC7C7" w14:textId="77777777" w:rsidR="006143B6" w:rsidRDefault="006143B6" w:rsidP="006143B6">
      <w:pPr>
        <w:pStyle w:val="Heading6"/>
        <w:spacing w:before="0"/>
        <w:jc w:val="center"/>
      </w:pPr>
      <w:r w:rsidRPr="009677C8">
        <w:lastRenderedPageBreak/>
        <w:t>GOAL AREA: Concepts and Procedures</w:t>
      </w:r>
    </w:p>
    <w:p w14:paraId="0DABEDC5" w14:textId="77777777" w:rsidR="009C48A3" w:rsidRDefault="0000348B" w:rsidP="006143B6">
      <w:pPr>
        <w:pStyle w:val="Heading6"/>
        <w:spacing w:before="120"/>
      </w:pPr>
      <w:bookmarkStart w:id="30" w:name="_Toc101961101"/>
      <w:r w:rsidRPr="005E0053">
        <w:t xml:space="preserve">Table </w:t>
      </w:r>
      <w:fldSimple w:instr=" SEQ Table \* ARABIC ">
        <w:r w:rsidR="00261292">
          <w:rPr>
            <w:noProof/>
          </w:rPr>
          <w:t>9</w:t>
        </w:r>
      </w:fldSimple>
      <w:r w:rsidRPr="005E0053">
        <w:t>. Data Summary, Concern Statement</w:t>
      </w:r>
      <w:r w:rsidR="000075C1" w:rsidRPr="005E0053">
        <w:t>, and Need</w:t>
      </w:r>
      <w:r w:rsidRPr="005E0053">
        <w:t xml:space="preserve"> Statement for Math Claim 1 - Concepts and Procedures</w:t>
      </w:r>
      <w:bookmarkEnd w:id="30"/>
    </w:p>
    <w:tbl>
      <w:tblPr>
        <w:tblStyle w:val="GridTable4-Accent5"/>
        <w:tblW w:w="0" w:type="auto"/>
        <w:tblLook w:val="0420" w:firstRow="1" w:lastRow="0" w:firstColumn="0" w:lastColumn="0" w:noHBand="0" w:noVBand="1"/>
        <w:tblDescription w:val="Data Summary, Concern Statement, and Need Statement for Math Claim 1 - Concepts and Procedures"/>
      </w:tblPr>
      <w:tblGrid>
        <w:gridCol w:w="4650"/>
        <w:gridCol w:w="2563"/>
        <w:gridCol w:w="2137"/>
      </w:tblGrid>
      <w:tr w:rsidR="00171DE4" w:rsidRPr="00F62746" w14:paraId="103A0C2E"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4788" w:type="dxa"/>
            <w:tcBorders>
              <w:right w:val="single" w:sz="4" w:space="0" w:color="5B9BD5" w:themeColor="accent1"/>
            </w:tcBorders>
            <w:shd w:val="clear" w:color="auto" w:fill="1F3864" w:themeFill="accent5" w:themeFillShade="80"/>
            <w:vAlign w:val="center"/>
          </w:tcPr>
          <w:p w14:paraId="17CD5531" w14:textId="77777777" w:rsidR="00171DE4" w:rsidRPr="00455E68" w:rsidRDefault="00171DE4" w:rsidP="00E53F38">
            <w:pPr>
              <w:jc w:val="center"/>
              <w:rPr>
                <w:rFonts w:ascii="Arial" w:hAnsi="Arial" w:cs="Arial"/>
                <w:b w:val="0"/>
                <w:color w:val="FFFFFF"/>
              </w:rPr>
            </w:pPr>
            <w:r w:rsidRPr="00455E68">
              <w:rPr>
                <w:rFonts w:ascii="Arial" w:hAnsi="Arial" w:cs="Arial"/>
                <w:color w:val="FFFFFF"/>
              </w:rPr>
              <w:t>Data Summary:</w:t>
            </w:r>
          </w:p>
          <w:p w14:paraId="3B49FC3D" w14:textId="77777777" w:rsidR="00171DE4" w:rsidRPr="00455E68" w:rsidRDefault="00171DE4" w:rsidP="00E53F38">
            <w:pPr>
              <w:jc w:val="center"/>
              <w:rPr>
                <w:rFonts w:ascii="Arial" w:hAnsi="Arial" w:cs="Arial"/>
                <w:color w:val="FFFFFF"/>
              </w:rPr>
            </w:pPr>
            <w:r w:rsidRPr="00455E68">
              <w:rPr>
                <w:rFonts w:ascii="Arial" w:hAnsi="Arial" w:cs="Arial"/>
                <w:color w:val="FFFFFF"/>
              </w:rPr>
              <w:t>2014–16 CAASSP Claim 1 - Concepts and Procedures</w:t>
            </w:r>
          </w:p>
        </w:tc>
        <w:tc>
          <w:tcPr>
            <w:tcW w:w="2610" w:type="dxa"/>
            <w:tcBorders>
              <w:left w:val="single" w:sz="4" w:space="0" w:color="5B9BD5" w:themeColor="accent1"/>
              <w:right w:val="single" w:sz="4" w:space="0" w:color="5B9BD5" w:themeColor="accent1"/>
            </w:tcBorders>
            <w:shd w:val="clear" w:color="auto" w:fill="1F3864" w:themeFill="accent5" w:themeFillShade="80"/>
            <w:vAlign w:val="center"/>
          </w:tcPr>
          <w:p w14:paraId="205E75EC" w14:textId="77777777" w:rsidR="00171DE4" w:rsidRPr="00455E68" w:rsidRDefault="00171DE4" w:rsidP="00E53F38">
            <w:pPr>
              <w:pStyle w:val="ListParagraph"/>
              <w:widowControl w:val="0"/>
              <w:autoSpaceDE w:val="0"/>
              <w:autoSpaceDN w:val="0"/>
              <w:adjustRightInd w:val="0"/>
              <w:ind w:left="-29"/>
              <w:contextualSpacing w:val="0"/>
              <w:jc w:val="center"/>
              <w:rPr>
                <w:rFonts w:ascii="Arial" w:hAnsi="Arial" w:cs="Arial"/>
                <w:color w:val="FFFFFF"/>
              </w:rPr>
            </w:pPr>
            <w:r w:rsidRPr="00455E68">
              <w:rPr>
                <w:rFonts w:ascii="Arial" w:hAnsi="Arial" w:cs="Arial"/>
                <w:color w:val="FFFFFF"/>
              </w:rPr>
              <w:t>Concern Statement</w:t>
            </w:r>
          </w:p>
        </w:tc>
        <w:tc>
          <w:tcPr>
            <w:tcW w:w="2178" w:type="dxa"/>
            <w:tcBorders>
              <w:left w:val="single" w:sz="4" w:space="0" w:color="5B9BD5" w:themeColor="accent1"/>
            </w:tcBorders>
            <w:shd w:val="clear" w:color="auto" w:fill="1F3864" w:themeFill="accent5" w:themeFillShade="80"/>
            <w:vAlign w:val="center"/>
          </w:tcPr>
          <w:p w14:paraId="62DE9654" w14:textId="77777777" w:rsidR="00171DE4" w:rsidRPr="00455E68" w:rsidRDefault="00171DE4" w:rsidP="00E53F38">
            <w:pPr>
              <w:pStyle w:val="ListParagraph"/>
              <w:widowControl w:val="0"/>
              <w:autoSpaceDE w:val="0"/>
              <w:autoSpaceDN w:val="0"/>
              <w:adjustRightInd w:val="0"/>
              <w:ind w:left="-29"/>
              <w:contextualSpacing w:val="0"/>
              <w:jc w:val="center"/>
              <w:rPr>
                <w:rFonts w:ascii="Arial" w:hAnsi="Arial" w:cs="Arial"/>
                <w:b w:val="0"/>
                <w:color w:val="FFFFFF"/>
              </w:rPr>
            </w:pPr>
            <w:r w:rsidRPr="00455E68">
              <w:rPr>
                <w:rFonts w:ascii="Arial" w:hAnsi="Arial" w:cs="Arial"/>
                <w:color w:val="FFFFFF"/>
              </w:rPr>
              <w:t>Need Statement</w:t>
            </w:r>
          </w:p>
        </w:tc>
      </w:tr>
      <w:tr w:rsidR="00171DE4" w:rsidRPr="00F62746" w14:paraId="04CEA454"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4788" w:type="dxa"/>
          </w:tcPr>
          <w:p w14:paraId="1DF1F743" w14:textId="77777777" w:rsidR="00171DE4" w:rsidRPr="00F62746" w:rsidRDefault="00171DE4" w:rsidP="00171DE4">
            <w:pPr>
              <w:pStyle w:val="ListParagraph"/>
              <w:widowControl w:val="0"/>
              <w:numPr>
                <w:ilvl w:val="0"/>
                <w:numId w:val="14"/>
              </w:numPr>
              <w:autoSpaceDE w:val="0"/>
              <w:autoSpaceDN w:val="0"/>
              <w:adjustRightInd w:val="0"/>
              <w:ind w:left="331"/>
              <w:contextualSpacing w:val="0"/>
              <w:rPr>
                <w:rFonts w:ascii="Arial" w:hAnsi="Arial" w:cs="Arial"/>
              </w:rPr>
            </w:pPr>
            <w:r w:rsidRPr="00F62746">
              <w:rPr>
                <w:rFonts w:ascii="Arial" w:hAnsi="Arial" w:cs="Arial"/>
                <w:b/>
              </w:rPr>
              <w:t>Migratory Students:</w:t>
            </w:r>
            <w:r w:rsidRPr="00F62746">
              <w:rPr>
                <w:rFonts w:ascii="Arial" w:hAnsi="Arial" w:cs="Arial"/>
              </w:rPr>
              <w:t xml:space="preserve"> In 2015–16, 35 percent scored at Near or Above Standard on Claim 1 which is an 18 percent decrease from 2014–15.</w:t>
            </w:r>
          </w:p>
          <w:p w14:paraId="66A781CE" w14:textId="77777777" w:rsidR="00171DE4" w:rsidRPr="00F62746" w:rsidRDefault="00171DE4" w:rsidP="007D443E">
            <w:pPr>
              <w:pStyle w:val="ListParagraph"/>
              <w:widowControl w:val="0"/>
              <w:numPr>
                <w:ilvl w:val="0"/>
                <w:numId w:val="47"/>
              </w:numPr>
              <w:autoSpaceDE w:val="0"/>
              <w:autoSpaceDN w:val="0"/>
              <w:adjustRightInd w:val="0"/>
              <w:rPr>
                <w:rFonts w:ascii="Arial" w:hAnsi="Arial" w:cs="Arial"/>
              </w:rPr>
            </w:pPr>
            <w:r w:rsidRPr="00F62746">
              <w:rPr>
                <w:rFonts w:ascii="Arial" w:hAnsi="Arial" w:cs="Arial"/>
              </w:rPr>
              <w:t>In 2014–15, 53 percent of Migratory Students scored at Near or Above Standard.</w:t>
            </w:r>
          </w:p>
          <w:p w14:paraId="432BAC14" w14:textId="77777777" w:rsidR="00171DE4" w:rsidRPr="00F62746" w:rsidRDefault="00171DE4" w:rsidP="00171DE4">
            <w:pPr>
              <w:pStyle w:val="ListParagraph"/>
              <w:widowControl w:val="0"/>
              <w:numPr>
                <w:ilvl w:val="0"/>
                <w:numId w:val="14"/>
              </w:numPr>
              <w:autoSpaceDE w:val="0"/>
              <w:autoSpaceDN w:val="0"/>
              <w:adjustRightInd w:val="0"/>
              <w:ind w:left="331"/>
              <w:contextualSpacing w:val="0"/>
              <w:rPr>
                <w:rFonts w:ascii="Arial" w:hAnsi="Arial" w:cs="Arial"/>
              </w:rPr>
            </w:pPr>
            <w:r w:rsidRPr="00F62746">
              <w:rPr>
                <w:rFonts w:ascii="Arial" w:hAnsi="Arial" w:cs="Arial"/>
                <w:b/>
              </w:rPr>
              <w:t>Migratory PFS Students:</w:t>
            </w:r>
            <w:r w:rsidRPr="00F62746">
              <w:rPr>
                <w:rFonts w:ascii="Arial" w:hAnsi="Arial" w:cs="Arial"/>
              </w:rPr>
              <w:t xml:space="preserve"> In 2015–16, 22 percent scored at Near Standard and two percent scored Above Standard. </w:t>
            </w:r>
          </w:p>
          <w:p w14:paraId="7D7558D9" w14:textId="77777777" w:rsidR="00171DE4" w:rsidRPr="00F62746" w:rsidRDefault="00171DE4" w:rsidP="00171DE4">
            <w:pPr>
              <w:pStyle w:val="ListParagraph"/>
              <w:widowControl w:val="0"/>
              <w:numPr>
                <w:ilvl w:val="0"/>
                <w:numId w:val="14"/>
              </w:numPr>
              <w:autoSpaceDE w:val="0"/>
              <w:autoSpaceDN w:val="0"/>
              <w:adjustRightInd w:val="0"/>
              <w:ind w:left="331"/>
              <w:contextualSpacing w:val="0"/>
              <w:rPr>
                <w:rFonts w:ascii="Arial" w:hAnsi="Arial" w:cs="Arial"/>
              </w:rPr>
            </w:pPr>
            <w:r w:rsidRPr="00F62746">
              <w:rPr>
                <w:rFonts w:ascii="Arial" w:hAnsi="Arial" w:cs="Arial"/>
                <w:b/>
              </w:rPr>
              <w:t>All Students:</w:t>
            </w:r>
            <w:r w:rsidRPr="00F62746">
              <w:rPr>
                <w:rFonts w:ascii="Arial" w:hAnsi="Arial" w:cs="Arial"/>
              </w:rPr>
              <w:t xml:space="preserve"> 55 percent scored at Near or Above Standard.</w:t>
            </w:r>
          </w:p>
          <w:p w14:paraId="19DE7804" w14:textId="77777777" w:rsidR="00171DE4" w:rsidRDefault="00171DE4" w:rsidP="00171DE4">
            <w:pPr>
              <w:pStyle w:val="ListParagraph"/>
              <w:widowControl w:val="0"/>
              <w:numPr>
                <w:ilvl w:val="0"/>
                <w:numId w:val="14"/>
              </w:numPr>
              <w:autoSpaceDE w:val="0"/>
              <w:autoSpaceDN w:val="0"/>
              <w:adjustRightInd w:val="0"/>
              <w:ind w:left="331"/>
              <w:contextualSpacing w:val="0"/>
              <w:rPr>
                <w:rFonts w:ascii="Arial" w:hAnsi="Arial" w:cs="Arial"/>
              </w:rPr>
            </w:pPr>
            <w:r w:rsidRPr="00F62746">
              <w:rPr>
                <w:rFonts w:ascii="Arial" w:hAnsi="Arial" w:cs="Arial"/>
              </w:rPr>
              <w:t>Based on 2015–16 data, Migratory Students are 20 percent less likely to score at Near or Above Standard level than the All Student group in mathematical concepts and procedures.</w:t>
            </w:r>
          </w:p>
          <w:p w14:paraId="06AEFC9C" w14:textId="77777777" w:rsidR="00171DE4" w:rsidRPr="00171DE4" w:rsidRDefault="00171DE4" w:rsidP="00171DE4">
            <w:pPr>
              <w:pStyle w:val="ListParagraph"/>
              <w:widowControl w:val="0"/>
              <w:numPr>
                <w:ilvl w:val="0"/>
                <w:numId w:val="14"/>
              </w:numPr>
              <w:autoSpaceDE w:val="0"/>
              <w:autoSpaceDN w:val="0"/>
              <w:adjustRightInd w:val="0"/>
              <w:ind w:left="331"/>
              <w:contextualSpacing w:val="0"/>
              <w:rPr>
                <w:rFonts w:ascii="Arial" w:hAnsi="Arial" w:cs="Arial"/>
              </w:rPr>
            </w:pPr>
            <w:r w:rsidRPr="00171DE4">
              <w:rPr>
                <w:rFonts w:ascii="Arial" w:hAnsi="Arial" w:cs="Arial"/>
              </w:rPr>
              <w:t>Migratory PFS Students are 31 percentage points less likely to score Near or Above Standard when compared to All Students.</w:t>
            </w:r>
          </w:p>
        </w:tc>
        <w:tc>
          <w:tcPr>
            <w:tcW w:w="2610" w:type="dxa"/>
          </w:tcPr>
          <w:p w14:paraId="021DA745" w14:textId="77777777" w:rsidR="00171DE4" w:rsidRPr="00F62746" w:rsidRDefault="00171DE4" w:rsidP="00171DE4">
            <w:pPr>
              <w:rPr>
                <w:rFonts w:ascii="Arial" w:hAnsi="Arial" w:cs="Arial"/>
              </w:rPr>
            </w:pPr>
            <w:r w:rsidRPr="00F62746">
              <w:rPr>
                <w:rFonts w:ascii="Arial" w:hAnsi="Arial" w:cs="Arial"/>
              </w:rPr>
              <w:t>We are concerned that almost half of Migratory Students lack knowledge and skills in mathematical concepts and procedures.</w:t>
            </w:r>
          </w:p>
        </w:tc>
        <w:tc>
          <w:tcPr>
            <w:tcW w:w="2178" w:type="dxa"/>
          </w:tcPr>
          <w:p w14:paraId="46A6B731" w14:textId="77777777" w:rsidR="00171DE4" w:rsidRPr="00F62746" w:rsidRDefault="00171DE4" w:rsidP="00171DE4">
            <w:pPr>
              <w:rPr>
                <w:rFonts w:ascii="Arial" w:hAnsi="Arial" w:cs="Arial"/>
              </w:rPr>
            </w:pPr>
            <w:r w:rsidRPr="00F62746">
              <w:rPr>
                <w:rFonts w:ascii="Arial" w:hAnsi="Arial" w:cs="Arial"/>
              </w:rPr>
              <w:t>Twenty percent of Migratory Students need to move their scores to Near or Above Standard levels.</w:t>
            </w:r>
          </w:p>
        </w:tc>
      </w:tr>
    </w:tbl>
    <w:p w14:paraId="0682E69D" w14:textId="77777777" w:rsidR="001A3231" w:rsidRPr="005E0053" w:rsidRDefault="001A3231" w:rsidP="00B45BD6">
      <w:pPr>
        <w:pStyle w:val="Heading5"/>
      </w:pPr>
      <w:bookmarkStart w:id="31" w:name="_Toc504520852"/>
      <w:r w:rsidRPr="005E0053">
        <w:t>English Language Development</w:t>
      </w:r>
      <w:bookmarkEnd w:id="31"/>
    </w:p>
    <w:p w14:paraId="66D5BC12" w14:textId="206654AB" w:rsidR="0086590B" w:rsidRDefault="00A31F68" w:rsidP="00A31F68">
      <w:pPr>
        <w:contextualSpacing/>
        <w:rPr>
          <w:rFonts w:ascii="Arial" w:hAnsi="Arial" w:cs="Arial"/>
        </w:rPr>
      </w:pPr>
      <w:r w:rsidRPr="005E0053">
        <w:rPr>
          <w:rFonts w:ascii="Arial" w:hAnsi="Arial" w:cs="Arial"/>
        </w:rPr>
        <w:t>In 2018–19, California fully transition</w:t>
      </w:r>
      <w:r w:rsidR="00F53432">
        <w:rPr>
          <w:rFonts w:ascii="Arial" w:hAnsi="Arial" w:cs="Arial"/>
        </w:rPr>
        <w:t>ed</w:t>
      </w:r>
      <w:r w:rsidRPr="005E0053">
        <w:rPr>
          <w:rFonts w:ascii="Arial" w:hAnsi="Arial" w:cs="Arial"/>
        </w:rPr>
        <w:t xml:space="preserve"> from </w:t>
      </w:r>
      <w:r w:rsidR="00610248" w:rsidRPr="005E0053">
        <w:rPr>
          <w:rFonts w:ascii="Arial" w:hAnsi="Arial" w:cs="Arial"/>
        </w:rPr>
        <w:t>administ</w:t>
      </w:r>
      <w:r w:rsidR="00610248">
        <w:rPr>
          <w:rFonts w:ascii="Arial" w:hAnsi="Arial" w:cs="Arial"/>
        </w:rPr>
        <w:t>ering</w:t>
      </w:r>
      <w:r w:rsidR="00610248" w:rsidRPr="005E0053">
        <w:rPr>
          <w:rFonts w:ascii="Arial" w:hAnsi="Arial" w:cs="Arial"/>
        </w:rPr>
        <w:t xml:space="preserve"> the California English Language Development Test (CELDT)</w:t>
      </w:r>
      <w:r w:rsidRPr="005E0053">
        <w:rPr>
          <w:rFonts w:ascii="Arial" w:hAnsi="Arial" w:cs="Arial"/>
        </w:rPr>
        <w:t xml:space="preserve"> to the </w:t>
      </w:r>
      <w:r w:rsidR="00610248" w:rsidRPr="005E0053">
        <w:rPr>
          <w:rFonts w:ascii="Arial" w:hAnsi="Arial" w:cs="Arial"/>
        </w:rPr>
        <w:t>English Language Proficiency Assessment for California (ELPAC)</w:t>
      </w:r>
      <w:r w:rsidRPr="005E0053">
        <w:rPr>
          <w:rFonts w:ascii="Arial" w:hAnsi="Arial" w:cs="Arial"/>
        </w:rPr>
        <w:t xml:space="preserve"> to </w:t>
      </w:r>
      <w:r w:rsidR="005068F9" w:rsidRPr="005E0053">
        <w:rPr>
          <w:rFonts w:ascii="Arial" w:hAnsi="Arial" w:cs="Arial"/>
        </w:rPr>
        <w:t>measure</w:t>
      </w:r>
      <w:r w:rsidRPr="005E0053">
        <w:rPr>
          <w:rFonts w:ascii="Arial" w:hAnsi="Arial" w:cs="Arial"/>
        </w:rPr>
        <w:t xml:space="preserve"> students’ English language proficiency (ELP). Since the </w:t>
      </w:r>
      <w:r w:rsidR="009A17F4" w:rsidRPr="005E0053">
        <w:rPr>
          <w:rFonts w:ascii="Arial" w:hAnsi="Arial" w:cs="Arial"/>
        </w:rPr>
        <w:t>SSDP</w:t>
      </w:r>
      <w:r w:rsidRPr="005E0053">
        <w:rPr>
          <w:rFonts w:ascii="Arial" w:hAnsi="Arial" w:cs="Arial"/>
        </w:rPr>
        <w:t xml:space="preserve"> will be operational from 2018–19 through 202</w:t>
      </w:r>
      <w:r w:rsidR="00963506">
        <w:rPr>
          <w:rFonts w:ascii="Arial" w:hAnsi="Arial" w:cs="Arial"/>
        </w:rPr>
        <w:t>2</w:t>
      </w:r>
      <w:r w:rsidRPr="005E0053">
        <w:rPr>
          <w:rFonts w:ascii="Arial" w:hAnsi="Arial" w:cs="Arial"/>
        </w:rPr>
        <w:t>–2</w:t>
      </w:r>
      <w:r w:rsidR="00963506">
        <w:rPr>
          <w:rFonts w:ascii="Arial" w:hAnsi="Arial" w:cs="Arial"/>
        </w:rPr>
        <w:t>3</w:t>
      </w:r>
      <w:r w:rsidRPr="005E0053">
        <w:rPr>
          <w:rFonts w:ascii="Arial" w:hAnsi="Arial" w:cs="Arial"/>
        </w:rPr>
        <w:t>, the tables below w</w:t>
      </w:r>
      <w:r w:rsidR="00963506">
        <w:rPr>
          <w:rFonts w:ascii="Arial" w:hAnsi="Arial" w:cs="Arial"/>
        </w:rPr>
        <w:t>ere</w:t>
      </w:r>
      <w:r w:rsidRPr="005E0053">
        <w:rPr>
          <w:rFonts w:ascii="Arial" w:hAnsi="Arial" w:cs="Arial"/>
        </w:rPr>
        <w:t xml:space="preserve"> </w:t>
      </w:r>
      <w:r w:rsidR="005068F9" w:rsidRPr="005E0053">
        <w:rPr>
          <w:rFonts w:ascii="Arial" w:hAnsi="Arial" w:cs="Arial"/>
        </w:rPr>
        <w:t xml:space="preserve">revised </w:t>
      </w:r>
      <w:r w:rsidR="00963506">
        <w:rPr>
          <w:rFonts w:ascii="Arial" w:hAnsi="Arial" w:cs="Arial"/>
        </w:rPr>
        <w:t xml:space="preserve">to include data from </w:t>
      </w:r>
      <w:r w:rsidR="005068F9" w:rsidRPr="005E0053">
        <w:rPr>
          <w:rFonts w:ascii="Arial" w:hAnsi="Arial" w:cs="Arial"/>
        </w:rPr>
        <w:t>the 201</w:t>
      </w:r>
      <w:r w:rsidR="00963506">
        <w:rPr>
          <w:rFonts w:ascii="Arial" w:hAnsi="Arial" w:cs="Arial"/>
        </w:rPr>
        <w:t>7</w:t>
      </w:r>
      <w:r w:rsidR="005068F9" w:rsidRPr="005E0053">
        <w:rPr>
          <w:rFonts w:ascii="Arial" w:hAnsi="Arial" w:cs="Arial"/>
        </w:rPr>
        <w:t>–1</w:t>
      </w:r>
      <w:r w:rsidR="00963506">
        <w:rPr>
          <w:rFonts w:ascii="Arial" w:hAnsi="Arial" w:cs="Arial"/>
        </w:rPr>
        <w:t xml:space="preserve">8 </w:t>
      </w:r>
      <w:r w:rsidR="00963506" w:rsidRPr="00963506">
        <w:rPr>
          <w:rFonts w:ascii="Arial" w:hAnsi="Arial" w:cs="Arial"/>
        </w:rPr>
        <w:t>ELPAC</w:t>
      </w:r>
      <w:r w:rsidR="00963506" w:rsidRPr="00F53432">
        <w:rPr>
          <w:rFonts w:ascii="Arial" w:hAnsi="Arial" w:cs="Arial"/>
        </w:rPr>
        <w:t xml:space="preserve"> The ELPAC is made up of two tests: 1) the Initial ELPAC is used to identify a student as </w:t>
      </w:r>
      <w:r w:rsidR="00E22495" w:rsidRPr="00F53432">
        <w:rPr>
          <w:rFonts w:ascii="Arial" w:hAnsi="Arial" w:cs="Arial"/>
        </w:rPr>
        <w:t>either</w:t>
      </w:r>
      <w:r w:rsidR="00963506" w:rsidRPr="00F53432">
        <w:rPr>
          <w:rFonts w:ascii="Arial" w:hAnsi="Arial" w:cs="Arial"/>
        </w:rPr>
        <w:t xml:space="preserve"> an English learner or as proficient in English, and 2) the Summative EPAC which is used to measure the skills of English learners. The ELPAC assesses students in Grades K–12 in four domains: listening, speaking, reading, and writing. Students receive an overall score in addition to separate scores for each of the four domains. Scoring consists of four levels: Beginning (Level 1), Somewhat Developed (Level 2), Moderately Developed (Level 3), or Well Developed (Level 4). Since the strategies for English Language Development </w:t>
      </w:r>
      <w:r w:rsidR="00963506" w:rsidRPr="00F53432">
        <w:rPr>
          <w:rFonts w:ascii="Arial" w:hAnsi="Arial" w:cs="Arial"/>
        </w:rPr>
        <w:lastRenderedPageBreak/>
        <w:t>(ELD) were developed during the SSDP’s first year of implementation, the CDE presented the ELPAC data and initial strategies to MEP Directors who were provided time to review the strategies with local staff and parents before submitting comments to the CDE for the recommended ELD strategies.</w:t>
      </w:r>
    </w:p>
    <w:p w14:paraId="309CF0BB" w14:textId="10CAEEAE" w:rsidR="006143B6" w:rsidRDefault="0086590B" w:rsidP="0086590B">
      <w:pPr>
        <w:pStyle w:val="Heading6"/>
        <w:spacing w:before="120"/>
        <w:jc w:val="center"/>
      </w:pPr>
      <w:r>
        <w:rPr>
          <w:rFonts w:cs="Arial"/>
        </w:rPr>
        <w:br w:type="page"/>
      </w:r>
      <w:r w:rsidR="006143B6" w:rsidRPr="00171DE4">
        <w:lastRenderedPageBreak/>
        <w:t xml:space="preserve">GOAL AREA: </w:t>
      </w:r>
      <w:r w:rsidR="002D37A2">
        <w:t>English Language Proficiency</w:t>
      </w:r>
    </w:p>
    <w:p w14:paraId="0FCC08E2" w14:textId="72BFAC63" w:rsidR="0000348B" w:rsidRDefault="0000348B" w:rsidP="006143B6">
      <w:pPr>
        <w:pStyle w:val="Heading6"/>
        <w:spacing w:before="120"/>
      </w:pPr>
      <w:bookmarkStart w:id="32" w:name="_Toc101961102"/>
      <w:r w:rsidRPr="005E0053">
        <w:t xml:space="preserve">Table </w:t>
      </w:r>
      <w:fldSimple w:instr=" SEQ Table \* ARABIC ">
        <w:r w:rsidR="00261292">
          <w:rPr>
            <w:noProof/>
          </w:rPr>
          <w:t>10</w:t>
        </w:r>
      </w:fldSimple>
      <w:r w:rsidRPr="005E0053">
        <w:t>. Data Summary, Concern Statement</w:t>
      </w:r>
      <w:r w:rsidR="00F041B2" w:rsidRPr="005E0053">
        <w:t>, and Need</w:t>
      </w:r>
      <w:r w:rsidRPr="005E0053">
        <w:t xml:space="preserve"> Statement for English Language Development</w:t>
      </w:r>
      <w:bookmarkEnd w:id="32"/>
      <w:r w:rsidR="009A431B">
        <w:t xml:space="preserve"> </w:t>
      </w:r>
    </w:p>
    <w:tbl>
      <w:tblPr>
        <w:tblStyle w:val="GridTable4-Accent5"/>
        <w:tblW w:w="9715" w:type="dxa"/>
        <w:tblLook w:val="0420" w:firstRow="1" w:lastRow="0" w:firstColumn="0" w:lastColumn="0" w:noHBand="0" w:noVBand="1"/>
        <w:tblDescription w:val="Data Summary, Concern Statement, and Need Statement for English Language Development, Grades 1–3"/>
      </w:tblPr>
      <w:tblGrid>
        <w:gridCol w:w="2669"/>
        <w:gridCol w:w="2187"/>
        <w:gridCol w:w="1709"/>
        <w:gridCol w:w="1439"/>
        <w:gridCol w:w="1711"/>
      </w:tblGrid>
      <w:tr w:rsidR="009A431B" w:rsidRPr="00455E68" w14:paraId="41FA645F"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2669" w:type="dxa"/>
            <w:tcBorders>
              <w:right w:val="single" w:sz="4" w:space="0" w:color="4472C4"/>
            </w:tcBorders>
            <w:shd w:val="clear" w:color="auto" w:fill="1F3864" w:themeFill="accent5" w:themeFillShade="80"/>
            <w:vAlign w:val="center"/>
          </w:tcPr>
          <w:p w14:paraId="217D7C80" w14:textId="15DA8AAB" w:rsidR="009A431B" w:rsidRPr="00127BD8" w:rsidRDefault="00127BD8" w:rsidP="00E53F38">
            <w:pPr>
              <w:jc w:val="center"/>
              <w:rPr>
                <w:rFonts w:ascii="Arial" w:hAnsi="Arial" w:cs="Arial"/>
                <w:b w:val="0"/>
                <w:color w:val="FFFFFF"/>
              </w:rPr>
            </w:pPr>
            <w:r w:rsidRPr="00127BD8">
              <w:rPr>
                <w:rFonts w:ascii="Arial" w:hAnsi="Arial" w:cs="Arial"/>
                <w:color w:val="FFFFFF"/>
              </w:rPr>
              <w:t xml:space="preserve">2017–18 ELPAC </w:t>
            </w:r>
            <w:r w:rsidR="009A431B" w:rsidRPr="00127BD8">
              <w:rPr>
                <w:rFonts w:ascii="Arial" w:hAnsi="Arial" w:cs="Arial"/>
                <w:color w:val="FFFFFF"/>
              </w:rPr>
              <w:t>Data</w:t>
            </w:r>
            <w:r w:rsidRPr="00127BD8">
              <w:rPr>
                <w:rFonts w:ascii="Arial" w:hAnsi="Arial" w:cs="Arial"/>
                <w:color w:val="FFFFFF"/>
              </w:rPr>
              <w:t xml:space="preserve"> Overall</w:t>
            </w:r>
          </w:p>
        </w:tc>
        <w:tc>
          <w:tcPr>
            <w:tcW w:w="2187" w:type="dxa"/>
            <w:tcBorders>
              <w:left w:val="single" w:sz="4" w:space="0" w:color="4472C4"/>
              <w:right w:val="single" w:sz="4" w:space="0" w:color="4472C4"/>
            </w:tcBorders>
            <w:shd w:val="clear" w:color="auto" w:fill="1F3864" w:themeFill="accent5" w:themeFillShade="80"/>
            <w:vAlign w:val="center"/>
          </w:tcPr>
          <w:p w14:paraId="661E0F64" w14:textId="5CEBD556" w:rsidR="009A431B" w:rsidRPr="00455E68" w:rsidRDefault="00127BD8" w:rsidP="00E53F38">
            <w:pPr>
              <w:pStyle w:val="ListParagraph"/>
              <w:ind w:left="-12"/>
              <w:jc w:val="center"/>
              <w:rPr>
                <w:rFonts w:ascii="Arial" w:hAnsi="Arial" w:cs="Arial"/>
                <w:b w:val="0"/>
                <w:color w:val="FFFFFF"/>
              </w:rPr>
            </w:pPr>
            <w:r>
              <w:rPr>
                <w:rFonts w:ascii="Arial" w:hAnsi="Arial" w:cs="Arial"/>
                <w:color w:val="FFFFFF"/>
              </w:rPr>
              <w:t xml:space="preserve">2017–18 ELPAC </w:t>
            </w:r>
            <w:r w:rsidR="009A431B">
              <w:rPr>
                <w:rFonts w:ascii="Arial" w:hAnsi="Arial" w:cs="Arial"/>
                <w:color w:val="FFFFFF"/>
              </w:rPr>
              <w:t>Oral Performance</w:t>
            </w:r>
          </w:p>
        </w:tc>
        <w:tc>
          <w:tcPr>
            <w:tcW w:w="1709" w:type="dxa"/>
            <w:tcBorders>
              <w:left w:val="single" w:sz="4" w:space="0" w:color="4472C4"/>
              <w:right w:val="single" w:sz="4" w:space="0" w:color="4472C4"/>
            </w:tcBorders>
            <w:shd w:val="clear" w:color="auto" w:fill="1F3864" w:themeFill="accent5" w:themeFillShade="80"/>
            <w:vAlign w:val="center"/>
          </w:tcPr>
          <w:p w14:paraId="2A4167D1" w14:textId="310BE33B" w:rsidR="009A431B" w:rsidRPr="00455E68" w:rsidRDefault="00127BD8" w:rsidP="00E53F38">
            <w:pPr>
              <w:pStyle w:val="ListParagraph"/>
              <w:ind w:left="-12"/>
              <w:jc w:val="center"/>
              <w:rPr>
                <w:rFonts w:ascii="Arial" w:hAnsi="Arial" w:cs="Arial"/>
                <w:b w:val="0"/>
                <w:color w:val="FFFFFF"/>
              </w:rPr>
            </w:pPr>
            <w:r>
              <w:rPr>
                <w:rFonts w:ascii="Arial" w:hAnsi="Arial" w:cs="Arial"/>
                <w:color w:val="FFFFFF"/>
              </w:rPr>
              <w:t xml:space="preserve">2017–18 EPLAC </w:t>
            </w:r>
            <w:r w:rsidR="009A431B">
              <w:rPr>
                <w:rFonts w:ascii="Arial" w:hAnsi="Arial" w:cs="Arial"/>
                <w:color w:val="FFFFFF"/>
              </w:rPr>
              <w:t xml:space="preserve">Written </w:t>
            </w:r>
            <w:r w:rsidR="00E22495">
              <w:rPr>
                <w:rFonts w:ascii="Arial" w:hAnsi="Arial" w:cs="Arial"/>
                <w:color w:val="FFFFFF"/>
              </w:rPr>
              <w:t>Performance</w:t>
            </w:r>
          </w:p>
        </w:tc>
        <w:tc>
          <w:tcPr>
            <w:tcW w:w="1439" w:type="dxa"/>
            <w:tcBorders>
              <w:left w:val="single" w:sz="4" w:space="0" w:color="4472C4"/>
              <w:right w:val="single" w:sz="4" w:space="0" w:color="4472C4"/>
            </w:tcBorders>
            <w:shd w:val="clear" w:color="auto" w:fill="1F3864" w:themeFill="accent5" w:themeFillShade="80"/>
            <w:vAlign w:val="center"/>
          </w:tcPr>
          <w:p w14:paraId="2A387366" w14:textId="77777777" w:rsidR="009A431B" w:rsidRPr="00455E68" w:rsidRDefault="009A431B" w:rsidP="00E53F38">
            <w:pPr>
              <w:pStyle w:val="ListParagraph"/>
              <w:ind w:left="-12"/>
              <w:jc w:val="center"/>
              <w:rPr>
                <w:rFonts w:ascii="Arial" w:hAnsi="Arial" w:cs="Arial"/>
                <w:color w:val="FFFFFF"/>
              </w:rPr>
            </w:pPr>
            <w:r w:rsidRPr="00455E68">
              <w:rPr>
                <w:rFonts w:ascii="Arial" w:hAnsi="Arial" w:cs="Arial"/>
                <w:color w:val="FFFFFF"/>
              </w:rPr>
              <w:t>Concern Statement</w:t>
            </w:r>
          </w:p>
        </w:tc>
        <w:tc>
          <w:tcPr>
            <w:tcW w:w="1711" w:type="dxa"/>
            <w:tcBorders>
              <w:left w:val="single" w:sz="4" w:space="0" w:color="4472C4"/>
            </w:tcBorders>
            <w:shd w:val="clear" w:color="auto" w:fill="1F3864" w:themeFill="accent5" w:themeFillShade="80"/>
            <w:vAlign w:val="center"/>
          </w:tcPr>
          <w:p w14:paraId="52AFEBEA" w14:textId="77777777" w:rsidR="009A431B" w:rsidRPr="00455E68" w:rsidRDefault="009A431B" w:rsidP="00E53F38">
            <w:pPr>
              <w:pStyle w:val="ListParagraph"/>
              <w:ind w:left="-12"/>
              <w:jc w:val="center"/>
              <w:rPr>
                <w:rFonts w:ascii="Arial" w:hAnsi="Arial" w:cs="Arial"/>
                <w:b w:val="0"/>
                <w:color w:val="FFFFFF"/>
              </w:rPr>
            </w:pPr>
            <w:r w:rsidRPr="00455E68">
              <w:rPr>
                <w:rFonts w:ascii="Arial" w:hAnsi="Arial" w:cs="Arial"/>
                <w:color w:val="FFFFFF"/>
              </w:rPr>
              <w:t>Need Statement</w:t>
            </w:r>
          </w:p>
        </w:tc>
      </w:tr>
      <w:tr w:rsidR="009A431B" w:rsidRPr="00F62746" w14:paraId="27F46FE9"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2669" w:type="dxa"/>
          </w:tcPr>
          <w:p w14:paraId="3DE96DB9" w14:textId="70FD8756" w:rsidR="005F5271" w:rsidRPr="00F53432" w:rsidRDefault="005F5271" w:rsidP="00F53432">
            <w:pPr>
              <w:pStyle w:val="ListParagraph"/>
              <w:numPr>
                <w:ilvl w:val="0"/>
                <w:numId w:val="15"/>
              </w:numPr>
              <w:ind w:left="348"/>
              <w:rPr>
                <w:rFonts w:ascii="Arial" w:hAnsi="Arial" w:cs="Arial"/>
                <w:color w:val="000000"/>
              </w:rPr>
            </w:pPr>
            <w:r w:rsidRPr="00F53432">
              <w:rPr>
                <w:rFonts w:ascii="Arial" w:hAnsi="Arial" w:cs="Arial"/>
                <w:b/>
                <w:color w:val="000000"/>
              </w:rPr>
              <w:t>Migratory EL</w:t>
            </w:r>
            <w:r w:rsidR="0004661B">
              <w:rPr>
                <w:rFonts w:ascii="Arial" w:hAnsi="Arial" w:cs="Arial"/>
                <w:b/>
                <w:color w:val="000000"/>
              </w:rPr>
              <w:t xml:space="preserve"> </w:t>
            </w:r>
            <w:r w:rsidRPr="00F53432">
              <w:rPr>
                <w:rFonts w:ascii="Arial" w:hAnsi="Arial" w:cs="Arial"/>
                <w:b/>
                <w:color w:val="000000"/>
              </w:rPr>
              <w:t>s</w:t>
            </w:r>
            <w:r w:rsidR="0004661B">
              <w:rPr>
                <w:rFonts w:ascii="Arial" w:hAnsi="Arial" w:cs="Arial"/>
                <w:b/>
                <w:color w:val="000000"/>
              </w:rPr>
              <w:t>tudents</w:t>
            </w:r>
            <w:r w:rsidRPr="00F53432">
              <w:rPr>
                <w:rFonts w:ascii="Arial" w:hAnsi="Arial" w:cs="Arial"/>
                <w:color w:val="000000"/>
              </w:rPr>
              <w:t xml:space="preserve"> were approximately nine percentage points less likely to be Well Developed when compared to their non-migratory EL counterparts.</w:t>
            </w:r>
          </w:p>
          <w:p w14:paraId="3F232A8C" w14:textId="29483604" w:rsidR="005F5271" w:rsidRPr="00F53432" w:rsidRDefault="005F5271" w:rsidP="00F53432">
            <w:pPr>
              <w:pStyle w:val="ListParagraph"/>
              <w:numPr>
                <w:ilvl w:val="0"/>
                <w:numId w:val="15"/>
              </w:numPr>
              <w:ind w:left="348"/>
              <w:rPr>
                <w:rFonts w:ascii="Arial" w:hAnsi="Arial" w:cs="Arial"/>
                <w:color w:val="000000"/>
              </w:rPr>
            </w:pPr>
            <w:r w:rsidRPr="00F53432">
              <w:rPr>
                <w:rFonts w:ascii="Arial" w:hAnsi="Arial" w:cs="Arial"/>
                <w:color w:val="000000"/>
              </w:rPr>
              <w:t>When compared to non-migratory EL</w:t>
            </w:r>
            <w:r w:rsidR="0004661B">
              <w:rPr>
                <w:rFonts w:ascii="Arial" w:hAnsi="Arial" w:cs="Arial"/>
                <w:color w:val="000000"/>
              </w:rPr>
              <w:t xml:space="preserve"> </w:t>
            </w:r>
            <w:r w:rsidRPr="00F53432">
              <w:rPr>
                <w:rFonts w:ascii="Arial" w:hAnsi="Arial" w:cs="Arial"/>
                <w:color w:val="000000"/>
              </w:rPr>
              <w:t>s</w:t>
            </w:r>
            <w:r w:rsidR="0004661B">
              <w:rPr>
                <w:rFonts w:ascii="Arial" w:hAnsi="Arial" w:cs="Arial"/>
                <w:color w:val="000000"/>
              </w:rPr>
              <w:t>tudents</w:t>
            </w:r>
            <w:r w:rsidRPr="00F53432">
              <w:rPr>
                <w:rFonts w:ascii="Arial" w:hAnsi="Arial" w:cs="Arial"/>
                <w:color w:val="000000"/>
              </w:rPr>
              <w:t>, migratory EL students are represented in higher numbers in the Beginning and Somewhat Developed levels of ELP for all grade levels.</w:t>
            </w:r>
          </w:p>
          <w:p w14:paraId="43241C9E" w14:textId="616A6387" w:rsidR="005F5271" w:rsidRPr="00F53432" w:rsidRDefault="005F5271" w:rsidP="00F53432">
            <w:pPr>
              <w:pStyle w:val="ListParagraph"/>
              <w:numPr>
                <w:ilvl w:val="0"/>
                <w:numId w:val="15"/>
              </w:numPr>
              <w:ind w:left="348"/>
              <w:rPr>
                <w:rFonts w:ascii="Arial" w:hAnsi="Arial" w:cs="Arial"/>
                <w:color w:val="000000"/>
              </w:rPr>
            </w:pPr>
            <w:r w:rsidRPr="00F53432">
              <w:rPr>
                <w:rFonts w:ascii="Arial" w:hAnsi="Arial" w:cs="Arial"/>
                <w:color w:val="000000"/>
              </w:rPr>
              <w:t>Migratory EL</w:t>
            </w:r>
            <w:r w:rsidR="0004661B">
              <w:rPr>
                <w:rFonts w:ascii="Arial" w:hAnsi="Arial" w:cs="Arial"/>
                <w:color w:val="000000"/>
              </w:rPr>
              <w:t xml:space="preserve"> </w:t>
            </w:r>
            <w:r w:rsidRPr="00F53432">
              <w:rPr>
                <w:rFonts w:ascii="Arial" w:hAnsi="Arial" w:cs="Arial"/>
                <w:color w:val="000000"/>
              </w:rPr>
              <w:t>s</w:t>
            </w:r>
            <w:r w:rsidR="0004661B">
              <w:rPr>
                <w:rFonts w:ascii="Arial" w:hAnsi="Arial" w:cs="Arial"/>
                <w:color w:val="000000"/>
              </w:rPr>
              <w:t>tudents</w:t>
            </w:r>
            <w:r w:rsidRPr="00F53432">
              <w:rPr>
                <w:rFonts w:ascii="Arial" w:hAnsi="Arial" w:cs="Arial"/>
                <w:color w:val="000000"/>
              </w:rPr>
              <w:t xml:space="preserve"> are represented in lower numbers in the Moderately Developed and </w:t>
            </w:r>
            <w:proofErr w:type="gramStart"/>
            <w:r w:rsidRPr="00F53432">
              <w:rPr>
                <w:rFonts w:ascii="Arial" w:hAnsi="Arial" w:cs="Arial"/>
                <w:color w:val="000000"/>
              </w:rPr>
              <w:t>Well Developed</w:t>
            </w:r>
            <w:proofErr w:type="gramEnd"/>
            <w:r w:rsidRPr="00F53432">
              <w:rPr>
                <w:rFonts w:ascii="Arial" w:hAnsi="Arial" w:cs="Arial"/>
                <w:color w:val="000000"/>
              </w:rPr>
              <w:t xml:space="preserve"> levels for all grade levels.</w:t>
            </w:r>
          </w:p>
          <w:p w14:paraId="5B6AB87B" w14:textId="5674B77D" w:rsidR="005F5271" w:rsidRPr="00F53432" w:rsidRDefault="005F5271" w:rsidP="00F53432">
            <w:pPr>
              <w:pStyle w:val="ListParagraph"/>
              <w:numPr>
                <w:ilvl w:val="0"/>
                <w:numId w:val="15"/>
              </w:numPr>
              <w:ind w:left="348"/>
              <w:rPr>
                <w:rFonts w:ascii="Arial" w:hAnsi="Arial" w:cs="Arial"/>
                <w:color w:val="000000"/>
              </w:rPr>
            </w:pPr>
            <w:r w:rsidRPr="00F53432">
              <w:rPr>
                <w:rFonts w:ascii="Arial" w:hAnsi="Arial" w:cs="Arial"/>
                <w:color w:val="000000"/>
              </w:rPr>
              <w:t>The largest gaps between Migratory EL</w:t>
            </w:r>
            <w:r w:rsidR="0004661B">
              <w:rPr>
                <w:rFonts w:ascii="Arial" w:hAnsi="Arial" w:cs="Arial"/>
                <w:color w:val="000000"/>
              </w:rPr>
              <w:t xml:space="preserve"> </w:t>
            </w:r>
            <w:r w:rsidRPr="00F53432">
              <w:rPr>
                <w:rFonts w:ascii="Arial" w:hAnsi="Arial" w:cs="Arial"/>
                <w:color w:val="000000"/>
              </w:rPr>
              <w:t>s</w:t>
            </w:r>
            <w:r w:rsidR="0004661B">
              <w:rPr>
                <w:rFonts w:ascii="Arial" w:hAnsi="Arial" w:cs="Arial"/>
                <w:color w:val="000000"/>
              </w:rPr>
              <w:t>tudents</w:t>
            </w:r>
            <w:r w:rsidRPr="00F53432">
              <w:rPr>
                <w:rFonts w:ascii="Arial" w:hAnsi="Arial" w:cs="Arial"/>
                <w:color w:val="000000"/>
              </w:rPr>
              <w:t xml:space="preserve"> and All Students in the Beginning level is in Grades 8–11.</w:t>
            </w:r>
          </w:p>
          <w:p w14:paraId="796F51FB" w14:textId="25FBCF2A" w:rsidR="009A431B" w:rsidRPr="00171DE4" w:rsidRDefault="009A431B" w:rsidP="00F53432"/>
        </w:tc>
        <w:tc>
          <w:tcPr>
            <w:tcW w:w="2187" w:type="dxa"/>
          </w:tcPr>
          <w:p w14:paraId="3EA9127B" w14:textId="0FD3689B" w:rsidR="009A431B" w:rsidRPr="00F53432" w:rsidRDefault="009A431B" w:rsidP="00F53432">
            <w:pPr>
              <w:pStyle w:val="ListParagraph"/>
              <w:numPr>
                <w:ilvl w:val="0"/>
                <w:numId w:val="15"/>
              </w:numPr>
              <w:ind w:left="348"/>
              <w:rPr>
                <w:rFonts w:ascii="Arial" w:hAnsi="Arial" w:cs="Arial"/>
                <w:color w:val="000000"/>
              </w:rPr>
            </w:pPr>
            <w:r w:rsidRPr="00F53432">
              <w:rPr>
                <w:rFonts w:ascii="Arial" w:hAnsi="Arial" w:cs="Arial"/>
                <w:b/>
                <w:color w:val="000000"/>
              </w:rPr>
              <w:t>Migratory EL</w:t>
            </w:r>
            <w:r w:rsidR="0004661B">
              <w:rPr>
                <w:rFonts w:ascii="Arial" w:hAnsi="Arial" w:cs="Arial"/>
                <w:b/>
                <w:color w:val="000000"/>
              </w:rPr>
              <w:t xml:space="preserve"> </w:t>
            </w:r>
            <w:r w:rsidRPr="00F53432">
              <w:rPr>
                <w:rFonts w:ascii="Arial" w:hAnsi="Arial" w:cs="Arial"/>
                <w:b/>
                <w:color w:val="000000"/>
              </w:rPr>
              <w:t>s</w:t>
            </w:r>
            <w:r w:rsidR="0004661B">
              <w:rPr>
                <w:rFonts w:ascii="Arial" w:hAnsi="Arial" w:cs="Arial"/>
                <w:b/>
                <w:color w:val="000000"/>
              </w:rPr>
              <w:t>tudents</w:t>
            </w:r>
            <w:r w:rsidRPr="00F53432">
              <w:rPr>
                <w:rFonts w:ascii="Arial" w:hAnsi="Arial" w:cs="Arial"/>
                <w:color w:val="000000"/>
              </w:rPr>
              <w:t xml:space="preserve"> were a little over ten percentage points less likely to be Well Developed when compared to their non-migratory EL counterparts.</w:t>
            </w:r>
          </w:p>
          <w:p w14:paraId="7736BBBE" w14:textId="0D08E85A" w:rsidR="009A431B" w:rsidRPr="00F53432" w:rsidRDefault="009A431B" w:rsidP="00F53432">
            <w:pPr>
              <w:pStyle w:val="ListParagraph"/>
              <w:numPr>
                <w:ilvl w:val="0"/>
                <w:numId w:val="15"/>
              </w:numPr>
              <w:ind w:left="348"/>
              <w:rPr>
                <w:rFonts w:ascii="Arial" w:hAnsi="Arial" w:cs="Arial"/>
                <w:color w:val="000000"/>
              </w:rPr>
            </w:pPr>
            <w:r w:rsidRPr="00F53432">
              <w:rPr>
                <w:rFonts w:ascii="Arial" w:hAnsi="Arial" w:cs="Arial"/>
                <w:b/>
                <w:color w:val="000000"/>
              </w:rPr>
              <w:t>Migratory EL</w:t>
            </w:r>
            <w:r w:rsidR="0004661B">
              <w:rPr>
                <w:rFonts w:ascii="Arial" w:hAnsi="Arial" w:cs="Arial"/>
                <w:b/>
                <w:color w:val="000000"/>
              </w:rPr>
              <w:t xml:space="preserve"> </w:t>
            </w:r>
            <w:r w:rsidRPr="00F53432">
              <w:rPr>
                <w:rFonts w:ascii="Arial" w:hAnsi="Arial" w:cs="Arial"/>
                <w:b/>
                <w:color w:val="000000"/>
              </w:rPr>
              <w:t>s</w:t>
            </w:r>
            <w:r w:rsidR="0004661B">
              <w:rPr>
                <w:rFonts w:ascii="Arial" w:hAnsi="Arial" w:cs="Arial"/>
                <w:b/>
                <w:color w:val="000000"/>
              </w:rPr>
              <w:t>tudents</w:t>
            </w:r>
            <w:r w:rsidRPr="00F53432">
              <w:rPr>
                <w:rFonts w:ascii="Arial" w:hAnsi="Arial" w:cs="Arial"/>
                <w:color w:val="000000"/>
              </w:rPr>
              <w:t xml:space="preserve"> were 7.42 percentage points more likely to be at the Beginning level when compared to their non-migratory EL </w:t>
            </w:r>
            <w:proofErr w:type="gramStart"/>
            <w:r w:rsidR="0004661B">
              <w:rPr>
                <w:rFonts w:ascii="Arial" w:hAnsi="Arial" w:cs="Arial"/>
                <w:color w:val="000000"/>
              </w:rPr>
              <w:t>students</w:t>
            </w:r>
            <w:proofErr w:type="gramEnd"/>
            <w:r w:rsidR="0004661B">
              <w:rPr>
                <w:rFonts w:ascii="Arial" w:hAnsi="Arial" w:cs="Arial"/>
                <w:color w:val="000000"/>
              </w:rPr>
              <w:t xml:space="preserve"> </w:t>
            </w:r>
            <w:r w:rsidRPr="00F53432">
              <w:rPr>
                <w:rFonts w:ascii="Arial" w:hAnsi="Arial" w:cs="Arial"/>
                <w:color w:val="000000"/>
              </w:rPr>
              <w:t>counterparts.</w:t>
            </w:r>
          </w:p>
          <w:p w14:paraId="09CD57AC" w14:textId="0EF9F57E" w:rsidR="009A431B" w:rsidRPr="00F53432" w:rsidRDefault="009A431B" w:rsidP="00F53432">
            <w:pPr>
              <w:pStyle w:val="ListParagraph"/>
              <w:numPr>
                <w:ilvl w:val="0"/>
                <w:numId w:val="15"/>
              </w:numPr>
              <w:ind w:left="348"/>
              <w:rPr>
                <w:rFonts w:ascii="Arial" w:hAnsi="Arial" w:cs="Arial"/>
                <w:b/>
                <w:color w:val="000000"/>
              </w:rPr>
            </w:pPr>
            <w:r w:rsidRPr="00F53432">
              <w:rPr>
                <w:rFonts w:ascii="Arial" w:hAnsi="Arial" w:cs="Arial"/>
                <w:color w:val="000000"/>
              </w:rPr>
              <w:t>The largest gaps for Migratory EL</w:t>
            </w:r>
            <w:r w:rsidR="0004661B">
              <w:rPr>
                <w:rFonts w:ascii="Arial" w:hAnsi="Arial" w:cs="Arial"/>
                <w:color w:val="000000"/>
              </w:rPr>
              <w:t xml:space="preserve"> </w:t>
            </w:r>
            <w:r w:rsidRPr="00F53432">
              <w:rPr>
                <w:rFonts w:ascii="Arial" w:hAnsi="Arial" w:cs="Arial"/>
                <w:color w:val="000000"/>
              </w:rPr>
              <w:t>s</w:t>
            </w:r>
            <w:r w:rsidR="0004661B">
              <w:rPr>
                <w:rFonts w:ascii="Arial" w:hAnsi="Arial" w:cs="Arial"/>
                <w:color w:val="000000"/>
              </w:rPr>
              <w:t>tudents</w:t>
            </w:r>
            <w:r w:rsidRPr="00F53432">
              <w:rPr>
                <w:rFonts w:ascii="Arial" w:hAnsi="Arial" w:cs="Arial"/>
                <w:color w:val="000000"/>
              </w:rPr>
              <w:t xml:space="preserve"> scoring in the </w:t>
            </w:r>
            <w:proofErr w:type="gramStart"/>
            <w:r w:rsidRPr="00F53432">
              <w:rPr>
                <w:rFonts w:ascii="Arial" w:hAnsi="Arial" w:cs="Arial"/>
                <w:color w:val="000000"/>
              </w:rPr>
              <w:t>Well Developed</w:t>
            </w:r>
            <w:proofErr w:type="gramEnd"/>
            <w:r w:rsidRPr="00F53432">
              <w:rPr>
                <w:rFonts w:ascii="Arial" w:hAnsi="Arial" w:cs="Arial"/>
                <w:color w:val="000000"/>
              </w:rPr>
              <w:t xml:space="preserve"> level occur in Grades K–1 and 8–11.</w:t>
            </w:r>
          </w:p>
        </w:tc>
        <w:tc>
          <w:tcPr>
            <w:tcW w:w="1709" w:type="dxa"/>
          </w:tcPr>
          <w:p w14:paraId="25A9077A" w14:textId="1B0564AB" w:rsidR="009A431B" w:rsidRPr="009A431B" w:rsidRDefault="009A431B" w:rsidP="0014514B">
            <w:pPr>
              <w:rPr>
                <w:rFonts w:ascii="Arial" w:hAnsi="Arial" w:cs="Arial"/>
                <w:color w:val="000000"/>
              </w:rPr>
            </w:pPr>
            <w:r w:rsidRPr="00F53432">
              <w:rPr>
                <w:rFonts w:ascii="Arial" w:hAnsi="Arial" w:cs="Arial"/>
                <w:b/>
              </w:rPr>
              <w:t>Migratory EL</w:t>
            </w:r>
            <w:r w:rsidR="0004661B">
              <w:rPr>
                <w:rFonts w:ascii="Arial" w:hAnsi="Arial" w:cs="Arial"/>
                <w:b/>
              </w:rPr>
              <w:t xml:space="preserve"> </w:t>
            </w:r>
            <w:r w:rsidRPr="00F53432">
              <w:rPr>
                <w:rFonts w:ascii="Arial" w:hAnsi="Arial" w:cs="Arial"/>
                <w:b/>
              </w:rPr>
              <w:t>s</w:t>
            </w:r>
            <w:r w:rsidR="0004661B">
              <w:rPr>
                <w:rFonts w:ascii="Arial" w:hAnsi="Arial" w:cs="Arial"/>
                <w:b/>
              </w:rPr>
              <w:t>tudents</w:t>
            </w:r>
            <w:r w:rsidRPr="00F53432">
              <w:rPr>
                <w:rFonts w:ascii="Arial" w:hAnsi="Arial" w:cs="Arial"/>
              </w:rPr>
              <w:t xml:space="preserve"> were 6 percentage points less likely to score in the </w:t>
            </w:r>
            <w:proofErr w:type="gramStart"/>
            <w:r w:rsidRPr="00F53432">
              <w:rPr>
                <w:rFonts w:ascii="Arial" w:hAnsi="Arial" w:cs="Arial"/>
              </w:rPr>
              <w:t>Well Developed</w:t>
            </w:r>
            <w:proofErr w:type="gramEnd"/>
            <w:r w:rsidRPr="00F53432">
              <w:rPr>
                <w:rFonts w:ascii="Arial" w:hAnsi="Arial" w:cs="Arial"/>
              </w:rPr>
              <w:t xml:space="preserve"> level and 7.66 percentage points more likely to score at the Beginning level in Written Performance.</w:t>
            </w:r>
          </w:p>
        </w:tc>
        <w:tc>
          <w:tcPr>
            <w:tcW w:w="1439" w:type="dxa"/>
          </w:tcPr>
          <w:p w14:paraId="60908A51" w14:textId="7E8222FC" w:rsidR="009A431B" w:rsidRPr="005F5271" w:rsidRDefault="009A431B" w:rsidP="0014514B">
            <w:pPr>
              <w:rPr>
                <w:rFonts w:ascii="Arial" w:hAnsi="Arial" w:cs="Arial"/>
              </w:rPr>
            </w:pPr>
            <w:r w:rsidRPr="005F5271">
              <w:rPr>
                <w:rFonts w:ascii="Arial" w:hAnsi="Arial" w:cs="Arial"/>
                <w:color w:val="000000"/>
              </w:rPr>
              <w:t>We are concerned that migratory E</w:t>
            </w:r>
            <w:r w:rsidR="0004661B">
              <w:rPr>
                <w:rFonts w:ascii="Arial" w:hAnsi="Arial" w:cs="Arial"/>
                <w:color w:val="000000"/>
              </w:rPr>
              <w:t xml:space="preserve">L </w:t>
            </w:r>
            <w:r w:rsidRPr="005F5271">
              <w:rPr>
                <w:rFonts w:ascii="Arial" w:hAnsi="Arial" w:cs="Arial"/>
                <w:color w:val="000000"/>
              </w:rPr>
              <w:t>s</w:t>
            </w:r>
            <w:r w:rsidR="0004661B">
              <w:rPr>
                <w:rFonts w:ascii="Arial" w:hAnsi="Arial" w:cs="Arial"/>
                <w:color w:val="000000"/>
              </w:rPr>
              <w:t>tudents</w:t>
            </w:r>
            <w:r w:rsidRPr="005F5271">
              <w:rPr>
                <w:rFonts w:ascii="Arial" w:hAnsi="Arial" w:cs="Arial"/>
                <w:color w:val="000000"/>
              </w:rPr>
              <w:t xml:space="preserve"> are behind their non-migratory EL peers in English language proficiency.</w:t>
            </w:r>
          </w:p>
        </w:tc>
        <w:tc>
          <w:tcPr>
            <w:tcW w:w="1711" w:type="dxa"/>
          </w:tcPr>
          <w:p w14:paraId="24172BB4" w14:textId="10C38340" w:rsidR="009A431B" w:rsidRPr="005F5271" w:rsidRDefault="005F5271" w:rsidP="00171DE4">
            <w:pPr>
              <w:rPr>
                <w:rFonts w:ascii="Arial" w:hAnsi="Arial" w:cs="Arial"/>
              </w:rPr>
            </w:pPr>
            <w:r w:rsidRPr="00F53432">
              <w:rPr>
                <w:rFonts w:ascii="Arial" w:hAnsi="Arial" w:cs="Arial"/>
              </w:rPr>
              <w:t>Increase the number of migratory students scoring at Well Developed (Level 4) by approximately nine percentage points.</w:t>
            </w:r>
          </w:p>
        </w:tc>
      </w:tr>
    </w:tbl>
    <w:p w14:paraId="23C1C8F1" w14:textId="77777777" w:rsidR="00EB5575" w:rsidRPr="005E0053" w:rsidRDefault="00EB5575" w:rsidP="00743715">
      <w:pPr>
        <w:pStyle w:val="Heading5"/>
      </w:pPr>
      <w:bookmarkStart w:id="33" w:name="_Toc504520853"/>
      <w:r w:rsidRPr="005E0053">
        <w:lastRenderedPageBreak/>
        <w:t>High School Graduation</w:t>
      </w:r>
      <w:r w:rsidR="0084629D" w:rsidRPr="005E0053">
        <w:t xml:space="preserve"> and Dropout</w:t>
      </w:r>
      <w:r w:rsidR="0067013B" w:rsidRPr="005E0053">
        <w:t xml:space="preserve"> Rates</w:t>
      </w:r>
      <w:bookmarkEnd w:id="33"/>
      <w:r w:rsidR="0084629D" w:rsidRPr="005E0053">
        <w:t xml:space="preserve"> </w:t>
      </w:r>
    </w:p>
    <w:p w14:paraId="5C4695B9" w14:textId="54333DEC" w:rsidR="004F46DE" w:rsidRPr="005E0053" w:rsidRDefault="004F46DE" w:rsidP="00406FEE">
      <w:pPr>
        <w:contextualSpacing/>
        <w:rPr>
          <w:rFonts w:ascii="Arial" w:hAnsi="Arial" w:cs="Arial"/>
        </w:rPr>
      </w:pPr>
      <w:r w:rsidRPr="005E0053">
        <w:rPr>
          <w:rFonts w:ascii="Arial" w:hAnsi="Arial" w:cs="Arial"/>
        </w:rPr>
        <w:t xml:space="preserve">The </w:t>
      </w:r>
      <w:r w:rsidR="003044D6" w:rsidRPr="005E0053">
        <w:rPr>
          <w:rFonts w:ascii="Arial" w:hAnsi="Arial" w:cs="Arial"/>
        </w:rPr>
        <w:t>CNA/SSDP Committee</w:t>
      </w:r>
      <w:r w:rsidRPr="005E0053">
        <w:rPr>
          <w:rFonts w:ascii="Arial" w:hAnsi="Arial" w:cs="Arial"/>
        </w:rPr>
        <w:t xml:space="preserve"> reviewed the four-year adjusted cohort graduation and dropout data </w:t>
      </w:r>
      <w:r w:rsidR="003044D6" w:rsidRPr="005E0053">
        <w:rPr>
          <w:rFonts w:ascii="Arial" w:hAnsi="Arial" w:cs="Arial"/>
        </w:rPr>
        <w:t>from 2010–16</w:t>
      </w:r>
      <w:r w:rsidRPr="005E0053">
        <w:rPr>
          <w:rFonts w:ascii="Arial" w:hAnsi="Arial" w:cs="Arial"/>
        </w:rPr>
        <w:t>. Although California’s migratory student population is less likely than all students to graduate and more likely to drop out of school, migratory students appear to be closing thes</w:t>
      </w:r>
      <w:r w:rsidR="00406FEE" w:rsidRPr="005E0053">
        <w:rPr>
          <w:rFonts w:ascii="Arial" w:hAnsi="Arial" w:cs="Arial"/>
        </w:rPr>
        <w:t>e gaps. Between 2013–14 and 2015–16</w:t>
      </w:r>
      <w:r w:rsidRPr="005E0053">
        <w:rPr>
          <w:rFonts w:ascii="Arial" w:hAnsi="Arial" w:cs="Arial"/>
        </w:rPr>
        <w:t>, the graduation rate gap decreased from six percentage points to one</w:t>
      </w:r>
      <w:r w:rsidR="00406FEE" w:rsidRPr="005E0053">
        <w:rPr>
          <w:rFonts w:ascii="Arial" w:hAnsi="Arial" w:cs="Arial"/>
        </w:rPr>
        <w:t xml:space="preserve"> and six tenths of a</w:t>
      </w:r>
      <w:r w:rsidRPr="005E0053">
        <w:rPr>
          <w:rFonts w:ascii="Arial" w:hAnsi="Arial" w:cs="Arial"/>
        </w:rPr>
        <w:t xml:space="preserve"> percentage poi</w:t>
      </w:r>
      <w:r w:rsidR="00406FEE" w:rsidRPr="005E0053">
        <w:rPr>
          <w:rFonts w:ascii="Arial" w:hAnsi="Arial" w:cs="Arial"/>
        </w:rPr>
        <w:t>nt; and between 2012–13 and 2015</w:t>
      </w:r>
      <w:r w:rsidRPr="005E0053">
        <w:rPr>
          <w:rFonts w:ascii="Arial" w:hAnsi="Arial" w:cs="Arial"/>
        </w:rPr>
        <w:t>–1</w:t>
      </w:r>
      <w:r w:rsidR="00406FEE" w:rsidRPr="005E0053">
        <w:rPr>
          <w:rFonts w:ascii="Arial" w:hAnsi="Arial" w:cs="Arial"/>
        </w:rPr>
        <w:t>6</w:t>
      </w:r>
      <w:r w:rsidRPr="005E0053">
        <w:rPr>
          <w:rFonts w:ascii="Arial" w:hAnsi="Arial" w:cs="Arial"/>
        </w:rPr>
        <w:t xml:space="preserve">, the dropout rate gap declined from four percent to </w:t>
      </w:r>
      <w:r w:rsidR="00406FEE" w:rsidRPr="005E0053">
        <w:rPr>
          <w:rFonts w:ascii="Arial" w:hAnsi="Arial" w:cs="Arial"/>
        </w:rPr>
        <w:t>six tenths of</w:t>
      </w:r>
      <w:r w:rsidRPr="005E0053">
        <w:rPr>
          <w:rFonts w:ascii="Arial" w:hAnsi="Arial" w:cs="Arial"/>
        </w:rPr>
        <w:t xml:space="preserve"> a percentage point.</w:t>
      </w:r>
      <w:r w:rsidR="0037223D" w:rsidRPr="005E0053">
        <w:rPr>
          <w:rFonts w:ascii="Arial" w:hAnsi="Arial" w:cs="Arial"/>
        </w:rPr>
        <w:t xml:space="preserve"> Tables 1</w:t>
      </w:r>
      <w:r w:rsidR="00261292">
        <w:rPr>
          <w:rFonts w:ascii="Arial" w:hAnsi="Arial" w:cs="Arial"/>
        </w:rPr>
        <w:t>1</w:t>
      </w:r>
      <w:r w:rsidR="0037223D" w:rsidRPr="005E0053">
        <w:rPr>
          <w:rFonts w:ascii="Arial" w:hAnsi="Arial" w:cs="Arial"/>
        </w:rPr>
        <w:t xml:space="preserve"> and 1</w:t>
      </w:r>
      <w:r w:rsidR="00261292">
        <w:rPr>
          <w:rFonts w:ascii="Arial" w:hAnsi="Arial" w:cs="Arial"/>
        </w:rPr>
        <w:t>2</w:t>
      </w:r>
      <w:r w:rsidR="0037223D" w:rsidRPr="005E0053">
        <w:rPr>
          <w:rFonts w:ascii="Arial" w:hAnsi="Arial" w:cs="Arial"/>
        </w:rPr>
        <w:t xml:space="preserve"> summarize the</w:t>
      </w:r>
      <w:r w:rsidR="001504C1" w:rsidRPr="005E0053">
        <w:rPr>
          <w:rFonts w:ascii="Arial" w:hAnsi="Arial" w:cs="Arial"/>
        </w:rPr>
        <w:t>se</w:t>
      </w:r>
      <w:r w:rsidR="0037223D" w:rsidRPr="005E0053">
        <w:rPr>
          <w:rFonts w:ascii="Arial" w:hAnsi="Arial" w:cs="Arial"/>
        </w:rPr>
        <w:t xml:space="preserve"> data, </w:t>
      </w:r>
      <w:r w:rsidR="009A17F4" w:rsidRPr="005E0053">
        <w:rPr>
          <w:rFonts w:ascii="Arial" w:hAnsi="Arial" w:cs="Arial"/>
        </w:rPr>
        <w:t>concerns,</w:t>
      </w:r>
      <w:r w:rsidR="0037223D" w:rsidRPr="005E0053">
        <w:rPr>
          <w:rFonts w:ascii="Arial" w:hAnsi="Arial" w:cs="Arial"/>
        </w:rPr>
        <w:t xml:space="preserve"> and needs for </w:t>
      </w:r>
      <w:r w:rsidR="001504C1" w:rsidRPr="005E0053">
        <w:rPr>
          <w:rFonts w:ascii="Arial" w:hAnsi="Arial" w:cs="Arial"/>
        </w:rPr>
        <w:t>high school graduation and drop</w:t>
      </w:r>
      <w:r w:rsidR="0037223D" w:rsidRPr="005E0053">
        <w:rPr>
          <w:rFonts w:ascii="Arial" w:hAnsi="Arial" w:cs="Arial"/>
        </w:rPr>
        <w:t>out rates.</w:t>
      </w:r>
    </w:p>
    <w:p w14:paraId="1AEAC1B0" w14:textId="77777777" w:rsidR="006143B6" w:rsidRDefault="006143B6" w:rsidP="006143B6">
      <w:pPr>
        <w:pStyle w:val="Heading6"/>
        <w:spacing w:before="120"/>
        <w:jc w:val="center"/>
      </w:pPr>
      <w:r w:rsidRPr="00171DE4">
        <w:t>GOAL AREA: Graduation Rate</w:t>
      </w:r>
    </w:p>
    <w:p w14:paraId="3B152A7F" w14:textId="634374A4" w:rsidR="0000348B" w:rsidRDefault="0000348B" w:rsidP="006143B6">
      <w:pPr>
        <w:pStyle w:val="Heading6"/>
        <w:spacing w:before="120"/>
      </w:pPr>
      <w:bookmarkStart w:id="34" w:name="_Toc101961103"/>
      <w:r w:rsidRPr="005E0053">
        <w:t xml:space="preserve">Table </w:t>
      </w:r>
      <w:fldSimple w:instr=" SEQ Table \* ARABIC ">
        <w:r w:rsidR="00261292">
          <w:rPr>
            <w:noProof/>
          </w:rPr>
          <w:t>11</w:t>
        </w:r>
      </w:fldSimple>
      <w:r w:rsidRPr="005E0053">
        <w:t>. Data Summary, Concern Statement</w:t>
      </w:r>
      <w:r w:rsidR="00582AFB" w:rsidRPr="005E0053">
        <w:t>, and Need</w:t>
      </w:r>
      <w:r w:rsidRPr="005E0053">
        <w:t xml:space="preserve"> Statement for High School Graduation</w:t>
      </w:r>
      <w:bookmarkEnd w:id="34"/>
    </w:p>
    <w:tbl>
      <w:tblPr>
        <w:tblStyle w:val="GridTable4-Accent5"/>
        <w:tblW w:w="0" w:type="auto"/>
        <w:tblLook w:val="0420" w:firstRow="1" w:lastRow="0" w:firstColumn="0" w:lastColumn="0" w:noHBand="0" w:noVBand="1"/>
        <w:tblDescription w:val="Data Summary, Concern Statement, and Need Statement for High School Graduation"/>
      </w:tblPr>
      <w:tblGrid>
        <w:gridCol w:w="5341"/>
        <w:gridCol w:w="2211"/>
        <w:gridCol w:w="1798"/>
      </w:tblGrid>
      <w:tr w:rsidR="00221841" w:rsidRPr="00455E68" w14:paraId="1A04F988"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5508" w:type="dxa"/>
            <w:tcBorders>
              <w:right w:val="single" w:sz="4" w:space="0" w:color="4472C4"/>
            </w:tcBorders>
            <w:shd w:val="clear" w:color="auto" w:fill="1F3864" w:themeFill="accent5" w:themeFillShade="80"/>
            <w:vAlign w:val="center"/>
          </w:tcPr>
          <w:p w14:paraId="360C0E66" w14:textId="77777777" w:rsidR="00171DE4" w:rsidRPr="00455E68" w:rsidRDefault="00171DE4" w:rsidP="00E53F38">
            <w:pPr>
              <w:jc w:val="center"/>
              <w:rPr>
                <w:rFonts w:ascii="Arial" w:hAnsi="Arial" w:cs="Arial"/>
                <w:b w:val="0"/>
                <w:color w:val="FFFFFF"/>
              </w:rPr>
            </w:pPr>
            <w:r w:rsidRPr="00455E68">
              <w:rPr>
                <w:rFonts w:ascii="Arial" w:hAnsi="Arial" w:cs="Arial"/>
                <w:color w:val="FFFFFF"/>
              </w:rPr>
              <w:t>Data Summary:</w:t>
            </w:r>
          </w:p>
          <w:p w14:paraId="079124BE" w14:textId="77777777" w:rsidR="00171DE4" w:rsidRPr="00455E68" w:rsidRDefault="00171DE4" w:rsidP="00E53F38">
            <w:pPr>
              <w:jc w:val="center"/>
              <w:rPr>
                <w:rFonts w:ascii="Arial" w:hAnsi="Arial" w:cs="Arial"/>
                <w:color w:val="FFFFFF"/>
              </w:rPr>
            </w:pPr>
            <w:r w:rsidRPr="00455E68">
              <w:rPr>
                <w:rFonts w:ascii="Arial" w:hAnsi="Arial" w:cs="Arial"/>
                <w:color w:val="FFFFFF"/>
              </w:rPr>
              <w:t>Trends in High School Graduation Rate, 2010–16</w:t>
            </w:r>
          </w:p>
        </w:tc>
        <w:tc>
          <w:tcPr>
            <w:tcW w:w="2250" w:type="dxa"/>
            <w:tcBorders>
              <w:left w:val="single" w:sz="4" w:space="0" w:color="4472C4"/>
              <w:right w:val="single" w:sz="4" w:space="0" w:color="4472C4"/>
            </w:tcBorders>
            <w:shd w:val="clear" w:color="auto" w:fill="1F3864" w:themeFill="accent5" w:themeFillShade="80"/>
            <w:vAlign w:val="center"/>
          </w:tcPr>
          <w:p w14:paraId="663B3DA6" w14:textId="77777777" w:rsidR="00171DE4" w:rsidRPr="00455E68" w:rsidRDefault="00221841" w:rsidP="00E53F38">
            <w:pPr>
              <w:pStyle w:val="ListParagraph"/>
              <w:ind w:left="-14"/>
              <w:contextualSpacing w:val="0"/>
              <w:jc w:val="center"/>
              <w:rPr>
                <w:rFonts w:ascii="Arial" w:hAnsi="Arial" w:cs="Arial"/>
                <w:color w:val="FFFFFF"/>
              </w:rPr>
            </w:pPr>
            <w:r w:rsidRPr="00455E68">
              <w:rPr>
                <w:rFonts w:ascii="Arial" w:hAnsi="Arial" w:cs="Arial"/>
                <w:color w:val="FFFFFF"/>
              </w:rPr>
              <w:t>Concern Statement</w:t>
            </w:r>
          </w:p>
        </w:tc>
        <w:tc>
          <w:tcPr>
            <w:tcW w:w="1818" w:type="dxa"/>
            <w:tcBorders>
              <w:left w:val="single" w:sz="4" w:space="0" w:color="4472C4"/>
            </w:tcBorders>
            <w:shd w:val="clear" w:color="auto" w:fill="1F3864" w:themeFill="accent5" w:themeFillShade="80"/>
            <w:vAlign w:val="center"/>
          </w:tcPr>
          <w:p w14:paraId="09B90517" w14:textId="77777777" w:rsidR="00171DE4" w:rsidRPr="00455E68" w:rsidRDefault="00221841" w:rsidP="00E53F38">
            <w:pPr>
              <w:pStyle w:val="ListParagraph"/>
              <w:ind w:left="-14"/>
              <w:contextualSpacing w:val="0"/>
              <w:jc w:val="center"/>
              <w:rPr>
                <w:rFonts w:ascii="Arial" w:hAnsi="Arial" w:cs="Arial"/>
                <w:b w:val="0"/>
                <w:color w:val="FFFFFF"/>
              </w:rPr>
            </w:pPr>
            <w:r w:rsidRPr="00455E68">
              <w:rPr>
                <w:rFonts w:ascii="Arial" w:hAnsi="Arial" w:cs="Arial"/>
                <w:color w:val="FFFFFF"/>
              </w:rPr>
              <w:t>Need Statement</w:t>
            </w:r>
          </w:p>
        </w:tc>
      </w:tr>
      <w:tr w:rsidR="00171DE4" w:rsidRPr="00F62746" w14:paraId="0670389C"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5508" w:type="dxa"/>
          </w:tcPr>
          <w:p w14:paraId="4BE59665" w14:textId="77777777" w:rsidR="00221841" w:rsidRPr="00F62746" w:rsidRDefault="00221841" w:rsidP="00221841">
            <w:pPr>
              <w:pStyle w:val="ListParagraph"/>
              <w:numPr>
                <w:ilvl w:val="0"/>
                <w:numId w:val="17"/>
              </w:numPr>
              <w:ind w:left="346"/>
              <w:contextualSpacing w:val="0"/>
              <w:rPr>
                <w:rFonts w:ascii="Arial" w:hAnsi="Arial" w:cs="Arial"/>
              </w:rPr>
            </w:pPr>
            <w:r w:rsidRPr="00F62746">
              <w:rPr>
                <w:rFonts w:ascii="Arial" w:hAnsi="Arial" w:cs="Arial"/>
                <w:b/>
              </w:rPr>
              <w:t>Migratory Students:</w:t>
            </w:r>
            <w:r w:rsidRPr="00F62746">
              <w:rPr>
                <w:rFonts w:ascii="Arial" w:hAnsi="Arial" w:cs="Arial"/>
              </w:rPr>
              <w:t xml:space="preserve"> 82 percent graduated high school in 2015–16. </w:t>
            </w:r>
          </w:p>
          <w:p w14:paraId="41C77F2D" w14:textId="77777777" w:rsidR="00221841" w:rsidRDefault="00221841" w:rsidP="00221841">
            <w:pPr>
              <w:pStyle w:val="ListParagraph"/>
              <w:numPr>
                <w:ilvl w:val="0"/>
                <w:numId w:val="17"/>
              </w:numPr>
              <w:ind w:left="346"/>
              <w:contextualSpacing w:val="0"/>
              <w:rPr>
                <w:rFonts w:ascii="Arial" w:hAnsi="Arial" w:cs="Arial"/>
              </w:rPr>
            </w:pPr>
            <w:r w:rsidRPr="00F62746">
              <w:rPr>
                <w:rFonts w:ascii="Arial" w:hAnsi="Arial" w:cs="Arial"/>
                <w:b/>
              </w:rPr>
              <w:t>All Students:</w:t>
            </w:r>
            <w:r w:rsidRPr="00F62746">
              <w:rPr>
                <w:rFonts w:ascii="Arial" w:hAnsi="Arial" w:cs="Arial"/>
              </w:rPr>
              <w:t xml:space="preserve"> 83 percent graduated high school in 2015–16.</w:t>
            </w:r>
          </w:p>
          <w:p w14:paraId="1D66BD10" w14:textId="77777777" w:rsidR="00171DE4" w:rsidRPr="00221841" w:rsidRDefault="00221841" w:rsidP="00221841">
            <w:pPr>
              <w:pStyle w:val="ListParagraph"/>
              <w:numPr>
                <w:ilvl w:val="0"/>
                <w:numId w:val="17"/>
              </w:numPr>
              <w:ind w:left="346"/>
              <w:contextualSpacing w:val="0"/>
              <w:rPr>
                <w:rFonts w:ascii="Arial" w:hAnsi="Arial" w:cs="Arial"/>
              </w:rPr>
            </w:pPr>
            <w:r w:rsidRPr="00221841">
              <w:rPr>
                <w:rFonts w:ascii="Arial" w:hAnsi="Arial" w:cs="Arial"/>
              </w:rPr>
              <w:t>In 2015–16, the gap for high school graduation increased by a tenth of a percentage to 1.6 percent. Migratory Students were 1.5 percentage points less likely to graduate than All Students in 2014–15; a 3.2 percent decrease from 2013–14. The gap stayed fairly consistent from 2010–11 to 2013–14 at between four and five percent.</w:t>
            </w:r>
          </w:p>
        </w:tc>
        <w:tc>
          <w:tcPr>
            <w:tcW w:w="2250" w:type="dxa"/>
          </w:tcPr>
          <w:p w14:paraId="096FCEE1" w14:textId="77777777" w:rsidR="00171DE4" w:rsidRPr="00F62746" w:rsidRDefault="00221841" w:rsidP="007C3B79">
            <w:pPr>
              <w:rPr>
                <w:rFonts w:ascii="Arial" w:hAnsi="Arial" w:cs="Arial"/>
              </w:rPr>
            </w:pPr>
            <w:r w:rsidRPr="00F62746">
              <w:rPr>
                <w:rFonts w:ascii="Arial" w:hAnsi="Arial" w:cs="Arial"/>
              </w:rPr>
              <w:t>We are concerned that migratory students are not graduating at the same rate as their non-migratory peers.</w:t>
            </w:r>
          </w:p>
        </w:tc>
        <w:tc>
          <w:tcPr>
            <w:tcW w:w="1818" w:type="dxa"/>
          </w:tcPr>
          <w:p w14:paraId="21604CD5" w14:textId="77777777" w:rsidR="00171DE4" w:rsidRPr="00F62746" w:rsidRDefault="00171DE4" w:rsidP="007C3B79">
            <w:pPr>
              <w:rPr>
                <w:rFonts w:ascii="Arial" w:hAnsi="Arial" w:cs="Arial"/>
              </w:rPr>
            </w:pPr>
            <w:r w:rsidRPr="00F62746">
              <w:rPr>
                <w:rFonts w:ascii="Arial" w:hAnsi="Arial" w:cs="Arial"/>
              </w:rPr>
              <w:t>Increase the number of migratory students graduating high school by 1.6 percent.</w:t>
            </w:r>
          </w:p>
        </w:tc>
      </w:tr>
    </w:tbl>
    <w:p w14:paraId="1A38791D" w14:textId="77777777" w:rsidR="006143B6" w:rsidRDefault="006143B6" w:rsidP="006143B6">
      <w:pPr>
        <w:pStyle w:val="Heading6"/>
        <w:jc w:val="center"/>
      </w:pPr>
      <w:r w:rsidRPr="00221841">
        <w:lastRenderedPageBreak/>
        <w:t>GOAL AREA: Dropout Rate</w:t>
      </w:r>
    </w:p>
    <w:p w14:paraId="038B091B" w14:textId="341FD7CE" w:rsidR="0000348B" w:rsidRDefault="008B0200" w:rsidP="006143B6">
      <w:pPr>
        <w:pStyle w:val="Heading6"/>
        <w:spacing w:before="120"/>
      </w:pPr>
      <w:bookmarkStart w:id="35" w:name="_Toc101961104"/>
      <w:r w:rsidRPr="005E0053">
        <w:t xml:space="preserve">Table </w:t>
      </w:r>
      <w:fldSimple w:instr=" SEQ Table \* ARABIC ">
        <w:r w:rsidR="00261292">
          <w:rPr>
            <w:noProof/>
          </w:rPr>
          <w:t>12</w:t>
        </w:r>
      </w:fldSimple>
      <w:r w:rsidRPr="005E0053">
        <w:t>. Data Summary, Concern Statement</w:t>
      </w:r>
      <w:r w:rsidR="00582AFB" w:rsidRPr="005E0053">
        <w:t>, and Need</w:t>
      </w:r>
      <w:r w:rsidRPr="005E0053">
        <w:t xml:space="preserve"> Statement for High School Dropout Rate</w:t>
      </w:r>
      <w:bookmarkEnd w:id="35"/>
    </w:p>
    <w:tbl>
      <w:tblPr>
        <w:tblStyle w:val="GridTable4-Accent1"/>
        <w:tblW w:w="0" w:type="auto"/>
        <w:tblLook w:val="0420" w:firstRow="1" w:lastRow="0" w:firstColumn="0" w:lastColumn="0" w:noHBand="0" w:noVBand="1"/>
        <w:tblDescription w:val="Data Summary, Concern Statement, and Need Statement for High School Dropout Rate"/>
      </w:tblPr>
      <w:tblGrid>
        <w:gridCol w:w="5485"/>
        <w:gridCol w:w="2242"/>
        <w:gridCol w:w="1623"/>
      </w:tblGrid>
      <w:tr w:rsidR="00221841" w:rsidRPr="00F62746" w14:paraId="37F852AE"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5485" w:type="dxa"/>
            <w:tcBorders>
              <w:right w:val="single" w:sz="4" w:space="0" w:color="4472C4"/>
            </w:tcBorders>
            <w:shd w:val="clear" w:color="auto" w:fill="1F3864" w:themeFill="accent5" w:themeFillShade="80"/>
            <w:vAlign w:val="center"/>
          </w:tcPr>
          <w:p w14:paraId="07E913CC" w14:textId="77777777" w:rsidR="00221841" w:rsidRPr="00455E68" w:rsidRDefault="00221841" w:rsidP="00E53F38">
            <w:pPr>
              <w:jc w:val="center"/>
              <w:rPr>
                <w:rFonts w:ascii="Arial" w:hAnsi="Arial" w:cs="Arial"/>
                <w:b w:val="0"/>
                <w:color w:val="FFFFFF"/>
              </w:rPr>
            </w:pPr>
            <w:r w:rsidRPr="00455E68">
              <w:rPr>
                <w:rFonts w:ascii="Arial" w:hAnsi="Arial" w:cs="Arial"/>
                <w:color w:val="FFFFFF"/>
              </w:rPr>
              <w:t>Data Summary:</w:t>
            </w:r>
          </w:p>
          <w:p w14:paraId="13A93B6D" w14:textId="77777777" w:rsidR="00221841" w:rsidRPr="00455E68" w:rsidRDefault="00221841" w:rsidP="00E53F38">
            <w:pPr>
              <w:jc w:val="center"/>
              <w:rPr>
                <w:rFonts w:ascii="Arial" w:hAnsi="Arial" w:cs="Arial"/>
                <w:color w:val="FFFFFF"/>
              </w:rPr>
            </w:pPr>
            <w:r w:rsidRPr="00455E68">
              <w:rPr>
                <w:rFonts w:ascii="Arial" w:hAnsi="Arial" w:cs="Arial"/>
                <w:color w:val="FFFFFF"/>
              </w:rPr>
              <w:t>Trends in High School Dropout Rate, 2010–16</w:t>
            </w:r>
          </w:p>
        </w:tc>
        <w:tc>
          <w:tcPr>
            <w:tcW w:w="2242" w:type="dxa"/>
            <w:tcBorders>
              <w:left w:val="single" w:sz="4" w:space="0" w:color="4472C4"/>
              <w:right w:val="single" w:sz="4" w:space="0" w:color="4472C4"/>
            </w:tcBorders>
            <w:shd w:val="clear" w:color="auto" w:fill="1F3864" w:themeFill="accent5" w:themeFillShade="80"/>
            <w:vAlign w:val="center"/>
          </w:tcPr>
          <w:p w14:paraId="5E596E8E" w14:textId="77777777" w:rsidR="00221841" w:rsidRPr="00455E68" w:rsidRDefault="00221841" w:rsidP="00E53F38">
            <w:pPr>
              <w:pStyle w:val="ListParagraph"/>
              <w:ind w:left="-18"/>
              <w:jc w:val="center"/>
              <w:rPr>
                <w:rFonts w:ascii="Arial" w:hAnsi="Arial" w:cs="Arial"/>
                <w:color w:val="FFFFFF"/>
              </w:rPr>
            </w:pPr>
            <w:r w:rsidRPr="00455E68">
              <w:rPr>
                <w:rFonts w:ascii="Arial" w:hAnsi="Arial" w:cs="Arial"/>
                <w:color w:val="FFFFFF"/>
              </w:rPr>
              <w:t>Concern Statement</w:t>
            </w:r>
          </w:p>
        </w:tc>
        <w:tc>
          <w:tcPr>
            <w:tcW w:w="1623" w:type="dxa"/>
            <w:tcBorders>
              <w:left w:val="single" w:sz="4" w:space="0" w:color="4472C4"/>
            </w:tcBorders>
            <w:shd w:val="clear" w:color="auto" w:fill="1F3864" w:themeFill="accent5" w:themeFillShade="80"/>
            <w:vAlign w:val="center"/>
          </w:tcPr>
          <w:p w14:paraId="27F33300" w14:textId="77777777" w:rsidR="00221841" w:rsidRPr="00455E68" w:rsidRDefault="00221841" w:rsidP="00E53F38">
            <w:pPr>
              <w:pStyle w:val="ListParagraph"/>
              <w:ind w:left="-18"/>
              <w:jc w:val="center"/>
              <w:rPr>
                <w:rFonts w:ascii="Arial" w:hAnsi="Arial" w:cs="Arial"/>
                <w:b w:val="0"/>
                <w:color w:val="FFFFFF"/>
              </w:rPr>
            </w:pPr>
            <w:r w:rsidRPr="00455E68">
              <w:rPr>
                <w:rFonts w:ascii="Arial" w:hAnsi="Arial" w:cs="Arial"/>
                <w:color w:val="FFFFFF"/>
              </w:rPr>
              <w:t>Need Statement</w:t>
            </w:r>
          </w:p>
        </w:tc>
      </w:tr>
      <w:tr w:rsidR="00221841" w:rsidRPr="00F62746" w14:paraId="63ACA15B"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5485" w:type="dxa"/>
          </w:tcPr>
          <w:p w14:paraId="4C88A238" w14:textId="77777777" w:rsidR="00221841" w:rsidRPr="00F62746" w:rsidRDefault="00221841" w:rsidP="007D443E">
            <w:pPr>
              <w:pStyle w:val="ListParagraph"/>
              <w:numPr>
                <w:ilvl w:val="0"/>
                <w:numId w:val="24"/>
              </w:numPr>
              <w:ind w:left="342"/>
              <w:rPr>
                <w:rFonts w:ascii="Arial" w:hAnsi="Arial" w:cs="Arial"/>
              </w:rPr>
            </w:pPr>
            <w:r w:rsidRPr="00F62746">
              <w:rPr>
                <w:rFonts w:ascii="Arial" w:hAnsi="Arial" w:cs="Arial"/>
                <w:b/>
              </w:rPr>
              <w:t>Migratory Students:</w:t>
            </w:r>
            <w:r w:rsidRPr="00F62746">
              <w:rPr>
                <w:rFonts w:ascii="Arial" w:hAnsi="Arial" w:cs="Arial"/>
              </w:rPr>
              <w:t xml:space="preserve"> 10.4 percent dropped out of high school in 2015–16.</w:t>
            </w:r>
          </w:p>
          <w:p w14:paraId="30C42359" w14:textId="77777777" w:rsidR="00221841" w:rsidRPr="00F62746" w:rsidRDefault="00221841" w:rsidP="007D443E">
            <w:pPr>
              <w:pStyle w:val="ListParagraph"/>
              <w:numPr>
                <w:ilvl w:val="0"/>
                <w:numId w:val="24"/>
              </w:numPr>
              <w:ind w:left="342"/>
              <w:rPr>
                <w:rFonts w:ascii="Arial" w:hAnsi="Arial" w:cs="Arial"/>
              </w:rPr>
            </w:pPr>
            <w:r w:rsidRPr="00F62746">
              <w:rPr>
                <w:rFonts w:ascii="Arial" w:hAnsi="Arial" w:cs="Arial"/>
                <w:b/>
              </w:rPr>
              <w:t>All Students:</w:t>
            </w:r>
            <w:r w:rsidRPr="00F62746">
              <w:rPr>
                <w:rFonts w:ascii="Arial" w:hAnsi="Arial" w:cs="Arial"/>
              </w:rPr>
              <w:t xml:space="preserve"> 9.8 percent dropped out of high school in 2015–16.</w:t>
            </w:r>
          </w:p>
          <w:p w14:paraId="6F8CE179" w14:textId="77777777" w:rsidR="00221841" w:rsidRDefault="00221841" w:rsidP="007D443E">
            <w:pPr>
              <w:pStyle w:val="ListParagraph"/>
              <w:numPr>
                <w:ilvl w:val="0"/>
                <w:numId w:val="24"/>
              </w:numPr>
              <w:ind w:left="342"/>
              <w:rPr>
                <w:rFonts w:ascii="Arial" w:hAnsi="Arial" w:cs="Arial"/>
              </w:rPr>
            </w:pPr>
            <w:r w:rsidRPr="00F62746">
              <w:rPr>
                <w:rFonts w:ascii="Arial" w:hAnsi="Arial" w:cs="Arial"/>
              </w:rPr>
              <w:t xml:space="preserve">Migratory Students’ dropout rate has steadily decreased since 2010–11. </w:t>
            </w:r>
          </w:p>
          <w:p w14:paraId="0AB2DE7D" w14:textId="77777777" w:rsidR="00221841" w:rsidRPr="00221841" w:rsidRDefault="00221841" w:rsidP="007D443E">
            <w:pPr>
              <w:pStyle w:val="ListParagraph"/>
              <w:numPr>
                <w:ilvl w:val="0"/>
                <w:numId w:val="24"/>
              </w:numPr>
              <w:ind w:left="342"/>
              <w:rPr>
                <w:rFonts w:ascii="Arial" w:hAnsi="Arial" w:cs="Arial"/>
              </w:rPr>
            </w:pPr>
            <w:r w:rsidRPr="00221841">
              <w:rPr>
                <w:rFonts w:ascii="Arial" w:hAnsi="Arial" w:cs="Arial"/>
              </w:rPr>
              <w:t>Migratory Students were six tenths of a percentage more likely to drop out of high school in 2015–16.</w:t>
            </w:r>
          </w:p>
        </w:tc>
        <w:tc>
          <w:tcPr>
            <w:tcW w:w="2242" w:type="dxa"/>
          </w:tcPr>
          <w:p w14:paraId="0B0E1AE2" w14:textId="77777777" w:rsidR="00221841" w:rsidRPr="00F62746" w:rsidRDefault="00221841" w:rsidP="001717FE">
            <w:pPr>
              <w:rPr>
                <w:rFonts w:ascii="Arial" w:hAnsi="Arial" w:cs="Arial"/>
              </w:rPr>
            </w:pPr>
            <w:r w:rsidRPr="00F62746">
              <w:rPr>
                <w:rFonts w:ascii="Arial" w:hAnsi="Arial" w:cs="Arial"/>
              </w:rPr>
              <w:t>We are concerned that migratory students are more likely to drop out of school than are non-migratory students.</w:t>
            </w:r>
          </w:p>
        </w:tc>
        <w:tc>
          <w:tcPr>
            <w:tcW w:w="1623" w:type="dxa"/>
          </w:tcPr>
          <w:p w14:paraId="372A0FCB" w14:textId="77777777" w:rsidR="00221841" w:rsidRPr="00F62746" w:rsidRDefault="00221841" w:rsidP="001717FE">
            <w:pPr>
              <w:rPr>
                <w:rFonts w:ascii="Arial" w:hAnsi="Arial" w:cs="Arial"/>
              </w:rPr>
            </w:pPr>
            <w:r w:rsidRPr="00F62746">
              <w:rPr>
                <w:rFonts w:ascii="Arial" w:hAnsi="Arial" w:cs="Arial"/>
              </w:rPr>
              <w:t>Decrease the number of migratory students dropping out of high school by 0.6 percent.</w:t>
            </w:r>
          </w:p>
        </w:tc>
      </w:tr>
    </w:tbl>
    <w:p w14:paraId="70B70C41" w14:textId="77777777" w:rsidR="00375907" w:rsidRPr="005E0053" w:rsidRDefault="00375907" w:rsidP="00743715">
      <w:pPr>
        <w:pStyle w:val="Heading5"/>
      </w:pPr>
      <w:bookmarkStart w:id="36" w:name="_Toc504520854"/>
      <w:r w:rsidRPr="005E0053">
        <w:t>School Readiness</w:t>
      </w:r>
      <w:bookmarkEnd w:id="36"/>
    </w:p>
    <w:p w14:paraId="395DFE8B" w14:textId="4CDB6B7A" w:rsidR="0037223D" w:rsidRPr="005E0053" w:rsidRDefault="00F419D3" w:rsidP="00A04995">
      <w:pPr>
        <w:contextualSpacing/>
        <w:rPr>
          <w:rFonts w:ascii="Arial" w:hAnsi="Arial" w:cs="Arial"/>
        </w:rPr>
      </w:pPr>
      <w:r w:rsidRPr="005E0053">
        <w:rPr>
          <w:rFonts w:ascii="Arial" w:hAnsi="Arial" w:cs="Arial"/>
        </w:rPr>
        <w:t xml:space="preserve">Due to statewide data limitations, much of the discussion regarding achievement centered on </w:t>
      </w:r>
      <w:r w:rsidR="00C52B3A">
        <w:rPr>
          <w:rFonts w:ascii="Arial" w:hAnsi="Arial" w:cs="Arial"/>
        </w:rPr>
        <w:t>the CNA/SSDP Committee</w:t>
      </w:r>
      <w:r w:rsidR="00C52B3A" w:rsidRPr="005E0053">
        <w:rPr>
          <w:rFonts w:ascii="Arial" w:hAnsi="Arial" w:cs="Arial"/>
        </w:rPr>
        <w:t xml:space="preserve"> </w:t>
      </w:r>
      <w:r w:rsidRPr="005E0053">
        <w:rPr>
          <w:rFonts w:ascii="Arial" w:hAnsi="Arial" w:cs="Arial"/>
        </w:rPr>
        <w:t xml:space="preserve">expertise </w:t>
      </w:r>
      <w:r w:rsidR="00496925" w:rsidRPr="005E0053">
        <w:rPr>
          <w:rFonts w:ascii="Arial" w:hAnsi="Arial" w:cs="Arial"/>
        </w:rPr>
        <w:t>of</w:t>
      </w:r>
      <w:r w:rsidRPr="005E0053">
        <w:rPr>
          <w:rFonts w:ascii="Arial" w:hAnsi="Arial" w:cs="Arial"/>
        </w:rPr>
        <w:t xml:space="preserve"> local part and full-time </w:t>
      </w:r>
      <w:r w:rsidR="00496925" w:rsidRPr="005E0053">
        <w:rPr>
          <w:rFonts w:ascii="Arial" w:hAnsi="Arial" w:cs="Arial"/>
        </w:rPr>
        <w:t xml:space="preserve">school readiness </w:t>
      </w:r>
      <w:r w:rsidR="0037223D" w:rsidRPr="005E0053">
        <w:rPr>
          <w:rFonts w:ascii="Arial" w:hAnsi="Arial" w:cs="Arial"/>
        </w:rPr>
        <w:t>service</w:t>
      </w:r>
      <w:r w:rsidRPr="005E0053">
        <w:rPr>
          <w:rFonts w:ascii="Arial" w:hAnsi="Arial" w:cs="Arial"/>
        </w:rPr>
        <w:t>s in addition to student and parent participation data.</w:t>
      </w:r>
      <w:r w:rsidR="0037223D" w:rsidRPr="005E0053">
        <w:rPr>
          <w:rFonts w:ascii="Arial" w:hAnsi="Arial" w:cs="Arial"/>
        </w:rPr>
        <w:t xml:space="preserve"> Tables 1</w:t>
      </w:r>
      <w:r w:rsidR="00261292">
        <w:rPr>
          <w:rFonts w:ascii="Arial" w:hAnsi="Arial" w:cs="Arial"/>
        </w:rPr>
        <w:t>3</w:t>
      </w:r>
      <w:r w:rsidR="0037223D" w:rsidRPr="005E0053">
        <w:rPr>
          <w:rFonts w:ascii="Arial" w:hAnsi="Arial" w:cs="Arial"/>
        </w:rPr>
        <w:t xml:space="preserve"> and 1</w:t>
      </w:r>
      <w:r w:rsidR="00261292">
        <w:rPr>
          <w:rFonts w:ascii="Arial" w:hAnsi="Arial" w:cs="Arial"/>
        </w:rPr>
        <w:t>4</w:t>
      </w:r>
      <w:r w:rsidR="0037223D" w:rsidRPr="005E0053">
        <w:rPr>
          <w:rFonts w:ascii="Arial" w:hAnsi="Arial" w:cs="Arial"/>
        </w:rPr>
        <w:t xml:space="preserve"> summarize the data, concerns</w:t>
      </w:r>
      <w:r w:rsidR="00582AFB" w:rsidRPr="005E0053">
        <w:rPr>
          <w:rFonts w:ascii="Arial" w:hAnsi="Arial" w:cs="Arial"/>
        </w:rPr>
        <w:t>, and need</w:t>
      </w:r>
      <w:r w:rsidR="0037223D" w:rsidRPr="005E0053">
        <w:rPr>
          <w:rFonts w:ascii="Arial" w:hAnsi="Arial" w:cs="Arial"/>
        </w:rPr>
        <w:t xml:space="preserve"> for the two goal areas.</w:t>
      </w:r>
    </w:p>
    <w:p w14:paraId="65FAE7BF" w14:textId="77777777" w:rsidR="006143B6" w:rsidRDefault="006143B6" w:rsidP="006143B6">
      <w:pPr>
        <w:pStyle w:val="Heading6"/>
        <w:jc w:val="center"/>
      </w:pPr>
      <w:r w:rsidRPr="00221841">
        <w:t>GOAL AREA: Primary and Secondary Language Development</w:t>
      </w:r>
    </w:p>
    <w:p w14:paraId="65996EA4" w14:textId="1A5B1ACD" w:rsidR="008B0200" w:rsidRDefault="008B0200" w:rsidP="006143B6">
      <w:pPr>
        <w:pStyle w:val="Heading6"/>
        <w:spacing w:before="120"/>
      </w:pPr>
      <w:bookmarkStart w:id="37" w:name="_Toc101961105"/>
      <w:r w:rsidRPr="005E0053">
        <w:t xml:space="preserve">Table </w:t>
      </w:r>
      <w:fldSimple w:instr=" SEQ Table \* ARABIC ">
        <w:r w:rsidR="00261292">
          <w:rPr>
            <w:noProof/>
          </w:rPr>
          <w:t>13</w:t>
        </w:r>
      </w:fldSimple>
      <w:r w:rsidRPr="005E0053">
        <w:t>. Data Summary, Concern Statement</w:t>
      </w:r>
      <w:r w:rsidR="00631351" w:rsidRPr="005E0053">
        <w:t>, and Need</w:t>
      </w:r>
      <w:r w:rsidRPr="005E0053">
        <w:t xml:space="preserve"> Statement for School Readiness: Primary and Secondary Language Development</w:t>
      </w:r>
      <w:bookmarkEnd w:id="37"/>
    </w:p>
    <w:tbl>
      <w:tblPr>
        <w:tblStyle w:val="GridTable4-Accent1"/>
        <w:tblW w:w="0" w:type="auto"/>
        <w:tblLook w:val="0420" w:firstRow="1" w:lastRow="0" w:firstColumn="0" w:lastColumn="0" w:noHBand="0" w:noVBand="1"/>
        <w:tblDescription w:val="Data Summary, Concern Statement, and Need Statement for School Readiness: Primary and Secondary Language Development"/>
      </w:tblPr>
      <w:tblGrid>
        <w:gridCol w:w="5079"/>
        <w:gridCol w:w="2211"/>
        <w:gridCol w:w="2060"/>
      </w:tblGrid>
      <w:tr w:rsidR="00221841" w:rsidRPr="00455E68" w14:paraId="77776856"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5238" w:type="dxa"/>
            <w:tcBorders>
              <w:right w:val="single" w:sz="4" w:space="0" w:color="4472C4"/>
            </w:tcBorders>
            <w:shd w:val="clear" w:color="auto" w:fill="1F3864" w:themeFill="accent5" w:themeFillShade="80"/>
            <w:vAlign w:val="center"/>
          </w:tcPr>
          <w:p w14:paraId="4A3664C4" w14:textId="18B6F64C" w:rsidR="00221841" w:rsidRPr="0073568C" w:rsidRDefault="0073568C" w:rsidP="00E53F38">
            <w:pPr>
              <w:jc w:val="center"/>
              <w:rPr>
                <w:rFonts w:ascii="Arial" w:hAnsi="Arial" w:cs="Arial"/>
                <w:b w:val="0"/>
                <w:color w:val="FFFFFF"/>
              </w:rPr>
            </w:pPr>
            <w:r>
              <w:rPr>
                <w:rFonts w:ascii="Arial" w:hAnsi="Arial" w:cs="Arial"/>
                <w:color w:val="FFFFFF"/>
              </w:rPr>
              <w:t xml:space="preserve">Data Summary: </w:t>
            </w:r>
            <w:r w:rsidR="00221841" w:rsidRPr="00455E68">
              <w:rPr>
                <w:rFonts w:ascii="Arial" w:hAnsi="Arial" w:cs="Arial"/>
                <w:color w:val="FFFFFF"/>
              </w:rPr>
              <w:t>Qualitative Data</w:t>
            </w:r>
            <w:r w:rsidR="00C52B3A">
              <w:rPr>
                <w:rFonts w:ascii="Arial" w:hAnsi="Arial" w:cs="Arial"/>
                <w:color w:val="FFFFFF"/>
              </w:rPr>
              <w:t xml:space="preserve"> from the CNA/SSDP Committee</w:t>
            </w:r>
          </w:p>
        </w:tc>
        <w:tc>
          <w:tcPr>
            <w:tcW w:w="2250" w:type="dxa"/>
            <w:tcBorders>
              <w:left w:val="single" w:sz="4" w:space="0" w:color="4472C4"/>
              <w:right w:val="single" w:sz="4" w:space="0" w:color="4472C4"/>
            </w:tcBorders>
            <w:shd w:val="clear" w:color="auto" w:fill="1F3864" w:themeFill="accent5" w:themeFillShade="80"/>
            <w:vAlign w:val="center"/>
          </w:tcPr>
          <w:p w14:paraId="23C48F38" w14:textId="77777777" w:rsidR="00221841" w:rsidRPr="00455E68" w:rsidRDefault="00221841" w:rsidP="00E53F38">
            <w:pPr>
              <w:pStyle w:val="ListParagraph"/>
              <w:ind w:left="0"/>
              <w:jc w:val="center"/>
              <w:rPr>
                <w:rFonts w:ascii="Arial" w:hAnsi="Arial" w:cs="Arial"/>
                <w:color w:val="FFFFFF"/>
              </w:rPr>
            </w:pPr>
            <w:r w:rsidRPr="00455E68">
              <w:rPr>
                <w:rFonts w:ascii="Arial" w:hAnsi="Arial" w:cs="Arial"/>
                <w:color w:val="FFFFFF"/>
              </w:rPr>
              <w:t>Concern Statement</w:t>
            </w:r>
          </w:p>
        </w:tc>
        <w:tc>
          <w:tcPr>
            <w:tcW w:w="2088" w:type="dxa"/>
            <w:tcBorders>
              <w:left w:val="single" w:sz="4" w:space="0" w:color="4472C4"/>
            </w:tcBorders>
            <w:shd w:val="clear" w:color="auto" w:fill="1F3864" w:themeFill="accent5" w:themeFillShade="80"/>
            <w:vAlign w:val="center"/>
          </w:tcPr>
          <w:p w14:paraId="46B70CEB" w14:textId="77777777" w:rsidR="00221841" w:rsidRPr="00455E68" w:rsidRDefault="00221841" w:rsidP="00E53F38">
            <w:pPr>
              <w:pStyle w:val="ListParagraph"/>
              <w:ind w:left="0"/>
              <w:jc w:val="center"/>
              <w:rPr>
                <w:rFonts w:ascii="Arial" w:hAnsi="Arial" w:cs="Arial"/>
                <w:color w:val="FFFFFF"/>
              </w:rPr>
            </w:pPr>
            <w:r w:rsidRPr="00455E68">
              <w:rPr>
                <w:rFonts w:ascii="Arial" w:hAnsi="Arial" w:cs="Arial"/>
                <w:color w:val="FFFFFF"/>
              </w:rPr>
              <w:t>Need Statement</w:t>
            </w:r>
          </w:p>
        </w:tc>
      </w:tr>
      <w:tr w:rsidR="00221841" w:rsidRPr="00F62746" w14:paraId="6AA29FD9"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5238" w:type="dxa"/>
          </w:tcPr>
          <w:p w14:paraId="3AEAAAB2" w14:textId="77777777" w:rsidR="00221841" w:rsidRPr="00F62746" w:rsidRDefault="00221841" w:rsidP="00221841">
            <w:pPr>
              <w:pStyle w:val="ListParagraph"/>
              <w:numPr>
                <w:ilvl w:val="0"/>
                <w:numId w:val="18"/>
              </w:numPr>
              <w:rPr>
                <w:rFonts w:ascii="Arial" w:hAnsi="Arial" w:cs="Arial"/>
              </w:rPr>
            </w:pPr>
            <w:r w:rsidRPr="00F62746">
              <w:rPr>
                <w:rFonts w:ascii="Arial" w:hAnsi="Arial" w:cs="Arial"/>
              </w:rPr>
              <w:t>Students lack primary language development and therefore transferring vocabulary to English is more difficult.</w:t>
            </w:r>
          </w:p>
          <w:p w14:paraId="57A34774" w14:textId="77777777" w:rsidR="00221841" w:rsidRDefault="00221841" w:rsidP="00221841">
            <w:pPr>
              <w:pStyle w:val="ListParagraph"/>
              <w:numPr>
                <w:ilvl w:val="1"/>
                <w:numId w:val="18"/>
              </w:numPr>
              <w:contextualSpacing w:val="0"/>
              <w:rPr>
                <w:rFonts w:ascii="Arial" w:hAnsi="Arial" w:cs="Arial"/>
              </w:rPr>
            </w:pPr>
            <w:r w:rsidRPr="00F62746">
              <w:rPr>
                <w:rFonts w:ascii="Arial" w:hAnsi="Arial" w:cs="Arial"/>
              </w:rPr>
              <w:t>Parents are unaware of the communication strategies they can use to help develop the children’s primary and English language (e.g., developing vocabulary, using complete sentences).</w:t>
            </w:r>
          </w:p>
          <w:p w14:paraId="2DF91059" w14:textId="77777777" w:rsidR="00221841" w:rsidRPr="00221841" w:rsidRDefault="00221841" w:rsidP="00221841">
            <w:pPr>
              <w:pStyle w:val="ListParagraph"/>
              <w:numPr>
                <w:ilvl w:val="0"/>
                <w:numId w:val="18"/>
              </w:numPr>
              <w:contextualSpacing w:val="0"/>
              <w:rPr>
                <w:rFonts w:ascii="Arial" w:hAnsi="Arial" w:cs="Arial"/>
              </w:rPr>
            </w:pPr>
            <w:r w:rsidRPr="00221841">
              <w:rPr>
                <w:rFonts w:ascii="Arial" w:hAnsi="Arial" w:cs="Arial"/>
              </w:rPr>
              <w:t>The largest ELP need for migratory first graders is in reading and writing.</w:t>
            </w:r>
          </w:p>
        </w:tc>
        <w:tc>
          <w:tcPr>
            <w:tcW w:w="2250" w:type="dxa"/>
          </w:tcPr>
          <w:p w14:paraId="46F4ECB1" w14:textId="77777777" w:rsidR="00221841" w:rsidRPr="00F62746" w:rsidRDefault="00221841" w:rsidP="00FB40BB">
            <w:pPr>
              <w:rPr>
                <w:rFonts w:ascii="Arial" w:hAnsi="Arial" w:cs="Arial"/>
              </w:rPr>
            </w:pPr>
            <w:r w:rsidRPr="00F62746">
              <w:rPr>
                <w:rFonts w:ascii="Arial" w:hAnsi="Arial" w:cs="Arial"/>
              </w:rPr>
              <w:t>We are concerned that most migratory children (ages 3–5), lack adequate primary and English language development for school readiness.</w:t>
            </w:r>
          </w:p>
        </w:tc>
        <w:tc>
          <w:tcPr>
            <w:tcW w:w="2088" w:type="dxa"/>
          </w:tcPr>
          <w:p w14:paraId="3D290B48" w14:textId="77777777" w:rsidR="00221841" w:rsidRPr="00F62746" w:rsidRDefault="00221841" w:rsidP="00FB40BB">
            <w:pPr>
              <w:rPr>
                <w:rFonts w:ascii="Arial" w:hAnsi="Arial" w:cs="Arial"/>
              </w:rPr>
            </w:pPr>
            <w:r w:rsidRPr="00F62746">
              <w:rPr>
                <w:rFonts w:ascii="Arial" w:hAnsi="Arial" w:cs="Arial"/>
              </w:rPr>
              <w:t>Migratory children need additional primary and English language development in order to be better prepared for kindergarten.</w:t>
            </w:r>
          </w:p>
        </w:tc>
      </w:tr>
    </w:tbl>
    <w:p w14:paraId="7BDB27BD" w14:textId="77777777" w:rsidR="006143B6" w:rsidRDefault="006143B6" w:rsidP="006143B6">
      <w:pPr>
        <w:pStyle w:val="Heading6"/>
        <w:jc w:val="center"/>
      </w:pPr>
      <w:r w:rsidRPr="00221841">
        <w:lastRenderedPageBreak/>
        <w:t>GOAL AREA: Social Emotional Maturity</w:t>
      </w:r>
    </w:p>
    <w:p w14:paraId="21906AAF" w14:textId="767CA558" w:rsidR="008B0200" w:rsidRDefault="008B0200" w:rsidP="006143B6">
      <w:pPr>
        <w:pStyle w:val="Heading6"/>
        <w:spacing w:before="120"/>
      </w:pPr>
      <w:bookmarkStart w:id="38" w:name="_Toc101961106"/>
      <w:r w:rsidRPr="005E0053">
        <w:t xml:space="preserve">Table </w:t>
      </w:r>
      <w:fldSimple w:instr=" SEQ Table \* ARABIC ">
        <w:r w:rsidR="00261292">
          <w:rPr>
            <w:noProof/>
          </w:rPr>
          <w:t>14</w:t>
        </w:r>
      </w:fldSimple>
      <w:r w:rsidRPr="005E0053">
        <w:t>. Data Summary, Concern Statement</w:t>
      </w:r>
      <w:r w:rsidR="00631351" w:rsidRPr="005E0053">
        <w:t>, and Need</w:t>
      </w:r>
      <w:r w:rsidRPr="005E0053">
        <w:t xml:space="preserve"> Statement for School Readiness: Social Emotional Maturity</w:t>
      </w:r>
      <w:bookmarkEnd w:id="38"/>
    </w:p>
    <w:tbl>
      <w:tblPr>
        <w:tblStyle w:val="GridTable4-Accent1"/>
        <w:tblW w:w="9576" w:type="dxa"/>
        <w:tblLook w:val="0420" w:firstRow="1" w:lastRow="0" w:firstColumn="0" w:lastColumn="0" w:noHBand="0" w:noVBand="1"/>
        <w:tblDescription w:val="Data Summary, Concern Statement, and Need Statement for School Readiness: Social Emotional Maturity"/>
      </w:tblPr>
      <w:tblGrid>
        <w:gridCol w:w="5148"/>
        <w:gridCol w:w="2250"/>
        <w:gridCol w:w="2178"/>
      </w:tblGrid>
      <w:tr w:rsidR="00221841" w:rsidRPr="00455E68" w14:paraId="5622B5EC"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5148" w:type="dxa"/>
            <w:tcBorders>
              <w:right w:val="single" w:sz="4" w:space="0" w:color="4472C4"/>
            </w:tcBorders>
            <w:shd w:val="clear" w:color="auto" w:fill="1F3864" w:themeFill="accent5" w:themeFillShade="80"/>
            <w:vAlign w:val="center"/>
          </w:tcPr>
          <w:p w14:paraId="3C597A24" w14:textId="77777777" w:rsidR="00221841" w:rsidRPr="00455E68" w:rsidRDefault="00221841" w:rsidP="00E53F38">
            <w:pPr>
              <w:jc w:val="center"/>
              <w:rPr>
                <w:rFonts w:ascii="Arial" w:hAnsi="Arial" w:cs="Arial"/>
                <w:b w:val="0"/>
                <w:color w:val="FFFFFF"/>
              </w:rPr>
            </w:pPr>
            <w:r w:rsidRPr="00455E68">
              <w:rPr>
                <w:rFonts w:ascii="Arial" w:hAnsi="Arial" w:cs="Arial"/>
                <w:color w:val="FFFFFF"/>
              </w:rPr>
              <w:t>Data Summary:</w:t>
            </w:r>
          </w:p>
          <w:p w14:paraId="4FAF8441" w14:textId="3E138652" w:rsidR="00221841" w:rsidRPr="00455E68" w:rsidRDefault="00221841" w:rsidP="00E53F38">
            <w:pPr>
              <w:jc w:val="center"/>
              <w:rPr>
                <w:rFonts w:ascii="Arial" w:hAnsi="Arial" w:cs="Arial"/>
                <w:color w:val="FFFFFF"/>
              </w:rPr>
            </w:pPr>
            <w:r w:rsidRPr="00455E68">
              <w:rPr>
                <w:rFonts w:ascii="Arial" w:hAnsi="Arial" w:cs="Arial"/>
                <w:color w:val="FFFFFF"/>
              </w:rPr>
              <w:t>Qualitative Data</w:t>
            </w:r>
            <w:r w:rsidR="00C52B3A">
              <w:rPr>
                <w:rFonts w:ascii="Arial" w:hAnsi="Arial" w:cs="Arial"/>
                <w:color w:val="FFFFFF"/>
              </w:rPr>
              <w:t xml:space="preserve"> from the CNA/SSDP Committee</w:t>
            </w:r>
          </w:p>
        </w:tc>
        <w:tc>
          <w:tcPr>
            <w:tcW w:w="2250" w:type="dxa"/>
            <w:tcBorders>
              <w:left w:val="single" w:sz="4" w:space="0" w:color="4472C4"/>
              <w:right w:val="single" w:sz="4" w:space="0" w:color="4472C4"/>
            </w:tcBorders>
            <w:shd w:val="clear" w:color="auto" w:fill="1F3864" w:themeFill="accent5" w:themeFillShade="80"/>
            <w:vAlign w:val="center"/>
          </w:tcPr>
          <w:p w14:paraId="1B718EE7" w14:textId="77777777" w:rsidR="00221841" w:rsidRPr="00455E68" w:rsidRDefault="00221841" w:rsidP="00E53F38">
            <w:pPr>
              <w:pStyle w:val="ListParagraph"/>
              <w:ind w:left="-18"/>
              <w:contextualSpacing w:val="0"/>
              <w:jc w:val="center"/>
              <w:rPr>
                <w:rFonts w:ascii="Arial" w:hAnsi="Arial" w:cs="Arial"/>
                <w:color w:val="FFFFFF"/>
              </w:rPr>
            </w:pPr>
            <w:r w:rsidRPr="00455E68">
              <w:rPr>
                <w:rFonts w:ascii="Arial" w:hAnsi="Arial" w:cs="Arial"/>
                <w:color w:val="FFFFFF"/>
              </w:rPr>
              <w:t>Concern Statement</w:t>
            </w:r>
          </w:p>
        </w:tc>
        <w:tc>
          <w:tcPr>
            <w:tcW w:w="2178" w:type="dxa"/>
            <w:tcBorders>
              <w:left w:val="single" w:sz="4" w:space="0" w:color="4472C4"/>
            </w:tcBorders>
            <w:shd w:val="clear" w:color="auto" w:fill="1F3864" w:themeFill="accent5" w:themeFillShade="80"/>
            <w:vAlign w:val="center"/>
          </w:tcPr>
          <w:p w14:paraId="6E83ECDC" w14:textId="77777777" w:rsidR="00221841" w:rsidRPr="00455E68" w:rsidRDefault="00221841" w:rsidP="00E53F38">
            <w:pPr>
              <w:pStyle w:val="ListParagraph"/>
              <w:ind w:left="0"/>
              <w:jc w:val="center"/>
              <w:rPr>
                <w:rFonts w:ascii="Arial" w:hAnsi="Arial" w:cs="Arial"/>
                <w:color w:val="FFFFFF"/>
              </w:rPr>
            </w:pPr>
            <w:r w:rsidRPr="00455E68">
              <w:rPr>
                <w:rFonts w:ascii="Arial" w:hAnsi="Arial" w:cs="Arial"/>
                <w:color w:val="FFFFFF"/>
              </w:rPr>
              <w:t>Need Statement</w:t>
            </w:r>
          </w:p>
        </w:tc>
      </w:tr>
      <w:tr w:rsidR="00221841" w:rsidRPr="00F62746" w14:paraId="75BE339F" w14:textId="77777777" w:rsidTr="00940787">
        <w:trPr>
          <w:cnfStyle w:val="000000100000" w:firstRow="0" w:lastRow="0" w:firstColumn="0" w:lastColumn="0" w:oddVBand="0" w:evenVBand="0" w:oddHBand="1" w:evenHBand="0" w:firstRowFirstColumn="0" w:firstRowLastColumn="0" w:lastRowFirstColumn="0" w:lastRowLastColumn="0"/>
          <w:cantSplit/>
          <w:trHeight w:val="512"/>
        </w:trPr>
        <w:tc>
          <w:tcPr>
            <w:tcW w:w="5148" w:type="dxa"/>
          </w:tcPr>
          <w:p w14:paraId="0CA9FE45" w14:textId="77777777" w:rsidR="00A37942" w:rsidRDefault="00221841" w:rsidP="00221841">
            <w:pPr>
              <w:pStyle w:val="ListParagraph"/>
              <w:numPr>
                <w:ilvl w:val="0"/>
                <w:numId w:val="18"/>
              </w:numPr>
              <w:rPr>
                <w:rFonts w:ascii="Arial" w:hAnsi="Arial" w:cs="Arial"/>
              </w:rPr>
            </w:pPr>
            <w:r w:rsidRPr="00F62746">
              <w:rPr>
                <w:rFonts w:ascii="Arial" w:hAnsi="Arial" w:cs="Arial"/>
              </w:rPr>
              <w:t>Focus on listening/speaking; reading/writing is harder because you can have gross/motor development issues which hinder the scores on these areas of the test.</w:t>
            </w:r>
          </w:p>
          <w:p w14:paraId="708C673E" w14:textId="77777777" w:rsidR="00221841" w:rsidRPr="00A37942" w:rsidRDefault="00221841" w:rsidP="00A37942">
            <w:pPr>
              <w:pStyle w:val="ListParagraph"/>
              <w:numPr>
                <w:ilvl w:val="1"/>
                <w:numId w:val="18"/>
              </w:numPr>
              <w:rPr>
                <w:rFonts w:ascii="Arial" w:hAnsi="Arial" w:cs="Arial"/>
              </w:rPr>
            </w:pPr>
            <w:r w:rsidRPr="00A37942">
              <w:rPr>
                <w:rFonts w:ascii="Arial" w:hAnsi="Arial" w:cs="Arial"/>
              </w:rPr>
              <w:t>Many students are not developmentally ready to start Kindergarten.</w:t>
            </w:r>
          </w:p>
        </w:tc>
        <w:tc>
          <w:tcPr>
            <w:tcW w:w="2250" w:type="dxa"/>
          </w:tcPr>
          <w:p w14:paraId="5561AEFB" w14:textId="77777777" w:rsidR="00221841" w:rsidRPr="00F62746" w:rsidRDefault="00221841" w:rsidP="00542CC2">
            <w:pPr>
              <w:rPr>
                <w:rFonts w:ascii="Arial" w:hAnsi="Arial" w:cs="Arial"/>
              </w:rPr>
            </w:pPr>
            <w:r w:rsidRPr="00F62746">
              <w:rPr>
                <w:rFonts w:ascii="Arial" w:hAnsi="Arial" w:cs="Arial"/>
              </w:rPr>
              <w:t>We are concerned that most migratory children (ages 3–5), lack the social emotional maturity to be ready for Kindergarten.</w:t>
            </w:r>
          </w:p>
        </w:tc>
        <w:tc>
          <w:tcPr>
            <w:tcW w:w="2178" w:type="dxa"/>
          </w:tcPr>
          <w:p w14:paraId="1F82BDF5" w14:textId="77777777" w:rsidR="00221841" w:rsidRPr="00F62746" w:rsidRDefault="00221841" w:rsidP="00542CC2">
            <w:pPr>
              <w:rPr>
                <w:rFonts w:ascii="Arial" w:hAnsi="Arial" w:cs="Arial"/>
              </w:rPr>
            </w:pPr>
            <w:r w:rsidRPr="00F62746">
              <w:rPr>
                <w:rFonts w:ascii="Arial" w:hAnsi="Arial" w:cs="Arial"/>
              </w:rPr>
              <w:t>Migratory children need to enter Kindergarten with the social emotional behaviors that contribute to school success.</w:t>
            </w:r>
          </w:p>
        </w:tc>
      </w:tr>
    </w:tbl>
    <w:p w14:paraId="1CCF4FE1" w14:textId="77777777" w:rsidR="002D3B4D" w:rsidRPr="005E0053" w:rsidRDefault="002D3B4D" w:rsidP="00743715">
      <w:pPr>
        <w:pStyle w:val="Heading5"/>
      </w:pPr>
      <w:bookmarkStart w:id="39" w:name="_Toc504520855"/>
      <w:r w:rsidRPr="005E0053">
        <w:t>Out-of-School Youth</w:t>
      </w:r>
      <w:bookmarkEnd w:id="39"/>
    </w:p>
    <w:p w14:paraId="58381A9E" w14:textId="4D39DC00" w:rsidR="003B229D" w:rsidRPr="005E0053" w:rsidRDefault="00631351" w:rsidP="003B229D">
      <w:pPr>
        <w:rPr>
          <w:rFonts w:ascii="Arial" w:hAnsi="Arial" w:cs="Arial"/>
        </w:rPr>
      </w:pPr>
      <w:r w:rsidRPr="005E0053">
        <w:rPr>
          <w:rFonts w:ascii="Arial" w:hAnsi="Arial" w:cs="Arial"/>
        </w:rPr>
        <w:t xml:space="preserve">The OSY </w:t>
      </w:r>
      <w:r w:rsidR="00C52B3A">
        <w:rPr>
          <w:rFonts w:ascii="Arial" w:hAnsi="Arial" w:cs="Arial"/>
        </w:rPr>
        <w:t>S</w:t>
      </w:r>
      <w:r w:rsidR="003B229D" w:rsidRPr="005E0053">
        <w:rPr>
          <w:rFonts w:ascii="Arial" w:hAnsi="Arial" w:cs="Arial"/>
        </w:rPr>
        <w:t>ubcommittee examined trends in California’</w:t>
      </w:r>
      <w:r w:rsidR="00853F8C" w:rsidRPr="005E0053">
        <w:rPr>
          <w:rFonts w:ascii="Arial" w:hAnsi="Arial" w:cs="Arial"/>
        </w:rPr>
        <w:t xml:space="preserve">s migratory OSY population </w:t>
      </w:r>
      <w:r w:rsidR="003B229D" w:rsidRPr="005E0053">
        <w:rPr>
          <w:rFonts w:ascii="Arial" w:hAnsi="Arial" w:cs="Arial"/>
        </w:rPr>
        <w:t>between 2010</w:t>
      </w:r>
      <w:r w:rsidR="003B229D" w:rsidRPr="005E0053">
        <w:rPr>
          <w:rFonts w:ascii="Arial" w:eastAsia="Times New Roman" w:hAnsi="Arial" w:cs="Arial"/>
        </w:rPr>
        <w:t>–</w:t>
      </w:r>
      <w:r w:rsidR="003B229D" w:rsidRPr="005E0053">
        <w:rPr>
          <w:rFonts w:ascii="Arial" w:hAnsi="Arial" w:cs="Arial"/>
        </w:rPr>
        <w:t>11 and 2014</w:t>
      </w:r>
      <w:r w:rsidR="003B229D" w:rsidRPr="005E0053">
        <w:rPr>
          <w:rFonts w:ascii="Arial" w:eastAsia="Times New Roman" w:hAnsi="Arial" w:cs="Arial"/>
        </w:rPr>
        <w:t>–</w:t>
      </w:r>
      <w:r w:rsidR="003B229D" w:rsidRPr="005E0053">
        <w:rPr>
          <w:rFonts w:ascii="Arial" w:hAnsi="Arial" w:cs="Arial"/>
        </w:rPr>
        <w:t>15; and for a sample of 100 OSY from program year 2015</w:t>
      </w:r>
      <w:r w:rsidR="003B229D" w:rsidRPr="005E0053">
        <w:rPr>
          <w:rFonts w:ascii="Arial" w:eastAsia="Times New Roman" w:hAnsi="Arial" w:cs="Arial"/>
        </w:rPr>
        <w:t>–</w:t>
      </w:r>
      <w:r w:rsidR="000D3336" w:rsidRPr="005E0053">
        <w:rPr>
          <w:rFonts w:ascii="Arial" w:hAnsi="Arial" w:cs="Arial"/>
        </w:rPr>
        <w:t>16. Areas</w:t>
      </w:r>
      <w:r w:rsidR="003B229D" w:rsidRPr="005E0053">
        <w:rPr>
          <w:rFonts w:ascii="Arial" w:hAnsi="Arial" w:cs="Arial"/>
        </w:rPr>
        <w:t xml:space="preserve"> explored </w:t>
      </w:r>
      <w:r w:rsidR="000D3336" w:rsidRPr="005E0053">
        <w:rPr>
          <w:rFonts w:ascii="Arial" w:hAnsi="Arial" w:cs="Arial"/>
        </w:rPr>
        <w:t>were home language</w:t>
      </w:r>
      <w:r w:rsidR="003B229D" w:rsidRPr="005E0053">
        <w:rPr>
          <w:rFonts w:ascii="Arial" w:hAnsi="Arial" w:cs="Arial"/>
        </w:rPr>
        <w:t>, referral needs, access to transportation</w:t>
      </w:r>
      <w:r w:rsidR="000D3336" w:rsidRPr="005E0053">
        <w:rPr>
          <w:rFonts w:ascii="Arial" w:hAnsi="Arial" w:cs="Arial"/>
        </w:rPr>
        <w:t>,</w:t>
      </w:r>
      <w:r w:rsidR="003B229D" w:rsidRPr="005E0053">
        <w:rPr>
          <w:rFonts w:ascii="Arial" w:hAnsi="Arial" w:cs="Arial"/>
        </w:rPr>
        <w:t xml:space="preserve"> and here-to-work versus credit recovery status. Due to the small sample size, the concerns generated from the</w:t>
      </w:r>
      <w:r w:rsidR="000D3336" w:rsidRPr="005E0053">
        <w:rPr>
          <w:rFonts w:ascii="Arial" w:hAnsi="Arial" w:cs="Arial"/>
        </w:rPr>
        <w:t>se</w:t>
      </w:r>
      <w:r w:rsidR="003B229D" w:rsidRPr="005E0053">
        <w:rPr>
          <w:rFonts w:ascii="Arial" w:hAnsi="Arial" w:cs="Arial"/>
        </w:rPr>
        <w:t xml:space="preserve"> sample data were excluded from this report as any findings from this sample </w:t>
      </w:r>
      <w:r w:rsidR="004A231F" w:rsidRPr="005E0053">
        <w:rPr>
          <w:rFonts w:ascii="Arial" w:hAnsi="Arial" w:cs="Arial"/>
        </w:rPr>
        <w:t>can</w:t>
      </w:r>
      <w:r w:rsidR="003B229D" w:rsidRPr="005E0053">
        <w:rPr>
          <w:rFonts w:ascii="Arial" w:hAnsi="Arial" w:cs="Arial"/>
        </w:rPr>
        <w:t>not be extrapolated to the larger OSY population</w:t>
      </w:r>
      <w:r w:rsidR="004A231F" w:rsidRPr="005E0053">
        <w:rPr>
          <w:rFonts w:ascii="Arial" w:hAnsi="Arial" w:cs="Arial"/>
        </w:rPr>
        <w:t>,</w:t>
      </w:r>
      <w:r w:rsidR="003B229D" w:rsidRPr="005E0053">
        <w:rPr>
          <w:rFonts w:ascii="Arial" w:hAnsi="Arial" w:cs="Arial"/>
        </w:rPr>
        <w:t xml:space="preserve"> and the CDE is not aware of the local sampling practices used to select the I</w:t>
      </w:r>
      <w:r w:rsidR="004A231F" w:rsidRPr="005E0053">
        <w:rPr>
          <w:rFonts w:ascii="Arial" w:hAnsi="Arial" w:cs="Arial"/>
        </w:rPr>
        <w:t xml:space="preserve">ndividual </w:t>
      </w:r>
      <w:r w:rsidR="003B229D" w:rsidRPr="005E0053">
        <w:rPr>
          <w:rFonts w:ascii="Arial" w:hAnsi="Arial" w:cs="Arial"/>
        </w:rPr>
        <w:t>N</w:t>
      </w:r>
      <w:r w:rsidR="004A231F" w:rsidRPr="005E0053">
        <w:rPr>
          <w:rFonts w:ascii="Arial" w:hAnsi="Arial" w:cs="Arial"/>
        </w:rPr>
        <w:t xml:space="preserve">eeds </w:t>
      </w:r>
      <w:r w:rsidR="003B229D" w:rsidRPr="005E0053">
        <w:rPr>
          <w:rFonts w:ascii="Arial" w:hAnsi="Arial" w:cs="Arial"/>
        </w:rPr>
        <w:t>A</w:t>
      </w:r>
      <w:r w:rsidR="004A231F" w:rsidRPr="005E0053">
        <w:rPr>
          <w:rFonts w:ascii="Arial" w:hAnsi="Arial" w:cs="Arial"/>
        </w:rPr>
        <w:t>ssessment</w:t>
      </w:r>
      <w:r w:rsidR="003B229D" w:rsidRPr="005E0053">
        <w:rPr>
          <w:rFonts w:ascii="Arial" w:hAnsi="Arial" w:cs="Arial"/>
        </w:rPr>
        <w:t>s</w:t>
      </w:r>
      <w:r w:rsidR="008E3AFA" w:rsidRPr="005E0053">
        <w:rPr>
          <w:rFonts w:ascii="Arial" w:hAnsi="Arial" w:cs="Arial"/>
        </w:rPr>
        <w:t xml:space="preserve"> (INA</w:t>
      </w:r>
      <w:r w:rsidR="008173AB" w:rsidRPr="005E0053">
        <w:rPr>
          <w:rFonts w:ascii="Arial" w:hAnsi="Arial" w:cs="Arial"/>
        </w:rPr>
        <w:t>s</w:t>
      </w:r>
      <w:r w:rsidR="008E3AFA" w:rsidRPr="005E0053">
        <w:rPr>
          <w:rFonts w:ascii="Arial" w:hAnsi="Arial" w:cs="Arial"/>
        </w:rPr>
        <w:t>)</w:t>
      </w:r>
      <w:r w:rsidR="003B229D" w:rsidRPr="005E0053">
        <w:rPr>
          <w:rFonts w:ascii="Arial" w:hAnsi="Arial" w:cs="Arial"/>
        </w:rPr>
        <w:t xml:space="preserve"> and </w:t>
      </w:r>
      <w:r w:rsidR="00A3585C">
        <w:rPr>
          <w:rFonts w:ascii="Arial" w:hAnsi="Arial" w:cs="Arial"/>
        </w:rPr>
        <w:t>Individual Learn Plans (ILPs)/</w:t>
      </w:r>
      <w:r w:rsidR="008E3AFA" w:rsidRPr="005E0053">
        <w:rPr>
          <w:rFonts w:ascii="Arial" w:hAnsi="Arial" w:cs="Arial"/>
        </w:rPr>
        <w:t>Migrant Student Learning Action Plans (MLAP</w:t>
      </w:r>
      <w:r w:rsidR="008173AB" w:rsidRPr="005E0053">
        <w:rPr>
          <w:rFonts w:ascii="Arial" w:hAnsi="Arial" w:cs="Arial"/>
        </w:rPr>
        <w:t>s</w:t>
      </w:r>
      <w:r w:rsidR="008E3AFA" w:rsidRPr="005E0053">
        <w:rPr>
          <w:rFonts w:ascii="Arial" w:hAnsi="Arial" w:cs="Arial"/>
        </w:rPr>
        <w:t>)</w:t>
      </w:r>
      <w:r w:rsidR="003B229D" w:rsidRPr="005E0053">
        <w:rPr>
          <w:rFonts w:ascii="Arial" w:hAnsi="Arial" w:cs="Arial"/>
        </w:rPr>
        <w:t>; however, the concerns were noted in the CNA. Although not included in the SSDP, the</w:t>
      </w:r>
      <w:r w:rsidR="004A231F" w:rsidRPr="005E0053">
        <w:rPr>
          <w:rFonts w:ascii="Arial" w:hAnsi="Arial" w:cs="Arial"/>
        </w:rPr>
        <w:t>se</w:t>
      </w:r>
      <w:r w:rsidR="003B229D" w:rsidRPr="005E0053">
        <w:rPr>
          <w:rFonts w:ascii="Arial" w:hAnsi="Arial" w:cs="Arial"/>
        </w:rPr>
        <w:t xml:space="preserve"> data from the sample gave the CDE an improved understanding of current local data collection and training needs that will be built into the next three years of programmatic work in alignment with the SSDP. Tables 1</w:t>
      </w:r>
      <w:r w:rsidR="00261292">
        <w:rPr>
          <w:rFonts w:ascii="Arial" w:hAnsi="Arial" w:cs="Arial"/>
        </w:rPr>
        <w:t>5</w:t>
      </w:r>
      <w:r w:rsidR="003B229D" w:rsidRPr="005E0053">
        <w:rPr>
          <w:rFonts w:ascii="Arial" w:hAnsi="Arial" w:cs="Arial"/>
        </w:rPr>
        <w:t xml:space="preserve"> and 1</w:t>
      </w:r>
      <w:r w:rsidR="00261292">
        <w:rPr>
          <w:rFonts w:ascii="Arial" w:hAnsi="Arial" w:cs="Arial"/>
        </w:rPr>
        <w:t>6</w:t>
      </w:r>
      <w:r w:rsidR="003B229D" w:rsidRPr="005E0053">
        <w:rPr>
          <w:rFonts w:ascii="Arial" w:hAnsi="Arial" w:cs="Arial"/>
        </w:rPr>
        <w:t xml:space="preserve"> identify the OSY concerns and needs based on local expertise and discussion.</w:t>
      </w:r>
    </w:p>
    <w:p w14:paraId="7B61FBDB" w14:textId="77777777" w:rsidR="006143B6" w:rsidRDefault="006143B6" w:rsidP="006143B6">
      <w:pPr>
        <w:pStyle w:val="Heading6"/>
        <w:jc w:val="center"/>
      </w:pPr>
      <w:r w:rsidRPr="00A37942">
        <w:lastRenderedPageBreak/>
        <w:t>GOAL AREA: Health Services</w:t>
      </w:r>
    </w:p>
    <w:p w14:paraId="7908064D" w14:textId="51B184DD" w:rsidR="008B0200" w:rsidRDefault="008B0200" w:rsidP="006143B6">
      <w:pPr>
        <w:pStyle w:val="Heading6"/>
        <w:spacing w:before="120"/>
      </w:pPr>
      <w:bookmarkStart w:id="40" w:name="_Toc101961107"/>
      <w:r w:rsidRPr="005E0053">
        <w:t xml:space="preserve">Table </w:t>
      </w:r>
      <w:fldSimple w:instr=" SEQ Table \* ARABIC ">
        <w:r w:rsidR="00261292">
          <w:rPr>
            <w:noProof/>
          </w:rPr>
          <w:t>15</w:t>
        </w:r>
      </w:fldSimple>
      <w:r w:rsidRPr="005E0053">
        <w:t>. Data Summary, Concern Statement</w:t>
      </w:r>
      <w:r w:rsidR="004A231F" w:rsidRPr="005E0053">
        <w:t>, and Need</w:t>
      </w:r>
      <w:r w:rsidRPr="005E0053">
        <w:t xml:space="preserve"> Statement for OSY Health Services</w:t>
      </w:r>
      <w:bookmarkEnd w:id="40"/>
    </w:p>
    <w:tbl>
      <w:tblPr>
        <w:tblStyle w:val="GridTable4-Accent1"/>
        <w:tblW w:w="0" w:type="auto"/>
        <w:tblLook w:val="0420" w:firstRow="1" w:lastRow="0" w:firstColumn="0" w:lastColumn="0" w:noHBand="0" w:noVBand="1"/>
        <w:tblDescription w:val="Data Summary, Concern Statement, and Need Statement for OSY Health Services"/>
      </w:tblPr>
      <w:tblGrid>
        <w:gridCol w:w="4806"/>
        <w:gridCol w:w="2412"/>
        <w:gridCol w:w="2132"/>
      </w:tblGrid>
      <w:tr w:rsidR="00A37942" w:rsidRPr="00455E68" w14:paraId="495A5C2E"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4968" w:type="dxa"/>
            <w:tcBorders>
              <w:right w:val="single" w:sz="4" w:space="0" w:color="4472C4"/>
            </w:tcBorders>
            <w:shd w:val="clear" w:color="auto" w:fill="1F3864" w:themeFill="accent5" w:themeFillShade="80"/>
            <w:vAlign w:val="center"/>
          </w:tcPr>
          <w:p w14:paraId="43E6C104" w14:textId="739DE604" w:rsidR="0073568C" w:rsidRDefault="0073568C" w:rsidP="00E53F38">
            <w:pPr>
              <w:jc w:val="center"/>
              <w:rPr>
                <w:rFonts w:ascii="Arial" w:hAnsi="Arial" w:cs="Arial"/>
                <w:b w:val="0"/>
                <w:color w:val="FFFFFF"/>
              </w:rPr>
            </w:pPr>
            <w:r>
              <w:rPr>
                <w:rFonts w:ascii="Arial" w:hAnsi="Arial" w:cs="Arial"/>
                <w:color w:val="FFFFFF"/>
              </w:rPr>
              <w:t>Data Summary:</w:t>
            </w:r>
          </w:p>
          <w:p w14:paraId="068798D6" w14:textId="3FB9C3AB" w:rsidR="00A37942" w:rsidRPr="0073568C" w:rsidRDefault="00A37942" w:rsidP="00E53F38">
            <w:pPr>
              <w:jc w:val="center"/>
              <w:rPr>
                <w:rFonts w:ascii="Arial" w:hAnsi="Arial" w:cs="Arial"/>
                <w:b w:val="0"/>
                <w:color w:val="FFFFFF"/>
              </w:rPr>
            </w:pPr>
            <w:r w:rsidRPr="00455E68">
              <w:rPr>
                <w:rFonts w:ascii="Arial" w:hAnsi="Arial" w:cs="Arial"/>
                <w:color w:val="FFFFFF"/>
              </w:rPr>
              <w:t>Qualitative Data</w:t>
            </w:r>
            <w:r w:rsidR="00C52B3A">
              <w:rPr>
                <w:rFonts w:ascii="Arial" w:hAnsi="Arial" w:cs="Arial"/>
                <w:color w:val="FFFFFF"/>
              </w:rPr>
              <w:t xml:space="preserve"> from the CNA/SSDP Committee</w:t>
            </w:r>
          </w:p>
        </w:tc>
        <w:tc>
          <w:tcPr>
            <w:tcW w:w="2430" w:type="dxa"/>
            <w:tcBorders>
              <w:left w:val="single" w:sz="4" w:space="0" w:color="4472C4"/>
              <w:right w:val="single" w:sz="4" w:space="0" w:color="4472C4"/>
            </w:tcBorders>
            <w:shd w:val="clear" w:color="auto" w:fill="1F3864" w:themeFill="accent5" w:themeFillShade="80"/>
            <w:vAlign w:val="center"/>
          </w:tcPr>
          <w:p w14:paraId="1AFF102D" w14:textId="77777777" w:rsidR="00A37942" w:rsidRPr="00455E68" w:rsidRDefault="00A37942" w:rsidP="00E53F38">
            <w:pPr>
              <w:pStyle w:val="ListParagraph"/>
              <w:ind w:left="0"/>
              <w:jc w:val="center"/>
              <w:rPr>
                <w:rFonts w:ascii="Arial" w:hAnsi="Arial" w:cs="Arial"/>
                <w:color w:val="FFFFFF"/>
              </w:rPr>
            </w:pPr>
            <w:r w:rsidRPr="00455E68">
              <w:rPr>
                <w:rFonts w:ascii="Arial" w:hAnsi="Arial" w:cs="Arial"/>
                <w:color w:val="FFFFFF"/>
              </w:rPr>
              <w:t>Concern Statement</w:t>
            </w:r>
          </w:p>
        </w:tc>
        <w:tc>
          <w:tcPr>
            <w:tcW w:w="2178" w:type="dxa"/>
            <w:tcBorders>
              <w:left w:val="single" w:sz="4" w:space="0" w:color="4472C4"/>
            </w:tcBorders>
            <w:shd w:val="clear" w:color="auto" w:fill="1F3864" w:themeFill="accent5" w:themeFillShade="80"/>
            <w:vAlign w:val="center"/>
          </w:tcPr>
          <w:p w14:paraId="461C5E4C" w14:textId="77777777" w:rsidR="00A37942" w:rsidRPr="00455E68" w:rsidRDefault="00A37942" w:rsidP="00E53F38">
            <w:pPr>
              <w:pStyle w:val="ListParagraph"/>
              <w:ind w:left="0"/>
              <w:jc w:val="center"/>
              <w:rPr>
                <w:rFonts w:ascii="Arial" w:hAnsi="Arial" w:cs="Arial"/>
                <w:color w:val="FFFFFF"/>
              </w:rPr>
            </w:pPr>
            <w:r w:rsidRPr="00455E68">
              <w:rPr>
                <w:rFonts w:ascii="Arial" w:hAnsi="Arial" w:cs="Arial"/>
                <w:color w:val="FFFFFF"/>
              </w:rPr>
              <w:t>Need Statement</w:t>
            </w:r>
          </w:p>
        </w:tc>
      </w:tr>
      <w:tr w:rsidR="00A37942" w:rsidRPr="00F62746" w14:paraId="1F2CE5D8"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4968" w:type="dxa"/>
          </w:tcPr>
          <w:p w14:paraId="2A8F30FF" w14:textId="77777777" w:rsidR="00A37942" w:rsidRPr="00F62746" w:rsidRDefault="00A37942" w:rsidP="00A37942">
            <w:pPr>
              <w:pStyle w:val="ListParagraph"/>
              <w:numPr>
                <w:ilvl w:val="0"/>
                <w:numId w:val="19"/>
              </w:numPr>
              <w:rPr>
                <w:rFonts w:ascii="Arial" w:hAnsi="Arial" w:cs="Arial"/>
              </w:rPr>
            </w:pPr>
            <w:r w:rsidRPr="00F62746">
              <w:rPr>
                <w:rFonts w:ascii="Arial" w:hAnsi="Arial" w:cs="Arial"/>
              </w:rPr>
              <w:t>Other than the emergency room, undocumented migratory OSY do not have access to health services</w:t>
            </w:r>
          </w:p>
          <w:p w14:paraId="525769C6" w14:textId="77777777" w:rsidR="00A37942" w:rsidRPr="00F62746" w:rsidRDefault="00A37942" w:rsidP="00A37942">
            <w:pPr>
              <w:pStyle w:val="ListParagraph"/>
              <w:numPr>
                <w:ilvl w:val="0"/>
                <w:numId w:val="19"/>
              </w:numPr>
              <w:rPr>
                <w:rFonts w:ascii="Arial" w:hAnsi="Arial" w:cs="Arial"/>
              </w:rPr>
            </w:pPr>
            <w:r w:rsidRPr="00F62746">
              <w:rPr>
                <w:rFonts w:ascii="Arial" w:hAnsi="Arial" w:cs="Arial"/>
              </w:rPr>
              <w:t>Barriers to outreach and accessing MEP services: highly mobile, language, and work long hours</w:t>
            </w:r>
          </w:p>
          <w:p w14:paraId="7E81A12D" w14:textId="77777777" w:rsidR="00A37942" w:rsidRPr="00F62746" w:rsidRDefault="00A37942" w:rsidP="00A37942">
            <w:pPr>
              <w:pStyle w:val="ListParagraph"/>
              <w:numPr>
                <w:ilvl w:val="0"/>
                <w:numId w:val="19"/>
              </w:numPr>
              <w:rPr>
                <w:rFonts w:ascii="Arial" w:hAnsi="Arial" w:cs="Arial"/>
              </w:rPr>
            </w:pPr>
            <w:r w:rsidRPr="00F62746">
              <w:rPr>
                <w:rFonts w:ascii="Arial" w:hAnsi="Arial" w:cs="Arial"/>
              </w:rPr>
              <w:t>Increase risk of health issues due to lack of education and resources to health maintenance needs: sex education, mental health, hygiene, dental, drugs and alcohol, and nutrition</w:t>
            </w:r>
          </w:p>
          <w:p w14:paraId="4E1129CB" w14:textId="77777777" w:rsidR="00A37942" w:rsidRDefault="00A37942" w:rsidP="00A37942">
            <w:pPr>
              <w:pStyle w:val="ListParagraph"/>
              <w:numPr>
                <w:ilvl w:val="0"/>
                <w:numId w:val="19"/>
              </w:numPr>
              <w:rPr>
                <w:rFonts w:ascii="Arial" w:hAnsi="Arial" w:cs="Arial"/>
              </w:rPr>
            </w:pPr>
            <w:r w:rsidRPr="00F62746">
              <w:rPr>
                <w:rFonts w:ascii="Arial" w:hAnsi="Arial" w:cs="Arial"/>
              </w:rPr>
              <w:t>No access to school-based advocates and supports that would address some of these issues</w:t>
            </w:r>
          </w:p>
          <w:p w14:paraId="037D20B3" w14:textId="77777777" w:rsidR="00A37942" w:rsidRPr="00A37942" w:rsidRDefault="00A37942" w:rsidP="00A37942">
            <w:pPr>
              <w:pStyle w:val="ListParagraph"/>
              <w:numPr>
                <w:ilvl w:val="0"/>
                <w:numId w:val="19"/>
              </w:numPr>
              <w:rPr>
                <w:rFonts w:ascii="Arial" w:hAnsi="Arial" w:cs="Arial"/>
              </w:rPr>
            </w:pPr>
            <w:r w:rsidRPr="00A37942">
              <w:rPr>
                <w:rFonts w:ascii="Arial" w:hAnsi="Arial" w:cs="Arial"/>
              </w:rPr>
              <w:t>Living conditions not ideal</w:t>
            </w:r>
          </w:p>
        </w:tc>
        <w:tc>
          <w:tcPr>
            <w:tcW w:w="2430" w:type="dxa"/>
          </w:tcPr>
          <w:p w14:paraId="725C1F3B" w14:textId="77777777" w:rsidR="00A37942" w:rsidRPr="00F62746" w:rsidRDefault="00A37942" w:rsidP="00FB40BB">
            <w:pPr>
              <w:rPr>
                <w:rFonts w:ascii="Arial" w:hAnsi="Arial" w:cs="Arial"/>
              </w:rPr>
            </w:pPr>
            <w:r w:rsidRPr="00F62746">
              <w:rPr>
                <w:rFonts w:ascii="Arial" w:hAnsi="Arial" w:cs="Arial"/>
              </w:rPr>
              <w:t>We are concerned about meeting the health needs of migratory OSY; they are underrepresented due to accessibility and outreach.</w:t>
            </w:r>
          </w:p>
        </w:tc>
        <w:tc>
          <w:tcPr>
            <w:tcW w:w="2178" w:type="dxa"/>
          </w:tcPr>
          <w:p w14:paraId="53272114" w14:textId="77777777" w:rsidR="00A37942" w:rsidRPr="00F62746" w:rsidRDefault="00A37942" w:rsidP="00FB40BB">
            <w:pPr>
              <w:rPr>
                <w:rFonts w:ascii="Arial" w:hAnsi="Arial" w:cs="Arial"/>
              </w:rPr>
            </w:pPr>
            <w:r w:rsidRPr="00F62746">
              <w:rPr>
                <w:rFonts w:ascii="Arial" w:hAnsi="Arial" w:cs="Arial"/>
              </w:rPr>
              <w:t>There is a need to offer services that meet the unique health needs of migratory OSY.</w:t>
            </w:r>
          </w:p>
        </w:tc>
      </w:tr>
    </w:tbl>
    <w:p w14:paraId="187A4053" w14:textId="77777777" w:rsidR="006143B6" w:rsidRDefault="006143B6" w:rsidP="00102FC0">
      <w:pPr>
        <w:pStyle w:val="Heading6"/>
        <w:jc w:val="center"/>
      </w:pPr>
      <w:r w:rsidRPr="00A37942">
        <w:t>GOAL AREA: Literacy</w:t>
      </w:r>
    </w:p>
    <w:p w14:paraId="2502741D" w14:textId="14C7D7E1" w:rsidR="008B0200" w:rsidRDefault="008B0200" w:rsidP="006143B6">
      <w:pPr>
        <w:pStyle w:val="Heading6"/>
        <w:spacing w:before="120"/>
      </w:pPr>
      <w:bookmarkStart w:id="41" w:name="_Toc101961108"/>
      <w:r w:rsidRPr="005E0053">
        <w:t xml:space="preserve">Table </w:t>
      </w:r>
      <w:fldSimple w:instr=" SEQ Table \* ARABIC ">
        <w:r w:rsidR="00261292">
          <w:rPr>
            <w:noProof/>
          </w:rPr>
          <w:t>16</w:t>
        </w:r>
      </w:fldSimple>
      <w:r w:rsidRPr="005E0053">
        <w:t>. Data Summary, Concern Statement</w:t>
      </w:r>
      <w:r w:rsidR="00571E6B" w:rsidRPr="005E0053">
        <w:t>, and Need</w:t>
      </w:r>
      <w:r w:rsidRPr="005E0053">
        <w:t xml:space="preserve"> Statement for OSY Literacy</w:t>
      </w:r>
      <w:bookmarkEnd w:id="41"/>
    </w:p>
    <w:tbl>
      <w:tblPr>
        <w:tblStyle w:val="GridTable4-Accent1"/>
        <w:tblW w:w="0" w:type="auto"/>
        <w:tblLook w:val="0420" w:firstRow="1" w:lastRow="0" w:firstColumn="0" w:lastColumn="0" w:noHBand="0" w:noVBand="1"/>
        <w:tblDescription w:val="Data Summary, Concern Statement, and Need Statement for OSY Literacy"/>
      </w:tblPr>
      <w:tblGrid>
        <w:gridCol w:w="4579"/>
        <w:gridCol w:w="2633"/>
        <w:gridCol w:w="2138"/>
      </w:tblGrid>
      <w:tr w:rsidR="00A37942" w:rsidRPr="00455E68" w14:paraId="320BEC8C"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4698" w:type="dxa"/>
            <w:tcBorders>
              <w:right w:val="single" w:sz="4" w:space="0" w:color="4472C4"/>
            </w:tcBorders>
            <w:shd w:val="clear" w:color="auto" w:fill="1F3864" w:themeFill="accent5" w:themeFillShade="80"/>
            <w:vAlign w:val="center"/>
          </w:tcPr>
          <w:p w14:paraId="6A2D4CB5" w14:textId="77777777" w:rsidR="00A37942" w:rsidRPr="00455E68" w:rsidRDefault="00A37942" w:rsidP="00E53F38">
            <w:pPr>
              <w:jc w:val="center"/>
              <w:rPr>
                <w:rFonts w:ascii="Arial" w:hAnsi="Arial" w:cs="Arial"/>
                <w:b w:val="0"/>
                <w:color w:val="FFFFFF"/>
              </w:rPr>
            </w:pPr>
            <w:r w:rsidRPr="00455E68">
              <w:rPr>
                <w:rFonts w:ascii="Arial" w:hAnsi="Arial" w:cs="Arial"/>
                <w:color w:val="FFFFFF"/>
              </w:rPr>
              <w:t>Data Summary:</w:t>
            </w:r>
          </w:p>
          <w:p w14:paraId="66E4A33A" w14:textId="54943E87" w:rsidR="00A37942" w:rsidRPr="00455E68" w:rsidRDefault="00A37942" w:rsidP="00E53F38">
            <w:pPr>
              <w:jc w:val="center"/>
              <w:rPr>
                <w:rFonts w:ascii="Arial" w:hAnsi="Arial" w:cs="Arial"/>
                <w:color w:val="FFFFFF"/>
              </w:rPr>
            </w:pPr>
            <w:r w:rsidRPr="00455E68">
              <w:rPr>
                <w:rFonts w:ascii="Arial" w:hAnsi="Arial" w:cs="Arial"/>
                <w:color w:val="FFFFFF"/>
              </w:rPr>
              <w:t>Qualitative Data</w:t>
            </w:r>
            <w:r w:rsidR="00C52B3A">
              <w:rPr>
                <w:rFonts w:ascii="Arial" w:hAnsi="Arial" w:cs="Arial"/>
                <w:color w:val="FFFFFF"/>
              </w:rPr>
              <w:t xml:space="preserve"> from the CNA/SSDP Committee</w:t>
            </w:r>
          </w:p>
        </w:tc>
        <w:tc>
          <w:tcPr>
            <w:tcW w:w="2700" w:type="dxa"/>
            <w:tcBorders>
              <w:left w:val="single" w:sz="4" w:space="0" w:color="4472C4"/>
              <w:right w:val="single" w:sz="4" w:space="0" w:color="4472C4"/>
            </w:tcBorders>
            <w:shd w:val="clear" w:color="auto" w:fill="1F3864" w:themeFill="accent5" w:themeFillShade="80"/>
            <w:vAlign w:val="center"/>
          </w:tcPr>
          <w:p w14:paraId="6C56E25A" w14:textId="77777777" w:rsidR="00A37942" w:rsidRPr="00455E68" w:rsidRDefault="00A37942" w:rsidP="00E53F38">
            <w:pPr>
              <w:pStyle w:val="ListParagraph"/>
              <w:ind w:left="0"/>
              <w:jc w:val="center"/>
              <w:rPr>
                <w:rFonts w:ascii="Arial" w:hAnsi="Arial" w:cs="Arial"/>
                <w:color w:val="FFFFFF"/>
              </w:rPr>
            </w:pPr>
            <w:r w:rsidRPr="00455E68">
              <w:rPr>
                <w:rFonts w:ascii="Arial" w:hAnsi="Arial" w:cs="Arial"/>
                <w:color w:val="FFFFFF"/>
              </w:rPr>
              <w:t>Concern Statement</w:t>
            </w:r>
          </w:p>
        </w:tc>
        <w:tc>
          <w:tcPr>
            <w:tcW w:w="2178" w:type="dxa"/>
            <w:tcBorders>
              <w:left w:val="single" w:sz="4" w:space="0" w:color="4472C4"/>
            </w:tcBorders>
            <w:shd w:val="clear" w:color="auto" w:fill="1F3864" w:themeFill="accent5" w:themeFillShade="80"/>
            <w:vAlign w:val="center"/>
          </w:tcPr>
          <w:p w14:paraId="5C368151" w14:textId="77777777" w:rsidR="00A37942" w:rsidRPr="00455E68" w:rsidRDefault="00A37942" w:rsidP="00E53F38">
            <w:pPr>
              <w:pStyle w:val="ListParagraph"/>
              <w:ind w:left="0"/>
              <w:jc w:val="center"/>
              <w:rPr>
                <w:rFonts w:ascii="Arial" w:hAnsi="Arial" w:cs="Arial"/>
                <w:color w:val="FFFFFF"/>
              </w:rPr>
            </w:pPr>
            <w:r w:rsidRPr="00455E68">
              <w:rPr>
                <w:rFonts w:ascii="Arial" w:hAnsi="Arial" w:cs="Arial"/>
                <w:color w:val="FFFFFF"/>
              </w:rPr>
              <w:t>Need Statement</w:t>
            </w:r>
          </w:p>
        </w:tc>
      </w:tr>
      <w:tr w:rsidR="00A37942" w:rsidRPr="00F62746" w14:paraId="0CEB2BE2" w14:textId="77777777" w:rsidTr="00940787">
        <w:trPr>
          <w:cnfStyle w:val="000000100000" w:firstRow="0" w:lastRow="0" w:firstColumn="0" w:lastColumn="0" w:oddVBand="0" w:evenVBand="0" w:oddHBand="1" w:evenHBand="0" w:firstRowFirstColumn="0" w:firstRowLastColumn="0" w:lastRowFirstColumn="0" w:lastRowLastColumn="0"/>
          <w:cantSplit/>
          <w:trHeight w:val="242"/>
        </w:trPr>
        <w:tc>
          <w:tcPr>
            <w:tcW w:w="4698" w:type="dxa"/>
          </w:tcPr>
          <w:p w14:paraId="0E7E94D3" w14:textId="77777777" w:rsidR="00A37942" w:rsidRPr="00F62746" w:rsidRDefault="00A37942" w:rsidP="00A37942">
            <w:pPr>
              <w:pStyle w:val="ListParagraph"/>
              <w:numPr>
                <w:ilvl w:val="0"/>
                <w:numId w:val="19"/>
              </w:numPr>
              <w:rPr>
                <w:rFonts w:ascii="Arial" w:hAnsi="Arial" w:cs="Arial"/>
              </w:rPr>
            </w:pPr>
            <w:r w:rsidRPr="00F62746">
              <w:rPr>
                <w:rFonts w:ascii="Arial" w:hAnsi="Arial" w:cs="Arial"/>
              </w:rPr>
              <w:t>Wide range of literacy levels</w:t>
            </w:r>
          </w:p>
          <w:p w14:paraId="29200D97" w14:textId="77777777" w:rsidR="00A37942" w:rsidRPr="00F62746" w:rsidRDefault="00A37942" w:rsidP="00A37942">
            <w:pPr>
              <w:pStyle w:val="ListParagraph"/>
              <w:numPr>
                <w:ilvl w:val="0"/>
                <w:numId w:val="19"/>
              </w:numPr>
              <w:rPr>
                <w:rFonts w:ascii="Arial" w:hAnsi="Arial" w:cs="Arial"/>
              </w:rPr>
            </w:pPr>
            <w:r w:rsidRPr="00F62746">
              <w:rPr>
                <w:rFonts w:ascii="Arial" w:hAnsi="Arial" w:cs="Arial"/>
              </w:rPr>
              <w:t>Lack of resources for targeted individual instruction</w:t>
            </w:r>
          </w:p>
          <w:p w14:paraId="4DB61067" w14:textId="77777777" w:rsidR="00A37942" w:rsidRPr="00F62746" w:rsidRDefault="00A37942" w:rsidP="00A37942">
            <w:pPr>
              <w:pStyle w:val="ListParagraph"/>
              <w:numPr>
                <w:ilvl w:val="0"/>
                <w:numId w:val="19"/>
              </w:numPr>
              <w:rPr>
                <w:rFonts w:ascii="Arial" w:hAnsi="Arial" w:cs="Arial"/>
              </w:rPr>
            </w:pPr>
            <w:r w:rsidRPr="00F62746">
              <w:rPr>
                <w:rFonts w:ascii="Arial" w:hAnsi="Arial" w:cs="Arial"/>
              </w:rPr>
              <w:t>Need to work is a priority</w:t>
            </w:r>
          </w:p>
          <w:p w14:paraId="5CA0223F" w14:textId="77777777" w:rsidR="00A37942" w:rsidRPr="00F62746" w:rsidRDefault="00A37942" w:rsidP="00A37942">
            <w:pPr>
              <w:pStyle w:val="ListParagraph"/>
              <w:numPr>
                <w:ilvl w:val="0"/>
                <w:numId w:val="19"/>
              </w:numPr>
              <w:rPr>
                <w:rFonts w:ascii="Arial" w:hAnsi="Arial" w:cs="Arial"/>
              </w:rPr>
            </w:pPr>
            <w:r w:rsidRPr="00F62746">
              <w:rPr>
                <w:rFonts w:ascii="Arial" w:hAnsi="Arial" w:cs="Arial"/>
              </w:rPr>
              <w:t>Arrive late in the school year</w:t>
            </w:r>
          </w:p>
          <w:p w14:paraId="064EBB22" w14:textId="77777777" w:rsidR="00A37942" w:rsidRDefault="00A37942" w:rsidP="00A37942">
            <w:pPr>
              <w:pStyle w:val="ListParagraph"/>
              <w:numPr>
                <w:ilvl w:val="0"/>
                <w:numId w:val="19"/>
              </w:numPr>
              <w:rPr>
                <w:rFonts w:ascii="Arial" w:hAnsi="Arial" w:cs="Arial"/>
              </w:rPr>
            </w:pPr>
            <w:r w:rsidRPr="00F62746">
              <w:rPr>
                <w:rFonts w:ascii="Arial" w:hAnsi="Arial" w:cs="Arial"/>
              </w:rPr>
              <w:t>Priorities that are different from other high school students</w:t>
            </w:r>
          </w:p>
          <w:p w14:paraId="156DBE94" w14:textId="77777777" w:rsidR="00A37942" w:rsidRPr="00A37942" w:rsidRDefault="00A37942" w:rsidP="00A37942">
            <w:pPr>
              <w:pStyle w:val="ListParagraph"/>
              <w:numPr>
                <w:ilvl w:val="0"/>
                <w:numId w:val="19"/>
              </w:numPr>
              <w:rPr>
                <w:rFonts w:ascii="Arial" w:hAnsi="Arial" w:cs="Arial"/>
              </w:rPr>
            </w:pPr>
            <w:r w:rsidRPr="00A37942">
              <w:rPr>
                <w:rFonts w:ascii="Arial" w:hAnsi="Arial" w:cs="Arial"/>
              </w:rPr>
              <w:t>Social/emotional challenges</w:t>
            </w:r>
          </w:p>
        </w:tc>
        <w:tc>
          <w:tcPr>
            <w:tcW w:w="2700" w:type="dxa"/>
          </w:tcPr>
          <w:p w14:paraId="2E34E239" w14:textId="77777777" w:rsidR="00A37942" w:rsidRPr="00F62746" w:rsidRDefault="00A37942" w:rsidP="009A5E61">
            <w:pPr>
              <w:rPr>
                <w:rFonts w:ascii="Arial" w:hAnsi="Arial" w:cs="Arial"/>
              </w:rPr>
            </w:pPr>
            <w:r w:rsidRPr="00F62746">
              <w:rPr>
                <w:rFonts w:ascii="Arial" w:hAnsi="Arial" w:cs="Arial"/>
              </w:rPr>
              <w:t>We are concerned about the low literacy levels of OSY students.</w:t>
            </w:r>
          </w:p>
        </w:tc>
        <w:tc>
          <w:tcPr>
            <w:tcW w:w="2178" w:type="dxa"/>
          </w:tcPr>
          <w:p w14:paraId="3DD76FDC" w14:textId="77777777" w:rsidR="00A37942" w:rsidRPr="00F62746" w:rsidRDefault="00A37942" w:rsidP="009A5E61">
            <w:pPr>
              <w:rPr>
                <w:rFonts w:ascii="Arial" w:hAnsi="Arial" w:cs="Arial"/>
              </w:rPr>
            </w:pPr>
            <w:r w:rsidRPr="00F62746">
              <w:rPr>
                <w:rFonts w:ascii="Arial" w:hAnsi="Arial" w:cs="Arial"/>
              </w:rPr>
              <w:t>Increase OSY literacy.</w:t>
            </w:r>
          </w:p>
        </w:tc>
      </w:tr>
    </w:tbl>
    <w:p w14:paraId="34FF323A" w14:textId="77777777" w:rsidR="009D3580" w:rsidRPr="005E0053" w:rsidRDefault="009D3580" w:rsidP="00C34248">
      <w:pPr>
        <w:pStyle w:val="Heading5"/>
      </w:pPr>
      <w:bookmarkStart w:id="42" w:name="_Toc504520856"/>
      <w:r w:rsidRPr="005E0053">
        <w:t>Health</w:t>
      </w:r>
      <w:bookmarkEnd w:id="42"/>
    </w:p>
    <w:p w14:paraId="3D36AC98" w14:textId="77777777" w:rsidR="003B229D" w:rsidRPr="005E0053" w:rsidRDefault="003B229D" w:rsidP="007D74B3">
      <w:pPr>
        <w:rPr>
          <w:rFonts w:ascii="Arial" w:hAnsi="Arial" w:cs="Arial"/>
        </w:rPr>
      </w:pPr>
      <w:r w:rsidRPr="005E0053">
        <w:rPr>
          <w:rFonts w:ascii="Arial" w:hAnsi="Arial" w:cs="Arial"/>
        </w:rPr>
        <w:t xml:space="preserve">The Health Subcommittee reviewed the Migrant Student Profile </w:t>
      </w:r>
      <w:r w:rsidR="00C73697" w:rsidRPr="005E0053">
        <w:rPr>
          <w:rFonts w:ascii="Arial" w:hAnsi="Arial" w:cs="Arial"/>
        </w:rPr>
        <w:t>data that</w:t>
      </w:r>
      <w:r w:rsidRPr="005E0053">
        <w:rPr>
          <w:rFonts w:ascii="Arial" w:hAnsi="Arial" w:cs="Arial"/>
        </w:rPr>
        <w:t xml:space="preserve"> broadly identified the activity type, frequency</w:t>
      </w:r>
      <w:r w:rsidR="00571E6B" w:rsidRPr="005E0053">
        <w:rPr>
          <w:rFonts w:ascii="Arial" w:hAnsi="Arial" w:cs="Arial"/>
        </w:rPr>
        <w:t>,</w:t>
      </w:r>
      <w:r w:rsidRPr="005E0053">
        <w:rPr>
          <w:rFonts w:ascii="Arial" w:hAnsi="Arial" w:cs="Arial"/>
        </w:rPr>
        <w:t xml:space="preserve"> and referral type identified within MEP health services (see Migrant Student Profile, </w:t>
      </w:r>
      <w:r w:rsidR="00571E6B" w:rsidRPr="005E0053">
        <w:rPr>
          <w:rFonts w:ascii="Arial" w:hAnsi="Arial" w:cs="Arial"/>
        </w:rPr>
        <w:t>p</w:t>
      </w:r>
      <w:r w:rsidRPr="005E0053">
        <w:rPr>
          <w:rFonts w:ascii="Arial" w:hAnsi="Arial" w:cs="Arial"/>
        </w:rPr>
        <w:t xml:space="preserve">p. 41–51). For future iterations of the CNA, the </w:t>
      </w:r>
      <w:r w:rsidRPr="005E0053">
        <w:rPr>
          <w:rFonts w:ascii="Arial" w:hAnsi="Arial" w:cs="Arial"/>
        </w:rPr>
        <w:lastRenderedPageBreak/>
        <w:t>CDE will ne</w:t>
      </w:r>
      <w:r w:rsidR="00571E6B" w:rsidRPr="005E0053">
        <w:rPr>
          <w:rFonts w:ascii="Arial" w:hAnsi="Arial" w:cs="Arial"/>
        </w:rPr>
        <w:t>ed to collect data that provide</w:t>
      </w:r>
      <w:r w:rsidRPr="005E0053">
        <w:rPr>
          <w:rFonts w:ascii="Arial" w:hAnsi="Arial" w:cs="Arial"/>
        </w:rPr>
        <w:t xml:space="preserve"> further detail about the specific services provided.</w:t>
      </w:r>
    </w:p>
    <w:p w14:paraId="75880EAB" w14:textId="77777777" w:rsidR="006143B6" w:rsidRDefault="006143B6" w:rsidP="006143B6">
      <w:pPr>
        <w:pStyle w:val="Heading6"/>
        <w:spacing w:before="120"/>
        <w:jc w:val="center"/>
      </w:pPr>
      <w:r w:rsidRPr="00C34248">
        <w:t>GOAL AREA: Mental Health Services</w:t>
      </w:r>
    </w:p>
    <w:p w14:paraId="7FA7B2F3" w14:textId="1E148891" w:rsidR="008B0200" w:rsidRDefault="008B0200" w:rsidP="006143B6">
      <w:pPr>
        <w:pStyle w:val="Heading6"/>
        <w:spacing w:before="120"/>
      </w:pPr>
      <w:bookmarkStart w:id="43" w:name="_Toc101961109"/>
      <w:r w:rsidRPr="005E0053">
        <w:t xml:space="preserve">Table </w:t>
      </w:r>
      <w:fldSimple w:instr=" SEQ Table \* ARABIC ">
        <w:r w:rsidR="00261292">
          <w:rPr>
            <w:noProof/>
          </w:rPr>
          <w:t>17</w:t>
        </w:r>
      </w:fldSimple>
      <w:r w:rsidRPr="005E0053">
        <w:t>. Data Summary, Concern Statement</w:t>
      </w:r>
      <w:r w:rsidR="00A96C2A" w:rsidRPr="005E0053">
        <w:t>, and Need</w:t>
      </w:r>
      <w:r w:rsidRPr="005E0053">
        <w:t xml:space="preserve"> Statement for Mental Health Services</w:t>
      </w:r>
      <w:bookmarkEnd w:id="43"/>
    </w:p>
    <w:tbl>
      <w:tblPr>
        <w:tblStyle w:val="GridTable4-Accent1"/>
        <w:tblW w:w="0" w:type="auto"/>
        <w:tblLook w:val="0420" w:firstRow="1" w:lastRow="0" w:firstColumn="0" w:lastColumn="0" w:noHBand="0" w:noVBand="1"/>
        <w:tblDescription w:val="Data Summary, Concern Statement, and Need Statement for Mental Health Services"/>
      </w:tblPr>
      <w:tblGrid>
        <w:gridCol w:w="5412"/>
        <w:gridCol w:w="2130"/>
        <w:gridCol w:w="1808"/>
      </w:tblGrid>
      <w:tr w:rsidR="00C34248" w:rsidRPr="00455E68" w14:paraId="0B82F000"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5598" w:type="dxa"/>
            <w:tcBorders>
              <w:right w:val="single" w:sz="4" w:space="0" w:color="4472C4"/>
            </w:tcBorders>
            <w:shd w:val="clear" w:color="auto" w:fill="1F3864" w:themeFill="accent5" w:themeFillShade="80"/>
            <w:vAlign w:val="center"/>
          </w:tcPr>
          <w:p w14:paraId="5F8905CB" w14:textId="77777777" w:rsidR="00C34248" w:rsidRPr="00455E68" w:rsidRDefault="00C34248" w:rsidP="00E53F38">
            <w:pPr>
              <w:jc w:val="center"/>
              <w:rPr>
                <w:rFonts w:ascii="Arial" w:hAnsi="Arial" w:cs="Arial"/>
                <w:b w:val="0"/>
                <w:color w:val="FFFFFF"/>
              </w:rPr>
            </w:pPr>
            <w:r w:rsidRPr="00455E68">
              <w:rPr>
                <w:rFonts w:ascii="Arial" w:hAnsi="Arial" w:cs="Arial"/>
                <w:color w:val="FFFFFF"/>
              </w:rPr>
              <w:t>Data Summary:</w:t>
            </w:r>
          </w:p>
          <w:p w14:paraId="26B01DC8" w14:textId="562F9EDA" w:rsidR="00C34248" w:rsidRPr="00455E68" w:rsidRDefault="00C34248" w:rsidP="00E53F38">
            <w:pPr>
              <w:jc w:val="center"/>
              <w:rPr>
                <w:rFonts w:ascii="Arial" w:hAnsi="Arial" w:cs="Arial"/>
                <w:color w:val="FFFFFF"/>
              </w:rPr>
            </w:pPr>
            <w:r w:rsidRPr="00455E68">
              <w:rPr>
                <w:rFonts w:ascii="Arial" w:hAnsi="Arial" w:cs="Arial"/>
                <w:color w:val="FFFFFF"/>
              </w:rPr>
              <w:t>Qualitative Data</w:t>
            </w:r>
            <w:r w:rsidR="00C52B3A">
              <w:rPr>
                <w:rFonts w:ascii="Arial" w:hAnsi="Arial" w:cs="Arial"/>
                <w:color w:val="FFFFFF"/>
              </w:rPr>
              <w:t xml:space="preserve"> from the CNA/SSDP Committee</w:t>
            </w:r>
          </w:p>
        </w:tc>
        <w:tc>
          <w:tcPr>
            <w:tcW w:w="2160" w:type="dxa"/>
            <w:tcBorders>
              <w:left w:val="single" w:sz="4" w:space="0" w:color="4472C4"/>
              <w:right w:val="single" w:sz="4" w:space="0" w:color="4472C4"/>
            </w:tcBorders>
            <w:shd w:val="clear" w:color="auto" w:fill="1F3864" w:themeFill="accent5" w:themeFillShade="80"/>
            <w:vAlign w:val="center"/>
          </w:tcPr>
          <w:p w14:paraId="4D733DC0" w14:textId="77777777" w:rsidR="00C34248" w:rsidRPr="00455E68" w:rsidRDefault="00C34248" w:rsidP="00E53F38">
            <w:pPr>
              <w:pStyle w:val="ListParagraph"/>
              <w:ind w:left="0"/>
              <w:jc w:val="center"/>
              <w:rPr>
                <w:rFonts w:ascii="Arial" w:hAnsi="Arial" w:cs="Arial"/>
                <w:color w:val="FFFFFF"/>
              </w:rPr>
            </w:pPr>
            <w:r w:rsidRPr="00455E68">
              <w:rPr>
                <w:rFonts w:ascii="Arial" w:hAnsi="Arial" w:cs="Arial"/>
                <w:color w:val="FFFFFF"/>
              </w:rPr>
              <w:t>Concern Statement</w:t>
            </w:r>
          </w:p>
        </w:tc>
        <w:tc>
          <w:tcPr>
            <w:tcW w:w="1818" w:type="dxa"/>
            <w:tcBorders>
              <w:left w:val="single" w:sz="4" w:space="0" w:color="4472C4"/>
            </w:tcBorders>
            <w:shd w:val="clear" w:color="auto" w:fill="1F3864" w:themeFill="accent5" w:themeFillShade="80"/>
            <w:vAlign w:val="center"/>
          </w:tcPr>
          <w:p w14:paraId="5914BC26" w14:textId="77777777" w:rsidR="00C34248" w:rsidRPr="00455E68" w:rsidRDefault="00C34248" w:rsidP="00E53F38">
            <w:pPr>
              <w:pStyle w:val="ListParagraph"/>
              <w:ind w:left="0"/>
              <w:jc w:val="center"/>
              <w:rPr>
                <w:rFonts w:ascii="Arial" w:hAnsi="Arial" w:cs="Arial"/>
                <w:color w:val="FFFFFF"/>
              </w:rPr>
            </w:pPr>
            <w:r w:rsidRPr="00455E68">
              <w:rPr>
                <w:rFonts w:ascii="Arial" w:hAnsi="Arial" w:cs="Arial"/>
                <w:color w:val="FFFFFF"/>
              </w:rPr>
              <w:t>Need Statement</w:t>
            </w:r>
          </w:p>
        </w:tc>
      </w:tr>
      <w:tr w:rsidR="00C34248" w:rsidRPr="00F62746" w14:paraId="0FBFFBFE"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5598" w:type="dxa"/>
          </w:tcPr>
          <w:p w14:paraId="393DDC95" w14:textId="77777777" w:rsidR="00C34248" w:rsidRPr="00F62746" w:rsidRDefault="00C34248" w:rsidP="00C34248">
            <w:pPr>
              <w:pStyle w:val="ListParagraph"/>
              <w:numPr>
                <w:ilvl w:val="0"/>
                <w:numId w:val="18"/>
              </w:numPr>
              <w:rPr>
                <w:rFonts w:ascii="Arial" w:hAnsi="Arial" w:cs="Arial"/>
              </w:rPr>
            </w:pPr>
            <w:r w:rsidRPr="00F62746">
              <w:rPr>
                <w:rFonts w:ascii="Arial" w:hAnsi="Arial" w:cs="Arial"/>
              </w:rPr>
              <w:t>Minimal staff training and resources</w:t>
            </w:r>
          </w:p>
          <w:p w14:paraId="15441CE5" w14:textId="77777777" w:rsidR="00C34248" w:rsidRPr="00F62746" w:rsidRDefault="00C34248" w:rsidP="00C34248">
            <w:pPr>
              <w:pStyle w:val="ListParagraph"/>
              <w:numPr>
                <w:ilvl w:val="0"/>
                <w:numId w:val="18"/>
              </w:numPr>
              <w:rPr>
                <w:rFonts w:ascii="Arial" w:hAnsi="Arial" w:cs="Arial"/>
              </w:rPr>
            </w:pPr>
            <w:r w:rsidRPr="00F62746">
              <w:rPr>
                <w:rFonts w:ascii="Arial" w:hAnsi="Arial" w:cs="Arial"/>
              </w:rPr>
              <w:t>Unclear picture of student health needs</w:t>
            </w:r>
          </w:p>
          <w:p w14:paraId="71152BB8" w14:textId="77777777" w:rsidR="00C34248" w:rsidRPr="00F62746" w:rsidRDefault="00C34248" w:rsidP="00C34248">
            <w:pPr>
              <w:pStyle w:val="ListParagraph"/>
              <w:numPr>
                <w:ilvl w:val="0"/>
                <w:numId w:val="18"/>
              </w:numPr>
              <w:rPr>
                <w:rFonts w:ascii="Arial" w:hAnsi="Arial" w:cs="Arial"/>
              </w:rPr>
            </w:pPr>
            <w:r w:rsidRPr="00F62746">
              <w:rPr>
                <w:rFonts w:ascii="Arial" w:hAnsi="Arial" w:cs="Arial"/>
              </w:rPr>
              <w:t xml:space="preserve">Increase parental requests for referrals and services (anxiety, depression) </w:t>
            </w:r>
          </w:p>
          <w:p w14:paraId="543B2A54" w14:textId="77777777" w:rsidR="00C34248" w:rsidRPr="00F62746" w:rsidRDefault="00C34248" w:rsidP="00C34248">
            <w:pPr>
              <w:pStyle w:val="ListParagraph"/>
              <w:numPr>
                <w:ilvl w:val="0"/>
                <w:numId w:val="18"/>
              </w:numPr>
              <w:rPr>
                <w:rFonts w:ascii="Arial" w:hAnsi="Arial" w:cs="Arial"/>
              </w:rPr>
            </w:pPr>
            <w:r w:rsidRPr="00F62746">
              <w:rPr>
                <w:rFonts w:ascii="Arial" w:hAnsi="Arial" w:cs="Arial"/>
              </w:rPr>
              <w:t>Increased stress and anxiety among the migratory student population (e.g., deportation, fear of loss of parents)</w:t>
            </w:r>
          </w:p>
          <w:p w14:paraId="7CD3B559" w14:textId="77777777" w:rsidR="00C34248" w:rsidRPr="00F62746" w:rsidRDefault="00C34248" w:rsidP="00C34248">
            <w:pPr>
              <w:pStyle w:val="ListParagraph"/>
              <w:numPr>
                <w:ilvl w:val="0"/>
                <w:numId w:val="18"/>
              </w:numPr>
              <w:rPr>
                <w:rFonts w:ascii="Arial" w:hAnsi="Arial" w:cs="Arial"/>
              </w:rPr>
            </w:pPr>
            <w:r w:rsidRPr="00F62746">
              <w:rPr>
                <w:rFonts w:ascii="Arial" w:hAnsi="Arial" w:cs="Arial"/>
              </w:rPr>
              <w:t>Increased exposure to and use of drugs and alcohol</w:t>
            </w:r>
          </w:p>
          <w:p w14:paraId="60E1198E" w14:textId="77777777" w:rsidR="00C34248" w:rsidRDefault="00C34248" w:rsidP="00C34248">
            <w:pPr>
              <w:pStyle w:val="ListParagraph"/>
              <w:numPr>
                <w:ilvl w:val="0"/>
                <w:numId w:val="18"/>
              </w:numPr>
              <w:rPr>
                <w:rFonts w:ascii="Arial" w:hAnsi="Arial" w:cs="Arial"/>
              </w:rPr>
            </w:pPr>
            <w:r w:rsidRPr="00F62746">
              <w:rPr>
                <w:rFonts w:ascii="Arial" w:hAnsi="Arial" w:cs="Arial"/>
              </w:rPr>
              <w:t>Within the general student population, students are acting on increased levels of stress</w:t>
            </w:r>
          </w:p>
          <w:p w14:paraId="369E511A" w14:textId="77777777" w:rsidR="00C34248" w:rsidRPr="00C34248" w:rsidRDefault="00C34248" w:rsidP="00C34248">
            <w:pPr>
              <w:pStyle w:val="ListParagraph"/>
              <w:numPr>
                <w:ilvl w:val="0"/>
                <w:numId w:val="18"/>
              </w:numPr>
              <w:rPr>
                <w:rFonts w:ascii="Arial" w:hAnsi="Arial" w:cs="Arial"/>
              </w:rPr>
            </w:pPr>
            <w:r w:rsidRPr="00C34248">
              <w:rPr>
                <w:rFonts w:ascii="Arial" w:hAnsi="Arial" w:cs="Arial"/>
              </w:rPr>
              <w:t>Migratory parents lack awareness of mental health issues</w:t>
            </w:r>
          </w:p>
        </w:tc>
        <w:tc>
          <w:tcPr>
            <w:tcW w:w="2160" w:type="dxa"/>
          </w:tcPr>
          <w:p w14:paraId="729A173A" w14:textId="77777777" w:rsidR="00C34248" w:rsidRPr="00F62746" w:rsidRDefault="00C34248" w:rsidP="00FB40BB">
            <w:pPr>
              <w:rPr>
                <w:rFonts w:ascii="Arial" w:hAnsi="Arial" w:cs="Arial"/>
              </w:rPr>
            </w:pPr>
            <w:r w:rsidRPr="00F62746">
              <w:rPr>
                <w:rFonts w:ascii="Arial" w:hAnsi="Arial" w:cs="Arial"/>
              </w:rPr>
              <w:t>We are concerned that there is a growing need for mental health services (depression, behavior modification, family stress, students’ academic process).</w:t>
            </w:r>
          </w:p>
        </w:tc>
        <w:tc>
          <w:tcPr>
            <w:tcW w:w="1818" w:type="dxa"/>
          </w:tcPr>
          <w:p w14:paraId="1C7A0289" w14:textId="77777777" w:rsidR="00C34248" w:rsidRPr="00F62746" w:rsidRDefault="00C34248" w:rsidP="00FB40BB">
            <w:pPr>
              <w:rPr>
                <w:rFonts w:ascii="Arial" w:hAnsi="Arial" w:cs="Arial"/>
              </w:rPr>
            </w:pPr>
            <w:r w:rsidRPr="00F62746">
              <w:rPr>
                <w:rFonts w:ascii="Arial" w:hAnsi="Arial" w:cs="Arial"/>
              </w:rPr>
              <w:t>Migratory students with mental health issues need responsive identification, referral, and ongoing support.</w:t>
            </w:r>
          </w:p>
        </w:tc>
      </w:tr>
    </w:tbl>
    <w:p w14:paraId="5332F7EB" w14:textId="77777777" w:rsidR="00E4616D" w:rsidRPr="005E0053" w:rsidRDefault="00E4616D" w:rsidP="00743715">
      <w:pPr>
        <w:pStyle w:val="Heading5"/>
      </w:pPr>
      <w:bookmarkStart w:id="44" w:name="_Toc504520857"/>
      <w:r w:rsidRPr="005E0053">
        <w:t>Parent and Family Engagement</w:t>
      </w:r>
      <w:bookmarkEnd w:id="44"/>
    </w:p>
    <w:p w14:paraId="655DD87F" w14:textId="7BEDFAEA" w:rsidR="008C52ED" w:rsidRPr="005E0053" w:rsidRDefault="008C52ED" w:rsidP="007D74B3">
      <w:pPr>
        <w:rPr>
          <w:rFonts w:ascii="Arial" w:hAnsi="Arial" w:cs="Arial"/>
        </w:rPr>
      </w:pPr>
      <w:r w:rsidRPr="005E0053">
        <w:rPr>
          <w:rFonts w:ascii="Arial" w:hAnsi="Arial" w:cs="Arial"/>
        </w:rPr>
        <w:t>As the</w:t>
      </w:r>
      <w:r w:rsidR="007769CD" w:rsidRPr="005E0053">
        <w:rPr>
          <w:rFonts w:ascii="Arial" w:hAnsi="Arial" w:cs="Arial"/>
        </w:rPr>
        <w:t>se</w:t>
      </w:r>
      <w:r w:rsidRPr="005E0053">
        <w:rPr>
          <w:rFonts w:ascii="Arial" w:hAnsi="Arial" w:cs="Arial"/>
        </w:rPr>
        <w:t xml:space="preserve"> data for</w:t>
      </w:r>
      <w:r w:rsidR="007769CD" w:rsidRPr="005E0053">
        <w:rPr>
          <w:rFonts w:ascii="Arial" w:hAnsi="Arial" w:cs="Arial"/>
        </w:rPr>
        <w:t xml:space="preserve"> parent and family engagement are</w:t>
      </w:r>
      <w:r w:rsidRPr="005E0053">
        <w:rPr>
          <w:rFonts w:ascii="Arial" w:hAnsi="Arial" w:cs="Arial"/>
        </w:rPr>
        <w:t xml:space="preserve"> extremely limited, the Parent and Family Engagement Subcommittee discussed their own experiences. Both MEP staff and migratory parents </w:t>
      </w:r>
      <w:r w:rsidR="00DD3E01" w:rsidRPr="005E0053">
        <w:rPr>
          <w:rFonts w:ascii="Arial" w:hAnsi="Arial" w:cs="Arial"/>
        </w:rPr>
        <w:t>discussed</w:t>
      </w:r>
      <w:r w:rsidRPr="005E0053">
        <w:rPr>
          <w:rFonts w:ascii="Arial" w:hAnsi="Arial" w:cs="Arial"/>
        </w:rPr>
        <w:t xml:space="preserve"> </w:t>
      </w:r>
      <w:r w:rsidR="00DD3E01" w:rsidRPr="005E0053">
        <w:rPr>
          <w:rFonts w:ascii="Arial" w:hAnsi="Arial" w:cs="Arial"/>
        </w:rPr>
        <w:t>the need for increased parent capacity to participate in the MEP, at school</w:t>
      </w:r>
      <w:r w:rsidR="007769CD" w:rsidRPr="005E0053">
        <w:rPr>
          <w:rFonts w:ascii="Arial" w:hAnsi="Arial" w:cs="Arial"/>
        </w:rPr>
        <w:t>,</w:t>
      </w:r>
      <w:r w:rsidR="00DD3E01" w:rsidRPr="005E0053">
        <w:rPr>
          <w:rFonts w:ascii="Arial" w:hAnsi="Arial" w:cs="Arial"/>
        </w:rPr>
        <w:t xml:space="preserve"> and support student achievement. Table 1</w:t>
      </w:r>
      <w:r w:rsidR="00261292">
        <w:rPr>
          <w:rFonts w:ascii="Arial" w:hAnsi="Arial" w:cs="Arial"/>
        </w:rPr>
        <w:t>8</w:t>
      </w:r>
      <w:r w:rsidR="00DD3E01" w:rsidRPr="005E0053">
        <w:rPr>
          <w:rFonts w:ascii="Arial" w:hAnsi="Arial" w:cs="Arial"/>
        </w:rPr>
        <w:t xml:space="preserve"> outlines the data, concerns</w:t>
      </w:r>
      <w:r w:rsidR="00A117E0" w:rsidRPr="005E0053">
        <w:rPr>
          <w:rFonts w:ascii="Arial" w:hAnsi="Arial" w:cs="Arial"/>
        </w:rPr>
        <w:t>,</w:t>
      </w:r>
      <w:r w:rsidR="00DD3E01" w:rsidRPr="005E0053">
        <w:rPr>
          <w:rFonts w:ascii="Arial" w:hAnsi="Arial" w:cs="Arial"/>
        </w:rPr>
        <w:t xml:space="preserve"> and needs identified by </w:t>
      </w:r>
      <w:r w:rsidR="00C52B3A">
        <w:rPr>
          <w:rFonts w:ascii="Arial" w:hAnsi="Arial" w:cs="Arial"/>
        </w:rPr>
        <w:t>the CNA/SSDP Committee</w:t>
      </w:r>
      <w:r w:rsidR="00C52B3A" w:rsidRPr="005E0053">
        <w:rPr>
          <w:rFonts w:ascii="Arial" w:hAnsi="Arial" w:cs="Arial"/>
        </w:rPr>
        <w:t xml:space="preserve"> </w:t>
      </w:r>
      <w:r w:rsidR="00DD3E01" w:rsidRPr="005E0053">
        <w:rPr>
          <w:rFonts w:ascii="Arial" w:hAnsi="Arial" w:cs="Arial"/>
        </w:rPr>
        <w:t>for parent and family engagement.</w:t>
      </w:r>
    </w:p>
    <w:p w14:paraId="5C477014" w14:textId="77777777" w:rsidR="006143B6" w:rsidRDefault="006143B6" w:rsidP="006143B6">
      <w:pPr>
        <w:pStyle w:val="Heading6"/>
        <w:jc w:val="center"/>
      </w:pPr>
      <w:r w:rsidRPr="00B42DD9">
        <w:lastRenderedPageBreak/>
        <w:t>GOAL AREA: Capacity to Participate/Support Student</w:t>
      </w:r>
    </w:p>
    <w:p w14:paraId="3BA39757" w14:textId="5E25A743" w:rsidR="008B0200" w:rsidRDefault="008B0200" w:rsidP="006143B6">
      <w:pPr>
        <w:pStyle w:val="Heading6"/>
        <w:spacing w:before="120"/>
      </w:pPr>
      <w:bookmarkStart w:id="45" w:name="_Toc101961110"/>
      <w:r w:rsidRPr="005E0053">
        <w:t xml:space="preserve">Table </w:t>
      </w:r>
      <w:fldSimple w:instr=" SEQ Table \* ARABIC ">
        <w:r w:rsidR="00261292">
          <w:rPr>
            <w:noProof/>
          </w:rPr>
          <w:t>18</w:t>
        </w:r>
      </w:fldSimple>
      <w:r w:rsidRPr="005E0053">
        <w:t>. Data Summary, Concern Statement</w:t>
      </w:r>
      <w:r w:rsidR="00A117E0" w:rsidRPr="005E0053">
        <w:t>, and Need</w:t>
      </w:r>
      <w:r w:rsidRPr="005E0053">
        <w:t xml:space="preserve"> Statement for Parent and Family Engagement: Capacity Building</w:t>
      </w:r>
      <w:bookmarkEnd w:id="45"/>
    </w:p>
    <w:tbl>
      <w:tblPr>
        <w:tblStyle w:val="GridTable4-Accent1"/>
        <w:tblW w:w="0" w:type="auto"/>
        <w:tblLook w:val="0420" w:firstRow="1" w:lastRow="0" w:firstColumn="0" w:lastColumn="0" w:noHBand="0" w:noVBand="1"/>
        <w:tblDescription w:val="Data Summary, Concern Statement, and Need Statement for Parent and Family Engagement: Capacity Building"/>
      </w:tblPr>
      <w:tblGrid>
        <w:gridCol w:w="4400"/>
        <w:gridCol w:w="2638"/>
        <w:gridCol w:w="2312"/>
      </w:tblGrid>
      <w:tr w:rsidR="00B42DD9" w:rsidRPr="00455E68" w14:paraId="73B15F4C"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4518" w:type="dxa"/>
            <w:tcBorders>
              <w:right w:val="single" w:sz="4" w:space="0" w:color="4472C4"/>
            </w:tcBorders>
            <w:shd w:val="clear" w:color="auto" w:fill="1F3864" w:themeFill="accent5" w:themeFillShade="80"/>
            <w:vAlign w:val="center"/>
          </w:tcPr>
          <w:p w14:paraId="0DF1C9E9" w14:textId="77777777" w:rsidR="00B42DD9" w:rsidRPr="00455E68" w:rsidRDefault="00B42DD9" w:rsidP="00E53F38">
            <w:pPr>
              <w:jc w:val="center"/>
              <w:rPr>
                <w:rFonts w:ascii="Arial" w:hAnsi="Arial" w:cs="Arial"/>
                <w:b w:val="0"/>
                <w:color w:val="FFFFFF"/>
              </w:rPr>
            </w:pPr>
            <w:r w:rsidRPr="00455E68">
              <w:rPr>
                <w:rFonts w:ascii="Arial" w:hAnsi="Arial" w:cs="Arial"/>
                <w:color w:val="FFFFFF"/>
              </w:rPr>
              <w:t>Data Summary:</w:t>
            </w:r>
          </w:p>
          <w:p w14:paraId="0FDBB94D" w14:textId="73BFEE85" w:rsidR="00B42DD9" w:rsidRPr="00455E68" w:rsidRDefault="00B42DD9" w:rsidP="00E53F38">
            <w:pPr>
              <w:jc w:val="center"/>
              <w:rPr>
                <w:rFonts w:ascii="Arial" w:hAnsi="Arial" w:cs="Arial"/>
                <w:color w:val="FFFFFF"/>
              </w:rPr>
            </w:pPr>
            <w:r w:rsidRPr="00455E68">
              <w:rPr>
                <w:rFonts w:ascii="Arial" w:hAnsi="Arial" w:cs="Arial"/>
                <w:color w:val="FFFFFF"/>
              </w:rPr>
              <w:t>Qualitative Data</w:t>
            </w:r>
            <w:r w:rsidR="00C52B3A">
              <w:rPr>
                <w:rFonts w:ascii="Arial" w:hAnsi="Arial" w:cs="Arial"/>
                <w:color w:val="FFFFFF"/>
              </w:rPr>
              <w:t xml:space="preserve"> from the CNA/SSDP Committee</w:t>
            </w:r>
          </w:p>
        </w:tc>
        <w:tc>
          <w:tcPr>
            <w:tcW w:w="2700" w:type="dxa"/>
            <w:tcBorders>
              <w:left w:val="single" w:sz="4" w:space="0" w:color="4472C4"/>
              <w:right w:val="single" w:sz="4" w:space="0" w:color="4472C4"/>
            </w:tcBorders>
            <w:shd w:val="clear" w:color="auto" w:fill="1F3864" w:themeFill="accent5" w:themeFillShade="80"/>
            <w:vAlign w:val="center"/>
          </w:tcPr>
          <w:p w14:paraId="7B6087A6" w14:textId="77777777" w:rsidR="00B42DD9" w:rsidRPr="00455E68" w:rsidRDefault="00B42DD9" w:rsidP="00E53F38">
            <w:pPr>
              <w:pStyle w:val="ListParagraph"/>
              <w:ind w:left="-14"/>
              <w:jc w:val="center"/>
              <w:rPr>
                <w:rFonts w:ascii="Arial" w:hAnsi="Arial" w:cs="Arial"/>
                <w:color w:val="FFFFFF"/>
              </w:rPr>
            </w:pPr>
            <w:r w:rsidRPr="00455E68">
              <w:rPr>
                <w:rFonts w:ascii="Arial" w:hAnsi="Arial" w:cs="Arial"/>
                <w:color w:val="FFFFFF"/>
              </w:rPr>
              <w:t>Concern Statement</w:t>
            </w:r>
          </w:p>
        </w:tc>
        <w:tc>
          <w:tcPr>
            <w:tcW w:w="2358" w:type="dxa"/>
            <w:tcBorders>
              <w:left w:val="single" w:sz="4" w:space="0" w:color="4472C4"/>
            </w:tcBorders>
            <w:shd w:val="clear" w:color="auto" w:fill="1F3864" w:themeFill="accent5" w:themeFillShade="80"/>
            <w:vAlign w:val="center"/>
          </w:tcPr>
          <w:p w14:paraId="4140F2DA" w14:textId="77777777" w:rsidR="00B42DD9" w:rsidRPr="00455E68" w:rsidRDefault="00B42DD9" w:rsidP="00E53F38">
            <w:pPr>
              <w:pStyle w:val="ListParagraph"/>
              <w:ind w:left="-14"/>
              <w:jc w:val="center"/>
              <w:rPr>
                <w:rFonts w:ascii="Arial" w:hAnsi="Arial" w:cs="Arial"/>
                <w:color w:val="FFFFFF"/>
              </w:rPr>
            </w:pPr>
            <w:r w:rsidRPr="00455E68">
              <w:rPr>
                <w:rFonts w:ascii="Arial" w:hAnsi="Arial" w:cs="Arial"/>
                <w:color w:val="FFFFFF"/>
              </w:rPr>
              <w:t>Need Statement</w:t>
            </w:r>
          </w:p>
        </w:tc>
      </w:tr>
      <w:tr w:rsidR="00B42DD9" w:rsidRPr="00F62746" w14:paraId="0A579FA3"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4518" w:type="dxa"/>
          </w:tcPr>
          <w:p w14:paraId="76A1D919" w14:textId="77777777" w:rsidR="00B42DD9" w:rsidRPr="00F62746" w:rsidRDefault="00B42DD9" w:rsidP="00B42DD9">
            <w:pPr>
              <w:pStyle w:val="ListParagraph"/>
              <w:numPr>
                <w:ilvl w:val="0"/>
                <w:numId w:val="20"/>
              </w:numPr>
              <w:ind w:left="346"/>
              <w:rPr>
                <w:rFonts w:ascii="Arial" w:hAnsi="Arial" w:cs="Arial"/>
              </w:rPr>
            </w:pPr>
            <w:r w:rsidRPr="00F62746">
              <w:rPr>
                <w:rFonts w:ascii="Arial" w:hAnsi="Arial" w:cs="Arial"/>
              </w:rPr>
              <w:t>Parent training varies by region.</w:t>
            </w:r>
          </w:p>
          <w:p w14:paraId="3A1282E7" w14:textId="77777777" w:rsidR="00B42DD9" w:rsidRDefault="00B42DD9" w:rsidP="00B42DD9">
            <w:pPr>
              <w:pStyle w:val="ListParagraph"/>
              <w:numPr>
                <w:ilvl w:val="0"/>
                <w:numId w:val="20"/>
              </w:numPr>
              <w:ind w:left="346"/>
              <w:rPr>
                <w:rFonts w:ascii="Arial" w:hAnsi="Arial" w:cs="Arial"/>
              </w:rPr>
            </w:pPr>
            <w:r w:rsidRPr="00F62746">
              <w:rPr>
                <w:rFonts w:ascii="Arial" w:hAnsi="Arial" w:cs="Arial"/>
              </w:rPr>
              <w:t>Parents do not know about MEP services.</w:t>
            </w:r>
          </w:p>
          <w:p w14:paraId="7334A444" w14:textId="77777777" w:rsidR="00B42DD9" w:rsidRPr="00B42DD9" w:rsidRDefault="00B42DD9" w:rsidP="00B42DD9">
            <w:pPr>
              <w:pStyle w:val="ListParagraph"/>
              <w:numPr>
                <w:ilvl w:val="0"/>
                <w:numId w:val="20"/>
              </w:numPr>
              <w:ind w:left="346"/>
              <w:rPr>
                <w:rFonts w:ascii="Arial" w:hAnsi="Arial" w:cs="Arial"/>
              </w:rPr>
            </w:pPr>
            <w:r w:rsidRPr="00B42DD9">
              <w:rPr>
                <w:rFonts w:ascii="Arial" w:hAnsi="Arial" w:cs="Arial"/>
              </w:rPr>
              <w:t>Parents need training on the impact of parent involvement on student achievement.</w:t>
            </w:r>
          </w:p>
        </w:tc>
        <w:tc>
          <w:tcPr>
            <w:tcW w:w="2700" w:type="dxa"/>
          </w:tcPr>
          <w:p w14:paraId="458EC86D" w14:textId="77777777" w:rsidR="00B42DD9" w:rsidRPr="00F62746" w:rsidRDefault="00B42DD9" w:rsidP="00FB40BB">
            <w:pPr>
              <w:rPr>
                <w:rFonts w:ascii="Arial" w:hAnsi="Arial" w:cs="Arial"/>
              </w:rPr>
            </w:pPr>
            <w:r w:rsidRPr="00F62746">
              <w:rPr>
                <w:rFonts w:ascii="Arial" w:hAnsi="Arial" w:cs="Arial"/>
              </w:rPr>
              <w:t>We are concerned that parents do not have the capacity to participate at the school and regional level.</w:t>
            </w:r>
          </w:p>
        </w:tc>
        <w:tc>
          <w:tcPr>
            <w:tcW w:w="2358" w:type="dxa"/>
          </w:tcPr>
          <w:p w14:paraId="11ABE407" w14:textId="77777777" w:rsidR="00B42DD9" w:rsidRPr="00F62746" w:rsidRDefault="00B42DD9" w:rsidP="00FB40BB">
            <w:pPr>
              <w:rPr>
                <w:rFonts w:ascii="Arial" w:hAnsi="Arial" w:cs="Arial"/>
              </w:rPr>
            </w:pPr>
            <w:r w:rsidRPr="00F62746">
              <w:rPr>
                <w:rFonts w:ascii="Arial" w:hAnsi="Arial" w:cs="Arial"/>
              </w:rPr>
              <w:t>There is a need to build parent capacity so that they can participate at the school and regional level.</w:t>
            </w:r>
          </w:p>
        </w:tc>
      </w:tr>
    </w:tbl>
    <w:p w14:paraId="5E93E171" w14:textId="77777777" w:rsidR="00AB3788" w:rsidRPr="005E0053" w:rsidRDefault="00AB3788" w:rsidP="00743715">
      <w:pPr>
        <w:pStyle w:val="Heading5"/>
      </w:pPr>
      <w:bookmarkStart w:id="46" w:name="_Toc504520858"/>
      <w:r w:rsidRPr="005E0053">
        <w:t>Student Engag</w:t>
      </w:r>
      <w:r w:rsidR="00C47B13" w:rsidRPr="005E0053">
        <w:t>e</w:t>
      </w:r>
      <w:r w:rsidRPr="005E0053">
        <w:t>ment</w:t>
      </w:r>
      <w:bookmarkEnd w:id="46"/>
    </w:p>
    <w:p w14:paraId="6A3C92DA" w14:textId="77777777" w:rsidR="00DD3E01" w:rsidRPr="00F62746" w:rsidRDefault="00905DD0" w:rsidP="00DD3E01">
      <w:pPr>
        <w:pStyle w:val="NormalWeb"/>
        <w:spacing w:before="0" w:beforeAutospacing="0" w:after="0" w:afterAutospacing="0"/>
        <w:rPr>
          <w:rFonts w:ascii="Arial" w:hAnsi="Arial" w:cs="Arial"/>
          <w:color w:val="000000"/>
        </w:rPr>
      </w:pPr>
      <w:r w:rsidRPr="00F62746">
        <w:rPr>
          <w:rFonts w:ascii="Arial" w:hAnsi="Arial" w:cs="Arial"/>
          <w:color w:val="000000"/>
        </w:rPr>
        <w:t xml:space="preserve">Student engagement was chosen as a focus area for two reasons. First, </w:t>
      </w:r>
      <w:r w:rsidR="00DD3E01" w:rsidRPr="00F62746">
        <w:rPr>
          <w:rFonts w:ascii="Arial" w:hAnsi="Arial" w:cs="Arial"/>
          <w:color w:val="000000"/>
        </w:rPr>
        <w:t xml:space="preserve">California’s Local Control Funding Formula lists graduation rate and chronic absenteeism (not available until Fall 2018) as the state indicators for student engagement. </w:t>
      </w:r>
      <w:r w:rsidRPr="00F62746">
        <w:rPr>
          <w:rFonts w:ascii="Arial" w:hAnsi="Arial" w:cs="Arial"/>
          <w:color w:val="000000"/>
        </w:rPr>
        <w:t xml:space="preserve">Secondly, the meta-analysis of the 20 local CNAs indicated that increasing student engagement was a necessity to improving overall student achievement. </w:t>
      </w:r>
      <w:r w:rsidR="00DD3E01" w:rsidRPr="00F62746">
        <w:rPr>
          <w:rFonts w:ascii="Arial" w:hAnsi="Arial" w:cs="Arial"/>
          <w:color w:val="000000"/>
        </w:rPr>
        <w:t>S</w:t>
      </w:r>
      <w:r w:rsidR="00A117E0" w:rsidRPr="00F62746">
        <w:rPr>
          <w:rFonts w:ascii="Arial" w:hAnsi="Arial" w:cs="Arial"/>
          <w:color w:val="000000"/>
        </w:rPr>
        <w:t>ince chronic absenteeism data are</w:t>
      </w:r>
      <w:r w:rsidR="00DD3E01" w:rsidRPr="00F62746">
        <w:rPr>
          <w:rFonts w:ascii="Arial" w:hAnsi="Arial" w:cs="Arial"/>
          <w:color w:val="000000"/>
        </w:rPr>
        <w:t xml:space="preserve"> currently unavailable, the CDE reviewed high school graduation and dropout rates as well as data on school climate and connectedness from the California Healthy Kids Survey.</w:t>
      </w:r>
      <w:r w:rsidRPr="00F62746">
        <w:rPr>
          <w:rFonts w:ascii="Arial" w:hAnsi="Arial" w:cs="Arial"/>
          <w:color w:val="000000"/>
        </w:rPr>
        <w:t xml:space="preserve"> Subgrantees should utilize an asset-based model of instruction that i</w:t>
      </w:r>
      <w:r w:rsidR="00E506A2" w:rsidRPr="00F62746">
        <w:rPr>
          <w:rFonts w:ascii="Arial" w:hAnsi="Arial" w:cs="Arial"/>
          <w:color w:val="000000"/>
        </w:rPr>
        <w:t>ntegrate</w:t>
      </w:r>
      <w:r w:rsidRPr="00F62746">
        <w:rPr>
          <w:rFonts w:ascii="Arial" w:hAnsi="Arial" w:cs="Arial"/>
          <w:color w:val="000000"/>
        </w:rPr>
        <w:t xml:space="preserve">s Latino culture by using it as a resource. An asset-based model encourages teachers to </w:t>
      </w:r>
      <w:r w:rsidR="00AC45A5" w:rsidRPr="00F62746">
        <w:rPr>
          <w:rFonts w:ascii="Arial" w:hAnsi="Arial" w:cs="Arial"/>
          <w:color w:val="000000"/>
        </w:rPr>
        <w:t>understand</w:t>
      </w:r>
      <w:r w:rsidRPr="00F62746">
        <w:rPr>
          <w:rFonts w:ascii="Arial" w:hAnsi="Arial" w:cs="Arial"/>
          <w:color w:val="000000"/>
        </w:rPr>
        <w:t xml:space="preserve">, </w:t>
      </w:r>
      <w:r w:rsidR="00E506A2" w:rsidRPr="00F62746">
        <w:rPr>
          <w:rFonts w:ascii="Arial" w:hAnsi="Arial" w:cs="Arial"/>
          <w:color w:val="000000"/>
        </w:rPr>
        <w:t>value</w:t>
      </w:r>
      <w:r w:rsidR="00A117E0" w:rsidRPr="00F62746">
        <w:rPr>
          <w:rFonts w:ascii="Arial" w:hAnsi="Arial" w:cs="Arial"/>
          <w:color w:val="000000"/>
        </w:rPr>
        <w:t>,</w:t>
      </w:r>
      <w:r w:rsidRPr="00F62746">
        <w:rPr>
          <w:rFonts w:ascii="Arial" w:hAnsi="Arial" w:cs="Arial"/>
          <w:color w:val="000000"/>
        </w:rPr>
        <w:t xml:space="preserve"> and </w:t>
      </w:r>
      <w:r w:rsidR="00E506A2" w:rsidRPr="00F62746">
        <w:rPr>
          <w:rFonts w:ascii="Arial" w:hAnsi="Arial" w:cs="Arial"/>
          <w:color w:val="000000"/>
        </w:rPr>
        <w:t>incorporate</w:t>
      </w:r>
      <w:r w:rsidRPr="00F62746">
        <w:rPr>
          <w:rFonts w:ascii="Arial" w:hAnsi="Arial" w:cs="Arial"/>
          <w:color w:val="000000"/>
        </w:rPr>
        <w:t xml:space="preserve"> the many assets (e.g., language, </w:t>
      </w:r>
      <w:r w:rsidR="00E506A2" w:rsidRPr="00F62746">
        <w:rPr>
          <w:rFonts w:ascii="Arial" w:hAnsi="Arial" w:cs="Arial"/>
          <w:color w:val="000000"/>
        </w:rPr>
        <w:t xml:space="preserve">traditions, </w:t>
      </w:r>
      <w:r w:rsidR="00AC45A5" w:rsidRPr="00F62746">
        <w:rPr>
          <w:rFonts w:ascii="Arial" w:hAnsi="Arial" w:cs="Arial"/>
          <w:color w:val="000000"/>
        </w:rPr>
        <w:t xml:space="preserve">etc.) </w:t>
      </w:r>
      <w:r w:rsidRPr="00F62746">
        <w:rPr>
          <w:rFonts w:ascii="Arial" w:hAnsi="Arial" w:cs="Arial"/>
          <w:color w:val="000000"/>
        </w:rPr>
        <w:t>that migratory children bring to the classroom.</w:t>
      </w:r>
    </w:p>
    <w:p w14:paraId="30DA9721" w14:textId="77777777" w:rsidR="006143B6" w:rsidRDefault="006143B6" w:rsidP="00102FC0">
      <w:pPr>
        <w:pStyle w:val="Heading6"/>
        <w:jc w:val="center"/>
      </w:pPr>
      <w:r w:rsidRPr="00B42DD9">
        <w:t>GOAL AREA: Self and Cultural Pride</w:t>
      </w:r>
    </w:p>
    <w:p w14:paraId="4CE48FF9" w14:textId="5ADEC6C4" w:rsidR="008B0200" w:rsidRDefault="008B0200" w:rsidP="006143B6">
      <w:pPr>
        <w:pStyle w:val="Heading6"/>
        <w:spacing w:before="120"/>
      </w:pPr>
      <w:bookmarkStart w:id="47" w:name="_Toc101961111"/>
      <w:r w:rsidRPr="005E0053">
        <w:t xml:space="preserve">Table </w:t>
      </w:r>
      <w:fldSimple w:instr=" SEQ Table \* ARABIC ">
        <w:r w:rsidR="00261292">
          <w:rPr>
            <w:noProof/>
          </w:rPr>
          <w:t>19</w:t>
        </w:r>
      </w:fldSimple>
      <w:r w:rsidRPr="005E0053">
        <w:t>. Data Summary, Concern Statement</w:t>
      </w:r>
      <w:r w:rsidR="00A117E0" w:rsidRPr="005E0053">
        <w:t>, and Need</w:t>
      </w:r>
      <w:r w:rsidRPr="005E0053">
        <w:t xml:space="preserve"> Statement for Student Engagement: Self and Cultural Pride</w:t>
      </w:r>
      <w:bookmarkEnd w:id="47"/>
    </w:p>
    <w:tbl>
      <w:tblPr>
        <w:tblStyle w:val="GridTable4-Accent1"/>
        <w:tblW w:w="0" w:type="auto"/>
        <w:tblLook w:val="0420" w:firstRow="1" w:lastRow="0" w:firstColumn="0" w:lastColumn="0" w:noHBand="0" w:noVBand="1"/>
        <w:tblDescription w:val="Data Summary, Concern Statement, and Need Statement for Student Engagement: Self and Cultural Pride"/>
      </w:tblPr>
      <w:tblGrid>
        <w:gridCol w:w="3362"/>
        <w:gridCol w:w="3329"/>
        <w:gridCol w:w="2659"/>
      </w:tblGrid>
      <w:tr w:rsidR="00B42DD9" w:rsidRPr="00455E68" w14:paraId="6DD060F4" w14:textId="77777777" w:rsidTr="00E53F38">
        <w:trPr>
          <w:cnfStyle w:val="100000000000" w:firstRow="1" w:lastRow="0" w:firstColumn="0" w:lastColumn="0" w:oddVBand="0" w:evenVBand="0" w:oddHBand="0" w:evenHBand="0" w:firstRowFirstColumn="0" w:firstRowLastColumn="0" w:lastRowFirstColumn="0" w:lastRowLastColumn="0"/>
          <w:cantSplit/>
          <w:tblHeader/>
        </w:trPr>
        <w:tc>
          <w:tcPr>
            <w:tcW w:w="3438" w:type="dxa"/>
            <w:tcBorders>
              <w:right w:val="single" w:sz="4" w:space="0" w:color="4472C4"/>
            </w:tcBorders>
            <w:shd w:val="clear" w:color="auto" w:fill="1F3864" w:themeFill="accent5" w:themeFillShade="80"/>
            <w:vAlign w:val="center"/>
          </w:tcPr>
          <w:p w14:paraId="77742C21" w14:textId="0B8E25DC" w:rsidR="0073568C" w:rsidRDefault="00B42DD9" w:rsidP="00E53F38">
            <w:pPr>
              <w:jc w:val="center"/>
              <w:rPr>
                <w:rFonts w:ascii="Arial" w:hAnsi="Arial" w:cs="Arial"/>
                <w:b w:val="0"/>
                <w:color w:val="FFFFFF"/>
              </w:rPr>
            </w:pPr>
            <w:r w:rsidRPr="00455E68">
              <w:rPr>
                <w:rFonts w:ascii="Arial" w:hAnsi="Arial" w:cs="Arial"/>
                <w:color w:val="FFFFFF"/>
              </w:rPr>
              <w:t>Data Summary:</w:t>
            </w:r>
          </w:p>
          <w:p w14:paraId="3ECDE4AD" w14:textId="252E6CEA" w:rsidR="00B42DD9" w:rsidRPr="00455E68" w:rsidRDefault="00B42DD9" w:rsidP="00E53F38">
            <w:pPr>
              <w:jc w:val="center"/>
              <w:rPr>
                <w:rFonts w:ascii="Arial" w:hAnsi="Arial" w:cs="Arial"/>
                <w:b w:val="0"/>
                <w:color w:val="FFFFFF"/>
              </w:rPr>
            </w:pPr>
            <w:r w:rsidRPr="00455E68">
              <w:rPr>
                <w:rFonts w:ascii="Arial" w:hAnsi="Arial" w:cs="Arial"/>
                <w:color w:val="FFFFFF"/>
              </w:rPr>
              <w:t>Qualitative Data</w:t>
            </w:r>
            <w:r w:rsidR="00C52B3A">
              <w:rPr>
                <w:rFonts w:ascii="Arial" w:hAnsi="Arial" w:cs="Arial"/>
                <w:color w:val="FFFFFF"/>
              </w:rPr>
              <w:t xml:space="preserve"> from the CNA/SSDP Committee</w:t>
            </w:r>
          </w:p>
        </w:tc>
        <w:tc>
          <w:tcPr>
            <w:tcW w:w="3420" w:type="dxa"/>
            <w:tcBorders>
              <w:left w:val="single" w:sz="4" w:space="0" w:color="4472C4"/>
              <w:right w:val="single" w:sz="4" w:space="0" w:color="4472C4"/>
            </w:tcBorders>
            <w:shd w:val="clear" w:color="auto" w:fill="1F3864" w:themeFill="accent5" w:themeFillShade="80"/>
            <w:vAlign w:val="center"/>
          </w:tcPr>
          <w:p w14:paraId="7BCA8FE5" w14:textId="77777777" w:rsidR="00B42DD9" w:rsidRPr="00455E68" w:rsidRDefault="00B42DD9" w:rsidP="00E53F38">
            <w:pPr>
              <w:pStyle w:val="ListParagraph"/>
              <w:ind w:left="0"/>
              <w:jc w:val="center"/>
              <w:rPr>
                <w:rFonts w:ascii="Arial" w:hAnsi="Arial" w:cs="Arial"/>
                <w:color w:val="FFFFFF"/>
              </w:rPr>
            </w:pPr>
            <w:r w:rsidRPr="00455E68">
              <w:rPr>
                <w:rFonts w:ascii="Arial" w:hAnsi="Arial" w:cs="Arial"/>
                <w:color w:val="FFFFFF"/>
              </w:rPr>
              <w:t>Concern Statement</w:t>
            </w:r>
          </w:p>
        </w:tc>
        <w:tc>
          <w:tcPr>
            <w:tcW w:w="2718" w:type="dxa"/>
            <w:tcBorders>
              <w:left w:val="single" w:sz="4" w:space="0" w:color="4472C4"/>
            </w:tcBorders>
            <w:shd w:val="clear" w:color="auto" w:fill="1F3864" w:themeFill="accent5" w:themeFillShade="80"/>
            <w:vAlign w:val="center"/>
          </w:tcPr>
          <w:p w14:paraId="24FF363C" w14:textId="77777777" w:rsidR="00B42DD9" w:rsidRPr="00455E68" w:rsidRDefault="00B42DD9" w:rsidP="00E53F38">
            <w:pPr>
              <w:pStyle w:val="ListParagraph"/>
              <w:ind w:left="0"/>
              <w:jc w:val="center"/>
              <w:rPr>
                <w:rFonts w:ascii="Arial" w:hAnsi="Arial" w:cs="Arial"/>
                <w:color w:val="FFFFFF"/>
              </w:rPr>
            </w:pPr>
            <w:r w:rsidRPr="00455E68">
              <w:rPr>
                <w:rFonts w:ascii="Arial" w:hAnsi="Arial" w:cs="Arial"/>
                <w:color w:val="FFFFFF"/>
              </w:rPr>
              <w:t>Need Statement</w:t>
            </w:r>
          </w:p>
        </w:tc>
      </w:tr>
      <w:tr w:rsidR="00B42DD9" w:rsidRPr="00F62746" w14:paraId="2BE06F95"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3438" w:type="dxa"/>
          </w:tcPr>
          <w:p w14:paraId="6E246394" w14:textId="77777777" w:rsidR="00B42DD9" w:rsidRPr="00F62746" w:rsidRDefault="00B42DD9" w:rsidP="007D443E">
            <w:pPr>
              <w:numPr>
                <w:ilvl w:val="0"/>
                <w:numId w:val="59"/>
              </w:numPr>
              <w:ind w:left="270" w:hanging="270"/>
              <w:rPr>
                <w:rFonts w:ascii="Arial" w:hAnsi="Arial" w:cs="Arial"/>
                <w:b/>
              </w:rPr>
            </w:pPr>
            <w:r w:rsidRPr="00F62746">
              <w:rPr>
                <w:rFonts w:ascii="Arial" w:hAnsi="Arial" w:cs="Arial"/>
              </w:rPr>
              <w:t>MEP services do not have an explicit social, emotional, or cultural component.</w:t>
            </w:r>
          </w:p>
        </w:tc>
        <w:tc>
          <w:tcPr>
            <w:tcW w:w="3420" w:type="dxa"/>
          </w:tcPr>
          <w:p w14:paraId="050D172F" w14:textId="77777777" w:rsidR="00B42DD9" w:rsidRPr="00F62746" w:rsidRDefault="00B42DD9" w:rsidP="00FB40BB">
            <w:pPr>
              <w:rPr>
                <w:rFonts w:ascii="Arial" w:hAnsi="Arial" w:cs="Arial"/>
              </w:rPr>
            </w:pPr>
            <w:r w:rsidRPr="00F62746">
              <w:rPr>
                <w:rFonts w:ascii="Arial" w:hAnsi="Arial" w:cs="Arial"/>
              </w:rPr>
              <w:t>We are concerned that limited emphasis has been given to supporting students and parents in developing self-confidence and cultural pride, starting at the elementary years, in order to empower the migratory families.</w:t>
            </w:r>
          </w:p>
        </w:tc>
        <w:tc>
          <w:tcPr>
            <w:tcW w:w="2718" w:type="dxa"/>
          </w:tcPr>
          <w:p w14:paraId="623F27A2" w14:textId="77777777" w:rsidR="00B42DD9" w:rsidRPr="00F62746" w:rsidRDefault="00B42DD9" w:rsidP="00FB40BB">
            <w:pPr>
              <w:rPr>
                <w:rFonts w:ascii="Arial" w:hAnsi="Arial" w:cs="Arial"/>
              </w:rPr>
            </w:pPr>
            <w:r w:rsidRPr="00F62746">
              <w:rPr>
                <w:rFonts w:ascii="Arial" w:hAnsi="Arial" w:cs="Arial"/>
              </w:rPr>
              <w:t>All MEP students and parents need to develop self-confidence and cultural pride, starting at the elementary years, in order to empower the migratory families.</w:t>
            </w:r>
          </w:p>
        </w:tc>
      </w:tr>
    </w:tbl>
    <w:p w14:paraId="5C257906" w14:textId="1E83DDED" w:rsidR="00F377AE" w:rsidRPr="005E0053" w:rsidRDefault="00F377AE" w:rsidP="00CB2C23">
      <w:pPr>
        <w:spacing w:before="240"/>
        <w:rPr>
          <w:rFonts w:ascii="Arial" w:hAnsi="Arial" w:cs="Arial"/>
        </w:rPr>
      </w:pPr>
      <w:r w:rsidRPr="005E0053">
        <w:rPr>
          <w:rFonts w:ascii="Arial" w:hAnsi="Arial" w:cs="Arial"/>
        </w:rPr>
        <w:lastRenderedPageBreak/>
        <w:t>The CNA/SSDP Co</w:t>
      </w:r>
      <w:r w:rsidR="000130A8" w:rsidRPr="005E0053">
        <w:rPr>
          <w:rFonts w:ascii="Arial" w:hAnsi="Arial" w:cs="Arial"/>
        </w:rPr>
        <w:t>mmittee identified several</w:t>
      </w:r>
      <w:r w:rsidRPr="005E0053">
        <w:rPr>
          <w:rFonts w:ascii="Arial" w:hAnsi="Arial" w:cs="Arial"/>
        </w:rPr>
        <w:t xml:space="preserve"> </w:t>
      </w:r>
      <w:r w:rsidR="009E39FA" w:rsidRPr="005E0053">
        <w:rPr>
          <w:rFonts w:ascii="Arial" w:hAnsi="Arial" w:cs="Arial"/>
        </w:rPr>
        <w:t>concerns</w:t>
      </w:r>
      <w:r w:rsidR="00FA103E" w:rsidRPr="005E0053">
        <w:rPr>
          <w:rFonts w:ascii="Arial" w:hAnsi="Arial" w:cs="Arial"/>
        </w:rPr>
        <w:t xml:space="preserve"> and needs </w:t>
      </w:r>
      <w:r w:rsidR="000130A8" w:rsidRPr="005E0053">
        <w:rPr>
          <w:rFonts w:ascii="Arial" w:hAnsi="Arial" w:cs="Arial"/>
        </w:rPr>
        <w:t>per focus area</w:t>
      </w:r>
      <w:r w:rsidR="009E39FA" w:rsidRPr="005E0053">
        <w:rPr>
          <w:rFonts w:ascii="Arial" w:hAnsi="Arial" w:cs="Arial"/>
        </w:rPr>
        <w:t xml:space="preserve"> based on quantitative and qualitative data; however, due to the</w:t>
      </w:r>
      <w:r w:rsidR="00C121F4" w:rsidRPr="005E0053">
        <w:rPr>
          <w:rFonts w:ascii="Arial" w:hAnsi="Arial" w:cs="Arial"/>
        </w:rPr>
        <w:t xml:space="preserve"> multitude</w:t>
      </w:r>
      <w:r w:rsidR="009E39FA" w:rsidRPr="005E0053">
        <w:rPr>
          <w:rFonts w:ascii="Arial" w:hAnsi="Arial" w:cs="Arial"/>
        </w:rPr>
        <w:t xml:space="preserve"> of </w:t>
      </w:r>
      <w:r w:rsidR="00FA103E" w:rsidRPr="005E0053">
        <w:rPr>
          <w:rFonts w:ascii="Arial" w:hAnsi="Arial" w:cs="Arial"/>
        </w:rPr>
        <w:t>need</w:t>
      </w:r>
      <w:r w:rsidR="009E39FA" w:rsidRPr="005E0053">
        <w:rPr>
          <w:rFonts w:ascii="Arial" w:hAnsi="Arial" w:cs="Arial"/>
        </w:rPr>
        <w:t>s</w:t>
      </w:r>
      <w:r w:rsidR="0084534C" w:rsidRPr="005E0053">
        <w:rPr>
          <w:rFonts w:ascii="Arial" w:hAnsi="Arial" w:cs="Arial"/>
        </w:rPr>
        <w:t xml:space="preserve"> </w:t>
      </w:r>
      <w:r w:rsidR="007503B2" w:rsidRPr="005E0053">
        <w:rPr>
          <w:rFonts w:ascii="Arial" w:hAnsi="Arial" w:cs="Arial"/>
        </w:rPr>
        <w:t xml:space="preserve">and the </w:t>
      </w:r>
      <w:r w:rsidR="00DD3E01" w:rsidRPr="005E0053">
        <w:rPr>
          <w:rFonts w:ascii="Arial" w:hAnsi="Arial" w:cs="Arial"/>
        </w:rPr>
        <w:t xml:space="preserve">number of resources subgrantees would need </w:t>
      </w:r>
      <w:r w:rsidR="007503B2" w:rsidRPr="005E0053">
        <w:rPr>
          <w:rFonts w:ascii="Arial" w:hAnsi="Arial" w:cs="Arial"/>
        </w:rPr>
        <w:t xml:space="preserve">in order to </w:t>
      </w:r>
      <w:r w:rsidR="002E2267" w:rsidRPr="005E0053">
        <w:rPr>
          <w:rFonts w:ascii="Arial" w:hAnsi="Arial" w:cs="Arial"/>
        </w:rPr>
        <w:t xml:space="preserve">collect data and report to the CDE, </w:t>
      </w:r>
      <w:r w:rsidR="00DD3E01" w:rsidRPr="005E0053">
        <w:rPr>
          <w:rFonts w:ascii="Arial" w:hAnsi="Arial" w:cs="Arial"/>
        </w:rPr>
        <w:t>the CDE Management and Data Team limited the number of migratory needs the State would address to two needs per focus area</w:t>
      </w:r>
      <w:r w:rsidR="007D74B3" w:rsidRPr="005E0053">
        <w:rPr>
          <w:rFonts w:ascii="Arial" w:hAnsi="Arial" w:cs="Arial"/>
        </w:rPr>
        <w:t>.</w:t>
      </w:r>
      <w:r w:rsidR="00DD3E01" w:rsidRPr="005E0053">
        <w:rPr>
          <w:rFonts w:ascii="Arial" w:hAnsi="Arial" w:cs="Arial"/>
        </w:rPr>
        <w:t xml:space="preserve"> Where appropriate, the CDE merged concerns and needs</w:t>
      </w:r>
      <w:r w:rsidR="00FA103E" w:rsidRPr="005E0053">
        <w:rPr>
          <w:rFonts w:ascii="Arial" w:hAnsi="Arial" w:cs="Arial"/>
        </w:rPr>
        <w:t xml:space="preserve"> that would address a number of needs. For example, in the next section, there is an identified need to increase migratory students’ overall ELA achievement. The CNA/SSDP  Committee also identified specific needs within reading and writing. Overall ELA achievement will improve by increasing reading and/or writing; thus, it is appropriate to link the strategies to increase reading and writing achievement under the overall ELA achievement concern. This will reduce the reporting requirements for the CDE’s annual reports to subgrantees, and specify what strategies subgrantees must implement for ELA services.</w:t>
      </w:r>
      <w:r w:rsidR="00ED2F02" w:rsidRPr="005E0053">
        <w:rPr>
          <w:rFonts w:ascii="Arial" w:hAnsi="Arial" w:cs="Arial"/>
        </w:rPr>
        <w:t xml:space="preserve"> </w:t>
      </w:r>
      <w:r w:rsidR="00FA103E" w:rsidRPr="005E0053">
        <w:rPr>
          <w:rFonts w:ascii="Arial" w:hAnsi="Arial" w:cs="Arial"/>
        </w:rPr>
        <w:t xml:space="preserve">Other needs not included in the </w:t>
      </w:r>
      <w:r w:rsidR="00FA103E" w:rsidRPr="005E0053">
        <w:rPr>
          <w:rFonts w:ascii="Arial" w:hAnsi="Arial" w:cs="Arial"/>
          <w:i/>
        </w:rPr>
        <w:t xml:space="preserve">Performance Targets, Service Delivery Strategies and </w:t>
      </w:r>
      <w:r w:rsidR="00940B6C" w:rsidRPr="005E0053">
        <w:rPr>
          <w:rFonts w:ascii="Arial" w:hAnsi="Arial" w:cs="Arial"/>
          <w:i/>
        </w:rPr>
        <w:t>Measurable Program Outcomes</w:t>
      </w:r>
      <w:r w:rsidR="00FA103E" w:rsidRPr="005E0053">
        <w:rPr>
          <w:rFonts w:ascii="Arial" w:hAnsi="Arial" w:cs="Arial"/>
        </w:rPr>
        <w:t xml:space="preserve"> section, are addressed </w:t>
      </w:r>
      <w:r w:rsidR="0021137D" w:rsidRPr="005E0053">
        <w:rPr>
          <w:rFonts w:ascii="Arial" w:hAnsi="Arial" w:cs="Arial"/>
        </w:rPr>
        <w:t xml:space="preserve">in the </w:t>
      </w:r>
      <w:r w:rsidR="00FA103E" w:rsidRPr="005E0053">
        <w:rPr>
          <w:rFonts w:ascii="Arial" w:hAnsi="Arial" w:cs="Arial"/>
          <w:i/>
        </w:rPr>
        <w:t xml:space="preserve">Additional </w:t>
      </w:r>
      <w:r w:rsidR="00705CE8" w:rsidRPr="005E0053">
        <w:rPr>
          <w:rFonts w:ascii="Arial" w:hAnsi="Arial" w:cs="Arial"/>
          <w:i/>
        </w:rPr>
        <w:t>Considerations for Program Improvement</w:t>
      </w:r>
      <w:r w:rsidR="0021137D" w:rsidRPr="005E0053">
        <w:rPr>
          <w:rFonts w:ascii="Arial" w:hAnsi="Arial" w:cs="Arial"/>
        </w:rPr>
        <w:t xml:space="preserve"> </w:t>
      </w:r>
      <w:r w:rsidR="00705CE8" w:rsidRPr="005E0053">
        <w:rPr>
          <w:rFonts w:ascii="Arial" w:hAnsi="Arial" w:cs="Arial"/>
        </w:rPr>
        <w:t>sub</w:t>
      </w:r>
      <w:r w:rsidR="0021137D" w:rsidRPr="005E0053">
        <w:rPr>
          <w:rFonts w:ascii="Arial" w:hAnsi="Arial" w:cs="Arial"/>
        </w:rPr>
        <w:t>section of this report</w:t>
      </w:r>
      <w:r w:rsidR="00700E80" w:rsidRPr="005E0053">
        <w:rPr>
          <w:rFonts w:ascii="Arial" w:hAnsi="Arial" w:cs="Arial"/>
        </w:rPr>
        <w:t>.</w:t>
      </w:r>
    </w:p>
    <w:p w14:paraId="24A0C97A" w14:textId="77777777" w:rsidR="00A4228D" w:rsidRPr="005E0053" w:rsidRDefault="00A4228D" w:rsidP="007D74B3">
      <w:pPr>
        <w:rPr>
          <w:rFonts w:ascii="Arial" w:hAnsi="Arial" w:cs="Arial"/>
        </w:rPr>
      </w:pPr>
      <w:r w:rsidRPr="005E0053">
        <w:rPr>
          <w:rFonts w:ascii="Arial" w:hAnsi="Arial" w:cs="Arial"/>
        </w:rPr>
        <w:br w:type="page"/>
      </w:r>
    </w:p>
    <w:p w14:paraId="475E0F2F" w14:textId="77777777" w:rsidR="00A858C1" w:rsidRPr="005E0053" w:rsidRDefault="00293E5D" w:rsidP="00743715">
      <w:pPr>
        <w:pStyle w:val="Heading3"/>
      </w:pPr>
      <w:bookmarkStart w:id="48" w:name="_Toc504520859"/>
      <w:r w:rsidRPr="005E0053">
        <w:lastRenderedPageBreak/>
        <w:t xml:space="preserve">Section III: </w:t>
      </w:r>
      <w:r w:rsidR="00AB5388" w:rsidRPr="005E0053">
        <w:t xml:space="preserve">General Framework: </w:t>
      </w:r>
      <w:r w:rsidR="00A858C1" w:rsidRPr="005E0053">
        <w:t>State Service Delivery Plan</w:t>
      </w:r>
      <w:bookmarkEnd w:id="48"/>
    </w:p>
    <w:p w14:paraId="7E794AF2" w14:textId="279E0923" w:rsidR="00283543" w:rsidRPr="005E0053" w:rsidRDefault="0015145A" w:rsidP="008B6E9C">
      <w:pPr>
        <w:rPr>
          <w:rFonts w:ascii="Arial" w:hAnsi="Arial" w:cs="Arial"/>
        </w:rPr>
      </w:pPr>
      <w:r w:rsidRPr="005E0053">
        <w:rPr>
          <w:rFonts w:ascii="Arial" w:hAnsi="Arial" w:cs="Arial"/>
        </w:rPr>
        <w:t>Upon completion of the CDE’s statewide CNA, the CDE Management</w:t>
      </w:r>
      <w:r w:rsidR="00D4454C" w:rsidRPr="005E0053">
        <w:rPr>
          <w:rFonts w:ascii="Arial" w:hAnsi="Arial" w:cs="Arial"/>
        </w:rPr>
        <w:t xml:space="preserve"> and Data</w:t>
      </w:r>
      <w:r w:rsidRPr="005E0053">
        <w:rPr>
          <w:rFonts w:ascii="Arial" w:hAnsi="Arial" w:cs="Arial"/>
        </w:rPr>
        <w:t xml:space="preserve"> Team </w:t>
      </w:r>
      <w:r w:rsidR="00A91DF9" w:rsidRPr="005E0053">
        <w:rPr>
          <w:rFonts w:ascii="Arial" w:hAnsi="Arial" w:cs="Arial"/>
        </w:rPr>
        <w:t xml:space="preserve">used the key decision points identified during the four CNA meetings to develop the outcomes/outputs and indicators for each of the concerns prioritized by the committee. Once these items </w:t>
      </w:r>
      <w:r w:rsidR="00274D6B" w:rsidRPr="005E0053">
        <w:rPr>
          <w:rFonts w:ascii="Arial" w:hAnsi="Arial" w:cs="Arial"/>
        </w:rPr>
        <w:t>were decided, the CDE Management</w:t>
      </w:r>
      <w:r w:rsidR="00D4454C" w:rsidRPr="005E0053">
        <w:rPr>
          <w:rFonts w:ascii="Arial" w:hAnsi="Arial" w:cs="Arial"/>
        </w:rPr>
        <w:t xml:space="preserve"> and Data</w:t>
      </w:r>
      <w:r w:rsidR="00274D6B" w:rsidRPr="005E0053">
        <w:rPr>
          <w:rFonts w:ascii="Arial" w:hAnsi="Arial" w:cs="Arial"/>
        </w:rPr>
        <w:t xml:space="preserve"> </w:t>
      </w:r>
      <w:r w:rsidR="00D4454C" w:rsidRPr="005E0053">
        <w:rPr>
          <w:rFonts w:ascii="Arial" w:hAnsi="Arial" w:cs="Arial"/>
        </w:rPr>
        <w:t>T</w:t>
      </w:r>
      <w:r w:rsidR="00274D6B" w:rsidRPr="005E0053">
        <w:rPr>
          <w:rFonts w:ascii="Arial" w:hAnsi="Arial" w:cs="Arial"/>
        </w:rPr>
        <w:t>eam discussed methodologies to develop</w:t>
      </w:r>
      <w:r w:rsidR="009075A5" w:rsidRPr="005E0053">
        <w:rPr>
          <w:rFonts w:ascii="Arial" w:hAnsi="Arial" w:cs="Arial"/>
        </w:rPr>
        <w:t xml:space="preserve"> appropriate</w:t>
      </w:r>
      <w:r w:rsidR="00A91DF9" w:rsidRPr="005E0053">
        <w:rPr>
          <w:rFonts w:ascii="Arial" w:hAnsi="Arial" w:cs="Arial"/>
        </w:rPr>
        <w:t xml:space="preserve"> performance targets for </w:t>
      </w:r>
      <w:r w:rsidR="00E57DBF" w:rsidRPr="005E0053">
        <w:rPr>
          <w:rFonts w:ascii="Arial" w:hAnsi="Arial" w:cs="Arial"/>
        </w:rPr>
        <w:t xml:space="preserve">the MEP as </w:t>
      </w:r>
      <w:r w:rsidR="00AD548B" w:rsidRPr="005E0053">
        <w:rPr>
          <w:rFonts w:ascii="Arial" w:hAnsi="Arial" w:cs="Arial"/>
        </w:rPr>
        <w:t>a</w:t>
      </w:r>
      <w:r w:rsidR="00E57DBF" w:rsidRPr="005E0053">
        <w:rPr>
          <w:rFonts w:ascii="Arial" w:hAnsi="Arial" w:cs="Arial"/>
        </w:rPr>
        <w:t xml:space="preserve"> supplementary program. When a draft of the </w:t>
      </w:r>
      <w:r w:rsidR="00AD548B" w:rsidRPr="005E0053">
        <w:rPr>
          <w:rFonts w:ascii="Arial" w:hAnsi="Arial" w:cs="Arial"/>
        </w:rPr>
        <w:t xml:space="preserve">performance targets </w:t>
      </w:r>
      <w:r w:rsidR="00B86D3D" w:rsidRPr="005E0053">
        <w:rPr>
          <w:rFonts w:ascii="Arial" w:hAnsi="Arial" w:cs="Arial"/>
        </w:rPr>
        <w:t>was completed</w:t>
      </w:r>
      <w:r w:rsidR="00317E33" w:rsidRPr="005E0053">
        <w:rPr>
          <w:rFonts w:ascii="Arial" w:hAnsi="Arial" w:cs="Arial"/>
        </w:rPr>
        <w:t xml:space="preserve"> for review</w:t>
      </w:r>
      <w:r w:rsidR="00AD548B" w:rsidRPr="005E0053">
        <w:rPr>
          <w:rFonts w:ascii="Arial" w:hAnsi="Arial" w:cs="Arial"/>
        </w:rPr>
        <w:t xml:space="preserve">, the CNA/SSDP Committee </w:t>
      </w:r>
      <w:r w:rsidR="00E315E5" w:rsidRPr="005E0053">
        <w:rPr>
          <w:rFonts w:ascii="Arial" w:hAnsi="Arial" w:cs="Arial"/>
        </w:rPr>
        <w:t>re</w:t>
      </w:r>
      <w:r w:rsidR="00AD548B" w:rsidRPr="005E0053">
        <w:rPr>
          <w:rFonts w:ascii="Arial" w:hAnsi="Arial" w:cs="Arial"/>
        </w:rPr>
        <w:t>convened</w:t>
      </w:r>
      <w:r w:rsidR="00317E33" w:rsidRPr="005E0053">
        <w:rPr>
          <w:rFonts w:ascii="Arial" w:hAnsi="Arial" w:cs="Arial"/>
        </w:rPr>
        <w:t xml:space="preserve"> for two days</w:t>
      </w:r>
      <w:r w:rsidR="00AD548B" w:rsidRPr="005E0053">
        <w:rPr>
          <w:rFonts w:ascii="Arial" w:hAnsi="Arial" w:cs="Arial"/>
        </w:rPr>
        <w:t xml:space="preserve"> to </w:t>
      </w:r>
      <w:r w:rsidR="00534857" w:rsidRPr="005E0053">
        <w:rPr>
          <w:rFonts w:ascii="Arial" w:hAnsi="Arial" w:cs="Arial"/>
        </w:rPr>
        <w:t>select</w:t>
      </w:r>
      <w:r w:rsidR="009B58CE" w:rsidRPr="005E0053">
        <w:rPr>
          <w:rFonts w:ascii="Arial" w:hAnsi="Arial" w:cs="Arial"/>
        </w:rPr>
        <w:t xml:space="preserve"> the best methodology for </w:t>
      </w:r>
      <w:r w:rsidR="00E315E5" w:rsidRPr="005E0053">
        <w:rPr>
          <w:rFonts w:ascii="Arial" w:hAnsi="Arial" w:cs="Arial"/>
        </w:rPr>
        <w:t xml:space="preserve">setting </w:t>
      </w:r>
      <w:r w:rsidR="009B58CE" w:rsidRPr="005E0053">
        <w:rPr>
          <w:rFonts w:ascii="Arial" w:hAnsi="Arial" w:cs="Arial"/>
        </w:rPr>
        <w:t>the</w:t>
      </w:r>
      <w:r w:rsidR="00E315E5" w:rsidRPr="005E0053">
        <w:rPr>
          <w:rFonts w:ascii="Arial" w:hAnsi="Arial" w:cs="Arial"/>
        </w:rPr>
        <w:t xml:space="preserve"> MEP</w:t>
      </w:r>
      <w:r w:rsidR="009B58CE" w:rsidRPr="005E0053">
        <w:rPr>
          <w:rFonts w:ascii="Arial" w:hAnsi="Arial" w:cs="Arial"/>
        </w:rPr>
        <w:t xml:space="preserve"> performance targets</w:t>
      </w:r>
      <w:r w:rsidR="003A60CE" w:rsidRPr="005E0053">
        <w:rPr>
          <w:rFonts w:ascii="Arial" w:hAnsi="Arial" w:cs="Arial"/>
        </w:rPr>
        <w:t xml:space="preserve"> for each of the </w:t>
      </w:r>
      <w:r w:rsidR="00B62DFA" w:rsidRPr="005E0053">
        <w:rPr>
          <w:rFonts w:ascii="Arial" w:hAnsi="Arial" w:cs="Arial"/>
        </w:rPr>
        <w:t xml:space="preserve">concerns </w:t>
      </w:r>
      <w:r w:rsidR="00352789" w:rsidRPr="005E0053">
        <w:rPr>
          <w:rFonts w:ascii="Arial" w:hAnsi="Arial" w:cs="Arial"/>
        </w:rPr>
        <w:t>identified by the committee.</w:t>
      </w:r>
    </w:p>
    <w:p w14:paraId="0E3D340E" w14:textId="2DC46564" w:rsidR="00317E33" w:rsidRPr="005E0053" w:rsidRDefault="00317E33" w:rsidP="00CB2C23">
      <w:pPr>
        <w:spacing w:before="240"/>
        <w:rPr>
          <w:rFonts w:ascii="Arial" w:hAnsi="Arial" w:cs="Arial"/>
        </w:rPr>
      </w:pPr>
      <w:r w:rsidRPr="005E0053">
        <w:rPr>
          <w:rFonts w:ascii="Arial" w:hAnsi="Arial" w:cs="Arial"/>
        </w:rPr>
        <w:t xml:space="preserve">Parent involvement was extremely important to the CNA and SSDP development process. </w:t>
      </w:r>
      <w:r w:rsidR="000053FB" w:rsidRPr="005E0053">
        <w:rPr>
          <w:rFonts w:ascii="Arial" w:hAnsi="Arial" w:cs="Arial"/>
        </w:rPr>
        <w:t xml:space="preserve">All </w:t>
      </w:r>
      <w:r w:rsidR="00C52B3A">
        <w:rPr>
          <w:rFonts w:ascii="Arial" w:hAnsi="Arial" w:cs="Arial"/>
        </w:rPr>
        <w:t>CNA/SSDP Committee</w:t>
      </w:r>
      <w:r w:rsidR="00C52B3A" w:rsidRPr="005E0053">
        <w:rPr>
          <w:rFonts w:ascii="Arial" w:hAnsi="Arial" w:cs="Arial"/>
        </w:rPr>
        <w:t xml:space="preserve"> </w:t>
      </w:r>
      <w:r w:rsidR="000053FB" w:rsidRPr="005E0053">
        <w:rPr>
          <w:rFonts w:ascii="Arial" w:hAnsi="Arial" w:cs="Arial"/>
        </w:rPr>
        <w:t xml:space="preserve">meetings included interpreters as well as translated materials. </w:t>
      </w:r>
      <w:r w:rsidR="00CA647E" w:rsidRPr="005E0053">
        <w:rPr>
          <w:rFonts w:ascii="Arial" w:hAnsi="Arial" w:cs="Arial"/>
        </w:rPr>
        <w:t xml:space="preserve">Key decision points were </w:t>
      </w:r>
      <w:r w:rsidR="00AC45A5" w:rsidRPr="005E0053">
        <w:rPr>
          <w:rFonts w:ascii="Arial" w:hAnsi="Arial" w:cs="Arial"/>
        </w:rPr>
        <w:t xml:space="preserve">also subsequently </w:t>
      </w:r>
      <w:r w:rsidR="00CA647E" w:rsidRPr="005E0053">
        <w:rPr>
          <w:rFonts w:ascii="Arial" w:hAnsi="Arial" w:cs="Arial"/>
        </w:rPr>
        <w:t>synthesized and presented to the</w:t>
      </w:r>
      <w:r w:rsidR="00AC45A5" w:rsidRPr="005E0053">
        <w:rPr>
          <w:rFonts w:ascii="Arial" w:hAnsi="Arial" w:cs="Arial"/>
        </w:rPr>
        <w:t xml:space="preserve"> 20 subgrantee</w:t>
      </w:r>
      <w:r w:rsidR="00CA647E" w:rsidRPr="005E0053">
        <w:rPr>
          <w:rFonts w:ascii="Arial" w:hAnsi="Arial" w:cs="Arial"/>
        </w:rPr>
        <w:t xml:space="preserve"> MEP Directors for input. </w:t>
      </w:r>
      <w:r w:rsidRPr="005E0053">
        <w:rPr>
          <w:rFonts w:ascii="Arial" w:hAnsi="Arial" w:cs="Arial"/>
        </w:rPr>
        <w:t xml:space="preserve">Although </w:t>
      </w:r>
      <w:r w:rsidR="004F6C37" w:rsidRPr="005E0053">
        <w:rPr>
          <w:rFonts w:ascii="Arial" w:hAnsi="Arial" w:cs="Arial"/>
        </w:rPr>
        <w:t xml:space="preserve">roughly 25 percent of </w:t>
      </w:r>
      <w:r w:rsidRPr="005E0053">
        <w:rPr>
          <w:rFonts w:ascii="Arial" w:hAnsi="Arial" w:cs="Arial"/>
        </w:rPr>
        <w:t xml:space="preserve">the CNA/SSDP Committee </w:t>
      </w:r>
      <w:r w:rsidR="004F6C37" w:rsidRPr="005E0053">
        <w:rPr>
          <w:rFonts w:ascii="Arial" w:hAnsi="Arial" w:cs="Arial"/>
        </w:rPr>
        <w:t>memb</w:t>
      </w:r>
      <w:r w:rsidR="00AC45A5" w:rsidRPr="005E0053">
        <w:rPr>
          <w:rFonts w:ascii="Arial" w:hAnsi="Arial" w:cs="Arial"/>
        </w:rPr>
        <w:t>ers were migratory parents who were</w:t>
      </w:r>
      <w:r w:rsidR="004F6C37" w:rsidRPr="005E0053">
        <w:rPr>
          <w:rFonts w:ascii="Arial" w:hAnsi="Arial" w:cs="Arial"/>
        </w:rPr>
        <w:t xml:space="preserve"> SPAC</w:t>
      </w:r>
      <w:r w:rsidR="000053FB" w:rsidRPr="005E0053">
        <w:rPr>
          <w:rFonts w:ascii="Arial" w:hAnsi="Arial" w:cs="Arial"/>
        </w:rPr>
        <w:t xml:space="preserve"> members</w:t>
      </w:r>
      <w:r w:rsidR="00AC45A5" w:rsidRPr="005E0053">
        <w:rPr>
          <w:rFonts w:ascii="Arial" w:hAnsi="Arial" w:cs="Arial"/>
        </w:rPr>
        <w:t xml:space="preserve"> at the time of this report’s development</w:t>
      </w:r>
      <w:r w:rsidR="004F6C37" w:rsidRPr="005E0053">
        <w:rPr>
          <w:rFonts w:ascii="Arial" w:hAnsi="Arial" w:cs="Arial"/>
        </w:rPr>
        <w:t>, t</w:t>
      </w:r>
      <w:r w:rsidR="000053FB" w:rsidRPr="005E0053">
        <w:rPr>
          <w:rFonts w:ascii="Arial" w:hAnsi="Arial" w:cs="Arial"/>
        </w:rPr>
        <w:t xml:space="preserve">he CDE Project Lead and a parent </w:t>
      </w:r>
      <w:r w:rsidR="00C52B3A">
        <w:rPr>
          <w:rFonts w:ascii="Arial" w:hAnsi="Arial" w:cs="Arial"/>
        </w:rPr>
        <w:t>member of the committee</w:t>
      </w:r>
      <w:r w:rsidR="00C52B3A" w:rsidRPr="005E0053">
        <w:rPr>
          <w:rFonts w:ascii="Arial" w:hAnsi="Arial" w:cs="Arial"/>
        </w:rPr>
        <w:t xml:space="preserve"> </w:t>
      </w:r>
      <w:r w:rsidR="00C330A6" w:rsidRPr="005E0053">
        <w:rPr>
          <w:rFonts w:ascii="Arial" w:hAnsi="Arial" w:cs="Arial"/>
        </w:rPr>
        <w:t xml:space="preserve">consulted </w:t>
      </w:r>
      <w:r w:rsidR="00AC45A5" w:rsidRPr="005E0053">
        <w:rPr>
          <w:rFonts w:ascii="Arial" w:hAnsi="Arial" w:cs="Arial"/>
        </w:rPr>
        <w:t xml:space="preserve">separately </w:t>
      </w:r>
      <w:r w:rsidR="00C330A6" w:rsidRPr="005E0053">
        <w:rPr>
          <w:rFonts w:ascii="Arial" w:hAnsi="Arial" w:cs="Arial"/>
        </w:rPr>
        <w:t xml:space="preserve">with the </w:t>
      </w:r>
      <w:r w:rsidR="00AC45A5" w:rsidRPr="005E0053">
        <w:rPr>
          <w:rFonts w:ascii="Arial" w:hAnsi="Arial" w:cs="Arial"/>
        </w:rPr>
        <w:t xml:space="preserve">20 </w:t>
      </w:r>
      <w:r w:rsidR="00C330A6" w:rsidRPr="005E0053">
        <w:rPr>
          <w:rFonts w:ascii="Arial" w:hAnsi="Arial" w:cs="Arial"/>
        </w:rPr>
        <w:t>SPAC</w:t>
      </w:r>
      <w:r w:rsidR="00AC45A5" w:rsidRPr="005E0053">
        <w:rPr>
          <w:rFonts w:ascii="Arial" w:hAnsi="Arial" w:cs="Arial"/>
        </w:rPr>
        <w:t xml:space="preserve"> members during the April 2017 meeting. SPAC members gave input </w:t>
      </w:r>
      <w:r w:rsidR="00C330A6" w:rsidRPr="005E0053">
        <w:rPr>
          <w:rFonts w:ascii="Arial" w:hAnsi="Arial" w:cs="Arial"/>
        </w:rPr>
        <w:t>on</w:t>
      </w:r>
      <w:r w:rsidR="000053FB" w:rsidRPr="005E0053">
        <w:rPr>
          <w:rFonts w:ascii="Arial" w:hAnsi="Arial" w:cs="Arial"/>
        </w:rPr>
        <w:t xml:space="preserve"> key SSDP decision points </w:t>
      </w:r>
      <w:r w:rsidR="00A117E0" w:rsidRPr="005E0053">
        <w:rPr>
          <w:rFonts w:ascii="Arial" w:hAnsi="Arial" w:cs="Arial"/>
        </w:rPr>
        <w:t xml:space="preserve">and </w:t>
      </w:r>
      <w:r w:rsidR="00AC45A5" w:rsidRPr="005E0053">
        <w:rPr>
          <w:rFonts w:ascii="Arial" w:hAnsi="Arial" w:cs="Arial"/>
        </w:rPr>
        <w:t>provide</w:t>
      </w:r>
      <w:r w:rsidR="00A117E0" w:rsidRPr="005E0053">
        <w:rPr>
          <w:rFonts w:ascii="Arial" w:hAnsi="Arial" w:cs="Arial"/>
        </w:rPr>
        <w:t>d</w:t>
      </w:r>
      <w:r w:rsidR="00AC45A5" w:rsidRPr="005E0053">
        <w:rPr>
          <w:rFonts w:ascii="Arial" w:hAnsi="Arial" w:cs="Arial"/>
        </w:rPr>
        <w:t xml:space="preserve"> their perspective on </w:t>
      </w:r>
      <w:r w:rsidR="00A04FDB" w:rsidRPr="005E0053">
        <w:rPr>
          <w:rFonts w:ascii="Arial" w:hAnsi="Arial" w:cs="Arial"/>
        </w:rPr>
        <w:t xml:space="preserve">the </w:t>
      </w:r>
      <w:r w:rsidR="004F6C37" w:rsidRPr="005E0053">
        <w:rPr>
          <w:rFonts w:ascii="Arial" w:hAnsi="Arial" w:cs="Arial"/>
        </w:rPr>
        <w:t>SSDP performance targets</w:t>
      </w:r>
      <w:r w:rsidR="00CA647E" w:rsidRPr="005E0053">
        <w:rPr>
          <w:rFonts w:ascii="Arial" w:hAnsi="Arial" w:cs="Arial"/>
        </w:rPr>
        <w:t>.</w:t>
      </w:r>
      <w:r w:rsidR="000053FB" w:rsidRPr="005E0053">
        <w:rPr>
          <w:rFonts w:ascii="Arial" w:hAnsi="Arial" w:cs="Arial"/>
        </w:rPr>
        <w:t xml:space="preserve"> </w:t>
      </w:r>
      <w:r w:rsidR="00A04FDB" w:rsidRPr="005E0053">
        <w:rPr>
          <w:rFonts w:ascii="Arial" w:hAnsi="Arial" w:cs="Arial"/>
        </w:rPr>
        <w:t>With input from the MEP Directors and SPAC, the CDE Management</w:t>
      </w:r>
      <w:r w:rsidR="00D4454C" w:rsidRPr="005E0053">
        <w:rPr>
          <w:rFonts w:ascii="Arial" w:hAnsi="Arial" w:cs="Arial"/>
        </w:rPr>
        <w:t xml:space="preserve"> and Data</w:t>
      </w:r>
      <w:r w:rsidR="00A04FDB" w:rsidRPr="005E0053">
        <w:rPr>
          <w:rFonts w:ascii="Arial" w:hAnsi="Arial" w:cs="Arial"/>
        </w:rPr>
        <w:t xml:space="preserve"> Team finalized service delivery strategies and </w:t>
      </w:r>
      <w:r w:rsidR="00EF750E" w:rsidRPr="005E0053">
        <w:rPr>
          <w:rFonts w:ascii="Arial" w:hAnsi="Arial" w:cs="Arial"/>
        </w:rPr>
        <w:t>performance targets</w:t>
      </w:r>
      <w:r w:rsidR="00A04FDB" w:rsidRPr="005E0053">
        <w:rPr>
          <w:rFonts w:ascii="Arial" w:hAnsi="Arial" w:cs="Arial"/>
        </w:rPr>
        <w:t>.</w:t>
      </w:r>
      <w:r w:rsidR="00C330A6" w:rsidRPr="005E0053">
        <w:rPr>
          <w:rFonts w:ascii="Arial" w:hAnsi="Arial" w:cs="Arial"/>
        </w:rPr>
        <w:t xml:space="preserve"> </w:t>
      </w:r>
    </w:p>
    <w:p w14:paraId="5D02C697" w14:textId="77777777" w:rsidR="004F6691" w:rsidRPr="005E0053" w:rsidRDefault="004F6691" w:rsidP="00743715">
      <w:pPr>
        <w:pStyle w:val="Heading4"/>
      </w:pPr>
      <w:bookmarkStart w:id="49" w:name="_Toc504520860"/>
      <w:r w:rsidRPr="005E0053">
        <w:t>Performance Targets</w:t>
      </w:r>
      <w:r w:rsidR="003027F1" w:rsidRPr="005E0053">
        <w:t xml:space="preserve">, </w:t>
      </w:r>
      <w:r w:rsidRPr="005E0053">
        <w:t>Service Delivery Strategies</w:t>
      </w:r>
      <w:r w:rsidR="00E52B34" w:rsidRPr="005E0053">
        <w:t>,</w:t>
      </w:r>
      <w:r w:rsidR="00EF750E" w:rsidRPr="005E0053">
        <w:t xml:space="preserve"> and</w:t>
      </w:r>
      <w:r w:rsidR="003027F1" w:rsidRPr="005E0053">
        <w:t xml:space="preserve"> </w:t>
      </w:r>
      <w:r w:rsidR="0011033B" w:rsidRPr="005E0053">
        <w:t>Measurable Program Objectives</w:t>
      </w:r>
      <w:bookmarkEnd w:id="49"/>
      <w:r w:rsidRPr="005E0053">
        <w:t xml:space="preserve"> </w:t>
      </w:r>
    </w:p>
    <w:p w14:paraId="4E896FF6" w14:textId="77777777" w:rsidR="00C742C1" w:rsidRPr="005E0053" w:rsidRDefault="00A51B9E" w:rsidP="00C742C1">
      <w:pPr>
        <w:rPr>
          <w:rFonts w:ascii="Arial" w:eastAsia="Times New Roman" w:hAnsi="Arial" w:cs="Arial"/>
          <w:color w:val="000000"/>
        </w:rPr>
      </w:pPr>
      <w:r w:rsidRPr="005E0053">
        <w:rPr>
          <w:rFonts w:ascii="Arial" w:hAnsi="Arial" w:cs="Arial"/>
        </w:rPr>
        <w:t xml:space="preserve">In March 2017, the </w:t>
      </w:r>
      <w:r w:rsidR="00D4454C" w:rsidRPr="005E0053">
        <w:rPr>
          <w:rFonts w:ascii="Arial" w:hAnsi="Arial" w:cs="Arial"/>
        </w:rPr>
        <w:t xml:space="preserve">California </w:t>
      </w:r>
      <w:r w:rsidRPr="005E0053">
        <w:rPr>
          <w:rFonts w:ascii="Arial" w:hAnsi="Arial" w:cs="Arial"/>
        </w:rPr>
        <w:t xml:space="preserve">State Board of Education (SBE) and the CDE launched a new accountability system to replace the </w:t>
      </w:r>
      <w:r w:rsidR="00C742C1" w:rsidRPr="005E0053">
        <w:rPr>
          <w:rFonts w:ascii="Arial" w:hAnsi="Arial" w:cs="Arial"/>
        </w:rPr>
        <w:t>Academic Performance Index</w:t>
      </w:r>
      <w:r w:rsidRPr="005E0053">
        <w:rPr>
          <w:rFonts w:ascii="Arial" w:hAnsi="Arial" w:cs="Arial"/>
        </w:rPr>
        <w:t xml:space="preserve"> </w:t>
      </w:r>
      <w:r w:rsidR="00C742C1" w:rsidRPr="005E0053">
        <w:rPr>
          <w:rFonts w:ascii="Arial" w:hAnsi="Arial" w:cs="Arial"/>
        </w:rPr>
        <w:t xml:space="preserve">(API) </w:t>
      </w:r>
      <w:r w:rsidRPr="005E0053">
        <w:rPr>
          <w:rFonts w:ascii="Arial" w:hAnsi="Arial" w:cs="Arial"/>
        </w:rPr>
        <w:t xml:space="preserve">to better measure </w:t>
      </w:r>
      <w:r w:rsidR="00C742C1" w:rsidRPr="005E0053">
        <w:rPr>
          <w:rFonts w:ascii="Arial" w:hAnsi="Arial" w:cs="Arial"/>
        </w:rPr>
        <w:t>California’s</w:t>
      </w:r>
      <w:r w:rsidRPr="005E0053">
        <w:rPr>
          <w:rFonts w:ascii="Arial" w:hAnsi="Arial" w:cs="Arial"/>
        </w:rPr>
        <w:t xml:space="preserve"> educational goals. </w:t>
      </w:r>
      <w:r w:rsidR="00C742C1" w:rsidRPr="005E0053">
        <w:rPr>
          <w:rFonts w:ascii="Arial" w:eastAsia="Times New Roman" w:hAnsi="Arial" w:cs="Arial"/>
          <w:color w:val="000000"/>
        </w:rPr>
        <w:t xml:space="preserve">Instead of relying exclusively on test scores as the previous accountability system did, the </w:t>
      </w:r>
      <w:r w:rsidR="00D4454C" w:rsidRPr="005E0053">
        <w:rPr>
          <w:rFonts w:ascii="Arial" w:eastAsia="Times New Roman" w:hAnsi="Arial" w:cs="Arial"/>
          <w:color w:val="000000"/>
        </w:rPr>
        <w:t xml:space="preserve">new </w:t>
      </w:r>
      <w:r w:rsidR="00C742C1" w:rsidRPr="005E0053">
        <w:rPr>
          <w:rFonts w:ascii="Arial" w:eastAsia="Times New Roman" w:hAnsi="Arial" w:cs="Arial"/>
          <w:color w:val="000000"/>
        </w:rPr>
        <w:t>California School Dashboard (Dash</w:t>
      </w:r>
      <w:r w:rsidR="00D4454C" w:rsidRPr="005E0053">
        <w:rPr>
          <w:rFonts w:ascii="Arial" w:eastAsia="Times New Roman" w:hAnsi="Arial" w:cs="Arial"/>
          <w:color w:val="000000"/>
        </w:rPr>
        <w:t xml:space="preserve">board) provides a snapshot of various </w:t>
      </w:r>
      <w:r w:rsidR="00C742C1" w:rsidRPr="005E0053">
        <w:rPr>
          <w:rFonts w:ascii="Arial" w:eastAsia="Times New Roman" w:hAnsi="Arial" w:cs="Arial"/>
          <w:color w:val="000000"/>
        </w:rPr>
        <w:t xml:space="preserve">indicators, including high school graduation rates, career and college readiness, English learner </w:t>
      </w:r>
      <w:r w:rsidR="00055F45" w:rsidRPr="005E0053">
        <w:rPr>
          <w:rFonts w:ascii="Arial" w:eastAsia="Times New Roman" w:hAnsi="Arial" w:cs="Arial"/>
          <w:color w:val="000000"/>
        </w:rPr>
        <w:t xml:space="preserve">(EL) </w:t>
      </w:r>
      <w:r w:rsidR="00C742C1" w:rsidRPr="005E0053">
        <w:rPr>
          <w:rFonts w:ascii="Arial" w:eastAsia="Times New Roman" w:hAnsi="Arial" w:cs="Arial"/>
          <w:color w:val="000000"/>
        </w:rPr>
        <w:t>progress</w:t>
      </w:r>
      <w:r w:rsidR="0036670F" w:rsidRPr="005E0053">
        <w:rPr>
          <w:rFonts w:ascii="Arial" w:eastAsia="Times New Roman" w:hAnsi="Arial" w:cs="Arial"/>
          <w:color w:val="000000"/>
        </w:rPr>
        <w:t>,</w:t>
      </w:r>
      <w:r w:rsidR="00C742C1" w:rsidRPr="005E0053">
        <w:rPr>
          <w:rFonts w:ascii="Arial" w:eastAsia="Times New Roman" w:hAnsi="Arial" w:cs="Arial"/>
          <w:color w:val="000000"/>
        </w:rPr>
        <w:t xml:space="preserve"> and suspension rates in addition to test scores.</w:t>
      </w:r>
    </w:p>
    <w:p w14:paraId="099919CC" w14:textId="77777777" w:rsidR="008A3778" w:rsidRPr="005E0053" w:rsidRDefault="00830931" w:rsidP="00CB2C23">
      <w:pPr>
        <w:widowControl w:val="0"/>
        <w:autoSpaceDE w:val="0"/>
        <w:autoSpaceDN w:val="0"/>
        <w:adjustRightInd w:val="0"/>
        <w:spacing w:before="240"/>
        <w:rPr>
          <w:rFonts w:ascii="Arial" w:hAnsi="Arial" w:cs="Arial"/>
        </w:rPr>
      </w:pPr>
      <w:r w:rsidRPr="005E0053">
        <w:rPr>
          <w:rFonts w:ascii="Arial" w:hAnsi="Arial" w:cs="Arial"/>
        </w:rPr>
        <w:t>While the</w:t>
      </w:r>
      <w:r w:rsidR="00C742C1" w:rsidRPr="005E0053">
        <w:rPr>
          <w:rFonts w:ascii="Arial" w:hAnsi="Arial" w:cs="Arial"/>
        </w:rPr>
        <w:t xml:space="preserve"> Dashboard</w:t>
      </w:r>
      <w:r w:rsidR="009D6284" w:rsidRPr="005E0053">
        <w:rPr>
          <w:rFonts w:ascii="Arial" w:hAnsi="Arial" w:cs="Arial"/>
        </w:rPr>
        <w:t xml:space="preserve"> was </w:t>
      </w:r>
      <w:r w:rsidR="003D21DE" w:rsidRPr="005E0053">
        <w:rPr>
          <w:rFonts w:ascii="Arial" w:hAnsi="Arial" w:cs="Arial"/>
        </w:rPr>
        <w:t>in development</w:t>
      </w:r>
      <w:r w:rsidR="00C742C1" w:rsidRPr="005E0053">
        <w:rPr>
          <w:rFonts w:ascii="Arial" w:hAnsi="Arial" w:cs="Arial"/>
        </w:rPr>
        <w:t xml:space="preserve">, </w:t>
      </w:r>
      <w:r w:rsidR="0036670F" w:rsidRPr="005E0053">
        <w:rPr>
          <w:rFonts w:ascii="Arial" w:hAnsi="Arial" w:cs="Arial"/>
        </w:rPr>
        <w:t>the SBE approved to suspension of</w:t>
      </w:r>
      <w:r w:rsidR="00A51B9E" w:rsidRPr="005E0053">
        <w:rPr>
          <w:rFonts w:ascii="Arial" w:hAnsi="Arial" w:cs="Arial"/>
        </w:rPr>
        <w:t xml:space="preserve"> the calculation of the API for local educational agencies (LEAs) and schools. As a result, the last API report was produced in 2013.</w:t>
      </w:r>
      <w:r w:rsidR="00C742C1" w:rsidRPr="005E0053">
        <w:rPr>
          <w:rFonts w:ascii="Arial" w:hAnsi="Arial" w:cs="Arial"/>
        </w:rPr>
        <w:t xml:space="preserve"> </w:t>
      </w:r>
      <w:r w:rsidR="00F6400C" w:rsidRPr="005E0053">
        <w:rPr>
          <w:rFonts w:ascii="Arial" w:hAnsi="Arial" w:cs="Arial"/>
        </w:rPr>
        <w:t>The CDE</w:t>
      </w:r>
      <w:r w:rsidR="00C73697" w:rsidRPr="005E0053">
        <w:rPr>
          <w:rFonts w:ascii="Arial" w:hAnsi="Arial" w:cs="Arial"/>
        </w:rPr>
        <w:t xml:space="preserve"> developed a multiple-</w:t>
      </w:r>
      <w:r w:rsidR="008A3778" w:rsidRPr="005E0053">
        <w:rPr>
          <w:rFonts w:ascii="Arial" w:hAnsi="Arial" w:cs="Arial"/>
        </w:rPr>
        <w:t xml:space="preserve">measures accountability system that uses percentile distributions to create a five-by-five grid. </w:t>
      </w:r>
      <w:r w:rsidR="00F6400C" w:rsidRPr="005E0053">
        <w:rPr>
          <w:rFonts w:ascii="Arial" w:hAnsi="Arial" w:cs="Arial"/>
        </w:rPr>
        <w:t>This</w:t>
      </w:r>
      <w:r w:rsidR="008A3778" w:rsidRPr="005E0053">
        <w:rPr>
          <w:rFonts w:ascii="Arial" w:hAnsi="Arial" w:cs="Arial"/>
        </w:rPr>
        <w:t xml:space="preserve"> five</w:t>
      </w:r>
      <w:r w:rsidR="00F6400C" w:rsidRPr="005E0053">
        <w:rPr>
          <w:rFonts w:ascii="Arial" w:hAnsi="Arial" w:cs="Arial"/>
        </w:rPr>
        <w:t>-by-</w:t>
      </w:r>
      <w:r w:rsidR="008A3778" w:rsidRPr="005E0053">
        <w:rPr>
          <w:rFonts w:ascii="Arial" w:hAnsi="Arial" w:cs="Arial"/>
        </w:rPr>
        <w:t xml:space="preserve">five grid </w:t>
      </w:r>
      <w:r w:rsidR="00F6400C" w:rsidRPr="005E0053">
        <w:rPr>
          <w:rFonts w:ascii="Arial" w:hAnsi="Arial" w:cs="Arial"/>
        </w:rPr>
        <w:t>identifies</w:t>
      </w:r>
      <w:r w:rsidR="008A3778" w:rsidRPr="005E0053">
        <w:rPr>
          <w:rFonts w:ascii="Arial" w:hAnsi="Arial" w:cs="Arial"/>
        </w:rPr>
        <w:t xml:space="preserve"> 25 results that combine “Status” and “Change” </w:t>
      </w:r>
      <w:r w:rsidR="00F6400C" w:rsidRPr="005E0053">
        <w:rPr>
          <w:rFonts w:ascii="Arial" w:hAnsi="Arial" w:cs="Arial"/>
        </w:rPr>
        <w:t>providing</w:t>
      </w:r>
      <w:r w:rsidR="008A3778" w:rsidRPr="005E0053">
        <w:rPr>
          <w:rFonts w:ascii="Arial" w:hAnsi="Arial" w:cs="Arial"/>
        </w:rPr>
        <w:t xml:space="preserve"> an overall determination for each </w:t>
      </w:r>
      <w:r w:rsidR="00F6400C" w:rsidRPr="005E0053">
        <w:rPr>
          <w:rFonts w:ascii="Arial" w:hAnsi="Arial" w:cs="Arial"/>
        </w:rPr>
        <w:t>indicator where “Status” and “Change” are weighted equally</w:t>
      </w:r>
      <w:r w:rsidR="008A3778" w:rsidRPr="005E0053">
        <w:rPr>
          <w:rFonts w:ascii="Arial" w:hAnsi="Arial" w:cs="Arial"/>
        </w:rPr>
        <w:t xml:space="preserve">. </w:t>
      </w:r>
    </w:p>
    <w:p w14:paraId="517F4A06" w14:textId="77777777" w:rsidR="008A3778" w:rsidRPr="005E0053" w:rsidRDefault="00F6400C" w:rsidP="00CB2C23">
      <w:pPr>
        <w:spacing w:before="240"/>
        <w:rPr>
          <w:rFonts w:ascii="Arial" w:hAnsi="Arial" w:cs="Arial"/>
        </w:rPr>
      </w:pPr>
      <w:r w:rsidRPr="005E0053">
        <w:rPr>
          <w:rFonts w:ascii="Arial" w:hAnsi="Arial" w:cs="Arial"/>
        </w:rPr>
        <w:lastRenderedPageBreak/>
        <w:t>C</w:t>
      </w:r>
      <w:r w:rsidR="008A3778" w:rsidRPr="005E0053">
        <w:rPr>
          <w:rFonts w:ascii="Arial" w:hAnsi="Arial" w:cs="Arial"/>
        </w:rPr>
        <w:t>urrent year performance</w:t>
      </w:r>
      <w:r w:rsidR="001A25A1" w:rsidRPr="005E0053">
        <w:rPr>
          <w:rFonts w:ascii="Arial" w:hAnsi="Arial" w:cs="Arial"/>
        </w:rPr>
        <w:t xml:space="preserve"> for any given indicator</w:t>
      </w:r>
      <w:r w:rsidRPr="005E0053">
        <w:rPr>
          <w:rFonts w:ascii="Arial" w:hAnsi="Arial" w:cs="Arial"/>
        </w:rPr>
        <w:t xml:space="preserve"> is considered</w:t>
      </w:r>
      <w:r w:rsidR="004138D4" w:rsidRPr="005E0053">
        <w:rPr>
          <w:rFonts w:ascii="Arial" w:hAnsi="Arial" w:cs="Arial"/>
        </w:rPr>
        <w:t xml:space="preserve"> the</w:t>
      </w:r>
      <w:r w:rsidRPr="005E0053">
        <w:rPr>
          <w:rFonts w:ascii="Arial" w:hAnsi="Arial" w:cs="Arial"/>
        </w:rPr>
        <w:t xml:space="preserve"> “Status” while</w:t>
      </w:r>
      <w:r w:rsidR="008A3778" w:rsidRPr="005E0053">
        <w:rPr>
          <w:rFonts w:ascii="Arial" w:hAnsi="Arial" w:cs="Arial"/>
        </w:rPr>
        <w:t xml:space="preserve"> “Change” is </w:t>
      </w:r>
      <w:r w:rsidR="004138D4" w:rsidRPr="005E0053">
        <w:rPr>
          <w:rFonts w:ascii="Arial" w:hAnsi="Arial" w:cs="Arial"/>
        </w:rPr>
        <w:t xml:space="preserve">defined as </w:t>
      </w:r>
      <w:r w:rsidR="008A3778" w:rsidRPr="005E0053">
        <w:rPr>
          <w:rFonts w:ascii="Arial" w:hAnsi="Arial" w:cs="Arial"/>
        </w:rPr>
        <w:t xml:space="preserve">the difference between performance from the current year and the </w:t>
      </w:r>
      <w:r w:rsidR="001A25A1" w:rsidRPr="005E0053">
        <w:rPr>
          <w:rFonts w:ascii="Arial" w:hAnsi="Arial" w:cs="Arial"/>
        </w:rPr>
        <w:t>previous year</w:t>
      </w:r>
      <w:r w:rsidR="008A3778" w:rsidRPr="005E0053">
        <w:rPr>
          <w:rFonts w:ascii="Arial" w:hAnsi="Arial" w:cs="Arial"/>
        </w:rPr>
        <w:t xml:space="preserve">. </w:t>
      </w:r>
    </w:p>
    <w:p w14:paraId="1B47BABF" w14:textId="77777777" w:rsidR="008A3778" w:rsidRPr="005E0053" w:rsidRDefault="008A3778" w:rsidP="00CB2C23">
      <w:pPr>
        <w:spacing w:before="240"/>
        <w:rPr>
          <w:rFonts w:ascii="Arial" w:hAnsi="Arial" w:cs="Arial"/>
        </w:rPr>
      </w:pPr>
      <w:r w:rsidRPr="005E0053">
        <w:rPr>
          <w:rFonts w:ascii="Arial" w:hAnsi="Arial" w:cs="Arial"/>
        </w:rPr>
        <w:t>Each indicator has</w:t>
      </w:r>
      <w:r w:rsidR="004138D4" w:rsidRPr="005E0053">
        <w:rPr>
          <w:rFonts w:ascii="Arial" w:hAnsi="Arial" w:cs="Arial"/>
        </w:rPr>
        <w:t xml:space="preserve"> an</w:t>
      </w:r>
      <w:r w:rsidRPr="005E0053">
        <w:rPr>
          <w:rFonts w:ascii="Arial" w:hAnsi="Arial" w:cs="Arial"/>
        </w:rPr>
        <w:t xml:space="preserve"> </w:t>
      </w:r>
      <w:r w:rsidR="004138D4" w:rsidRPr="005E0053">
        <w:rPr>
          <w:rFonts w:ascii="Arial" w:hAnsi="Arial" w:cs="Arial"/>
        </w:rPr>
        <w:t>individual</w:t>
      </w:r>
      <w:r w:rsidRPr="005E0053">
        <w:rPr>
          <w:rFonts w:ascii="Arial" w:hAnsi="Arial" w:cs="Arial"/>
        </w:rPr>
        <w:t xml:space="preserve"> set of cut</w:t>
      </w:r>
      <w:r w:rsidR="004138D4" w:rsidRPr="005E0053">
        <w:rPr>
          <w:rFonts w:ascii="Arial" w:hAnsi="Arial" w:cs="Arial"/>
        </w:rPr>
        <w:t>-off</w:t>
      </w:r>
      <w:r w:rsidRPr="005E0053">
        <w:rPr>
          <w:rFonts w:ascii="Arial" w:hAnsi="Arial" w:cs="Arial"/>
        </w:rPr>
        <w:t xml:space="preserve"> points for “Status” and “Change</w:t>
      </w:r>
      <w:r w:rsidR="00F6400C" w:rsidRPr="005E0053">
        <w:rPr>
          <w:rFonts w:ascii="Arial" w:hAnsi="Arial" w:cs="Arial"/>
        </w:rPr>
        <w:t>.”</w:t>
      </w:r>
      <w:r w:rsidRPr="005E0053">
        <w:rPr>
          <w:rFonts w:ascii="Arial" w:hAnsi="Arial" w:cs="Arial"/>
        </w:rPr>
        <w:t xml:space="preserve"> The cut points </w:t>
      </w:r>
      <w:r w:rsidR="004138D4" w:rsidRPr="005E0053">
        <w:rPr>
          <w:rFonts w:ascii="Arial" w:hAnsi="Arial" w:cs="Arial"/>
        </w:rPr>
        <w:t>should</w:t>
      </w:r>
      <w:r w:rsidRPr="005E0053">
        <w:rPr>
          <w:rFonts w:ascii="Arial" w:hAnsi="Arial" w:cs="Arial"/>
        </w:rPr>
        <w:t xml:space="preserve"> remain in place for seven years</w:t>
      </w:r>
      <w:r w:rsidR="004138D4" w:rsidRPr="005E0053">
        <w:rPr>
          <w:rFonts w:ascii="Arial" w:hAnsi="Arial" w:cs="Arial"/>
        </w:rPr>
        <w:t>; however,</w:t>
      </w:r>
      <w:r w:rsidRPr="005E0053">
        <w:rPr>
          <w:rFonts w:ascii="Arial" w:hAnsi="Arial" w:cs="Arial"/>
        </w:rPr>
        <w:t xml:space="preserve"> the SBE may </w:t>
      </w:r>
      <w:r w:rsidR="004138D4" w:rsidRPr="005E0053">
        <w:rPr>
          <w:rFonts w:ascii="Arial" w:hAnsi="Arial" w:cs="Arial"/>
        </w:rPr>
        <w:t>make adjustments</w:t>
      </w:r>
      <w:r w:rsidRPr="005E0053">
        <w:rPr>
          <w:rFonts w:ascii="Arial" w:hAnsi="Arial" w:cs="Arial"/>
        </w:rPr>
        <w:t xml:space="preserve"> if statewide data demonstrate that </w:t>
      </w:r>
      <w:r w:rsidR="004138D4" w:rsidRPr="005E0053">
        <w:rPr>
          <w:rFonts w:ascii="Arial" w:hAnsi="Arial" w:cs="Arial"/>
        </w:rPr>
        <w:t>current</w:t>
      </w:r>
      <w:r w:rsidRPr="005E0053">
        <w:rPr>
          <w:rFonts w:ascii="Arial" w:hAnsi="Arial" w:cs="Arial"/>
        </w:rPr>
        <w:t xml:space="preserve"> cut</w:t>
      </w:r>
      <w:r w:rsidR="004138D4" w:rsidRPr="005E0053">
        <w:rPr>
          <w:rFonts w:ascii="Arial" w:hAnsi="Arial" w:cs="Arial"/>
        </w:rPr>
        <w:t>-off</w:t>
      </w:r>
      <w:r w:rsidRPr="005E0053">
        <w:rPr>
          <w:rFonts w:ascii="Arial" w:hAnsi="Arial" w:cs="Arial"/>
        </w:rPr>
        <w:t xml:space="preserve"> points no longer support meaningful differentiation of schools. By combining the results of both “Status” and “Change,” one of five color-coded “Performance Levels” can be assigned for each indicator:</w:t>
      </w:r>
      <w:r w:rsidR="000D024C" w:rsidRPr="005E0053">
        <w:rPr>
          <w:rFonts w:ascii="Arial" w:hAnsi="Arial" w:cs="Arial"/>
        </w:rPr>
        <w:t xml:space="preserve"> blue, green, yellow, orange</w:t>
      </w:r>
      <w:r w:rsidR="000F2B65" w:rsidRPr="005E0053">
        <w:rPr>
          <w:rFonts w:ascii="Arial" w:hAnsi="Arial" w:cs="Arial"/>
        </w:rPr>
        <w:t>,</w:t>
      </w:r>
      <w:r w:rsidR="000D024C" w:rsidRPr="005E0053">
        <w:rPr>
          <w:rFonts w:ascii="Arial" w:hAnsi="Arial" w:cs="Arial"/>
        </w:rPr>
        <w:t xml:space="preserve"> and red (blue being the most desirable level and red being the least desirable level).</w:t>
      </w:r>
      <w:r w:rsidR="005049C8" w:rsidRPr="005E0053">
        <w:rPr>
          <w:rFonts w:ascii="Arial" w:hAnsi="Arial" w:cs="Arial"/>
        </w:rPr>
        <w:t xml:space="preserve"> </w:t>
      </w:r>
      <w:r w:rsidR="000D024C" w:rsidRPr="005E0053">
        <w:rPr>
          <w:rFonts w:ascii="Arial" w:hAnsi="Arial" w:cs="Arial"/>
        </w:rPr>
        <w:t>The</w:t>
      </w:r>
      <w:r w:rsidRPr="005E0053">
        <w:rPr>
          <w:rFonts w:ascii="Arial" w:hAnsi="Arial" w:cs="Arial"/>
        </w:rPr>
        <w:t xml:space="preserve"> five-by-five </w:t>
      </w:r>
      <w:r w:rsidR="005049C8" w:rsidRPr="005E0053">
        <w:rPr>
          <w:rFonts w:ascii="Arial" w:hAnsi="Arial" w:cs="Arial"/>
        </w:rPr>
        <w:t xml:space="preserve">example </w:t>
      </w:r>
      <w:r w:rsidRPr="005E0053">
        <w:rPr>
          <w:rFonts w:ascii="Arial" w:hAnsi="Arial" w:cs="Arial"/>
        </w:rPr>
        <w:t>grid</w:t>
      </w:r>
      <w:r w:rsidR="000D024C" w:rsidRPr="005E0053">
        <w:rPr>
          <w:rFonts w:ascii="Arial" w:hAnsi="Arial" w:cs="Arial"/>
        </w:rPr>
        <w:t xml:space="preserve"> below </w:t>
      </w:r>
      <w:r w:rsidRPr="005E0053">
        <w:rPr>
          <w:rFonts w:ascii="Arial" w:hAnsi="Arial" w:cs="Arial"/>
        </w:rPr>
        <w:t>illustrate</w:t>
      </w:r>
      <w:r w:rsidR="005049C8" w:rsidRPr="005E0053">
        <w:rPr>
          <w:rFonts w:ascii="Arial" w:hAnsi="Arial" w:cs="Arial"/>
        </w:rPr>
        <w:t>s</w:t>
      </w:r>
      <w:r w:rsidRPr="005E0053">
        <w:rPr>
          <w:rFonts w:ascii="Arial" w:hAnsi="Arial" w:cs="Arial"/>
        </w:rPr>
        <w:t xml:space="preserve"> school, LEA</w:t>
      </w:r>
      <w:r w:rsidR="000F2B65" w:rsidRPr="005E0053">
        <w:rPr>
          <w:rFonts w:ascii="Arial" w:hAnsi="Arial" w:cs="Arial"/>
        </w:rPr>
        <w:t>,</w:t>
      </w:r>
      <w:r w:rsidRPr="005E0053">
        <w:rPr>
          <w:rFonts w:ascii="Arial" w:hAnsi="Arial" w:cs="Arial"/>
        </w:rPr>
        <w:t xml:space="preserve"> and student group performance relative to each indicator:</w:t>
      </w:r>
    </w:p>
    <w:p w14:paraId="29D400D0" w14:textId="77777777" w:rsidR="008A3778" w:rsidRPr="006849D8" w:rsidRDefault="008A3778" w:rsidP="006849D8">
      <w:pPr>
        <w:pStyle w:val="Heading5"/>
        <w:spacing w:after="0"/>
        <w:rPr>
          <w:b/>
          <w:i w:val="0"/>
          <w:sz w:val="24"/>
        </w:rPr>
      </w:pPr>
      <w:r w:rsidRPr="006849D8">
        <w:rPr>
          <w:b/>
          <w:i w:val="0"/>
          <w:sz w:val="24"/>
        </w:rPr>
        <w:t>Sample Five-by-Five Grid</w:t>
      </w:r>
    </w:p>
    <w:tbl>
      <w:tblPr>
        <w:tblStyle w:val="TableGrid"/>
        <w:tblW w:w="8068" w:type="dxa"/>
        <w:tblLook w:val="0620" w:firstRow="1" w:lastRow="0" w:firstColumn="0" w:lastColumn="0" w:noHBand="1" w:noVBand="1"/>
        <w:tblDescription w:val="Sample five by five grid for combining the results of status and change for each indicator."/>
      </w:tblPr>
      <w:tblGrid>
        <w:gridCol w:w="1123"/>
        <w:gridCol w:w="1643"/>
        <w:gridCol w:w="1217"/>
        <w:gridCol w:w="1470"/>
        <w:gridCol w:w="1337"/>
        <w:gridCol w:w="1643"/>
      </w:tblGrid>
      <w:tr w:rsidR="005047D0" w:rsidRPr="005047D0" w14:paraId="5D4BFAB9" w14:textId="77777777" w:rsidTr="00E53F38">
        <w:trPr>
          <w:cantSplit/>
          <w:trHeight w:val="395"/>
          <w:tblHeader/>
        </w:trPr>
        <w:tc>
          <w:tcPr>
            <w:tcW w:w="1574" w:type="dxa"/>
            <w:tcBorders>
              <w:right w:val="single" w:sz="4" w:space="0" w:color="4472C4"/>
            </w:tcBorders>
            <w:shd w:val="clear" w:color="auto" w:fill="1F3864" w:themeFill="accent5" w:themeFillShade="80"/>
            <w:vAlign w:val="center"/>
          </w:tcPr>
          <w:p w14:paraId="452FF3B8" w14:textId="77777777" w:rsidR="008A3778" w:rsidRPr="005047D0" w:rsidRDefault="00E009EA" w:rsidP="00E53F38">
            <w:pPr>
              <w:jc w:val="center"/>
              <w:rPr>
                <w:rFonts w:ascii="Arial" w:hAnsi="Arial" w:cs="Arial"/>
                <w:color w:val="FFFFFF" w:themeColor="background1"/>
              </w:rPr>
            </w:pPr>
            <w:r w:rsidRPr="005047D0">
              <w:rPr>
                <w:rFonts w:ascii="Arial" w:hAnsi="Arial" w:cs="Arial"/>
                <w:b/>
                <w:color w:val="FFFFFF" w:themeColor="background1"/>
              </w:rPr>
              <w:t>Levels</w:t>
            </w:r>
          </w:p>
        </w:tc>
        <w:tc>
          <w:tcPr>
            <w:tcW w:w="1429" w:type="dxa"/>
            <w:tcBorders>
              <w:left w:val="single" w:sz="4" w:space="0" w:color="4472C4"/>
              <w:right w:val="single" w:sz="4" w:space="0" w:color="4472C4"/>
            </w:tcBorders>
            <w:shd w:val="clear" w:color="auto" w:fill="1F3864" w:themeFill="accent5" w:themeFillShade="80"/>
            <w:vAlign w:val="center"/>
          </w:tcPr>
          <w:p w14:paraId="5BA5B09C" w14:textId="77777777" w:rsidR="008A3778" w:rsidRPr="005047D0" w:rsidRDefault="00B42DD9" w:rsidP="00E53F38">
            <w:pPr>
              <w:jc w:val="center"/>
              <w:rPr>
                <w:rFonts w:ascii="Arial" w:hAnsi="Arial" w:cs="Arial"/>
                <w:b/>
                <w:color w:val="FFFFFF" w:themeColor="background1"/>
              </w:rPr>
            </w:pPr>
            <w:r w:rsidRPr="005047D0">
              <w:rPr>
                <w:rFonts w:ascii="Arial" w:hAnsi="Arial" w:cs="Arial"/>
                <w:b/>
                <w:color w:val="FFFFFF" w:themeColor="background1"/>
              </w:rPr>
              <w:t xml:space="preserve">Change </w:t>
            </w:r>
            <w:r w:rsidR="008A3778" w:rsidRPr="005047D0">
              <w:rPr>
                <w:rFonts w:ascii="Arial" w:hAnsi="Arial" w:cs="Arial"/>
                <w:b/>
                <w:color w:val="FFFFFF" w:themeColor="background1"/>
              </w:rPr>
              <w:t>Declined Significantly</w:t>
            </w:r>
          </w:p>
        </w:tc>
        <w:tc>
          <w:tcPr>
            <w:tcW w:w="1085" w:type="dxa"/>
            <w:tcBorders>
              <w:left w:val="single" w:sz="4" w:space="0" w:color="4472C4"/>
              <w:right w:val="single" w:sz="4" w:space="0" w:color="4472C4"/>
            </w:tcBorders>
            <w:shd w:val="clear" w:color="auto" w:fill="1F3864" w:themeFill="accent5" w:themeFillShade="80"/>
            <w:vAlign w:val="center"/>
          </w:tcPr>
          <w:p w14:paraId="7E75378C" w14:textId="77777777" w:rsidR="008A3778" w:rsidRPr="005047D0" w:rsidRDefault="00B42DD9" w:rsidP="00E53F38">
            <w:pPr>
              <w:jc w:val="center"/>
              <w:rPr>
                <w:rFonts w:ascii="Arial" w:hAnsi="Arial" w:cs="Arial"/>
                <w:b/>
                <w:color w:val="FFFFFF" w:themeColor="background1"/>
              </w:rPr>
            </w:pPr>
            <w:r w:rsidRPr="005047D0">
              <w:rPr>
                <w:rFonts w:ascii="Arial" w:hAnsi="Arial" w:cs="Arial"/>
                <w:b/>
                <w:color w:val="FFFFFF" w:themeColor="background1"/>
              </w:rPr>
              <w:t xml:space="preserve">Change </w:t>
            </w:r>
            <w:r w:rsidR="008A3778" w:rsidRPr="005047D0">
              <w:rPr>
                <w:rFonts w:ascii="Arial" w:hAnsi="Arial" w:cs="Arial"/>
                <w:b/>
                <w:color w:val="FFFFFF" w:themeColor="background1"/>
              </w:rPr>
              <w:t>Declined</w:t>
            </w:r>
          </w:p>
        </w:tc>
        <w:tc>
          <w:tcPr>
            <w:tcW w:w="1371" w:type="dxa"/>
            <w:tcBorders>
              <w:left w:val="single" w:sz="4" w:space="0" w:color="4472C4"/>
              <w:right w:val="single" w:sz="4" w:space="0" w:color="4472C4"/>
            </w:tcBorders>
            <w:shd w:val="clear" w:color="auto" w:fill="1F3864" w:themeFill="accent5" w:themeFillShade="80"/>
            <w:vAlign w:val="center"/>
          </w:tcPr>
          <w:p w14:paraId="71E0DEC2" w14:textId="77777777" w:rsidR="008A3778" w:rsidRPr="005047D0" w:rsidRDefault="00B42DD9" w:rsidP="00E53F38">
            <w:pPr>
              <w:jc w:val="center"/>
              <w:rPr>
                <w:rFonts w:ascii="Arial" w:hAnsi="Arial" w:cs="Arial"/>
                <w:b/>
                <w:color w:val="FFFFFF" w:themeColor="background1"/>
              </w:rPr>
            </w:pPr>
            <w:r w:rsidRPr="005047D0">
              <w:rPr>
                <w:rFonts w:ascii="Arial" w:hAnsi="Arial" w:cs="Arial"/>
                <w:b/>
                <w:color w:val="FFFFFF" w:themeColor="background1"/>
              </w:rPr>
              <w:t xml:space="preserve">Change </w:t>
            </w:r>
            <w:r w:rsidR="008A3778" w:rsidRPr="005047D0">
              <w:rPr>
                <w:rFonts w:ascii="Arial" w:hAnsi="Arial" w:cs="Arial"/>
                <w:b/>
                <w:color w:val="FFFFFF" w:themeColor="background1"/>
              </w:rPr>
              <w:t>Maintained</w:t>
            </w:r>
          </w:p>
        </w:tc>
        <w:tc>
          <w:tcPr>
            <w:tcW w:w="1180" w:type="dxa"/>
            <w:tcBorders>
              <w:left w:val="single" w:sz="4" w:space="0" w:color="4472C4"/>
              <w:right w:val="single" w:sz="4" w:space="0" w:color="4472C4"/>
            </w:tcBorders>
            <w:shd w:val="clear" w:color="auto" w:fill="1F3864" w:themeFill="accent5" w:themeFillShade="80"/>
            <w:vAlign w:val="center"/>
          </w:tcPr>
          <w:p w14:paraId="5ACE9DB4" w14:textId="77777777" w:rsidR="008A3778" w:rsidRPr="005047D0" w:rsidRDefault="00B42DD9" w:rsidP="00E53F38">
            <w:pPr>
              <w:jc w:val="center"/>
              <w:rPr>
                <w:rFonts w:ascii="Arial" w:hAnsi="Arial" w:cs="Arial"/>
                <w:b/>
                <w:color w:val="FFFFFF" w:themeColor="background1"/>
              </w:rPr>
            </w:pPr>
            <w:r w:rsidRPr="005047D0">
              <w:rPr>
                <w:rFonts w:ascii="Arial" w:hAnsi="Arial" w:cs="Arial"/>
                <w:b/>
                <w:color w:val="FFFFFF" w:themeColor="background1"/>
              </w:rPr>
              <w:t xml:space="preserve">Change </w:t>
            </w:r>
            <w:r w:rsidR="00E009EA" w:rsidRPr="005047D0">
              <w:rPr>
                <w:rFonts w:ascii="Arial" w:hAnsi="Arial" w:cs="Arial"/>
                <w:b/>
                <w:color w:val="FFFFFF" w:themeColor="background1"/>
              </w:rPr>
              <w:t xml:space="preserve"> </w:t>
            </w:r>
            <w:r w:rsidR="008A3778" w:rsidRPr="005047D0">
              <w:rPr>
                <w:rFonts w:ascii="Arial" w:hAnsi="Arial" w:cs="Arial"/>
                <w:b/>
                <w:color w:val="FFFFFF" w:themeColor="background1"/>
              </w:rPr>
              <w:t>Increased</w:t>
            </w:r>
          </w:p>
        </w:tc>
        <w:tc>
          <w:tcPr>
            <w:tcW w:w="1429" w:type="dxa"/>
            <w:tcBorders>
              <w:left w:val="single" w:sz="4" w:space="0" w:color="4472C4"/>
            </w:tcBorders>
            <w:shd w:val="clear" w:color="auto" w:fill="1F3864" w:themeFill="accent5" w:themeFillShade="80"/>
            <w:vAlign w:val="center"/>
          </w:tcPr>
          <w:p w14:paraId="4384EB84" w14:textId="77777777" w:rsidR="008A3778" w:rsidRPr="005047D0" w:rsidRDefault="00B42DD9" w:rsidP="00E53F38">
            <w:pPr>
              <w:jc w:val="center"/>
              <w:rPr>
                <w:rFonts w:ascii="Arial" w:hAnsi="Arial" w:cs="Arial"/>
                <w:b/>
                <w:color w:val="FFFFFF" w:themeColor="background1"/>
              </w:rPr>
            </w:pPr>
            <w:r w:rsidRPr="005047D0">
              <w:rPr>
                <w:rFonts w:ascii="Arial" w:hAnsi="Arial" w:cs="Arial"/>
                <w:b/>
                <w:color w:val="FFFFFF" w:themeColor="background1"/>
              </w:rPr>
              <w:t xml:space="preserve">Change </w:t>
            </w:r>
            <w:r w:rsidR="008A3778" w:rsidRPr="005047D0">
              <w:rPr>
                <w:rFonts w:ascii="Arial" w:hAnsi="Arial" w:cs="Arial"/>
                <w:b/>
                <w:color w:val="FFFFFF" w:themeColor="background1"/>
              </w:rPr>
              <w:t>Increased Significantly</w:t>
            </w:r>
          </w:p>
        </w:tc>
      </w:tr>
      <w:tr w:rsidR="00E009EA" w:rsidRPr="00F62746" w14:paraId="1DF52C4A" w14:textId="77777777" w:rsidTr="00172AE1">
        <w:trPr>
          <w:cantSplit/>
          <w:trHeight w:val="188"/>
        </w:trPr>
        <w:tc>
          <w:tcPr>
            <w:tcW w:w="1574" w:type="dxa"/>
            <w:tcBorders>
              <w:right w:val="single" w:sz="4" w:space="0" w:color="4472C4"/>
            </w:tcBorders>
          </w:tcPr>
          <w:p w14:paraId="46DE67E5" w14:textId="77777777" w:rsidR="00E009EA" w:rsidRPr="005E0053" w:rsidRDefault="00E009EA" w:rsidP="008A3778">
            <w:pPr>
              <w:jc w:val="center"/>
              <w:rPr>
                <w:rFonts w:ascii="Arial" w:hAnsi="Arial" w:cs="Arial"/>
                <w:b/>
              </w:rPr>
            </w:pPr>
            <w:r w:rsidRPr="005E0053">
              <w:rPr>
                <w:rFonts w:ascii="Arial" w:hAnsi="Arial" w:cs="Arial"/>
                <w:b/>
              </w:rPr>
              <w:t>Status -Very High</w:t>
            </w:r>
          </w:p>
        </w:tc>
        <w:tc>
          <w:tcPr>
            <w:tcW w:w="1429" w:type="dxa"/>
            <w:tcBorders>
              <w:left w:val="single" w:sz="4" w:space="0" w:color="4472C4"/>
              <w:right w:val="single" w:sz="4" w:space="0" w:color="4472C4"/>
            </w:tcBorders>
            <w:shd w:val="clear" w:color="auto" w:fill="FFFF00"/>
          </w:tcPr>
          <w:p w14:paraId="5D448A1E" w14:textId="77777777" w:rsidR="00E009EA" w:rsidRPr="005E0053" w:rsidRDefault="00E009EA" w:rsidP="008A3778">
            <w:pPr>
              <w:jc w:val="center"/>
              <w:rPr>
                <w:rFonts w:ascii="Arial" w:hAnsi="Arial" w:cs="Arial"/>
              </w:rPr>
            </w:pPr>
            <w:r w:rsidRPr="005E0053">
              <w:rPr>
                <w:rFonts w:ascii="Arial" w:hAnsi="Arial" w:cs="Arial"/>
              </w:rPr>
              <w:t>Yellow</w:t>
            </w:r>
          </w:p>
        </w:tc>
        <w:tc>
          <w:tcPr>
            <w:tcW w:w="1085" w:type="dxa"/>
            <w:tcBorders>
              <w:left w:val="single" w:sz="4" w:space="0" w:color="4472C4"/>
              <w:right w:val="single" w:sz="4" w:space="0" w:color="4472C4"/>
            </w:tcBorders>
            <w:shd w:val="clear" w:color="auto" w:fill="00B050"/>
          </w:tcPr>
          <w:p w14:paraId="29737725" w14:textId="77777777" w:rsidR="00E009EA" w:rsidRPr="005E0053" w:rsidRDefault="00E009EA" w:rsidP="008A3778">
            <w:pPr>
              <w:jc w:val="center"/>
              <w:rPr>
                <w:rFonts w:ascii="Arial" w:hAnsi="Arial" w:cs="Arial"/>
                <w:color w:val="FFFFFF"/>
              </w:rPr>
            </w:pPr>
            <w:r w:rsidRPr="002D35D7">
              <w:rPr>
                <w:rFonts w:ascii="Arial" w:hAnsi="Arial" w:cs="Arial"/>
              </w:rPr>
              <w:t>Green</w:t>
            </w:r>
          </w:p>
        </w:tc>
        <w:tc>
          <w:tcPr>
            <w:tcW w:w="1371" w:type="dxa"/>
            <w:tcBorders>
              <w:left w:val="single" w:sz="4" w:space="0" w:color="4472C4"/>
              <w:right w:val="single" w:sz="4" w:space="0" w:color="4472C4"/>
            </w:tcBorders>
            <w:shd w:val="clear" w:color="auto" w:fill="002060"/>
          </w:tcPr>
          <w:p w14:paraId="4DAE7C8A" w14:textId="77777777" w:rsidR="00E009EA" w:rsidRPr="005E0053" w:rsidRDefault="00E009EA" w:rsidP="008A3778">
            <w:pPr>
              <w:jc w:val="center"/>
              <w:rPr>
                <w:rFonts w:ascii="Arial" w:hAnsi="Arial" w:cs="Arial"/>
                <w:color w:val="FFFFFF"/>
              </w:rPr>
            </w:pPr>
            <w:r w:rsidRPr="005E0053">
              <w:rPr>
                <w:rFonts w:ascii="Arial" w:hAnsi="Arial" w:cs="Arial"/>
                <w:color w:val="FFFFFF"/>
              </w:rPr>
              <w:t>Blue</w:t>
            </w:r>
          </w:p>
        </w:tc>
        <w:tc>
          <w:tcPr>
            <w:tcW w:w="1180" w:type="dxa"/>
            <w:tcBorders>
              <w:left w:val="single" w:sz="4" w:space="0" w:color="4472C4"/>
              <w:right w:val="single" w:sz="4" w:space="0" w:color="4472C4"/>
            </w:tcBorders>
            <w:shd w:val="clear" w:color="auto" w:fill="002060"/>
          </w:tcPr>
          <w:p w14:paraId="39EC9984" w14:textId="77777777" w:rsidR="00E009EA" w:rsidRPr="005E0053" w:rsidRDefault="00E009EA" w:rsidP="008A3778">
            <w:pPr>
              <w:jc w:val="center"/>
              <w:rPr>
                <w:rFonts w:ascii="Arial" w:hAnsi="Arial" w:cs="Arial"/>
                <w:color w:val="FFFFFF"/>
              </w:rPr>
            </w:pPr>
            <w:r w:rsidRPr="005E0053">
              <w:rPr>
                <w:rFonts w:ascii="Arial" w:hAnsi="Arial" w:cs="Arial"/>
                <w:color w:val="FFFFFF"/>
              </w:rPr>
              <w:t>Blue</w:t>
            </w:r>
          </w:p>
        </w:tc>
        <w:tc>
          <w:tcPr>
            <w:tcW w:w="1429" w:type="dxa"/>
            <w:tcBorders>
              <w:left w:val="single" w:sz="4" w:space="0" w:color="4472C4"/>
            </w:tcBorders>
            <w:shd w:val="clear" w:color="auto" w:fill="002060"/>
          </w:tcPr>
          <w:p w14:paraId="44CA3F8F" w14:textId="77777777" w:rsidR="00E009EA" w:rsidRPr="005E0053" w:rsidRDefault="00E009EA" w:rsidP="008A3778">
            <w:pPr>
              <w:jc w:val="center"/>
              <w:rPr>
                <w:rFonts w:ascii="Arial" w:hAnsi="Arial" w:cs="Arial"/>
              </w:rPr>
            </w:pPr>
            <w:r w:rsidRPr="005E0053">
              <w:rPr>
                <w:rFonts w:ascii="Arial" w:hAnsi="Arial" w:cs="Arial"/>
                <w:color w:val="FFFFFF"/>
              </w:rPr>
              <w:t>Blue</w:t>
            </w:r>
          </w:p>
        </w:tc>
      </w:tr>
      <w:tr w:rsidR="00E009EA" w:rsidRPr="00F62746" w14:paraId="01C3D234" w14:textId="77777777" w:rsidTr="00172AE1">
        <w:trPr>
          <w:cantSplit/>
          <w:trHeight w:val="170"/>
        </w:trPr>
        <w:tc>
          <w:tcPr>
            <w:tcW w:w="1574" w:type="dxa"/>
            <w:tcBorders>
              <w:right w:val="single" w:sz="4" w:space="0" w:color="4472C4"/>
            </w:tcBorders>
          </w:tcPr>
          <w:p w14:paraId="61B0D677" w14:textId="77777777" w:rsidR="00E009EA" w:rsidRPr="005E0053" w:rsidRDefault="00E009EA" w:rsidP="008A3778">
            <w:pPr>
              <w:jc w:val="center"/>
              <w:rPr>
                <w:rFonts w:ascii="Arial" w:hAnsi="Arial" w:cs="Arial"/>
                <w:b/>
              </w:rPr>
            </w:pPr>
            <w:r w:rsidRPr="005E0053">
              <w:rPr>
                <w:rFonts w:ascii="Arial" w:hAnsi="Arial" w:cs="Arial"/>
                <w:b/>
              </w:rPr>
              <w:t>Status -High</w:t>
            </w:r>
          </w:p>
        </w:tc>
        <w:tc>
          <w:tcPr>
            <w:tcW w:w="1429" w:type="dxa"/>
            <w:tcBorders>
              <w:left w:val="single" w:sz="4" w:space="0" w:color="4472C4"/>
              <w:right w:val="single" w:sz="4" w:space="0" w:color="4472C4"/>
            </w:tcBorders>
            <w:shd w:val="clear" w:color="auto" w:fill="ED7D31" w:themeFill="accent2"/>
          </w:tcPr>
          <w:p w14:paraId="58208D4A" w14:textId="77777777" w:rsidR="00E009EA" w:rsidRPr="005E0053" w:rsidRDefault="00E009EA" w:rsidP="008A3778">
            <w:pPr>
              <w:jc w:val="center"/>
              <w:rPr>
                <w:rFonts w:ascii="Arial" w:hAnsi="Arial" w:cs="Arial"/>
                <w:color w:val="FFFFFF"/>
              </w:rPr>
            </w:pPr>
            <w:r w:rsidRPr="005E0053">
              <w:rPr>
                <w:rFonts w:ascii="Arial" w:hAnsi="Arial" w:cs="Arial"/>
              </w:rPr>
              <w:t>Orange</w:t>
            </w:r>
          </w:p>
        </w:tc>
        <w:tc>
          <w:tcPr>
            <w:tcW w:w="1085" w:type="dxa"/>
            <w:tcBorders>
              <w:left w:val="single" w:sz="4" w:space="0" w:color="4472C4"/>
            </w:tcBorders>
            <w:shd w:val="clear" w:color="auto" w:fill="FFFF00"/>
          </w:tcPr>
          <w:p w14:paraId="73D92599" w14:textId="77777777" w:rsidR="00E009EA" w:rsidRPr="005E0053" w:rsidRDefault="00E009EA" w:rsidP="008A3778">
            <w:pPr>
              <w:jc w:val="center"/>
              <w:rPr>
                <w:rFonts w:ascii="Arial" w:hAnsi="Arial" w:cs="Arial"/>
              </w:rPr>
            </w:pPr>
            <w:r w:rsidRPr="005E0053">
              <w:rPr>
                <w:rFonts w:ascii="Arial" w:hAnsi="Arial" w:cs="Arial"/>
              </w:rPr>
              <w:t>Yellow</w:t>
            </w:r>
          </w:p>
        </w:tc>
        <w:tc>
          <w:tcPr>
            <w:tcW w:w="1371" w:type="dxa"/>
            <w:tcBorders>
              <w:right w:val="single" w:sz="4" w:space="0" w:color="4472C4"/>
            </w:tcBorders>
            <w:shd w:val="clear" w:color="auto" w:fill="00B050"/>
          </w:tcPr>
          <w:p w14:paraId="6C8456FD" w14:textId="77777777" w:rsidR="00E009EA" w:rsidRPr="005E0053" w:rsidRDefault="00E009EA" w:rsidP="008A3778">
            <w:pPr>
              <w:jc w:val="center"/>
              <w:rPr>
                <w:rFonts w:ascii="Arial" w:hAnsi="Arial" w:cs="Arial"/>
                <w:color w:val="FFFFFF"/>
              </w:rPr>
            </w:pPr>
            <w:r w:rsidRPr="002D35D7">
              <w:rPr>
                <w:rFonts w:ascii="Arial" w:hAnsi="Arial" w:cs="Arial"/>
              </w:rPr>
              <w:t>Green</w:t>
            </w:r>
          </w:p>
        </w:tc>
        <w:tc>
          <w:tcPr>
            <w:tcW w:w="1180" w:type="dxa"/>
            <w:tcBorders>
              <w:left w:val="single" w:sz="4" w:space="0" w:color="4472C4"/>
              <w:right w:val="single" w:sz="4" w:space="0" w:color="4472C4"/>
            </w:tcBorders>
            <w:shd w:val="clear" w:color="auto" w:fill="00B050"/>
          </w:tcPr>
          <w:p w14:paraId="2C0A2438" w14:textId="77777777" w:rsidR="00E009EA" w:rsidRPr="002D35D7" w:rsidRDefault="00E009EA" w:rsidP="008A3778">
            <w:pPr>
              <w:jc w:val="center"/>
              <w:rPr>
                <w:rFonts w:ascii="Arial" w:hAnsi="Arial" w:cs="Arial"/>
              </w:rPr>
            </w:pPr>
            <w:r w:rsidRPr="002D35D7">
              <w:rPr>
                <w:rFonts w:ascii="Arial" w:hAnsi="Arial" w:cs="Arial"/>
              </w:rPr>
              <w:t>Green</w:t>
            </w:r>
          </w:p>
        </w:tc>
        <w:tc>
          <w:tcPr>
            <w:tcW w:w="1429" w:type="dxa"/>
            <w:tcBorders>
              <w:left w:val="single" w:sz="4" w:space="0" w:color="4472C4"/>
            </w:tcBorders>
            <w:shd w:val="clear" w:color="auto" w:fill="002060"/>
          </w:tcPr>
          <w:p w14:paraId="1C1C3902" w14:textId="77777777" w:rsidR="00E009EA" w:rsidRPr="005E0053" w:rsidRDefault="00E009EA" w:rsidP="008A3778">
            <w:pPr>
              <w:jc w:val="center"/>
              <w:rPr>
                <w:rFonts w:ascii="Arial" w:hAnsi="Arial" w:cs="Arial"/>
              </w:rPr>
            </w:pPr>
            <w:r w:rsidRPr="005E0053">
              <w:rPr>
                <w:rFonts w:ascii="Arial" w:hAnsi="Arial" w:cs="Arial"/>
                <w:color w:val="FFFFFF"/>
              </w:rPr>
              <w:t>Blue</w:t>
            </w:r>
          </w:p>
        </w:tc>
      </w:tr>
      <w:tr w:rsidR="00E009EA" w:rsidRPr="00F62746" w14:paraId="3D7DC632" w14:textId="77777777" w:rsidTr="00172AE1">
        <w:trPr>
          <w:cantSplit/>
          <w:trHeight w:val="152"/>
        </w:trPr>
        <w:tc>
          <w:tcPr>
            <w:tcW w:w="1574" w:type="dxa"/>
            <w:tcBorders>
              <w:right w:val="single" w:sz="4" w:space="0" w:color="4472C4"/>
            </w:tcBorders>
          </w:tcPr>
          <w:p w14:paraId="5063CB83" w14:textId="77777777" w:rsidR="00E009EA" w:rsidRPr="005E0053" w:rsidRDefault="00E009EA" w:rsidP="008A3778">
            <w:pPr>
              <w:jc w:val="center"/>
              <w:rPr>
                <w:rFonts w:ascii="Arial" w:hAnsi="Arial" w:cs="Arial"/>
                <w:b/>
              </w:rPr>
            </w:pPr>
            <w:r w:rsidRPr="005E0053">
              <w:rPr>
                <w:rFonts w:ascii="Arial" w:hAnsi="Arial" w:cs="Arial"/>
                <w:b/>
              </w:rPr>
              <w:t>Status -Medium</w:t>
            </w:r>
          </w:p>
        </w:tc>
        <w:tc>
          <w:tcPr>
            <w:tcW w:w="1429" w:type="dxa"/>
            <w:tcBorders>
              <w:left w:val="single" w:sz="4" w:space="0" w:color="4472C4"/>
              <w:right w:val="single" w:sz="4" w:space="0" w:color="4472C4"/>
            </w:tcBorders>
            <w:shd w:val="clear" w:color="auto" w:fill="ED7D31" w:themeFill="accent2"/>
          </w:tcPr>
          <w:p w14:paraId="1F834A65" w14:textId="77777777" w:rsidR="00E009EA" w:rsidRPr="005E0053" w:rsidRDefault="00E009EA" w:rsidP="008A3778">
            <w:pPr>
              <w:jc w:val="center"/>
              <w:rPr>
                <w:rFonts w:ascii="Arial" w:hAnsi="Arial" w:cs="Arial"/>
              </w:rPr>
            </w:pPr>
            <w:r w:rsidRPr="005E0053">
              <w:rPr>
                <w:rFonts w:ascii="Arial" w:hAnsi="Arial" w:cs="Arial"/>
              </w:rPr>
              <w:t>Orange</w:t>
            </w:r>
          </w:p>
        </w:tc>
        <w:tc>
          <w:tcPr>
            <w:tcW w:w="1085" w:type="dxa"/>
            <w:tcBorders>
              <w:left w:val="single" w:sz="4" w:space="0" w:color="4472C4"/>
              <w:right w:val="single" w:sz="4" w:space="0" w:color="4472C4"/>
            </w:tcBorders>
            <w:shd w:val="clear" w:color="auto" w:fill="ED7D31" w:themeFill="accent2"/>
          </w:tcPr>
          <w:p w14:paraId="0AC9BB18" w14:textId="77777777" w:rsidR="00E009EA" w:rsidRPr="005E0053" w:rsidRDefault="00E009EA" w:rsidP="008A3778">
            <w:pPr>
              <w:jc w:val="center"/>
              <w:rPr>
                <w:rFonts w:ascii="Arial" w:hAnsi="Arial" w:cs="Arial"/>
              </w:rPr>
            </w:pPr>
            <w:r w:rsidRPr="005E0053">
              <w:rPr>
                <w:rFonts w:ascii="Arial" w:hAnsi="Arial" w:cs="Arial"/>
              </w:rPr>
              <w:t>Orange</w:t>
            </w:r>
          </w:p>
        </w:tc>
        <w:tc>
          <w:tcPr>
            <w:tcW w:w="1371" w:type="dxa"/>
            <w:tcBorders>
              <w:left w:val="single" w:sz="4" w:space="0" w:color="4472C4"/>
              <w:right w:val="single" w:sz="4" w:space="0" w:color="4472C4"/>
            </w:tcBorders>
            <w:shd w:val="clear" w:color="auto" w:fill="FFFF00"/>
          </w:tcPr>
          <w:p w14:paraId="781B363F" w14:textId="77777777" w:rsidR="00E009EA" w:rsidRPr="005E0053" w:rsidRDefault="00E009EA" w:rsidP="008A3778">
            <w:pPr>
              <w:jc w:val="center"/>
              <w:rPr>
                <w:rFonts w:ascii="Arial" w:hAnsi="Arial" w:cs="Arial"/>
              </w:rPr>
            </w:pPr>
            <w:r w:rsidRPr="005E0053">
              <w:rPr>
                <w:rFonts w:ascii="Arial" w:hAnsi="Arial" w:cs="Arial"/>
              </w:rPr>
              <w:t>Yellow</w:t>
            </w:r>
          </w:p>
        </w:tc>
        <w:tc>
          <w:tcPr>
            <w:tcW w:w="1180" w:type="dxa"/>
            <w:tcBorders>
              <w:left w:val="single" w:sz="4" w:space="0" w:color="4472C4"/>
              <w:right w:val="single" w:sz="4" w:space="0" w:color="4472C4"/>
            </w:tcBorders>
            <w:shd w:val="clear" w:color="auto" w:fill="00B050"/>
          </w:tcPr>
          <w:p w14:paraId="46FD075F" w14:textId="77777777" w:rsidR="00E009EA" w:rsidRPr="002D35D7" w:rsidRDefault="00E009EA" w:rsidP="008A3778">
            <w:pPr>
              <w:jc w:val="center"/>
              <w:rPr>
                <w:rFonts w:ascii="Arial" w:hAnsi="Arial" w:cs="Arial"/>
              </w:rPr>
            </w:pPr>
            <w:r w:rsidRPr="002D35D7">
              <w:rPr>
                <w:rFonts w:ascii="Arial" w:hAnsi="Arial" w:cs="Arial"/>
              </w:rPr>
              <w:t>Green</w:t>
            </w:r>
          </w:p>
        </w:tc>
        <w:tc>
          <w:tcPr>
            <w:tcW w:w="1429" w:type="dxa"/>
            <w:tcBorders>
              <w:left w:val="single" w:sz="4" w:space="0" w:color="4472C4"/>
            </w:tcBorders>
            <w:shd w:val="clear" w:color="auto" w:fill="00B050"/>
          </w:tcPr>
          <w:p w14:paraId="7410A458" w14:textId="77777777" w:rsidR="00E009EA" w:rsidRPr="005E0053" w:rsidRDefault="00E009EA" w:rsidP="008A3778">
            <w:pPr>
              <w:jc w:val="center"/>
              <w:rPr>
                <w:rFonts w:ascii="Arial" w:hAnsi="Arial" w:cs="Arial"/>
                <w:color w:val="FFFFFF"/>
              </w:rPr>
            </w:pPr>
            <w:r w:rsidRPr="002D35D7">
              <w:rPr>
                <w:rFonts w:ascii="Arial" w:hAnsi="Arial" w:cs="Arial"/>
              </w:rPr>
              <w:t>Green</w:t>
            </w:r>
          </w:p>
        </w:tc>
      </w:tr>
      <w:tr w:rsidR="00E009EA" w:rsidRPr="00F62746" w14:paraId="379B9640" w14:textId="77777777" w:rsidTr="00172AE1">
        <w:trPr>
          <w:cantSplit/>
          <w:trHeight w:val="70"/>
        </w:trPr>
        <w:tc>
          <w:tcPr>
            <w:tcW w:w="1574" w:type="dxa"/>
            <w:tcBorders>
              <w:right w:val="single" w:sz="4" w:space="0" w:color="4472C4"/>
            </w:tcBorders>
          </w:tcPr>
          <w:p w14:paraId="1D293A51" w14:textId="77777777" w:rsidR="00E009EA" w:rsidRPr="005E0053" w:rsidRDefault="00E009EA" w:rsidP="008A3778">
            <w:pPr>
              <w:jc w:val="center"/>
              <w:rPr>
                <w:rFonts w:ascii="Arial" w:hAnsi="Arial" w:cs="Arial"/>
                <w:b/>
              </w:rPr>
            </w:pPr>
            <w:r w:rsidRPr="005E0053">
              <w:rPr>
                <w:rFonts w:ascii="Arial" w:hAnsi="Arial" w:cs="Arial"/>
                <w:b/>
              </w:rPr>
              <w:t>Status - Low</w:t>
            </w:r>
          </w:p>
        </w:tc>
        <w:tc>
          <w:tcPr>
            <w:tcW w:w="1429" w:type="dxa"/>
            <w:tcBorders>
              <w:left w:val="single" w:sz="4" w:space="0" w:color="4472C4"/>
              <w:right w:val="single" w:sz="4" w:space="0" w:color="4472C4"/>
            </w:tcBorders>
            <w:shd w:val="clear" w:color="auto" w:fill="C00000"/>
          </w:tcPr>
          <w:p w14:paraId="51AEFA36" w14:textId="77777777" w:rsidR="00E009EA" w:rsidRPr="005E0053" w:rsidRDefault="00E009EA" w:rsidP="008A3778">
            <w:pPr>
              <w:jc w:val="center"/>
              <w:rPr>
                <w:rFonts w:ascii="Arial" w:hAnsi="Arial" w:cs="Arial"/>
              </w:rPr>
            </w:pPr>
            <w:r w:rsidRPr="002D35D7">
              <w:rPr>
                <w:rFonts w:ascii="Arial" w:hAnsi="Arial" w:cs="Arial"/>
                <w:color w:val="FFFFFF" w:themeColor="background1"/>
              </w:rPr>
              <w:t>Red</w:t>
            </w:r>
          </w:p>
        </w:tc>
        <w:tc>
          <w:tcPr>
            <w:tcW w:w="1085" w:type="dxa"/>
            <w:tcBorders>
              <w:left w:val="single" w:sz="4" w:space="0" w:color="4472C4"/>
              <w:right w:val="single" w:sz="4" w:space="0" w:color="4472C4"/>
            </w:tcBorders>
            <w:shd w:val="clear" w:color="auto" w:fill="ED7D31" w:themeFill="accent2"/>
          </w:tcPr>
          <w:p w14:paraId="40C1B9B7" w14:textId="77777777" w:rsidR="00E009EA" w:rsidRPr="005E0053" w:rsidRDefault="00E009EA" w:rsidP="008A3778">
            <w:pPr>
              <w:jc w:val="center"/>
              <w:rPr>
                <w:rFonts w:ascii="Arial" w:hAnsi="Arial" w:cs="Arial"/>
              </w:rPr>
            </w:pPr>
            <w:r w:rsidRPr="005E0053">
              <w:rPr>
                <w:rFonts w:ascii="Arial" w:hAnsi="Arial" w:cs="Arial"/>
              </w:rPr>
              <w:t>Orange</w:t>
            </w:r>
          </w:p>
        </w:tc>
        <w:tc>
          <w:tcPr>
            <w:tcW w:w="1371" w:type="dxa"/>
            <w:tcBorders>
              <w:left w:val="single" w:sz="4" w:space="0" w:color="4472C4"/>
              <w:right w:val="single" w:sz="4" w:space="0" w:color="4472C4"/>
            </w:tcBorders>
            <w:shd w:val="clear" w:color="auto" w:fill="ED7D31" w:themeFill="accent2"/>
          </w:tcPr>
          <w:p w14:paraId="62FE81FC" w14:textId="77777777" w:rsidR="00E009EA" w:rsidRPr="005E0053" w:rsidRDefault="00E009EA" w:rsidP="008A3778">
            <w:pPr>
              <w:jc w:val="center"/>
              <w:rPr>
                <w:rFonts w:ascii="Arial" w:hAnsi="Arial" w:cs="Arial"/>
              </w:rPr>
            </w:pPr>
            <w:r w:rsidRPr="005E0053">
              <w:rPr>
                <w:rFonts w:ascii="Arial" w:hAnsi="Arial" w:cs="Arial"/>
              </w:rPr>
              <w:t>Orange</w:t>
            </w:r>
          </w:p>
        </w:tc>
        <w:tc>
          <w:tcPr>
            <w:tcW w:w="1180" w:type="dxa"/>
            <w:tcBorders>
              <w:left w:val="single" w:sz="4" w:space="0" w:color="4472C4"/>
              <w:right w:val="single" w:sz="4" w:space="0" w:color="4472C4"/>
            </w:tcBorders>
            <w:shd w:val="clear" w:color="auto" w:fill="FFFF00"/>
          </w:tcPr>
          <w:p w14:paraId="58CD9EF3" w14:textId="77777777" w:rsidR="00E009EA" w:rsidRPr="005E0053" w:rsidRDefault="00E009EA" w:rsidP="008A3778">
            <w:pPr>
              <w:jc w:val="center"/>
              <w:rPr>
                <w:rFonts w:ascii="Arial" w:hAnsi="Arial" w:cs="Arial"/>
              </w:rPr>
            </w:pPr>
            <w:r w:rsidRPr="005E0053">
              <w:rPr>
                <w:rFonts w:ascii="Arial" w:hAnsi="Arial" w:cs="Arial"/>
              </w:rPr>
              <w:t>Yellow</w:t>
            </w:r>
          </w:p>
        </w:tc>
        <w:tc>
          <w:tcPr>
            <w:tcW w:w="1429" w:type="dxa"/>
            <w:tcBorders>
              <w:left w:val="single" w:sz="4" w:space="0" w:color="4472C4"/>
            </w:tcBorders>
            <w:shd w:val="clear" w:color="auto" w:fill="FFFF00"/>
          </w:tcPr>
          <w:p w14:paraId="6357BA86" w14:textId="77777777" w:rsidR="00E009EA" w:rsidRPr="005E0053" w:rsidRDefault="00E009EA" w:rsidP="008A3778">
            <w:pPr>
              <w:jc w:val="center"/>
              <w:rPr>
                <w:rFonts w:ascii="Arial" w:hAnsi="Arial" w:cs="Arial"/>
              </w:rPr>
            </w:pPr>
            <w:r w:rsidRPr="005E0053">
              <w:rPr>
                <w:rFonts w:ascii="Arial" w:hAnsi="Arial" w:cs="Arial"/>
              </w:rPr>
              <w:t>Yellow</w:t>
            </w:r>
          </w:p>
        </w:tc>
      </w:tr>
      <w:tr w:rsidR="00E009EA" w:rsidRPr="00F62746" w14:paraId="7D9CA703" w14:textId="77777777" w:rsidTr="00172AE1">
        <w:trPr>
          <w:cantSplit/>
          <w:trHeight w:val="215"/>
        </w:trPr>
        <w:tc>
          <w:tcPr>
            <w:tcW w:w="1574" w:type="dxa"/>
            <w:tcBorders>
              <w:right w:val="single" w:sz="4" w:space="0" w:color="4472C4"/>
            </w:tcBorders>
          </w:tcPr>
          <w:p w14:paraId="66DFDA7B" w14:textId="77777777" w:rsidR="00E009EA" w:rsidRPr="005E0053" w:rsidRDefault="00E009EA" w:rsidP="008A3778">
            <w:pPr>
              <w:jc w:val="center"/>
              <w:rPr>
                <w:rFonts w:ascii="Arial" w:hAnsi="Arial" w:cs="Arial"/>
                <w:b/>
              </w:rPr>
            </w:pPr>
            <w:r w:rsidRPr="005E0053">
              <w:rPr>
                <w:rFonts w:ascii="Arial" w:hAnsi="Arial" w:cs="Arial"/>
                <w:b/>
              </w:rPr>
              <w:t>Status -Very Low</w:t>
            </w:r>
          </w:p>
        </w:tc>
        <w:tc>
          <w:tcPr>
            <w:tcW w:w="1429" w:type="dxa"/>
            <w:tcBorders>
              <w:left w:val="single" w:sz="4" w:space="0" w:color="4472C4"/>
              <w:right w:val="single" w:sz="4" w:space="0" w:color="4472C4"/>
            </w:tcBorders>
            <w:shd w:val="clear" w:color="auto" w:fill="C00000"/>
          </w:tcPr>
          <w:p w14:paraId="34CD9A98" w14:textId="77777777" w:rsidR="00E009EA" w:rsidRPr="005E0053" w:rsidRDefault="00E009EA" w:rsidP="008A3778">
            <w:pPr>
              <w:jc w:val="center"/>
              <w:rPr>
                <w:rFonts w:ascii="Arial" w:hAnsi="Arial" w:cs="Arial"/>
              </w:rPr>
            </w:pPr>
            <w:r w:rsidRPr="005E0053">
              <w:rPr>
                <w:rFonts w:ascii="Arial" w:hAnsi="Arial" w:cs="Arial"/>
              </w:rPr>
              <w:t>Red</w:t>
            </w:r>
          </w:p>
        </w:tc>
        <w:tc>
          <w:tcPr>
            <w:tcW w:w="1085" w:type="dxa"/>
            <w:tcBorders>
              <w:left w:val="single" w:sz="4" w:space="0" w:color="4472C4"/>
              <w:right w:val="single" w:sz="4" w:space="0" w:color="4472C4"/>
            </w:tcBorders>
            <w:shd w:val="clear" w:color="auto" w:fill="C00000"/>
          </w:tcPr>
          <w:p w14:paraId="4EB08100" w14:textId="77777777" w:rsidR="00E009EA" w:rsidRPr="005E0053" w:rsidRDefault="00E009EA" w:rsidP="008A3778">
            <w:pPr>
              <w:jc w:val="center"/>
              <w:rPr>
                <w:rFonts w:ascii="Arial" w:hAnsi="Arial" w:cs="Arial"/>
              </w:rPr>
            </w:pPr>
            <w:r w:rsidRPr="005E0053">
              <w:rPr>
                <w:rFonts w:ascii="Arial" w:hAnsi="Arial" w:cs="Arial"/>
              </w:rPr>
              <w:t>Red</w:t>
            </w:r>
          </w:p>
        </w:tc>
        <w:tc>
          <w:tcPr>
            <w:tcW w:w="1371" w:type="dxa"/>
            <w:tcBorders>
              <w:left w:val="single" w:sz="4" w:space="0" w:color="4472C4"/>
              <w:right w:val="single" w:sz="4" w:space="0" w:color="4472C4"/>
            </w:tcBorders>
            <w:shd w:val="clear" w:color="auto" w:fill="C00000"/>
          </w:tcPr>
          <w:p w14:paraId="6451B749" w14:textId="77777777" w:rsidR="00E009EA" w:rsidRPr="005E0053" w:rsidRDefault="00E009EA" w:rsidP="008A3778">
            <w:pPr>
              <w:jc w:val="center"/>
              <w:rPr>
                <w:rFonts w:ascii="Arial" w:hAnsi="Arial" w:cs="Arial"/>
              </w:rPr>
            </w:pPr>
            <w:r w:rsidRPr="005E0053">
              <w:rPr>
                <w:rFonts w:ascii="Arial" w:hAnsi="Arial" w:cs="Arial"/>
              </w:rPr>
              <w:t>Red</w:t>
            </w:r>
          </w:p>
        </w:tc>
        <w:tc>
          <w:tcPr>
            <w:tcW w:w="1180" w:type="dxa"/>
            <w:tcBorders>
              <w:left w:val="single" w:sz="4" w:space="0" w:color="4472C4"/>
              <w:right w:val="single" w:sz="4" w:space="0" w:color="4472C4"/>
            </w:tcBorders>
            <w:shd w:val="clear" w:color="auto" w:fill="ED7D31" w:themeFill="accent2"/>
          </w:tcPr>
          <w:p w14:paraId="2DF16701" w14:textId="77777777" w:rsidR="00E009EA" w:rsidRPr="005E0053" w:rsidRDefault="00E009EA" w:rsidP="008A3778">
            <w:pPr>
              <w:jc w:val="center"/>
              <w:rPr>
                <w:rFonts w:ascii="Arial" w:hAnsi="Arial" w:cs="Arial"/>
              </w:rPr>
            </w:pPr>
            <w:r w:rsidRPr="005E0053">
              <w:rPr>
                <w:rFonts w:ascii="Arial" w:hAnsi="Arial" w:cs="Arial"/>
              </w:rPr>
              <w:t>Orange</w:t>
            </w:r>
          </w:p>
        </w:tc>
        <w:tc>
          <w:tcPr>
            <w:tcW w:w="1429" w:type="dxa"/>
            <w:tcBorders>
              <w:left w:val="single" w:sz="4" w:space="0" w:color="4472C4"/>
            </w:tcBorders>
            <w:shd w:val="clear" w:color="auto" w:fill="FFFF00"/>
          </w:tcPr>
          <w:p w14:paraId="21095207" w14:textId="77777777" w:rsidR="00E009EA" w:rsidRPr="005E0053" w:rsidRDefault="00E009EA" w:rsidP="008A3778">
            <w:pPr>
              <w:jc w:val="center"/>
              <w:rPr>
                <w:rFonts w:ascii="Arial" w:hAnsi="Arial" w:cs="Arial"/>
              </w:rPr>
            </w:pPr>
            <w:r w:rsidRPr="005E0053">
              <w:rPr>
                <w:rFonts w:ascii="Arial" w:hAnsi="Arial" w:cs="Arial"/>
              </w:rPr>
              <w:t>Yellow</w:t>
            </w:r>
          </w:p>
        </w:tc>
      </w:tr>
    </w:tbl>
    <w:p w14:paraId="7DC02170" w14:textId="74227C41" w:rsidR="008A3778" w:rsidRPr="005E0053" w:rsidRDefault="00F6400C" w:rsidP="008A3778">
      <w:pPr>
        <w:widowControl w:val="0"/>
        <w:kinsoku w:val="0"/>
        <w:overflowPunct w:val="0"/>
        <w:autoSpaceDE w:val="0"/>
        <w:autoSpaceDN w:val="0"/>
        <w:adjustRightInd w:val="0"/>
        <w:rPr>
          <w:rFonts w:ascii="Arial" w:hAnsi="Arial" w:cs="Arial"/>
        </w:rPr>
      </w:pPr>
      <w:r w:rsidRPr="005E0053">
        <w:rPr>
          <w:rFonts w:ascii="Arial" w:hAnsi="Arial" w:cs="Arial"/>
        </w:rPr>
        <w:t>Source: California ESSA State Plan</w:t>
      </w:r>
      <w:r w:rsidR="004138D4" w:rsidRPr="005E0053">
        <w:rPr>
          <w:rFonts w:ascii="Arial" w:hAnsi="Arial" w:cs="Arial"/>
        </w:rPr>
        <w:t xml:space="preserve"> (SBE approved)</w:t>
      </w:r>
      <w:r w:rsidR="000F2B65" w:rsidRPr="005E0053">
        <w:rPr>
          <w:rFonts w:ascii="Arial" w:hAnsi="Arial" w:cs="Arial"/>
        </w:rPr>
        <w:t xml:space="preserve"> </w:t>
      </w:r>
    </w:p>
    <w:p w14:paraId="4ECFAF90" w14:textId="77777777" w:rsidR="008A3778" w:rsidRPr="005E0053" w:rsidRDefault="00F6400C" w:rsidP="00CB2C23">
      <w:pPr>
        <w:spacing w:before="240"/>
        <w:rPr>
          <w:rFonts w:ascii="Arial" w:hAnsi="Arial" w:cs="Arial"/>
          <w:highlight w:val="yellow"/>
        </w:rPr>
      </w:pPr>
      <w:r w:rsidRPr="005E0053">
        <w:rPr>
          <w:rFonts w:ascii="Arial" w:hAnsi="Arial" w:cs="Arial"/>
        </w:rPr>
        <w:t>Various</w:t>
      </w:r>
      <w:r w:rsidR="008A3778" w:rsidRPr="005E0053">
        <w:rPr>
          <w:rFonts w:ascii="Arial" w:hAnsi="Arial" w:cs="Arial"/>
        </w:rPr>
        <w:t xml:space="preserve"> combinations of colors on the indicators allow differentiation of performance for all students and each student group. </w:t>
      </w:r>
      <w:r w:rsidR="00296F95" w:rsidRPr="005E0053">
        <w:rPr>
          <w:rFonts w:ascii="Arial" w:hAnsi="Arial" w:cs="Arial"/>
        </w:rPr>
        <w:t>With the implementation of California’s new accountability system, statewide performance targets are no longer singular targets, but rather a culmination of indicators that affect students’ career and college readiness.</w:t>
      </w:r>
    </w:p>
    <w:p w14:paraId="108EF41E" w14:textId="77777777" w:rsidR="0079618A" w:rsidRPr="005E0053" w:rsidRDefault="0004006F" w:rsidP="00CB2C23">
      <w:pPr>
        <w:widowControl w:val="0"/>
        <w:autoSpaceDE w:val="0"/>
        <w:autoSpaceDN w:val="0"/>
        <w:adjustRightInd w:val="0"/>
        <w:spacing w:before="240"/>
        <w:rPr>
          <w:rFonts w:ascii="Arial" w:hAnsi="Arial" w:cs="Arial"/>
          <w:color w:val="000000"/>
        </w:rPr>
      </w:pPr>
      <w:r w:rsidRPr="005E0053">
        <w:rPr>
          <w:rFonts w:ascii="Arial" w:hAnsi="Arial" w:cs="Arial"/>
          <w:color w:val="000000"/>
        </w:rPr>
        <w:t>For each of the</w:t>
      </w:r>
      <w:r w:rsidR="00D4454C" w:rsidRPr="005E0053">
        <w:rPr>
          <w:rFonts w:ascii="Arial" w:hAnsi="Arial" w:cs="Arial"/>
          <w:color w:val="000000"/>
        </w:rPr>
        <w:t xml:space="preserve"> SSDP’s</w:t>
      </w:r>
      <w:r w:rsidRPr="005E0053">
        <w:rPr>
          <w:rFonts w:ascii="Arial" w:hAnsi="Arial" w:cs="Arial"/>
          <w:color w:val="000000"/>
        </w:rPr>
        <w:t xml:space="preserve"> nine focus areas</w:t>
      </w:r>
      <w:r w:rsidR="006D6407" w:rsidRPr="005E0053">
        <w:rPr>
          <w:rFonts w:ascii="Arial" w:hAnsi="Arial" w:cs="Arial"/>
          <w:color w:val="000000"/>
        </w:rPr>
        <w:t xml:space="preserve">, the </w:t>
      </w:r>
      <w:r w:rsidR="00EF750E" w:rsidRPr="005E0053">
        <w:rPr>
          <w:rFonts w:ascii="Arial" w:hAnsi="Arial" w:cs="Arial"/>
          <w:color w:val="000000"/>
        </w:rPr>
        <w:t>tables</w:t>
      </w:r>
      <w:r w:rsidR="00EA05A0" w:rsidRPr="005E0053">
        <w:rPr>
          <w:rFonts w:ascii="Arial" w:hAnsi="Arial" w:cs="Arial"/>
          <w:color w:val="000000"/>
        </w:rPr>
        <w:t xml:space="preserve"> below provide the s</w:t>
      </w:r>
      <w:r w:rsidRPr="005E0053">
        <w:rPr>
          <w:rFonts w:ascii="Arial" w:hAnsi="Arial" w:cs="Arial"/>
          <w:color w:val="000000"/>
        </w:rPr>
        <w:t xml:space="preserve">tate </w:t>
      </w:r>
      <w:r w:rsidR="00EA05A0" w:rsidRPr="005E0053">
        <w:rPr>
          <w:rFonts w:ascii="Arial" w:hAnsi="Arial" w:cs="Arial"/>
          <w:color w:val="000000"/>
        </w:rPr>
        <w:t>indicator aligned with the CDE’s accountability system and Dashboard</w:t>
      </w:r>
      <w:r w:rsidR="00B52F51" w:rsidRPr="005E0053">
        <w:rPr>
          <w:rFonts w:ascii="Arial" w:hAnsi="Arial" w:cs="Arial"/>
          <w:color w:val="000000"/>
        </w:rPr>
        <w:t xml:space="preserve"> (where applicable)</w:t>
      </w:r>
      <w:r w:rsidR="000F2B65" w:rsidRPr="005E0053">
        <w:rPr>
          <w:rFonts w:ascii="Arial" w:hAnsi="Arial" w:cs="Arial"/>
          <w:color w:val="000000"/>
        </w:rPr>
        <w:t>, a summary of migratory</w:t>
      </w:r>
      <w:r w:rsidRPr="005E0053">
        <w:rPr>
          <w:rFonts w:ascii="Arial" w:hAnsi="Arial" w:cs="Arial"/>
          <w:color w:val="000000"/>
        </w:rPr>
        <w:t xml:space="preserve"> student data,</w:t>
      </w:r>
      <w:r w:rsidR="00EA05A0" w:rsidRPr="005E0053">
        <w:rPr>
          <w:rFonts w:ascii="Arial" w:hAnsi="Arial" w:cs="Arial"/>
          <w:color w:val="000000"/>
        </w:rPr>
        <w:t xml:space="preserve"> the outcome or output </w:t>
      </w:r>
      <w:r w:rsidR="00B52F51" w:rsidRPr="005E0053">
        <w:rPr>
          <w:rFonts w:ascii="Arial" w:hAnsi="Arial" w:cs="Arial"/>
          <w:color w:val="000000"/>
        </w:rPr>
        <w:t>the CDE wishes to achieve,</w:t>
      </w:r>
      <w:r w:rsidRPr="005E0053">
        <w:rPr>
          <w:rFonts w:ascii="Arial" w:hAnsi="Arial" w:cs="Arial"/>
          <w:color w:val="000000"/>
        </w:rPr>
        <w:t xml:space="preserve"> the overall and specific impl</w:t>
      </w:r>
      <w:r w:rsidR="00EF750E" w:rsidRPr="005E0053">
        <w:rPr>
          <w:rFonts w:ascii="Arial" w:hAnsi="Arial" w:cs="Arial"/>
          <w:color w:val="000000"/>
        </w:rPr>
        <w:t xml:space="preserve">ementation strategies, and the </w:t>
      </w:r>
      <w:r w:rsidR="00940B6C" w:rsidRPr="005E0053">
        <w:rPr>
          <w:rFonts w:ascii="Arial" w:hAnsi="Arial" w:cs="Arial"/>
          <w:color w:val="000000"/>
        </w:rPr>
        <w:t>measurable program outcomes</w:t>
      </w:r>
      <w:r w:rsidRPr="005E0053">
        <w:rPr>
          <w:rFonts w:ascii="Arial" w:hAnsi="Arial" w:cs="Arial"/>
          <w:color w:val="000000"/>
        </w:rPr>
        <w:t xml:space="preserve"> and </w:t>
      </w:r>
      <w:r w:rsidR="00EF750E" w:rsidRPr="005E0053">
        <w:rPr>
          <w:rFonts w:ascii="Arial" w:hAnsi="Arial" w:cs="Arial"/>
          <w:color w:val="000000"/>
        </w:rPr>
        <w:t>performance targets</w:t>
      </w:r>
      <w:r w:rsidRPr="005E0053">
        <w:rPr>
          <w:rFonts w:ascii="Arial" w:hAnsi="Arial" w:cs="Arial"/>
          <w:color w:val="000000"/>
        </w:rPr>
        <w:t xml:space="preserve"> related to these strategies. </w:t>
      </w:r>
    </w:p>
    <w:p w14:paraId="5737DD57" w14:textId="5B1D97CE" w:rsidR="0004006F" w:rsidRPr="005E0053" w:rsidRDefault="006D6407" w:rsidP="00CB2C23">
      <w:pPr>
        <w:widowControl w:val="0"/>
        <w:autoSpaceDE w:val="0"/>
        <w:autoSpaceDN w:val="0"/>
        <w:adjustRightInd w:val="0"/>
        <w:spacing w:before="240"/>
        <w:rPr>
          <w:rFonts w:ascii="Arial" w:hAnsi="Arial" w:cs="Arial"/>
        </w:rPr>
      </w:pPr>
      <w:r w:rsidRPr="005E0053">
        <w:rPr>
          <w:rFonts w:ascii="Arial" w:hAnsi="Arial" w:cs="Arial"/>
        </w:rPr>
        <w:t xml:space="preserve">Only a few of the SSDP strategies to address the needs identified by the CNA/SSDP Committee are highlighted below; subgrantees are encouraged to review the complete </w:t>
      </w:r>
      <w:r w:rsidRPr="005E0053">
        <w:rPr>
          <w:rFonts w:ascii="Arial" w:hAnsi="Arial" w:cs="Arial"/>
        </w:rPr>
        <w:lastRenderedPageBreak/>
        <w:t>CNA to implement additional strategies outlined by the committee.</w:t>
      </w:r>
      <w:r w:rsidR="00E66CBC" w:rsidRPr="005E0053">
        <w:rPr>
          <w:rStyle w:val="FootnoteReference"/>
          <w:rFonts w:ascii="Arial" w:hAnsi="Arial" w:cs="Arial"/>
        </w:rPr>
        <w:footnoteReference w:id="13"/>
      </w:r>
      <w:r w:rsidRPr="005E0053">
        <w:rPr>
          <w:rFonts w:ascii="Arial" w:hAnsi="Arial" w:cs="Arial"/>
        </w:rPr>
        <w:t xml:space="preserve"> While many of the strategies can be evaluated at the state level, several of the strategies </w:t>
      </w:r>
      <w:r w:rsidR="00371808" w:rsidRPr="005E0053">
        <w:rPr>
          <w:rFonts w:ascii="Arial" w:hAnsi="Arial" w:cs="Arial"/>
        </w:rPr>
        <w:t xml:space="preserve">listed in the CNA </w:t>
      </w:r>
      <w:r w:rsidRPr="005E0053">
        <w:rPr>
          <w:rFonts w:ascii="Arial" w:hAnsi="Arial" w:cs="Arial"/>
        </w:rPr>
        <w:t xml:space="preserve">will not be evaluated due to resource limitations. </w:t>
      </w:r>
      <w:r w:rsidR="00371808" w:rsidRPr="005E0053">
        <w:rPr>
          <w:rFonts w:ascii="Arial" w:hAnsi="Arial" w:cs="Arial"/>
        </w:rPr>
        <w:t xml:space="preserve">All strategies listed for each goal area within this report will be implemented by the MEP subgrantees and monitored by the CDE. </w:t>
      </w:r>
      <w:r w:rsidRPr="005E0053">
        <w:rPr>
          <w:rFonts w:ascii="Arial" w:hAnsi="Arial" w:cs="Arial"/>
          <w:color w:val="000000"/>
        </w:rPr>
        <w:t>The following</w:t>
      </w:r>
      <w:r w:rsidR="00EF750E" w:rsidRPr="005E0053">
        <w:rPr>
          <w:rFonts w:ascii="Arial" w:hAnsi="Arial" w:cs="Arial"/>
          <w:color w:val="000000"/>
        </w:rPr>
        <w:t xml:space="preserve"> tables</w:t>
      </w:r>
      <w:r w:rsidRPr="005E0053">
        <w:rPr>
          <w:rFonts w:ascii="Arial" w:hAnsi="Arial" w:cs="Arial"/>
          <w:color w:val="000000"/>
        </w:rPr>
        <w:t xml:space="preserve"> provide details to address each of the statewide needs of migratory children.</w:t>
      </w:r>
    </w:p>
    <w:p w14:paraId="15334686" w14:textId="1955A5BC" w:rsidR="000B4D06" w:rsidRPr="005E0053" w:rsidRDefault="002F6B2E" w:rsidP="00CB2C23">
      <w:pPr>
        <w:spacing w:before="240" w:after="240"/>
        <w:rPr>
          <w:rFonts w:ascii="Arial" w:hAnsi="Arial" w:cs="Arial"/>
        </w:rPr>
      </w:pPr>
      <w:r w:rsidRPr="005E0053">
        <w:rPr>
          <w:rFonts w:ascii="Arial" w:hAnsi="Arial" w:cs="Arial"/>
        </w:rPr>
        <w:t>Prior to reviewing the outcomes, indicators</w:t>
      </w:r>
      <w:r w:rsidR="000F2B65" w:rsidRPr="005E0053">
        <w:rPr>
          <w:rFonts w:ascii="Arial" w:hAnsi="Arial" w:cs="Arial"/>
        </w:rPr>
        <w:t>,</w:t>
      </w:r>
      <w:r w:rsidRPr="005E0053">
        <w:rPr>
          <w:rFonts w:ascii="Arial" w:hAnsi="Arial" w:cs="Arial"/>
        </w:rPr>
        <w:t xml:space="preserve"> and performance targets for the different focus areas and their subsequent goal areas, a review of the terminology is necessary. Over the past year, the CDE </w:t>
      </w:r>
      <w:r w:rsidR="000B4D06" w:rsidRPr="005E0053">
        <w:rPr>
          <w:rFonts w:ascii="Arial" w:hAnsi="Arial" w:cs="Arial"/>
        </w:rPr>
        <w:t>staff</w:t>
      </w:r>
      <w:r w:rsidRPr="005E0053">
        <w:rPr>
          <w:rFonts w:ascii="Arial" w:hAnsi="Arial" w:cs="Arial"/>
        </w:rPr>
        <w:t xml:space="preserve"> collaborated with staff at WestEd to </w:t>
      </w:r>
      <w:r w:rsidR="000B4D06" w:rsidRPr="005E0053">
        <w:rPr>
          <w:rFonts w:ascii="Arial" w:hAnsi="Arial" w:cs="Arial"/>
        </w:rPr>
        <w:t>align common language across all migrant education materials as there is variation in the language used for program evaluation.</w:t>
      </w:r>
      <w:r w:rsidR="00BE34FC" w:rsidRPr="005E0053">
        <w:rPr>
          <w:rStyle w:val="FootnoteReference"/>
          <w:rFonts w:ascii="Arial" w:hAnsi="Arial" w:cs="Arial"/>
        </w:rPr>
        <w:footnoteReference w:id="14"/>
      </w:r>
      <w:r w:rsidR="000B4D06" w:rsidRPr="005E0053">
        <w:rPr>
          <w:rFonts w:ascii="Arial" w:hAnsi="Arial" w:cs="Arial"/>
        </w:rPr>
        <w:t xml:space="preserve"> The following provides a mini-glossary of sorts for</w:t>
      </w:r>
      <w:r w:rsidR="00C52B3A">
        <w:rPr>
          <w:rFonts w:ascii="Arial" w:hAnsi="Arial" w:cs="Arial"/>
        </w:rPr>
        <w:t xml:space="preserve"> the local</w:t>
      </w:r>
      <w:r w:rsidR="000B4D06" w:rsidRPr="005E0053">
        <w:rPr>
          <w:rFonts w:ascii="Arial" w:hAnsi="Arial" w:cs="Arial"/>
        </w:rPr>
        <w:t xml:space="preserve"> MEP</w:t>
      </w:r>
      <w:r w:rsidR="00C52B3A">
        <w:rPr>
          <w:rFonts w:ascii="Arial" w:hAnsi="Arial" w:cs="Arial"/>
        </w:rPr>
        <w:t xml:space="preserve">s </w:t>
      </w:r>
      <w:r w:rsidR="000B4D06" w:rsidRPr="005E0053">
        <w:rPr>
          <w:rFonts w:ascii="Arial" w:hAnsi="Arial" w:cs="Arial"/>
        </w:rPr>
        <w:t xml:space="preserve"> to supp</w:t>
      </w:r>
      <w:r w:rsidR="000F2B65" w:rsidRPr="005E0053">
        <w:rPr>
          <w:rFonts w:ascii="Arial" w:hAnsi="Arial" w:cs="Arial"/>
        </w:rPr>
        <w:t>ort program evaluation and use</w:t>
      </w:r>
      <w:r w:rsidR="000B4D06" w:rsidRPr="005E0053">
        <w:rPr>
          <w:rFonts w:ascii="Arial" w:hAnsi="Arial" w:cs="Arial"/>
        </w:rPr>
        <w:t xml:space="preserve"> common language:</w:t>
      </w:r>
    </w:p>
    <w:tbl>
      <w:tblPr>
        <w:tblStyle w:val="GridTable4-Accent1"/>
        <w:tblW w:w="9307" w:type="dxa"/>
        <w:tblLook w:val="0420" w:firstRow="1" w:lastRow="0" w:firstColumn="0" w:lastColumn="0" w:noHBand="0" w:noVBand="1"/>
        <w:tblDescription w:val="Terms and definitions used throughout the Migrant Education Program."/>
      </w:tblPr>
      <w:tblGrid>
        <w:gridCol w:w="1795"/>
        <w:gridCol w:w="7512"/>
      </w:tblGrid>
      <w:tr w:rsidR="00B42DD9" w:rsidRPr="00455E68" w14:paraId="30993077"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1795" w:type="dxa"/>
            <w:tcBorders>
              <w:right w:val="single" w:sz="4" w:space="0" w:color="4472C4"/>
            </w:tcBorders>
            <w:shd w:val="clear" w:color="auto" w:fill="1F3864" w:themeFill="accent5" w:themeFillShade="80"/>
          </w:tcPr>
          <w:p w14:paraId="6B253614" w14:textId="77777777" w:rsidR="00CB2C23" w:rsidRPr="00455E68" w:rsidRDefault="00CB2C23" w:rsidP="00F62746">
            <w:pPr>
              <w:contextualSpacing/>
              <w:jc w:val="center"/>
              <w:rPr>
                <w:rFonts w:ascii="Arial" w:hAnsi="Arial" w:cs="Arial"/>
                <w:b w:val="0"/>
                <w:color w:val="FFFFFF"/>
              </w:rPr>
            </w:pPr>
            <w:r w:rsidRPr="00455E68">
              <w:rPr>
                <w:rFonts w:ascii="Arial" w:hAnsi="Arial" w:cs="Arial"/>
                <w:color w:val="FFFFFF"/>
              </w:rPr>
              <w:t>Term</w:t>
            </w:r>
          </w:p>
        </w:tc>
        <w:tc>
          <w:tcPr>
            <w:tcW w:w="7512" w:type="dxa"/>
            <w:tcBorders>
              <w:left w:val="single" w:sz="4" w:space="0" w:color="4472C4"/>
            </w:tcBorders>
            <w:shd w:val="clear" w:color="auto" w:fill="1F3864" w:themeFill="accent5" w:themeFillShade="80"/>
          </w:tcPr>
          <w:p w14:paraId="0D988E56" w14:textId="77777777" w:rsidR="00CB2C23" w:rsidRPr="00455E68" w:rsidRDefault="00CB2C23" w:rsidP="00F62746">
            <w:pPr>
              <w:contextualSpacing/>
              <w:jc w:val="center"/>
              <w:rPr>
                <w:rFonts w:ascii="Arial" w:hAnsi="Arial" w:cs="Arial"/>
                <w:b w:val="0"/>
                <w:color w:val="FFFFFF"/>
              </w:rPr>
            </w:pPr>
            <w:r w:rsidRPr="00455E68">
              <w:rPr>
                <w:rFonts w:ascii="Arial" w:hAnsi="Arial" w:cs="Arial"/>
                <w:color w:val="FFFFFF"/>
              </w:rPr>
              <w:t>Definition</w:t>
            </w:r>
          </w:p>
        </w:tc>
      </w:tr>
      <w:tr w:rsidR="000B4D06" w:rsidRPr="00F62746" w14:paraId="6CCCC93C"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1795" w:type="dxa"/>
          </w:tcPr>
          <w:p w14:paraId="7FE51A0C" w14:textId="77777777" w:rsidR="000B4D06" w:rsidRPr="00F62746" w:rsidRDefault="000B4D06" w:rsidP="00A021B9">
            <w:pPr>
              <w:contextualSpacing/>
              <w:rPr>
                <w:rFonts w:ascii="Arial" w:hAnsi="Arial" w:cs="Arial"/>
              </w:rPr>
            </w:pPr>
            <w:r w:rsidRPr="00F62746">
              <w:rPr>
                <w:rFonts w:ascii="Arial" w:hAnsi="Arial" w:cs="Arial"/>
              </w:rPr>
              <w:t>Outcome</w:t>
            </w:r>
          </w:p>
        </w:tc>
        <w:tc>
          <w:tcPr>
            <w:tcW w:w="7512" w:type="dxa"/>
          </w:tcPr>
          <w:p w14:paraId="13252FE1" w14:textId="77777777" w:rsidR="000B4D06" w:rsidRPr="00F62746" w:rsidRDefault="000B4D06" w:rsidP="00A021B9">
            <w:pPr>
              <w:contextualSpacing/>
              <w:rPr>
                <w:rFonts w:ascii="Arial" w:hAnsi="Arial" w:cs="Arial"/>
              </w:rPr>
            </w:pPr>
            <w:r w:rsidRPr="00F62746">
              <w:rPr>
                <w:rFonts w:ascii="Arial" w:hAnsi="Arial" w:cs="Arial"/>
              </w:rPr>
              <w:t>Changes in knowledge, skills, behaviors, attitudes, and cond</w:t>
            </w:r>
            <w:r w:rsidR="000F2B65" w:rsidRPr="00F62746">
              <w:rPr>
                <w:rFonts w:ascii="Arial" w:hAnsi="Arial" w:cs="Arial"/>
              </w:rPr>
              <w:t>itions</w:t>
            </w:r>
          </w:p>
          <w:p w14:paraId="14AA8569" w14:textId="77777777" w:rsidR="000B4D06" w:rsidRPr="00F62746" w:rsidRDefault="000B4D06" w:rsidP="00A021B9">
            <w:pPr>
              <w:contextualSpacing/>
              <w:rPr>
                <w:rFonts w:ascii="Arial" w:hAnsi="Arial" w:cs="Arial"/>
              </w:rPr>
            </w:pPr>
          </w:p>
        </w:tc>
      </w:tr>
      <w:tr w:rsidR="000B4D06" w:rsidRPr="00F62746" w14:paraId="08E4B2D6" w14:textId="77777777" w:rsidTr="00940787">
        <w:trPr>
          <w:cantSplit/>
        </w:trPr>
        <w:tc>
          <w:tcPr>
            <w:tcW w:w="1795" w:type="dxa"/>
          </w:tcPr>
          <w:p w14:paraId="0750F691" w14:textId="77777777" w:rsidR="000B4D06" w:rsidRPr="00F62746" w:rsidRDefault="000B4D06" w:rsidP="00A021B9">
            <w:pPr>
              <w:contextualSpacing/>
              <w:rPr>
                <w:rFonts w:ascii="Arial" w:hAnsi="Arial" w:cs="Arial"/>
              </w:rPr>
            </w:pPr>
            <w:r w:rsidRPr="00F62746">
              <w:rPr>
                <w:rFonts w:ascii="Arial" w:hAnsi="Arial" w:cs="Arial"/>
              </w:rPr>
              <w:t>Output</w:t>
            </w:r>
          </w:p>
        </w:tc>
        <w:tc>
          <w:tcPr>
            <w:tcW w:w="7512" w:type="dxa"/>
          </w:tcPr>
          <w:p w14:paraId="480FBE37" w14:textId="77777777" w:rsidR="000B4D06" w:rsidRPr="00F62746" w:rsidRDefault="000B4D06" w:rsidP="00A021B9">
            <w:pPr>
              <w:contextualSpacing/>
              <w:rPr>
                <w:rFonts w:ascii="Arial" w:hAnsi="Arial" w:cs="Arial"/>
              </w:rPr>
            </w:pPr>
            <w:r w:rsidRPr="00F62746">
              <w:rPr>
                <w:rFonts w:ascii="Arial" w:hAnsi="Arial" w:cs="Arial"/>
              </w:rPr>
              <w:t>What the program produces thro</w:t>
            </w:r>
            <w:r w:rsidR="000F2B65" w:rsidRPr="00F62746">
              <w:rPr>
                <w:rFonts w:ascii="Arial" w:hAnsi="Arial" w:cs="Arial"/>
              </w:rPr>
              <w:t>ugh its services and activities</w:t>
            </w:r>
          </w:p>
          <w:p w14:paraId="1F011DE6" w14:textId="77777777" w:rsidR="000B4D06" w:rsidRPr="00F62746" w:rsidRDefault="000B4D06" w:rsidP="00A021B9">
            <w:pPr>
              <w:contextualSpacing/>
              <w:rPr>
                <w:rFonts w:ascii="Arial" w:hAnsi="Arial" w:cs="Arial"/>
              </w:rPr>
            </w:pPr>
          </w:p>
        </w:tc>
      </w:tr>
      <w:tr w:rsidR="000B4D06" w:rsidRPr="00F62746" w14:paraId="426D0B53"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1795" w:type="dxa"/>
          </w:tcPr>
          <w:p w14:paraId="48AD6AA6" w14:textId="77777777" w:rsidR="000B4D06" w:rsidRPr="00F62746" w:rsidRDefault="000B4D06" w:rsidP="00A021B9">
            <w:pPr>
              <w:contextualSpacing/>
              <w:rPr>
                <w:rFonts w:ascii="Arial" w:hAnsi="Arial" w:cs="Arial"/>
              </w:rPr>
            </w:pPr>
            <w:r w:rsidRPr="00F62746">
              <w:rPr>
                <w:rFonts w:ascii="Arial" w:hAnsi="Arial" w:cs="Arial"/>
              </w:rPr>
              <w:t>Strategy</w:t>
            </w:r>
          </w:p>
        </w:tc>
        <w:tc>
          <w:tcPr>
            <w:tcW w:w="7512" w:type="dxa"/>
          </w:tcPr>
          <w:p w14:paraId="3FE130E8" w14:textId="77777777" w:rsidR="000B4D06" w:rsidRPr="00F62746" w:rsidRDefault="000B4D06" w:rsidP="00A021B9">
            <w:pPr>
              <w:contextualSpacing/>
              <w:rPr>
                <w:rFonts w:ascii="Arial" w:hAnsi="Arial" w:cs="Arial"/>
              </w:rPr>
            </w:pPr>
            <w:r w:rsidRPr="00F62746">
              <w:rPr>
                <w:rFonts w:ascii="Arial" w:hAnsi="Arial" w:cs="Arial"/>
              </w:rPr>
              <w:t>An ac</w:t>
            </w:r>
            <w:r w:rsidR="000F2B65" w:rsidRPr="00F62746">
              <w:rPr>
                <w:rFonts w:ascii="Arial" w:hAnsi="Arial" w:cs="Arial"/>
              </w:rPr>
              <w:t>tion, or set of actions, that are</w:t>
            </w:r>
            <w:r w:rsidRPr="00F62746">
              <w:rPr>
                <w:rFonts w:ascii="Arial" w:hAnsi="Arial" w:cs="Arial"/>
              </w:rPr>
              <w:t xml:space="preserve"> implement</w:t>
            </w:r>
            <w:r w:rsidR="000F2B65" w:rsidRPr="00F62746">
              <w:rPr>
                <w:rFonts w:ascii="Arial" w:hAnsi="Arial" w:cs="Arial"/>
              </w:rPr>
              <w:t>ed to address migratory student needs in a specific focus area</w:t>
            </w:r>
          </w:p>
          <w:p w14:paraId="3D1DFC83" w14:textId="77777777" w:rsidR="000B4D06" w:rsidRPr="00F62746" w:rsidRDefault="000B4D06" w:rsidP="00A021B9">
            <w:pPr>
              <w:contextualSpacing/>
              <w:rPr>
                <w:rFonts w:ascii="Arial" w:hAnsi="Arial" w:cs="Arial"/>
              </w:rPr>
            </w:pPr>
          </w:p>
        </w:tc>
      </w:tr>
      <w:tr w:rsidR="000B4D06" w:rsidRPr="00F62746" w14:paraId="0B909EDF" w14:textId="77777777" w:rsidTr="00940787">
        <w:trPr>
          <w:cantSplit/>
        </w:trPr>
        <w:tc>
          <w:tcPr>
            <w:tcW w:w="1795" w:type="dxa"/>
          </w:tcPr>
          <w:p w14:paraId="6C5851E8" w14:textId="77777777" w:rsidR="000B4D06" w:rsidRPr="00F62746" w:rsidRDefault="000B4D06" w:rsidP="00A021B9">
            <w:pPr>
              <w:contextualSpacing/>
              <w:rPr>
                <w:rFonts w:ascii="Arial" w:hAnsi="Arial" w:cs="Arial"/>
              </w:rPr>
            </w:pPr>
            <w:r w:rsidRPr="00F62746">
              <w:rPr>
                <w:rFonts w:ascii="Arial" w:hAnsi="Arial" w:cs="Arial"/>
              </w:rPr>
              <w:t>Indicator</w:t>
            </w:r>
          </w:p>
        </w:tc>
        <w:tc>
          <w:tcPr>
            <w:tcW w:w="7512" w:type="dxa"/>
          </w:tcPr>
          <w:p w14:paraId="134B1A8F" w14:textId="77777777" w:rsidR="000B4D06" w:rsidRPr="00F62746" w:rsidRDefault="000B4D06" w:rsidP="00A021B9">
            <w:pPr>
              <w:contextualSpacing/>
              <w:rPr>
                <w:rFonts w:ascii="Arial" w:hAnsi="Arial" w:cs="Arial"/>
              </w:rPr>
            </w:pPr>
            <w:r w:rsidRPr="00F62746">
              <w:rPr>
                <w:rFonts w:ascii="Arial" w:hAnsi="Arial" w:cs="Arial"/>
              </w:rPr>
              <w:t>A measure that tells you whether you are meeting your outcome.</w:t>
            </w:r>
          </w:p>
          <w:p w14:paraId="43469B5E" w14:textId="77777777" w:rsidR="000B4D06" w:rsidRPr="00F62746" w:rsidRDefault="000B4D06" w:rsidP="00A021B9">
            <w:pPr>
              <w:contextualSpacing/>
              <w:rPr>
                <w:rFonts w:ascii="Arial" w:hAnsi="Arial" w:cs="Arial"/>
              </w:rPr>
            </w:pPr>
            <w:r w:rsidRPr="00F62746">
              <w:rPr>
                <w:rFonts w:ascii="Arial" w:hAnsi="Arial" w:cs="Arial"/>
              </w:rPr>
              <w:t>HINT: Your measurement tool</w:t>
            </w:r>
          </w:p>
          <w:p w14:paraId="06C34091" w14:textId="77777777" w:rsidR="000B4D06" w:rsidRPr="00F62746" w:rsidRDefault="000B4D06" w:rsidP="00A021B9">
            <w:pPr>
              <w:contextualSpacing/>
              <w:rPr>
                <w:rFonts w:ascii="Arial" w:hAnsi="Arial" w:cs="Arial"/>
              </w:rPr>
            </w:pPr>
          </w:p>
        </w:tc>
      </w:tr>
      <w:tr w:rsidR="000B4D06" w:rsidRPr="00F62746" w14:paraId="7FB88E42"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1795" w:type="dxa"/>
          </w:tcPr>
          <w:p w14:paraId="462B7A39" w14:textId="77777777" w:rsidR="000B4D06" w:rsidRPr="00F62746" w:rsidRDefault="0011033B" w:rsidP="00A021B9">
            <w:pPr>
              <w:contextualSpacing/>
              <w:rPr>
                <w:rFonts w:ascii="Arial" w:hAnsi="Arial" w:cs="Arial"/>
              </w:rPr>
            </w:pPr>
            <w:r w:rsidRPr="00F62746">
              <w:rPr>
                <w:rFonts w:ascii="Arial" w:hAnsi="Arial" w:cs="Arial"/>
              </w:rPr>
              <w:t>Measurable Program Objective</w:t>
            </w:r>
            <w:r w:rsidR="00547AB3" w:rsidRPr="00F62746">
              <w:rPr>
                <w:rFonts w:ascii="Arial" w:hAnsi="Arial" w:cs="Arial"/>
              </w:rPr>
              <w:t>s</w:t>
            </w:r>
          </w:p>
          <w:p w14:paraId="0CFCB2CE" w14:textId="77777777" w:rsidR="00214CC0" w:rsidRPr="00F62746" w:rsidRDefault="00214CC0" w:rsidP="00A021B9">
            <w:pPr>
              <w:contextualSpacing/>
              <w:rPr>
                <w:rFonts w:ascii="Arial" w:hAnsi="Arial" w:cs="Arial"/>
              </w:rPr>
            </w:pPr>
          </w:p>
        </w:tc>
        <w:tc>
          <w:tcPr>
            <w:tcW w:w="7512" w:type="dxa"/>
          </w:tcPr>
          <w:p w14:paraId="556430FF" w14:textId="77777777" w:rsidR="000B4D06" w:rsidRPr="00F62746" w:rsidRDefault="0011033B" w:rsidP="008E3AFA">
            <w:pPr>
              <w:contextualSpacing/>
              <w:rPr>
                <w:rFonts w:ascii="Arial" w:hAnsi="Arial" w:cs="Arial"/>
              </w:rPr>
            </w:pPr>
            <w:r w:rsidRPr="00F62746">
              <w:rPr>
                <w:rFonts w:ascii="Arial" w:hAnsi="Arial" w:cs="Arial"/>
              </w:rPr>
              <w:t xml:space="preserve">An implementation goal for each strategy that subgrantees will </w:t>
            </w:r>
            <w:r w:rsidR="008E3AFA" w:rsidRPr="00F62746">
              <w:rPr>
                <w:rFonts w:ascii="Arial" w:hAnsi="Arial" w:cs="Arial"/>
              </w:rPr>
              <w:t>meet annually</w:t>
            </w:r>
          </w:p>
        </w:tc>
      </w:tr>
      <w:tr w:rsidR="000B4D06" w:rsidRPr="00F62746" w14:paraId="7E0DE7F9" w14:textId="77777777" w:rsidTr="00940787">
        <w:trPr>
          <w:cantSplit/>
        </w:trPr>
        <w:tc>
          <w:tcPr>
            <w:tcW w:w="1795" w:type="dxa"/>
          </w:tcPr>
          <w:p w14:paraId="66368232" w14:textId="77777777" w:rsidR="000B4D06" w:rsidRPr="00F62746" w:rsidRDefault="000B4D06" w:rsidP="00A021B9">
            <w:pPr>
              <w:contextualSpacing/>
              <w:rPr>
                <w:rFonts w:ascii="Arial" w:hAnsi="Arial" w:cs="Arial"/>
              </w:rPr>
            </w:pPr>
            <w:r w:rsidRPr="00F62746">
              <w:rPr>
                <w:rFonts w:ascii="Arial" w:hAnsi="Arial" w:cs="Arial"/>
              </w:rPr>
              <w:t>Performance Target</w:t>
            </w:r>
          </w:p>
        </w:tc>
        <w:tc>
          <w:tcPr>
            <w:tcW w:w="7512" w:type="dxa"/>
          </w:tcPr>
          <w:p w14:paraId="542D9AB2" w14:textId="77777777" w:rsidR="000B4D06" w:rsidRPr="00F62746" w:rsidRDefault="000F2B65" w:rsidP="00A021B9">
            <w:pPr>
              <w:contextualSpacing/>
              <w:rPr>
                <w:rFonts w:ascii="Arial" w:hAnsi="Arial" w:cs="Arial"/>
              </w:rPr>
            </w:pPr>
            <w:r w:rsidRPr="00F62746">
              <w:rPr>
                <w:rFonts w:ascii="Arial" w:hAnsi="Arial" w:cs="Arial"/>
              </w:rPr>
              <w:t>A milestone set for a given indicator</w:t>
            </w:r>
            <w:r w:rsidR="000B4D06" w:rsidRPr="00F62746">
              <w:rPr>
                <w:rFonts w:ascii="Arial" w:hAnsi="Arial" w:cs="Arial"/>
              </w:rPr>
              <w:t xml:space="preserve"> </w:t>
            </w:r>
          </w:p>
          <w:p w14:paraId="74947308" w14:textId="77777777" w:rsidR="000B4D06" w:rsidRPr="00F62746" w:rsidRDefault="000B4D06" w:rsidP="000F2B65">
            <w:pPr>
              <w:contextualSpacing/>
              <w:rPr>
                <w:rFonts w:ascii="Arial" w:hAnsi="Arial" w:cs="Arial"/>
              </w:rPr>
            </w:pPr>
            <w:r w:rsidRPr="00F62746">
              <w:rPr>
                <w:rFonts w:ascii="Arial" w:hAnsi="Arial" w:cs="Arial"/>
              </w:rPr>
              <w:t>HINT: A targeted incremental change over time</w:t>
            </w:r>
            <w:r w:rsidR="000F2B65" w:rsidRPr="00F62746">
              <w:rPr>
                <w:rFonts w:ascii="Arial" w:hAnsi="Arial" w:cs="Arial"/>
              </w:rPr>
              <w:t>, that m</w:t>
            </w:r>
            <w:r w:rsidRPr="00F62746">
              <w:rPr>
                <w:rFonts w:ascii="Arial" w:hAnsi="Arial" w:cs="Arial"/>
              </w:rPr>
              <w:t>ust b</w:t>
            </w:r>
            <w:r w:rsidR="000F2B65" w:rsidRPr="00F62746">
              <w:rPr>
                <w:rFonts w:ascii="Arial" w:hAnsi="Arial" w:cs="Arial"/>
              </w:rPr>
              <w:t>e for a specific period of time</w:t>
            </w:r>
          </w:p>
        </w:tc>
      </w:tr>
    </w:tbl>
    <w:p w14:paraId="76893536" w14:textId="77777777" w:rsidR="002955A0" w:rsidRPr="005E0053" w:rsidRDefault="004138D4" w:rsidP="00CB2C23">
      <w:pPr>
        <w:spacing w:before="240"/>
        <w:rPr>
          <w:rFonts w:ascii="Arial" w:hAnsi="Arial" w:cs="Arial"/>
        </w:rPr>
      </w:pPr>
      <w:r w:rsidRPr="005E0053">
        <w:rPr>
          <w:rFonts w:ascii="Arial" w:hAnsi="Arial" w:cs="Arial"/>
        </w:rPr>
        <w:t xml:space="preserve">The CDE Management and Data Team worked in collaboration to develop appropriate performance targets for each MEP focus area in accordance with federal guidance. While setting singular targets for each focus area does not align with California’s current accountability system, the CDE will review the MEP performance targets upon the end </w:t>
      </w:r>
      <w:r w:rsidRPr="005E0053">
        <w:rPr>
          <w:rFonts w:ascii="Arial" w:hAnsi="Arial" w:cs="Arial"/>
        </w:rPr>
        <w:lastRenderedPageBreak/>
        <w:t>of this plan’s lifespan (i.e., fiscal year 2020–2021) and may decide to align MEP performance targets more closely with the California Dashboard.</w:t>
      </w:r>
    </w:p>
    <w:p w14:paraId="010BAACF" w14:textId="77777777" w:rsidR="00D50E2C" w:rsidRPr="00D50E2C" w:rsidRDefault="004138D4" w:rsidP="00D50E2C">
      <w:pPr>
        <w:spacing w:before="120"/>
        <w:rPr>
          <w:rFonts w:ascii="Arial" w:hAnsi="Arial" w:cs="Arial"/>
        </w:rPr>
      </w:pPr>
      <w:r w:rsidRPr="00D50E2C">
        <w:rPr>
          <w:rFonts w:ascii="Arial" w:hAnsi="Arial" w:cs="Arial"/>
        </w:rPr>
        <w:t xml:space="preserve">Choosing an appropriate methodology for developing the MEP statewide performance targets was important given that the MEP is a supplemental program and cannot be expected to close the achievement gap unilaterally. Therefore, </w:t>
      </w:r>
      <w:r w:rsidR="004C54DD" w:rsidRPr="00D50E2C">
        <w:rPr>
          <w:rFonts w:ascii="Arial" w:hAnsi="Arial" w:cs="Arial"/>
        </w:rPr>
        <w:t xml:space="preserve">the CDE divided the estimated number of average hours that students engage in MEP services divided by the number of total core instructional hours. This identified a proportion by which the MEP could be held accountable for reducing the achievement gap and ultimately led to the CDE selecting a performance target that reduces the 2015–16 achievement gap by half over a </w:t>
      </w:r>
      <w:r w:rsidR="0090012E" w:rsidRPr="00D50E2C">
        <w:rPr>
          <w:rFonts w:ascii="Arial" w:hAnsi="Arial" w:cs="Arial"/>
        </w:rPr>
        <w:t>five-year</w:t>
      </w:r>
      <w:r w:rsidR="004C54DD" w:rsidRPr="00D50E2C">
        <w:rPr>
          <w:rFonts w:ascii="Arial" w:hAnsi="Arial" w:cs="Arial"/>
        </w:rPr>
        <w:t xml:space="preserve"> period.</w:t>
      </w:r>
      <w:r w:rsidR="004C54DD" w:rsidRPr="00D50E2C">
        <w:rPr>
          <w:rStyle w:val="FootnoteReference"/>
          <w:rFonts w:ascii="Arial" w:hAnsi="Arial" w:cs="Arial"/>
        </w:rPr>
        <w:footnoteReference w:id="15"/>
      </w:r>
      <w:r w:rsidR="00333E52" w:rsidRPr="00D50E2C">
        <w:rPr>
          <w:rFonts w:ascii="Arial" w:hAnsi="Arial" w:cs="Arial"/>
        </w:rPr>
        <w:t xml:space="preserve"> Many performance targets for the output-based focus areas, as well as ELD, will be developed in 2018–19 due to the need to collect baseline data and California’s ELP assessment transition.</w:t>
      </w:r>
      <w:bookmarkStart w:id="50" w:name="_Toc504520861"/>
    </w:p>
    <w:p w14:paraId="7D1276E9" w14:textId="31EA354D" w:rsidR="00BA5C6E" w:rsidRPr="005E0053" w:rsidRDefault="00BA5C6E" w:rsidP="00AE46BC">
      <w:pPr>
        <w:pStyle w:val="Heading5"/>
      </w:pPr>
      <w:r w:rsidRPr="005E0053">
        <w:t>English Language Arts</w:t>
      </w:r>
      <w:bookmarkEnd w:id="50"/>
    </w:p>
    <w:p w14:paraId="4868C639" w14:textId="22DAB709" w:rsidR="00BD39C7" w:rsidRPr="005E0053" w:rsidRDefault="00EA3FA3" w:rsidP="00BD39C7">
      <w:pPr>
        <w:rPr>
          <w:rFonts w:ascii="Arial" w:hAnsi="Arial" w:cs="Arial"/>
        </w:rPr>
      </w:pPr>
      <w:r w:rsidRPr="005E0053">
        <w:rPr>
          <w:rFonts w:ascii="Arial" w:hAnsi="Arial" w:cs="Arial"/>
        </w:rPr>
        <w:t>The</w:t>
      </w:r>
      <w:r w:rsidR="00A317B7" w:rsidRPr="005E0053">
        <w:rPr>
          <w:rFonts w:ascii="Arial" w:hAnsi="Arial" w:cs="Arial"/>
        </w:rPr>
        <w:t xml:space="preserve"> three</w:t>
      </w:r>
      <w:r w:rsidRPr="005E0053">
        <w:rPr>
          <w:rFonts w:ascii="Arial" w:hAnsi="Arial" w:cs="Arial"/>
        </w:rPr>
        <w:t xml:space="preserve"> concerns and needs outlined in the Comprehensive Needs Assessment Findings section </w:t>
      </w:r>
      <w:r w:rsidR="00A317B7" w:rsidRPr="005E0053">
        <w:rPr>
          <w:rFonts w:ascii="Arial" w:hAnsi="Arial" w:cs="Arial"/>
        </w:rPr>
        <w:t xml:space="preserve">included the need to: </w:t>
      </w:r>
      <w:r w:rsidR="00475ABE" w:rsidRPr="005E0053">
        <w:rPr>
          <w:rFonts w:ascii="Arial" w:hAnsi="Arial" w:cs="Arial"/>
        </w:rPr>
        <w:t>(</w:t>
      </w:r>
      <w:r w:rsidR="00A317B7" w:rsidRPr="005E0053">
        <w:rPr>
          <w:rFonts w:ascii="Arial" w:hAnsi="Arial" w:cs="Arial"/>
        </w:rPr>
        <w:t xml:space="preserve">1) increase overall ELA achievement, </w:t>
      </w:r>
      <w:r w:rsidR="00475ABE" w:rsidRPr="005E0053">
        <w:rPr>
          <w:rFonts w:ascii="Arial" w:hAnsi="Arial" w:cs="Arial"/>
        </w:rPr>
        <w:t>(</w:t>
      </w:r>
      <w:r w:rsidR="00A317B7" w:rsidRPr="005E0053">
        <w:rPr>
          <w:rFonts w:ascii="Arial" w:hAnsi="Arial" w:cs="Arial"/>
        </w:rPr>
        <w:t xml:space="preserve">2) strengthen migratory students’ </w:t>
      </w:r>
      <w:r w:rsidR="00EC142B" w:rsidRPr="005E0053">
        <w:rPr>
          <w:rFonts w:ascii="Arial" w:hAnsi="Arial" w:cs="Arial"/>
        </w:rPr>
        <w:t>reading achievement</w:t>
      </w:r>
      <w:r w:rsidR="00A317B7" w:rsidRPr="005E0053">
        <w:rPr>
          <w:rFonts w:ascii="Arial" w:hAnsi="Arial" w:cs="Arial"/>
        </w:rPr>
        <w:t xml:space="preserve"> (Claim 1), and </w:t>
      </w:r>
      <w:r w:rsidR="00475ABE" w:rsidRPr="005E0053">
        <w:rPr>
          <w:rFonts w:ascii="Arial" w:hAnsi="Arial" w:cs="Arial"/>
        </w:rPr>
        <w:t>(</w:t>
      </w:r>
      <w:r w:rsidR="00A317B7" w:rsidRPr="005E0053">
        <w:rPr>
          <w:rFonts w:ascii="Arial" w:hAnsi="Arial" w:cs="Arial"/>
        </w:rPr>
        <w:t xml:space="preserve">3) </w:t>
      </w:r>
      <w:r w:rsidR="00EC142B" w:rsidRPr="005E0053">
        <w:rPr>
          <w:rFonts w:ascii="Arial" w:hAnsi="Arial" w:cs="Arial"/>
        </w:rPr>
        <w:t>improve</w:t>
      </w:r>
      <w:r w:rsidR="00A317B7" w:rsidRPr="005E0053">
        <w:rPr>
          <w:rFonts w:ascii="Arial" w:hAnsi="Arial" w:cs="Arial"/>
        </w:rPr>
        <w:t xml:space="preserve"> student </w:t>
      </w:r>
      <w:r w:rsidR="00EC142B" w:rsidRPr="005E0053">
        <w:rPr>
          <w:rFonts w:ascii="Arial" w:hAnsi="Arial" w:cs="Arial"/>
        </w:rPr>
        <w:t>writing</w:t>
      </w:r>
      <w:r w:rsidR="00A317B7" w:rsidRPr="005E0053">
        <w:rPr>
          <w:rFonts w:ascii="Arial" w:hAnsi="Arial" w:cs="Arial"/>
        </w:rPr>
        <w:t xml:space="preserve"> (Claim 2). </w:t>
      </w:r>
      <w:r w:rsidR="00EB08C3" w:rsidRPr="005E0053">
        <w:rPr>
          <w:rFonts w:ascii="Arial" w:hAnsi="Arial" w:cs="Arial"/>
        </w:rPr>
        <w:t xml:space="preserve">When finalizing strategies to include in this report, the CDE Management and Data Team was conscious </w:t>
      </w:r>
      <w:r w:rsidR="008560F1" w:rsidRPr="005E0053">
        <w:rPr>
          <w:rFonts w:ascii="Arial" w:hAnsi="Arial" w:cs="Arial"/>
        </w:rPr>
        <w:t xml:space="preserve">of not requiring excessive </w:t>
      </w:r>
      <w:r w:rsidR="00410659" w:rsidRPr="005E0053">
        <w:rPr>
          <w:rFonts w:ascii="Arial" w:hAnsi="Arial" w:cs="Arial"/>
        </w:rPr>
        <w:t xml:space="preserve">reporting by </w:t>
      </w:r>
      <w:r w:rsidR="00C52B3A">
        <w:rPr>
          <w:rFonts w:ascii="Arial" w:hAnsi="Arial" w:cs="Arial"/>
        </w:rPr>
        <w:t>the local MEPs</w:t>
      </w:r>
      <w:r w:rsidR="00C52B3A" w:rsidRPr="005E0053">
        <w:rPr>
          <w:rFonts w:ascii="Arial" w:hAnsi="Arial" w:cs="Arial"/>
        </w:rPr>
        <w:t xml:space="preserve"> </w:t>
      </w:r>
      <w:r w:rsidR="00410659" w:rsidRPr="005E0053">
        <w:rPr>
          <w:rFonts w:ascii="Arial" w:hAnsi="Arial" w:cs="Arial"/>
        </w:rPr>
        <w:t xml:space="preserve">or being too prescriptive with program guidance. </w:t>
      </w:r>
      <w:r w:rsidR="00A317B7" w:rsidRPr="005E0053">
        <w:rPr>
          <w:rFonts w:ascii="Arial" w:hAnsi="Arial" w:cs="Arial"/>
        </w:rPr>
        <w:t xml:space="preserve">Raising student achievement in either </w:t>
      </w:r>
      <w:r w:rsidR="00EC142B" w:rsidRPr="005E0053">
        <w:rPr>
          <w:rFonts w:ascii="Arial" w:hAnsi="Arial" w:cs="Arial"/>
        </w:rPr>
        <w:t>claim</w:t>
      </w:r>
      <w:r w:rsidR="00A317B7" w:rsidRPr="005E0053">
        <w:rPr>
          <w:rFonts w:ascii="Arial" w:hAnsi="Arial" w:cs="Arial"/>
        </w:rPr>
        <w:t xml:space="preserve"> will increase migratory students’ overall ELA achievement. </w:t>
      </w:r>
      <w:r w:rsidR="00410659" w:rsidRPr="005E0053">
        <w:rPr>
          <w:rFonts w:ascii="Arial" w:hAnsi="Arial" w:cs="Arial"/>
        </w:rPr>
        <w:t xml:space="preserve">For this reason, the CDE combined strategies to address overall </w:t>
      </w:r>
      <w:r w:rsidR="00EC142B" w:rsidRPr="005E0053">
        <w:rPr>
          <w:rFonts w:ascii="Arial" w:hAnsi="Arial" w:cs="Arial"/>
        </w:rPr>
        <w:t xml:space="preserve">ELA </w:t>
      </w:r>
      <w:r w:rsidR="00410659" w:rsidRPr="005E0053">
        <w:rPr>
          <w:rFonts w:ascii="Arial" w:hAnsi="Arial" w:cs="Arial"/>
        </w:rPr>
        <w:t>achievement with a focus on both Claim</w:t>
      </w:r>
      <w:r w:rsidR="00EC142B" w:rsidRPr="005E0053">
        <w:rPr>
          <w:rFonts w:ascii="Arial" w:hAnsi="Arial" w:cs="Arial"/>
        </w:rPr>
        <w:t>s</w:t>
      </w:r>
      <w:r w:rsidR="00410659" w:rsidRPr="005E0053">
        <w:rPr>
          <w:rFonts w:ascii="Arial" w:hAnsi="Arial" w:cs="Arial"/>
        </w:rPr>
        <w:t xml:space="preserve"> 1 and </w:t>
      </w:r>
      <w:r w:rsidR="00410659" w:rsidRPr="00AC71FD">
        <w:rPr>
          <w:rFonts w:ascii="Arial" w:hAnsi="Arial" w:cs="Arial"/>
        </w:rPr>
        <w:t xml:space="preserve">2. </w:t>
      </w:r>
      <w:r w:rsidR="00BD39C7" w:rsidRPr="00AC71FD">
        <w:rPr>
          <w:rFonts w:ascii="Arial" w:hAnsi="Arial" w:cs="Arial"/>
        </w:rPr>
        <w:t>Table 2</w:t>
      </w:r>
      <w:r w:rsidR="00261292">
        <w:rPr>
          <w:rFonts w:ascii="Arial" w:hAnsi="Arial" w:cs="Arial"/>
        </w:rPr>
        <w:t>0</w:t>
      </w:r>
      <w:r w:rsidR="00BD39C7" w:rsidRPr="00AC71FD">
        <w:rPr>
          <w:rFonts w:ascii="Arial" w:hAnsi="Arial" w:cs="Arial"/>
        </w:rPr>
        <w:t xml:space="preserve"> identifies the strategies</w:t>
      </w:r>
      <w:r w:rsidR="00021FEA" w:rsidRPr="00AC71FD">
        <w:rPr>
          <w:rFonts w:ascii="Arial" w:hAnsi="Arial" w:cs="Arial"/>
        </w:rPr>
        <w:t xml:space="preserve"> and</w:t>
      </w:r>
      <w:r w:rsidR="00BD39C7" w:rsidRPr="00AC71FD">
        <w:rPr>
          <w:rFonts w:ascii="Arial" w:hAnsi="Arial" w:cs="Arial"/>
        </w:rPr>
        <w:t xml:space="preserve"> </w:t>
      </w:r>
      <w:r w:rsidR="0011033B" w:rsidRPr="00AC71FD">
        <w:rPr>
          <w:rFonts w:ascii="Arial" w:hAnsi="Arial" w:cs="Arial"/>
        </w:rPr>
        <w:t>measurable program objective</w:t>
      </w:r>
      <w:r w:rsidR="00475ABE" w:rsidRPr="00AC71FD">
        <w:rPr>
          <w:rFonts w:ascii="Arial" w:hAnsi="Arial" w:cs="Arial"/>
        </w:rPr>
        <w:t>s</w:t>
      </w:r>
      <w:r w:rsidR="0011033B" w:rsidRPr="00AC71FD">
        <w:rPr>
          <w:rFonts w:ascii="Arial" w:hAnsi="Arial" w:cs="Arial"/>
        </w:rPr>
        <w:t xml:space="preserve"> (MPOs)</w:t>
      </w:r>
      <w:r w:rsidR="00475ABE" w:rsidRPr="00AC71FD">
        <w:rPr>
          <w:rFonts w:ascii="Arial" w:hAnsi="Arial" w:cs="Arial"/>
        </w:rPr>
        <w:t xml:space="preserve"> </w:t>
      </w:r>
      <w:r w:rsidR="00BD39C7" w:rsidRPr="00AC71FD">
        <w:rPr>
          <w:rFonts w:ascii="Arial" w:hAnsi="Arial" w:cs="Arial"/>
        </w:rPr>
        <w:t>for increasing ELA achievement.</w:t>
      </w:r>
      <w:r w:rsidR="00021FEA" w:rsidRPr="00AC71FD">
        <w:rPr>
          <w:rFonts w:ascii="Arial" w:hAnsi="Arial" w:cs="Arial"/>
        </w:rPr>
        <w:t xml:space="preserve"> The MEP-specific performance target follows Table 2</w:t>
      </w:r>
      <w:r w:rsidR="00261292">
        <w:rPr>
          <w:rFonts w:ascii="Arial" w:hAnsi="Arial" w:cs="Arial"/>
        </w:rPr>
        <w:t>0</w:t>
      </w:r>
      <w:r w:rsidR="00021FEA" w:rsidRPr="00AC71FD">
        <w:rPr>
          <w:rFonts w:ascii="Arial" w:hAnsi="Arial" w:cs="Arial"/>
        </w:rPr>
        <w:t>.</w:t>
      </w:r>
    </w:p>
    <w:p w14:paraId="76896307" w14:textId="3BAC95D5" w:rsidR="0005472F" w:rsidRPr="00AC71FD" w:rsidRDefault="00B42DD9" w:rsidP="0005472F">
      <w:pPr>
        <w:spacing w:after="240"/>
        <w:rPr>
          <w:rFonts w:ascii="Arial" w:hAnsi="Arial" w:cs="Arial"/>
        </w:rPr>
      </w:pPr>
      <w:r>
        <w:br w:type="page"/>
      </w:r>
      <w:r w:rsidR="0005472F" w:rsidRPr="00AC71FD">
        <w:rPr>
          <w:rFonts w:ascii="Arial" w:hAnsi="Arial" w:cs="Arial"/>
        </w:rPr>
        <w:lastRenderedPageBreak/>
        <w:t>As noted in Section III, the following key data points from the 2015–16 Smarter Balanced Assessment led to the committee prioritizing the need to increase overall ELA achievement by focusing on reading and writing:</w:t>
      </w:r>
    </w:p>
    <w:p w14:paraId="0FA8FA15" w14:textId="77777777" w:rsidR="0005472F" w:rsidRPr="00AC71FD" w:rsidRDefault="0005472F" w:rsidP="007D443E">
      <w:pPr>
        <w:pStyle w:val="ListParagraph"/>
        <w:numPr>
          <w:ilvl w:val="0"/>
          <w:numId w:val="61"/>
        </w:numPr>
        <w:spacing w:after="240"/>
        <w:contextualSpacing w:val="0"/>
        <w:rPr>
          <w:rFonts w:ascii="Arial" w:hAnsi="Arial" w:cs="Arial"/>
        </w:rPr>
      </w:pPr>
      <w:r w:rsidRPr="00AC71FD">
        <w:rPr>
          <w:rFonts w:ascii="Arial" w:hAnsi="Arial" w:cs="Arial"/>
        </w:rPr>
        <w:t>On Overall ELA Achievement, only 24 percent of migratory students met or exceeded the standard.</w:t>
      </w:r>
    </w:p>
    <w:p w14:paraId="608EB8E4" w14:textId="77777777" w:rsidR="0005472F" w:rsidRPr="00AC71FD" w:rsidRDefault="0005472F" w:rsidP="007D443E">
      <w:pPr>
        <w:pStyle w:val="ListParagraph"/>
        <w:numPr>
          <w:ilvl w:val="0"/>
          <w:numId w:val="61"/>
        </w:numPr>
        <w:spacing w:after="240"/>
        <w:contextualSpacing w:val="0"/>
        <w:rPr>
          <w:rFonts w:ascii="Arial" w:hAnsi="Arial" w:cs="Arial"/>
        </w:rPr>
      </w:pPr>
      <w:r w:rsidRPr="00AC71FD">
        <w:rPr>
          <w:rFonts w:ascii="Arial" w:hAnsi="Arial" w:cs="Arial"/>
        </w:rPr>
        <w:t>Forty-five percent of Migratory Student scored at Near or Above Standard for Claim 1 – Reading.</w:t>
      </w:r>
    </w:p>
    <w:p w14:paraId="5E57E4AF" w14:textId="77777777" w:rsidR="0005472F" w:rsidRPr="00AC71FD" w:rsidRDefault="0005472F" w:rsidP="007D443E">
      <w:pPr>
        <w:pStyle w:val="ListParagraph"/>
        <w:numPr>
          <w:ilvl w:val="0"/>
          <w:numId w:val="61"/>
        </w:numPr>
        <w:spacing w:after="240"/>
        <w:contextualSpacing w:val="0"/>
        <w:rPr>
          <w:rFonts w:ascii="Arial" w:hAnsi="Arial" w:cs="Arial"/>
        </w:rPr>
      </w:pPr>
      <w:r w:rsidRPr="00AC71FD">
        <w:rPr>
          <w:rFonts w:ascii="Arial" w:hAnsi="Arial" w:cs="Arial"/>
        </w:rPr>
        <w:t>Only 50 percent of migratory students performed at Near or Above Standard for Claim 2 – Writing.</w:t>
      </w:r>
    </w:p>
    <w:p w14:paraId="6CECEFF4" w14:textId="3656A95F" w:rsidR="00D573DC" w:rsidRDefault="0005472F" w:rsidP="0005472F">
      <w:pPr>
        <w:spacing w:after="240"/>
        <w:rPr>
          <w:rFonts w:ascii="Arial" w:hAnsi="Arial" w:cs="Arial"/>
        </w:rPr>
      </w:pPr>
      <w:r w:rsidRPr="00AC71FD">
        <w:rPr>
          <w:rFonts w:ascii="Arial" w:hAnsi="Arial" w:cs="Arial"/>
        </w:rPr>
        <w:t>By implementing the strategies listed below, the California MEP expects an outcome of increase in migratory students’ ELA proficiency as illustrated by the Smarter Balanced Assessment results for Overall ELA Achievement.</w:t>
      </w:r>
      <w:r w:rsidR="00D573DC">
        <w:rPr>
          <w:rFonts w:ascii="Arial" w:hAnsi="Arial" w:cs="Arial"/>
        </w:rPr>
        <w:br w:type="page"/>
      </w:r>
    </w:p>
    <w:p w14:paraId="58BE506F" w14:textId="77777777" w:rsidR="0005472F" w:rsidRPr="00AC71FD" w:rsidRDefault="0005472F" w:rsidP="00514084">
      <w:pPr>
        <w:pStyle w:val="Heading6"/>
        <w:spacing w:after="120"/>
        <w:jc w:val="center"/>
      </w:pPr>
      <w:r w:rsidRPr="00AC71FD">
        <w:lastRenderedPageBreak/>
        <w:t>GOAL AREA: Overall ELA Achievement</w:t>
      </w:r>
    </w:p>
    <w:p w14:paraId="1820A8A4" w14:textId="6A9E3F62" w:rsidR="0079618A" w:rsidRDefault="0054625A" w:rsidP="00694080">
      <w:pPr>
        <w:pStyle w:val="Heading6"/>
        <w:spacing w:before="0"/>
      </w:pPr>
      <w:bookmarkStart w:id="51" w:name="_Toc101961112"/>
      <w:r w:rsidRPr="00AC71FD">
        <w:t xml:space="preserve">Table </w:t>
      </w:r>
      <w:r w:rsidR="00610248" w:rsidRPr="000D5948">
        <w:fldChar w:fldCharType="begin"/>
      </w:r>
      <w:r w:rsidR="00610248" w:rsidRPr="00AC71FD">
        <w:instrText xml:space="preserve"> SEQ Table \* ARABIC </w:instrText>
      </w:r>
      <w:r w:rsidR="00610248" w:rsidRPr="000D5948">
        <w:fldChar w:fldCharType="separate"/>
      </w:r>
      <w:r w:rsidR="00261292">
        <w:rPr>
          <w:noProof/>
        </w:rPr>
        <w:t>20</w:t>
      </w:r>
      <w:r w:rsidR="00610248" w:rsidRPr="000D5948">
        <w:rPr>
          <w:noProof/>
        </w:rPr>
        <w:fldChar w:fldCharType="end"/>
      </w:r>
      <w:r w:rsidR="00514084" w:rsidRPr="00AC71FD">
        <w:t xml:space="preserve">. Strategies and </w:t>
      </w:r>
      <w:r w:rsidR="0011033B" w:rsidRPr="00AC71FD">
        <w:t>Measurable Program</w:t>
      </w:r>
      <w:r w:rsidR="0011033B" w:rsidRPr="005E0053">
        <w:t xml:space="preserve"> Objectives</w:t>
      </w:r>
      <w:r w:rsidRPr="005E0053">
        <w:t xml:space="preserve"> Increasing Overall ELA Achievement</w:t>
      </w:r>
      <w:r w:rsidR="00046B4C">
        <w:t xml:space="preserve"> (Revised)</w:t>
      </w:r>
      <w:bookmarkEnd w:id="51"/>
    </w:p>
    <w:tbl>
      <w:tblPr>
        <w:tblStyle w:val="GridTable4-Accent1"/>
        <w:tblW w:w="0" w:type="auto"/>
        <w:tblLook w:val="0420" w:firstRow="1" w:lastRow="0" w:firstColumn="0" w:lastColumn="0" w:noHBand="0" w:noVBand="1"/>
        <w:tblDescription w:val="Strategies and Measurable Program Objectives Increasing Overall ELA Achievement"/>
      </w:tblPr>
      <w:tblGrid>
        <w:gridCol w:w="4315"/>
        <w:gridCol w:w="4950"/>
      </w:tblGrid>
      <w:tr w:rsidR="0005472F" w:rsidRPr="00683036" w14:paraId="2035D579" w14:textId="77777777" w:rsidTr="00E53F38">
        <w:trPr>
          <w:cnfStyle w:val="100000000000" w:firstRow="1" w:lastRow="0" w:firstColumn="0" w:lastColumn="0" w:oddVBand="0" w:evenVBand="0" w:oddHBand="0" w:evenHBand="0" w:firstRowFirstColumn="0" w:firstRowLastColumn="0" w:lastRowFirstColumn="0" w:lastRowLastColumn="0"/>
          <w:cantSplit/>
          <w:trHeight w:val="251"/>
          <w:tblHeader/>
        </w:trPr>
        <w:tc>
          <w:tcPr>
            <w:tcW w:w="4315" w:type="dxa"/>
            <w:tcBorders>
              <w:right w:val="single" w:sz="4" w:space="0" w:color="4472C4"/>
            </w:tcBorders>
            <w:shd w:val="clear" w:color="auto" w:fill="1F3864" w:themeFill="accent5" w:themeFillShade="80"/>
            <w:vAlign w:val="center"/>
          </w:tcPr>
          <w:p w14:paraId="37F247C9" w14:textId="77777777" w:rsidR="0005472F" w:rsidRPr="007D443E" w:rsidRDefault="0005472F" w:rsidP="00E53F38">
            <w:pPr>
              <w:spacing w:after="120"/>
              <w:ind w:left="-23"/>
              <w:rPr>
                <w:rFonts w:ascii="Arial" w:hAnsi="Arial" w:cs="Arial"/>
                <w:b w:val="0"/>
                <w:color w:val="FFFFFF"/>
              </w:rPr>
            </w:pPr>
            <w:r w:rsidRPr="007D443E">
              <w:rPr>
                <w:rFonts w:ascii="Arial" w:hAnsi="Arial" w:cs="Arial"/>
                <w:color w:val="FFFFFF"/>
              </w:rPr>
              <w:t>Strateg</w:t>
            </w:r>
            <w:r w:rsidR="00021FEA">
              <w:rPr>
                <w:rFonts w:ascii="Arial" w:hAnsi="Arial" w:cs="Arial"/>
                <w:color w:val="FFFFFF"/>
              </w:rPr>
              <w:t>ies</w:t>
            </w:r>
          </w:p>
        </w:tc>
        <w:tc>
          <w:tcPr>
            <w:tcW w:w="4950" w:type="dxa"/>
            <w:tcBorders>
              <w:left w:val="single" w:sz="4" w:space="0" w:color="4472C4"/>
            </w:tcBorders>
            <w:shd w:val="clear" w:color="auto" w:fill="1F3864" w:themeFill="accent5" w:themeFillShade="80"/>
            <w:vAlign w:val="center"/>
          </w:tcPr>
          <w:p w14:paraId="64B8CA4D" w14:textId="77777777" w:rsidR="0005472F" w:rsidRPr="007D443E" w:rsidRDefault="0005472F" w:rsidP="00E53F38">
            <w:pPr>
              <w:spacing w:after="120"/>
              <w:ind w:left="-23"/>
              <w:rPr>
                <w:rFonts w:ascii="Arial" w:hAnsi="Arial" w:cs="Arial"/>
                <w:b w:val="0"/>
                <w:color w:val="FFFFFF"/>
              </w:rPr>
            </w:pPr>
            <w:r w:rsidRPr="007D443E">
              <w:rPr>
                <w:rFonts w:ascii="Arial" w:hAnsi="Arial" w:cs="Arial"/>
                <w:color w:val="FFFFFF"/>
              </w:rPr>
              <w:t>Measurable Program Objective</w:t>
            </w:r>
            <w:r w:rsidR="00021FEA">
              <w:rPr>
                <w:rFonts w:ascii="Arial" w:hAnsi="Arial" w:cs="Arial"/>
                <w:color w:val="FFFFFF"/>
              </w:rPr>
              <w:t>s</w:t>
            </w:r>
          </w:p>
        </w:tc>
      </w:tr>
      <w:tr w:rsidR="0005472F" w:rsidRPr="00174DAD" w14:paraId="7582130A" w14:textId="77777777" w:rsidTr="00940787">
        <w:trPr>
          <w:cnfStyle w:val="000000100000" w:firstRow="0" w:lastRow="0" w:firstColumn="0" w:lastColumn="0" w:oddVBand="0" w:evenVBand="0" w:oddHBand="1" w:evenHBand="0" w:firstRowFirstColumn="0" w:firstRowLastColumn="0" w:lastRowFirstColumn="0" w:lastRowLastColumn="0"/>
          <w:cantSplit/>
          <w:trHeight w:val="679"/>
        </w:trPr>
        <w:tc>
          <w:tcPr>
            <w:tcW w:w="4315" w:type="dxa"/>
          </w:tcPr>
          <w:p w14:paraId="4C4B5334" w14:textId="77777777" w:rsidR="0005472F" w:rsidRPr="007D443E" w:rsidRDefault="0005472F" w:rsidP="007D443E">
            <w:pPr>
              <w:spacing w:after="120"/>
              <w:ind w:left="-23"/>
              <w:rPr>
                <w:rFonts w:ascii="Arial" w:hAnsi="Arial" w:cs="Arial"/>
              </w:rPr>
            </w:pPr>
            <w:r w:rsidRPr="007D443E">
              <w:rPr>
                <w:rFonts w:ascii="Arial" w:hAnsi="Arial" w:cs="Arial"/>
                <w:b/>
              </w:rPr>
              <w:t xml:space="preserve">Principle Strategy 1.0: </w:t>
            </w:r>
            <w:r w:rsidRPr="007D443E">
              <w:rPr>
                <w:rFonts w:ascii="Arial" w:hAnsi="Arial" w:cs="Arial"/>
              </w:rPr>
              <w:t>Provide supplementary ELA services with a focus on reading and writing for migratory students with targeted intervention for students who are scoring Below or Near Standard.</w:t>
            </w:r>
            <w:r w:rsidRPr="007D443E">
              <w:rPr>
                <w:rStyle w:val="FootnoteReference"/>
                <w:rFonts w:ascii="Arial" w:hAnsi="Arial" w:cs="Arial"/>
              </w:rPr>
              <w:footnoteReference w:id="16"/>
            </w:r>
          </w:p>
        </w:tc>
        <w:tc>
          <w:tcPr>
            <w:tcW w:w="4950" w:type="dxa"/>
          </w:tcPr>
          <w:p w14:paraId="00C3E057" w14:textId="18F0558C" w:rsidR="0005472F" w:rsidRPr="007D443E" w:rsidRDefault="0005472F" w:rsidP="007D443E">
            <w:pPr>
              <w:spacing w:after="120"/>
              <w:ind w:left="-23"/>
              <w:rPr>
                <w:rFonts w:ascii="Arial" w:hAnsi="Arial" w:cs="Arial"/>
              </w:rPr>
            </w:pPr>
            <w:r w:rsidRPr="007D443E">
              <w:rPr>
                <w:rFonts w:ascii="Arial" w:hAnsi="Arial" w:cs="Arial"/>
                <w:b/>
              </w:rPr>
              <w:t>Principle Measurable Program Objective 1.0</w:t>
            </w:r>
            <w:r w:rsidR="00AE46BC">
              <w:rPr>
                <w:rFonts w:ascii="Arial" w:hAnsi="Arial" w:cs="Arial"/>
                <w:b/>
              </w:rPr>
              <w:t xml:space="preserve"> (Revised)</w:t>
            </w:r>
            <w:r w:rsidRPr="007D443E">
              <w:rPr>
                <w:rFonts w:ascii="Arial" w:hAnsi="Arial" w:cs="Arial"/>
                <w:b/>
              </w:rPr>
              <w:t xml:space="preserve">: </w:t>
            </w:r>
            <w:r w:rsidRPr="007D443E">
              <w:rPr>
                <w:rFonts w:ascii="Arial" w:hAnsi="Arial" w:cs="Arial"/>
              </w:rPr>
              <w:t xml:space="preserve">Each year, </w:t>
            </w:r>
            <w:r w:rsidR="00096581">
              <w:rPr>
                <w:rFonts w:ascii="Arial" w:hAnsi="Arial" w:cs="Arial"/>
              </w:rPr>
              <w:t>6</w:t>
            </w:r>
            <w:r w:rsidRPr="007D443E">
              <w:rPr>
                <w:rFonts w:ascii="Arial" w:hAnsi="Arial" w:cs="Arial"/>
              </w:rPr>
              <w:t>0 percent of K-10 migratory students who are not proficient in ELA achievement will participate in at least 30 hours (1800 minutes) of supplemental reading and writing instruction during the regular school year and at least 20 hours (1200 minutes) of summer school instruction if present.</w:t>
            </w:r>
            <w:r w:rsidRPr="007D443E">
              <w:rPr>
                <w:rStyle w:val="FootnoteReference"/>
                <w:rFonts w:ascii="Arial" w:hAnsi="Arial" w:cs="Arial"/>
              </w:rPr>
              <w:footnoteReference w:id="17"/>
            </w:r>
            <w:r w:rsidR="00D573DC" w:rsidRPr="00D573DC">
              <w:rPr>
                <w:rFonts w:ascii="Arial" w:hAnsi="Arial" w:cs="Arial"/>
                <w:vertAlign w:val="superscript"/>
              </w:rPr>
              <w:t>,</w:t>
            </w:r>
            <w:r w:rsidR="00D573DC">
              <w:rPr>
                <w:rFonts w:ascii="Arial" w:hAnsi="Arial" w:cs="Arial"/>
              </w:rPr>
              <w:t xml:space="preserve"> </w:t>
            </w:r>
            <w:r w:rsidR="00D573DC" w:rsidRPr="00D573DC">
              <w:rPr>
                <w:rFonts w:ascii="Arial" w:hAnsi="Arial" w:cs="Arial"/>
                <w:vertAlign w:val="superscript"/>
              </w:rPr>
              <w:t>18</w:t>
            </w:r>
            <w:r w:rsidR="00D573DC">
              <w:rPr>
                <w:rFonts w:ascii="Arial" w:hAnsi="Arial" w:cs="Arial"/>
                <w:vertAlign w:val="superscript"/>
              </w:rPr>
              <w:t xml:space="preserve"> (Revised 2023), </w:t>
            </w:r>
            <w:r w:rsidR="00D573DC" w:rsidRPr="00D573DC">
              <w:rPr>
                <w:rFonts w:ascii="Arial" w:hAnsi="Arial" w:cs="Arial"/>
                <w:vertAlign w:val="superscript"/>
              </w:rPr>
              <w:t>19 (Revised 2023)</w:t>
            </w:r>
          </w:p>
        </w:tc>
      </w:tr>
      <w:tr w:rsidR="0005472F" w:rsidRPr="00174DAD" w14:paraId="0487E5ED" w14:textId="77777777" w:rsidTr="00940787">
        <w:trPr>
          <w:cantSplit/>
          <w:trHeight w:val="1556"/>
        </w:trPr>
        <w:tc>
          <w:tcPr>
            <w:tcW w:w="4315" w:type="dxa"/>
          </w:tcPr>
          <w:p w14:paraId="1A2151A2" w14:textId="77777777" w:rsidR="0005472F" w:rsidRPr="007D443E" w:rsidRDefault="0005472F" w:rsidP="007D443E">
            <w:pPr>
              <w:spacing w:after="120"/>
              <w:rPr>
                <w:rFonts w:ascii="Arial" w:hAnsi="Arial" w:cs="Arial"/>
              </w:rPr>
            </w:pPr>
            <w:r w:rsidRPr="007D443E">
              <w:rPr>
                <w:rFonts w:ascii="Arial" w:hAnsi="Arial" w:cs="Arial"/>
                <w:b/>
              </w:rPr>
              <w:t xml:space="preserve">Strategy 1.1: </w:t>
            </w:r>
            <w:r w:rsidRPr="007D443E">
              <w:rPr>
                <w:rFonts w:ascii="Arial" w:hAnsi="Arial" w:cs="Arial"/>
              </w:rPr>
              <w:t>Provide migratory students with opportunities to read various types of expository texts (e.g., description, comparison, cause and effect, problem and solution).</w:t>
            </w:r>
          </w:p>
        </w:tc>
        <w:tc>
          <w:tcPr>
            <w:tcW w:w="4950" w:type="dxa"/>
          </w:tcPr>
          <w:p w14:paraId="0B45818E" w14:textId="5E1444F8" w:rsidR="0005472F" w:rsidRPr="007D443E" w:rsidRDefault="0005472F" w:rsidP="007D443E">
            <w:pPr>
              <w:spacing w:after="120"/>
              <w:rPr>
                <w:rFonts w:ascii="Arial" w:hAnsi="Arial" w:cs="Arial"/>
              </w:rPr>
            </w:pPr>
            <w:r w:rsidRPr="007D443E">
              <w:rPr>
                <w:rFonts w:ascii="Arial" w:hAnsi="Arial" w:cs="Arial"/>
                <w:b/>
              </w:rPr>
              <w:t xml:space="preserve">Measurable Program Objective 1.1: </w:t>
            </w:r>
            <w:r w:rsidRPr="007D443E">
              <w:rPr>
                <w:rFonts w:ascii="Arial" w:hAnsi="Arial" w:cs="Arial"/>
              </w:rPr>
              <w:t>Migratory students will read at least two expository texts.</w:t>
            </w:r>
          </w:p>
        </w:tc>
      </w:tr>
      <w:tr w:rsidR="0005472F" w:rsidRPr="007D443E" w14:paraId="44F6E993" w14:textId="77777777" w:rsidTr="00940787">
        <w:trPr>
          <w:cnfStyle w:val="000000100000" w:firstRow="0" w:lastRow="0" w:firstColumn="0" w:lastColumn="0" w:oddVBand="0" w:evenVBand="0" w:oddHBand="1" w:evenHBand="0" w:firstRowFirstColumn="0" w:firstRowLastColumn="0" w:lastRowFirstColumn="0" w:lastRowLastColumn="0"/>
          <w:cantSplit/>
          <w:trHeight w:val="620"/>
        </w:trPr>
        <w:tc>
          <w:tcPr>
            <w:tcW w:w="4315" w:type="dxa"/>
          </w:tcPr>
          <w:p w14:paraId="6C8C778F" w14:textId="3EC6024D" w:rsidR="0005472F" w:rsidRPr="007D443E" w:rsidRDefault="0005472F" w:rsidP="007A0C1F">
            <w:pPr>
              <w:rPr>
                <w:rFonts w:ascii="Arial" w:hAnsi="Arial" w:cs="Arial"/>
              </w:rPr>
            </w:pPr>
            <w:r w:rsidRPr="007D443E">
              <w:rPr>
                <w:rFonts w:ascii="Arial" w:hAnsi="Arial" w:cs="Arial"/>
                <w:b/>
              </w:rPr>
              <w:lastRenderedPageBreak/>
              <w:t xml:space="preserve">Strategy 1.2: </w:t>
            </w:r>
            <w:r w:rsidRPr="007D443E">
              <w:rPr>
                <w:rFonts w:ascii="Arial" w:hAnsi="Arial" w:cs="Arial"/>
              </w:rPr>
              <w:t xml:space="preserve">Provide migratory students with opportunities to write within various contexts. Integrate explicit instruction for </w:t>
            </w:r>
            <w:r w:rsidR="00D573DC">
              <w:rPr>
                <w:rFonts w:ascii="Arial" w:hAnsi="Arial" w:cs="Arial"/>
              </w:rPr>
              <w:t xml:space="preserve">at least </w:t>
            </w:r>
            <w:r w:rsidRPr="007D443E">
              <w:rPr>
                <w:rFonts w:ascii="Arial" w:hAnsi="Arial" w:cs="Arial"/>
              </w:rPr>
              <w:t>one writing genre unit for program services as appropriate. For example, supplementary science technology engineering and mathematics services should have a strong writing component focusing on expository writing.</w:t>
            </w:r>
          </w:p>
        </w:tc>
        <w:tc>
          <w:tcPr>
            <w:tcW w:w="4950" w:type="dxa"/>
          </w:tcPr>
          <w:p w14:paraId="63D38735" w14:textId="71328260" w:rsidR="0005472F" w:rsidRPr="007D443E" w:rsidRDefault="0005472F" w:rsidP="007A0C1F">
            <w:pPr>
              <w:rPr>
                <w:rFonts w:ascii="Arial" w:hAnsi="Arial" w:cs="Arial"/>
              </w:rPr>
            </w:pPr>
            <w:r w:rsidRPr="007D443E">
              <w:rPr>
                <w:rFonts w:ascii="Arial" w:hAnsi="Arial" w:cs="Arial"/>
                <w:b/>
              </w:rPr>
              <w:t xml:space="preserve">Measurable Program Objective 1.2: </w:t>
            </w:r>
            <w:r w:rsidRPr="007D443E">
              <w:rPr>
                <w:rFonts w:ascii="Arial" w:hAnsi="Arial" w:cs="Arial"/>
              </w:rPr>
              <w:t xml:space="preserve">Students will have the opportunity to write a piece of writing for at least </w:t>
            </w:r>
            <w:r w:rsidR="00D573DC">
              <w:rPr>
                <w:rFonts w:ascii="Arial" w:hAnsi="Arial" w:cs="Arial"/>
              </w:rPr>
              <w:t>one</w:t>
            </w:r>
            <w:r w:rsidRPr="007D443E">
              <w:rPr>
                <w:rFonts w:ascii="Arial" w:hAnsi="Arial" w:cs="Arial"/>
              </w:rPr>
              <w:t xml:space="preserve"> genre. </w:t>
            </w:r>
            <w:r w:rsidR="00AC71FD" w:rsidRPr="00163672">
              <w:rPr>
                <w:rFonts w:ascii="Arial" w:hAnsi="Arial" w:cs="Arial"/>
              </w:rPr>
              <w:t>(because this strategy supports college and career readiness, poetry is not an appropriate genre for this strategy).</w:t>
            </w:r>
          </w:p>
        </w:tc>
      </w:tr>
      <w:tr w:rsidR="0005472F" w:rsidRPr="007D443E" w14:paraId="758B9EC9" w14:textId="77777777" w:rsidTr="00940787">
        <w:trPr>
          <w:cantSplit/>
          <w:trHeight w:val="620"/>
        </w:trPr>
        <w:tc>
          <w:tcPr>
            <w:tcW w:w="4315" w:type="dxa"/>
          </w:tcPr>
          <w:p w14:paraId="4F6B86C4" w14:textId="77777777" w:rsidR="0005472F" w:rsidRPr="007D443E" w:rsidRDefault="0005472F" w:rsidP="007A0C1F">
            <w:pPr>
              <w:rPr>
                <w:rFonts w:ascii="Arial" w:hAnsi="Arial" w:cs="Arial"/>
              </w:rPr>
            </w:pPr>
            <w:r w:rsidRPr="007D443E">
              <w:rPr>
                <w:rFonts w:ascii="Arial" w:hAnsi="Arial" w:cs="Arial"/>
                <w:b/>
              </w:rPr>
              <w:t>Strategy 1.2a</w:t>
            </w:r>
            <w:r w:rsidRPr="007D443E">
              <w:rPr>
                <w:rFonts w:ascii="Arial" w:hAnsi="Arial" w:cs="Arial"/>
              </w:rPr>
              <w:t>: Provide students with a rubric that outlines the elements required by the genre to write a proficient example and identifies what is needed for different levels of writing proficiency.</w:t>
            </w:r>
          </w:p>
        </w:tc>
        <w:tc>
          <w:tcPr>
            <w:tcW w:w="4950" w:type="dxa"/>
          </w:tcPr>
          <w:p w14:paraId="6B1DE94A" w14:textId="408A2514" w:rsidR="0005472F" w:rsidRPr="007D443E" w:rsidRDefault="0005472F" w:rsidP="007A0C1F">
            <w:pPr>
              <w:rPr>
                <w:rFonts w:ascii="Arial" w:hAnsi="Arial" w:cs="Arial"/>
              </w:rPr>
            </w:pPr>
            <w:r w:rsidRPr="007D443E">
              <w:rPr>
                <w:rFonts w:ascii="Arial" w:hAnsi="Arial" w:cs="Arial"/>
                <w:b/>
              </w:rPr>
              <w:t>Measurable Program Objective 1.2a</w:t>
            </w:r>
            <w:r w:rsidRPr="007D443E">
              <w:rPr>
                <w:rFonts w:ascii="Arial" w:hAnsi="Arial" w:cs="Arial"/>
              </w:rPr>
              <w:t xml:space="preserve">: </w:t>
            </w:r>
            <w:r w:rsidR="00C54245" w:rsidRPr="00163672">
              <w:rPr>
                <w:rFonts w:ascii="Arial" w:hAnsi="Arial" w:cs="Arial"/>
              </w:rPr>
              <w:t xml:space="preserve">Each service that includes ELA Strategy 1.2, must teach and use a student-friendly writing rubric specific to the </w:t>
            </w:r>
            <w:r w:rsidR="008E78C6">
              <w:rPr>
                <w:rFonts w:ascii="Arial" w:hAnsi="Arial" w:cs="Arial"/>
              </w:rPr>
              <w:t>one</w:t>
            </w:r>
            <w:r w:rsidR="00C54245" w:rsidRPr="00163672">
              <w:rPr>
                <w:rFonts w:ascii="Arial" w:hAnsi="Arial" w:cs="Arial"/>
              </w:rPr>
              <w:t xml:space="preserve"> genre taught in the strategy.</w:t>
            </w:r>
          </w:p>
        </w:tc>
      </w:tr>
      <w:tr w:rsidR="0005472F" w:rsidRPr="007D443E" w14:paraId="516F789E" w14:textId="77777777" w:rsidTr="00940787">
        <w:trPr>
          <w:cnfStyle w:val="000000100000" w:firstRow="0" w:lastRow="0" w:firstColumn="0" w:lastColumn="0" w:oddVBand="0" w:evenVBand="0" w:oddHBand="1" w:evenHBand="0" w:firstRowFirstColumn="0" w:firstRowLastColumn="0" w:lastRowFirstColumn="0" w:lastRowLastColumn="0"/>
          <w:cantSplit/>
          <w:trHeight w:val="620"/>
        </w:trPr>
        <w:tc>
          <w:tcPr>
            <w:tcW w:w="4315" w:type="dxa"/>
          </w:tcPr>
          <w:p w14:paraId="08577C3C" w14:textId="77777777" w:rsidR="0005472F" w:rsidRPr="007D443E" w:rsidRDefault="0005472F" w:rsidP="007A0C1F">
            <w:pPr>
              <w:rPr>
                <w:rFonts w:ascii="Arial" w:hAnsi="Arial" w:cs="Arial"/>
              </w:rPr>
            </w:pPr>
            <w:r w:rsidRPr="007D443E">
              <w:rPr>
                <w:rFonts w:ascii="Arial" w:hAnsi="Arial" w:cs="Arial"/>
                <w:b/>
              </w:rPr>
              <w:t>Strategy 1.3</w:t>
            </w:r>
            <w:r w:rsidRPr="007D443E">
              <w:rPr>
                <w:rFonts w:ascii="Arial" w:hAnsi="Arial" w:cs="Arial"/>
              </w:rPr>
              <w:t xml:space="preserve"> -</w:t>
            </w:r>
            <w:r w:rsidRPr="007D443E">
              <w:rPr>
                <w:rFonts w:ascii="Arial" w:hAnsi="Arial" w:cs="Arial"/>
                <w:b/>
              </w:rPr>
              <w:t xml:space="preserve"> </w:t>
            </w:r>
            <w:r w:rsidRPr="007D443E">
              <w:rPr>
                <w:rFonts w:ascii="Arial" w:hAnsi="Arial" w:cs="Arial"/>
              </w:rPr>
              <w:t>Provide training in writing instruction during staff development workshops to ensure that migratory teachers and instructional aides provide clear, structured writing instruction.</w:t>
            </w:r>
          </w:p>
        </w:tc>
        <w:tc>
          <w:tcPr>
            <w:tcW w:w="4950" w:type="dxa"/>
          </w:tcPr>
          <w:p w14:paraId="1F45BCFA" w14:textId="4F53269A" w:rsidR="0005472F" w:rsidRPr="007D443E" w:rsidRDefault="0005472F" w:rsidP="007A0C1F">
            <w:pPr>
              <w:rPr>
                <w:rFonts w:ascii="Arial" w:hAnsi="Arial" w:cs="Arial"/>
              </w:rPr>
            </w:pPr>
            <w:r w:rsidRPr="007D443E">
              <w:rPr>
                <w:rFonts w:ascii="Arial" w:hAnsi="Arial" w:cs="Arial"/>
                <w:b/>
              </w:rPr>
              <w:t xml:space="preserve">Measurable Program Objective 1.3: </w:t>
            </w:r>
            <w:r w:rsidR="00C54245" w:rsidRPr="00163672">
              <w:rPr>
                <w:rFonts w:ascii="Arial" w:hAnsi="Arial" w:cs="Arial"/>
              </w:rPr>
              <w:t>Subgrantees provide one professional development training to prepare staff to teach both genres of writing being implemented in Strategy 1.2.</w:t>
            </w:r>
          </w:p>
        </w:tc>
      </w:tr>
    </w:tbl>
    <w:p w14:paraId="3C732F46" w14:textId="41251EC0" w:rsidR="0005472F" w:rsidRPr="00694080" w:rsidRDefault="0005472F" w:rsidP="00694080">
      <w:pPr>
        <w:spacing w:before="240"/>
        <w:rPr>
          <w:rFonts w:ascii="Arial" w:hAnsi="Arial" w:cs="Arial"/>
        </w:rPr>
      </w:pPr>
      <w:r w:rsidRPr="00694080">
        <w:rPr>
          <w:rFonts w:ascii="Arial" w:hAnsi="Arial" w:cs="Arial"/>
        </w:rPr>
        <w:t xml:space="preserve">The </w:t>
      </w:r>
      <w:r w:rsidR="00AE46BC">
        <w:rPr>
          <w:rFonts w:ascii="Arial" w:hAnsi="Arial" w:cs="Arial"/>
        </w:rPr>
        <w:t xml:space="preserve">revised </w:t>
      </w:r>
      <w:r w:rsidRPr="00694080">
        <w:rPr>
          <w:rFonts w:ascii="Arial" w:hAnsi="Arial" w:cs="Arial"/>
        </w:rPr>
        <w:t xml:space="preserve">performance target for Overall ELA Achievement is: </w:t>
      </w:r>
      <w:r w:rsidR="00096581" w:rsidRPr="00E22495">
        <w:rPr>
          <w:rFonts w:ascii="Arial" w:hAnsi="Arial" w:cs="Arial"/>
        </w:rPr>
        <w:t>By July 2023, 35 percent of migratory students will score at Level 3 – Standard Met and Level 4 – Standard Exceeded on overall ELA achievement.</w:t>
      </w:r>
    </w:p>
    <w:p w14:paraId="29E95D28" w14:textId="77777777" w:rsidR="00BA5C6E" w:rsidRPr="005E0053" w:rsidRDefault="00BA5C6E" w:rsidP="00743715">
      <w:pPr>
        <w:pStyle w:val="Heading5"/>
      </w:pPr>
      <w:bookmarkStart w:id="52" w:name="_Toc504520862"/>
      <w:r w:rsidRPr="005E0053">
        <w:t>Mathematics</w:t>
      </w:r>
      <w:bookmarkEnd w:id="52"/>
    </w:p>
    <w:p w14:paraId="78A7A15E" w14:textId="48198ECE" w:rsidR="00205F4B" w:rsidRDefault="00205F4B" w:rsidP="00205F4B">
      <w:pPr>
        <w:rPr>
          <w:rFonts w:ascii="Arial" w:hAnsi="Arial" w:cs="Arial"/>
        </w:rPr>
      </w:pPr>
      <w:r w:rsidRPr="005E0053">
        <w:rPr>
          <w:rFonts w:ascii="Arial" w:hAnsi="Arial" w:cs="Arial"/>
        </w:rPr>
        <w:t xml:space="preserve">Similar to ELA, </w:t>
      </w:r>
      <w:r w:rsidR="00940589">
        <w:rPr>
          <w:rFonts w:ascii="Arial" w:hAnsi="Arial" w:cs="Arial"/>
        </w:rPr>
        <w:t>the CNA/SSDP Committee</w:t>
      </w:r>
      <w:r w:rsidR="00940589" w:rsidRPr="005E0053">
        <w:rPr>
          <w:rFonts w:ascii="Arial" w:hAnsi="Arial" w:cs="Arial"/>
        </w:rPr>
        <w:t xml:space="preserve"> </w:t>
      </w:r>
      <w:r w:rsidRPr="005E0053">
        <w:rPr>
          <w:rFonts w:ascii="Arial" w:hAnsi="Arial" w:cs="Arial"/>
        </w:rPr>
        <w:t xml:space="preserve">identified numerous needs within this area. The three needs </w:t>
      </w:r>
      <w:r w:rsidR="00EC142B" w:rsidRPr="005E0053">
        <w:rPr>
          <w:rFonts w:ascii="Arial" w:hAnsi="Arial" w:cs="Arial"/>
        </w:rPr>
        <w:t>prioritized</w:t>
      </w:r>
      <w:r w:rsidRPr="005E0053">
        <w:rPr>
          <w:rFonts w:ascii="Arial" w:hAnsi="Arial" w:cs="Arial"/>
        </w:rPr>
        <w:t xml:space="preserve"> in the </w:t>
      </w:r>
      <w:r w:rsidR="004B7E42" w:rsidRPr="005E0053">
        <w:rPr>
          <w:rFonts w:ascii="Arial" w:hAnsi="Arial" w:cs="Arial"/>
        </w:rPr>
        <w:t>previous chapter</w:t>
      </w:r>
      <w:r w:rsidRPr="005E0053">
        <w:rPr>
          <w:rFonts w:ascii="Arial" w:hAnsi="Arial" w:cs="Arial"/>
        </w:rPr>
        <w:t xml:space="preserve"> included</w:t>
      </w:r>
      <w:r w:rsidR="004B7E42" w:rsidRPr="005E0053">
        <w:rPr>
          <w:rFonts w:ascii="Arial" w:hAnsi="Arial" w:cs="Arial"/>
        </w:rPr>
        <w:t xml:space="preserve">: </w:t>
      </w:r>
      <w:r w:rsidR="009308A3" w:rsidRPr="005E0053">
        <w:rPr>
          <w:rFonts w:ascii="Arial" w:hAnsi="Arial" w:cs="Arial"/>
        </w:rPr>
        <w:t>(</w:t>
      </w:r>
      <w:r w:rsidR="004B7E42" w:rsidRPr="005E0053">
        <w:rPr>
          <w:rFonts w:ascii="Arial" w:hAnsi="Arial" w:cs="Arial"/>
        </w:rPr>
        <w:t>1) increase overall math</w:t>
      </w:r>
      <w:r w:rsidRPr="005E0053">
        <w:rPr>
          <w:rFonts w:ascii="Arial" w:hAnsi="Arial" w:cs="Arial"/>
        </w:rPr>
        <w:t xml:space="preserve"> achievement, </w:t>
      </w:r>
      <w:r w:rsidR="009308A3" w:rsidRPr="005E0053">
        <w:rPr>
          <w:rFonts w:ascii="Arial" w:hAnsi="Arial" w:cs="Arial"/>
        </w:rPr>
        <w:t>(</w:t>
      </w:r>
      <w:r w:rsidRPr="005E0053">
        <w:rPr>
          <w:rFonts w:ascii="Arial" w:hAnsi="Arial" w:cs="Arial"/>
        </w:rPr>
        <w:t>2</w:t>
      </w:r>
      <w:r w:rsidR="009308A3" w:rsidRPr="005E0053">
        <w:rPr>
          <w:rFonts w:ascii="Arial" w:hAnsi="Arial" w:cs="Arial"/>
        </w:rPr>
        <w:t>) strengthen migratory student</w:t>
      </w:r>
      <w:r w:rsidRPr="005E0053">
        <w:rPr>
          <w:rFonts w:ascii="Arial" w:hAnsi="Arial" w:cs="Arial"/>
        </w:rPr>
        <w:t xml:space="preserve"> knowledge of concepts and procedures (Claim 1), and </w:t>
      </w:r>
      <w:r w:rsidR="009308A3" w:rsidRPr="005E0053">
        <w:rPr>
          <w:rFonts w:ascii="Arial" w:hAnsi="Arial" w:cs="Arial"/>
        </w:rPr>
        <w:t>(</w:t>
      </w:r>
      <w:r w:rsidRPr="005E0053">
        <w:rPr>
          <w:rFonts w:ascii="Arial" w:hAnsi="Arial" w:cs="Arial"/>
        </w:rPr>
        <w:t xml:space="preserve">3) </w:t>
      </w:r>
      <w:r w:rsidR="009308A3" w:rsidRPr="005E0053">
        <w:rPr>
          <w:rFonts w:ascii="Arial" w:hAnsi="Arial" w:cs="Arial"/>
        </w:rPr>
        <w:t>raise</w:t>
      </w:r>
      <w:r w:rsidRPr="005E0053">
        <w:rPr>
          <w:rFonts w:ascii="Arial" w:hAnsi="Arial" w:cs="Arial"/>
        </w:rPr>
        <w:t xml:space="preserve"> student achievement in problem solving and modeling data (Claim 2). </w:t>
      </w:r>
      <w:r w:rsidR="00EC142B" w:rsidRPr="005E0053">
        <w:rPr>
          <w:rFonts w:ascii="Arial" w:hAnsi="Arial" w:cs="Arial"/>
        </w:rPr>
        <w:t>Increasing</w:t>
      </w:r>
      <w:r w:rsidRPr="005E0053">
        <w:rPr>
          <w:rFonts w:ascii="Arial" w:hAnsi="Arial" w:cs="Arial"/>
        </w:rPr>
        <w:t xml:space="preserve"> student achievement in either Claim 1 or Claim 2 will increase migratory students’</w:t>
      </w:r>
      <w:r w:rsidR="00EC142B" w:rsidRPr="005E0053">
        <w:rPr>
          <w:rFonts w:ascii="Arial" w:hAnsi="Arial" w:cs="Arial"/>
        </w:rPr>
        <w:t xml:space="preserve"> overall math</w:t>
      </w:r>
      <w:r w:rsidRPr="005E0053">
        <w:rPr>
          <w:rFonts w:ascii="Arial" w:hAnsi="Arial" w:cs="Arial"/>
        </w:rPr>
        <w:t xml:space="preserve"> achievement. For this reason, the CDE combined </w:t>
      </w:r>
      <w:r w:rsidR="00C54245" w:rsidRPr="00163672">
        <w:rPr>
          <w:rFonts w:ascii="Arial" w:hAnsi="Arial" w:cs="Arial"/>
        </w:rPr>
        <w:t>migratory student needs</w:t>
      </w:r>
      <w:r w:rsidRPr="005E0053">
        <w:rPr>
          <w:rFonts w:ascii="Arial" w:hAnsi="Arial" w:cs="Arial"/>
        </w:rPr>
        <w:t xml:space="preserve"> to address overall achievement with a focus on both Claim</w:t>
      </w:r>
      <w:r w:rsidR="00EC142B" w:rsidRPr="005E0053">
        <w:rPr>
          <w:rFonts w:ascii="Arial" w:hAnsi="Arial" w:cs="Arial"/>
        </w:rPr>
        <w:t>s</w:t>
      </w:r>
      <w:r w:rsidRPr="005E0053">
        <w:rPr>
          <w:rFonts w:ascii="Arial" w:hAnsi="Arial" w:cs="Arial"/>
        </w:rPr>
        <w:t xml:space="preserve"> 1 and 2. T</w:t>
      </w:r>
      <w:r w:rsidR="00EF15DD" w:rsidRPr="005E0053">
        <w:rPr>
          <w:rFonts w:ascii="Arial" w:hAnsi="Arial" w:cs="Arial"/>
        </w:rPr>
        <w:t>able 22</w:t>
      </w:r>
      <w:r w:rsidRPr="005E0053">
        <w:rPr>
          <w:rFonts w:ascii="Arial" w:hAnsi="Arial" w:cs="Arial"/>
        </w:rPr>
        <w:t xml:space="preserve"> identifies the strategies</w:t>
      </w:r>
      <w:r w:rsidR="00021FEA">
        <w:rPr>
          <w:rFonts w:ascii="Arial" w:hAnsi="Arial" w:cs="Arial"/>
        </w:rPr>
        <w:t xml:space="preserve"> and</w:t>
      </w:r>
      <w:r w:rsidRPr="005E0053">
        <w:rPr>
          <w:rFonts w:ascii="Arial" w:hAnsi="Arial" w:cs="Arial"/>
        </w:rPr>
        <w:t xml:space="preserve"> </w:t>
      </w:r>
      <w:r w:rsidR="0011033B" w:rsidRPr="005E0053">
        <w:rPr>
          <w:rFonts w:ascii="Arial" w:hAnsi="Arial" w:cs="Arial"/>
        </w:rPr>
        <w:t>MPOs</w:t>
      </w:r>
      <w:r w:rsidR="00021FEA">
        <w:rPr>
          <w:rFonts w:ascii="Arial" w:hAnsi="Arial" w:cs="Arial"/>
        </w:rPr>
        <w:t xml:space="preserve"> </w:t>
      </w:r>
      <w:r w:rsidRPr="005E0053">
        <w:rPr>
          <w:rFonts w:ascii="Arial" w:hAnsi="Arial" w:cs="Arial"/>
        </w:rPr>
        <w:t xml:space="preserve"> for increasing</w:t>
      </w:r>
      <w:r w:rsidR="00EC142B" w:rsidRPr="005E0053">
        <w:rPr>
          <w:rFonts w:ascii="Arial" w:hAnsi="Arial" w:cs="Arial"/>
        </w:rPr>
        <w:t xml:space="preserve"> </w:t>
      </w:r>
      <w:r w:rsidR="00021FEA">
        <w:rPr>
          <w:rFonts w:ascii="Arial" w:hAnsi="Arial" w:cs="Arial"/>
        </w:rPr>
        <w:t>O</w:t>
      </w:r>
      <w:r w:rsidR="00EC142B" w:rsidRPr="005E0053">
        <w:rPr>
          <w:rFonts w:ascii="Arial" w:hAnsi="Arial" w:cs="Arial"/>
        </w:rPr>
        <w:t xml:space="preserve">verall </w:t>
      </w:r>
      <w:r w:rsidR="00021FEA">
        <w:rPr>
          <w:rFonts w:ascii="Arial" w:hAnsi="Arial" w:cs="Arial"/>
        </w:rPr>
        <w:t>M</w:t>
      </w:r>
      <w:r w:rsidR="00EC142B" w:rsidRPr="005E0053">
        <w:rPr>
          <w:rFonts w:ascii="Arial" w:hAnsi="Arial" w:cs="Arial"/>
        </w:rPr>
        <w:t xml:space="preserve">ath </w:t>
      </w:r>
      <w:r w:rsidR="00021FEA">
        <w:rPr>
          <w:rFonts w:ascii="Arial" w:hAnsi="Arial" w:cs="Arial"/>
        </w:rPr>
        <w:t>A</w:t>
      </w:r>
      <w:r w:rsidRPr="005E0053">
        <w:rPr>
          <w:rFonts w:ascii="Arial" w:hAnsi="Arial" w:cs="Arial"/>
        </w:rPr>
        <w:t>chievement</w:t>
      </w:r>
      <w:r w:rsidR="00021FEA">
        <w:rPr>
          <w:rFonts w:ascii="Arial" w:hAnsi="Arial" w:cs="Arial"/>
        </w:rPr>
        <w:t xml:space="preserve"> on the Smarter Balanced Assessment</w:t>
      </w:r>
      <w:r w:rsidRPr="005E0053">
        <w:rPr>
          <w:rFonts w:ascii="Arial" w:hAnsi="Arial" w:cs="Arial"/>
        </w:rPr>
        <w:t>.</w:t>
      </w:r>
      <w:r w:rsidR="00021FEA">
        <w:rPr>
          <w:rFonts w:ascii="Arial" w:hAnsi="Arial" w:cs="Arial"/>
        </w:rPr>
        <w:t xml:space="preserve"> Following Table 22 is the MEP-specific performance target.</w:t>
      </w:r>
    </w:p>
    <w:p w14:paraId="51E68B2F" w14:textId="1788539F" w:rsidR="0005472F" w:rsidRPr="00694080" w:rsidRDefault="0005472F" w:rsidP="00694080">
      <w:pPr>
        <w:spacing w:before="240" w:after="240"/>
        <w:rPr>
          <w:rFonts w:ascii="Arial" w:hAnsi="Arial" w:cs="Arial"/>
        </w:rPr>
      </w:pPr>
      <w:r w:rsidRPr="00694080">
        <w:rPr>
          <w:rFonts w:ascii="Arial" w:hAnsi="Arial" w:cs="Arial"/>
        </w:rPr>
        <w:t xml:space="preserve">As noted in Section III, the following key data points from the 2015–16 Smarter Balanced Assessment led to the committee prioritizing the need to increase overall </w:t>
      </w:r>
      <w:r w:rsidRPr="00694080">
        <w:rPr>
          <w:rFonts w:ascii="Arial" w:hAnsi="Arial" w:cs="Arial"/>
        </w:rPr>
        <w:lastRenderedPageBreak/>
        <w:t>math achievement by focusing on Claim 1 – Concepts and Procedures and Claim 2 – Problem Solving and Modeling Data:</w:t>
      </w:r>
    </w:p>
    <w:p w14:paraId="1476639E" w14:textId="77777777" w:rsidR="0005472F" w:rsidRPr="00694080" w:rsidRDefault="0005472F" w:rsidP="007D443E">
      <w:pPr>
        <w:pStyle w:val="ListParagraph"/>
        <w:numPr>
          <w:ilvl w:val="0"/>
          <w:numId w:val="62"/>
        </w:numPr>
        <w:spacing w:after="240"/>
        <w:contextualSpacing w:val="0"/>
        <w:rPr>
          <w:rFonts w:ascii="Arial" w:hAnsi="Arial" w:cs="Arial"/>
        </w:rPr>
      </w:pPr>
      <w:r w:rsidRPr="00694080">
        <w:rPr>
          <w:rFonts w:ascii="Arial" w:hAnsi="Arial" w:cs="Arial"/>
        </w:rPr>
        <w:t>Migratory Students are 21 percent less likely to meet or exceed the overall math standards. When comparing Migratory PFS and All Students, the gap widens to 32 percentage points.</w:t>
      </w:r>
    </w:p>
    <w:p w14:paraId="1CD85A33" w14:textId="77777777" w:rsidR="0005472F" w:rsidRPr="00694080" w:rsidRDefault="0005472F" w:rsidP="007D443E">
      <w:pPr>
        <w:pStyle w:val="ListParagraph"/>
        <w:widowControl w:val="0"/>
        <w:numPr>
          <w:ilvl w:val="0"/>
          <w:numId w:val="62"/>
        </w:numPr>
        <w:autoSpaceDE w:val="0"/>
        <w:autoSpaceDN w:val="0"/>
        <w:adjustRightInd w:val="0"/>
        <w:spacing w:after="240"/>
        <w:contextualSpacing w:val="0"/>
        <w:rPr>
          <w:rFonts w:ascii="Arial" w:hAnsi="Arial" w:cs="Arial"/>
        </w:rPr>
      </w:pPr>
      <w:r w:rsidRPr="00694080">
        <w:rPr>
          <w:rFonts w:ascii="Arial" w:hAnsi="Arial" w:cs="Arial"/>
        </w:rPr>
        <w:t>Migratory Students are 20 percent less likely to score at the Near or Above Standard level than All Students in problem solving and modeling data.</w:t>
      </w:r>
    </w:p>
    <w:p w14:paraId="33091A0A" w14:textId="77777777" w:rsidR="0005472F" w:rsidRPr="00694080" w:rsidRDefault="0005472F" w:rsidP="007D443E">
      <w:pPr>
        <w:pStyle w:val="ListParagraph"/>
        <w:numPr>
          <w:ilvl w:val="0"/>
          <w:numId w:val="62"/>
        </w:numPr>
        <w:spacing w:after="240"/>
        <w:contextualSpacing w:val="0"/>
        <w:rPr>
          <w:rFonts w:ascii="Arial" w:hAnsi="Arial" w:cs="Arial"/>
        </w:rPr>
      </w:pPr>
      <w:r w:rsidRPr="00694080">
        <w:rPr>
          <w:rFonts w:ascii="Arial" w:hAnsi="Arial" w:cs="Arial"/>
        </w:rPr>
        <w:t>In 2015–16, 35 percent scored at Near or Above Standard on Claim 1 which is an 18 percent decrease from 2014–15.</w:t>
      </w:r>
    </w:p>
    <w:p w14:paraId="7F38BE5B" w14:textId="77777777" w:rsidR="0005472F" w:rsidRPr="00694080" w:rsidRDefault="0005472F" w:rsidP="0005472F">
      <w:pPr>
        <w:spacing w:after="240"/>
        <w:rPr>
          <w:rFonts w:ascii="Arial" w:hAnsi="Arial" w:cs="Arial"/>
        </w:rPr>
      </w:pPr>
      <w:r w:rsidRPr="00694080">
        <w:rPr>
          <w:rFonts w:ascii="Arial" w:hAnsi="Arial" w:cs="Arial"/>
        </w:rPr>
        <w:t>Implementing the strategies listed below, the California MEP expects an outcome of increase in migratory students’ math proficiency as illustrated by the Smarter Balanced Assessment results for Overall Math Achievement.</w:t>
      </w:r>
    </w:p>
    <w:p w14:paraId="3EEBA943" w14:textId="77777777" w:rsidR="0005472F" w:rsidRPr="0005472F" w:rsidRDefault="0005472F" w:rsidP="00514084">
      <w:pPr>
        <w:pStyle w:val="Heading6"/>
        <w:spacing w:after="120"/>
        <w:jc w:val="center"/>
      </w:pPr>
      <w:r w:rsidRPr="0005472F">
        <w:t>GOAL AREA: Overall Math Achievement</w:t>
      </w:r>
    </w:p>
    <w:p w14:paraId="71C94115" w14:textId="2AD59F37" w:rsidR="0054625A" w:rsidRPr="005E0053" w:rsidRDefault="0054625A" w:rsidP="00694080">
      <w:pPr>
        <w:pStyle w:val="Heading6"/>
        <w:spacing w:before="0"/>
      </w:pPr>
      <w:bookmarkStart w:id="53" w:name="_Toc101961113"/>
      <w:r w:rsidRPr="005E0053">
        <w:t xml:space="preserve">Table </w:t>
      </w:r>
      <w:fldSimple w:instr=" SEQ Table \* ARABIC ">
        <w:r w:rsidR="00261292">
          <w:rPr>
            <w:noProof/>
          </w:rPr>
          <w:t>21</w:t>
        </w:r>
      </w:fldSimple>
      <w:r w:rsidR="00514084">
        <w:t xml:space="preserve">. Strategies and </w:t>
      </w:r>
      <w:r w:rsidR="009074C7" w:rsidRPr="005E0053">
        <w:t>Measurable Program Objectives</w:t>
      </w:r>
      <w:r w:rsidRPr="005E0053">
        <w:t xml:space="preserve"> for Increasing Overall Math Achievement</w:t>
      </w:r>
      <w:r w:rsidR="00046B4C">
        <w:t xml:space="preserve"> (Revised)</w:t>
      </w:r>
      <w:bookmarkEnd w:id="53"/>
    </w:p>
    <w:tbl>
      <w:tblPr>
        <w:tblStyle w:val="GridTable4-Accent1"/>
        <w:tblW w:w="0" w:type="auto"/>
        <w:tblLook w:val="0420" w:firstRow="1" w:lastRow="0" w:firstColumn="0" w:lastColumn="0" w:noHBand="0" w:noVBand="1"/>
        <w:tblDescription w:val="Strategies and Measurable Program Objectives for Increasing Overall Math Achievement"/>
      </w:tblPr>
      <w:tblGrid>
        <w:gridCol w:w="3822"/>
        <w:gridCol w:w="5443"/>
      </w:tblGrid>
      <w:tr w:rsidR="0005472F" w:rsidRPr="007D443E" w14:paraId="65058357"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3822" w:type="dxa"/>
            <w:tcBorders>
              <w:right w:val="single" w:sz="4" w:space="0" w:color="4472C4"/>
            </w:tcBorders>
            <w:shd w:val="clear" w:color="auto" w:fill="1F3864" w:themeFill="accent5" w:themeFillShade="80"/>
          </w:tcPr>
          <w:p w14:paraId="50D2C959" w14:textId="77777777" w:rsidR="0005472F" w:rsidRPr="007D443E" w:rsidRDefault="0005472F" w:rsidP="007D443E">
            <w:pPr>
              <w:spacing w:after="120"/>
              <w:rPr>
                <w:rFonts w:ascii="Arial" w:hAnsi="Arial" w:cs="Arial"/>
                <w:color w:val="FFFFFF"/>
              </w:rPr>
            </w:pPr>
            <w:r w:rsidRPr="007D443E">
              <w:rPr>
                <w:rFonts w:ascii="Arial" w:hAnsi="Arial" w:cs="Arial"/>
                <w:color w:val="FFFFFF"/>
              </w:rPr>
              <w:t>Strategies</w:t>
            </w:r>
          </w:p>
        </w:tc>
        <w:tc>
          <w:tcPr>
            <w:tcW w:w="5443" w:type="dxa"/>
            <w:tcBorders>
              <w:left w:val="single" w:sz="4" w:space="0" w:color="4472C4"/>
            </w:tcBorders>
            <w:shd w:val="clear" w:color="auto" w:fill="1F3864" w:themeFill="accent5" w:themeFillShade="80"/>
          </w:tcPr>
          <w:p w14:paraId="41834BF3" w14:textId="77777777" w:rsidR="0005472F" w:rsidRPr="007D443E" w:rsidRDefault="0005472F" w:rsidP="007D443E">
            <w:pPr>
              <w:spacing w:after="120"/>
              <w:rPr>
                <w:rFonts w:ascii="Arial" w:hAnsi="Arial" w:cs="Arial"/>
                <w:color w:val="FFFFFF"/>
              </w:rPr>
            </w:pPr>
            <w:r w:rsidRPr="007D443E">
              <w:rPr>
                <w:rFonts w:ascii="Arial" w:hAnsi="Arial" w:cs="Arial"/>
                <w:color w:val="FFFFFF"/>
              </w:rPr>
              <w:t>Measurable Program Objectives</w:t>
            </w:r>
          </w:p>
        </w:tc>
      </w:tr>
      <w:tr w:rsidR="0005472F" w:rsidRPr="007D443E" w14:paraId="21572BCC"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822" w:type="dxa"/>
          </w:tcPr>
          <w:p w14:paraId="1F8C872F" w14:textId="256B50A3" w:rsidR="0005472F" w:rsidRPr="007D443E" w:rsidRDefault="0005472F" w:rsidP="007D443E">
            <w:pPr>
              <w:spacing w:after="120"/>
              <w:rPr>
                <w:rFonts w:ascii="Arial" w:hAnsi="Arial" w:cs="Arial"/>
              </w:rPr>
            </w:pPr>
            <w:r w:rsidRPr="007D443E">
              <w:rPr>
                <w:rFonts w:ascii="Arial" w:hAnsi="Arial" w:cs="Arial"/>
                <w:b/>
              </w:rPr>
              <w:t xml:space="preserve">Principle Strategy 2.0: </w:t>
            </w:r>
            <w:r w:rsidRPr="007D443E">
              <w:rPr>
                <w:rFonts w:ascii="Arial" w:hAnsi="Arial" w:cs="Arial"/>
              </w:rPr>
              <w:t xml:space="preserve">Offer supplemental math instruction services focused on teaching concepts and procedures as well as problem solving and modeling </w:t>
            </w:r>
            <w:r w:rsidRPr="00096581">
              <w:rPr>
                <w:rFonts w:ascii="Arial" w:hAnsi="Arial" w:cs="Arial"/>
              </w:rPr>
              <w:t>data</w:t>
            </w:r>
            <w:r w:rsidR="00096581" w:rsidRPr="00E22495">
              <w:rPr>
                <w:rFonts w:ascii="Arial" w:hAnsi="Arial" w:cs="Arial"/>
              </w:rPr>
              <w:t xml:space="preserve"> (or for Claims 3 and 4 if the local need is greater than in Claims 1 and 2)</w:t>
            </w:r>
            <w:r w:rsidR="00096581">
              <w:rPr>
                <w:rFonts w:asciiTheme="minorHAnsi" w:hAnsiTheme="minorHAnsi" w:cstheme="minorHAnsi"/>
              </w:rPr>
              <w:t xml:space="preserve"> </w:t>
            </w:r>
            <w:r w:rsidRPr="007D443E">
              <w:rPr>
                <w:rFonts w:ascii="Arial" w:hAnsi="Arial" w:cs="Arial"/>
              </w:rPr>
              <w:t xml:space="preserve">for Migratory Students scoring Below </w:t>
            </w:r>
            <w:r w:rsidR="00C54245">
              <w:rPr>
                <w:rFonts w:ascii="Arial" w:hAnsi="Arial" w:cs="Arial"/>
              </w:rPr>
              <w:t xml:space="preserve">or Near </w:t>
            </w:r>
            <w:r w:rsidRPr="007D443E">
              <w:rPr>
                <w:rFonts w:ascii="Arial" w:hAnsi="Arial" w:cs="Arial"/>
              </w:rPr>
              <w:t>Standard</w:t>
            </w:r>
            <w:r w:rsidRPr="007D443E">
              <w:rPr>
                <w:rStyle w:val="FootnoteReference"/>
                <w:rFonts w:ascii="Arial" w:hAnsi="Arial" w:cs="Arial"/>
              </w:rPr>
              <w:footnoteReference w:id="18"/>
            </w:r>
          </w:p>
        </w:tc>
        <w:tc>
          <w:tcPr>
            <w:tcW w:w="5443" w:type="dxa"/>
          </w:tcPr>
          <w:p w14:paraId="6D2AE319" w14:textId="03690599" w:rsidR="0005472F" w:rsidRPr="007D443E" w:rsidRDefault="0005472F" w:rsidP="007D443E">
            <w:pPr>
              <w:spacing w:after="120"/>
              <w:rPr>
                <w:rFonts w:ascii="Arial" w:hAnsi="Arial" w:cs="Arial"/>
              </w:rPr>
            </w:pPr>
            <w:r w:rsidRPr="007D443E">
              <w:rPr>
                <w:rFonts w:ascii="Arial" w:hAnsi="Arial" w:cs="Arial"/>
                <w:b/>
              </w:rPr>
              <w:t>Principle Measure Program Objective 2.0</w:t>
            </w:r>
            <w:r w:rsidR="00AE46BC">
              <w:rPr>
                <w:rFonts w:ascii="Arial" w:hAnsi="Arial" w:cs="Arial"/>
                <w:b/>
              </w:rPr>
              <w:t xml:space="preserve"> (Revised)</w:t>
            </w:r>
            <w:r w:rsidRPr="007D443E">
              <w:rPr>
                <w:rFonts w:ascii="Arial" w:hAnsi="Arial" w:cs="Arial"/>
                <w:b/>
              </w:rPr>
              <w:t xml:space="preserve">: </w:t>
            </w:r>
            <w:r w:rsidRPr="007D443E">
              <w:rPr>
                <w:rFonts w:ascii="Arial" w:hAnsi="Arial" w:cs="Arial"/>
              </w:rPr>
              <w:t xml:space="preserve">Each year, </w:t>
            </w:r>
            <w:r w:rsidR="00096581">
              <w:rPr>
                <w:rFonts w:ascii="Arial" w:hAnsi="Arial" w:cs="Arial"/>
              </w:rPr>
              <w:t>6</w:t>
            </w:r>
            <w:r w:rsidRPr="007D443E">
              <w:rPr>
                <w:rFonts w:ascii="Arial" w:hAnsi="Arial" w:cs="Arial"/>
              </w:rPr>
              <w:t>0 percent of K-10 migratory students who are not proficient in math will participate in at least 30 hours (1800 minutes) of supplemental math instruction focused on concepts and procedures and problem solving and modeling data during the regular school year and at least 20 hours (1200 minutes) of summer school instruction if present.</w:t>
            </w:r>
            <w:r w:rsidRPr="007D443E">
              <w:rPr>
                <w:rStyle w:val="FootnoteReference"/>
                <w:rFonts w:ascii="Arial" w:hAnsi="Arial" w:cs="Arial"/>
              </w:rPr>
              <w:footnoteReference w:id="19"/>
            </w:r>
            <w:r w:rsidR="008E78C6" w:rsidRPr="008E78C6">
              <w:rPr>
                <w:rFonts w:ascii="Arial" w:hAnsi="Arial" w:cs="Arial"/>
                <w:vertAlign w:val="superscript"/>
              </w:rPr>
              <w:t>,</w:t>
            </w:r>
            <w:r w:rsidR="008E78C6">
              <w:rPr>
                <w:rFonts w:ascii="Arial" w:hAnsi="Arial" w:cs="Arial"/>
              </w:rPr>
              <w:t xml:space="preserve"> </w:t>
            </w:r>
            <w:r w:rsidR="008E78C6" w:rsidRPr="008E78C6">
              <w:rPr>
                <w:rFonts w:ascii="Arial" w:hAnsi="Arial" w:cs="Arial"/>
                <w:vertAlign w:val="superscript"/>
              </w:rPr>
              <w:t>20 (Revised 2023)</w:t>
            </w:r>
          </w:p>
        </w:tc>
      </w:tr>
      <w:tr w:rsidR="0005472F" w:rsidRPr="007D443E" w14:paraId="69FFE087" w14:textId="77777777" w:rsidTr="00940787">
        <w:trPr>
          <w:cantSplit/>
          <w:trHeight w:val="341"/>
        </w:trPr>
        <w:tc>
          <w:tcPr>
            <w:tcW w:w="3822" w:type="dxa"/>
          </w:tcPr>
          <w:p w14:paraId="2837F260" w14:textId="77777777" w:rsidR="0005472F" w:rsidRPr="007D443E" w:rsidRDefault="0005472F" w:rsidP="007A0C1F">
            <w:pPr>
              <w:rPr>
                <w:rFonts w:ascii="Arial" w:hAnsi="Arial" w:cs="Arial"/>
              </w:rPr>
            </w:pPr>
            <w:r w:rsidRPr="007D443E">
              <w:rPr>
                <w:rFonts w:ascii="Arial" w:hAnsi="Arial" w:cs="Arial"/>
                <w:b/>
              </w:rPr>
              <w:lastRenderedPageBreak/>
              <w:t xml:space="preserve">Strategy 2.1: </w:t>
            </w:r>
            <w:r w:rsidRPr="007D443E">
              <w:rPr>
                <w:rFonts w:ascii="Arial" w:hAnsi="Arial" w:cs="Arial"/>
              </w:rPr>
              <w:t>Offer Math Literacy Family Nights, targeting PFS and migratory students scoring Below Standard, focused on math CCSS and learning strategies to use at home.</w:t>
            </w:r>
          </w:p>
        </w:tc>
        <w:tc>
          <w:tcPr>
            <w:tcW w:w="5443" w:type="dxa"/>
          </w:tcPr>
          <w:p w14:paraId="055A085F" w14:textId="77777777" w:rsidR="0005472F" w:rsidRPr="007D443E" w:rsidRDefault="0005472F" w:rsidP="007A0C1F">
            <w:pPr>
              <w:rPr>
                <w:rFonts w:ascii="Arial" w:hAnsi="Arial" w:cs="Arial"/>
              </w:rPr>
            </w:pPr>
            <w:r w:rsidRPr="007D443E">
              <w:rPr>
                <w:rFonts w:ascii="Arial" w:hAnsi="Arial" w:cs="Arial"/>
                <w:b/>
              </w:rPr>
              <w:t xml:space="preserve">Measurable Program Objective 2.1: </w:t>
            </w:r>
            <w:r w:rsidRPr="007D443E">
              <w:rPr>
                <w:rFonts w:ascii="Arial" w:hAnsi="Arial" w:cs="Arial"/>
              </w:rPr>
              <w:t>During the regular school year, local MEPs will offer at least two Math Family Literacy Nights as a part of their Parent Involvement Plan.</w:t>
            </w:r>
          </w:p>
        </w:tc>
      </w:tr>
      <w:tr w:rsidR="0005472F" w:rsidRPr="007D443E" w14:paraId="226CD2A9"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3822" w:type="dxa"/>
          </w:tcPr>
          <w:p w14:paraId="185587D7" w14:textId="77777777" w:rsidR="0005472F" w:rsidRPr="007D443E" w:rsidRDefault="0005472F" w:rsidP="007D443E">
            <w:pPr>
              <w:spacing w:after="120"/>
              <w:rPr>
                <w:rFonts w:ascii="Arial" w:hAnsi="Arial" w:cs="Arial"/>
              </w:rPr>
            </w:pPr>
            <w:r w:rsidRPr="007D443E">
              <w:rPr>
                <w:rFonts w:ascii="Arial" w:hAnsi="Arial" w:cs="Arial"/>
                <w:b/>
              </w:rPr>
              <w:t xml:space="preserve">Strategy 2.2: </w:t>
            </w:r>
            <w:r w:rsidRPr="007D443E">
              <w:rPr>
                <w:rFonts w:ascii="Arial" w:hAnsi="Arial" w:cs="Arial"/>
              </w:rPr>
              <w:t>Provide professional development opportunities for MEP staff to understand student math achievement data, increase their knowledge and skill set for teaching concepts and procedures and problem solving and data modeling in mathematics.</w:t>
            </w:r>
            <w:r w:rsidRPr="007D443E">
              <w:rPr>
                <w:rStyle w:val="FootnoteReference"/>
                <w:rFonts w:ascii="Arial" w:hAnsi="Arial" w:cs="Arial"/>
              </w:rPr>
              <w:footnoteReference w:id="20"/>
            </w:r>
          </w:p>
        </w:tc>
        <w:tc>
          <w:tcPr>
            <w:tcW w:w="5443" w:type="dxa"/>
          </w:tcPr>
          <w:p w14:paraId="2449130E" w14:textId="3BEC1D4B" w:rsidR="0005472F" w:rsidRPr="007D443E" w:rsidRDefault="0005472F" w:rsidP="007D443E">
            <w:pPr>
              <w:spacing w:after="120"/>
              <w:rPr>
                <w:rFonts w:ascii="Arial" w:hAnsi="Arial" w:cs="Arial"/>
              </w:rPr>
            </w:pPr>
            <w:r w:rsidRPr="007D443E">
              <w:rPr>
                <w:rFonts w:ascii="Arial" w:hAnsi="Arial" w:cs="Arial"/>
                <w:b/>
              </w:rPr>
              <w:t xml:space="preserve">Measurable Program Objective 2.2: </w:t>
            </w:r>
            <w:r w:rsidR="00C54245" w:rsidRPr="00261292">
              <w:rPr>
                <w:rFonts w:ascii="Arial" w:hAnsi="Arial" w:cs="Arial"/>
              </w:rPr>
              <w:t>Subgrantees will provide one professional development focused on Claims 1, 2, and/or other claims with the highest student achievement gap locally.</w:t>
            </w:r>
          </w:p>
        </w:tc>
      </w:tr>
    </w:tbl>
    <w:p w14:paraId="43DA5750" w14:textId="3BD6EB74" w:rsidR="00BA5C6E" w:rsidRPr="00694080" w:rsidRDefault="0005472F" w:rsidP="00694080">
      <w:pPr>
        <w:spacing w:before="240"/>
        <w:rPr>
          <w:rFonts w:ascii="Arial" w:hAnsi="Arial" w:cs="Arial"/>
        </w:rPr>
      </w:pPr>
      <w:r w:rsidRPr="00694080">
        <w:rPr>
          <w:rFonts w:ascii="Arial" w:hAnsi="Arial" w:cs="Arial"/>
        </w:rPr>
        <w:t xml:space="preserve">The </w:t>
      </w:r>
      <w:r w:rsidR="00AE46BC">
        <w:rPr>
          <w:rFonts w:ascii="Arial" w:hAnsi="Arial" w:cs="Arial"/>
        </w:rPr>
        <w:t xml:space="preserve">revised </w:t>
      </w:r>
      <w:r w:rsidRPr="00694080">
        <w:rPr>
          <w:rFonts w:ascii="Arial" w:hAnsi="Arial" w:cs="Arial"/>
        </w:rPr>
        <w:t xml:space="preserve">performance target for Overall Math Achievement is: </w:t>
      </w:r>
      <w:r w:rsidR="00096581" w:rsidRPr="00E22495">
        <w:rPr>
          <w:rFonts w:ascii="Arial" w:hAnsi="Arial" w:cs="Arial"/>
        </w:rPr>
        <w:t>By July 2023, 22 percent of Migratory Students will score at proficient levels (scoring at Level 3 or Level 4).</w:t>
      </w:r>
    </w:p>
    <w:p w14:paraId="2A548190" w14:textId="77777777" w:rsidR="00BA5C6E" w:rsidRPr="005E0053" w:rsidRDefault="00BA5C6E" w:rsidP="003820A9">
      <w:pPr>
        <w:pStyle w:val="Heading5"/>
      </w:pPr>
      <w:bookmarkStart w:id="54" w:name="_Toc504520863"/>
      <w:r w:rsidRPr="005E0053">
        <w:t>English Language Development</w:t>
      </w:r>
      <w:r w:rsidRPr="005E0053">
        <w:rPr>
          <w:rStyle w:val="FootnoteReference"/>
          <w:rFonts w:cs="Arial"/>
        </w:rPr>
        <w:footnoteReference w:id="21"/>
      </w:r>
      <w:bookmarkEnd w:id="54"/>
    </w:p>
    <w:p w14:paraId="06FB4191" w14:textId="77777777" w:rsidR="001E44C7" w:rsidRDefault="001E44C7" w:rsidP="00261292">
      <w:pPr>
        <w:spacing w:before="240" w:after="240"/>
        <w:rPr>
          <w:rFonts w:ascii="Arial" w:hAnsi="Arial" w:cs="Arial"/>
        </w:rPr>
      </w:pPr>
      <w:r w:rsidRPr="00261292">
        <w:rPr>
          <w:rFonts w:ascii="Arial" w:hAnsi="Arial" w:cs="Arial"/>
        </w:rPr>
        <w:t>For EL students, ELD is essential to accessing the content and developing students’ skills, abilities, and knowledge in literacy, language, and content areas. The California ELD Standards “emphasize the same cross-disciplinary and meaningful interactions with complex texts and intellectually-rich tasks” as demonstrated in the California Common Core State Standards with a commitment to making content fully accessible to EL students. The California ELA/ELD Standards are built upon three premises and inform how instruction for EL students is developed: 1) use English purposefully, 2) interacting in meaningful ways, and 3) understanding how English works.</w:t>
      </w:r>
    </w:p>
    <w:p w14:paraId="700EF964" w14:textId="1C0F0AC6" w:rsidR="007335B7" w:rsidRPr="005E0053" w:rsidRDefault="006E79F4" w:rsidP="007335B7">
      <w:pPr>
        <w:contextualSpacing/>
        <w:rPr>
          <w:rFonts w:ascii="Arial" w:hAnsi="Arial" w:cs="Arial"/>
        </w:rPr>
      </w:pPr>
      <w:r w:rsidRPr="005E0053">
        <w:rPr>
          <w:rFonts w:ascii="Arial" w:hAnsi="Arial" w:cs="Arial"/>
        </w:rPr>
        <w:t xml:space="preserve">Due to the transition from the CELDT to the ELPAC, the strategies, </w:t>
      </w:r>
      <w:r w:rsidR="0036746F" w:rsidRPr="005E0053">
        <w:rPr>
          <w:rFonts w:ascii="Arial" w:hAnsi="Arial" w:cs="Arial"/>
        </w:rPr>
        <w:t>MPOs</w:t>
      </w:r>
      <w:r w:rsidR="0007494A" w:rsidRPr="005E0053">
        <w:rPr>
          <w:rFonts w:ascii="Arial" w:hAnsi="Arial" w:cs="Arial"/>
        </w:rPr>
        <w:t>,</w:t>
      </w:r>
      <w:r w:rsidRPr="005E0053">
        <w:rPr>
          <w:rFonts w:ascii="Arial" w:hAnsi="Arial" w:cs="Arial"/>
        </w:rPr>
        <w:t xml:space="preserve"> and performance target </w:t>
      </w:r>
      <w:r w:rsidR="00555FDF" w:rsidRPr="005E0053">
        <w:rPr>
          <w:rFonts w:ascii="Arial" w:hAnsi="Arial" w:cs="Arial"/>
        </w:rPr>
        <w:t xml:space="preserve">for ELD </w:t>
      </w:r>
      <w:r w:rsidR="001E44C7">
        <w:rPr>
          <w:rFonts w:ascii="Arial" w:hAnsi="Arial" w:cs="Arial"/>
        </w:rPr>
        <w:t xml:space="preserve">were </w:t>
      </w:r>
      <w:r w:rsidRPr="005E0053">
        <w:rPr>
          <w:rFonts w:ascii="Arial" w:hAnsi="Arial" w:cs="Arial"/>
        </w:rPr>
        <w:t xml:space="preserve">developed </w:t>
      </w:r>
      <w:r w:rsidR="00555FDF" w:rsidRPr="005E0053">
        <w:rPr>
          <w:rFonts w:ascii="Arial" w:hAnsi="Arial" w:cs="Arial"/>
        </w:rPr>
        <w:t xml:space="preserve">during </w:t>
      </w:r>
      <w:r w:rsidR="007335B7" w:rsidRPr="005E0053">
        <w:rPr>
          <w:rFonts w:ascii="Arial" w:hAnsi="Arial" w:cs="Arial"/>
        </w:rPr>
        <w:t>the second year of the SSDP’s implementation.</w:t>
      </w:r>
      <w:r w:rsidR="00E0606D" w:rsidRPr="005E0053">
        <w:rPr>
          <w:rFonts w:ascii="Arial" w:hAnsi="Arial" w:cs="Arial"/>
        </w:rPr>
        <w:t xml:space="preserve"> </w:t>
      </w:r>
      <w:r w:rsidR="001E44C7" w:rsidRPr="00261292">
        <w:rPr>
          <w:rFonts w:ascii="Arial" w:hAnsi="Arial" w:cs="Arial"/>
        </w:rPr>
        <w:t xml:space="preserve">Upon analysis of the ELPAC data, the CDE prioritized the ELP needs </w:t>
      </w:r>
      <w:r w:rsidR="001E44C7" w:rsidRPr="00261292">
        <w:rPr>
          <w:rFonts w:ascii="Arial" w:hAnsi="Arial" w:cs="Arial"/>
        </w:rPr>
        <w:lastRenderedPageBreak/>
        <w:t>of migratory children. Once the needs were identified, the CDE selected the strategy best identified to meet our Migratory EL</w:t>
      </w:r>
      <w:r w:rsidR="0004661B">
        <w:rPr>
          <w:rFonts w:ascii="Arial" w:hAnsi="Arial" w:cs="Arial"/>
        </w:rPr>
        <w:t xml:space="preserve"> </w:t>
      </w:r>
      <w:r w:rsidR="001E44C7" w:rsidRPr="00261292">
        <w:rPr>
          <w:rFonts w:ascii="Arial" w:hAnsi="Arial" w:cs="Arial"/>
        </w:rPr>
        <w:t>s</w:t>
      </w:r>
      <w:r w:rsidR="0004661B">
        <w:rPr>
          <w:rFonts w:ascii="Arial" w:hAnsi="Arial" w:cs="Arial"/>
        </w:rPr>
        <w:t>tudents</w:t>
      </w:r>
      <w:r w:rsidR="001E44C7" w:rsidRPr="00261292">
        <w:rPr>
          <w:rFonts w:ascii="Arial" w:hAnsi="Arial" w:cs="Arial"/>
        </w:rPr>
        <w:t>’ needs as identified in Table 23.</w:t>
      </w:r>
    </w:p>
    <w:p w14:paraId="0982677E" w14:textId="77777777" w:rsidR="0005472F" w:rsidRPr="0005472F" w:rsidRDefault="0005472F" w:rsidP="00514084">
      <w:pPr>
        <w:pStyle w:val="Heading6"/>
        <w:spacing w:after="120"/>
        <w:jc w:val="center"/>
      </w:pPr>
      <w:r w:rsidRPr="0005472F">
        <w:t>GOAL AREA: English Language Proficiency</w:t>
      </w:r>
    </w:p>
    <w:p w14:paraId="1F9C4B7D" w14:textId="66062650" w:rsidR="00867ABA" w:rsidRDefault="007F00D9" w:rsidP="007F00D9">
      <w:pPr>
        <w:spacing w:after="240"/>
        <w:rPr>
          <w:rFonts w:ascii="Arial" w:hAnsi="Arial" w:cs="Arial"/>
        </w:rPr>
      </w:pPr>
      <w:r>
        <w:rPr>
          <w:rFonts w:ascii="Arial" w:hAnsi="Arial" w:cs="Arial"/>
        </w:rPr>
        <w:t>T</w:t>
      </w:r>
      <w:r w:rsidRPr="00694080">
        <w:rPr>
          <w:rFonts w:ascii="Arial" w:hAnsi="Arial" w:cs="Arial"/>
        </w:rPr>
        <w:t>he followi</w:t>
      </w:r>
      <w:r>
        <w:rPr>
          <w:rFonts w:ascii="Arial" w:hAnsi="Arial" w:cs="Arial"/>
        </w:rPr>
        <w:t>ng key data points from the 2017–18 ELPAC</w:t>
      </w:r>
      <w:r w:rsidRPr="00694080">
        <w:rPr>
          <w:rFonts w:ascii="Arial" w:hAnsi="Arial" w:cs="Arial"/>
        </w:rPr>
        <w:t xml:space="preserve"> led to </w:t>
      </w:r>
      <w:r>
        <w:rPr>
          <w:rFonts w:ascii="Arial" w:hAnsi="Arial" w:cs="Arial"/>
        </w:rPr>
        <w:t>need to increase integrated English language development opportunities for migratory students and increase professional development for MEP staff at the local level:</w:t>
      </w:r>
    </w:p>
    <w:p w14:paraId="7DEC1C49" w14:textId="3C46DC34" w:rsidR="007F00D9" w:rsidRPr="007F00D9" w:rsidRDefault="007F00D9" w:rsidP="007F00D9">
      <w:pPr>
        <w:spacing w:after="240"/>
        <w:rPr>
          <w:rFonts w:ascii="Arial" w:hAnsi="Arial" w:cs="Arial"/>
        </w:rPr>
      </w:pPr>
      <w:r w:rsidRPr="007F00D9">
        <w:rPr>
          <w:rFonts w:ascii="Arial" w:hAnsi="Arial" w:cs="Arial"/>
        </w:rPr>
        <w:t>2017–18 ELPAC Overall Data</w:t>
      </w:r>
    </w:p>
    <w:p w14:paraId="786281BA" w14:textId="183914A1" w:rsidR="007F00D9" w:rsidRPr="007F00D9" w:rsidRDefault="007F00D9" w:rsidP="007F00D9">
      <w:pPr>
        <w:pStyle w:val="ListParagraph"/>
        <w:numPr>
          <w:ilvl w:val="0"/>
          <w:numId w:val="66"/>
        </w:numPr>
        <w:spacing w:after="240"/>
        <w:ind w:left="342"/>
        <w:contextualSpacing w:val="0"/>
        <w:rPr>
          <w:rFonts w:ascii="Arial" w:hAnsi="Arial" w:cs="Arial"/>
        </w:rPr>
      </w:pPr>
      <w:r w:rsidRPr="007F00D9">
        <w:rPr>
          <w:rFonts w:ascii="Arial" w:hAnsi="Arial" w:cs="Arial"/>
        </w:rPr>
        <w:t>Migratory EL</w:t>
      </w:r>
      <w:r w:rsidR="0004661B">
        <w:rPr>
          <w:rFonts w:ascii="Arial" w:hAnsi="Arial" w:cs="Arial"/>
        </w:rPr>
        <w:t xml:space="preserve"> </w:t>
      </w:r>
      <w:r w:rsidRPr="007F00D9">
        <w:rPr>
          <w:rFonts w:ascii="Arial" w:hAnsi="Arial" w:cs="Arial"/>
        </w:rPr>
        <w:t>s</w:t>
      </w:r>
      <w:r w:rsidR="0004661B">
        <w:rPr>
          <w:rFonts w:ascii="Arial" w:hAnsi="Arial" w:cs="Arial"/>
        </w:rPr>
        <w:t>tudents</w:t>
      </w:r>
      <w:r w:rsidRPr="007F00D9">
        <w:rPr>
          <w:rFonts w:ascii="Arial" w:hAnsi="Arial" w:cs="Arial"/>
        </w:rPr>
        <w:t xml:space="preserve"> were approximately nine percentage points less likely to be Well Developed when compared to their non-migratory EL </w:t>
      </w:r>
      <w:r w:rsidR="0004661B">
        <w:rPr>
          <w:rFonts w:ascii="Arial" w:hAnsi="Arial" w:cs="Arial"/>
        </w:rPr>
        <w:t>peers</w:t>
      </w:r>
      <w:r w:rsidRPr="007F00D9">
        <w:rPr>
          <w:rFonts w:ascii="Arial" w:hAnsi="Arial" w:cs="Arial"/>
        </w:rPr>
        <w:t>.</w:t>
      </w:r>
    </w:p>
    <w:p w14:paraId="7617AAF0" w14:textId="019DE5F6" w:rsidR="007F00D9" w:rsidRPr="007F00D9" w:rsidRDefault="007F00D9" w:rsidP="007F00D9">
      <w:pPr>
        <w:pStyle w:val="ListParagraph"/>
        <w:numPr>
          <w:ilvl w:val="0"/>
          <w:numId w:val="66"/>
        </w:numPr>
        <w:spacing w:after="240"/>
        <w:ind w:left="342"/>
        <w:contextualSpacing w:val="0"/>
        <w:rPr>
          <w:rFonts w:ascii="Arial" w:hAnsi="Arial" w:cs="Arial"/>
        </w:rPr>
      </w:pPr>
      <w:r w:rsidRPr="007F00D9">
        <w:rPr>
          <w:rFonts w:ascii="Arial" w:hAnsi="Arial" w:cs="Arial"/>
        </w:rPr>
        <w:t>When compared to non-migratory EL</w:t>
      </w:r>
      <w:r w:rsidR="0004661B">
        <w:rPr>
          <w:rFonts w:ascii="Arial" w:hAnsi="Arial" w:cs="Arial"/>
        </w:rPr>
        <w:t xml:space="preserve"> </w:t>
      </w:r>
      <w:r w:rsidRPr="007F00D9">
        <w:rPr>
          <w:rFonts w:ascii="Arial" w:hAnsi="Arial" w:cs="Arial"/>
        </w:rPr>
        <w:t>s</w:t>
      </w:r>
      <w:r w:rsidR="0004661B">
        <w:rPr>
          <w:rFonts w:ascii="Arial" w:hAnsi="Arial" w:cs="Arial"/>
        </w:rPr>
        <w:t>tudents</w:t>
      </w:r>
      <w:r w:rsidRPr="007F00D9">
        <w:rPr>
          <w:rFonts w:ascii="Arial" w:hAnsi="Arial" w:cs="Arial"/>
        </w:rPr>
        <w:t>, migratory EL students are represented in higher numbers in the Beginning and Somewhat Developed stages of ELP for all grade levels.</w:t>
      </w:r>
    </w:p>
    <w:p w14:paraId="1759D63A" w14:textId="2D5917DD" w:rsidR="007F00D9" w:rsidRPr="007F00D9" w:rsidRDefault="007F00D9" w:rsidP="007F00D9">
      <w:pPr>
        <w:pStyle w:val="ListParagraph"/>
        <w:numPr>
          <w:ilvl w:val="0"/>
          <w:numId w:val="66"/>
        </w:numPr>
        <w:spacing w:after="240"/>
        <w:ind w:left="342"/>
        <w:contextualSpacing w:val="0"/>
        <w:rPr>
          <w:rFonts w:ascii="Arial" w:hAnsi="Arial" w:cs="Arial"/>
        </w:rPr>
      </w:pPr>
      <w:r w:rsidRPr="007F00D9">
        <w:rPr>
          <w:rFonts w:ascii="Arial" w:hAnsi="Arial" w:cs="Arial"/>
        </w:rPr>
        <w:t>Migratory EL</w:t>
      </w:r>
      <w:r w:rsidR="0004661B">
        <w:rPr>
          <w:rFonts w:ascii="Arial" w:hAnsi="Arial" w:cs="Arial"/>
        </w:rPr>
        <w:t xml:space="preserve"> </w:t>
      </w:r>
      <w:r w:rsidRPr="007F00D9">
        <w:rPr>
          <w:rFonts w:ascii="Arial" w:hAnsi="Arial" w:cs="Arial"/>
        </w:rPr>
        <w:t>s</w:t>
      </w:r>
      <w:r w:rsidR="0004661B">
        <w:rPr>
          <w:rFonts w:ascii="Arial" w:hAnsi="Arial" w:cs="Arial"/>
        </w:rPr>
        <w:t>tudents</w:t>
      </w:r>
      <w:r w:rsidRPr="007F00D9">
        <w:rPr>
          <w:rFonts w:ascii="Arial" w:hAnsi="Arial" w:cs="Arial"/>
        </w:rPr>
        <w:t xml:space="preserve"> are represented in lower numbers in the Moderately Developed and </w:t>
      </w:r>
      <w:proofErr w:type="gramStart"/>
      <w:r w:rsidRPr="007F00D9">
        <w:rPr>
          <w:rFonts w:ascii="Arial" w:hAnsi="Arial" w:cs="Arial"/>
        </w:rPr>
        <w:t>Well Developed</w:t>
      </w:r>
      <w:proofErr w:type="gramEnd"/>
      <w:r w:rsidRPr="007F00D9">
        <w:rPr>
          <w:rFonts w:ascii="Arial" w:hAnsi="Arial" w:cs="Arial"/>
        </w:rPr>
        <w:t xml:space="preserve"> categories for all grade levels.</w:t>
      </w:r>
    </w:p>
    <w:p w14:paraId="65C9C22D" w14:textId="558CD707" w:rsidR="007F00D9" w:rsidRPr="007F00D9" w:rsidRDefault="007F00D9" w:rsidP="007F00D9">
      <w:pPr>
        <w:pStyle w:val="ListParagraph"/>
        <w:numPr>
          <w:ilvl w:val="0"/>
          <w:numId w:val="66"/>
        </w:numPr>
        <w:spacing w:after="240"/>
        <w:ind w:left="342"/>
        <w:contextualSpacing w:val="0"/>
        <w:rPr>
          <w:rFonts w:ascii="Arial" w:hAnsi="Arial" w:cs="Arial"/>
        </w:rPr>
      </w:pPr>
      <w:r w:rsidRPr="007F00D9">
        <w:rPr>
          <w:rFonts w:ascii="Arial" w:hAnsi="Arial" w:cs="Arial"/>
        </w:rPr>
        <w:t>The largest gaps between Migratory EL</w:t>
      </w:r>
      <w:r w:rsidR="0004661B">
        <w:rPr>
          <w:rFonts w:ascii="Arial" w:hAnsi="Arial" w:cs="Arial"/>
        </w:rPr>
        <w:t xml:space="preserve"> </w:t>
      </w:r>
      <w:r w:rsidRPr="007F00D9">
        <w:rPr>
          <w:rFonts w:ascii="Arial" w:hAnsi="Arial" w:cs="Arial"/>
        </w:rPr>
        <w:t>s</w:t>
      </w:r>
      <w:r w:rsidR="0004661B">
        <w:rPr>
          <w:rFonts w:ascii="Arial" w:hAnsi="Arial" w:cs="Arial"/>
        </w:rPr>
        <w:t>tudents</w:t>
      </w:r>
      <w:r w:rsidRPr="007F00D9">
        <w:rPr>
          <w:rFonts w:ascii="Arial" w:hAnsi="Arial" w:cs="Arial"/>
        </w:rPr>
        <w:t xml:space="preserve"> and All Students in the Beginning Stage is in Grades 8–11.</w:t>
      </w:r>
    </w:p>
    <w:p w14:paraId="4A08C1D1" w14:textId="06C2527C" w:rsidR="00867ABA" w:rsidRPr="007F00D9" w:rsidRDefault="007F00D9" w:rsidP="007F00D9">
      <w:pPr>
        <w:spacing w:after="240"/>
        <w:rPr>
          <w:rFonts w:ascii="Arial" w:hAnsi="Arial" w:cs="Arial"/>
        </w:rPr>
      </w:pPr>
      <w:r w:rsidRPr="007F00D9">
        <w:rPr>
          <w:rFonts w:ascii="Arial" w:hAnsi="Arial" w:cs="Arial"/>
        </w:rPr>
        <w:t>2017 – 18 ELPAC Oral Performance</w:t>
      </w:r>
    </w:p>
    <w:p w14:paraId="67E32361" w14:textId="645112B1" w:rsidR="007F00D9" w:rsidRPr="007F00D9" w:rsidRDefault="007F00D9" w:rsidP="007F00D9">
      <w:pPr>
        <w:pStyle w:val="ListParagraph"/>
        <w:numPr>
          <w:ilvl w:val="0"/>
          <w:numId w:val="66"/>
        </w:numPr>
        <w:spacing w:after="240"/>
        <w:ind w:left="346"/>
        <w:contextualSpacing w:val="0"/>
        <w:rPr>
          <w:rFonts w:ascii="Arial" w:hAnsi="Arial" w:cs="Arial"/>
        </w:rPr>
      </w:pPr>
      <w:r w:rsidRPr="007F00D9">
        <w:rPr>
          <w:rFonts w:ascii="Arial" w:hAnsi="Arial" w:cs="Arial"/>
        </w:rPr>
        <w:t>Migratory EL</w:t>
      </w:r>
      <w:r w:rsidR="0004661B">
        <w:rPr>
          <w:rFonts w:ascii="Arial" w:hAnsi="Arial" w:cs="Arial"/>
        </w:rPr>
        <w:t xml:space="preserve"> </w:t>
      </w:r>
      <w:proofErr w:type="spellStart"/>
      <w:r w:rsidRPr="007F00D9">
        <w:rPr>
          <w:rFonts w:ascii="Arial" w:hAnsi="Arial" w:cs="Arial"/>
        </w:rPr>
        <w:t>s</w:t>
      </w:r>
      <w:r w:rsidR="0004661B">
        <w:rPr>
          <w:rFonts w:ascii="Arial" w:hAnsi="Arial" w:cs="Arial"/>
        </w:rPr>
        <w:t>tudens</w:t>
      </w:r>
      <w:proofErr w:type="spellEnd"/>
      <w:r w:rsidRPr="007F00D9">
        <w:rPr>
          <w:rFonts w:ascii="Arial" w:hAnsi="Arial" w:cs="Arial"/>
        </w:rPr>
        <w:t xml:space="preserve"> were a little over ten percentage points less likely to be Well Developed when compared to their non-migratory EL counterparts.</w:t>
      </w:r>
    </w:p>
    <w:p w14:paraId="26FEF8BC" w14:textId="57373485" w:rsidR="007F00D9" w:rsidRPr="007F00D9" w:rsidRDefault="007F00D9" w:rsidP="007F00D9">
      <w:pPr>
        <w:pStyle w:val="ListParagraph"/>
        <w:numPr>
          <w:ilvl w:val="0"/>
          <w:numId w:val="66"/>
        </w:numPr>
        <w:spacing w:after="240"/>
        <w:ind w:left="346"/>
        <w:contextualSpacing w:val="0"/>
        <w:rPr>
          <w:rFonts w:ascii="Arial" w:hAnsi="Arial" w:cs="Arial"/>
        </w:rPr>
      </w:pPr>
      <w:r w:rsidRPr="007F00D9">
        <w:rPr>
          <w:rFonts w:ascii="Arial" w:hAnsi="Arial" w:cs="Arial"/>
        </w:rPr>
        <w:t>Migratory EL</w:t>
      </w:r>
      <w:r w:rsidR="0004661B">
        <w:rPr>
          <w:rFonts w:ascii="Arial" w:hAnsi="Arial" w:cs="Arial"/>
        </w:rPr>
        <w:t xml:space="preserve"> </w:t>
      </w:r>
      <w:r w:rsidRPr="007F00D9">
        <w:rPr>
          <w:rFonts w:ascii="Arial" w:hAnsi="Arial" w:cs="Arial"/>
        </w:rPr>
        <w:t>s</w:t>
      </w:r>
      <w:r w:rsidR="0004661B">
        <w:rPr>
          <w:rFonts w:ascii="Arial" w:hAnsi="Arial" w:cs="Arial"/>
        </w:rPr>
        <w:t>tudents</w:t>
      </w:r>
      <w:r w:rsidRPr="007F00D9">
        <w:rPr>
          <w:rFonts w:ascii="Arial" w:hAnsi="Arial" w:cs="Arial"/>
        </w:rPr>
        <w:t xml:space="preserve"> were 7.42 percentage points more likely to be at the Beginning Stage when compared to their non-migratory EL counterparts.</w:t>
      </w:r>
    </w:p>
    <w:p w14:paraId="52AE60BF" w14:textId="18C7FA89" w:rsidR="007F00D9" w:rsidRPr="007F00D9" w:rsidRDefault="007F00D9" w:rsidP="007F00D9">
      <w:pPr>
        <w:pStyle w:val="ListParagraph"/>
        <w:numPr>
          <w:ilvl w:val="0"/>
          <w:numId w:val="66"/>
        </w:numPr>
        <w:spacing w:after="240"/>
        <w:ind w:left="346"/>
        <w:contextualSpacing w:val="0"/>
        <w:rPr>
          <w:rFonts w:ascii="Arial" w:hAnsi="Arial" w:cs="Arial"/>
        </w:rPr>
      </w:pPr>
      <w:r w:rsidRPr="007F00D9">
        <w:rPr>
          <w:rFonts w:ascii="Arial" w:hAnsi="Arial" w:cs="Arial"/>
        </w:rPr>
        <w:t>The largest gaps for Migratory EL</w:t>
      </w:r>
      <w:r w:rsidR="0004661B">
        <w:rPr>
          <w:rFonts w:ascii="Arial" w:hAnsi="Arial" w:cs="Arial"/>
        </w:rPr>
        <w:t xml:space="preserve"> </w:t>
      </w:r>
      <w:proofErr w:type="spellStart"/>
      <w:proofErr w:type="gramStart"/>
      <w:r w:rsidRPr="007F00D9">
        <w:rPr>
          <w:rFonts w:ascii="Arial" w:hAnsi="Arial" w:cs="Arial"/>
        </w:rPr>
        <w:t>s</w:t>
      </w:r>
      <w:r w:rsidR="0004661B">
        <w:rPr>
          <w:rFonts w:ascii="Arial" w:hAnsi="Arial" w:cs="Arial"/>
        </w:rPr>
        <w:t>tudens</w:t>
      </w:r>
      <w:proofErr w:type="spellEnd"/>
      <w:proofErr w:type="gramEnd"/>
      <w:r w:rsidRPr="007F00D9">
        <w:rPr>
          <w:rFonts w:ascii="Arial" w:hAnsi="Arial" w:cs="Arial"/>
        </w:rPr>
        <w:t xml:space="preserve"> scoring in the </w:t>
      </w:r>
      <w:proofErr w:type="gramStart"/>
      <w:r w:rsidRPr="007F00D9">
        <w:rPr>
          <w:rFonts w:ascii="Arial" w:hAnsi="Arial" w:cs="Arial"/>
        </w:rPr>
        <w:t>Well Developed</w:t>
      </w:r>
      <w:proofErr w:type="gramEnd"/>
      <w:r w:rsidRPr="007F00D9">
        <w:rPr>
          <w:rFonts w:ascii="Arial" w:hAnsi="Arial" w:cs="Arial"/>
        </w:rPr>
        <w:t xml:space="preserve"> categories occur in Grades K–1 and 8–11.  </w:t>
      </w:r>
    </w:p>
    <w:p w14:paraId="5E3826EF" w14:textId="74D5CE2A" w:rsidR="007F00D9" w:rsidRPr="007F00D9" w:rsidRDefault="007F00D9" w:rsidP="007F00D9">
      <w:pPr>
        <w:spacing w:after="240"/>
        <w:rPr>
          <w:rFonts w:ascii="Arial" w:hAnsi="Arial" w:cs="Arial"/>
        </w:rPr>
      </w:pPr>
      <w:r w:rsidRPr="007F00D9">
        <w:rPr>
          <w:rFonts w:ascii="Arial" w:hAnsi="Arial" w:cs="Arial"/>
        </w:rPr>
        <w:t>2017 – 18 ELPAC Written Performance</w:t>
      </w:r>
    </w:p>
    <w:p w14:paraId="2187E12A" w14:textId="65055E5F" w:rsidR="007F00D9" w:rsidRDefault="007F00D9" w:rsidP="007F00D9">
      <w:pPr>
        <w:pStyle w:val="ListParagraph"/>
        <w:numPr>
          <w:ilvl w:val="0"/>
          <w:numId w:val="68"/>
        </w:numPr>
        <w:spacing w:after="240"/>
        <w:ind w:left="360"/>
        <w:rPr>
          <w:rFonts w:ascii="Arial" w:hAnsi="Arial" w:cs="Arial"/>
        </w:rPr>
      </w:pPr>
      <w:r w:rsidRPr="007F00D9">
        <w:rPr>
          <w:rFonts w:ascii="Arial" w:hAnsi="Arial" w:cs="Arial"/>
        </w:rPr>
        <w:t>Migratory EL</w:t>
      </w:r>
      <w:r w:rsidR="0004661B">
        <w:rPr>
          <w:rFonts w:ascii="Arial" w:hAnsi="Arial" w:cs="Arial"/>
        </w:rPr>
        <w:t xml:space="preserve"> </w:t>
      </w:r>
      <w:r w:rsidRPr="007F00D9">
        <w:rPr>
          <w:rFonts w:ascii="Arial" w:hAnsi="Arial" w:cs="Arial"/>
        </w:rPr>
        <w:t>s</w:t>
      </w:r>
      <w:r w:rsidR="0004661B">
        <w:rPr>
          <w:rFonts w:ascii="Arial" w:hAnsi="Arial" w:cs="Arial"/>
        </w:rPr>
        <w:t>tudents</w:t>
      </w:r>
      <w:r w:rsidRPr="007F00D9">
        <w:rPr>
          <w:rFonts w:ascii="Arial" w:hAnsi="Arial" w:cs="Arial"/>
        </w:rPr>
        <w:t xml:space="preserve"> were 6 percentage points less likely to score in the </w:t>
      </w:r>
      <w:proofErr w:type="gramStart"/>
      <w:r w:rsidRPr="007F00D9">
        <w:rPr>
          <w:rFonts w:ascii="Arial" w:hAnsi="Arial" w:cs="Arial"/>
        </w:rPr>
        <w:t>Well Developed</w:t>
      </w:r>
      <w:proofErr w:type="gramEnd"/>
      <w:r w:rsidRPr="007F00D9">
        <w:rPr>
          <w:rFonts w:ascii="Arial" w:hAnsi="Arial" w:cs="Arial"/>
        </w:rPr>
        <w:t xml:space="preserve"> category and 7.66 percentage points more likely to score at the Beginning Stage in Written Performance.</w:t>
      </w:r>
    </w:p>
    <w:p w14:paraId="2C5B1D62" w14:textId="5F8E45B1" w:rsidR="007F00D9" w:rsidRPr="007F00D9" w:rsidRDefault="007F00D9" w:rsidP="007F00D9">
      <w:pPr>
        <w:spacing w:after="240"/>
        <w:rPr>
          <w:rFonts w:ascii="Arial" w:hAnsi="Arial" w:cs="Arial"/>
        </w:rPr>
      </w:pPr>
      <w:r w:rsidRPr="007F00D9">
        <w:rPr>
          <w:rFonts w:ascii="Arial" w:hAnsi="Arial" w:cs="Arial"/>
        </w:rPr>
        <w:t>Implementing the strategies listed below, the California MEP expects an outcome of incr</w:t>
      </w:r>
      <w:r>
        <w:rPr>
          <w:rFonts w:ascii="Arial" w:hAnsi="Arial" w:cs="Arial"/>
        </w:rPr>
        <w:t>ease in migratory students’ English language</w:t>
      </w:r>
      <w:r w:rsidRPr="007F00D9">
        <w:rPr>
          <w:rFonts w:ascii="Arial" w:hAnsi="Arial" w:cs="Arial"/>
        </w:rPr>
        <w:t xml:space="preserve"> proficiency as illustrated by the </w:t>
      </w:r>
      <w:r>
        <w:rPr>
          <w:rFonts w:ascii="Arial" w:hAnsi="Arial" w:cs="Arial"/>
        </w:rPr>
        <w:t>ELAC</w:t>
      </w:r>
      <w:r w:rsidRPr="007F00D9">
        <w:rPr>
          <w:rFonts w:ascii="Arial" w:hAnsi="Arial" w:cs="Arial"/>
        </w:rPr>
        <w:t xml:space="preserve"> results for Overall Achievement.</w:t>
      </w:r>
    </w:p>
    <w:p w14:paraId="4464A8CA" w14:textId="77777777" w:rsidR="007F00D9" w:rsidRPr="007F00D9" w:rsidRDefault="007F00D9" w:rsidP="007F00D9">
      <w:pPr>
        <w:spacing w:after="240"/>
        <w:rPr>
          <w:rFonts w:ascii="Arial" w:hAnsi="Arial" w:cs="Arial"/>
        </w:rPr>
      </w:pPr>
    </w:p>
    <w:p w14:paraId="535F9576" w14:textId="6EE038C7" w:rsidR="0054625A" w:rsidRDefault="0054625A" w:rsidP="00694080">
      <w:pPr>
        <w:pStyle w:val="Heading6"/>
      </w:pPr>
      <w:bookmarkStart w:id="55" w:name="_Toc101961114"/>
      <w:r w:rsidRPr="005E0053">
        <w:lastRenderedPageBreak/>
        <w:t xml:space="preserve">Table </w:t>
      </w:r>
      <w:fldSimple w:instr=" SEQ Table \* ARABIC ">
        <w:r w:rsidR="00976DBD">
          <w:rPr>
            <w:noProof/>
          </w:rPr>
          <w:t>22</w:t>
        </w:r>
      </w:fldSimple>
      <w:r w:rsidRPr="005E0053">
        <w:t xml:space="preserve">. </w:t>
      </w:r>
      <w:r w:rsidR="00514084">
        <w:t xml:space="preserve">Strategies and </w:t>
      </w:r>
      <w:r w:rsidR="009074C7" w:rsidRPr="005E0053">
        <w:t>Measurable Program Objectives</w:t>
      </w:r>
      <w:r w:rsidRPr="005E0053">
        <w:t xml:space="preserve"> for Increasing English Language Proficiency</w:t>
      </w:r>
      <w:r w:rsidR="00046B4C">
        <w:t xml:space="preserve"> (Revised)</w:t>
      </w:r>
      <w:bookmarkEnd w:id="55"/>
    </w:p>
    <w:tbl>
      <w:tblPr>
        <w:tblStyle w:val="GridTable4-Accent1"/>
        <w:tblW w:w="9355" w:type="dxa"/>
        <w:tblLook w:val="0420" w:firstRow="1" w:lastRow="0" w:firstColumn="0" w:lastColumn="0" w:noHBand="0" w:noVBand="1"/>
        <w:tblDescription w:val="Strategies and Measurable Program Objectives for Increasing English Language Proficiency in Grades 7–12"/>
      </w:tblPr>
      <w:tblGrid>
        <w:gridCol w:w="4585"/>
        <w:gridCol w:w="4770"/>
      </w:tblGrid>
      <w:tr w:rsidR="0005472F" w:rsidRPr="007D443E" w14:paraId="7EC9D47B"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4585" w:type="dxa"/>
            <w:tcBorders>
              <w:right w:val="single" w:sz="4" w:space="0" w:color="4472C4"/>
            </w:tcBorders>
            <w:shd w:val="clear" w:color="auto" w:fill="1F3864" w:themeFill="accent5" w:themeFillShade="80"/>
          </w:tcPr>
          <w:p w14:paraId="14F5BE9D" w14:textId="77777777" w:rsidR="0005472F" w:rsidRPr="007D443E" w:rsidRDefault="0005472F" w:rsidP="007D443E">
            <w:pPr>
              <w:spacing w:after="120"/>
              <w:rPr>
                <w:rFonts w:ascii="Arial" w:hAnsi="Arial" w:cs="Arial"/>
                <w:color w:val="FFFFFF"/>
              </w:rPr>
            </w:pPr>
            <w:r w:rsidRPr="007D443E">
              <w:rPr>
                <w:rFonts w:ascii="Arial" w:hAnsi="Arial" w:cs="Arial"/>
                <w:color w:val="FFFFFF"/>
              </w:rPr>
              <w:t>Strategies</w:t>
            </w:r>
          </w:p>
        </w:tc>
        <w:tc>
          <w:tcPr>
            <w:tcW w:w="4770" w:type="dxa"/>
            <w:tcBorders>
              <w:left w:val="single" w:sz="4" w:space="0" w:color="4472C4"/>
            </w:tcBorders>
            <w:shd w:val="clear" w:color="auto" w:fill="1F3864" w:themeFill="accent5" w:themeFillShade="80"/>
          </w:tcPr>
          <w:p w14:paraId="329E5258" w14:textId="77777777" w:rsidR="0005472F" w:rsidRPr="007D443E" w:rsidRDefault="0005472F" w:rsidP="007D443E">
            <w:pPr>
              <w:spacing w:after="120"/>
              <w:rPr>
                <w:rFonts w:ascii="Arial" w:hAnsi="Arial" w:cs="Arial"/>
                <w:color w:val="FFFFFF"/>
              </w:rPr>
            </w:pPr>
            <w:r w:rsidRPr="007D443E">
              <w:rPr>
                <w:rFonts w:ascii="Arial" w:hAnsi="Arial" w:cs="Arial"/>
                <w:color w:val="FFFFFF"/>
              </w:rPr>
              <w:t>Measurable Program Objectives</w:t>
            </w:r>
          </w:p>
        </w:tc>
      </w:tr>
      <w:tr w:rsidR="0005472F" w:rsidRPr="007D443E" w14:paraId="62E6C856"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4585" w:type="dxa"/>
          </w:tcPr>
          <w:p w14:paraId="1FE95CB6" w14:textId="7CA2E7D4" w:rsidR="0005472F" w:rsidRPr="007D443E" w:rsidRDefault="0005472F" w:rsidP="007D443E">
            <w:pPr>
              <w:spacing w:after="120"/>
              <w:rPr>
                <w:rFonts w:ascii="Arial" w:hAnsi="Arial" w:cs="Arial"/>
              </w:rPr>
            </w:pPr>
            <w:r w:rsidRPr="007D443E">
              <w:rPr>
                <w:rFonts w:ascii="Arial" w:hAnsi="Arial" w:cs="Arial"/>
                <w:b/>
              </w:rPr>
              <w:t xml:space="preserve">Principle Strategy </w:t>
            </w:r>
            <w:r w:rsidR="001E44C7">
              <w:rPr>
                <w:rFonts w:ascii="Arial" w:hAnsi="Arial" w:cs="Arial"/>
                <w:b/>
              </w:rPr>
              <w:t>3</w:t>
            </w:r>
            <w:r w:rsidRPr="007D443E">
              <w:rPr>
                <w:rFonts w:ascii="Arial" w:hAnsi="Arial" w:cs="Arial"/>
                <w:b/>
              </w:rPr>
              <w:t xml:space="preserve">.0: </w:t>
            </w:r>
            <w:r w:rsidR="001E44C7" w:rsidRPr="007F00D9">
              <w:rPr>
                <w:rFonts w:ascii="Arial" w:hAnsi="Arial" w:cs="Arial"/>
              </w:rPr>
              <w:t>All instructional services provide integrated ELD to support academic language development and content knowledge.</w:t>
            </w:r>
          </w:p>
        </w:tc>
        <w:tc>
          <w:tcPr>
            <w:tcW w:w="4770" w:type="dxa"/>
          </w:tcPr>
          <w:p w14:paraId="5696667E" w14:textId="5999444D" w:rsidR="0005472F" w:rsidRPr="007D443E" w:rsidRDefault="0005472F" w:rsidP="007D443E">
            <w:pPr>
              <w:spacing w:after="120"/>
              <w:rPr>
                <w:rFonts w:ascii="Arial" w:hAnsi="Arial" w:cs="Arial"/>
              </w:rPr>
            </w:pPr>
            <w:r w:rsidRPr="007D443E">
              <w:rPr>
                <w:rFonts w:ascii="Arial" w:hAnsi="Arial" w:cs="Arial"/>
                <w:b/>
              </w:rPr>
              <w:t xml:space="preserve">Principle Measurable Program Objectives </w:t>
            </w:r>
            <w:r w:rsidR="001E44C7">
              <w:rPr>
                <w:rFonts w:ascii="Arial" w:hAnsi="Arial" w:cs="Arial"/>
                <w:b/>
              </w:rPr>
              <w:t>3</w:t>
            </w:r>
            <w:r w:rsidRPr="007D443E">
              <w:rPr>
                <w:rFonts w:ascii="Arial" w:hAnsi="Arial" w:cs="Arial"/>
                <w:b/>
              </w:rPr>
              <w:t xml:space="preserve">.0: </w:t>
            </w:r>
            <w:r w:rsidR="001E44C7" w:rsidRPr="001E44C7">
              <w:rPr>
                <w:rFonts w:ascii="Arial" w:hAnsi="Arial" w:cs="Arial"/>
              </w:rPr>
              <w:t>All instructional services for core content areas (e.g., ELA, math, history, science, civics) must include integrated ELD.</w:t>
            </w:r>
          </w:p>
        </w:tc>
      </w:tr>
      <w:tr w:rsidR="00867ABA" w:rsidRPr="007D443E" w14:paraId="62878038" w14:textId="77777777" w:rsidTr="00940787">
        <w:trPr>
          <w:cantSplit/>
        </w:trPr>
        <w:tc>
          <w:tcPr>
            <w:tcW w:w="4585" w:type="dxa"/>
          </w:tcPr>
          <w:p w14:paraId="4AA07FE8" w14:textId="77777777" w:rsidR="00867ABA" w:rsidRPr="00867ABA" w:rsidRDefault="00867ABA" w:rsidP="007D443E">
            <w:pPr>
              <w:spacing w:after="120"/>
              <w:rPr>
                <w:rFonts w:ascii="Arial" w:hAnsi="Arial" w:cs="Arial"/>
                <w:b/>
              </w:rPr>
            </w:pPr>
            <w:r w:rsidRPr="00867ABA">
              <w:rPr>
                <w:rFonts w:ascii="Arial" w:hAnsi="Arial" w:cs="Arial"/>
                <w:b/>
              </w:rPr>
              <w:t xml:space="preserve">Strategy 3.1: </w:t>
            </w:r>
            <w:r w:rsidRPr="00261292">
              <w:rPr>
                <w:rFonts w:ascii="Arial" w:hAnsi="Arial" w:cs="Arial"/>
              </w:rPr>
              <w:t>Subgrantees provide professional development on how to integrate ELD into all core content areas.</w:t>
            </w:r>
          </w:p>
        </w:tc>
        <w:tc>
          <w:tcPr>
            <w:tcW w:w="4770" w:type="dxa"/>
          </w:tcPr>
          <w:p w14:paraId="0A57BA01" w14:textId="77777777" w:rsidR="00867ABA" w:rsidRPr="00867ABA" w:rsidRDefault="00867ABA" w:rsidP="007D443E">
            <w:pPr>
              <w:spacing w:after="120"/>
              <w:rPr>
                <w:rFonts w:ascii="Arial" w:hAnsi="Arial" w:cs="Arial"/>
                <w:b/>
              </w:rPr>
            </w:pPr>
            <w:r w:rsidRPr="00867ABA">
              <w:rPr>
                <w:rFonts w:ascii="Arial" w:hAnsi="Arial" w:cs="Arial"/>
                <w:b/>
              </w:rPr>
              <w:t xml:space="preserve">Measurable Program Objectives 3.0: </w:t>
            </w:r>
            <w:r w:rsidRPr="00261292">
              <w:rPr>
                <w:rFonts w:ascii="Arial" w:hAnsi="Arial" w:cs="Arial"/>
              </w:rPr>
              <w:t>Subgrantees provide professional development on integrated ELD and ELD standards.</w:t>
            </w:r>
          </w:p>
        </w:tc>
      </w:tr>
    </w:tbl>
    <w:p w14:paraId="7A939EE9" w14:textId="77777777" w:rsidR="00D50E2C" w:rsidRPr="00D50E2C" w:rsidRDefault="00096581" w:rsidP="00D50E2C">
      <w:pPr>
        <w:spacing w:before="120"/>
        <w:rPr>
          <w:rFonts w:ascii="Arial" w:hAnsi="Arial" w:cs="Arial"/>
        </w:rPr>
      </w:pPr>
      <w:r w:rsidRPr="00D50E2C">
        <w:rPr>
          <w:rFonts w:ascii="Arial" w:hAnsi="Arial" w:cs="Arial"/>
        </w:rPr>
        <w:t>The</w:t>
      </w:r>
      <w:r w:rsidR="00AE46BC" w:rsidRPr="00D50E2C">
        <w:rPr>
          <w:rFonts w:ascii="Arial" w:hAnsi="Arial" w:cs="Arial"/>
        </w:rPr>
        <w:t xml:space="preserve"> revised</w:t>
      </w:r>
      <w:r w:rsidRPr="00D50E2C">
        <w:rPr>
          <w:rFonts w:ascii="Arial" w:hAnsi="Arial" w:cs="Arial"/>
        </w:rPr>
        <w:t xml:space="preserve"> performance target for Overall </w:t>
      </w:r>
      <w:r w:rsidR="0090012E" w:rsidRPr="00D50E2C">
        <w:rPr>
          <w:rFonts w:ascii="Arial" w:hAnsi="Arial" w:cs="Arial"/>
        </w:rPr>
        <w:t>English Language Proficiency</w:t>
      </w:r>
      <w:r w:rsidRPr="00D50E2C">
        <w:rPr>
          <w:rFonts w:ascii="Arial" w:hAnsi="Arial" w:cs="Arial"/>
        </w:rPr>
        <w:t xml:space="preserve"> is: By July 2023, 21.5 percent of Migratory Students will score at </w:t>
      </w:r>
      <w:r w:rsidR="00E22495" w:rsidRPr="00D50E2C">
        <w:rPr>
          <w:rFonts w:ascii="Arial" w:hAnsi="Arial" w:cs="Arial"/>
        </w:rPr>
        <w:t>proficiency</w:t>
      </w:r>
      <w:r w:rsidRPr="00D50E2C">
        <w:rPr>
          <w:rFonts w:ascii="Arial" w:hAnsi="Arial" w:cs="Arial"/>
        </w:rPr>
        <w:t xml:space="preserve"> (Level 4) on the ELPAC.</w:t>
      </w:r>
      <w:bookmarkStart w:id="56" w:name="_Toc504520864"/>
    </w:p>
    <w:p w14:paraId="7FFF75F0" w14:textId="26C8A5F6" w:rsidR="00BA5C6E" w:rsidRPr="005E0053" w:rsidRDefault="00BA5C6E" w:rsidP="00743715">
      <w:pPr>
        <w:pStyle w:val="Heading5"/>
      </w:pPr>
      <w:r w:rsidRPr="005E0053">
        <w:t>High School Graduation and Dropout Rates</w:t>
      </w:r>
      <w:bookmarkEnd w:id="56"/>
    </w:p>
    <w:p w14:paraId="065C85F5" w14:textId="77777777" w:rsidR="00B4591E" w:rsidRPr="00694080" w:rsidRDefault="003D458E" w:rsidP="00D251A0">
      <w:pPr>
        <w:rPr>
          <w:rFonts w:ascii="Arial" w:hAnsi="Arial" w:cs="Arial"/>
        </w:rPr>
      </w:pPr>
      <w:r w:rsidRPr="00694080">
        <w:rPr>
          <w:rFonts w:ascii="Arial" w:hAnsi="Arial" w:cs="Arial"/>
        </w:rPr>
        <w:t>Migratory students are closing the high school graduation gap, but there are still additional step</w:t>
      </w:r>
      <w:r w:rsidR="001745B0" w:rsidRPr="00694080">
        <w:rPr>
          <w:rFonts w:ascii="Arial" w:hAnsi="Arial" w:cs="Arial"/>
        </w:rPr>
        <w:t>s MEPs can take to ensure that m</w:t>
      </w:r>
      <w:r w:rsidRPr="00694080">
        <w:rPr>
          <w:rFonts w:ascii="Arial" w:hAnsi="Arial" w:cs="Arial"/>
        </w:rPr>
        <w:t xml:space="preserve">igratory </w:t>
      </w:r>
      <w:r w:rsidR="001745B0" w:rsidRPr="00694080">
        <w:rPr>
          <w:rFonts w:ascii="Arial" w:hAnsi="Arial" w:cs="Arial"/>
        </w:rPr>
        <w:t>s</w:t>
      </w:r>
      <w:r w:rsidR="0007494A" w:rsidRPr="00694080">
        <w:rPr>
          <w:rFonts w:ascii="Arial" w:hAnsi="Arial" w:cs="Arial"/>
        </w:rPr>
        <w:t>tudent</w:t>
      </w:r>
      <w:r w:rsidRPr="00694080">
        <w:rPr>
          <w:rFonts w:ascii="Arial" w:hAnsi="Arial" w:cs="Arial"/>
        </w:rPr>
        <w:t xml:space="preserve"> high school graduation</w:t>
      </w:r>
      <w:r w:rsidR="0007494A" w:rsidRPr="00694080">
        <w:rPr>
          <w:rFonts w:ascii="Arial" w:hAnsi="Arial" w:cs="Arial"/>
        </w:rPr>
        <w:t xml:space="preserve"> rates</w:t>
      </w:r>
      <w:r w:rsidRPr="00694080">
        <w:rPr>
          <w:rFonts w:ascii="Arial" w:hAnsi="Arial" w:cs="Arial"/>
        </w:rPr>
        <w:t xml:space="preserve"> continue to improve. </w:t>
      </w:r>
      <w:r w:rsidR="0007494A" w:rsidRPr="00694080">
        <w:rPr>
          <w:rFonts w:ascii="Arial" w:hAnsi="Arial" w:cs="Arial"/>
        </w:rPr>
        <w:t>Tables 25 and 26 identify</w:t>
      </w:r>
      <w:r w:rsidR="00B4591E" w:rsidRPr="00694080">
        <w:rPr>
          <w:rFonts w:ascii="Arial" w:hAnsi="Arial" w:cs="Arial"/>
        </w:rPr>
        <w:t xml:space="preserve"> the strategies</w:t>
      </w:r>
      <w:r w:rsidR="00021FEA">
        <w:rPr>
          <w:rFonts w:ascii="Arial" w:hAnsi="Arial" w:cs="Arial"/>
        </w:rPr>
        <w:t xml:space="preserve"> and</w:t>
      </w:r>
      <w:r w:rsidR="00B4591E" w:rsidRPr="00694080">
        <w:rPr>
          <w:rFonts w:ascii="Arial" w:hAnsi="Arial" w:cs="Arial"/>
        </w:rPr>
        <w:t xml:space="preserve"> </w:t>
      </w:r>
      <w:r w:rsidR="009074C7" w:rsidRPr="00694080">
        <w:rPr>
          <w:rFonts w:ascii="Arial" w:hAnsi="Arial" w:cs="Arial"/>
        </w:rPr>
        <w:t>MPOs</w:t>
      </w:r>
      <w:r w:rsidR="00B4591E" w:rsidRPr="00694080">
        <w:rPr>
          <w:rFonts w:ascii="Arial" w:hAnsi="Arial" w:cs="Arial"/>
        </w:rPr>
        <w:t xml:space="preserve"> for increasing high school graduation</w:t>
      </w:r>
      <w:r w:rsidR="0007494A" w:rsidRPr="00694080">
        <w:rPr>
          <w:rFonts w:ascii="Arial" w:hAnsi="Arial" w:cs="Arial"/>
        </w:rPr>
        <w:t xml:space="preserve"> rates</w:t>
      </w:r>
      <w:r w:rsidR="00B4591E" w:rsidRPr="00694080">
        <w:rPr>
          <w:rFonts w:ascii="Arial" w:hAnsi="Arial" w:cs="Arial"/>
        </w:rPr>
        <w:t xml:space="preserve"> and decreasing dropout rates respectively.</w:t>
      </w:r>
      <w:r w:rsidR="00021FEA">
        <w:rPr>
          <w:rFonts w:ascii="Arial" w:hAnsi="Arial" w:cs="Arial"/>
        </w:rPr>
        <w:t xml:space="preserve"> MEP-specific performance targets follow each table.</w:t>
      </w:r>
    </w:p>
    <w:p w14:paraId="268BC5AC" w14:textId="7FBE8E68" w:rsidR="0005472F" w:rsidRPr="00694080" w:rsidRDefault="0005472F" w:rsidP="00694080">
      <w:pPr>
        <w:spacing w:before="240" w:after="240"/>
        <w:rPr>
          <w:rFonts w:ascii="Arial" w:hAnsi="Arial" w:cs="Arial"/>
        </w:rPr>
      </w:pPr>
      <w:r w:rsidRPr="00694080">
        <w:rPr>
          <w:rFonts w:ascii="Arial" w:hAnsi="Arial" w:cs="Arial"/>
        </w:rPr>
        <w:t xml:space="preserve">The committee prioritized increasing high school graduation as an outcome as shown by the state high school graduation rate. </w:t>
      </w:r>
      <w:r w:rsidR="00940589">
        <w:rPr>
          <w:rFonts w:ascii="Arial" w:hAnsi="Arial" w:cs="Arial"/>
        </w:rPr>
        <w:t>The CNA/SSDP Committee</w:t>
      </w:r>
      <w:r w:rsidR="00940589" w:rsidRPr="00694080">
        <w:rPr>
          <w:rFonts w:ascii="Arial" w:hAnsi="Arial" w:cs="Arial"/>
        </w:rPr>
        <w:t xml:space="preserve"> </w:t>
      </w:r>
      <w:r w:rsidRPr="00694080">
        <w:rPr>
          <w:rFonts w:ascii="Arial" w:hAnsi="Arial" w:cs="Arial"/>
        </w:rPr>
        <w:t xml:space="preserve">also prioritized decreasing the migratory student drop out as an expected outcome. The following data led to the </w:t>
      </w:r>
      <w:proofErr w:type="spellStart"/>
      <w:r w:rsidR="00940589">
        <w:rPr>
          <w:rFonts w:ascii="Arial" w:hAnsi="Arial" w:cs="Arial"/>
        </w:rPr>
        <w:t>commitee</w:t>
      </w:r>
      <w:proofErr w:type="spellEnd"/>
      <w:r w:rsidR="00940589" w:rsidRPr="00694080">
        <w:rPr>
          <w:rFonts w:ascii="Arial" w:hAnsi="Arial" w:cs="Arial"/>
        </w:rPr>
        <w:t xml:space="preserve"> </w:t>
      </w:r>
      <w:r w:rsidRPr="00694080">
        <w:rPr>
          <w:rFonts w:ascii="Arial" w:hAnsi="Arial" w:cs="Arial"/>
        </w:rPr>
        <w:t>prioritizing these two focus areas.</w:t>
      </w:r>
    </w:p>
    <w:p w14:paraId="5B2B1DC4" w14:textId="77777777" w:rsidR="0005472F" w:rsidRPr="00694080" w:rsidRDefault="0005472F" w:rsidP="007D443E">
      <w:pPr>
        <w:pStyle w:val="ListParagraph"/>
        <w:widowControl w:val="0"/>
        <w:numPr>
          <w:ilvl w:val="0"/>
          <w:numId w:val="62"/>
        </w:numPr>
        <w:autoSpaceDE w:val="0"/>
        <w:autoSpaceDN w:val="0"/>
        <w:adjustRightInd w:val="0"/>
        <w:spacing w:after="240"/>
        <w:contextualSpacing w:val="0"/>
        <w:rPr>
          <w:rFonts w:ascii="Arial" w:hAnsi="Arial" w:cs="Arial"/>
        </w:rPr>
      </w:pPr>
      <w:r w:rsidRPr="00694080">
        <w:rPr>
          <w:rFonts w:ascii="Arial" w:hAnsi="Arial" w:cs="Arial"/>
        </w:rPr>
        <w:t xml:space="preserve">Eighty-two percent or Migratory Students graduated high school in 2015–16. </w:t>
      </w:r>
    </w:p>
    <w:p w14:paraId="2021D095" w14:textId="77777777" w:rsidR="0005472F" w:rsidRPr="00694080" w:rsidRDefault="0005472F" w:rsidP="007D443E">
      <w:pPr>
        <w:pStyle w:val="ListParagraph"/>
        <w:widowControl w:val="0"/>
        <w:numPr>
          <w:ilvl w:val="0"/>
          <w:numId w:val="62"/>
        </w:numPr>
        <w:autoSpaceDE w:val="0"/>
        <w:autoSpaceDN w:val="0"/>
        <w:adjustRightInd w:val="0"/>
        <w:spacing w:after="240"/>
        <w:contextualSpacing w:val="0"/>
        <w:rPr>
          <w:rFonts w:ascii="Arial" w:hAnsi="Arial" w:cs="Arial"/>
        </w:rPr>
      </w:pPr>
      <w:r w:rsidRPr="00694080">
        <w:rPr>
          <w:rFonts w:ascii="Arial" w:hAnsi="Arial" w:cs="Arial"/>
        </w:rPr>
        <w:t>In 2015–16, the gap for high school graduation increased by a tenth of a percent to 1.6 percent. Migratory students were 1.5 percent less likely to graduate than All Students in 2014–15; a 3.2 percent decrease from 2013–14. The gap stayed fairly consistent from 2010–11 to 2013–14 at between four and five percent.</w:t>
      </w:r>
    </w:p>
    <w:p w14:paraId="4C4B9894" w14:textId="77777777" w:rsidR="0005472F" w:rsidRPr="00694080" w:rsidRDefault="0005472F" w:rsidP="007D443E">
      <w:pPr>
        <w:pStyle w:val="ListParagraph"/>
        <w:widowControl w:val="0"/>
        <w:numPr>
          <w:ilvl w:val="0"/>
          <w:numId w:val="62"/>
        </w:numPr>
        <w:autoSpaceDE w:val="0"/>
        <w:autoSpaceDN w:val="0"/>
        <w:adjustRightInd w:val="0"/>
        <w:spacing w:after="240"/>
        <w:contextualSpacing w:val="0"/>
        <w:rPr>
          <w:rFonts w:ascii="Arial" w:hAnsi="Arial" w:cs="Arial"/>
        </w:rPr>
      </w:pPr>
      <w:r w:rsidRPr="00694080">
        <w:rPr>
          <w:rFonts w:ascii="Arial" w:hAnsi="Arial" w:cs="Arial"/>
        </w:rPr>
        <w:t>Migratory Students were six tenths of a percentage more likely to drop out of high school in 2015–16.</w:t>
      </w:r>
    </w:p>
    <w:p w14:paraId="0B29454E" w14:textId="77777777" w:rsidR="0005472F" w:rsidRPr="00694080" w:rsidRDefault="0005472F" w:rsidP="0005472F">
      <w:pPr>
        <w:spacing w:after="240"/>
        <w:rPr>
          <w:rFonts w:ascii="Arial" w:hAnsi="Arial" w:cs="Arial"/>
        </w:rPr>
      </w:pPr>
      <w:r w:rsidRPr="00694080">
        <w:rPr>
          <w:rFonts w:ascii="Arial" w:hAnsi="Arial" w:cs="Arial"/>
        </w:rPr>
        <w:t>Implementing the strategies listed below (identical for graduation and dropout), the California MEP expects to increase migratory students’ graduation rate while decreasing the dropout rate. The MEP-specific performance target is identified following each table.</w:t>
      </w:r>
    </w:p>
    <w:p w14:paraId="49546527" w14:textId="77777777" w:rsidR="0005472F" w:rsidRPr="0005472F" w:rsidRDefault="0005472F" w:rsidP="00514084">
      <w:pPr>
        <w:pStyle w:val="Heading6"/>
        <w:spacing w:after="120"/>
        <w:jc w:val="center"/>
      </w:pPr>
      <w:r w:rsidRPr="0005472F">
        <w:lastRenderedPageBreak/>
        <w:t>GOAL AREA: High School Graduation Rate</w:t>
      </w:r>
    </w:p>
    <w:p w14:paraId="45B95C43" w14:textId="18088B09" w:rsidR="00BA5C6E" w:rsidRDefault="0054625A" w:rsidP="00694080">
      <w:pPr>
        <w:pStyle w:val="Heading6"/>
        <w:spacing w:before="0"/>
      </w:pPr>
      <w:bookmarkStart w:id="57" w:name="_Toc101961115"/>
      <w:r w:rsidRPr="005E0053">
        <w:t xml:space="preserve">Table </w:t>
      </w:r>
      <w:fldSimple w:instr=" SEQ Table \* ARABIC ">
        <w:r w:rsidR="00967232">
          <w:rPr>
            <w:noProof/>
          </w:rPr>
          <w:t>23</w:t>
        </w:r>
      </w:fldSimple>
      <w:r w:rsidR="002535A7" w:rsidRPr="005E0053">
        <w:t>. Strategie</w:t>
      </w:r>
      <w:r w:rsidR="00514084">
        <w:t xml:space="preserve">s and </w:t>
      </w:r>
      <w:r w:rsidR="009074C7" w:rsidRPr="005E0053">
        <w:t>Measurable Program Objectives</w:t>
      </w:r>
      <w:r w:rsidR="002E7853" w:rsidRPr="005E0053">
        <w:t xml:space="preserve"> for I</w:t>
      </w:r>
      <w:r w:rsidRPr="005E0053">
        <w:t>ncreasing the High School Graduation Rate</w:t>
      </w:r>
      <w:r w:rsidR="00046B4C">
        <w:t xml:space="preserve"> (Revised)</w:t>
      </w:r>
      <w:bookmarkEnd w:id="57"/>
    </w:p>
    <w:tbl>
      <w:tblPr>
        <w:tblStyle w:val="GridTable4-Accent1"/>
        <w:tblW w:w="9895" w:type="dxa"/>
        <w:tblLook w:val="0420" w:firstRow="1" w:lastRow="0" w:firstColumn="0" w:lastColumn="0" w:noHBand="0" w:noVBand="1"/>
        <w:tblDescription w:val="Strategies and Measurable Program Objectives for Increasing the High School Graduation Rate"/>
      </w:tblPr>
      <w:tblGrid>
        <w:gridCol w:w="3690"/>
        <w:gridCol w:w="6205"/>
      </w:tblGrid>
      <w:tr w:rsidR="0005472F" w:rsidRPr="007D443E" w14:paraId="11F78878"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3690" w:type="dxa"/>
            <w:tcBorders>
              <w:right w:val="single" w:sz="4" w:space="0" w:color="4472C4"/>
            </w:tcBorders>
            <w:shd w:val="clear" w:color="auto" w:fill="1F3864" w:themeFill="accent5" w:themeFillShade="80"/>
          </w:tcPr>
          <w:p w14:paraId="73156109" w14:textId="77777777" w:rsidR="0005472F" w:rsidRPr="007D443E" w:rsidRDefault="0005472F" w:rsidP="007D443E">
            <w:pPr>
              <w:spacing w:line="276" w:lineRule="auto"/>
              <w:rPr>
                <w:rFonts w:ascii="Arial" w:hAnsi="Arial" w:cs="Arial"/>
                <w:color w:val="FFFFFF"/>
              </w:rPr>
            </w:pPr>
            <w:r w:rsidRPr="007D443E">
              <w:rPr>
                <w:rFonts w:ascii="Arial" w:hAnsi="Arial" w:cs="Arial"/>
                <w:color w:val="FFFFFF"/>
              </w:rPr>
              <w:t>Strategies</w:t>
            </w:r>
          </w:p>
        </w:tc>
        <w:tc>
          <w:tcPr>
            <w:tcW w:w="6205" w:type="dxa"/>
            <w:tcBorders>
              <w:left w:val="single" w:sz="4" w:space="0" w:color="4472C4"/>
            </w:tcBorders>
            <w:shd w:val="clear" w:color="auto" w:fill="1F3864" w:themeFill="accent5" w:themeFillShade="80"/>
          </w:tcPr>
          <w:p w14:paraId="1638894A" w14:textId="77777777" w:rsidR="0005472F" w:rsidRPr="007D443E" w:rsidRDefault="0005472F" w:rsidP="007D443E">
            <w:pPr>
              <w:spacing w:line="276" w:lineRule="auto"/>
              <w:rPr>
                <w:rFonts w:ascii="Arial" w:hAnsi="Arial" w:cs="Arial"/>
                <w:color w:val="FFFFFF"/>
              </w:rPr>
            </w:pPr>
            <w:r w:rsidRPr="007D443E">
              <w:rPr>
                <w:rFonts w:ascii="Arial" w:hAnsi="Arial" w:cs="Arial"/>
                <w:color w:val="FFFFFF"/>
              </w:rPr>
              <w:t>Measurable Program Objectives</w:t>
            </w:r>
          </w:p>
        </w:tc>
      </w:tr>
      <w:tr w:rsidR="0005472F" w:rsidRPr="007D443E" w14:paraId="616A15BE"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690" w:type="dxa"/>
          </w:tcPr>
          <w:p w14:paraId="603B19FD" w14:textId="77777777" w:rsidR="0005472F" w:rsidRPr="007D443E" w:rsidRDefault="0005472F" w:rsidP="003820A9">
            <w:pPr>
              <w:spacing w:after="120"/>
              <w:rPr>
                <w:rFonts w:ascii="Arial" w:hAnsi="Arial" w:cs="Arial"/>
              </w:rPr>
            </w:pPr>
            <w:r w:rsidRPr="007D443E">
              <w:rPr>
                <w:rFonts w:ascii="Arial" w:hAnsi="Arial" w:cs="Arial"/>
                <w:b/>
              </w:rPr>
              <w:t xml:space="preserve">Principle Strategy 5.0: </w:t>
            </w:r>
            <w:r w:rsidRPr="007D443E">
              <w:rPr>
                <w:rFonts w:ascii="Arial" w:hAnsi="Arial" w:cs="Arial"/>
              </w:rPr>
              <w:t xml:space="preserve">Offer case management services to migratory students at risk of not graduating high school. </w:t>
            </w:r>
            <w:r w:rsidRPr="007D443E">
              <w:rPr>
                <w:rStyle w:val="FootnoteReference"/>
                <w:rFonts w:ascii="Arial" w:hAnsi="Arial" w:cs="Arial"/>
              </w:rPr>
              <w:footnoteReference w:id="22"/>
            </w:r>
          </w:p>
        </w:tc>
        <w:tc>
          <w:tcPr>
            <w:tcW w:w="6205" w:type="dxa"/>
          </w:tcPr>
          <w:p w14:paraId="5660FA2B" w14:textId="322EF168" w:rsidR="0005472F" w:rsidRPr="007D443E" w:rsidRDefault="0005472F" w:rsidP="003820A9">
            <w:pPr>
              <w:spacing w:after="120"/>
              <w:rPr>
                <w:rFonts w:ascii="Arial" w:hAnsi="Arial" w:cs="Arial"/>
              </w:rPr>
            </w:pPr>
            <w:r w:rsidRPr="007D443E">
              <w:rPr>
                <w:rFonts w:ascii="Arial" w:hAnsi="Arial" w:cs="Arial"/>
                <w:b/>
              </w:rPr>
              <w:t>Principle Measurable Program Objective 5.0</w:t>
            </w:r>
            <w:r w:rsidRPr="007D443E">
              <w:rPr>
                <w:rFonts w:ascii="Arial" w:hAnsi="Arial" w:cs="Arial"/>
              </w:rPr>
              <w:t>Each year, 80 percent of migratory 9</w:t>
            </w:r>
            <w:r w:rsidRPr="007D443E">
              <w:rPr>
                <w:rFonts w:ascii="Arial" w:hAnsi="Arial" w:cs="Arial"/>
                <w:vertAlign w:val="superscript"/>
              </w:rPr>
              <w:t>th</w:t>
            </w:r>
            <w:r w:rsidRPr="007D443E">
              <w:rPr>
                <w:rFonts w:ascii="Arial" w:hAnsi="Arial" w:cs="Arial"/>
              </w:rPr>
              <w:t xml:space="preserve"> grade students who scored Below Standard on their 8</w:t>
            </w:r>
            <w:r w:rsidRPr="007D443E">
              <w:rPr>
                <w:rFonts w:ascii="Arial" w:hAnsi="Arial" w:cs="Arial"/>
                <w:vertAlign w:val="superscript"/>
              </w:rPr>
              <w:t>th</w:t>
            </w:r>
            <w:r w:rsidRPr="007D443E">
              <w:rPr>
                <w:rFonts w:ascii="Arial" w:hAnsi="Arial" w:cs="Arial"/>
              </w:rPr>
              <w:t xml:space="preserve"> grade ELA and/or Math Smarter Balanced Assessments w</w:t>
            </w:r>
            <w:r w:rsidR="00867ABA">
              <w:rPr>
                <w:rFonts w:ascii="Arial" w:hAnsi="Arial" w:cs="Arial"/>
              </w:rPr>
              <w:t>ill receive case management services</w:t>
            </w:r>
            <w:r w:rsidRPr="007D443E">
              <w:rPr>
                <w:rFonts w:ascii="Arial" w:hAnsi="Arial" w:cs="Arial"/>
              </w:rPr>
              <w:t>.</w:t>
            </w:r>
            <w:r w:rsidRPr="007D443E">
              <w:rPr>
                <w:rStyle w:val="FootnoteReference"/>
                <w:rFonts w:ascii="Arial" w:hAnsi="Arial" w:cs="Arial"/>
              </w:rPr>
              <w:footnoteReference w:id="23"/>
            </w:r>
            <w:r w:rsidRPr="007D443E">
              <w:rPr>
                <w:rFonts w:ascii="Arial" w:hAnsi="Arial" w:cs="Arial"/>
                <w:vertAlign w:val="superscript"/>
              </w:rPr>
              <w:t>,</w:t>
            </w:r>
            <w:r w:rsidRPr="007D443E">
              <w:rPr>
                <w:rStyle w:val="FootnoteReference"/>
                <w:rFonts w:ascii="Arial" w:hAnsi="Arial" w:cs="Arial"/>
              </w:rPr>
              <w:footnoteReference w:id="24"/>
            </w:r>
          </w:p>
        </w:tc>
      </w:tr>
      <w:tr w:rsidR="0005472F" w:rsidRPr="007D443E" w14:paraId="20D1BA06" w14:textId="77777777" w:rsidTr="00940787">
        <w:trPr>
          <w:cantSplit/>
          <w:trHeight w:val="251"/>
        </w:trPr>
        <w:tc>
          <w:tcPr>
            <w:tcW w:w="3690" w:type="dxa"/>
          </w:tcPr>
          <w:p w14:paraId="3DD0F6DC" w14:textId="77777777" w:rsidR="0005472F" w:rsidRPr="007D443E" w:rsidRDefault="0005472F" w:rsidP="007D443E">
            <w:pPr>
              <w:spacing w:after="120"/>
              <w:rPr>
                <w:rFonts w:ascii="Arial" w:hAnsi="Arial" w:cs="Arial"/>
              </w:rPr>
            </w:pPr>
            <w:r w:rsidRPr="007D443E">
              <w:rPr>
                <w:rFonts w:ascii="Arial" w:hAnsi="Arial" w:cs="Arial"/>
                <w:b/>
              </w:rPr>
              <w:t xml:space="preserve">Strategy 5.1: </w:t>
            </w:r>
            <w:r w:rsidRPr="007D443E">
              <w:rPr>
                <w:rFonts w:ascii="Arial" w:hAnsi="Arial" w:cs="Arial"/>
              </w:rPr>
              <w:t>Offer credit accrual and recovery services to migratory 11</w:t>
            </w:r>
            <w:r w:rsidRPr="007D443E">
              <w:rPr>
                <w:rFonts w:ascii="Arial" w:hAnsi="Arial" w:cs="Arial"/>
                <w:vertAlign w:val="superscript"/>
              </w:rPr>
              <w:t>th</w:t>
            </w:r>
            <w:r w:rsidRPr="007D443E">
              <w:rPr>
                <w:rFonts w:ascii="Arial" w:hAnsi="Arial" w:cs="Arial"/>
              </w:rPr>
              <w:t xml:space="preserve"> and 12</w:t>
            </w:r>
            <w:r w:rsidRPr="007D443E">
              <w:rPr>
                <w:rFonts w:ascii="Arial" w:hAnsi="Arial" w:cs="Arial"/>
                <w:vertAlign w:val="superscript"/>
              </w:rPr>
              <w:t>th</w:t>
            </w:r>
            <w:r w:rsidRPr="007D443E">
              <w:rPr>
                <w:rFonts w:ascii="Arial" w:hAnsi="Arial" w:cs="Arial"/>
              </w:rPr>
              <w:t xml:space="preserve"> grade migratory high school students who are credit deficient and are at risk of not graduating.</w:t>
            </w:r>
          </w:p>
        </w:tc>
        <w:tc>
          <w:tcPr>
            <w:tcW w:w="6205" w:type="dxa"/>
          </w:tcPr>
          <w:p w14:paraId="149B31C9" w14:textId="59800A40" w:rsidR="0005472F" w:rsidRPr="007D443E" w:rsidRDefault="0005472F" w:rsidP="007D443E">
            <w:pPr>
              <w:spacing w:after="120"/>
              <w:rPr>
                <w:rFonts w:ascii="Arial" w:hAnsi="Arial" w:cs="Arial"/>
              </w:rPr>
            </w:pPr>
            <w:r w:rsidRPr="007D443E">
              <w:rPr>
                <w:rFonts w:ascii="Arial" w:hAnsi="Arial" w:cs="Arial"/>
                <w:b/>
              </w:rPr>
              <w:t xml:space="preserve">Measurable Program Objective 5.1: </w:t>
            </w:r>
            <w:r w:rsidRPr="007D443E">
              <w:rPr>
                <w:rFonts w:ascii="Arial" w:hAnsi="Arial" w:cs="Arial"/>
              </w:rPr>
              <w:t>Each year, 80 percent of migratory</w:t>
            </w:r>
            <w:r w:rsidR="00867ABA">
              <w:rPr>
                <w:rFonts w:ascii="Arial" w:hAnsi="Arial" w:cs="Arial"/>
              </w:rPr>
              <w:t xml:space="preserve"> 11</w:t>
            </w:r>
            <w:r w:rsidR="00867ABA" w:rsidRPr="00CB78C9">
              <w:rPr>
                <w:rFonts w:ascii="Arial" w:hAnsi="Arial" w:cs="Arial"/>
                <w:vertAlign w:val="superscript"/>
              </w:rPr>
              <w:t>th</w:t>
            </w:r>
            <w:r w:rsidR="00867ABA">
              <w:rPr>
                <w:rFonts w:ascii="Arial" w:hAnsi="Arial" w:cs="Arial"/>
              </w:rPr>
              <w:t xml:space="preserve"> and 12</w:t>
            </w:r>
            <w:r w:rsidR="00867ABA" w:rsidRPr="00CB78C9">
              <w:rPr>
                <w:rFonts w:ascii="Arial" w:hAnsi="Arial" w:cs="Arial"/>
                <w:vertAlign w:val="superscript"/>
              </w:rPr>
              <w:t>th</w:t>
            </w:r>
            <w:r w:rsidR="00867ABA">
              <w:rPr>
                <w:rFonts w:ascii="Arial" w:hAnsi="Arial" w:cs="Arial"/>
              </w:rPr>
              <w:t xml:space="preserve"> grade</w:t>
            </w:r>
            <w:r w:rsidRPr="007D443E">
              <w:rPr>
                <w:rFonts w:ascii="Arial" w:hAnsi="Arial" w:cs="Arial"/>
              </w:rPr>
              <w:t xml:space="preserve"> high school students who are credit deficient </w:t>
            </w:r>
            <w:r w:rsidR="00867ABA">
              <w:rPr>
                <w:rFonts w:ascii="Arial" w:hAnsi="Arial" w:cs="Arial"/>
              </w:rPr>
              <w:t>participate in</w:t>
            </w:r>
            <w:r w:rsidRPr="007D443E">
              <w:rPr>
                <w:rFonts w:ascii="Arial" w:hAnsi="Arial" w:cs="Arial"/>
              </w:rPr>
              <w:t xml:space="preserve"> up to two courses through credit accrual services during the regular school year and up to three courses for credit during summer school if present.</w:t>
            </w:r>
          </w:p>
        </w:tc>
      </w:tr>
    </w:tbl>
    <w:p w14:paraId="28DA2F07" w14:textId="4DEFE398" w:rsidR="0005472F" w:rsidRDefault="0005472F" w:rsidP="00694080">
      <w:pPr>
        <w:spacing w:before="240" w:after="240"/>
        <w:rPr>
          <w:rFonts w:ascii="Arial" w:hAnsi="Arial" w:cs="Arial"/>
        </w:rPr>
      </w:pPr>
      <w:r w:rsidRPr="00694080">
        <w:rPr>
          <w:rFonts w:ascii="Arial" w:hAnsi="Arial" w:cs="Arial"/>
        </w:rPr>
        <w:t xml:space="preserve">The </w:t>
      </w:r>
      <w:r w:rsidR="0090012E">
        <w:rPr>
          <w:rFonts w:ascii="Arial" w:hAnsi="Arial" w:cs="Arial"/>
        </w:rPr>
        <w:t xml:space="preserve">revised </w:t>
      </w:r>
      <w:r w:rsidRPr="00694080">
        <w:rPr>
          <w:rFonts w:ascii="Arial" w:hAnsi="Arial" w:cs="Arial"/>
        </w:rPr>
        <w:t>MEP-specific performance target is</w:t>
      </w:r>
      <w:r w:rsidR="0090012E">
        <w:rPr>
          <w:rFonts w:ascii="Arial" w:hAnsi="Arial" w:cs="Arial"/>
        </w:rPr>
        <w:t xml:space="preserve"> as follows</w:t>
      </w:r>
      <w:r w:rsidRPr="00694080">
        <w:rPr>
          <w:rFonts w:ascii="Arial" w:hAnsi="Arial" w:cs="Arial"/>
        </w:rPr>
        <w:t xml:space="preserve">: </w:t>
      </w:r>
      <w:r w:rsidR="00096581" w:rsidRPr="00E22495">
        <w:rPr>
          <w:rFonts w:ascii="Arial" w:hAnsi="Arial" w:cs="Arial"/>
        </w:rPr>
        <w:t>By July 2023, Migratory Students will have a graduation rate of at least 82.50 percent.</w:t>
      </w:r>
    </w:p>
    <w:p w14:paraId="64B5EA64" w14:textId="06FB1CA2" w:rsidR="0046651C" w:rsidRDefault="0046651C" w:rsidP="00694080">
      <w:pPr>
        <w:spacing w:before="240" w:after="240"/>
        <w:rPr>
          <w:rFonts w:ascii="Arial" w:hAnsi="Arial" w:cs="Arial"/>
        </w:rPr>
      </w:pPr>
      <w:r>
        <w:rPr>
          <w:rFonts w:ascii="Arial" w:hAnsi="Arial" w:cs="Arial"/>
        </w:rPr>
        <w:t xml:space="preserve">The MEP also focuses on reducing the high school dropout rate. </w:t>
      </w:r>
      <w:r w:rsidR="00940589">
        <w:rPr>
          <w:rFonts w:ascii="Arial" w:hAnsi="Arial" w:cs="Arial"/>
        </w:rPr>
        <w:t xml:space="preserve">Subcommittee members </w:t>
      </w:r>
      <w:r>
        <w:rPr>
          <w:rFonts w:ascii="Arial" w:hAnsi="Arial" w:cs="Arial"/>
        </w:rPr>
        <w:t xml:space="preserve">reviewed dropout data over a </w:t>
      </w:r>
      <w:proofErr w:type="gramStart"/>
      <w:r>
        <w:rPr>
          <w:rFonts w:ascii="Arial" w:hAnsi="Arial" w:cs="Arial"/>
        </w:rPr>
        <w:t>five year</w:t>
      </w:r>
      <w:proofErr w:type="gramEnd"/>
      <w:r>
        <w:rPr>
          <w:rFonts w:ascii="Arial" w:hAnsi="Arial" w:cs="Arial"/>
        </w:rPr>
        <w:t xml:space="preserve"> period from 2010–11 through 2015–2016.</w:t>
      </w:r>
    </w:p>
    <w:p w14:paraId="392C9C82" w14:textId="77777777" w:rsidR="0046651C" w:rsidRPr="00967232" w:rsidRDefault="0046651C" w:rsidP="0046651C">
      <w:pPr>
        <w:pStyle w:val="ListParagraph"/>
        <w:numPr>
          <w:ilvl w:val="0"/>
          <w:numId w:val="24"/>
        </w:numPr>
        <w:spacing w:after="240"/>
        <w:ind w:left="346"/>
        <w:contextualSpacing w:val="0"/>
        <w:rPr>
          <w:rFonts w:ascii="Arial" w:hAnsi="Arial" w:cs="Arial"/>
        </w:rPr>
      </w:pPr>
      <w:r w:rsidRPr="00967232">
        <w:rPr>
          <w:rFonts w:ascii="Arial" w:hAnsi="Arial" w:cs="Arial"/>
        </w:rPr>
        <w:t>Migratory Students: 10.4 percent dropped out of high school in 2015–16.</w:t>
      </w:r>
    </w:p>
    <w:p w14:paraId="08AE3248" w14:textId="77777777" w:rsidR="0046651C" w:rsidRPr="0046651C" w:rsidRDefault="0046651C" w:rsidP="0046651C">
      <w:pPr>
        <w:pStyle w:val="ListParagraph"/>
        <w:numPr>
          <w:ilvl w:val="0"/>
          <w:numId w:val="24"/>
        </w:numPr>
        <w:spacing w:after="240"/>
        <w:ind w:left="346"/>
        <w:contextualSpacing w:val="0"/>
        <w:rPr>
          <w:rFonts w:ascii="Arial" w:hAnsi="Arial" w:cs="Arial"/>
        </w:rPr>
      </w:pPr>
      <w:r w:rsidRPr="00967232">
        <w:rPr>
          <w:rFonts w:ascii="Arial" w:hAnsi="Arial" w:cs="Arial"/>
        </w:rPr>
        <w:t>All Students:</w:t>
      </w:r>
      <w:r w:rsidRPr="0046651C">
        <w:rPr>
          <w:rFonts w:ascii="Arial" w:hAnsi="Arial" w:cs="Arial"/>
        </w:rPr>
        <w:t xml:space="preserve"> 9.8 percent dropped out of high school in 2015–16.</w:t>
      </w:r>
    </w:p>
    <w:p w14:paraId="5B2C0CD5" w14:textId="77777777" w:rsidR="0046651C" w:rsidRPr="0046651C" w:rsidRDefault="0046651C" w:rsidP="0046651C">
      <w:pPr>
        <w:pStyle w:val="ListParagraph"/>
        <w:numPr>
          <w:ilvl w:val="0"/>
          <w:numId w:val="24"/>
        </w:numPr>
        <w:spacing w:after="240"/>
        <w:ind w:left="346"/>
        <w:contextualSpacing w:val="0"/>
        <w:rPr>
          <w:rFonts w:ascii="Arial" w:hAnsi="Arial" w:cs="Arial"/>
        </w:rPr>
      </w:pPr>
      <w:r w:rsidRPr="0046651C">
        <w:rPr>
          <w:rFonts w:ascii="Arial" w:hAnsi="Arial" w:cs="Arial"/>
        </w:rPr>
        <w:t xml:space="preserve">Migratory student dropout rate has steadily decreased since 2010–11. </w:t>
      </w:r>
    </w:p>
    <w:p w14:paraId="3108B285" w14:textId="43F539DF" w:rsidR="0046651C" w:rsidRDefault="0046651C" w:rsidP="0046651C">
      <w:pPr>
        <w:pStyle w:val="ListParagraph"/>
        <w:numPr>
          <w:ilvl w:val="0"/>
          <w:numId w:val="24"/>
        </w:numPr>
        <w:spacing w:after="240"/>
        <w:ind w:left="346"/>
        <w:contextualSpacing w:val="0"/>
        <w:rPr>
          <w:rFonts w:ascii="Arial" w:hAnsi="Arial" w:cs="Arial"/>
        </w:rPr>
      </w:pPr>
      <w:r w:rsidRPr="0046651C">
        <w:rPr>
          <w:rFonts w:ascii="Arial" w:hAnsi="Arial" w:cs="Arial"/>
        </w:rPr>
        <w:t>Migratory students were six tenths of a percentage more likely to drop out of high school in 2015–16.</w:t>
      </w:r>
    </w:p>
    <w:p w14:paraId="45241702" w14:textId="1BE2B268" w:rsidR="0046651C" w:rsidRPr="0046651C" w:rsidRDefault="0046651C" w:rsidP="0046651C">
      <w:pPr>
        <w:spacing w:after="240"/>
        <w:rPr>
          <w:rFonts w:ascii="Arial" w:hAnsi="Arial" w:cs="Arial"/>
        </w:rPr>
      </w:pPr>
      <w:r>
        <w:rPr>
          <w:rFonts w:ascii="Arial" w:hAnsi="Arial" w:cs="Arial"/>
        </w:rPr>
        <w:lastRenderedPageBreak/>
        <w:t>Strategies to increase high school graduation rates are the same as strategies to decrease high school graduation rates</w:t>
      </w:r>
      <w:r w:rsidR="00967232">
        <w:rPr>
          <w:rFonts w:ascii="Arial" w:hAnsi="Arial" w:cs="Arial"/>
        </w:rPr>
        <w:t>; therefore you’ll notice the same strategies and MPOs in Tables 23 and 24.</w:t>
      </w:r>
    </w:p>
    <w:p w14:paraId="554AF7E2" w14:textId="77777777" w:rsidR="0005472F" w:rsidRPr="0005472F" w:rsidRDefault="0005472F" w:rsidP="00514084">
      <w:pPr>
        <w:pStyle w:val="Heading6"/>
        <w:spacing w:after="120"/>
        <w:jc w:val="center"/>
      </w:pPr>
      <w:r w:rsidRPr="0005472F">
        <w:t>GOAL AREA: Dropout Rate</w:t>
      </w:r>
    </w:p>
    <w:p w14:paraId="1D8792AE" w14:textId="20479FC3" w:rsidR="00A00E0C" w:rsidRPr="000D5948" w:rsidRDefault="0054625A" w:rsidP="0046651C">
      <w:pPr>
        <w:pStyle w:val="Heading6"/>
        <w:spacing w:before="0"/>
      </w:pPr>
      <w:bookmarkStart w:id="58" w:name="_Toc101961116"/>
      <w:r w:rsidRPr="005E0053">
        <w:t xml:space="preserve">Table </w:t>
      </w:r>
      <w:fldSimple w:instr=" SEQ Table \* ARABIC ">
        <w:r w:rsidR="0046651C">
          <w:rPr>
            <w:noProof/>
          </w:rPr>
          <w:t>24</w:t>
        </w:r>
      </w:fldSimple>
      <w:r w:rsidRPr="005E0053">
        <w:t xml:space="preserve">. </w:t>
      </w:r>
      <w:r w:rsidR="00514084">
        <w:t xml:space="preserve">Strategies and </w:t>
      </w:r>
      <w:r w:rsidR="009074C7" w:rsidRPr="005E0053">
        <w:t>Measurable Program Objectives</w:t>
      </w:r>
      <w:r w:rsidRPr="005E0053">
        <w:t xml:space="preserve"> for Decreasing the High School Dropout Rate</w:t>
      </w:r>
      <w:r w:rsidR="00046B4C">
        <w:t xml:space="preserve"> (Revised)</w:t>
      </w:r>
      <w:r w:rsidR="00CB2F56" w:rsidRPr="005E0053">
        <w:rPr>
          <w:rStyle w:val="FootnoteReference"/>
          <w:rFonts w:cs="Arial"/>
        </w:rPr>
        <w:footnoteReference w:id="25"/>
      </w:r>
      <w:bookmarkEnd w:id="58"/>
    </w:p>
    <w:tbl>
      <w:tblPr>
        <w:tblStyle w:val="GridTable4-Accent1"/>
        <w:tblW w:w="9895" w:type="dxa"/>
        <w:tblLook w:val="0420" w:firstRow="1" w:lastRow="0" w:firstColumn="0" w:lastColumn="0" w:noHBand="0" w:noVBand="1"/>
        <w:tblDescription w:val="Strategies and Measurable Program Objectives for Decreasing the High School Dropout Rate"/>
      </w:tblPr>
      <w:tblGrid>
        <w:gridCol w:w="3642"/>
        <w:gridCol w:w="6253"/>
      </w:tblGrid>
      <w:tr w:rsidR="0005472F" w:rsidRPr="00514084" w14:paraId="6FFF1157"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3642" w:type="dxa"/>
            <w:tcBorders>
              <w:right w:val="single" w:sz="4" w:space="0" w:color="4472C4"/>
            </w:tcBorders>
            <w:shd w:val="clear" w:color="auto" w:fill="1F3864" w:themeFill="accent5" w:themeFillShade="80"/>
          </w:tcPr>
          <w:p w14:paraId="7512DFAB" w14:textId="77777777" w:rsidR="0005472F" w:rsidRPr="00514084" w:rsidRDefault="0005472F" w:rsidP="007D443E">
            <w:pPr>
              <w:spacing w:line="276" w:lineRule="auto"/>
              <w:rPr>
                <w:rFonts w:ascii="Arial" w:hAnsi="Arial" w:cs="Arial"/>
                <w:color w:val="FFFFFF"/>
              </w:rPr>
            </w:pPr>
            <w:r w:rsidRPr="00514084">
              <w:rPr>
                <w:rFonts w:ascii="Arial" w:hAnsi="Arial" w:cs="Arial"/>
                <w:color w:val="FFFFFF"/>
              </w:rPr>
              <w:t>Strategies</w:t>
            </w:r>
          </w:p>
        </w:tc>
        <w:tc>
          <w:tcPr>
            <w:tcW w:w="6253" w:type="dxa"/>
            <w:tcBorders>
              <w:left w:val="single" w:sz="4" w:space="0" w:color="4472C4"/>
            </w:tcBorders>
            <w:shd w:val="clear" w:color="auto" w:fill="1F3864" w:themeFill="accent5" w:themeFillShade="80"/>
          </w:tcPr>
          <w:p w14:paraId="701BA7BE" w14:textId="77777777" w:rsidR="0005472F" w:rsidRPr="00514084" w:rsidRDefault="0005472F" w:rsidP="007D443E">
            <w:pPr>
              <w:spacing w:line="276" w:lineRule="auto"/>
              <w:rPr>
                <w:rFonts w:ascii="Arial" w:hAnsi="Arial" w:cs="Arial"/>
                <w:color w:val="FFFFFF"/>
              </w:rPr>
            </w:pPr>
            <w:r w:rsidRPr="00514084">
              <w:rPr>
                <w:rFonts w:ascii="Arial" w:hAnsi="Arial" w:cs="Arial"/>
                <w:color w:val="FFFFFF"/>
              </w:rPr>
              <w:t>Measurable Program Objectives</w:t>
            </w:r>
          </w:p>
        </w:tc>
      </w:tr>
      <w:tr w:rsidR="0005472F" w:rsidRPr="007D443E" w14:paraId="1D6E9766"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642" w:type="dxa"/>
          </w:tcPr>
          <w:p w14:paraId="27493769" w14:textId="77777777" w:rsidR="0005472F" w:rsidRPr="007D443E" w:rsidRDefault="0005472F" w:rsidP="007A0C1F">
            <w:pPr>
              <w:rPr>
                <w:rFonts w:ascii="Arial" w:hAnsi="Arial" w:cs="Arial"/>
              </w:rPr>
            </w:pPr>
            <w:r w:rsidRPr="007D443E">
              <w:rPr>
                <w:rFonts w:ascii="Arial" w:hAnsi="Arial" w:cs="Arial"/>
                <w:b/>
              </w:rPr>
              <w:t xml:space="preserve">Principle Strategy 6.0: </w:t>
            </w:r>
            <w:r w:rsidRPr="007D443E">
              <w:rPr>
                <w:rFonts w:ascii="Arial" w:hAnsi="Arial" w:cs="Arial"/>
              </w:rPr>
              <w:t>Offer case management services to migratory students at risk of not graduating high school.</w:t>
            </w:r>
          </w:p>
        </w:tc>
        <w:tc>
          <w:tcPr>
            <w:tcW w:w="6253" w:type="dxa"/>
          </w:tcPr>
          <w:p w14:paraId="3EDF73E9" w14:textId="7F108241" w:rsidR="0005472F" w:rsidRPr="007D443E" w:rsidRDefault="0005472F" w:rsidP="007A0C1F">
            <w:pPr>
              <w:rPr>
                <w:rFonts w:ascii="Arial" w:hAnsi="Arial" w:cs="Arial"/>
              </w:rPr>
            </w:pPr>
            <w:r w:rsidRPr="007D443E">
              <w:rPr>
                <w:rFonts w:ascii="Arial" w:hAnsi="Arial" w:cs="Arial"/>
                <w:b/>
              </w:rPr>
              <w:t xml:space="preserve">Measurable Program Objective 6.1: </w:t>
            </w:r>
            <w:r w:rsidRPr="007D443E">
              <w:rPr>
                <w:rFonts w:ascii="Arial" w:hAnsi="Arial" w:cs="Arial"/>
              </w:rPr>
              <w:t>Each year, 80 percent of migratory 9</w:t>
            </w:r>
            <w:r w:rsidRPr="007D443E">
              <w:rPr>
                <w:rFonts w:ascii="Arial" w:hAnsi="Arial" w:cs="Arial"/>
                <w:vertAlign w:val="superscript"/>
              </w:rPr>
              <w:t>th</w:t>
            </w:r>
            <w:r w:rsidRPr="007D443E">
              <w:rPr>
                <w:rFonts w:ascii="Arial" w:hAnsi="Arial" w:cs="Arial"/>
              </w:rPr>
              <w:t xml:space="preserve"> grade students who scored Below Standard on their 8</w:t>
            </w:r>
            <w:r w:rsidRPr="007D443E">
              <w:rPr>
                <w:rFonts w:ascii="Arial" w:hAnsi="Arial" w:cs="Arial"/>
                <w:vertAlign w:val="superscript"/>
              </w:rPr>
              <w:t>th</w:t>
            </w:r>
            <w:r w:rsidRPr="007D443E">
              <w:rPr>
                <w:rFonts w:ascii="Arial" w:hAnsi="Arial" w:cs="Arial"/>
              </w:rPr>
              <w:t xml:space="preserve"> grade ELA and/or Math Smarter Balanced Assessments will </w:t>
            </w:r>
            <w:r w:rsidR="00A00E0C">
              <w:rPr>
                <w:rFonts w:ascii="Arial" w:hAnsi="Arial" w:cs="Arial"/>
              </w:rPr>
              <w:t>receive case management services</w:t>
            </w:r>
            <w:r w:rsidRPr="007D443E">
              <w:rPr>
                <w:rFonts w:ascii="Arial" w:hAnsi="Arial" w:cs="Arial"/>
              </w:rPr>
              <w:t>.</w:t>
            </w:r>
            <w:r w:rsidR="00A00E0C">
              <w:rPr>
                <w:rStyle w:val="FootnoteReference"/>
                <w:rFonts w:ascii="Arial" w:hAnsi="Arial" w:cs="Arial"/>
              </w:rPr>
              <w:footnoteReference w:id="26"/>
            </w:r>
            <w:r w:rsidR="00A00E0C">
              <w:rPr>
                <w:rStyle w:val="FootnoteReference"/>
                <w:rFonts w:ascii="Arial" w:hAnsi="Arial" w:cs="Arial"/>
              </w:rPr>
              <w:footnoteReference w:id="27"/>
            </w:r>
          </w:p>
        </w:tc>
      </w:tr>
      <w:tr w:rsidR="0005472F" w:rsidRPr="007D443E" w14:paraId="19E8A544" w14:textId="77777777" w:rsidTr="00940787">
        <w:trPr>
          <w:cantSplit/>
          <w:trHeight w:val="251"/>
        </w:trPr>
        <w:tc>
          <w:tcPr>
            <w:tcW w:w="3642" w:type="dxa"/>
          </w:tcPr>
          <w:p w14:paraId="36B2F128" w14:textId="77777777" w:rsidR="0005472F" w:rsidRPr="007D443E" w:rsidRDefault="0005472F" w:rsidP="007D443E">
            <w:pPr>
              <w:spacing w:after="120"/>
              <w:rPr>
                <w:rFonts w:ascii="Arial" w:hAnsi="Arial" w:cs="Arial"/>
              </w:rPr>
            </w:pPr>
            <w:r w:rsidRPr="007D443E">
              <w:rPr>
                <w:rFonts w:ascii="Arial" w:hAnsi="Arial" w:cs="Arial"/>
                <w:b/>
              </w:rPr>
              <w:t xml:space="preserve">Strategy 6.1: </w:t>
            </w:r>
            <w:r w:rsidRPr="007D443E">
              <w:rPr>
                <w:rFonts w:ascii="Arial" w:hAnsi="Arial" w:cs="Arial"/>
              </w:rPr>
              <w:t>Offer credit accrual and recovery services to migratory 11</w:t>
            </w:r>
            <w:r w:rsidRPr="007D443E">
              <w:rPr>
                <w:rFonts w:ascii="Arial" w:hAnsi="Arial" w:cs="Arial"/>
                <w:vertAlign w:val="superscript"/>
              </w:rPr>
              <w:t>th</w:t>
            </w:r>
            <w:r w:rsidRPr="007D443E">
              <w:rPr>
                <w:rFonts w:ascii="Arial" w:hAnsi="Arial" w:cs="Arial"/>
              </w:rPr>
              <w:t xml:space="preserve"> and 12</w:t>
            </w:r>
            <w:r w:rsidRPr="007D443E">
              <w:rPr>
                <w:rFonts w:ascii="Arial" w:hAnsi="Arial" w:cs="Arial"/>
                <w:vertAlign w:val="superscript"/>
              </w:rPr>
              <w:t>th</w:t>
            </w:r>
            <w:r w:rsidRPr="007D443E">
              <w:rPr>
                <w:rFonts w:ascii="Arial" w:hAnsi="Arial" w:cs="Arial"/>
              </w:rPr>
              <w:t xml:space="preserve"> grade migratory high school students who are credit deficient and are at risk of not graduating.</w:t>
            </w:r>
          </w:p>
        </w:tc>
        <w:tc>
          <w:tcPr>
            <w:tcW w:w="6253" w:type="dxa"/>
          </w:tcPr>
          <w:p w14:paraId="09DA61DA" w14:textId="2F6501A4" w:rsidR="0005472F" w:rsidRPr="007D443E" w:rsidRDefault="0005472F" w:rsidP="007D443E">
            <w:pPr>
              <w:spacing w:after="120"/>
              <w:rPr>
                <w:rFonts w:ascii="Arial" w:hAnsi="Arial" w:cs="Arial"/>
              </w:rPr>
            </w:pPr>
            <w:r w:rsidRPr="007D443E">
              <w:rPr>
                <w:rFonts w:ascii="Arial" w:hAnsi="Arial" w:cs="Arial"/>
                <w:b/>
              </w:rPr>
              <w:t xml:space="preserve">Measurable Program Objective 6.1: </w:t>
            </w:r>
            <w:r w:rsidRPr="007D443E">
              <w:rPr>
                <w:rFonts w:ascii="Arial" w:hAnsi="Arial" w:cs="Arial"/>
              </w:rPr>
              <w:t xml:space="preserve">Each year, 80 percent of migratory </w:t>
            </w:r>
            <w:r w:rsidR="00A00E0C">
              <w:rPr>
                <w:rFonts w:ascii="Arial" w:hAnsi="Arial" w:cs="Arial"/>
              </w:rPr>
              <w:t>11</w:t>
            </w:r>
            <w:r w:rsidR="00A00E0C" w:rsidRPr="0046651C">
              <w:rPr>
                <w:rFonts w:ascii="Arial" w:hAnsi="Arial" w:cs="Arial"/>
                <w:vertAlign w:val="superscript"/>
              </w:rPr>
              <w:t>th</w:t>
            </w:r>
            <w:r w:rsidR="00A00E0C">
              <w:rPr>
                <w:rFonts w:ascii="Arial" w:hAnsi="Arial" w:cs="Arial"/>
              </w:rPr>
              <w:t xml:space="preserve"> and 12</w:t>
            </w:r>
            <w:r w:rsidR="00A00E0C" w:rsidRPr="0046651C">
              <w:rPr>
                <w:rFonts w:ascii="Arial" w:hAnsi="Arial" w:cs="Arial"/>
                <w:vertAlign w:val="superscript"/>
              </w:rPr>
              <w:t>th</w:t>
            </w:r>
            <w:r w:rsidR="00A00E0C">
              <w:rPr>
                <w:rFonts w:ascii="Arial" w:hAnsi="Arial" w:cs="Arial"/>
              </w:rPr>
              <w:t xml:space="preserve"> grade </w:t>
            </w:r>
            <w:r w:rsidRPr="007D443E">
              <w:rPr>
                <w:rFonts w:ascii="Arial" w:hAnsi="Arial" w:cs="Arial"/>
              </w:rPr>
              <w:t xml:space="preserve">high school students who are credit deficient </w:t>
            </w:r>
            <w:r w:rsidR="00A00E0C">
              <w:rPr>
                <w:rFonts w:ascii="Arial" w:hAnsi="Arial" w:cs="Arial"/>
              </w:rPr>
              <w:t>participate in</w:t>
            </w:r>
            <w:r w:rsidRPr="007D443E">
              <w:rPr>
                <w:rFonts w:ascii="Arial" w:hAnsi="Arial" w:cs="Arial"/>
              </w:rPr>
              <w:t xml:space="preserve"> up to two courses through credit accrual services during the regular school year and up to three courses for credit during summer school if present.</w:t>
            </w:r>
          </w:p>
        </w:tc>
      </w:tr>
    </w:tbl>
    <w:p w14:paraId="0D18D69B" w14:textId="46192B54" w:rsidR="007A0C1F" w:rsidRPr="00694080" w:rsidRDefault="007A0C1F" w:rsidP="00694080">
      <w:pPr>
        <w:spacing w:before="240" w:after="240"/>
        <w:rPr>
          <w:rFonts w:ascii="Arial" w:hAnsi="Arial" w:cs="Arial"/>
        </w:rPr>
      </w:pPr>
      <w:r w:rsidRPr="00694080">
        <w:rPr>
          <w:rFonts w:ascii="Arial" w:hAnsi="Arial" w:cs="Arial"/>
        </w:rPr>
        <w:t xml:space="preserve">The California MEP identified the performance target for high school dropout rate </w:t>
      </w:r>
      <w:r w:rsidR="00096581">
        <w:rPr>
          <w:rFonts w:ascii="Arial" w:hAnsi="Arial" w:cs="Arial"/>
        </w:rPr>
        <w:t>i</w:t>
      </w:r>
      <w:r w:rsidRPr="00694080">
        <w:rPr>
          <w:rFonts w:ascii="Arial" w:hAnsi="Arial" w:cs="Arial"/>
        </w:rPr>
        <w:t>s:  By</w:t>
      </w:r>
      <w:r w:rsidR="00096581">
        <w:rPr>
          <w:rFonts w:ascii="Arial" w:hAnsi="Arial" w:cs="Arial"/>
        </w:rPr>
        <w:t xml:space="preserve"> July 2023</w:t>
      </w:r>
      <w:r w:rsidRPr="00694080">
        <w:rPr>
          <w:rFonts w:ascii="Arial" w:hAnsi="Arial" w:cs="Arial"/>
        </w:rPr>
        <w:t xml:space="preserve">, </w:t>
      </w:r>
      <w:r w:rsidR="00096581">
        <w:rPr>
          <w:rFonts w:ascii="Arial" w:hAnsi="Arial" w:cs="Arial"/>
        </w:rPr>
        <w:t xml:space="preserve">the </w:t>
      </w:r>
      <w:r w:rsidRPr="00694080">
        <w:rPr>
          <w:rFonts w:ascii="Arial" w:hAnsi="Arial" w:cs="Arial"/>
        </w:rPr>
        <w:t>Migratory Student dropout rate will decrease to nine percent.</w:t>
      </w:r>
    </w:p>
    <w:p w14:paraId="0CEDB4EE" w14:textId="4EA00EAE" w:rsidR="009074C7" w:rsidRDefault="009074C7" w:rsidP="002B2029">
      <w:pPr>
        <w:spacing w:before="240"/>
        <w:rPr>
          <w:rFonts w:ascii="Arial" w:hAnsi="Arial" w:cs="Arial"/>
        </w:rPr>
      </w:pPr>
      <w:r w:rsidRPr="005E0053">
        <w:rPr>
          <w:rFonts w:ascii="Arial" w:hAnsi="Arial" w:cs="Arial"/>
        </w:rPr>
        <w:t xml:space="preserve">Additionally, </w:t>
      </w:r>
      <w:r w:rsidR="00940589">
        <w:rPr>
          <w:rFonts w:ascii="Arial" w:hAnsi="Arial" w:cs="Arial"/>
        </w:rPr>
        <w:t>the committee</w:t>
      </w:r>
      <w:r w:rsidR="00940589" w:rsidRPr="005E0053">
        <w:rPr>
          <w:rFonts w:ascii="Arial" w:hAnsi="Arial" w:cs="Arial"/>
        </w:rPr>
        <w:t xml:space="preserve"> </w:t>
      </w:r>
      <w:r w:rsidRPr="005E0053">
        <w:rPr>
          <w:rFonts w:ascii="Arial" w:hAnsi="Arial" w:cs="Arial"/>
        </w:rPr>
        <w:t>recommend regular communication with parents of students who are at-risk of not graduating high school or dropping out. Parent and family engagement is critical to increasing the student academic achievement. MEPs should be sure to invite the parents of students at risk of not graduating to all workshops pertaining to supporting migratory students graduating high school.</w:t>
      </w:r>
    </w:p>
    <w:p w14:paraId="1642BFEB" w14:textId="6D0C7FE8" w:rsidR="00A00E0C" w:rsidRPr="0046651C" w:rsidRDefault="00A00E0C" w:rsidP="00A00E0C">
      <w:pPr>
        <w:pStyle w:val="NormalWeb"/>
        <w:shd w:val="clear" w:color="auto" w:fill="FFFFFF"/>
        <w:rPr>
          <w:rFonts w:ascii="Arial" w:hAnsi="Arial" w:cs="Arial"/>
          <w:color w:val="000000"/>
        </w:rPr>
      </w:pPr>
      <w:r w:rsidRPr="0046651C">
        <w:rPr>
          <w:rFonts w:ascii="Arial" w:hAnsi="Arial" w:cs="Arial"/>
          <w:color w:val="000000"/>
        </w:rPr>
        <w:t xml:space="preserve">Finally, subgrantees should reach out to the high school </w:t>
      </w:r>
      <w:r w:rsidR="00E22495" w:rsidRPr="0046651C">
        <w:rPr>
          <w:rFonts w:ascii="Arial" w:hAnsi="Arial" w:cs="Arial"/>
          <w:color w:val="000000"/>
        </w:rPr>
        <w:t>equi</w:t>
      </w:r>
      <w:r w:rsidR="00E22495">
        <w:rPr>
          <w:rFonts w:ascii="Arial" w:hAnsi="Arial" w:cs="Arial"/>
          <w:color w:val="000000"/>
        </w:rPr>
        <w:t>val</w:t>
      </w:r>
      <w:r w:rsidR="00E22495" w:rsidRPr="0046651C">
        <w:rPr>
          <w:rFonts w:ascii="Arial" w:hAnsi="Arial" w:cs="Arial"/>
          <w:color w:val="000000"/>
        </w:rPr>
        <w:t>ency</w:t>
      </w:r>
      <w:r w:rsidRPr="0046651C">
        <w:rPr>
          <w:rFonts w:ascii="Arial" w:hAnsi="Arial" w:cs="Arial"/>
          <w:color w:val="000000"/>
        </w:rPr>
        <w:t xml:space="preserve"> program (HEP) and College Assistance Migrant Program (CAMP) offices in their areas. The federal government provides funding to assist students who would like</w:t>
      </w:r>
      <w:r>
        <w:rPr>
          <w:rFonts w:ascii="Arial" w:hAnsi="Arial" w:cs="Arial"/>
          <w:color w:val="000000"/>
        </w:rPr>
        <w:t xml:space="preserve"> </w:t>
      </w:r>
      <w:r w:rsidRPr="0046651C">
        <w:rPr>
          <w:rFonts w:ascii="Arial" w:hAnsi="Arial" w:cs="Arial"/>
          <w:color w:val="000000"/>
        </w:rPr>
        <w:t xml:space="preserve">their General Education Diploma (GED). The HEP prepares migrant children in obtaining their GED. HEP offices </w:t>
      </w:r>
      <w:r w:rsidRPr="0046651C">
        <w:rPr>
          <w:rFonts w:ascii="Arial" w:hAnsi="Arial" w:cs="Arial"/>
          <w:color w:val="000000"/>
        </w:rPr>
        <w:lastRenderedPageBreak/>
        <w:t>are in various parts of the state and should be utilized by the MEP in assisting children who have dropped out and OSY in getting their GED for SSDP Strategy 10.1.</w:t>
      </w:r>
    </w:p>
    <w:p w14:paraId="19C9495B" w14:textId="77777777" w:rsidR="00A00E0C" w:rsidRPr="0046651C" w:rsidRDefault="00A00E0C" w:rsidP="00A00E0C">
      <w:pPr>
        <w:shd w:val="clear" w:color="auto" w:fill="FFFFFF"/>
        <w:rPr>
          <w:rFonts w:ascii="Arial" w:eastAsia="Times New Roman" w:hAnsi="Arial" w:cs="Arial"/>
        </w:rPr>
      </w:pPr>
      <w:r w:rsidRPr="0046651C">
        <w:rPr>
          <w:rFonts w:ascii="Arial" w:eastAsia="Times New Roman" w:hAnsi="Arial" w:cs="Arial"/>
        </w:rPr>
        <w:t>The College Assistance Migrant Program (CAMP)</w:t>
      </w:r>
      <w:r>
        <w:rPr>
          <w:rFonts w:ascii="Arial" w:eastAsia="Times New Roman" w:hAnsi="Arial" w:cs="Arial"/>
        </w:rPr>
        <w:t xml:space="preserve"> </w:t>
      </w:r>
      <w:r w:rsidRPr="0046651C">
        <w:rPr>
          <w:rFonts w:ascii="Arial" w:eastAsia="Times New Roman" w:hAnsi="Arial" w:cs="Arial"/>
        </w:rPr>
        <w:t>is a federally funded program designed to help students from migrant and seasonal farm-worker backgrounds succeed in college.</w:t>
      </w:r>
      <w:r>
        <w:rPr>
          <w:rFonts w:ascii="Arial" w:eastAsia="Times New Roman" w:hAnsi="Arial" w:cs="Arial"/>
        </w:rPr>
        <w:t xml:space="preserve"> </w:t>
      </w:r>
      <w:r w:rsidRPr="0046651C">
        <w:rPr>
          <w:rFonts w:ascii="Arial" w:eastAsia="Times New Roman" w:hAnsi="Arial" w:cs="Arial"/>
        </w:rPr>
        <w:t>CAMP’s mission is to increase the number of students from migrant and seasonal farm-worker backgrounds transform their lives by attending a four-year college and attaining a post-secondary degree. CAMP offers a variety of services including:</w:t>
      </w:r>
    </w:p>
    <w:p w14:paraId="5A0FD743" w14:textId="77777777" w:rsidR="00A00E0C" w:rsidRPr="0046651C" w:rsidRDefault="00A00E0C" w:rsidP="00AF511B">
      <w:pPr>
        <w:numPr>
          <w:ilvl w:val="0"/>
          <w:numId w:val="67"/>
        </w:numPr>
        <w:shd w:val="clear" w:color="auto" w:fill="FFFFFF"/>
        <w:spacing w:before="120" w:after="100" w:afterAutospacing="1"/>
        <w:rPr>
          <w:rFonts w:ascii="Arial" w:eastAsia="Times New Roman" w:hAnsi="Arial" w:cs="Arial"/>
        </w:rPr>
      </w:pPr>
      <w:r w:rsidRPr="0046651C">
        <w:rPr>
          <w:rFonts w:ascii="Arial" w:eastAsia="Times New Roman" w:hAnsi="Arial" w:cs="Arial"/>
        </w:rPr>
        <w:t>early outreach for senior high school students helping them navigate the admissions process including financial aid</w:t>
      </w:r>
    </w:p>
    <w:p w14:paraId="2CC20FD0" w14:textId="77777777" w:rsidR="00A00E0C" w:rsidRPr="0046651C" w:rsidRDefault="00A00E0C" w:rsidP="00A00E0C">
      <w:pPr>
        <w:numPr>
          <w:ilvl w:val="0"/>
          <w:numId w:val="67"/>
        </w:numPr>
        <w:shd w:val="clear" w:color="auto" w:fill="FFFFFF"/>
        <w:spacing w:before="100" w:beforeAutospacing="1" w:after="100" w:afterAutospacing="1"/>
        <w:rPr>
          <w:rFonts w:ascii="Arial" w:eastAsia="Times New Roman" w:hAnsi="Arial" w:cs="Arial"/>
        </w:rPr>
      </w:pPr>
      <w:r w:rsidRPr="0046651C">
        <w:rPr>
          <w:rFonts w:ascii="Arial" w:eastAsia="Times New Roman" w:hAnsi="Arial" w:cs="Arial"/>
        </w:rPr>
        <w:t>housing assistance</w:t>
      </w:r>
    </w:p>
    <w:p w14:paraId="2BE57CAD" w14:textId="77777777" w:rsidR="00A00E0C" w:rsidRPr="0046651C" w:rsidRDefault="00A00E0C" w:rsidP="00A00E0C">
      <w:pPr>
        <w:numPr>
          <w:ilvl w:val="0"/>
          <w:numId w:val="67"/>
        </w:numPr>
        <w:shd w:val="clear" w:color="auto" w:fill="FFFFFF"/>
        <w:spacing w:before="100" w:beforeAutospacing="1" w:after="100" w:afterAutospacing="1"/>
        <w:rPr>
          <w:rFonts w:ascii="Arial" w:eastAsia="Times New Roman" w:hAnsi="Arial" w:cs="Arial"/>
        </w:rPr>
      </w:pPr>
      <w:r w:rsidRPr="0046651C">
        <w:rPr>
          <w:rFonts w:ascii="Arial" w:eastAsia="Times New Roman" w:hAnsi="Arial" w:cs="Arial"/>
        </w:rPr>
        <w:t>opportunities to participate in activities and course with other CAMP participants</w:t>
      </w:r>
    </w:p>
    <w:p w14:paraId="1DECB1B8" w14:textId="77777777" w:rsidR="00A00E0C" w:rsidRPr="0046651C" w:rsidRDefault="00A00E0C" w:rsidP="00A00E0C">
      <w:pPr>
        <w:numPr>
          <w:ilvl w:val="0"/>
          <w:numId w:val="67"/>
        </w:numPr>
        <w:shd w:val="clear" w:color="auto" w:fill="FFFFFF"/>
        <w:spacing w:before="100" w:beforeAutospacing="1" w:after="100" w:afterAutospacing="1"/>
        <w:rPr>
          <w:rFonts w:ascii="Arial" w:eastAsia="Times New Roman" w:hAnsi="Arial" w:cs="Arial"/>
        </w:rPr>
      </w:pPr>
      <w:r w:rsidRPr="0046651C">
        <w:rPr>
          <w:rFonts w:ascii="Arial" w:eastAsia="Times New Roman" w:hAnsi="Arial" w:cs="Arial"/>
        </w:rPr>
        <w:t>Mentorship relationships</w:t>
      </w:r>
    </w:p>
    <w:p w14:paraId="1C6AB484" w14:textId="77777777" w:rsidR="00A00E0C" w:rsidRPr="0046651C" w:rsidRDefault="00A00E0C" w:rsidP="00A00E0C">
      <w:pPr>
        <w:numPr>
          <w:ilvl w:val="0"/>
          <w:numId w:val="67"/>
        </w:numPr>
        <w:shd w:val="clear" w:color="auto" w:fill="FFFFFF"/>
        <w:spacing w:before="100" w:beforeAutospacing="1" w:after="100" w:afterAutospacing="1"/>
        <w:rPr>
          <w:rFonts w:ascii="Arial" w:eastAsia="Times New Roman" w:hAnsi="Arial" w:cs="Arial"/>
        </w:rPr>
      </w:pPr>
      <w:r w:rsidRPr="0046651C">
        <w:rPr>
          <w:rFonts w:ascii="Arial" w:eastAsia="Times New Roman" w:hAnsi="Arial" w:cs="Arial"/>
        </w:rPr>
        <w:t>Academic advising to establish short- and long-term educational goals</w:t>
      </w:r>
    </w:p>
    <w:p w14:paraId="449BE92B" w14:textId="77777777" w:rsidR="00A00E0C" w:rsidRPr="0046651C" w:rsidRDefault="00A00E0C" w:rsidP="00A00E0C">
      <w:pPr>
        <w:numPr>
          <w:ilvl w:val="0"/>
          <w:numId w:val="67"/>
        </w:numPr>
        <w:shd w:val="clear" w:color="auto" w:fill="FFFFFF"/>
        <w:spacing w:before="100" w:beforeAutospacing="1" w:after="100" w:afterAutospacing="1"/>
        <w:rPr>
          <w:rFonts w:ascii="Arial" w:eastAsia="Times New Roman" w:hAnsi="Arial" w:cs="Arial"/>
        </w:rPr>
      </w:pPr>
      <w:r w:rsidRPr="0046651C">
        <w:rPr>
          <w:rFonts w:ascii="Arial" w:eastAsia="Times New Roman" w:hAnsi="Arial" w:cs="Arial"/>
        </w:rPr>
        <w:t>Tutoring</w:t>
      </w:r>
    </w:p>
    <w:p w14:paraId="2C4CFFD2" w14:textId="77777777" w:rsidR="00A00E0C" w:rsidRPr="0046651C" w:rsidRDefault="00A00E0C" w:rsidP="00AF511B">
      <w:pPr>
        <w:numPr>
          <w:ilvl w:val="0"/>
          <w:numId w:val="67"/>
        </w:numPr>
        <w:shd w:val="clear" w:color="auto" w:fill="FFFFFF"/>
        <w:spacing w:before="100" w:beforeAutospacing="1" w:after="120"/>
        <w:rPr>
          <w:rFonts w:ascii="Arial" w:eastAsia="Times New Roman" w:hAnsi="Arial" w:cs="Arial"/>
        </w:rPr>
      </w:pPr>
      <w:r w:rsidRPr="0046651C">
        <w:rPr>
          <w:rFonts w:ascii="Arial" w:eastAsia="Times New Roman" w:hAnsi="Arial" w:cs="Arial"/>
        </w:rPr>
        <w:t>Leadership skill development</w:t>
      </w:r>
    </w:p>
    <w:p w14:paraId="7031431B" w14:textId="77777777" w:rsidR="00BA5C6E" w:rsidRPr="005E0053" w:rsidRDefault="00862AE4" w:rsidP="005A4784">
      <w:pPr>
        <w:pStyle w:val="Heading6"/>
      </w:pPr>
      <w:r w:rsidRPr="005E0053">
        <w:t>Output-B</w:t>
      </w:r>
      <w:r w:rsidR="00BA5C6E" w:rsidRPr="005E0053">
        <w:t>ased Focus Areas</w:t>
      </w:r>
    </w:p>
    <w:p w14:paraId="2CE85779" w14:textId="77777777" w:rsidR="00BA5C6E" w:rsidRPr="005E0053" w:rsidRDefault="00BA5C6E" w:rsidP="00AF511B">
      <w:pPr>
        <w:spacing w:before="120"/>
        <w:rPr>
          <w:rFonts w:ascii="Arial" w:hAnsi="Arial" w:cs="Arial"/>
        </w:rPr>
      </w:pPr>
      <w:r w:rsidRPr="005E0053">
        <w:rPr>
          <w:rFonts w:ascii="Arial" w:hAnsi="Arial" w:cs="Arial"/>
        </w:rPr>
        <w:t xml:space="preserve">Due to limited data, School Readiness, OSY, Health, </w:t>
      </w:r>
      <w:r w:rsidR="00EC46AC" w:rsidRPr="005E0053">
        <w:rPr>
          <w:rFonts w:ascii="Arial" w:hAnsi="Arial" w:cs="Arial"/>
        </w:rPr>
        <w:t xml:space="preserve">and </w:t>
      </w:r>
      <w:r w:rsidRPr="005E0053">
        <w:rPr>
          <w:rFonts w:ascii="Arial" w:hAnsi="Arial" w:cs="Arial"/>
        </w:rPr>
        <w:t xml:space="preserve">Parent and Family Engagement focus areas will be evaluated by outputs </w:t>
      </w:r>
      <w:r w:rsidR="007A0D0E" w:rsidRPr="005E0053">
        <w:rPr>
          <w:rFonts w:ascii="Arial" w:hAnsi="Arial" w:cs="Arial"/>
        </w:rPr>
        <w:t>that align with</w:t>
      </w:r>
      <w:r w:rsidRPr="005E0053">
        <w:rPr>
          <w:rFonts w:ascii="Arial" w:hAnsi="Arial" w:cs="Arial"/>
        </w:rPr>
        <w:t xml:space="preserve"> </w:t>
      </w:r>
      <w:r w:rsidR="00EF750E" w:rsidRPr="005E0053">
        <w:rPr>
          <w:rFonts w:ascii="Arial" w:hAnsi="Arial" w:cs="Arial"/>
        </w:rPr>
        <w:t>performance targets</w:t>
      </w:r>
      <w:r w:rsidR="007A0D0E" w:rsidRPr="005E0053">
        <w:rPr>
          <w:rFonts w:ascii="Arial" w:hAnsi="Arial" w:cs="Arial"/>
        </w:rPr>
        <w:t xml:space="preserve">. While each output-based focus area has an identified outcome (i.e., desired change in knowledge and skills), we are unable to measure the change in skill level at this time. Therefore, the CDE infers that some change will occur if migratory students complete specific MEP services. Similar to the outcome-based focus areas, not all </w:t>
      </w:r>
      <w:r w:rsidR="00940B6C" w:rsidRPr="005E0053">
        <w:rPr>
          <w:rFonts w:ascii="Arial" w:hAnsi="Arial" w:cs="Arial"/>
        </w:rPr>
        <w:t>measurable program outcomes</w:t>
      </w:r>
      <w:r w:rsidR="007A0D0E" w:rsidRPr="005E0053">
        <w:rPr>
          <w:rFonts w:ascii="Arial" w:hAnsi="Arial" w:cs="Arial"/>
        </w:rPr>
        <w:t xml:space="preserve"> will be evaluated by the CDE due to limited resources; however</w:t>
      </w:r>
      <w:r w:rsidR="00DF4457" w:rsidRPr="005E0053">
        <w:rPr>
          <w:rFonts w:ascii="Arial" w:hAnsi="Arial" w:cs="Arial"/>
        </w:rPr>
        <w:t>,</w:t>
      </w:r>
      <w:r w:rsidR="007A0D0E" w:rsidRPr="005E0053">
        <w:rPr>
          <w:rFonts w:ascii="Arial" w:hAnsi="Arial" w:cs="Arial"/>
        </w:rPr>
        <w:t xml:space="preserve"> CDE staff will work with subgrantees to support </w:t>
      </w:r>
      <w:r w:rsidR="00020EC3" w:rsidRPr="005E0053">
        <w:rPr>
          <w:rFonts w:ascii="Arial" w:hAnsi="Arial" w:cs="Arial"/>
        </w:rPr>
        <w:t>full implementation of strategies to address the needs of migratory children and their families.</w:t>
      </w:r>
    </w:p>
    <w:p w14:paraId="68708FC0" w14:textId="77777777" w:rsidR="00BA5C6E" w:rsidRPr="005E0053" w:rsidRDefault="00BA5C6E" w:rsidP="00AF511B">
      <w:pPr>
        <w:pStyle w:val="Heading5"/>
        <w:spacing w:after="120"/>
      </w:pPr>
      <w:bookmarkStart w:id="59" w:name="_Toc504520865"/>
      <w:r w:rsidRPr="005E0053">
        <w:t>School Readiness</w:t>
      </w:r>
      <w:bookmarkEnd w:id="59"/>
    </w:p>
    <w:p w14:paraId="4147ADF0" w14:textId="637D6639" w:rsidR="00E571D6" w:rsidRDefault="00D32E6E" w:rsidP="003820A9">
      <w:pPr>
        <w:spacing w:after="240"/>
        <w:rPr>
          <w:rFonts w:ascii="Arial" w:hAnsi="Arial" w:cs="Arial"/>
        </w:rPr>
      </w:pPr>
      <w:r w:rsidRPr="005E0053">
        <w:rPr>
          <w:rFonts w:ascii="Arial" w:hAnsi="Arial" w:cs="Arial"/>
        </w:rPr>
        <w:t xml:space="preserve">School readiness </w:t>
      </w:r>
      <w:r w:rsidR="00A23F39" w:rsidRPr="005E0053">
        <w:rPr>
          <w:rFonts w:ascii="Arial" w:hAnsi="Arial" w:cs="Arial"/>
        </w:rPr>
        <w:t xml:space="preserve">skills </w:t>
      </w:r>
      <w:r w:rsidR="00DF04F9" w:rsidRPr="005E0053">
        <w:rPr>
          <w:rFonts w:ascii="Arial" w:hAnsi="Arial" w:cs="Arial"/>
        </w:rPr>
        <w:t xml:space="preserve">are essential </w:t>
      </w:r>
      <w:r w:rsidR="0012057C" w:rsidRPr="005E0053">
        <w:rPr>
          <w:rFonts w:ascii="Arial" w:hAnsi="Arial" w:cs="Arial"/>
        </w:rPr>
        <w:t>to establishing</w:t>
      </w:r>
      <w:r w:rsidR="001022AE" w:rsidRPr="005E0053">
        <w:rPr>
          <w:rFonts w:ascii="Arial" w:hAnsi="Arial" w:cs="Arial"/>
        </w:rPr>
        <w:t xml:space="preserve"> a solid academic foundation for students as they progress through the </w:t>
      </w:r>
      <w:r w:rsidR="00461D1A" w:rsidRPr="005E0053">
        <w:rPr>
          <w:rFonts w:ascii="Arial" w:hAnsi="Arial" w:cs="Arial"/>
        </w:rPr>
        <w:t xml:space="preserve">education </w:t>
      </w:r>
      <w:r w:rsidR="001022AE" w:rsidRPr="005E0053">
        <w:rPr>
          <w:rFonts w:ascii="Arial" w:hAnsi="Arial" w:cs="Arial"/>
        </w:rPr>
        <w:t xml:space="preserve">system. </w:t>
      </w:r>
      <w:r w:rsidR="00872C26" w:rsidRPr="005E0053">
        <w:rPr>
          <w:rFonts w:ascii="Arial" w:eastAsia="Times New Roman" w:hAnsi="Arial" w:cs="Arial"/>
        </w:rPr>
        <w:t xml:space="preserve">The MEP’s first role in school readiness is to ensure that pre-K students are enrolled in a </w:t>
      </w:r>
      <w:proofErr w:type="gramStart"/>
      <w:r w:rsidR="00872C26" w:rsidRPr="005E0053">
        <w:rPr>
          <w:rFonts w:ascii="Arial" w:eastAsia="Times New Roman" w:hAnsi="Arial" w:cs="Arial"/>
        </w:rPr>
        <w:t>high quality</w:t>
      </w:r>
      <w:proofErr w:type="gramEnd"/>
      <w:r w:rsidR="00872C26" w:rsidRPr="005E0053">
        <w:rPr>
          <w:rFonts w:ascii="Arial" w:eastAsia="Times New Roman" w:hAnsi="Arial" w:cs="Arial"/>
        </w:rPr>
        <w:t xml:space="preserve"> preschool. If, for whatever reason, the child is unable to attend, the MEP provides school readiness services to the migratory children within their program area. </w:t>
      </w:r>
      <w:r w:rsidR="00461D1A" w:rsidRPr="005E0053">
        <w:rPr>
          <w:rFonts w:ascii="Arial" w:hAnsi="Arial" w:cs="Arial"/>
        </w:rPr>
        <w:t xml:space="preserve">The School Readiness Subcommittee identified </w:t>
      </w:r>
      <w:r w:rsidR="004377BA" w:rsidRPr="005E0053">
        <w:rPr>
          <w:rFonts w:ascii="Arial" w:hAnsi="Arial" w:cs="Arial"/>
        </w:rPr>
        <w:t>primary and second</w:t>
      </w:r>
      <w:r w:rsidR="00CF43B5" w:rsidRPr="005E0053">
        <w:rPr>
          <w:rFonts w:ascii="Arial" w:hAnsi="Arial" w:cs="Arial"/>
        </w:rPr>
        <w:t xml:space="preserve"> l</w:t>
      </w:r>
      <w:r w:rsidR="00F55E1B" w:rsidRPr="005E0053">
        <w:rPr>
          <w:rFonts w:ascii="Arial" w:hAnsi="Arial" w:cs="Arial"/>
        </w:rPr>
        <w:t>anguage development</w:t>
      </w:r>
      <w:r w:rsidR="00CF43B5" w:rsidRPr="005E0053">
        <w:rPr>
          <w:rFonts w:ascii="Arial" w:hAnsi="Arial" w:cs="Arial"/>
        </w:rPr>
        <w:t xml:space="preserve"> </w:t>
      </w:r>
      <w:r w:rsidR="00F55E1B" w:rsidRPr="005E0053">
        <w:rPr>
          <w:rFonts w:ascii="Arial" w:hAnsi="Arial" w:cs="Arial"/>
        </w:rPr>
        <w:t>an</w:t>
      </w:r>
      <w:r w:rsidR="00CF43B5" w:rsidRPr="005E0053">
        <w:rPr>
          <w:rFonts w:ascii="Arial" w:hAnsi="Arial" w:cs="Arial"/>
        </w:rPr>
        <w:t>d social emotional maturity a</w:t>
      </w:r>
      <w:r w:rsidR="00D77E5E" w:rsidRPr="005E0053">
        <w:rPr>
          <w:rFonts w:ascii="Arial" w:hAnsi="Arial" w:cs="Arial"/>
        </w:rPr>
        <w:t>s a need for California’s migratory preschool aged children</w:t>
      </w:r>
      <w:r w:rsidR="00BF2AF1" w:rsidRPr="005E0053">
        <w:rPr>
          <w:rFonts w:ascii="Arial" w:hAnsi="Arial" w:cs="Arial"/>
        </w:rPr>
        <w:t>.</w:t>
      </w:r>
      <w:r w:rsidR="00BD39C7" w:rsidRPr="005E0053">
        <w:rPr>
          <w:rFonts w:ascii="Arial" w:hAnsi="Arial" w:cs="Arial"/>
        </w:rPr>
        <w:t xml:space="preserve"> Table 2</w:t>
      </w:r>
      <w:r w:rsidR="001C0233">
        <w:rPr>
          <w:rFonts w:ascii="Arial" w:hAnsi="Arial" w:cs="Arial"/>
        </w:rPr>
        <w:t>5</w:t>
      </w:r>
      <w:r w:rsidR="00BD39C7" w:rsidRPr="005E0053">
        <w:rPr>
          <w:rFonts w:ascii="Arial" w:hAnsi="Arial" w:cs="Arial"/>
        </w:rPr>
        <w:t xml:space="preserve"> lists the strategies</w:t>
      </w:r>
      <w:r w:rsidR="00845631">
        <w:rPr>
          <w:rFonts w:ascii="Arial" w:hAnsi="Arial" w:cs="Arial"/>
        </w:rPr>
        <w:t xml:space="preserve"> and</w:t>
      </w:r>
      <w:r w:rsidR="00BD39C7" w:rsidRPr="005E0053">
        <w:rPr>
          <w:rFonts w:ascii="Arial" w:hAnsi="Arial" w:cs="Arial"/>
        </w:rPr>
        <w:t xml:space="preserve"> </w:t>
      </w:r>
      <w:r w:rsidR="00FA2566" w:rsidRPr="005E0053">
        <w:rPr>
          <w:rFonts w:ascii="Arial" w:hAnsi="Arial" w:cs="Arial"/>
        </w:rPr>
        <w:t>MPOs</w:t>
      </w:r>
      <w:r w:rsidR="000D252E">
        <w:rPr>
          <w:rFonts w:ascii="Arial" w:hAnsi="Arial" w:cs="Arial"/>
        </w:rPr>
        <w:t xml:space="preserve"> </w:t>
      </w:r>
      <w:r w:rsidR="004377BA" w:rsidRPr="005E0053">
        <w:rPr>
          <w:rFonts w:ascii="Arial" w:hAnsi="Arial" w:cs="Arial"/>
        </w:rPr>
        <w:t xml:space="preserve"> for primary and second</w:t>
      </w:r>
      <w:r w:rsidR="00BD39C7" w:rsidRPr="005E0053">
        <w:rPr>
          <w:rFonts w:ascii="Arial" w:hAnsi="Arial" w:cs="Arial"/>
        </w:rPr>
        <w:t xml:space="preserve"> language development</w:t>
      </w:r>
      <w:r w:rsidR="000D252E">
        <w:rPr>
          <w:rFonts w:ascii="Arial" w:hAnsi="Arial" w:cs="Arial"/>
        </w:rPr>
        <w:t xml:space="preserve"> goal area</w:t>
      </w:r>
      <w:r w:rsidR="0050515A" w:rsidRPr="005E0053">
        <w:rPr>
          <w:rFonts w:ascii="Arial" w:hAnsi="Arial" w:cs="Arial"/>
        </w:rPr>
        <w:t xml:space="preserve"> for</w:t>
      </w:r>
      <w:r w:rsidR="004377BA" w:rsidRPr="005E0053">
        <w:rPr>
          <w:rFonts w:ascii="Arial" w:hAnsi="Arial" w:cs="Arial"/>
        </w:rPr>
        <w:t xml:space="preserve"> migra</w:t>
      </w:r>
      <w:r w:rsidR="00AA6AB0">
        <w:rPr>
          <w:rFonts w:ascii="Arial" w:hAnsi="Arial" w:cs="Arial"/>
        </w:rPr>
        <w:t>tory</w:t>
      </w:r>
      <w:r w:rsidR="0050515A" w:rsidRPr="005E0053">
        <w:rPr>
          <w:rFonts w:ascii="Arial" w:hAnsi="Arial" w:cs="Arial"/>
        </w:rPr>
        <w:t xml:space="preserve"> EL</w:t>
      </w:r>
      <w:r w:rsidR="004377BA" w:rsidRPr="005E0053">
        <w:rPr>
          <w:rFonts w:ascii="Arial" w:hAnsi="Arial" w:cs="Arial"/>
        </w:rPr>
        <w:t xml:space="preserve"> </w:t>
      </w:r>
      <w:r w:rsidR="0050515A" w:rsidRPr="005E0053">
        <w:rPr>
          <w:rFonts w:ascii="Arial" w:hAnsi="Arial" w:cs="Arial"/>
        </w:rPr>
        <w:t>s</w:t>
      </w:r>
      <w:r w:rsidR="004377BA" w:rsidRPr="005E0053">
        <w:rPr>
          <w:rFonts w:ascii="Arial" w:hAnsi="Arial" w:cs="Arial"/>
        </w:rPr>
        <w:t>tudents</w:t>
      </w:r>
      <w:r w:rsidR="00BD39C7" w:rsidRPr="005E0053">
        <w:rPr>
          <w:rFonts w:ascii="Arial" w:hAnsi="Arial" w:cs="Arial"/>
        </w:rPr>
        <w:t>.</w:t>
      </w:r>
    </w:p>
    <w:p w14:paraId="75E8AD52" w14:textId="1842114F" w:rsidR="007A0C1F" w:rsidRPr="00694080" w:rsidRDefault="007A0C1F" w:rsidP="000D252E">
      <w:pPr>
        <w:spacing w:after="240"/>
        <w:rPr>
          <w:rFonts w:ascii="Arial" w:hAnsi="Arial" w:cs="Arial"/>
        </w:rPr>
      </w:pPr>
      <w:r w:rsidRPr="00694080">
        <w:rPr>
          <w:rFonts w:ascii="Arial" w:hAnsi="Arial" w:cs="Arial"/>
        </w:rPr>
        <w:t xml:space="preserve">Since no quantitative data was available, </w:t>
      </w:r>
      <w:r w:rsidR="00940589">
        <w:rPr>
          <w:rFonts w:ascii="Arial" w:hAnsi="Arial" w:cs="Arial"/>
        </w:rPr>
        <w:t>subcommittee members</w:t>
      </w:r>
      <w:r w:rsidR="00940589" w:rsidRPr="00694080">
        <w:rPr>
          <w:rFonts w:ascii="Arial" w:hAnsi="Arial" w:cs="Arial"/>
        </w:rPr>
        <w:t xml:space="preserve"> </w:t>
      </w:r>
      <w:r w:rsidRPr="00694080">
        <w:rPr>
          <w:rFonts w:ascii="Arial" w:hAnsi="Arial" w:cs="Arial"/>
        </w:rPr>
        <w:t>noted the following concerns to prioritize this goal area:</w:t>
      </w:r>
    </w:p>
    <w:p w14:paraId="7A4E1A85" w14:textId="77777777" w:rsidR="007A0C1F" w:rsidRPr="00694080" w:rsidRDefault="007A0C1F" w:rsidP="007A0C1F">
      <w:pPr>
        <w:pStyle w:val="ListParagraph"/>
        <w:numPr>
          <w:ilvl w:val="0"/>
          <w:numId w:val="18"/>
        </w:numPr>
        <w:spacing w:after="240"/>
        <w:ind w:left="720"/>
        <w:contextualSpacing w:val="0"/>
        <w:rPr>
          <w:rFonts w:ascii="Arial" w:hAnsi="Arial" w:cs="Arial"/>
        </w:rPr>
      </w:pPr>
      <w:r w:rsidRPr="00694080">
        <w:rPr>
          <w:rFonts w:ascii="Arial" w:hAnsi="Arial" w:cs="Arial"/>
        </w:rPr>
        <w:lastRenderedPageBreak/>
        <w:t>Students lack primary language development and therefore transferring vocabulary to English is more difficult.</w:t>
      </w:r>
    </w:p>
    <w:p w14:paraId="215C6AB6" w14:textId="77777777" w:rsidR="007A0C1F" w:rsidRPr="00694080" w:rsidRDefault="007A0C1F" w:rsidP="007A0C1F">
      <w:pPr>
        <w:pStyle w:val="ListParagraph"/>
        <w:numPr>
          <w:ilvl w:val="1"/>
          <w:numId w:val="18"/>
        </w:numPr>
        <w:spacing w:after="240"/>
        <w:ind w:left="1080"/>
        <w:contextualSpacing w:val="0"/>
        <w:rPr>
          <w:rFonts w:ascii="Arial" w:hAnsi="Arial" w:cs="Arial"/>
        </w:rPr>
      </w:pPr>
      <w:r w:rsidRPr="00694080">
        <w:rPr>
          <w:rFonts w:ascii="Arial" w:hAnsi="Arial" w:cs="Arial"/>
        </w:rPr>
        <w:t>Parents are unaware of the communication strategies they can use to help develop the children’s primary and English language (e.g., develop vocabulary, use complete sentences).</w:t>
      </w:r>
    </w:p>
    <w:p w14:paraId="71768E79" w14:textId="77777777" w:rsidR="007A0C1F" w:rsidRPr="00694080" w:rsidRDefault="007A0C1F" w:rsidP="007D443E">
      <w:pPr>
        <w:pStyle w:val="ListParagraph"/>
        <w:numPr>
          <w:ilvl w:val="0"/>
          <w:numId w:val="63"/>
        </w:numPr>
        <w:spacing w:after="240"/>
        <w:rPr>
          <w:rFonts w:ascii="Arial" w:hAnsi="Arial" w:cs="Arial"/>
        </w:rPr>
      </w:pPr>
      <w:r w:rsidRPr="00694080">
        <w:rPr>
          <w:rFonts w:ascii="Arial" w:hAnsi="Arial" w:cs="Arial"/>
        </w:rPr>
        <w:t>The largest ELP need for migratory first graders is in reading and writing.</w:t>
      </w:r>
    </w:p>
    <w:p w14:paraId="6C44A74C" w14:textId="77777777" w:rsidR="007A0C1F" w:rsidRPr="00694080" w:rsidRDefault="007A0C1F" w:rsidP="007A0C1F">
      <w:pPr>
        <w:spacing w:after="240"/>
        <w:rPr>
          <w:rFonts w:ascii="Arial" w:hAnsi="Arial" w:cs="Arial"/>
        </w:rPr>
      </w:pPr>
      <w:r w:rsidRPr="00694080">
        <w:rPr>
          <w:rFonts w:ascii="Arial" w:hAnsi="Arial" w:cs="Arial"/>
        </w:rPr>
        <w:t>The California MEP will be tracking student participation output identified by the number of unduplicated number of students and parents who attend a dual language learner school readiness service with a duration of at least 15 hours.</w:t>
      </w:r>
    </w:p>
    <w:p w14:paraId="20D30BD1" w14:textId="77777777" w:rsidR="007A0C1F" w:rsidRPr="007A0C1F" w:rsidRDefault="007A0C1F" w:rsidP="00514084">
      <w:pPr>
        <w:pStyle w:val="Heading6"/>
        <w:spacing w:after="120"/>
        <w:jc w:val="center"/>
      </w:pPr>
      <w:r w:rsidRPr="007A0C1F">
        <w:t>GOAL AREA: Primary and Secondary Language Development</w:t>
      </w:r>
    </w:p>
    <w:p w14:paraId="5B79187B" w14:textId="503714F7" w:rsidR="0054625A" w:rsidRDefault="0054625A" w:rsidP="00694080">
      <w:pPr>
        <w:pStyle w:val="Heading6"/>
        <w:spacing w:before="0"/>
      </w:pPr>
      <w:bookmarkStart w:id="60" w:name="_Toc101961117"/>
      <w:r w:rsidRPr="005E0053">
        <w:t xml:space="preserve">Table </w:t>
      </w:r>
      <w:fldSimple w:instr=" SEQ Table \* ARABIC ">
        <w:r w:rsidR="001C0233">
          <w:rPr>
            <w:noProof/>
          </w:rPr>
          <w:t>25</w:t>
        </w:r>
      </w:fldSimple>
      <w:r w:rsidRPr="005E0053">
        <w:t xml:space="preserve">. </w:t>
      </w:r>
      <w:r w:rsidR="00514084">
        <w:t>Strategies and</w:t>
      </w:r>
      <w:r w:rsidRPr="005E0053">
        <w:t xml:space="preserve"> </w:t>
      </w:r>
      <w:r w:rsidR="00FA2566" w:rsidRPr="005E0053">
        <w:t>Measurable Program Objectives</w:t>
      </w:r>
      <w:r w:rsidRPr="005E0053">
        <w:t xml:space="preserve"> for Increasing Language Skills</w:t>
      </w:r>
      <w:r w:rsidR="00171580" w:rsidRPr="005E0053">
        <w:t xml:space="preserve"> </w:t>
      </w:r>
      <w:r w:rsidR="00046B4C">
        <w:t>(Revised)</w:t>
      </w:r>
      <w:bookmarkEnd w:id="60"/>
    </w:p>
    <w:tbl>
      <w:tblPr>
        <w:tblStyle w:val="GridTable4-Accent1"/>
        <w:tblW w:w="0" w:type="auto"/>
        <w:tblLook w:val="0420" w:firstRow="1" w:lastRow="0" w:firstColumn="0" w:lastColumn="0" w:noHBand="0" w:noVBand="1"/>
        <w:tblDescription w:val="Strategies and Measurable Program Objectives for Increasing Language Skills"/>
      </w:tblPr>
      <w:tblGrid>
        <w:gridCol w:w="4619"/>
        <w:gridCol w:w="4731"/>
      </w:tblGrid>
      <w:tr w:rsidR="007A0C1F" w:rsidRPr="00EB7139" w14:paraId="13C3BFF5"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4675" w:type="dxa"/>
            <w:tcBorders>
              <w:right w:val="single" w:sz="4" w:space="0" w:color="4472C4"/>
            </w:tcBorders>
            <w:shd w:val="clear" w:color="auto" w:fill="1F3864" w:themeFill="accent5" w:themeFillShade="80"/>
          </w:tcPr>
          <w:p w14:paraId="4FAD126E" w14:textId="77777777" w:rsidR="007A0C1F" w:rsidRPr="007D443E" w:rsidRDefault="007A0C1F" w:rsidP="007D443E">
            <w:pPr>
              <w:spacing w:after="120"/>
              <w:rPr>
                <w:rFonts w:ascii="Arial" w:hAnsi="Arial" w:cs="Arial"/>
                <w:color w:val="FFFFFF"/>
              </w:rPr>
            </w:pPr>
            <w:r w:rsidRPr="007D443E">
              <w:rPr>
                <w:rFonts w:ascii="Arial" w:hAnsi="Arial" w:cs="Arial"/>
                <w:color w:val="FFFFFF"/>
              </w:rPr>
              <w:t>Strategies</w:t>
            </w:r>
          </w:p>
        </w:tc>
        <w:tc>
          <w:tcPr>
            <w:tcW w:w="4793" w:type="dxa"/>
            <w:tcBorders>
              <w:left w:val="single" w:sz="4" w:space="0" w:color="4472C4"/>
            </w:tcBorders>
            <w:shd w:val="clear" w:color="auto" w:fill="1F3864" w:themeFill="accent5" w:themeFillShade="80"/>
          </w:tcPr>
          <w:p w14:paraId="3DA8E771" w14:textId="77777777" w:rsidR="007A0C1F" w:rsidRPr="007D443E" w:rsidRDefault="007A0C1F" w:rsidP="007D443E">
            <w:pPr>
              <w:spacing w:after="120"/>
              <w:rPr>
                <w:rFonts w:ascii="Arial" w:hAnsi="Arial" w:cs="Arial"/>
                <w:color w:val="FFFFFF"/>
              </w:rPr>
            </w:pPr>
            <w:r w:rsidRPr="007D443E">
              <w:rPr>
                <w:rFonts w:ascii="Arial" w:hAnsi="Arial" w:cs="Arial"/>
                <w:color w:val="FFFFFF"/>
              </w:rPr>
              <w:t>Measurable Program Objectives</w:t>
            </w:r>
          </w:p>
        </w:tc>
      </w:tr>
      <w:tr w:rsidR="007A0C1F" w:rsidRPr="00174DAD" w14:paraId="25744FB3"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4675" w:type="dxa"/>
          </w:tcPr>
          <w:p w14:paraId="57A7CEAD" w14:textId="08933FE1" w:rsidR="007A0C1F" w:rsidRPr="00940787" w:rsidRDefault="007A0C1F" w:rsidP="007D443E">
            <w:pPr>
              <w:spacing w:after="120"/>
              <w:rPr>
                <w:rFonts w:ascii="Arial" w:hAnsi="Arial" w:cs="Arial"/>
              </w:rPr>
            </w:pPr>
            <w:r w:rsidRPr="007D443E">
              <w:rPr>
                <w:rFonts w:ascii="Arial" w:hAnsi="Arial" w:cs="Arial"/>
                <w:b/>
              </w:rPr>
              <w:t>Principle Strategy 7.0:</w:t>
            </w:r>
            <w:r w:rsidRPr="007D443E">
              <w:rPr>
                <w:rFonts w:ascii="Arial" w:hAnsi="Arial" w:cs="Arial"/>
              </w:rPr>
              <w:t xml:space="preserve"> Offer school readiness services with primary and secondary language development objectives for dual language learners (during a time when at least one parent is available to participate).</w:t>
            </w:r>
            <w:r w:rsidR="005F3C8C">
              <w:rPr>
                <w:rStyle w:val="FootnoteReference"/>
                <w:rFonts w:ascii="Arial" w:hAnsi="Arial" w:cs="Arial"/>
              </w:rPr>
              <w:footnoteReference w:id="28"/>
            </w:r>
          </w:p>
        </w:tc>
        <w:tc>
          <w:tcPr>
            <w:tcW w:w="4793" w:type="dxa"/>
          </w:tcPr>
          <w:p w14:paraId="5BB0B749" w14:textId="77777777" w:rsidR="007A0C1F" w:rsidRPr="007D443E" w:rsidRDefault="007A0C1F" w:rsidP="007D443E">
            <w:pPr>
              <w:spacing w:after="120"/>
              <w:rPr>
                <w:rFonts w:ascii="Arial" w:hAnsi="Arial" w:cs="Arial"/>
              </w:rPr>
            </w:pPr>
            <w:r w:rsidRPr="007D443E">
              <w:rPr>
                <w:rFonts w:ascii="Arial" w:hAnsi="Arial" w:cs="Arial"/>
                <w:b/>
              </w:rPr>
              <w:t>Measurable Program Objective:</w:t>
            </w:r>
            <w:r w:rsidRPr="007D443E">
              <w:rPr>
                <w:rFonts w:ascii="Arial" w:hAnsi="Arial" w:cs="Arial"/>
              </w:rPr>
              <w:t xml:space="preserve"> Each year, 40 percent of migratory children (ages 3–5) will attend 15 hours or more of school readiness services for dual language learners.</w:t>
            </w:r>
          </w:p>
        </w:tc>
      </w:tr>
      <w:tr w:rsidR="007A0C1F" w:rsidRPr="007D443E" w14:paraId="62DE3627" w14:textId="77777777" w:rsidTr="00940787">
        <w:trPr>
          <w:cantSplit/>
          <w:trHeight w:val="251"/>
        </w:trPr>
        <w:tc>
          <w:tcPr>
            <w:tcW w:w="4675" w:type="dxa"/>
          </w:tcPr>
          <w:p w14:paraId="7A225A3E" w14:textId="77777777" w:rsidR="007A0C1F" w:rsidRPr="007D443E" w:rsidRDefault="007A0C1F" w:rsidP="007D443E">
            <w:pPr>
              <w:spacing w:after="120"/>
              <w:rPr>
                <w:rFonts w:ascii="Arial" w:hAnsi="Arial" w:cs="Arial"/>
              </w:rPr>
            </w:pPr>
            <w:r w:rsidRPr="007D443E">
              <w:rPr>
                <w:rFonts w:ascii="Arial" w:hAnsi="Arial" w:cs="Arial"/>
                <w:b/>
              </w:rPr>
              <w:t xml:space="preserve">Strategy 7.1: </w:t>
            </w:r>
            <w:r w:rsidRPr="007D443E">
              <w:rPr>
                <w:rFonts w:ascii="Arial" w:hAnsi="Arial" w:cs="Arial"/>
              </w:rPr>
              <w:t>Provide training and resources to parents:</w:t>
            </w:r>
          </w:p>
          <w:p w14:paraId="12ED0306" w14:textId="77777777" w:rsidR="007A0C1F" w:rsidRPr="007D443E" w:rsidRDefault="007A0C1F" w:rsidP="007D443E">
            <w:pPr>
              <w:pStyle w:val="ListParagraph"/>
              <w:numPr>
                <w:ilvl w:val="0"/>
                <w:numId w:val="26"/>
              </w:numPr>
              <w:spacing w:after="120"/>
              <w:ind w:left="394"/>
              <w:rPr>
                <w:rFonts w:ascii="Arial" w:hAnsi="Arial" w:cs="Arial"/>
              </w:rPr>
            </w:pPr>
            <w:r w:rsidRPr="007D443E">
              <w:rPr>
                <w:rFonts w:ascii="Arial" w:hAnsi="Arial" w:cs="Arial"/>
              </w:rPr>
              <w:t>Workshops to increase awareness of school readiness skills including the importance of and strategies to develop primary language skills</w:t>
            </w:r>
          </w:p>
          <w:p w14:paraId="7EEF575F" w14:textId="77777777" w:rsidR="007A0C1F" w:rsidRDefault="007A0C1F" w:rsidP="007D443E">
            <w:pPr>
              <w:pStyle w:val="ListParagraph"/>
              <w:numPr>
                <w:ilvl w:val="0"/>
                <w:numId w:val="26"/>
              </w:numPr>
              <w:spacing w:after="120"/>
              <w:ind w:left="394"/>
              <w:rPr>
                <w:rFonts w:ascii="Arial" w:hAnsi="Arial" w:cs="Arial"/>
              </w:rPr>
            </w:pPr>
            <w:r w:rsidRPr="007D443E">
              <w:rPr>
                <w:rFonts w:ascii="Arial" w:hAnsi="Arial" w:cs="Arial"/>
              </w:rPr>
              <w:t>Workshops to teach strategies that support early learning at home</w:t>
            </w:r>
          </w:p>
          <w:p w14:paraId="2999B275" w14:textId="3EF7D5D7" w:rsidR="00817CF0" w:rsidRPr="00817CF0" w:rsidRDefault="00817CF0" w:rsidP="007D443E">
            <w:pPr>
              <w:pStyle w:val="ListParagraph"/>
              <w:numPr>
                <w:ilvl w:val="0"/>
                <w:numId w:val="26"/>
              </w:numPr>
              <w:spacing w:after="120"/>
              <w:ind w:left="394"/>
              <w:rPr>
                <w:rFonts w:ascii="Arial" w:hAnsi="Arial" w:cs="Arial"/>
              </w:rPr>
            </w:pPr>
            <w:r w:rsidRPr="00E22495">
              <w:rPr>
                <w:rFonts w:ascii="Arial" w:hAnsi="Arial" w:cs="Arial"/>
              </w:rPr>
              <w:t>Workshops to increase social emotional learning at home</w:t>
            </w:r>
          </w:p>
        </w:tc>
        <w:tc>
          <w:tcPr>
            <w:tcW w:w="4793" w:type="dxa"/>
          </w:tcPr>
          <w:p w14:paraId="085FEB9A" w14:textId="4400DC12" w:rsidR="007A0C1F" w:rsidRPr="007D443E" w:rsidRDefault="007A0C1F" w:rsidP="007D443E">
            <w:pPr>
              <w:spacing w:after="120"/>
              <w:rPr>
                <w:rFonts w:ascii="Arial" w:hAnsi="Arial" w:cs="Arial"/>
              </w:rPr>
            </w:pPr>
            <w:r w:rsidRPr="007D443E">
              <w:rPr>
                <w:rFonts w:ascii="Arial" w:hAnsi="Arial" w:cs="Arial"/>
                <w:b/>
              </w:rPr>
              <w:t>Measurable Program Objective 7.1:</w:t>
            </w:r>
            <w:r w:rsidR="00E22495">
              <w:rPr>
                <w:rFonts w:ascii="Arial" w:hAnsi="Arial" w:cs="Arial"/>
                <w:b/>
              </w:rPr>
              <w:t xml:space="preserve"> </w:t>
            </w:r>
            <w:r w:rsidR="00E22495" w:rsidRPr="00967232">
              <w:rPr>
                <w:rFonts w:ascii="Arial" w:hAnsi="Arial" w:cs="Arial"/>
              </w:rPr>
              <w:t>Subgrantees</w:t>
            </w:r>
            <w:r w:rsidR="000D5948" w:rsidRPr="00967232">
              <w:rPr>
                <w:rFonts w:ascii="Arial" w:hAnsi="Arial" w:cs="Arial"/>
              </w:rPr>
              <w:t xml:space="preserve"> provide at least one workshop on developing a student’s primary language</w:t>
            </w:r>
            <w:r w:rsidR="00817CF0">
              <w:rPr>
                <w:rFonts w:ascii="Arial" w:hAnsi="Arial" w:cs="Arial"/>
              </w:rPr>
              <w:t>,</w:t>
            </w:r>
            <w:r w:rsidR="000D5948" w:rsidRPr="00967232">
              <w:rPr>
                <w:rFonts w:ascii="Arial" w:hAnsi="Arial" w:cs="Arial"/>
              </w:rPr>
              <w:t xml:space="preserve"> at least one workshop teaching </w:t>
            </w:r>
            <w:proofErr w:type="gramStart"/>
            <w:r w:rsidR="000D5948" w:rsidRPr="00967232">
              <w:rPr>
                <w:rFonts w:ascii="Arial" w:hAnsi="Arial" w:cs="Arial"/>
              </w:rPr>
              <w:t>parents</w:t>
            </w:r>
            <w:proofErr w:type="gramEnd"/>
            <w:r w:rsidR="000D5948" w:rsidRPr="00967232">
              <w:rPr>
                <w:rFonts w:ascii="Arial" w:hAnsi="Arial" w:cs="Arial"/>
              </w:rPr>
              <w:t xml:space="preserve"> strategies that support early learning at home</w:t>
            </w:r>
            <w:r w:rsidR="00817CF0">
              <w:rPr>
                <w:rFonts w:ascii="Arial" w:hAnsi="Arial" w:cs="Arial"/>
              </w:rPr>
              <w:t>, and at least one workshop that supports social emotional learning at home</w:t>
            </w:r>
            <w:r w:rsidR="000D5948" w:rsidRPr="00967232">
              <w:rPr>
                <w:rFonts w:ascii="Arial" w:hAnsi="Arial" w:cs="Arial"/>
              </w:rPr>
              <w:t>.</w:t>
            </w:r>
            <w:r w:rsidRPr="007D443E">
              <w:rPr>
                <w:rStyle w:val="FootnoteReference"/>
                <w:rFonts w:ascii="Arial" w:hAnsi="Arial" w:cs="Arial"/>
              </w:rPr>
              <w:footnoteReference w:id="29"/>
            </w:r>
          </w:p>
        </w:tc>
      </w:tr>
    </w:tbl>
    <w:p w14:paraId="01D073C0" w14:textId="4B18DF66" w:rsidR="007A0C1F" w:rsidRPr="00694080" w:rsidRDefault="007A0C1F" w:rsidP="00694080">
      <w:pPr>
        <w:spacing w:before="240"/>
        <w:rPr>
          <w:rFonts w:ascii="Arial" w:hAnsi="Arial" w:cs="Arial"/>
        </w:rPr>
      </w:pPr>
      <w:r w:rsidRPr="00694080">
        <w:rPr>
          <w:rFonts w:ascii="Arial" w:hAnsi="Arial" w:cs="Arial"/>
        </w:rPr>
        <w:lastRenderedPageBreak/>
        <w:t xml:space="preserve">The performance target </w:t>
      </w:r>
      <w:r w:rsidR="00096581">
        <w:rPr>
          <w:rFonts w:ascii="Arial" w:hAnsi="Arial" w:cs="Arial"/>
        </w:rPr>
        <w:t xml:space="preserve">for School Readiness is: </w:t>
      </w:r>
      <w:r w:rsidR="00096581" w:rsidRPr="00E22495">
        <w:rPr>
          <w:rFonts w:ascii="Arial" w:hAnsi="Arial" w:cs="Arial"/>
        </w:rPr>
        <w:t>By July 2023, 40 percent of migratory children (ages 3–5) will attend 15 hours or more of school readiness services for dual language learners.</w:t>
      </w:r>
    </w:p>
    <w:p w14:paraId="34F550B6" w14:textId="143F193C" w:rsidR="001F1B8E" w:rsidRDefault="007A0C1F" w:rsidP="00EF13B8">
      <w:pPr>
        <w:spacing w:before="240"/>
        <w:rPr>
          <w:rFonts w:ascii="Arial" w:hAnsi="Arial" w:cs="Arial"/>
        </w:rPr>
      </w:pPr>
      <w:r>
        <w:rPr>
          <w:rFonts w:ascii="Arial" w:hAnsi="Arial" w:cs="Arial"/>
        </w:rPr>
        <w:t>Additionally, t</w:t>
      </w:r>
      <w:r w:rsidR="001F1B8E" w:rsidRPr="005E0053">
        <w:rPr>
          <w:rFonts w:ascii="Arial" w:hAnsi="Arial" w:cs="Arial"/>
        </w:rPr>
        <w:t xml:space="preserve">he </w:t>
      </w:r>
      <w:r w:rsidR="00B96CAB" w:rsidRPr="005E0053">
        <w:rPr>
          <w:rFonts w:ascii="Arial" w:hAnsi="Arial" w:cs="Arial"/>
        </w:rPr>
        <w:t xml:space="preserve">CNA/SSDP Committee identified the need for increasing social emotional skills for migratory children who are preschool age. While the CDE is currently collecting output data only, the inferred outcome for this need is to increase the number of students who enroll in kindergarten with social emotional </w:t>
      </w:r>
      <w:r w:rsidR="004377BA" w:rsidRPr="005E0053">
        <w:rPr>
          <w:rFonts w:ascii="Arial" w:hAnsi="Arial" w:cs="Arial"/>
        </w:rPr>
        <w:t>maturity</w:t>
      </w:r>
      <w:r w:rsidR="00B96CAB" w:rsidRPr="005E0053">
        <w:rPr>
          <w:rFonts w:ascii="Arial" w:hAnsi="Arial" w:cs="Arial"/>
        </w:rPr>
        <w:t xml:space="preserve">. Table 28 </w:t>
      </w:r>
      <w:r w:rsidR="00C30930" w:rsidRPr="005E0053">
        <w:rPr>
          <w:rFonts w:ascii="Arial" w:hAnsi="Arial" w:cs="Arial"/>
        </w:rPr>
        <w:t>reviews</w:t>
      </w:r>
      <w:r w:rsidR="00B96CAB" w:rsidRPr="005E0053">
        <w:rPr>
          <w:rFonts w:ascii="Arial" w:hAnsi="Arial" w:cs="Arial"/>
        </w:rPr>
        <w:t xml:space="preserve"> the strategies</w:t>
      </w:r>
      <w:r w:rsidR="000D252E">
        <w:rPr>
          <w:rFonts w:ascii="Arial" w:hAnsi="Arial" w:cs="Arial"/>
        </w:rPr>
        <w:t xml:space="preserve"> and</w:t>
      </w:r>
      <w:r w:rsidR="00B96CAB" w:rsidRPr="005E0053">
        <w:rPr>
          <w:rFonts w:ascii="Arial" w:hAnsi="Arial" w:cs="Arial"/>
        </w:rPr>
        <w:t xml:space="preserve"> </w:t>
      </w:r>
      <w:r w:rsidR="00FA2566" w:rsidRPr="005E0053">
        <w:rPr>
          <w:rFonts w:ascii="Arial" w:hAnsi="Arial" w:cs="Arial"/>
        </w:rPr>
        <w:t>MPOs</w:t>
      </w:r>
      <w:r w:rsidR="00B96CAB" w:rsidRPr="005E0053">
        <w:rPr>
          <w:rFonts w:ascii="Arial" w:hAnsi="Arial" w:cs="Arial"/>
        </w:rPr>
        <w:t xml:space="preserve"> for </w:t>
      </w:r>
      <w:r w:rsidR="00A81A36" w:rsidRPr="005E0053">
        <w:rPr>
          <w:rFonts w:ascii="Arial" w:hAnsi="Arial" w:cs="Arial"/>
        </w:rPr>
        <w:t xml:space="preserve">services aimed at </w:t>
      </w:r>
      <w:r w:rsidR="00B96CAB" w:rsidRPr="005E0053">
        <w:rPr>
          <w:rFonts w:ascii="Arial" w:hAnsi="Arial" w:cs="Arial"/>
        </w:rPr>
        <w:t>increasing social emotional maturity</w:t>
      </w:r>
      <w:r w:rsidR="00A81A36" w:rsidRPr="005E0053">
        <w:rPr>
          <w:rFonts w:ascii="Arial" w:hAnsi="Arial" w:cs="Arial"/>
        </w:rPr>
        <w:t xml:space="preserve"> in preschool aged migratory children.</w:t>
      </w:r>
    </w:p>
    <w:p w14:paraId="641AD2D5" w14:textId="4CC27727" w:rsidR="005162E8" w:rsidRDefault="00EF59DB" w:rsidP="00AF511B">
      <w:pPr>
        <w:spacing w:before="240" w:after="120"/>
        <w:rPr>
          <w:rFonts w:ascii="Arial" w:hAnsi="Arial" w:cs="Arial"/>
        </w:rPr>
      </w:pPr>
      <w:r>
        <w:rPr>
          <w:rFonts w:ascii="Arial" w:hAnsi="Arial" w:cs="Arial"/>
        </w:rPr>
        <w:t>School Readiness Subcommittee members</w:t>
      </w:r>
      <w:r w:rsidRPr="00694080">
        <w:rPr>
          <w:rFonts w:ascii="Arial" w:hAnsi="Arial" w:cs="Arial"/>
        </w:rPr>
        <w:t xml:space="preserve"> </w:t>
      </w:r>
      <w:r w:rsidR="007A0C1F" w:rsidRPr="00694080">
        <w:rPr>
          <w:rFonts w:ascii="Arial" w:hAnsi="Arial" w:cs="Arial"/>
        </w:rPr>
        <w:t xml:space="preserve">noted that many students are not socially and/or emotionally ready to start Kindergarten. </w:t>
      </w:r>
      <w:r w:rsidR="005162E8">
        <w:rPr>
          <w:rFonts w:ascii="Arial" w:hAnsi="Arial" w:cs="Arial"/>
        </w:rPr>
        <w:t xml:space="preserve">Specifically, </w:t>
      </w:r>
      <w:r>
        <w:rPr>
          <w:rFonts w:ascii="Arial" w:hAnsi="Arial" w:cs="Arial"/>
        </w:rPr>
        <w:t xml:space="preserve">subcommittee members </w:t>
      </w:r>
      <w:r w:rsidR="005162E8">
        <w:rPr>
          <w:rFonts w:ascii="Arial" w:hAnsi="Arial" w:cs="Arial"/>
        </w:rPr>
        <w:t>identified the following concerns from their own experiences:</w:t>
      </w:r>
    </w:p>
    <w:p w14:paraId="519F01F6" w14:textId="77777777" w:rsidR="00D74379" w:rsidRPr="00D74379" w:rsidRDefault="00D74379" w:rsidP="00AF511B">
      <w:pPr>
        <w:pStyle w:val="ListParagraph"/>
        <w:numPr>
          <w:ilvl w:val="0"/>
          <w:numId w:val="18"/>
        </w:numPr>
        <w:spacing w:after="120"/>
        <w:contextualSpacing w:val="0"/>
        <w:rPr>
          <w:rFonts w:ascii="Arial" w:hAnsi="Arial" w:cs="Arial"/>
        </w:rPr>
      </w:pPr>
      <w:r w:rsidRPr="00D74379">
        <w:rPr>
          <w:rFonts w:ascii="Arial" w:hAnsi="Arial" w:cs="Arial"/>
        </w:rPr>
        <w:t>Focus on listening/speaking, reading/writing is harder because you can have gross/motor development issues which hinder the scores on these areas of assessment.</w:t>
      </w:r>
    </w:p>
    <w:p w14:paraId="3B01DD99" w14:textId="5C1B09DD" w:rsidR="00D74379" w:rsidRPr="00D74379" w:rsidRDefault="00D74379" w:rsidP="00AF511B">
      <w:pPr>
        <w:pStyle w:val="ListParagraph"/>
        <w:numPr>
          <w:ilvl w:val="1"/>
          <w:numId w:val="18"/>
        </w:numPr>
        <w:spacing w:after="120"/>
        <w:contextualSpacing w:val="0"/>
        <w:rPr>
          <w:rFonts w:ascii="Arial" w:hAnsi="Arial" w:cs="Arial"/>
        </w:rPr>
      </w:pPr>
      <w:r w:rsidRPr="00D74379">
        <w:rPr>
          <w:rFonts w:ascii="Arial" w:hAnsi="Arial" w:cs="Arial"/>
        </w:rPr>
        <w:t>Many students are not socially and/or emotionally ready to start Kindergarten.</w:t>
      </w:r>
    </w:p>
    <w:p w14:paraId="4226264B" w14:textId="7CF1F718" w:rsidR="007A0C1F" w:rsidRDefault="007A0C1F" w:rsidP="00AF511B">
      <w:pPr>
        <w:spacing w:before="120" w:after="240"/>
        <w:rPr>
          <w:rFonts w:ascii="Arial" w:hAnsi="Arial" w:cs="Arial"/>
        </w:rPr>
      </w:pPr>
      <w:r w:rsidRPr="00694080">
        <w:rPr>
          <w:rFonts w:ascii="Arial" w:hAnsi="Arial" w:cs="Arial"/>
        </w:rPr>
        <w:t>For th</w:t>
      </w:r>
      <w:r w:rsidR="00D74379">
        <w:rPr>
          <w:rFonts w:ascii="Arial" w:hAnsi="Arial" w:cs="Arial"/>
        </w:rPr>
        <w:t>e</w:t>
      </w:r>
      <w:r w:rsidRPr="00694080">
        <w:rPr>
          <w:rFonts w:ascii="Arial" w:hAnsi="Arial" w:cs="Arial"/>
        </w:rPr>
        <w:t>s</w:t>
      </w:r>
      <w:r w:rsidR="00D74379">
        <w:rPr>
          <w:rFonts w:ascii="Arial" w:hAnsi="Arial" w:cs="Arial"/>
        </w:rPr>
        <w:t>e</w:t>
      </w:r>
      <w:r w:rsidRPr="00694080">
        <w:rPr>
          <w:rFonts w:ascii="Arial" w:hAnsi="Arial" w:cs="Arial"/>
        </w:rPr>
        <w:t xml:space="preserve"> reason</w:t>
      </w:r>
      <w:r w:rsidR="00D74379">
        <w:rPr>
          <w:rFonts w:ascii="Arial" w:hAnsi="Arial" w:cs="Arial"/>
        </w:rPr>
        <w:t>s</w:t>
      </w:r>
      <w:r w:rsidRPr="00694080">
        <w:rPr>
          <w:rFonts w:ascii="Arial" w:hAnsi="Arial" w:cs="Arial"/>
        </w:rPr>
        <w:t>, the California MEP is adding a social emotional component to its school readiness services</w:t>
      </w:r>
      <w:r w:rsidR="001C0233">
        <w:rPr>
          <w:rFonts w:ascii="Arial" w:hAnsi="Arial" w:cs="Arial"/>
        </w:rPr>
        <w:t xml:space="preserve"> to support school readiness  skills in the classroom and at home</w:t>
      </w:r>
      <w:r w:rsidRPr="00694080">
        <w:rPr>
          <w:rFonts w:ascii="Arial" w:hAnsi="Arial" w:cs="Arial"/>
        </w:rPr>
        <w:t xml:space="preserve">. </w:t>
      </w:r>
      <w:r w:rsidR="00D74379">
        <w:rPr>
          <w:rFonts w:ascii="Arial" w:hAnsi="Arial" w:cs="Arial"/>
        </w:rPr>
        <w:t>Tables 26 and 27 identify the strategies and aligning MPOs for the School Readiness Focus Area. S</w:t>
      </w:r>
      <w:r w:rsidRPr="00694080">
        <w:rPr>
          <w:rFonts w:ascii="Arial" w:hAnsi="Arial" w:cs="Arial"/>
        </w:rPr>
        <w:t>ubgrantees will track attendance to school readiness programs that implement these strategies.</w:t>
      </w:r>
    </w:p>
    <w:p w14:paraId="4C97E35C" w14:textId="77777777" w:rsidR="007A0C1F" w:rsidRPr="005E0053" w:rsidRDefault="007A0C1F" w:rsidP="00514084">
      <w:pPr>
        <w:pStyle w:val="Heading6"/>
        <w:spacing w:after="120"/>
        <w:jc w:val="center"/>
        <w:rPr>
          <w:rFonts w:cs="Arial"/>
        </w:rPr>
      </w:pPr>
      <w:r w:rsidRPr="007A0C1F">
        <w:t>GOAL AREA: Social Emotional Maturity</w:t>
      </w:r>
    </w:p>
    <w:p w14:paraId="79FA31A3" w14:textId="008B8E24" w:rsidR="0054625A" w:rsidRDefault="0054625A" w:rsidP="00694080">
      <w:pPr>
        <w:pStyle w:val="Heading6"/>
        <w:spacing w:before="0"/>
      </w:pPr>
      <w:bookmarkStart w:id="61" w:name="_Toc101961118"/>
      <w:r w:rsidRPr="005E0053">
        <w:t xml:space="preserve">Table </w:t>
      </w:r>
      <w:fldSimple w:instr=" SEQ Table \* ARABIC ">
        <w:r w:rsidR="00D74379">
          <w:rPr>
            <w:noProof/>
          </w:rPr>
          <w:t>26</w:t>
        </w:r>
      </w:fldSimple>
      <w:r w:rsidRPr="005E0053">
        <w:t xml:space="preserve">. </w:t>
      </w:r>
      <w:r w:rsidR="00514084">
        <w:t xml:space="preserve">Strategies and </w:t>
      </w:r>
      <w:r w:rsidR="00FA2566" w:rsidRPr="005E0053">
        <w:t>Measurable Program Objectives</w:t>
      </w:r>
      <w:r w:rsidRPr="005E0053">
        <w:t xml:space="preserve"> for Increasing Social Emotional Maturity </w:t>
      </w:r>
      <w:r w:rsidR="00046B4C">
        <w:t xml:space="preserve"> (Revised)</w:t>
      </w:r>
      <w:bookmarkEnd w:id="61"/>
    </w:p>
    <w:tbl>
      <w:tblPr>
        <w:tblStyle w:val="GridTable4-Accent1"/>
        <w:tblW w:w="0" w:type="auto"/>
        <w:tblLook w:val="0420" w:firstRow="1" w:lastRow="0" w:firstColumn="0" w:lastColumn="0" w:noHBand="0" w:noVBand="1"/>
        <w:tblDescription w:val="Strategies and Measurable Program Objectives for Increasing Social Emotional Maturity "/>
      </w:tblPr>
      <w:tblGrid>
        <w:gridCol w:w="4045"/>
        <w:gridCol w:w="4950"/>
      </w:tblGrid>
      <w:tr w:rsidR="007A0C1F" w:rsidRPr="007D443E" w14:paraId="6AD495E9"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4045" w:type="dxa"/>
            <w:tcBorders>
              <w:right w:val="single" w:sz="4" w:space="0" w:color="4472C4"/>
            </w:tcBorders>
            <w:shd w:val="clear" w:color="auto" w:fill="1F3864" w:themeFill="accent5" w:themeFillShade="80"/>
          </w:tcPr>
          <w:p w14:paraId="0E4F25AA" w14:textId="77777777" w:rsidR="007A0C1F" w:rsidRPr="007D443E" w:rsidRDefault="007A0C1F" w:rsidP="007D443E">
            <w:pPr>
              <w:spacing w:after="120"/>
              <w:rPr>
                <w:rFonts w:ascii="Arial" w:hAnsi="Arial" w:cs="Arial"/>
                <w:color w:val="FFFFFF"/>
              </w:rPr>
            </w:pPr>
            <w:r w:rsidRPr="007D443E">
              <w:rPr>
                <w:rFonts w:ascii="Arial" w:hAnsi="Arial" w:cs="Arial"/>
                <w:color w:val="FFFFFF"/>
              </w:rPr>
              <w:t>Strategies</w:t>
            </w:r>
          </w:p>
        </w:tc>
        <w:tc>
          <w:tcPr>
            <w:tcW w:w="4950" w:type="dxa"/>
            <w:tcBorders>
              <w:left w:val="single" w:sz="4" w:space="0" w:color="4472C4"/>
            </w:tcBorders>
            <w:shd w:val="clear" w:color="auto" w:fill="1F3864" w:themeFill="accent5" w:themeFillShade="80"/>
          </w:tcPr>
          <w:p w14:paraId="0D64B085" w14:textId="77777777" w:rsidR="007A0C1F" w:rsidRPr="007D443E" w:rsidRDefault="007A0C1F" w:rsidP="007D443E">
            <w:pPr>
              <w:spacing w:after="120"/>
              <w:rPr>
                <w:rFonts w:ascii="Arial" w:hAnsi="Arial" w:cs="Arial"/>
                <w:color w:val="FFFFFF"/>
              </w:rPr>
            </w:pPr>
            <w:r w:rsidRPr="007D443E">
              <w:rPr>
                <w:rFonts w:ascii="Arial" w:hAnsi="Arial" w:cs="Arial"/>
                <w:color w:val="FFFFFF"/>
              </w:rPr>
              <w:t>Measurable Program Objectives</w:t>
            </w:r>
          </w:p>
        </w:tc>
      </w:tr>
      <w:tr w:rsidR="007A0C1F" w:rsidRPr="007D443E" w14:paraId="61F3C7A9"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4045" w:type="dxa"/>
          </w:tcPr>
          <w:p w14:paraId="7888034D" w14:textId="77777777" w:rsidR="007A0C1F" w:rsidRPr="007D443E" w:rsidRDefault="007A0C1F" w:rsidP="007D443E">
            <w:pPr>
              <w:spacing w:after="120"/>
              <w:rPr>
                <w:rFonts w:ascii="Arial" w:hAnsi="Arial" w:cs="Arial"/>
              </w:rPr>
            </w:pPr>
            <w:r w:rsidRPr="007D443E">
              <w:rPr>
                <w:rFonts w:ascii="Arial" w:hAnsi="Arial" w:cs="Arial"/>
                <w:b/>
              </w:rPr>
              <w:t xml:space="preserve">Principle Strategy 8.0: </w:t>
            </w:r>
            <w:r w:rsidRPr="007D443E">
              <w:rPr>
                <w:rFonts w:ascii="Arial" w:hAnsi="Arial" w:cs="Arial"/>
              </w:rPr>
              <w:t>Include social emotional development strategies in school readiness services.</w:t>
            </w:r>
          </w:p>
        </w:tc>
        <w:tc>
          <w:tcPr>
            <w:tcW w:w="4950" w:type="dxa"/>
          </w:tcPr>
          <w:p w14:paraId="14F3A453" w14:textId="77777777" w:rsidR="007A0C1F" w:rsidRPr="007D443E" w:rsidRDefault="007A0C1F" w:rsidP="007D443E">
            <w:pPr>
              <w:spacing w:after="120"/>
              <w:rPr>
                <w:rFonts w:ascii="Arial" w:hAnsi="Arial" w:cs="Arial"/>
              </w:rPr>
            </w:pPr>
            <w:r w:rsidRPr="007D443E">
              <w:rPr>
                <w:rFonts w:ascii="Arial" w:hAnsi="Arial" w:cs="Arial"/>
                <w:b/>
              </w:rPr>
              <w:t>Principle Measurable Program Objective 8.0:</w:t>
            </w:r>
            <w:r w:rsidRPr="007D443E">
              <w:rPr>
                <w:rFonts w:ascii="Arial" w:hAnsi="Arial" w:cs="Arial"/>
              </w:rPr>
              <w:t xml:space="preserve"> Each year, 100 percent of MESRP services will incorporate a social emotional component.</w:t>
            </w:r>
          </w:p>
        </w:tc>
      </w:tr>
    </w:tbl>
    <w:p w14:paraId="2FA47698" w14:textId="5E150336" w:rsidR="00BA5C6E" w:rsidRPr="005E0053" w:rsidRDefault="00817CF0" w:rsidP="004E1863">
      <w:pPr>
        <w:pStyle w:val="Heading5"/>
      </w:pPr>
      <w:r w:rsidRPr="00694080">
        <w:rPr>
          <w:rFonts w:cs="Arial"/>
        </w:rPr>
        <w:t xml:space="preserve">The performance target </w:t>
      </w:r>
      <w:r>
        <w:rPr>
          <w:rFonts w:cs="Arial"/>
        </w:rPr>
        <w:t xml:space="preserve">for School Readiness is: </w:t>
      </w:r>
      <w:r w:rsidRPr="00A156EC">
        <w:rPr>
          <w:rFonts w:cs="Arial"/>
        </w:rPr>
        <w:t xml:space="preserve">By July 2023, 40 percent of migratory children (ages 3–5) will attend 15 hours or more of school readiness services for dual language </w:t>
      </w:r>
      <w:proofErr w:type="spellStart"/>
      <w:r w:rsidRPr="00A156EC">
        <w:rPr>
          <w:rFonts w:cs="Arial"/>
        </w:rPr>
        <w:t>learners.</w:t>
      </w:r>
      <w:bookmarkStart w:id="62" w:name="_Toc504520866"/>
      <w:r w:rsidR="00BA5C6E" w:rsidRPr="005E0053">
        <w:t>Out</w:t>
      </w:r>
      <w:proofErr w:type="spellEnd"/>
      <w:r w:rsidR="00BA5C6E" w:rsidRPr="005E0053">
        <w:t>-of-School Youth</w:t>
      </w:r>
      <w:bookmarkEnd w:id="62"/>
    </w:p>
    <w:p w14:paraId="53665FA9" w14:textId="77777777" w:rsidR="00E571D6" w:rsidRPr="005E0053" w:rsidRDefault="00A11DA3" w:rsidP="007874C6">
      <w:pPr>
        <w:rPr>
          <w:rFonts w:ascii="Arial" w:hAnsi="Arial" w:cs="Arial"/>
        </w:rPr>
      </w:pPr>
      <w:r w:rsidRPr="005E0053">
        <w:rPr>
          <w:rFonts w:ascii="Arial" w:hAnsi="Arial" w:cs="Arial"/>
        </w:rPr>
        <w:t>Out-of-School Youth are migratory youth, typically between the ages of 16 through 21, who meet the definition of migratory child, but are not enrolled in school</w:t>
      </w:r>
      <w:r w:rsidR="00E571D6" w:rsidRPr="005E0053">
        <w:rPr>
          <w:rFonts w:ascii="Arial" w:hAnsi="Arial" w:cs="Arial"/>
        </w:rPr>
        <w:t>.</w:t>
      </w:r>
      <w:r w:rsidRPr="005E0053">
        <w:rPr>
          <w:rFonts w:ascii="Arial" w:hAnsi="Arial" w:cs="Arial"/>
        </w:rPr>
        <w:t xml:space="preserve"> </w:t>
      </w:r>
      <w:r w:rsidR="00A45A66" w:rsidRPr="005E0053">
        <w:rPr>
          <w:rFonts w:ascii="Arial" w:hAnsi="Arial" w:cs="Arial"/>
        </w:rPr>
        <w:t>C</w:t>
      </w:r>
      <w:r w:rsidR="00E571D6" w:rsidRPr="005E0053">
        <w:rPr>
          <w:rFonts w:ascii="Arial" w:hAnsi="Arial" w:cs="Arial"/>
        </w:rPr>
        <w:t xml:space="preserve">onsidered </w:t>
      </w:r>
      <w:r w:rsidR="00A45A66" w:rsidRPr="005E0053">
        <w:rPr>
          <w:rFonts w:ascii="Arial" w:hAnsi="Arial" w:cs="Arial"/>
        </w:rPr>
        <w:t>a population of special concern,</w:t>
      </w:r>
      <w:r w:rsidRPr="005E0053">
        <w:rPr>
          <w:rFonts w:ascii="Arial" w:hAnsi="Arial" w:cs="Arial"/>
        </w:rPr>
        <w:t xml:space="preserve"> </w:t>
      </w:r>
      <w:r w:rsidR="00A45A66" w:rsidRPr="005E0053">
        <w:rPr>
          <w:rFonts w:ascii="Arial" w:hAnsi="Arial" w:cs="Arial"/>
        </w:rPr>
        <w:t xml:space="preserve">OME notes in the </w:t>
      </w:r>
      <w:r w:rsidR="00A45A66" w:rsidRPr="005E0053">
        <w:rPr>
          <w:rFonts w:ascii="Arial" w:hAnsi="Arial" w:cs="Arial"/>
          <w:i/>
        </w:rPr>
        <w:t>Toolkit</w:t>
      </w:r>
      <w:r w:rsidR="00A45A66" w:rsidRPr="005E0053">
        <w:rPr>
          <w:rFonts w:ascii="Arial" w:hAnsi="Arial" w:cs="Arial"/>
        </w:rPr>
        <w:t xml:space="preserve"> that the OSY subpopulation is the least likely to graduate from high school. California subgrante</w:t>
      </w:r>
      <w:r w:rsidR="00BA0181" w:rsidRPr="005E0053">
        <w:rPr>
          <w:rFonts w:ascii="Arial" w:hAnsi="Arial" w:cs="Arial"/>
        </w:rPr>
        <w:t>es continue to offer</w:t>
      </w:r>
      <w:r w:rsidR="00A45A66" w:rsidRPr="005E0053">
        <w:rPr>
          <w:rFonts w:ascii="Arial" w:hAnsi="Arial" w:cs="Arial"/>
        </w:rPr>
        <w:t xml:space="preserve"> services </w:t>
      </w:r>
      <w:r w:rsidR="00BA0181" w:rsidRPr="005E0053">
        <w:rPr>
          <w:rFonts w:ascii="Arial" w:hAnsi="Arial" w:cs="Arial"/>
        </w:rPr>
        <w:t>that support OSY in obtaining their GED or high school diploma.</w:t>
      </w:r>
    </w:p>
    <w:p w14:paraId="1970CA50" w14:textId="4CEEA82C" w:rsidR="00465587" w:rsidRPr="005E0053" w:rsidRDefault="003C731C" w:rsidP="005A4784">
      <w:pPr>
        <w:spacing w:before="240"/>
        <w:rPr>
          <w:rFonts w:ascii="Arial" w:hAnsi="Arial" w:cs="Arial"/>
        </w:rPr>
      </w:pPr>
      <w:r w:rsidRPr="005E0053">
        <w:rPr>
          <w:rFonts w:ascii="Arial" w:hAnsi="Arial" w:cs="Arial"/>
        </w:rPr>
        <w:lastRenderedPageBreak/>
        <w:t xml:space="preserve">In addition to the strategies listed below, California’s compulsory education law requires </w:t>
      </w:r>
      <w:r w:rsidR="00F9508F" w:rsidRPr="005E0053">
        <w:rPr>
          <w:rFonts w:ascii="Arial" w:hAnsi="Arial" w:cs="Arial"/>
        </w:rPr>
        <w:t>children</w:t>
      </w:r>
      <w:r w:rsidRPr="005E0053">
        <w:rPr>
          <w:rFonts w:ascii="Arial" w:hAnsi="Arial" w:cs="Arial"/>
        </w:rPr>
        <w:t xml:space="preserve"> between the ages of six and 18 to attend school. The only exception to this law are 16 and 17-year-olds who have graduated from high school and have obtained parental permission to leave. </w:t>
      </w:r>
      <w:r w:rsidRPr="005E0053">
        <w:rPr>
          <w:rFonts w:ascii="Arial" w:hAnsi="Arial" w:cs="Arial"/>
          <w:color w:val="000000"/>
          <w:lang w:val="en"/>
        </w:rPr>
        <w:t>OSY who are under the age of 18 should be enrolled in school</w:t>
      </w:r>
      <w:r w:rsidR="00F9508F" w:rsidRPr="005E0053">
        <w:rPr>
          <w:rFonts w:ascii="Arial" w:hAnsi="Arial" w:cs="Arial"/>
          <w:color w:val="000000"/>
          <w:lang w:val="en"/>
        </w:rPr>
        <w:t xml:space="preserve"> unless exempt.</w:t>
      </w:r>
      <w:r w:rsidR="00F9508F" w:rsidRPr="005E0053">
        <w:rPr>
          <w:rStyle w:val="FootnoteReference"/>
          <w:rFonts w:ascii="Arial" w:hAnsi="Arial" w:cs="Arial"/>
          <w:color w:val="000000"/>
          <w:lang w:val="en"/>
        </w:rPr>
        <w:footnoteReference w:id="30"/>
      </w:r>
      <w:r w:rsidR="007874C6" w:rsidRPr="005E0053">
        <w:rPr>
          <w:rFonts w:ascii="Arial" w:hAnsi="Arial" w:cs="Arial"/>
          <w:color w:val="000000"/>
          <w:lang w:val="en"/>
        </w:rPr>
        <w:t xml:space="preserve"> </w:t>
      </w:r>
      <w:r w:rsidR="007874C6" w:rsidRPr="005E0053">
        <w:rPr>
          <w:rFonts w:ascii="Arial" w:hAnsi="Arial" w:cs="Arial"/>
        </w:rPr>
        <w:t xml:space="preserve">If the </w:t>
      </w:r>
      <w:r w:rsidR="00DE5AD3" w:rsidRPr="005E0053">
        <w:rPr>
          <w:rFonts w:ascii="Arial" w:hAnsi="Arial" w:cs="Arial"/>
        </w:rPr>
        <w:t xml:space="preserve">student graduated from a high school in another country, the </w:t>
      </w:r>
      <w:r w:rsidR="007874C6" w:rsidRPr="005E0053">
        <w:rPr>
          <w:rFonts w:ascii="Arial" w:hAnsi="Arial" w:cs="Arial"/>
        </w:rPr>
        <w:t xml:space="preserve">school district </w:t>
      </w:r>
      <w:r w:rsidR="00DE5AD3" w:rsidRPr="005E0053">
        <w:rPr>
          <w:rFonts w:ascii="Arial" w:hAnsi="Arial" w:cs="Arial"/>
        </w:rPr>
        <w:t xml:space="preserve">where the student resides </w:t>
      </w:r>
      <w:r w:rsidR="007874C6" w:rsidRPr="005E0053">
        <w:rPr>
          <w:rFonts w:ascii="Arial" w:hAnsi="Arial" w:cs="Arial"/>
        </w:rPr>
        <w:t xml:space="preserve">considers </w:t>
      </w:r>
      <w:r w:rsidR="00DE5AD3" w:rsidRPr="005E0053">
        <w:rPr>
          <w:rFonts w:ascii="Arial" w:hAnsi="Arial" w:cs="Arial"/>
        </w:rPr>
        <w:t xml:space="preserve">whether </w:t>
      </w:r>
      <w:r w:rsidR="007874C6" w:rsidRPr="005E0053">
        <w:rPr>
          <w:rFonts w:ascii="Arial" w:hAnsi="Arial" w:cs="Arial"/>
        </w:rPr>
        <w:t>the student graduated from a program that is compara</w:t>
      </w:r>
      <w:r w:rsidR="00DE5AD3" w:rsidRPr="005E0053">
        <w:rPr>
          <w:rFonts w:ascii="Arial" w:hAnsi="Arial" w:cs="Arial"/>
        </w:rPr>
        <w:t>ble to a California high school. If so,</w:t>
      </w:r>
      <w:r w:rsidR="007874C6" w:rsidRPr="005E0053">
        <w:rPr>
          <w:rFonts w:ascii="Arial" w:hAnsi="Arial" w:cs="Arial"/>
        </w:rPr>
        <w:t xml:space="preserve"> then the student is exempt from California’s compulsory education.</w:t>
      </w:r>
    </w:p>
    <w:p w14:paraId="170E1277" w14:textId="313D97C4" w:rsidR="007A0C1F" w:rsidRPr="00694080" w:rsidRDefault="007A0C1F" w:rsidP="00694080">
      <w:pPr>
        <w:spacing w:before="240" w:after="240"/>
        <w:rPr>
          <w:rFonts w:ascii="Arial" w:hAnsi="Arial" w:cs="Arial"/>
        </w:rPr>
      </w:pPr>
      <w:r w:rsidRPr="00694080">
        <w:rPr>
          <w:rFonts w:ascii="Arial" w:hAnsi="Arial" w:cs="Arial"/>
        </w:rPr>
        <w:t xml:space="preserve">Two goal areas (i.e., access to health care and literacy services) were prioritized by </w:t>
      </w:r>
      <w:r w:rsidR="00EF59DB">
        <w:rPr>
          <w:rFonts w:ascii="Arial" w:hAnsi="Arial" w:cs="Arial"/>
        </w:rPr>
        <w:t>the subcommittee</w:t>
      </w:r>
      <w:r w:rsidRPr="00694080">
        <w:rPr>
          <w:rFonts w:ascii="Arial" w:hAnsi="Arial" w:cs="Arial"/>
        </w:rPr>
        <w:t xml:space="preserve">. </w:t>
      </w:r>
      <w:r w:rsidR="00EF59DB">
        <w:rPr>
          <w:rFonts w:ascii="Arial" w:hAnsi="Arial" w:cs="Arial"/>
        </w:rPr>
        <w:t>Subcommittee members</w:t>
      </w:r>
      <w:r w:rsidR="00EF59DB" w:rsidRPr="00694080">
        <w:rPr>
          <w:rFonts w:ascii="Arial" w:hAnsi="Arial" w:cs="Arial"/>
        </w:rPr>
        <w:t xml:space="preserve"> </w:t>
      </w:r>
      <w:r w:rsidRPr="00694080">
        <w:rPr>
          <w:rFonts w:ascii="Arial" w:hAnsi="Arial" w:cs="Arial"/>
        </w:rPr>
        <w:t>spoke at length about barriers to OSY accessing health care and reaching the OSY population:</w:t>
      </w:r>
    </w:p>
    <w:p w14:paraId="11E729F0" w14:textId="77777777" w:rsidR="007A0C1F" w:rsidRPr="00694080" w:rsidRDefault="007A0C1F" w:rsidP="007A0C1F">
      <w:pPr>
        <w:pStyle w:val="ListParagraph"/>
        <w:numPr>
          <w:ilvl w:val="0"/>
          <w:numId w:val="19"/>
        </w:numPr>
        <w:spacing w:after="240"/>
        <w:contextualSpacing w:val="0"/>
        <w:rPr>
          <w:rFonts w:ascii="Arial" w:hAnsi="Arial" w:cs="Arial"/>
        </w:rPr>
      </w:pPr>
      <w:r w:rsidRPr="00694080">
        <w:rPr>
          <w:rFonts w:ascii="Arial" w:hAnsi="Arial" w:cs="Arial"/>
        </w:rPr>
        <w:t>Other than the emergency room, undocumented migratory OSY do not have access to health services</w:t>
      </w:r>
    </w:p>
    <w:p w14:paraId="6C409355" w14:textId="77777777" w:rsidR="007A0C1F" w:rsidRPr="00694080" w:rsidRDefault="007A0C1F" w:rsidP="007A0C1F">
      <w:pPr>
        <w:pStyle w:val="ListParagraph"/>
        <w:numPr>
          <w:ilvl w:val="0"/>
          <w:numId w:val="19"/>
        </w:numPr>
        <w:spacing w:after="240"/>
        <w:contextualSpacing w:val="0"/>
        <w:rPr>
          <w:rFonts w:ascii="Arial" w:hAnsi="Arial" w:cs="Arial"/>
        </w:rPr>
      </w:pPr>
      <w:r w:rsidRPr="00694080">
        <w:rPr>
          <w:rFonts w:ascii="Arial" w:hAnsi="Arial" w:cs="Arial"/>
        </w:rPr>
        <w:t>Barriers to outreach and accessing MEP services: highly mobile, language, and work long hours</w:t>
      </w:r>
    </w:p>
    <w:p w14:paraId="04611819" w14:textId="77777777" w:rsidR="007A0C1F" w:rsidRPr="00694080" w:rsidRDefault="007A0C1F" w:rsidP="007A0C1F">
      <w:pPr>
        <w:pStyle w:val="ListParagraph"/>
        <w:numPr>
          <w:ilvl w:val="0"/>
          <w:numId w:val="19"/>
        </w:numPr>
        <w:spacing w:after="240"/>
        <w:contextualSpacing w:val="0"/>
        <w:rPr>
          <w:rFonts w:ascii="Arial" w:hAnsi="Arial" w:cs="Arial"/>
        </w:rPr>
      </w:pPr>
      <w:r w:rsidRPr="00694080">
        <w:rPr>
          <w:rFonts w:ascii="Arial" w:hAnsi="Arial" w:cs="Arial"/>
        </w:rPr>
        <w:t>Increase risk of health issues due to lack of education and resources to health maintenance needs: sex education, mental health, hygiene, dental, drugs and alcohol, and nutrition</w:t>
      </w:r>
    </w:p>
    <w:p w14:paraId="1BE62012" w14:textId="77777777" w:rsidR="007A0C1F" w:rsidRPr="00694080" w:rsidRDefault="007A0C1F" w:rsidP="007A0C1F">
      <w:pPr>
        <w:pStyle w:val="ListParagraph"/>
        <w:numPr>
          <w:ilvl w:val="0"/>
          <w:numId w:val="19"/>
        </w:numPr>
        <w:spacing w:after="240"/>
        <w:contextualSpacing w:val="0"/>
        <w:rPr>
          <w:rFonts w:ascii="Arial" w:hAnsi="Arial" w:cs="Arial"/>
        </w:rPr>
      </w:pPr>
      <w:r w:rsidRPr="00694080">
        <w:rPr>
          <w:rFonts w:ascii="Arial" w:hAnsi="Arial" w:cs="Arial"/>
        </w:rPr>
        <w:t>No access to school-based advocates and supports that would address some of these issues</w:t>
      </w:r>
    </w:p>
    <w:p w14:paraId="666913BA" w14:textId="5D4754E8" w:rsidR="007A0C1F" w:rsidRPr="00694080" w:rsidRDefault="007A0C1F" w:rsidP="007A0C1F">
      <w:pPr>
        <w:spacing w:after="240"/>
        <w:rPr>
          <w:rFonts w:ascii="Arial" w:hAnsi="Arial" w:cs="Arial"/>
        </w:rPr>
      </w:pPr>
      <w:r w:rsidRPr="00694080">
        <w:rPr>
          <w:rFonts w:ascii="Arial" w:hAnsi="Arial" w:cs="Arial"/>
        </w:rPr>
        <w:t>Even with collecting output data, the inferred outcome for this need is to increase health outcomes and access to health services for OSY. Therefore, subgrantees will track services received by OSY and the number of referrals provide to OSY by the MEP. Table 2</w:t>
      </w:r>
      <w:r w:rsidR="001C0233">
        <w:rPr>
          <w:rFonts w:ascii="Arial" w:hAnsi="Arial" w:cs="Arial"/>
        </w:rPr>
        <w:t>7</w:t>
      </w:r>
      <w:r w:rsidRPr="00694080">
        <w:rPr>
          <w:rFonts w:ascii="Arial" w:hAnsi="Arial" w:cs="Arial"/>
        </w:rPr>
        <w:t xml:space="preserve"> summarizes the strategies and MPOs for increasing OSY access to health services. The MEP-specific performance target for this area follows Table 2</w:t>
      </w:r>
      <w:r w:rsidR="001C0233">
        <w:rPr>
          <w:rFonts w:ascii="Arial" w:hAnsi="Arial" w:cs="Arial"/>
        </w:rPr>
        <w:t>7</w:t>
      </w:r>
      <w:r w:rsidRPr="00694080">
        <w:rPr>
          <w:rFonts w:ascii="Arial" w:hAnsi="Arial" w:cs="Arial"/>
        </w:rPr>
        <w:t>.</w:t>
      </w:r>
    </w:p>
    <w:p w14:paraId="6826A175" w14:textId="77777777" w:rsidR="007A0C1F" w:rsidRPr="007A0C1F" w:rsidRDefault="007A0C1F" w:rsidP="00514084">
      <w:pPr>
        <w:pStyle w:val="Heading6"/>
        <w:spacing w:after="120"/>
        <w:jc w:val="center"/>
      </w:pPr>
      <w:r w:rsidRPr="007A0C1F">
        <w:lastRenderedPageBreak/>
        <w:t>GOAL AREA: Health</w:t>
      </w:r>
    </w:p>
    <w:p w14:paraId="2D0CEC02" w14:textId="317182F3" w:rsidR="007874C6" w:rsidRDefault="0058530A" w:rsidP="00694080">
      <w:pPr>
        <w:pStyle w:val="Heading6"/>
        <w:spacing w:before="0"/>
      </w:pPr>
      <w:bookmarkStart w:id="63" w:name="_Toc101961119"/>
      <w:r w:rsidRPr="005E0053">
        <w:t xml:space="preserve">Table </w:t>
      </w:r>
      <w:fldSimple w:instr=" SEQ Table \* ARABIC ">
        <w:r w:rsidR="001C0233">
          <w:rPr>
            <w:noProof/>
          </w:rPr>
          <w:t>27</w:t>
        </w:r>
      </w:fldSimple>
      <w:r w:rsidRPr="005E0053">
        <w:t xml:space="preserve">. </w:t>
      </w:r>
      <w:r w:rsidR="00514084">
        <w:t xml:space="preserve">Strategies and </w:t>
      </w:r>
      <w:r w:rsidR="00FA2566" w:rsidRPr="005E0053">
        <w:t>Measurable Program Objectives</w:t>
      </w:r>
      <w:r w:rsidRPr="005E0053">
        <w:t xml:space="preserve"> for OSY Access to Health Services </w:t>
      </w:r>
      <w:r w:rsidR="00046B4C">
        <w:t>(Revised)</w:t>
      </w:r>
      <w:bookmarkEnd w:id="63"/>
    </w:p>
    <w:tbl>
      <w:tblPr>
        <w:tblStyle w:val="GridTable4-Accent1"/>
        <w:tblW w:w="9355" w:type="dxa"/>
        <w:tblLook w:val="0420" w:firstRow="1" w:lastRow="0" w:firstColumn="0" w:lastColumn="0" w:noHBand="0" w:noVBand="1"/>
        <w:tblDescription w:val="Strategies and Measurable Program Objectives for OSY Access to Health Services "/>
      </w:tblPr>
      <w:tblGrid>
        <w:gridCol w:w="5305"/>
        <w:gridCol w:w="4050"/>
      </w:tblGrid>
      <w:tr w:rsidR="00AE3F3F" w:rsidRPr="007D443E" w14:paraId="28D34A97" w14:textId="77777777" w:rsidTr="00E53F38">
        <w:trPr>
          <w:cnfStyle w:val="100000000000" w:firstRow="1" w:lastRow="0" w:firstColumn="0" w:lastColumn="0" w:oddVBand="0" w:evenVBand="0" w:oddHBand="0" w:evenHBand="0" w:firstRowFirstColumn="0" w:firstRowLastColumn="0" w:lastRowFirstColumn="0" w:lastRowLastColumn="0"/>
          <w:cantSplit/>
          <w:trHeight w:val="332"/>
          <w:tblHeader/>
        </w:trPr>
        <w:tc>
          <w:tcPr>
            <w:tcW w:w="5305" w:type="dxa"/>
            <w:tcBorders>
              <w:right w:val="single" w:sz="4" w:space="0" w:color="4472C4"/>
            </w:tcBorders>
            <w:shd w:val="clear" w:color="auto" w:fill="1F3864" w:themeFill="accent5" w:themeFillShade="80"/>
            <w:vAlign w:val="center"/>
          </w:tcPr>
          <w:p w14:paraId="63C6CEC8" w14:textId="77777777" w:rsidR="00AE3F3F" w:rsidRPr="007D443E" w:rsidRDefault="00AE3F3F" w:rsidP="00E53F38">
            <w:pPr>
              <w:rPr>
                <w:rFonts w:ascii="Arial" w:hAnsi="Arial" w:cs="Arial"/>
                <w:color w:val="FFFFFF"/>
              </w:rPr>
            </w:pPr>
            <w:r w:rsidRPr="007D443E">
              <w:rPr>
                <w:rFonts w:ascii="Arial" w:hAnsi="Arial" w:cs="Arial"/>
                <w:color w:val="FFFFFF"/>
              </w:rPr>
              <w:t xml:space="preserve">Strategies </w:t>
            </w:r>
          </w:p>
        </w:tc>
        <w:tc>
          <w:tcPr>
            <w:tcW w:w="4050" w:type="dxa"/>
            <w:tcBorders>
              <w:left w:val="single" w:sz="4" w:space="0" w:color="4472C4"/>
            </w:tcBorders>
            <w:shd w:val="clear" w:color="auto" w:fill="1F3864" w:themeFill="accent5" w:themeFillShade="80"/>
            <w:vAlign w:val="center"/>
          </w:tcPr>
          <w:p w14:paraId="5CF7C87D" w14:textId="77777777" w:rsidR="00AE3F3F" w:rsidRPr="007D443E" w:rsidRDefault="00AE3F3F" w:rsidP="00E53F38">
            <w:pPr>
              <w:rPr>
                <w:rFonts w:ascii="Arial" w:hAnsi="Arial" w:cs="Arial"/>
                <w:color w:val="FFFFFF"/>
              </w:rPr>
            </w:pPr>
            <w:r w:rsidRPr="007D443E">
              <w:rPr>
                <w:rFonts w:ascii="Arial" w:hAnsi="Arial" w:cs="Arial"/>
                <w:color w:val="FFFFFF"/>
              </w:rPr>
              <w:t>Principles Measurable Program Objectives</w:t>
            </w:r>
          </w:p>
        </w:tc>
      </w:tr>
      <w:tr w:rsidR="00AE3F3F" w:rsidRPr="007D443E" w14:paraId="70F731F1"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5305" w:type="dxa"/>
          </w:tcPr>
          <w:p w14:paraId="4CE13AE7" w14:textId="77777777" w:rsidR="00AE3F3F" w:rsidRPr="007D443E" w:rsidRDefault="00AE3F3F" w:rsidP="00AE3F3F">
            <w:pPr>
              <w:rPr>
                <w:rFonts w:ascii="Arial" w:hAnsi="Arial" w:cs="Arial"/>
              </w:rPr>
            </w:pPr>
            <w:r w:rsidRPr="007D443E">
              <w:rPr>
                <w:rFonts w:ascii="Arial" w:hAnsi="Arial" w:cs="Arial"/>
                <w:b/>
              </w:rPr>
              <w:t xml:space="preserve">Principle Strategy 9.0: </w:t>
            </w:r>
            <w:r w:rsidRPr="007D443E">
              <w:rPr>
                <w:rFonts w:ascii="Arial" w:hAnsi="Arial" w:cs="Arial"/>
              </w:rPr>
              <w:t>Provide OSY with a health education workshop to address healthy eating, physical activity, and related chronic disease prevention.</w:t>
            </w:r>
          </w:p>
        </w:tc>
        <w:tc>
          <w:tcPr>
            <w:tcW w:w="4050" w:type="dxa"/>
          </w:tcPr>
          <w:p w14:paraId="779D84A9" w14:textId="6109599F" w:rsidR="00AE3F3F" w:rsidRPr="007D443E" w:rsidRDefault="00AE3F3F" w:rsidP="00AE3F3F">
            <w:pPr>
              <w:rPr>
                <w:rFonts w:ascii="Arial" w:hAnsi="Arial" w:cs="Arial"/>
              </w:rPr>
            </w:pPr>
            <w:r w:rsidRPr="007D443E">
              <w:rPr>
                <w:rFonts w:ascii="Arial" w:hAnsi="Arial" w:cs="Arial"/>
                <w:b/>
              </w:rPr>
              <w:t>Principle Measurable Program Objective 9.0</w:t>
            </w:r>
            <w:r w:rsidR="0090012E">
              <w:rPr>
                <w:rFonts w:ascii="Arial" w:hAnsi="Arial" w:cs="Arial"/>
                <w:b/>
              </w:rPr>
              <w:t xml:space="preserve"> (Revised)</w:t>
            </w:r>
            <w:r w:rsidRPr="007D443E">
              <w:rPr>
                <w:rFonts w:ascii="Arial" w:hAnsi="Arial" w:cs="Arial"/>
                <w:b/>
              </w:rPr>
              <w:t xml:space="preserve">: </w:t>
            </w:r>
            <w:r w:rsidRPr="007D443E">
              <w:rPr>
                <w:rFonts w:ascii="Arial" w:hAnsi="Arial" w:cs="Arial"/>
              </w:rPr>
              <w:t xml:space="preserve">Each year, </w:t>
            </w:r>
            <w:r w:rsidR="00817CF0">
              <w:rPr>
                <w:rFonts w:ascii="Arial" w:hAnsi="Arial" w:cs="Arial"/>
              </w:rPr>
              <w:t xml:space="preserve">the MEP will offer </w:t>
            </w:r>
            <w:r w:rsidRPr="007D443E">
              <w:rPr>
                <w:rFonts w:ascii="Arial" w:hAnsi="Arial" w:cs="Arial"/>
              </w:rPr>
              <w:t>at least one health education workshop</w:t>
            </w:r>
            <w:r w:rsidR="00817CF0">
              <w:rPr>
                <w:rFonts w:ascii="Arial" w:hAnsi="Arial" w:cs="Arial"/>
              </w:rPr>
              <w:t xml:space="preserve"> for OSY</w:t>
            </w:r>
            <w:r w:rsidRPr="007D443E">
              <w:rPr>
                <w:rFonts w:ascii="Arial" w:hAnsi="Arial" w:cs="Arial"/>
              </w:rPr>
              <w:t>.</w:t>
            </w:r>
          </w:p>
        </w:tc>
      </w:tr>
      <w:tr w:rsidR="00AE3F3F" w:rsidRPr="007D443E" w14:paraId="0D7552A5" w14:textId="77777777" w:rsidTr="00940787">
        <w:trPr>
          <w:cantSplit/>
          <w:trHeight w:val="251"/>
        </w:trPr>
        <w:tc>
          <w:tcPr>
            <w:tcW w:w="5305" w:type="dxa"/>
          </w:tcPr>
          <w:p w14:paraId="5643CFC7" w14:textId="77777777" w:rsidR="00AE3F3F" w:rsidRPr="007D443E" w:rsidRDefault="00AE3F3F" w:rsidP="007D443E">
            <w:pPr>
              <w:spacing w:after="120"/>
              <w:rPr>
                <w:rFonts w:ascii="Arial" w:hAnsi="Arial" w:cs="Arial"/>
              </w:rPr>
            </w:pPr>
            <w:r w:rsidRPr="007D443E">
              <w:rPr>
                <w:rFonts w:ascii="Arial" w:hAnsi="Arial" w:cs="Arial"/>
                <w:b/>
              </w:rPr>
              <w:t xml:space="preserve">Strategy 9.1: </w:t>
            </w:r>
            <w:r w:rsidRPr="007D443E">
              <w:rPr>
                <w:rFonts w:ascii="Arial" w:hAnsi="Arial" w:cs="Arial"/>
              </w:rPr>
              <w:t>Provide a variety of health services and referrals to OSY who need dental, vision, hearing, medical, or mental health services.</w:t>
            </w:r>
          </w:p>
        </w:tc>
        <w:tc>
          <w:tcPr>
            <w:tcW w:w="4050" w:type="dxa"/>
          </w:tcPr>
          <w:p w14:paraId="0286EE6C" w14:textId="6B4CB048" w:rsidR="00AE3F3F" w:rsidRPr="007D443E" w:rsidRDefault="00AE3F3F" w:rsidP="007D443E">
            <w:pPr>
              <w:spacing w:after="120"/>
              <w:rPr>
                <w:rFonts w:ascii="Arial" w:hAnsi="Arial" w:cs="Arial"/>
              </w:rPr>
            </w:pPr>
            <w:r w:rsidRPr="007D443E">
              <w:rPr>
                <w:rFonts w:ascii="Arial" w:hAnsi="Arial" w:cs="Arial"/>
                <w:b/>
              </w:rPr>
              <w:t>Measurable Program Objective 9.1</w:t>
            </w:r>
            <w:r w:rsidR="0090012E">
              <w:rPr>
                <w:rFonts w:ascii="Arial" w:hAnsi="Arial" w:cs="Arial"/>
                <w:b/>
              </w:rPr>
              <w:t xml:space="preserve"> (Revised)</w:t>
            </w:r>
            <w:r w:rsidRPr="007D443E">
              <w:rPr>
                <w:rFonts w:ascii="Arial" w:hAnsi="Arial" w:cs="Arial"/>
                <w:b/>
              </w:rPr>
              <w:t xml:space="preserve">: </w:t>
            </w:r>
            <w:r w:rsidRPr="007D443E">
              <w:rPr>
                <w:rFonts w:ascii="Arial" w:hAnsi="Arial" w:cs="Arial"/>
              </w:rPr>
              <w:t xml:space="preserve">Each year, </w:t>
            </w:r>
            <w:r w:rsidR="00817CF0">
              <w:rPr>
                <w:rFonts w:ascii="Arial" w:hAnsi="Arial" w:cs="Arial"/>
              </w:rPr>
              <w:t xml:space="preserve">the MEP will offer </w:t>
            </w:r>
            <w:r w:rsidRPr="007D443E">
              <w:rPr>
                <w:rFonts w:ascii="Arial" w:hAnsi="Arial" w:cs="Arial"/>
              </w:rPr>
              <w:t>OSY students at least one health service.</w:t>
            </w:r>
          </w:p>
        </w:tc>
      </w:tr>
      <w:tr w:rsidR="00AE3F3F" w:rsidRPr="007D443E" w14:paraId="65153F07" w14:textId="495933FD" w:rsidTr="00940787">
        <w:trPr>
          <w:cnfStyle w:val="000000100000" w:firstRow="0" w:lastRow="0" w:firstColumn="0" w:lastColumn="0" w:oddVBand="0" w:evenVBand="0" w:oddHBand="1" w:evenHBand="0" w:firstRowFirstColumn="0" w:firstRowLastColumn="0" w:lastRowFirstColumn="0" w:lastRowLastColumn="0"/>
          <w:cantSplit/>
          <w:trHeight w:val="620"/>
        </w:trPr>
        <w:tc>
          <w:tcPr>
            <w:tcW w:w="5305" w:type="dxa"/>
          </w:tcPr>
          <w:p w14:paraId="68F03A44" w14:textId="31B7FD5A" w:rsidR="00AE3F3F" w:rsidRPr="00465ECC" w:rsidRDefault="0090012E" w:rsidP="007D443E">
            <w:pPr>
              <w:spacing w:after="120"/>
              <w:rPr>
                <w:rFonts w:ascii="Arial" w:hAnsi="Arial" w:cs="Arial"/>
                <w:strike/>
              </w:rPr>
            </w:pPr>
            <w:r w:rsidRPr="00465ECC">
              <w:rPr>
                <w:rFonts w:ascii="Arial" w:hAnsi="Arial" w:cs="Arial"/>
                <w:b/>
              </w:rPr>
              <w:t>Removed</w:t>
            </w:r>
            <w:r w:rsidR="008E78C6">
              <w:rPr>
                <w:rFonts w:ascii="Arial" w:hAnsi="Arial" w:cs="Arial"/>
                <w:b/>
              </w:rPr>
              <w:t xml:space="preserve"> in 2022 </w:t>
            </w:r>
            <w:r w:rsidR="00AE3F3F" w:rsidRPr="00465ECC">
              <w:rPr>
                <w:rFonts w:ascii="Arial" w:hAnsi="Arial" w:cs="Arial"/>
                <w:b/>
                <w:strike/>
              </w:rPr>
              <w:t xml:space="preserve">Strategy 9.2: </w:t>
            </w:r>
            <w:r w:rsidR="00AE3F3F" w:rsidRPr="00465ECC">
              <w:rPr>
                <w:rFonts w:ascii="Arial" w:hAnsi="Arial" w:cs="Arial"/>
                <w:strike/>
              </w:rPr>
              <w:t>Provide professional development opportunities specific to the health needs of OSY on physical education, health education, nutrition services, mental health, and social services staff members, as well as staff members who supervise recess, cafeteria time, and programs outside of regular school hours.</w:t>
            </w:r>
          </w:p>
        </w:tc>
        <w:tc>
          <w:tcPr>
            <w:tcW w:w="4050" w:type="dxa"/>
          </w:tcPr>
          <w:p w14:paraId="62F827A1" w14:textId="069A6019" w:rsidR="00AE3F3F" w:rsidRPr="00465ECC" w:rsidRDefault="0090012E" w:rsidP="007D443E">
            <w:pPr>
              <w:spacing w:after="120"/>
              <w:rPr>
                <w:rFonts w:ascii="Arial" w:hAnsi="Arial" w:cs="Arial"/>
                <w:strike/>
              </w:rPr>
            </w:pPr>
            <w:r>
              <w:rPr>
                <w:rFonts w:ascii="Arial" w:hAnsi="Arial" w:cs="Arial"/>
                <w:b/>
              </w:rPr>
              <w:t>Removed</w:t>
            </w:r>
            <w:r w:rsidR="008E78C6">
              <w:rPr>
                <w:rFonts w:ascii="Arial" w:hAnsi="Arial" w:cs="Arial"/>
                <w:b/>
              </w:rPr>
              <w:t xml:space="preserve"> in 2022 </w:t>
            </w:r>
            <w:r w:rsidR="00AE3F3F" w:rsidRPr="00465ECC">
              <w:rPr>
                <w:rFonts w:ascii="Arial" w:hAnsi="Arial" w:cs="Arial"/>
                <w:b/>
                <w:strike/>
              </w:rPr>
              <w:t xml:space="preserve">Measurable Program Objective 9.2: </w:t>
            </w:r>
            <w:r w:rsidR="000D5948" w:rsidRPr="00465ECC">
              <w:rPr>
                <w:rFonts w:ascii="Arial" w:hAnsi="Arial" w:cs="Arial"/>
                <w:strike/>
              </w:rPr>
              <w:t>Provide one professional development on health education covering the topics in Strategy 9.2 to staff.</w:t>
            </w:r>
          </w:p>
        </w:tc>
      </w:tr>
    </w:tbl>
    <w:p w14:paraId="7B1FCCD3" w14:textId="7F0F0B83" w:rsidR="00AE3F3F" w:rsidRPr="00694080" w:rsidRDefault="00AE3F3F" w:rsidP="00694080">
      <w:pPr>
        <w:spacing w:before="240" w:after="240"/>
        <w:rPr>
          <w:rFonts w:ascii="Arial" w:hAnsi="Arial" w:cs="Arial"/>
        </w:rPr>
      </w:pPr>
      <w:r w:rsidRPr="00694080">
        <w:rPr>
          <w:rFonts w:ascii="Arial" w:hAnsi="Arial" w:cs="Arial"/>
        </w:rPr>
        <w:t xml:space="preserve">The </w:t>
      </w:r>
      <w:r w:rsidR="0090012E">
        <w:rPr>
          <w:rFonts w:ascii="Arial" w:hAnsi="Arial" w:cs="Arial"/>
        </w:rPr>
        <w:t xml:space="preserve">revised </w:t>
      </w:r>
      <w:r w:rsidRPr="00694080">
        <w:rPr>
          <w:rFonts w:ascii="Arial" w:hAnsi="Arial" w:cs="Arial"/>
        </w:rPr>
        <w:t xml:space="preserve">performance target evaluating OSY access to health services </w:t>
      </w:r>
      <w:r w:rsidR="00817CF0">
        <w:rPr>
          <w:rFonts w:ascii="Arial" w:hAnsi="Arial" w:cs="Arial"/>
        </w:rPr>
        <w:t xml:space="preserve">is: </w:t>
      </w:r>
      <w:r w:rsidR="00817CF0" w:rsidRPr="00E22495">
        <w:rPr>
          <w:rFonts w:ascii="Arial" w:hAnsi="Arial" w:cs="Arial"/>
        </w:rPr>
        <w:t>By July 2023, 31 percent of OSY will receive one or more health service(s).</w:t>
      </w:r>
    </w:p>
    <w:p w14:paraId="5CD1B05A" w14:textId="61FCB05B" w:rsidR="001C0233" w:rsidRDefault="00AE3F3F" w:rsidP="00AE3F3F">
      <w:pPr>
        <w:spacing w:after="240"/>
        <w:rPr>
          <w:rFonts w:ascii="Arial" w:hAnsi="Arial" w:cs="Arial"/>
        </w:rPr>
      </w:pPr>
      <w:r w:rsidRPr="00694080">
        <w:rPr>
          <w:rFonts w:ascii="Arial" w:hAnsi="Arial" w:cs="Arial"/>
        </w:rPr>
        <w:t xml:space="preserve">OSY literacy rates were also of concern to the </w:t>
      </w:r>
      <w:r w:rsidR="00EF59DB">
        <w:rPr>
          <w:rFonts w:ascii="Arial" w:hAnsi="Arial" w:cs="Arial"/>
        </w:rPr>
        <w:t>OSY Subcommittee</w:t>
      </w:r>
      <w:r w:rsidR="00EF59DB" w:rsidRPr="00694080">
        <w:rPr>
          <w:rFonts w:ascii="Arial" w:hAnsi="Arial" w:cs="Arial"/>
        </w:rPr>
        <w:t xml:space="preserve"> </w:t>
      </w:r>
      <w:r w:rsidRPr="00694080">
        <w:rPr>
          <w:rFonts w:ascii="Arial" w:hAnsi="Arial" w:cs="Arial"/>
        </w:rPr>
        <w:t>as literacy rates among OSY vary widely, but are necessary to increase migratory youth’s ability to acquire better paying jobs.</w:t>
      </w:r>
      <w:r w:rsidR="001C0233">
        <w:rPr>
          <w:rFonts w:ascii="Arial" w:hAnsi="Arial" w:cs="Arial"/>
        </w:rPr>
        <w:t xml:space="preserve"> Qualitative data from </w:t>
      </w:r>
      <w:r w:rsidR="00EF59DB">
        <w:rPr>
          <w:rFonts w:ascii="Arial" w:hAnsi="Arial" w:cs="Arial"/>
        </w:rPr>
        <w:t xml:space="preserve">the subcommittee </w:t>
      </w:r>
      <w:r w:rsidR="001C0233">
        <w:rPr>
          <w:rFonts w:ascii="Arial" w:hAnsi="Arial" w:cs="Arial"/>
        </w:rPr>
        <w:t>identified additional challenges for the OSY population:</w:t>
      </w:r>
    </w:p>
    <w:p w14:paraId="5CCA5EC6" w14:textId="77777777" w:rsidR="001C0233" w:rsidRPr="001C0233" w:rsidRDefault="001C0233" w:rsidP="001C0233">
      <w:pPr>
        <w:pStyle w:val="ListParagraph"/>
        <w:numPr>
          <w:ilvl w:val="0"/>
          <w:numId w:val="19"/>
        </w:numPr>
        <w:rPr>
          <w:rFonts w:ascii="Arial" w:hAnsi="Arial" w:cs="Arial"/>
        </w:rPr>
      </w:pPr>
      <w:r w:rsidRPr="001C0233">
        <w:rPr>
          <w:rFonts w:ascii="Arial" w:hAnsi="Arial" w:cs="Arial"/>
        </w:rPr>
        <w:t>Wide range of literacy levels</w:t>
      </w:r>
    </w:p>
    <w:p w14:paraId="5AA2CA30" w14:textId="77777777" w:rsidR="001C0233" w:rsidRPr="001C0233" w:rsidRDefault="001C0233" w:rsidP="001C0233">
      <w:pPr>
        <w:pStyle w:val="ListParagraph"/>
        <w:numPr>
          <w:ilvl w:val="0"/>
          <w:numId w:val="19"/>
        </w:numPr>
        <w:rPr>
          <w:rFonts w:ascii="Arial" w:hAnsi="Arial" w:cs="Arial"/>
        </w:rPr>
      </w:pPr>
      <w:r w:rsidRPr="001C0233">
        <w:rPr>
          <w:rFonts w:ascii="Arial" w:hAnsi="Arial" w:cs="Arial"/>
        </w:rPr>
        <w:t>Lack of resources for targeted individual instruction</w:t>
      </w:r>
    </w:p>
    <w:p w14:paraId="323381BC" w14:textId="77777777" w:rsidR="001C0233" w:rsidRPr="001C0233" w:rsidRDefault="001C0233" w:rsidP="001C0233">
      <w:pPr>
        <w:pStyle w:val="ListParagraph"/>
        <w:numPr>
          <w:ilvl w:val="0"/>
          <w:numId w:val="19"/>
        </w:numPr>
        <w:rPr>
          <w:rFonts w:ascii="Arial" w:hAnsi="Arial" w:cs="Arial"/>
        </w:rPr>
      </w:pPr>
      <w:r w:rsidRPr="001C0233">
        <w:rPr>
          <w:rFonts w:ascii="Arial" w:hAnsi="Arial" w:cs="Arial"/>
        </w:rPr>
        <w:t>Need to work is a priority</w:t>
      </w:r>
    </w:p>
    <w:p w14:paraId="7D04CB28" w14:textId="77777777" w:rsidR="001C0233" w:rsidRPr="001C0233" w:rsidRDefault="001C0233" w:rsidP="001C0233">
      <w:pPr>
        <w:pStyle w:val="ListParagraph"/>
        <w:numPr>
          <w:ilvl w:val="0"/>
          <w:numId w:val="19"/>
        </w:numPr>
        <w:rPr>
          <w:rFonts w:ascii="Arial" w:hAnsi="Arial" w:cs="Arial"/>
        </w:rPr>
      </w:pPr>
      <w:r w:rsidRPr="001C0233">
        <w:rPr>
          <w:rFonts w:ascii="Arial" w:hAnsi="Arial" w:cs="Arial"/>
        </w:rPr>
        <w:t>Arrive late in the school year</w:t>
      </w:r>
    </w:p>
    <w:p w14:paraId="32340BED" w14:textId="77777777" w:rsidR="001C0233" w:rsidRPr="001C0233" w:rsidRDefault="001C0233" w:rsidP="001C0233">
      <w:pPr>
        <w:pStyle w:val="ListParagraph"/>
        <w:numPr>
          <w:ilvl w:val="0"/>
          <w:numId w:val="19"/>
        </w:numPr>
        <w:rPr>
          <w:rFonts w:ascii="Arial" w:hAnsi="Arial" w:cs="Arial"/>
        </w:rPr>
      </w:pPr>
      <w:r w:rsidRPr="001C0233">
        <w:rPr>
          <w:rFonts w:ascii="Arial" w:hAnsi="Arial" w:cs="Arial"/>
        </w:rPr>
        <w:t>Priorities that are different from other high school students</w:t>
      </w:r>
    </w:p>
    <w:p w14:paraId="53338224" w14:textId="11BA4018" w:rsidR="001C0233" w:rsidRPr="001C0233" w:rsidRDefault="001C0233" w:rsidP="001C0233">
      <w:pPr>
        <w:pStyle w:val="ListParagraph"/>
        <w:numPr>
          <w:ilvl w:val="0"/>
          <w:numId w:val="19"/>
        </w:numPr>
        <w:rPr>
          <w:rFonts w:ascii="Arial" w:hAnsi="Arial" w:cs="Arial"/>
        </w:rPr>
      </w:pPr>
      <w:r w:rsidRPr="001C0233">
        <w:rPr>
          <w:rFonts w:ascii="Arial" w:hAnsi="Arial" w:cs="Arial"/>
        </w:rPr>
        <w:t>Social/emotional challenges</w:t>
      </w:r>
    </w:p>
    <w:p w14:paraId="313986A7" w14:textId="77777777" w:rsidR="001C0233" w:rsidRPr="001C0233" w:rsidRDefault="001C0233" w:rsidP="001C0233">
      <w:pPr>
        <w:rPr>
          <w:rFonts w:asciiTheme="minorHAnsi" w:hAnsiTheme="minorHAnsi" w:cstheme="minorHAnsi"/>
        </w:rPr>
      </w:pPr>
    </w:p>
    <w:p w14:paraId="0E01C054" w14:textId="305B7BEB" w:rsidR="00AE3F3F" w:rsidRDefault="00AE3F3F" w:rsidP="001C0233">
      <w:pPr>
        <w:spacing w:after="240"/>
        <w:rPr>
          <w:rFonts w:ascii="Arial" w:hAnsi="Arial" w:cs="Arial"/>
        </w:rPr>
      </w:pPr>
      <w:r w:rsidRPr="00694080">
        <w:rPr>
          <w:rFonts w:ascii="Arial" w:hAnsi="Arial" w:cs="Arial"/>
        </w:rPr>
        <w:t xml:space="preserve">By encouraging MEPs to offer, or refer OSY to, ELA, English as a second language (ESL), and GED courses, the CDE expects to see an improvement of migratory OSY literacy skills. Subgrantees will track the number of OSY who complete a course on the </w:t>
      </w:r>
      <w:r w:rsidR="00A3585C">
        <w:rPr>
          <w:rFonts w:ascii="Arial" w:hAnsi="Arial" w:cs="Arial"/>
        </w:rPr>
        <w:t>ILP</w:t>
      </w:r>
      <w:r w:rsidRPr="00694080">
        <w:rPr>
          <w:rFonts w:ascii="Arial" w:hAnsi="Arial" w:cs="Arial"/>
        </w:rPr>
        <w:t xml:space="preserve">. The California MEP projects increases to OSY literacy proficiency as an outcome. Table </w:t>
      </w:r>
      <w:r w:rsidR="001C0233">
        <w:rPr>
          <w:rFonts w:ascii="Arial" w:hAnsi="Arial" w:cs="Arial"/>
        </w:rPr>
        <w:t>28</w:t>
      </w:r>
      <w:r w:rsidRPr="00694080">
        <w:rPr>
          <w:rFonts w:ascii="Arial" w:hAnsi="Arial" w:cs="Arial"/>
        </w:rPr>
        <w:t xml:space="preserve"> reviews the strategies and MPOs for increasing OSY literacy skills. </w:t>
      </w:r>
    </w:p>
    <w:p w14:paraId="743C0BC9" w14:textId="77777777" w:rsidR="00AE3F3F" w:rsidRPr="00AE3F3F" w:rsidRDefault="00AE3F3F" w:rsidP="00514084">
      <w:pPr>
        <w:pStyle w:val="Heading6"/>
        <w:spacing w:after="120"/>
        <w:jc w:val="center"/>
        <w:rPr>
          <w:lang w:eastAsia="zh-CN"/>
        </w:rPr>
      </w:pPr>
      <w:r w:rsidRPr="00AE3F3F">
        <w:rPr>
          <w:lang w:eastAsia="zh-CN"/>
        </w:rPr>
        <w:lastRenderedPageBreak/>
        <w:t>GOAL AREA: Literacy</w:t>
      </w:r>
    </w:p>
    <w:p w14:paraId="3E9D23D8" w14:textId="35E455CE" w:rsidR="008A0884" w:rsidRDefault="00130D73" w:rsidP="00694080">
      <w:pPr>
        <w:pStyle w:val="Heading6"/>
        <w:spacing w:before="0"/>
      </w:pPr>
      <w:bookmarkStart w:id="64" w:name="_Toc101961120"/>
      <w:r w:rsidRPr="005E0053">
        <w:t xml:space="preserve">Table </w:t>
      </w:r>
      <w:fldSimple w:instr=" SEQ Table \* ARABIC ">
        <w:r w:rsidR="001C0233">
          <w:rPr>
            <w:noProof/>
          </w:rPr>
          <w:t>28</w:t>
        </w:r>
      </w:fldSimple>
      <w:r w:rsidRPr="005E0053">
        <w:t>. S</w:t>
      </w:r>
      <w:r w:rsidR="004646B2">
        <w:t xml:space="preserve">trategies and </w:t>
      </w:r>
      <w:r w:rsidR="00A03E6E" w:rsidRPr="005E0053">
        <w:t>Measurable Program Objective</w:t>
      </w:r>
      <w:r w:rsidR="003A33C0" w:rsidRPr="005E0053">
        <w:t>s</w:t>
      </w:r>
      <w:r w:rsidRPr="005E0053">
        <w:t xml:space="preserve"> for Increasing OSY Literacy Skills</w:t>
      </w:r>
      <w:r w:rsidR="00046B4C">
        <w:t xml:space="preserve"> (Revised)</w:t>
      </w:r>
      <w:bookmarkEnd w:id="64"/>
      <w:r w:rsidRPr="005E0053">
        <w:t xml:space="preserve"> </w:t>
      </w:r>
    </w:p>
    <w:tbl>
      <w:tblPr>
        <w:tblStyle w:val="GridTable4-Accent1"/>
        <w:tblW w:w="9445" w:type="dxa"/>
        <w:tblLook w:val="0420" w:firstRow="1" w:lastRow="0" w:firstColumn="0" w:lastColumn="0" w:noHBand="0" w:noVBand="1"/>
        <w:tblDescription w:val="Strategies and Measurable Program Objectives for Increasing OSY Literacy Skills"/>
      </w:tblPr>
      <w:tblGrid>
        <w:gridCol w:w="4585"/>
        <w:gridCol w:w="4860"/>
      </w:tblGrid>
      <w:tr w:rsidR="00AE3F3F" w:rsidRPr="007D443E" w14:paraId="37BEADB4" w14:textId="77777777" w:rsidTr="00172AE1">
        <w:trPr>
          <w:cnfStyle w:val="100000000000" w:firstRow="1" w:lastRow="0" w:firstColumn="0" w:lastColumn="0" w:oddVBand="0" w:evenVBand="0" w:oddHBand="0" w:evenHBand="0" w:firstRowFirstColumn="0" w:firstRowLastColumn="0" w:lastRowFirstColumn="0" w:lastRowLastColumn="0"/>
          <w:cantSplit/>
          <w:trHeight w:val="332"/>
          <w:tblHeader/>
        </w:trPr>
        <w:tc>
          <w:tcPr>
            <w:tcW w:w="4585" w:type="dxa"/>
            <w:tcBorders>
              <w:right w:val="single" w:sz="4" w:space="0" w:color="4472C4"/>
            </w:tcBorders>
            <w:shd w:val="clear" w:color="auto" w:fill="1F3864" w:themeFill="accent5" w:themeFillShade="80"/>
          </w:tcPr>
          <w:p w14:paraId="2D74D8D5" w14:textId="77777777" w:rsidR="00AE3F3F" w:rsidRPr="007D443E" w:rsidRDefault="00AE3F3F" w:rsidP="00AE3F3F">
            <w:pPr>
              <w:rPr>
                <w:rFonts w:ascii="Arial" w:hAnsi="Arial" w:cs="Arial"/>
                <w:b w:val="0"/>
                <w:color w:val="FFFFFF"/>
              </w:rPr>
            </w:pPr>
            <w:r w:rsidRPr="007D443E">
              <w:rPr>
                <w:rFonts w:ascii="Arial" w:hAnsi="Arial" w:cs="Arial"/>
                <w:color w:val="FFFFFF"/>
              </w:rPr>
              <w:t>Strategies</w:t>
            </w:r>
          </w:p>
        </w:tc>
        <w:tc>
          <w:tcPr>
            <w:tcW w:w="4860" w:type="dxa"/>
            <w:tcBorders>
              <w:left w:val="single" w:sz="4" w:space="0" w:color="4472C4"/>
            </w:tcBorders>
            <w:shd w:val="clear" w:color="auto" w:fill="1F3864" w:themeFill="accent5" w:themeFillShade="80"/>
          </w:tcPr>
          <w:p w14:paraId="76AF222A" w14:textId="77777777" w:rsidR="00AE3F3F" w:rsidRPr="007D443E" w:rsidRDefault="00AE3F3F" w:rsidP="00AE3F3F">
            <w:pPr>
              <w:rPr>
                <w:rFonts w:ascii="Arial" w:hAnsi="Arial" w:cs="Arial"/>
                <w:b w:val="0"/>
                <w:color w:val="FFFFFF"/>
              </w:rPr>
            </w:pPr>
            <w:r w:rsidRPr="007D443E">
              <w:rPr>
                <w:rFonts w:ascii="Arial" w:hAnsi="Arial" w:cs="Arial"/>
                <w:color w:val="FFFFFF"/>
              </w:rPr>
              <w:t>Measurable Program Objectives</w:t>
            </w:r>
          </w:p>
        </w:tc>
      </w:tr>
      <w:tr w:rsidR="00AE3F3F" w:rsidRPr="007D443E" w14:paraId="1F7D871A" w14:textId="77777777" w:rsidTr="00940787">
        <w:trPr>
          <w:cnfStyle w:val="000000100000" w:firstRow="0" w:lastRow="0" w:firstColumn="0" w:lastColumn="0" w:oddVBand="0" w:evenVBand="0" w:oddHBand="1" w:evenHBand="0" w:firstRowFirstColumn="0" w:firstRowLastColumn="0" w:lastRowFirstColumn="0" w:lastRowLastColumn="0"/>
          <w:cantSplit/>
          <w:trHeight w:val="395"/>
        </w:trPr>
        <w:tc>
          <w:tcPr>
            <w:tcW w:w="4585" w:type="dxa"/>
          </w:tcPr>
          <w:p w14:paraId="291AA364" w14:textId="77777777" w:rsidR="00AE3F3F" w:rsidRPr="007D443E" w:rsidRDefault="00AE3F3F" w:rsidP="00AE3F3F">
            <w:pPr>
              <w:rPr>
                <w:rFonts w:ascii="Arial" w:hAnsi="Arial" w:cs="Arial"/>
              </w:rPr>
            </w:pPr>
            <w:r w:rsidRPr="007D443E">
              <w:rPr>
                <w:rFonts w:ascii="Arial" w:hAnsi="Arial" w:cs="Arial"/>
                <w:b/>
              </w:rPr>
              <w:t xml:space="preserve">Principle Strategy 10.0: </w:t>
            </w:r>
            <w:r w:rsidRPr="007D443E">
              <w:rPr>
                <w:rFonts w:ascii="Arial" w:hAnsi="Arial" w:cs="Arial"/>
              </w:rPr>
              <w:t>Increase OSY participation in ELA, ELD (or ESL), and/or literacy classes.</w:t>
            </w:r>
            <w:r w:rsidRPr="007D443E">
              <w:rPr>
                <w:rFonts w:ascii="Arial" w:hAnsi="Arial" w:cs="Arial"/>
                <w:vertAlign w:val="superscript"/>
              </w:rPr>
              <w:footnoteReference w:id="31"/>
            </w:r>
          </w:p>
        </w:tc>
        <w:tc>
          <w:tcPr>
            <w:tcW w:w="4860" w:type="dxa"/>
          </w:tcPr>
          <w:p w14:paraId="7DFAF45D" w14:textId="20CCD9FD" w:rsidR="00AE3F3F" w:rsidRPr="007D443E" w:rsidRDefault="00AE3F3F" w:rsidP="00AE3F3F">
            <w:pPr>
              <w:rPr>
                <w:rFonts w:ascii="Arial" w:hAnsi="Arial" w:cs="Arial"/>
              </w:rPr>
            </w:pPr>
            <w:r w:rsidRPr="007D443E">
              <w:rPr>
                <w:rFonts w:ascii="Arial" w:hAnsi="Arial" w:cs="Arial"/>
                <w:b/>
              </w:rPr>
              <w:t xml:space="preserve">Principle Measurable Program Objective 10.0: </w:t>
            </w:r>
            <w:r w:rsidRPr="007D443E">
              <w:rPr>
                <w:rFonts w:ascii="Arial" w:hAnsi="Arial" w:cs="Arial"/>
              </w:rPr>
              <w:t xml:space="preserve">Each year, 65 percent of OSY who have a desire to learn English </w:t>
            </w:r>
            <w:r w:rsidR="0034470B">
              <w:rPr>
                <w:rFonts w:ascii="Arial" w:hAnsi="Arial" w:cs="Arial"/>
              </w:rPr>
              <w:t xml:space="preserve">as indicated on the INA/ILP </w:t>
            </w:r>
            <w:r w:rsidRPr="007D443E">
              <w:rPr>
                <w:rFonts w:ascii="Arial" w:hAnsi="Arial" w:cs="Arial"/>
              </w:rPr>
              <w:t xml:space="preserve">will </w:t>
            </w:r>
            <w:r w:rsidR="00817CF0">
              <w:rPr>
                <w:rFonts w:ascii="Arial" w:hAnsi="Arial" w:cs="Arial"/>
              </w:rPr>
              <w:t xml:space="preserve">participate in </w:t>
            </w:r>
            <w:r w:rsidRPr="007D443E">
              <w:rPr>
                <w:rFonts w:ascii="Arial" w:hAnsi="Arial" w:cs="Arial"/>
              </w:rPr>
              <w:t>an ELA or ESL service.</w:t>
            </w:r>
          </w:p>
        </w:tc>
      </w:tr>
      <w:tr w:rsidR="00AE3F3F" w:rsidRPr="007D443E" w14:paraId="1BC64E8F" w14:textId="77777777" w:rsidTr="00940787">
        <w:trPr>
          <w:cantSplit/>
          <w:trHeight w:val="251"/>
        </w:trPr>
        <w:tc>
          <w:tcPr>
            <w:tcW w:w="4585" w:type="dxa"/>
          </w:tcPr>
          <w:p w14:paraId="2DB4B8E7" w14:textId="09FECF96" w:rsidR="00AE3F3F" w:rsidRPr="0034470B" w:rsidRDefault="00AE3F3F" w:rsidP="007D443E">
            <w:pPr>
              <w:spacing w:after="120"/>
              <w:rPr>
                <w:rFonts w:ascii="Arial" w:hAnsi="Arial" w:cs="Arial"/>
              </w:rPr>
            </w:pPr>
            <w:r w:rsidRPr="007D443E">
              <w:rPr>
                <w:rFonts w:ascii="Arial" w:hAnsi="Arial" w:cs="Arial"/>
                <w:b/>
              </w:rPr>
              <w:t xml:space="preserve">Strategy 10.1: </w:t>
            </w:r>
            <w:r w:rsidRPr="007D443E">
              <w:rPr>
                <w:rFonts w:ascii="Arial" w:hAnsi="Arial" w:cs="Arial"/>
              </w:rPr>
              <w:t>Provide GED or high school equivalency services for OSY who have dropped out of school but want to obtain a GED.</w:t>
            </w:r>
            <w:r w:rsidR="0034470B">
              <w:rPr>
                <w:rStyle w:val="FootnoteReference"/>
                <w:rFonts w:ascii="Arial" w:hAnsi="Arial" w:cs="Arial"/>
              </w:rPr>
              <w:footnoteReference w:id="32"/>
            </w:r>
          </w:p>
        </w:tc>
        <w:tc>
          <w:tcPr>
            <w:tcW w:w="4860" w:type="dxa"/>
          </w:tcPr>
          <w:p w14:paraId="09264233" w14:textId="6DD36FE9" w:rsidR="00AE3F3F" w:rsidRPr="007D443E" w:rsidRDefault="00AE3F3F" w:rsidP="007D443E">
            <w:pPr>
              <w:spacing w:after="120"/>
              <w:rPr>
                <w:rFonts w:ascii="Arial" w:hAnsi="Arial" w:cs="Arial"/>
              </w:rPr>
            </w:pPr>
            <w:r w:rsidRPr="007D443E">
              <w:rPr>
                <w:rFonts w:ascii="Arial" w:hAnsi="Arial" w:cs="Arial"/>
                <w:b/>
              </w:rPr>
              <w:t xml:space="preserve">Measurable Program Objective 10.1: </w:t>
            </w:r>
            <w:r w:rsidRPr="007D443E">
              <w:rPr>
                <w:rFonts w:ascii="Arial" w:hAnsi="Arial" w:cs="Arial"/>
              </w:rPr>
              <w:t xml:space="preserve">Each year, 65 percent of OSY who want to obtain a general education diploma </w:t>
            </w:r>
            <w:r w:rsidR="0034470B">
              <w:rPr>
                <w:rFonts w:ascii="Arial" w:hAnsi="Arial" w:cs="Arial"/>
              </w:rPr>
              <w:t xml:space="preserve">as indicated on the INA/ILP </w:t>
            </w:r>
            <w:r w:rsidR="00817CF0">
              <w:rPr>
                <w:rFonts w:ascii="Arial" w:hAnsi="Arial" w:cs="Arial"/>
              </w:rPr>
              <w:t>participate in</w:t>
            </w:r>
            <w:r w:rsidRPr="007D443E">
              <w:rPr>
                <w:rFonts w:ascii="Arial" w:hAnsi="Arial" w:cs="Arial"/>
              </w:rPr>
              <w:t xml:space="preserve"> one GED test preparation workshop/service.</w:t>
            </w:r>
          </w:p>
        </w:tc>
      </w:tr>
      <w:tr w:rsidR="00AE3F3F" w:rsidRPr="007D443E" w14:paraId="5C3A344B" w14:textId="77777777" w:rsidTr="00172AE1">
        <w:trPr>
          <w:cnfStyle w:val="000000100000" w:firstRow="0" w:lastRow="0" w:firstColumn="0" w:lastColumn="0" w:oddVBand="0" w:evenVBand="0" w:oddHBand="1" w:evenHBand="0" w:firstRowFirstColumn="0" w:firstRowLastColumn="0" w:lastRowFirstColumn="0" w:lastRowLastColumn="0"/>
          <w:cantSplit/>
          <w:trHeight w:val="653"/>
        </w:trPr>
        <w:tc>
          <w:tcPr>
            <w:tcW w:w="4585" w:type="dxa"/>
            <w:tcBorders>
              <w:right w:val="single" w:sz="4" w:space="0" w:color="4472C4"/>
            </w:tcBorders>
          </w:tcPr>
          <w:p w14:paraId="21C087FC" w14:textId="77777777" w:rsidR="00AE3F3F" w:rsidRPr="007D443E" w:rsidRDefault="00AE3F3F" w:rsidP="00AE3F3F">
            <w:pPr>
              <w:rPr>
                <w:rFonts w:ascii="Arial" w:hAnsi="Arial" w:cs="Arial"/>
              </w:rPr>
            </w:pPr>
            <w:r w:rsidRPr="007D443E">
              <w:rPr>
                <w:rFonts w:ascii="Arial" w:hAnsi="Arial" w:cs="Arial"/>
                <w:b/>
              </w:rPr>
              <w:t xml:space="preserve">Strategy 10.2: </w:t>
            </w:r>
            <w:r w:rsidRPr="007D443E">
              <w:rPr>
                <w:rFonts w:ascii="Arial" w:hAnsi="Arial" w:cs="Arial"/>
              </w:rPr>
              <w:t>Provide primary language literacy services for OSY who have dropped out of school, but want to obtain a high school diploma in their home country.</w:t>
            </w:r>
          </w:p>
        </w:tc>
        <w:tc>
          <w:tcPr>
            <w:tcW w:w="4860" w:type="dxa"/>
            <w:tcBorders>
              <w:left w:val="single" w:sz="4" w:space="0" w:color="4472C4"/>
            </w:tcBorders>
          </w:tcPr>
          <w:p w14:paraId="722DA5B0" w14:textId="637935E7" w:rsidR="00AE3F3F" w:rsidRPr="007D443E" w:rsidRDefault="00AE3F3F" w:rsidP="00AE3F3F">
            <w:pPr>
              <w:rPr>
                <w:rFonts w:ascii="Arial" w:hAnsi="Arial" w:cs="Arial"/>
              </w:rPr>
            </w:pPr>
            <w:r w:rsidRPr="007D443E">
              <w:rPr>
                <w:rFonts w:ascii="Arial" w:hAnsi="Arial" w:cs="Arial"/>
                <w:b/>
              </w:rPr>
              <w:t xml:space="preserve">Measurable Program Objective 10.2: </w:t>
            </w:r>
            <w:r w:rsidRPr="007D443E">
              <w:rPr>
                <w:rFonts w:ascii="Arial" w:hAnsi="Arial" w:cs="Arial"/>
              </w:rPr>
              <w:t>Each year, 50 percent of OSY who want to obtain a high school diploma</w:t>
            </w:r>
            <w:r w:rsidR="0034470B">
              <w:rPr>
                <w:rFonts w:ascii="Arial" w:hAnsi="Arial" w:cs="Arial"/>
              </w:rPr>
              <w:t xml:space="preserve"> as indicated on the INA/ILP</w:t>
            </w:r>
            <w:r w:rsidRPr="007D443E">
              <w:rPr>
                <w:rFonts w:ascii="Arial" w:hAnsi="Arial" w:cs="Arial"/>
              </w:rPr>
              <w:t xml:space="preserve"> </w:t>
            </w:r>
            <w:r w:rsidR="00817CF0">
              <w:rPr>
                <w:rFonts w:ascii="Arial" w:hAnsi="Arial" w:cs="Arial"/>
              </w:rPr>
              <w:t>participate in</w:t>
            </w:r>
            <w:r w:rsidR="00817CF0" w:rsidRPr="007D443E">
              <w:rPr>
                <w:rFonts w:ascii="Arial" w:hAnsi="Arial" w:cs="Arial"/>
              </w:rPr>
              <w:t xml:space="preserve"> </w:t>
            </w:r>
            <w:r w:rsidRPr="007D443E">
              <w:rPr>
                <w:rFonts w:ascii="Arial" w:hAnsi="Arial" w:cs="Arial"/>
              </w:rPr>
              <w:t>a literacy service in their native language.</w:t>
            </w:r>
          </w:p>
        </w:tc>
      </w:tr>
    </w:tbl>
    <w:p w14:paraId="5040B063" w14:textId="1951A588" w:rsidR="0034470B" w:rsidRDefault="0034470B" w:rsidP="0034470B">
      <w:pPr>
        <w:spacing w:before="240"/>
        <w:rPr>
          <w:rFonts w:ascii="Arial" w:hAnsi="Arial" w:cs="Arial"/>
        </w:rPr>
      </w:pPr>
      <w:bookmarkStart w:id="65" w:name="_Toc504520867"/>
      <w:r w:rsidRPr="001C0233">
        <w:rPr>
          <w:rFonts w:ascii="Arial" w:hAnsi="Arial" w:cs="Arial"/>
        </w:rPr>
        <w:t xml:space="preserve">Strategy 10.2 is intended to support OSY who have not graduated from high school in their home country, but would like to continue their education in their primary language with the goal of obtaining a high school diploma upon their return. Plazas </w:t>
      </w:r>
      <w:proofErr w:type="spellStart"/>
      <w:r w:rsidRPr="0086590B">
        <w:rPr>
          <w:rFonts w:ascii="Arial" w:hAnsi="Arial" w:cs="Arial"/>
        </w:rPr>
        <w:t>Comunitarias</w:t>
      </w:r>
      <w:proofErr w:type="spellEnd"/>
      <w:r w:rsidRPr="001C0233">
        <w:rPr>
          <w:rFonts w:ascii="Arial" w:hAnsi="Arial" w:cs="Arial"/>
        </w:rPr>
        <w:t xml:space="preserve"> is supported in part by the Mexican government and offer basic literacy including </w:t>
      </w:r>
      <w:r w:rsidR="00E22495" w:rsidRPr="001C0233">
        <w:rPr>
          <w:rFonts w:ascii="Arial" w:hAnsi="Arial" w:cs="Arial"/>
        </w:rPr>
        <w:t>elementary</w:t>
      </w:r>
      <w:r w:rsidRPr="001C0233">
        <w:rPr>
          <w:rFonts w:ascii="Arial" w:hAnsi="Arial" w:cs="Arial"/>
        </w:rPr>
        <w:t xml:space="preserve"> and high school level classes taught in Spanish. Local MEPs have the option to work </w:t>
      </w:r>
      <w:r w:rsidR="00E22495" w:rsidRPr="001C0233">
        <w:rPr>
          <w:rFonts w:ascii="Arial" w:hAnsi="Arial" w:cs="Arial"/>
        </w:rPr>
        <w:t>with</w:t>
      </w:r>
      <w:r w:rsidRPr="001C0233">
        <w:rPr>
          <w:rFonts w:ascii="Arial" w:hAnsi="Arial" w:cs="Arial"/>
        </w:rPr>
        <w:t xml:space="preserve"> their local Mexican Consulate Plazas </w:t>
      </w:r>
      <w:proofErr w:type="spellStart"/>
      <w:r w:rsidRPr="0086590B">
        <w:rPr>
          <w:rFonts w:ascii="Arial" w:hAnsi="Arial" w:cs="Arial"/>
        </w:rPr>
        <w:t>Comunitarias</w:t>
      </w:r>
      <w:proofErr w:type="spellEnd"/>
      <w:r w:rsidRPr="001C0233">
        <w:rPr>
          <w:rFonts w:ascii="Arial" w:hAnsi="Arial" w:cs="Arial"/>
        </w:rPr>
        <w:t xml:space="preserve"> to provide literacy classes in Spanish.</w:t>
      </w:r>
    </w:p>
    <w:p w14:paraId="11642F14" w14:textId="3B9B1BAF" w:rsidR="00817CF0" w:rsidRDefault="00817CF0" w:rsidP="0034470B">
      <w:pPr>
        <w:spacing w:before="240"/>
        <w:rPr>
          <w:rFonts w:ascii="Arial" w:hAnsi="Arial" w:cs="Arial"/>
        </w:rPr>
      </w:pPr>
      <w:r>
        <w:rPr>
          <w:rFonts w:ascii="Arial" w:hAnsi="Arial" w:cs="Arial"/>
        </w:rPr>
        <w:t xml:space="preserve">The </w:t>
      </w:r>
      <w:r w:rsidR="0090012E">
        <w:rPr>
          <w:rFonts w:ascii="Arial" w:hAnsi="Arial" w:cs="Arial"/>
        </w:rPr>
        <w:t xml:space="preserve">revised </w:t>
      </w:r>
      <w:r>
        <w:rPr>
          <w:rFonts w:ascii="Arial" w:hAnsi="Arial" w:cs="Arial"/>
        </w:rPr>
        <w:t xml:space="preserve">performance target for the OSY Literacy Goal Area is: </w:t>
      </w:r>
      <w:r w:rsidRPr="00E22495">
        <w:rPr>
          <w:rFonts w:ascii="Arial" w:hAnsi="Arial" w:cs="Arial"/>
        </w:rPr>
        <w:t>By July 2023, 25 percent of OSY, who indicated a need on the INA, will complete an ESL, GED, or literacy class.</w:t>
      </w:r>
    </w:p>
    <w:p w14:paraId="72270DFB" w14:textId="77777777" w:rsidR="0034470B" w:rsidRDefault="0034470B">
      <w:pPr>
        <w:rPr>
          <w:rFonts w:ascii="Arial" w:hAnsi="Arial" w:cs="Arial"/>
        </w:rPr>
      </w:pPr>
      <w:r>
        <w:rPr>
          <w:rFonts w:ascii="Arial" w:hAnsi="Arial" w:cs="Arial"/>
        </w:rPr>
        <w:br w:type="page"/>
      </w:r>
    </w:p>
    <w:p w14:paraId="3FF4F5B1" w14:textId="137AC6A0" w:rsidR="00BA5C6E" w:rsidRPr="005E0053" w:rsidRDefault="00BA5C6E" w:rsidP="004E1863">
      <w:pPr>
        <w:pStyle w:val="Heading5"/>
      </w:pPr>
      <w:r w:rsidRPr="005E0053">
        <w:lastRenderedPageBreak/>
        <w:t>Health</w:t>
      </w:r>
      <w:bookmarkEnd w:id="65"/>
    </w:p>
    <w:p w14:paraId="338255FA" w14:textId="1393F4F0" w:rsidR="00AE3F3F" w:rsidRPr="00694080" w:rsidRDefault="00EF59DB" w:rsidP="00AE3F3F">
      <w:pPr>
        <w:spacing w:after="240"/>
        <w:rPr>
          <w:rFonts w:ascii="Arial" w:hAnsi="Arial" w:cs="Arial"/>
        </w:rPr>
      </w:pPr>
      <w:r>
        <w:rPr>
          <w:rFonts w:ascii="Arial" w:hAnsi="Arial" w:cs="Arial"/>
        </w:rPr>
        <w:t>The Health Subcommittee</w:t>
      </w:r>
      <w:r w:rsidRPr="00694080">
        <w:rPr>
          <w:rFonts w:ascii="Arial" w:hAnsi="Arial" w:cs="Arial"/>
        </w:rPr>
        <w:t xml:space="preserve"> </w:t>
      </w:r>
      <w:r w:rsidR="00AE3F3F" w:rsidRPr="00694080">
        <w:rPr>
          <w:rFonts w:ascii="Arial" w:hAnsi="Arial" w:cs="Arial"/>
        </w:rPr>
        <w:t>recognized a need to increase access to mental health services for migratory children. They noted:</w:t>
      </w:r>
    </w:p>
    <w:p w14:paraId="2A292705" w14:textId="77777777" w:rsidR="00AE3F3F" w:rsidRPr="00694080" w:rsidRDefault="00AE3F3F" w:rsidP="00AE3F3F">
      <w:pPr>
        <w:numPr>
          <w:ilvl w:val="0"/>
          <w:numId w:val="18"/>
        </w:numPr>
        <w:spacing w:after="240"/>
        <w:ind w:left="720"/>
        <w:rPr>
          <w:rFonts w:ascii="Arial" w:hAnsi="Arial" w:cs="Arial"/>
        </w:rPr>
      </w:pPr>
      <w:r w:rsidRPr="00694080">
        <w:rPr>
          <w:rFonts w:ascii="Arial" w:hAnsi="Arial" w:cs="Arial"/>
        </w:rPr>
        <w:t>Minimal staff training and resources</w:t>
      </w:r>
    </w:p>
    <w:p w14:paraId="07CAC46F" w14:textId="77777777" w:rsidR="00AE3F3F" w:rsidRPr="00694080" w:rsidRDefault="00AE3F3F" w:rsidP="00AE3F3F">
      <w:pPr>
        <w:numPr>
          <w:ilvl w:val="0"/>
          <w:numId w:val="18"/>
        </w:numPr>
        <w:spacing w:after="240"/>
        <w:ind w:left="720"/>
        <w:rPr>
          <w:rFonts w:ascii="Arial" w:hAnsi="Arial" w:cs="Arial"/>
        </w:rPr>
      </w:pPr>
      <w:r w:rsidRPr="00694080">
        <w:rPr>
          <w:rFonts w:ascii="Arial" w:hAnsi="Arial" w:cs="Arial"/>
        </w:rPr>
        <w:t>Unclear picture of student health needs</w:t>
      </w:r>
    </w:p>
    <w:p w14:paraId="08DE9318" w14:textId="77777777" w:rsidR="00AE3F3F" w:rsidRPr="00694080" w:rsidRDefault="00AE3F3F" w:rsidP="00AE3F3F">
      <w:pPr>
        <w:numPr>
          <w:ilvl w:val="0"/>
          <w:numId w:val="18"/>
        </w:numPr>
        <w:spacing w:after="240"/>
        <w:ind w:left="720"/>
        <w:rPr>
          <w:rFonts w:ascii="Arial" w:hAnsi="Arial" w:cs="Arial"/>
        </w:rPr>
      </w:pPr>
      <w:r w:rsidRPr="00694080">
        <w:rPr>
          <w:rFonts w:ascii="Arial" w:hAnsi="Arial" w:cs="Arial"/>
        </w:rPr>
        <w:t xml:space="preserve">Increased parental requests for referrals and services (anxiety, depression) </w:t>
      </w:r>
    </w:p>
    <w:p w14:paraId="5DBDBF1B" w14:textId="77777777" w:rsidR="00AE3F3F" w:rsidRPr="00694080" w:rsidRDefault="00AE3F3F" w:rsidP="00AE3F3F">
      <w:pPr>
        <w:numPr>
          <w:ilvl w:val="0"/>
          <w:numId w:val="18"/>
        </w:numPr>
        <w:spacing w:after="240"/>
        <w:ind w:left="720"/>
        <w:rPr>
          <w:rFonts w:ascii="Arial" w:hAnsi="Arial" w:cs="Arial"/>
        </w:rPr>
      </w:pPr>
      <w:r w:rsidRPr="00694080">
        <w:rPr>
          <w:rFonts w:ascii="Arial" w:hAnsi="Arial" w:cs="Arial"/>
        </w:rPr>
        <w:t>Increased stress and anxiety among the migratory student population (e.g., deportation, fear of loss of parents)</w:t>
      </w:r>
    </w:p>
    <w:p w14:paraId="53596246" w14:textId="77777777" w:rsidR="00AE3F3F" w:rsidRPr="00694080" w:rsidRDefault="00AE3F3F" w:rsidP="00AE3F3F">
      <w:pPr>
        <w:numPr>
          <w:ilvl w:val="0"/>
          <w:numId w:val="18"/>
        </w:numPr>
        <w:spacing w:after="240"/>
        <w:ind w:left="720"/>
        <w:rPr>
          <w:rFonts w:ascii="Arial" w:hAnsi="Arial" w:cs="Arial"/>
        </w:rPr>
      </w:pPr>
      <w:r w:rsidRPr="00694080">
        <w:rPr>
          <w:rFonts w:ascii="Arial" w:hAnsi="Arial" w:cs="Arial"/>
        </w:rPr>
        <w:t>Increased exposure to and use of drugs and alcohol</w:t>
      </w:r>
    </w:p>
    <w:p w14:paraId="271BEDC0" w14:textId="77777777" w:rsidR="00694080" w:rsidRDefault="00AE3F3F" w:rsidP="00694080">
      <w:pPr>
        <w:numPr>
          <w:ilvl w:val="0"/>
          <w:numId w:val="18"/>
        </w:numPr>
        <w:spacing w:after="240"/>
        <w:ind w:left="720"/>
        <w:rPr>
          <w:rFonts w:ascii="Arial" w:hAnsi="Arial" w:cs="Arial"/>
        </w:rPr>
      </w:pPr>
      <w:r w:rsidRPr="00694080">
        <w:rPr>
          <w:rFonts w:ascii="Arial" w:hAnsi="Arial" w:cs="Arial"/>
        </w:rPr>
        <w:t>Within the general student population, students are acting on increased levels of stress</w:t>
      </w:r>
    </w:p>
    <w:p w14:paraId="757C9BD0" w14:textId="77777777" w:rsidR="00AE3F3F" w:rsidRPr="00694080" w:rsidRDefault="00AE3F3F" w:rsidP="00694080">
      <w:pPr>
        <w:numPr>
          <w:ilvl w:val="0"/>
          <w:numId w:val="18"/>
        </w:numPr>
        <w:spacing w:after="240"/>
        <w:ind w:left="720"/>
        <w:rPr>
          <w:rFonts w:ascii="Arial" w:hAnsi="Arial" w:cs="Arial"/>
        </w:rPr>
      </w:pPr>
      <w:r w:rsidRPr="00694080">
        <w:rPr>
          <w:rFonts w:ascii="Arial" w:hAnsi="Arial" w:cs="Arial"/>
        </w:rPr>
        <w:t>Migratory parents lack awareness of mental health issues</w:t>
      </w:r>
    </w:p>
    <w:p w14:paraId="48727C30" w14:textId="2E285D93" w:rsidR="00AE3F3F" w:rsidRPr="00694080" w:rsidRDefault="00AE3F3F" w:rsidP="00AE3F3F">
      <w:pPr>
        <w:rPr>
          <w:rFonts w:ascii="Arial" w:hAnsi="Arial" w:cs="Arial"/>
        </w:rPr>
      </w:pPr>
      <w:r w:rsidRPr="00694080">
        <w:rPr>
          <w:rFonts w:ascii="Arial" w:hAnsi="Arial" w:cs="Arial"/>
        </w:rPr>
        <w:t xml:space="preserve">By addressing access to mental health services, the MEP infers that students will see some improvements to their mental health. Subgrantees will track the number of mental health services provided, or referred, to students who indicated a need on their </w:t>
      </w:r>
      <w:r w:rsidR="00E22495" w:rsidRPr="00694080">
        <w:rPr>
          <w:rFonts w:ascii="Arial" w:hAnsi="Arial" w:cs="Arial"/>
        </w:rPr>
        <w:t>Individual</w:t>
      </w:r>
      <w:r w:rsidRPr="00694080">
        <w:rPr>
          <w:rFonts w:ascii="Arial" w:hAnsi="Arial" w:cs="Arial"/>
        </w:rPr>
        <w:t xml:space="preserve"> Needs Assessment. Table </w:t>
      </w:r>
      <w:r w:rsidR="00976DBD">
        <w:rPr>
          <w:rFonts w:ascii="Arial" w:hAnsi="Arial" w:cs="Arial"/>
        </w:rPr>
        <w:t>29</w:t>
      </w:r>
      <w:r w:rsidRPr="00694080">
        <w:rPr>
          <w:rFonts w:ascii="Arial" w:hAnsi="Arial" w:cs="Arial"/>
        </w:rPr>
        <w:t xml:space="preserve"> identifies the strategies and MPOs for increasing migratory children’s access to mental health services.</w:t>
      </w:r>
    </w:p>
    <w:p w14:paraId="6B132091" w14:textId="77777777" w:rsidR="00AE3F3F" w:rsidRPr="00AE3F3F" w:rsidRDefault="00AE3F3F" w:rsidP="004646B2">
      <w:pPr>
        <w:pStyle w:val="Heading6"/>
        <w:spacing w:after="120"/>
        <w:jc w:val="center"/>
        <w:rPr>
          <w:rFonts w:eastAsia="Calibri"/>
        </w:rPr>
      </w:pPr>
      <w:r w:rsidRPr="00AE3F3F">
        <w:rPr>
          <w:rFonts w:eastAsia="Calibri"/>
        </w:rPr>
        <w:t>GOAL AREA: Mental Health Services</w:t>
      </w:r>
    </w:p>
    <w:p w14:paraId="57D5406D" w14:textId="5DCC8B65" w:rsidR="00130D73" w:rsidRPr="005E0053" w:rsidRDefault="00130D73" w:rsidP="00694080">
      <w:pPr>
        <w:pStyle w:val="Heading6"/>
        <w:spacing w:before="0"/>
      </w:pPr>
      <w:bookmarkStart w:id="66" w:name="_Toc101961121"/>
      <w:r w:rsidRPr="005E0053">
        <w:t xml:space="preserve">Table </w:t>
      </w:r>
      <w:fldSimple w:instr=" SEQ Table \* ARABIC ">
        <w:r w:rsidR="00976DBD">
          <w:rPr>
            <w:noProof/>
          </w:rPr>
          <w:t>29</w:t>
        </w:r>
      </w:fldSimple>
      <w:r w:rsidRPr="005E0053">
        <w:t xml:space="preserve">. </w:t>
      </w:r>
      <w:r w:rsidR="004646B2">
        <w:t xml:space="preserve">Strategies and </w:t>
      </w:r>
      <w:r w:rsidR="00A03E6E" w:rsidRPr="005E0053">
        <w:t>Measurable Program Objectives</w:t>
      </w:r>
      <w:r w:rsidRPr="005E0053">
        <w:t xml:space="preserve"> for Increasing </w:t>
      </w:r>
      <w:r w:rsidR="001C1B1E" w:rsidRPr="005E0053">
        <w:t xml:space="preserve">Access to </w:t>
      </w:r>
      <w:r w:rsidRPr="005E0053">
        <w:t>Mental Health Services</w:t>
      </w:r>
      <w:r w:rsidR="00046B4C">
        <w:t xml:space="preserve"> (Revised)</w:t>
      </w:r>
      <w:bookmarkEnd w:id="66"/>
    </w:p>
    <w:tbl>
      <w:tblPr>
        <w:tblStyle w:val="GridTable4-Accent1"/>
        <w:tblW w:w="9355" w:type="dxa"/>
        <w:tblLook w:val="0420" w:firstRow="1" w:lastRow="0" w:firstColumn="0" w:lastColumn="0" w:noHBand="0" w:noVBand="1"/>
        <w:tblDescription w:val="Strategies and Measurable Program Objectives for Increasing Access to Mental Health Services"/>
      </w:tblPr>
      <w:tblGrid>
        <w:gridCol w:w="4585"/>
        <w:gridCol w:w="4770"/>
      </w:tblGrid>
      <w:tr w:rsidR="00AE3F3F" w:rsidRPr="007D443E" w14:paraId="001D0634"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4585" w:type="dxa"/>
            <w:tcBorders>
              <w:right w:val="single" w:sz="4" w:space="0" w:color="4472C4"/>
            </w:tcBorders>
            <w:shd w:val="clear" w:color="auto" w:fill="1F3864" w:themeFill="accent5" w:themeFillShade="80"/>
          </w:tcPr>
          <w:p w14:paraId="2B158937" w14:textId="77777777" w:rsidR="00AE3F3F" w:rsidRPr="007D443E" w:rsidRDefault="00AE3F3F" w:rsidP="00AE3F3F">
            <w:pPr>
              <w:rPr>
                <w:rFonts w:ascii="Arial" w:hAnsi="Arial" w:cs="Arial"/>
                <w:color w:val="FFFFFF"/>
              </w:rPr>
            </w:pPr>
            <w:r w:rsidRPr="007D443E">
              <w:rPr>
                <w:rFonts w:ascii="Arial" w:hAnsi="Arial" w:cs="Arial"/>
                <w:color w:val="FFFFFF"/>
              </w:rPr>
              <w:t>Strategies</w:t>
            </w:r>
          </w:p>
        </w:tc>
        <w:tc>
          <w:tcPr>
            <w:tcW w:w="4770" w:type="dxa"/>
            <w:tcBorders>
              <w:left w:val="single" w:sz="4" w:space="0" w:color="4472C4"/>
            </w:tcBorders>
            <w:shd w:val="clear" w:color="auto" w:fill="1F3864" w:themeFill="accent5" w:themeFillShade="80"/>
          </w:tcPr>
          <w:p w14:paraId="743DC0DE" w14:textId="77777777" w:rsidR="00AE3F3F" w:rsidRPr="007D443E" w:rsidRDefault="00AE3F3F" w:rsidP="00AE3F3F">
            <w:pPr>
              <w:rPr>
                <w:rFonts w:ascii="Arial" w:hAnsi="Arial" w:cs="Arial"/>
                <w:color w:val="FFFFFF"/>
              </w:rPr>
            </w:pPr>
            <w:r w:rsidRPr="007D443E">
              <w:rPr>
                <w:rFonts w:ascii="Arial" w:hAnsi="Arial" w:cs="Arial"/>
                <w:color w:val="FFFFFF"/>
              </w:rPr>
              <w:t>Measurable Program Objectives</w:t>
            </w:r>
          </w:p>
        </w:tc>
      </w:tr>
      <w:tr w:rsidR="00AE3F3F" w:rsidRPr="007D443E" w14:paraId="63DABFC8"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4585" w:type="dxa"/>
          </w:tcPr>
          <w:p w14:paraId="7483AE9D" w14:textId="61A11131" w:rsidR="00AE3F3F" w:rsidRPr="007D443E" w:rsidRDefault="00AE3F3F" w:rsidP="00AE3F3F">
            <w:pPr>
              <w:rPr>
                <w:rFonts w:ascii="Arial" w:hAnsi="Arial" w:cs="Arial"/>
              </w:rPr>
            </w:pPr>
            <w:r w:rsidRPr="007D443E">
              <w:rPr>
                <w:rFonts w:ascii="Arial" w:hAnsi="Arial" w:cs="Arial"/>
                <w:b/>
              </w:rPr>
              <w:t xml:space="preserve">Principle Strategy 11.0: </w:t>
            </w:r>
            <w:r w:rsidRPr="007D443E">
              <w:rPr>
                <w:rFonts w:ascii="Arial" w:hAnsi="Arial" w:cs="Arial"/>
              </w:rPr>
              <w:t>Offer health education workshops with a focus on mental health which provides students and parents with the knowledge, attitudes, and skills to make healthy choices (Family Health Nights</w:t>
            </w:r>
            <w:r w:rsidR="008E78C6">
              <w:rPr>
                <w:rFonts w:ascii="Arial" w:hAnsi="Arial" w:cs="Arial"/>
              </w:rPr>
              <w:t xml:space="preserve"> or separate workshops for parents and children</w:t>
            </w:r>
            <w:r w:rsidRPr="007D443E">
              <w:rPr>
                <w:rFonts w:ascii="Arial" w:hAnsi="Arial" w:cs="Arial"/>
              </w:rPr>
              <w:t>).</w:t>
            </w:r>
          </w:p>
        </w:tc>
        <w:tc>
          <w:tcPr>
            <w:tcW w:w="4770" w:type="dxa"/>
          </w:tcPr>
          <w:p w14:paraId="7ACE9FF0" w14:textId="77777777" w:rsidR="00AE3F3F" w:rsidRPr="007D443E" w:rsidRDefault="00AE3F3F" w:rsidP="00AE3F3F">
            <w:pPr>
              <w:rPr>
                <w:rFonts w:ascii="Arial" w:hAnsi="Arial" w:cs="Arial"/>
              </w:rPr>
            </w:pPr>
            <w:r w:rsidRPr="007D443E">
              <w:rPr>
                <w:rFonts w:ascii="Arial" w:hAnsi="Arial" w:cs="Arial"/>
                <w:b/>
              </w:rPr>
              <w:t xml:space="preserve">Measurable Program Objective 11.0: </w:t>
            </w:r>
            <w:r w:rsidRPr="007D443E">
              <w:rPr>
                <w:rFonts w:ascii="Arial" w:hAnsi="Arial" w:cs="Arial"/>
              </w:rPr>
              <w:t>Each year, MEPs will offer two health education workshops that focuses on mental health (e.g., self-esteem, depression, anxiety, etc.).</w:t>
            </w:r>
            <w:r w:rsidRPr="007D443E">
              <w:rPr>
                <w:rFonts w:ascii="Arial" w:hAnsi="Arial" w:cs="Arial"/>
                <w:vertAlign w:val="superscript"/>
              </w:rPr>
              <w:footnoteReference w:id="33"/>
            </w:r>
          </w:p>
        </w:tc>
      </w:tr>
      <w:tr w:rsidR="00AE3F3F" w:rsidRPr="007D443E" w14:paraId="5739F80B" w14:textId="77777777" w:rsidTr="00940787">
        <w:trPr>
          <w:cantSplit/>
          <w:trHeight w:val="251"/>
        </w:trPr>
        <w:tc>
          <w:tcPr>
            <w:tcW w:w="4585" w:type="dxa"/>
          </w:tcPr>
          <w:p w14:paraId="59FC56C3" w14:textId="77777777" w:rsidR="00AE3F3F" w:rsidRPr="007D443E" w:rsidRDefault="00AE3F3F" w:rsidP="007D443E">
            <w:pPr>
              <w:spacing w:after="120"/>
              <w:rPr>
                <w:rFonts w:ascii="Arial" w:hAnsi="Arial" w:cs="Arial"/>
              </w:rPr>
            </w:pPr>
            <w:r w:rsidRPr="007D443E">
              <w:rPr>
                <w:rFonts w:ascii="Arial" w:hAnsi="Arial" w:cs="Arial"/>
                <w:b/>
              </w:rPr>
              <w:lastRenderedPageBreak/>
              <w:t xml:space="preserve">Strategy 11.1: </w:t>
            </w:r>
            <w:r w:rsidRPr="007D443E">
              <w:rPr>
                <w:rFonts w:ascii="Arial" w:hAnsi="Arial" w:cs="Arial"/>
              </w:rPr>
              <w:t>Provide health services and referrals to migratory students who need mental health services.</w:t>
            </w:r>
          </w:p>
        </w:tc>
        <w:tc>
          <w:tcPr>
            <w:tcW w:w="4770" w:type="dxa"/>
          </w:tcPr>
          <w:p w14:paraId="40996163" w14:textId="72B390BF" w:rsidR="00AE3F3F" w:rsidRPr="007D443E" w:rsidRDefault="00AE3F3F" w:rsidP="007D443E">
            <w:pPr>
              <w:spacing w:after="120"/>
              <w:rPr>
                <w:rFonts w:ascii="Arial" w:hAnsi="Arial" w:cs="Arial"/>
              </w:rPr>
            </w:pPr>
            <w:r w:rsidRPr="007D443E">
              <w:rPr>
                <w:rFonts w:ascii="Arial" w:hAnsi="Arial" w:cs="Arial"/>
                <w:b/>
              </w:rPr>
              <w:t xml:space="preserve">Measurable Program Objective 11.1: </w:t>
            </w:r>
            <w:r w:rsidRPr="007D443E">
              <w:rPr>
                <w:rFonts w:ascii="Arial" w:hAnsi="Arial" w:cs="Arial"/>
              </w:rPr>
              <w:t>Each year, 100 percent of migratory students who want to improve their mental health</w:t>
            </w:r>
            <w:r w:rsidR="00817CF0">
              <w:rPr>
                <w:rFonts w:ascii="Arial" w:hAnsi="Arial" w:cs="Arial"/>
              </w:rPr>
              <w:t>, as indicated on the INA/ILP,</w:t>
            </w:r>
            <w:r w:rsidRPr="007D443E">
              <w:rPr>
                <w:rFonts w:ascii="Arial" w:hAnsi="Arial" w:cs="Arial"/>
              </w:rPr>
              <w:t xml:space="preserve"> will receive at least one health service </w:t>
            </w:r>
            <w:r w:rsidR="00817CF0">
              <w:rPr>
                <w:rFonts w:ascii="Arial" w:hAnsi="Arial" w:cs="Arial"/>
              </w:rPr>
              <w:t xml:space="preserve">or </w:t>
            </w:r>
            <w:r w:rsidRPr="007D443E">
              <w:rPr>
                <w:rFonts w:ascii="Arial" w:hAnsi="Arial" w:cs="Arial"/>
              </w:rPr>
              <w:t>referral.</w:t>
            </w:r>
            <w:r w:rsidRPr="007D443E">
              <w:rPr>
                <w:rFonts w:ascii="Arial" w:hAnsi="Arial" w:cs="Arial"/>
                <w:vertAlign w:val="superscript"/>
              </w:rPr>
              <w:footnoteReference w:id="34"/>
            </w:r>
          </w:p>
        </w:tc>
      </w:tr>
      <w:tr w:rsidR="00AE3F3F" w:rsidRPr="007D443E" w14:paraId="0FD0CA0B"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4585" w:type="dxa"/>
          </w:tcPr>
          <w:p w14:paraId="65ED991B" w14:textId="77777777" w:rsidR="00AE3F3F" w:rsidRPr="007D443E" w:rsidRDefault="00AE3F3F" w:rsidP="007D443E">
            <w:pPr>
              <w:spacing w:after="120"/>
              <w:rPr>
                <w:rFonts w:ascii="Arial" w:hAnsi="Arial" w:cs="Arial"/>
              </w:rPr>
            </w:pPr>
            <w:r w:rsidRPr="007D443E">
              <w:rPr>
                <w:rFonts w:ascii="Arial" w:hAnsi="Arial" w:cs="Arial"/>
                <w:b/>
              </w:rPr>
              <w:t xml:space="preserve">Strategy 11.2: </w:t>
            </w:r>
            <w:r w:rsidRPr="007D443E">
              <w:rPr>
                <w:rFonts w:ascii="Arial" w:hAnsi="Arial" w:cs="Arial"/>
              </w:rPr>
              <w:t>Provide professional development opportunities on physical education, health education, nutritional services, mental health, and social services for all certificated and classified MEP staff.</w:t>
            </w:r>
          </w:p>
        </w:tc>
        <w:tc>
          <w:tcPr>
            <w:tcW w:w="4770" w:type="dxa"/>
          </w:tcPr>
          <w:p w14:paraId="67179C37" w14:textId="77777777" w:rsidR="00AE3F3F" w:rsidRPr="007D443E" w:rsidRDefault="00AE3F3F" w:rsidP="007D443E">
            <w:pPr>
              <w:spacing w:after="120"/>
              <w:rPr>
                <w:rFonts w:ascii="Arial" w:hAnsi="Arial" w:cs="Arial"/>
              </w:rPr>
            </w:pPr>
            <w:r w:rsidRPr="007D443E">
              <w:rPr>
                <w:rFonts w:ascii="Arial" w:hAnsi="Arial" w:cs="Arial"/>
                <w:b/>
              </w:rPr>
              <w:t xml:space="preserve">Measurable Program Objective 11.2: </w:t>
            </w:r>
            <w:r w:rsidRPr="007D443E">
              <w:rPr>
                <w:rFonts w:ascii="Arial" w:hAnsi="Arial" w:cs="Arial"/>
              </w:rPr>
              <w:t>All 20 regions will provide professional development for MEP staff on physical education, health education, nutritional services, mental health, and social services.</w:t>
            </w:r>
          </w:p>
        </w:tc>
      </w:tr>
    </w:tbl>
    <w:p w14:paraId="57E3B63A" w14:textId="54B83BF6" w:rsidR="00AE3F3F" w:rsidRPr="00694080" w:rsidRDefault="00EF59DB" w:rsidP="00694080">
      <w:pPr>
        <w:spacing w:before="240"/>
        <w:rPr>
          <w:rFonts w:ascii="Arial" w:hAnsi="Arial" w:cs="Arial"/>
        </w:rPr>
      </w:pPr>
      <w:bookmarkStart w:id="67" w:name="_Toc504520868"/>
      <w:r>
        <w:rPr>
          <w:rFonts w:ascii="Arial" w:hAnsi="Arial" w:cs="Arial"/>
        </w:rPr>
        <w:t>Subcommittee members</w:t>
      </w:r>
      <w:r w:rsidRPr="00694080">
        <w:rPr>
          <w:rFonts w:ascii="Arial" w:hAnsi="Arial" w:cs="Arial"/>
        </w:rPr>
        <w:t xml:space="preserve"> </w:t>
      </w:r>
      <w:r w:rsidR="00AE3F3F" w:rsidRPr="00694080">
        <w:rPr>
          <w:rFonts w:ascii="Arial" w:hAnsi="Arial" w:cs="Arial"/>
        </w:rPr>
        <w:t>also recommend that subgrantees provide health education curriculum and instructional supports the health and well-being of each student by addressing the mental, emotional, and social dimensions of health. This</w:t>
      </w:r>
      <w:r w:rsidR="0090012E">
        <w:rPr>
          <w:rFonts w:ascii="Arial" w:hAnsi="Arial" w:cs="Arial"/>
        </w:rPr>
        <w:t xml:space="preserve"> revised</w:t>
      </w:r>
      <w:r w:rsidR="00AE3F3F" w:rsidRPr="00694080">
        <w:rPr>
          <w:rFonts w:ascii="Arial" w:hAnsi="Arial" w:cs="Arial"/>
        </w:rPr>
        <w:t xml:space="preserve"> performance target </w:t>
      </w:r>
      <w:r w:rsidR="006F65B6">
        <w:rPr>
          <w:rFonts w:ascii="Arial" w:hAnsi="Arial" w:cs="Arial"/>
        </w:rPr>
        <w:t xml:space="preserve">includes the following: </w:t>
      </w:r>
      <w:r w:rsidR="006F65B6" w:rsidRPr="00E22495">
        <w:rPr>
          <w:rFonts w:ascii="Arial" w:hAnsi="Arial" w:cs="Arial"/>
        </w:rPr>
        <w:t xml:space="preserve">By July 2023, </w:t>
      </w:r>
      <w:r w:rsidR="0090012E">
        <w:rPr>
          <w:rFonts w:ascii="Arial" w:hAnsi="Arial" w:cs="Arial"/>
        </w:rPr>
        <w:t>10</w:t>
      </w:r>
      <w:r w:rsidR="006F65B6" w:rsidRPr="00E22495">
        <w:rPr>
          <w:rFonts w:ascii="Arial" w:hAnsi="Arial" w:cs="Arial"/>
        </w:rPr>
        <w:t>0 percent of migratory students who want to improve their mental health as indicated on the INA/ILP will receive at least one health service or referral.</w:t>
      </w:r>
    </w:p>
    <w:p w14:paraId="55D2ABAE" w14:textId="77777777" w:rsidR="00BA5C6E" w:rsidRPr="005E0053" w:rsidRDefault="00BA5C6E" w:rsidP="004E1863">
      <w:pPr>
        <w:pStyle w:val="Heading5"/>
      </w:pPr>
      <w:r w:rsidRPr="005E0053">
        <w:t>Parent and Family Engagement</w:t>
      </w:r>
      <w:bookmarkEnd w:id="67"/>
    </w:p>
    <w:p w14:paraId="0E111F89" w14:textId="11408AC5" w:rsidR="00AE3F3F" w:rsidRPr="00694080" w:rsidRDefault="00AE3F3F" w:rsidP="00AE3F3F">
      <w:pPr>
        <w:spacing w:after="240"/>
        <w:rPr>
          <w:rFonts w:ascii="Arial" w:hAnsi="Arial" w:cs="Arial"/>
        </w:rPr>
      </w:pPr>
      <w:r w:rsidRPr="00694080">
        <w:rPr>
          <w:rFonts w:ascii="Arial" w:hAnsi="Arial" w:cs="Arial"/>
        </w:rPr>
        <w:t>Offering workshops and services to build parents’ capacity to participate in and support their children’s education will increase parents’ knowledge and ability. Table 3</w:t>
      </w:r>
      <w:r w:rsidR="00976DBD">
        <w:rPr>
          <w:rFonts w:ascii="Arial" w:hAnsi="Arial" w:cs="Arial"/>
        </w:rPr>
        <w:t>0</w:t>
      </w:r>
      <w:r w:rsidRPr="00694080">
        <w:rPr>
          <w:rFonts w:ascii="Arial" w:hAnsi="Arial" w:cs="Arial"/>
        </w:rPr>
        <w:t xml:space="preserve"> reviews the strategies and MPOs for building parent capacity to participate at school and support student academics at home. </w:t>
      </w:r>
      <w:r w:rsidR="00EF59DB">
        <w:rPr>
          <w:rFonts w:ascii="Arial" w:hAnsi="Arial" w:cs="Arial"/>
        </w:rPr>
        <w:t>Subcommittee members</w:t>
      </w:r>
      <w:r w:rsidRPr="00694080">
        <w:rPr>
          <w:rFonts w:ascii="Arial" w:hAnsi="Arial" w:cs="Arial"/>
        </w:rPr>
        <w:t xml:space="preserve">, including parents, discussed the following: </w:t>
      </w:r>
    </w:p>
    <w:p w14:paraId="41F37EC5" w14:textId="77777777" w:rsidR="00AE3F3F" w:rsidRPr="00694080" w:rsidRDefault="00AE3F3F" w:rsidP="00AE3F3F">
      <w:pPr>
        <w:pStyle w:val="ListParagraph"/>
        <w:numPr>
          <w:ilvl w:val="0"/>
          <w:numId w:val="20"/>
        </w:numPr>
        <w:contextualSpacing w:val="0"/>
        <w:rPr>
          <w:rFonts w:ascii="Arial" w:hAnsi="Arial" w:cs="Arial"/>
        </w:rPr>
      </w:pPr>
      <w:r w:rsidRPr="00694080">
        <w:rPr>
          <w:rFonts w:ascii="Arial" w:hAnsi="Arial" w:cs="Arial"/>
        </w:rPr>
        <w:t>Parent training varies by region</w:t>
      </w:r>
    </w:p>
    <w:p w14:paraId="355327A7" w14:textId="77777777" w:rsidR="00AE3F3F" w:rsidRPr="00694080" w:rsidRDefault="00AE3F3F" w:rsidP="00AE3F3F">
      <w:pPr>
        <w:pStyle w:val="ListParagraph"/>
        <w:numPr>
          <w:ilvl w:val="0"/>
          <w:numId w:val="20"/>
        </w:numPr>
        <w:rPr>
          <w:rFonts w:ascii="Arial" w:hAnsi="Arial" w:cs="Arial"/>
        </w:rPr>
      </w:pPr>
      <w:r w:rsidRPr="00694080">
        <w:rPr>
          <w:rFonts w:ascii="Arial" w:hAnsi="Arial" w:cs="Arial"/>
        </w:rPr>
        <w:t>Parents do not know about MEP services</w:t>
      </w:r>
    </w:p>
    <w:p w14:paraId="52251493" w14:textId="77777777" w:rsidR="00AE3F3F" w:rsidRPr="00694080" w:rsidRDefault="00AE3F3F" w:rsidP="00AE3F3F">
      <w:pPr>
        <w:pStyle w:val="ListParagraph"/>
        <w:numPr>
          <w:ilvl w:val="0"/>
          <w:numId w:val="20"/>
        </w:numPr>
        <w:spacing w:after="240"/>
        <w:contextualSpacing w:val="0"/>
        <w:rPr>
          <w:rFonts w:ascii="Arial" w:hAnsi="Arial" w:cs="Arial"/>
        </w:rPr>
      </w:pPr>
      <w:r w:rsidRPr="00694080">
        <w:rPr>
          <w:rFonts w:ascii="Arial" w:hAnsi="Arial" w:cs="Arial"/>
        </w:rPr>
        <w:t>Parents need training on the impact of parent involvement on student achievement</w:t>
      </w:r>
    </w:p>
    <w:p w14:paraId="73931C3F" w14:textId="5CB5BC8E" w:rsidR="00AE3F3F" w:rsidRPr="00694080" w:rsidRDefault="00AE3F3F" w:rsidP="00AE3F3F">
      <w:pPr>
        <w:spacing w:after="240"/>
        <w:rPr>
          <w:rFonts w:ascii="Arial" w:hAnsi="Arial" w:cs="Arial"/>
        </w:rPr>
      </w:pPr>
      <w:r w:rsidRPr="00694080">
        <w:rPr>
          <w:rFonts w:ascii="Arial" w:hAnsi="Arial" w:cs="Arial"/>
        </w:rPr>
        <w:t xml:space="preserve">To evaluate this </w:t>
      </w:r>
      <w:r w:rsidR="00976DBD">
        <w:rPr>
          <w:rFonts w:ascii="Arial" w:hAnsi="Arial" w:cs="Arial"/>
        </w:rPr>
        <w:t>focus area</w:t>
      </w:r>
      <w:r w:rsidRPr="00694080">
        <w:rPr>
          <w:rFonts w:ascii="Arial" w:hAnsi="Arial" w:cs="Arial"/>
        </w:rPr>
        <w:t xml:space="preserve">, subgrantees will collect </w:t>
      </w:r>
      <w:r w:rsidR="006F65B6">
        <w:rPr>
          <w:rFonts w:ascii="Arial" w:hAnsi="Arial" w:cs="Arial"/>
        </w:rPr>
        <w:t xml:space="preserve">a duplicated count of </w:t>
      </w:r>
      <w:r w:rsidRPr="00694080">
        <w:rPr>
          <w:rFonts w:ascii="Arial" w:hAnsi="Arial" w:cs="Arial"/>
        </w:rPr>
        <w:t xml:space="preserve">parent participation at workshops, trainings, and regional conferences via attendance lists. </w:t>
      </w:r>
    </w:p>
    <w:p w14:paraId="6DAF9CB6" w14:textId="77777777" w:rsidR="00AE3F3F" w:rsidRPr="00694080" w:rsidRDefault="00AE3F3F" w:rsidP="00EF13B8">
      <w:pPr>
        <w:pStyle w:val="Heading6"/>
        <w:spacing w:after="120"/>
        <w:jc w:val="center"/>
        <w:rPr>
          <w:rFonts w:cs="Arial"/>
        </w:rPr>
      </w:pPr>
      <w:r w:rsidRPr="00694080">
        <w:rPr>
          <w:rFonts w:cs="Arial"/>
        </w:rPr>
        <w:lastRenderedPageBreak/>
        <w:t>GOAL AREA: Capacity to Participate/Support Student Academics</w:t>
      </w:r>
    </w:p>
    <w:p w14:paraId="051BEDD4" w14:textId="70F34BAA" w:rsidR="001C1B1E" w:rsidRDefault="001C1B1E" w:rsidP="00694080">
      <w:pPr>
        <w:pStyle w:val="Heading6"/>
        <w:spacing w:before="0"/>
      </w:pPr>
      <w:bookmarkStart w:id="68" w:name="_Toc101961122"/>
      <w:r w:rsidRPr="005E0053">
        <w:t xml:space="preserve">Table </w:t>
      </w:r>
      <w:fldSimple w:instr=" SEQ Table \* ARABIC ">
        <w:r w:rsidR="00976DBD">
          <w:rPr>
            <w:noProof/>
          </w:rPr>
          <w:t>30</w:t>
        </w:r>
      </w:fldSimple>
      <w:r w:rsidRPr="005E0053">
        <w:t xml:space="preserve">. </w:t>
      </w:r>
      <w:r w:rsidR="00EF13B8">
        <w:t>Strategies and</w:t>
      </w:r>
      <w:r w:rsidRPr="005E0053">
        <w:t xml:space="preserve"> </w:t>
      </w:r>
      <w:r w:rsidR="0036746F" w:rsidRPr="005E0053">
        <w:t>Measurable Program Objective</w:t>
      </w:r>
      <w:r w:rsidRPr="005E0053">
        <w:t xml:space="preserve"> for Building Parent Capacity</w:t>
      </w:r>
      <w:r w:rsidR="00046B4C">
        <w:t xml:space="preserve"> (Revised)</w:t>
      </w:r>
      <w:bookmarkEnd w:id="68"/>
    </w:p>
    <w:tbl>
      <w:tblPr>
        <w:tblStyle w:val="GridTable4-Accent1"/>
        <w:tblW w:w="0" w:type="auto"/>
        <w:tblLook w:val="0420" w:firstRow="1" w:lastRow="0" w:firstColumn="0" w:lastColumn="0" w:noHBand="0" w:noVBand="1"/>
        <w:tblDescription w:val="Strategies and Measurable Program Objective for Building Parent Capacity"/>
      </w:tblPr>
      <w:tblGrid>
        <w:gridCol w:w="4585"/>
        <w:gridCol w:w="4680"/>
      </w:tblGrid>
      <w:tr w:rsidR="00AE3F3F" w:rsidRPr="007D443E" w14:paraId="7F02A4EC" w14:textId="77777777" w:rsidTr="00172AE1">
        <w:trPr>
          <w:cnfStyle w:val="100000000000" w:firstRow="1" w:lastRow="0" w:firstColumn="0" w:lastColumn="0" w:oddVBand="0" w:evenVBand="0" w:oddHBand="0" w:evenHBand="0" w:firstRowFirstColumn="0" w:firstRowLastColumn="0" w:lastRowFirstColumn="0" w:lastRowLastColumn="0"/>
          <w:cantSplit/>
          <w:tblHeader/>
        </w:trPr>
        <w:tc>
          <w:tcPr>
            <w:tcW w:w="4585" w:type="dxa"/>
            <w:tcBorders>
              <w:right w:val="single" w:sz="4" w:space="0" w:color="4472C4" w:themeColor="accent5"/>
            </w:tcBorders>
            <w:shd w:val="clear" w:color="auto" w:fill="1F3864" w:themeFill="accent5" w:themeFillShade="80"/>
          </w:tcPr>
          <w:p w14:paraId="1B7F8D4C" w14:textId="77777777" w:rsidR="00AE3F3F" w:rsidRPr="007D443E" w:rsidRDefault="00AE3F3F" w:rsidP="007D443E">
            <w:pPr>
              <w:contextualSpacing/>
              <w:rPr>
                <w:rFonts w:ascii="Arial" w:hAnsi="Arial" w:cs="Arial"/>
                <w:color w:val="FFFFFF"/>
              </w:rPr>
            </w:pPr>
            <w:r w:rsidRPr="007D443E">
              <w:rPr>
                <w:rFonts w:ascii="Arial" w:hAnsi="Arial" w:cs="Arial"/>
                <w:color w:val="FFFFFF"/>
              </w:rPr>
              <w:t>Strategies</w:t>
            </w:r>
          </w:p>
        </w:tc>
        <w:tc>
          <w:tcPr>
            <w:tcW w:w="4680" w:type="dxa"/>
            <w:tcBorders>
              <w:left w:val="single" w:sz="4" w:space="0" w:color="4472C4" w:themeColor="accent5"/>
            </w:tcBorders>
            <w:shd w:val="clear" w:color="auto" w:fill="1F3864" w:themeFill="accent5" w:themeFillShade="80"/>
          </w:tcPr>
          <w:p w14:paraId="075C67B1" w14:textId="77777777" w:rsidR="00AE3F3F" w:rsidRPr="007D443E" w:rsidRDefault="00AE3F3F" w:rsidP="007D443E">
            <w:pPr>
              <w:contextualSpacing/>
              <w:rPr>
                <w:rFonts w:ascii="Arial" w:hAnsi="Arial" w:cs="Arial"/>
                <w:color w:val="FFFFFF"/>
              </w:rPr>
            </w:pPr>
            <w:r w:rsidRPr="007D443E">
              <w:rPr>
                <w:rFonts w:ascii="Arial" w:hAnsi="Arial" w:cs="Arial"/>
                <w:color w:val="FFFFFF"/>
              </w:rPr>
              <w:t>Measurable Program Objectives</w:t>
            </w:r>
          </w:p>
        </w:tc>
      </w:tr>
      <w:tr w:rsidR="00AE3F3F" w:rsidRPr="007D443E" w14:paraId="0C938BE5"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4585" w:type="dxa"/>
          </w:tcPr>
          <w:p w14:paraId="237DF7B5" w14:textId="77777777" w:rsidR="00AE3F3F" w:rsidRPr="007D443E" w:rsidRDefault="00AE3F3F" w:rsidP="007D443E">
            <w:pPr>
              <w:spacing w:after="120"/>
              <w:rPr>
                <w:rFonts w:ascii="Arial" w:hAnsi="Arial" w:cs="Arial"/>
              </w:rPr>
            </w:pPr>
            <w:r w:rsidRPr="007D443E">
              <w:rPr>
                <w:rFonts w:ascii="Arial" w:hAnsi="Arial" w:cs="Arial"/>
                <w:b/>
              </w:rPr>
              <w:t xml:space="preserve">Principle Strategy 12.0: </w:t>
            </w:r>
            <w:r w:rsidRPr="007D443E">
              <w:rPr>
                <w:rFonts w:ascii="Arial" w:hAnsi="Arial" w:cs="Arial"/>
              </w:rPr>
              <w:t>Provide appropriate resources or parent orientations on the services that the MEP offers including, but not limited to how the U.S. school system works.</w:t>
            </w:r>
          </w:p>
        </w:tc>
        <w:tc>
          <w:tcPr>
            <w:tcW w:w="4680" w:type="dxa"/>
          </w:tcPr>
          <w:p w14:paraId="3294ABE7" w14:textId="77777777" w:rsidR="00AE3F3F" w:rsidRPr="007D443E" w:rsidRDefault="00AE3F3F" w:rsidP="007D443E">
            <w:pPr>
              <w:spacing w:after="120"/>
              <w:rPr>
                <w:rFonts w:ascii="Arial" w:hAnsi="Arial" w:cs="Arial"/>
              </w:rPr>
            </w:pPr>
            <w:r w:rsidRPr="007D443E">
              <w:rPr>
                <w:rFonts w:ascii="Arial" w:hAnsi="Arial" w:cs="Arial"/>
                <w:b/>
              </w:rPr>
              <w:t xml:space="preserve">Principle Measurable Program Objective 12.0: </w:t>
            </w:r>
            <w:r w:rsidRPr="007D443E">
              <w:rPr>
                <w:rFonts w:ascii="Arial" w:hAnsi="Arial" w:cs="Arial"/>
              </w:rPr>
              <w:t>Each year, subgrantees will offer two parent orientations or provide MEP service resources to parents.</w:t>
            </w:r>
            <w:r w:rsidRPr="007D443E">
              <w:rPr>
                <w:rFonts w:ascii="Arial" w:hAnsi="Arial" w:cs="Arial"/>
                <w:vertAlign w:val="superscript"/>
              </w:rPr>
              <w:footnoteReference w:id="35"/>
            </w:r>
          </w:p>
        </w:tc>
      </w:tr>
      <w:tr w:rsidR="00AE3F3F" w:rsidRPr="007D443E" w14:paraId="7F441F30" w14:textId="77777777" w:rsidTr="00940787">
        <w:trPr>
          <w:cantSplit/>
          <w:trHeight w:val="251"/>
        </w:trPr>
        <w:tc>
          <w:tcPr>
            <w:tcW w:w="4585" w:type="dxa"/>
          </w:tcPr>
          <w:p w14:paraId="136A94E7" w14:textId="77777777" w:rsidR="00AE3F3F" w:rsidRPr="007D443E" w:rsidRDefault="00AE3F3F" w:rsidP="00AE3F3F">
            <w:pPr>
              <w:rPr>
                <w:rFonts w:ascii="Arial" w:hAnsi="Arial" w:cs="Arial"/>
              </w:rPr>
            </w:pPr>
            <w:r w:rsidRPr="007D443E">
              <w:rPr>
                <w:rFonts w:ascii="Arial" w:hAnsi="Arial" w:cs="Arial"/>
                <w:b/>
              </w:rPr>
              <w:t>Strategy 12.1</w:t>
            </w:r>
            <w:r w:rsidRPr="007D443E">
              <w:rPr>
                <w:rFonts w:ascii="Arial" w:hAnsi="Arial" w:cs="Arial"/>
                <w:b/>
                <w:vertAlign w:val="superscript"/>
              </w:rPr>
              <w:footnoteReference w:id="36"/>
            </w:r>
            <w:r w:rsidRPr="007D443E">
              <w:rPr>
                <w:rFonts w:ascii="Arial" w:hAnsi="Arial" w:cs="Arial"/>
                <w:b/>
              </w:rPr>
              <w:t xml:space="preserve">: </w:t>
            </w:r>
            <w:r w:rsidRPr="007D443E">
              <w:rPr>
                <w:rFonts w:ascii="Arial" w:hAnsi="Arial" w:cs="Arial"/>
              </w:rPr>
              <w:t>Provide a variety of workshop series for parents including:</w:t>
            </w:r>
          </w:p>
          <w:p w14:paraId="7ADF2B0B" w14:textId="77777777" w:rsidR="00AE3F3F" w:rsidRPr="007D443E" w:rsidRDefault="00AE3F3F" w:rsidP="007D443E">
            <w:pPr>
              <w:numPr>
                <w:ilvl w:val="0"/>
                <w:numId w:val="32"/>
              </w:numPr>
              <w:ind w:left="424"/>
              <w:contextualSpacing/>
              <w:rPr>
                <w:rFonts w:ascii="Arial" w:hAnsi="Arial" w:cs="Arial"/>
              </w:rPr>
            </w:pPr>
            <w:r w:rsidRPr="007D443E">
              <w:rPr>
                <w:rFonts w:ascii="Arial" w:hAnsi="Arial" w:cs="Arial"/>
              </w:rPr>
              <w:t>How the U.S. school systems works and parent and family opportunities for participation within this system</w:t>
            </w:r>
          </w:p>
          <w:p w14:paraId="5E834FFD" w14:textId="77777777" w:rsidR="00AE3F3F" w:rsidRPr="007D443E" w:rsidRDefault="00AE3F3F" w:rsidP="007D443E">
            <w:pPr>
              <w:numPr>
                <w:ilvl w:val="0"/>
                <w:numId w:val="32"/>
              </w:numPr>
              <w:ind w:left="424"/>
              <w:contextualSpacing/>
              <w:rPr>
                <w:rFonts w:ascii="Arial" w:hAnsi="Arial" w:cs="Arial"/>
              </w:rPr>
            </w:pPr>
            <w:r w:rsidRPr="007D443E">
              <w:rPr>
                <w:rFonts w:ascii="Arial" w:hAnsi="Arial" w:cs="Arial"/>
              </w:rPr>
              <w:t>Parent engagement evidence-based strategies</w:t>
            </w:r>
          </w:p>
          <w:p w14:paraId="6EA074A6" w14:textId="77777777" w:rsidR="00AE3F3F" w:rsidRPr="007D443E" w:rsidRDefault="00AE3F3F" w:rsidP="007D443E">
            <w:pPr>
              <w:numPr>
                <w:ilvl w:val="0"/>
                <w:numId w:val="32"/>
              </w:numPr>
              <w:ind w:left="424"/>
              <w:contextualSpacing/>
              <w:rPr>
                <w:rFonts w:ascii="Arial" w:hAnsi="Arial" w:cs="Arial"/>
              </w:rPr>
            </w:pPr>
            <w:r w:rsidRPr="007D443E">
              <w:rPr>
                <w:rFonts w:ascii="Arial" w:hAnsi="Arial" w:cs="Arial"/>
              </w:rPr>
              <w:t>Understanding student achievement data</w:t>
            </w:r>
          </w:p>
          <w:p w14:paraId="1CA7F90C" w14:textId="77777777" w:rsidR="00AE3F3F" w:rsidRPr="007D443E" w:rsidRDefault="00AE3F3F" w:rsidP="007D443E">
            <w:pPr>
              <w:numPr>
                <w:ilvl w:val="0"/>
                <w:numId w:val="31"/>
              </w:numPr>
              <w:ind w:left="424"/>
              <w:contextualSpacing/>
              <w:rPr>
                <w:rFonts w:ascii="Arial" w:hAnsi="Arial" w:cs="Arial"/>
              </w:rPr>
            </w:pPr>
            <w:r w:rsidRPr="007D443E">
              <w:rPr>
                <w:rFonts w:ascii="Arial" w:hAnsi="Arial" w:cs="Arial"/>
              </w:rPr>
              <w:t>Supporting your child in obtaining a high school diploma</w:t>
            </w:r>
          </w:p>
          <w:p w14:paraId="7309F4D5" w14:textId="77777777" w:rsidR="00AE3F3F" w:rsidRPr="007D443E" w:rsidRDefault="00AE3F3F" w:rsidP="007D443E">
            <w:pPr>
              <w:numPr>
                <w:ilvl w:val="0"/>
                <w:numId w:val="31"/>
              </w:numPr>
              <w:ind w:left="424"/>
              <w:contextualSpacing/>
              <w:rPr>
                <w:rFonts w:ascii="Arial" w:hAnsi="Arial" w:cs="Arial"/>
              </w:rPr>
            </w:pPr>
            <w:r w:rsidRPr="007D443E">
              <w:rPr>
                <w:rFonts w:ascii="Arial" w:hAnsi="Arial" w:cs="Arial"/>
              </w:rPr>
              <w:t>Understanding career technical education</w:t>
            </w:r>
          </w:p>
          <w:p w14:paraId="6002876A" w14:textId="77777777" w:rsidR="00AE3F3F" w:rsidRPr="007D443E" w:rsidRDefault="00AE3F3F" w:rsidP="007D443E">
            <w:pPr>
              <w:numPr>
                <w:ilvl w:val="0"/>
                <w:numId w:val="31"/>
              </w:numPr>
              <w:ind w:left="424"/>
              <w:contextualSpacing/>
              <w:rPr>
                <w:rFonts w:ascii="Arial" w:hAnsi="Arial" w:cs="Arial"/>
              </w:rPr>
            </w:pPr>
            <w:r w:rsidRPr="007D443E">
              <w:rPr>
                <w:rFonts w:ascii="Arial" w:hAnsi="Arial" w:cs="Arial"/>
              </w:rPr>
              <w:t>Learning educational vocabulary (acronyms, A-G, parent homework dictionary, educational glossary)</w:t>
            </w:r>
          </w:p>
        </w:tc>
        <w:tc>
          <w:tcPr>
            <w:tcW w:w="4680" w:type="dxa"/>
          </w:tcPr>
          <w:p w14:paraId="5C11C70C" w14:textId="77777777" w:rsidR="00AE3F3F" w:rsidRPr="007D443E" w:rsidRDefault="00AE3F3F" w:rsidP="007D443E">
            <w:pPr>
              <w:spacing w:after="120"/>
              <w:rPr>
                <w:rFonts w:ascii="Arial" w:hAnsi="Arial" w:cs="Arial"/>
              </w:rPr>
            </w:pPr>
            <w:r w:rsidRPr="007D443E">
              <w:rPr>
                <w:rFonts w:ascii="Arial" w:hAnsi="Arial" w:cs="Arial"/>
                <w:b/>
              </w:rPr>
              <w:t xml:space="preserve">Measurable Program Objective 12.1: </w:t>
            </w:r>
            <w:r w:rsidRPr="007D443E">
              <w:rPr>
                <w:rFonts w:ascii="Arial" w:hAnsi="Arial" w:cs="Arial"/>
              </w:rPr>
              <w:t>Each year, subgrantees will offer a parent workshop series (must include three of the six trainings identified in Strategy 12.1).</w:t>
            </w:r>
            <w:r w:rsidRPr="007D443E">
              <w:rPr>
                <w:rFonts w:ascii="Arial" w:hAnsi="Arial" w:cs="Arial"/>
                <w:vertAlign w:val="superscript"/>
              </w:rPr>
              <w:footnoteReference w:id="37"/>
            </w:r>
          </w:p>
          <w:p w14:paraId="310DF386" w14:textId="77777777" w:rsidR="00AE3F3F" w:rsidRPr="007D443E" w:rsidRDefault="00AE3F3F" w:rsidP="007D443E">
            <w:pPr>
              <w:spacing w:after="120"/>
              <w:rPr>
                <w:rFonts w:ascii="Arial" w:hAnsi="Arial" w:cs="Arial"/>
              </w:rPr>
            </w:pPr>
          </w:p>
        </w:tc>
      </w:tr>
    </w:tbl>
    <w:p w14:paraId="18F481E2" w14:textId="500C72D8" w:rsidR="006F65B6" w:rsidRPr="006F65B6" w:rsidRDefault="006F65B6" w:rsidP="006F65B6">
      <w:pPr>
        <w:rPr>
          <w:rFonts w:ascii="Arial" w:hAnsi="Arial" w:cs="Arial"/>
        </w:rPr>
      </w:pPr>
      <w:bookmarkStart w:id="69" w:name="_Toc504520869"/>
      <w:r w:rsidRPr="006F65B6">
        <w:rPr>
          <w:rFonts w:ascii="Arial" w:hAnsi="Arial" w:cs="Arial"/>
        </w:rPr>
        <w:t xml:space="preserve">The </w:t>
      </w:r>
      <w:r w:rsidR="0090012E">
        <w:rPr>
          <w:rFonts w:ascii="Arial" w:hAnsi="Arial" w:cs="Arial"/>
        </w:rPr>
        <w:t xml:space="preserve">revised </w:t>
      </w:r>
      <w:r>
        <w:rPr>
          <w:rFonts w:ascii="Arial" w:hAnsi="Arial" w:cs="Arial"/>
        </w:rPr>
        <w:t xml:space="preserve">performance target for Parent and Family </w:t>
      </w:r>
      <w:r w:rsidR="00E22495">
        <w:rPr>
          <w:rFonts w:ascii="Arial" w:hAnsi="Arial" w:cs="Arial"/>
        </w:rPr>
        <w:t>Engagement</w:t>
      </w:r>
      <w:r>
        <w:rPr>
          <w:rFonts w:ascii="Arial" w:hAnsi="Arial" w:cs="Arial"/>
        </w:rPr>
        <w:t xml:space="preserve"> includes the following</w:t>
      </w:r>
      <w:r w:rsidRPr="006F65B6">
        <w:rPr>
          <w:rFonts w:ascii="Arial" w:hAnsi="Arial" w:cs="Arial"/>
        </w:rPr>
        <w:t>: By July 2023, 30 percent of parents/guardians will participate in MEP parent engagement services.</w:t>
      </w:r>
    </w:p>
    <w:p w14:paraId="736D6786" w14:textId="5F3F42DA" w:rsidR="00BA5C6E" w:rsidRPr="005E0053" w:rsidRDefault="00BA5C6E" w:rsidP="006856D5">
      <w:pPr>
        <w:pStyle w:val="Heading5"/>
      </w:pPr>
      <w:r w:rsidRPr="005E0053">
        <w:t>Student Engagement</w:t>
      </w:r>
      <w:bookmarkEnd w:id="69"/>
    </w:p>
    <w:p w14:paraId="47297FE2" w14:textId="2E6FA571" w:rsidR="00AE3F3F" w:rsidRPr="00694080" w:rsidRDefault="00EF59DB" w:rsidP="00AE3F3F">
      <w:pPr>
        <w:spacing w:after="240"/>
        <w:rPr>
          <w:rFonts w:ascii="Arial" w:hAnsi="Arial" w:cs="Arial"/>
        </w:rPr>
      </w:pPr>
      <w:r>
        <w:rPr>
          <w:rFonts w:ascii="Arial" w:hAnsi="Arial" w:cs="Arial"/>
        </w:rPr>
        <w:t>The Student Engagement Committee</w:t>
      </w:r>
      <w:r w:rsidR="00AE3F3F" w:rsidRPr="00694080">
        <w:rPr>
          <w:rFonts w:ascii="Arial" w:hAnsi="Arial" w:cs="Arial"/>
        </w:rPr>
        <w:t>, especially parent</w:t>
      </w:r>
      <w:r>
        <w:rPr>
          <w:rFonts w:ascii="Arial" w:hAnsi="Arial" w:cs="Arial"/>
        </w:rPr>
        <w:t xml:space="preserve"> members</w:t>
      </w:r>
      <w:r w:rsidR="00AE3F3F" w:rsidRPr="00694080">
        <w:rPr>
          <w:rFonts w:ascii="Arial" w:hAnsi="Arial" w:cs="Arial"/>
        </w:rPr>
        <w:t xml:space="preserve">, want their children to have rich experiences in their lives to develop their sense of self- and cultural pride. By requiring strategies that include a self- and cultural pride component, we are striving to </w:t>
      </w:r>
      <w:r w:rsidR="00AE3F3F" w:rsidRPr="00694080">
        <w:rPr>
          <w:rFonts w:ascii="Arial" w:hAnsi="Arial" w:cs="Arial"/>
        </w:rPr>
        <w:lastRenderedPageBreak/>
        <w:t>improve student outcomes of pride in one’s self and culture. Subgrantees will include these components in MEP services. Table 3</w:t>
      </w:r>
      <w:r w:rsidR="00976DBD">
        <w:rPr>
          <w:rFonts w:ascii="Arial" w:hAnsi="Arial" w:cs="Arial"/>
        </w:rPr>
        <w:t>1</w:t>
      </w:r>
      <w:r w:rsidR="00AE3F3F" w:rsidRPr="00694080">
        <w:rPr>
          <w:rFonts w:ascii="Arial" w:hAnsi="Arial" w:cs="Arial"/>
        </w:rPr>
        <w:t xml:space="preserve"> reviews the strategies and MPOs for building self- and cultural pride within the migratory student population.</w:t>
      </w:r>
    </w:p>
    <w:p w14:paraId="1E1BD2DA" w14:textId="77777777" w:rsidR="00AE3F3F" w:rsidRPr="00AE3F3F" w:rsidRDefault="00AE3F3F" w:rsidP="006143B6">
      <w:pPr>
        <w:pStyle w:val="Heading6"/>
        <w:spacing w:after="120"/>
        <w:jc w:val="center"/>
      </w:pPr>
      <w:r w:rsidRPr="00AE3F3F">
        <w:t>GOAL AREA: Self- and Cultural Pride</w:t>
      </w:r>
    </w:p>
    <w:p w14:paraId="2C74AF31" w14:textId="71CF69B6" w:rsidR="001C1B1E" w:rsidRPr="005E0053" w:rsidRDefault="001C1B1E" w:rsidP="00694080">
      <w:pPr>
        <w:pStyle w:val="Heading6"/>
        <w:spacing w:before="0"/>
      </w:pPr>
      <w:bookmarkStart w:id="70" w:name="_Toc101961123"/>
      <w:r w:rsidRPr="005E0053">
        <w:t xml:space="preserve">Table </w:t>
      </w:r>
      <w:fldSimple w:instr=" SEQ Table \* ARABIC ">
        <w:r w:rsidR="00976DBD">
          <w:rPr>
            <w:noProof/>
          </w:rPr>
          <w:t>31</w:t>
        </w:r>
      </w:fldSimple>
      <w:r w:rsidRPr="005E0053">
        <w:t xml:space="preserve">. </w:t>
      </w:r>
      <w:r w:rsidR="006143B6">
        <w:t>Strategies and</w:t>
      </w:r>
      <w:r w:rsidRPr="005E0053">
        <w:t xml:space="preserve"> </w:t>
      </w:r>
      <w:r w:rsidR="007D2B04" w:rsidRPr="005E0053">
        <w:t>Measurable Program Objectives</w:t>
      </w:r>
      <w:r w:rsidRPr="005E0053">
        <w:t xml:space="preserve"> for </w:t>
      </w:r>
      <w:r w:rsidR="0051238B" w:rsidRPr="005E0053">
        <w:t>Increasing Self</w:t>
      </w:r>
      <w:r w:rsidR="0002014F" w:rsidRPr="005E0053">
        <w:t>-</w:t>
      </w:r>
      <w:r w:rsidR="0051238B" w:rsidRPr="005E0053">
        <w:t xml:space="preserve"> and Cultural Pride</w:t>
      </w:r>
      <w:r w:rsidR="00046B4C">
        <w:t xml:space="preserve"> (Revised)</w:t>
      </w:r>
      <w:bookmarkEnd w:id="70"/>
    </w:p>
    <w:tbl>
      <w:tblPr>
        <w:tblStyle w:val="GridTable4-Accent1"/>
        <w:tblW w:w="0" w:type="auto"/>
        <w:tblLook w:val="0420" w:firstRow="1" w:lastRow="0" w:firstColumn="0" w:lastColumn="0" w:noHBand="0" w:noVBand="1"/>
        <w:tblDescription w:val="Strategies and Measurable Program Objectives for Increasing Self- and Cultural Pride"/>
      </w:tblPr>
      <w:tblGrid>
        <w:gridCol w:w="3642"/>
        <w:gridCol w:w="5263"/>
      </w:tblGrid>
      <w:tr w:rsidR="00AE3F3F" w:rsidRPr="007D443E" w14:paraId="0CEE289B" w14:textId="77777777" w:rsidTr="00857299">
        <w:trPr>
          <w:cnfStyle w:val="100000000000" w:firstRow="1" w:lastRow="0" w:firstColumn="0" w:lastColumn="0" w:oddVBand="0" w:evenVBand="0" w:oddHBand="0" w:evenHBand="0" w:firstRowFirstColumn="0" w:firstRowLastColumn="0" w:lastRowFirstColumn="0" w:lastRowLastColumn="0"/>
          <w:cantSplit/>
          <w:trHeight w:val="476"/>
          <w:tblHeader/>
        </w:trPr>
        <w:tc>
          <w:tcPr>
            <w:tcW w:w="3642" w:type="dxa"/>
            <w:tcBorders>
              <w:right w:val="single" w:sz="4" w:space="0" w:color="4472C4" w:themeColor="accent5"/>
            </w:tcBorders>
            <w:shd w:val="clear" w:color="auto" w:fill="1F3864" w:themeFill="accent5" w:themeFillShade="80"/>
            <w:vAlign w:val="center"/>
          </w:tcPr>
          <w:p w14:paraId="1371B4E8" w14:textId="77777777" w:rsidR="00AE3F3F" w:rsidRPr="007D443E" w:rsidRDefault="00D531AA" w:rsidP="00857299">
            <w:pPr>
              <w:spacing w:after="120"/>
              <w:rPr>
                <w:rFonts w:ascii="Arial" w:hAnsi="Arial" w:cs="Arial"/>
                <w:color w:val="FFFFFF"/>
              </w:rPr>
            </w:pPr>
            <w:r>
              <w:rPr>
                <w:rFonts w:ascii="Arial" w:hAnsi="Arial" w:cs="Arial"/>
                <w:color w:val="FFFFFF"/>
              </w:rPr>
              <w:t>Strategies</w:t>
            </w:r>
          </w:p>
        </w:tc>
        <w:tc>
          <w:tcPr>
            <w:tcW w:w="5263" w:type="dxa"/>
            <w:tcBorders>
              <w:left w:val="single" w:sz="4" w:space="0" w:color="4472C4" w:themeColor="accent5"/>
            </w:tcBorders>
            <w:shd w:val="clear" w:color="auto" w:fill="1F3864" w:themeFill="accent5" w:themeFillShade="80"/>
            <w:vAlign w:val="center"/>
          </w:tcPr>
          <w:p w14:paraId="0C35F469" w14:textId="77777777" w:rsidR="00AE3F3F" w:rsidRPr="007D443E" w:rsidRDefault="00AE3F3F" w:rsidP="00857299">
            <w:pPr>
              <w:spacing w:after="120"/>
              <w:rPr>
                <w:rFonts w:ascii="Arial" w:hAnsi="Arial" w:cs="Arial"/>
                <w:color w:val="FFFFFF"/>
              </w:rPr>
            </w:pPr>
            <w:r w:rsidRPr="007D443E">
              <w:rPr>
                <w:rFonts w:ascii="Arial" w:hAnsi="Arial" w:cs="Arial"/>
                <w:color w:val="FFFFFF"/>
              </w:rPr>
              <w:t>Measurable Program Objective</w:t>
            </w:r>
            <w:r w:rsidR="00D531AA">
              <w:rPr>
                <w:rFonts w:ascii="Arial" w:hAnsi="Arial" w:cs="Arial"/>
                <w:color w:val="FFFFFF"/>
              </w:rPr>
              <w:t>s</w:t>
            </w:r>
            <w:r w:rsidRPr="007D443E">
              <w:rPr>
                <w:rFonts w:ascii="Arial" w:hAnsi="Arial" w:cs="Arial"/>
                <w:color w:val="FFFFFF"/>
              </w:rPr>
              <w:t xml:space="preserve"> </w:t>
            </w:r>
          </w:p>
        </w:tc>
      </w:tr>
      <w:tr w:rsidR="00AE3F3F" w:rsidRPr="007D443E" w14:paraId="51AC8E7B" w14:textId="77777777" w:rsidTr="00940787">
        <w:trPr>
          <w:cnfStyle w:val="000000100000" w:firstRow="0" w:lastRow="0" w:firstColumn="0" w:lastColumn="0" w:oddVBand="0" w:evenVBand="0" w:oddHBand="1" w:evenHBand="0" w:firstRowFirstColumn="0" w:firstRowLastColumn="0" w:lastRowFirstColumn="0" w:lastRowLastColumn="0"/>
          <w:cantSplit/>
          <w:trHeight w:val="1673"/>
        </w:trPr>
        <w:tc>
          <w:tcPr>
            <w:tcW w:w="3642" w:type="dxa"/>
          </w:tcPr>
          <w:p w14:paraId="27986839" w14:textId="77777777" w:rsidR="00AE3F3F" w:rsidRPr="007D443E" w:rsidRDefault="00AE3F3F" w:rsidP="007D443E">
            <w:pPr>
              <w:spacing w:after="120"/>
              <w:rPr>
                <w:rFonts w:ascii="Arial" w:hAnsi="Arial" w:cs="Arial"/>
              </w:rPr>
            </w:pPr>
            <w:r w:rsidRPr="007D443E">
              <w:rPr>
                <w:rFonts w:ascii="Arial" w:hAnsi="Arial" w:cs="Arial"/>
                <w:b/>
              </w:rPr>
              <w:t xml:space="preserve">Principle Strategy 13.0: </w:t>
            </w:r>
            <w:r w:rsidRPr="007D443E">
              <w:rPr>
                <w:rFonts w:ascii="Arial" w:hAnsi="Arial" w:cs="Arial"/>
              </w:rPr>
              <w:t>Services offered to migratory students need to have a cultural component</w:t>
            </w:r>
            <w:r w:rsidR="00D531AA">
              <w:rPr>
                <w:rFonts w:ascii="Arial" w:hAnsi="Arial" w:cs="Arial"/>
              </w:rPr>
              <w:t>.</w:t>
            </w:r>
          </w:p>
        </w:tc>
        <w:tc>
          <w:tcPr>
            <w:tcW w:w="5263" w:type="dxa"/>
          </w:tcPr>
          <w:p w14:paraId="1CE3291A" w14:textId="4B8F0637" w:rsidR="00AE3F3F" w:rsidRPr="007D443E" w:rsidRDefault="00AE3F3F" w:rsidP="007D443E">
            <w:pPr>
              <w:spacing w:after="120"/>
              <w:rPr>
                <w:rFonts w:ascii="Arial" w:hAnsi="Arial" w:cs="Arial"/>
              </w:rPr>
            </w:pPr>
            <w:r w:rsidRPr="007D443E">
              <w:rPr>
                <w:rFonts w:ascii="Arial" w:hAnsi="Arial" w:cs="Arial"/>
                <w:b/>
              </w:rPr>
              <w:t xml:space="preserve">Principle Measurable Program Objective 13.0: </w:t>
            </w:r>
            <w:r w:rsidRPr="007D443E">
              <w:rPr>
                <w:rFonts w:ascii="Arial" w:hAnsi="Arial" w:cs="Arial"/>
              </w:rPr>
              <w:t>Each year, 50 percent of MEP</w:t>
            </w:r>
            <w:r w:rsidR="00007ABB">
              <w:rPr>
                <w:rFonts w:ascii="Arial" w:hAnsi="Arial" w:cs="Arial"/>
              </w:rPr>
              <w:t xml:space="preserve"> instructional</w:t>
            </w:r>
            <w:r w:rsidRPr="007D443E">
              <w:rPr>
                <w:rFonts w:ascii="Arial" w:hAnsi="Arial" w:cs="Arial"/>
              </w:rPr>
              <w:t xml:space="preserve"> services</w:t>
            </w:r>
            <w:r w:rsidR="006F65B6">
              <w:rPr>
                <w:rFonts w:ascii="Arial" w:hAnsi="Arial" w:cs="Arial"/>
              </w:rPr>
              <w:t>, excluding credit accrual services,</w:t>
            </w:r>
            <w:r w:rsidRPr="007D443E">
              <w:rPr>
                <w:rFonts w:ascii="Arial" w:hAnsi="Arial" w:cs="Arial"/>
              </w:rPr>
              <w:t xml:space="preserve"> will </w:t>
            </w:r>
            <w:r w:rsidR="006F65B6">
              <w:rPr>
                <w:rFonts w:ascii="Arial" w:hAnsi="Arial" w:cs="Arial"/>
              </w:rPr>
              <w:t>include</w:t>
            </w:r>
            <w:r w:rsidR="006F65B6" w:rsidRPr="007D443E">
              <w:rPr>
                <w:rFonts w:ascii="Arial" w:hAnsi="Arial" w:cs="Arial"/>
              </w:rPr>
              <w:t xml:space="preserve"> </w:t>
            </w:r>
            <w:r w:rsidRPr="007D443E">
              <w:rPr>
                <w:rFonts w:ascii="Arial" w:hAnsi="Arial" w:cs="Arial"/>
              </w:rPr>
              <w:t>a cultural component</w:t>
            </w:r>
            <w:r w:rsidR="006F65B6">
              <w:rPr>
                <w:rFonts w:ascii="Arial" w:hAnsi="Arial" w:cs="Arial"/>
              </w:rPr>
              <w:t>/culturally and linguistically responsive teaching (CLRT)</w:t>
            </w:r>
            <w:r w:rsidRPr="007D443E">
              <w:rPr>
                <w:rFonts w:ascii="Arial" w:hAnsi="Arial" w:cs="Arial"/>
              </w:rPr>
              <w:t xml:space="preserve"> whether it be through </w:t>
            </w:r>
            <w:r w:rsidR="006F65B6">
              <w:rPr>
                <w:rFonts w:ascii="Arial" w:hAnsi="Arial" w:cs="Arial"/>
              </w:rPr>
              <w:t xml:space="preserve">instructional </w:t>
            </w:r>
            <w:r w:rsidRPr="007D443E">
              <w:rPr>
                <w:rFonts w:ascii="Arial" w:hAnsi="Arial" w:cs="Arial"/>
              </w:rPr>
              <w:t>services or workshops (e.g., use examples of students’ cultural history, literature, art,</w:t>
            </w:r>
            <w:r w:rsidR="00007ABB">
              <w:rPr>
                <w:rFonts w:ascii="Arial" w:hAnsi="Arial" w:cs="Arial"/>
              </w:rPr>
              <w:t xml:space="preserve"> </w:t>
            </w:r>
            <w:r w:rsidRPr="007D443E">
              <w:rPr>
                <w:rFonts w:ascii="Arial" w:hAnsi="Arial" w:cs="Arial"/>
              </w:rPr>
              <w:t>etc.).</w:t>
            </w:r>
          </w:p>
        </w:tc>
      </w:tr>
      <w:tr w:rsidR="00AE3F3F" w:rsidRPr="007D443E" w14:paraId="63514E05" w14:textId="77777777" w:rsidTr="00940787">
        <w:trPr>
          <w:cantSplit/>
        </w:trPr>
        <w:tc>
          <w:tcPr>
            <w:tcW w:w="3642" w:type="dxa"/>
          </w:tcPr>
          <w:p w14:paraId="63E2DBD3" w14:textId="77777777" w:rsidR="00AE3F3F" w:rsidRPr="007D443E" w:rsidRDefault="00AE3F3F" w:rsidP="007D443E">
            <w:pPr>
              <w:spacing w:after="120"/>
              <w:rPr>
                <w:rFonts w:ascii="Arial" w:hAnsi="Arial" w:cs="Arial"/>
              </w:rPr>
            </w:pPr>
            <w:r w:rsidRPr="007D443E">
              <w:rPr>
                <w:rFonts w:ascii="Arial" w:hAnsi="Arial" w:cs="Arial"/>
                <w:b/>
              </w:rPr>
              <w:t xml:space="preserve">Strategy 13.1: </w:t>
            </w:r>
            <w:r w:rsidRPr="007D443E">
              <w:rPr>
                <w:rFonts w:ascii="Arial" w:hAnsi="Arial" w:cs="Arial"/>
              </w:rPr>
              <w:t xml:space="preserve">Increase student engagement by incorporating activities into services that build migratory students’ self-pride (e.g., confidence, self-worth, etc.). </w:t>
            </w:r>
          </w:p>
        </w:tc>
        <w:tc>
          <w:tcPr>
            <w:tcW w:w="5263" w:type="dxa"/>
          </w:tcPr>
          <w:p w14:paraId="11181103" w14:textId="22287D26" w:rsidR="00AE3F3F" w:rsidRPr="007D443E" w:rsidRDefault="00AE3F3F" w:rsidP="007D443E">
            <w:pPr>
              <w:spacing w:after="120"/>
              <w:rPr>
                <w:rFonts w:ascii="Arial" w:hAnsi="Arial" w:cs="Arial"/>
              </w:rPr>
            </w:pPr>
            <w:r w:rsidRPr="007D443E">
              <w:rPr>
                <w:rFonts w:ascii="Arial" w:hAnsi="Arial" w:cs="Arial"/>
                <w:b/>
              </w:rPr>
              <w:t xml:space="preserve">Measurable Program Objective 13.1: </w:t>
            </w:r>
            <w:r w:rsidRPr="007D443E">
              <w:rPr>
                <w:rFonts w:ascii="Arial" w:hAnsi="Arial" w:cs="Arial"/>
              </w:rPr>
              <w:t xml:space="preserve">Each year, 25 percent of MEP </w:t>
            </w:r>
            <w:r w:rsidR="00007ABB">
              <w:rPr>
                <w:rFonts w:ascii="Arial" w:hAnsi="Arial" w:cs="Arial"/>
              </w:rPr>
              <w:t xml:space="preserve">instructional </w:t>
            </w:r>
            <w:r w:rsidRPr="007D443E">
              <w:rPr>
                <w:rFonts w:ascii="Arial" w:hAnsi="Arial" w:cs="Arial"/>
              </w:rPr>
              <w:t>services</w:t>
            </w:r>
            <w:r w:rsidR="006F65B6">
              <w:rPr>
                <w:rFonts w:ascii="Arial" w:hAnsi="Arial" w:cs="Arial"/>
              </w:rPr>
              <w:t>, excluding credit accrual services,</w:t>
            </w:r>
            <w:r w:rsidRPr="007D443E">
              <w:rPr>
                <w:rFonts w:ascii="Arial" w:hAnsi="Arial" w:cs="Arial"/>
              </w:rPr>
              <w:t xml:space="preserve"> will include time dedicated to building student self-pride.</w:t>
            </w:r>
          </w:p>
        </w:tc>
      </w:tr>
      <w:tr w:rsidR="00AE3F3F" w:rsidRPr="007D443E" w14:paraId="0880F66E" w14:textId="77777777" w:rsidTr="00940787">
        <w:trPr>
          <w:cnfStyle w:val="000000100000" w:firstRow="0" w:lastRow="0" w:firstColumn="0" w:lastColumn="0" w:oddVBand="0" w:evenVBand="0" w:oddHBand="1" w:evenHBand="0" w:firstRowFirstColumn="0" w:firstRowLastColumn="0" w:lastRowFirstColumn="0" w:lastRowLastColumn="0"/>
          <w:cantSplit/>
          <w:trHeight w:val="251"/>
        </w:trPr>
        <w:tc>
          <w:tcPr>
            <w:tcW w:w="3642" w:type="dxa"/>
          </w:tcPr>
          <w:p w14:paraId="412AFCEB" w14:textId="77777777" w:rsidR="00AE3F3F" w:rsidRPr="007D443E" w:rsidRDefault="00AE3F3F" w:rsidP="007D443E">
            <w:pPr>
              <w:spacing w:after="120"/>
              <w:rPr>
                <w:rFonts w:ascii="Arial" w:hAnsi="Arial" w:cs="Arial"/>
              </w:rPr>
            </w:pPr>
            <w:r w:rsidRPr="007D443E">
              <w:rPr>
                <w:rFonts w:ascii="Arial" w:hAnsi="Arial" w:cs="Arial"/>
                <w:b/>
              </w:rPr>
              <w:t xml:space="preserve">Strategy 13.2: </w:t>
            </w:r>
            <w:r w:rsidRPr="007D443E">
              <w:rPr>
                <w:rFonts w:ascii="Arial" w:hAnsi="Arial" w:cs="Arial"/>
              </w:rPr>
              <w:t>Provide professional development to staff on cultural competency.</w:t>
            </w:r>
          </w:p>
        </w:tc>
        <w:tc>
          <w:tcPr>
            <w:tcW w:w="5263" w:type="dxa"/>
          </w:tcPr>
          <w:p w14:paraId="29359AD0" w14:textId="386DA550" w:rsidR="00AE3F3F" w:rsidRPr="007D443E" w:rsidRDefault="00AE3F3F" w:rsidP="007D443E">
            <w:pPr>
              <w:spacing w:after="120"/>
              <w:rPr>
                <w:rFonts w:ascii="Arial" w:hAnsi="Arial" w:cs="Arial"/>
              </w:rPr>
            </w:pPr>
            <w:r w:rsidRPr="007D443E">
              <w:rPr>
                <w:rFonts w:ascii="Arial" w:hAnsi="Arial" w:cs="Arial"/>
                <w:b/>
              </w:rPr>
              <w:t>Measurable Program Objective 13.2</w:t>
            </w:r>
            <w:r w:rsidR="0090012E">
              <w:rPr>
                <w:rFonts w:ascii="Arial" w:hAnsi="Arial" w:cs="Arial"/>
                <w:b/>
              </w:rPr>
              <w:t xml:space="preserve"> (Revised)</w:t>
            </w:r>
            <w:r w:rsidRPr="007D443E">
              <w:rPr>
                <w:rFonts w:ascii="Arial" w:hAnsi="Arial" w:cs="Arial"/>
                <w:b/>
              </w:rPr>
              <w:t xml:space="preserve">: </w:t>
            </w:r>
            <w:r w:rsidRPr="007D443E">
              <w:rPr>
                <w:rFonts w:ascii="Arial" w:hAnsi="Arial" w:cs="Arial"/>
              </w:rPr>
              <w:t xml:space="preserve">Each year, MEPs will offer </w:t>
            </w:r>
            <w:r w:rsidR="006F65B6">
              <w:rPr>
                <w:rFonts w:ascii="Arial" w:hAnsi="Arial" w:cs="Arial"/>
              </w:rPr>
              <w:t>one training on</w:t>
            </w:r>
            <w:r w:rsidRPr="007D443E">
              <w:rPr>
                <w:rFonts w:ascii="Arial" w:hAnsi="Arial" w:cs="Arial"/>
              </w:rPr>
              <w:t xml:space="preserve"> cultural competency</w:t>
            </w:r>
            <w:r w:rsidR="006F65B6">
              <w:rPr>
                <w:rFonts w:ascii="Arial" w:hAnsi="Arial" w:cs="Arial"/>
              </w:rPr>
              <w:t>/CLRT</w:t>
            </w:r>
            <w:r w:rsidRPr="007D443E">
              <w:rPr>
                <w:rFonts w:ascii="Arial" w:hAnsi="Arial" w:cs="Arial"/>
              </w:rPr>
              <w:t>.</w:t>
            </w:r>
            <w:r w:rsidRPr="007D443E">
              <w:rPr>
                <w:rFonts w:ascii="Arial" w:hAnsi="Arial" w:cs="Arial"/>
                <w:vertAlign w:val="superscript"/>
              </w:rPr>
              <w:footnoteReference w:id="38"/>
            </w:r>
            <w:r w:rsidRPr="007D443E">
              <w:rPr>
                <w:rFonts w:ascii="Arial" w:hAnsi="Arial" w:cs="Arial"/>
              </w:rPr>
              <w:t xml:space="preserve"> </w:t>
            </w:r>
            <w:r w:rsidR="006F65B6">
              <w:rPr>
                <w:rFonts w:ascii="Arial" w:hAnsi="Arial" w:cs="Arial"/>
              </w:rPr>
              <w:t>CLRT should also be weaved into the PDs for writing, math, and other PDs as appropriate.</w:t>
            </w:r>
          </w:p>
        </w:tc>
      </w:tr>
    </w:tbl>
    <w:p w14:paraId="567A9DC5" w14:textId="32814336" w:rsidR="00AE3F3F" w:rsidRPr="00694080" w:rsidRDefault="00AE3F3F" w:rsidP="006143B6">
      <w:pPr>
        <w:spacing w:before="120" w:after="160" w:line="259" w:lineRule="auto"/>
        <w:rPr>
          <w:rFonts w:ascii="Arial" w:hAnsi="Arial" w:cs="Arial"/>
        </w:rPr>
        <w:sectPr w:rsidR="00AE3F3F" w:rsidRPr="00694080" w:rsidSect="007A4B1E">
          <w:pgSz w:w="12240" w:h="15840"/>
          <w:pgMar w:top="1440" w:right="1440" w:bottom="1674" w:left="1440" w:header="720" w:footer="720" w:gutter="0"/>
          <w:cols w:space="720"/>
          <w:titlePg/>
          <w:docGrid w:linePitch="360"/>
        </w:sectPr>
      </w:pPr>
      <w:r w:rsidRPr="00694080">
        <w:rPr>
          <w:rFonts w:ascii="Arial" w:hAnsi="Arial" w:cs="Arial"/>
        </w:rPr>
        <w:t xml:space="preserve">The </w:t>
      </w:r>
      <w:r w:rsidR="0090012E">
        <w:rPr>
          <w:rFonts w:ascii="Arial" w:hAnsi="Arial" w:cs="Arial"/>
        </w:rPr>
        <w:t xml:space="preserve">revised </w:t>
      </w:r>
      <w:r w:rsidR="008E78C6">
        <w:rPr>
          <w:rFonts w:ascii="Arial" w:hAnsi="Arial" w:cs="Arial"/>
        </w:rPr>
        <w:t xml:space="preserve">(2022) </w:t>
      </w:r>
      <w:r w:rsidRPr="00694080">
        <w:rPr>
          <w:rFonts w:ascii="Arial" w:hAnsi="Arial" w:cs="Arial"/>
        </w:rPr>
        <w:t xml:space="preserve">performance target for Student Engagement: </w:t>
      </w:r>
      <w:r w:rsidR="006F65B6" w:rsidRPr="00E22495">
        <w:rPr>
          <w:rFonts w:ascii="Arial" w:hAnsi="Arial" w:cs="Arial"/>
        </w:rPr>
        <w:t>By July 2023, 78 percent of students will attend at least one service with the cultural and self-pride components.</w:t>
      </w:r>
    </w:p>
    <w:p w14:paraId="3903772B" w14:textId="77777777" w:rsidR="004F6691" w:rsidRPr="005E0053" w:rsidRDefault="00ED68F8" w:rsidP="00127E07">
      <w:pPr>
        <w:pStyle w:val="Heading5"/>
      </w:pPr>
      <w:bookmarkStart w:id="71" w:name="_Toc504520870"/>
      <w:r w:rsidRPr="005E0053">
        <w:lastRenderedPageBreak/>
        <w:t>Annual Performance Review Plan</w:t>
      </w:r>
      <w:bookmarkEnd w:id="71"/>
    </w:p>
    <w:p w14:paraId="54FF75FA" w14:textId="300927D0" w:rsidR="00EA493F" w:rsidRDefault="00714D66" w:rsidP="006856D5">
      <w:pPr>
        <w:pStyle w:val="Heading6"/>
      </w:pPr>
      <w:bookmarkStart w:id="72" w:name="_Toc101961124"/>
      <w:r w:rsidRPr="005E0053">
        <w:t xml:space="preserve">Table </w:t>
      </w:r>
      <w:fldSimple w:instr=" SEQ Table \* ARABIC ">
        <w:r w:rsidR="00976DBD">
          <w:rPr>
            <w:noProof/>
          </w:rPr>
          <w:t>32</w:t>
        </w:r>
      </w:fldSimple>
      <w:r w:rsidRPr="005E0053">
        <w:t xml:space="preserve">. Sub Questions, Data Sources, Collection Methods, and Indicators for the </w:t>
      </w:r>
      <w:r w:rsidR="00EF750E" w:rsidRPr="005E0053">
        <w:t>Performance Targets</w:t>
      </w:r>
      <w:bookmarkEnd w:id="72"/>
    </w:p>
    <w:p w14:paraId="675DCAFD" w14:textId="77777777" w:rsidR="00E44DDD" w:rsidRPr="00127E07" w:rsidRDefault="00E44DDD" w:rsidP="00C66062">
      <w:pPr>
        <w:numPr>
          <w:ilvl w:val="6"/>
          <w:numId w:val="18"/>
        </w:numPr>
        <w:spacing w:before="120"/>
        <w:ind w:left="360"/>
        <w:rPr>
          <w:rFonts w:ascii="Arial" w:eastAsia="Times New Roman" w:hAnsi="Arial" w:cs="Arial"/>
          <w:bCs/>
        </w:rPr>
      </w:pPr>
      <w:r w:rsidRPr="009206CE">
        <w:rPr>
          <w:rFonts w:ascii="Arial" w:eastAsia="Times New Roman" w:hAnsi="Arial" w:cs="Arial"/>
          <w:b/>
          <w:bCs/>
        </w:rPr>
        <w:t>ELA:</w:t>
      </w:r>
      <w:r w:rsidRPr="00127E07">
        <w:rPr>
          <w:rFonts w:ascii="Arial" w:eastAsia="Times New Roman" w:hAnsi="Arial" w:cs="Arial"/>
          <w:bCs/>
        </w:rPr>
        <w:t xml:space="preserve"> Are the ELA skills of migratory students improving?</w:t>
      </w:r>
    </w:p>
    <w:p w14:paraId="14413D94" w14:textId="77777777" w:rsidR="00E44DDD" w:rsidRPr="00127E07" w:rsidRDefault="00E44DDD" w:rsidP="00C66062">
      <w:pPr>
        <w:ind w:left="360"/>
      </w:pPr>
      <w:r w:rsidRPr="009206CE">
        <w:rPr>
          <w:rFonts w:ascii="Arial" w:hAnsi="Arial" w:cs="Arial"/>
          <w:b/>
        </w:rPr>
        <w:t>Performance Target (PT):</w:t>
      </w:r>
      <w:r w:rsidRPr="00127E07">
        <w:rPr>
          <w:rFonts w:ascii="Arial" w:hAnsi="Arial" w:cs="Arial"/>
        </w:rPr>
        <w:t xml:space="preserve"> By 2021, migratory students scoring at Level 3 – Standard Met and Level 4 – Standard Exceeded on overall ELA achievement will increase by 12.5 percent.</w:t>
      </w:r>
    </w:p>
    <w:tbl>
      <w:tblPr>
        <w:tblStyle w:val="GridTable4-Accent1"/>
        <w:tblW w:w="13579" w:type="dxa"/>
        <w:tblLook w:val="0420" w:firstRow="1" w:lastRow="0" w:firstColumn="0" w:lastColumn="0" w:noHBand="0" w:noVBand="1"/>
        <w:tblDescription w:val="Sub Questions, Data Sources, Collection Methods, and Indicators for the Performance Targets"/>
      </w:tblPr>
      <w:tblGrid>
        <w:gridCol w:w="3399"/>
        <w:gridCol w:w="1819"/>
        <w:gridCol w:w="3759"/>
        <w:gridCol w:w="4602"/>
      </w:tblGrid>
      <w:tr w:rsidR="00E44DDD" w:rsidRPr="00C4385F" w14:paraId="7A9FC2AE"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3399" w:type="dxa"/>
            <w:tcBorders>
              <w:right w:val="single" w:sz="4" w:space="0" w:color="4472C4" w:themeColor="accent5"/>
            </w:tcBorders>
            <w:shd w:val="clear" w:color="auto" w:fill="1F3864" w:themeFill="accent5" w:themeFillShade="80"/>
            <w:vAlign w:val="center"/>
          </w:tcPr>
          <w:p w14:paraId="25E41F4C" w14:textId="77777777" w:rsidR="00EA493F" w:rsidRPr="00C4385F" w:rsidRDefault="00EA493F" w:rsidP="00E53F38">
            <w:pPr>
              <w:jc w:val="center"/>
              <w:rPr>
                <w:rFonts w:ascii="Arial" w:hAnsi="Arial" w:cs="Arial"/>
                <w:b w:val="0"/>
                <w:color w:val="FFFFFF"/>
              </w:rPr>
            </w:pPr>
            <w:r w:rsidRPr="00C4385F">
              <w:rPr>
                <w:rFonts w:ascii="Arial" w:hAnsi="Arial" w:cs="Arial"/>
                <w:color w:val="FFFFFF"/>
              </w:rPr>
              <w:t>Sub Questions</w:t>
            </w:r>
          </w:p>
          <w:p w14:paraId="3B9179DB" w14:textId="77777777" w:rsidR="00EA493F" w:rsidRPr="00C4385F" w:rsidRDefault="00EA493F" w:rsidP="00E53F38">
            <w:pPr>
              <w:jc w:val="center"/>
              <w:rPr>
                <w:rFonts w:ascii="Arial" w:hAnsi="Arial" w:cs="Arial"/>
                <w:b w:val="0"/>
                <w:color w:val="FFFFFF"/>
              </w:rPr>
            </w:pPr>
            <w:r w:rsidRPr="00C4385F">
              <w:rPr>
                <w:rFonts w:ascii="Arial" w:hAnsi="Arial" w:cs="Arial"/>
                <w:color w:val="FFFFFF"/>
              </w:rPr>
              <w:t>These questions articulate the main issues that wil</w:t>
            </w:r>
            <w:r w:rsidR="00862AE4" w:rsidRPr="00C4385F">
              <w:rPr>
                <w:rFonts w:ascii="Arial" w:hAnsi="Arial" w:cs="Arial"/>
                <w:color w:val="FFFFFF"/>
              </w:rPr>
              <w:t>l be addressed in the review</w:t>
            </w:r>
            <w:r w:rsidR="000E5486" w:rsidRPr="00C4385F">
              <w:rPr>
                <w:rFonts w:ascii="Arial" w:hAnsi="Arial" w:cs="Arial"/>
                <w:color w:val="FFFFFF"/>
              </w:rPr>
              <w:t>.</w:t>
            </w:r>
          </w:p>
        </w:tc>
        <w:tc>
          <w:tcPr>
            <w:tcW w:w="1819" w:type="dxa"/>
            <w:tcBorders>
              <w:left w:val="single" w:sz="4" w:space="0" w:color="4472C4" w:themeColor="accent5"/>
              <w:right w:val="single" w:sz="4" w:space="0" w:color="4472C4" w:themeColor="accent5"/>
            </w:tcBorders>
            <w:shd w:val="clear" w:color="auto" w:fill="1F3864" w:themeFill="accent5" w:themeFillShade="80"/>
            <w:vAlign w:val="center"/>
          </w:tcPr>
          <w:p w14:paraId="337FE7CA" w14:textId="2A3246C5" w:rsidR="00EA493F" w:rsidRPr="00C4385F" w:rsidRDefault="00EA493F" w:rsidP="00E53F38">
            <w:pPr>
              <w:jc w:val="center"/>
              <w:rPr>
                <w:rFonts w:ascii="Arial" w:hAnsi="Arial" w:cs="Arial"/>
                <w:b w:val="0"/>
                <w:color w:val="FFFFFF"/>
              </w:rPr>
            </w:pPr>
            <w:r w:rsidRPr="00C4385F">
              <w:rPr>
                <w:rFonts w:ascii="Arial" w:hAnsi="Arial" w:cs="Arial"/>
                <w:color w:val="FFFFFF"/>
              </w:rPr>
              <w:t>Data Sources</w:t>
            </w:r>
          </w:p>
        </w:tc>
        <w:tc>
          <w:tcPr>
            <w:tcW w:w="3759" w:type="dxa"/>
            <w:tcBorders>
              <w:left w:val="single" w:sz="4" w:space="0" w:color="4472C4" w:themeColor="accent5"/>
              <w:right w:val="single" w:sz="4" w:space="0" w:color="4472C4" w:themeColor="accent5"/>
            </w:tcBorders>
            <w:shd w:val="clear" w:color="auto" w:fill="1F3864" w:themeFill="accent5" w:themeFillShade="80"/>
            <w:vAlign w:val="center"/>
          </w:tcPr>
          <w:p w14:paraId="4CEC0401" w14:textId="77777777" w:rsidR="00EA493F" w:rsidRPr="00C4385F" w:rsidRDefault="00EA493F" w:rsidP="00E53F38">
            <w:pPr>
              <w:jc w:val="center"/>
              <w:rPr>
                <w:rFonts w:ascii="Arial" w:hAnsi="Arial" w:cs="Arial"/>
                <w:b w:val="0"/>
                <w:color w:val="FFFFFF"/>
              </w:rPr>
            </w:pPr>
            <w:r w:rsidRPr="00C4385F">
              <w:rPr>
                <w:rFonts w:ascii="Arial" w:hAnsi="Arial" w:cs="Arial"/>
                <w:color w:val="FFFFFF"/>
              </w:rPr>
              <w:t>Data Collection Method</w:t>
            </w:r>
          </w:p>
          <w:p w14:paraId="1562691E" w14:textId="77777777" w:rsidR="00EA493F" w:rsidRPr="00C4385F" w:rsidRDefault="00EA493F" w:rsidP="00E53F38">
            <w:pPr>
              <w:jc w:val="center"/>
              <w:rPr>
                <w:rFonts w:ascii="Arial" w:hAnsi="Arial" w:cs="Arial"/>
                <w:b w:val="0"/>
                <w:color w:val="FFFFFF"/>
              </w:rPr>
            </w:pPr>
            <w:r w:rsidRPr="00C4385F">
              <w:rPr>
                <w:rFonts w:ascii="Arial" w:hAnsi="Arial" w:cs="Arial"/>
                <w:color w:val="FFFFFF"/>
              </w:rPr>
              <w:t>This is the method or tool we will use to collect the</w:t>
            </w:r>
            <w:r w:rsidR="000311FD" w:rsidRPr="00C4385F">
              <w:rPr>
                <w:rFonts w:ascii="Arial" w:hAnsi="Arial" w:cs="Arial"/>
                <w:color w:val="FFFFFF"/>
              </w:rPr>
              <w:t>se</w:t>
            </w:r>
            <w:r w:rsidRPr="00C4385F">
              <w:rPr>
                <w:rFonts w:ascii="Arial" w:hAnsi="Arial" w:cs="Arial"/>
                <w:color w:val="FFFFFF"/>
              </w:rPr>
              <w:t xml:space="preserve"> data.</w:t>
            </w:r>
          </w:p>
        </w:tc>
        <w:tc>
          <w:tcPr>
            <w:tcW w:w="4602" w:type="dxa"/>
            <w:tcBorders>
              <w:left w:val="single" w:sz="4" w:space="0" w:color="4472C4" w:themeColor="accent5"/>
            </w:tcBorders>
            <w:shd w:val="clear" w:color="auto" w:fill="1F3864" w:themeFill="accent5" w:themeFillShade="80"/>
            <w:vAlign w:val="center"/>
          </w:tcPr>
          <w:p w14:paraId="7B6753B3" w14:textId="420DE5B6" w:rsidR="00EA493F" w:rsidRPr="00C4385F" w:rsidRDefault="00EA493F" w:rsidP="00E53F38">
            <w:pPr>
              <w:jc w:val="center"/>
              <w:rPr>
                <w:rFonts w:ascii="Arial" w:hAnsi="Arial" w:cs="Arial"/>
                <w:b w:val="0"/>
                <w:color w:val="FFFFFF"/>
              </w:rPr>
            </w:pPr>
            <w:r w:rsidRPr="00C4385F">
              <w:rPr>
                <w:rFonts w:ascii="Arial" w:hAnsi="Arial" w:cs="Arial"/>
                <w:color w:val="FFFFFF"/>
              </w:rPr>
              <w:t>Indicators</w:t>
            </w:r>
          </w:p>
          <w:p w14:paraId="4602F5E2" w14:textId="77777777" w:rsidR="00EA493F" w:rsidRPr="00C4385F" w:rsidRDefault="00EA493F" w:rsidP="00E53F38">
            <w:pPr>
              <w:jc w:val="center"/>
              <w:rPr>
                <w:rFonts w:ascii="Arial" w:hAnsi="Arial" w:cs="Arial"/>
                <w:b w:val="0"/>
                <w:color w:val="FFFFFF"/>
              </w:rPr>
            </w:pPr>
            <w:r w:rsidRPr="00C4385F">
              <w:rPr>
                <w:rFonts w:ascii="Arial" w:hAnsi="Arial" w:cs="Arial"/>
                <w:color w:val="FFFFFF"/>
              </w:rPr>
              <w:t>These</w:t>
            </w:r>
            <w:r w:rsidR="000E5486" w:rsidRPr="00C4385F">
              <w:rPr>
                <w:rFonts w:ascii="Arial" w:hAnsi="Arial" w:cs="Arial"/>
                <w:color w:val="FFFFFF"/>
              </w:rPr>
              <w:t xml:space="preserve"> define the evidence we collect—</w:t>
            </w:r>
            <w:r w:rsidRPr="00C4385F">
              <w:rPr>
                <w:rFonts w:ascii="Arial" w:hAnsi="Arial" w:cs="Arial"/>
                <w:color w:val="FFFFFF"/>
              </w:rPr>
              <w:t>they are measures that monitor progress and if things are changing the way we anticipated. They are specific, observable</w:t>
            </w:r>
            <w:r w:rsidR="000311FD" w:rsidRPr="00C4385F">
              <w:rPr>
                <w:rFonts w:ascii="Arial" w:hAnsi="Arial" w:cs="Arial"/>
                <w:color w:val="FFFFFF"/>
              </w:rPr>
              <w:t>,</w:t>
            </w:r>
            <w:r w:rsidRPr="00C4385F">
              <w:rPr>
                <w:rFonts w:ascii="Arial" w:hAnsi="Arial" w:cs="Arial"/>
                <w:color w:val="FFFFFF"/>
              </w:rPr>
              <w:t xml:space="preserve"> and measurable.</w:t>
            </w:r>
          </w:p>
        </w:tc>
      </w:tr>
      <w:tr w:rsidR="00EA493F" w:rsidRPr="00E44DDD" w14:paraId="0D715BBC" w14:textId="77777777" w:rsidTr="00940787">
        <w:trPr>
          <w:cnfStyle w:val="000000100000" w:firstRow="0" w:lastRow="0" w:firstColumn="0" w:lastColumn="0" w:oddVBand="0" w:evenVBand="0" w:oddHBand="1" w:evenHBand="0" w:firstRowFirstColumn="0" w:firstRowLastColumn="0" w:lastRowFirstColumn="0" w:lastRowLastColumn="0"/>
          <w:cantSplit/>
          <w:trHeight w:val="1070"/>
        </w:trPr>
        <w:tc>
          <w:tcPr>
            <w:tcW w:w="3399" w:type="dxa"/>
          </w:tcPr>
          <w:p w14:paraId="5DFC7669" w14:textId="77777777" w:rsidR="00EA493F" w:rsidRPr="00E44DDD" w:rsidRDefault="00EA493F" w:rsidP="007D443E">
            <w:pPr>
              <w:pStyle w:val="ListParagraph"/>
              <w:numPr>
                <w:ilvl w:val="0"/>
                <w:numId w:val="54"/>
              </w:numPr>
              <w:ind w:left="337"/>
              <w:rPr>
                <w:rFonts w:ascii="Arial" w:eastAsia="Times New Roman" w:hAnsi="Arial" w:cs="Arial"/>
                <w:color w:val="000000"/>
              </w:rPr>
            </w:pPr>
            <w:r w:rsidRPr="00E44DDD">
              <w:rPr>
                <w:rFonts w:ascii="Arial" w:eastAsia="Times New Roman" w:hAnsi="Arial" w:cs="Arial"/>
                <w:color w:val="000000"/>
              </w:rPr>
              <w:t xml:space="preserve">What </w:t>
            </w:r>
            <w:r w:rsidR="001745B0" w:rsidRPr="00E44DDD">
              <w:rPr>
                <w:rFonts w:ascii="Arial" w:eastAsia="Times New Roman" w:hAnsi="Arial" w:cs="Arial"/>
                <w:color w:val="000000"/>
              </w:rPr>
              <w:t>percent of migratory s</w:t>
            </w:r>
            <w:r w:rsidR="00DA313D" w:rsidRPr="00E44DDD">
              <w:rPr>
                <w:rFonts w:ascii="Arial" w:eastAsia="Times New Roman" w:hAnsi="Arial" w:cs="Arial"/>
                <w:color w:val="000000"/>
              </w:rPr>
              <w:t>tudents are meetin</w:t>
            </w:r>
            <w:r w:rsidR="000311FD" w:rsidRPr="00E44DDD">
              <w:rPr>
                <w:rFonts w:ascii="Arial" w:eastAsia="Times New Roman" w:hAnsi="Arial" w:cs="Arial"/>
                <w:color w:val="000000"/>
              </w:rPr>
              <w:t>g or exceeding the overall ELA a</w:t>
            </w:r>
            <w:r w:rsidR="00DA313D" w:rsidRPr="00E44DDD">
              <w:rPr>
                <w:rFonts w:ascii="Arial" w:eastAsia="Times New Roman" w:hAnsi="Arial" w:cs="Arial"/>
                <w:color w:val="000000"/>
              </w:rPr>
              <w:t>chievement standard</w:t>
            </w:r>
            <w:r w:rsidRPr="00E44DDD">
              <w:rPr>
                <w:rFonts w:ascii="Arial" w:eastAsia="Times New Roman" w:hAnsi="Arial" w:cs="Arial"/>
                <w:color w:val="000000"/>
              </w:rPr>
              <w:t>?</w:t>
            </w:r>
          </w:p>
        </w:tc>
        <w:tc>
          <w:tcPr>
            <w:tcW w:w="1819" w:type="dxa"/>
          </w:tcPr>
          <w:p w14:paraId="395774E2" w14:textId="77777777" w:rsidR="00EA493F" w:rsidRPr="00E44DDD" w:rsidRDefault="00EA493F" w:rsidP="007D443E">
            <w:pPr>
              <w:pStyle w:val="ListParagraph"/>
              <w:numPr>
                <w:ilvl w:val="0"/>
                <w:numId w:val="33"/>
              </w:numPr>
              <w:ind w:left="165" w:hanging="165"/>
              <w:rPr>
                <w:rFonts w:ascii="Arial" w:hAnsi="Arial" w:cs="Arial"/>
              </w:rPr>
            </w:pPr>
            <w:r w:rsidRPr="00E44DDD">
              <w:rPr>
                <w:rFonts w:ascii="Arial" w:hAnsi="Arial" w:cs="Arial"/>
              </w:rPr>
              <w:t>statewide assessments</w:t>
            </w:r>
          </w:p>
        </w:tc>
        <w:tc>
          <w:tcPr>
            <w:tcW w:w="3759" w:type="dxa"/>
          </w:tcPr>
          <w:p w14:paraId="6B2BDAAA" w14:textId="77777777" w:rsidR="00F1584A" w:rsidRPr="00127E07" w:rsidRDefault="00EA493F" w:rsidP="007D443E">
            <w:pPr>
              <w:pStyle w:val="ListParagraph"/>
              <w:numPr>
                <w:ilvl w:val="0"/>
                <w:numId w:val="33"/>
              </w:numPr>
              <w:ind w:left="165" w:hanging="165"/>
              <w:rPr>
                <w:rFonts w:ascii="Arial" w:hAnsi="Arial" w:cs="Arial"/>
              </w:rPr>
            </w:pPr>
            <w:r w:rsidRPr="00E44DDD">
              <w:rPr>
                <w:rFonts w:ascii="Arial" w:hAnsi="Arial" w:cs="Arial"/>
              </w:rPr>
              <w:t xml:space="preserve">MSIN requests and merges statewide assessment data for each </w:t>
            </w:r>
            <w:r w:rsidR="000F31DC" w:rsidRPr="00E44DDD">
              <w:rPr>
                <w:rFonts w:ascii="Arial" w:hAnsi="Arial" w:cs="Arial"/>
              </w:rPr>
              <w:t>m</w:t>
            </w:r>
            <w:r w:rsidRPr="00E44DDD">
              <w:rPr>
                <w:rFonts w:ascii="Arial" w:hAnsi="Arial" w:cs="Arial"/>
              </w:rPr>
              <w:t>igratory student</w:t>
            </w:r>
          </w:p>
        </w:tc>
        <w:tc>
          <w:tcPr>
            <w:tcW w:w="4602" w:type="dxa"/>
          </w:tcPr>
          <w:p w14:paraId="0C70A06D" w14:textId="77777777" w:rsidR="00EA493F" w:rsidRPr="00E44DDD" w:rsidRDefault="00EA493F" w:rsidP="007D443E">
            <w:pPr>
              <w:pStyle w:val="ListParagraph"/>
              <w:numPr>
                <w:ilvl w:val="0"/>
                <w:numId w:val="33"/>
              </w:numPr>
              <w:ind w:left="165" w:hanging="165"/>
              <w:rPr>
                <w:rFonts w:ascii="Arial" w:hAnsi="Arial" w:cs="Arial"/>
              </w:rPr>
            </w:pPr>
            <w:r w:rsidRPr="00E44DDD">
              <w:rPr>
                <w:rFonts w:ascii="Arial" w:hAnsi="Arial" w:cs="Arial"/>
              </w:rPr>
              <w:t>Annua</w:t>
            </w:r>
            <w:r w:rsidR="007B35FA" w:rsidRPr="00E44DDD">
              <w:rPr>
                <w:rFonts w:ascii="Arial" w:hAnsi="Arial" w:cs="Arial"/>
              </w:rPr>
              <w:t>l student achievement data for Grades 3–</w:t>
            </w:r>
            <w:r w:rsidRPr="00E44DDD">
              <w:rPr>
                <w:rFonts w:ascii="Arial" w:hAnsi="Arial" w:cs="Arial"/>
              </w:rPr>
              <w:t>8 and 11:</w:t>
            </w:r>
          </w:p>
          <w:p w14:paraId="57C72207" w14:textId="77777777" w:rsidR="00EA493F" w:rsidRPr="00E44DDD" w:rsidRDefault="001745B0" w:rsidP="007D443E">
            <w:pPr>
              <w:pStyle w:val="ListParagraph"/>
              <w:numPr>
                <w:ilvl w:val="1"/>
                <w:numId w:val="33"/>
              </w:numPr>
              <w:rPr>
                <w:rFonts w:ascii="Arial" w:hAnsi="Arial" w:cs="Arial"/>
              </w:rPr>
            </w:pPr>
            <w:r w:rsidRPr="00E44DDD">
              <w:rPr>
                <w:rFonts w:ascii="Arial" w:hAnsi="Arial" w:cs="Arial"/>
              </w:rPr>
              <w:t>Percent of migratory s</w:t>
            </w:r>
            <w:r w:rsidR="00DA313D" w:rsidRPr="00E44DDD">
              <w:rPr>
                <w:rFonts w:ascii="Arial" w:hAnsi="Arial" w:cs="Arial"/>
              </w:rPr>
              <w:t>tudents meeting and exceeding o</w:t>
            </w:r>
            <w:r w:rsidR="00EA493F" w:rsidRPr="00E44DDD">
              <w:rPr>
                <w:rFonts w:ascii="Arial" w:hAnsi="Arial" w:cs="Arial"/>
              </w:rPr>
              <w:t>verall ELA</w:t>
            </w:r>
            <w:r w:rsidR="000311FD" w:rsidRPr="00E44DDD">
              <w:rPr>
                <w:rFonts w:ascii="Arial" w:hAnsi="Arial" w:cs="Arial"/>
              </w:rPr>
              <w:t xml:space="preserve"> a</w:t>
            </w:r>
            <w:r w:rsidR="00DC6A20" w:rsidRPr="00E44DDD">
              <w:rPr>
                <w:rFonts w:ascii="Arial" w:hAnsi="Arial" w:cs="Arial"/>
              </w:rPr>
              <w:t>chievement</w:t>
            </w:r>
          </w:p>
        </w:tc>
      </w:tr>
      <w:tr w:rsidR="00EA493F" w:rsidRPr="00E44DDD" w14:paraId="07B1EA32" w14:textId="77777777" w:rsidTr="00940787">
        <w:trPr>
          <w:cantSplit/>
          <w:trHeight w:val="1007"/>
        </w:trPr>
        <w:tc>
          <w:tcPr>
            <w:tcW w:w="3399" w:type="dxa"/>
          </w:tcPr>
          <w:p w14:paraId="50D8F212" w14:textId="77777777" w:rsidR="00EA493F" w:rsidRPr="00E44DDD" w:rsidRDefault="00EA493F" w:rsidP="007D443E">
            <w:pPr>
              <w:pStyle w:val="ListParagraph"/>
              <w:numPr>
                <w:ilvl w:val="1"/>
                <w:numId w:val="55"/>
              </w:numPr>
              <w:rPr>
                <w:rFonts w:ascii="Arial" w:eastAsia="Times New Roman" w:hAnsi="Arial" w:cs="Arial"/>
                <w:color w:val="000000"/>
              </w:rPr>
            </w:pPr>
            <w:r w:rsidRPr="00E44DDD">
              <w:rPr>
                <w:rFonts w:ascii="Arial" w:eastAsia="Times New Roman" w:hAnsi="Arial" w:cs="Arial"/>
                <w:color w:val="000000"/>
              </w:rPr>
              <w:t xml:space="preserve">What </w:t>
            </w:r>
            <w:r w:rsidR="001745B0" w:rsidRPr="00E44DDD">
              <w:rPr>
                <w:rFonts w:ascii="Arial" w:eastAsia="Times New Roman" w:hAnsi="Arial" w:cs="Arial"/>
                <w:color w:val="000000"/>
              </w:rPr>
              <w:t>percent of migratory s</w:t>
            </w:r>
            <w:r w:rsidR="00DF6230" w:rsidRPr="00E44DDD">
              <w:rPr>
                <w:rFonts w:ascii="Arial" w:eastAsia="Times New Roman" w:hAnsi="Arial" w:cs="Arial"/>
                <w:color w:val="000000"/>
              </w:rPr>
              <w:t>tudents are meeting or exceeding the</w:t>
            </w:r>
            <w:r w:rsidR="007B35FA" w:rsidRPr="00E44DDD">
              <w:rPr>
                <w:rFonts w:ascii="Arial" w:eastAsia="Times New Roman" w:hAnsi="Arial" w:cs="Arial"/>
                <w:color w:val="000000"/>
              </w:rPr>
              <w:t xml:space="preserve"> reading achievement</w:t>
            </w:r>
            <w:r w:rsidR="00DF6230" w:rsidRPr="00E44DDD">
              <w:rPr>
                <w:rFonts w:ascii="Arial" w:eastAsia="Times New Roman" w:hAnsi="Arial" w:cs="Arial"/>
                <w:color w:val="000000"/>
              </w:rPr>
              <w:t xml:space="preserve"> standard</w:t>
            </w:r>
            <w:r w:rsidR="007B35FA" w:rsidRPr="00E44DDD">
              <w:rPr>
                <w:rFonts w:ascii="Arial" w:eastAsia="Times New Roman" w:hAnsi="Arial" w:cs="Arial"/>
                <w:color w:val="000000"/>
              </w:rPr>
              <w:t xml:space="preserve"> for m</w:t>
            </w:r>
            <w:r w:rsidRPr="00E44DDD">
              <w:rPr>
                <w:rFonts w:ascii="Arial" w:eastAsia="Times New Roman" w:hAnsi="Arial" w:cs="Arial"/>
                <w:color w:val="000000"/>
              </w:rPr>
              <w:t>igratory students?</w:t>
            </w:r>
          </w:p>
        </w:tc>
        <w:tc>
          <w:tcPr>
            <w:tcW w:w="1819" w:type="dxa"/>
          </w:tcPr>
          <w:p w14:paraId="2DCB6DEA" w14:textId="77777777" w:rsidR="00EA493F" w:rsidRPr="00E44DDD" w:rsidRDefault="00EA493F" w:rsidP="007D443E">
            <w:pPr>
              <w:pStyle w:val="ListParagraph"/>
              <w:numPr>
                <w:ilvl w:val="0"/>
                <w:numId w:val="33"/>
              </w:numPr>
              <w:ind w:left="165" w:hanging="165"/>
              <w:rPr>
                <w:rFonts w:ascii="Arial" w:hAnsi="Arial" w:cs="Arial"/>
              </w:rPr>
            </w:pPr>
            <w:r w:rsidRPr="00E44DDD">
              <w:rPr>
                <w:rFonts w:ascii="Arial" w:hAnsi="Arial" w:cs="Arial"/>
              </w:rPr>
              <w:t>statewide assessments</w:t>
            </w:r>
          </w:p>
        </w:tc>
        <w:tc>
          <w:tcPr>
            <w:tcW w:w="3759" w:type="dxa"/>
          </w:tcPr>
          <w:p w14:paraId="70446785" w14:textId="77777777" w:rsidR="00F1584A" w:rsidRPr="00127E07" w:rsidRDefault="00EA493F" w:rsidP="007D443E">
            <w:pPr>
              <w:pStyle w:val="ListParagraph"/>
              <w:numPr>
                <w:ilvl w:val="0"/>
                <w:numId w:val="33"/>
              </w:numPr>
              <w:ind w:left="165" w:hanging="165"/>
              <w:rPr>
                <w:rFonts w:ascii="Arial" w:hAnsi="Arial" w:cs="Arial"/>
              </w:rPr>
            </w:pPr>
            <w:r w:rsidRPr="00E44DDD">
              <w:rPr>
                <w:rFonts w:ascii="Arial" w:hAnsi="Arial" w:cs="Arial"/>
              </w:rPr>
              <w:t xml:space="preserve">MSIN requests and merges statewide assessment data for each </w:t>
            </w:r>
            <w:r w:rsidR="000F31DC" w:rsidRPr="00E44DDD">
              <w:rPr>
                <w:rFonts w:ascii="Arial" w:hAnsi="Arial" w:cs="Arial"/>
              </w:rPr>
              <w:t>migratory student</w:t>
            </w:r>
          </w:p>
        </w:tc>
        <w:tc>
          <w:tcPr>
            <w:tcW w:w="4602" w:type="dxa"/>
          </w:tcPr>
          <w:p w14:paraId="0B445E65" w14:textId="77777777" w:rsidR="00EA493F" w:rsidRPr="00E44DDD" w:rsidRDefault="00EA493F" w:rsidP="007D443E">
            <w:pPr>
              <w:pStyle w:val="ListParagraph"/>
              <w:numPr>
                <w:ilvl w:val="0"/>
                <w:numId w:val="33"/>
              </w:numPr>
              <w:ind w:left="165" w:hanging="165"/>
              <w:rPr>
                <w:rFonts w:ascii="Arial" w:hAnsi="Arial" w:cs="Arial"/>
              </w:rPr>
            </w:pPr>
            <w:r w:rsidRPr="00E44DDD">
              <w:rPr>
                <w:rFonts w:ascii="Arial" w:hAnsi="Arial" w:cs="Arial"/>
              </w:rPr>
              <w:t xml:space="preserve">Annual student achievement data for </w:t>
            </w:r>
            <w:r w:rsidR="007B35FA" w:rsidRPr="00E44DDD">
              <w:rPr>
                <w:rFonts w:ascii="Arial" w:hAnsi="Arial" w:cs="Arial"/>
              </w:rPr>
              <w:t xml:space="preserve">Grades 3–8 </w:t>
            </w:r>
            <w:r w:rsidRPr="00E44DDD">
              <w:rPr>
                <w:rFonts w:ascii="Arial" w:hAnsi="Arial" w:cs="Arial"/>
              </w:rPr>
              <w:t>and 11:</w:t>
            </w:r>
          </w:p>
          <w:p w14:paraId="58E5EC95" w14:textId="77777777" w:rsidR="00EA493F" w:rsidRPr="00E44DDD" w:rsidRDefault="001745B0" w:rsidP="007D443E">
            <w:pPr>
              <w:pStyle w:val="ListParagraph"/>
              <w:numPr>
                <w:ilvl w:val="1"/>
                <w:numId w:val="33"/>
              </w:numPr>
              <w:rPr>
                <w:rFonts w:ascii="Arial" w:hAnsi="Arial" w:cs="Arial"/>
              </w:rPr>
            </w:pPr>
            <w:r w:rsidRPr="00E44DDD">
              <w:rPr>
                <w:rFonts w:ascii="Arial" w:hAnsi="Arial" w:cs="Arial"/>
              </w:rPr>
              <w:t>Percent of migratory s</w:t>
            </w:r>
            <w:r w:rsidR="00DA313D" w:rsidRPr="00E44DDD">
              <w:rPr>
                <w:rFonts w:ascii="Arial" w:hAnsi="Arial" w:cs="Arial"/>
              </w:rPr>
              <w:t xml:space="preserve">tudents meeting and exceeding </w:t>
            </w:r>
            <w:r w:rsidR="00EA493F" w:rsidRPr="00E44DDD">
              <w:rPr>
                <w:rFonts w:ascii="Arial" w:hAnsi="Arial" w:cs="Arial"/>
              </w:rPr>
              <w:t xml:space="preserve">ELA </w:t>
            </w:r>
            <w:r w:rsidR="00B21FF1" w:rsidRPr="00E44DDD">
              <w:rPr>
                <w:rFonts w:ascii="Arial" w:hAnsi="Arial" w:cs="Arial"/>
              </w:rPr>
              <w:t xml:space="preserve">Claim 1 – </w:t>
            </w:r>
            <w:r w:rsidR="00EA493F" w:rsidRPr="00E44DDD">
              <w:rPr>
                <w:rFonts w:ascii="Arial" w:hAnsi="Arial" w:cs="Arial"/>
              </w:rPr>
              <w:t>Reading</w:t>
            </w:r>
            <w:r w:rsidR="000311FD" w:rsidRPr="00E44DDD">
              <w:rPr>
                <w:rFonts w:ascii="Arial" w:hAnsi="Arial" w:cs="Arial"/>
              </w:rPr>
              <w:t xml:space="preserve"> a</w:t>
            </w:r>
            <w:r w:rsidR="00B21FF1" w:rsidRPr="00E44DDD">
              <w:rPr>
                <w:rFonts w:ascii="Arial" w:hAnsi="Arial" w:cs="Arial"/>
              </w:rPr>
              <w:t>chievement</w:t>
            </w:r>
          </w:p>
        </w:tc>
      </w:tr>
      <w:tr w:rsidR="00EA493F" w:rsidRPr="00E44DDD" w14:paraId="07ABEBB1"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399" w:type="dxa"/>
          </w:tcPr>
          <w:p w14:paraId="4F724061" w14:textId="77777777" w:rsidR="00EA493F" w:rsidRPr="00E44DDD" w:rsidRDefault="00EA493F" w:rsidP="007D443E">
            <w:pPr>
              <w:pStyle w:val="ListParagraph"/>
              <w:numPr>
                <w:ilvl w:val="1"/>
                <w:numId w:val="55"/>
              </w:numPr>
              <w:rPr>
                <w:rFonts w:ascii="Arial" w:eastAsia="Times New Roman" w:hAnsi="Arial" w:cs="Arial"/>
                <w:color w:val="000000"/>
              </w:rPr>
            </w:pPr>
            <w:r w:rsidRPr="00E44DDD">
              <w:rPr>
                <w:rFonts w:ascii="Arial" w:eastAsia="Times New Roman" w:hAnsi="Arial" w:cs="Arial"/>
                <w:color w:val="000000"/>
              </w:rPr>
              <w:t xml:space="preserve">What </w:t>
            </w:r>
            <w:r w:rsidR="001745B0" w:rsidRPr="00E44DDD">
              <w:rPr>
                <w:rFonts w:ascii="Arial" w:eastAsia="Times New Roman" w:hAnsi="Arial" w:cs="Arial"/>
                <w:color w:val="000000"/>
              </w:rPr>
              <w:t>percent of migratory s</w:t>
            </w:r>
            <w:r w:rsidR="00DF6230" w:rsidRPr="00E44DDD">
              <w:rPr>
                <w:rFonts w:ascii="Arial" w:eastAsia="Times New Roman" w:hAnsi="Arial" w:cs="Arial"/>
                <w:color w:val="000000"/>
              </w:rPr>
              <w:t>tudents are meeting or exceeding the</w:t>
            </w:r>
            <w:r w:rsidR="007B35FA" w:rsidRPr="00E44DDD">
              <w:rPr>
                <w:rFonts w:ascii="Arial" w:eastAsia="Times New Roman" w:hAnsi="Arial" w:cs="Arial"/>
                <w:color w:val="000000"/>
              </w:rPr>
              <w:t xml:space="preserve"> writing achievement</w:t>
            </w:r>
            <w:r w:rsidR="00DF6230" w:rsidRPr="00E44DDD">
              <w:rPr>
                <w:rFonts w:ascii="Arial" w:eastAsia="Times New Roman" w:hAnsi="Arial" w:cs="Arial"/>
                <w:color w:val="000000"/>
              </w:rPr>
              <w:t xml:space="preserve"> standard</w:t>
            </w:r>
            <w:r w:rsidR="007B35FA" w:rsidRPr="00E44DDD">
              <w:rPr>
                <w:rFonts w:ascii="Arial" w:eastAsia="Times New Roman" w:hAnsi="Arial" w:cs="Arial"/>
                <w:color w:val="000000"/>
              </w:rPr>
              <w:t xml:space="preserve"> for m</w:t>
            </w:r>
            <w:r w:rsidRPr="00E44DDD">
              <w:rPr>
                <w:rFonts w:ascii="Arial" w:eastAsia="Times New Roman" w:hAnsi="Arial" w:cs="Arial"/>
                <w:color w:val="000000"/>
              </w:rPr>
              <w:t>igratory students?</w:t>
            </w:r>
          </w:p>
        </w:tc>
        <w:tc>
          <w:tcPr>
            <w:tcW w:w="1819" w:type="dxa"/>
          </w:tcPr>
          <w:p w14:paraId="6D1C9643" w14:textId="77777777" w:rsidR="00EA493F" w:rsidRPr="00E44DDD" w:rsidRDefault="00B21FF1" w:rsidP="007D443E">
            <w:pPr>
              <w:pStyle w:val="ListParagraph"/>
              <w:numPr>
                <w:ilvl w:val="0"/>
                <w:numId w:val="33"/>
              </w:numPr>
              <w:ind w:left="165" w:hanging="165"/>
              <w:rPr>
                <w:rFonts w:ascii="Arial" w:hAnsi="Arial" w:cs="Arial"/>
              </w:rPr>
            </w:pPr>
            <w:r w:rsidRPr="00E44DDD">
              <w:rPr>
                <w:rFonts w:ascii="Arial" w:hAnsi="Arial" w:cs="Arial"/>
              </w:rPr>
              <w:t>statewide assessments</w:t>
            </w:r>
          </w:p>
        </w:tc>
        <w:tc>
          <w:tcPr>
            <w:tcW w:w="3759" w:type="dxa"/>
          </w:tcPr>
          <w:p w14:paraId="7CBD7E0C" w14:textId="77777777" w:rsidR="00F1584A" w:rsidRPr="00127E07" w:rsidRDefault="00EA493F" w:rsidP="007D443E">
            <w:pPr>
              <w:pStyle w:val="ListParagraph"/>
              <w:numPr>
                <w:ilvl w:val="0"/>
                <w:numId w:val="33"/>
              </w:numPr>
              <w:ind w:left="165" w:hanging="165"/>
              <w:rPr>
                <w:rFonts w:ascii="Arial" w:hAnsi="Arial" w:cs="Arial"/>
              </w:rPr>
            </w:pPr>
            <w:r w:rsidRPr="00E44DDD">
              <w:rPr>
                <w:rFonts w:ascii="Arial" w:hAnsi="Arial" w:cs="Arial"/>
              </w:rPr>
              <w:t xml:space="preserve">MSIN requests and merges statewide assessment data for each </w:t>
            </w:r>
            <w:r w:rsidR="000F31DC" w:rsidRPr="00E44DDD">
              <w:rPr>
                <w:rFonts w:ascii="Arial" w:hAnsi="Arial" w:cs="Arial"/>
              </w:rPr>
              <w:t>m</w:t>
            </w:r>
            <w:r w:rsidRPr="00E44DDD">
              <w:rPr>
                <w:rFonts w:ascii="Arial" w:hAnsi="Arial" w:cs="Arial"/>
              </w:rPr>
              <w:t xml:space="preserve">igratory </w:t>
            </w:r>
            <w:r w:rsidR="000F31DC" w:rsidRPr="00E44DDD">
              <w:rPr>
                <w:rFonts w:ascii="Arial" w:hAnsi="Arial" w:cs="Arial"/>
              </w:rPr>
              <w:t>s</w:t>
            </w:r>
            <w:r w:rsidRPr="00E44DDD">
              <w:rPr>
                <w:rFonts w:ascii="Arial" w:hAnsi="Arial" w:cs="Arial"/>
              </w:rPr>
              <w:t>tudent</w:t>
            </w:r>
          </w:p>
        </w:tc>
        <w:tc>
          <w:tcPr>
            <w:tcW w:w="4602" w:type="dxa"/>
          </w:tcPr>
          <w:p w14:paraId="0C99A05A" w14:textId="77777777" w:rsidR="00EA493F" w:rsidRPr="00E44DDD" w:rsidRDefault="00EA493F" w:rsidP="007D443E">
            <w:pPr>
              <w:pStyle w:val="ListParagraph"/>
              <w:numPr>
                <w:ilvl w:val="0"/>
                <w:numId w:val="33"/>
              </w:numPr>
              <w:ind w:left="165" w:hanging="165"/>
              <w:rPr>
                <w:rFonts w:ascii="Arial" w:hAnsi="Arial" w:cs="Arial"/>
              </w:rPr>
            </w:pPr>
            <w:r w:rsidRPr="00E44DDD">
              <w:rPr>
                <w:rFonts w:ascii="Arial" w:hAnsi="Arial" w:cs="Arial"/>
              </w:rPr>
              <w:t xml:space="preserve">Annual student achievement data for </w:t>
            </w:r>
            <w:r w:rsidR="007B35FA" w:rsidRPr="00E44DDD">
              <w:rPr>
                <w:rFonts w:ascii="Arial" w:hAnsi="Arial" w:cs="Arial"/>
              </w:rPr>
              <w:t xml:space="preserve">Grades 3–8 </w:t>
            </w:r>
            <w:r w:rsidRPr="00E44DDD">
              <w:rPr>
                <w:rFonts w:ascii="Arial" w:hAnsi="Arial" w:cs="Arial"/>
              </w:rPr>
              <w:t>and 11:</w:t>
            </w:r>
          </w:p>
          <w:p w14:paraId="7CA95843" w14:textId="77777777" w:rsidR="00EA493F" w:rsidRPr="00E44DDD" w:rsidRDefault="001745B0" w:rsidP="007D443E">
            <w:pPr>
              <w:pStyle w:val="ListParagraph"/>
              <w:numPr>
                <w:ilvl w:val="1"/>
                <w:numId w:val="33"/>
              </w:numPr>
              <w:rPr>
                <w:rFonts w:ascii="Arial" w:hAnsi="Arial" w:cs="Arial"/>
              </w:rPr>
            </w:pPr>
            <w:r w:rsidRPr="00E44DDD">
              <w:rPr>
                <w:rFonts w:ascii="Arial" w:hAnsi="Arial" w:cs="Arial"/>
              </w:rPr>
              <w:t>Percent of migratory s</w:t>
            </w:r>
            <w:r w:rsidR="00DA313D" w:rsidRPr="00E44DDD">
              <w:rPr>
                <w:rFonts w:ascii="Arial" w:hAnsi="Arial" w:cs="Arial"/>
              </w:rPr>
              <w:t xml:space="preserve">tudents meeting and exceeding </w:t>
            </w:r>
            <w:r w:rsidR="00EA493F" w:rsidRPr="00E44DDD">
              <w:rPr>
                <w:rFonts w:ascii="Arial" w:hAnsi="Arial" w:cs="Arial"/>
              </w:rPr>
              <w:t xml:space="preserve">ELA </w:t>
            </w:r>
            <w:r w:rsidR="00B21FF1" w:rsidRPr="00E44DDD">
              <w:rPr>
                <w:rFonts w:ascii="Arial" w:hAnsi="Arial" w:cs="Arial"/>
              </w:rPr>
              <w:t xml:space="preserve">Claim 2 – </w:t>
            </w:r>
            <w:r w:rsidR="00EA493F" w:rsidRPr="00E44DDD">
              <w:rPr>
                <w:rFonts w:ascii="Arial" w:hAnsi="Arial" w:cs="Arial"/>
              </w:rPr>
              <w:t>Writing</w:t>
            </w:r>
            <w:r w:rsidR="000311FD" w:rsidRPr="00E44DDD">
              <w:rPr>
                <w:rFonts w:ascii="Arial" w:hAnsi="Arial" w:cs="Arial"/>
              </w:rPr>
              <w:t xml:space="preserve"> a</w:t>
            </w:r>
            <w:r w:rsidR="00B21FF1" w:rsidRPr="00E44DDD">
              <w:rPr>
                <w:rFonts w:ascii="Arial" w:hAnsi="Arial" w:cs="Arial"/>
              </w:rPr>
              <w:t xml:space="preserve">chievement </w:t>
            </w:r>
          </w:p>
        </w:tc>
      </w:tr>
    </w:tbl>
    <w:p w14:paraId="697DA7C3" w14:textId="77777777" w:rsidR="00E44DDD" w:rsidRPr="00127E07" w:rsidRDefault="00127E07" w:rsidP="00C66062">
      <w:pPr>
        <w:numPr>
          <w:ilvl w:val="6"/>
          <w:numId w:val="18"/>
        </w:numPr>
        <w:spacing w:before="240"/>
        <w:ind w:left="360"/>
        <w:rPr>
          <w:rFonts w:ascii="Arial" w:eastAsia="Times New Roman" w:hAnsi="Arial" w:cs="Arial"/>
          <w:bCs/>
        </w:rPr>
      </w:pPr>
      <w:r>
        <w:rPr>
          <w:rFonts w:ascii="Arial" w:eastAsia="Times New Roman" w:hAnsi="Arial" w:cs="Arial"/>
          <w:b/>
          <w:bCs/>
        </w:rPr>
        <w:br w:type="page"/>
      </w:r>
      <w:r w:rsidR="00E44DDD" w:rsidRPr="009206CE">
        <w:rPr>
          <w:rFonts w:ascii="Arial" w:eastAsia="Times New Roman" w:hAnsi="Arial" w:cs="Arial"/>
          <w:b/>
          <w:bCs/>
        </w:rPr>
        <w:lastRenderedPageBreak/>
        <w:t>Math:</w:t>
      </w:r>
      <w:r w:rsidR="00E44DDD" w:rsidRPr="00127E07">
        <w:rPr>
          <w:rFonts w:ascii="Arial" w:eastAsia="Times New Roman" w:hAnsi="Arial" w:cs="Arial"/>
          <w:bCs/>
        </w:rPr>
        <w:t xml:space="preserve"> Are the math skills of migratory students improving?</w:t>
      </w:r>
    </w:p>
    <w:p w14:paraId="1499C21A" w14:textId="77777777" w:rsidR="00E44DDD" w:rsidRPr="00E44DDD" w:rsidRDefault="00E44DDD" w:rsidP="00C66062">
      <w:pPr>
        <w:tabs>
          <w:tab w:val="left" w:pos="270"/>
        </w:tabs>
        <w:ind w:left="360"/>
      </w:pPr>
      <w:r w:rsidRPr="009206CE">
        <w:rPr>
          <w:rFonts w:ascii="Arial" w:hAnsi="Arial" w:cs="Arial"/>
          <w:b/>
        </w:rPr>
        <w:t>Performance Target:</w:t>
      </w:r>
      <w:r w:rsidRPr="00127E07">
        <w:rPr>
          <w:rFonts w:ascii="Arial" w:hAnsi="Arial" w:cs="Arial"/>
        </w:rPr>
        <w:t xml:space="preserve"> By 2020–21, migratory students scoring at Level 3 – Standard Met and Level 4 – Standard</w:t>
      </w:r>
      <w:r w:rsidRPr="00E44DDD">
        <w:rPr>
          <w:rFonts w:ascii="Arial" w:hAnsi="Arial" w:cs="Arial"/>
        </w:rPr>
        <w:t xml:space="preserve"> Exceeded on overall math achievement will increase by 10.5 percent.</w:t>
      </w:r>
    </w:p>
    <w:tbl>
      <w:tblPr>
        <w:tblStyle w:val="GridTable4-Accent1"/>
        <w:tblW w:w="13579" w:type="dxa"/>
        <w:tblLook w:val="0420" w:firstRow="1" w:lastRow="0" w:firstColumn="0" w:lastColumn="0" w:noHBand="0" w:noVBand="1"/>
        <w:tblDescription w:val="Math Sub Questions"/>
      </w:tblPr>
      <w:tblGrid>
        <w:gridCol w:w="3351"/>
        <w:gridCol w:w="1819"/>
        <w:gridCol w:w="3600"/>
        <w:gridCol w:w="4809"/>
      </w:tblGrid>
      <w:tr w:rsidR="00127E07" w:rsidRPr="00E44DDD" w14:paraId="707162D5"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3351" w:type="dxa"/>
            <w:tcBorders>
              <w:right w:val="single" w:sz="4" w:space="0" w:color="4472C4" w:themeColor="accent5"/>
            </w:tcBorders>
            <w:shd w:val="clear" w:color="auto" w:fill="1F3864" w:themeFill="accent5" w:themeFillShade="80"/>
            <w:vAlign w:val="center"/>
          </w:tcPr>
          <w:p w14:paraId="69B82640" w14:textId="77777777" w:rsidR="00E44DDD" w:rsidRPr="00E44DDD" w:rsidRDefault="00E44DDD" w:rsidP="00E53F38">
            <w:pPr>
              <w:jc w:val="center"/>
              <w:rPr>
                <w:rFonts w:ascii="Arial" w:hAnsi="Arial" w:cs="Arial"/>
                <w:b w:val="0"/>
                <w:color w:val="FFFFFF"/>
              </w:rPr>
            </w:pPr>
            <w:r w:rsidRPr="00E44DDD">
              <w:rPr>
                <w:rFonts w:ascii="Arial" w:hAnsi="Arial" w:cs="Arial"/>
                <w:color w:val="FFFFFF"/>
              </w:rPr>
              <w:t>Sub Questions</w:t>
            </w:r>
          </w:p>
          <w:p w14:paraId="58A0580A" w14:textId="77777777" w:rsidR="00E44DDD" w:rsidRPr="00E44DDD" w:rsidRDefault="00E44DDD" w:rsidP="00E53F38">
            <w:pPr>
              <w:jc w:val="center"/>
              <w:rPr>
                <w:rFonts w:ascii="Arial" w:hAnsi="Arial" w:cs="Arial"/>
                <w:b w:val="0"/>
                <w:color w:val="FFFFFF"/>
              </w:rPr>
            </w:pPr>
            <w:r w:rsidRPr="00E44DDD">
              <w:rPr>
                <w:rFonts w:ascii="Arial" w:hAnsi="Arial" w:cs="Arial"/>
                <w:color w:val="FFFFFF"/>
              </w:rPr>
              <w:t>These questions articulate the main issues that will be addressed in the review.</w:t>
            </w:r>
          </w:p>
        </w:tc>
        <w:tc>
          <w:tcPr>
            <w:tcW w:w="1819" w:type="dxa"/>
            <w:tcBorders>
              <w:left w:val="single" w:sz="4" w:space="0" w:color="4472C4" w:themeColor="accent5"/>
              <w:right w:val="single" w:sz="4" w:space="0" w:color="4472C4" w:themeColor="accent5"/>
            </w:tcBorders>
            <w:shd w:val="clear" w:color="auto" w:fill="1F3864" w:themeFill="accent5" w:themeFillShade="80"/>
            <w:vAlign w:val="center"/>
          </w:tcPr>
          <w:p w14:paraId="30FACE86" w14:textId="5DA88F88" w:rsidR="00E44DDD" w:rsidRPr="00E44DDD" w:rsidRDefault="00E44DDD" w:rsidP="00E53F38">
            <w:pPr>
              <w:jc w:val="center"/>
              <w:rPr>
                <w:rFonts w:ascii="Arial" w:hAnsi="Arial" w:cs="Arial"/>
                <w:b w:val="0"/>
                <w:color w:val="FFFFFF"/>
              </w:rPr>
            </w:pPr>
            <w:r w:rsidRPr="00E44DDD">
              <w:rPr>
                <w:rFonts w:ascii="Arial" w:hAnsi="Arial" w:cs="Arial"/>
                <w:color w:val="FFFFFF"/>
              </w:rPr>
              <w:t>Data Sources</w:t>
            </w:r>
          </w:p>
        </w:tc>
        <w:tc>
          <w:tcPr>
            <w:tcW w:w="3600" w:type="dxa"/>
            <w:tcBorders>
              <w:left w:val="single" w:sz="4" w:space="0" w:color="4472C4" w:themeColor="accent5"/>
              <w:right w:val="single" w:sz="4" w:space="0" w:color="4472C4" w:themeColor="accent5"/>
            </w:tcBorders>
            <w:shd w:val="clear" w:color="auto" w:fill="1F3864" w:themeFill="accent5" w:themeFillShade="80"/>
            <w:vAlign w:val="center"/>
          </w:tcPr>
          <w:p w14:paraId="20D1C293" w14:textId="77777777" w:rsidR="00E44DDD" w:rsidRPr="00E44DDD" w:rsidRDefault="00E44DDD" w:rsidP="00E53F38">
            <w:pPr>
              <w:jc w:val="center"/>
              <w:rPr>
                <w:rFonts w:ascii="Arial" w:hAnsi="Arial" w:cs="Arial"/>
                <w:b w:val="0"/>
                <w:color w:val="FFFFFF"/>
              </w:rPr>
            </w:pPr>
            <w:r w:rsidRPr="00E44DDD">
              <w:rPr>
                <w:rFonts w:ascii="Arial" w:hAnsi="Arial" w:cs="Arial"/>
                <w:color w:val="FFFFFF"/>
              </w:rPr>
              <w:t>Data Collection Method</w:t>
            </w:r>
          </w:p>
          <w:p w14:paraId="2A22375A" w14:textId="77777777" w:rsidR="00E44DDD" w:rsidRPr="00E44DDD" w:rsidRDefault="00E44DDD" w:rsidP="00E53F38">
            <w:pPr>
              <w:jc w:val="center"/>
              <w:rPr>
                <w:rFonts w:ascii="Arial" w:hAnsi="Arial" w:cs="Arial"/>
                <w:b w:val="0"/>
                <w:color w:val="FFFFFF"/>
              </w:rPr>
            </w:pPr>
            <w:r w:rsidRPr="00E44DDD">
              <w:rPr>
                <w:rFonts w:ascii="Arial" w:hAnsi="Arial" w:cs="Arial"/>
                <w:color w:val="FFFFFF"/>
              </w:rPr>
              <w:t>This is the method or tool we will use to collect these data.</w:t>
            </w:r>
          </w:p>
        </w:tc>
        <w:tc>
          <w:tcPr>
            <w:tcW w:w="4809" w:type="dxa"/>
            <w:tcBorders>
              <w:left w:val="single" w:sz="4" w:space="0" w:color="4472C4" w:themeColor="accent5"/>
            </w:tcBorders>
            <w:shd w:val="clear" w:color="auto" w:fill="1F3864" w:themeFill="accent5" w:themeFillShade="80"/>
            <w:vAlign w:val="center"/>
          </w:tcPr>
          <w:p w14:paraId="7DB24924" w14:textId="65D1AA43" w:rsidR="00E44DDD" w:rsidRPr="00E44DDD" w:rsidRDefault="00E44DDD" w:rsidP="00E53F38">
            <w:pPr>
              <w:jc w:val="center"/>
              <w:rPr>
                <w:rFonts w:ascii="Arial" w:hAnsi="Arial" w:cs="Arial"/>
                <w:b w:val="0"/>
                <w:color w:val="FFFFFF"/>
              </w:rPr>
            </w:pPr>
            <w:r w:rsidRPr="00E44DDD">
              <w:rPr>
                <w:rFonts w:ascii="Arial" w:hAnsi="Arial" w:cs="Arial"/>
                <w:color w:val="FFFFFF"/>
              </w:rPr>
              <w:t>Indicators</w:t>
            </w:r>
          </w:p>
          <w:p w14:paraId="3BACD4ED" w14:textId="77777777" w:rsidR="00E44DDD" w:rsidRPr="00E44DDD" w:rsidRDefault="00E44DDD" w:rsidP="00E53F38">
            <w:pPr>
              <w:jc w:val="center"/>
              <w:rPr>
                <w:rFonts w:ascii="Arial" w:hAnsi="Arial" w:cs="Arial"/>
                <w:b w:val="0"/>
                <w:color w:val="FFFFFF"/>
              </w:rPr>
            </w:pPr>
            <w:r w:rsidRPr="00E44DDD">
              <w:rPr>
                <w:rFonts w:ascii="Arial" w:hAnsi="Arial" w:cs="Arial"/>
                <w:color w:val="FFFFFF"/>
              </w:rPr>
              <w:t>These define the evidence we collect—they are measures that monitor progress and if things are changing the way we anticipated. They are specific, observable, and measurable.</w:t>
            </w:r>
          </w:p>
        </w:tc>
      </w:tr>
      <w:tr w:rsidR="00DC6A20" w:rsidRPr="00E44DDD" w14:paraId="3A634946" w14:textId="77777777" w:rsidTr="00940787">
        <w:trPr>
          <w:cnfStyle w:val="000000100000" w:firstRow="0" w:lastRow="0" w:firstColumn="0" w:lastColumn="0" w:oddVBand="0" w:evenVBand="0" w:oddHBand="1" w:evenHBand="0" w:firstRowFirstColumn="0" w:firstRowLastColumn="0" w:lastRowFirstColumn="0" w:lastRowLastColumn="0"/>
          <w:cantSplit/>
          <w:trHeight w:val="593"/>
        </w:trPr>
        <w:tc>
          <w:tcPr>
            <w:tcW w:w="3351" w:type="dxa"/>
          </w:tcPr>
          <w:p w14:paraId="48E9844F" w14:textId="77777777" w:rsidR="00DC6A20" w:rsidRPr="00E44DDD" w:rsidRDefault="00DC6A20" w:rsidP="007D443E">
            <w:pPr>
              <w:pStyle w:val="ListParagraph"/>
              <w:numPr>
                <w:ilvl w:val="0"/>
                <w:numId w:val="52"/>
              </w:numPr>
              <w:ind w:left="337"/>
              <w:rPr>
                <w:rFonts w:ascii="Arial" w:eastAsia="Times New Roman" w:hAnsi="Arial" w:cs="Arial"/>
                <w:color w:val="222222"/>
              </w:rPr>
            </w:pPr>
            <w:r w:rsidRPr="00E44DDD">
              <w:rPr>
                <w:rFonts w:ascii="Arial" w:eastAsia="Times New Roman" w:hAnsi="Arial" w:cs="Arial"/>
                <w:color w:val="000000"/>
              </w:rPr>
              <w:t xml:space="preserve">What </w:t>
            </w:r>
            <w:r w:rsidR="001745B0" w:rsidRPr="00E44DDD">
              <w:rPr>
                <w:rFonts w:ascii="Arial" w:eastAsia="Times New Roman" w:hAnsi="Arial" w:cs="Arial"/>
                <w:color w:val="000000"/>
              </w:rPr>
              <w:t>percent of m</w:t>
            </w:r>
            <w:r w:rsidR="00DF6230" w:rsidRPr="00E44DDD">
              <w:rPr>
                <w:rFonts w:ascii="Arial" w:eastAsia="Times New Roman" w:hAnsi="Arial" w:cs="Arial"/>
                <w:color w:val="000000"/>
              </w:rPr>
              <w:t xml:space="preserve">igratory </w:t>
            </w:r>
            <w:r w:rsidR="001745B0" w:rsidRPr="00E44DDD">
              <w:rPr>
                <w:rFonts w:ascii="Arial" w:eastAsia="Times New Roman" w:hAnsi="Arial" w:cs="Arial"/>
                <w:color w:val="000000"/>
              </w:rPr>
              <w:t>s</w:t>
            </w:r>
            <w:r w:rsidR="00DF6230" w:rsidRPr="00E44DDD">
              <w:rPr>
                <w:rFonts w:ascii="Arial" w:eastAsia="Times New Roman" w:hAnsi="Arial" w:cs="Arial"/>
                <w:color w:val="000000"/>
              </w:rPr>
              <w:t xml:space="preserve">tudents are meeting or exceeding the overall </w:t>
            </w:r>
            <w:r w:rsidR="007B0584" w:rsidRPr="00E44DDD">
              <w:rPr>
                <w:rFonts w:ascii="Arial" w:eastAsia="Times New Roman" w:hAnsi="Arial" w:cs="Arial"/>
                <w:color w:val="000000"/>
              </w:rPr>
              <w:t>Math achievement for m</w:t>
            </w:r>
            <w:r w:rsidRPr="00E44DDD">
              <w:rPr>
                <w:rFonts w:ascii="Arial" w:eastAsia="Times New Roman" w:hAnsi="Arial" w:cs="Arial"/>
                <w:color w:val="000000"/>
              </w:rPr>
              <w:t>igratory students?</w:t>
            </w:r>
          </w:p>
        </w:tc>
        <w:tc>
          <w:tcPr>
            <w:tcW w:w="1819" w:type="dxa"/>
          </w:tcPr>
          <w:p w14:paraId="41859926" w14:textId="77777777" w:rsidR="00DC6A20" w:rsidRPr="00E44DDD" w:rsidRDefault="00DC6A20" w:rsidP="007D443E">
            <w:pPr>
              <w:pStyle w:val="ListParagraph"/>
              <w:numPr>
                <w:ilvl w:val="0"/>
                <w:numId w:val="33"/>
              </w:numPr>
              <w:ind w:left="165" w:hanging="165"/>
              <w:rPr>
                <w:rFonts w:ascii="Arial" w:hAnsi="Arial" w:cs="Arial"/>
              </w:rPr>
            </w:pPr>
            <w:r w:rsidRPr="00E44DDD">
              <w:rPr>
                <w:rFonts w:ascii="Arial" w:hAnsi="Arial" w:cs="Arial"/>
              </w:rPr>
              <w:t>statewide assessments</w:t>
            </w:r>
          </w:p>
        </w:tc>
        <w:tc>
          <w:tcPr>
            <w:tcW w:w="3600" w:type="dxa"/>
          </w:tcPr>
          <w:p w14:paraId="3D512776" w14:textId="77777777" w:rsidR="00DC6A20" w:rsidRPr="00E44DDD" w:rsidRDefault="00DC6A20" w:rsidP="007D443E">
            <w:pPr>
              <w:pStyle w:val="ListParagraph"/>
              <w:numPr>
                <w:ilvl w:val="0"/>
                <w:numId w:val="33"/>
              </w:numPr>
              <w:ind w:left="165" w:hanging="165"/>
              <w:rPr>
                <w:rFonts w:ascii="Arial" w:hAnsi="Arial" w:cs="Arial"/>
              </w:rPr>
            </w:pPr>
            <w:r w:rsidRPr="00E44DDD">
              <w:rPr>
                <w:rFonts w:ascii="Arial" w:hAnsi="Arial" w:cs="Arial"/>
              </w:rPr>
              <w:t>MSIN requests and merges statewide</w:t>
            </w:r>
            <w:r w:rsidR="007B0584" w:rsidRPr="00E44DDD">
              <w:rPr>
                <w:rFonts w:ascii="Arial" w:hAnsi="Arial" w:cs="Arial"/>
              </w:rPr>
              <w:t xml:space="preserve"> assessment data for each migratory s</w:t>
            </w:r>
            <w:r w:rsidRPr="00E44DDD">
              <w:rPr>
                <w:rFonts w:ascii="Arial" w:hAnsi="Arial" w:cs="Arial"/>
              </w:rPr>
              <w:t>tudent</w:t>
            </w:r>
          </w:p>
        </w:tc>
        <w:tc>
          <w:tcPr>
            <w:tcW w:w="4809" w:type="dxa"/>
          </w:tcPr>
          <w:p w14:paraId="6D63BFD8" w14:textId="77777777" w:rsidR="00DC6A20" w:rsidRPr="00E44DDD" w:rsidRDefault="00DC6A20" w:rsidP="007D443E">
            <w:pPr>
              <w:pStyle w:val="ListParagraph"/>
              <w:numPr>
                <w:ilvl w:val="0"/>
                <w:numId w:val="33"/>
              </w:numPr>
              <w:ind w:left="165" w:hanging="165"/>
              <w:rPr>
                <w:rFonts w:ascii="Arial" w:hAnsi="Arial" w:cs="Arial"/>
              </w:rPr>
            </w:pPr>
            <w:r w:rsidRPr="00E44DDD">
              <w:rPr>
                <w:rFonts w:ascii="Arial" w:hAnsi="Arial" w:cs="Arial"/>
              </w:rPr>
              <w:t xml:space="preserve">Annual student achievement data for </w:t>
            </w:r>
            <w:r w:rsidR="007B0584" w:rsidRPr="00E44DDD">
              <w:rPr>
                <w:rFonts w:ascii="Arial" w:hAnsi="Arial" w:cs="Arial"/>
              </w:rPr>
              <w:t>Grades 3–</w:t>
            </w:r>
            <w:r w:rsidRPr="00E44DDD">
              <w:rPr>
                <w:rFonts w:ascii="Arial" w:hAnsi="Arial" w:cs="Arial"/>
              </w:rPr>
              <w:t>8 and 11:</w:t>
            </w:r>
          </w:p>
          <w:p w14:paraId="26C3A37A" w14:textId="77777777" w:rsidR="00DC6A20" w:rsidRPr="00E44DDD" w:rsidRDefault="00C01B6E" w:rsidP="007D443E">
            <w:pPr>
              <w:pStyle w:val="ListParagraph"/>
              <w:numPr>
                <w:ilvl w:val="1"/>
                <w:numId w:val="33"/>
              </w:numPr>
              <w:rPr>
                <w:rFonts w:ascii="Arial" w:hAnsi="Arial" w:cs="Arial"/>
              </w:rPr>
            </w:pPr>
            <w:r w:rsidRPr="00E44DDD">
              <w:rPr>
                <w:rFonts w:ascii="Arial" w:hAnsi="Arial" w:cs="Arial"/>
              </w:rPr>
              <w:t>Percent of migratory s</w:t>
            </w:r>
            <w:r w:rsidR="00DA313D" w:rsidRPr="00E44DDD">
              <w:rPr>
                <w:rFonts w:ascii="Arial" w:hAnsi="Arial" w:cs="Arial"/>
              </w:rPr>
              <w:t>tudents meeting and exceeding o</w:t>
            </w:r>
            <w:r w:rsidR="00125DAC" w:rsidRPr="00E44DDD">
              <w:rPr>
                <w:rFonts w:ascii="Arial" w:hAnsi="Arial" w:cs="Arial"/>
              </w:rPr>
              <w:t>verall Math a</w:t>
            </w:r>
            <w:r w:rsidR="00DC6A20" w:rsidRPr="00E44DDD">
              <w:rPr>
                <w:rFonts w:ascii="Arial" w:hAnsi="Arial" w:cs="Arial"/>
              </w:rPr>
              <w:t>chievement</w:t>
            </w:r>
          </w:p>
        </w:tc>
      </w:tr>
      <w:tr w:rsidR="00D523A7" w:rsidRPr="00E44DDD" w14:paraId="2915EC82" w14:textId="77777777" w:rsidTr="00940787">
        <w:trPr>
          <w:cantSplit/>
          <w:trHeight w:val="1430"/>
        </w:trPr>
        <w:tc>
          <w:tcPr>
            <w:tcW w:w="3351" w:type="dxa"/>
          </w:tcPr>
          <w:p w14:paraId="0DFEE6FD" w14:textId="77777777" w:rsidR="00D523A7" w:rsidRPr="00E44DDD" w:rsidRDefault="00D523A7" w:rsidP="007D443E">
            <w:pPr>
              <w:pStyle w:val="ListParagraph"/>
              <w:numPr>
                <w:ilvl w:val="1"/>
                <w:numId w:val="53"/>
              </w:numPr>
              <w:rPr>
                <w:rFonts w:ascii="Arial" w:eastAsia="Times New Roman" w:hAnsi="Arial" w:cs="Arial"/>
                <w:color w:val="222222"/>
              </w:rPr>
            </w:pPr>
            <w:r w:rsidRPr="00E44DDD">
              <w:rPr>
                <w:rFonts w:ascii="Arial" w:eastAsia="Times New Roman" w:hAnsi="Arial" w:cs="Arial"/>
                <w:color w:val="000000"/>
              </w:rPr>
              <w:t xml:space="preserve">What </w:t>
            </w:r>
            <w:r w:rsidR="00337E9A" w:rsidRPr="00E44DDD">
              <w:rPr>
                <w:rFonts w:ascii="Arial" w:eastAsia="Times New Roman" w:hAnsi="Arial" w:cs="Arial"/>
                <w:color w:val="000000"/>
              </w:rPr>
              <w:t>percent of migratory s</w:t>
            </w:r>
            <w:r w:rsidR="00DF6230" w:rsidRPr="00E44DDD">
              <w:rPr>
                <w:rFonts w:ascii="Arial" w:eastAsia="Times New Roman" w:hAnsi="Arial" w:cs="Arial"/>
                <w:color w:val="000000"/>
              </w:rPr>
              <w:t xml:space="preserve">tudents are meeting or exceeding the </w:t>
            </w:r>
            <w:r w:rsidRPr="00E44DDD">
              <w:rPr>
                <w:rFonts w:ascii="Arial" w:eastAsia="Times New Roman" w:hAnsi="Arial" w:cs="Arial"/>
                <w:color w:val="000000"/>
              </w:rPr>
              <w:t>Claim 1 - Concepts and Procedures</w:t>
            </w:r>
            <w:r w:rsidR="00DF6230" w:rsidRPr="00E44DDD">
              <w:rPr>
                <w:rFonts w:ascii="Arial" w:eastAsia="Times New Roman" w:hAnsi="Arial" w:cs="Arial"/>
                <w:color w:val="000000"/>
              </w:rPr>
              <w:t xml:space="preserve"> standard</w:t>
            </w:r>
            <w:r w:rsidRPr="00E44DDD">
              <w:rPr>
                <w:rFonts w:ascii="Arial" w:eastAsia="Times New Roman" w:hAnsi="Arial" w:cs="Arial"/>
                <w:color w:val="000000"/>
              </w:rPr>
              <w:t>?</w:t>
            </w:r>
          </w:p>
        </w:tc>
        <w:tc>
          <w:tcPr>
            <w:tcW w:w="1819" w:type="dxa"/>
          </w:tcPr>
          <w:p w14:paraId="06F02240" w14:textId="77777777" w:rsidR="00D523A7" w:rsidRPr="00E44DDD" w:rsidRDefault="00D523A7" w:rsidP="007D443E">
            <w:pPr>
              <w:pStyle w:val="ListParagraph"/>
              <w:numPr>
                <w:ilvl w:val="0"/>
                <w:numId w:val="33"/>
              </w:numPr>
              <w:ind w:left="165" w:hanging="165"/>
              <w:rPr>
                <w:rFonts w:ascii="Arial" w:hAnsi="Arial" w:cs="Arial"/>
              </w:rPr>
            </w:pPr>
            <w:r w:rsidRPr="00E44DDD">
              <w:rPr>
                <w:rFonts w:ascii="Arial" w:hAnsi="Arial" w:cs="Arial"/>
              </w:rPr>
              <w:t>statewide assessments</w:t>
            </w:r>
          </w:p>
        </w:tc>
        <w:tc>
          <w:tcPr>
            <w:tcW w:w="3600" w:type="dxa"/>
          </w:tcPr>
          <w:p w14:paraId="455E966A" w14:textId="77777777" w:rsidR="00D523A7" w:rsidRPr="00E44DDD" w:rsidRDefault="00D523A7" w:rsidP="007D443E">
            <w:pPr>
              <w:pStyle w:val="ListParagraph"/>
              <w:numPr>
                <w:ilvl w:val="0"/>
                <w:numId w:val="33"/>
              </w:numPr>
              <w:ind w:left="165" w:hanging="165"/>
              <w:rPr>
                <w:rFonts w:ascii="Arial" w:hAnsi="Arial" w:cs="Arial"/>
              </w:rPr>
            </w:pPr>
            <w:r w:rsidRPr="00E44DDD">
              <w:rPr>
                <w:rFonts w:ascii="Arial" w:hAnsi="Arial" w:cs="Arial"/>
              </w:rPr>
              <w:t>MSIN requests and merges statewide assessment data for each migratory student</w:t>
            </w:r>
          </w:p>
        </w:tc>
        <w:tc>
          <w:tcPr>
            <w:tcW w:w="4809" w:type="dxa"/>
          </w:tcPr>
          <w:p w14:paraId="58BD3DF1" w14:textId="77777777" w:rsidR="00D523A7" w:rsidRPr="00E44DDD" w:rsidRDefault="00D523A7" w:rsidP="007D443E">
            <w:pPr>
              <w:pStyle w:val="ListParagraph"/>
              <w:numPr>
                <w:ilvl w:val="0"/>
                <w:numId w:val="33"/>
              </w:numPr>
              <w:ind w:left="165" w:hanging="165"/>
              <w:rPr>
                <w:rFonts w:ascii="Arial" w:hAnsi="Arial" w:cs="Arial"/>
              </w:rPr>
            </w:pPr>
            <w:r w:rsidRPr="00E44DDD">
              <w:rPr>
                <w:rFonts w:ascii="Arial" w:hAnsi="Arial" w:cs="Arial"/>
              </w:rPr>
              <w:t>Annual student achievement data for Grades 3–8 and 11:</w:t>
            </w:r>
          </w:p>
          <w:p w14:paraId="6EFE33CB" w14:textId="77777777" w:rsidR="00D523A7" w:rsidRPr="00E44DDD" w:rsidRDefault="00337E9A" w:rsidP="007D443E">
            <w:pPr>
              <w:pStyle w:val="ListParagraph"/>
              <w:numPr>
                <w:ilvl w:val="1"/>
                <w:numId w:val="33"/>
              </w:numPr>
              <w:ind w:left="792"/>
              <w:rPr>
                <w:rFonts w:ascii="Arial" w:hAnsi="Arial" w:cs="Arial"/>
              </w:rPr>
            </w:pPr>
            <w:r w:rsidRPr="00E44DDD">
              <w:rPr>
                <w:rFonts w:ascii="Arial" w:hAnsi="Arial" w:cs="Arial"/>
              </w:rPr>
              <w:t>Percent of migratory s</w:t>
            </w:r>
            <w:r w:rsidR="00DA313D" w:rsidRPr="00E44DDD">
              <w:rPr>
                <w:rFonts w:ascii="Arial" w:hAnsi="Arial" w:cs="Arial"/>
              </w:rPr>
              <w:t xml:space="preserve">tudents meeting and exceeding </w:t>
            </w:r>
            <w:r w:rsidR="00D523A7" w:rsidRPr="00E44DDD">
              <w:rPr>
                <w:rFonts w:ascii="Arial" w:hAnsi="Arial" w:cs="Arial"/>
              </w:rPr>
              <w:t>Math Claim – 1 Concepts and Procedures</w:t>
            </w:r>
          </w:p>
        </w:tc>
      </w:tr>
      <w:tr w:rsidR="00DC6A20" w:rsidRPr="00E44DDD" w14:paraId="5009E799" w14:textId="77777777" w:rsidTr="00940787">
        <w:trPr>
          <w:cnfStyle w:val="000000100000" w:firstRow="0" w:lastRow="0" w:firstColumn="0" w:lastColumn="0" w:oddVBand="0" w:evenVBand="0" w:oddHBand="1" w:evenHBand="0" w:firstRowFirstColumn="0" w:firstRowLastColumn="0" w:lastRowFirstColumn="0" w:lastRowLastColumn="0"/>
          <w:cantSplit/>
          <w:trHeight w:val="1205"/>
        </w:trPr>
        <w:tc>
          <w:tcPr>
            <w:tcW w:w="3351" w:type="dxa"/>
          </w:tcPr>
          <w:p w14:paraId="491EF125" w14:textId="77777777" w:rsidR="00DC6A20" w:rsidRPr="00E44DDD" w:rsidRDefault="00D523A7" w:rsidP="007D443E">
            <w:pPr>
              <w:pStyle w:val="ListParagraph"/>
              <w:numPr>
                <w:ilvl w:val="1"/>
                <w:numId w:val="53"/>
              </w:numPr>
              <w:rPr>
                <w:rFonts w:ascii="Arial" w:eastAsia="Times New Roman" w:hAnsi="Arial" w:cs="Arial"/>
                <w:color w:val="222222"/>
              </w:rPr>
            </w:pPr>
            <w:r w:rsidRPr="00E44DDD">
              <w:rPr>
                <w:rFonts w:ascii="Arial" w:eastAsia="Times New Roman" w:hAnsi="Arial" w:cs="Arial"/>
                <w:color w:val="000000"/>
              </w:rPr>
              <w:t xml:space="preserve">What </w:t>
            </w:r>
            <w:r w:rsidR="00337E9A" w:rsidRPr="00E44DDD">
              <w:rPr>
                <w:rFonts w:ascii="Arial" w:eastAsia="Times New Roman" w:hAnsi="Arial" w:cs="Arial"/>
                <w:color w:val="000000"/>
              </w:rPr>
              <w:t>percent of migratory s</w:t>
            </w:r>
            <w:r w:rsidR="00DF6230" w:rsidRPr="00E44DDD">
              <w:rPr>
                <w:rFonts w:ascii="Arial" w:eastAsia="Times New Roman" w:hAnsi="Arial" w:cs="Arial"/>
                <w:color w:val="000000"/>
              </w:rPr>
              <w:t xml:space="preserve">tudents are meeting or exceeding the </w:t>
            </w:r>
            <w:r w:rsidRPr="00E44DDD">
              <w:rPr>
                <w:rFonts w:ascii="Arial" w:eastAsia="Times New Roman" w:hAnsi="Arial" w:cs="Arial"/>
                <w:color w:val="000000"/>
              </w:rPr>
              <w:t xml:space="preserve">Claim 2 – Problem Solving and Modeling Data </w:t>
            </w:r>
            <w:r w:rsidR="00DF6230" w:rsidRPr="00E44DDD">
              <w:rPr>
                <w:rFonts w:ascii="Arial" w:eastAsia="Times New Roman" w:hAnsi="Arial" w:cs="Arial"/>
                <w:color w:val="000000"/>
              </w:rPr>
              <w:t>standard</w:t>
            </w:r>
            <w:r w:rsidRPr="00E44DDD">
              <w:rPr>
                <w:rFonts w:ascii="Arial" w:eastAsia="Times New Roman" w:hAnsi="Arial" w:cs="Arial"/>
                <w:color w:val="000000"/>
              </w:rPr>
              <w:t>?</w:t>
            </w:r>
          </w:p>
        </w:tc>
        <w:tc>
          <w:tcPr>
            <w:tcW w:w="1819" w:type="dxa"/>
          </w:tcPr>
          <w:p w14:paraId="431601F1" w14:textId="77777777" w:rsidR="00DC6A20" w:rsidRPr="00E44DDD" w:rsidRDefault="00DC6A20" w:rsidP="007D443E">
            <w:pPr>
              <w:pStyle w:val="ListParagraph"/>
              <w:numPr>
                <w:ilvl w:val="0"/>
                <w:numId w:val="33"/>
              </w:numPr>
              <w:ind w:left="165" w:hanging="165"/>
              <w:rPr>
                <w:rFonts w:ascii="Arial" w:hAnsi="Arial" w:cs="Arial"/>
              </w:rPr>
            </w:pPr>
            <w:r w:rsidRPr="00E44DDD">
              <w:rPr>
                <w:rFonts w:ascii="Arial" w:hAnsi="Arial" w:cs="Arial"/>
              </w:rPr>
              <w:t>statewide assessments</w:t>
            </w:r>
          </w:p>
        </w:tc>
        <w:tc>
          <w:tcPr>
            <w:tcW w:w="3600" w:type="dxa"/>
          </w:tcPr>
          <w:p w14:paraId="3E554ACD" w14:textId="77777777" w:rsidR="00DC6A20" w:rsidRPr="00E44DDD" w:rsidRDefault="00DC6A20" w:rsidP="007D443E">
            <w:pPr>
              <w:pStyle w:val="ListParagraph"/>
              <w:numPr>
                <w:ilvl w:val="0"/>
                <w:numId w:val="33"/>
              </w:numPr>
              <w:ind w:left="165" w:hanging="165"/>
              <w:rPr>
                <w:rFonts w:ascii="Arial" w:hAnsi="Arial" w:cs="Arial"/>
              </w:rPr>
            </w:pPr>
            <w:r w:rsidRPr="00E44DDD">
              <w:rPr>
                <w:rFonts w:ascii="Arial" w:hAnsi="Arial" w:cs="Arial"/>
              </w:rPr>
              <w:t xml:space="preserve">MSIN requests and merges statewide assessment data for each </w:t>
            </w:r>
            <w:r w:rsidR="007B0584" w:rsidRPr="00E44DDD">
              <w:rPr>
                <w:rFonts w:ascii="Arial" w:hAnsi="Arial" w:cs="Arial"/>
              </w:rPr>
              <w:t>m</w:t>
            </w:r>
            <w:r w:rsidRPr="00E44DDD">
              <w:rPr>
                <w:rFonts w:ascii="Arial" w:hAnsi="Arial" w:cs="Arial"/>
              </w:rPr>
              <w:t xml:space="preserve">igratory </w:t>
            </w:r>
            <w:r w:rsidR="007B0584" w:rsidRPr="00E44DDD">
              <w:rPr>
                <w:rFonts w:ascii="Arial" w:hAnsi="Arial" w:cs="Arial"/>
              </w:rPr>
              <w:t>s</w:t>
            </w:r>
            <w:r w:rsidRPr="00E44DDD">
              <w:rPr>
                <w:rFonts w:ascii="Arial" w:hAnsi="Arial" w:cs="Arial"/>
              </w:rPr>
              <w:t>tudent</w:t>
            </w:r>
          </w:p>
        </w:tc>
        <w:tc>
          <w:tcPr>
            <w:tcW w:w="4809" w:type="dxa"/>
          </w:tcPr>
          <w:p w14:paraId="6923628D" w14:textId="77777777" w:rsidR="00DC6A20" w:rsidRPr="00E44DDD" w:rsidRDefault="00DC6A20" w:rsidP="007D443E">
            <w:pPr>
              <w:pStyle w:val="ListParagraph"/>
              <w:numPr>
                <w:ilvl w:val="0"/>
                <w:numId w:val="33"/>
              </w:numPr>
              <w:ind w:left="165" w:hanging="165"/>
              <w:rPr>
                <w:rFonts w:ascii="Arial" w:hAnsi="Arial" w:cs="Arial"/>
              </w:rPr>
            </w:pPr>
            <w:r w:rsidRPr="00E44DDD">
              <w:rPr>
                <w:rFonts w:ascii="Arial" w:hAnsi="Arial" w:cs="Arial"/>
              </w:rPr>
              <w:t>Annua</w:t>
            </w:r>
            <w:r w:rsidR="007B0584" w:rsidRPr="00E44DDD">
              <w:rPr>
                <w:rFonts w:ascii="Arial" w:hAnsi="Arial" w:cs="Arial"/>
              </w:rPr>
              <w:t>l student achievement data for Grades 3–</w:t>
            </w:r>
            <w:r w:rsidRPr="00E44DDD">
              <w:rPr>
                <w:rFonts w:ascii="Arial" w:hAnsi="Arial" w:cs="Arial"/>
              </w:rPr>
              <w:t>8 and 11:</w:t>
            </w:r>
          </w:p>
          <w:p w14:paraId="0D88B163" w14:textId="77777777" w:rsidR="00DC6A20" w:rsidRPr="00E44DDD" w:rsidRDefault="00337E9A" w:rsidP="007D443E">
            <w:pPr>
              <w:pStyle w:val="ListParagraph"/>
              <w:numPr>
                <w:ilvl w:val="1"/>
                <w:numId w:val="33"/>
              </w:numPr>
              <w:ind w:left="792"/>
              <w:rPr>
                <w:rFonts w:ascii="Arial" w:hAnsi="Arial" w:cs="Arial"/>
              </w:rPr>
            </w:pPr>
            <w:r w:rsidRPr="00E44DDD">
              <w:rPr>
                <w:rFonts w:ascii="Arial" w:hAnsi="Arial" w:cs="Arial"/>
              </w:rPr>
              <w:t>Percent of migratory s</w:t>
            </w:r>
            <w:r w:rsidR="00DA313D" w:rsidRPr="00E44DDD">
              <w:rPr>
                <w:rFonts w:ascii="Arial" w:hAnsi="Arial" w:cs="Arial"/>
              </w:rPr>
              <w:t xml:space="preserve">tudents meeting and exceeding </w:t>
            </w:r>
            <w:r w:rsidR="00DC6A20" w:rsidRPr="00E44DDD">
              <w:rPr>
                <w:rFonts w:ascii="Arial" w:hAnsi="Arial" w:cs="Arial"/>
              </w:rPr>
              <w:t xml:space="preserve">Math </w:t>
            </w:r>
            <w:r w:rsidR="00D523A7" w:rsidRPr="00E44DDD">
              <w:rPr>
                <w:rFonts w:ascii="Arial" w:hAnsi="Arial" w:cs="Arial"/>
              </w:rPr>
              <w:t>Claim – 2 Problem Solving and Modeling Data</w:t>
            </w:r>
          </w:p>
        </w:tc>
      </w:tr>
    </w:tbl>
    <w:p w14:paraId="2706C11C" w14:textId="77777777" w:rsidR="00E44DDD" w:rsidRPr="00127E07" w:rsidRDefault="00E44DDD" w:rsidP="00C66062">
      <w:pPr>
        <w:numPr>
          <w:ilvl w:val="6"/>
          <w:numId w:val="18"/>
        </w:numPr>
        <w:ind w:left="360"/>
        <w:rPr>
          <w:rFonts w:ascii="Arial" w:eastAsia="Times New Roman" w:hAnsi="Arial" w:cs="Arial"/>
          <w:bCs/>
        </w:rPr>
      </w:pPr>
      <w:r>
        <w:br w:type="page"/>
      </w:r>
      <w:r w:rsidRPr="009206CE">
        <w:rPr>
          <w:rFonts w:ascii="Arial" w:eastAsia="Times New Roman" w:hAnsi="Arial" w:cs="Arial"/>
          <w:b/>
          <w:bCs/>
        </w:rPr>
        <w:lastRenderedPageBreak/>
        <w:t>ELD:</w:t>
      </w:r>
      <w:r w:rsidRPr="00127E07">
        <w:rPr>
          <w:rFonts w:ascii="Arial" w:eastAsia="Times New Roman" w:hAnsi="Arial" w:cs="Arial"/>
          <w:bCs/>
        </w:rPr>
        <w:t xml:space="preserve"> A</w:t>
      </w:r>
      <w:r w:rsidR="00377326" w:rsidRPr="00127E07">
        <w:rPr>
          <w:rFonts w:ascii="Arial" w:eastAsia="Times New Roman" w:hAnsi="Arial" w:cs="Arial"/>
          <w:bCs/>
        </w:rPr>
        <w:t>re the ELD skills of migratory s</w:t>
      </w:r>
      <w:r w:rsidRPr="00127E07">
        <w:rPr>
          <w:rFonts w:ascii="Arial" w:eastAsia="Times New Roman" w:hAnsi="Arial" w:cs="Arial"/>
          <w:bCs/>
        </w:rPr>
        <w:t>tudents</w:t>
      </w:r>
      <w:r w:rsidR="00377326" w:rsidRPr="00127E07">
        <w:rPr>
          <w:rFonts w:ascii="Arial" w:eastAsia="Times New Roman" w:hAnsi="Arial" w:cs="Arial"/>
          <w:bCs/>
        </w:rPr>
        <w:t xml:space="preserve"> improving?</w:t>
      </w:r>
    </w:p>
    <w:p w14:paraId="492B118F" w14:textId="77777777" w:rsidR="00E44DDD" w:rsidRPr="00127E07" w:rsidRDefault="00E44DDD" w:rsidP="00C66062">
      <w:pPr>
        <w:ind w:left="360"/>
      </w:pPr>
      <w:r w:rsidRPr="009206CE">
        <w:rPr>
          <w:rFonts w:ascii="Arial" w:hAnsi="Arial" w:cs="Arial"/>
          <w:b/>
        </w:rPr>
        <w:t>Performance Target:</w:t>
      </w:r>
      <w:r w:rsidRPr="00127E07">
        <w:rPr>
          <w:rFonts w:ascii="Arial" w:hAnsi="Arial" w:cs="Arial"/>
        </w:rPr>
        <w:t xml:space="preserve"> To be determined once the State completes the transition from CELDT to ELPAC assessments</w:t>
      </w:r>
    </w:p>
    <w:tbl>
      <w:tblPr>
        <w:tblStyle w:val="GridTable4-Accent5"/>
        <w:tblW w:w="13579" w:type="dxa"/>
        <w:tblLook w:val="0420" w:firstRow="1" w:lastRow="0" w:firstColumn="0" w:lastColumn="0" w:noHBand="0" w:noVBand="1"/>
        <w:tblDescription w:val="ELA Sub Questions"/>
      </w:tblPr>
      <w:tblGrid>
        <w:gridCol w:w="2947"/>
        <w:gridCol w:w="1913"/>
        <w:gridCol w:w="3640"/>
        <w:gridCol w:w="5079"/>
      </w:tblGrid>
      <w:tr w:rsidR="00E44DDD" w:rsidRPr="00F8330B" w14:paraId="2995653F"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2947" w:type="dxa"/>
            <w:tcBorders>
              <w:right w:val="single" w:sz="4" w:space="0" w:color="4472C4" w:themeColor="accent5"/>
            </w:tcBorders>
            <w:shd w:val="clear" w:color="auto" w:fill="1F3864" w:themeFill="accent5" w:themeFillShade="80"/>
            <w:vAlign w:val="center"/>
          </w:tcPr>
          <w:p w14:paraId="144D723E" w14:textId="77777777" w:rsidR="00E44DDD" w:rsidRPr="00F8330B" w:rsidRDefault="00E44DDD" w:rsidP="00E53F38">
            <w:pPr>
              <w:jc w:val="center"/>
              <w:rPr>
                <w:rFonts w:ascii="Arial" w:hAnsi="Arial" w:cs="Arial"/>
                <w:b w:val="0"/>
                <w:color w:val="FFFFFF"/>
              </w:rPr>
            </w:pPr>
            <w:r w:rsidRPr="00F8330B">
              <w:rPr>
                <w:rFonts w:ascii="Arial" w:hAnsi="Arial" w:cs="Arial"/>
                <w:color w:val="FFFFFF"/>
              </w:rPr>
              <w:t>Sub Questions</w:t>
            </w:r>
          </w:p>
          <w:p w14:paraId="7A247F73" w14:textId="77777777" w:rsidR="00E44DDD" w:rsidRPr="00F8330B" w:rsidRDefault="00E44DDD" w:rsidP="00E53F38">
            <w:pPr>
              <w:jc w:val="center"/>
              <w:rPr>
                <w:rFonts w:ascii="Arial" w:hAnsi="Arial" w:cs="Arial"/>
                <w:b w:val="0"/>
                <w:color w:val="FFFFFF"/>
              </w:rPr>
            </w:pPr>
            <w:r w:rsidRPr="00F8330B">
              <w:rPr>
                <w:rFonts w:ascii="Arial" w:hAnsi="Arial" w:cs="Arial"/>
                <w:color w:val="FFFFFF"/>
              </w:rPr>
              <w:t>These questions articulate the main issues that will be addressed in the review.</w:t>
            </w:r>
          </w:p>
        </w:tc>
        <w:tc>
          <w:tcPr>
            <w:tcW w:w="1913" w:type="dxa"/>
            <w:tcBorders>
              <w:left w:val="single" w:sz="4" w:space="0" w:color="4472C4" w:themeColor="accent5"/>
              <w:right w:val="single" w:sz="4" w:space="0" w:color="4472C4" w:themeColor="accent5"/>
            </w:tcBorders>
            <w:shd w:val="clear" w:color="auto" w:fill="1F3864" w:themeFill="accent5" w:themeFillShade="80"/>
            <w:vAlign w:val="center"/>
          </w:tcPr>
          <w:p w14:paraId="0949ACBB" w14:textId="6DCC9CCE" w:rsidR="00E44DDD" w:rsidRPr="00F8330B" w:rsidRDefault="00E44DDD" w:rsidP="00E53F38">
            <w:pPr>
              <w:jc w:val="center"/>
              <w:rPr>
                <w:rFonts w:ascii="Arial" w:hAnsi="Arial" w:cs="Arial"/>
                <w:b w:val="0"/>
                <w:color w:val="FFFFFF"/>
              </w:rPr>
            </w:pPr>
            <w:r w:rsidRPr="00F8330B">
              <w:rPr>
                <w:rFonts w:ascii="Arial" w:hAnsi="Arial" w:cs="Arial"/>
                <w:color w:val="FFFFFF"/>
              </w:rPr>
              <w:t>Data Sources</w:t>
            </w:r>
          </w:p>
        </w:tc>
        <w:tc>
          <w:tcPr>
            <w:tcW w:w="3640" w:type="dxa"/>
            <w:tcBorders>
              <w:left w:val="single" w:sz="4" w:space="0" w:color="4472C4" w:themeColor="accent5"/>
              <w:right w:val="single" w:sz="4" w:space="0" w:color="4472C4" w:themeColor="accent5"/>
            </w:tcBorders>
            <w:shd w:val="clear" w:color="auto" w:fill="1F3864" w:themeFill="accent5" w:themeFillShade="80"/>
            <w:vAlign w:val="center"/>
          </w:tcPr>
          <w:p w14:paraId="6A7432EF" w14:textId="77777777" w:rsidR="00E44DDD" w:rsidRPr="00F8330B" w:rsidRDefault="00E44DDD" w:rsidP="00E53F38">
            <w:pPr>
              <w:jc w:val="center"/>
              <w:rPr>
                <w:rFonts w:ascii="Arial" w:hAnsi="Arial" w:cs="Arial"/>
                <w:b w:val="0"/>
                <w:color w:val="FFFFFF"/>
              </w:rPr>
            </w:pPr>
            <w:r w:rsidRPr="00F8330B">
              <w:rPr>
                <w:rFonts w:ascii="Arial" w:hAnsi="Arial" w:cs="Arial"/>
                <w:color w:val="FFFFFF"/>
              </w:rPr>
              <w:t>Data Collection Method</w:t>
            </w:r>
          </w:p>
          <w:p w14:paraId="06D2F317" w14:textId="77777777" w:rsidR="00E44DDD" w:rsidRPr="00F8330B" w:rsidRDefault="00E44DDD" w:rsidP="00E53F38">
            <w:pPr>
              <w:jc w:val="center"/>
              <w:rPr>
                <w:rFonts w:ascii="Arial" w:hAnsi="Arial" w:cs="Arial"/>
                <w:b w:val="0"/>
                <w:color w:val="FFFFFF"/>
              </w:rPr>
            </w:pPr>
            <w:r w:rsidRPr="00F8330B">
              <w:rPr>
                <w:rFonts w:ascii="Arial" w:hAnsi="Arial" w:cs="Arial"/>
                <w:color w:val="FFFFFF"/>
              </w:rPr>
              <w:t>This is the method or tool we will use to collect these data.</w:t>
            </w:r>
          </w:p>
        </w:tc>
        <w:tc>
          <w:tcPr>
            <w:tcW w:w="5079" w:type="dxa"/>
            <w:tcBorders>
              <w:left w:val="single" w:sz="4" w:space="0" w:color="4472C4" w:themeColor="accent5"/>
            </w:tcBorders>
            <w:shd w:val="clear" w:color="auto" w:fill="1F3864" w:themeFill="accent5" w:themeFillShade="80"/>
            <w:vAlign w:val="center"/>
          </w:tcPr>
          <w:p w14:paraId="65C45AEC" w14:textId="377DBD1C" w:rsidR="00E44DDD" w:rsidRPr="00F8330B" w:rsidRDefault="00E44DDD" w:rsidP="00E53F38">
            <w:pPr>
              <w:jc w:val="center"/>
              <w:rPr>
                <w:rFonts w:ascii="Arial" w:hAnsi="Arial" w:cs="Arial"/>
                <w:b w:val="0"/>
                <w:color w:val="FFFFFF"/>
              </w:rPr>
            </w:pPr>
            <w:r w:rsidRPr="00F8330B">
              <w:rPr>
                <w:rFonts w:ascii="Arial" w:hAnsi="Arial" w:cs="Arial"/>
                <w:color w:val="FFFFFF"/>
              </w:rPr>
              <w:t>Indicators</w:t>
            </w:r>
          </w:p>
          <w:p w14:paraId="38E0F7F6" w14:textId="77777777" w:rsidR="00E44DDD" w:rsidRPr="00F8330B" w:rsidRDefault="00E44DDD" w:rsidP="00E53F38">
            <w:pPr>
              <w:jc w:val="center"/>
              <w:rPr>
                <w:rFonts w:ascii="Arial" w:hAnsi="Arial" w:cs="Arial"/>
                <w:b w:val="0"/>
                <w:color w:val="FFFFFF"/>
              </w:rPr>
            </w:pPr>
            <w:r w:rsidRPr="00F8330B">
              <w:rPr>
                <w:rFonts w:ascii="Arial" w:hAnsi="Arial" w:cs="Arial"/>
                <w:color w:val="FFFFFF"/>
              </w:rPr>
              <w:t>These define the evidence we collect—they are measures that monitor progress and if things are changing the way we anticipated. They are specific, observable, and measurable.</w:t>
            </w:r>
          </w:p>
        </w:tc>
      </w:tr>
      <w:tr w:rsidR="00DC6A20" w:rsidRPr="00F8330B" w14:paraId="3F590B0F" w14:textId="77777777" w:rsidTr="00940787">
        <w:trPr>
          <w:cnfStyle w:val="000000100000" w:firstRow="0" w:lastRow="0" w:firstColumn="0" w:lastColumn="0" w:oddVBand="0" w:evenVBand="0" w:oddHBand="1" w:evenHBand="0" w:firstRowFirstColumn="0" w:firstRowLastColumn="0" w:lastRowFirstColumn="0" w:lastRowLastColumn="0"/>
          <w:cantSplit/>
          <w:trHeight w:val="935"/>
        </w:trPr>
        <w:tc>
          <w:tcPr>
            <w:tcW w:w="2947" w:type="dxa"/>
          </w:tcPr>
          <w:p w14:paraId="6359E34C" w14:textId="77777777" w:rsidR="00DC6A20" w:rsidRPr="00F8330B" w:rsidRDefault="00DC6A20" w:rsidP="007D443E">
            <w:pPr>
              <w:pStyle w:val="ListParagraph"/>
              <w:numPr>
                <w:ilvl w:val="1"/>
                <w:numId w:val="34"/>
              </w:numPr>
              <w:rPr>
                <w:rFonts w:ascii="Arial" w:eastAsia="Times New Roman" w:hAnsi="Arial" w:cs="Arial"/>
                <w:color w:val="222222"/>
              </w:rPr>
            </w:pPr>
            <w:r w:rsidRPr="00F8330B">
              <w:rPr>
                <w:rFonts w:ascii="Arial" w:eastAsia="Times New Roman" w:hAnsi="Arial" w:cs="Arial"/>
                <w:color w:val="000000"/>
              </w:rPr>
              <w:t xml:space="preserve">What </w:t>
            </w:r>
            <w:r w:rsidR="00337E9A" w:rsidRPr="00F8330B">
              <w:rPr>
                <w:rFonts w:ascii="Arial" w:eastAsia="Times New Roman" w:hAnsi="Arial" w:cs="Arial"/>
                <w:color w:val="000000"/>
              </w:rPr>
              <w:t>percent of m</w:t>
            </w:r>
            <w:r w:rsidR="00DF6230" w:rsidRPr="00F8330B">
              <w:rPr>
                <w:rFonts w:ascii="Arial" w:eastAsia="Times New Roman" w:hAnsi="Arial" w:cs="Arial"/>
                <w:color w:val="000000"/>
              </w:rPr>
              <w:t>igratory</w:t>
            </w:r>
            <w:r w:rsidR="00337E9A" w:rsidRPr="00F8330B">
              <w:rPr>
                <w:rFonts w:ascii="Arial" w:eastAsia="Times New Roman" w:hAnsi="Arial" w:cs="Arial"/>
                <w:color w:val="000000"/>
              </w:rPr>
              <w:t xml:space="preserve"> s</w:t>
            </w:r>
            <w:r w:rsidR="00DF6230" w:rsidRPr="00F8330B">
              <w:rPr>
                <w:rFonts w:ascii="Arial" w:eastAsia="Times New Roman" w:hAnsi="Arial" w:cs="Arial"/>
                <w:color w:val="000000"/>
              </w:rPr>
              <w:t>tudents score proficient and above in</w:t>
            </w:r>
            <w:r w:rsidR="007E73CF" w:rsidRPr="00F8330B">
              <w:rPr>
                <w:rFonts w:ascii="Arial" w:eastAsia="Times New Roman" w:hAnsi="Arial" w:cs="Arial"/>
                <w:color w:val="000000"/>
              </w:rPr>
              <w:t xml:space="preserve"> ELP achievement</w:t>
            </w:r>
            <w:r w:rsidRPr="00F8330B">
              <w:rPr>
                <w:rFonts w:ascii="Arial" w:eastAsia="Times New Roman" w:hAnsi="Arial" w:cs="Arial"/>
                <w:color w:val="000000"/>
              </w:rPr>
              <w:t>?</w:t>
            </w:r>
          </w:p>
        </w:tc>
        <w:tc>
          <w:tcPr>
            <w:tcW w:w="1913" w:type="dxa"/>
          </w:tcPr>
          <w:p w14:paraId="0A71CA68" w14:textId="77777777" w:rsidR="00DC6A20" w:rsidRPr="00F8330B" w:rsidRDefault="00DC6A20" w:rsidP="007D443E">
            <w:pPr>
              <w:pStyle w:val="ListParagraph"/>
              <w:numPr>
                <w:ilvl w:val="0"/>
                <w:numId w:val="33"/>
              </w:numPr>
              <w:ind w:left="165" w:hanging="165"/>
              <w:rPr>
                <w:rFonts w:ascii="Arial" w:hAnsi="Arial" w:cs="Arial"/>
              </w:rPr>
            </w:pPr>
            <w:r w:rsidRPr="00F8330B">
              <w:rPr>
                <w:rFonts w:ascii="Arial" w:hAnsi="Arial" w:cs="Arial"/>
              </w:rPr>
              <w:t>statewide assessments</w:t>
            </w:r>
          </w:p>
        </w:tc>
        <w:tc>
          <w:tcPr>
            <w:tcW w:w="3640" w:type="dxa"/>
          </w:tcPr>
          <w:p w14:paraId="4A6EAB8E" w14:textId="77777777" w:rsidR="00DC6A20" w:rsidRPr="00F8330B" w:rsidRDefault="00DC6A20" w:rsidP="007D443E">
            <w:pPr>
              <w:pStyle w:val="ListParagraph"/>
              <w:numPr>
                <w:ilvl w:val="0"/>
                <w:numId w:val="33"/>
              </w:numPr>
              <w:ind w:left="165" w:hanging="165"/>
              <w:rPr>
                <w:rFonts w:ascii="Arial" w:hAnsi="Arial" w:cs="Arial"/>
              </w:rPr>
            </w:pPr>
            <w:r w:rsidRPr="00F8330B">
              <w:rPr>
                <w:rFonts w:ascii="Arial" w:hAnsi="Arial" w:cs="Arial"/>
              </w:rPr>
              <w:t>MSIN requests and merges statewide assessment d</w:t>
            </w:r>
            <w:r w:rsidR="007E73CF" w:rsidRPr="00F8330B">
              <w:rPr>
                <w:rFonts w:ascii="Arial" w:hAnsi="Arial" w:cs="Arial"/>
              </w:rPr>
              <w:t>ata for each m</w:t>
            </w:r>
            <w:r w:rsidRPr="00F8330B">
              <w:rPr>
                <w:rFonts w:ascii="Arial" w:hAnsi="Arial" w:cs="Arial"/>
              </w:rPr>
              <w:t>igratory student</w:t>
            </w:r>
          </w:p>
        </w:tc>
        <w:tc>
          <w:tcPr>
            <w:tcW w:w="5079" w:type="dxa"/>
          </w:tcPr>
          <w:p w14:paraId="12B85422" w14:textId="77777777" w:rsidR="00DC6A20" w:rsidRPr="00F8330B" w:rsidRDefault="00DC6A20" w:rsidP="007D443E">
            <w:pPr>
              <w:pStyle w:val="ListParagraph"/>
              <w:numPr>
                <w:ilvl w:val="0"/>
                <w:numId w:val="33"/>
              </w:numPr>
              <w:ind w:left="165" w:hanging="165"/>
              <w:rPr>
                <w:rFonts w:ascii="Arial" w:hAnsi="Arial" w:cs="Arial"/>
              </w:rPr>
            </w:pPr>
            <w:r w:rsidRPr="00F8330B">
              <w:rPr>
                <w:rFonts w:ascii="Arial" w:hAnsi="Arial" w:cs="Arial"/>
              </w:rPr>
              <w:t xml:space="preserve">Annual </w:t>
            </w:r>
            <w:r w:rsidR="00B21FF1" w:rsidRPr="00F8330B">
              <w:rPr>
                <w:rFonts w:ascii="Arial" w:hAnsi="Arial" w:cs="Arial"/>
              </w:rPr>
              <w:t>English Language Proficiency data</w:t>
            </w:r>
            <w:r w:rsidRPr="00F8330B">
              <w:rPr>
                <w:rFonts w:ascii="Arial" w:hAnsi="Arial" w:cs="Arial"/>
              </w:rPr>
              <w:t>:</w:t>
            </w:r>
          </w:p>
          <w:p w14:paraId="44806542" w14:textId="77777777" w:rsidR="00DC6A20" w:rsidRPr="00F8330B" w:rsidRDefault="00337E9A" w:rsidP="007D443E">
            <w:pPr>
              <w:pStyle w:val="ListParagraph"/>
              <w:numPr>
                <w:ilvl w:val="1"/>
                <w:numId w:val="33"/>
              </w:numPr>
              <w:ind w:left="522" w:hanging="270"/>
              <w:rPr>
                <w:rFonts w:ascii="Arial" w:hAnsi="Arial" w:cs="Arial"/>
              </w:rPr>
            </w:pPr>
            <w:r w:rsidRPr="00F8330B">
              <w:rPr>
                <w:rFonts w:ascii="Arial" w:hAnsi="Arial" w:cs="Arial"/>
              </w:rPr>
              <w:t>Percent of migratory s</w:t>
            </w:r>
            <w:r w:rsidR="00DF6230" w:rsidRPr="00F8330B">
              <w:rPr>
                <w:rFonts w:ascii="Arial" w:hAnsi="Arial" w:cs="Arial"/>
              </w:rPr>
              <w:t>tudents scoring proficient or above on o</w:t>
            </w:r>
            <w:r w:rsidR="00DC6A20" w:rsidRPr="00F8330B">
              <w:rPr>
                <w:rFonts w:ascii="Arial" w:hAnsi="Arial" w:cs="Arial"/>
              </w:rPr>
              <w:t xml:space="preserve">verall </w:t>
            </w:r>
            <w:r w:rsidR="00DF6230" w:rsidRPr="00F8330B">
              <w:rPr>
                <w:rFonts w:ascii="Arial" w:hAnsi="Arial" w:cs="Arial"/>
              </w:rPr>
              <w:t xml:space="preserve">ELP </w:t>
            </w:r>
            <w:r w:rsidR="009F5BE5" w:rsidRPr="00F8330B">
              <w:rPr>
                <w:rFonts w:ascii="Arial" w:hAnsi="Arial" w:cs="Arial"/>
              </w:rPr>
              <w:t>a</w:t>
            </w:r>
            <w:r w:rsidR="00DC6A20" w:rsidRPr="00F8330B">
              <w:rPr>
                <w:rFonts w:ascii="Arial" w:hAnsi="Arial" w:cs="Arial"/>
              </w:rPr>
              <w:t>chievement</w:t>
            </w:r>
          </w:p>
          <w:p w14:paraId="0CB964B4" w14:textId="77777777" w:rsidR="00C01B6E" w:rsidRPr="00127E07" w:rsidRDefault="00337E9A" w:rsidP="007D443E">
            <w:pPr>
              <w:pStyle w:val="ListParagraph"/>
              <w:numPr>
                <w:ilvl w:val="1"/>
                <w:numId w:val="33"/>
              </w:numPr>
              <w:ind w:left="522" w:hanging="270"/>
              <w:rPr>
                <w:rFonts w:ascii="Arial" w:hAnsi="Arial" w:cs="Arial"/>
              </w:rPr>
            </w:pPr>
            <w:r w:rsidRPr="00F8330B">
              <w:rPr>
                <w:rFonts w:ascii="Arial" w:hAnsi="Arial" w:cs="Arial"/>
              </w:rPr>
              <w:t>Percent of migratory s</w:t>
            </w:r>
            <w:r w:rsidR="00DF6230" w:rsidRPr="00F8330B">
              <w:rPr>
                <w:rFonts w:ascii="Arial" w:hAnsi="Arial" w:cs="Arial"/>
              </w:rPr>
              <w:t>tudents scoring proficient or above on a</w:t>
            </w:r>
            <w:r w:rsidR="00B21FF1" w:rsidRPr="00F8330B">
              <w:rPr>
                <w:rFonts w:ascii="Arial" w:hAnsi="Arial" w:cs="Arial"/>
              </w:rPr>
              <w:t>chievemen</w:t>
            </w:r>
            <w:r w:rsidR="009F5BE5" w:rsidRPr="00F8330B">
              <w:rPr>
                <w:rFonts w:ascii="Arial" w:hAnsi="Arial" w:cs="Arial"/>
              </w:rPr>
              <w:t>t by d</w:t>
            </w:r>
            <w:r w:rsidR="00B21FF1" w:rsidRPr="00F8330B">
              <w:rPr>
                <w:rFonts w:ascii="Arial" w:hAnsi="Arial" w:cs="Arial"/>
              </w:rPr>
              <w:t>omain</w:t>
            </w:r>
          </w:p>
        </w:tc>
      </w:tr>
    </w:tbl>
    <w:p w14:paraId="560A04BB" w14:textId="77777777" w:rsidR="00E44DDD" w:rsidRPr="00127E07" w:rsidRDefault="00E44DDD" w:rsidP="00C66062">
      <w:pPr>
        <w:numPr>
          <w:ilvl w:val="6"/>
          <w:numId w:val="64"/>
        </w:numPr>
        <w:spacing w:before="240"/>
        <w:ind w:left="360"/>
        <w:rPr>
          <w:rFonts w:ascii="Arial" w:eastAsia="Times New Roman" w:hAnsi="Arial" w:cs="Arial"/>
          <w:bCs/>
        </w:rPr>
      </w:pPr>
      <w:r w:rsidRPr="009206CE">
        <w:rPr>
          <w:rFonts w:ascii="Arial" w:eastAsia="Times New Roman" w:hAnsi="Arial" w:cs="Arial"/>
          <w:b/>
          <w:bCs/>
        </w:rPr>
        <w:t>High School Graduation:</w:t>
      </w:r>
      <w:r w:rsidRPr="00127E07">
        <w:rPr>
          <w:rFonts w:ascii="Arial" w:eastAsia="Times New Roman" w:hAnsi="Arial" w:cs="Arial"/>
          <w:bCs/>
        </w:rPr>
        <w:t xml:space="preserve"> Is the high </w:t>
      </w:r>
      <w:r w:rsidR="00377326" w:rsidRPr="00127E07">
        <w:rPr>
          <w:rFonts w:ascii="Arial" w:eastAsia="Times New Roman" w:hAnsi="Arial" w:cs="Arial"/>
          <w:bCs/>
        </w:rPr>
        <w:t>school graduation rate of migratory students improving?</w:t>
      </w:r>
    </w:p>
    <w:p w14:paraId="5964624F" w14:textId="77777777" w:rsidR="00E44DDD" w:rsidRPr="00127E07" w:rsidRDefault="00E44DDD" w:rsidP="00C66062">
      <w:pPr>
        <w:ind w:left="360"/>
      </w:pPr>
      <w:r w:rsidRPr="009206CE">
        <w:rPr>
          <w:rFonts w:ascii="Arial" w:hAnsi="Arial" w:cs="Arial"/>
          <w:b/>
        </w:rPr>
        <w:t>Performance Target:</w:t>
      </w:r>
      <w:r w:rsidRPr="00127E07">
        <w:rPr>
          <w:rFonts w:ascii="Arial" w:hAnsi="Arial" w:cs="Arial"/>
        </w:rPr>
        <w:t xml:space="preserve"> By 2020–21, migratory students will reach a graduation rate of at least 83 percent.</w:t>
      </w:r>
    </w:p>
    <w:tbl>
      <w:tblPr>
        <w:tblStyle w:val="GridTable4-Accent1"/>
        <w:tblW w:w="13579" w:type="dxa"/>
        <w:tblLook w:val="0420" w:firstRow="1" w:lastRow="0" w:firstColumn="0" w:lastColumn="0" w:noHBand="0" w:noVBand="1"/>
        <w:tblDescription w:val="High School Graduation Sub Questions"/>
      </w:tblPr>
      <w:tblGrid>
        <w:gridCol w:w="2947"/>
        <w:gridCol w:w="1913"/>
        <w:gridCol w:w="4045"/>
        <w:gridCol w:w="4674"/>
      </w:tblGrid>
      <w:tr w:rsidR="00377326" w:rsidRPr="00F8330B" w14:paraId="11808C3F"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2947" w:type="dxa"/>
            <w:tcBorders>
              <w:right w:val="single" w:sz="4" w:space="0" w:color="4472C4" w:themeColor="accent5"/>
            </w:tcBorders>
            <w:shd w:val="clear" w:color="auto" w:fill="1F3864" w:themeFill="accent5" w:themeFillShade="80"/>
            <w:vAlign w:val="center"/>
          </w:tcPr>
          <w:p w14:paraId="7B1C4B82"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Sub Questions</w:t>
            </w:r>
          </w:p>
          <w:p w14:paraId="0789C021"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These questions articulate the main issues that will be addressed in the review.</w:t>
            </w:r>
          </w:p>
        </w:tc>
        <w:tc>
          <w:tcPr>
            <w:tcW w:w="1913" w:type="dxa"/>
            <w:tcBorders>
              <w:left w:val="single" w:sz="4" w:space="0" w:color="4472C4" w:themeColor="accent5"/>
              <w:right w:val="single" w:sz="4" w:space="0" w:color="4472C4" w:themeColor="accent5"/>
            </w:tcBorders>
            <w:shd w:val="clear" w:color="auto" w:fill="1F3864" w:themeFill="accent5" w:themeFillShade="80"/>
            <w:vAlign w:val="center"/>
          </w:tcPr>
          <w:p w14:paraId="6A9772CD" w14:textId="2697489F" w:rsidR="00377326" w:rsidRPr="00F8330B" w:rsidRDefault="00377326" w:rsidP="00E53F38">
            <w:pPr>
              <w:jc w:val="center"/>
              <w:rPr>
                <w:rFonts w:ascii="Arial" w:hAnsi="Arial" w:cs="Arial"/>
                <w:b w:val="0"/>
                <w:color w:val="FFFFFF"/>
              </w:rPr>
            </w:pPr>
            <w:r w:rsidRPr="00F8330B">
              <w:rPr>
                <w:rFonts w:ascii="Arial" w:hAnsi="Arial" w:cs="Arial"/>
                <w:color w:val="FFFFFF"/>
              </w:rPr>
              <w:t>Data Sources</w:t>
            </w:r>
          </w:p>
        </w:tc>
        <w:tc>
          <w:tcPr>
            <w:tcW w:w="4045" w:type="dxa"/>
            <w:tcBorders>
              <w:left w:val="single" w:sz="4" w:space="0" w:color="4472C4" w:themeColor="accent5"/>
              <w:right w:val="single" w:sz="4" w:space="0" w:color="4472C4" w:themeColor="accent5"/>
            </w:tcBorders>
            <w:shd w:val="clear" w:color="auto" w:fill="1F3864" w:themeFill="accent5" w:themeFillShade="80"/>
            <w:vAlign w:val="center"/>
          </w:tcPr>
          <w:p w14:paraId="4F1C090D"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Data Collection Method</w:t>
            </w:r>
          </w:p>
          <w:p w14:paraId="019404C1"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This is the method or tool we will use to collect these data.</w:t>
            </w:r>
          </w:p>
        </w:tc>
        <w:tc>
          <w:tcPr>
            <w:tcW w:w="4674" w:type="dxa"/>
            <w:tcBorders>
              <w:left w:val="single" w:sz="4" w:space="0" w:color="4472C4" w:themeColor="accent5"/>
            </w:tcBorders>
            <w:shd w:val="clear" w:color="auto" w:fill="1F3864" w:themeFill="accent5" w:themeFillShade="80"/>
            <w:vAlign w:val="center"/>
          </w:tcPr>
          <w:p w14:paraId="2687091A" w14:textId="14C9CB0A" w:rsidR="00377326" w:rsidRPr="00F8330B" w:rsidRDefault="00377326" w:rsidP="00E53F38">
            <w:pPr>
              <w:jc w:val="center"/>
              <w:rPr>
                <w:rFonts w:ascii="Arial" w:hAnsi="Arial" w:cs="Arial"/>
                <w:b w:val="0"/>
                <w:color w:val="FFFFFF"/>
              </w:rPr>
            </w:pPr>
            <w:r w:rsidRPr="00F8330B">
              <w:rPr>
                <w:rFonts w:ascii="Arial" w:hAnsi="Arial" w:cs="Arial"/>
                <w:color w:val="FFFFFF"/>
              </w:rPr>
              <w:t>Indicators</w:t>
            </w:r>
          </w:p>
          <w:p w14:paraId="2574EBA3"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These define the evidence we collect—they are measures that monitor progress and if things are changing the way we anticipated. They are specific, observable, and measurable.</w:t>
            </w:r>
          </w:p>
        </w:tc>
      </w:tr>
      <w:tr w:rsidR="00EA493F" w:rsidRPr="00F8330B" w14:paraId="7D04D574"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947" w:type="dxa"/>
          </w:tcPr>
          <w:p w14:paraId="0B90F550" w14:textId="77777777" w:rsidR="00EA493F" w:rsidRPr="00F8330B" w:rsidRDefault="00337E9A" w:rsidP="007D443E">
            <w:pPr>
              <w:pStyle w:val="ListParagraph"/>
              <w:numPr>
                <w:ilvl w:val="1"/>
                <w:numId w:val="49"/>
              </w:numPr>
              <w:ind w:left="338"/>
              <w:rPr>
                <w:rFonts w:ascii="Arial" w:eastAsia="Times New Roman" w:hAnsi="Arial" w:cs="Arial"/>
                <w:color w:val="222222"/>
              </w:rPr>
            </w:pPr>
            <w:r w:rsidRPr="00F8330B">
              <w:rPr>
                <w:rFonts w:ascii="Arial" w:eastAsia="Times New Roman" w:hAnsi="Arial" w:cs="Arial"/>
                <w:color w:val="000000"/>
              </w:rPr>
              <w:t>What is the annual change in m</w:t>
            </w:r>
            <w:r w:rsidR="00D523A7" w:rsidRPr="00F8330B">
              <w:rPr>
                <w:rFonts w:ascii="Arial" w:eastAsia="Times New Roman" w:hAnsi="Arial" w:cs="Arial"/>
                <w:color w:val="000000"/>
              </w:rPr>
              <w:t xml:space="preserve">igratory </w:t>
            </w:r>
            <w:r w:rsidRPr="00F8330B">
              <w:rPr>
                <w:rFonts w:ascii="Arial" w:eastAsia="Times New Roman" w:hAnsi="Arial" w:cs="Arial"/>
                <w:color w:val="000000"/>
              </w:rPr>
              <w:t>s</w:t>
            </w:r>
            <w:r w:rsidR="00886B2A" w:rsidRPr="00F8330B">
              <w:rPr>
                <w:rFonts w:ascii="Arial" w:eastAsia="Times New Roman" w:hAnsi="Arial" w:cs="Arial"/>
                <w:color w:val="000000"/>
              </w:rPr>
              <w:t>tudent high school</w:t>
            </w:r>
            <w:r w:rsidR="00EA493F" w:rsidRPr="00F8330B">
              <w:rPr>
                <w:rFonts w:ascii="Arial" w:eastAsia="Times New Roman" w:hAnsi="Arial" w:cs="Arial"/>
                <w:color w:val="000000"/>
              </w:rPr>
              <w:t xml:space="preserve"> graduation rates?</w:t>
            </w:r>
          </w:p>
        </w:tc>
        <w:tc>
          <w:tcPr>
            <w:tcW w:w="1913" w:type="dxa"/>
          </w:tcPr>
          <w:p w14:paraId="531FC488" w14:textId="77777777" w:rsidR="00EA493F" w:rsidRPr="00F8330B" w:rsidRDefault="00F1584A" w:rsidP="007D443E">
            <w:pPr>
              <w:pStyle w:val="ListParagraph"/>
              <w:numPr>
                <w:ilvl w:val="0"/>
                <w:numId w:val="33"/>
              </w:numPr>
              <w:ind w:left="165" w:hanging="165"/>
              <w:rPr>
                <w:rFonts w:ascii="Arial" w:hAnsi="Arial" w:cs="Arial"/>
              </w:rPr>
            </w:pPr>
            <w:r w:rsidRPr="00F8330B">
              <w:rPr>
                <w:rFonts w:ascii="Arial" w:hAnsi="Arial" w:cs="Arial"/>
              </w:rPr>
              <w:t>LEAs report high school graduation data to CDE</w:t>
            </w:r>
          </w:p>
          <w:p w14:paraId="04C37C06" w14:textId="77777777" w:rsidR="00F1584A" w:rsidRPr="00F8330B" w:rsidRDefault="00F1584A" w:rsidP="007D443E">
            <w:pPr>
              <w:pStyle w:val="ListParagraph"/>
              <w:numPr>
                <w:ilvl w:val="0"/>
                <w:numId w:val="33"/>
              </w:numPr>
              <w:ind w:left="165" w:hanging="165"/>
              <w:rPr>
                <w:rFonts w:ascii="Arial" w:hAnsi="Arial" w:cs="Arial"/>
              </w:rPr>
            </w:pPr>
            <w:r w:rsidRPr="00F8330B">
              <w:rPr>
                <w:rFonts w:ascii="Arial" w:hAnsi="Arial" w:cs="Arial"/>
              </w:rPr>
              <w:t>DataQuest</w:t>
            </w:r>
          </w:p>
        </w:tc>
        <w:tc>
          <w:tcPr>
            <w:tcW w:w="4045" w:type="dxa"/>
          </w:tcPr>
          <w:p w14:paraId="5A79AF78" w14:textId="77777777" w:rsidR="00EA493F" w:rsidRPr="00F8330B" w:rsidRDefault="006B393D" w:rsidP="007D443E">
            <w:pPr>
              <w:pStyle w:val="ListParagraph"/>
              <w:numPr>
                <w:ilvl w:val="0"/>
                <w:numId w:val="33"/>
              </w:numPr>
              <w:ind w:left="165" w:hanging="165"/>
              <w:rPr>
                <w:rFonts w:ascii="Arial" w:hAnsi="Arial" w:cs="Arial"/>
              </w:rPr>
            </w:pPr>
            <w:r w:rsidRPr="00F8330B">
              <w:rPr>
                <w:rFonts w:ascii="Arial" w:hAnsi="Arial" w:cs="Arial"/>
              </w:rPr>
              <w:t>LEAs report high school graduation data to CDE</w:t>
            </w:r>
            <w:r w:rsidR="007F60C6" w:rsidRPr="00F8330B">
              <w:rPr>
                <w:rFonts w:ascii="Arial" w:hAnsi="Arial" w:cs="Arial"/>
              </w:rPr>
              <w:t xml:space="preserve"> annuall</w:t>
            </w:r>
            <w:r w:rsidR="00C01B6E" w:rsidRPr="00F8330B">
              <w:rPr>
                <w:rFonts w:ascii="Arial" w:hAnsi="Arial" w:cs="Arial"/>
              </w:rPr>
              <w:t>y</w:t>
            </w:r>
          </w:p>
        </w:tc>
        <w:tc>
          <w:tcPr>
            <w:tcW w:w="4674" w:type="dxa"/>
          </w:tcPr>
          <w:p w14:paraId="094D7EC4" w14:textId="77777777" w:rsidR="00EA493F" w:rsidRPr="00F8330B" w:rsidRDefault="007E7CC8" w:rsidP="007D443E">
            <w:pPr>
              <w:pStyle w:val="ListParagraph"/>
              <w:numPr>
                <w:ilvl w:val="0"/>
                <w:numId w:val="33"/>
              </w:numPr>
              <w:ind w:left="165" w:hanging="165"/>
              <w:rPr>
                <w:rFonts w:ascii="Arial" w:hAnsi="Arial" w:cs="Arial"/>
              </w:rPr>
            </w:pPr>
            <w:r w:rsidRPr="00F8330B">
              <w:rPr>
                <w:rFonts w:ascii="Arial" w:hAnsi="Arial" w:cs="Arial"/>
              </w:rPr>
              <w:t>Annual California high school graduation rate</w:t>
            </w:r>
          </w:p>
        </w:tc>
      </w:tr>
    </w:tbl>
    <w:p w14:paraId="3D7DC272" w14:textId="77777777" w:rsidR="00E44DDD" w:rsidRPr="00127E07" w:rsidRDefault="00127E07" w:rsidP="00C66062">
      <w:pPr>
        <w:numPr>
          <w:ilvl w:val="0"/>
          <w:numId w:val="49"/>
        </w:numPr>
        <w:spacing w:before="240"/>
        <w:ind w:left="360"/>
        <w:rPr>
          <w:rFonts w:ascii="Arial" w:eastAsia="Times New Roman" w:hAnsi="Arial" w:cs="Arial"/>
          <w:bCs/>
        </w:rPr>
      </w:pPr>
      <w:r>
        <w:rPr>
          <w:rFonts w:ascii="Arial" w:eastAsia="Times New Roman" w:hAnsi="Arial" w:cs="Arial"/>
          <w:b/>
          <w:bCs/>
        </w:rPr>
        <w:br w:type="page"/>
      </w:r>
      <w:r w:rsidR="00377326" w:rsidRPr="009206CE">
        <w:rPr>
          <w:rFonts w:ascii="Arial" w:eastAsia="Times New Roman" w:hAnsi="Arial" w:cs="Arial"/>
          <w:b/>
          <w:bCs/>
        </w:rPr>
        <w:lastRenderedPageBreak/>
        <w:t>High School Drop Out Rate:</w:t>
      </w:r>
      <w:r w:rsidR="00377326" w:rsidRPr="00127E07">
        <w:rPr>
          <w:rFonts w:ascii="Arial" w:eastAsia="Times New Roman" w:hAnsi="Arial" w:cs="Arial"/>
          <w:bCs/>
        </w:rPr>
        <w:t xml:space="preserve"> Is the high school dropout rate of migratory students decreasing?</w:t>
      </w:r>
    </w:p>
    <w:p w14:paraId="1C995A45" w14:textId="77777777" w:rsidR="00377326" w:rsidRPr="00127E07" w:rsidRDefault="00377326" w:rsidP="00C66062">
      <w:pPr>
        <w:ind w:left="360"/>
      </w:pPr>
      <w:r w:rsidRPr="009206CE">
        <w:rPr>
          <w:rFonts w:ascii="Arial" w:hAnsi="Arial" w:cs="Arial"/>
          <w:b/>
        </w:rPr>
        <w:t>Performance Target:</w:t>
      </w:r>
      <w:r w:rsidRPr="00127E07">
        <w:rPr>
          <w:rFonts w:ascii="Arial" w:hAnsi="Arial" w:cs="Arial"/>
        </w:rPr>
        <w:t xml:space="preserve"> By 2020–21, the migratory student dropout rate will decrease to nine percent.</w:t>
      </w:r>
    </w:p>
    <w:tbl>
      <w:tblPr>
        <w:tblStyle w:val="GridTable4-Accent1"/>
        <w:tblW w:w="13579" w:type="dxa"/>
        <w:tblLook w:val="0420" w:firstRow="1" w:lastRow="0" w:firstColumn="0" w:lastColumn="0" w:noHBand="0" w:noVBand="1"/>
        <w:tblDescription w:val="High School Drop Out Rate Sub Questions"/>
      </w:tblPr>
      <w:tblGrid>
        <w:gridCol w:w="2947"/>
        <w:gridCol w:w="1913"/>
        <w:gridCol w:w="4045"/>
        <w:gridCol w:w="4674"/>
      </w:tblGrid>
      <w:tr w:rsidR="00377326" w:rsidRPr="00F8330B" w14:paraId="0A891D5B"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2947" w:type="dxa"/>
            <w:tcBorders>
              <w:right w:val="single" w:sz="4" w:space="0" w:color="4472C4" w:themeColor="accent5"/>
            </w:tcBorders>
            <w:shd w:val="clear" w:color="auto" w:fill="1F3864" w:themeFill="accent5" w:themeFillShade="80"/>
            <w:vAlign w:val="center"/>
          </w:tcPr>
          <w:p w14:paraId="4228CE27"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Sub Questions</w:t>
            </w:r>
          </w:p>
          <w:p w14:paraId="327973C7"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These questions articulate the main issues that will be addressed in the review.</w:t>
            </w:r>
          </w:p>
        </w:tc>
        <w:tc>
          <w:tcPr>
            <w:tcW w:w="1913" w:type="dxa"/>
            <w:tcBorders>
              <w:left w:val="single" w:sz="4" w:space="0" w:color="4472C4" w:themeColor="accent5"/>
              <w:right w:val="single" w:sz="4" w:space="0" w:color="4472C4" w:themeColor="accent5"/>
            </w:tcBorders>
            <w:shd w:val="clear" w:color="auto" w:fill="1F3864" w:themeFill="accent5" w:themeFillShade="80"/>
            <w:vAlign w:val="center"/>
          </w:tcPr>
          <w:p w14:paraId="65E421F7" w14:textId="1C7EF8DB" w:rsidR="00377326" w:rsidRPr="00F8330B" w:rsidRDefault="00377326" w:rsidP="00E53F38">
            <w:pPr>
              <w:jc w:val="center"/>
              <w:rPr>
                <w:rFonts w:ascii="Arial" w:hAnsi="Arial" w:cs="Arial"/>
                <w:b w:val="0"/>
                <w:color w:val="FFFFFF"/>
              </w:rPr>
            </w:pPr>
            <w:r w:rsidRPr="00F8330B">
              <w:rPr>
                <w:rFonts w:ascii="Arial" w:hAnsi="Arial" w:cs="Arial"/>
                <w:color w:val="FFFFFF"/>
              </w:rPr>
              <w:t>Data Sources</w:t>
            </w:r>
          </w:p>
        </w:tc>
        <w:tc>
          <w:tcPr>
            <w:tcW w:w="4045" w:type="dxa"/>
            <w:tcBorders>
              <w:left w:val="single" w:sz="4" w:space="0" w:color="4472C4" w:themeColor="accent5"/>
              <w:right w:val="single" w:sz="4" w:space="0" w:color="4472C4" w:themeColor="accent5"/>
            </w:tcBorders>
            <w:shd w:val="clear" w:color="auto" w:fill="1F3864" w:themeFill="accent5" w:themeFillShade="80"/>
            <w:vAlign w:val="center"/>
          </w:tcPr>
          <w:p w14:paraId="7BF7DCF7"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Data Collection Method</w:t>
            </w:r>
          </w:p>
          <w:p w14:paraId="6EE4E092"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This is the method or tool we will use to collect these data.</w:t>
            </w:r>
          </w:p>
        </w:tc>
        <w:tc>
          <w:tcPr>
            <w:tcW w:w="4674" w:type="dxa"/>
            <w:tcBorders>
              <w:left w:val="single" w:sz="4" w:space="0" w:color="4472C4" w:themeColor="accent5"/>
            </w:tcBorders>
            <w:shd w:val="clear" w:color="auto" w:fill="1F3864" w:themeFill="accent5" w:themeFillShade="80"/>
            <w:vAlign w:val="center"/>
          </w:tcPr>
          <w:p w14:paraId="5D883028" w14:textId="4E1DA234" w:rsidR="00377326" w:rsidRPr="00F8330B" w:rsidRDefault="00377326" w:rsidP="00E53F38">
            <w:pPr>
              <w:jc w:val="center"/>
              <w:rPr>
                <w:rFonts w:ascii="Arial" w:hAnsi="Arial" w:cs="Arial"/>
                <w:b w:val="0"/>
                <w:color w:val="FFFFFF"/>
              </w:rPr>
            </w:pPr>
            <w:r w:rsidRPr="00F8330B">
              <w:rPr>
                <w:rFonts w:ascii="Arial" w:hAnsi="Arial" w:cs="Arial"/>
                <w:color w:val="FFFFFF"/>
              </w:rPr>
              <w:t>Indicators</w:t>
            </w:r>
          </w:p>
          <w:p w14:paraId="4CAC56C2" w14:textId="77777777" w:rsidR="00377326" w:rsidRPr="00F8330B" w:rsidRDefault="00377326" w:rsidP="00E53F38">
            <w:pPr>
              <w:jc w:val="center"/>
              <w:rPr>
                <w:rFonts w:ascii="Arial" w:hAnsi="Arial" w:cs="Arial"/>
                <w:b w:val="0"/>
                <w:color w:val="FFFFFF"/>
              </w:rPr>
            </w:pPr>
            <w:r w:rsidRPr="00F8330B">
              <w:rPr>
                <w:rFonts w:ascii="Arial" w:hAnsi="Arial" w:cs="Arial"/>
                <w:color w:val="FFFFFF"/>
              </w:rPr>
              <w:t>These define the evidence we collect—they are measures that monitor progress and if things are changing the way we anticipated. They are specific, observable, and measurable.</w:t>
            </w:r>
          </w:p>
        </w:tc>
      </w:tr>
      <w:tr w:rsidR="00490947" w:rsidRPr="00F8330B" w14:paraId="02625BB3" w14:textId="77777777" w:rsidTr="00CD6849">
        <w:trPr>
          <w:cnfStyle w:val="000000100000" w:firstRow="0" w:lastRow="0" w:firstColumn="0" w:lastColumn="0" w:oddVBand="0" w:evenVBand="0" w:oddHBand="1" w:evenHBand="0" w:firstRowFirstColumn="0" w:firstRowLastColumn="0" w:lastRowFirstColumn="0" w:lastRowLastColumn="0"/>
          <w:cantSplit/>
        </w:trPr>
        <w:tc>
          <w:tcPr>
            <w:tcW w:w="2947" w:type="dxa"/>
          </w:tcPr>
          <w:p w14:paraId="4937ED79" w14:textId="77777777" w:rsidR="00490947" w:rsidRPr="00F8330B" w:rsidRDefault="00886B2A" w:rsidP="007D07D7">
            <w:pPr>
              <w:pStyle w:val="ListParagraph"/>
              <w:numPr>
                <w:ilvl w:val="1"/>
                <w:numId w:val="60"/>
              </w:numPr>
              <w:rPr>
                <w:rFonts w:ascii="Arial" w:eastAsia="Times New Roman" w:hAnsi="Arial" w:cs="Arial"/>
                <w:color w:val="000000"/>
              </w:rPr>
            </w:pPr>
            <w:r w:rsidRPr="00F8330B">
              <w:rPr>
                <w:rFonts w:ascii="Arial" w:eastAsia="Times New Roman" w:hAnsi="Arial" w:cs="Arial"/>
                <w:color w:val="000000"/>
              </w:rPr>
              <w:t>Is the dropou</w:t>
            </w:r>
            <w:r w:rsidR="007F60C6" w:rsidRPr="00F8330B">
              <w:rPr>
                <w:rFonts w:ascii="Arial" w:eastAsia="Times New Roman" w:hAnsi="Arial" w:cs="Arial"/>
                <w:color w:val="000000"/>
              </w:rPr>
              <w:t>t rate decreasing annually for migratory s</w:t>
            </w:r>
            <w:r w:rsidRPr="00F8330B">
              <w:rPr>
                <w:rFonts w:ascii="Arial" w:eastAsia="Times New Roman" w:hAnsi="Arial" w:cs="Arial"/>
                <w:color w:val="000000"/>
              </w:rPr>
              <w:t>tudents</w:t>
            </w:r>
            <w:r w:rsidR="006B393D" w:rsidRPr="00F8330B">
              <w:rPr>
                <w:rFonts w:ascii="Arial" w:eastAsia="Times New Roman" w:hAnsi="Arial" w:cs="Arial"/>
                <w:color w:val="000000"/>
              </w:rPr>
              <w:t>?</w:t>
            </w:r>
          </w:p>
        </w:tc>
        <w:tc>
          <w:tcPr>
            <w:tcW w:w="1913" w:type="dxa"/>
          </w:tcPr>
          <w:p w14:paraId="019E0464" w14:textId="77777777" w:rsidR="00490947" w:rsidRPr="00F8330B" w:rsidRDefault="00F1584A" w:rsidP="007D443E">
            <w:pPr>
              <w:pStyle w:val="ListParagraph"/>
              <w:numPr>
                <w:ilvl w:val="0"/>
                <w:numId w:val="33"/>
              </w:numPr>
              <w:ind w:left="165" w:hanging="165"/>
              <w:rPr>
                <w:rFonts w:ascii="Arial" w:hAnsi="Arial" w:cs="Arial"/>
              </w:rPr>
            </w:pPr>
            <w:r w:rsidRPr="00F8330B">
              <w:rPr>
                <w:rFonts w:ascii="Arial" w:hAnsi="Arial" w:cs="Arial"/>
              </w:rPr>
              <w:t>LEA high school requirement criteria</w:t>
            </w:r>
          </w:p>
          <w:p w14:paraId="261B241B" w14:textId="77777777" w:rsidR="00F1584A" w:rsidRPr="00F8330B" w:rsidRDefault="00F1584A" w:rsidP="007D443E">
            <w:pPr>
              <w:pStyle w:val="ListParagraph"/>
              <w:numPr>
                <w:ilvl w:val="0"/>
                <w:numId w:val="33"/>
              </w:numPr>
              <w:ind w:left="165" w:hanging="165"/>
              <w:rPr>
                <w:rFonts w:ascii="Arial" w:hAnsi="Arial" w:cs="Arial"/>
              </w:rPr>
            </w:pPr>
            <w:r w:rsidRPr="00F8330B">
              <w:rPr>
                <w:rFonts w:ascii="Arial" w:hAnsi="Arial" w:cs="Arial"/>
              </w:rPr>
              <w:t>DataQuest</w:t>
            </w:r>
          </w:p>
        </w:tc>
        <w:tc>
          <w:tcPr>
            <w:tcW w:w="4045" w:type="dxa"/>
          </w:tcPr>
          <w:p w14:paraId="7A44E6FD" w14:textId="77777777" w:rsidR="00490947" w:rsidRPr="00F8330B" w:rsidRDefault="006B393D" w:rsidP="007D443E">
            <w:pPr>
              <w:pStyle w:val="ListParagraph"/>
              <w:numPr>
                <w:ilvl w:val="0"/>
                <w:numId w:val="33"/>
              </w:numPr>
              <w:ind w:left="165" w:hanging="165"/>
              <w:rPr>
                <w:rFonts w:ascii="Arial" w:hAnsi="Arial" w:cs="Arial"/>
              </w:rPr>
            </w:pPr>
            <w:r w:rsidRPr="00F8330B">
              <w:rPr>
                <w:rFonts w:ascii="Arial" w:hAnsi="Arial" w:cs="Arial"/>
              </w:rPr>
              <w:t xml:space="preserve">LEAs report high school </w:t>
            </w:r>
            <w:r w:rsidR="00886B2A" w:rsidRPr="00F8330B">
              <w:rPr>
                <w:rFonts w:ascii="Arial" w:hAnsi="Arial" w:cs="Arial"/>
              </w:rPr>
              <w:t>drop</w:t>
            </w:r>
            <w:r w:rsidR="007E7CC8" w:rsidRPr="00F8330B">
              <w:rPr>
                <w:rFonts w:ascii="Arial" w:hAnsi="Arial" w:cs="Arial"/>
              </w:rPr>
              <w:t>out</w:t>
            </w:r>
            <w:r w:rsidRPr="00F8330B">
              <w:rPr>
                <w:rFonts w:ascii="Arial" w:hAnsi="Arial" w:cs="Arial"/>
              </w:rPr>
              <w:t xml:space="preserve"> data to CDE</w:t>
            </w:r>
            <w:r w:rsidR="007E7CC8" w:rsidRPr="00F8330B">
              <w:rPr>
                <w:rFonts w:ascii="Arial" w:hAnsi="Arial" w:cs="Arial"/>
              </w:rPr>
              <w:t xml:space="preserve"> annually</w:t>
            </w:r>
          </w:p>
        </w:tc>
        <w:tc>
          <w:tcPr>
            <w:tcW w:w="4674" w:type="dxa"/>
          </w:tcPr>
          <w:p w14:paraId="405E72AE" w14:textId="77777777" w:rsidR="00490947" w:rsidRPr="00F8330B" w:rsidRDefault="007E7CC8" w:rsidP="007D443E">
            <w:pPr>
              <w:pStyle w:val="ListParagraph"/>
              <w:numPr>
                <w:ilvl w:val="0"/>
                <w:numId w:val="33"/>
              </w:numPr>
              <w:ind w:left="165" w:hanging="165"/>
              <w:rPr>
                <w:rFonts w:ascii="Arial" w:hAnsi="Arial" w:cs="Arial"/>
              </w:rPr>
            </w:pPr>
            <w:r w:rsidRPr="00F8330B">
              <w:rPr>
                <w:rFonts w:ascii="Arial" w:hAnsi="Arial" w:cs="Arial"/>
              </w:rPr>
              <w:t xml:space="preserve">Annual California </w:t>
            </w:r>
            <w:r w:rsidR="00A13308" w:rsidRPr="00F8330B">
              <w:rPr>
                <w:rFonts w:ascii="Arial" w:hAnsi="Arial" w:cs="Arial"/>
              </w:rPr>
              <w:t xml:space="preserve">high school </w:t>
            </w:r>
            <w:r w:rsidR="00886B2A" w:rsidRPr="00F8330B">
              <w:rPr>
                <w:rFonts w:ascii="Arial" w:hAnsi="Arial" w:cs="Arial"/>
              </w:rPr>
              <w:t>drop</w:t>
            </w:r>
            <w:r w:rsidRPr="00F8330B">
              <w:rPr>
                <w:rFonts w:ascii="Arial" w:hAnsi="Arial" w:cs="Arial"/>
              </w:rPr>
              <w:t>out rate</w:t>
            </w:r>
          </w:p>
        </w:tc>
      </w:tr>
    </w:tbl>
    <w:p w14:paraId="12649761" w14:textId="6A493485" w:rsidR="00714D66" w:rsidRDefault="00127E07" w:rsidP="006856D5">
      <w:pPr>
        <w:pStyle w:val="Heading6"/>
      </w:pPr>
      <w:r>
        <w:br w:type="page"/>
      </w:r>
      <w:bookmarkStart w:id="73" w:name="_Toc101961125"/>
      <w:r w:rsidR="00714D66" w:rsidRPr="005E0053">
        <w:lastRenderedPageBreak/>
        <w:t xml:space="preserve">Table </w:t>
      </w:r>
      <w:fldSimple w:instr=" SEQ Table \* ARABIC ">
        <w:r w:rsidR="00976DBD">
          <w:rPr>
            <w:noProof/>
          </w:rPr>
          <w:t>33</w:t>
        </w:r>
      </w:fldSimple>
      <w:r w:rsidR="00714D66" w:rsidRPr="005E0053">
        <w:t xml:space="preserve">. Sub Questions, Data Sources, Collection Methods, and Indicators for the </w:t>
      </w:r>
      <w:r w:rsidR="00EF750E" w:rsidRPr="005E0053">
        <w:t xml:space="preserve">Performance Targets </w:t>
      </w:r>
      <w:r w:rsidR="00714D66" w:rsidRPr="005E0053">
        <w:t>for Output-based Focus Areas</w:t>
      </w:r>
      <w:bookmarkEnd w:id="73"/>
    </w:p>
    <w:p w14:paraId="3810244E" w14:textId="77777777" w:rsidR="00377326" w:rsidRPr="00127E07" w:rsidRDefault="00377326" w:rsidP="00C66062">
      <w:pPr>
        <w:numPr>
          <w:ilvl w:val="0"/>
          <w:numId w:val="49"/>
        </w:numPr>
        <w:spacing w:before="120"/>
        <w:ind w:left="360"/>
        <w:rPr>
          <w:rFonts w:ascii="Arial" w:eastAsia="Times New Roman" w:hAnsi="Arial" w:cs="Arial"/>
          <w:bCs/>
        </w:rPr>
      </w:pPr>
      <w:r w:rsidRPr="009206CE">
        <w:rPr>
          <w:rFonts w:ascii="Arial" w:eastAsia="Times New Roman" w:hAnsi="Arial" w:cs="Arial"/>
          <w:b/>
          <w:bCs/>
        </w:rPr>
        <w:t>School Readiness:</w:t>
      </w:r>
      <w:r w:rsidRPr="00127E07">
        <w:rPr>
          <w:rFonts w:ascii="Arial" w:eastAsia="Times New Roman" w:hAnsi="Arial" w:cs="Arial"/>
          <w:bCs/>
        </w:rPr>
        <w:t xml:space="preserve"> Is migratory child participation in school readiness services increasing? Are migratory children ready for Kindergarten?</w:t>
      </w:r>
    </w:p>
    <w:p w14:paraId="5E4D9A6D" w14:textId="77777777" w:rsidR="00377326" w:rsidRPr="00F8330B" w:rsidRDefault="00377326" w:rsidP="00C66062">
      <w:pPr>
        <w:ind w:left="360"/>
      </w:pPr>
      <w:r w:rsidRPr="009206CE">
        <w:rPr>
          <w:rFonts w:ascii="Arial" w:hAnsi="Arial" w:cs="Arial"/>
          <w:b/>
        </w:rPr>
        <w:t>Performance Target:</w:t>
      </w:r>
      <w:r w:rsidRPr="00127E07">
        <w:rPr>
          <w:rFonts w:ascii="Arial" w:hAnsi="Arial" w:cs="Arial"/>
        </w:rPr>
        <w:t xml:space="preserve"> Performance</w:t>
      </w:r>
      <w:r w:rsidRPr="00F8330B">
        <w:rPr>
          <w:rFonts w:ascii="Arial" w:hAnsi="Arial" w:cs="Arial"/>
        </w:rPr>
        <w:t xml:space="preserve"> Target will be set once the baseline data are collected in 2018–19.</w:t>
      </w:r>
    </w:p>
    <w:tbl>
      <w:tblPr>
        <w:tblStyle w:val="GridTable4-Accent1"/>
        <w:tblW w:w="13536" w:type="dxa"/>
        <w:tblLayout w:type="fixed"/>
        <w:tblLook w:val="0420" w:firstRow="1" w:lastRow="0" w:firstColumn="0" w:lastColumn="0" w:noHBand="0" w:noVBand="1"/>
        <w:tblDescription w:val="School Readiness Sub Questions"/>
      </w:tblPr>
      <w:tblGrid>
        <w:gridCol w:w="3258"/>
        <w:gridCol w:w="1710"/>
        <w:gridCol w:w="3240"/>
        <w:gridCol w:w="5328"/>
      </w:tblGrid>
      <w:tr w:rsidR="009206CE" w:rsidRPr="00F8330B" w14:paraId="2FF9A2A4"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3258" w:type="dxa"/>
            <w:tcBorders>
              <w:right w:val="single" w:sz="4" w:space="0" w:color="4472C4" w:themeColor="accent5"/>
            </w:tcBorders>
            <w:shd w:val="clear" w:color="auto" w:fill="1F3864" w:themeFill="accent5" w:themeFillShade="80"/>
            <w:vAlign w:val="center"/>
          </w:tcPr>
          <w:p w14:paraId="622A3C7C" w14:textId="77777777" w:rsidR="00714D66" w:rsidRPr="00C4385F" w:rsidRDefault="00714D66" w:rsidP="00E53F38">
            <w:pPr>
              <w:jc w:val="center"/>
              <w:rPr>
                <w:rFonts w:ascii="Arial" w:hAnsi="Arial" w:cs="Arial"/>
                <w:b w:val="0"/>
                <w:color w:val="FFFFFF"/>
              </w:rPr>
            </w:pPr>
            <w:r w:rsidRPr="00C4385F">
              <w:rPr>
                <w:rFonts w:ascii="Arial" w:hAnsi="Arial" w:cs="Arial"/>
                <w:color w:val="FFFFFF"/>
              </w:rPr>
              <w:t>Sub Questions</w:t>
            </w:r>
          </w:p>
          <w:p w14:paraId="095F48AD" w14:textId="77777777" w:rsidR="00714D66" w:rsidRPr="00C4385F" w:rsidRDefault="00714D66" w:rsidP="00E53F38">
            <w:pPr>
              <w:jc w:val="center"/>
              <w:rPr>
                <w:rFonts w:ascii="Arial" w:hAnsi="Arial" w:cs="Arial"/>
                <w:b w:val="0"/>
                <w:color w:val="FFFFFF"/>
              </w:rPr>
            </w:pPr>
            <w:r w:rsidRPr="00C4385F">
              <w:rPr>
                <w:rFonts w:ascii="Arial" w:hAnsi="Arial" w:cs="Arial"/>
                <w:color w:val="FFFFFF"/>
              </w:rPr>
              <w:t>These questions articulate the main issues that wil</w:t>
            </w:r>
            <w:r w:rsidR="00862AE4" w:rsidRPr="00C4385F">
              <w:rPr>
                <w:rFonts w:ascii="Arial" w:hAnsi="Arial" w:cs="Arial"/>
                <w:color w:val="FFFFFF"/>
              </w:rPr>
              <w:t>l be addressed in the review</w:t>
            </w:r>
            <w:r w:rsidR="007F60C6" w:rsidRPr="00C4385F">
              <w:rPr>
                <w:rFonts w:ascii="Arial" w:hAnsi="Arial" w:cs="Arial"/>
                <w:color w:val="FFFFFF"/>
              </w:rPr>
              <w:t>.</w:t>
            </w:r>
          </w:p>
        </w:tc>
        <w:tc>
          <w:tcPr>
            <w:tcW w:w="1710" w:type="dxa"/>
            <w:tcBorders>
              <w:left w:val="single" w:sz="4" w:space="0" w:color="4472C4" w:themeColor="accent5"/>
              <w:right w:val="single" w:sz="4" w:space="0" w:color="4472C4" w:themeColor="accent5"/>
            </w:tcBorders>
            <w:shd w:val="clear" w:color="auto" w:fill="1F3864" w:themeFill="accent5" w:themeFillShade="80"/>
            <w:vAlign w:val="center"/>
          </w:tcPr>
          <w:p w14:paraId="210C7BFD" w14:textId="61E48B04" w:rsidR="00714D66" w:rsidRPr="00C4385F" w:rsidRDefault="00714D66" w:rsidP="00E53F38">
            <w:pPr>
              <w:jc w:val="center"/>
              <w:rPr>
                <w:rFonts w:ascii="Arial" w:hAnsi="Arial" w:cs="Arial"/>
                <w:b w:val="0"/>
                <w:color w:val="FFFFFF"/>
              </w:rPr>
            </w:pPr>
            <w:r w:rsidRPr="00C4385F">
              <w:rPr>
                <w:rFonts w:ascii="Arial" w:hAnsi="Arial" w:cs="Arial"/>
                <w:color w:val="FFFFFF"/>
              </w:rPr>
              <w:t>Data Sources</w:t>
            </w:r>
          </w:p>
        </w:tc>
        <w:tc>
          <w:tcPr>
            <w:tcW w:w="3240" w:type="dxa"/>
            <w:tcBorders>
              <w:left w:val="single" w:sz="4" w:space="0" w:color="4472C4" w:themeColor="accent5"/>
              <w:right w:val="single" w:sz="4" w:space="0" w:color="4472C4" w:themeColor="accent5"/>
            </w:tcBorders>
            <w:shd w:val="clear" w:color="auto" w:fill="1F3864" w:themeFill="accent5" w:themeFillShade="80"/>
            <w:vAlign w:val="center"/>
          </w:tcPr>
          <w:p w14:paraId="76FD5F57" w14:textId="77777777" w:rsidR="00714D66" w:rsidRPr="00C4385F" w:rsidRDefault="00714D66" w:rsidP="00E53F38">
            <w:pPr>
              <w:jc w:val="center"/>
              <w:rPr>
                <w:rFonts w:ascii="Arial" w:hAnsi="Arial" w:cs="Arial"/>
                <w:b w:val="0"/>
                <w:color w:val="FFFFFF"/>
              </w:rPr>
            </w:pPr>
            <w:r w:rsidRPr="00C4385F">
              <w:rPr>
                <w:rFonts w:ascii="Arial" w:hAnsi="Arial" w:cs="Arial"/>
                <w:color w:val="FFFFFF"/>
              </w:rPr>
              <w:t>Data Collection Method</w:t>
            </w:r>
          </w:p>
          <w:p w14:paraId="713F82EA" w14:textId="77777777" w:rsidR="00714D66" w:rsidRPr="00C4385F" w:rsidRDefault="00714D66" w:rsidP="00E53F38">
            <w:pPr>
              <w:jc w:val="center"/>
              <w:rPr>
                <w:rFonts w:ascii="Arial" w:hAnsi="Arial" w:cs="Arial"/>
                <w:b w:val="0"/>
                <w:color w:val="FFFFFF"/>
              </w:rPr>
            </w:pPr>
            <w:r w:rsidRPr="00C4385F">
              <w:rPr>
                <w:rFonts w:ascii="Arial" w:hAnsi="Arial" w:cs="Arial"/>
                <w:color w:val="FFFFFF"/>
              </w:rPr>
              <w:t>This is the method or tool we will use to collect the</w:t>
            </w:r>
            <w:r w:rsidR="00886B2A" w:rsidRPr="00C4385F">
              <w:rPr>
                <w:rFonts w:ascii="Arial" w:hAnsi="Arial" w:cs="Arial"/>
                <w:color w:val="FFFFFF"/>
              </w:rPr>
              <w:t>se</w:t>
            </w:r>
            <w:r w:rsidRPr="00C4385F">
              <w:rPr>
                <w:rFonts w:ascii="Arial" w:hAnsi="Arial" w:cs="Arial"/>
                <w:color w:val="FFFFFF"/>
              </w:rPr>
              <w:t xml:space="preserve"> data.</w:t>
            </w:r>
          </w:p>
        </w:tc>
        <w:tc>
          <w:tcPr>
            <w:tcW w:w="5328" w:type="dxa"/>
            <w:tcBorders>
              <w:left w:val="single" w:sz="4" w:space="0" w:color="4472C4" w:themeColor="accent5"/>
            </w:tcBorders>
            <w:shd w:val="clear" w:color="auto" w:fill="1F3864" w:themeFill="accent5" w:themeFillShade="80"/>
            <w:vAlign w:val="center"/>
          </w:tcPr>
          <w:p w14:paraId="2C8E4405" w14:textId="17B60866" w:rsidR="00714D66" w:rsidRPr="00C4385F" w:rsidRDefault="00714D66" w:rsidP="00E53F38">
            <w:pPr>
              <w:jc w:val="center"/>
              <w:rPr>
                <w:rFonts w:ascii="Arial" w:hAnsi="Arial" w:cs="Arial"/>
                <w:b w:val="0"/>
                <w:color w:val="FFFFFF"/>
              </w:rPr>
            </w:pPr>
            <w:r w:rsidRPr="00C4385F">
              <w:rPr>
                <w:rFonts w:ascii="Arial" w:hAnsi="Arial" w:cs="Arial"/>
                <w:color w:val="FFFFFF"/>
              </w:rPr>
              <w:t>Indicators</w:t>
            </w:r>
          </w:p>
          <w:p w14:paraId="68D434C7" w14:textId="77777777" w:rsidR="00714D66" w:rsidRPr="00C4385F" w:rsidRDefault="00714D66" w:rsidP="00E53F38">
            <w:pPr>
              <w:jc w:val="center"/>
              <w:rPr>
                <w:rFonts w:ascii="Arial" w:hAnsi="Arial" w:cs="Arial"/>
                <w:b w:val="0"/>
                <w:color w:val="FFFFFF"/>
              </w:rPr>
            </w:pPr>
            <w:r w:rsidRPr="00C4385F">
              <w:rPr>
                <w:rFonts w:ascii="Arial" w:hAnsi="Arial" w:cs="Arial"/>
                <w:color w:val="FFFFFF"/>
              </w:rPr>
              <w:t xml:space="preserve">These </w:t>
            </w:r>
            <w:r w:rsidR="007F60C6" w:rsidRPr="00C4385F">
              <w:rPr>
                <w:rFonts w:ascii="Arial" w:hAnsi="Arial" w:cs="Arial"/>
                <w:color w:val="FFFFFF"/>
              </w:rPr>
              <w:t>define the evidence we collect—</w:t>
            </w:r>
            <w:r w:rsidRPr="00C4385F">
              <w:rPr>
                <w:rFonts w:ascii="Arial" w:hAnsi="Arial" w:cs="Arial"/>
                <w:color w:val="FFFFFF"/>
              </w:rPr>
              <w:t>they are measures that monitor progress and if things are changing the way we anticipated. They are specific, observable</w:t>
            </w:r>
            <w:r w:rsidR="00886B2A" w:rsidRPr="00C4385F">
              <w:rPr>
                <w:rFonts w:ascii="Arial" w:hAnsi="Arial" w:cs="Arial"/>
                <w:color w:val="FFFFFF"/>
              </w:rPr>
              <w:t>,</w:t>
            </w:r>
            <w:r w:rsidRPr="00C4385F">
              <w:rPr>
                <w:rFonts w:ascii="Arial" w:hAnsi="Arial" w:cs="Arial"/>
                <w:color w:val="FFFFFF"/>
              </w:rPr>
              <w:t xml:space="preserve"> and measurable.</w:t>
            </w:r>
          </w:p>
        </w:tc>
      </w:tr>
      <w:tr w:rsidR="00142F53" w:rsidRPr="00F8330B" w14:paraId="0105EA60" w14:textId="77777777" w:rsidTr="00940787">
        <w:trPr>
          <w:cnfStyle w:val="000000100000" w:firstRow="0" w:lastRow="0" w:firstColumn="0" w:lastColumn="0" w:oddVBand="0" w:evenVBand="0" w:oddHBand="1" w:evenHBand="0" w:firstRowFirstColumn="0" w:firstRowLastColumn="0" w:lastRowFirstColumn="0" w:lastRowLastColumn="0"/>
          <w:cantSplit/>
          <w:trHeight w:val="773"/>
        </w:trPr>
        <w:tc>
          <w:tcPr>
            <w:tcW w:w="3258" w:type="dxa"/>
          </w:tcPr>
          <w:p w14:paraId="16E13A15" w14:textId="77777777" w:rsidR="00714D66" w:rsidRPr="00F8330B" w:rsidRDefault="00714D66" w:rsidP="007D07D7">
            <w:pPr>
              <w:pStyle w:val="ListParagraph"/>
              <w:numPr>
                <w:ilvl w:val="1"/>
                <w:numId w:val="35"/>
              </w:numPr>
              <w:ind w:left="533" w:hanging="533"/>
              <w:rPr>
                <w:rFonts w:ascii="Arial" w:eastAsia="Times New Roman" w:hAnsi="Arial" w:cs="Arial"/>
                <w:color w:val="222222"/>
              </w:rPr>
            </w:pPr>
            <w:r w:rsidRPr="00F8330B">
              <w:rPr>
                <w:rFonts w:ascii="Arial" w:eastAsia="Times New Roman" w:hAnsi="Arial" w:cs="Arial"/>
                <w:color w:val="000000"/>
              </w:rPr>
              <w:t xml:space="preserve">What is the annual change in </w:t>
            </w:r>
            <w:r w:rsidR="00CB72A5" w:rsidRPr="00F8330B">
              <w:rPr>
                <w:rFonts w:ascii="Arial" w:eastAsia="Times New Roman" w:hAnsi="Arial" w:cs="Arial"/>
                <w:color w:val="000000"/>
              </w:rPr>
              <w:t>migratory child</w:t>
            </w:r>
            <w:r w:rsidR="001C0225" w:rsidRPr="00F8330B">
              <w:rPr>
                <w:rFonts w:ascii="Arial" w:eastAsia="Times New Roman" w:hAnsi="Arial" w:cs="Arial"/>
                <w:color w:val="000000"/>
              </w:rPr>
              <w:t xml:space="preserve"> participation in school readiness services</w:t>
            </w:r>
            <w:r w:rsidRPr="00F8330B">
              <w:rPr>
                <w:rFonts w:ascii="Arial" w:eastAsia="Times New Roman" w:hAnsi="Arial" w:cs="Arial"/>
                <w:color w:val="000000"/>
              </w:rPr>
              <w:t>?</w:t>
            </w:r>
          </w:p>
        </w:tc>
        <w:tc>
          <w:tcPr>
            <w:tcW w:w="1710" w:type="dxa"/>
          </w:tcPr>
          <w:p w14:paraId="597DFC90" w14:textId="77777777" w:rsidR="00714D66" w:rsidRPr="00F8330B" w:rsidRDefault="007E73CF" w:rsidP="007D443E">
            <w:pPr>
              <w:pStyle w:val="ListParagraph"/>
              <w:numPr>
                <w:ilvl w:val="0"/>
                <w:numId w:val="33"/>
              </w:numPr>
              <w:ind w:left="165" w:hanging="165"/>
              <w:rPr>
                <w:rFonts w:ascii="Arial" w:hAnsi="Arial" w:cs="Arial"/>
              </w:rPr>
            </w:pPr>
            <w:r w:rsidRPr="00F8330B">
              <w:rPr>
                <w:rFonts w:ascii="Arial" w:hAnsi="Arial" w:cs="Arial"/>
              </w:rPr>
              <w:t>Attendance lists</w:t>
            </w:r>
          </w:p>
        </w:tc>
        <w:tc>
          <w:tcPr>
            <w:tcW w:w="3240" w:type="dxa"/>
          </w:tcPr>
          <w:p w14:paraId="514EFE59" w14:textId="77777777" w:rsidR="00714D66" w:rsidRPr="00F8330B" w:rsidRDefault="00714D66" w:rsidP="007D443E">
            <w:pPr>
              <w:pStyle w:val="ListParagraph"/>
              <w:numPr>
                <w:ilvl w:val="0"/>
                <w:numId w:val="33"/>
              </w:numPr>
              <w:ind w:left="165" w:hanging="165"/>
              <w:rPr>
                <w:rFonts w:ascii="Arial" w:hAnsi="Arial" w:cs="Arial"/>
              </w:rPr>
            </w:pPr>
            <w:r w:rsidRPr="00F8330B">
              <w:rPr>
                <w:rFonts w:ascii="Arial" w:hAnsi="Arial" w:cs="Arial"/>
              </w:rPr>
              <w:t xml:space="preserve">Subgrantees enter </w:t>
            </w:r>
            <w:r w:rsidR="00BF71F9" w:rsidRPr="00F8330B">
              <w:rPr>
                <w:rFonts w:ascii="Arial" w:hAnsi="Arial" w:cs="Arial"/>
              </w:rPr>
              <w:t>the number of migrator</w:t>
            </w:r>
            <w:r w:rsidR="00CB72A5" w:rsidRPr="00F8330B">
              <w:rPr>
                <w:rFonts w:ascii="Arial" w:hAnsi="Arial" w:cs="Arial"/>
              </w:rPr>
              <w:t xml:space="preserve">y children participating in </w:t>
            </w:r>
            <w:r w:rsidR="00BF71F9" w:rsidRPr="00F8330B">
              <w:rPr>
                <w:rFonts w:ascii="Arial" w:hAnsi="Arial" w:cs="Arial"/>
              </w:rPr>
              <w:t>school readiness services.</w:t>
            </w:r>
          </w:p>
        </w:tc>
        <w:tc>
          <w:tcPr>
            <w:tcW w:w="5328" w:type="dxa"/>
          </w:tcPr>
          <w:p w14:paraId="5E807499" w14:textId="77777777" w:rsidR="00C01B6E" w:rsidRPr="00127E07" w:rsidRDefault="00CB72A5" w:rsidP="007D443E">
            <w:pPr>
              <w:pStyle w:val="ListParagraph"/>
              <w:numPr>
                <w:ilvl w:val="0"/>
                <w:numId w:val="33"/>
              </w:numPr>
              <w:ind w:left="165" w:hanging="165"/>
              <w:rPr>
                <w:rFonts w:ascii="Arial" w:hAnsi="Arial" w:cs="Arial"/>
              </w:rPr>
            </w:pPr>
            <w:r w:rsidRPr="00F8330B">
              <w:rPr>
                <w:rFonts w:ascii="Arial" w:hAnsi="Arial" w:cs="Arial"/>
              </w:rPr>
              <w:t>Number of unduplicate</w:t>
            </w:r>
            <w:r w:rsidR="007F60C6" w:rsidRPr="00F8330B">
              <w:rPr>
                <w:rFonts w:ascii="Arial" w:hAnsi="Arial" w:cs="Arial"/>
              </w:rPr>
              <w:t>d m</w:t>
            </w:r>
            <w:r w:rsidR="007E7CC8" w:rsidRPr="00F8330B">
              <w:rPr>
                <w:rFonts w:ascii="Arial" w:hAnsi="Arial" w:cs="Arial"/>
              </w:rPr>
              <w:t>igratory children who participate in 15 hours or more of a school readiness service</w:t>
            </w:r>
            <w:r w:rsidRPr="00F8330B">
              <w:rPr>
                <w:rFonts w:ascii="Arial" w:hAnsi="Arial" w:cs="Arial"/>
              </w:rPr>
              <w:t xml:space="preserve"> per year</w:t>
            </w:r>
            <w:r w:rsidR="007E7CC8" w:rsidRPr="00F8330B">
              <w:rPr>
                <w:rFonts w:ascii="Arial" w:hAnsi="Arial" w:cs="Arial"/>
              </w:rPr>
              <w:t xml:space="preserve">. </w:t>
            </w:r>
          </w:p>
        </w:tc>
      </w:tr>
      <w:tr w:rsidR="00142F53" w:rsidRPr="00F8330B" w14:paraId="0A9FD893" w14:textId="77777777" w:rsidTr="00940787">
        <w:trPr>
          <w:cantSplit/>
          <w:trHeight w:val="737"/>
        </w:trPr>
        <w:tc>
          <w:tcPr>
            <w:tcW w:w="3258" w:type="dxa"/>
          </w:tcPr>
          <w:p w14:paraId="5AFD21B7" w14:textId="77777777" w:rsidR="001C7704" w:rsidRPr="00F8330B" w:rsidRDefault="001C7704" w:rsidP="007D07D7">
            <w:pPr>
              <w:pStyle w:val="ListParagraph"/>
              <w:numPr>
                <w:ilvl w:val="1"/>
                <w:numId w:val="35"/>
              </w:numPr>
              <w:ind w:left="533" w:hanging="533"/>
              <w:rPr>
                <w:rFonts w:ascii="Arial" w:eastAsia="Times New Roman" w:hAnsi="Arial" w:cs="Arial"/>
                <w:color w:val="222222"/>
              </w:rPr>
            </w:pPr>
            <w:r w:rsidRPr="00F8330B">
              <w:rPr>
                <w:rFonts w:ascii="Arial" w:eastAsia="Times New Roman" w:hAnsi="Arial" w:cs="Arial"/>
                <w:color w:val="000000"/>
              </w:rPr>
              <w:t xml:space="preserve">What is the annual change in migratory </w:t>
            </w:r>
            <w:r w:rsidR="00CB72A5" w:rsidRPr="00F8330B">
              <w:rPr>
                <w:rFonts w:ascii="Arial" w:eastAsia="Times New Roman" w:hAnsi="Arial" w:cs="Arial"/>
                <w:color w:val="000000"/>
              </w:rPr>
              <w:t>parent</w:t>
            </w:r>
            <w:r w:rsidRPr="00F8330B">
              <w:rPr>
                <w:rFonts w:ascii="Arial" w:eastAsia="Times New Roman" w:hAnsi="Arial" w:cs="Arial"/>
                <w:color w:val="000000"/>
              </w:rPr>
              <w:t xml:space="preserve"> participation in school readiness services?</w:t>
            </w:r>
          </w:p>
        </w:tc>
        <w:tc>
          <w:tcPr>
            <w:tcW w:w="1710" w:type="dxa"/>
          </w:tcPr>
          <w:p w14:paraId="3C035634" w14:textId="77777777" w:rsidR="001C7704" w:rsidRPr="00F8330B" w:rsidRDefault="001C7704" w:rsidP="007D443E">
            <w:pPr>
              <w:pStyle w:val="ListParagraph"/>
              <w:numPr>
                <w:ilvl w:val="0"/>
                <w:numId w:val="33"/>
              </w:numPr>
              <w:ind w:left="165" w:hanging="165"/>
              <w:rPr>
                <w:rFonts w:ascii="Arial" w:hAnsi="Arial" w:cs="Arial"/>
              </w:rPr>
            </w:pPr>
            <w:r w:rsidRPr="00F8330B">
              <w:rPr>
                <w:rFonts w:ascii="Arial" w:hAnsi="Arial" w:cs="Arial"/>
              </w:rPr>
              <w:t>Attendance lists</w:t>
            </w:r>
          </w:p>
        </w:tc>
        <w:tc>
          <w:tcPr>
            <w:tcW w:w="3240" w:type="dxa"/>
          </w:tcPr>
          <w:p w14:paraId="670EDD55" w14:textId="77777777" w:rsidR="001C7704" w:rsidRPr="00F8330B" w:rsidRDefault="001C7704" w:rsidP="007D443E">
            <w:pPr>
              <w:pStyle w:val="ListParagraph"/>
              <w:numPr>
                <w:ilvl w:val="0"/>
                <w:numId w:val="33"/>
              </w:numPr>
              <w:ind w:left="165" w:hanging="165"/>
              <w:rPr>
                <w:rFonts w:ascii="Arial" w:hAnsi="Arial" w:cs="Arial"/>
              </w:rPr>
            </w:pPr>
            <w:r w:rsidRPr="00F8330B">
              <w:rPr>
                <w:rFonts w:ascii="Arial" w:hAnsi="Arial" w:cs="Arial"/>
              </w:rPr>
              <w:t>Subgrantees enter the number of migratory children participating in the school readiness services.</w:t>
            </w:r>
          </w:p>
        </w:tc>
        <w:tc>
          <w:tcPr>
            <w:tcW w:w="5328" w:type="dxa"/>
          </w:tcPr>
          <w:p w14:paraId="404DFAEB" w14:textId="77777777" w:rsidR="001C7704" w:rsidRPr="00F8330B" w:rsidRDefault="00085638" w:rsidP="007D443E">
            <w:pPr>
              <w:pStyle w:val="ListParagraph"/>
              <w:numPr>
                <w:ilvl w:val="0"/>
                <w:numId w:val="33"/>
              </w:numPr>
              <w:ind w:left="165" w:hanging="165"/>
              <w:rPr>
                <w:rFonts w:ascii="Arial" w:hAnsi="Arial" w:cs="Arial"/>
              </w:rPr>
            </w:pPr>
            <w:r w:rsidRPr="00F8330B">
              <w:rPr>
                <w:rFonts w:ascii="Arial" w:hAnsi="Arial" w:cs="Arial"/>
              </w:rPr>
              <w:t xml:space="preserve">Number of unduplicated </w:t>
            </w:r>
            <w:r w:rsidR="00590C84" w:rsidRPr="00F8330B">
              <w:rPr>
                <w:rFonts w:ascii="Arial" w:hAnsi="Arial" w:cs="Arial"/>
              </w:rPr>
              <w:t>parents</w:t>
            </w:r>
            <w:r w:rsidRPr="00F8330B">
              <w:rPr>
                <w:rFonts w:ascii="Arial" w:hAnsi="Arial" w:cs="Arial"/>
              </w:rPr>
              <w:t xml:space="preserve"> who participate in 15 hours or mor</w:t>
            </w:r>
            <w:r w:rsidR="00CB72A5" w:rsidRPr="00F8330B">
              <w:rPr>
                <w:rFonts w:ascii="Arial" w:hAnsi="Arial" w:cs="Arial"/>
              </w:rPr>
              <w:t>e of a school readiness service per year</w:t>
            </w:r>
            <w:r w:rsidR="007F60C6" w:rsidRPr="00F8330B">
              <w:rPr>
                <w:rFonts w:ascii="Arial" w:hAnsi="Arial" w:cs="Arial"/>
              </w:rPr>
              <w:t>.</w:t>
            </w:r>
          </w:p>
        </w:tc>
      </w:tr>
    </w:tbl>
    <w:p w14:paraId="314432A8" w14:textId="77777777" w:rsidR="000D1B33" w:rsidRPr="00127E07" w:rsidRDefault="000D1B33" w:rsidP="00C66062">
      <w:pPr>
        <w:numPr>
          <w:ilvl w:val="0"/>
          <w:numId w:val="49"/>
        </w:numPr>
        <w:ind w:left="360"/>
        <w:rPr>
          <w:rFonts w:ascii="Arial" w:eastAsia="Times New Roman" w:hAnsi="Arial" w:cs="Arial"/>
          <w:bCs/>
        </w:rPr>
      </w:pPr>
      <w:r>
        <w:br w:type="page"/>
      </w:r>
      <w:r w:rsidRPr="009206CE">
        <w:rPr>
          <w:rFonts w:ascii="Arial" w:eastAsia="Times New Roman" w:hAnsi="Arial" w:cs="Arial"/>
          <w:b/>
          <w:bCs/>
        </w:rPr>
        <w:lastRenderedPageBreak/>
        <w:t>Out of School Youth:</w:t>
      </w:r>
      <w:r w:rsidRPr="00127E07">
        <w:rPr>
          <w:rFonts w:ascii="Arial" w:eastAsia="Times New Roman" w:hAnsi="Arial" w:cs="Arial"/>
          <w:bCs/>
        </w:rPr>
        <w:t xml:space="preserve"> Are more migratory OSY enrolling in health services? Are the health needs of migratory OSY being met? Are migratory OSY increasing their use of health services provided by or referred to by the MEP?</w:t>
      </w:r>
    </w:p>
    <w:p w14:paraId="205813CD" w14:textId="77777777" w:rsidR="000D1B33" w:rsidRPr="00127E07" w:rsidRDefault="000D1B33" w:rsidP="00C66062">
      <w:pPr>
        <w:ind w:left="360"/>
      </w:pPr>
      <w:r w:rsidRPr="009206CE">
        <w:rPr>
          <w:rFonts w:ascii="Arial" w:hAnsi="Arial" w:cs="Arial"/>
          <w:b/>
        </w:rPr>
        <w:t>Performance Target:</w:t>
      </w:r>
      <w:r w:rsidRPr="00127E07">
        <w:rPr>
          <w:rFonts w:ascii="Arial" w:hAnsi="Arial" w:cs="Arial"/>
        </w:rPr>
        <w:t xml:space="preserve"> Performance Target will be set once the baseline data are collected in 2018–19.</w:t>
      </w:r>
    </w:p>
    <w:tbl>
      <w:tblPr>
        <w:tblStyle w:val="GridTable4-Accent1"/>
        <w:tblW w:w="13536" w:type="dxa"/>
        <w:tblLayout w:type="fixed"/>
        <w:tblLook w:val="0420" w:firstRow="1" w:lastRow="0" w:firstColumn="0" w:lastColumn="0" w:noHBand="0" w:noVBand="1"/>
        <w:tblDescription w:val="Out of School Youth Sub Questions"/>
      </w:tblPr>
      <w:tblGrid>
        <w:gridCol w:w="2628"/>
        <w:gridCol w:w="2160"/>
        <w:gridCol w:w="3600"/>
        <w:gridCol w:w="5148"/>
      </w:tblGrid>
      <w:tr w:rsidR="000D1B33" w:rsidRPr="00F8330B" w14:paraId="6346C175"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2628" w:type="dxa"/>
            <w:tcBorders>
              <w:right w:val="single" w:sz="4" w:space="0" w:color="4472C4" w:themeColor="accent5"/>
            </w:tcBorders>
            <w:shd w:val="clear" w:color="auto" w:fill="1F3864" w:themeFill="accent5" w:themeFillShade="80"/>
            <w:vAlign w:val="center"/>
          </w:tcPr>
          <w:p w14:paraId="6DFC5EDC" w14:textId="77777777" w:rsidR="000D1B33" w:rsidRPr="00F8330B" w:rsidRDefault="000D1B33" w:rsidP="00E53F38">
            <w:pPr>
              <w:jc w:val="center"/>
              <w:rPr>
                <w:rFonts w:ascii="Arial" w:hAnsi="Arial" w:cs="Arial"/>
                <w:b w:val="0"/>
                <w:color w:val="FFFFFF"/>
              </w:rPr>
            </w:pPr>
            <w:r w:rsidRPr="00F8330B">
              <w:rPr>
                <w:rFonts w:ascii="Arial" w:hAnsi="Arial" w:cs="Arial"/>
                <w:color w:val="FFFFFF"/>
              </w:rPr>
              <w:t>Sub Questions</w:t>
            </w:r>
          </w:p>
          <w:p w14:paraId="05D01164" w14:textId="77777777" w:rsidR="000D1B33" w:rsidRPr="00F8330B" w:rsidRDefault="000D1B33" w:rsidP="00E53F38">
            <w:pPr>
              <w:jc w:val="center"/>
              <w:rPr>
                <w:rFonts w:ascii="Arial" w:hAnsi="Arial" w:cs="Arial"/>
                <w:b w:val="0"/>
                <w:color w:val="FFFFFF"/>
              </w:rPr>
            </w:pPr>
            <w:r w:rsidRPr="00F8330B">
              <w:rPr>
                <w:rFonts w:ascii="Arial" w:hAnsi="Arial" w:cs="Arial"/>
                <w:color w:val="FFFFFF"/>
              </w:rPr>
              <w:t>These questions articulate the main issues that will be addressed in the review.</w:t>
            </w:r>
          </w:p>
        </w:tc>
        <w:tc>
          <w:tcPr>
            <w:tcW w:w="2160" w:type="dxa"/>
            <w:tcBorders>
              <w:left w:val="single" w:sz="4" w:space="0" w:color="4472C4" w:themeColor="accent5"/>
              <w:right w:val="single" w:sz="4" w:space="0" w:color="4472C4" w:themeColor="accent5"/>
            </w:tcBorders>
            <w:shd w:val="clear" w:color="auto" w:fill="1F3864" w:themeFill="accent5" w:themeFillShade="80"/>
            <w:vAlign w:val="center"/>
          </w:tcPr>
          <w:p w14:paraId="6B9A6274" w14:textId="3D6CF2C4" w:rsidR="000D1B33" w:rsidRPr="00F8330B" w:rsidRDefault="000D1B33" w:rsidP="00E53F38">
            <w:pPr>
              <w:jc w:val="center"/>
              <w:rPr>
                <w:rFonts w:ascii="Arial" w:hAnsi="Arial" w:cs="Arial"/>
                <w:b w:val="0"/>
                <w:color w:val="FFFFFF"/>
              </w:rPr>
            </w:pPr>
            <w:r w:rsidRPr="00F8330B">
              <w:rPr>
                <w:rFonts w:ascii="Arial" w:hAnsi="Arial" w:cs="Arial"/>
                <w:color w:val="FFFFFF"/>
              </w:rPr>
              <w:t>Data Sources</w:t>
            </w:r>
          </w:p>
        </w:tc>
        <w:tc>
          <w:tcPr>
            <w:tcW w:w="3600" w:type="dxa"/>
            <w:tcBorders>
              <w:left w:val="single" w:sz="4" w:space="0" w:color="4472C4" w:themeColor="accent5"/>
              <w:right w:val="single" w:sz="4" w:space="0" w:color="4472C4" w:themeColor="accent5"/>
            </w:tcBorders>
            <w:shd w:val="clear" w:color="auto" w:fill="1F3864" w:themeFill="accent5" w:themeFillShade="80"/>
            <w:vAlign w:val="center"/>
          </w:tcPr>
          <w:p w14:paraId="1CBFF9A6" w14:textId="77777777" w:rsidR="000D1B33" w:rsidRPr="00F8330B" w:rsidRDefault="000D1B33" w:rsidP="00E53F38">
            <w:pPr>
              <w:jc w:val="center"/>
              <w:rPr>
                <w:rFonts w:ascii="Arial" w:hAnsi="Arial" w:cs="Arial"/>
                <w:b w:val="0"/>
                <w:color w:val="FFFFFF"/>
              </w:rPr>
            </w:pPr>
            <w:r w:rsidRPr="00F8330B">
              <w:rPr>
                <w:rFonts w:ascii="Arial" w:hAnsi="Arial" w:cs="Arial"/>
                <w:color w:val="FFFFFF"/>
              </w:rPr>
              <w:t>Data Collection Method</w:t>
            </w:r>
          </w:p>
          <w:p w14:paraId="0BD91260" w14:textId="77777777" w:rsidR="000D1B33" w:rsidRPr="00F8330B" w:rsidRDefault="000D1B33" w:rsidP="00E53F38">
            <w:pPr>
              <w:jc w:val="center"/>
              <w:rPr>
                <w:rFonts w:ascii="Arial" w:hAnsi="Arial" w:cs="Arial"/>
                <w:b w:val="0"/>
                <w:color w:val="FFFFFF"/>
              </w:rPr>
            </w:pPr>
            <w:r w:rsidRPr="00F8330B">
              <w:rPr>
                <w:rFonts w:ascii="Arial" w:hAnsi="Arial" w:cs="Arial"/>
                <w:color w:val="FFFFFF"/>
              </w:rPr>
              <w:t>This is the method or tool we will use to collect these data.</w:t>
            </w:r>
          </w:p>
        </w:tc>
        <w:tc>
          <w:tcPr>
            <w:tcW w:w="5148" w:type="dxa"/>
            <w:tcBorders>
              <w:left w:val="single" w:sz="4" w:space="0" w:color="4472C4" w:themeColor="accent5"/>
            </w:tcBorders>
            <w:shd w:val="clear" w:color="auto" w:fill="1F3864" w:themeFill="accent5" w:themeFillShade="80"/>
            <w:vAlign w:val="center"/>
          </w:tcPr>
          <w:p w14:paraId="21A2A1C7" w14:textId="17AA2E82" w:rsidR="000D1B33" w:rsidRPr="00F8330B" w:rsidRDefault="000D1B33" w:rsidP="00E53F38">
            <w:pPr>
              <w:jc w:val="center"/>
              <w:rPr>
                <w:rFonts w:ascii="Arial" w:hAnsi="Arial" w:cs="Arial"/>
                <w:b w:val="0"/>
                <w:color w:val="FFFFFF"/>
              </w:rPr>
            </w:pPr>
            <w:r w:rsidRPr="00F8330B">
              <w:rPr>
                <w:rFonts w:ascii="Arial" w:hAnsi="Arial" w:cs="Arial"/>
                <w:color w:val="FFFFFF"/>
              </w:rPr>
              <w:t>Indicators</w:t>
            </w:r>
          </w:p>
          <w:p w14:paraId="77250BE8" w14:textId="77777777" w:rsidR="000D1B33" w:rsidRPr="00F8330B" w:rsidRDefault="000D1B33" w:rsidP="00E53F38">
            <w:pPr>
              <w:jc w:val="center"/>
              <w:rPr>
                <w:rFonts w:ascii="Arial" w:hAnsi="Arial" w:cs="Arial"/>
                <w:b w:val="0"/>
                <w:color w:val="FFFFFF"/>
              </w:rPr>
            </w:pPr>
            <w:r w:rsidRPr="00F8330B">
              <w:rPr>
                <w:rFonts w:ascii="Arial" w:hAnsi="Arial" w:cs="Arial"/>
                <w:color w:val="FFFFFF"/>
              </w:rPr>
              <w:t>These define the evidence we collect—they are measures that monitor progress and if things are changing the way we anticipated. They are specific, observable, and measurable.</w:t>
            </w:r>
          </w:p>
        </w:tc>
      </w:tr>
      <w:tr w:rsidR="00142F53" w:rsidRPr="00F8330B" w14:paraId="431DC351"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2628" w:type="dxa"/>
          </w:tcPr>
          <w:p w14:paraId="2C78A136" w14:textId="77777777" w:rsidR="00B73A48" w:rsidRPr="00F8330B" w:rsidRDefault="00B73A48" w:rsidP="007D07D7">
            <w:pPr>
              <w:pStyle w:val="ListParagraph"/>
              <w:numPr>
                <w:ilvl w:val="1"/>
                <w:numId w:val="36"/>
              </w:numPr>
              <w:ind w:left="443" w:hanging="443"/>
              <w:rPr>
                <w:rFonts w:ascii="Arial" w:eastAsia="Times New Roman" w:hAnsi="Arial" w:cs="Arial"/>
                <w:color w:val="222222"/>
              </w:rPr>
            </w:pPr>
            <w:r w:rsidRPr="00F8330B">
              <w:rPr>
                <w:rFonts w:ascii="Arial" w:eastAsia="Times New Roman" w:hAnsi="Arial" w:cs="Arial"/>
                <w:color w:val="000000"/>
              </w:rPr>
              <w:t>What is the annual change in participation in MEP health services for migratory OSY?</w:t>
            </w:r>
          </w:p>
        </w:tc>
        <w:tc>
          <w:tcPr>
            <w:tcW w:w="2160" w:type="dxa"/>
          </w:tcPr>
          <w:p w14:paraId="2ACD6A30" w14:textId="3ACCD1C3" w:rsidR="00B73A48" w:rsidRPr="00F8330B" w:rsidRDefault="00B73A48" w:rsidP="007D443E">
            <w:pPr>
              <w:pStyle w:val="ListParagraph"/>
              <w:numPr>
                <w:ilvl w:val="0"/>
                <w:numId w:val="33"/>
              </w:numPr>
              <w:ind w:left="165" w:hanging="165"/>
              <w:rPr>
                <w:rFonts w:ascii="Arial" w:hAnsi="Arial" w:cs="Arial"/>
              </w:rPr>
            </w:pPr>
            <w:r w:rsidRPr="00F8330B">
              <w:rPr>
                <w:rFonts w:ascii="Arial" w:hAnsi="Arial" w:cs="Arial"/>
              </w:rPr>
              <w:t>Local assessments (i.e.</w:t>
            </w:r>
            <w:r w:rsidR="007F60C6" w:rsidRPr="00F8330B">
              <w:rPr>
                <w:rFonts w:ascii="Arial" w:hAnsi="Arial" w:cs="Arial"/>
              </w:rPr>
              <w:t>,</w:t>
            </w:r>
            <w:r w:rsidRPr="00F8330B">
              <w:rPr>
                <w:rFonts w:ascii="Arial" w:hAnsi="Arial" w:cs="Arial"/>
              </w:rPr>
              <w:t xml:space="preserve"> INA and </w:t>
            </w:r>
            <w:r w:rsidR="00A3585C">
              <w:rPr>
                <w:rFonts w:ascii="Arial" w:hAnsi="Arial" w:cs="Arial"/>
              </w:rPr>
              <w:t>IL</w:t>
            </w:r>
            <w:r w:rsidR="00A3585C" w:rsidRPr="00F8330B">
              <w:rPr>
                <w:rFonts w:ascii="Arial" w:hAnsi="Arial" w:cs="Arial"/>
              </w:rPr>
              <w:t>P</w:t>
            </w:r>
            <w:r w:rsidRPr="00F8330B">
              <w:rPr>
                <w:rFonts w:ascii="Arial" w:hAnsi="Arial" w:cs="Arial"/>
              </w:rPr>
              <w:t>)</w:t>
            </w:r>
          </w:p>
        </w:tc>
        <w:tc>
          <w:tcPr>
            <w:tcW w:w="3600" w:type="dxa"/>
          </w:tcPr>
          <w:p w14:paraId="256F778D" w14:textId="77777777" w:rsidR="000D1B33" w:rsidRPr="00F8330B" w:rsidRDefault="00B73A48" w:rsidP="007D443E">
            <w:pPr>
              <w:pStyle w:val="ListParagraph"/>
              <w:numPr>
                <w:ilvl w:val="0"/>
                <w:numId w:val="33"/>
              </w:numPr>
              <w:rPr>
                <w:rFonts w:ascii="Arial" w:hAnsi="Arial" w:cs="Arial"/>
              </w:rPr>
            </w:pPr>
            <w:r w:rsidRPr="00F8330B">
              <w:rPr>
                <w:rFonts w:ascii="Arial" w:hAnsi="Arial" w:cs="Arial"/>
              </w:rPr>
              <w:t>Subgrantees enter health service data into MSIN for each migratory student</w:t>
            </w:r>
            <w:r w:rsidR="002A6C38" w:rsidRPr="00F8330B">
              <w:rPr>
                <w:rFonts w:ascii="Arial" w:hAnsi="Arial" w:cs="Arial"/>
              </w:rPr>
              <w:t>:</w:t>
            </w:r>
          </w:p>
          <w:p w14:paraId="404A13F8" w14:textId="77777777" w:rsidR="000D1B33" w:rsidRPr="00F8330B" w:rsidRDefault="000D1B33" w:rsidP="0017794E">
            <w:pPr>
              <w:pStyle w:val="ListParagraph"/>
              <w:numPr>
                <w:ilvl w:val="1"/>
                <w:numId w:val="33"/>
              </w:numPr>
              <w:ind w:left="676" w:hanging="341"/>
              <w:rPr>
                <w:rFonts w:ascii="Arial" w:hAnsi="Arial" w:cs="Arial"/>
              </w:rPr>
            </w:pPr>
            <w:r w:rsidRPr="00F8330B">
              <w:rPr>
                <w:rFonts w:ascii="Arial" w:hAnsi="Arial" w:cs="Arial"/>
              </w:rPr>
              <w:t>O</w:t>
            </w:r>
            <w:r w:rsidR="007F60C6" w:rsidRPr="00F8330B">
              <w:rPr>
                <w:rFonts w:ascii="Arial" w:hAnsi="Arial" w:cs="Arial"/>
              </w:rPr>
              <w:t>ral H</w:t>
            </w:r>
            <w:r w:rsidR="002A6C38" w:rsidRPr="00F8330B">
              <w:rPr>
                <w:rFonts w:ascii="Arial" w:hAnsi="Arial" w:cs="Arial"/>
              </w:rPr>
              <w:t>ealth</w:t>
            </w:r>
          </w:p>
          <w:p w14:paraId="74ECF053" w14:textId="77777777" w:rsidR="000D1B33" w:rsidRPr="00F8330B" w:rsidRDefault="000D1B33" w:rsidP="0017794E">
            <w:pPr>
              <w:pStyle w:val="ListParagraph"/>
              <w:numPr>
                <w:ilvl w:val="1"/>
                <w:numId w:val="33"/>
              </w:numPr>
              <w:ind w:left="676" w:hanging="341"/>
              <w:rPr>
                <w:rFonts w:ascii="Arial" w:hAnsi="Arial" w:cs="Arial"/>
              </w:rPr>
            </w:pPr>
            <w:r w:rsidRPr="00F8330B">
              <w:rPr>
                <w:rFonts w:ascii="Arial" w:hAnsi="Arial" w:cs="Arial"/>
              </w:rPr>
              <w:t>V</w:t>
            </w:r>
            <w:r w:rsidR="002A6C38" w:rsidRPr="00F8330B">
              <w:rPr>
                <w:rFonts w:ascii="Arial" w:hAnsi="Arial" w:cs="Arial"/>
              </w:rPr>
              <w:t>ision</w:t>
            </w:r>
          </w:p>
          <w:p w14:paraId="40CC9B2F" w14:textId="77777777" w:rsidR="000D1B33" w:rsidRPr="00F8330B" w:rsidRDefault="000D1B33" w:rsidP="0017794E">
            <w:pPr>
              <w:pStyle w:val="ListParagraph"/>
              <w:numPr>
                <w:ilvl w:val="1"/>
                <w:numId w:val="33"/>
              </w:numPr>
              <w:ind w:left="676" w:hanging="341"/>
              <w:rPr>
                <w:rFonts w:ascii="Arial" w:hAnsi="Arial" w:cs="Arial"/>
              </w:rPr>
            </w:pPr>
            <w:r w:rsidRPr="00F8330B">
              <w:rPr>
                <w:rFonts w:ascii="Arial" w:hAnsi="Arial" w:cs="Arial"/>
              </w:rPr>
              <w:t>M</w:t>
            </w:r>
            <w:r w:rsidR="002A6C38" w:rsidRPr="00F8330B">
              <w:rPr>
                <w:rFonts w:ascii="Arial" w:hAnsi="Arial" w:cs="Arial"/>
              </w:rPr>
              <w:t>edical</w:t>
            </w:r>
          </w:p>
          <w:p w14:paraId="046A3DCF" w14:textId="77777777" w:rsidR="00B73A48" w:rsidRPr="00F8330B" w:rsidRDefault="007F60C6" w:rsidP="0017794E">
            <w:pPr>
              <w:pStyle w:val="ListParagraph"/>
              <w:numPr>
                <w:ilvl w:val="1"/>
                <w:numId w:val="33"/>
              </w:numPr>
              <w:ind w:left="676" w:hanging="341"/>
              <w:rPr>
                <w:rFonts w:ascii="Arial" w:hAnsi="Arial" w:cs="Arial"/>
              </w:rPr>
            </w:pPr>
            <w:r w:rsidRPr="00F8330B">
              <w:rPr>
                <w:rFonts w:ascii="Arial" w:hAnsi="Arial" w:cs="Arial"/>
              </w:rPr>
              <w:t>H</w:t>
            </w:r>
            <w:r w:rsidR="002A6C38" w:rsidRPr="00F8330B">
              <w:rPr>
                <w:rFonts w:ascii="Arial" w:hAnsi="Arial" w:cs="Arial"/>
              </w:rPr>
              <w:t>earing</w:t>
            </w:r>
          </w:p>
          <w:p w14:paraId="7AD1D89B" w14:textId="77777777" w:rsidR="002A6C38" w:rsidRPr="00F8330B" w:rsidRDefault="007F60C6" w:rsidP="007D443E">
            <w:pPr>
              <w:pStyle w:val="ListParagraph"/>
              <w:numPr>
                <w:ilvl w:val="0"/>
                <w:numId w:val="39"/>
              </w:numPr>
              <w:ind w:left="695"/>
              <w:rPr>
                <w:rFonts w:ascii="Arial" w:hAnsi="Arial" w:cs="Arial"/>
              </w:rPr>
            </w:pPr>
            <w:r w:rsidRPr="00F8330B">
              <w:rPr>
                <w:rFonts w:ascii="Arial" w:hAnsi="Arial" w:cs="Arial"/>
              </w:rPr>
              <w:t>H</w:t>
            </w:r>
            <w:r w:rsidR="007B0584" w:rsidRPr="00F8330B">
              <w:rPr>
                <w:rFonts w:ascii="Arial" w:hAnsi="Arial" w:cs="Arial"/>
              </w:rPr>
              <w:t xml:space="preserve">ealth </w:t>
            </w:r>
            <w:r w:rsidR="002A6C38" w:rsidRPr="00F8330B">
              <w:rPr>
                <w:rFonts w:ascii="Arial" w:hAnsi="Arial" w:cs="Arial"/>
              </w:rPr>
              <w:t>education</w:t>
            </w:r>
          </w:p>
          <w:p w14:paraId="5F6FAB2B" w14:textId="77777777" w:rsidR="002A6C38" w:rsidRPr="00F8330B" w:rsidRDefault="007F60C6" w:rsidP="007D443E">
            <w:pPr>
              <w:pStyle w:val="ListParagraph"/>
              <w:numPr>
                <w:ilvl w:val="0"/>
                <w:numId w:val="39"/>
              </w:numPr>
              <w:ind w:left="695"/>
              <w:rPr>
                <w:rFonts w:ascii="Arial" w:hAnsi="Arial" w:cs="Arial"/>
              </w:rPr>
            </w:pPr>
            <w:r w:rsidRPr="00F8330B">
              <w:rPr>
                <w:rFonts w:ascii="Arial" w:hAnsi="Arial" w:cs="Arial"/>
              </w:rPr>
              <w:t>Mental H</w:t>
            </w:r>
            <w:r w:rsidR="002A6C38" w:rsidRPr="00F8330B">
              <w:rPr>
                <w:rFonts w:ascii="Arial" w:hAnsi="Arial" w:cs="Arial"/>
              </w:rPr>
              <w:t>ealth</w:t>
            </w:r>
          </w:p>
        </w:tc>
        <w:tc>
          <w:tcPr>
            <w:tcW w:w="5148" w:type="dxa"/>
          </w:tcPr>
          <w:p w14:paraId="5A066A02" w14:textId="77777777" w:rsidR="00B73A48" w:rsidRPr="009206CE" w:rsidRDefault="00085638" w:rsidP="007D443E">
            <w:pPr>
              <w:pStyle w:val="ListParagraph"/>
              <w:numPr>
                <w:ilvl w:val="0"/>
                <w:numId w:val="33"/>
              </w:numPr>
              <w:ind w:left="165" w:hanging="165"/>
              <w:rPr>
                <w:rFonts w:ascii="Arial" w:hAnsi="Arial" w:cs="Arial"/>
              </w:rPr>
            </w:pPr>
            <w:r w:rsidRPr="00F8330B">
              <w:rPr>
                <w:rFonts w:ascii="Arial" w:hAnsi="Arial" w:cs="Arial"/>
              </w:rPr>
              <w:t>Number of health services provided</w:t>
            </w:r>
            <w:r w:rsidR="007E7CC8" w:rsidRPr="00F8330B">
              <w:rPr>
                <w:rFonts w:ascii="Arial" w:hAnsi="Arial" w:cs="Arial"/>
              </w:rPr>
              <w:t xml:space="preserve"> annually</w:t>
            </w:r>
            <w:r w:rsidRPr="00F8330B">
              <w:rPr>
                <w:rFonts w:ascii="Arial" w:hAnsi="Arial" w:cs="Arial"/>
              </w:rPr>
              <w:t xml:space="preserve"> identified by service</w:t>
            </w:r>
          </w:p>
        </w:tc>
      </w:tr>
      <w:tr w:rsidR="00142F53" w:rsidRPr="00F8330B" w14:paraId="078B8994" w14:textId="77777777" w:rsidTr="00940787">
        <w:trPr>
          <w:cantSplit/>
        </w:trPr>
        <w:tc>
          <w:tcPr>
            <w:tcW w:w="2628" w:type="dxa"/>
          </w:tcPr>
          <w:p w14:paraId="67DAC62D" w14:textId="77777777" w:rsidR="00714D66" w:rsidRPr="00F8330B" w:rsidRDefault="00714D66" w:rsidP="007D07D7">
            <w:pPr>
              <w:pStyle w:val="ListParagraph"/>
              <w:numPr>
                <w:ilvl w:val="1"/>
                <w:numId w:val="36"/>
              </w:numPr>
              <w:ind w:left="443" w:hanging="443"/>
              <w:rPr>
                <w:rFonts w:ascii="Arial" w:eastAsia="Times New Roman" w:hAnsi="Arial" w:cs="Arial"/>
                <w:color w:val="222222"/>
              </w:rPr>
            </w:pPr>
            <w:r w:rsidRPr="00F8330B">
              <w:rPr>
                <w:rFonts w:ascii="Arial" w:eastAsia="Times New Roman" w:hAnsi="Arial" w:cs="Arial"/>
                <w:color w:val="000000"/>
              </w:rPr>
              <w:t xml:space="preserve">What is the annual change in </w:t>
            </w:r>
            <w:r w:rsidR="00B73A48" w:rsidRPr="00F8330B">
              <w:rPr>
                <w:rFonts w:ascii="Arial" w:eastAsia="Times New Roman" w:hAnsi="Arial" w:cs="Arial"/>
                <w:color w:val="000000"/>
              </w:rPr>
              <w:t>health services referrals</w:t>
            </w:r>
            <w:r w:rsidRPr="00F8330B">
              <w:rPr>
                <w:rFonts w:ascii="Arial" w:eastAsia="Times New Roman" w:hAnsi="Arial" w:cs="Arial"/>
                <w:color w:val="000000"/>
              </w:rPr>
              <w:t xml:space="preserve"> for migratory </w:t>
            </w:r>
            <w:r w:rsidR="00B73A48" w:rsidRPr="00F8330B">
              <w:rPr>
                <w:rFonts w:ascii="Arial" w:eastAsia="Times New Roman" w:hAnsi="Arial" w:cs="Arial"/>
                <w:color w:val="000000"/>
              </w:rPr>
              <w:t>OSY</w:t>
            </w:r>
            <w:r w:rsidRPr="00F8330B">
              <w:rPr>
                <w:rFonts w:ascii="Arial" w:eastAsia="Times New Roman" w:hAnsi="Arial" w:cs="Arial"/>
                <w:color w:val="000000"/>
              </w:rPr>
              <w:t>?</w:t>
            </w:r>
          </w:p>
        </w:tc>
        <w:tc>
          <w:tcPr>
            <w:tcW w:w="2160" w:type="dxa"/>
          </w:tcPr>
          <w:p w14:paraId="4EF19EB0" w14:textId="5E97EF58" w:rsidR="00714D66" w:rsidRPr="00F8330B" w:rsidRDefault="00B73A48" w:rsidP="007D443E">
            <w:pPr>
              <w:pStyle w:val="ListParagraph"/>
              <w:numPr>
                <w:ilvl w:val="0"/>
                <w:numId w:val="33"/>
              </w:numPr>
              <w:ind w:left="165" w:hanging="165"/>
              <w:rPr>
                <w:rFonts w:ascii="Arial" w:hAnsi="Arial" w:cs="Arial"/>
              </w:rPr>
            </w:pPr>
            <w:r w:rsidRPr="00F8330B">
              <w:rPr>
                <w:rFonts w:ascii="Arial" w:hAnsi="Arial" w:cs="Arial"/>
              </w:rPr>
              <w:t>Local assessments (i.e.</w:t>
            </w:r>
            <w:r w:rsidR="007F60C6" w:rsidRPr="00F8330B">
              <w:rPr>
                <w:rFonts w:ascii="Arial" w:hAnsi="Arial" w:cs="Arial"/>
              </w:rPr>
              <w:t>,</w:t>
            </w:r>
            <w:r w:rsidRPr="00F8330B">
              <w:rPr>
                <w:rFonts w:ascii="Arial" w:hAnsi="Arial" w:cs="Arial"/>
              </w:rPr>
              <w:t xml:space="preserve"> INA and </w:t>
            </w:r>
            <w:r w:rsidR="00A3585C">
              <w:rPr>
                <w:rFonts w:ascii="Arial" w:hAnsi="Arial" w:cs="Arial"/>
              </w:rPr>
              <w:t>IL</w:t>
            </w:r>
            <w:r w:rsidRPr="00F8330B">
              <w:rPr>
                <w:rFonts w:ascii="Arial" w:hAnsi="Arial" w:cs="Arial"/>
              </w:rPr>
              <w:t>P)</w:t>
            </w:r>
          </w:p>
        </w:tc>
        <w:tc>
          <w:tcPr>
            <w:tcW w:w="3600" w:type="dxa"/>
          </w:tcPr>
          <w:p w14:paraId="2661A6D2" w14:textId="77777777" w:rsidR="000D1B33" w:rsidRPr="00F8330B" w:rsidRDefault="000D1B33" w:rsidP="007D443E">
            <w:pPr>
              <w:pStyle w:val="ListParagraph"/>
              <w:numPr>
                <w:ilvl w:val="0"/>
                <w:numId w:val="33"/>
              </w:numPr>
              <w:rPr>
                <w:rFonts w:ascii="Arial" w:hAnsi="Arial" w:cs="Arial"/>
              </w:rPr>
            </w:pPr>
            <w:r w:rsidRPr="00F8330B">
              <w:rPr>
                <w:rFonts w:ascii="Arial" w:hAnsi="Arial" w:cs="Arial"/>
              </w:rPr>
              <w:t>Subgrantees enter health service data into MSIN for each migratory student:</w:t>
            </w:r>
          </w:p>
          <w:p w14:paraId="0B499AD0" w14:textId="77777777" w:rsidR="000D1B33" w:rsidRPr="00F8330B" w:rsidRDefault="000D1B33" w:rsidP="0017794E">
            <w:pPr>
              <w:pStyle w:val="ListParagraph"/>
              <w:numPr>
                <w:ilvl w:val="1"/>
                <w:numId w:val="33"/>
              </w:numPr>
              <w:ind w:left="676" w:hanging="341"/>
              <w:rPr>
                <w:rFonts w:ascii="Arial" w:hAnsi="Arial" w:cs="Arial"/>
              </w:rPr>
            </w:pPr>
            <w:r w:rsidRPr="00F8330B">
              <w:rPr>
                <w:rFonts w:ascii="Arial" w:hAnsi="Arial" w:cs="Arial"/>
              </w:rPr>
              <w:t>Oral Health</w:t>
            </w:r>
          </w:p>
          <w:p w14:paraId="21C4CCD8" w14:textId="77777777" w:rsidR="000D1B33" w:rsidRPr="00F8330B" w:rsidRDefault="000D1B33" w:rsidP="0017794E">
            <w:pPr>
              <w:pStyle w:val="ListParagraph"/>
              <w:numPr>
                <w:ilvl w:val="1"/>
                <w:numId w:val="33"/>
              </w:numPr>
              <w:ind w:left="676" w:hanging="341"/>
              <w:rPr>
                <w:rFonts w:ascii="Arial" w:hAnsi="Arial" w:cs="Arial"/>
              </w:rPr>
            </w:pPr>
            <w:r w:rsidRPr="00F8330B">
              <w:rPr>
                <w:rFonts w:ascii="Arial" w:hAnsi="Arial" w:cs="Arial"/>
              </w:rPr>
              <w:t>Vision</w:t>
            </w:r>
          </w:p>
          <w:p w14:paraId="15F3458D" w14:textId="77777777" w:rsidR="000D1B33" w:rsidRPr="00F8330B" w:rsidRDefault="000D1B33" w:rsidP="0017794E">
            <w:pPr>
              <w:pStyle w:val="ListParagraph"/>
              <w:numPr>
                <w:ilvl w:val="1"/>
                <w:numId w:val="33"/>
              </w:numPr>
              <w:ind w:left="676" w:hanging="341"/>
              <w:rPr>
                <w:rFonts w:ascii="Arial" w:hAnsi="Arial" w:cs="Arial"/>
              </w:rPr>
            </w:pPr>
            <w:r w:rsidRPr="00F8330B">
              <w:rPr>
                <w:rFonts w:ascii="Arial" w:hAnsi="Arial" w:cs="Arial"/>
              </w:rPr>
              <w:t>Medical</w:t>
            </w:r>
          </w:p>
          <w:p w14:paraId="30BFE5D9" w14:textId="77777777" w:rsidR="000D1B33" w:rsidRPr="00F8330B" w:rsidRDefault="000D1B33" w:rsidP="0017794E">
            <w:pPr>
              <w:pStyle w:val="ListParagraph"/>
              <w:numPr>
                <w:ilvl w:val="1"/>
                <w:numId w:val="33"/>
              </w:numPr>
              <w:ind w:left="676" w:hanging="341"/>
              <w:rPr>
                <w:rFonts w:ascii="Arial" w:hAnsi="Arial" w:cs="Arial"/>
              </w:rPr>
            </w:pPr>
            <w:r w:rsidRPr="00F8330B">
              <w:rPr>
                <w:rFonts w:ascii="Arial" w:hAnsi="Arial" w:cs="Arial"/>
              </w:rPr>
              <w:t>Hearing</w:t>
            </w:r>
          </w:p>
          <w:p w14:paraId="4CE19571" w14:textId="77777777" w:rsidR="000D1B33" w:rsidRPr="00F8330B" w:rsidRDefault="000D1B33" w:rsidP="007D443E">
            <w:pPr>
              <w:pStyle w:val="ListParagraph"/>
              <w:numPr>
                <w:ilvl w:val="0"/>
                <w:numId w:val="39"/>
              </w:numPr>
              <w:ind w:left="695"/>
              <w:rPr>
                <w:rFonts w:ascii="Arial" w:hAnsi="Arial" w:cs="Arial"/>
              </w:rPr>
            </w:pPr>
            <w:r w:rsidRPr="00F8330B">
              <w:rPr>
                <w:rFonts w:ascii="Arial" w:hAnsi="Arial" w:cs="Arial"/>
              </w:rPr>
              <w:t>Health education</w:t>
            </w:r>
          </w:p>
          <w:p w14:paraId="052EE134" w14:textId="77777777" w:rsidR="002A6C38" w:rsidRPr="00F8330B" w:rsidRDefault="000D1B33" w:rsidP="007D443E">
            <w:pPr>
              <w:pStyle w:val="ListParagraph"/>
              <w:numPr>
                <w:ilvl w:val="0"/>
                <w:numId w:val="40"/>
              </w:numPr>
              <w:ind w:left="695"/>
              <w:rPr>
                <w:rFonts w:ascii="Arial" w:hAnsi="Arial" w:cs="Arial"/>
              </w:rPr>
            </w:pPr>
            <w:r w:rsidRPr="00F8330B">
              <w:rPr>
                <w:rFonts w:ascii="Arial" w:hAnsi="Arial" w:cs="Arial"/>
              </w:rPr>
              <w:t>Mental Health</w:t>
            </w:r>
          </w:p>
        </w:tc>
        <w:tc>
          <w:tcPr>
            <w:tcW w:w="5148" w:type="dxa"/>
          </w:tcPr>
          <w:p w14:paraId="72823080" w14:textId="77777777" w:rsidR="00714D66" w:rsidRPr="009206CE" w:rsidRDefault="00085638" w:rsidP="007D443E">
            <w:pPr>
              <w:pStyle w:val="ListParagraph"/>
              <w:numPr>
                <w:ilvl w:val="0"/>
                <w:numId w:val="50"/>
              </w:numPr>
              <w:ind w:left="160" w:hanging="180"/>
              <w:rPr>
                <w:rFonts w:ascii="Arial" w:hAnsi="Arial" w:cs="Arial"/>
              </w:rPr>
            </w:pPr>
            <w:r w:rsidRPr="00F8330B">
              <w:rPr>
                <w:rFonts w:ascii="Arial" w:hAnsi="Arial" w:cs="Arial"/>
              </w:rPr>
              <w:t>Number of health referrals provided</w:t>
            </w:r>
            <w:r w:rsidR="007E7CC8" w:rsidRPr="00F8330B">
              <w:rPr>
                <w:rFonts w:ascii="Arial" w:hAnsi="Arial" w:cs="Arial"/>
              </w:rPr>
              <w:t xml:space="preserve"> annually to each child, by type</w:t>
            </w:r>
          </w:p>
        </w:tc>
      </w:tr>
    </w:tbl>
    <w:p w14:paraId="0F29959C" w14:textId="77777777" w:rsidR="000D1B33" w:rsidRPr="00127E07" w:rsidRDefault="000D1B33" w:rsidP="00C66062">
      <w:pPr>
        <w:numPr>
          <w:ilvl w:val="0"/>
          <w:numId w:val="49"/>
        </w:numPr>
        <w:ind w:left="360"/>
        <w:rPr>
          <w:rFonts w:ascii="Arial" w:eastAsia="Times New Roman" w:hAnsi="Arial" w:cs="Arial"/>
          <w:bCs/>
        </w:rPr>
      </w:pPr>
      <w:r>
        <w:rPr>
          <w:rFonts w:ascii="Arial" w:eastAsia="Times New Roman" w:hAnsi="Arial" w:cs="Arial"/>
          <w:b/>
          <w:bCs/>
          <w:sz w:val="22"/>
          <w:szCs w:val="22"/>
        </w:rPr>
        <w:br w:type="page"/>
      </w:r>
      <w:r w:rsidRPr="009206CE">
        <w:rPr>
          <w:rFonts w:ascii="Arial" w:eastAsia="Times New Roman" w:hAnsi="Arial" w:cs="Arial"/>
          <w:b/>
          <w:bCs/>
        </w:rPr>
        <w:lastRenderedPageBreak/>
        <w:t>Out of School Youth:</w:t>
      </w:r>
      <w:r w:rsidRPr="00127E07">
        <w:rPr>
          <w:rFonts w:ascii="Arial" w:eastAsia="Times New Roman" w:hAnsi="Arial" w:cs="Arial"/>
          <w:bCs/>
        </w:rPr>
        <w:t xml:space="preserve"> Is the number of OSY enrolling in (and completing) ESL or literacy classes increasing?</w:t>
      </w:r>
    </w:p>
    <w:p w14:paraId="495D46E8" w14:textId="77777777" w:rsidR="000D1B33" w:rsidRPr="00127E07" w:rsidRDefault="000D1B33" w:rsidP="00C66062">
      <w:pPr>
        <w:ind w:left="360"/>
      </w:pPr>
      <w:r w:rsidRPr="009206CE">
        <w:rPr>
          <w:rFonts w:ascii="Arial" w:hAnsi="Arial" w:cs="Arial"/>
          <w:b/>
        </w:rPr>
        <w:t>Performance Target:</w:t>
      </w:r>
      <w:r w:rsidRPr="00127E07">
        <w:rPr>
          <w:rFonts w:ascii="Arial" w:hAnsi="Arial" w:cs="Arial"/>
        </w:rPr>
        <w:t xml:space="preserve"> Performance Target will be set once the baseline data are collected in 2018–19.</w:t>
      </w:r>
    </w:p>
    <w:tbl>
      <w:tblPr>
        <w:tblStyle w:val="GridTable4-Accent1"/>
        <w:tblW w:w="13536" w:type="dxa"/>
        <w:tblLayout w:type="fixed"/>
        <w:tblLook w:val="0420" w:firstRow="1" w:lastRow="0" w:firstColumn="0" w:lastColumn="0" w:noHBand="0" w:noVBand="1"/>
        <w:tblDescription w:val="Out of School Youth Sub Questions"/>
      </w:tblPr>
      <w:tblGrid>
        <w:gridCol w:w="3078"/>
        <w:gridCol w:w="1980"/>
        <w:gridCol w:w="3600"/>
        <w:gridCol w:w="4878"/>
      </w:tblGrid>
      <w:tr w:rsidR="000D1B33" w:rsidRPr="000D1B33" w14:paraId="291A751B"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3078" w:type="dxa"/>
            <w:tcBorders>
              <w:right w:val="single" w:sz="4" w:space="0" w:color="4472C4" w:themeColor="accent5"/>
            </w:tcBorders>
            <w:shd w:val="clear" w:color="auto" w:fill="1F3864" w:themeFill="accent5" w:themeFillShade="80"/>
            <w:vAlign w:val="center"/>
          </w:tcPr>
          <w:p w14:paraId="1A7605D4"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Sub Questions</w:t>
            </w:r>
          </w:p>
          <w:p w14:paraId="3CCA5DCC"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questions articulate the main issues that will be addressed in the review.</w:t>
            </w:r>
          </w:p>
        </w:tc>
        <w:tc>
          <w:tcPr>
            <w:tcW w:w="1980" w:type="dxa"/>
            <w:tcBorders>
              <w:left w:val="single" w:sz="4" w:space="0" w:color="4472C4" w:themeColor="accent5"/>
              <w:right w:val="single" w:sz="4" w:space="0" w:color="4472C4" w:themeColor="accent5"/>
            </w:tcBorders>
            <w:shd w:val="clear" w:color="auto" w:fill="1F3864" w:themeFill="accent5" w:themeFillShade="80"/>
            <w:vAlign w:val="center"/>
          </w:tcPr>
          <w:p w14:paraId="70765F2C" w14:textId="76C6FAE1" w:rsidR="000D1B33" w:rsidRPr="000D1B33" w:rsidRDefault="000D1B33" w:rsidP="00E53F38">
            <w:pPr>
              <w:jc w:val="center"/>
              <w:rPr>
                <w:rFonts w:ascii="Arial" w:hAnsi="Arial" w:cs="Arial"/>
                <w:b w:val="0"/>
                <w:color w:val="FFFFFF"/>
              </w:rPr>
            </w:pPr>
            <w:r w:rsidRPr="000D1B33">
              <w:rPr>
                <w:rFonts w:ascii="Arial" w:hAnsi="Arial" w:cs="Arial"/>
                <w:color w:val="FFFFFF"/>
              </w:rPr>
              <w:t>Data Sources</w:t>
            </w:r>
          </w:p>
        </w:tc>
        <w:tc>
          <w:tcPr>
            <w:tcW w:w="3600" w:type="dxa"/>
            <w:tcBorders>
              <w:left w:val="single" w:sz="4" w:space="0" w:color="4472C4" w:themeColor="accent5"/>
              <w:right w:val="single" w:sz="4" w:space="0" w:color="4472C4" w:themeColor="accent5"/>
            </w:tcBorders>
            <w:shd w:val="clear" w:color="auto" w:fill="1F3864" w:themeFill="accent5" w:themeFillShade="80"/>
            <w:vAlign w:val="center"/>
          </w:tcPr>
          <w:p w14:paraId="082E0204"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Data Collection Method</w:t>
            </w:r>
          </w:p>
          <w:p w14:paraId="680FFDA3"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This is the method or tool we will use to collect these data.</w:t>
            </w:r>
          </w:p>
        </w:tc>
        <w:tc>
          <w:tcPr>
            <w:tcW w:w="4878" w:type="dxa"/>
            <w:tcBorders>
              <w:left w:val="single" w:sz="4" w:space="0" w:color="4472C4" w:themeColor="accent5"/>
            </w:tcBorders>
            <w:shd w:val="clear" w:color="auto" w:fill="1F3864" w:themeFill="accent5" w:themeFillShade="80"/>
            <w:vAlign w:val="center"/>
          </w:tcPr>
          <w:p w14:paraId="48823A2B" w14:textId="4A9378C8" w:rsidR="000D1B33" w:rsidRPr="000D1B33" w:rsidRDefault="000D1B33" w:rsidP="00E53F38">
            <w:pPr>
              <w:jc w:val="center"/>
              <w:rPr>
                <w:rFonts w:ascii="Arial" w:hAnsi="Arial" w:cs="Arial"/>
                <w:b w:val="0"/>
                <w:color w:val="FFFFFF"/>
              </w:rPr>
            </w:pPr>
            <w:r w:rsidRPr="000D1B33">
              <w:rPr>
                <w:rFonts w:ascii="Arial" w:hAnsi="Arial" w:cs="Arial"/>
                <w:color w:val="FFFFFF"/>
              </w:rPr>
              <w:t>Indicators</w:t>
            </w:r>
          </w:p>
          <w:p w14:paraId="46FE694C"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define the evidence we collect—they are measures that monitor progress and if things are changing the way we anticipated. They are specific, observable, and measurable.</w:t>
            </w:r>
          </w:p>
        </w:tc>
      </w:tr>
      <w:tr w:rsidR="00142F53" w:rsidRPr="000D1B33" w14:paraId="3043751B"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078" w:type="dxa"/>
          </w:tcPr>
          <w:p w14:paraId="770B673E" w14:textId="77777777" w:rsidR="007B0584" w:rsidRPr="00F8330B" w:rsidRDefault="003B1E63" w:rsidP="007D07D7">
            <w:pPr>
              <w:pStyle w:val="ListParagraph"/>
              <w:numPr>
                <w:ilvl w:val="1"/>
                <w:numId w:val="37"/>
              </w:numPr>
              <w:rPr>
                <w:rFonts w:ascii="Arial" w:eastAsia="Times New Roman" w:hAnsi="Arial" w:cs="Arial"/>
                <w:color w:val="000000"/>
              </w:rPr>
            </w:pPr>
            <w:r w:rsidRPr="000D1B33">
              <w:rPr>
                <w:rFonts w:ascii="Arial" w:eastAsia="Times New Roman" w:hAnsi="Arial" w:cs="Arial"/>
                <w:color w:val="000000"/>
              </w:rPr>
              <w:t>What is the annual change in participation in MEP EL</w:t>
            </w:r>
            <w:r w:rsidR="00740CB9" w:rsidRPr="000D1B33">
              <w:rPr>
                <w:rFonts w:ascii="Arial" w:eastAsia="Times New Roman" w:hAnsi="Arial" w:cs="Arial"/>
                <w:color w:val="000000"/>
              </w:rPr>
              <w:t>A</w:t>
            </w:r>
            <w:r w:rsidRPr="000D1B33">
              <w:rPr>
                <w:rFonts w:ascii="Arial" w:eastAsia="Times New Roman" w:hAnsi="Arial" w:cs="Arial"/>
                <w:color w:val="000000"/>
              </w:rPr>
              <w:t xml:space="preserve"> classes for migratory OSY?</w:t>
            </w:r>
          </w:p>
        </w:tc>
        <w:tc>
          <w:tcPr>
            <w:tcW w:w="1980" w:type="dxa"/>
          </w:tcPr>
          <w:p w14:paraId="0B84BEF2" w14:textId="05C5E414" w:rsidR="003B1E63" w:rsidRPr="000D1B33" w:rsidRDefault="003B1E63" w:rsidP="007D443E">
            <w:pPr>
              <w:pStyle w:val="ListParagraph"/>
              <w:numPr>
                <w:ilvl w:val="0"/>
                <w:numId w:val="33"/>
              </w:numPr>
              <w:ind w:left="165" w:hanging="165"/>
              <w:rPr>
                <w:rFonts w:ascii="Arial" w:hAnsi="Arial" w:cs="Arial"/>
              </w:rPr>
            </w:pPr>
            <w:r w:rsidRPr="000D1B33">
              <w:rPr>
                <w:rFonts w:ascii="Arial" w:hAnsi="Arial" w:cs="Arial"/>
              </w:rPr>
              <w:t>Local assessments (i.e.</w:t>
            </w:r>
            <w:r w:rsidR="00055F45" w:rsidRPr="000D1B33">
              <w:rPr>
                <w:rFonts w:ascii="Arial" w:hAnsi="Arial" w:cs="Arial"/>
              </w:rPr>
              <w:t>,</w:t>
            </w:r>
            <w:r w:rsidRPr="000D1B33">
              <w:rPr>
                <w:rFonts w:ascii="Arial" w:hAnsi="Arial" w:cs="Arial"/>
              </w:rPr>
              <w:t xml:space="preserve"> INA and </w:t>
            </w:r>
            <w:r w:rsidR="00A3585C">
              <w:rPr>
                <w:rFonts w:ascii="Arial" w:hAnsi="Arial" w:cs="Arial"/>
              </w:rPr>
              <w:t>ILP</w:t>
            </w:r>
            <w:r w:rsidRPr="000D1B33">
              <w:rPr>
                <w:rFonts w:ascii="Arial" w:hAnsi="Arial" w:cs="Arial"/>
              </w:rPr>
              <w:t>)</w:t>
            </w:r>
          </w:p>
        </w:tc>
        <w:tc>
          <w:tcPr>
            <w:tcW w:w="3600" w:type="dxa"/>
          </w:tcPr>
          <w:p w14:paraId="7E9E027B" w14:textId="1570C9FB" w:rsidR="003B1E63" w:rsidRPr="00127E07" w:rsidRDefault="003B1E63" w:rsidP="007D443E">
            <w:pPr>
              <w:pStyle w:val="ListParagraph"/>
              <w:numPr>
                <w:ilvl w:val="0"/>
                <w:numId w:val="33"/>
              </w:numPr>
              <w:ind w:left="165" w:hanging="165"/>
              <w:rPr>
                <w:rFonts w:ascii="Arial" w:hAnsi="Arial" w:cs="Arial"/>
              </w:rPr>
            </w:pPr>
            <w:r w:rsidRPr="000D1B33">
              <w:rPr>
                <w:rFonts w:ascii="Arial" w:hAnsi="Arial" w:cs="Arial"/>
              </w:rPr>
              <w:t xml:space="preserve">Subgrantees enter </w:t>
            </w:r>
            <w:r w:rsidR="00007ABB">
              <w:rPr>
                <w:rFonts w:ascii="Arial" w:hAnsi="Arial" w:cs="Arial"/>
              </w:rPr>
              <w:t>service</w:t>
            </w:r>
            <w:r w:rsidR="00C01B6E" w:rsidRPr="000D1B33">
              <w:rPr>
                <w:rFonts w:ascii="Arial" w:hAnsi="Arial" w:cs="Arial"/>
              </w:rPr>
              <w:t xml:space="preserve"> data into MSIN for each migratory s</w:t>
            </w:r>
            <w:r w:rsidRPr="000D1B33">
              <w:rPr>
                <w:rFonts w:ascii="Arial" w:hAnsi="Arial" w:cs="Arial"/>
              </w:rPr>
              <w:t>tudent</w:t>
            </w:r>
          </w:p>
        </w:tc>
        <w:tc>
          <w:tcPr>
            <w:tcW w:w="4878" w:type="dxa"/>
          </w:tcPr>
          <w:p w14:paraId="0ED22E36" w14:textId="77777777" w:rsidR="003B1E63" w:rsidRPr="00127E07" w:rsidRDefault="007E7CC8" w:rsidP="007D443E">
            <w:pPr>
              <w:pStyle w:val="ListParagraph"/>
              <w:numPr>
                <w:ilvl w:val="0"/>
                <w:numId w:val="33"/>
              </w:numPr>
              <w:ind w:left="165" w:hanging="165"/>
              <w:rPr>
                <w:rFonts w:ascii="Arial" w:hAnsi="Arial" w:cs="Arial"/>
              </w:rPr>
            </w:pPr>
            <w:r w:rsidRPr="000D1B33">
              <w:rPr>
                <w:rFonts w:ascii="Arial" w:hAnsi="Arial" w:cs="Arial"/>
              </w:rPr>
              <w:t xml:space="preserve">Number of </w:t>
            </w:r>
            <w:r w:rsidR="00C93696" w:rsidRPr="000D1B33">
              <w:rPr>
                <w:rFonts w:ascii="Arial" w:hAnsi="Arial" w:cs="Arial"/>
              </w:rPr>
              <w:t>OSY who complete an EL</w:t>
            </w:r>
            <w:r w:rsidR="00740CB9" w:rsidRPr="000D1B33">
              <w:rPr>
                <w:rFonts w:ascii="Arial" w:hAnsi="Arial" w:cs="Arial"/>
              </w:rPr>
              <w:t>A</w:t>
            </w:r>
            <w:r w:rsidR="00C93696" w:rsidRPr="000D1B33">
              <w:rPr>
                <w:rFonts w:ascii="Arial" w:hAnsi="Arial" w:cs="Arial"/>
              </w:rPr>
              <w:t xml:space="preserve"> service</w:t>
            </w:r>
          </w:p>
        </w:tc>
      </w:tr>
      <w:tr w:rsidR="00142F53" w:rsidRPr="000D1B33" w14:paraId="350E4745" w14:textId="77777777" w:rsidTr="00940787">
        <w:trPr>
          <w:cantSplit/>
        </w:trPr>
        <w:tc>
          <w:tcPr>
            <w:tcW w:w="3078" w:type="dxa"/>
          </w:tcPr>
          <w:p w14:paraId="26F05C16" w14:textId="77777777" w:rsidR="007B0584" w:rsidRPr="00F8330B" w:rsidRDefault="003B1E63" w:rsidP="007D443E">
            <w:pPr>
              <w:pStyle w:val="ListParagraph"/>
              <w:numPr>
                <w:ilvl w:val="1"/>
                <w:numId w:val="37"/>
              </w:numPr>
              <w:rPr>
                <w:rFonts w:ascii="Arial" w:eastAsia="Times New Roman" w:hAnsi="Arial" w:cs="Arial"/>
                <w:color w:val="000000"/>
              </w:rPr>
            </w:pPr>
            <w:r w:rsidRPr="000D1B33">
              <w:rPr>
                <w:rFonts w:ascii="Arial" w:eastAsia="Times New Roman" w:hAnsi="Arial" w:cs="Arial"/>
                <w:color w:val="000000"/>
              </w:rPr>
              <w:t xml:space="preserve">What is the annual change in </w:t>
            </w:r>
            <w:r w:rsidR="00740CB9" w:rsidRPr="000D1B33">
              <w:rPr>
                <w:rFonts w:ascii="Arial" w:eastAsia="Times New Roman" w:hAnsi="Arial" w:cs="Arial"/>
                <w:color w:val="000000"/>
              </w:rPr>
              <w:t xml:space="preserve">ELD and/or </w:t>
            </w:r>
            <w:r w:rsidR="005C68CD" w:rsidRPr="000D1B33">
              <w:rPr>
                <w:rFonts w:ascii="Arial" w:eastAsia="Times New Roman" w:hAnsi="Arial" w:cs="Arial"/>
                <w:color w:val="000000"/>
              </w:rPr>
              <w:t>ESL</w:t>
            </w:r>
            <w:r w:rsidRPr="000D1B33">
              <w:rPr>
                <w:rFonts w:ascii="Arial" w:eastAsia="Times New Roman" w:hAnsi="Arial" w:cs="Arial"/>
                <w:color w:val="000000"/>
              </w:rPr>
              <w:t xml:space="preserve"> class referrals for migratory OSY?</w:t>
            </w:r>
          </w:p>
        </w:tc>
        <w:tc>
          <w:tcPr>
            <w:tcW w:w="1980" w:type="dxa"/>
          </w:tcPr>
          <w:p w14:paraId="6E097236" w14:textId="13CB9654" w:rsidR="003B1E63" w:rsidRPr="000D1B33" w:rsidRDefault="003B1E63" w:rsidP="007D443E">
            <w:pPr>
              <w:pStyle w:val="ListParagraph"/>
              <w:numPr>
                <w:ilvl w:val="0"/>
                <w:numId w:val="33"/>
              </w:numPr>
              <w:ind w:left="165" w:hanging="165"/>
              <w:rPr>
                <w:rFonts w:ascii="Arial" w:hAnsi="Arial" w:cs="Arial"/>
              </w:rPr>
            </w:pPr>
            <w:r w:rsidRPr="000D1B33">
              <w:rPr>
                <w:rFonts w:ascii="Arial" w:hAnsi="Arial" w:cs="Arial"/>
              </w:rPr>
              <w:t>Local assessments (i.e.</w:t>
            </w:r>
            <w:r w:rsidR="00055F45" w:rsidRPr="000D1B33">
              <w:rPr>
                <w:rFonts w:ascii="Arial" w:hAnsi="Arial" w:cs="Arial"/>
              </w:rPr>
              <w:t>,</w:t>
            </w:r>
            <w:r w:rsidRPr="000D1B33">
              <w:rPr>
                <w:rFonts w:ascii="Arial" w:hAnsi="Arial" w:cs="Arial"/>
              </w:rPr>
              <w:t xml:space="preserve"> INA and </w:t>
            </w:r>
            <w:r w:rsidR="00A3585C">
              <w:rPr>
                <w:rFonts w:ascii="Arial" w:hAnsi="Arial" w:cs="Arial"/>
              </w:rPr>
              <w:t>ILP</w:t>
            </w:r>
            <w:r w:rsidRPr="000D1B33">
              <w:rPr>
                <w:rFonts w:ascii="Arial" w:hAnsi="Arial" w:cs="Arial"/>
              </w:rPr>
              <w:t>)</w:t>
            </w:r>
          </w:p>
        </w:tc>
        <w:tc>
          <w:tcPr>
            <w:tcW w:w="3600" w:type="dxa"/>
          </w:tcPr>
          <w:p w14:paraId="7B6F609F" w14:textId="230158BC" w:rsidR="003B1E63" w:rsidRPr="00127E07" w:rsidRDefault="003B1E63" w:rsidP="007D443E">
            <w:pPr>
              <w:pStyle w:val="ListParagraph"/>
              <w:numPr>
                <w:ilvl w:val="0"/>
                <w:numId w:val="33"/>
              </w:numPr>
              <w:ind w:left="165" w:hanging="165"/>
              <w:rPr>
                <w:rFonts w:ascii="Arial" w:hAnsi="Arial" w:cs="Arial"/>
              </w:rPr>
            </w:pPr>
            <w:r w:rsidRPr="000D1B33">
              <w:rPr>
                <w:rFonts w:ascii="Arial" w:hAnsi="Arial" w:cs="Arial"/>
              </w:rPr>
              <w:t xml:space="preserve">Subgrantees enter </w:t>
            </w:r>
            <w:r w:rsidR="00007ABB">
              <w:rPr>
                <w:rFonts w:ascii="Arial" w:hAnsi="Arial" w:cs="Arial"/>
              </w:rPr>
              <w:t>service</w:t>
            </w:r>
            <w:r w:rsidR="00C93696" w:rsidRPr="000D1B33">
              <w:rPr>
                <w:rFonts w:ascii="Arial" w:hAnsi="Arial" w:cs="Arial"/>
              </w:rPr>
              <w:t xml:space="preserve"> data into MSIN for each </w:t>
            </w:r>
            <w:r w:rsidR="00C01B6E" w:rsidRPr="000D1B33">
              <w:rPr>
                <w:rFonts w:ascii="Arial" w:hAnsi="Arial" w:cs="Arial"/>
              </w:rPr>
              <w:t>migratory student</w:t>
            </w:r>
          </w:p>
        </w:tc>
        <w:tc>
          <w:tcPr>
            <w:tcW w:w="4878" w:type="dxa"/>
          </w:tcPr>
          <w:p w14:paraId="7ADAC040" w14:textId="77777777" w:rsidR="003B1E63" w:rsidRPr="00127E07" w:rsidRDefault="007E7CC8" w:rsidP="007D443E">
            <w:pPr>
              <w:pStyle w:val="ListParagraph"/>
              <w:numPr>
                <w:ilvl w:val="0"/>
                <w:numId w:val="33"/>
              </w:numPr>
              <w:ind w:left="165" w:hanging="165"/>
              <w:rPr>
                <w:rFonts w:ascii="Arial" w:hAnsi="Arial" w:cs="Arial"/>
              </w:rPr>
            </w:pPr>
            <w:r w:rsidRPr="000D1B33">
              <w:rPr>
                <w:rFonts w:ascii="Arial" w:hAnsi="Arial" w:cs="Arial"/>
              </w:rPr>
              <w:t xml:space="preserve">Number of OSY referrals to </w:t>
            </w:r>
            <w:r w:rsidR="00740CB9" w:rsidRPr="000D1B33">
              <w:rPr>
                <w:rFonts w:ascii="Arial" w:hAnsi="Arial" w:cs="Arial"/>
              </w:rPr>
              <w:t xml:space="preserve">ELD and/or </w:t>
            </w:r>
            <w:r w:rsidRPr="000D1B33">
              <w:rPr>
                <w:rFonts w:ascii="Arial" w:hAnsi="Arial" w:cs="Arial"/>
              </w:rPr>
              <w:t>ESL service</w:t>
            </w:r>
          </w:p>
        </w:tc>
      </w:tr>
      <w:tr w:rsidR="00142F53" w:rsidRPr="000D1B33" w14:paraId="56089486"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078" w:type="dxa"/>
          </w:tcPr>
          <w:p w14:paraId="7FD0EAD1" w14:textId="77777777" w:rsidR="007B0584" w:rsidRPr="00F8330B" w:rsidRDefault="00B73A48" w:rsidP="007D443E">
            <w:pPr>
              <w:pStyle w:val="ListParagraph"/>
              <w:numPr>
                <w:ilvl w:val="1"/>
                <w:numId w:val="37"/>
              </w:numPr>
              <w:rPr>
                <w:rFonts w:ascii="Arial" w:eastAsia="Times New Roman" w:hAnsi="Arial" w:cs="Arial"/>
                <w:color w:val="000000"/>
              </w:rPr>
            </w:pPr>
            <w:r w:rsidRPr="000D1B33">
              <w:rPr>
                <w:rFonts w:ascii="Arial" w:eastAsia="Times New Roman" w:hAnsi="Arial" w:cs="Arial"/>
                <w:color w:val="000000"/>
              </w:rPr>
              <w:t xml:space="preserve">What is the annual change in </w:t>
            </w:r>
            <w:r w:rsidR="005C68CD" w:rsidRPr="000D1B33">
              <w:rPr>
                <w:rFonts w:ascii="Arial" w:eastAsia="Times New Roman" w:hAnsi="Arial" w:cs="Arial"/>
                <w:color w:val="000000"/>
              </w:rPr>
              <w:t>GED</w:t>
            </w:r>
            <w:r w:rsidR="003B1E63" w:rsidRPr="000D1B33">
              <w:rPr>
                <w:rFonts w:ascii="Arial" w:eastAsia="Times New Roman" w:hAnsi="Arial" w:cs="Arial"/>
                <w:color w:val="000000"/>
              </w:rPr>
              <w:t xml:space="preserve"> class completion for</w:t>
            </w:r>
            <w:r w:rsidRPr="000D1B33">
              <w:rPr>
                <w:rFonts w:ascii="Arial" w:eastAsia="Times New Roman" w:hAnsi="Arial" w:cs="Arial"/>
                <w:color w:val="000000"/>
              </w:rPr>
              <w:t xml:space="preserve"> migratory OSY?</w:t>
            </w:r>
          </w:p>
        </w:tc>
        <w:tc>
          <w:tcPr>
            <w:tcW w:w="1980" w:type="dxa"/>
          </w:tcPr>
          <w:p w14:paraId="0CCD6271" w14:textId="0452DDCD" w:rsidR="00B73A48" w:rsidRPr="000D1B33" w:rsidRDefault="00B73A48" w:rsidP="007D443E">
            <w:pPr>
              <w:pStyle w:val="ListParagraph"/>
              <w:numPr>
                <w:ilvl w:val="0"/>
                <w:numId w:val="33"/>
              </w:numPr>
              <w:ind w:left="165" w:hanging="165"/>
              <w:rPr>
                <w:rFonts w:ascii="Arial" w:hAnsi="Arial" w:cs="Arial"/>
              </w:rPr>
            </w:pPr>
            <w:r w:rsidRPr="000D1B33">
              <w:rPr>
                <w:rFonts w:ascii="Arial" w:hAnsi="Arial" w:cs="Arial"/>
              </w:rPr>
              <w:t>Local assessments (i.e.</w:t>
            </w:r>
            <w:r w:rsidR="00055F45" w:rsidRPr="000D1B33">
              <w:rPr>
                <w:rFonts w:ascii="Arial" w:hAnsi="Arial" w:cs="Arial"/>
              </w:rPr>
              <w:t>,</w:t>
            </w:r>
            <w:r w:rsidRPr="000D1B33">
              <w:rPr>
                <w:rFonts w:ascii="Arial" w:hAnsi="Arial" w:cs="Arial"/>
              </w:rPr>
              <w:t xml:space="preserve"> INA and </w:t>
            </w:r>
            <w:r w:rsidR="00A3585C">
              <w:rPr>
                <w:rFonts w:ascii="Arial" w:hAnsi="Arial" w:cs="Arial"/>
              </w:rPr>
              <w:t>ILP</w:t>
            </w:r>
            <w:r w:rsidRPr="000D1B33">
              <w:rPr>
                <w:rFonts w:ascii="Arial" w:hAnsi="Arial" w:cs="Arial"/>
              </w:rPr>
              <w:t>)</w:t>
            </w:r>
          </w:p>
        </w:tc>
        <w:tc>
          <w:tcPr>
            <w:tcW w:w="3600" w:type="dxa"/>
          </w:tcPr>
          <w:p w14:paraId="3E464F1C" w14:textId="05B5E0C5" w:rsidR="00B73A48" w:rsidRPr="00127E07" w:rsidRDefault="00B73A48" w:rsidP="007D443E">
            <w:pPr>
              <w:pStyle w:val="ListParagraph"/>
              <w:numPr>
                <w:ilvl w:val="0"/>
                <w:numId w:val="33"/>
              </w:numPr>
              <w:ind w:left="165" w:hanging="165"/>
              <w:rPr>
                <w:rFonts w:ascii="Arial" w:hAnsi="Arial" w:cs="Arial"/>
              </w:rPr>
            </w:pPr>
            <w:r w:rsidRPr="000D1B33">
              <w:rPr>
                <w:rFonts w:ascii="Arial" w:hAnsi="Arial" w:cs="Arial"/>
              </w:rPr>
              <w:t xml:space="preserve">Subgrantees enter </w:t>
            </w:r>
            <w:r w:rsidR="00007ABB">
              <w:rPr>
                <w:rFonts w:ascii="Arial" w:hAnsi="Arial" w:cs="Arial"/>
              </w:rPr>
              <w:t>service</w:t>
            </w:r>
            <w:r w:rsidR="00C93696" w:rsidRPr="000D1B33">
              <w:rPr>
                <w:rFonts w:ascii="Arial" w:hAnsi="Arial" w:cs="Arial"/>
              </w:rPr>
              <w:t xml:space="preserve"> data into MSIN for each </w:t>
            </w:r>
            <w:r w:rsidR="00C01B6E" w:rsidRPr="000D1B33">
              <w:rPr>
                <w:rFonts w:ascii="Arial" w:hAnsi="Arial" w:cs="Arial"/>
              </w:rPr>
              <w:t>migratory student</w:t>
            </w:r>
          </w:p>
        </w:tc>
        <w:tc>
          <w:tcPr>
            <w:tcW w:w="4878" w:type="dxa"/>
          </w:tcPr>
          <w:p w14:paraId="2A55B8A5" w14:textId="77777777" w:rsidR="003B1E63" w:rsidRPr="000D1B33" w:rsidRDefault="007E7CC8" w:rsidP="007D443E">
            <w:pPr>
              <w:pStyle w:val="ListParagraph"/>
              <w:numPr>
                <w:ilvl w:val="0"/>
                <w:numId w:val="33"/>
              </w:numPr>
              <w:ind w:left="165" w:hanging="165"/>
              <w:rPr>
                <w:rFonts w:ascii="Arial" w:hAnsi="Arial" w:cs="Arial"/>
              </w:rPr>
            </w:pPr>
            <w:r w:rsidRPr="000D1B33">
              <w:rPr>
                <w:rFonts w:ascii="Arial" w:hAnsi="Arial" w:cs="Arial"/>
              </w:rPr>
              <w:t xml:space="preserve">Number of OSY who </w:t>
            </w:r>
            <w:r w:rsidR="005C68CD" w:rsidRPr="000D1B33">
              <w:rPr>
                <w:rFonts w:ascii="Arial" w:hAnsi="Arial" w:cs="Arial"/>
              </w:rPr>
              <w:t xml:space="preserve">completed a GED or </w:t>
            </w:r>
            <w:r w:rsidR="00C93696" w:rsidRPr="000D1B33">
              <w:rPr>
                <w:rFonts w:ascii="Arial" w:hAnsi="Arial" w:cs="Arial"/>
              </w:rPr>
              <w:t>high school equivalency program</w:t>
            </w:r>
          </w:p>
          <w:p w14:paraId="359952C1" w14:textId="7A13A74F" w:rsidR="00B73A48" w:rsidRPr="000D1B33" w:rsidRDefault="000909E8" w:rsidP="007D443E">
            <w:pPr>
              <w:pStyle w:val="ListParagraph"/>
              <w:numPr>
                <w:ilvl w:val="0"/>
                <w:numId w:val="38"/>
              </w:numPr>
              <w:rPr>
                <w:rFonts w:ascii="Arial" w:hAnsi="Arial" w:cs="Arial"/>
              </w:rPr>
            </w:pPr>
            <w:r w:rsidRPr="000D1B33">
              <w:rPr>
                <w:rFonts w:ascii="Arial" w:hAnsi="Arial" w:cs="Arial"/>
              </w:rPr>
              <w:t xml:space="preserve">Course completion tracked via the </w:t>
            </w:r>
            <w:r w:rsidR="00A3585C">
              <w:rPr>
                <w:rFonts w:ascii="Arial" w:hAnsi="Arial" w:cs="Arial"/>
              </w:rPr>
              <w:t>ILP</w:t>
            </w:r>
          </w:p>
        </w:tc>
      </w:tr>
    </w:tbl>
    <w:p w14:paraId="2236AD6D" w14:textId="77777777" w:rsidR="000D1B33" w:rsidRPr="000D1B33" w:rsidRDefault="000D1B33" w:rsidP="006A6171">
      <w:pPr>
        <w:numPr>
          <w:ilvl w:val="0"/>
          <w:numId w:val="49"/>
        </w:numPr>
        <w:ind w:left="360"/>
        <w:rPr>
          <w:rFonts w:ascii="Arial" w:eastAsia="Times New Roman" w:hAnsi="Arial" w:cs="Arial"/>
          <w:b/>
          <w:bCs/>
        </w:rPr>
      </w:pPr>
      <w:r>
        <w:rPr>
          <w:rFonts w:ascii="Arial" w:eastAsia="Times New Roman" w:hAnsi="Arial" w:cs="Arial"/>
          <w:b/>
          <w:bCs/>
          <w:sz w:val="22"/>
          <w:szCs w:val="22"/>
        </w:rPr>
        <w:br w:type="page"/>
      </w:r>
      <w:r w:rsidRPr="000D1B33">
        <w:rPr>
          <w:rFonts w:ascii="Arial" w:eastAsia="Times New Roman" w:hAnsi="Arial" w:cs="Arial"/>
          <w:b/>
          <w:bCs/>
        </w:rPr>
        <w:lastRenderedPageBreak/>
        <w:t xml:space="preserve">Health: </w:t>
      </w:r>
      <w:r w:rsidRPr="00127E07">
        <w:rPr>
          <w:rFonts w:ascii="Arial" w:eastAsia="Times New Roman" w:hAnsi="Arial" w:cs="Arial"/>
          <w:bCs/>
        </w:rPr>
        <w:t>Is the number of migratory students accessing mental health services increasing?</w:t>
      </w:r>
    </w:p>
    <w:p w14:paraId="26A7F2C9" w14:textId="77777777" w:rsidR="000D1B33" w:rsidRPr="000D1B33" w:rsidRDefault="000D1B33" w:rsidP="006A6171">
      <w:pPr>
        <w:ind w:left="360"/>
      </w:pPr>
      <w:r w:rsidRPr="000D1B33">
        <w:rPr>
          <w:rFonts w:ascii="Arial" w:hAnsi="Arial" w:cs="Arial"/>
          <w:b/>
        </w:rPr>
        <w:t>Performance Target</w:t>
      </w:r>
      <w:r w:rsidRPr="000D1B33">
        <w:rPr>
          <w:rFonts w:ascii="Arial" w:hAnsi="Arial" w:cs="Arial"/>
        </w:rPr>
        <w:t xml:space="preserve"> Performance Target will be set once the baseline data are collected in 2018–19.</w:t>
      </w:r>
    </w:p>
    <w:tbl>
      <w:tblPr>
        <w:tblStyle w:val="GridTable4-Accent1"/>
        <w:tblW w:w="13536" w:type="dxa"/>
        <w:tblLayout w:type="fixed"/>
        <w:tblLook w:val="0420" w:firstRow="1" w:lastRow="0" w:firstColumn="0" w:lastColumn="0" w:noHBand="0" w:noVBand="1"/>
        <w:tblDescription w:val="Health Sub Questions"/>
      </w:tblPr>
      <w:tblGrid>
        <w:gridCol w:w="3078"/>
        <w:gridCol w:w="1980"/>
        <w:gridCol w:w="3600"/>
        <w:gridCol w:w="4878"/>
      </w:tblGrid>
      <w:tr w:rsidR="000D1B33" w:rsidRPr="000D1B33" w14:paraId="78DB1DF7"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3078" w:type="dxa"/>
            <w:tcBorders>
              <w:right w:val="single" w:sz="4" w:space="0" w:color="4472C4" w:themeColor="accent5"/>
            </w:tcBorders>
            <w:shd w:val="clear" w:color="auto" w:fill="1F3864" w:themeFill="accent5" w:themeFillShade="80"/>
            <w:vAlign w:val="center"/>
          </w:tcPr>
          <w:p w14:paraId="1419C7BD"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Sub Questions</w:t>
            </w:r>
          </w:p>
          <w:p w14:paraId="3C105269"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questions articulate the main issues that will be addressed in the review.</w:t>
            </w:r>
          </w:p>
        </w:tc>
        <w:tc>
          <w:tcPr>
            <w:tcW w:w="1980" w:type="dxa"/>
            <w:tcBorders>
              <w:left w:val="single" w:sz="4" w:space="0" w:color="4472C4" w:themeColor="accent5"/>
              <w:right w:val="single" w:sz="4" w:space="0" w:color="4472C4" w:themeColor="accent5"/>
            </w:tcBorders>
            <w:shd w:val="clear" w:color="auto" w:fill="1F3864" w:themeFill="accent5" w:themeFillShade="80"/>
            <w:vAlign w:val="center"/>
          </w:tcPr>
          <w:p w14:paraId="15552080" w14:textId="168D71FE" w:rsidR="000D1B33" w:rsidRPr="000D1B33" w:rsidRDefault="000D1B33" w:rsidP="00E53F38">
            <w:pPr>
              <w:jc w:val="center"/>
              <w:rPr>
                <w:rFonts w:ascii="Arial" w:hAnsi="Arial" w:cs="Arial"/>
                <w:b w:val="0"/>
                <w:color w:val="FFFFFF"/>
              </w:rPr>
            </w:pPr>
            <w:r w:rsidRPr="000D1B33">
              <w:rPr>
                <w:rFonts w:ascii="Arial" w:hAnsi="Arial" w:cs="Arial"/>
                <w:color w:val="FFFFFF"/>
              </w:rPr>
              <w:t>Data Sources</w:t>
            </w:r>
          </w:p>
        </w:tc>
        <w:tc>
          <w:tcPr>
            <w:tcW w:w="3600" w:type="dxa"/>
            <w:tcBorders>
              <w:left w:val="single" w:sz="4" w:space="0" w:color="4472C4" w:themeColor="accent5"/>
              <w:right w:val="single" w:sz="4" w:space="0" w:color="4472C4" w:themeColor="accent5"/>
            </w:tcBorders>
            <w:shd w:val="clear" w:color="auto" w:fill="1F3864" w:themeFill="accent5" w:themeFillShade="80"/>
            <w:vAlign w:val="center"/>
          </w:tcPr>
          <w:p w14:paraId="7DCC7CBA"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Data Collection Method</w:t>
            </w:r>
          </w:p>
          <w:p w14:paraId="28D9EE8C"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This is the method or tool we will use to collect these data.</w:t>
            </w:r>
          </w:p>
        </w:tc>
        <w:tc>
          <w:tcPr>
            <w:tcW w:w="4878" w:type="dxa"/>
            <w:tcBorders>
              <w:left w:val="single" w:sz="4" w:space="0" w:color="4472C4" w:themeColor="accent5"/>
            </w:tcBorders>
            <w:shd w:val="clear" w:color="auto" w:fill="1F3864" w:themeFill="accent5" w:themeFillShade="80"/>
            <w:vAlign w:val="center"/>
          </w:tcPr>
          <w:p w14:paraId="4BA137D1" w14:textId="4B5ACEE0" w:rsidR="000D1B33" w:rsidRPr="000D1B33" w:rsidRDefault="000D1B33" w:rsidP="00E53F38">
            <w:pPr>
              <w:jc w:val="center"/>
              <w:rPr>
                <w:rFonts w:ascii="Arial" w:hAnsi="Arial" w:cs="Arial"/>
                <w:b w:val="0"/>
                <w:color w:val="FFFFFF"/>
              </w:rPr>
            </w:pPr>
            <w:r w:rsidRPr="000D1B33">
              <w:rPr>
                <w:rFonts w:ascii="Arial" w:hAnsi="Arial" w:cs="Arial"/>
                <w:color w:val="FFFFFF"/>
              </w:rPr>
              <w:t>Indicators</w:t>
            </w:r>
          </w:p>
          <w:p w14:paraId="02E7274B"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define the evidence we collect—they are measures that monitor progress and if things are changing the way we anticipated. They are specific, observable, and measurable.</w:t>
            </w:r>
          </w:p>
        </w:tc>
      </w:tr>
      <w:tr w:rsidR="00142F53" w:rsidRPr="000D1B33" w14:paraId="45D64D89"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078" w:type="dxa"/>
          </w:tcPr>
          <w:p w14:paraId="09199601" w14:textId="77777777" w:rsidR="007B0584" w:rsidRPr="000D1B33" w:rsidRDefault="00F1584A" w:rsidP="007D07D7">
            <w:pPr>
              <w:pStyle w:val="ListParagraph"/>
              <w:numPr>
                <w:ilvl w:val="1"/>
                <w:numId w:val="44"/>
              </w:numPr>
              <w:ind w:left="533" w:hanging="533"/>
              <w:rPr>
                <w:rFonts w:ascii="Arial" w:eastAsia="Times New Roman" w:hAnsi="Arial" w:cs="Arial"/>
                <w:color w:val="000000"/>
              </w:rPr>
            </w:pPr>
            <w:r w:rsidRPr="000D1B33">
              <w:rPr>
                <w:rFonts w:ascii="Arial" w:eastAsia="Times New Roman" w:hAnsi="Arial" w:cs="Arial"/>
                <w:color w:val="000000"/>
              </w:rPr>
              <w:t>What is the annual change in men</w:t>
            </w:r>
            <w:r w:rsidR="00C93696" w:rsidRPr="000D1B33">
              <w:rPr>
                <w:rFonts w:ascii="Arial" w:eastAsia="Times New Roman" w:hAnsi="Arial" w:cs="Arial"/>
                <w:color w:val="000000"/>
              </w:rPr>
              <w:t>tal health</w:t>
            </w:r>
            <w:r w:rsidR="00C01B6E" w:rsidRPr="000D1B33">
              <w:rPr>
                <w:rFonts w:ascii="Arial" w:eastAsia="Times New Roman" w:hAnsi="Arial" w:cs="Arial"/>
                <w:color w:val="000000"/>
              </w:rPr>
              <w:t xml:space="preserve"> services offered to migratory s</w:t>
            </w:r>
            <w:r w:rsidR="00C93696" w:rsidRPr="000D1B33">
              <w:rPr>
                <w:rFonts w:ascii="Arial" w:eastAsia="Times New Roman" w:hAnsi="Arial" w:cs="Arial"/>
                <w:color w:val="000000"/>
              </w:rPr>
              <w:t>tudents</w:t>
            </w:r>
            <w:r w:rsidRPr="000D1B33">
              <w:rPr>
                <w:rFonts w:ascii="Arial" w:eastAsia="Times New Roman" w:hAnsi="Arial" w:cs="Arial"/>
                <w:color w:val="000000"/>
              </w:rPr>
              <w:t>?</w:t>
            </w:r>
          </w:p>
        </w:tc>
        <w:tc>
          <w:tcPr>
            <w:tcW w:w="1980" w:type="dxa"/>
          </w:tcPr>
          <w:p w14:paraId="359C65ED" w14:textId="5F06777C" w:rsidR="00F1584A" w:rsidRPr="000D1B33" w:rsidRDefault="00F1584A" w:rsidP="007D443E">
            <w:pPr>
              <w:pStyle w:val="ListParagraph"/>
              <w:numPr>
                <w:ilvl w:val="0"/>
                <w:numId w:val="33"/>
              </w:numPr>
              <w:ind w:left="165" w:hanging="165"/>
              <w:rPr>
                <w:rFonts w:ascii="Arial" w:hAnsi="Arial" w:cs="Arial"/>
              </w:rPr>
            </w:pPr>
            <w:r w:rsidRPr="000D1B33">
              <w:rPr>
                <w:rFonts w:ascii="Arial" w:hAnsi="Arial" w:cs="Arial"/>
              </w:rPr>
              <w:t>Local assessments (i.e.</w:t>
            </w:r>
            <w:r w:rsidR="00055F45" w:rsidRPr="000D1B33">
              <w:rPr>
                <w:rFonts w:ascii="Arial" w:hAnsi="Arial" w:cs="Arial"/>
              </w:rPr>
              <w:t>,</w:t>
            </w:r>
            <w:r w:rsidRPr="000D1B33">
              <w:rPr>
                <w:rFonts w:ascii="Arial" w:hAnsi="Arial" w:cs="Arial"/>
              </w:rPr>
              <w:t xml:space="preserve"> INA and </w:t>
            </w:r>
            <w:r w:rsidR="00A3585C">
              <w:rPr>
                <w:rFonts w:ascii="Arial" w:hAnsi="Arial" w:cs="Arial"/>
              </w:rPr>
              <w:t>ILP</w:t>
            </w:r>
            <w:r w:rsidRPr="000D1B33">
              <w:rPr>
                <w:rFonts w:ascii="Arial" w:hAnsi="Arial" w:cs="Arial"/>
              </w:rPr>
              <w:t>)</w:t>
            </w:r>
          </w:p>
        </w:tc>
        <w:tc>
          <w:tcPr>
            <w:tcW w:w="3600" w:type="dxa"/>
          </w:tcPr>
          <w:p w14:paraId="4BFF0C77" w14:textId="77777777" w:rsidR="00F1584A" w:rsidRPr="000D1B33" w:rsidRDefault="00F1584A" w:rsidP="007D443E">
            <w:pPr>
              <w:pStyle w:val="ListParagraph"/>
              <w:numPr>
                <w:ilvl w:val="0"/>
                <w:numId w:val="33"/>
              </w:numPr>
              <w:ind w:left="165" w:hanging="165"/>
              <w:rPr>
                <w:rFonts w:ascii="Arial" w:hAnsi="Arial" w:cs="Arial"/>
              </w:rPr>
            </w:pPr>
            <w:r w:rsidRPr="000D1B33">
              <w:rPr>
                <w:rFonts w:ascii="Arial" w:hAnsi="Arial" w:cs="Arial"/>
              </w:rPr>
              <w:t xml:space="preserve">Subgrantees enter </w:t>
            </w:r>
            <w:r w:rsidR="00801A8B" w:rsidRPr="000D1B33">
              <w:rPr>
                <w:rFonts w:ascii="Arial" w:hAnsi="Arial" w:cs="Arial"/>
              </w:rPr>
              <w:t xml:space="preserve">mental </w:t>
            </w:r>
            <w:r w:rsidRPr="000D1B33">
              <w:rPr>
                <w:rFonts w:ascii="Arial" w:hAnsi="Arial" w:cs="Arial"/>
              </w:rPr>
              <w:t>health s</w:t>
            </w:r>
            <w:r w:rsidR="00C93696" w:rsidRPr="000D1B33">
              <w:rPr>
                <w:rFonts w:ascii="Arial" w:hAnsi="Arial" w:cs="Arial"/>
              </w:rPr>
              <w:t xml:space="preserve">ervice data into MSIN for each </w:t>
            </w:r>
            <w:r w:rsidR="00C01B6E" w:rsidRPr="000D1B33">
              <w:rPr>
                <w:rFonts w:ascii="Arial" w:hAnsi="Arial" w:cs="Arial"/>
              </w:rPr>
              <w:t>migratory student</w:t>
            </w:r>
          </w:p>
          <w:p w14:paraId="128E0321" w14:textId="77777777" w:rsidR="00F1584A" w:rsidRPr="000D1B33" w:rsidRDefault="00F1584A" w:rsidP="00F62746">
            <w:pPr>
              <w:pStyle w:val="ListParagraph"/>
              <w:ind w:left="165"/>
              <w:rPr>
                <w:rFonts w:ascii="Arial" w:hAnsi="Arial" w:cs="Arial"/>
              </w:rPr>
            </w:pPr>
          </w:p>
        </w:tc>
        <w:tc>
          <w:tcPr>
            <w:tcW w:w="4878" w:type="dxa"/>
          </w:tcPr>
          <w:p w14:paraId="6D1AD0EB" w14:textId="77777777" w:rsidR="00F1584A" w:rsidRPr="000D1B33" w:rsidRDefault="005C68CD" w:rsidP="007D443E">
            <w:pPr>
              <w:pStyle w:val="ListParagraph"/>
              <w:numPr>
                <w:ilvl w:val="0"/>
                <w:numId w:val="33"/>
              </w:numPr>
              <w:ind w:left="165" w:hanging="165"/>
              <w:rPr>
                <w:rFonts w:ascii="Arial" w:hAnsi="Arial" w:cs="Arial"/>
              </w:rPr>
            </w:pPr>
            <w:r w:rsidRPr="000D1B33">
              <w:rPr>
                <w:rFonts w:ascii="Arial" w:hAnsi="Arial" w:cs="Arial"/>
              </w:rPr>
              <w:t>Number of men</w:t>
            </w:r>
            <w:r w:rsidR="00C93696" w:rsidRPr="000D1B33">
              <w:rPr>
                <w:rFonts w:ascii="Arial" w:hAnsi="Arial" w:cs="Arial"/>
              </w:rPr>
              <w:t xml:space="preserve">tal health services offered to </w:t>
            </w:r>
            <w:r w:rsidR="00C01B6E" w:rsidRPr="000D1B33">
              <w:rPr>
                <w:rFonts w:ascii="Arial" w:hAnsi="Arial" w:cs="Arial"/>
              </w:rPr>
              <w:t xml:space="preserve">migratory students </w:t>
            </w:r>
            <w:r w:rsidR="00C93696" w:rsidRPr="000D1B33">
              <w:rPr>
                <w:rFonts w:ascii="Arial" w:hAnsi="Arial" w:cs="Arial"/>
              </w:rPr>
              <w:t>annually</w:t>
            </w:r>
          </w:p>
          <w:p w14:paraId="38CDAF99" w14:textId="77777777" w:rsidR="005C68CD" w:rsidRPr="000D1B33" w:rsidRDefault="00C93696" w:rsidP="007D443E">
            <w:pPr>
              <w:pStyle w:val="ListParagraph"/>
              <w:numPr>
                <w:ilvl w:val="0"/>
                <w:numId w:val="33"/>
              </w:numPr>
              <w:ind w:left="165" w:hanging="165"/>
              <w:rPr>
                <w:rFonts w:ascii="Arial" w:hAnsi="Arial" w:cs="Arial"/>
              </w:rPr>
            </w:pPr>
            <w:r w:rsidRPr="000D1B33">
              <w:rPr>
                <w:rFonts w:ascii="Arial" w:hAnsi="Arial" w:cs="Arial"/>
              </w:rPr>
              <w:t xml:space="preserve">Number of </w:t>
            </w:r>
            <w:r w:rsidR="00C01B6E" w:rsidRPr="000D1B33">
              <w:rPr>
                <w:rFonts w:ascii="Arial" w:hAnsi="Arial" w:cs="Arial"/>
              </w:rPr>
              <w:t xml:space="preserve">migratory students </w:t>
            </w:r>
            <w:r w:rsidR="005C68CD" w:rsidRPr="000D1B33">
              <w:rPr>
                <w:rFonts w:ascii="Arial" w:hAnsi="Arial" w:cs="Arial"/>
              </w:rPr>
              <w:t>who c</w:t>
            </w:r>
            <w:r w:rsidRPr="000D1B33">
              <w:rPr>
                <w:rFonts w:ascii="Arial" w:hAnsi="Arial" w:cs="Arial"/>
              </w:rPr>
              <w:t>omplete a mental health service</w:t>
            </w:r>
          </w:p>
        </w:tc>
      </w:tr>
      <w:tr w:rsidR="00142F53" w:rsidRPr="000D1B33" w14:paraId="2BE80715" w14:textId="77777777" w:rsidTr="00940787">
        <w:trPr>
          <w:cantSplit/>
        </w:trPr>
        <w:tc>
          <w:tcPr>
            <w:tcW w:w="3078" w:type="dxa"/>
          </w:tcPr>
          <w:p w14:paraId="49694926" w14:textId="77777777" w:rsidR="007B0584" w:rsidRPr="000D1B33" w:rsidRDefault="00F1584A" w:rsidP="007D07D7">
            <w:pPr>
              <w:pStyle w:val="ListParagraph"/>
              <w:numPr>
                <w:ilvl w:val="1"/>
                <w:numId w:val="44"/>
              </w:numPr>
              <w:ind w:left="533" w:hanging="533"/>
              <w:rPr>
                <w:rFonts w:ascii="Arial" w:eastAsia="Times New Roman" w:hAnsi="Arial" w:cs="Arial"/>
                <w:color w:val="000000"/>
              </w:rPr>
            </w:pPr>
            <w:r w:rsidRPr="000D1B33">
              <w:rPr>
                <w:rFonts w:ascii="Arial" w:eastAsia="Times New Roman" w:hAnsi="Arial" w:cs="Arial"/>
                <w:color w:val="000000"/>
              </w:rPr>
              <w:t>What is the annual change in ment</w:t>
            </w:r>
            <w:r w:rsidR="00C01B6E" w:rsidRPr="000D1B33">
              <w:rPr>
                <w:rFonts w:ascii="Arial" w:eastAsia="Times New Roman" w:hAnsi="Arial" w:cs="Arial"/>
                <w:color w:val="000000"/>
              </w:rPr>
              <w:t>al health referrals offered to migratory s</w:t>
            </w:r>
            <w:r w:rsidR="00801A8B" w:rsidRPr="000D1B33">
              <w:rPr>
                <w:rFonts w:ascii="Arial" w:eastAsia="Times New Roman" w:hAnsi="Arial" w:cs="Arial"/>
                <w:color w:val="000000"/>
              </w:rPr>
              <w:t>tudents</w:t>
            </w:r>
            <w:r w:rsidRPr="000D1B33">
              <w:rPr>
                <w:rFonts w:ascii="Arial" w:eastAsia="Times New Roman" w:hAnsi="Arial" w:cs="Arial"/>
                <w:color w:val="000000"/>
              </w:rPr>
              <w:t>?</w:t>
            </w:r>
          </w:p>
        </w:tc>
        <w:tc>
          <w:tcPr>
            <w:tcW w:w="1980" w:type="dxa"/>
          </w:tcPr>
          <w:p w14:paraId="67282279" w14:textId="1622BE92" w:rsidR="00F1584A" w:rsidRPr="000D1B33" w:rsidRDefault="00F1584A" w:rsidP="007D443E">
            <w:pPr>
              <w:pStyle w:val="ListParagraph"/>
              <w:numPr>
                <w:ilvl w:val="0"/>
                <w:numId w:val="33"/>
              </w:numPr>
              <w:ind w:left="165" w:hanging="165"/>
              <w:rPr>
                <w:rFonts w:ascii="Arial" w:hAnsi="Arial" w:cs="Arial"/>
              </w:rPr>
            </w:pPr>
            <w:r w:rsidRPr="000D1B33">
              <w:rPr>
                <w:rFonts w:ascii="Arial" w:hAnsi="Arial" w:cs="Arial"/>
              </w:rPr>
              <w:t>Local assessments (i.e.</w:t>
            </w:r>
            <w:r w:rsidR="00055F45" w:rsidRPr="000D1B33">
              <w:rPr>
                <w:rFonts w:ascii="Arial" w:hAnsi="Arial" w:cs="Arial"/>
              </w:rPr>
              <w:t>,</w:t>
            </w:r>
            <w:r w:rsidRPr="000D1B33">
              <w:rPr>
                <w:rFonts w:ascii="Arial" w:hAnsi="Arial" w:cs="Arial"/>
              </w:rPr>
              <w:t xml:space="preserve"> INA and </w:t>
            </w:r>
            <w:r w:rsidR="00A3585C">
              <w:rPr>
                <w:rFonts w:ascii="Arial" w:hAnsi="Arial" w:cs="Arial"/>
              </w:rPr>
              <w:t>ILP</w:t>
            </w:r>
            <w:r w:rsidRPr="000D1B33">
              <w:rPr>
                <w:rFonts w:ascii="Arial" w:hAnsi="Arial" w:cs="Arial"/>
              </w:rPr>
              <w:t>)</w:t>
            </w:r>
          </w:p>
        </w:tc>
        <w:tc>
          <w:tcPr>
            <w:tcW w:w="3600" w:type="dxa"/>
          </w:tcPr>
          <w:p w14:paraId="09BF7CD6" w14:textId="77777777" w:rsidR="00F1584A" w:rsidRPr="000D1B33" w:rsidRDefault="00F1584A" w:rsidP="007D443E">
            <w:pPr>
              <w:pStyle w:val="ListParagraph"/>
              <w:numPr>
                <w:ilvl w:val="0"/>
                <w:numId w:val="33"/>
              </w:numPr>
              <w:ind w:left="165" w:hanging="165"/>
              <w:rPr>
                <w:rFonts w:ascii="Arial" w:hAnsi="Arial" w:cs="Arial"/>
              </w:rPr>
            </w:pPr>
            <w:r w:rsidRPr="000D1B33">
              <w:rPr>
                <w:rFonts w:ascii="Arial" w:hAnsi="Arial" w:cs="Arial"/>
              </w:rPr>
              <w:t xml:space="preserve">Subgrantees enter </w:t>
            </w:r>
            <w:r w:rsidR="00801A8B" w:rsidRPr="000D1B33">
              <w:rPr>
                <w:rFonts w:ascii="Arial" w:hAnsi="Arial" w:cs="Arial"/>
              </w:rPr>
              <w:t xml:space="preserve">mental </w:t>
            </w:r>
            <w:r w:rsidRPr="000D1B33">
              <w:rPr>
                <w:rFonts w:ascii="Arial" w:hAnsi="Arial" w:cs="Arial"/>
              </w:rPr>
              <w:t>health s</w:t>
            </w:r>
            <w:r w:rsidR="00801A8B" w:rsidRPr="000D1B33">
              <w:rPr>
                <w:rFonts w:ascii="Arial" w:hAnsi="Arial" w:cs="Arial"/>
              </w:rPr>
              <w:t xml:space="preserve">ervice data into MSIN for each </w:t>
            </w:r>
            <w:r w:rsidR="00C01B6E" w:rsidRPr="000D1B33">
              <w:rPr>
                <w:rFonts w:ascii="Arial" w:hAnsi="Arial" w:cs="Arial"/>
              </w:rPr>
              <w:t>migratory student</w:t>
            </w:r>
          </w:p>
        </w:tc>
        <w:tc>
          <w:tcPr>
            <w:tcW w:w="4878" w:type="dxa"/>
          </w:tcPr>
          <w:p w14:paraId="1224E168" w14:textId="77777777" w:rsidR="00F1584A" w:rsidRPr="000D1B33" w:rsidRDefault="005C68CD" w:rsidP="007D443E">
            <w:pPr>
              <w:pStyle w:val="ListParagraph"/>
              <w:numPr>
                <w:ilvl w:val="0"/>
                <w:numId w:val="33"/>
              </w:numPr>
              <w:ind w:left="165" w:hanging="165"/>
              <w:rPr>
                <w:rFonts w:ascii="Arial" w:hAnsi="Arial" w:cs="Arial"/>
              </w:rPr>
            </w:pPr>
            <w:r w:rsidRPr="000D1B33">
              <w:rPr>
                <w:rFonts w:ascii="Arial" w:hAnsi="Arial" w:cs="Arial"/>
              </w:rPr>
              <w:t>Number of me</w:t>
            </w:r>
            <w:r w:rsidR="00801A8B" w:rsidRPr="000D1B33">
              <w:rPr>
                <w:rFonts w:ascii="Arial" w:hAnsi="Arial" w:cs="Arial"/>
              </w:rPr>
              <w:t xml:space="preserve">ntal health referrals given to </w:t>
            </w:r>
            <w:r w:rsidR="00C01B6E" w:rsidRPr="000D1B33">
              <w:rPr>
                <w:rFonts w:ascii="Arial" w:hAnsi="Arial" w:cs="Arial"/>
              </w:rPr>
              <w:t xml:space="preserve">migratory students </w:t>
            </w:r>
            <w:r w:rsidRPr="000D1B33">
              <w:rPr>
                <w:rFonts w:ascii="Arial" w:hAnsi="Arial" w:cs="Arial"/>
              </w:rPr>
              <w:t>annually</w:t>
            </w:r>
          </w:p>
        </w:tc>
      </w:tr>
    </w:tbl>
    <w:p w14:paraId="7F648239" w14:textId="77777777" w:rsidR="006C032C" w:rsidRDefault="006C032C" w:rsidP="007D07D7">
      <w:pPr>
        <w:numPr>
          <w:ilvl w:val="0"/>
          <w:numId w:val="49"/>
        </w:numPr>
        <w:spacing w:before="240"/>
        <w:ind w:left="0"/>
        <w:rPr>
          <w:rFonts w:ascii="Arial" w:eastAsia="Times New Roman" w:hAnsi="Arial" w:cs="Arial"/>
          <w:b/>
          <w:bCs/>
        </w:rPr>
      </w:pPr>
      <w:r>
        <w:rPr>
          <w:rFonts w:ascii="Arial" w:eastAsia="Times New Roman" w:hAnsi="Arial" w:cs="Arial"/>
          <w:b/>
          <w:bCs/>
        </w:rPr>
        <w:br w:type="page"/>
      </w:r>
    </w:p>
    <w:p w14:paraId="4DE4BD7E" w14:textId="77777777" w:rsidR="000D1B33" w:rsidRPr="006C032C" w:rsidRDefault="000D1B33" w:rsidP="006C032C">
      <w:pPr>
        <w:pStyle w:val="ListParagraph"/>
        <w:numPr>
          <w:ilvl w:val="0"/>
          <w:numId w:val="65"/>
        </w:numPr>
        <w:spacing w:before="240"/>
        <w:ind w:left="0"/>
        <w:rPr>
          <w:rFonts w:ascii="Arial" w:eastAsia="Times New Roman" w:hAnsi="Arial" w:cs="Arial"/>
          <w:b/>
          <w:bCs/>
        </w:rPr>
      </w:pPr>
      <w:r w:rsidRPr="006C032C">
        <w:rPr>
          <w:rFonts w:ascii="Arial" w:eastAsia="Times New Roman" w:hAnsi="Arial" w:cs="Arial"/>
          <w:b/>
          <w:bCs/>
        </w:rPr>
        <w:lastRenderedPageBreak/>
        <w:t xml:space="preserve">Parent and Family Engagement: </w:t>
      </w:r>
      <w:r w:rsidRPr="006C032C">
        <w:rPr>
          <w:rFonts w:ascii="Arial" w:eastAsia="Times New Roman" w:hAnsi="Arial" w:cs="Arial"/>
          <w:bCs/>
        </w:rPr>
        <w:t>Is parent and family engagement in the MEP and at school increasing?</w:t>
      </w:r>
    </w:p>
    <w:p w14:paraId="5B465D1E" w14:textId="77777777" w:rsidR="000D1B33" w:rsidRPr="000D1B33" w:rsidRDefault="000D1B33">
      <w:r w:rsidRPr="000D1B33">
        <w:rPr>
          <w:rFonts w:ascii="Arial" w:hAnsi="Arial" w:cs="Arial"/>
          <w:b/>
        </w:rPr>
        <w:t xml:space="preserve">Performance Target: </w:t>
      </w:r>
      <w:r w:rsidRPr="000D1B33">
        <w:rPr>
          <w:rFonts w:ascii="Arial" w:hAnsi="Arial" w:cs="Arial"/>
        </w:rPr>
        <w:t>Performance Target will be set once the baseline data are collected in 2018–19.</w:t>
      </w:r>
    </w:p>
    <w:tbl>
      <w:tblPr>
        <w:tblStyle w:val="GridTable4-Accent1"/>
        <w:tblW w:w="13536" w:type="dxa"/>
        <w:tblLayout w:type="fixed"/>
        <w:tblLook w:val="0420" w:firstRow="1" w:lastRow="0" w:firstColumn="0" w:lastColumn="0" w:noHBand="0" w:noVBand="1"/>
        <w:tblDescription w:val="Parent and Family Engagement Sub Questions"/>
      </w:tblPr>
      <w:tblGrid>
        <w:gridCol w:w="3618"/>
        <w:gridCol w:w="1440"/>
        <w:gridCol w:w="2970"/>
        <w:gridCol w:w="5508"/>
      </w:tblGrid>
      <w:tr w:rsidR="000D1B33" w:rsidRPr="000D1B33" w14:paraId="4D766E33"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3618" w:type="dxa"/>
            <w:tcBorders>
              <w:right w:val="single" w:sz="4" w:space="0" w:color="4472C4" w:themeColor="accent5"/>
            </w:tcBorders>
            <w:shd w:val="clear" w:color="auto" w:fill="1F4E79" w:themeFill="accent1" w:themeFillShade="80"/>
            <w:vAlign w:val="center"/>
          </w:tcPr>
          <w:p w14:paraId="356F39A4"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Sub Questions</w:t>
            </w:r>
          </w:p>
          <w:p w14:paraId="07031815"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questions articulate the main issues that will be addressed in the review.</w:t>
            </w:r>
          </w:p>
        </w:tc>
        <w:tc>
          <w:tcPr>
            <w:tcW w:w="1440" w:type="dxa"/>
            <w:tcBorders>
              <w:left w:val="single" w:sz="4" w:space="0" w:color="4472C4" w:themeColor="accent5"/>
              <w:right w:val="single" w:sz="4" w:space="0" w:color="4472C4" w:themeColor="accent5"/>
            </w:tcBorders>
            <w:shd w:val="clear" w:color="auto" w:fill="1F4E79" w:themeFill="accent1" w:themeFillShade="80"/>
            <w:vAlign w:val="center"/>
          </w:tcPr>
          <w:p w14:paraId="7A937CF9" w14:textId="75BF4AA7" w:rsidR="000D1B33" w:rsidRPr="000D1B33" w:rsidRDefault="000D1B33" w:rsidP="00E53F38">
            <w:pPr>
              <w:jc w:val="center"/>
              <w:rPr>
                <w:rFonts w:ascii="Arial" w:hAnsi="Arial" w:cs="Arial"/>
                <w:b w:val="0"/>
                <w:color w:val="FFFFFF"/>
              </w:rPr>
            </w:pPr>
            <w:r w:rsidRPr="000D1B33">
              <w:rPr>
                <w:rFonts w:ascii="Arial" w:hAnsi="Arial" w:cs="Arial"/>
                <w:color w:val="FFFFFF"/>
              </w:rPr>
              <w:t>Data Sources</w:t>
            </w:r>
          </w:p>
        </w:tc>
        <w:tc>
          <w:tcPr>
            <w:tcW w:w="2970" w:type="dxa"/>
            <w:tcBorders>
              <w:left w:val="single" w:sz="4" w:space="0" w:color="4472C4" w:themeColor="accent5"/>
              <w:right w:val="single" w:sz="4" w:space="0" w:color="4472C4" w:themeColor="accent5"/>
            </w:tcBorders>
            <w:shd w:val="clear" w:color="auto" w:fill="1F4E79" w:themeFill="accent1" w:themeFillShade="80"/>
            <w:vAlign w:val="center"/>
          </w:tcPr>
          <w:p w14:paraId="072E43B6"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Data Collection Method</w:t>
            </w:r>
          </w:p>
          <w:p w14:paraId="14E85C49"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This is the method or tool we will use to collect these data.</w:t>
            </w:r>
          </w:p>
        </w:tc>
        <w:tc>
          <w:tcPr>
            <w:tcW w:w="5508" w:type="dxa"/>
            <w:tcBorders>
              <w:left w:val="single" w:sz="4" w:space="0" w:color="4472C4" w:themeColor="accent5"/>
            </w:tcBorders>
            <w:shd w:val="clear" w:color="auto" w:fill="1F4E79" w:themeFill="accent1" w:themeFillShade="80"/>
            <w:vAlign w:val="center"/>
          </w:tcPr>
          <w:p w14:paraId="312914B8" w14:textId="469FDC5B" w:rsidR="000D1B33" w:rsidRPr="000D1B33" w:rsidRDefault="000D1B33" w:rsidP="00E53F38">
            <w:pPr>
              <w:jc w:val="center"/>
              <w:rPr>
                <w:rFonts w:ascii="Arial" w:hAnsi="Arial" w:cs="Arial"/>
                <w:b w:val="0"/>
                <w:color w:val="FFFFFF"/>
              </w:rPr>
            </w:pPr>
            <w:r w:rsidRPr="000D1B33">
              <w:rPr>
                <w:rFonts w:ascii="Arial" w:hAnsi="Arial" w:cs="Arial"/>
                <w:color w:val="FFFFFF"/>
              </w:rPr>
              <w:t>Indicators</w:t>
            </w:r>
          </w:p>
          <w:p w14:paraId="100C932A"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define the evidence we collect—they are measures that monitor progress and if things are changing the way we anticipated. They are specific, observable, and measurable.</w:t>
            </w:r>
          </w:p>
        </w:tc>
      </w:tr>
      <w:tr w:rsidR="00142F53" w:rsidRPr="000D1B33" w14:paraId="5D99BC7A"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618" w:type="dxa"/>
          </w:tcPr>
          <w:p w14:paraId="536E805B" w14:textId="77777777" w:rsidR="00F1584A" w:rsidRPr="000D1B33" w:rsidRDefault="007B0584" w:rsidP="007D443E">
            <w:pPr>
              <w:pStyle w:val="ListParagraph"/>
              <w:numPr>
                <w:ilvl w:val="1"/>
                <w:numId w:val="45"/>
              </w:numPr>
              <w:ind w:left="533" w:hanging="533"/>
              <w:rPr>
                <w:rFonts w:ascii="Arial" w:eastAsia="Times New Roman" w:hAnsi="Arial" w:cs="Arial"/>
                <w:color w:val="000000"/>
              </w:rPr>
            </w:pPr>
            <w:r w:rsidRPr="000D1B33">
              <w:rPr>
                <w:rFonts w:ascii="Arial" w:eastAsia="Times New Roman" w:hAnsi="Arial" w:cs="Arial"/>
                <w:color w:val="000000"/>
              </w:rPr>
              <w:t>What is the annual change in parent participation in MEP services?</w:t>
            </w:r>
          </w:p>
        </w:tc>
        <w:tc>
          <w:tcPr>
            <w:tcW w:w="1440" w:type="dxa"/>
          </w:tcPr>
          <w:p w14:paraId="513EF721" w14:textId="77777777" w:rsidR="00F1584A" w:rsidRPr="000D1B33" w:rsidRDefault="007B0584" w:rsidP="007D443E">
            <w:pPr>
              <w:pStyle w:val="ListParagraph"/>
              <w:numPr>
                <w:ilvl w:val="0"/>
                <w:numId w:val="33"/>
              </w:numPr>
              <w:ind w:left="165" w:hanging="165"/>
              <w:rPr>
                <w:rFonts w:ascii="Arial" w:hAnsi="Arial" w:cs="Arial"/>
              </w:rPr>
            </w:pPr>
            <w:r w:rsidRPr="000D1B33">
              <w:rPr>
                <w:rFonts w:ascii="Arial" w:hAnsi="Arial" w:cs="Arial"/>
              </w:rPr>
              <w:t>Local data</w:t>
            </w:r>
          </w:p>
        </w:tc>
        <w:tc>
          <w:tcPr>
            <w:tcW w:w="2970" w:type="dxa"/>
          </w:tcPr>
          <w:p w14:paraId="779B7F2E" w14:textId="2D7C8915" w:rsidR="00F1584A" w:rsidRPr="000D1B33" w:rsidRDefault="007B0584" w:rsidP="007D443E">
            <w:pPr>
              <w:pStyle w:val="ListParagraph"/>
              <w:numPr>
                <w:ilvl w:val="0"/>
                <w:numId w:val="33"/>
              </w:numPr>
              <w:ind w:left="165" w:hanging="165"/>
              <w:rPr>
                <w:rFonts w:ascii="Arial" w:hAnsi="Arial" w:cs="Arial"/>
              </w:rPr>
            </w:pPr>
            <w:r w:rsidRPr="000D1B33">
              <w:rPr>
                <w:rFonts w:ascii="Arial" w:hAnsi="Arial" w:cs="Arial"/>
              </w:rPr>
              <w:t xml:space="preserve">Subgrantees </w:t>
            </w:r>
            <w:r w:rsidR="00700FC0">
              <w:rPr>
                <w:rFonts w:ascii="Arial" w:hAnsi="Arial" w:cs="Arial"/>
              </w:rPr>
              <w:t>collect unique parent participation data</w:t>
            </w:r>
          </w:p>
        </w:tc>
        <w:tc>
          <w:tcPr>
            <w:tcW w:w="5508" w:type="dxa"/>
          </w:tcPr>
          <w:p w14:paraId="236B11E1" w14:textId="0AF77A65" w:rsidR="00F1584A" w:rsidRPr="000D1B33" w:rsidRDefault="005C68CD" w:rsidP="007D443E">
            <w:pPr>
              <w:pStyle w:val="ListParagraph"/>
              <w:numPr>
                <w:ilvl w:val="0"/>
                <w:numId w:val="33"/>
              </w:numPr>
              <w:ind w:left="165" w:hanging="165"/>
              <w:rPr>
                <w:rFonts w:ascii="Arial" w:hAnsi="Arial" w:cs="Arial"/>
              </w:rPr>
            </w:pPr>
            <w:r w:rsidRPr="000D1B33">
              <w:rPr>
                <w:rFonts w:ascii="Arial" w:hAnsi="Arial" w:cs="Arial"/>
              </w:rPr>
              <w:t xml:space="preserve">Number of </w:t>
            </w:r>
            <w:r w:rsidR="00700FC0">
              <w:rPr>
                <w:rFonts w:ascii="Arial" w:hAnsi="Arial" w:cs="Arial"/>
              </w:rPr>
              <w:t xml:space="preserve">unduplicated </w:t>
            </w:r>
            <w:r w:rsidRPr="000D1B33">
              <w:rPr>
                <w:rFonts w:ascii="Arial" w:hAnsi="Arial" w:cs="Arial"/>
              </w:rPr>
              <w:t xml:space="preserve">parents who attend </w:t>
            </w:r>
            <w:r w:rsidR="00A13308" w:rsidRPr="000D1B33">
              <w:rPr>
                <w:rFonts w:ascii="Arial" w:hAnsi="Arial" w:cs="Arial"/>
              </w:rPr>
              <w:t>parent workshops that build capacity to su</w:t>
            </w:r>
            <w:r w:rsidR="00841D48" w:rsidRPr="000D1B33">
              <w:rPr>
                <w:rFonts w:ascii="Arial" w:hAnsi="Arial" w:cs="Arial"/>
              </w:rPr>
              <w:t>pport their students’ education</w:t>
            </w:r>
          </w:p>
        </w:tc>
      </w:tr>
      <w:tr w:rsidR="00142F53" w:rsidRPr="000D1B33" w14:paraId="3A9A3094" w14:textId="77777777" w:rsidTr="00940787">
        <w:trPr>
          <w:cantSplit/>
        </w:trPr>
        <w:tc>
          <w:tcPr>
            <w:tcW w:w="3618" w:type="dxa"/>
          </w:tcPr>
          <w:p w14:paraId="6DE0890E" w14:textId="77777777" w:rsidR="00F1584A" w:rsidRPr="000D1B33" w:rsidRDefault="007B0584" w:rsidP="007D443E">
            <w:pPr>
              <w:pStyle w:val="ListParagraph"/>
              <w:numPr>
                <w:ilvl w:val="1"/>
                <w:numId w:val="45"/>
              </w:numPr>
              <w:ind w:left="533" w:hanging="533"/>
              <w:rPr>
                <w:rFonts w:ascii="Arial" w:eastAsia="Times New Roman" w:hAnsi="Arial" w:cs="Arial"/>
                <w:color w:val="000000"/>
              </w:rPr>
            </w:pPr>
            <w:r w:rsidRPr="000D1B33">
              <w:rPr>
                <w:rFonts w:ascii="Arial" w:eastAsia="Times New Roman" w:hAnsi="Arial" w:cs="Arial"/>
                <w:color w:val="000000"/>
              </w:rPr>
              <w:t>What is the annual change in parent participation in school services?</w:t>
            </w:r>
          </w:p>
        </w:tc>
        <w:tc>
          <w:tcPr>
            <w:tcW w:w="1440" w:type="dxa"/>
          </w:tcPr>
          <w:p w14:paraId="59F6DE23" w14:textId="77777777" w:rsidR="00F1584A" w:rsidRPr="000D1B33" w:rsidRDefault="007B0584" w:rsidP="007D443E">
            <w:pPr>
              <w:pStyle w:val="ListParagraph"/>
              <w:numPr>
                <w:ilvl w:val="0"/>
                <w:numId w:val="33"/>
              </w:numPr>
              <w:ind w:left="165" w:hanging="165"/>
              <w:rPr>
                <w:rFonts w:ascii="Arial" w:hAnsi="Arial" w:cs="Arial"/>
              </w:rPr>
            </w:pPr>
            <w:r w:rsidRPr="000D1B33">
              <w:rPr>
                <w:rFonts w:ascii="Arial" w:hAnsi="Arial" w:cs="Arial"/>
              </w:rPr>
              <w:t>Parent survey</w:t>
            </w:r>
          </w:p>
        </w:tc>
        <w:tc>
          <w:tcPr>
            <w:tcW w:w="2970" w:type="dxa"/>
          </w:tcPr>
          <w:p w14:paraId="6EB4CEE3" w14:textId="77777777" w:rsidR="00F1584A" w:rsidRPr="000D1B33" w:rsidRDefault="007B0584" w:rsidP="007D443E">
            <w:pPr>
              <w:pStyle w:val="ListParagraph"/>
              <w:numPr>
                <w:ilvl w:val="0"/>
                <w:numId w:val="33"/>
              </w:numPr>
              <w:ind w:left="165" w:hanging="165"/>
              <w:rPr>
                <w:rFonts w:ascii="Arial" w:hAnsi="Arial" w:cs="Arial"/>
              </w:rPr>
            </w:pPr>
            <w:r w:rsidRPr="000D1B33">
              <w:rPr>
                <w:rFonts w:ascii="Arial" w:hAnsi="Arial" w:cs="Arial"/>
              </w:rPr>
              <w:t>Subgrantees enter parent participation data into MSIN</w:t>
            </w:r>
          </w:p>
        </w:tc>
        <w:tc>
          <w:tcPr>
            <w:tcW w:w="5508" w:type="dxa"/>
          </w:tcPr>
          <w:p w14:paraId="2971C311" w14:textId="77777777" w:rsidR="00F1584A" w:rsidRPr="000D1B33" w:rsidRDefault="00A13308" w:rsidP="007D443E">
            <w:pPr>
              <w:pStyle w:val="ListParagraph"/>
              <w:numPr>
                <w:ilvl w:val="0"/>
                <w:numId w:val="33"/>
              </w:numPr>
              <w:ind w:left="165" w:hanging="165"/>
              <w:rPr>
                <w:rFonts w:ascii="Arial" w:hAnsi="Arial" w:cs="Arial"/>
              </w:rPr>
            </w:pPr>
            <w:r w:rsidRPr="000D1B33">
              <w:rPr>
                <w:rFonts w:ascii="Arial" w:hAnsi="Arial" w:cs="Arial"/>
              </w:rPr>
              <w:t>Number of parents who increas</w:t>
            </w:r>
            <w:r w:rsidR="0028173F" w:rsidRPr="000D1B33">
              <w:rPr>
                <w:rFonts w:ascii="Arial" w:hAnsi="Arial" w:cs="Arial"/>
              </w:rPr>
              <w:t>e their participation at school</w:t>
            </w:r>
          </w:p>
          <w:p w14:paraId="0C552C89" w14:textId="77777777" w:rsidR="00A13308" w:rsidRPr="000D1B33" w:rsidRDefault="00A13308" w:rsidP="007D443E">
            <w:pPr>
              <w:pStyle w:val="ListParagraph"/>
              <w:numPr>
                <w:ilvl w:val="0"/>
                <w:numId w:val="33"/>
              </w:numPr>
              <w:ind w:left="165" w:hanging="165"/>
              <w:rPr>
                <w:rFonts w:ascii="Arial" w:hAnsi="Arial" w:cs="Arial"/>
              </w:rPr>
            </w:pPr>
            <w:r w:rsidRPr="000D1B33">
              <w:rPr>
                <w:rFonts w:ascii="Arial" w:hAnsi="Arial" w:cs="Arial"/>
              </w:rPr>
              <w:t>Number of times a parent participates at school</w:t>
            </w:r>
          </w:p>
        </w:tc>
      </w:tr>
    </w:tbl>
    <w:p w14:paraId="48466912" w14:textId="77777777" w:rsidR="000D1B33" w:rsidRPr="000D1B33" w:rsidRDefault="000D1B33" w:rsidP="006C032C">
      <w:pPr>
        <w:numPr>
          <w:ilvl w:val="0"/>
          <w:numId w:val="65"/>
        </w:numPr>
        <w:spacing w:before="240"/>
        <w:ind w:left="0"/>
        <w:rPr>
          <w:rFonts w:ascii="Arial" w:eastAsia="Times New Roman" w:hAnsi="Arial" w:cs="Arial"/>
          <w:b/>
          <w:bCs/>
        </w:rPr>
      </w:pPr>
      <w:r w:rsidRPr="000D1B33">
        <w:rPr>
          <w:rFonts w:ascii="Arial" w:eastAsia="Times New Roman" w:hAnsi="Arial" w:cs="Arial"/>
          <w:b/>
          <w:bCs/>
        </w:rPr>
        <w:t xml:space="preserve">Student Engagement: </w:t>
      </w:r>
      <w:r w:rsidRPr="00127E07">
        <w:rPr>
          <w:rFonts w:ascii="Arial" w:eastAsia="Times New Roman" w:hAnsi="Arial" w:cs="Arial"/>
          <w:bCs/>
        </w:rPr>
        <w:t>Is student engagement in the MEP and at school increasing?</w:t>
      </w:r>
    </w:p>
    <w:p w14:paraId="5039A012" w14:textId="77777777" w:rsidR="000D1B33" w:rsidRPr="000D1B33" w:rsidRDefault="000D1B33">
      <w:r w:rsidRPr="000D1B33">
        <w:rPr>
          <w:rFonts w:ascii="Arial" w:hAnsi="Arial" w:cs="Arial"/>
          <w:b/>
        </w:rPr>
        <w:t xml:space="preserve">Performance Target: </w:t>
      </w:r>
      <w:r w:rsidRPr="000D1B33">
        <w:rPr>
          <w:rFonts w:ascii="Arial" w:hAnsi="Arial" w:cs="Arial"/>
        </w:rPr>
        <w:t>Performance Target will be set once the baseline data are collected in 2018–19.</w:t>
      </w:r>
    </w:p>
    <w:tbl>
      <w:tblPr>
        <w:tblStyle w:val="GridTable4-Accent1"/>
        <w:tblW w:w="13536" w:type="dxa"/>
        <w:tblLayout w:type="fixed"/>
        <w:tblLook w:val="0420" w:firstRow="1" w:lastRow="0" w:firstColumn="0" w:lastColumn="0" w:noHBand="0" w:noVBand="1"/>
        <w:tblDescription w:val="Student Engagement Sub Questions"/>
      </w:tblPr>
      <w:tblGrid>
        <w:gridCol w:w="3618"/>
        <w:gridCol w:w="1530"/>
        <w:gridCol w:w="3510"/>
        <w:gridCol w:w="4878"/>
      </w:tblGrid>
      <w:tr w:rsidR="000D1B33" w:rsidRPr="000D1B33" w14:paraId="01310739" w14:textId="77777777" w:rsidTr="00E53F38">
        <w:trPr>
          <w:cnfStyle w:val="100000000000" w:firstRow="1" w:lastRow="0" w:firstColumn="0" w:lastColumn="0" w:oddVBand="0" w:evenVBand="0" w:oddHBand="0" w:evenHBand="0" w:firstRowFirstColumn="0" w:firstRowLastColumn="0" w:lastRowFirstColumn="0" w:lastRowLastColumn="0"/>
          <w:cantSplit/>
          <w:trHeight w:val="1034"/>
          <w:tblHeader/>
        </w:trPr>
        <w:tc>
          <w:tcPr>
            <w:tcW w:w="3618" w:type="dxa"/>
            <w:tcBorders>
              <w:right w:val="single" w:sz="4" w:space="0" w:color="4472C4" w:themeColor="accent5"/>
            </w:tcBorders>
            <w:shd w:val="clear" w:color="auto" w:fill="1F4E79" w:themeFill="accent1" w:themeFillShade="80"/>
            <w:vAlign w:val="center"/>
          </w:tcPr>
          <w:p w14:paraId="4DBEA5C9"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Sub Questions</w:t>
            </w:r>
          </w:p>
          <w:p w14:paraId="25EAE24B"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questions articulate the main issues that will be addressed in the review.</w:t>
            </w:r>
          </w:p>
        </w:tc>
        <w:tc>
          <w:tcPr>
            <w:tcW w:w="1530" w:type="dxa"/>
            <w:tcBorders>
              <w:left w:val="single" w:sz="4" w:space="0" w:color="4472C4" w:themeColor="accent5"/>
              <w:right w:val="single" w:sz="4" w:space="0" w:color="4472C4" w:themeColor="accent5"/>
            </w:tcBorders>
            <w:shd w:val="clear" w:color="auto" w:fill="1F4E79" w:themeFill="accent1" w:themeFillShade="80"/>
            <w:vAlign w:val="center"/>
          </w:tcPr>
          <w:p w14:paraId="4F49CFA7" w14:textId="7DD57A47" w:rsidR="000D1B33" w:rsidRPr="000D1B33" w:rsidRDefault="000D1B33" w:rsidP="00E53F38">
            <w:pPr>
              <w:jc w:val="center"/>
              <w:rPr>
                <w:rFonts w:ascii="Arial" w:hAnsi="Arial" w:cs="Arial"/>
                <w:b w:val="0"/>
                <w:color w:val="FFFFFF"/>
              </w:rPr>
            </w:pPr>
            <w:r w:rsidRPr="000D1B33">
              <w:rPr>
                <w:rFonts w:ascii="Arial" w:hAnsi="Arial" w:cs="Arial"/>
                <w:color w:val="FFFFFF"/>
              </w:rPr>
              <w:t>Data Sources</w:t>
            </w:r>
          </w:p>
        </w:tc>
        <w:tc>
          <w:tcPr>
            <w:tcW w:w="3510" w:type="dxa"/>
            <w:tcBorders>
              <w:left w:val="single" w:sz="4" w:space="0" w:color="4472C4" w:themeColor="accent5"/>
              <w:right w:val="single" w:sz="4" w:space="0" w:color="4472C4" w:themeColor="accent5"/>
            </w:tcBorders>
            <w:shd w:val="clear" w:color="auto" w:fill="1F4E79" w:themeFill="accent1" w:themeFillShade="80"/>
            <w:vAlign w:val="center"/>
          </w:tcPr>
          <w:p w14:paraId="5DB0086B"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Data Collection Method</w:t>
            </w:r>
          </w:p>
          <w:p w14:paraId="453FC70A"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This is the method or tool we will use to collect these data.</w:t>
            </w:r>
          </w:p>
        </w:tc>
        <w:tc>
          <w:tcPr>
            <w:tcW w:w="4878" w:type="dxa"/>
            <w:tcBorders>
              <w:left w:val="single" w:sz="4" w:space="0" w:color="4472C4" w:themeColor="accent5"/>
            </w:tcBorders>
            <w:shd w:val="clear" w:color="auto" w:fill="1F4E79" w:themeFill="accent1" w:themeFillShade="80"/>
            <w:vAlign w:val="center"/>
          </w:tcPr>
          <w:p w14:paraId="3AC3A020" w14:textId="01C0F33A" w:rsidR="000D1B33" w:rsidRPr="000D1B33" w:rsidRDefault="000D1B33" w:rsidP="00E53F38">
            <w:pPr>
              <w:jc w:val="center"/>
              <w:rPr>
                <w:rFonts w:ascii="Arial" w:hAnsi="Arial" w:cs="Arial"/>
                <w:b w:val="0"/>
                <w:color w:val="FFFFFF"/>
              </w:rPr>
            </w:pPr>
            <w:r w:rsidRPr="000D1B33">
              <w:rPr>
                <w:rFonts w:ascii="Arial" w:hAnsi="Arial" w:cs="Arial"/>
                <w:color w:val="FFFFFF"/>
              </w:rPr>
              <w:t>Indicators</w:t>
            </w:r>
          </w:p>
          <w:p w14:paraId="7DE2CF20" w14:textId="77777777" w:rsidR="000D1B33" w:rsidRPr="000D1B33" w:rsidRDefault="000D1B33" w:rsidP="00E53F38">
            <w:pPr>
              <w:jc w:val="center"/>
              <w:rPr>
                <w:rFonts w:ascii="Arial" w:hAnsi="Arial" w:cs="Arial"/>
                <w:b w:val="0"/>
                <w:color w:val="FFFFFF"/>
              </w:rPr>
            </w:pPr>
            <w:r w:rsidRPr="000D1B33">
              <w:rPr>
                <w:rFonts w:ascii="Arial" w:hAnsi="Arial" w:cs="Arial"/>
                <w:color w:val="FFFFFF"/>
              </w:rPr>
              <w:t>These define the evidence we collect—they are measures that monitor progress and if things are changing the way we anticipated. They are specific, observable, and measurable.</w:t>
            </w:r>
          </w:p>
        </w:tc>
      </w:tr>
      <w:tr w:rsidR="00142F53" w:rsidRPr="000D1B33" w14:paraId="166CB540" w14:textId="77777777" w:rsidTr="00940787">
        <w:trPr>
          <w:cnfStyle w:val="000000100000" w:firstRow="0" w:lastRow="0" w:firstColumn="0" w:lastColumn="0" w:oddVBand="0" w:evenVBand="0" w:oddHBand="1" w:evenHBand="0" w:firstRowFirstColumn="0" w:firstRowLastColumn="0" w:lastRowFirstColumn="0" w:lastRowLastColumn="0"/>
          <w:cantSplit/>
        </w:trPr>
        <w:tc>
          <w:tcPr>
            <w:tcW w:w="3618" w:type="dxa"/>
          </w:tcPr>
          <w:p w14:paraId="50EECE47" w14:textId="77777777" w:rsidR="00D96A40" w:rsidRPr="000D1B33" w:rsidRDefault="00D96A40" w:rsidP="007D443E">
            <w:pPr>
              <w:pStyle w:val="ListParagraph"/>
              <w:numPr>
                <w:ilvl w:val="1"/>
                <w:numId w:val="46"/>
              </w:numPr>
              <w:ind w:left="533" w:hanging="533"/>
              <w:rPr>
                <w:rFonts w:ascii="Arial" w:eastAsia="Times New Roman" w:hAnsi="Arial" w:cs="Arial"/>
                <w:color w:val="000000"/>
              </w:rPr>
            </w:pPr>
            <w:r w:rsidRPr="000D1B33">
              <w:rPr>
                <w:rFonts w:ascii="Arial" w:eastAsia="Times New Roman" w:hAnsi="Arial" w:cs="Arial"/>
                <w:color w:val="000000"/>
              </w:rPr>
              <w:t xml:space="preserve">How many MEP services offer self-pride and confidence building as </w:t>
            </w:r>
            <w:r w:rsidR="0028173F" w:rsidRPr="000D1B33">
              <w:rPr>
                <w:rFonts w:ascii="Arial" w:eastAsia="Times New Roman" w:hAnsi="Arial" w:cs="Arial"/>
                <w:color w:val="000000"/>
              </w:rPr>
              <w:t xml:space="preserve">a </w:t>
            </w:r>
            <w:r w:rsidRPr="000D1B33">
              <w:rPr>
                <w:rFonts w:ascii="Arial" w:eastAsia="Times New Roman" w:hAnsi="Arial" w:cs="Arial"/>
                <w:color w:val="000000"/>
              </w:rPr>
              <w:t>component to the service?</w:t>
            </w:r>
          </w:p>
        </w:tc>
        <w:tc>
          <w:tcPr>
            <w:tcW w:w="1530" w:type="dxa"/>
          </w:tcPr>
          <w:p w14:paraId="746C58F3" w14:textId="77777777" w:rsidR="00D96A40" w:rsidRPr="000D1B33" w:rsidRDefault="00D96A40" w:rsidP="007D443E">
            <w:pPr>
              <w:pStyle w:val="ListParagraph"/>
              <w:numPr>
                <w:ilvl w:val="0"/>
                <w:numId w:val="33"/>
              </w:numPr>
              <w:ind w:left="165" w:hanging="165"/>
              <w:rPr>
                <w:rFonts w:ascii="Arial" w:hAnsi="Arial" w:cs="Arial"/>
              </w:rPr>
            </w:pPr>
            <w:r w:rsidRPr="000D1B33">
              <w:rPr>
                <w:rFonts w:ascii="Arial" w:hAnsi="Arial" w:cs="Arial"/>
              </w:rPr>
              <w:t>Local data</w:t>
            </w:r>
          </w:p>
        </w:tc>
        <w:tc>
          <w:tcPr>
            <w:tcW w:w="3510" w:type="dxa"/>
          </w:tcPr>
          <w:p w14:paraId="7B9D61CD" w14:textId="77777777" w:rsidR="00D96A40" w:rsidRPr="000D1B33" w:rsidRDefault="00D96A40" w:rsidP="007D443E">
            <w:pPr>
              <w:pStyle w:val="ListParagraph"/>
              <w:numPr>
                <w:ilvl w:val="0"/>
                <w:numId w:val="33"/>
              </w:numPr>
              <w:ind w:left="165" w:hanging="165"/>
              <w:rPr>
                <w:rFonts w:ascii="Arial" w:hAnsi="Arial" w:cs="Arial"/>
              </w:rPr>
            </w:pPr>
            <w:r w:rsidRPr="000D1B33">
              <w:rPr>
                <w:rFonts w:ascii="Arial" w:hAnsi="Arial" w:cs="Arial"/>
              </w:rPr>
              <w:t>Subgrantees indicate which services have this component within MSIN</w:t>
            </w:r>
          </w:p>
        </w:tc>
        <w:tc>
          <w:tcPr>
            <w:tcW w:w="4878" w:type="dxa"/>
          </w:tcPr>
          <w:p w14:paraId="5FBDFBAB" w14:textId="77777777" w:rsidR="00D96A40" w:rsidRPr="000D1B33" w:rsidRDefault="00D96A40" w:rsidP="007D443E">
            <w:pPr>
              <w:pStyle w:val="ListParagraph"/>
              <w:numPr>
                <w:ilvl w:val="0"/>
                <w:numId w:val="33"/>
              </w:numPr>
              <w:ind w:left="165" w:hanging="165"/>
              <w:rPr>
                <w:rFonts w:ascii="Arial" w:hAnsi="Arial" w:cs="Arial"/>
              </w:rPr>
            </w:pPr>
            <w:r w:rsidRPr="000D1B33">
              <w:rPr>
                <w:rFonts w:ascii="Arial" w:hAnsi="Arial" w:cs="Arial"/>
              </w:rPr>
              <w:t>Lesson plans</w:t>
            </w:r>
            <w:r w:rsidR="0028173F" w:rsidRPr="000D1B33">
              <w:rPr>
                <w:rFonts w:ascii="Arial" w:hAnsi="Arial" w:cs="Arial"/>
              </w:rPr>
              <w:t xml:space="preserve"> and</w:t>
            </w:r>
            <w:r w:rsidR="00E25C08" w:rsidRPr="000D1B33">
              <w:rPr>
                <w:rFonts w:ascii="Arial" w:hAnsi="Arial" w:cs="Arial"/>
              </w:rPr>
              <w:t xml:space="preserve"> g</w:t>
            </w:r>
            <w:r w:rsidRPr="000D1B33">
              <w:rPr>
                <w:rFonts w:ascii="Arial" w:hAnsi="Arial" w:cs="Arial"/>
              </w:rPr>
              <w:t>rant application</w:t>
            </w:r>
          </w:p>
        </w:tc>
      </w:tr>
      <w:tr w:rsidR="00142F53" w:rsidRPr="000D1B33" w14:paraId="1ABFE568" w14:textId="77777777" w:rsidTr="00940787">
        <w:trPr>
          <w:cantSplit/>
        </w:trPr>
        <w:tc>
          <w:tcPr>
            <w:tcW w:w="3618" w:type="dxa"/>
          </w:tcPr>
          <w:p w14:paraId="637221D4" w14:textId="77777777" w:rsidR="00D96A40" w:rsidRPr="000D1B33" w:rsidRDefault="00D96A40" w:rsidP="007D443E">
            <w:pPr>
              <w:pStyle w:val="ListParagraph"/>
              <w:numPr>
                <w:ilvl w:val="1"/>
                <w:numId w:val="46"/>
              </w:numPr>
              <w:ind w:left="533" w:hanging="533"/>
              <w:rPr>
                <w:rFonts w:ascii="Arial" w:eastAsia="Times New Roman" w:hAnsi="Arial" w:cs="Arial"/>
                <w:color w:val="000000"/>
              </w:rPr>
            </w:pPr>
            <w:r w:rsidRPr="000D1B33">
              <w:rPr>
                <w:rFonts w:ascii="Arial" w:eastAsia="Times New Roman" w:hAnsi="Arial" w:cs="Arial"/>
                <w:color w:val="000000"/>
              </w:rPr>
              <w:t>How many MEP services offer a cultural pride component to a service?</w:t>
            </w:r>
          </w:p>
        </w:tc>
        <w:tc>
          <w:tcPr>
            <w:tcW w:w="1530" w:type="dxa"/>
          </w:tcPr>
          <w:p w14:paraId="2C88AA18" w14:textId="77777777" w:rsidR="00D96A40" w:rsidRPr="000D1B33" w:rsidRDefault="00D96A40" w:rsidP="007D443E">
            <w:pPr>
              <w:pStyle w:val="ListParagraph"/>
              <w:numPr>
                <w:ilvl w:val="0"/>
                <w:numId w:val="33"/>
              </w:numPr>
              <w:ind w:left="165" w:hanging="165"/>
              <w:rPr>
                <w:rFonts w:ascii="Arial" w:hAnsi="Arial" w:cs="Arial"/>
              </w:rPr>
            </w:pPr>
            <w:r w:rsidRPr="000D1B33">
              <w:rPr>
                <w:rFonts w:ascii="Arial" w:hAnsi="Arial" w:cs="Arial"/>
              </w:rPr>
              <w:t>Local data</w:t>
            </w:r>
          </w:p>
        </w:tc>
        <w:tc>
          <w:tcPr>
            <w:tcW w:w="3510" w:type="dxa"/>
          </w:tcPr>
          <w:p w14:paraId="11F219A9" w14:textId="77777777" w:rsidR="00D96A40" w:rsidRPr="000D1B33" w:rsidRDefault="00D96A40" w:rsidP="007D443E">
            <w:pPr>
              <w:pStyle w:val="ListParagraph"/>
              <w:numPr>
                <w:ilvl w:val="0"/>
                <w:numId w:val="33"/>
              </w:numPr>
              <w:ind w:left="165" w:hanging="165"/>
              <w:rPr>
                <w:rFonts w:ascii="Arial" w:hAnsi="Arial" w:cs="Arial"/>
              </w:rPr>
            </w:pPr>
            <w:r w:rsidRPr="000D1B33">
              <w:rPr>
                <w:rFonts w:ascii="Arial" w:hAnsi="Arial" w:cs="Arial"/>
              </w:rPr>
              <w:t>Subgrantees indicate which services have this component within MSIN</w:t>
            </w:r>
          </w:p>
        </w:tc>
        <w:tc>
          <w:tcPr>
            <w:tcW w:w="4878" w:type="dxa"/>
          </w:tcPr>
          <w:p w14:paraId="0FCF320D" w14:textId="77777777" w:rsidR="00D96A40" w:rsidRPr="000D1B33" w:rsidRDefault="00D96A40" w:rsidP="007D443E">
            <w:pPr>
              <w:pStyle w:val="ListParagraph"/>
              <w:numPr>
                <w:ilvl w:val="0"/>
                <w:numId w:val="33"/>
              </w:numPr>
              <w:ind w:left="165" w:hanging="165"/>
              <w:rPr>
                <w:rFonts w:ascii="Arial" w:hAnsi="Arial" w:cs="Arial"/>
              </w:rPr>
            </w:pPr>
            <w:r w:rsidRPr="000D1B33">
              <w:rPr>
                <w:rFonts w:ascii="Arial" w:hAnsi="Arial" w:cs="Arial"/>
              </w:rPr>
              <w:t>Lesson plans</w:t>
            </w:r>
            <w:r w:rsidR="0028173F" w:rsidRPr="000D1B33">
              <w:rPr>
                <w:rFonts w:ascii="Arial" w:hAnsi="Arial" w:cs="Arial"/>
              </w:rPr>
              <w:t xml:space="preserve"> and</w:t>
            </w:r>
            <w:r w:rsidR="00E25C08" w:rsidRPr="000D1B33">
              <w:rPr>
                <w:rFonts w:ascii="Arial" w:hAnsi="Arial" w:cs="Arial"/>
              </w:rPr>
              <w:t xml:space="preserve"> g</w:t>
            </w:r>
            <w:r w:rsidRPr="000D1B33">
              <w:rPr>
                <w:rFonts w:ascii="Arial" w:hAnsi="Arial" w:cs="Arial"/>
              </w:rPr>
              <w:t>rant application</w:t>
            </w:r>
          </w:p>
        </w:tc>
      </w:tr>
    </w:tbl>
    <w:p w14:paraId="4ED08199" w14:textId="77777777" w:rsidR="00EA493F" w:rsidRPr="005E0053" w:rsidRDefault="00EA493F" w:rsidP="00EF3956">
      <w:pPr>
        <w:rPr>
          <w:rFonts w:ascii="Arial" w:hAnsi="Arial" w:cs="Arial"/>
        </w:rPr>
        <w:sectPr w:rsidR="00EA493F" w:rsidRPr="005E0053" w:rsidSect="00142F53">
          <w:pgSz w:w="15840" w:h="12240" w:orient="landscape"/>
          <w:pgMar w:top="1440" w:right="1440" w:bottom="1440" w:left="1440" w:header="720" w:footer="720" w:gutter="0"/>
          <w:cols w:space="720"/>
          <w:titlePg/>
          <w:docGrid w:linePitch="360"/>
        </w:sectPr>
      </w:pPr>
    </w:p>
    <w:p w14:paraId="3008BAFA" w14:textId="77777777" w:rsidR="00714FEB" w:rsidRPr="005E0053" w:rsidRDefault="00714FEB" w:rsidP="006856D5">
      <w:pPr>
        <w:pStyle w:val="Heading4"/>
      </w:pPr>
      <w:bookmarkStart w:id="74" w:name="_Toc504520871"/>
      <w:r w:rsidRPr="005E0053">
        <w:lastRenderedPageBreak/>
        <w:t>Technical Assistance and Monitoring</w:t>
      </w:r>
      <w:bookmarkEnd w:id="74"/>
    </w:p>
    <w:p w14:paraId="59F9CDFA" w14:textId="4DF59771" w:rsidR="00714FEB" w:rsidRPr="005E0053" w:rsidRDefault="00714FEB" w:rsidP="00714FEB">
      <w:pPr>
        <w:rPr>
          <w:rFonts w:ascii="Arial" w:hAnsi="Arial" w:cs="Arial"/>
        </w:rPr>
      </w:pPr>
      <w:r w:rsidRPr="005E0053">
        <w:rPr>
          <w:rFonts w:ascii="Arial" w:hAnsi="Arial" w:cs="Arial"/>
        </w:rPr>
        <w:t>In addition to ensuring compliance with state and federal regulations for the MEP through the Federal Program Monitoring process, the CDE will also provide technical assistance and monitoring for strategies tha</w:t>
      </w:r>
      <w:r w:rsidR="0006562C" w:rsidRPr="005E0053">
        <w:rPr>
          <w:rFonts w:ascii="Arial" w:hAnsi="Arial" w:cs="Arial"/>
        </w:rPr>
        <w:t>t are difficult to quantify, and</w:t>
      </w:r>
      <w:r w:rsidRPr="005E0053">
        <w:rPr>
          <w:rFonts w:ascii="Arial" w:hAnsi="Arial" w:cs="Arial"/>
        </w:rPr>
        <w:t xml:space="preserve"> will support improving migratory students’ academic achievement and overall well-being. </w:t>
      </w:r>
      <w:r w:rsidR="00A35F85" w:rsidRPr="005E0053">
        <w:rPr>
          <w:rFonts w:ascii="Arial" w:hAnsi="Arial" w:cs="Arial"/>
        </w:rPr>
        <w:t>The</w:t>
      </w:r>
      <w:r w:rsidRPr="005E0053">
        <w:rPr>
          <w:rFonts w:ascii="Arial" w:hAnsi="Arial" w:cs="Arial"/>
        </w:rPr>
        <w:t xml:space="preserve"> CDE will monitor the</w:t>
      </w:r>
      <w:r w:rsidR="00FB7104" w:rsidRPr="005E0053">
        <w:rPr>
          <w:rFonts w:ascii="Arial" w:hAnsi="Arial" w:cs="Arial"/>
        </w:rPr>
        <w:t xml:space="preserve"> implementation of the broader programmatic strategies suggested</w:t>
      </w:r>
      <w:r w:rsidRPr="005E0053">
        <w:rPr>
          <w:rFonts w:ascii="Arial" w:hAnsi="Arial" w:cs="Arial"/>
        </w:rPr>
        <w:t xml:space="preserve"> by the </w:t>
      </w:r>
      <w:r w:rsidR="00EF59DB">
        <w:rPr>
          <w:rFonts w:ascii="Arial" w:hAnsi="Arial" w:cs="Arial"/>
        </w:rPr>
        <w:t>]</w:t>
      </w:r>
      <w:r w:rsidR="00EF59DB" w:rsidRPr="005E0053">
        <w:rPr>
          <w:rFonts w:ascii="Arial" w:hAnsi="Arial" w:cs="Arial"/>
        </w:rPr>
        <w:t xml:space="preserve"> </w:t>
      </w:r>
      <w:r w:rsidRPr="005E0053">
        <w:rPr>
          <w:rFonts w:ascii="Arial" w:hAnsi="Arial" w:cs="Arial"/>
        </w:rPr>
        <w:t>committ</w:t>
      </w:r>
      <w:r w:rsidR="0058530A" w:rsidRPr="005E0053">
        <w:rPr>
          <w:rFonts w:ascii="Arial" w:hAnsi="Arial" w:cs="Arial"/>
        </w:rPr>
        <w:t xml:space="preserve">ee </w:t>
      </w:r>
      <w:r w:rsidR="00A35F85" w:rsidRPr="005E0053">
        <w:rPr>
          <w:rFonts w:ascii="Arial" w:hAnsi="Arial" w:cs="Arial"/>
        </w:rPr>
        <w:t>which include</w:t>
      </w:r>
      <w:r w:rsidR="00FB7104" w:rsidRPr="005E0053">
        <w:rPr>
          <w:rFonts w:ascii="Arial" w:hAnsi="Arial" w:cs="Arial"/>
        </w:rPr>
        <w:t>:</w:t>
      </w:r>
    </w:p>
    <w:p w14:paraId="5F5FE2C2" w14:textId="77777777" w:rsidR="00FB7104" w:rsidRPr="005E0053" w:rsidRDefault="00FB7104" w:rsidP="007D443E">
      <w:pPr>
        <w:pStyle w:val="ListParagraph"/>
        <w:numPr>
          <w:ilvl w:val="0"/>
          <w:numId w:val="51"/>
        </w:numPr>
        <w:spacing w:before="240"/>
        <w:contextualSpacing w:val="0"/>
        <w:rPr>
          <w:rFonts w:ascii="Arial" w:hAnsi="Arial" w:cs="Arial"/>
        </w:rPr>
      </w:pPr>
      <w:r w:rsidRPr="005E0053">
        <w:rPr>
          <w:rFonts w:ascii="Arial" w:hAnsi="Arial" w:cs="Arial"/>
        </w:rPr>
        <w:t>Maintain accurate information about home language and parent/MEP contact purposes</w:t>
      </w:r>
    </w:p>
    <w:p w14:paraId="7C8B1EBD" w14:textId="77777777" w:rsidR="00FB7104" w:rsidRPr="005E0053" w:rsidRDefault="00FB7104" w:rsidP="007D443E">
      <w:pPr>
        <w:pStyle w:val="ListParagraph"/>
        <w:numPr>
          <w:ilvl w:val="0"/>
          <w:numId w:val="51"/>
        </w:numPr>
        <w:spacing w:before="240"/>
        <w:contextualSpacing w:val="0"/>
        <w:rPr>
          <w:rFonts w:ascii="Arial" w:hAnsi="Arial" w:cs="Arial"/>
        </w:rPr>
      </w:pPr>
      <w:r w:rsidRPr="005E0053">
        <w:rPr>
          <w:rFonts w:ascii="Arial" w:hAnsi="Arial" w:cs="Arial"/>
        </w:rPr>
        <w:t xml:space="preserve">Increase parent and family outreach efforts via television, </w:t>
      </w:r>
      <w:r w:rsidR="0006562C" w:rsidRPr="005E0053">
        <w:rPr>
          <w:rFonts w:ascii="Arial" w:hAnsi="Arial" w:cs="Arial"/>
        </w:rPr>
        <w:t>flyers, posters and phone calls</w:t>
      </w:r>
    </w:p>
    <w:p w14:paraId="002738F1" w14:textId="77777777" w:rsidR="00FB7104" w:rsidRPr="005E0053" w:rsidRDefault="00FB7104" w:rsidP="007D443E">
      <w:pPr>
        <w:pStyle w:val="ListParagraph"/>
        <w:numPr>
          <w:ilvl w:val="0"/>
          <w:numId w:val="51"/>
        </w:numPr>
        <w:spacing w:before="240"/>
        <w:contextualSpacing w:val="0"/>
        <w:rPr>
          <w:rFonts w:ascii="Arial" w:hAnsi="Arial" w:cs="Arial"/>
        </w:rPr>
      </w:pPr>
      <w:r w:rsidRPr="005E0053">
        <w:rPr>
          <w:rFonts w:ascii="Arial" w:hAnsi="Arial" w:cs="Arial"/>
        </w:rPr>
        <w:t>Staff completion of professional development that aligns with the needs and st</w:t>
      </w:r>
      <w:r w:rsidR="0006562C" w:rsidRPr="005E0053">
        <w:rPr>
          <w:rFonts w:ascii="Arial" w:hAnsi="Arial" w:cs="Arial"/>
        </w:rPr>
        <w:t>rategies identified in the SSDP</w:t>
      </w:r>
    </w:p>
    <w:p w14:paraId="7BC027D3" w14:textId="77777777" w:rsidR="00FB7104" w:rsidRPr="005E0053" w:rsidRDefault="00FB7104" w:rsidP="007D443E">
      <w:pPr>
        <w:pStyle w:val="ListParagraph"/>
        <w:numPr>
          <w:ilvl w:val="0"/>
          <w:numId w:val="51"/>
        </w:numPr>
        <w:spacing w:before="240"/>
        <w:contextualSpacing w:val="0"/>
        <w:rPr>
          <w:rFonts w:ascii="Arial" w:hAnsi="Arial" w:cs="Arial"/>
        </w:rPr>
      </w:pPr>
      <w:r w:rsidRPr="005E0053">
        <w:rPr>
          <w:rFonts w:ascii="Arial" w:hAnsi="Arial" w:cs="Arial"/>
        </w:rPr>
        <w:t>Provide targeted intervention to address gaps in literacy (e.g., fluency, comprehension, etc.)</w:t>
      </w:r>
    </w:p>
    <w:p w14:paraId="15C4C54A" w14:textId="61BFB0ED" w:rsidR="00FB7104" w:rsidRPr="005E0053" w:rsidRDefault="00FB7104" w:rsidP="007D443E">
      <w:pPr>
        <w:pStyle w:val="ListParagraph"/>
        <w:numPr>
          <w:ilvl w:val="0"/>
          <w:numId w:val="51"/>
        </w:numPr>
        <w:spacing w:before="240"/>
        <w:contextualSpacing w:val="0"/>
        <w:rPr>
          <w:rFonts w:ascii="Arial" w:hAnsi="Arial" w:cs="Arial"/>
        </w:rPr>
      </w:pPr>
      <w:r w:rsidRPr="005E0053">
        <w:rPr>
          <w:rFonts w:ascii="Arial" w:hAnsi="Arial" w:cs="Arial"/>
        </w:rPr>
        <w:t>Conduct an INA within 30 days of the migratory child’s enrollment and m</w:t>
      </w:r>
      <w:r w:rsidR="00BB4C7C" w:rsidRPr="005E0053">
        <w:rPr>
          <w:rFonts w:ascii="Arial" w:hAnsi="Arial" w:cs="Arial"/>
        </w:rPr>
        <w:t xml:space="preserve">onitor </w:t>
      </w:r>
      <w:r w:rsidRPr="005E0053">
        <w:rPr>
          <w:rFonts w:ascii="Arial" w:hAnsi="Arial" w:cs="Arial"/>
        </w:rPr>
        <w:t xml:space="preserve">students’ class attendance and grades via the </w:t>
      </w:r>
      <w:r w:rsidR="00A3585C">
        <w:rPr>
          <w:rFonts w:ascii="Arial" w:hAnsi="Arial" w:cs="Arial"/>
        </w:rPr>
        <w:t>ILP</w:t>
      </w:r>
      <w:r w:rsidR="00A3585C" w:rsidRPr="005E0053">
        <w:rPr>
          <w:rFonts w:ascii="Arial" w:hAnsi="Arial" w:cs="Arial"/>
        </w:rPr>
        <w:t xml:space="preserve"> </w:t>
      </w:r>
      <w:r w:rsidRPr="005E0053">
        <w:rPr>
          <w:rFonts w:ascii="Arial" w:hAnsi="Arial" w:cs="Arial"/>
        </w:rPr>
        <w:t>or other method</w:t>
      </w:r>
    </w:p>
    <w:p w14:paraId="38D15E82" w14:textId="77777777" w:rsidR="005B6631" w:rsidRPr="005E0053" w:rsidRDefault="005B6631" w:rsidP="007D443E">
      <w:pPr>
        <w:pStyle w:val="ListParagraph"/>
        <w:numPr>
          <w:ilvl w:val="0"/>
          <w:numId w:val="51"/>
        </w:numPr>
        <w:spacing w:before="240"/>
        <w:contextualSpacing w:val="0"/>
        <w:rPr>
          <w:rFonts w:ascii="Arial" w:hAnsi="Arial" w:cs="Arial"/>
        </w:rPr>
      </w:pPr>
      <w:r w:rsidRPr="005E0053">
        <w:rPr>
          <w:rFonts w:ascii="Arial" w:hAnsi="Arial" w:cs="Arial"/>
        </w:rPr>
        <w:t>Implement health education that provides students and parents with the knowledge, attitudes, skills</w:t>
      </w:r>
      <w:r w:rsidR="0006562C" w:rsidRPr="005E0053">
        <w:rPr>
          <w:rFonts w:ascii="Arial" w:hAnsi="Arial" w:cs="Arial"/>
        </w:rPr>
        <w:t>,</w:t>
      </w:r>
      <w:r w:rsidRPr="005E0053">
        <w:rPr>
          <w:rFonts w:ascii="Arial" w:hAnsi="Arial" w:cs="Arial"/>
        </w:rPr>
        <w:t xml:space="preserve"> and experiences needed for lifelon</w:t>
      </w:r>
      <w:r w:rsidR="0006562C" w:rsidRPr="005E0053">
        <w:rPr>
          <w:rFonts w:ascii="Arial" w:hAnsi="Arial" w:cs="Arial"/>
        </w:rPr>
        <w:t>g health (Family Health Nights)</w:t>
      </w:r>
    </w:p>
    <w:p w14:paraId="532364A9" w14:textId="77777777" w:rsidR="005B6631" w:rsidRPr="005E0053" w:rsidRDefault="005B6631" w:rsidP="007D443E">
      <w:pPr>
        <w:pStyle w:val="ListParagraph"/>
        <w:numPr>
          <w:ilvl w:val="0"/>
          <w:numId w:val="51"/>
        </w:numPr>
        <w:spacing w:before="240"/>
        <w:contextualSpacing w:val="0"/>
        <w:rPr>
          <w:rFonts w:ascii="Arial" w:hAnsi="Arial" w:cs="Arial"/>
        </w:rPr>
      </w:pPr>
      <w:r w:rsidRPr="005E0053">
        <w:rPr>
          <w:rFonts w:ascii="Arial" w:hAnsi="Arial" w:cs="Arial"/>
        </w:rPr>
        <w:t>Partner with community organizations to develop referral mechanisms to mental health and behavioral s</w:t>
      </w:r>
      <w:r w:rsidR="0006562C" w:rsidRPr="005E0053">
        <w:rPr>
          <w:rFonts w:ascii="Arial" w:hAnsi="Arial" w:cs="Arial"/>
        </w:rPr>
        <w:t>upport services</w:t>
      </w:r>
    </w:p>
    <w:p w14:paraId="0FD99385" w14:textId="77777777" w:rsidR="005B6631" w:rsidRPr="005E0053" w:rsidRDefault="005B6631" w:rsidP="007D443E">
      <w:pPr>
        <w:pStyle w:val="ListParagraph"/>
        <w:numPr>
          <w:ilvl w:val="0"/>
          <w:numId w:val="51"/>
        </w:numPr>
        <w:spacing w:before="240"/>
        <w:contextualSpacing w:val="0"/>
        <w:rPr>
          <w:rFonts w:ascii="Arial" w:hAnsi="Arial" w:cs="Arial"/>
        </w:rPr>
      </w:pPr>
      <w:r w:rsidRPr="005E0053">
        <w:rPr>
          <w:rFonts w:ascii="Arial" w:hAnsi="Arial" w:cs="Arial"/>
        </w:rPr>
        <w:t>Work with schools and districts to encourage migratory parent participation on various school councils (e.g., P</w:t>
      </w:r>
      <w:r w:rsidR="00A35F85" w:rsidRPr="005E0053">
        <w:rPr>
          <w:rFonts w:ascii="Arial" w:hAnsi="Arial" w:cs="Arial"/>
        </w:rPr>
        <w:t xml:space="preserve">arent </w:t>
      </w:r>
      <w:r w:rsidRPr="005E0053">
        <w:rPr>
          <w:rFonts w:ascii="Arial" w:hAnsi="Arial" w:cs="Arial"/>
        </w:rPr>
        <w:t>A</w:t>
      </w:r>
      <w:r w:rsidR="00A35F85" w:rsidRPr="005E0053">
        <w:rPr>
          <w:rFonts w:ascii="Arial" w:hAnsi="Arial" w:cs="Arial"/>
        </w:rPr>
        <w:t xml:space="preserve">dvisory </w:t>
      </w:r>
      <w:r w:rsidRPr="005E0053">
        <w:rPr>
          <w:rFonts w:ascii="Arial" w:hAnsi="Arial" w:cs="Arial"/>
        </w:rPr>
        <w:t>C</w:t>
      </w:r>
      <w:r w:rsidR="00A35F85" w:rsidRPr="005E0053">
        <w:rPr>
          <w:rFonts w:ascii="Arial" w:hAnsi="Arial" w:cs="Arial"/>
        </w:rPr>
        <w:t>ouncil</w:t>
      </w:r>
      <w:r w:rsidRPr="005E0053">
        <w:rPr>
          <w:rFonts w:ascii="Arial" w:hAnsi="Arial" w:cs="Arial"/>
        </w:rPr>
        <w:t>, E</w:t>
      </w:r>
      <w:r w:rsidR="00A35F85" w:rsidRPr="005E0053">
        <w:rPr>
          <w:rFonts w:ascii="Arial" w:hAnsi="Arial" w:cs="Arial"/>
        </w:rPr>
        <w:t xml:space="preserve">nglish </w:t>
      </w:r>
      <w:r w:rsidRPr="005E0053">
        <w:rPr>
          <w:rFonts w:ascii="Arial" w:hAnsi="Arial" w:cs="Arial"/>
        </w:rPr>
        <w:t>L</w:t>
      </w:r>
      <w:r w:rsidR="00A35F85" w:rsidRPr="005E0053">
        <w:rPr>
          <w:rFonts w:ascii="Arial" w:hAnsi="Arial" w:cs="Arial"/>
        </w:rPr>
        <w:t xml:space="preserve">earner </w:t>
      </w:r>
      <w:r w:rsidRPr="005E0053">
        <w:rPr>
          <w:rFonts w:ascii="Arial" w:hAnsi="Arial" w:cs="Arial"/>
        </w:rPr>
        <w:t>A</w:t>
      </w:r>
      <w:r w:rsidR="00A35F85" w:rsidRPr="005E0053">
        <w:rPr>
          <w:rFonts w:ascii="Arial" w:hAnsi="Arial" w:cs="Arial"/>
        </w:rPr>
        <w:t xml:space="preserve">dvisory </w:t>
      </w:r>
      <w:r w:rsidRPr="005E0053">
        <w:rPr>
          <w:rFonts w:ascii="Arial" w:hAnsi="Arial" w:cs="Arial"/>
        </w:rPr>
        <w:t>C</w:t>
      </w:r>
      <w:r w:rsidR="00A35F85" w:rsidRPr="005E0053">
        <w:rPr>
          <w:rFonts w:ascii="Arial" w:hAnsi="Arial" w:cs="Arial"/>
        </w:rPr>
        <w:t>ouncil</w:t>
      </w:r>
      <w:r w:rsidRPr="005E0053">
        <w:rPr>
          <w:rFonts w:ascii="Arial" w:hAnsi="Arial" w:cs="Arial"/>
        </w:rPr>
        <w:t>, D</w:t>
      </w:r>
      <w:r w:rsidR="00A35F85" w:rsidRPr="005E0053">
        <w:rPr>
          <w:rFonts w:ascii="Arial" w:hAnsi="Arial" w:cs="Arial"/>
        </w:rPr>
        <w:t xml:space="preserve">ual </w:t>
      </w:r>
      <w:r w:rsidRPr="005E0053">
        <w:rPr>
          <w:rFonts w:ascii="Arial" w:hAnsi="Arial" w:cs="Arial"/>
        </w:rPr>
        <w:t>L</w:t>
      </w:r>
      <w:r w:rsidR="00A35F85" w:rsidRPr="005E0053">
        <w:rPr>
          <w:rFonts w:ascii="Arial" w:hAnsi="Arial" w:cs="Arial"/>
        </w:rPr>
        <w:t xml:space="preserve">anguage </w:t>
      </w:r>
      <w:r w:rsidRPr="005E0053">
        <w:rPr>
          <w:rFonts w:ascii="Arial" w:hAnsi="Arial" w:cs="Arial"/>
        </w:rPr>
        <w:t>A</w:t>
      </w:r>
      <w:r w:rsidR="00A35F85" w:rsidRPr="005E0053">
        <w:rPr>
          <w:rFonts w:ascii="Arial" w:hAnsi="Arial" w:cs="Arial"/>
        </w:rPr>
        <w:t xml:space="preserve">dvisory </w:t>
      </w:r>
      <w:r w:rsidRPr="005E0053">
        <w:rPr>
          <w:rFonts w:ascii="Arial" w:hAnsi="Arial" w:cs="Arial"/>
        </w:rPr>
        <w:t>C</w:t>
      </w:r>
      <w:r w:rsidR="00A35F85" w:rsidRPr="005E0053">
        <w:rPr>
          <w:rFonts w:ascii="Arial" w:hAnsi="Arial" w:cs="Arial"/>
        </w:rPr>
        <w:t>ouncil</w:t>
      </w:r>
      <w:r w:rsidR="0006562C" w:rsidRPr="005E0053">
        <w:rPr>
          <w:rFonts w:ascii="Arial" w:hAnsi="Arial" w:cs="Arial"/>
        </w:rPr>
        <w:t>, etc.)</w:t>
      </w:r>
    </w:p>
    <w:p w14:paraId="28FD0CEA" w14:textId="77777777" w:rsidR="00F1002A" w:rsidRPr="005E0053" w:rsidRDefault="00F1002A" w:rsidP="007D443E">
      <w:pPr>
        <w:pStyle w:val="ListParagraph"/>
        <w:numPr>
          <w:ilvl w:val="0"/>
          <w:numId w:val="51"/>
        </w:numPr>
        <w:spacing w:before="240"/>
        <w:contextualSpacing w:val="0"/>
        <w:rPr>
          <w:rFonts w:ascii="Arial" w:hAnsi="Arial" w:cs="Arial"/>
        </w:rPr>
      </w:pPr>
      <w:r w:rsidRPr="005E0053">
        <w:rPr>
          <w:rFonts w:ascii="Arial" w:hAnsi="Arial" w:cs="Arial"/>
        </w:rPr>
        <w:t xml:space="preserve">Increase migrant high school students’ sense of belonging </w:t>
      </w:r>
      <w:r w:rsidR="0006562C" w:rsidRPr="005E0053">
        <w:rPr>
          <w:rFonts w:ascii="Arial" w:hAnsi="Arial" w:cs="Arial"/>
        </w:rPr>
        <w:t>through mentoring opportunities</w:t>
      </w:r>
    </w:p>
    <w:p w14:paraId="0EE53E4F" w14:textId="11F35D00" w:rsidR="00714FEB" w:rsidRPr="005E0053" w:rsidRDefault="00BB4C7C" w:rsidP="005A4784">
      <w:pPr>
        <w:spacing w:before="240"/>
        <w:rPr>
          <w:rFonts w:ascii="Arial" w:hAnsi="Arial" w:cs="Arial"/>
        </w:rPr>
      </w:pPr>
      <w:r w:rsidRPr="005E0053">
        <w:rPr>
          <w:rFonts w:ascii="Arial" w:hAnsi="Arial" w:cs="Arial"/>
        </w:rPr>
        <w:t>These strategies will only be monitored</w:t>
      </w:r>
      <w:r w:rsidR="0006562C" w:rsidRPr="005E0053">
        <w:rPr>
          <w:rFonts w:ascii="Arial" w:hAnsi="Arial" w:cs="Arial"/>
        </w:rPr>
        <w:t xml:space="preserve"> on an informal level</w:t>
      </w:r>
      <w:r w:rsidRPr="005E0053">
        <w:rPr>
          <w:rFonts w:ascii="Arial" w:hAnsi="Arial" w:cs="Arial"/>
        </w:rPr>
        <w:t xml:space="preserve">, unless otherwise noted in California </w:t>
      </w:r>
      <w:r w:rsidRPr="005E0053">
        <w:rPr>
          <w:rFonts w:ascii="Arial" w:hAnsi="Arial" w:cs="Arial"/>
          <w:i/>
        </w:rPr>
        <w:t>Education Code</w:t>
      </w:r>
      <w:r w:rsidRPr="005E0053">
        <w:rPr>
          <w:rFonts w:ascii="Arial" w:hAnsi="Arial" w:cs="Arial"/>
        </w:rPr>
        <w:t xml:space="preserve"> or as a term of the grant approval. </w:t>
      </w:r>
      <w:r w:rsidR="00EF59DB">
        <w:rPr>
          <w:rFonts w:ascii="Arial" w:hAnsi="Arial" w:cs="Arial"/>
        </w:rPr>
        <w:t>The CNA/SSDP Committee</w:t>
      </w:r>
      <w:r w:rsidR="00EF59DB" w:rsidRPr="005E0053">
        <w:rPr>
          <w:rFonts w:ascii="Arial" w:hAnsi="Arial" w:cs="Arial"/>
        </w:rPr>
        <w:t xml:space="preserve"> </w:t>
      </w:r>
      <w:r w:rsidRPr="005E0053">
        <w:rPr>
          <w:rFonts w:ascii="Arial" w:hAnsi="Arial" w:cs="Arial"/>
        </w:rPr>
        <w:t>identified additional considerations for program improvement locally and at the state level</w:t>
      </w:r>
      <w:r w:rsidR="00953B61" w:rsidRPr="005E0053">
        <w:rPr>
          <w:rFonts w:ascii="Arial" w:hAnsi="Arial" w:cs="Arial"/>
        </w:rPr>
        <w:t xml:space="preserve"> that could not be included in the general framework due to the sheer number of recommendations; however, the state, and possibly subgrantees, will lead e</w:t>
      </w:r>
      <w:r w:rsidR="00E30DA7" w:rsidRPr="005E0053">
        <w:rPr>
          <w:rFonts w:ascii="Arial" w:hAnsi="Arial" w:cs="Arial"/>
        </w:rPr>
        <w:t xml:space="preserve">fforts to address some of these </w:t>
      </w:r>
      <w:r w:rsidR="00953B61" w:rsidRPr="005E0053">
        <w:rPr>
          <w:rFonts w:ascii="Arial" w:hAnsi="Arial" w:cs="Arial"/>
        </w:rPr>
        <w:t>recommendations.</w:t>
      </w:r>
    </w:p>
    <w:p w14:paraId="0B941340" w14:textId="77777777" w:rsidR="004F6691" w:rsidRPr="005E0053" w:rsidRDefault="002F7419" w:rsidP="006856D5">
      <w:pPr>
        <w:pStyle w:val="Heading4"/>
      </w:pPr>
      <w:bookmarkStart w:id="75" w:name="_Toc504520872"/>
      <w:r w:rsidRPr="005E0053">
        <w:lastRenderedPageBreak/>
        <w:t xml:space="preserve">Additional </w:t>
      </w:r>
      <w:r w:rsidR="00724D10" w:rsidRPr="005E0053">
        <w:t>Considerations for Program Improvement</w:t>
      </w:r>
      <w:bookmarkEnd w:id="75"/>
    </w:p>
    <w:p w14:paraId="4AB33AB8" w14:textId="404387DD" w:rsidR="0079266D" w:rsidRPr="005E0053" w:rsidRDefault="0079266D" w:rsidP="0079266D">
      <w:pPr>
        <w:rPr>
          <w:rFonts w:ascii="Arial" w:hAnsi="Arial" w:cs="Arial"/>
        </w:rPr>
      </w:pPr>
      <w:r w:rsidRPr="005E0053">
        <w:rPr>
          <w:rFonts w:ascii="Arial" w:hAnsi="Arial" w:cs="Arial"/>
        </w:rPr>
        <w:t xml:space="preserve">This section of the SSDP outlines additional </w:t>
      </w:r>
      <w:r w:rsidR="00FB2C86" w:rsidRPr="005E0053">
        <w:rPr>
          <w:rFonts w:ascii="Arial" w:hAnsi="Arial" w:cs="Arial"/>
        </w:rPr>
        <w:t>recommendations</w:t>
      </w:r>
      <w:r w:rsidRPr="005E0053">
        <w:rPr>
          <w:rFonts w:ascii="Arial" w:hAnsi="Arial" w:cs="Arial"/>
        </w:rPr>
        <w:t xml:space="preserve"> for </w:t>
      </w:r>
      <w:r w:rsidR="00FB2C86" w:rsidRPr="005E0053">
        <w:rPr>
          <w:rFonts w:ascii="Arial" w:hAnsi="Arial" w:cs="Arial"/>
        </w:rPr>
        <w:t>local and statewide</w:t>
      </w:r>
      <w:r w:rsidRPr="005E0053">
        <w:rPr>
          <w:rFonts w:ascii="Arial" w:hAnsi="Arial" w:cs="Arial"/>
        </w:rPr>
        <w:t xml:space="preserve"> development of various components of</w:t>
      </w:r>
      <w:r w:rsidR="0006562C" w:rsidRPr="005E0053">
        <w:rPr>
          <w:rFonts w:ascii="Arial" w:hAnsi="Arial" w:cs="Arial"/>
        </w:rPr>
        <w:t xml:space="preserve"> the MEP. More robust data need</w:t>
      </w:r>
      <w:r w:rsidRPr="005E0053">
        <w:rPr>
          <w:rFonts w:ascii="Arial" w:hAnsi="Arial" w:cs="Arial"/>
        </w:rPr>
        <w:t xml:space="preserve"> to be collected for better evaluation of the needs identified within the CNA</w:t>
      </w:r>
      <w:r w:rsidR="00FB2C86" w:rsidRPr="005E0053">
        <w:rPr>
          <w:rFonts w:ascii="Arial" w:hAnsi="Arial" w:cs="Arial"/>
        </w:rPr>
        <w:t xml:space="preserve"> as well as program impact</w:t>
      </w:r>
      <w:r w:rsidRPr="005E0053">
        <w:rPr>
          <w:rFonts w:ascii="Arial" w:hAnsi="Arial" w:cs="Arial"/>
        </w:rPr>
        <w:t xml:space="preserve">. </w:t>
      </w:r>
      <w:r w:rsidR="00B90FA2" w:rsidRPr="005E0053">
        <w:rPr>
          <w:rFonts w:ascii="Arial" w:hAnsi="Arial" w:cs="Arial"/>
        </w:rPr>
        <w:t xml:space="preserve">Additionally, the CNA/SSDP Committee </w:t>
      </w:r>
      <w:r w:rsidR="00FB2C86" w:rsidRPr="005E0053">
        <w:rPr>
          <w:rFonts w:ascii="Arial" w:hAnsi="Arial" w:cs="Arial"/>
        </w:rPr>
        <w:t>offered</w:t>
      </w:r>
      <w:r w:rsidR="00B90FA2" w:rsidRPr="005E0053">
        <w:rPr>
          <w:rFonts w:ascii="Arial" w:hAnsi="Arial" w:cs="Arial"/>
        </w:rPr>
        <w:t xml:space="preserve"> recommendations</w:t>
      </w:r>
      <w:r w:rsidR="00834801" w:rsidRPr="005E0053">
        <w:rPr>
          <w:rFonts w:ascii="Arial" w:hAnsi="Arial" w:cs="Arial"/>
        </w:rPr>
        <w:t xml:space="preserve"> in the areas of high school graduation, OSY</w:t>
      </w:r>
      <w:r w:rsidR="0006562C" w:rsidRPr="005E0053">
        <w:rPr>
          <w:rFonts w:ascii="Arial" w:hAnsi="Arial" w:cs="Arial"/>
        </w:rPr>
        <w:t>,</w:t>
      </w:r>
      <w:r w:rsidR="00834801" w:rsidRPr="005E0053">
        <w:rPr>
          <w:rFonts w:ascii="Arial" w:hAnsi="Arial" w:cs="Arial"/>
        </w:rPr>
        <w:t xml:space="preserve"> and student engagement.</w:t>
      </w:r>
      <w:r w:rsidRPr="005E0053">
        <w:rPr>
          <w:rFonts w:ascii="Arial" w:hAnsi="Arial" w:cs="Arial"/>
        </w:rPr>
        <w:t xml:space="preserve"> </w:t>
      </w:r>
      <w:r w:rsidR="00AC7AA1" w:rsidRPr="005E0053">
        <w:rPr>
          <w:rFonts w:ascii="Arial" w:hAnsi="Arial" w:cs="Arial"/>
        </w:rPr>
        <w:t xml:space="preserve">Further program guidance on parent and family involvement are identified in the </w:t>
      </w:r>
      <w:r w:rsidR="00AC7AA1" w:rsidRPr="005E0053">
        <w:rPr>
          <w:rFonts w:ascii="Arial" w:hAnsi="Arial" w:cs="Arial"/>
          <w:i/>
        </w:rPr>
        <w:t>Parent Involvement Plan</w:t>
      </w:r>
      <w:r w:rsidR="00AC7AA1" w:rsidRPr="005E0053">
        <w:rPr>
          <w:rFonts w:ascii="Arial" w:hAnsi="Arial" w:cs="Arial"/>
        </w:rPr>
        <w:t xml:space="preserve"> section.</w:t>
      </w:r>
    </w:p>
    <w:p w14:paraId="58E06EB9" w14:textId="77777777" w:rsidR="0079266D" w:rsidRPr="005E0053" w:rsidRDefault="0019456D" w:rsidP="006849D8">
      <w:pPr>
        <w:pStyle w:val="Heading5"/>
      </w:pPr>
      <w:r w:rsidRPr="005E0053">
        <w:t>Recommendations for Further Data Collection and Reporting</w:t>
      </w:r>
    </w:p>
    <w:p w14:paraId="35048CCB" w14:textId="77777777" w:rsidR="0079266D" w:rsidRPr="005E0053" w:rsidRDefault="00CB2692" w:rsidP="005A4784">
      <w:pPr>
        <w:spacing w:before="240"/>
        <w:rPr>
          <w:rFonts w:ascii="Arial" w:hAnsi="Arial" w:cs="Arial"/>
        </w:rPr>
      </w:pPr>
      <w:r w:rsidRPr="005E0053">
        <w:rPr>
          <w:rFonts w:ascii="Arial" w:hAnsi="Arial" w:cs="Arial"/>
        </w:rPr>
        <w:t>O</w:t>
      </w:r>
      <w:r w:rsidR="00834801" w:rsidRPr="005E0053">
        <w:rPr>
          <w:rFonts w:ascii="Arial" w:hAnsi="Arial" w:cs="Arial"/>
        </w:rPr>
        <w:t>utlining</w:t>
      </w:r>
      <w:r w:rsidRPr="005E0053">
        <w:rPr>
          <w:rFonts w:ascii="Arial" w:hAnsi="Arial" w:cs="Arial"/>
        </w:rPr>
        <w:t xml:space="preserve"> </w:t>
      </w:r>
      <w:r w:rsidR="0079266D" w:rsidRPr="005E0053">
        <w:rPr>
          <w:rFonts w:ascii="Arial" w:hAnsi="Arial" w:cs="Arial"/>
        </w:rPr>
        <w:t xml:space="preserve">a data plan for the next </w:t>
      </w:r>
      <w:r w:rsidRPr="005E0053">
        <w:rPr>
          <w:rFonts w:ascii="Arial" w:hAnsi="Arial" w:cs="Arial"/>
        </w:rPr>
        <w:t>cycle of the CNA/SSDP process, t</w:t>
      </w:r>
      <w:r w:rsidR="0079266D" w:rsidRPr="005E0053">
        <w:rPr>
          <w:rFonts w:ascii="Arial" w:hAnsi="Arial" w:cs="Arial"/>
        </w:rPr>
        <w:t xml:space="preserve">he CDE </w:t>
      </w:r>
      <w:r w:rsidRPr="005E0053">
        <w:rPr>
          <w:rFonts w:ascii="Arial" w:hAnsi="Arial" w:cs="Arial"/>
        </w:rPr>
        <w:t xml:space="preserve">and local partners </w:t>
      </w:r>
      <w:r w:rsidR="00233CA0" w:rsidRPr="005E0053">
        <w:rPr>
          <w:rFonts w:ascii="Arial" w:hAnsi="Arial" w:cs="Arial"/>
        </w:rPr>
        <w:t xml:space="preserve">identified a need around </w:t>
      </w:r>
      <w:r w:rsidR="0079266D" w:rsidRPr="005E0053">
        <w:rPr>
          <w:rFonts w:ascii="Arial" w:hAnsi="Arial" w:cs="Arial"/>
        </w:rPr>
        <w:t>data colle</w:t>
      </w:r>
      <w:r w:rsidR="00233CA0" w:rsidRPr="005E0053">
        <w:rPr>
          <w:rFonts w:ascii="Arial" w:hAnsi="Arial" w:cs="Arial"/>
        </w:rPr>
        <w:t>ction, reporting</w:t>
      </w:r>
      <w:r w:rsidR="0006562C" w:rsidRPr="005E0053">
        <w:rPr>
          <w:rFonts w:ascii="Arial" w:hAnsi="Arial" w:cs="Arial"/>
        </w:rPr>
        <w:t>,</w:t>
      </w:r>
      <w:r w:rsidR="00233CA0" w:rsidRPr="005E0053">
        <w:rPr>
          <w:rFonts w:ascii="Arial" w:hAnsi="Arial" w:cs="Arial"/>
        </w:rPr>
        <w:t xml:space="preserve"> and training for</w:t>
      </w:r>
      <w:r w:rsidR="0079266D" w:rsidRPr="005E0053">
        <w:rPr>
          <w:rFonts w:ascii="Arial" w:hAnsi="Arial" w:cs="Arial"/>
        </w:rPr>
        <w:t xml:space="preserve"> the following areas: school readiness, high school </w:t>
      </w:r>
      <w:r w:rsidR="00233CA0" w:rsidRPr="005E0053">
        <w:rPr>
          <w:rFonts w:ascii="Arial" w:hAnsi="Arial" w:cs="Arial"/>
        </w:rPr>
        <w:t xml:space="preserve">credit </w:t>
      </w:r>
      <w:r w:rsidR="00B01949" w:rsidRPr="005E0053">
        <w:rPr>
          <w:rFonts w:ascii="Arial" w:hAnsi="Arial" w:cs="Arial"/>
        </w:rPr>
        <w:t>accrual</w:t>
      </w:r>
      <w:r w:rsidR="0079266D" w:rsidRPr="005E0053">
        <w:rPr>
          <w:rFonts w:ascii="Arial" w:hAnsi="Arial" w:cs="Arial"/>
        </w:rPr>
        <w:t>, OS</w:t>
      </w:r>
      <w:r w:rsidRPr="005E0053">
        <w:rPr>
          <w:rFonts w:ascii="Arial" w:hAnsi="Arial" w:cs="Arial"/>
        </w:rPr>
        <w:t>Y</w:t>
      </w:r>
      <w:r w:rsidR="0079266D" w:rsidRPr="005E0053">
        <w:rPr>
          <w:rFonts w:ascii="Arial" w:hAnsi="Arial" w:cs="Arial"/>
        </w:rPr>
        <w:t>, health, parent and family engagement</w:t>
      </w:r>
      <w:r w:rsidR="0006562C" w:rsidRPr="005E0053">
        <w:rPr>
          <w:rFonts w:ascii="Arial" w:hAnsi="Arial" w:cs="Arial"/>
        </w:rPr>
        <w:t>,</w:t>
      </w:r>
      <w:r w:rsidR="0079266D" w:rsidRPr="005E0053">
        <w:rPr>
          <w:rFonts w:ascii="Arial" w:hAnsi="Arial" w:cs="Arial"/>
        </w:rPr>
        <w:t xml:space="preserve"> and student engagement. </w:t>
      </w:r>
      <w:r w:rsidR="00233CA0" w:rsidRPr="005E0053">
        <w:rPr>
          <w:rFonts w:ascii="Arial" w:hAnsi="Arial" w:cs="Arial"/>
        </w:rPr>
        <w:t>The followi</w:t>
      </w:r>
      <w:r w:rsidR="00D54B98" w:rsidRPr="005E0053">
        <w:rPr>
          <w:rFonts w:ascii="Arial" w:hAnsi="Arial" w:cs="Arial"/>
        </w:rPr>
        <w:t>ng is an outline detailing</w:t>
      </w:r>
      <w:r w:rsidR="00233CA0" w:rsidRPr="005E0053">
        <w:rPr>
          <w:rFonts w:ascii="Arial" w:hAnsi="Arial" w:cs="Arial"/>
        </w:rPr>
        <w:t xml:space="preserve"> objectives and action items:</w:t>
      </w:r>
    </w:p>
    <w:p w14:paraId="0A9A1C92" w14:textId="77777777" w:rsidR="0079266D" w:rsidRPr="005E0053" w:rsidRDefault="00233CA0" w:rsidP="005A4784">
      <w:pPr>
        <w:spacing w:before="240"/>
        <w:rPr>
          <w:rFonts w:ascii="Arial" w:hAnsi="Arial" w:cs="Arial"/>
        </w:rPr>
      </w:pPr>
      <w:r w:rsidRPr="005E0053">
        <w:rPr>
          <w:rFonts w:ascii="Arial" w:hAnsi="Arial" w:cs="Arial"/>
        </w:rPr>
        <w:t>Over</w:t>
      </w:r>
      <w:r w:rsidR="0079266D" w:rsidRPr="005E0053">
        <w:rPr>
          <w:rFonts w:ascii="Arial" w:hAnsi="Arial" w:cs="Arial"/>
        </w:rPr>
        <w:t xml:space="preserve"> the next three years, the CDE will take the following steps to collect more robust data to measure</w:t>
      </w:r>
      <w:r w:rsidRPr="005E0053">
        <w:rPr>
          <w:rFonts w:ascii="Arial" w:hAnsi="Arial" w:cs="Arial"/>
        </w:rPr>
        <w:t xml:space="preserve"> the specific impact of program services for the </w:t>
      </w:r>
      <w:r w:rsidR="00747ECB" w:rsidRPr="005E0053">
        <w:rPr>
          <w:rFonts w:ascii="Arial" w:hAnsi="Arial" w:cs="Arial"/>
        </w:rPr>
        <w:t xml:space="preserve">focus </w:t>
      </w:r>
      <w:r w:rsidRPr="005E0053">
        <w:rPr>
          <w:rFonts w:ascii="Arial" w:hAnsi="Arial" w:cs="Arial"/>
        </w:rPr>
        <w:t>areas identified above</w:t>
      </w:r>
      <w:r w:rsidR="00DC0C63" w:rsidRPr="005E0053">
        <w:rPr>
          <w:rFonts w:ascii="Arial" w:hAnsi="Arial" w:cs="Arial"/>
        </w:rPr>
        <w:t>:</w:t>
      </w:r>
    </w:p>
    <w:p w14:paraId="5546B1D4" w14:textId="79C01255" w:rsidR="0079266D" w:rsidRPr="005E0053" w:rsidRDefault="00F16401" w:rsidP="007D443E">
      <w:pPr>
        <w:pStyle w:val="ListParagraph"/>
        <w:numPr>
          <w:ilvl w:val="0"/>
          <w:numId w:val="21"/>
        </w:numPr>
        <w:spacing w:before="240"/>
        <w:contextualSpacing w:val="0"/>
        <w:rPr>
          <w:rFonts w:ascii="Arial" w:hAnsi="Arial" w:cs="Arial"/>
        </w:rPr>
      </w:pPr>
      <w:r w:rsidRPr="005E0053">
        <w:rPr>
          <w:rFonts w:ascii="Arial" w:hAnsi="Arial" w:cs="Arial"/>
        </w:rPr>
        <w:t>Collaborate with</w:t>
      </w:r>
      <w:r w:rsidR="0079266D" w:rsidRPr="005E0053">
        <w:rPr>
          <w:rFonts w:ascii="Arial" w:hAnsi="Arial" w:cs="Arial"/>
        </w:rPr>
        <w:t xml:space="preserve"> MEP Directors and </w:t>
      </w:r>
      <w:r w:rsidR="00EF59DB">
        <w:rPr>
          <w:rFonts w:ascii="Arial" w:hAnsi="Arial" w:cs="Arial"/>
        </w:rPr>
        <w:t>interested parties</w:t>
      </w:r>
      <w:r w:rsidR="00EF59DB" w:rsidRPr="005E0053">
        <w:rPr>
          <w:rFonts w:ascii="Arial" w:hAnsi="Arial" w:cs="Arial"/>
        </w:rPr>
        <w:t xml:space="preserve"> </w:t>
      </w:r>
      <w:r w:rsidR="0079266D" w:rsidRPr="005E0053">
        <w:rPr>
          <w:rFonts w:ascii="Arial" w:hAnsi="Arial" w:cs="Arial"/>
        </w:rPr>
        <w:t xml:space="preserve">in the development of a standardized </w:t>
      </w:r>
      <w:r w:rsidR="00233CA0" w:rsidRPr="005E0053">
        <w:rPr>
          <w:rFonts w:ascii="Arial" w:hAnsi="Arial" w:cs="Arial"/>
        </w:rPr>
        <w:t>data collection</w:t>
      </w:r>
      <w:r w:rsidR="0079266D" w:rsidRPr="005E0053">
        <w:rPr>
          <w:rFonts w:ascii="Arial" w:hAnsi="Arial" w:cs="Arial"/>
        </w:rPr>
        <w:t xml:space="preserve"> tool through the MEP Directors meetings, MEP Director subcommittee meetings</w:t>
      </w:r>
      <w:r w:rsidR="00D54B98" w:rsidRPr="005E0053">
        <w:rPr>
          <w:rFonts w:ascii="Arial" w:hAnsi="Arial" w:cs="Arial"/>
        </w:rPr>
        <w:t>,</w:t>
      </w:r>
      <w:r w:rsidR="0079266D" w:rsidRPr="005E0053">
        <w:rPr>
          <w:rFonts w:ascii="Arial" w:hAnsi="Arial" w:cs="Arial"/>
        </w:rPr>
        <w:t xml:space="preserve"> and conference calls</w:t>
      </w:r>
      <w:r w:rsidR="00D54B98" w:rsidRPr="005E0053">
        <w:rPr>
          <w:rFonts w:ascii="Arial" w:hAnsi="Arial" w:cs="Arial"/>
        </w:rPr>
        <w:t>,</w:t>
      </w:r>
      <w:r w:rsidR="0079266D" w:rsidRPr="005E0053">
        <w:rPr>
          <w:rFonts w:ascii="Arial" w:hAnsi="Arial" w:cs="Arial"/>
        </w:rPr>
        <w:t xml:space="preserve"> as necessary.</w:t>
      </w:r>
    </w:p>
    <w:p w14:paraId="1420F2FA" w14:textId="77777777" w:rsidR="0079266D" w:rsidRPr="005E0053" w:rsidRDefault="0079266D" w:rsidP="007D443E">
      <w:pPr>
        <w:pStyle w:val="ListParagraph"/>
        <w:numPr>
          <w:ilvl w:val="1"/>
          <w:numId w:val="21"/>
        </w:numPr>
        <w:spacing w:before="240"/>
        <w:contextualSpacing w:val="0"/>
        <w:rPr>
          <w:rFonts w:ascii="Arial" w:hAnsi="Arial" w:cs="Arial"/>
        </w:rPr>
      </w:pPr>
      <w:r w:rsidRPr="005E0053">
        <w:rPr>
          <w:rFonts w:ascii="Arial" w:hAnsi="Arial" w:cs="Arial"/>
        </w:rPr>
        <w:t xml:space="preserve">Discuss </w:t>
      </w:r>
      <w:r w:rsidR="0044137F" w:rsidRPr="005E0053">
        <w:rPr>
          <w:rFonts w:ascii="Arial" w:hAnsi="Arial" w:cs="Arial"/>
        </w:rPr>
        <w:t>the following</w:t>
      </w:r>
      <w:r w:rsidRPr="005E0053">
        <w:rPr>
          <w:rFonts w:ascii="Arial" w:hAnsi="Arial" w:cs="Arial"/>
        </w:rPr>
        <w:t xml:space="preserve">: 1) </w:t>
      </w:r>
      <w:r w:rsidR="00B01949" w:rsidRPr="005E0053">
        <w:rPr>
          <w:rFonts w:ascii="Arial" w:hAnsi="Arial" w:cs="Arial"/>
        </w:rPr>
        <w:t xml:space="preserve">timeline for project development and implementation 2) </w:t>
      </w:r>
      <w:r w:rsidR="0044137F" w:rsidRPr="005E0053">
        <w:rPr>
          <w:rFonts w:ascii="Arial" w:hAnsi="Arial" w:cs="Arial"/>
        </w:rPr>
        <w:t xml:space="preserve">a tool that </w:t>
      </w:r>
      <w:r w:rsidR="00F16401" w:rsidRPr="005E0053">
        <w:rPr>
          <w:rFonts w:ascii="Arial" w:hAnsi="Arial" w:cs="Arial"/>
        </w:rPr>
        <w:t>measures change</w:t>
      </w:r>
      <w:r w:rsidRPr="005E0053">
        <w:rPr>
          <w:rFonts w:ascii="Arial" w:hAnsi="Arial" w:cs="Arial"/>
        </w:rPr>
        <w:t xml:space="preserve"> in </w:t>
      </w:r>
      <w:r w:rsidR="00F16401" w:rsidRPr="005E0053">
        <w:rPr>
          <w:rFonts w:ascii="Arial" w:hAnsi="Arial" w:cs="Arial"/>
        </w:rPr>
        <w:t>skills,</w:t>
      </w:r>
      <w:r w:rsidRPr="005E0053">
        <w:rPr>
          <w:rFonts w:ascii="Arial" w:hAnsi="Arial" w:cs="Arial"/>
        </w:rPr>
        <w:t xml:space="preserve"> knowledge</w:t>
      </w:r>
      <w:r w:rsidR="00F16401" w:rsidRPr="005E0053">
        <w:rPr>
          <w:rFonts w:ascii="Arial" w:hAnsi="Arial" w:cs="Arial"/>
        </w:rPr>
        <w:t>, behavior, etc.</w:t>
      </w:r>
      <w:r w:rsidR="00B01949" w:rsidRPr="005E0053">
        <w:rPr>
          <w:rFonts w:ascii="Arial" w:hAnsi="Arial" w:cs="Arial"/>
        </w:rPr>
        <w:t>, 3</w:t>
      </w:r>
      <w:r w:rsidRPr="005E0053">
        <w:rPr>
          <w:rFonts w:ascii="Arial" w:hAnsi="Arial" w:cs="Arial"/>
        </w:rPr>
        <w:t xml:space="preserve">) is </w:t>
      </w:r>
      <w:r w:rsidR="00F16401" w:rsidRPr="005E0053">
        <w:rPr>
          <w:rFonts w:ascii="Arial" w:hAnsi="Arial" w:cs="Arial"/>
        </w:rPr>
        <w:t xml:space="preserve">it </w:t>
      </w:r>
      <w:r w:rsidRPr="005E0053">
        <w:rPr>
          <w:rFonts w:ascii="Arial" w:hAnsi="Arial" w:cs="Arial"/>
        </w:rPr>
        <w:t>feasible to</w:t>
      </w:r>
      <w:r w:rsidR="0044137F" w:rsidRPr="005E0053">
        <w:rPr>
          <w:rFonts w:ascii="Arial" w:hAnsi="Arial" w:cs="Arial"/>
        </w:rPr>
        <w:t xml:space="preserve"> implement</w:t>
      </w:r>
      <w:r w:rsidR="00B01949" w:rsidRPr="005E0053">
        <w:rPr>
          <w:rFonts w:ascii="Arial" w:hAnsi="Arial" w:cs="Arial"/>
        </w:rPr>
        <w:t>, 4</w:t>
      </w:r>
      <w:r w:rsidRPr="005E0053">
        <w:rPr>
          <w:rFonts w:ascii="Arial" w:hAnsi="Arial" w:cs="Arial"/>
        </w:rPr>
        <w:t>) the data c</w:t>
      </w:r>
      <w:r w:rsidR="00B01949" w:rsidRPr="005E0053">
        <w:rPr>
          <w:rFonts w:ascii="Arial" w:hAnsi="Arial" w:cs="Arial"/>
        </w:rPr>
        <w:t>ollection and storage process, 5) data security measures, and 6</w:t>
      </w:r>
      <w:r w:rsidRPr="005E0053">
        <w:rPr>
          <w:rFonts w:ascii="Arial" w:hAnsi="Arial" w:cs="Arial"/>
        </w:rPr>
        <w:t>) data reporting at the local and state levels.</w:t>
      </w:r>
    </w:p>
    <w:p w14:paraId="4F1615F2" w14:textId="77777777" w:rsidR="0079266D" w:rsidRPr="005E0053" w:rsidRDefault="00B01949" w:rsidP="007D443E">
      <w:pPr>
        <w:pStyle w:val="ListParagraph"/>
        <w:numPr>
          <w:ilvl w:val="0"/>
          <w:numId w:val="21"/>
        </w:numPr>
        <w:spacing w:before="240" w:after="240"/>
        <w:contextualSpacing w:val="0"/>
        <w:rPr>
          <w:rFonts w:ascii="Arial" w:hAnsi="Arial" w:cs="Arial"/>
        </w:rPr>
      </w:pPr>
      <w:r w:rsidRPr="005E0053">
        <w:rPr>
          <w:rFonts w:ascii="Arial" w:hAnsi="Arial" w:cs="Arial"/>
        </w:rPr>
        <w:t xml:space="preserve">Develop the following </w:t>
      </w:r>
      <w:r w:rsidR="0079266D" w:rsidRPr="005E0053">
        <w:rPr>
          <w:rFonts w:ascii="Arial" w:hAnsi="Arial" w:cs="Arial"/>
        </w:rPr>
        <w:t xml:space="preserve">milestones </w:t>
      </w:r>
      <w:r w:rsidRPr="005E0053">
        <w:rPr>
          <w:rFonts w:ascii="Arial" w:hAnsi="Arial" w:cs="Arial"/>
        </w:rPr>
        <w:t>for project implementation</w:t>
      </w:r>
      <w:r w:rsidR="0079266D" w:rsidRPr="005E0053">
        <w:rPr>
          <w:rFonts w:ascii="Arial" w:hAnsi="Arial" w:cs="Arial"/>
        </w:rPr>
        <w:t>.</w:t>
      </w:r>
    </w:p>
    <w:p w14:paraId="1D54B670" w14:textId="77777777" w:rsidR="00BD4F35" w:rsidRPr="005E0053" w:rsidRDefault="0079266D" w:rsidP="007D443E">
      <w:pPr>
        <w:pStyle w:val="ListParagraph"/>
        <w:numPr>
          <w:ilvl w:val="1"/>
          <w:numId w:val="21"/>
        </w:numPr>
        <w:spacing w:after="240"/>
        <w:contextualSpacing w:val="0"/>
        <w:rPr>
          <w:rFonts w:ascii="Arial" w:hAnsi="Arial" w:cs="Arial"/>
        </w:rPr>
      </w:pPr>
      <w:r w:rsidRPr="005E0053">
        <w:rPr>
          <w:rFonts w:ascii="Arial" w:hAnsi="Arial" w:cs="Arial"/>
        </w:rPr>
        <w:t xml:space="preserve">Develop and implement a state-standardized evaluation tool to identify the impact of the </w:t>
      </w:r>
      <w:r w:rsidR="00B01949" w:rsidRPr="005E0053">
        <w:rPr>
          <w:rFonts w:ascii="Arial" w:hAnsi="Arial" w:cs="Arial"/>
        </w:rPr>
        <w:t>service</w:t>
      </w:r>
      <w:r w:rsidRPr="005E0053">
        <w:rPr>
          <w:rFonts w:ascii="Arial" w:hAnsi="Arial" w:cs="Arial"/>
        </w:rPr>
        <w:t>.</w:t>
      </w:r>
    </w:p>
    <w:p w14:paraId="55E7B224" w14:textId="77777777" w:rsidR="0079266D" w:rsidRPr="005E0053" w:rsidRDefault="0079266D" w:rsidP="007D443E">
      <w:pPr>
        <w:pStyle w:val="ListParagraph"/>
        <w:numPr>
          <w:ilvl w:val="1"/>
          <w:numId w:val="21"/>
        </w:numPr>
        <w:spacing w:after="240"/>
        <w:contextualSpacing w:val="0"/>
        <w:rPr>
          <w:rFonts w:ascii="Arial" w:hAnsi="Arial" w:cs="Arial"/>
        </w:rPr>
      </w:pPr>
      <w:r w:rsidRPr="005E0053">
        <w:rPr>
          <w:rFonts w:ascii="Arial" w:hAnsi="Arial" w:cs="Arial"/>
        </w:rPr>
        <w:t>Train MEP staff, and parents or guardians</w:t>
      </w:r>
      <w:r w:rsidR="00D54B98" w:rsidRPr="005E0053">
        <w:rPr>
          <w:rFonts w:ascii="Arial" w:hAnsi="Arial" w:cs="Arial"/>
        </w:rPr>
        <w:t>,</w:t>
      </w:r>
      <w:r w:rsidRPr="005E0053">
        <w:rPr>
          <w:rFonts w:ascii="Arial" w:hAnsi="Arial" w:cs="Arial"/>
        </w:rPr>
        <w:t xml:space="preserve"> as appropriate, on the importance of the evaluation tool and how to utilize the tool through a standardized process to reduce error</w:t>
      </w:r>
      <w:r w:rsidR="00D54B98" w:rsidRPr="005E0053">
        <w:rPr>
          <w:rFonts w:ascii="Arial" w:hAnsi="Arial" w:cs="Arial"/>
        </w:rPr>
        <w:t>s</w:t>
      </w:r>
      <w:r w:rsidRPr="005E0053">
        <w:rPr>
          <w:rFonts w:ascii="Arial" w:hAnsi="Arial" w:cs="Arial"/>
        </w:rPr>
        <w:t xml:space="preserve"> in data collection methods. MEP staff training should include the elements listed in 1a (see above).</w:t>
      </w:r>
    </w:p>
    <w:p w14:paraId="34A9E58C" w14:textId="77777777" w:rsidR="0079266D" w:rsidRPr="005E0053" w:rsidRDefault="0079266D" w:rsidP="007D443E">
      <w:pPr>
        <w:pStyle w:val="ListParagraph"/>
        <w:numPr>
          <w:ilvl w:val="1"/>
          <w:numId w:val="21"/>
        </w:numPr>
        <w:rPr>
          <w:rFonts w:ascii="Arial" w:hAnsi="Arial" w:cs="Arial"/>
        </w:rPr>
      </w:pPr>
      <w:r w:rsidRPr="005E0053">
        <w:rPr>
          <w:rFonts w:ascii="Arial" w:hAnsi="Arial" w:cs="Arial"/>
        </w:rPr>
        <w:t xml:space="preserve">Provide professional development time to review </w:t>
      </w:r>
      <w:r w:rsidR="00BD4F35" w:rsidRPr="005E0053">
        <w:rPr>
          <w:rFonts w:ascii="Arial" w:hAnsi="Arial" w:cs="Arial"/>
        </w:rPr>
        <w:t xml:space="preserve">relevant </w:t>
      </w:r>
      <w:r w:rsidRPr="005E0053">
        <w:rPr>
          <w:rFonts w:ascii="Arial" w:hAnsi="Arial" w:cs="Arial"/>
        </w:rPr>
        <w:t>data to employ during discussions of continuous program service improvement.</w:t>
      </w:r>
    </w:p>
    <w:p w14:paraId="74D7F6DC" w14:textId="77777777" w:rsidR="00BD4F35" w:rsidRPr="005E0053" w:rsidRDefault="00AC7AA1" w:rsidP="007D443E">
      <w:pPr>
        <w:pStyle w:val="ListParagraph"/>
        <w:numPr>
          <w:ilvl w:val="0"/>
          <w:numId w:val="21"/>
        </w:numPr>
        <w:spacing w:before="240"/>
        <w:contextualSpacing w:val="0"/>
        <w:rPr>
          <w:rFonts w:ascii="Arial" w:hAnsi="Arial" w:cs="Arial"/>
        </w:rPr>
      </w:pPr>
      <w:r w:rsidRPr="005E0053">
        <w:rPr>
          <w:rFonts w:ascii="Arial" w:hAnsi="Arial" w:cs="Arial"/>
        </w:rPr>
        <w:t>Pilot the data collection process and tool in a few regions to r</w:t>
      </w:r>
      <w:r w:rsidR="001C61F0" w:rsidRPr="005E0053">
        <w:rPr>
          <w:rFonts w:ascii="Arial" w:hAnsi="Arial" w:cs="Arial"/>
        </w:rPr>
        <w:t>efine both the process and tool</w:t>
      </w:r>
      <w:r w:rsidRPr="005E0053">
        <w:rPr>
          <w:rFonts w:ascii="Arial" w:hAnsi="Arial" w:cs="Arial"/>
        </w:rPr>
        <w:t>.</w:t>
      </w:r>
    </w:p>
    <w:p w14:paraId="1C264F4F" w14:textId="77777777" w:rsidR="001C61F0" w:rsidRPr="005E0053" w:rsidRDefault="00AC7AA1" w:rsidP="007D443E">
      <w:pPr>
        <w:pStyle w:val="ListParagraph"/>
        <w:numPr>
          <w:ilvl w:val="0"/>
          <w:numId w:val="21"/>
        </w:numPr>
        <w:spacing w:before="240"/>
        <w:contextualSpacing w:val="0"/>
        <w:rPr>
          <w:rFonts w:ascii="Arial" w:hAnsi="Arial" w:cs="Arial"/>
        </w:rPr>
      </w:pPr>
      <w:r w:rsidRPr="005E0053">
        <w:rPr>
          <w:rFonts w:ascii="Arial" w:hAnsi="Arial" w:cs="Arial"/>
        </w:rPr>
        <w:lastRenderedPageBreak/>
        <w:t>Impleme</w:t>
      </w:r>
      <w:r w:rsidR="001C61F0" w:rsidRPr="005E0053">
        <w:rPr>
          <w:rFonts w:ascii="Arial" w:hAnsi="Arial" w:cs="Arial"/>
        </w:rPr>
        <w:t>nt the data collection process and tool</w:t>
      </w:r>
      <w:r w:rsidRPr="005E0053">
        <w:rPr>
          <w:rFonts w:ascii="Arial" w:hAnsi="Arial" w:cs="Arial"/>
        </w:rPr>
        <w:t xml:space="preserve"> statewide, and reevaluate the process during the next cycle of the CNA and SSDP development.</w:t>
      </w:r>
    </w:p>
    <w:p w14:paraId="04BD4712" w14:textId="77777777" w:rsidR="00071F66" w:rsidRPr="005E0053" w:rsidRDefault="00071F66" w:rsidP="005A4784">
      <w:pPr>
        <w:spacing w:before="240"/>
        <w:rPr>
          <w:rFonts w:ascii="Arial" w:hAnsi="Arial" w:cs="Arial"/>
        </w:rPr>
      </w:pPr>
      <w:r w:rsidRPr="005E0053">
        <w:rPr>
          <w:rFonts w:ascii="Arial" w:hAnsi="Arial" w:cs="Arial"/>
        </w:rPr>
        <w:t xml:space="preserve">Additionally, the CDE is working with </w:t>
      </w:r>
      <w:r w:rsidR="00FA42F2" w:rsidRPr="005E0053">
        <w:rPr>
          <w:rFonts w:ascii="Arial" w:hAnsi="Arial" w:cs="Arial"/>
        </w:rPr>
        <w:t xml:space="preserve">partners on two fronts: </w:t>
      </w:r>
      <w:r w:rsidR="001C61F0" w:rsidRPr="005E0053">
        <w:rPr>
          <w:rFonts w:ascii="Arial" w:hAnsi="Arial" w:cs="Arial"/>
        </w:rPr>
        <w:t>(</w:t>
      </w:r>
      <w:r w:rsidR="00FA42F2" w:rsidRPr="005E0053">
        <w:rPr>
          <w:rFonts w:ascii="Arial" w:hAnsi="Arial" w:cs="Arial"/>
        </w:rPr>
        <w:t xml:space="preserve">1) </w:t>
      </w:r>
      <w:r w:rsidR="001260BB" w:rsidRPr="005E0053">
        <w:rPr>
          <w:rFonts w:ascii="Arial" w:hAnsi="Arial" w:cs="Arial"/>
        </w:rPr>
        <w:t>to increase migratory student participation</w:t>
      </w:r>
      <w:r w:rsidR="001C61F0" w:rsidRPr="005E0053">
        <w:rPr>
          <w:rFonts w:ascii="Arial" w:hAnsi="Arial" w:cs="Arial"/>
        </w:rPr>
        <w:t xml:space="preserve"> i</w:t>
      </w:r>
      <w:r w:rsidR="00FA42F2" w:rsidRPr="005E0053">
        <w:rPr>
          <w:rFonts w:ascii="Arial" w:hAnsi="Arial" w:cs="Arial"/>
        </w:rPr>
        <w:t>n</w:t>
      </w:r>
      <w:r w:rsidR="001C61F0" w:rsidRPr="005E0053">
        <w:rPr>
          <w:rFonts w:ascii="Arial" w:hAnsi="Arial" w:cs="Arial"/>
        </w:rPr>
        <w:t xml:space="preserve"> the</w:t>
      </w:r>
      <w:r w:rsidR="00FA42F2" w:rsidRPr="005E0053">
        <w:rPr>
          <w:rFonts w:ascii="Arial" w:hAnsi="Arial" w:cs="Arial"/>
        </w:rPr>
        <w:t xml:space="preserve"> California’s Healthy Kids Survey</w:t>
      </w:r>
      <w:r w:rsidR="001260BB" w:rsidRPr="005E0053">
        <w:rPr>
          <w:rFonts w:ascii="Arial" w:hAnsi="Arial" w:cs="Arial"/>
        </w:rPr>
        <w:t xml:space="preserve"> with the possible result of getting a representative sample that will support the MEPs efforts to pr</w:t>
      </w:r>
      <w:r w:rsidR="00FA42F2" w:rsidRPr="005E0053">
        <w:rPr>
          <w:rFonts w:ascii="Arial" w:hAnsi="Arial" w:cs="Arial"/>
        </w:rPr>
        <w:t xml:space="preserve">ovide targeted health services, and </w:t>
      </w:r>
      <w:r w:rsidR="001C61F0" w:rsidRPr="005E0053">
        <w:rPr>
          <w:rFonts w:ascii="Arial" w:hAnsi="Arial" w:cs="Arial"/>
        </w:rPr>
        <w:t>(</w:t>
      </w:r>
      <w:r w:rsidR="00FA42F2" w:rsidRPr="005E0053">
        <w:rPr>
          <w:rFonts w:ascii="Arial" w:hAnsi="Arial" w:cs="Arial"/>
        </w:rPr>
        <w:t xml:space="preserve">2) </w:t>
      </w:r>
      <w:r w:rsidR="00AC0184" w:rsidRPr="005E0053">
        <w:rPr>
          <w:rFonts w:ascii="Arial" w:hAnsi="Arial" w:cs="Arial"/>
        </w:rPr>
        <w:t xml:space="preserve">refine the Migrant Student Information Network to include data collection methods for both </w:t>
      </w:r>
      <w:r w:rsidR="00940B6C" w:rsidRPr="005E0053">
        <w:rPr>
          <w:rFonts w:ascii="Arial" w:hAnsi="Arial" w:cs="Arial"/>
        </w:rPr>
        <w:t>measurable program outcomes</w:t>
      </w:r>
      <w:r w:rsidR="00AC0184" w:rsidRPr="005E0053">
        <w:rPr>
          <w:rFonts w:ascii="Arial" w:hAnsi="Arial" w:cs="Arial"/>
        </w:rPr>
        <w:t xml:space="preserve"> and </w:t>
      </w:r>
      <w:r w:rsidR="00EF750E" w:rsidRPr="005E0053">
        <w:rPr>
          <w:rFonts w:ascii="Arial" w:hAnsi="Arial" w:cs="Arial"/>
        </w:rPr>
        <w:t>performance targets</w:t>
      </w:r>
      <w:r w:rsidR="00AC0184" w:rsidRPr="005E0053">
        <w:rPr>
          <w:rFonts w:ascii="Arial" w:hAnsi="Arial" w:cs="Arial"/>
        </w:rPr>
        <w:t xml:space="preserve"> (see the </w:t>
      </w:r>
      <w:r w:rsidR="00ED68F8" w:rsidRPr="005E0053">
        <w:rPr>
          <w:rFonts w:ascii="Arial" w:hAnsi="Arial" w:cs="Arial"/>
        </w:rPr>
        <w:t>Annual Performance Review Plan</w:t>
      </w:r>
      <w:r w:rsidR="00AC0184" w:rsidRPr="005E0053">
        <w:rPr>
          <w:rFonts w:ascii="Arial" w:hAnsi="Arial" w:cs="Arial"/>
        </w:rPr>
        <w:t xml:space="preserve"> section for more information on these elements).</w:t>
      </w:r>
    </w:p>
    <w:p w14:paraId="6C5C27F2" w14:textId="77777777" w:rsidR="00AC7AA1" w:rsidRPr="005E0053" w:rsidRDefault="0019456D" w:rsidP="006856D5">
      <w:pPr>
        <w:pStyle w:val="Heading6"/>
      </w:pPr>
      <w:r w:rsidRPr="005E0053">
        <w:t xml:space="preserve">Additional </w:t>
      </w:r>
      <w:r w:rsidR="00A57CCE" w:rsidRPr="005E0053">
        <w:t>Considerations</w:t>
      </w:r>
      <w:r w:rsidRPr="005E0053">
        <w:t xml:space="preserve"> for </w:t>
      </w:r>
      <w:r w:rsidR="00AC7AA1" w:rsidRPr="005E0053">
        <w:t>High School Graduation and Dropout</w:t>
      </w:r>
      <w:r w:rsidR="001C61F0" w:rsidRPr="005E0053">
        <w:t xml:space="preserve"> Rates</w:t>
      </w:r>
    </w:p>
    <w:p w14:paraId="267567C6" w14:textId="588C3A0B" w:rsidR="0019456D" w:rsidRPr="005E0053" w:rsidRDefault="0019456D" w:rsidP="005A4784">
      <w:pPr>
        <w:spacing w:before="240"/>
        <w:rPr>
          <w:rFonts w:ascii="Arial" w:hAnsi="Arial" w:cs="Arial"/>
        </w:rPr>
      </w:pPr>
      <w:r w:rsidRPr="005E0053">
        <w:rPr>
          <w:rFonts w:ascii="Arial" w:hAnsi="Arial" w:cs="Arial"/>
        </w:rPr>
        <w:t xml:space="preserve">In addition to increasing the high school graduation rate and decreasing the dropout rate, </w:t>
      </w:r>
      <w:r w:rsidR="00EF59DB">
        <w:rPr>
          <w:rFonts w:ascii="Arial" w:hAnsi="Arial" w:cs="Arial"/>
        </w:rPr>
        <w:t>the committee</w:t>
      </w:r>
      <w:r w:rsidR="00EF59DB" w:rsidRPr="005E0053">
        <w:rPr>
          <w:rFonts w:ascii="Arial" w:hAnsi="Arial" w:cs="Arial"/>
        </w:rPr>
        <w:t xml:space="preserve"> </w:t>
      </w:r>
      <w:r w:rsidRPr="005E0053">
        <w:rPr>
          <w:rFonts w:ascii="Arial" w:hAnsi="Arial" w:cs="Arial"/>
        </w:rPr>
        <w:t>offered additional strategies for local MEPs to consider:</w:t>
      </w:r>
    </w:p>
    <w:p w14:paraId="011AF053" w14:textId="169B98E2" w:rsidR="0019456D" w:rsidRPr="005E0053" w:rsidRDefault="0019456D" w:rsidP="005A4784">
      <w:pPr>
        <w:pStyle w:val="ListParagraph"/>
        <w:numPr>
          <w:ilvl w:val="0"/>
          <w:numId w:val="11"/>
        </w:numPr>
        <w:spacing w:before="240"/>
        <w:contextualSpacing w:val="0"/>
        <w:rPr>
          <w:rFonts w:ascii="Arial" w:hAnsi="Arial" w:cs="Arial"/>
        </w:rPr>
      </w:pPr>
      <w:r w:rsidRPr="005E0053">
        <w:rPr>
          <w:rFonts w:ascii="Arial" w:hAnsi="Arial" w:cs="Arial"/>
        </w:rPr>
        <w:t>Support for long-term EL</w:t>
      </w:r>
      <w:r w:rsidR="00EF59DB">
        <w:rPr>
          <w:rFonts w:ascii="Arial" w:hAnsi="Arial" w:cs="Arial"/>
        </w:rPr>
        <w:t xml:space="preserve"> </w:t>
      </w:r>
      <w:r w:rsidRPr="005E0053">
        <w:rPr>
          <w:rFonts w:ascii="Arial" w:hAnsi="Arial" w:cs="Arial"/>
        </w:rPr>
        <w:t>s</w:t>
      </w:r>
      <w:r w:rsidR="00EF59DB">
        <w:rPr>
          <w:rFonts w:ascii="Arial" w:hAnsi="Arial" w:cs="Arial"/>
        </w:rPr>
        <w:t>tudents</w:t>
      </w:r>
      <w:r w:rsidRPr="005E0053">
        <w:rPr>
          <w:rFonts w:ascii="Arial" w:hAnsi="Arial" w:cs="Arial"/>
        </w:rPr>
        <w:t xml:space="preserve"> – </w:t>
      </w:r>
      <w:r w:rsidR="0004661B">
        <w:rPr>
          <w:rFonts w:ascii="Arial" w:hAnsi="Arial" w:cs="Arial"/>
        </w:rPr>
        <w:t>Committee members</w:t>
      </w:r>
      <w:r w:rsidR="0004661B" w:rsidRPr="005E0053">
        <w:rPr>
          <w:rFonts w:ascii="Arial" w:hAnsi="Arial" w:cs="Arial"/>
        </w:rPr>
        <w:t xml:space="preserve"> </w:t>
      </w:r>
      <w:r w:rsidRPr="005E0053">
        <w:rPr>
          <w:rFonts w:ascii="Arial" w:hAnsi="Arial" w:cs="Arial"/>
        </w:rPr>
        <w:t>believe that long-term EL students do not receive enough support to meet their academic needs. The hypothesis is that long-term</w:t>
      </w:r>
      <w:r w:rsidR="001C61F0" w:rsidRPr="005E0053">
        <w:rPr>
          <w:rFonts w:ascii="Arial" w:hAnsi="Arial" w:cs="Arial"/>
        </w:rPr>
        <w:t xml:space="preserve"> Migratory</w:t>
      </w:r>
      <w:r w:rsidRPr="005E0053">
        <w:rPr>
          <w:rFonts w:ascii="Arial" w:hAnsi="Arial" w:cs="Arial"/>
        </w:rPr>
        <w:t xml:space="preserve"> EL</w:t>
      </w:r>
      <w:r w:rsidR="00EF59DB">
        <w:rPr>
          <w:rFonts w:ascii="Arial" w:hAnsi="Arial" w:cs="Arial"/>
        </w:rPr>
        <w:t xml:space="preserve"> </w:t>
      </w:r>
      <w:r w:rsidRPr="005E0053">
        <w:rPr>
          <w:rFonts w:ascii="Arial" w:hAnsi="Arial" w:cs="Arial"/>
        </w:rPr>
        <w:t>s</w:t>
      </w:r>
      <w:r w:rsidR="00EF59DB">
        <w:rPr>
          <w:rFonts w:ascii="Arial" w:hAnsi="Arial" w:cs="Arial"/>
        </w:rPr>
        <w:t>tudents</w:t>
      </w:r>
      <w:r w:rsidRPr="005E0053">
        <w:rPr>
          <w:rFonts w:ascii="Arial" w:hAnsi="Arial" w:cs="Arial"/>
        </w:rPr>
        <w:t xml:space="preserve"> </w:t>
      </w:r>
      <w:r w:rsidR="001C61F0" w:rsidRPr="005E0053">
        <w:rPr>
          <w:rFonts w:ascii="Arial" w:hAnsi="Arial" w:cs="Arial"/>
        </w:rPr>
        <w:t>are more likely to drop out than</w:t>
      </w:r>
      <w:r w:rsidRPr="005E0053">
        <w:rPr>
          <w:rFonts w:ascii="Arial" w:hAnsi="Arial" w:cs="Arial"/>
        </w:rPr>
        <w:t xml:space="preserve"> migratory students who are able to reclassify. MEPs should</w:t>
      </w:r>
      <w:r w:rsidR="00857C19" w:rsidRPr="005E0053">
        <w:rPr>
          <w:rFonts w:ascii="Arial" w:hAnsi="Arial" w:cs="Arial"/>
        </w:rPr>
        <w:t xml:space="preserve"> train staff to</w:t>
      </w:r>
      <w:r w:rsidRPr="005E0053">
        <w:rPr>
          <w:rFonts w:ascii="Arial" w:hAnsi="Arial" w:cs="Arial"/>
        </w:rPr>
        <w:t xml:space="preserve"> identify the long-term EL</w:t>
      </w:r>
      <w:r w:rsidR="00EF59DB">
        <w:rPr>
          <w:rFonts w:ascii="Arial" w:hAnsi="Arial" w:cs="Arial"/>
        </w:rPr>
        <w:t xml:space="preserve"> </w:t>
      </w:r>
      <w:r w:rsidRPr="005E0053">
        <w:rPr>
          <w:rFonts w:ascii="Arial" w:hAnsi="Arial" w:cs="Arial"/>
        </w:rPr>
        <w:t>s</w:t>
      </w:r>
      <w:r w:rsidR="00EF59DB">
        <w:rPr>
          <w:rFonts w:ascii="Arial" w:hAnsi="Arial" w:cs="Arial"/>
        </w:rPr>
        <w:t>tudents</w:t>
      </w:r>
      <w:r w:rsidRPr="005E0053">
        <w:rPr>
          <w:rFonts w:ascii="Arial" w:hAnsi="Arial" w:cs="Arial"/>
        </w:rPr>
        <w:t xml:space="preserve"> in their </w:t>
      </w:r>
      <w:r w:rsidR="00857C19" w:rsidRPr="005E0053">
        <w:rPr>
          <w:rFonts w:ascii="Arial" w:hAnsi="Arial" w:cs="Arial"/>
        </w:rPr>
        <w:t>regions, build relationships with these youth, monitor credit accrual starting in middle school</w:t>
      </w:r>
      <w:r w:rsidR="001C61F0" w:rsidRPr="005E0053">
        <w:rPr>
          <w:rFonts w:ascii="Arial" w:hAnsi="Arial" w:cs="Arial"/>
        </w:rPr>
        <w:t>,</w:t>
      </w:r>
      <w:r w:rsidR="00857C19" w:rsidRPr="005E0053">
        <w:rPr>
          <w:rFonts w:ascii="Arial" w:hAnsi="Arial" w:cs="Arial"/>
        </w:rPr>
        <w:t xml:space="preserve"> and provide information on career technical education. </w:t>
      </w:r>
      <w:r w:rsidRPr="005E0053">
        <w:rPr>
          <w:rFonts w:ascii="Arial" w:hAnsi="Arial" w:cs="Arial"/>
        </w:rPr>
        <w:t>More da</w:t>
      </w:r>
      <w:r w:rsidR="001C61F0" w:rsidRPr="005E0053">
        <w:rPr>
          <w:rFonts w:ascii="Arial" w:hAnsi="Arial" w:cs="Arial"/>
        </w:rPr>
        <w:t>ta on migratory long-term EL</w:t>
      </w:r>
      <w:r w:rsidR="00EF59DB">
        <w:rPr>
          <w:rFonts w:ascii="Arial" w:hAnsi="Arial" w:cs="Arial"/>
        </w:rPr>
        <w:t xml:space="preserve"> </w:t>
      </w:r>
      <w:r w:rsidR="001C61F0" w:rsidRPr="005E0053">
        <w:rPr>
          <w:rFonts w:ascii="Arial" w:hAnsi="Arial" w:cs="Arial"/>
        </w:rPr>
        <w:t>s</w:t>
      </w:r>
      <w:r w:rsidR="00EF59DB">
        <w:rPr>
          <w:rFonts w:ascii="Arial" w:hAnsi="Arial" w:cs="Arial"/>
        </w:rPr>
        <w:t>tudents</w:t>
      </w:r>
      <w:r w:rsidR="001C61F0" w:rsidRPr="005E0053">
        <w:rPr>
          <w:rFonts w:ascii="Arial" w:hAnsi="Arial" w:cs="Arial"/>
        </w:rPr>
        <w:t xml:space="preserve"> are</w:t>
      </w:r>
      <w:r w:rsidRPr="005E0053">
        <w:rPr>
          <w:rFonts w:ascii="Arial" w:hAnsi="Arial" w:cs="Arial"/>
        </w:rPr>
        <w:t xml:space="preserve"> needed to determine where there is an actual need.</w:t>
      </w:r>
    </w:p>
    <w:p w14:paraId="01824805" w14:textId="6A44C441" w:rsidR="008C24F6" w:rsidRPr="005E0053" w:rsidRDefault="008C24F6" w:rsidP="005A4784">
      <w:pPr>
        <w:pStyle w:val="ListParagraph"/>
        <w:numPr>
          <w:ilvl w:val="0"/>
          <w:numId w:val="11"/>
        </w:numPr>
        <w:spacing w:before="240"/>
        <w:contextualSpacing w:val="0"/>
        <w:rPr>
          <w:rFonts w:ascii="Arial" w:hAnsi="Arial" w:cs="Arial"/>
        </w:rPr>
      </w:pPr>
      <w:r w:rsidRPr="005E0053">
        <w:rPr>
          <w:rFonts w:ascii="Arial" w:hAnsi="Arial" w:cs="Arial"/>
        </w:rPr>
        <w:t>Enrichment</w:t>
      </w:r>
      <w:r w:rsidR="00857C19" w:rsidRPr="005E0053">
        <w:rPr>
          <w:rFonts w:ascii="Arial" w:hAnsi="Arial" w:cs="Arial"/>
        </w:rPr>
        <w:t xml:space="preserve"> Services – </w:t>
      </w:r>
      <w:r w:rsidR="00EF59DB">
        <w:rPr>
          <w:rFonts w:ascii="Arial" w:hAnsi="Arial" w:cs="Arial"/>
        </w:rPr>
        <w:t>Committee members</w:t>
      </w:r>
      <w:r w:rsidR="00EF59DB" w:rsidRPr="005E0053">
        <w:rPr>
          <w:rFonts w:ascii="Arial" w:hAnsi="Arial" w:cs="Arial"/>
        </w:rPr>
        <w:t xml:space="preserve"> </w:t>
      </w:r>
      <w:r w:rsidR="00857C19" w:rsidRPr="005E0053">
        <w:rPr>
          <w:rFonts w:ascii="Arial" w:hAnsi="Arial" w:cs="Arial"/>
        </w:rPr>
        <w:t>are concerned that the MEP provides limited options to high school students overall. Credit accrual and recovery services are standard services offered statewide as is Speech and Debate and the Migrant Student Leadership Institute. Many regions afford students the opportunity to participate in science, technology, engineering, and math (STEM) services. Subgrantees should not only offer engaging and rigorous intervention classes, but need to offer enrichment services like STEM</w:t>
      </w:r>
      <w:r w:rsidRPr="005E0053">
        <w:rPr>
          <w:rFonts w:ascii="Arial" w:hAnsi="Arial" w:cs="Arial"/>
        </w:rPr>
        <w:t>, space camp</w:t>
      </w:r>
      <w:r w:rsidR="004C2A0E" w:rsidRPr="005E0053">
        <w:rPr>
          <w:rFonts w:ascii="Arial" w:hAnsi="Arial" w:cs="Arial"/>
        </w:rPr>
        <w:t>,</w:t>
      </w:r>
      <w:r w:rsidRPr="005E0053">
        <w:rPr>
          <w:rFonts w:ascii="Arial" w:hAnsi="Arial" w:cs="Arial"/>
        </w:rPr>
        <w:t xml:space="preserve"> or mentoring services for students who need a positive role model.</w:t>
      </w:r>
    </w:p>
    <w:p w14:paraId="7E118D34" w14:textId="77777777" w:rsidR="00AC7AA1" w:rsidRPr="005E0053" w:rsidRDefault="00A57CCE" w:rsidP="006856D5">
      <w:pPr>
        <w:pStyle w:val="Heading6"/>
      </w:pPr>
      <w:r w:rsidRPr="005E0053">
        <w:t xml:space="preserve">Recommendations for Supporting </w:t>
      </w:r>
      <w:r w:rsidR="00862AE4" w:rsidRPr="005E0053">
        <w:t>Out-of-</w:t>
      </w:r>
      <w:r w:rsidR="00AC7AA1" w:rsidRPr="005E0053">
        <w:t>School Youth</w:t>
      </w:r>
    </w:p>
    <w:p w14:paraId="026301BC" w14:textId="6B29ED9E" w:rsidR="00A57CCE" w:rsidRPr="005E0053" w:rsidRDefault="001C61F0" w:rsidP="005A4784">
      <w:pPr>
        <w:spacing w:before="240" w:after="240"/>
        <w:rPr>
          <w:rFonts w:ascii="Arial" w:hAnsi="Arial" w:cs="Arial"/>
        </w:rPr>
      </w:pPr>
      <w:r w:rsidRPr="005E0053">
        <w:rPr>
          <w:rFonts w:ascii="Arial" w:hAnsi="Arial" w:cs="Arial"/>
        </w:rPr>
        <w:t>OSY are a population of concern since</w:t>
      </w:r>
      <w:r w:rsidR="00A57CCE" w:rsidRPr="005E0053">
        <w:rPr>
          <w:rFonts w:ascii="Arial" w:hAnsi="Arial" w:cs="Arial"/>
        </w:rPr>
        <w:t xml:space="preserve"> they face additional challenges to acquiring an education and becoming gainfully employed as they lack a guardian</w:t>
      </w:r>
      <w:r w:rsidR="00E60A5A" w:rsidRPr="005E0053">
        <w:rPr>
          <w:rFonts w:ascii="Arial" w:hAnsi="Arial" w:cs="Arial"/>
        </w:rPr>
        <w:t xml:space="preserve"> or</w:t>
      </w:r>
      <w:r w:rsidR="00A57CCE" w:rsidRPr="005E0053">
        <w:rPr>
          <w:rFonts w:ascii="Arial" w:hAnsi="Arial" w:cs="Arial"/>
        </w:rPr>
        <w:t xml:space="preserve"> support system. Locating OSY is also a major challenge for the MEP</w:t>
      </w:r>
      <w:r w:rsidRPr="005E0053">
        <w:rPr>
          <w:rFonts w:ascii="Arial" w:hAnsi="Arial" w:cs="Arial"/>
        </w:rPr>
        <w:t xml:space="preserve"> because</w:t>
      </w:r>
      <w:r w:rsidR="00E60A5A" w:rsidRPr="005E0053">
        <w:rPr>
          <w:rFonts w:ascii="Arial" w:hAnsi="Arial" w:cs="Arial"/>
        </w:rPr>
        <w:t xml:space="preserve"> they work long hours and are a highly mobile population with unreliable contact information. Data needs for OSY are included in t</w:t>
      </w:r>
      <w:r w:rsidR="00171580" w:rsidRPr="005E0053">
        <w:rPr>
          <w:rFonts w:ascii="Arial" w:hAnsi="Arial" w:cs="Arial"/>
        </w:rPr>
        <w:t xml:space="preserve">he first part of this section. </w:t>
      </w:r>
      <w:r w:rsidR="00EF59DB">
        <w:rPr>
          <w:rFonts w:ascii="Arial" w:hAnsi="Arial" w:cs="Arial"/>
        </w:rPr>
        <w:t>The CNA/SSDP Committee</w:t>
      </w:r>
      <w:r w:rsidR="00EF59DB" w:rsidRPr="005E0053">
        <w:rPr>
          <w:rFonts w:ascii="Arial" w:hAnsi="Arial" w:cs="Arial"/>
        </w:rPr>
        <w:t xml:space="preserve"> </w:t>
      </w:r>
      <w:r w:rsidR="00E60A5A" w:rsidRPr="005E0053">
        <w:rPr>
          <w:rFonts w:ascii="Arial" w:hAnsi="Arial" w:cs="Arial"/>
        </w:rPr>
        <w:t>suggested the following to increase support of OSY:</w:t>
      </w:r>
    </w:p>
    <w:p w14:paraId="2B463B93" w14:textId="11086DFC" w:rsidR="00E60A5A" w:rsidRPr="005E0053" w:rsidRDefault="00E60A5A" w:rsidP="007D443E">
      <w:pPr>
        <w:pStyle w:val="ListParagraph"/>
        <w:numPr>
          <w:ilvl w:val="0"/>
          <w:numId w:val="23"/>
        </w:numPr>
        <w:rPr>
          <w:rFonts w:ascii="Arial" w:hAnsi="Arial" w:cs="Arial"/>
        </w:rPr>
      </w:pPr>
      <w:r w:rsidRPr="005E0053">
        <w:rPr>
          <w:rFonts w:ascii="Arial" w:hAnsi="Arial" w:cs="Arial"/>
        </w:rPr>
        <w:lastRenderedPageBreak/>
        <w:t>Transportation services – Many OSY do not have access to transportation services; therefore</w:t>
      </w:r>
      <w:r w:rsidR="00EF59DB">
        <w:rPr>
          <w:rFonts w:ascii="Arial" w:hAnsi="Arial" w:cs="Arial"/>
        </w:rPr>
        <w:t>,</w:t>
      </w:r>
      <w:r w:rsidRPr="005E0053">
        <w:rPr>
          <w:rFonts w:ascii="Arial" w:hAnsi="Arial" w:cs="Arial"/>
        </w:rPr>
        <w:t xml:space="preserve"> they are unable to attend services. MEPs should provide access to transportation (e.g., bus and transit passes, carpooling opportunities). </w:t>
      </w:r>
    </w:p>
    <w:p w14:paraId="40684BAC" w14:textId="428DB7D7" w:rsidR="00E60A5A" w:rsidRPr="005E0053" w:rsidRDefault="00E60A5A" w:rsidP="007D443E">
      <w:pPr>
        <w:pStyle w:val="ListParagraph"/>
        <w:numPr>
          <w:ilvl w:val="0"/>
          <w:numId w:val="23"/>
        </w:numPr>
        <w:spacing w:before="240"/>
        <w:contextualSpacing w:val="0"/>
        <w:rPr>
          <w:rFonts w:ascii="Arial" w:hAnsi="Arial" w:cs="Arial"/>
        </w:rPr>
      </w:pPr>
      <w:r w:rsidRPr="005E0053">
        <w:rPr>
          <w:rFonts w:ascii="Arial" w:hAnsi="Arial" w:cs="Arial"/>
        </w:rPr>
        <w:t xml:space="preserve">Life skills – Due to a lack of consistency in reporting “life skills” as a service across regions, </w:t>
      </w:r>
      <w:r w:rsidR="00EF59DB">
        <w:rPr>
          <w:rFonts w:ascii="Arial" w:hAnsi="Arial" w:cs="Arial"/>
        </w:rPr>
        <w:t>committee members</w:t>
      </w:r>
      <w:r w:rsidR="00EF59DB" w:rsidRPr="005E0053">
        <w:rPr>
          <w:rFonts w:ascii="Arial" w:hAnsi="Arial" w:cs="Arial"/>
        </w:rPr>
        <w:t xml:space="preserve"> </w:t>
      </w:r>
      <w:r w:rsidRPr="005E0053">
        <w:rPr>
          <w:rFonts w:ascii="Arial" w:hAnsi="Arial" w:cs="Arial"/>
        </w:rPr>
        <w:t>requested a definition of “life skills” services</w:t>
      </w:r>
      <w:r w:rsidR="002B4A43" w:rsidRPr="005E0053">
        <w:rPr>
          <w:rFonts w:ascii="Arial" w:hAnsi="Arial" w:cs="Arial"/>
        </w:rPr>
        <w:t xml:space="preserve">. The CDE </w:t>
      </w:r>
      <w:r w:rsidR="00330649" w:rsidRPr="005E0053">
        <w:rPr>
          <w:rFonts w:ascii="Arial" w:hAnsi="Arial" w:cs="Arial"/>
        </w:rPr>
        <w:t xml:space="preserve">will provide guidance on life skill services before the implementation of the SSDP. </w:t>
      </w:r>
    </w:p>
    <w:p w14:paraId="7C2BEB15" w14:textId="77777777" w:rsidR="00AC7AA1" w:rsidRPr="005E0053" w:rsidRDefault="009E4270" w:rsidP="006856D5">
      <w:pPr>
        <w:pStyle w:val="Heading6"/>
      </w:pPr>
      <w:r w:rsidRPr="005E0053">
        <w:t xml:space="preserve">Further </w:t>
      </w:r>
      <w:r w:rsidR="00AC7AA1" w:rsidRPr="005E0053">
        <w:t>Student Engagement</w:t>
      </w:r>
      <w:r w:rsidR="00BB4C7C" w:rsidRPr="005E0053">
        <w:t xml:space="preserve"> Opportunities</w:t>
      </w:r>
    </w:p>
    <w:p w14:paraId="3BE69085" w14:textId="15817112" w:rsidR="0055121F" w:rsidRPr="005E0053" w:rsidRDefault="0055121F" w:rsidP="005A4784">
      <w:pPr>
        <w:spacing w:before="240"/>
        <w:rPr>
          <w:rFonts w:ascii="Arial" w:hAnsi="Arial" w:cs="Arial"/>
        </w:rPr>
      </w:pPr>
      <w:r w:rsidRPr="005E0053">
        <w:rPr>
          <w:rFonts w:ascii="Arial" w:hAnsi="Arial" w:cs="Arial"/>
        </w:rPr>
        <w:t>Student engagement increases as students gain confidence, academic</w:t>
      </w:r>
      <w:r w:rsidR="001C61F0" w:rsidRPr="005E0053">
        <w:rPr>
          <w:rFonts w:ascii="Arial" w:hAnsi="Arial" w:cs="Arial"/>
        </w:rPr>
        <w:t>,</w:t>
      </w:r>
      <w:r w:rsidRPr="005E0053">
        <w:rPr>
          <w:rFonts w:ascii="Arial" w:hAnsi="Arial" w:cs="Arial"/>
        </w:rPr>
        <w:t xml:space="preserve"> and social-emotional skills. </w:t>
      </w:r>
      <w:r w:rsidR="008B4755" w:rsidRPr="005E0053">
        <w:rPr>
          <w:rFonts w:ascii="Arial" w:hAnsi="Arial" w:cs="Arial"/>
        </w:rPr>
        <w:t>Offering high-quality, challenging and fun services incentivizes student participation and learning. Cultural</w:t>
      </w:r>
      <w:r w:rsidR="001C61F0" w:rsidRPr="005E0053">
        <w:rPr>
          <w:rFonts w:ascii="Arial" w:hAnsi="Arial" w:cs="Arial"/>
        </w:rPr>
        <w:t>ly</w:t>
      </w:r>
      <w:r w:rsidR="008B4755" w:rsidRPr="005E0053">
        <w:rPr>
          <w:rFonts w:ascii="Arial" w:hAnsi="Arial" w:cs="Arial"/>
        </w:rPr>
        <w:t xml:space="preserve"> competent MEP staff can help increase student engagement and support migratory students’ p</w:t>
      </w:r>
      <w:r w:rsidRPr="005E0053">
        <w:rPr>
          <w:rFonts w:ascii="Arial" w:hAnsi="Arial" w:cs="Arial"/>
        </w:rPr>
        <w:t>ride in one’</w:t>
      </w:r>
      <w:r w:rsidR="008B4755" w:rsidRPr="005E0053">
        <w:rPr>
          <w:rFonts w:ascii="Arial" w:hAnsi="Arial" w:cs="Arial"/>
        </w:rPr>
        <w:t>s self and culture.</w:t>
      </w:r>
      <w:r w:rsidR="00071F66" w:rsidRPr="005E0053">
        <w:rPr>
          <w:rFonts w:ascii="Arial" w:hAnsi="Arial" w:cs="Arial"/>
        </w:rPr>
        <w:t xml:space="preserve"> Increasing student engagement through building relationships with students and parents, establishing a sense of belonging and offering interactive, rigorous services will result in an effective program that makes a dramatic impact on the lives of migratory families. The following considerations for program improvement were identified by the </w:t>
      </w:r>
      <w:r w:rsidR="00EF59DB">
        <w:rPr>
          <w:rFonts w:ascii="Arial" w:hAnsi="Arial" w:cs="Arial"/>
        </w:rPr>
        <w:t>CNA/SSDP</w:t>
      </w:r>
      <w:r w:rsidR="00EF59DB" w:rsidRPr="005E0053">
        <w:rPr>
          <w:rFonts w:ascii="Arial" w:hAnsi="Arial" w:cs="Arial"/>
        </w:rPr>
        <w:t xml:space="preserve"> </w:t>
      </w:r>
      <w:r w:rsidR="00EF59DB">
        <w:rPr>
          <w:rFonts w:ascii="Arial" w:hAnsi="Arial" w:cs="Arial"/>
        </w:rPr>
        <w:t>C</w:t>
      </w:r>
      <w:r w:rsidR="00071F66" w:rsidRPr="005E0053">
        <w:rPr>
          <w:rFonts w:ascii="Arial" w:hAnsi="Arial" w:cs="Arial"/>
        </w:rPr>
        <w:t>ommittee.</w:t>
      </w:r>
    </w:p>
    <w:p w14:paraId="17431CF4" w14:textId="7E0E4D22" w:rsidR="008B4755" w:rsidRPr="005E0053" w:rsidRDefault="00071F66" w:rsidP="005A4784">
      <w:pPr>
        <w:spacing w:before="240" w:after="240"/>
        <w:rPr>
          <w:rFonts w:ascii="Arial" w:hAnsi="Arial" w:cs="Arial"/>
        </w:rPr>
      </w:pPr>
      <w:r w:rsidRPr="005E0053">
        <w:rPr>
          <w:rFonts w:ascii="Arial" w:hAnsi="Arial" w:cs="Arial"/>
        </w:rPr>
        <w:t xml:space="preserve">Although </w:t>
      </w:r>
      <w:r w:rsidR="00A35F85" w:rsidRPr="005E0053">
        <w:rPr>
          <w:rFonts w:ascii="Arial" w:hAnsi="Arial" w:cs="Arial"/>
        </w:rPr>
        <w:t>in 2015–16, the graduation rate was 82 percent</w:t>
      </w:r>
      <w:r w:rsidR="008B4755" w:rsidRPr="005E0053">
        <w:rPr>
          <w:rFonts w:ascii="Arial" w:hAnsi="Arial" w:cs="Arial"/>
        </w:rPr>
        <w:t xml:space="preserve">, </w:t>
      </w:r>
      <w:r w:rsidR="00EF59DB">
        <w:rPr>
          <w:rFonts w:ascii="Arial" w:hAnsi="Arial" w:cs="Arial"/>
        </w:rPr>
        <w:t>committee members</w:t>
      </w:r>
      <w:r w:rsidR="00EF59DB" w:rsidRPr="005E0053">
        <w:rPr>
          <w:rFonts w:ascii="Arial" w:hAnsi="Arial" w:cs="Arial"/>
        </w:rPr>
        <w:t xml:space="preserve"> </w:t>
      </w:r>
      <w:r w:rsidRPr="005E0053">
        <w:rPr>
          <w:rFonts w:ascii="Arial" w:hAnsi="Arial" w:cs="Arial"/>
        </w:rPr>
        <w:t>felt that graduates</w:t>
      </w:r>
      <w:r w:rsidR="008B4755" w:rsidRPr="005E0053">
        <w:rPr>
          <w:rFonts w:ascii="Arial" w:hAnsi="Arial" w:cs="Arial"/>
        </w:rPr>
        <w:t xml:space="preserve"> are not sufficiently college and career ready with the appropriate social-emotional and academic skills.</w:t>
      </w:r>
      <w:r w:rsidRPr="005E0053">
        <w:rPr>
          <w:rFonts w:ascii="Arial" w:hAnsi="Arial" w:cs="Arial"/>
        </w:rPr>
        <w:t xml:space="preserve"> Similarly, </w:t>
      </w:r>
      <w:r w:rsidR="00EF59DB">
        <w:rPr>
          <w:rFonts w:ascii="Arial" w:hAnsi="Arial" w:cs="Arial"/>
        </w:rPr>
        <w:t>committee members</w:t>
      </w:r>
      <w:r w:rsidR="00EF59DB" w:rsidRPr="005E0053">
        <w:rPr>
          <w:rFonts w:ascii="Arial" w:hAnsi="Arial" w:cs="Arial"/>
        </w:rPr>
        <w:t xml:space="preserve"> </w:t>
      </w:r>
      <w:r w:rsidRPr="005E0053">
        <w:rPr>
          <w:rFonts w:ascii="Arial" w:hAnsi="Arial" w:cs="Arial"/>
        </w:rPr>
        <w:t>believe there is room to improve access to high-quality academic content, targeted/individualized instruction</w:t>
      </w:r>
      <w:r w:rsidR="001C61F0" w:rsidRPr="005E0053">
        <w:rPr>
          <w:rFonts w:ascii="Arial" w:hAnsi="Arial" w:cs="Arial"/>
        </w:rPr>
        <w:t>,</w:t>
      </w:r>
      <w:r w:rsidRPr="005E0053">
        <w:rPr>
          <w:rFonts w:ascii="Arial" w:hAnsi="Arial" w:cs="Arial"/>
        </w:rPr>
        <w:t xml:space="preserve"> and multicultural competent teachers and administrators. Subgrantees should consider the following actions:</w:t>
      </w:r>
    </w:p>
    <w:p w14:paraId="04BA7FEE" w14:textId="77777777" w:rsidR="00071F66" w:rsidRPr="005E0053" w:rsidRDefault="00071F66" w:rsidP="007D443E">
      <w:pPr>
        <w:pStyle w:val="ListParagraph"/>
        <w:numPr>
          <w:ilvl w:val="0"/>
          <w:numId w:val="28"/>
        </w:numPr>
        <w:rPr>
          <w:rFonts w:ascii="Arial" w:hAnsi="Arial" w:cs="Arial"/>
        </w:rPr>
      </w:pPr>
      <w:r w:rsidRPr="005E0053">
        <w:rPr>
          <w:rFonts w:ascii="Arial" w:hAnsi="Arial" w:cs="Arial"/>
        </w:rPr>
        <w:t>Acknowledge migratory students</w:t>
      </w:r>
      <w:r w:rsidR="001C61F0" w:rsidRPr="005E0053">
        <w:rPr>
          <w:rFonts w:ascii="Arial" w:hAnsi="Arial" w:cs="Arial"/>
        </w:rPr>
        <w:t>’</w:t>
      </w:r>
      <w:r w:rsidRPr="005E0053">
        <w:rPr>
          <w:rFonts w:ascii="Arial" w:hAnsi="Arial" w:cs="Arial"/>
        </w:rPr>
        <w:t xml:space="preserve"> barriers t</w:t>
      </w:r>
      <w:r w:rsidR="001C61F0" w:rsidRPr="005E0053">
        <w:rPr>
          <w:rFonts w:ascii="Arial" w:hAnsi="Arial" w:cs="Arial"/>
        </w:rPr>
        <w:t>o participation and create</w:t>
      </w:r>
      <w:r w:rsidRPr="005E0053">
        <w:rPr>
          <w:rFonts w:ascii="Arial" w:hAnsi="Arial" w:cs="Arial"/>
        </w:rPr>
        <w:t xml:space="preserve"> a sense of belonging.</w:t>
      </w:r>
    </w:p>
    <w:p w14:paraId="01CA8549" w14:textId="77777777" w:rsidR="00071F66" w:rsidRPr="005E0053" w:rsidRDefault="001C61F0" w:rsidP="007D443E">
      <w:pPr>
        <w:pStyle w:val="ListParagraph"/>
        <w:numPr>
          <w:ilvl w:val="0"/>
          <w:numId w:val="28"/>
        </w:numPr>
        <w:spacing w:before="240" w:after="240"/>
        <w:contextualSpacing w:val="0"/>
        <w:rPr>
          <w:rFonts w:ascii="Arial" w:hAnsi="Arial" w:cs="Arial"/>
        </w:rPr>
      </w:pPr>
      <w:r w:rsidRPr="005E0053">
        <w:rPr>
          <w:rFonts w:ascii="Arial" w:hAnsi="Arial" w:cs="Arial"/>
        </w:rPr>
        <w:t>Provide</w:t>
      </w:r>
      <w:r w:rsidR="00071F66" w:rsidRPr="005E0053">
        <w:rPr>
          <w:rFonts w:ascii="Arial" w:hAnsi="Arial" w:cs="Arial"/>
        </w:rPr>
        <w:t xml:space="preserve"> training to parents on how they influence student engagement. </w:t>
      </w:r>
    </w:p>
    <w:p w14:paraId="5168015C" w14:textId="77777777" w:rsidR="001C61F0" w:rsidRPr="005E0053" w:rsidRDefault="00071F66" w:rsidP="007D443E">
      <w:pPr>
        <w:pStyle w:val="ListParagraph"/>
        <w:numPr>
          <w:ilvl w:val="0"/>
          <w:numId w:val="28"/>
        </w:numPr>
        <w:spacing w:after="240"/>
        <w:contextualSpacing w:val="0"/>
        <w:rPr>
          <w:rFonts w:ascii="Arial" w:hAnsi="Arial" w:cs="Arial"/>
        </w:rPr>
      </w:pPr>
      <w:r w:rsidRPr="005E0053">
        <w:rPr>
          <w:rFonts w:ascii="Arial" w:hAnsi="Arial" w:cs="Arial"/>
        </w:rPr>
        <w:t>Provide professional development</w:t>
      </w:r>
      <w:r w:rsidR="001C61F0" w:rsidRPr="005E0053">
        <w:rPr>
          <w:rFonts w:ascii="Arial" w:hAnsi="Arial" w:cs="Arial"/>
        </w:rPr>
        <w:t xml:space="preserve"> to </w:t>
      </w:r>
      <w:r w:rsidR="00791178" w:rsidRPr="005E0053">
        <w:rPr>
          <w:rFonts w:ascii="Arial" w:hAnsi="Arial" w:cs="Arial"/>
        </w:rPr>
        <w:t>all instructional staff, certificated and classified,</w:t>
      </w:r>
      <w:r w:rsidRPr="005E0053">
        <w:rPr>
          <w:rFonts w:ascii="Arial" w:hAnsi="Arial" w:cs="Arial"/>
        </w:rPr>
        <w:t xml:space="preserve"> o</w:t>
      </w:r>
      <w:r w:rsidR="00862AE4" w:rsidRPr="005E0053">
        <w:rPr>
          <w:rFonts w:ascii="Arial" w:hAnsi="Arial" w:cs="Arial"/>
        </w:rPr>
        <w:t>n increasing student engagement</w:t>
      </w:r>
      <w:r w:rsidR="00DB0B5D" w:rsidRPr="005E0053">
        <w:rPr>
          <w:rFonts w:ascii="Arial" w:hAnsi="Arial" w:cs="Arial"/>
        </w:rPr>
        <w:t>. A few strategies include:</w:t>
      </w:r>
    </w:p>
    <w:p w14:paraId="1E08F6F9" w14:textId="77777777" w:rsidR="00071F66" w:rsidRPr="005E0053" w:rsidRDefault="00071F66" w:rsidP="007D443E">
      <w:pPr>
        <w:pStyle w:val="ListParagraph"/>
        <w:numPr>
          <w:ilvl w:val="1"/>
          <w:numId w:val="28"/>
        </w:numPr>
        <w:rPr>
          <w:rFonts w:ascii="Arial" w:hAnsi="Arial" w:cs="Arial"/>
        </w:rPr>
      </w:pPr>
      <w:r w:rsidRPr="005E0053">
        <w:rPr>
          <w:rFonts w:ascii="Arial" w:hAnsi="Arial" w:cs="Arial"/>
        </w:rPr>
        <w:t>Teacher attitude cultivation</w:t>
      </w:r>
    </w:p>
    <w:p w14:paraId="58F7830D" w14:textId="77777777" w:rsidR="00071F66" w:rsidRPr="005E0053" w:rsidRDefault="00071F66" w:rsidP="007D443E">
      <w:pPr>
        <w:pStyle w:val="ListParagraph"/>
        <w:numPr>
          <w:ilvl w:val="1"/>
          <w:numId w:val="28"/>
        </w:numPr>
        <w:rPr>
          <w:rFonts w:ascii="Arial" w:hAnsi="Arial" w:cs="Arial"/>
        </w:rPr>
      </w:pPr>
      <w:r w:rsidRPr="005E0053">
        <w:rPr>
          <w:rFonts w:ascii="Arial" w:hAnsi="Arial" w:cs="Arial"/>
        </w:rPr>
        <w:t>Building the teacher-student relationship</w:t>
      </w:r>
    </w:p>
    <w:p w14:paraId="2A6B6656" w14:textId="77777777" w:rsidR="00071F66" w:rsidRPr="005E0053" w:rsidRDefault="00071F66" w:rsidP="007D443E">
      <w:pPr>
        <w:pStyle w:val="ListParagraph"/>
        <w:numPr>
          <w:ilvl w:val="1"/>
          <w:numId w:val="28"/>
        </w:numPr>
        <w:rPr>
          <w:rFonts w:ascii="Arial" w:hAnsi="Arial" w:cs="Arial"/>
        </w:rPr>
      </w:pPr>
      <w:r w:rsidRPr="005E0053">
        <w:rPr>
          <w:rFonts w:ascii="Arial" w:hAnsi="Arial" w:cs="Arial"/>
        </w:rPr>
        <w:t>Assessing student needs</w:t>
      </w:r>
    </w:p>
    <w:p w14:paraId="7541B832" w14:textId="77777777" w:rsidR="00071F66" w:rsidRPr="005E0053" w:rsidRDefault="00071F66" w:rsidP="007D443E">
      <w:pPr>
        <w:pStyle w:val="ListParagraph"/>
        <w:numPr>
          <w:ilvl w:val="1"/>
          <w:numId w:val="28"/>
        </w:numPr>
        <w:rPr>
          <w:rFonts w:ascii="Arial" w:hAnsi="Arial" w:cs="Arial"/>
        </w:rPr>
      </w:pPr>
      <w:r w:rsidRPr="005E0053">
        <w:rPr>
          <w:rFonts w:ascii="Arial" w:hAnsi="Arial" w:cs="Arial"/>
        </w:rPr>
        <w:t>Monitoring student achievement and providing prompt feedback</w:t>
      </w:r>
    </w:p>
    <w:p w14:paraId="754456E3" w14:textId="77777777" w:rsidR="00071F66" w:rsidRPr="005E0053" w:rsidRDefault="00071F66" w:rsidP="007D443E">
      <w:pPr>
        <w:pStyle w:val="ListParagraph"/>
        <w:numPr>
          <w:ilvl w:val="0"/>
          <w:numId w:val="28"/>
        </w:numPr>
        <w:spacing w:before="240"/>
        <w:contextualSpacing w:val="0"/>
        <w:rPr>
          <w:rFonts w:ascii="Arial" w:hAnsi="Arial" w:cs="Arial"/>
        </w:rPr>
      </w:pPr>
      <w:r w:rsidRPr="005E0053">
        <w:rPr>
          <w:rFonts w:ascii="Arial" w:hAnsi="Arial" w:cs="Arial"/>
        </w:rPr>
        <w:t>Train school site migratory student advocates.</w:t>
      </w:r>
    </w:p>
    <w:p w14:paraId="59C64510" w14:textId="77777777" w:rsidR="00D84B70" w:rsidRPr="005E0053" w:rsidRDefault="00D23418" w:rsidP="006856D5">
      <w:pPr>
        <w:pStyle w:val="Heading6"/>
      </w:pPr>
      <w:r w:rsidRPr="005E0053">
        <w:lastRenderedPageBreak/>
        <w:t>Additional Local Migrant Education Program Considerations</w:t>
      </w:r>
    </w:p>
    <w:p w14:paraId="265467BB" w14:textId="77777777" w:rsidR="00D23418" w:rsidRPr="005E0053" w:rsidRDefault="00D23418" w:rsidP="007D443E">
      <w:pPr>
        <w:pStyle w:val="ListParagraph"/>
        <w:numPr>
          <w:ilvl w:val="0"/>
          <w:numId w:val="29"/>
        </w:numPr>
        <w:spacing w:before="240" w:after="240"/>
        <w:contextualSpacing w:val="0"/>
        <w:rPr>
          <w:rFonts w:ascii="Arial" w:hAnsi="Arial" w:cs="Arial"/>
        </w:rPr>
      </w:pPr>
      <w:r w:rsidRPr="005E0053">
        <w:rPr>
          <w:rFonts w:ascii="Arial" w:hAnsi="Arial" w:cs="Arial"/>
        </w:rPr>
        <w:t>Hire qualified, skillful responsive teachers, kindergarten teachers if possible, for preschool summer programs.</w:t>
      </w:r>
    </w:p>
    <w:p w14:paraId="0F1C4083" w14:textId="05B21BBF"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 xml:space="preserve">Increase program coordination and communication with parents and </w:t>
      </w:r>
      <w:r w:rsidR="00EF59DB">
        <w:rPr>
          <w:rFonts w:ascii="Arial" w:hAnsi="Arial" w:cs="Arial"/>
        </w:rPr>
        <w:t>interested parties</w:t>
      </w:r>
      <w:r w:rsidRPr="005E0053">
        <w:rPr>
          <w:rFonts w:ascii="Arial" w:hAnsi="Arial" w:cs="Arial"/>
        </w:rPr>
        <w:t>.</w:t>
      </w:r>
    </w:p>
    <w:p w14:paraId="49E39152" w14:textId="77777777"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Increase participation in parent trainings/workshops to build capacity and knowledge.</w:t>
      </w:r>
    </w:p>
    <w:p w14:paraId="3A4AC551" w14:textId="77777777"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Improve quality of relationships: teacher-child relationships.</w:t>
      </w:r>
    </w:p>
    <w:p w14:paraId="618075B0" w14:textId="77777777"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Increase access to technology and high-quality bilingual materials.</w:t>
      </w:r>
    </w:p>
    <w:p w14:paraId="182FC2CC" w14:textId="77777777"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Offer family engagement and family biliteracy services.</w:t>
      </w:r>
    </w:p>
    <w:p w14:paraId="7B50C820" w14:textId="77777777"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Provide teachers and staff with professional development and time to collaborate.</w:t>
      </w:r>
    </w:p>
    <w:p w14:paraId="651A606B" w14:textId="77777777"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Address the socio-economic barriers to participation: transportation, child care, nutrition, hours of services that conflict with work hours, coordination with other community services.</w:t>
      </w:r>
    </w:p>
    <w:p w14:paraId="3FF1DF2F" w14:textId="77777777" w:rsidR="00D23418" w:rsidRPr="005E0053" w:rsidRDefault="00D23418" w:rsidP="007D443E">
      <w:pPr>
        <w:pStyle w:val="ListParagraph"/>
        <w:numPr>
          <w:ilvl w:val="0"/>
          <w:numId w:val="29"/>
        </w:numPr>
        <w:spacing w:after="240"/>
        <w:contextualSpacing w:val="0"/>
        <w:rPr>
          <w:rFonts w:ascii="Arial" w:hAnsi="Arial" w:cs="Arial"/>
        </w:rPr>
      </w:pPr>
      <w:r w:rsidRPr="005E0053">
        <w:rPr>
          <w:rFonts w:ascii="Arial" w:hAnsi="Arial" w:cs="Arial"/>
        </w:rPr>
        <w:t>Implement socio-emotional competent strategies.</w:t>
      </w:r>
    </w:p>
    <w:p w14:paraId="3D0BE0A5" w14:textId="77777777" w:rsidR="009E4270" w:rsidRPr="00F62746" w:rsidRDefault="009E4270" w:rsidP="005A4784">
      <w:pPr>
        <w:spacing w:before="240"/>
        <w:rPr>
          <w:rFonts w:ascii="Arial" w:eastAsia="Times New Roman" w:hAnsi="Arial" w:cs="Arial"/>
        </w:rPr>
      </w:pPr>
      <w:r w:rsidRPr="005E0053">
        <w:rPr>
          <w:rFonts w:ascii="Arial" w:hAnsi="Arial" w:cs="Arial"/>
        </w:rPr>
        <w:t>These additional consi</w:t>
      </w:r>
      <w:r w:rsidRPr="00F62746">
        <w:rPr>
          <w:rFonts w:ascii="Arial" w:eastAsia="Times New Roman" w:hAnsi="Arial" w:cs="Arial"/>
        </w:rPr>
        <w:t>derations for program improvement provide further guidance for the MEP subgrantees in the various focus areas.</w:t>
      </w:r>
    </w:p>
    <w:p w14:paraId="0BB5FA3A" w14:textId="77777777" w:rsidR="004F6691" w:rsidRPr="005E0053" w:rsidRDefault="00D23418" w:rsidP="0073568C">
      <w:pPr>
        <w:pStyle w:val="Heading3"/>
      </w:pPr>
      <w:r w:rsidRPr="00F62746">
        <w:rPr>
          <w:rFonts w:cs="Arial"/>
        </w:rPr>
        <w:br w:type="page"/>
      </w:r>
      <w:bookmarkStart w:id="76" w:name="_Toc504520873"/>
      <w:r w:rsidR="00293E5D" w:rsidRPr="005E0053">
        <w:lastRenderedPageBreak/>
        <w:t xml:space="preserve">Section IV: </w:t>
      </w:r>
      <w:r w:rsidR="00AB5388" w:rsidRPr="005E0053">
        <w:t>Priority for Services</w:t>
      </w:r>
      <w:r w:rsidR="004F6691" w:rsidRPr="005E0053">
        <w:t xml:space="preserve"> Students</w:t>
      </w:r>
      <w:bookmarkEnd w:id="76"/>
    </w:p>
    <w:p w14:paraId="5F4D4634" w14:textId="77777777" w:rsidR="006D4E43" w:rsidRPr="005E0053" w:rsidRDefault="000963A5" w:rsidP="00D00F5B">
      <w:pPr>
        <w:contextualSpacing/>
        <w:rPr>
          <w:rFonts w:ascii="Arial" w:hAnsi="Arial" w:cs="Arial"/>
        </w:rPr>
      </w:pPr>
      <w:r w:rsidRPr="005E0053">
        <w:rPr>
          <w:rFonts w:ascii="Arial" w:eastAsia="Times New Roman" w:hAnsi="Arial" w:cs="Arial"/>
        </w:rPr>
        <w:t xml:space="preserve">In accordance with Section 1304 of the ESSA, </w:t>
      </w:r>
      <w:r w:rsidR="002760D7" w:rsidRPr="005E0053">
        <w:rPr>
          <w:rFonts w:ascii="Arial" w:eastAsia="Times New Roman" w:hAnsi="Arial" w:cs="Arial"/>
        </w:rPr>
        <w:t>the CDE created a process to identify and prioritize services for stude</w:t>
      </w:r>
      <w:r w:rsidR="006D7AEF" w:rsidRPr="005E0053">
        <w:rPr>
          <w:rFonts w:ascii="Arial" w:eastAsia="Times New Roman" w:hAnsi="Arial" w:cs="Arial"/>
        </w:rPr>
        <w:t>nts who meet the criteria of Pri</w:t>
      </w:r>
      <w:r w:rsidR="002760D7" w:rsidRPr="005E0053">
        <w:rPr>
          <w:rFonts w:ascii="Arial" w:eastAsia="Times New Roman" w:hAnsi="Arial" w:cs="Arial"/>
        </w:rPr>
        <w:t xml:space="preserve">ority for Services (PFS). </w:t>
      </w:r>
      <w:r w:rsidR="006D7AEF" w:rsidRPr="005E0053">
        <w:rPr>
          <w:rFonts w:ascii="Arial" w:hAnsi="Arial" w:cs="Arial"/>
        </w:rPr>
        <w:t>PFS students are a subpopulation of migratory students who are eligible for services, and who are most mobile and in need of intervention</w:t>
      </w:r>
      <w:r w:rsidR="006D4E43" w:rsidRPr="005E0053">
        <w:rPr>
          <w:rFonts w:ascii="Arial" w:hAnsi="Arial" w:cs="Arial"/>
        </w:rPr>
        <w:t xml:space="preserve">. </w:t>
      </w:r>
      <w:r w:rsidR="006D7AEF" w:rsidRPr="005E0053">
        <w:rPr>
          <w:rFonts w:ascii="Arial" w:hAnsi="Arial" w:cs="Arial"/>
        </w:rPr>
        <w:t xml:space="preserve">According to Section 1304, </w:t>
      </w:r>
      <w:r w:rsidR="00B521B9" w:rsidRPr="005E0053">
        <w:rPr>
          <w:rFonts w:ascii="Arial" w:hAnsi="Arial" w:cs="Arial"/>
        </w:rPr>
        <w:t xml:space="preserve">eligible </w:t>
      </w:r>
      <w:r w:rsidR="006D4E43" w:rsidRPr="005E0053">
        <w:rPr>
          <w:rFonts w:ascii="Arial" w:hAnsi="Arial" w:cs="Arial"/>
        </w:rPr>
        <w:t>migratory students must meet the following requirements</w:t>
      </w:r>
      <w:r w:rsidR="006D7AEF" w:rsidRPr="005E0053">
        <w:rPr>
          <w:rFonts w:ascii="Arial" w:hAnsi="Arial" w:cs="Arial"/>
        </w:rPr>
        <w:t xml:space="preserve"> in order to be considered PFS</w:t>
      </w:r>
      <w:r w:rsidR="006D4E43" w:rsidRPr="005E0053">
        <w:rPr>
          <w:rFonts w:ascii="Arial" w:hAnsi="Arial" w:cs="Arial"/>
        </w:rPr>
        <w:t>:</w:t>
      </w:r>
    </w:p>
    <w:p w14:paraId="328B2F81" w14:textId="77777777" w:rsidR="006D4E43" w:rsidRPr="005E0053" w:rsidRDefault="006D4E43" w:rsidP="005A4784">
      <w:pPr>
        <w:pStyle w:val="ListParagraph"/>
        <w:numPr>
          <w:ilvl w:val="0"/>
          <w:numId w:val="1"/>
        </w:numPr>
        <w:spacing w:before="240" w:after="240"/>
        <w:contextualSpacing w:val="0"/>
        <w:rPr>
          <w:rFonts w:ascii="Arial" w:hAnsi="Arial" w:cs="Arial"/>
        </w:rPr>
      </w:pPr>
      <w:r w:rsidRPr="005E0053">
        <w:rPr>
          <w:rFonts w:ascii="Arial" w:hAnsi="Arial" w:cs="Arial"/>
        </w:rPr>
        <w:t>Made a qualifying move within the previous one-year period, and who—</w:t>
      </w:r>
    </w:p>
    <w:p w14:paraId="20AA2FF2" w14:textId="77777777" w:rsidR="009F33C6" w:rsidRPr="005E0053" w:rsidRDefault="006D4E43" w:rsidP="005A4784">
      <w:pPr>
        <w:pStyle w:val="ListParagraph"/>
        <w:numPr>
          <w:ilvl w:val="1"/>
          <w:numId w:val="1"/>
        </w:numPr>
        <w:spacing w:before="240" w:after="240"/>
        <w:contextualSpacing w:val="0"/>
        <w:rPr>
          <w:rFonts w:ascii="Arial" w:hAnsi="Arial" w:cs="Arial"/>
        </w:rPr>
      </w:pPr>
      <w:r w:rsidRPr="005E0053">
        <w:rPr>
          <w:rFonts w:ascii="Arial" w:hAnsi="Arial" w:cs="Arial"/>
        </w:rPr>
        <w:t>are failing, or most at risk of failing, to meet the challenging State academic standards; or</w:t>
      </w:r>
    </w:p>
    <w:p w14:paraId="3BFE26B7" w14:textId="77777777" w:rsidR="00835BD6" w:rsidRPr="005E0053" w:rsidRDefault="006D4E43" w:rsidP="005A4784">
      <w:pPr>
        <w:pStyle w:val="ListParagraph"/>
        <w:numPr>
          <w:ilvl w:val="1"/>
          <w:numId w:val="1"/>
        </w:numPr>
        <w:spacing w:before="240" w:after="240"/>
        <w:contextualSpacing w:val="0"/>
        <w:rPr>
          <w:rFonts w:ascii="Arial" w:hAnsi="Arial" w:cs="Arial"/>
        </w:rPr>
      </w:pPr>
      <w:r w:rsidRPr="005E0053">
        <w:rPr>
          <w:rFonts w:ascii="Arial" w:hAnsi="Arial" w:cs="Arial"/>
        </w:rPr>
        <w:t>have dropped out of school.</w:t>
      </w:r>
    </w:p>
    <w:p w14:paraId="201FFF1E" w14:textId="77777777" w:rsidR="00835BD6" w:rsidRPr="005E0053" w:rsidRDefault="00246F19" w:rsidP="00246F19">
      <w:pPr>
        <w:rPr>
          <w:rFonts w:ascii="Arial" w:hAnsi="Arial" w:cs="Arial"/>
        </w:rPr>
      </w:pPr>
      <w:r w:rsidRPr="005E0053">
        <w:rPr>
          <w:rFonts w:ascii="Arial" w:hAnsi="Arial" w:cs="Arial"/>
        </w:rPr>
        <w:t xml:space="preserve">In addition to meeting the requirements of the federal classification for PFS, students must also </w:t>
      </w:r>
      <w:r w:rsidR="006D7AEF" w:rsidRPr="005E0053">
        <w:rPr>
          <w:rFonts w:ascii="Arial" w:hAnsi="Arial" w:cs="Arial"/>
        </w:rPr>
        <w:t>meet California’s definition of “failing, or most at risk of failing.” Migratory students who meet the federal requirements and who f</w:t>
      </w:r>
      <w:r w:rsidR="00E9366C" w:rsidRPr="005E0053">
        <w:rPr>
          <w:rFonts w:ascii="Arial" w:hAnsi="Arial" w:cs="Arial"/>
        </w:rPr>
        <w:t xml:space="preserve">all short of proficiency on the </w:t>
      </w:r>
      <w:r w:rsidR="00B978C7" w:rsidRPr="005E0053">
        <w:rPr>
          <w:rFonts w:ascii="Arial" w:hAnsi="Arial" w:cs="Arial"/>
        </w:rPr>
        <w:t>CAASPP Smarter Balanced Assessments</w:t>
      </w:r>
      <w:r w:rsidR="0018723F" w:rsidRPr="005E0053">
        <w:rPr>
          <w:rFonts w:ascii="Arial" w:hAnsi="Arial" w:cs="Arial"/>
        </w:rPr>
        <w:t xml:space="preserve"> or the California English Language Development Test (CELDT)</w:t>
      </w:r>
      <w:r w:rsidR="006D7AEF" w:rsidRPr="005E0053">
        <w:rPr>
          <w:rFonts w:ascii="Arial" w:hAnsi="Arial" w:cs="Arial"/>
        </w:rPr>
        <w:t xml:space="preserve"> are considered PFS students</w:t>
      </w:r>
      <w:r w:rsidRPr="005E0053">
        <w:rPr>
          <w:rFonts w:ascii="Arial" w:hAnsi="Arial" w:cs="Arial"/>
        </w:rPr>
        <w:t>.</w:t>
      </w:r>
      <w:r w:rsidR="0018723F" w:rsidRPr="005E0053">
        <w:rPr>
          <w:rStyle w:val="FootnoteReference"/>
          <w:rFonts w:ascii="Arial" w:hAnsi="Arial" w:cs="Arial"/>
        </w:rPr>
        <w:footnoteReference w:id="39"/>
      </w:r>
      <w:r w:rsidRPr="005E0053">
        <w:rPr>
          <w:rFonts w:ascii="Arial" w:hAnsi="Arial" w:cs="Arial"/>
        </w:rPr>
        <w:t xml:space="preserve"> </w:t>
      </w:r>
      <w:r w:rsidR="006F0C1A" w:rsidRPr="005E0053">
        <w:rPr>
          <w:rFonts w:ascii="Arial" w:hAnsi="Arial" w:cs="Arial"/>
        </w:rPr>
        <w:t>The CDE defines “failing, or most at risk of failing” as:</w:t>
      </w:r>
    </w:p>
    <w:p w14:paraId="068AE410" w14:textId="77777777" w:rsidR="006F0C1A" w:rsidRPr="005E0053" w:rsidRDefault="006A7A96" w:rsidP="005A4784">
      <w:pPr>
        <w:pStyle w:val="ListParagraph"/>
        <w:numPr>
          <w:ilvl w:val="0"/>
          <w:numId w:val="1"/>
        </w:numPr>
        <w:spacing w:before="240" w:after="240"/>
        <w:contextualSpacing w:val="0"/>
        <w:rPr>
          <w:rFonts w:ascii="Arial" w:hAnsi="Arial" w:cs="Arial"/>
        </w:rPr>
      </w:pPr>
      <w:r w:rsidRPr="005E0053">
        <w:rPr>
          <w:rFonts w:ascii="Arial" w:hAnsi="Arial" w:cs="Arial"/>
        </w:rPr>
        <w:t>Scoring at Level 1</w:t>
      </w:r>
      <w:r w:rsidR="00827A62" w:rsidRPr="005E0053">
        <w:rPr>
          <w:rFonts w:ascii="Arial" w:hAnsi="Arial" w:cs="Arial"/>
        </w:rPr>
        <w:t xml:space="preserve"> – Standard Not Met</w:t>
      </w:r>
      <w:r w:rsidRPr="005E0053">
        <w:rPr>
          <w:rFonts w:ascii="Arial" w:hAnsi="Arial" w:cs="Arial"/>
        </w:rPr>
        <w:t xml:space="preserve"> or Level 2</w:t>
      </w:r>
      <w:r w:rsidR="00827A62" w:rsidRPr="005E0053">
        <w:rPr>
          <w:rFonts w:ascii="Arial" w:hAnsi="Arial" w:cs="Arial"/>
        </w:rPr>
        <w:t xml:space="preserve"> –</w:t>
      </w:r>
      <w:r w:rsidR="009665DD" w:rsidRPr="005E0053">
        <w:rPr>
          <w:rFonts w:ascii="Arial" w:hAnsi="Arial" w:cs="Arial"/>
        </w:rPr>
        <w:t xml:space="preserve"> Standard Nearly Met on</w:t>
      </w:r>
      <w:r w:rsidR="00827A62" w:rsidRPr="005E0053">
        <w:rPr>
          <w:rFonts w:ascii="Arial" w:hAnsi="Arial" w:cs="Arial"/>
        </w:rPr>
        <w:t xml:space="preserve"> ELA </w:t>
      </w:r>
      <w:r w:rsidR="009665DD" w:rsidRPr="005E0053">
        <w:rPr>
          <w:rFonts w:ascii="Arial" w:hAnsi="Arial" w:cs="Arial"/>
        </w:rPr>
        <w:t>and/</w:t>
      </w:r>
      <w:r w:rsidR="00827A62" w:rsidRPr="005E0053">
        <w:rPr>
          <w:rFonts w:ascii="Arial" w:hAnsi="Arial" w:cs="Arial"/>
        </w:rPr>
        <w:t>or math achievement</w:t>
      </w:r>
      <w:r w:rsidR="009665DD" w:rsidRPr="005E0053">
        <w:rPr>
          <w:rFonts w:ascii="Arial" w:hAnsi="Arial" w:cs="Arial"/>
        </w:rPr>
        <w:t xml:space="preserve"> on California’s Smarter Balanced Summative Assessments</w:t>
      </w:r>
      <w:r w:rsidR="00827A62" w:rsidRPr="005E0053">
        <w:rPr>
          <w:rFonts w:ascii="Arial" w:hAnsi="Arial" w:cs="Arial"/>
        </w:rPr>
        <w:t>, or</w:t>
      </w:r>
    </w:p>
    <w:p w14:paraId="195BFC34" w14:textId="77777777" w:rsidR="008A6927" w:rsidRPr="005E0053" w:rsidRDefault="008A6927" w:rsidP="005A4784">
      <w:pPr>
        <w:pStyle w:val="ListParagraph"/>
        <w:numPr>
          <w:ilvl w:val="0"/>
          <w:numId w:val="1"/>
        </w:numPr>
        <w:spacing w:before="240" w:after="240"/>
        <w:contextualSpacing w:val="0"/>
        <w:rPr>
          <w:rFonts w:ascii="Arial" w:hAnsi="Arial" w:cs="Arial"/>
        </w:rPr>
      </w:pPr>
      <w:r w:rsidRPr="005E0053">
        <w:rPr>
          <w:rFonts w:ascii="Arial" w:hAnsi="Arial" w:cs="Arial"/>
        </w:rPr>
        <w:t>Scoring at Level 1–3 on the CELDT or ELPAC.</w:t>
      </w:r>
    </w:p>
    <w:p w14:paraId="78E707D1" w14:textId="77777777" w:rsidR="00D00F5B" w:rsidRPr="005E0053" w:rsidRDefault="00D00F5B" w:rsidP="00DF455D">
      <w:pPr>
        <w:contextualSpacing/>
        <w:rPr>
          <w:rFonts w:ascii="Arial" w:eastAsia="Times New Roman" w:hAnsi="Arial" w:cs="Arial"/>
        </w:rPr>
      </w:pPr>
      <w:r w:rsidRPr="005E0053">
        <w:rPr>
          <w:rFonts w:ascii="Arial" w:eastAsia="Times New Roman" w:hAnsi="Arial" w:cs="Arial"/>
        </w:rPr>
        <w:t xml:space="preserve">Identifying migratory children as PFS </w:t>
      </w:r>
      <w:r w:rsidR="00827A62" w:rsidRPr="005E0053">
        <w:rPr>
          <w:rFonts w:ascii="Arial" w:eastAsia="Times New Roman" w:hAnsi="Arial" w:cs="Arial"/>
        </w:rPr>
        <w:t>happens in real time through California’s</w:t>
      </w:r>
      <w:r w:rsidRPr="005E0053">
        <w:rPr>
          <w:rFonts w:ascii="Arial" w:eastAsia="Times New Roman" w:hAnsi="Arial" w:cs="Arial"/>
        </w:rPr>
        <w:t xml:space="preserve"> MSIN 6.0 system. </w:t>
      </w:r>
      <w:r w:rsidR="00B521B9" w:rsidRPr="005E0053">
        <w:rPr>
          <w:rFonts w:ascii="Arial" w:eastAsia="Times New Roman" w:hAnsi="Arial" w:cs="Arial"/>
        </w:rPr>
        <w:t>Migratory children</w:t>
      </w:r>
      <w:r w:rsidR="00DB0B5D" w:rsidRPr="005E0053">
        <w:rPr>
          <w:rFonts w:ascii="Arial" w:eastAsia="Times New Roman" w:hAnsi="Arial" w:cs="Arial"/>
        </w:rPr>
        <w:t xml:space="preserve"> and students</w:t>
      </w:r>
      <w:r w:rsidR="00B521B9" w:rsidRPr="005E0053">
        <w:rPr>
          <w:rFonts w:ascii="Arial" w:eastAsia="Times New Roman" w:hAnsi="Arial" w:cs="Arial"/>
        </w:rPr>
        <w:t xml:space="preserve"> will be evaluated using the state's criteria as soon as the county office of education documenting the move during the Performance Period is verified; subgrantees will be notified within 24 hours of the determination; and children </w:t>
      </w:r>
      <w:r w:rsidR="00DB0B5D" w:rsidRPr="005E0053">
        <w:rPr>
          <w:rFonts w:ascii="Arial" w:eastAsia="Times New Roman" w:hAnsi="Arial" w:cs="Arial"/>
        </w:rPr>
        <w:t xml:space="preserve">and students </w:t>
      </w:r>
      <w:r w:rsidR="00B521B9" w:rsidRPr="005E0053">
        <w:rPr>
          <w:rFonts w:ascii="Arial" w:eastAsia="Times New Roman" w:hAnsi="Arial" w:cs="Arial"/>
        </w:rPr>
        <w:t>identified as PFS will be monitored to ensure services are delivered.</w:t>
      </w:r>
      <w:r w:rsidR="00D36497" w:rsidRPr="005E0053">
        <w:rPr>
          <w:rFonts w:ascii="Arial" w:eastAsia="Times New Roman" w:hAnsi="Arial" w:cs="Arial"/>
        </w:rPr>
        <w:t xml:space="preserve"> </w:t>
      </w:r>
      <w:r w:rsidRPr="005E0053">
        <w:rPr>
          <w:rFonts w:ascii="Arial" w:eastAsia="Times New Roman" w:hAnsi="Arial" w:cs="Arial"/>
        </w:rPr>
        <w:t xml:space="preserve">All of the data required to make the PFS determination (based on moves and assessment scores or enrollment) </w:t>
      </w:r>
      <w:r w:rsidR="00B521B9" w:rsidRPr="005E0053">
        <w:rPr>
          <w:rFonts w:ascii="Arial" w:eastAsia="Times New Roman" w:hAnsi="Arial" w:cs="Arial"/>
        </w:rPr>
        <w:t>are</w:t>
      </w:r>
      <w:r w:rsidRPr="005E0053">
        <w:rPr>
          <w:rFonts w:ascii="Arial" w:eastAsia="Times New Roman" w:hAnsi="Arial" w:cs="Arial"/>
        </w:rPr>
        <w:t xml:space="preserve"> reported in a single system. If the move is within the regular school year and the child has a Statewide Student Identifier number, then his/her most current state assessment scores can be evaluated to immediately identify him/her as PFS. This immediate identification enables regions to target </w:t>
      </w:r>
      <w:r w:rsidR="00A35F85" w:rsidRPr="005E0053">
        <w:rPr>
          <w:rFonts w:ascii="Arial" w:eastAsia="Times New Roman" w:hAnsi="Arial" w:cs="Arial"/>
        </w:rPr>
        <w:t>s</w:t>
      </w:r>
      <w:r w:rsidRPr="005E0053">
        <w:rPr>
          <w:rFonts w:ascii="Arial" w:eastAsia="Times New Roman" w:hAnsi="Arial" w:cs="Arial"/>
        </w:rPr>
        <w:t xml:space="preserve">ervices sooner, </w:t>
      </w:r>
      <w:r w:rsidRPr="005E0053">
        <w:rPr>
          <w:rFonts w:ascii="Arial" w:eastAsia="Times New Roman" w:hAnsi="Arial" w:cs="Arial"/>
        </w:rPr>
        <w:lastRenderedPageBreak/>
        <w:t>allows for faster reporting to the M</w:t>
      </w:r>
      <w:r w:rsidR="00773107" w:rsidRPr="005E0053">
        <w:rPr>
          <w:rFonts w:ascii="Arial" w:eastAsia="Times New Roman" w:hAnsi="Arial" w:cs="Arial"/>
        </w:rPr>
        <w:t xml:space="preserve">igrant </w:t>
      </w:r>
      <w:r w:rsidRPr="005E0053">
        <w:rPr>
          <w:rFonts w:ascii="Arial" w:eastAsia="Times New Roman" w:hAnsi="Arial" w:cs="Arial"/>
        </w:rPr>
        <w:t>S</w:t>
      </w:r>
      <w:r w:rsidR="00773107" w:rsidRPr="005E0053">
        <w:rPr>
          <w:rFonts w:ascii="Arial" w:eastAsia="Times New Roman" w:hAnsi="Arial" w:cs="Arial"/>
        </w:rPr>
        <w:t xml:space="preserve">tudent </w:t>
      </w:r>
      <w:r w:rsidRPr="005E0053">
        <w:rPr>
          <w:rFonts w:ascii="Arial" w:eastAsia="Times New Roman" w:hAnsi="Arial" w:cs="Arial"/>
        </w:rPr>
        <w:t>I</w:t>
      </w:r>
      <w:r w:rsidR="00773107" w:rsidRPr="005E0053">
        <w:rPr>
          <w:rFonts w:ascii="Arial" w:eastAsia="Times New Roman" w:hAnsi="Arial" w:cs="Arial"/>
        </w:rPr>
        <w:t>nterstate Exchange (MSIX)</w:t>
      </w:r>
      <w:r w:rsidRPr="005E0053">
        <w:rPr>
          <w:rFonts w:ascii="Arial" w:eastAsia="Times New Roman" w:hAnsi="Arial" w:cs="Arial"/>
        </w:rPr>
        <w:t>, and allows for faster EDFacts</w:t>
      </w:r>
      <w:r w:rsidR="00A35F85" w:rsidRPr="005E0053">
        <w:rPr>
          <w:rStyle w:val="FootnoteReference"/>
          <w:rFonts w:ascii="Arial" w:eastAsia="Times New Roman" w:hAnsi="Arial" w:cs="Arial"/>
        </w:rPr>
        <w:footnoteReference w:id="40"/>
      </w:r>
      <w:r w:rsidR="004F20F8" w:rsidRPr="005E0053">
        <w:rPr>
          <w:rFonts w:ascii="Arial" w:eastAsia="Times New Roman" w:hAnsi="Arial" w:cs="Arial"/>
        </w:rPr>
        <w:t xml:space="preserve"> file creation. </w:t>
      </w:r>
    </w:p>
    <w:p w14:paraId="5223CE37" w14:textId="77777777" w:rsidR="004F6691" w:rsidRPr="005E0053" w:rsidRDefault="00286522" w:rsidP="005A4784">
      <w:pPr>
        <w:spacing w:before="240"/>
        <w:rPr>
          <w:rFonts w:ascii="Arial" w:hAnsi="Arial" w:cs="Arial"/>
        </w:rPr>
      </w:pPr>
      <w:r w:rsidRPr="005E0053">
        <w:rPr>
          <w:rFonts w:ascii="Arial" w:hAnsi="Arial" w:cs="Arial"/>
        </w:rPr>
        <w:t>Local MEPs</w:t>
      </w:r>
      <w:r w:rsidR="002C73CF" w:rsidRPr="005E0053">
        <w:rPr>
          <w:rFonts w:ascii="Arial" w:hAnsi="Arial" w:cs="Arial"/>
        </w:rPr>
        <w:t xml:space="preserve"> develop services based on the needs of migratory students with special attention </w:t>
      </w:r>
      <w:r w:rsidR="00B50FE1" w:rsidRPr="005E0053">
        <w:rPr>
          <w:rFonts w:ascii="Arial" w:hAnsi="Arial" w:cs="Arial"/>
        </w:rPr>
        <w:t xml:space="preserve">paid </w:t>
      </w:r>
      <w:r w:rsidR="002C73CF" w:rsidRPr="005E0053">
        <w:rPr>
          <w:rFonts w:ascii="Arial" w:hAnsi="Arial" w:cs="Arial"/>
        </w:rPr>
        <w:t xml:space="preserve">to the needs of migratory PFS students. </w:t>
      </w:r>
      <w:r w:rsidR="00B50FE1" w:rsidRPr="005E0053">
        <w:rPr>
          <w:rFonts w:ascii="Arial" w:hAnsi="Arial" w:cs="Arial"/>
        </w:rPr>
        <w:t>PFS students are prioritized when enrolling migratory students and families in various services. Additionally, subgrantees provide extra support for the PFS students within program services</w:t>
      </w:r>
      <w:r w:rsidR="00CD143F" w:rsidRPr="005E0053">
        <w:rPr>
          <w:rFonts w:ascii="Arial" w:hAnsi="Arial" w:cs="Arial"/>
        </w:rPr>
        <w:t xml:space="preserve"> through targeted intervention, instructional strategies</w:t>
      </w:r>
      <w:r w:rsidR="004F20F8" w:rsidRPr="005E0053">
        <w:rPr>
          <w:rFonts w:ascii="Arial" w:hAnsi="Arial" w:cs="Arial"/>
        </w:rPr>
        <w:t>,</w:t>
      </w:r>
      <w:r w:rsidR="00CD143F" w:rsidRPr="005E0053">
        <w:rPr>
          <w:rFonts w:ascii="Arial" w:hAnsi="Arial" w:cs="Arial"/>
        </w:rPr>
        <w:t xml:space="preserve"> and extra staff support.</w:t>
      </w:r>
      <w:r w:rsidRPr="005E0053">
        <w:rPr>
          <w:rFonts w:ascii="Arial" w:hAnsi="Arial" w:cs="Arial"/>
        </w:rPr>
        <w:t xml:space="preserve"> Realizing that PFS students require additional measures to address PFS students’ needs, local MEPs strive to provide high quality services to all migratory students. </w:t>
      </w:r>
    </w:p>
    <w:p w14:paraId="42AB0665" w14:textId="77777777" w:rsidR="006C504D" w:rsidRPr="005E0053" w:rsidRDefault="00D84B70" w:rsidP="0073568C">
      <w:pPr>
        <w:pStyle w:val="Heading3"/>
      </w:pPr>
      <w:r w:rsidRPr="005E0053">
        <w:rPr>
          <w:rFonts w:cs="Arial"/>
        </w:rPr>
        <w:br w:type="page"/>
      </w:r>
      <w:bookmarkStart w:id="77" w:name="_Toc504520874"/>
      <w:r w:rsidR="00293E5D" w:rsidRPr="005E0053">
        <w:lastRenderedPageBreak/>
        <w:t xml:space="preserve">Section V: </w:t>
      </w:r>
      <w:r w:rsidR="006C504D" w:rsidRPr="005E0053">
        <w:t>Identification and Recruitment Plan</w:t>
      </w:r>
      <w:bookmarkEnd w:id="77"/>
    </w:p>
    <w:p w14:paraId="3621388B" w14:textId="77777777" w:rsidR="006C504D" w:rsidRPr="005E0053" w:rsidRDefault="006C504D" w:rsidP="006C504D">
      <w:pPr>
        <w:autoSpaceDE w:val="0"/>
        <w:autoSpaceDN w:val="0"/>
        <w:adjustRightInd w:val="0"/>
        <w:contextualSpacing/>
        <w:rPr>
          <w:rFonts w:ascii="Arial" w:hAnsi="Arial" w:cs="Arial"/>
        </w:rPr>
      </w:pPr>
      <w:r w:rsidRPr="005E0053">
        <w:rPr>
          <w:rFonts w:ascii="Arial" w:hAnsi="Arial" w:cs="Arial"/>
        </w:rPr>
        <w:t xml:space="preserve">The process of identification and recruitment is a federal program requirement and the responsibility of the State. The regional and district staff performing </w:t>
      </w:r>
      <w:r w:rsidR="004F20F8" w:rsidRPr="005E0053">
        <w:rPr>
          <w:rFonts w:ascii="Arial" w:hAnsi="Arial" w:cs="Arial"/>
        </w:rPr>
        <w:t xml:space="preserve">this function represent the </w:t>
      </w:r>
      <w:r w:rsidRPr="005E0053">
        <w:rPr>
          <w:rFonts w:ascii="Arial" w:hAnsi="Arial" w:cs="Arial"/>
        </w:rPr>
        <w:t>CDE. Only fully trained and authorized personnel are permitted to identify and recruit families and youths for</w:t>
      </w:r>
      <w:r w:rsidR="004F20F8" w:rsidRPr="005E0053">
        <w:rPr>
          <w:rFonts w:ascii="Arial" w:hAnsi="Arial" w:cs="Arial"/>
        </w:rPr>
        <w:t xml:space="preserve"> the MEP</w:t>
      </w:r>
      <w:r w:rsidRPr="005E0053">
        <w:rPr>
          <w:rFonts w:ascii="Arial" w:hAnsi="Arial" w:cs="Arial"/>
        </w:rPr>
        <w:t xml:space="preserve">. A “recruiter” refers to anyone who has been authorized to identify and recruit migrant students, regardless of the official or colloquial title by which he or she operates and any other job duties he or she may be required to perform. </w:t>
      </w:r>
    </w:p>
    <w:p w14:paraId="3382FCE5" w14:textId="77777777" w:rsidR="006C504D" w:rsidRPr="005E0053" w:rsidRDefault="005A4784" w:rsidP="005A4784">
      <w:pPr>
        <w:autoSpaceDE w:val="0"/>
        <w:autoSpaceDN w:val="0"/>
        <w:adjustRightInd w:val="0"/>
        <w:spacing w:before="240"/>
        <w:rPr>
          <w:rFonts w:ascii="Arial" w:hAnsi="Arial" w:cs="Arial"/>
        </w:rPr>
      </w:pPr>
      <w:r w:rsidRPr="005E0053">
        <w:rPr>
          <w:rFonts w:ascii="Arial" w:hAnsi="Arial" w:cs="Arial"/>
        </w:rPr>
        <w:t xml:space="preserve"> </w:t>
      </w:r>
      <w:r w:rsidR="006C504D" w:rsidRPr="005E0053">
        <w:rPr>
          <w:rFonts w:ascii="Arial" w:hAnsi="Arial" w:cs="Arial"/>
        </w:rPr>
        <w:t xml:space="preserve">“Identification” means locating migratory families and youths. “Recruitment” refers to making contact with migratory families and youths and (a) describing MEP services, (b) securing the necessary information to determine eligibility for program services, and (c) recording the basis of eligibility on a Certificate of Eligibility (COE). Successful recruitment results in the enrollment of migratory children or youths in the MEP. </w:t>
      </w:r>
    </w:p>
    <w:p w14:paraId="432CB336" w14:textId="77777777" w:rsidR="006C504D" w:rsidRPr="005E0053" w:rsidRDefault="006C504D" w:rsidP="005A4784">
      <w:pPr>
        <w:autoSpaceDE w:val="0"/>
        <w:autoSpaceDN w:val="0"/>
        <w:adjustRightInd w:val="0"/>
        <w:spacing w:before="240"/>
        <w:rPr>
          <w:rFonts w:ascii="Arial" w:hAnsi="Arial" w:cs="Arial"/>
        </w:rPr>
      </w:pPr>
      <w:r w:rsidRPr="005E0053">
        <w:rPr>
          <w:rFonts w:ascii="Arial" w:hAnsi="Arial" w:cs="Arial"/>
        </w:rPr>
        <w:t>As described earlier in this report, the CDE administers MEP activities through subgrantee regions and districts. To the extent possible, subgrantee regions and districts track the departure as well as the arrival of migratory families and youths in their area. This practice is useful because: (1) it helps CDE plan the program by determining an accurate number of eligible migrant children and youths in the state; (2) it allows the region to notify the receiving site in advance that the migratory child or youth is en route; and (3) it allows the region to identify</w:t>
      </w:r>
      <w:r w:rsidR="00C27EAE" w:rsidRPr="005E0053">
        <w:rPr>
          <w:rFonts w:ascii="Arial" w:hAnsi="Arial" w:cs="Arial"/>
        </w:rPr>
        <w:t xml:space="preserve"> possible PFS</w:t>
      </w:r>
      <w:r w:rsidRPr="005E0053">
        <w:rPr>
          <w:rFonts w:ascii="Arial" w:hAnsi="Arial" w:cs="Arial"/>
        </w:rPr>
        <w:t xml:space="preserve"> students. </w:t>
      </w:r>
    </w:p>
    <w:p w14:paraId="24E3E62D" w14:textId="77777777" w:rsidR="006C504D" w:rsidRPr="005E0053" w:rsidRDefault="006C504D" w:rsidP="005A4784">
      <w:pPr>
        <w:autoSpaceDE w:val="0"/>
        <w:autoSpaceDN w:val="0"/>
        <w:adjustRightInd w:val="0"/>
        <w:spacing w:before="240"/>
        <w:rPr>
          <w:rFonts w:ascii="Arial" w:hAnsi="Arial" w:cs="Arial"/>
        </w:rPr>
      </w:pPr>
      <w:r w:rsidRPr="005E0053">
        <w:rPr>
          <w:rFonts w:ascii="Arial" w:hAnsi="Arial" w:cs="Arial"/>
        </w:rPr>
        <w:t>Because I&amp;R is such an important part of the program, the recruiter plays a vital role. It is the recruiter who identifies potential migratory families and youths through school and community-based recruitment strategies and determines program eligibility. Recruiters obtain data by interviewing the parent or guardian of the child or youth, in cases where the child moves on his or her own. In addition, a recruiter might be assigned by the region or district to work in a single school or multiple school districts. California’s</w:t>
      </w:r>
      <w:r w:rsidRPr="005E0053">
        <w:rPr>
          <w:rFonts w:ascii="Arial" w:hAnsi="Arial" w:cs="Arial"/>
          <w:i/>
        </w:rPr>
        <w:t xml:space="preserve"> MEP I&amp;R Manual</w:t>
      </w:r>
      <w:r w:rsidRPr="005E0053">
        <w:rPr>
          <w:rFonts w:ascii="Arial" w:hAnsi="Arial" w:cs="Arial"/>
        </w:rPr>
        <w:t xml:space="preserve"> outlines the policies and procedures for the identification and recruitment of migrant children as well as the MEP requirements.</w:t>
      </w:r>
    </w:p>
    <w:p w14:paraId="560211BB" w14:textId="77777777" w:rsidR="006C504D" w:rsidRPr="005E0053" w:rsidRDefault="006C504D" w:rsidP="006849D8">
      <w:pPr>
        <w:pStyle w:val="Heading4"/>
      </w:pPr>
      <w:r w:rsidRPr="005E0053">
        <w:t>State and Local Training</w:t>
      </w:r>
    </w:p>
    <w:p w14:paraId="286F146B" w14:textId="77777777" w:rsidR="006C504D" w:rsidRPr="005E0053" w:rsidRDefault="006C504D" w:rsidP="005A4784">
      <w:pPr>
        <w:pStyle w:val="Default"/>
        <w:spacing w:before="240"/>
        <w:rPr>
          <w:rFonts w:ascii="Arial" w:hAnsi="Arial" w:cs="Arial"/>
        </w:rPr>
      </w:pPr>
      <w:r w:rsidRPr="005E0053">
        <w:rPr>
          <w:rFonts w:ascii="Arial" w:hAnsi="Arial" w:cs="Arial"/>
        </w:rPr>
        <w:t xml:space="preserve">To be effective in I&amp;R, a recruiter must become skilled in performing a range of duties and adapting to situations. The CDE requires the subgrantees to ensure that adequate training on child eligibility, COE completion, and I&amp;R procedures is provided for all personnel who are involved in any aspect of the I&amp;R process in their subgrantee areas. Regions and districts must also equip the recruiters with the necessary tools to be successful by: (1) providing qualified trainers, (2) employing a standardized training curriculum, (3) conducting ongoing training and support, and (4) certifying that all recruiters and eligibility reviewers (State Education Agency [SEA] reviewers) have successfully completed local and State I&amp;R trainings. </w:t>
      </w:r>
    </w:p>
    <w:p w14:paraId="486F0C69" w14:textId="77777777" w:rsidR="006C504D" w:rsidRPr="005E0053" w:rsidRDefault="006C504D" w:rsidP="006849D8">
      <w:pPr>
        <w:pStyle w:val="Heading4"/>
      </w:pPr>
      <w:r w:rsidRPr="005E0053">
        <w:lastRenderedPageBreak/>
        <w:t>Local Training</w:t>
      </w:r>
    </w:p>
    <w:p w14:paraId="673BF32E" w14:textId="77777777" w:rsidR="006C504D" w:rsidRPr="005E0053" w:rsidRDefault="006C504D" w:rsidP="005A4784">
      <w:pPr>
        <w:pStyle w:val="Default"/>
        <w:spacing w:before="240"/>
        <w:rPr>
          <w:rFonts w:ascii="Arial" w:hAnsi="Arial" w:cs="Arial"/>
          <w:color w:val="auto"/>
        </w:rPr>
      </w:pPr>
      <w:r w:rsidRPr="005E0053">
        <w:rPr>
          <w:rFonts w:ascii="Arial" w:hAnsi="Arial" w:cs="Arial"/>
          <w:color w:val="auto"/>
        </w:rPr>
        <w:t>The regional and district offices, under the direction of CDE, will be responsible for providing professional development for recruiters at the time of hire, as well as ongoing training for I&amp;R personnel throughout the year. I&amp;R personnel must understand their role, how their job fits within the organization, and where to go when they have questions or problems. Regular, ongoing training for I&amp;R staff is crucial to the success of local and State I&amp;R efforts and to ensure staff understand the regulatory criteria essential to making accurate eligibility determinations. Training is delivered by experienced I&amp;R practitioners approved by the State. The trainers have a thorough knowledge of federal and State policies related to the I&amp;R process, and are thoroughly acquainted with the National I&amp;R Training Curriculum. If a subgrantee does not have a qualified trainer, the local director will contact the CDE to arrange training.</w:t>
      </w:r>
    </w:p>
    <w:p w14:paraId="01ED2027" w14:textId="77777777" w:rsidR="006C504D" w:rsidRPr="005E0053" w:rsidRDefault="006C504D" w:rsidP="005A4784">
      <w:pPr>
        <w:pStyle w:val="Default"/>
        <w:spacing w:before="240" w:after="240"/>
        <w:rPr>
          <w:rFonts w:ascii="Arial" w:hAnsi="Arial" w:cs="Arial"/>
          <w:color w:val="auto"/>
        </w:rPr>
      </w:pPr>
      <w:r w:rsidRPr="005E0053">
        <w:rPr>
          <w:rFonts w:ascii="Arial" w:hAnsi="Arial" w:cs="Arial"/>
          <w:color w:val="auto"/>
        </w:rPr>
        <w:t xml:space="preserve">In California, before a new recruiter recruits independently, he or she shadows a knowledgeable and skillful recruiter during eligibility interviews with migratory families. During this training period, the I&amp;R coordinator/trainer will: (1) check the new recruiter’s understanding for eligibility determinations, (2) pose questions and possible interview/recruitment scenarios, (3) evaluate the level of competency of the new recruiter, and (4) observe the new recruiter conduct an eligibility interview. On an ongoing basis, the I&amp;R coordinator/trainer will also provide opportunities for the new recruiter and other recruitment staff to talk about situations they have encountered and discuss whether particular students are eligible for the MEP. The I&amp;R coordinator/trainer will determine when the recruiter is ready to work without supervision. </w:t>
      </w:r>
    </w:p>
    <w:p w14:paraId="00F735FD" w14:textId="77777777" w:rsidR="006C504D" w:rsidRPr="005E0053" w:rsidRDefault="006C504D" w:rsidP="006C504D">
      <w:pPr>
        <w:pStyle w:val="Default"/>
        <w:rPr>
          <w:rFonts w:ascii="Arial" w:hAnsi="Arial" w:cs="Arial"/>
          <w:color w:val="auto"/>
        </w:rPr>
      </w:pPr>
      <w:r w:rsidRPr="005E0053">
        <w:rPr>
          <w:rFonts w:ascii="Arial" w:hAnsi="Arial" w:cs="Arial"/>
          <w:color w:val="auto"/>
        </w:rPr>
        <w:t>All subgrantees will use the National I&amp;R Training Curriculum as a framework to deliver I&amp;R trainings to recruiters. The CDE recommends tha</w:t>
      </w:r>
      <w:r w:rsidR="004F20F8" w:rsidRPr="005E0053">
        <w:rPr>
          <w:rFonts w:ascii="Arial" w:hAnsi="Arial" w:cs="Arial"/>
          <w:color w:val="auto"/>
        </w:rPr>
        <w:t xml:space="preserve">t training for all I&amp;R staff </w:t>
      </w:r>
      <w:r w:rsidRPr="005E0053">
        <w:rPr>
          <w:rFonts w:ascii="Arial" w:hAnsi="Arial" w:cs="Arial"/>
          <w:color w:val="auto"/>
        </w:rPr>
        <w:t xml:space="preserve">be conducted monthly. The training sessions are to include examples of issues encountered during regional re-interviews, COE reviews, and group discussions. </w:t>
      </w:r>
    </w:p>
    <w:p w14:paraId="26DED8C5" w14:textId="77777777" w:rsidR="006C504D" w:rsidRPr="005E0053" w:rsidRDefault="006C504D" w:rsidP="006849D8">
      <w:pPr>
        <w:pStyle w:val="Heading4"/>
      </w:pPr>
      <w:r w:rsidRPr="005E0053">
        <w:t xml:space="preserve">State Training </w:t>
      </w:r>
    </w:p>
    <w:p w14:paraId="4E2ECE55" w14:textId="77777777" w:rsidR="006C504D" w:rsidRPr="005E0053" w:rsidRDefault="006C504D" w:rsidP="005A4784">
      <w:pPr>
        <w:pStyle w:val="Default"/>
        <w:spacing w:before="240" w:after="240"/>
        <w:rPr>
          <w:rFonts w:ascii="Arial" w:hAnsi="Arial" w:cs="Arial"/>
          <w:bCs/>
          <w:color w:val="auto"/>
        </w:rPr>
      </w:pPr>
      <w:r w:rsidRPr="005E0053">
        <w:rPr>
          <w:rFonts w:ascii="Arial" w:hAnsi="Arial" w:cs="Arial"/>
          <w:bCs/>
          <w:color w:val="auto"/>
        </w:rPr>
        <w:t>In addition to the local subgrantee training each recruiter receives, the CDE offers various trainings to all of the local MEPs:</w:t>
      </w:r>
    </w:p>
    <w:p w14:paraId="74AE7897" w14:textId="77777777" w:rsidR="006C504D" w:rsidRPr="005E0053" w:rsidRDefault="006C504D" w:rsidP="007D443E">
      <w:pPr>
        <w:pStyle w:val="Default"/>
        <w:numPr>
          <w:ilvl w:val="0"/>
          <w:numId w:val="27"/>
        </w:numPr>
        <w:spacing w:after="240"/>
        <w:rPr>
          <w:rFonts w:ascii="Arial" w:hAnsi="Arial" w:cs="Arial"/>
          <w:color w:val="auto"/>
        </w:rPr>
      </w:pPr>
      <w:r w:rsidRPr="005E0053">
        <w:rPr>
          <w:rFonts w:ascii="Arial" w:hAnsi="Arial" w:cs="Arial"/>
          <w:bCs/>
          <w:color w:val="auto"/>
        </w:rPr>
        <w:t xml:space="preserve">SEA Reviewer Trainings </w:t>
      </w:r>
      <w:r w:rsidRPr="005E0053">
        <w:rPr>
          <w:rFonts w:ascii="Arial" w:hAnsi="Arial" w:cs="Arial"/>
          <w:color w:val="auto"/>
        </w:rPr>
        <w:t xml:space="preserve">– All designated SEA reviewers will attend all mandatory training conducted by the State. Every subgrantee will have a qualified representative attend these mandatory trainings. </w:t>
      </w:r>
    </w:p>
    <w:p w14:paraId="64553BFA" w14:textId="77777777" w:rsidR="006C504D" w:rsidRPr="005E0053" w:rsidRDefault="006C504D" w:rsidP="007D443E">
      <w:pPr>
        <w:pStyle w:val="Default"/>
        <w:numPr>
          <w:ilvl w:val="0"/>
          <w:numId w:val="27"/>
        </w:numPr>
        <w:spacing w:after="240"/>
        <w:rPr>
          <w:rFonts w:ascii="Arial" w:hAnsi="Arial" w:cs="Arial"/>
          <w:color w:val="auto"/>
        </w:rPr>
      </w:pPr>
      <w:r w:rsidRPr="005E0053">
        <w:rPr>
          <w:rFonts w:ascii="Arial" w:hAnsi="Arial" w:cs="Arial"/>
          <w:bCs/>
          <w:color w:val="auto"/>
        </w:rPr>
        <w:t xml:space="preserve">Regional I&amp;R Coordinator/Trainer Meetings </w:t>
      </w:r>
      <w:r w:rsidRPr="005E0053">
        <w:rPr>
          <w:rFonts w:ascii="Arial" w:hAnsi="Arial" w:cs="Arial"/>
          <w:color w:val="auto"/>
        </w:rPr>
        <w:t>– The State will schedule remote/virtual meetings with local I&amp;R coordinators to provide updates, guidance, and instructions. At least once per year, the CDE will schedule an in-person meeting with this group to provide support, training</w:t>
      </w:r>
      <w:r w:rsidR="001E5135" w:rsidRPr="005E0053">
        <w:rPr>
          <w:rFonts w:ascii="Arial" w:hAnsi="Arial" w:cs="Arial"/>
          <w:color w:val="auto"/>
        </w:rPr>
        <w:t>,</w:t>
      </w:r>
      <w:r w:rsidRPr="005E0053">
        <w:rPr>
          <w:rFonts w:ascii="Arial" w:hAnsi="Arial" w:cs="Arial"/>
          <w:color w:val="auto"/>
        </w:rPr>
        <w:t xml:space="preserve"> and additional guidance to promote consistency in all I&amp;R activities. </w:t>
      </w:r>
    </w:p>
    <w:p w14:paraId="34EAE13A" w14:textId="77777777" w:rsidR="006C504D" w:rsidRPr="005E0053" w:rsidRDefault="006C504D" w:rsidP="007D443E">
      <w:pPr>
        <w:pStyle w:val="Default"/>
        <w:numPr>
          <w:ilvl w:val="0"/>
          <w:numId w:val="27"/>
        </w:numPr>
        <w:spacing w:after="240"/>
        <w:rPr>
          <w:rFonts w:ascii="Arial" w:hAnsi="Arial" w:cs="Arial"/>
          <w:color w:val="auto"/>
        </w:rPr>
      </w:pPr>
      <w:r w:rsidRPr="005E0053">
        <w:rPr>
          <w:rFonts w:ascii="Arial" w:hAnsi="Arial" w:cs="Arial"/>
          <w:bCs/>
          <w:color w:val="auto"/>
        </w:rPr>
        <w:lastRenderedPageBreak/>
        <w:t>Statewide I&amp;R and Data Training</w:t>
      </w:r>
      <w:r w:rsidRPr="005E0053">
        <w:rPr>
          <w:rFonts w:ascii="Arial" w:hAnsi="Arial" w:cs="Arial"/>
          <w:b/>
          <w:bCs/>
          <w:color w:val="auto"/>
        </w:rPr>
        <w:t xml:space="preserve"> </w:t>
      </w:r>
      <w:r w:rsidRPr="005E0053">
        <w:rPr>
          <w:rFonts w:ascii="Arial" w:hAnsi="Arial" w:cs="Arial"/>
          <w:color w:val="auto"/>
        </w:rPr>
        <w:t xml:space="preserve">– Attendance at the I&amp;R and Data Trainings will be required for all recruiters and SEA reviewers. The CDE will develop the training sessions to address areas of improvement that are revealed from the results of re-interviews, State review of COEs and staff observations. </w:t>
      </w:r>
    </w:p>
    <w:p w14:paraId="31CF4E21" w14:textId="77777777" w:rsidR="006C504D" w:rsidRPr="005E0053" w:rsidRDefault="006C504D" w:rsidP="007D443E">
      <w:pPr>
        <w:pStyle w:val="Default"/>
        <w:numPr>
          <w:ilvl w:val="0"/>
          <w:numId w:val="27"/>
        </w:numPr>
        <w:spacing w:after="240"/>
        <w:rPr>
          <w:rFonts w:ascii="Arial" w:hAnsi="Arial" w:cs="Arial"/>
          <w:color w:val="auto"/>
        </w:rPr>
      </w:pPr>
      <w:r w:rsidRPr="005E0053">
        <w:rPr>
          <w:rFonts w:ascii="Arial" w:hAnsi="Arial" w:cs="Arial"/>
          <w:bCs/>
          <w:color w:val="auto"/>
        </w:rPr>
        <w:t>I&amp;R Webinars</w:t>
      </w:r>
      <w:r w:rsidRPr="005E0053">
        <w:rPr>
          <w:rFonts w:ascii="Arial" w:hAnsi="Arial" w:cs="Arial"/>
          <w:b/>
          <w:bCs/>
          <w:color w:val="auto"/>
        </w:rPr>
        <w:t xml:space="preserve"> </w:t>
      </w:r>
      <w:r w:rsidRPr="005E0053">
        <w:rPr>
          <w:rFonts w:ascii="Arial" w:hAnsi="Arial" w:cs="Arial"/>
          <w:color w:val="auto"/>
        </w:rPr>
        <w:t xml:space="preserve">– At least once per year, the CDE will hold a mandatory training for all recruiters. Various webinars will be offered to accommodate the working schedules of the full-time and part-time recruiters working in the state. The training sessions are archived to remain available to I&amp;R staff who were unable to view them at the time they were presented. Trainings are based on the California </w:t>
      </w:r>
      <w:r w:rsidRPr="005E0053">
        <w:rPr>
          <w:rFonts w:ascii="Arial" w:hAnsi="Arial" w:cs="Arial"/>
          <w:i/>
          <w:color w:val="auto"/>
        </w:rPr>
        <w:t>MEP</w:t>
      </w:r>
      <w:r w:rsidRPr="005E0053">
        <w:rPr>
          <w:rFonts w:ascii="Arial" w:hAnsi="Arial" w:cs="Arial"/>
          <w:color w:val="auto"/>
        </w:rPr>
        <w:t xml:space="preserve"> </w:t>
      </w:r>
      <w:r w:rsidRPr="005E0053">
        <w:rPr>
          <w:rFonts w:ascii="Arial" w:hAnsi="Arial" w:cs="Arial"/>
          <w:i/>
          <w:color w:val="auto"/>
        </w:rPr>
        <w:t xml:space="preserve">I&amp;R Manual </w:t>
      </w:r>
      <w:r w:rsidRPr="005E0053">
        <w:rPr>
          <w:rFonts w:ascii="Arial" w:hAnsi="Arial" w:cs="Arial"/>
          <w:color w:val="auto"/>
        </w:rPr>
        <w:t>and the National I&amp;R Curriculum as well as identified areas of imp</w:t>
      </w:r>
      <w:r w:rsidR="001E5135" w:rsidRPr="005E0053">
        <w:rPr>
          <w:rFonts w:ascii="Arial" w:hAnsi="Arial" w:cs="Arial"/>
          <w:color w:val="auto"/>
        </w:rPr>
        <w:t>rovement that were revealed as a result</w:t>
      </w:r>
      <w:r w:rsidRPr="005E0053">
        <w:rPr>
          <w:rFonts w:ascii="Arial" w:hAnsi="Arial" w:cs="Arial"/>
          <w:color w:val="auto"/>
        </w:rPr>
        <w:t xml:space="preserve"> of re-interviews, State review of COEs, and staff observations. </w:t>
      </w:r>
    </w:p>
    <w:p w14:paraId="78F51C94" w14:textId="77777777" w:rsidR="006C504D" w:rsidRPr="005E0053" w:rsidRDefault="006C504D" w:rsidP="007D443E">
      <w:pPr>
        <w:pStyle w:val="Default"/>
        <w:numPr>
          <w:ilvl w:val="0"/>
          <w:numId w:val="27"/>
        </w:numPr>
        <w:spacing w:after="240"/>
        <w:rPr>
          <w:rFonts w:ascii="Arial" w:hAnsi="Arial" w:cs="Arial"/>
          <w:b/>
          <w:bCs/>
          <w:color w:val="auto"/>
        </w:rPr>
      </w:pPr>
      <w:r w:rsidRPr="005E0053">
        <w:rPr>
          <w:rFonts w:ascii="Arial" w:hAnsi="Arial" w:cs="Arial"/>
          <w:bCs/>
          <w:color w:val="auto"/>
        </w:rPr>
        <w:t>On-site Training for Subgrantee Staff</w:t>
      </w:r>
      <w:r w:rsidRPr="005E0053">
        <w:rPr>
          <w:rFonts w:ascii="Arial" w:hAnsi="Arial" w:cs="Arial"/>
          <w:b/>
          <w:bCs/>
          <w:color w:val="auto"/>
        </w:rPr>
        <w:t xml:space="preserve"> </w:t>
      </w:r>
      <w:r w:rsidRPr="005E0053">
        <w:rPr>
          <w:rFonts w:ascii="Arial" w:hAnsi="Arial" w:cs="Arial"/>
          <w:color w:val="auto"/>
        </w:rPr>
        <w:t xml:space="preserve">– Upon a subgrantee director’s request or as determined by the State, onsite training will be available to train new recruiters or reinforce training in areas of identified weakness. </w:t>
      </w:r>
    </w:p>
    <w:p w14:paraId="6E565CBD" w14:textId="77777777" w:rsidR="006C504D" w:rsidRPr="005E0053" w:rsidRDefault="006C504D" w:rsidP="006849D8">
      <w:pPr>
        <w:pStyle w:val="Heading4"/>
      </w:pPr>
      <w:r w:rsidRPr="005E0053">
        <w:t xml:space="preserve">Quality Control: Process for Resolving Eligibility Questions </w:t>
      </w:r>
    </w:p>
    <w:p w14:paraId="0230ABFC" w14:textId="77777777" w:rsidR="006C504D" w:rsidRPr="005E0053" w:rsidRDefault="006C504D" w:rsidP="005A4784">
      <w:pPr>
        <w:pStyle w:val="Default"/>
        <w:spacing w:before="240" w:after="240"/>
        <w:rPr>
          <w:rFonts w:ascii="Arial" w:hAnsi="Arial" w:cs="Arial"/>
          <w:bCs/>
        </w:rPr>
      </w:pPr>
      <w:r w:rsidRPr="005E0053">
        <w:rPr>
          <w:rFonts w:ascii="Arial" w:hAnsi="Arial" w:cs="Arial"/>
          <w:bCs/>
        </w:rPr>
        <w:t>The CDE’s I&amp;R Quality Control Plan follows federal statute and guidance as well as applicable State guidance. Quality control happens both at the local subgrantee and State levels. At the local level, recruiters are supervised and supported by the I&amp;R coordinator/trainer. Subgrantee I&amp;R coordinators/trainers regularly observe and provide feedback to the recruiter as well as make, at minimum, one annual evaluation/assessment of the recruiter’s overall performance.</w:t>
      </w:r>
    </w:p>
    <w:p w14:paraId="204296A0" w14:textId="77777777" w:rsidR="006C504D" w:rsidRPr="005E0053" w:rsidRDefault="006C504D" w:rsidP="006C504D">
      <w:pPr>
        <w:pStyle w:val="Default"/>
        <w:rPr>
          <w:rFonts w:ascii="Arial" w:hAnsi="Arial" w:cs="Arial"/>
          <w:bCs/>
        </w:rPr>
      </w:pPr>
      <w:r w:rsidRPr="005E0053">
        <w:rPr>
          <w:rFonts w:ascii="Arial" w:hAnsi="Arial" w:cs="Arial"/>
        </w:rPr>
        <w:t xml:space="preserve">Additionally, when a recruiter encounters a situation where the eligibility status of a family is unclear, the recruiter will consult California’s </w:t>
      </w:r>
      <w:r w:rsidRPr="005E0053">
        <w:rPr>
          <w:rFonts w:ascii="Arial" w:hAnsi="Arial" w:cs="Arial"/>
          <w:i/>
        </w:rPr>
        <w:t>MEP I&amp;R Manual.</w:t>
      </w:r>
      <w:r w:rsidRPr="005E0053">
        <w:rPr>
          <w:rFonts w:ascii="Arial" w:hAnsi="Arial" w:cs="Arial"/>
        </w:rPr>
        <w:t xml:space="preserve"> If the answer to the recruiter’s eligibility question is not conclusively answered in the </w:t>
      </w:r>
      <w:r w:rsidRPr="005E0053">
        <w:rPr>
          <w:rFonts w:ascii="Arial" w:hAnsi="Arial" w:cs="Arial"/>
          <w:i/>
        </w:rPr>
        <w:t>Manual</w:t>
      </w:r>
      <w:r w:rsidRPr="005E0053">
        <w:rPr>
          <w:rFonts w:ascii="Arial" w:hAnsi="Arial" w:cs="Arial"/>
        </w:rPr>
        <w:t xml:space="preserve">, the recruiter should consult with his or her </w:t>
      </w:r>
      <w:r w:rsidRPr="005E0053">
        <w:rPr>
          <w:rFonts w:ascii="Arial" w:hAnsi="Arial" w:cs="Arial"/>
          <w:bCs/>
        </w:rPr>
        <w:t xml:space="preserve">I&amp;R coordinator/trainer. </w:t>
      </w:r>
    </w:p>
    <w:p w14:paraId="359934D2" w14:textId="77777777" w:rsidR="006C504D" w:rsidRPr="005E0053" w:rsidRDefault="006C504D" w:rsidP="005A4784">
      <w:pPr>
        <w:pStyle w:val="Default"/>
        <w:spacing w:before="240"/>
        <w:rPr>
          <w:rFonts w:ascii="Arial" w:hAnsi="Arial" w:cs="Arial"/>
          <w:b/>
          <w:bCs/>
        </w:rPr>
      </w:pPr>
      <w:r w:rsidRPr="005E0053">
        <w:rPr>
          <w:rFonts w:ascii="Arial" w:hAnsi="Arial" w:cs="Arial"/>
          <w:bCs/>
        </w:rPr>
        <w:t>If the I&amp;R coordinator/trainer does not have the answer, California has an I&amp;R help desk available through the</w:t>
      </w:r>
      <w:r w:rsidR="001E5135" w:rsidRPr="005E0053">
        <w:rPr>
          <w:rFonts w:ascii="Arial" w:hAnsi="Arial" w:cs="Arial"/>
        </w:rPr>
        <w:t xml:space="preserve"> MSIN</w:t>
      </w:r>
      <w:r w:rsidRPr="005E0053">
        <w:rPr>
          <w:rFonts w:ascii="Arial" w:hAnsi="Arial" w:cs="Arial"/>
        </w:rPr>
        <w:t xml:space="preserve"> statewide database Web site. </w:t>
      </w:r>
      <w:r w:rsidRPr="005E0053">
        <w:rPr>
          <w:rFonts w:ascii="Arial" w:hAnsi="Arial" w:cs="Arial"/>
          <w:color w:val="auto"/>
        </w:rPr>
        <w:t>The coordinator will provide the all relevant facts that would affect the eligibility determination and the number of students whose eligibility would potentially be affected. If the question regarding eligibility cannot be resolved by the help desk, the help desk staff will forward the question to the State. If the question cannot be resolved at the State level, the CDE I&amp;R consultant will submit the question to the feder</w:t>
      </w:r>
      <w:r w:rsidR="00077DE5" w:rsidRPr="005E0053">
        <w:rPr>
          <w:rFonts w:ascii="Arial" w:hAnsi="Arial" w:cs="Arial"/>
          <w:color w:val="auto"/>
        </w:rPr>
        <w:t>al OME</w:t>
      </w:r>
      <w:r w:rsidRPr="005E0053">
        <w:rPr>
          <w:rFonts w:ascii="Arial" w:hAnsi="Arial" w:cs="Arial"/>
          <w:color w:val="auto"/>
        </w:rPr>
        <w:t xml:space="preserve">. Once OME responds, the I&amp;R consultant will provide the response to the subgrantee’s coordinator and the I&amp;R help desk to be archived for future reference. </w:t>
      </w:r>
    </w:p>
    <w:p w14:paraId="518C2BB6" w14:textId="77777777" w:rsidR="006C504D" w:rsidRPr="005E0053" w:rsidRDefault="006C504D" w:rsidP="005A4784">
      <w:pPr>
        <w:pStyle w:val="Default"/>
        <w:spacing w:before="240" w:after="240"/>
        <w:rPr>
          <w:rFonts w:ascii="Arial" w:hAnsi="Arial" w:cs="Arial"/>
          <w:color w:val="auto"/>
        </w:rPr>
      </w:pPr>
      <w:r w:rsidRPr="005E0053">
        <w:rPr>
          <w:rFonts w:ascii="Arial" w:hAnsi="Arial" w:cs="Arial"/>
          <w:color w:val="auto"/>
        </w:rPr>
        <w:t xml:space="preserve">Other methods used by the CDE for ensuring fidelity in qualifying eligible migratory children for services include the federally required annual verification process, statewide re-interviews, and data verification process. Annual verification requires subgrantee </w:t>
      </w:r>
      <w:r w:rsidRPr="005E0053">
        <w:rPr>
          <w:rFonts w:ascii="Arial" w:hAnsi="Arial" w:cs="Arial"/>
          <w:color w:val="auto"/>
        </w:rPr>
        <w:lastRenderedPageBreak/>
        <w:t xml:space="preserve">regions and districts to make contact with all families and youths in their area at least once each year (typically on the anniversary of their qualifying arrival date or during the re-enrollment period) to find out if they are still in the area, have made another qualifying move, or are in need of program services. </w:t>
      </w:r>
    </w:p>
    <w:p w14:paraId="0975D3A4" w14:textId="77777777" w:rsidR="006C504D" w:rsidRPr="005E0053" w:rsidRDefault="006C504D" w:rsidP="006C504D">
      <w:pPr>
        <w:pStyle w:val="Default"/>
        <w:rPr>
          <w:rFonts w:ascii="Arial" w:hAnsi="Arial" w:cs="Arial"/>
          <w:color w:val="auto"/>
        </w:rPr>
      </w:pPr>
      <w:r w:rsidRPr="005E0053">
        <w:rPr>
          <w:rFonts w:ascii="Arial" w:hAnsi="Arial" w:cs="Arial"/>
          <w:color w:val="auto"/>
        </w:rPr>
        <w:t xml:space="preserve">At the State level, </w:t>
      </w:r>
      <w:r w:rsidRPr="005E0053">
        <w:rPr>
          <w:rFonts w:ascii="Arial" w:hAnsi="Arial" w:cs="Arial"/>
        </w:rPr>
        <w:t>the CDE conducts data validation monito</w:t>
      </w:r>
      <w:r w:rsidR="00077DE5" w:rsidRPr="005E0053">
        <w:rPr>
          <w:rFonts w:ascii="Arial" w:hAnsi="Arial" w:cs="Arial"/>
        </w:rPr>
        <w:t>ring to verify that MSIN data are</w:t>
      </w:r>
      <w:r w:rsidRPr="005E0053">
        <w:rPr>
          <w:rFonts w:ascii="Arial" w:hAnsi="Arial" w:cs="Arial"/>
        </w:rPr>
        <w:t xml:space="preserve"> correct. At the same time, the CDE conducts a quality review of COEs to verify eligibility.</w:t>
      </w:r>
      <w:r w:rsidRPr="005E0053">
        <w:rPr>
          <w:rFonts w:ascii="Arial" w:hAnsi="Arial" w:cs="Arial"/>
          <w:color w:val="auto"/>
        </w:rPr>
        <w:t xml:space="preserve"> When the data ve</w:t>
      </w:r>
      <w:r w:rsidR="00077DE5" w:rsidRPr="005E0053">
        <w:rPr>
          <w:rFonts w:ascii="Arial" w:hAnsi="Arial" w:cs="Arial"/>
          <w:color w:val="auto"/>
        </w:rPr>
        <w:t>rification and quality review are</w:t>
      </w:r>
      <w:r w:rsidRPr="005E0053">
        <w:rPr>
          <w:rFonts w:ascii="Arial" w:hAnsi="Arial" w:cs="Arial"/>
          <w:color w:val="auto"/>
        </w:rPr>
        <w:t xml:space="preserve"> completed, the CDE I&amp;R consultant notifies the subgrantee of the results of the review and explains the basis for any concerns, questions or ineligibility determinations. Any students who are determined to be ineligible through this review are removed from the COE or the COE is marked for deletion, whichever action is appropriate. </w:t>
      </w:r>
      <w:r w:rsidRPr="005E0053">
        <w:rPr>
          <w:rFonts w:ascii="Arial" w:hAnsi="Arial" w:cs="Arial"/>
        </w:rPr>
        <w:t>The results of the quality review are compiled into quarterly monitoring logs that list the number and types of errors/discrepancies within each section of the COE and the actions taken. These quarterly reports are shared by e-mail with the subgrantee MEP offices to assist them in planning local trainings.</w:t>
      </w:r>
    </w:p>
    <w:p w14:paraId="0844EAFC" w14:textId="77777777" w:rsidR="006C504D" w:rsidRPr="005E0053" w:rsidRDefault="006C504D" w:rsidP="005A4784">
      <w:pPr>
        <w:pStyle w:val="Default"/>
        <w:spacing w:before="240" w:after="240"/>
        <w:rPr>
          <w:rFonts w:ascii="Arial" w:hAnsi="Arial" w:cs="Arial"/>
        </w:rPr>
      </w:pPr>
      <w:r w:rsidRPr="005E0053">
        <w:rPr>
          <w:rFonts w:ascii="Arial" w:hAnsi="Arial" w:cs="Arial"/>
        </w:rPr>
        <w:t>Federal regulations require that all state MEPs annually conduct statewide re-interviews. Conducting re-interviews makes it possible for a state to identify problems early on so that the problems can be corrected. The results of the statewide re-interviews are compiled into a MEP re-interview report. In California, this activity is conducted quarterly with families that have a COE with a qualifying move during the current reporting period as soon as possible after recruiters complete the COEs. The CDE uses the re-interview report for submission of the annual student counts to the federal government.</w:t>
      </w:r>
    </w:p>
    <w:p w14:paraId="1DA3C837" w14:textId="2F44BACD" w:rsidR="00976DBD" w:rsidRPr="005E0053" w:rsidRDefault="006C504D" w:rsidP="00976DBD">
      <w:pPr>
        <w:pStyle w:val="Default"/>
        <w:spacing w:after="240"/>
        <w:rPr>
          <w:rFonts w:ascii="Arial" w:hAnsi="Arial" w:cs="Arial"/>
        </w:rPr>
      </w:pPr>
      <w:r w:rsidRPr="005E0053">
        <w:rPr>
          <w:rFonts w:ascii="Arial" w:hAnsi="Arial" w:cs="Arial"/>
        </w:rPr>
        <w:t xml:space="preserve">The CDE also uses the statewide re-interview report to identify subgrantees with the highest discrepancy rates for participation in the State’s corrective action process. The purpose of this process is to identify causes of discrepancies or errors in COEs and to develop resolution </w:t>
      </w:r>
      <w:r w:rsidRPr="005E0053">
        <w:rPr>
          <w:rFonts w:ascii="Arial" w:hAnsi="Arial" w:cs="Arial"/>
          <w:color w:val="auto"/>
        </w:rPr>
        <w:t xml:space="preserve">strategies to assist subgrantees in reducing deficiency rates and implementing sound, sustained I&amp;R practices to prevent future errors in eligibility determinations. </w:t>
      </w:r>
      <w:r w:rsidRPr="005E0053">
        <w:rPr>
          <w:rFonts w:ascii="Arial" w:hAnsi="Arial" w:cs="Arial"/>
        </w:rPr>
        <w:t>In the corrective action process, the CDE schedules quarterly status meetings with selected subgrantees to assess progress. When a subgrantee demonstrates that the problems have been resolved as evidenced by the elimination of discrepancies, the CDE I&amp;R consultant will inform the subgrantee of the end of the corrective action process.</w:t>
      </w:r>
    </w:p>
    <w:p w14:paraId="70DED659" w14:textId="77777777" w:rsidR="004F6691" w:rsidRPr="005E0053" w:rsidRDefault="00293E5D" w:rsidP="006856D5">
      <w:pPr>
        <w:pStyle w:val="Heading3"/>
      </w:pPr>
      <w:bookmarkStart w:id="78" w:name="_Toc504520875"/>
      <w:r w:rsidRPr="005E0053">
        <w:t xml:space="preserve">Section VI: </w:t>
      </w:r>
      <w:r w:rsidR="004F6691" w:rsidRPr="005E0053">
        <w:t>Parent Involvement Plan</w:t>
      </w:r>
      <w:bookmarkEnd w:id="78"/>
    </w:p>
    <w:p w14:paraId="2FD1F990" w14:textId="1CDF34BF" w:rsidR="00681474" w:rsidRPr="005E0053" w:rsidRDefault="00992F7F" w:rsidP="000145F2">
      <w:pPr>
        <w:rPr>
          <w:rFonts w:ascii="Arial" w:hAnsi="Arial" w:cs="Arial"/>
        </w:rPr>
      </w:pPr>
      <w:r w:rsidRPr="005E0053">
        <w:rPr>
          <w:rFonts w:ascii="Arial" w:hAnsi="Arial" w:cs="Arial"/>
        </w:rPr>
        <w:t>Parent and family involvement</w:t>
      </w:r>
      <w:r w:rsidR="00E22495">
        <w:rPr>
          <w:rFonts w:ascii="Arial" w:hAnsi="Arial" w:cs="Arial"/>
        </w:rPr>
        <w:t xml:space="preserve"> are cornerstones of</w:t>
      </w:r>
      <w:r w:rsidRPr="005E0053">
        <w:rPr>
          <w:rFonts w:ascii="Arial" w:hAnsi="Arial" w:cs="Arial"/>
        </w:rPr>
        <w:t xml:space="preserve"> </w:t>
      </w:r>
      <w:r w:rsidR="006C748F" w:rsidRPr="005E0053">
        <w:rPr>
          <w:rFonts w:ascii="Arial" w:hAnsi="Arial" w:cs="Arial"/>
        </w:rPr>
        <w:t>the MEP</w:t>
      </w:r>
      <w:r w:rsidR="004744C9" w:rsidRPr="005E0053">
        <w:rPr>
          <w:rFonts w:ascii="Arial" w:hAnsi="Arial" w:cs="Arial"/>
        </w:rPr>
        <w:t>,</w:t>
      </w:r>
      <w:r w:rsidR="006C748F" w:rsidRPr="005E0053">
        <w:rPr>
          <w:rFonts w:ascii="Arial" w:hAnsi="Arial" w:cs="Arial"/>
        </w:rPr>
        <w:t xml:space="preserve"> and t</w:t>
      </w:r>
      <w:r w:rsidR="00464015" w:rsidRPr="005E0053">
        <w:rPr>
          <w:rFonts w:ascii="Arial" w:hAnsi="Arial" w:cs="Arial"/>
        </w:rPr>
        <w:t>he CDE supports statewide and local</w:t>
      </w:r>
      <w:r w:rsidR="00395349" w:rsidRPr="005E0053">
        <w:rPr>
          <w:rFonts w:ascii="Arial" w:hAnsi="Arial" w:cs="Arial"/>
        </w:rPr>
        <w:t xml:space="preserve"> </w:t>
      </w:r>
      <w:r w:rsidR="00464015" w:rsidRPr="005E0053">
        <w:rPr>
          <w:rFonts w:ascii="Arial" w:hAnsi="Arial" w:cs="Arial"/>
        </w:rPr>
        <w:t xml:space="preserve">opportunities to increase </w:t>
      </w:r>
      <w:r w:rsidR="00395349" w:rsidRPr="005E0053">
        <w:rPr>
          <w:rFonts w:ascii="Arial" w:hAnsi="Arial" w:cs="Arial"/>
        </w:rPr>
        <w:t xml:space="preserve">formal and informal </w:t>
      </w:r>
      <w:r w:rsidR="00464015" w:rsidRPr="005E0053">
        <w:rPr>
          <w:rFonts w:ascii="Arial" w:hAnsi="Arial" w:cs="Arial"/>
        </w:rPr>
        <w:t xml:space="preserve">parent involvement. </w:t>
      </w:r>
      <w:r w:rsidR="00B41718" w:rsidRPr="005E0053">
        <w:rPr>
          <w:rFonts w:ascii="Arial" w:hAnsi="Arial" w:cs="Arial"/>
        </w:rPr>
        <w:t>Opportunities for</w:t>
      </w:r>
      <w:r w:rsidR="00464015" w:rsidRPr="005E0053">
        <w:rPr>
          <w:rFonts w:ascii="Arial" w:hAnsi="Arial" w:cs="Arial"/>
        </w:rPr>
        <w:t xml:space="preserve"> formal</w:t>
      </w:r>
      <w:r w:rsidR="00B41718" w:rsidRPr="005E0053">
        <w:rPr>
          <w:rFonts w:ascii="Arial" w:hAnsi="Arial" w:cs="Arial"/>
        </w:rPr>
        <w:t xml:space="preserve"> parent and family involvement</w:t>
      </w:r>
      <w:r w:rsidR="00464015" w:rsidRPr="005E0053">
        <w:rPr>
          <w:rFonts w:ascii="Arial" w:hAnsi="Arial" w:cs="Arial"/>
        </w:rPr>
        <w:t xml:space="preserve"> </w:t>
      </w:r>
      <w:r w:rsidR="00A35F85" w:rsidRPr="005E0053">
        <w:rPr>
          <w:rFonts w:ascii="Arial" w:hAnsi="Arial" w:cs="Arial"/>
        </w:rPr>
        <w:t xml:space="preserve">occur </w:t>
      </w:r>
      <w:r w:rsidR="00464015" w:rsidRPr="005E0053">
        <w:rPr>
          <w:rFonts w:ascii="Arial" w:hAnsi="Arial" w:cs="Arial"/>
        </w:rPr>
        <w:t xml:space="preserve">through </w:t>
      </w:r>
      <w:r w:rsidR="00B31AE4" w:rsidRPr="005E0053">
        <w:rPr>
          <w:rFonts w:ascii="Arial" w:hAnsi="Arial" w:cs="Arial"/>
        </w:rPr>
        <w:t>participation on Parent Advisory C</w:t>
      </w:r>
      <w:r w:rsidR="00220B9E" w:rsidRPr="005E0053">
        <w:rPr>
          <w:rFonts w:ascii="Arial" w:hAnsi="Arial" w:cs="Arial"/>
        </w:rPr>
        <w:t>ouncils</w:t>
      </w:r>
      <w:r w:rsidR="00B31AE4" w:rsidRPr="005E0053">
        <w:rPr>
          <w:rFonts w:ascii="Arial" w:hAnsi="Arial" w:cs="Arial"/>
        </w:rPr>
        <w:t xml:space="preserve"> (PAC</w:t>
      </w:r>
      <w:r w:rsidR="004744C9" w:rsidRPr="005E0053">
        <w:rPr>
          <w:rFonts w:ascii="Arial" w:hAnsi="Arial" w:cs="Arial"/>
        </w:rPr>
        <w:t>s</w:t>
      </w:r>
      <w:r w:rsidR="00B31AE4" w:rsidRPr="005E0053">
        <w:rPr>
          <w:rFonts w:ascii="Arial" w:hAnsi="Arial" w:cs="Arial"/>
        </w:rPr>
        <w:t>)</w:t>
      </w:r>
      <w:r w:rsidR="00220B9E" w:rsidRPr="005E0053">
        <w:rPr>
          <w:rFonts w:ascii="Arial" w:hAnsi="Arial" w:cs="Arial"/>
        </w:rPr>
        <w:t xml:space="preserve"> which</w:t>
      </w:r>
      <w:r w:rsidR="00B41718" w:rsidRPr="005E0053">
        <w:rPr>
          <w:rFonts w:ascii="Arial" w:hAnsi="Arial" w:cs="Arial"/>
        </w:rPr>
        <w:t xml:space="preserve"> occur at the district, regional and state level</w:t>
      </w:r>
      <w:r w:rsidR="00220B9E" w:rsidRPr="005E0053">
        <w:rPr>
          <w:rFonts w:ascii="Arial" w:hAnsi="Arial" w:cs="Arial"/>
        </w:rPr>
        <w:t>s in</w:t>
      </w:r>
      <w:r w:rsidR="00B41718" w:rsidRPr="005E0053">
        <w:rPr>
          <w:rFonts w:ascii="Arial" w:hAnsi="Arial" w:cs="Arial"/>
        </w:rPr>
        <w:t xml:space="preserve"> accordance with Section 1304(c)(3) of the Elementary and Secondary Education Act</w:t>
      </w:r>
      <w:r w:rsidR="00220B9E" w:rsidRPr="005E0053">
        <w:rPr>
          <w:rFonts w:ascii="Arial" w:hAnsi="Arial" w:cs="Arial"/>
        </w:rPr>
        <w:t xml:space="preserve">. </w:t>
      </w:r>
      <w:r w:rsidR="00B41718" w:rsidRPr="005E0053">
        <w:rPr>
          <w:rFonts w:ascii="Arial" w:hAnsi="Arial" w:cs="Arial"/>
        </w:rPr>
        <w:t xml:space="preserve">Direct-funded districts, and districts within a larger region operate district-wide PACs </w:t>
      </w:r>
      <w:r w:rsidR="00B41718" w:rsidRPr="005E0053">
        <w:rPr>
          <w:rFonts w:ascii="Arial" w:hAnsi="Arial" w:cs="Arial"/>
        </w:rPr>
        <w:lastRenderedPageBreak/>
        <w:t xml:space="preserve">while </w:t>
      </w:r>
      <w:r w:rsidR="00435863" w:rsidRPr="005E0053">
        <w:rPr>
          <w:rFonts w:ascii="Arial" w:hAnsi="Arial" w:cs="Arial"/>
        </w:rPr>
        <w:t xml:space="preserve">multi-district regions </w:t>
      </w:r>
      <w:r w:rsidR="00B41718" w:rsidRPr="005E0053">
        <w:rPr>
          <w:rFonts w:ascii="Arial" w:hAnsi="Arial" w:cs="Arial"/>
        </w:rPr>
        <w:t>operate a Regional Parent Advisory Council (RPAC). State law</w:t>
      </w:r>
      <w:r w:rsidR="00681474" w:rsidRPr="005E0053">
        <w:rPr>
          <w:rFonts w:ascii="Arial" w:hAnsi="Arial" w:cs="Arial"/>
        </w:rPr>
        <w:t xml:space="preserve"> </w:t>
      </w:r>
      <w:r w:rsidR="00B41718" w:rsidRPr="005E0053">
        <w:rPr>
          <w:rFonts w:ascii="Arial" w:hAnsi="Arial" w:cs="Arial"/>
        </w:rPr>
        <w:t xml:space="preserve">outlines the </w:t>
      </w:r>
      <w:r w:rsidR="006611EC" w:rsidRPr="005E0053">
        <w:rPr>
          <w:rFonts w:ascii="Arial" w:hAnsi="Arial" w:cs="Arial"/>
        </w:rPr>
        <w:t>structure</w:t>
      </w:r>
      <w:r w:rsidR="004744C9" w:rsidRPr="005E0053">
        <w:rPr>
          <w:rFonts w:ascii="Arial" w:hAnsi="Arial" w:cs="Arial"/>
        </w:rPr>
        <w:t xml:space="preserve"> and</w:t>
      </w:r>
      <w:r w:rsidR="006611EC" w:rsidRPr="005E0053">
        <w:rPr>
          <w:rFonts w:ascii="Arial" w:hAnsi="Arial" w:cs="Arial"/>
        </w:rPr>
        <w:t xml:space="preserve"> membership composition</w:t>
      </w:r>
      <w:r w:rsidR="00681474" w:rsidRPr="005E0053">
        <w:rPr>
          <w:rFonts w:ascii="Arial" w:hAnsi="Arial" w:cs="Arial"/>
        </w:rPr>
        <w:t xml:space="preserve">. </w:t>
      </w:r>
      <w:r w:rsidR="004744C9" w:rsidRPr="005E0053">
        <w:rPr>
          <w:rFonts w:ascii="Arial" w:hAnsi="Arial" w:cs="Arial"/>
        </w:rPr>
        <w:t xml:space="preserve">Membership of </w:t>
      </w:r>
      <w:r w:rsidR="004E5949" w:rsidRPr="005E0053">
        <w:rPr>
          <w:rFonts w:ascii="Arial" w:hAnsi="Arial" w:cs="Arial"/>
        </w:rPr>
        <w:t>PACs</w:t>
      </w:r>
      <w:r w:rsidR="00B41718" w:rsidRPr="005E0053">
        <w:rPr>
          <w:rFonts w:ascii="Arial" w:hAnsi="Arial" w:cs="Arial"/>
        </w:rPr>
        <w:t xml:space="preserve"> must be comprised of at least two-thirds of parents with migratory children, </w:t>
      </w:r>
      <w:r w:rsidR="00F30AED" w:rsidRPr="005E0053">
        <w:rPr>
          <w:rFonts w:ascii="Arial" w:hAnsi="Arial" w:cs="Arial"/>
        </w:rPr>
        <w:t>meetings must be in a language all members can understand</w:t>
      </w:r>
      <w:r w:rsidR="004744C9" w:rsidRPr="005E0053">
        <w:rPr>
          <w:rFonts w:ascii="Arial" w:hAnsi="Arial" w:cs="Arial"/>
        </w:rPr>
        <w:t>,</w:t>
      </w:r>
      <w:r w:rsidR="00F30AED" w:rsidRPr="005E0053">
        <w:rPr>
          <w:rFonts w:ascii="Arial" w:hAnsi="Arial" w:cs="Arial"/>
        </w:rPr>
        <w:t xml:space="preserve"> </w:t>
      </w:r>
      <w:r w:rsidR="00B41718" w:rsidRPr="005E0053">
        <w:rPr>
          <w:rFonts w:ascii="Arial" w:hAnsi="Arial" w:cs="Arial"/>
        </w:rPr>
        <w:t xml:space="preserve">and must meet at minimum six times a year. During the PAC </w:t>
      </w:r>
      <w:r w:rsidR="00D27058" w:rsidRPr="005E0053">
        <w:rPr>
          <w:rFonts w:ascii="Arial" w:hAnsi="Arial" w:cs="Arial"/>
        </w:rPr>
        <w:t>meetings</w:t>
      </w:r>
      <w:r w:rsidR="00B41718" w:rsidRPr="005E0053">
        <w:rPr>
          <w:rFonts w:ascii="Arial" w:hAnsi="Arial" w:cs="Arial"/>
        </w:rPr>
        <w:t xml:space="preserve">, members are provided with </w:t>
      </w:r>
      <w:r w:rsidR="00097B74" w:rsidRPr="005E0053">
        <w:rPr>
          <w:rFonts w:ascii="Arial" w:hAnsi="Arial" w:cs="Arial"/>
        </w:rPr>
        <w:t xml:space="preserve">information and training on all areas relevant to the MEP and </w:t>
      </w:r>
      <w:r w:rsidR="005C3A5A" w:rsidRPr="005E0053">
        <w:rPr>
          <w:rFonts w:ascii="Arial" w:hAnsi="Arial" w:cs="Arial"/>
        </w:rPr>
        <w:t xml:space="preserve">participate in the MEP quality improvement cycle by </w:t>
      </w:r>
      <w:r w:rsidR="004872BA" w:rsidRPr="005E0053">
        <w:rPr>
          <w:rFonts w:ascii="Arial" w:hAnsi="Arial" w:cs="Arial"/>
        </w:rPr>
        <w:t xml:space="preserve">consulting </w:t>
      </w:r>
      <w:r w:rsidR="00AD77D7" w:rsidRPr="005E0053">
        <w:rPr>
          <w:rFonts w:ascii="Arial" w:hAnsi="Arial" w:cs="Arial"/>
        </w:rPr>
        <w:t xml:space="preserve">with key MEP </w:t>
      </w:r>
      <w:r w:rsidR="00395349" w:rsidRPr="005E0053">
        <w:rPr>
          <w:rFonts w:ascii="Arial" w:hAnsi="Arial" w:cs="Arial"/>
        </w:rPr>
        <w:t>staff on program development.</w:t>
      </w:r>
      <w:r w:rsidR="002F2A4F" w:rsidRPr="005E0053">
        <w:rPr>
          <w:rFonts w:ascii="Arial" w:hAnsi="Arial" w:cs="Arial"/>
        </w:rPr>
        <w:t xml:space="preserve"> </w:t>
      </w:r>
    </w:p>
    <w:p w14:paraId="255FCC13" w14:textId="2B6A04D5" w:rsidR="00B41718" w:rsidRPr="005E0053" w:rsidRDefault="00017CE0" w:rsidP="005A4784">
      <w:pPr>
        <w:spacing w:before="240"/>
        <w:rPr>
          <w:rFonts w:ascii="Arial" w:hAnsi="Arial" w:cs="Arial"/>
        </w:rPr>
      </w:pPr>
      <w:r w:rsidRPr="005E0053">
        <w:rPr>
          <w:rFonts w:ascii="Arial" w:hAnsi="Arial" w:cs="Arial"/>
        </w:rPr>
        <w:t>Informal opportunities for parent</w:t>
      </w:r>
      <w:r w:rsidR="008250C7" w:rsidRPr="005E0053">
        <w:rPr>
          <w:rFonts w:ascii="Arial" w:hAnsi="Arial" w:cs="Arial"/>
        </w:rPr>
        <w:t xml:space="preserve"> and family</w:t>
      </w:r>
      <w:r w:rsidRPr="005E0053">
        <w:rPr>
          <w:rFonts w:ascii="Arial" w:hAnsi="Arial" w:cs="Arial"/>
        </w:rPr>
        <w:t xml:space="preserve"> involvement </w:t>
      </w:r>
      <w:r w:rsidR="00077A33" w:rsidRPr="005E0053">
        <w:rPr>
          <w:rFonts w:ascii="Arial" w:hAnsi="Arial" w:cs="Arial"/>
        </w:rPr>
        <w:t xml:space="preserve">occur throughout the year at the local level. </w:t>
      </w:r>
      <w:r w:rsidR="00F9153D" w:rsidRPr="005E0053">
        <w:rPr>
          <w:rFonts w:ascii="Arial" w:hAnsi="Arial" w:cs="Arial"/>
        </w:rPr>
        <w:t>These servic</w:t>
      </w:r>
      <w:r w:rsidR="004744C9" w:rsidRPr="005E0053">
        <w:rPr>
          <w:rFonts w:ascii="Arial" w:hAnsi="Arial" w:cs="Arial"/>
        </w:rPr>
        <w:t>es vary by subgrantee</w:t>
      </w:r>
      <w:r w:rsidR="00F9153D" w:rsidRPr="005E0053">
        <w:rPr>
          <w:rFonts w:ascii="Arial" w:hAnsi="Arial" w:cs="Arial"/>
        </w:rPr>
        <w:t xml:space="preserve"> and include </w:t>
      </w:r>
      <w:r w:rsidR="00494831" w:rsidRPr="005E0053">
        <w:rPr>
          <w:rFonts w:ascii="Arial" w:hAnsi="Arial" w:cs="Arial"/>
        </w:rPr>
        <w:t xml:space="preserve">assorted </w:t>
      </w:r>
      <w:r w:rsidR="00F9153D" w:rsidRPr="005E0053">
        <w:rPr>
          <w:rFonts w:ascii="Arial" w:hAnsi="Arial" w:cs="Arial"/>
        </w:rPr>
        <w:t xml:space="preserve">workshops to increase parent support of student’s academic achievement and overall well-being, </w:t>
      </w:r>
      <w:r w:rsidR="00494831" w:rsidRPr="005E0053">
        <w:rPr>
          <w:rFonts w:ascii="Arial" w:hAnsi="Arial" w:cs="Arial"/>
        </w:rPr>
        <w:t xml:space="preserve">supporting early education, steps to graduating high school, college requirements, </w:t>
      </w:r>
      <w:r w:rsidR="00F9153D" w:rsidRPr="005E0053">
        <w:rPr>
          <w:rFonts w:ascii="Arial" w:hAnsi="Arial" w:cs="Arial"/>
        </w:rPr>
        <w:t xml:space="preserve">family biliteracy nights, regional parent </w:t>
      </w:r>
      <w:r w:rsidR="00494831" w:rsidRPr="005E0053">
        <w:rPr>
          <w:rFonts w:ascii="Arial" w:hAnsi="Arial" w:cs="Arial"/>
        </w:rPr>
        <w:t>conferences</w:t>
      </w:r>
      <w:r w:rsidR="004744C9" w:rsidRPr="005E0053">
        <w:rPr>
          <w:rFonts w:ascii="Arial" w:hAnsi="Arial" w:cs="Arial"/>
        </w:rPr>
        <w:t>,</w:t>
      </w:r>
      <w:r w:rsidR="00494831" w:rsidRPr="005E0053">
        <w:rPr>
          <w:rFonts w:ascii="Arial" w:hAnsi="Arial" w:cs="Arial"/>
        </w:rPr>
        <w:t xml:space="preserve"> and opportunities to visit institutions of higher learning.</w:t>
      </w:r>
      <w:r w:rsidR="00C27EAE" w:rsidRPr="005E0053">
        <w:rPr>
          <w:rFonts w:ascii="Arial" w:hAnsi="Arial" w:cs="Arial"/>
        </w:rPr>
        <w:t xml:space="preserve"> Table 3</w:t>
      </w:r>
      <w:r w:rsidR="00976DBD">
        <w:rPr>
          <w:rFonts w:ascii="Arial" w:hAnsi="Arial" w:cs="Arial"/>
        </w:rPr>
        <w:t>4</w:t>
      </w:r>
      <w:r w:rsidR="00A155EF" w:rsidRPr="005E0053">
        <w:rPr>
          <w:rFonts w:ascii="Arial" w:hAnsi="Arial" w:cs="Arial"/>
        </w:rPr>
        <w:t xml:space="preserve"> identifies strategies to increase parent and family involvement at the state and local levels.</w:t>
      </w:r>
    </w:p>
    <w:p w14:paraId="6724C8AC" w14:textId="1D482284" w:rsidR="00A155EF" w:rsidRPr="006849D8" w:rsidRDefault="00A155EF" w:rsidP="006849D8">
      <w:pPr>
        <w:pStyle w:val="Heading4"/>
        <w:spacing w:after="0"/>
        <w:rPr>
          <w:sz w:val="24"/>
        </w:rPr>
      </w:pPr>
      <w:bookmarkStart w:id="79" w:name="_Toc101961126"/>
      <w:r w:rsidRPr="006849D8">
        <w:rPr>
          <w:sz w:val="24"/>
        </w:rPr>
        <w:t xml:space="preserve">Table </w:t>
      </w:r>
      <w:r w:rsidR="006C4B40" w:rsidRPr="006849D8">
        <w:rPr>
          <w:sz w:val="24"/>
        </w:rPr>
        <w:fldChar w:fldCharType="begin"/>
      </w:r>
      <w:r w:rsidR="006C4B40" w:rsidRPr="006849D8">
        <w:rPr>
          <w:sz w:val="24"/>
        </w:rPr>
        <w:instrText xml:space="preserve"> SEQ Table \* ARABIC </w:instrText>
      </w:r>
      <w:r w:rsidR="006C4B40" w:rsidRPr="006849D8">
        <w:rPr>
          <w:sz w:val="24"/>
        </w:rPr>
        <w:fldChar w:fldCharType="separate"/>
      </w:r>
      <w:r w:rsidR="00976DBD">
        <w:rPr>
          <w:noProof/>
          <w:sz w:val="24"/>
        </w:rPr>
        <w:t>34</w:t>
      </w:r>
      <w:r w:rsidR="006C4B40" w:rsidRPr="006849D8">
        <w:rPr>
          <w:noProof/>
          <w:sz w:val="24"/>
        </w:rPr>
        <w:fldChar w:fldCharType="end"/>
      </w:r>
      <w:r w:rsidRPr="006849D8">
        <w:rPr>
          <w:sz w:val="24"/>
        </w:rPr>
        <w:t>. State and Local Strategies to Increase Parent and Family Involvement</w:t>
      </w:r>
      <w:bookmarkEnd w:id="79"/>
    </w:p>
    <w:tbl>
      <w:tblPr>
        <w:tblStyle w:val="GridTable4-Accent6"/>
        <w:tblW w:w="0" w:type="auto"/>
        <w:tblLook w:val="0420" w:firstRow="1" w:lastRow="0" w:firstColumn="0" w:lastColumn="0" w:noHBand="0" w:noVBand="1"/>
        <w:tblDescription w:val="State and Local Strategies to Increase Parent and Family Involvement"/>
      </w:tblPr>
      <w:tblGrid>
        <w:gridCol w:w="2084"/>
        <w:gridCol w:w="3225"/>
        <w:gridCol w:w="4041"/>
      </w:tblGrid>
      <w:tr w:rsidR="005C5821" w:rsidRPr="00F62746" w14:paraId="126B64EE" w14:textId="77777777" w:rsidTr="00940787">
        <w:trPr>
          <w:cnfStyle w:val="100000000000" w:firstRow="1" w:lastRow="0" w:firstColumn="0" w:lastColumn="0" w:oddVBand="0" w:evenVBand="0" w:oddHBand="0" w:evenHBand="0" w:firstRowFirstColumn="0" w:firstRowLastColumn="0" w:lastRowFirstColumn="0" w:lastRowLastColumn="0"/>
          <w:cantSplit/>
          <w:trHeight w:val="344"/>
          <w:tblHeader/>
        </w:trPr>
        <w:tc>
          <w:tcPr>
            <w:tcW w:w="2085" w:type="dxa"/>
            <w:tcBorders>
              <w:right w:val="single" w:sz="4" w:space="0" w:color="70AD47" w:themeColor="accent6"/>
            </w:tcBorders>
            <w:shd w:val="clear" w:color="auto" w:fill="385623" w:themeFill="accent6" w:themeFillShade="80"/>
          </w:tcPr>
          <w:p w14:paraId="09334B2D" w14:textId="77777777" w:rsidR="00494831" w:rsidRPr="00F62746" w:rsidRDefault="00E009EA" w:rsidP="00142F53">
            <w:pPr>
              <w:spacing w:before="100" w:beforeAutospacing="1" w:after="100" w:afterAutospacing="1"/>
              <w:jc w:val="center"/>
              <w:rPr>
                <w:rFonts w:ascii="Arial" w:hAnsi="Arial" w:cs="Arial"/>
                <w:b w:val="0"/>
                <w:color w:val="FFFFFF"/>
              </w:rPr>
            </w:pPr>
            <w:r w:rsidRPr="00F62746">
              <w:rPr>
                <w:rFonts w:ascii="Arial" w:hAnsi="Arial" w:cs="Arial"/>
                <w:color w:val="FFFFFF"/>
              </w:rPr>
              <w:t>Objectives</w:t>
            </w:r>
          </w:p>
        </w:tc>
        <w:tc>
          <w:tcPr>
            <w:tcW w:w="3240" w:type="dxa"/>
            <w:tcBorders>
              <w:left w:val="single" w:sz="4" w:space="0" w:color="70AD47" w:themeColor="accent6"/>
              <w:right w:val="single" w:sz="4" w:space="0" w:color="70AD47" w:themeColor="accent6"/>
            </w:tcBorders>
            <w:shd w:val="clear" w:color="auto" w:fill="385623" w:themeFill="accent6" w:themeFillShade="80"/>
          </w:tcPr>
          <w:p w14:paraId="0FD7A4EA" w14:textId="77777777" w:rsidR="00494831" w:rsidRPr="00F62746" w:rsidRDefault="00301CFA" w:rsidP="00142F53">
            <w:pPr>
              <w:spacing w:before="100" w:beforeAutospacing="1" w:after="100" w:afterAutospacing="1"/>
              <w:jc w:val="center"/>
              <w:rPr>
                <w:rFonts w:ascii="Arial" w:hAnsi="Arial" w:cs="Arial"/>
                <w:b w:val="0"/>
                <w:color w:val="FFFFFF"/>
              </w:rPr>
            </w:pPr>
            <w:r w:rsidRPr="00F62746">
              <w:rPr>
                <w:rFonts w:ascii="Arial" w:hAnsi="Arial" w:cs="Arial"/>
                <w:color w:val="FFFFFF"/>
              </w:rPr>
              <w:t>State</w:t>
            </w:r>
            <w:r w:rsidR="00E009EA" w:rsidRPr="00F62746">
              <w:rPr>
                <w:rFonts w:ascii="Arial" w:hAnsi="Arial" w:cs="Arial"/>
                <w:color w:val="FFFFFF"/>
              </w:rPr>
              <w:t xml:space="preserve"> Strategies</w:t>
            </w:r>
          </w:p>
        </w:tc>
        <w:tc>
          <w:tcPr>
            <w:tcW w:w="4065" w:type="dxa"/>
            <w:tcBorders>
              <w:left w:val="single" w:sz="4" w:space="0" w:color="70AD47" w:themeColor="accent6"/>
            </w:tcBorders>
            <w:shd w:val="clear" w:color="auto" w:fill="385623" w:themeFill="accent6" w:themeFillShade="80"/>
          </w:tcPr>
          <w:p w14:paraId="5EDE54E3" w14:textId="77777777" w:rsidR="00494831" w:rsidRPr="00F62746" w:rsidRDefault="00301CFA" w:rsidP="00142F53">
            <w:pPr>
              <w:spacing w:before="100" w:beforeAutospacing="1" w:after="100" w:afterAutospacing="1"/>
              <w:jc w:val="center"/>
              <w:rPr>
                <w:rFonts w:ascii="Arial" w:hAnsi="Arial" w:cs="Arial"/>
                <w:b w:val="0"/>
                <w:color w:val="FFFFFF"/>
              </w:rPr>
            </w:pPr>
            <w:r w:rsidRPr="00F62746">
              <w:rPr>
                <w:rFonts w:ascii="Arial" w:hAnsi="Arial" w:cs="Arial"/>
                <w:color w:val="FFFFFF"/>
              </w:rPr>
              <w:t>Local</w:t>
            </w:r>
            <w:r w:rsidR="00E009EA" w:rsidRPr="00F62746">
              <w:rPr>
                <w:rFonts w:ascii="Arial" w:hAnsi="Arial" w:cs="Arial"/>
                <w:color w:val="FFFFFF"/>
              </w:rPr>
              <w:t xml:space="preserve"> Strategies</w:t>
            </w:r>
          </w:p>
        </w:tc>
      </w:tr>
      <w:tr w:rsidR="005C5821" w:rsidRPr="00F62746" w14:paraId="6839F41C" w14:textId="77777777" w:rsidTr="00940787">
        <w:trPr>
          <w:cnfStyle w:val="000000100000" w:firstRow="0" w:lastRow="0" w:firstColumn="0" w:lastColumn="0" w:oddVBand="0" w:evenVBand="0" w:oddHBand="1" w:evenHBand="0" w:firstRowFirstColumn="0" w:firstRowLastColumn="0" w:lastRowFirstColumn="0" w:lastRowLastColumn="0"/>
          <w:cantSplit/>
          <w:trHeight w:val="677"/>
        </w:trPr>
        <w:tc>
          <w:tcPr>
            <w:tcW w:w="2085" w:type="dxa"/>
            <w:hideMark/>
          </w:tcPr>
          <w:p w14:paraId="3D0BB77B" w14:textId="77777777" w:rsidR="00896E40" w:rsidRPr="00F62746" w:rsidRDefault="00D954D1" w:rsidP="00D954D1">
            <w:pPr>
              <w:spacing w:before="100" w:beforeAutospacing="1" w:after="100" w:afterAutospacing="1"/>
              <w:rPr>
                <w:rFonts w:ascii="Arial" w:hAnsi="Arial" w:cs="Arial"/>
              </w:rPr>
            </w:pPr>
            <w:r w:rsidRPr="00F62746">
              <w:rPr>
                <w:rFonts w:ascii="Arial" w:hAnsi="Arial" w:cs="Arial"/>
              </w:rPr>
              <w:t>Home Support</w:t>
            </w:r>
            <w:r w:rsidR="00896E40" w:rsidRPr="00F62746">
              <w:rPr>
                <w:rFonts w:ascii="Arial" w:hAnsi="Arial" w:cs="Arial"/>
              </w:rPr>
              <w:t>: Assist families in setting home conditions that support children as stude</w:t>
            </w:r>
            <w:r w:rsidR="00773107" w:rsidRPr="00F62746">
              <w:rPr>
                <w:rFonts w:ascii="Arial" w:hAnsi="Arial" w:cs="Arial"/>
              </w:rPr>
              <w:t>nts at each age and grade level</w:t>
            </w:r>
            <w:r w:rsidR="00C27EAE" w:rsidRPr="00F62746">
              <w:rPr>
                <w:rFonts w:ascii="Arial" w:hAnsi="Arial" w:cs="Arial"/>
              </w:rPr>
              <w:t>.</w:t>
            </w:r>
          </w:p>
        </w:tc>
        <w:tc>
          <w:tcPr>
            <w:tcW w:w="3240" w:type="dxa"/>
            <w:hideMark/>
          </w:tcPr>
          <w:p w14:paraId="058ACC4B" w14:textId="77777777" w:rsidR="00896E40" w:rsidRPr="00F62746" w:rsidRDefault="00896E40" w:rsidP="00142F53">
            <w:pPr>
              <w:numPr>
                <w:ilvl w:val="0"/>
                <w:numId w:val="5"/>
              </w:numPr>
              <w:tabs>
                <w:tab w:val="clear" w:pos="720"/>
                <w:tab w:val="num" w:pos="362"/>
              </w:tabs>
              <w:spacing w:before="100" w:beforeAutospacing="1" w:after="100" w:afterAutospacing="1"/>
              <w:ind w:left="345" w:hanging="270"/>
              <w:rPr>
                <w:rFonts w:ascii="Arial" w:hAnsi="Arial" w:cs="Arial"/>
              </w:rPr>
            </w:pPr>
            <w:r w:rsidRPr="00F62746">
              <w:rPr>
                <w:rFonts w:ascii="Arial" w:hAnsi="Arial" w:cs="Arial"/>
              </w:rPr>
              <w:t>Disseminate information on best practices in family outreach.</w:t>
            </w:r>
          </w:p>
          <w:p w14:paraId="38CC0E39" w14:textId="77777777" w:rsidR="00896E40" w:rsidRPr="00F62746" w:rsidRDefault="00896E40" w:rsidP="00142F53">
            <w:pPr>
              <w:numPr>
                <w:ilvl w:val="0"/>
                <w:numId w:val="5"/>
              </w:numPr>
              <w:tabs>
                <w:tab w:val="clear" w:pos="720"/>
                <w:tab w:val="num" w:pos="362"/>
              </w:tabs>
              <w:spacing w:before="100" w:beforeAutospacing="1" w:after="100" w:afterAutospacing="1"/>
              <w:ind w:left="345" w:hanging="270"/>
              <w:rPr>
                <w:rFonts w:ascii="Arial" w:hAnsi="Arial" w:cs="Arial"/>
              </w:rPr>
            </w:pPr>
            <w:r w:rsidRPr="00F62746">
              <w:rPr>
                <w:rFonts w:ascii="Arial" w:hAnsi="Arial" w:cs="Arial"/>
              </w:rPr>
              <w:t xml:space="preserve">Share information on </w:t>
            </w:r>
            <w:r w:rsidR="00314A97" w:rsidRPr="00F62746">
              <w:rPr>
                <w:rFonts w:ascii="Arial" w:hAnsi="Arial" w:cs="Arial"/>
              </w:rPr>
              <w:t>statewide health initiatives and health programs (e.g.</w:t>
            </w:r>
            <w:r w:rsidR="00B1744E" w:rsidRPr="00F62746">
              <w:rPr>
                <w:rFonts w:ascii="Arial" w:hAnsi="Arial" w:cs="Arial"/>
              </w:rPr>
              <w:t>,</w:t>
            </w:r>
            <w:r w:rsidR="00314A97" w:rsidRPr="00F62746">
              <w:rPr>
                <w:rFonts w:ascii="Arial" w:hAnsi="Arial" w:cs="Arial"/>
              </w:rPr>
              <w:t xml:space="preserve"> Covered California, CDE Summer Meal Program</w:t>
            </w:r>
            <w:r w:rsidR="00D954D1" w:rsidRPr="00F62746">
              <w:rPr>
                <w:rFonts w:ascii="Arial" w:hAnsi="Arial" w:cs="Arial"/>
              </w:rPr>
              <w:t>, etc.</w:t>
            </w:r>
            <w:r w:rsidR="00314A97" w:rsidRPr="00F62746">
              <w:rPr>
                <w:rFonts w:ascii="Arial" w:hAnsi="Arial" w:cs="Arial"/>
              </w:rPr>
              <w:t>) that provide services to families.</w:t>
            </w:r>
          </w:p>
        </w:tc>
        <w:tc>
          <w:tcPr>
            <w:tcW w:w="4065" w:type="dxa"/>
            <w:hideMark/>
          </w:tcPr>
          <w:p w14:paraId="074A644C" w14:textId="77777777" w:rsidR="00896E40" w:rsidRPr="00F62746" w:rsidRDefault="00314A97" w:rsidP="00142F53">
            <w:pPr>
              <w:numPr>
                <w:ilvl w:val="0"/>
                <w:numId w:val="6"/>
              </w:numPr>
              <w:tabs>
                <w:tab w:val="clear" w:pos="720"/>
                <w:tab w:val="num" w:pos="435"/>
              </w:tabs>
              <w:spacing w:before="100" w:beforeAutospacing="1" w:after="100" w:afterAutospacing="1"/>
              <w:ind w:left="435" w:hanging="270"/>
              <w:rPr>
                <w:rFonts w:ascii="Arial" w:hAnsi="Arial" w:cs="Arial"/>
              </w:rPr>
            </w:pPr>
            <w:r w:rsidRPr="00F62746">
              <w:rPr>
                <w:rFonts w:ascii="Arial" w:hAnsi="Arial" w:cs="Arial"/>
              </w:rPr>
              <w:t>Disseminate</w:t>
            </w:r>
            <w:r w:rsidR="00896E40" w:rsidRPr="00F62746">
              <w:rPr>
                <w:rFonts w:ascii="Arial" w:hAnsi="Arial" w:cs="Arial"/>
              </w:rPr>
              <w:t xml:space="preserve"> information on parent involvement, nutrition, health</w:t>
            </w:r>
            <w:r w:rsidR="00773107" w:rsidRPr="00F62746">
              <w:rPr>
                <w:rFonts w:ascii="Arial" w:hAnsi="Arial" w:cs="Arial"/>
              </w:rPr>
              <w:t>,</w:t>
            </w:r>
            <w:r w:rsidRPr="00F62746">
              <w:rPr>
                <w:rFonts w:ascii="Arial" w:hAnsi="Arial" w:cs="Arial"/>
              </w:rPr>
              <w:t xml:space="preserve"> </w:t>
            </w:r>
            <w:r w:rsidR="00896E40" w:rsidRPr="00F62746">
              <w:rPr>
                <w:rFonts w:ascii="Arial" w:hAnsi="Arial" w:cs="Arial"/>
              </w:rPr>
              <w:t>and other services</w:t>
            </w:r>
            <w:r w:rsidRPr="00F62746">
              <w:rPr>
                <w:rFonts w:ascii="Arial" w:hAnsi="Arial" w:cs="Arial"/>
              </w:rPr>
              <w:t xml:space="preserve"> to parents </w:t>
            </w:r>
            <w:r w:rsidR="005C5821" w:rsidRPr="00F62746">
              <w:rPr>
                <w:rFonts w:ascii="Arial" w:hAnsi="Arial" w:cs="Arial"/>
              </w:rPr>
              <w:t>via</w:t>
            </w:r>
            <w:r w:rsidRPr="00F62746">
              <w:rPr>
                <w:rFonts w:ascii="Arial" w:hAnsi="Arial" w:cs="Arial"/>
              </w:rPr>
              <w:t xml:space="preserve"> </w:t>
            </w:r>
            <w:r w:rsidR="005C5821" w:rsidRPr="00F62746">
              <w:rPr>
                <w:rFonts w:ascii="Arial" w:hAnsi="Arial" w:cs="Arial"/>
              </w:rPr>
              <w:t>parent</w:t>
            </w:r>
            <w:r w:rsidRPr="00F62746">
              <w:rPr>
                <w:rFonts w:ascii="Arial" w:hAnsi="Arial" w:cs="Arial"/>
              </w:rPr>
              <w:t xml:space="preserve"> meetings, during the I&amp;R process, </w:t>
            </w:r>
            <w:r w:rsidR="005C5821" w:rsidRPr="00F62746">
              <w:rPr>
                <w:rFonts w:ascii="Arial" w:hAnsi="Arial" w:cs="Arial"/>
              </w:rPr>
              <w:t xml:space="preserve">at </w:t>
            </w:r>
            <w:r w:rsidRPr="00F62746">
              <w:rPr>
                <w:rFonts w:ascii="Arial" w:hAnsi="Arial" w:cs="Arial"/>
              </w:rPr>
              <w:t>workshops, etc</w:t>
            </w:r>
            <w:r w:rsidR="00896E40" w:rsidRPr="00F62746">
              <w:rPr>
                <w:rFonts w:ascii="Arial" w:hAnsi="Arial" w:cs="Arial"/>
              </w:rPr>
              <w:t>.</w:t>
            </w:r>
          </w:p>
          <w:p w14:paraId="4BF664F1" w14:textId="77777777" w:rsidR="00D954D1" w:rsidRPr="00F62746" w:rsidRDefault="00D954D1" w:rsidP="00142F53">
            <w:pPr>
              <w:numPr>
                <w:ilvl w:val="0"/>
                <w:numId w:val="6"/>
              </w:numPr>
              <w:tabs>
                <w:tab w:val="clear" w:pos="720"/>
                <w:tab w:val="num" w:pos="435"/>
              </w:tabs>
              <w:spacing w:before="100" w:beforeAutospacing="1" w:after="100" w:afterAutospacing="1"/>
              <w:ind w:left="435" w:hanging="270"/>
              <w:rPr>
                <w:rFonts w:ascii="Arial" w:hAnsi="Arial" w:cs="Arial"/>
              </w:rPr>
            </w:pPr>
            <w:r w:rsidRPr="00F62746">
              <w:rPr>
                <w:rFonts w:ascii="Arial" w:hAnsi="Arial" w:cs="Arial"/>
              </w:rPr>
              <w:t>Share resources (e.g.</w:t>
            </w:r>
            <w:r w:rsidR="00B1744E" w:rsidRPr="00F62746">
              <w:rPr>
                <w:rFonts w:ascii="Arial" w:hAnsi="Arial" w:cs="Arial"/>
              </w:rPr>
              <w:t>,</w:t>
            </w:r>
            <w:r w:rsidRPr="00F62746">
              <w:rPr>
                <w:rFonts w:ascii="Arial" w:hAnsi="Arial" w:cs="Arial"/>
              </w:rPr>
              <w:t xml:space="preserve"> nutrition, food stability, transportation, etc.) available within the community.</w:t>
            </w:r>
          </w:p>
          <w:p w14:paraId="468B4745" w14:textId="77777777" w:rsidR="00896E40" w:rsidRPr="00F62746" w:rsidRDefault="005C5821" w:rsidP="00142F53">
            <w:pPr>
              <w:numPr>
                <w:ilvl w:val="0"/>
                <w:numId w:val="6"/>
              </w:numPr>
              <w:tabs>
                <w:tab w:val="clear" w:pos="720"/>
                <w:tab w:val="num" w:pos="435"/>
              </w:tabs>
              <w:spacing w:before="100" w:beforeAutospacing="1" w:after="100" w:afterAutospacing="1"/>
              <w:ind w:left="435" w:hanging="270"/>
              <w:rPr>
                <w:rFonts w:ascii="Arial" w:hAnsi="Arial" w:cs="Arial"/>
              </w:rPr>
            </w:pPr>
            <w:r w:rsidRPr="00F62746">
              <w:rPr>
                <w:rFonts w:ascii="Arial" w:hAnsi="Arial" w:cs="Arial"/>
              </w:rPr>
              <w:t>Inform parents and family</w:t>
            </w:r>
            <w:r w:rsidR="00896E40" w:rsidRPr="00F62746">
              <w:rPr>
                <w:rFonts w:ascii="Arial" w:hAnsi="Arial" w:cs="Arial"/>
              </w:rPr>
              <w:t xml:space="preserve"> about developmental stages</w:t>
            </w:r>
            <w:r w:rsidR="00D954D1" w:rsidRPr="00F62746">
              <w:rPr>
                <w:rFonts w:ascii="Arial" w:hAnsi="Arial" w:cs="Arial"/>
              </w:rPr>
              <w:t xml:space="preserve"> during parent workshops</w:t>
            </w:r>
            <w:r w:rsidR="00896E40" w:rsidRPr="00F62746">
              <w:rPr>
                <w:rFonts w:ascii="Arial" w:hAnsi="Arial" w:cs="Arial"/>
              </w:rPr>
              <w:t>.</w:t>
            </w:r>
          </w:p>
        </w:tc>
      </w:tr>
      <w:tr w:rsidR="002119CE" w:rsidRPr="00F62746" w14:paraId="27806DE8" w14:textId="77777777" w:rsidTr="00940787">
        <w:trPr>
          <w:cantSplit/>
          <w:trHeight w:val="5690"/>
        </w:trPr>
        <w:tc>
          <w:tcPr>
            <w:tcW w:w="2085" w:type="dxa"/>
          </w:tcPr>
          <w:p w14:paraId="1256D268" w14:textId="77777777" w:rsidR="002119CE" w:rsidRPr="00F62746" w:rsidRDefault="002119CE" w:rsidP="008C24F6">
            <w:pPr>
              <w:rPr>
                <w:rFonts w:ascii="Arial" w:hAnsi="Arial" w:cs="Arial"/>
              </w:rPr>
            </w:pPr>
            <w:r w:rsidRPr="00F62746">
              <w:rPr>
                <w:rFonts w:ascii="Arial" w:hAnsi="Arial" w:cs="Arial"/>
              </w:rPr>
              <w:lastRenderedPageBreak/>
              <w:t>Skill Development: Increase parent capacity to participate at the s</w:t>
            </w:r>
            <w:r w:rsidR="005C4E1A" w:rsidRPr="00F62746">
              <w:rPr>
                <w:rFonts w:ascii="Arial" w:hAnsi="Arial" w:cs="Arial"/>
              </w:rPr>
              <w:t>chool and district, or regional,</w:t>
            </w:r>
            <w:r w:rsidRPr="00F62746">
              <w:rPr>
                <w:rFonts w:ascii="Arial" w:hAnsi="Arial" w:cs="Arial"/>
              </w:rPr>
              <w:t xml:space="preserve"> level</w:t>
            </w:r>
            <w:r w:rsidR="005C4E1A" w:rsidRPr="00F62746">
              <w:rPr>
                <w:rFonts w:ascii="Arial" w:hAnsi="Arial" w:cs="Arial"/>
              </w:rPr>
              <w:t>.</w:t>
            </w:r>
          </w:p>
        </w:tc>
        <w:tc>
          <w:tcPr>
            <w:tcW w:w="3240" w:type="dxa"/>
          </w:tcPr>
          <w:p w14:paraId="27D29967" w14:textId="77777777" w:rsidR="002119CE" w:rsidRPr="00F62746" w:rsidRDefault="0047706A" w:rsidP="00142F53">
            <w:pPr>
              <w:pStyle w:val="ListParagraph"/>
              <w:numPr>
                <w:ilvl w:val="0"/>
                <w:numId w:val="9"/>
              </w:numPr>
              <w:ind w:left="345" w:hanging="270"/>
              <w:rPr>
                <w:rFonts w:ascii="Arial" w:hAnsi="Arial" w:cs="Arial"/>
              </w:rPr>
            </w:pPr>
            <w:r w:rsidRPr="00F62746">
              <w:rPr>
                <w:rFonts w:ascii="Arial" w:hAnsi="Arial" w:cs="Arial"/>
              </w:rPr>
              <w:t>Disseminat</w:t>
            </w:r>
            <w:r w:rsidR="0042552C" w:rsidRPr="00F62746">
              <w:rPr>
                <w:rFonts w:ascii="Arial" w:hAnsi="Arial" w:cs="Arial"/>
              </w:rPr>
              <w:t>e research on the impact of parent involvement on student achievement.</w:t>
            </w:r>
          </w:p>
          <w:p w14:paraId="5553D20B" w14:textId="77777777" w:rsidR="001B50D5" w:rsidRPr="00F62746" w:rsidRDefault="001B50D5" w:rsidP="00142F53">
            <w:pPr>
              <w:pStyle w:val="ListParagraph"/>
              <w:numPr>
                <w:ilvl w:val="0"/>
                <w:numId w:val="9"/>
              </w:numPr>
              <w:ind w:left="345" w:hanging="270"/>
              <w:rPr>
                <w:rFonts w:ascii="Arial" w:hAnsi="Arial" w:cs="Arial"/>
              </w:rPr>
            </w:pPr>
            <w:r w:rsidRPr="00F62746">
              <w:rPr>
                <w:rFonts w:ascii="Arial" w:hAnsi="Arial" w:cs="Arial"/>
              </w:rPr>
              <w:t>Include migratory parents in the development of the statewide CNA and SSDP.</w:t>
            </w:r>
            <w:r w:rsidR="008437E7" w:rsidRPr="00F62746">
              <w:rPr>
                <w:rFonts w:ascii="Arial" w:hAnsi="Arial" w:cs="Arial"/>
              </w:rPr>
              <w:t xml:space="preserve"> </w:t>
            </w:r>
          </w:p>
          <w:p w14:paraId="0BADD0BB" w14:textId="77777777" w:rsidR="005C4E1A" w:rsidRPr="00F62746" w:rsidRDefault="005C4E1A" w:rsidP="00142F53">
            <w:pPr>
              <w:pStyle w:val="ListParagraph"/>
              <w:numPr>
                <w:ilvl w:val="0"/>
                <w:numId w:val="9"/>
              </w:numPr>
              <w:ind w:left="345" w:hanging="270"/>
              <w:rPr>
                <w:rFonts w:ascii="Arial" w:hAnsi="Arial" w:cs="Arial"/>
              </w:rPr>
            </w:pPr>
            <w:r w:rsidRPr="00F62746">
              <w:rPr>
                <w:rFonts w:ascii="Arial" w:hAnsi="Arial" w:cs="Arial"/>
              </w:rPr>
              <w:t>Provide training and information sharing opportunities through the SPAC.</w:t>
            </w:r>
          </w:p>
        </w:tc>
        <w:tc>
          <w:tcPr>
            <w:tcW w:w="4065" w:type="dxa"/>
          </w:tcPr>
          <w:p w14:paraId="262D5C85" w14:textId="77777777" w:rsidR="002119CE" w:rsidRPr="00F62746" w:rsidRDefault="0042552C" w:rsidP="00142F53">
            <w:pPr>
              <w:numPr>
                <w:ilvl w:val="0"/>
                <w:numId w:val="7"/>
              </w:numPr>
              <w:tabs>
                <w:tab w:val="clear" w:pos="720"/>
                <w:tab w:val="num" w:pos="435"/>
              </w:tabs>
              <w:ind w:left="435" w:hanging="270"/>
              <w:rPr>
                <w:rFonts w:ascii="Arial" w:hAnsi="Arial" w:cs="Arial"/>
              </w:rPr>
            </w:pPr>
            <w:r w:rsidRPr="00F62746">
              <w:rPr>
                <w:rFonts w:ascii="Arial" w:hAnsi="Arial" w:cs="Arial"/>
              </w:rPr>
              <w:t>Train parents on how to read and interpret student achievement data.</w:t>
            </w:r>
          </w:p>
          <w:p w14:paraId="354311D7" w14:textId="77777777" w:rsidR="0042552C" w:rsidRPr="00F62746" w:rsidRDefault="0042552C" w:rsidP="00142F53">
            <w:pPr>
              <w:numPr>
                <w:ilvl w:val="0"/>
                <w:numId w:val="7"/>
              </w:numPr>
              <w:tabs>
                <w:tab w:val="clear" w:pos="720"/>
                <w:tab w:val="num" w:pos="435"/>
              </w:tabs>
              <w:ind w:left="435" w:hanging="270"/>
              <w:rPr>
                <w:rFonts w:ascii="Arial" w:hAnsi="Arial" w:cs="Arial"/>
              </w:rPr>
            </w:pPr>
            <w:r w:rsidRPr="00F62746">
              <w:rPr>
                <w:rFonts w:ascii="Arial" w:hAnsi="Arial" w:cs="Arial"/>
              </w:rPr>
              <w:t>Train parents to participate in curricular and budgetary decision making.</w:t>
            </w:r>
          </w:p>
          <w:p w14:paraId="69102F6F" w14:textId="77777777" w:rsidR="0042552C" w:rsidRPr="00F62746" w:rsidRDefault="005C4E1A" w:rsidP="00142F53">
            <w:pPr>
              <w:numPr>
                <w:ilvl w:val="0"/>
                <w:numId w:val="7"/>
              </w:numPr>
              <w:tabs>
                <w:tab w:val="clear" w:pos="720"/>
                <w:tab w:val="num" w:pos="435"/>
              </w:tabs>
              <w:ind w:left="435" w:hanging="270"/>
              <w:rPr>
                <w:rFonts w:ascii="Arial" w:hAnsi="Arial" w:cs="Arial"/>
              </w:rPr>
            </w:pPr>
            <w:r w:rsidRPr="00F62746">
              <w:rPr>
                <w:rFonts w:ascii="Arial" w:hAnsi="Arial" w:cs="Arial"/>
              </w:rPr>
              <w:t>Train parents on partnership building strategies to connect with family, school</w:t>
            </w:r>
            <w:r w:rsidR="00773107" w:rsidRPr="00F62746">
              <w:rPr>
                <w:rFonts w:ascii="Arial" w:hAnsi="Arial" w:cs="Arial"/>
              </w:rPr>
              <w:t>,</w:t>
            </w:r>
            <w:r w:rsidRPr="00F62746">
              <w:rPr>
                <w:rFonts w:ascii="Arial" w:hAnsi="Arial" w:cs="Arial"/>
              </w:rPr>
              <w:t xml:space="preserve"> and the community.</w:t>
            </w:r>
          </w:p>
          <w:p w14:paraId="2CF8965C" w14:textId="77777777" w:rsidR="005C4E1A" w:rsidRPr="00F62746" w:rsidRDefault="005C4E1A" w:rsidP="00142F53">
            <w:pPr>
              <w:numPr>
                <w:ilvl w:val="0"/>
                <w:numId w:val="7"/>
              </w:numPr>
              <w:tabs>
                <w:tab w:val="clear" w:pos="720"/>
                <w:tab w:val="num" w:pos="435"/>
              </w:tabs>
              <w:ind w:left="435" w:hanging="270"/>
              <w:rPr>
                <w:rFonts w:ascii="Arial" w:hAnsi="Arial" w:cs="Arial"/>
              </w:rPr>
            </w:pPr>
            <w:r w:rsidRPr="00F62746">
              <w:rPr>
                <w:rFonts w:ascii="Arial" w:hAnsi="Arial" w:cs="Arial"/>
              </w:rPr>
              <w:t>Provide workshops including:</w:t>
            </w:r>
          </w:p>
          <w:p w14:paraId="57AD0383" w14:textId="77777777" w:rsidR="005C4E1A" w:rsidRPr="00F62746" w:rsidRDefault="00BD3B1E" w:rsidP="00142F53">
            <w:pPr>
              <w:pStyle w:val="ListParagraph"/>
              <w:numPr>
                <w:ilvl w:val="0"/>
                <w:numId w:val="10"/>
              </w:numPr>
              <w:tabs>
                <w:tab w:val="num" w:pos="795"/>
              </w:tabs>
              <w:ind w:left="795"/>
              <w:rPr>
                <w:rFonts w:ascii="Arial" w:hAnsi="Arial" w:cs="Arial"/>
              </w:rPr>
            </w:pPr>
            <w:r w:rsidRPr="00F62746">
              <w:rPr>
                <w:rFonts w:ascii="Arial" w:hAnsi="Arial" w:cs="Arial"/>
              </w:rPr>
              <w:t>Parent and family engagement</w:t>
            </w:r>
          </w:p>
          <w:p w14:paraId="236CAC5B" w14:textId="77777777" w:rsidR="00BD3B1E" w:rsidRPr="00F62746" w:rsidRDefault="00BD3B1E" w:rsidP="00142F53">
            <w:pPr>
              <w:pStyle w:val="ListParagraph"/>
              <w:numPr>
                <w:ilvl w:val="0"/>
                <w:numId w:val="10"/>
              </w:numPr>
              <w:tabs>
                <w:tab w:val="num" w:pos="795"/>
              </w:tabs>
              <w:ind w:left="795"/>
              <w:rPr>
                <w:rFonts w:ascii="Arial" w:hAnsi="Arial" w:cs="Arial"/>
              </w:rPr>
            </w:pPr>
            <w:r w:rsidRPr="00F62746">
              <w:rPr>
                <w:rFonts w:ascii="Arial" w:hAnsi="Arial" w:cs="Arial"/>
              </w:rPr>
              <w:t>Supporting high school graduation</w:t>
            </w:r>
          </w:p>
          <w:p w14:paraId="1B1CEAE3" w14:textId="77777777" w:rsidR="00BD3B1E" w:rsidRPr="00F62746" w:rsidRDefault="00BD3B1E" w:rsidP="00142F53">
            <w:pPr>
              <w:pStyle w:val="ListParagraph"/>
              <w:numPr>
                <w:ilvl w:val="0"/>
                <w:numId w:val="10"/>
              </w:numPr>
              <w:tabs>
                <w:tab w:val="num" w:pos="795"/>
              </w:tabs>
              <w:ind w:left="795"/>
              <w:rPr>
                <w:rFonts w:ascii="Arial" w:hAnsi="Arial" w:cs="Arial"/>
              </w:rPr>
            </w:pPr>
            <w:r w:rsidRPr="00F62746">
              <w:rPr>
                <w:rFonts w:ascii="Arial" w:hAnsi="Arial" w:cs="Arial"/>
              </w:rPr>
              <w:t>Career Technical Education</w:t>
            </w:r>
          </w:p>
          <w:p w14:paraId="3F6BD969" w14:textId="77777777" w:rsidR="00BD3B1E" w:rsidRPr="00F62746" w:rsidRDefault="00BD3B1E" w:rsidP="00142F53">
            <w:pPr>
              <w:pStyle w:val="ListParagraph"/>
              <w:numPr>
                <w:ilvl w:val="0"/>
                <w:numId w:val="10"/>
              </w:numPr>
              <w:tabs>
                <w:tab w:val="num" w:pos="795"/>
              </w:tabs>
              <w:ind w:left="795"/>
              <w:rPr>
                <w:rFonts w:ascii="Arial" w:hAnsi="Arial" w:cs="Arial"/>
              </w:rPr>
            </w:pPr>
            <w:r w:rsidRPr="00F62746">
              <w:rPr>
                <w:rFonts w:ascii="Arial" w:hAnsi="Arial" w:cs="Arial"/>
              </w:rPr>
              <w:t>Academic and education vocabulary (e.g.,</w:t>
            </w:r>
            <w:r w:rsidR="00A345CA" w:rsidRPr="00F62746">
              <w:rPr>
                <w:rFonts w:ascii="Arial" w:hAnsi="Arial" w:cs="Arial"/>
              </w:rPr>
              <w:t xml:space="preserve"> acronyms, A-G, parent homework dictionary, etc.).</w:t>
            </w:r>
          </w:p>
        </w:tc>
      </w:tr>
      <w:tr w:rsidR="008C24F6" w:rsidRPr="00F62746" w14:paraId="12740F2D" w14:textId="77777777" w:rsidTr="00940787">
        <w:trPr>
          <w:cnfStyle w:val="000000100000" w:firstRow="0" w:lastRow="0" w:firstColumn="0" w:lastColumn="0" w:oddVBand="0" w:evenVBand="0" w:oddHBand="1" w:evenHBand="0" w:firstRowFirstColumn="0" w:firstRowLastColumn="0" w:lastRowFirstColumn="0" w:lastRowLastColumn="0"/>
          <w:cantSplit/>
          <w:trHeight w:val="2576"/>
        </w:trPr>
        <w:tc>
          <w:tcPr>
            <w:tcW w:w="2085" w:type="dxa"/>
          </w:tcPr>
          <w:p w14:paraId="0505322E" w14:textId="77777777" w:rsidR="008C24F6" w:rsidRPr="00F62746" w:rsidRDefault="008C24F6" w:rsidP="008C24F6">
            <w:pPr>
              <w:rPr>
                <w:rFonts w:ascii="Arial" w:hAnsi="Arial" w:cs="Arial"/>
              </w:rPr>
            </w:pPr>
            <w:r w:rsidRPr="00F62746">
              <w:rPr>
                <w:rFonts w:ascii="Arial" w:hAnsi="Arial" w:cs="Arial"/>
              </w:rPr>
              <w:t>Participation:</w:t>
            </w:r>
          </w:p>
          <w:p w14:paraId="3362BA78" w14:textId="77777777" w:rsidR="008C24F6" w:rsidRPr="00F62746" w:rsidRDefault="00C27EAE" w:rsidP="008C24F6">
            <w:pPr>
              <w:rPr>
                <w:rFonts w:ascii="Arial" w:hAnsi="Arial" w:cs="Arial"/>
              </w:rPr>
            </w:pPr>
            <w:r w:rsidRPr="00F62746">
              <w:rPr>
                <w:rFonts w:ascii="Arial" w:hAnsi="Arial" w:cs="Arial"/>
              </w:rPr>
              <w:t>Increase parent participation.</w:t>
            </w:r>
          </w:p>
        </w:tc>
        <w:tc>
          <w:tcPr>
            <w:tcW w:w="3240" w:type="dxa"/>
          </w:tcPr>
          <w:p w14:paraId="6D986A6D" w14:textId="77777777" w:rsidR="008C24F6" w:rsidRPr="00F62746" w:rsidRDefault="008C24F6" w:rsidP="00142F53">
            <w:pPr>
              <w:pStyle w:val="ListParagraph"/>
              <w:numPr>
                <w:ilvl w:val="0"/>
                <w:numId w:val="9"/>
              </w:numPr>
              <w:ind w:left="345" w:hanging="270"/>
              <w:rPr>
                <w:rFonts w:ascii="Arial" w:hAnsi="Arial" w:cs="Arial"/>
              </w:rPr>
            </w:pPr>
            <w:r w:rsidRPr="00F62746">
              <w:rPr>
                <w:rFonts w:ascii="Arial" w:hAnsi="Arial" w:cs="Arial"/>
              </w:rPr>
              <w:t xml:space="preserve">Disseminate evidence-based practices on family outreach. </w:t>
            </w:r>
          </w:p>
          <w:p w14:paraId="0B37D9D4" w14:textId="77777777" w:rsidR="008C24F6" w:rsidRPr="00F62746" w:rsidRDefault="008C24F6" w:rsidP="00142F53">
            <w:pPr>
              <w:pStyle w:val="ListParagraph"/>
              <w:numPr>
                <w:ilvl w:val="0"/>
                <w:numId w:val="9"/>
              </w:numPr>
              <w:ind w:left="345" w:hanging="270"/>
              <w:rPr>
                <w:rFonts w:ascii="Arial" w:hAnsi="Arial" w:cs="Arial"/>
              </w:rPr>
            </w:pPr>
            <w:r w:rsidRPr="00F62746">
              <w:rPr>
                <w:rFonts w:ascii="Arial" w:hAnsi="Arial" w:cs="Arial"/>
              </w:rPr>
              <w:t>Provide subgrantees with a forum to discuss parent participation and outreach strategies.</w:t>
            </w:r>
          </w:p>
        </w:tc>
        <w:tc>
          <w:tcPr>
            <w:tcW w:w="4065" w:type="dxa"/>
          </w:tcPr>
          <w:p w14:paraId="78AC41CD" w14:textId="77777777" w:rsidR="008C24F6" w:rsidRPr="00F62746" w:rsidRDefault="008C24F6" w:rsidP="00142F53">
            <w:pPr>
              <w:numPr>
                <w:ilvl w:val="0"/>
                <w:numId w:val="7"/>
              </w:numPr>
              <w:tabs>
                <w:tab w:val="clear" w:pos="720"/>
                <w:tab w:val="num" w:pos="435"/>
              </w:tabs>
              <w:ind w:left="435" w:hanging="270"/>
              <w:rPr>
                <w:rFonts w:ascii="Arial" w:hAnsi="Arial" w:cs="Arial"/>
              </w:rPr>
            </w:pPr>
            <w:r w:rsidRPr="00F62746">
              <w:rPr>
                <w:rFonts w:ascii="Arial" w:hAnsi="Arial" w:cs="Arial"/>
              </w:rPr>
              <w:t>Use a variety of methods to re</w:t>
            </w:r>
            <w:r w:rsidR="00F71478" w:rsidRPr="00F62746">
              <w:rPr>
                <w:rFonts w:ascii="Arial" w:hAnsi="Arial" w:cs="Arial"/>
              </w:rPr>
              <w:t>cruit parents (e.g., work with the PAC or R</w:t>
            </w:r>
            <w:r w:rsidR="00773107" w:rsidRPr="00F62746">
              <w:rPr>
                <w:rFonts w:ascii="Arial" w:hAnsi="Arial" w:cs="Arial"/>
              </w:rPr>
              <w:t>P</w:t>
            </w:r>
            <w:r w:rsidR="00F71478" w:rsidRPr="00F62746">
              <w:rPr>
                <w:rFonts w:ascii="Arial" w:hAnsi="Arial" w:cs="Arial"/>
              </w:rPr>
              <w:t>AC to help enroll migratory families, phone call/text reminders</w:t>
            </w:r>
            <w:r w:rsidRPr="00F62746">
              <w:rPr>
                <w:rFonts w:ascii="Arial" w:hAnsi="Arial" w:cs="Arial"/>
              </w:rPr>
              <w:t xml:space="preserve"> before each class, </w:t>
            </w:r>
            <w:r w:rsidR="00F71478" w:rsidRPr="00F62746">
              <w:rPr>
                <w:rFonts w:ascii="Arial" w:hAnsi="Arial" w:cs="Arial"/>
              </w:rPr>
              <w:t>collaborate with community-based organizations).</w:t>
            </w:r>
          </w:p>
          <w:p w14:paraId="036540A0" w14:textId="77777777" w:rsidR="00F71478" w:rsidRPr="00F62746" w:rsidRDefault="00F71478" w:rsidP="00142F53">
            <w:pPr>
              <w:numPr>
                <w:ilvl w:val="0"/>
                <w:numId w:val="7"/>
              </w:numPr>
              <w:tabs>
                <w:tab w:val="clear" w:pos="720"/>
                <w:tab w:val="num" w:pos="435"/>
              </w:tabs>
              <w:ind w:left="435" w:hanging="270"/>
              <w:rPr>
                <w:rFonts w:ascii="Arial" w:hAnsi="Arial" w:cs="Arial"/>
              </w:rPr>
            </w:pPr>
            <w:r w:rsidRPr="00F62746">
              <w:rPr>
                <w:rFonts w:ascii="Arial" w:hAnsi="Arial" w:cs="Arial"/>
              </w:rPr>
              <w:t>Collaborate with school administrators and staff to encourage participation in the MEP.</w:t>
            </w:r>
          </w:p>
          <w:p w14:paraId="5E6CE402" w14:textId="77777777" w:rsidR="004C2A0E" w:rsidRPr="00F62746" w:rsidRDefault="004C2A0E" w:rsidP="00142F53">
            <w:pPr>
              <w:numPr>
                <w:ilvl w:val="0"/>
                <w:numId w:val="7"/>
              </w:numPr>
              <w:tabs>
                <w:tab w:val="clear" w:pos="720"/>
                <w:tab w:val="num" w:pos="435"/>
              </w:tabs>
              <w:ind w:left="435" w:hanging="270"/>
              <w:rPr>
                <w:rFonts w:ascii="Arial" w:hAnsi="Arial" w:cs="Arial"/>
              </w:rPr>
            </w:pPr>
            <w:r w:rsidRPr="00F62746">
              <w:rPr>
                <w:rFonts w:ascii="Arial" w:hAnsi="Arial" w:cs="Arial"/>
              </w:rPr>
              <w:t>Incentivize participation through student recognition nights and monthly raffles.</w:t>
            </w:r>
          </w:p>
        </w:tc>
      </w:tr>
      <w:tr w:rsidR="005C5821" w:rsidRPr="00F62746" w14:paraId="3B998C05" w14:textId="77777777" w:rsidTr="00940787">
        <w:trPr>
          <w:cantSplit/>
          <w:trHeight w:val="5537"/>
        </w:trPr>
        <w:tc>
          <w:tcPr>
            <w:tcW w:w="2085" w:type="dxa"/>
            <w:hideMark/>
          </w:tcPr>
          <w:p w14:paraId="0976DAC9" w14:textId="77777777" w:rsidR="00896E40" w:rsidRPr="00F62746" w:rsidRDefault="00D954D1" w:rsidP="00B21C78">
            <w:pPr>
              <w:spacing w:before="100" w:beforeAutospacing="1" w:after="100" w:afterAutospacing="1"/>
              <w:rPr>
                <w:rFonts w:ascii="Arial" w:hAnsi="Arial" w:cs="Arial"/>
              </w:rPr>
            </w:pPr>
            <w:r w:rsidRPr="00F62746">
              <w:rPr>
                <w:rFonts w:ascii="Arial" w:hAnsi="Arial" w:cs="Arial"/>
              </w:rPr>
              <w:lastRenderedPageBreak/>
              <w:t>Communication</w:t>
            </w:r>
            <w:r w:rsidR="00896E40" w:rsidRPr="00F62746">
              <w:rPr>
                <w:rFonts w:ascii="Arial" w:hAnsi="Arial" w:cs="Arial"/>
              </w:rPr>
              <w:t xml:space="preserve">: Develop communication </w:t>
            </w:r>
            <w:r w:rsidRPr="00F62746">
              <w:rPr>
                <w:rFonts w:ascii="Arial" w:hAnsi="Arial" w:cs="Arial"/>
              </w:rPr>
              <w:t xml:space="preserve">channels </w:t>
            </w:r>
            <w:r w:rsidR="00B21C78" w:rsidRPr="00F62746">
              <w:rPr>
                <w:rFonts w:ascii="Arial" w:hAnsi="Arial" w:cs="Arial"/>
              </w:rPr>
              <w:t>between families,</w:t>
            </w:r>
            <w:r w:rsidR="00896E40" w:rsidRPr="00F62746">
              <w:rPr>
                <w:rFonts w:ascii="Arial" w:hAnsi="Arial" w:cs="Arial"/>
              </w:rPr>
              <w:t xml:space="preserve"> the MEP and schools.</w:t>
            </w:r>
          </w:p>
        </w:tc>
        <w:tc>
          <w:tcPr>
            <w:tcW w:w="3240" w:type="dxa"/>
            <w:hideMark/>
          </w:tcPr>
          <w:p w14:paraId="2FB415A8" w14:textId="77777777" w:rsidR="000F624F" w:rsidRPr="00F62746" w:rsidRDefault="006A563E" w:rsidP="00142F53">
            <w:pPr>
              <w:pStyle w:val="ListParagraph"/>
              <w:numPr>
                <w:ilvl w:val="0"/>
                <w:numId w:val="9"/>
              </w:numPr>
              <w:spacing w:before="100" w:beforeAutospacing="1" w:after="100" w:afterAutospacing="1"/>
              <w:ind w:left="345" w:hanging="270"/>
              <w:rPr>
                <w:rFonts w:ascii="Arial" w:hAnsi="Arial" w:cs="Arial"/>
              </w:rPr>
            </w:pPr>
            <w:r w:rsidRPr="00F62746">
              <w:rPr>
                <w:rFonts w:ascii="Arial" w:hAnsi="Arial" w:cs="Arial"/>
              </w:rPr>
              <w:t>Discuss the importance of two</w:t>
            </w:r>
            <w:r w:rsidR="000F624F" w:rsidRPr="00F62746">
              <w:rPr>
                <w:rFonts w:ascii="Arial" w:hAnsi="Arial" w:cs="Arial"/>
              </w:rPr>
              <w:t>-way communication between parents, the MEP</w:t>
            </w:r>
            <w:r w:rsidR="00773107" w:rsidRPr="00F62746">
              <w:rPr>
                <w:rFonts w:ascii="Arial" w:hAnsi="Arial" w:cs="Arial"/>
              </w:rPr>
              <w:t>,</w:t>
            </w:r>
            <w:r w:rsidR="000F624F" w:rsidRPr="00F62746">
              <w:rPr>
                <w:rFonts w:ascii="Arial" w:hAnsi="Arial" w:cs="Arial"/>
              </w:rPr>
              <w:t xml:space="preserve"> and schools.</w:t>
            </w:r>
          </w:p>
          <w:p w14:paraId="2AAF9032" w14:textId="77777777" w:rsidR="00896E40" w:rsidRPr="00F62746" w:rsidRDefault="00896E40" w:rsidP="00142F53">
            <w:pPr>
              <w:pStyle w:val="ListParagraph"/>
              <w:numPr>
                <w:ilvl w:val="0"/>
                <w:numId w:val="9"/>
              </w:numPr>
              <w:spacing w:before="100" w:beforeAutospacing="1" w:after="100" w:afterAutospacing="1"/>
              <w:ind w:left="345" w:hanging="270"/>
              <w:rPr>
                <w:rFonts w:ascii="Arial" w:hAnsi="Arial" w:cs="Arial"/>
              </w:rPr>
            </w:pPr>
            <w:r w:rsidRPr="00F62746">
              <w:rPr>
                <w:rFonts w:ascii="Arial" w:hAnsi="Arial" w:cs="Arial"/>
              </w:rPr>
              <w:t>Compile resources and best practic</w:t>
            </w:r>
            <w:r w:rsidR="00D674B8" w:rsidRPr="00F62746">
              <w:rPr>
                <w:rFonts w:ascii="Arial" w:hAnsi="Arial" w:cs="Arial"/>
              </w:rPr>
              <w:t>es related to creating migratory-</w:t>
            </w:r>
            <w:r w:rsidRPr="00F62746">
              <w:rPr>
                <w:rFonts w:ascii="Arial" w:hAnsi="Arial" w:cs="Arial"/>
              </w:rPr>
              <w:t>family friendly schools.</w:t>
            </w:r>
          </w:p>
        </w:tc>
        <w:tc>
          <w:tcPr>
            <w:tcW w:w="4065" w:type="dxa"/>
            <w:hideMark/>
          </w:tcPr>
          <w:p w14:paraId="2C3B908D" w14:textId="77777777" w:rsidR="006A563E" w:rsidRPr="00F62746" w:rsidRDefault="00B16E6A" w:rsidP="00142F53">
            <w:pPr>
              <w:numPr>
                <w:ilvl w:val="0"/>
                <w:numId w:val="7"/>
              </w:numPr>
              <w:tabs>
                <w:tab w:val="clear" w:pos="720"/>
                <w:tab w:val="num" w:pos="435"/>
              </w:tabs>
              <w:spacing w:before="100" w:beforeAutospacing="1" w:after="100" w:afterAutospacing="1"/>
              <w:ind w:left="435" w:hanging="270"/>
              <w:rPr>
                <w:rFonts w:ascii="Arial" w:hAnsi="Arial" w:cs="Arial"/>
              </w:rPr>
            </w:pPr>
            <w:r w:rsidRPr="00F62746">
              <w:rPr>
                <w:rFonts w:ascii="Arial" w:hAnsi="Arial" w:cs="Arial"/>
              </w:rPr>
              <w:t>Work with</w:t>
            </w:r>
            <w:r w:rsidR="006A563E" w:rsidRPr="00F62746">
              <w:rPr>
                <w:rFonts w:ascii="Arial" w:hAnsi="Arial" w:cs="Arial"/>
              </w:rPr>
              <w:t xml:space="preserve"> schools, districts and parents </w:t>
            </w:r>
            <w:r w:rsidRPr="00F62746">
              <w:rPr>
                <w:rFonts w:ascii="Arial" w:hAnsi="Arial" w:cs="Arial"/>
              </w:rPr>
              <w:t>to</w:t>
            </w:r>
            <w:r w:rsidR="006A563E" w:rsidRPr="00F62746">
              <w:rPr>
                <w:rFonts w:ascii="Arial" w:hAnsi="Arial" w:cs="Arial"/>
              </w:rPr>
              <w:t xml:space="preserve"> encourag</w:t>
            </w:r>
            <w:r w:rsidR="00FC3AE8" w:rsidRPr="00F62746">
              <w:rPr>
                <w:rFonts w:ascii="Arial" w:hAnsi="Arial" w:cs="Arial"/>
              </w:rPr>
              <w:t>e</w:t>
            </w:r>
            <w:r w:rsidR="006A563E" w:rsidRPr="00F62746">
              <w:rPr>
                <w:rFonts w:ascii="Arial" w:hAnsi="Arial" w:cs="Arial"/>
              </w:rPr>
              <w:t xml:space="preserve"> </w:t>
            </w:r>
            <w:r w:rsidR="00E10BEB" w:rsidRPr="00F62746">
              <w:rPr>
                <w:rFonts w:ascii="Arial" w:hAnsi="Arial" w:cs="Arial"/>
              </w:rPr>
              <w:t>migratory parents</w:t>
            </w:r>
            <w:r w:rsidR="006A563E" w:rsidRPr="00F62746">
              <w:rPr>
                <w:rFonts w:ascii="Arial" w:hAnsi="Arial" w:cs="Arial"/>
              </w:rPr>
              <w:t xml:space="preserve"> to become more involved at school</w:t>
            </w:r>
            <w:r w:rsidR="00E10BEB" w:rsidRPr="00F62746">
              <w:rPr>
                <w:rFonts w:ascii="Arial" w:hAnsi="Arial" w:cs="Arial"/>
              </w:rPr>
              <w:t xml:space="preserve"> (e.g., DELAC, ELAC, school events, etc.)</w:t>
            </w:r>
            <w:r w:rsidR="006A563E" w:rsidRPr="00F62746">
              <w:rPr>
                <w:rFonts w:ascii="Arial" w:hAnsi="Arial" w:cs="Arial"/>
              </w:rPr>
              <w:t xml:space="preserve">. </w:t>
            </w:r>
          </w:p>
          <w:p w14:paraId="04254885" w14:textId="77777777" w:rsidR="006A563E" w:rsidRPr="00F62746" w:rsidRDefault="00896E40" w:rsidP="00142F53">
            <w:pPr>
              <w:numPr>
                <w:ilvl w:val="0"/>
                <w:numId w:val="7"/>
              </w:numPr>
              <w:tabs>
                <w:tab w:val="clear" w:pos="720"/>
                <w:tab w:val="num" w:pos="435"/>
              </w:tabs>
              <w:spacing w:before="100" w:beforeAutospacing="1" w:after="100" w:afterAutospacing="1"/>
              <w:ind w:left="435" w:hanging="270"/>
              <w:rPr>
                <w:rFonts w:ascii="Arial" w:hAnsi="Arial" w:cs="Arial"/>
              </w:rPr>
            </w:pPr>
            <w:r w:rsidRPr="00F62746">
              <w:rPr>
                <w:rFonts w:ascii="Arial" w:hAnsi="Arial" w:cs="Arial"/>
              </w:rPr>
              <w:t>Provide professional development for school staff on understanding the migrato</w:t>
            </w:r>
            <w:r w:rsidR="00D674B8" w:rsidRPr="00F62746">
              <w:rPr>
                <w:rFonts w:ascii="Arial" w:hAnsi="Arial" w:cs="Arial"/>
              </w:rPr>
              <w:t>ry lifestyle, cultural</w:t>
            </w:r>
            <w:r w:rsidR="006A563E" w:rsidRPr="00F62746">
              <w:rPr>
                <w:rFonts w:ascii="Arial" w:hAnsi="Arial" w:cs="Arial"/>
              </w:rPr>
              <w:t xml:space="preserve"> heritage and home environment.</w:t>
            </w:r>
          </w:p>
          <w:p w14:paraId="255BBAE2" w14:textId="533AD526" w:rsidR="00896E40" w:rsidRPr="00F62746" w:rsidRDefault="006A563E" w:rsidP="00142F53">
            <w:pPr>
              <w:numPr>
                <w:ilvl w:val="0"/>
                <w:numId w:val="7"/>
              </w:numPr>
              <w:tabs>
                <w:tab w:val="clear" w:pos="720"/>
                <w:tab w:val="num" w:pos="435"/>
              </w:tabs>
              <w:spacing w:before="100" w:beforeAutospacing="1" w:after="100" w:afterAutospacing="1"/>
              <w:ind w:left="435" w:hanging="270"/>
              <w:rPr>
                <w:rFonts w:ascii="Arial" w:hAnsi="Arial" w:cs="Arial"/>
              </w:rPr>
            </w:pPr>
            <w:r w:rsidRPr="00F62746">
              <w:rPr>
                <w:rFonts w:ascii="Arial" w:hAnsi="Arial" w:cs="Arial"/>
              </w:rPr>
              <w:t>Work with districts and schools to deliver</w:t>
            </w:r>
            <w:r w:rsidR="00896E40" w:rsidRPr="00F62746">
              <w:rPr>
                <w:rFonts w:ascii="Arial" w:hAnsi="Arial" w:cs="Arial"/>
              </w:rPr>
              <w:t xml:space="preserve"> important home information in appropriate languages</w:t>
            </w:r>
            <w:r w:rsidR="00761A04" w:rsidRPr="00F62746">
              <w:rPr>
                <w:rFonts w:ascii="Arial" w:hAnsi="Arial" w:cs="Arial"/>
              </w:rPr>
              <w:t xml:space="preserve"> (e</w:t>
            </w:r>
            <w:r w:rsidR="00E22495">
              <w:rPr>
                <w:rFonts w:ascii="Arial" w:hAnsi="Arial" w:cs="Arial"/>
              </w:rPr>
              <w:t>.g.,</w:t>
            </w:r>
            <w:r w:rsidRPr="00F62746">
              <w:rPr>
                <w:rFonts w:ascii="Arial" w:hAnsi="Arial" w:cs="Arial"/>
              </w:rPr>
              <w:t xml:space="preserve"> have a Mixteco interpreter call home with information)</w:t>
            </w:r>
            <w:r w:rsidR="00896E40" w:rsidRPr="00F62746">
              <w:rPr>
                <w:rFonts w:ascii="Arial" w:hAnsi="Arial" w:cs="Arial"/>
              </w:rPr>
              <w:t>.</w:t>
            </w:r>
          </w:p>
          <w:p w14:paraId="4B1D3C27" w14:textId="77777777" w:rsidR="00F71478" w:rsidRPr="00F62746" w:rsidRDefault="00896E40" w:rsidP="00142F53">
            <w:pPr>
              <w:numPr>
                <w:ilvl w:val="0"/>
                <w:numId w:val="7"/>
              </w:numPr>
              <w:tabs>
                <w:tab w:val="clear" w:pos="720"/>
                <w:tab w:val="num" w:pos="435"/>
              </w:tabs>
              <w:ind w:left="435" w:hanging="270"/>
              <w:rPr>
                <w:rFonts w:ascii="Arial" w:hAnsi="Arial" w:cs="Arial"/>
              </w:rPr>
            </w:pPr>
            <w:r w:rsidRPr="00F62746">
              <w:rPr>
                <w:rFonts w:ascii="Arial" w:hAnsi="Arial" w:cs="Arial"/>
              </w:rPr>
              <w:t xml:space="preserve">Provide </w:t>
            </w:r>
            <w:r w:rsidR="006A563E" w:rsidRPr="00F62746">
              <w:rPr>
                <w:rFonts w:ascii="Arial" w:hAnsi="Arial" w:cs="Arial"/>
              </w:rPr>
              <w:t>resources to migratory</w:t>
            </w:r>
            <w:r w:rsidRPr="00F62746">
              <w:rPr>
                <w:rFonts w:ascii="Arial" w:hAnsi="Arial" w:cs="Arial"/>
              </w:rPr>
              <w:t xml:space="preserve"> families </w:t>
            </w:r>
            <w:r w:rsidR="00F71478" w:rsidRPr="00F62746">
              <w:rPr>
                <w:rFonts w:ascii="Arial" w:hAnsi="Arial" w:cs="Arial"/>
              </w:rPr>
              <w:t>on</w:t>
            </w:r>
            <w:r w:rsidRPr="00F62746">
              <w:rPr>
                <w:rFonts w:ascii="Arial" w:hAnsi="Arial" w:cs="Arial"/>
              </w:rPr>
              <w:t xml:space="preserve"> </w:t>
            </w:r>
            <w:r w:rsidR="006A563E" w:rsidRPr="00F62746">
              <w:rPr>
                <w:rFonts w:ascii="Arial" w:hAnsi="Arial" w:cs="Arial"/>
              </w:rPr>
              <w:t xml:space="preserve">high school </w:t>
            </w:r>
            <w:r w:rsidRPr="00F62746">
              <w:rPr>
                <w:rFonts w:ascii="Arial" w:hAnsi="Arial" w:cs="Arial"/>
              </w:rPr>
              <w:t>graduation requirements and post-secondary opportunities.</w:t>
            </w:r>
          </w:p>
        </w:tc>
      </w:tr>
      <w:tr w:rsidR="006A563E" w:rsidRPr="00F62746" w14:paraId="4D0DF45C" w14:textId="77777777" w:rsidTr="00940787">
        <w:trPr>
          <w:cnfStyle w:val="000000100000" w:firstRow="0" w:lastRow="0" w:firstColumn="0" w:lastColumn="0" w:oddVBand="0" w:evenVBand="0" w:oddHBand="1" w:evenHBand="0" w:firstRowFirstColumn="0" w:firstRowLastColumn="0" w:lastRowFirstColumn="0" w:lastRowLastColumn="0"/>
          <w:cantSplit/>
          <w:trHeight w:val="2585"/>
        </w:trPr>
        <w:tc>
          <w:tcPr>
            <w:tcW w:w="2085" w:type="dxa"/>
          </w:tcPr>
          <w:p w14:paraId="0C9D6C38" w14:textId="77777777" w:rsidR="006A563E" w:rsidRPr="00F62746" w:rsidRDefault="00B16E6A" w:rsidP="006A563E">
            <w:pPr>
              <w:spacing w:before="100" w:beforeAutospacing="1" w:after="100" w:afterAutospacing="1"/>
              <w:rPr>
                <w:rFonts w:ascii="Arial" w:hAnsi="Arial" w:cs="Arial"/>
              </w:rPr>
            </w:pPr>
            <w:r w:rsidRPr="00F62746">
              <w:rPr>
                <w:rFonts w:ascii="Arial" w:hAnsi="Arial" w:cs="Arial"/>
              </w:rPr>
              <w:t>Regional Collabo</w:t>
            </w:r>
            <w:r w:rsidR="00EA2E99" w:rsidRPr="00F62746">
              <w:rPr>
                <w:rFonts w:ascii="Arial" w:hAnsi="Arial" w:cs="Arial"/>
              </w:rPr>
              <w:t>r</w:t>
            </w:r>
            <w:r w:rsidRPr="00F62746">
              <w:rPr>
                <w:rFonts w:ascii="Arial" w:hAnsi="Arial" w:cs="Arial"/>
              </w:rPr>
              <w:t>ation</w:t>
            </w:r>
            <w:r w:rsidR="006A563E" w:rsidRPr="00F62746">
              <w:rPr>
                <w:rFonts w:ascii="Arial" w:hAnsi="Arial" w:cs="Arial"/>
              </w:rPr>
              <w:t>: Develop communication channels between the MEP and school</w:t>
            </w:r>
            <w:r w:rsidR="00EA2E99" w:rsidRPr="00F62746">
              <w:rPr>
                <w:rFonts w:ascii="Arial" w:hAnsi="Arial" w:cs="Arial"/>
              </w:rPr>
              <w:t>s/</w:t>
            </w:r>
            <w:r w:rsidR="006A563E" w:rsidRPr="00F62746">
              <w:rPr>
                <w:rFonts w:ascii="Arial" w:hAnsi="Arial" w:cs="Arial"/>
              </w:rPr>
              <w:t>district administration</w:t>
            </w:r>
            <w:r w:rsidR="00773107" w:rsidRPr="00F62746">
              <w:rPr>
                <w:rFonts w:ascii="Arial" w:hAnsi="Arial" w:cs="Arial"/>
              </w:rPr>
              <w:t>,</w:t>
            </w:r>
            <w:r w:rsidR="006A563E" w:rsidRPr="00F62746">
              <w:rPr>
                <w:rFonts w:ascii="Arial" w:hAnsi="Arial" w:cs="Arial"/>
              </w:rPr>
              <w:t xml:space="preserve"> and staff.</w:t>
            </w:r>
          </w:p>
        </w:tc>
        <w:tc>
          <w:tcPr>
            <w:tcW w:w="3240" w:type="dxa"/>
          </w:tcPr>
          <w:p w14:paraId="0E4D5000" w14:textId="77777777" w:rsidR="006A563E" w:rsidRPr="00F62746" w:rsidRDefault="00647732" w:rsidP="00142F53">
            <w:pPr>
              <w:pStyle w:val="ListParagraph"/>
              <w:numPr>
                <w:ilvl w:val="0"/>
                <w:numId w:val="9"/>
              </w:numPr>
              <w:spacing w:before="100" w:beforeAutospacing="1" w:after="100" w:afterAutospacing="1"/>
              <w:ind w:left="345" w:hanging="270"/>
              <w:rPr>
                <w:rFonts w:ascii="Arial" w:hAnsi="Arial" w:cs="Arial"/>
              </w:rPr>
            </w:pPr>
            <w:r w:rsidRPr="00F62746">
              <w:rPr>
                <w:rFonts w:ascii="Arial" w:hAnsi="Arial" w:cs="Arial"/>
              </w:rPr>
              <w:t>Provide MEP Directors and staff with best practices for communi</w:t>
            </w:r>
            <w:r w:rsidR="00F71478" w:rsidRPr="00F62746">
              <w:rPr>
                <w:rFonts w:ascii="Arial" w:hAnsi="Arial" w:cs="Arial"/>
              </w:rPr>
              <w:t>cati</w:t>
            </w:r>
            <w:r w:rsidR="00171580" w:rsidRPr="00F62746">
              <w:rPr>
                <w:rFonts w:ascii="Arial" w:hAnsi="Arial" w:cs="Arial"/>
              </w:rPr>
              <w:t>ng and working with schools and</w:t>
            </w:r>
            <w:r w:rsidRPr="00F62746">
              <w:rPr>
                <w:rFonts w:ascii="Arial" w:hAnsi="Arial" w:cs="Arial"/>
              </w:rPr>
              <w:t xml:space="preserve"> districts to ensure an integrated and efficient approach to supporting migratory families.</w:t>
            </w:r>
          </w:p>
        </w:tc>
        <w:tc>
          <w:tcPr>
            <w:tcW w:w="4065" w:type="dxa"/>
          </w:tcPr>
          <w:p w14:paraId="4702D78E" w14:textId="77777777" w:rsidR="006A563E" w:rsidRPr="00F62746" w:rsidRDefault="006A563E" w:rsidP="00142F53">
            <w:pPr>
              <w:numPr>
                <w:ilvl w:val="0"/>
                <w:numId w:val="9"/>
              </w:numPr>
              <w:spacing w:before="100" w:beforeAutospacing="1" w:after="100" w:afterAutospacing="1"/>
              <w:ind w:left="435" w:hanging="270"/>
              <w:rPr>
                <w:rFonts w:ascii="Arial" w:hAnsi="Arial" w:cs="Arial"/>
              </w:rPr>
            </w:pPr>
            <w:r w:rsidRPr="00F62746">
              <w:rPr>
                <w:rFonts w:ascii="Arial" w:hAnsi="Arial" w:cs="Arial"/>
              </w:rPr>
              <w:t>Meet with schools</w:t>
            </w:r>
            <w:r w:rsidR="00F71478" w:rsidRPr="00F62746">
              <w:rPr>
                <w:rFonts w:ascii="Arial" w:hAnsi="Arial" w:cs="Arial"/>
              </w:rPr>
              <w:t>/districts</w:t>
            </w:r>
            <w:r w:rsidRPr="00F62746">
              <w:rPr>
                <w:rFonts w:ascii="Arial" w:hAnsi="Arial" w:cs="Arial"/>
              </w:rPr>
              <w:t xml:space="preserve"> </w:t>
            </w:r>
            <w:r w:rsidR="00647732" w:rsidRPr="00F62746">
              <w:rPr>
                <w:rFonts w:ascii="Arial" w:hAnsi="Arial" w:cs="Arial"/>
              </w:rPr>
              <w:t xml:space="preserve">on a regular basis </w:t>
            </w:r>
            <w:r w:rsidRPr="00F62746">
              <w:rPr>
                <w:rFonts w:ascii="Arial" w:hAnsi="Arial" w:cs="Arial"/>
              </w:rPr>
              <w:t>to identify ways to collaborate and offer integrated services to migratory students and families.</w:t>
            </w:r>
          </w:p>
          <w:p w14:paraId="53144E55" w14:textId="77777777" w:rsidR="006A563E" w:rsidRPr="00F62746" w:rsidRDefault="006A563E" w:rsidP="00142F53">
            <w:pPr>
              <w:numPr>
                <w:ilvl w:val="0"/>
                <w:numId w:val="9"/>
              </w:numPr>
              <w:spacing w:before="100" w:beforeAutospacing="1"/>
              <w:ind w:left="432" w:hanging="274"/>
              <w:rPr>
                <w:rFonts w:ascii="Arial" w:hAnsi="Arial" w:cs="Arial"/>
              </w:rPr>
            </w:pPr>
            <w:r w:rsidRPr="00F62746">
              <w:rPr>
                <w:rFonts w:ascii="Arial" w:hAnsi="Arial" w:cs="Arial"/>
              </w:rPr>
              <w:t>Meet with districts and schools</w:t>
            </w:r>
            <w:r w:rsidR="00647732" w:rsidRPr="00F62746">
              <w:rPr>
                <w:rFonts w:ascii="Arial" w:hAnsi="Arial" w:cs="Arial"/>
              </w:rPr>
              <w:t xml:space="preserve"> on a regular basis</w:t>
            </w:r>
            <w:r w:rsidRPr="00F62746">
              <w:rPr>
                <w:rFonts w:ascii="Arial" w:hAnsi="Arial" w:cs="Arial"/>
              </w:rPr>
              <w:t xml:space="preserve"> to strategically plan events so that MEP and school events are not in conflict.</w:t>
            </w:r>
          </w:p>
        </w:tc>
      </w:tr>
      <w:tr w:rsidR="005C5821" w:rsidRPr="00F62746" w14:paraId="286135F8" w14:textId="77777777" w:rsidTr="00940787">
        <w:trPr>
          <w:cantSplit/>
        </w:trPr>
        <w:tc>
          <w:tcPr>
            <w:tcW w:w="2085" w:type="dxa"/>
            <w:hideMark/>
          </w:tcPr>
          <w:p w14:paraId="2B645353" w14:textId="77777777" w:rsidR="00896E40" w:rsidRPr="00F62746" w:rsidRDefault="005C5821" w:rsidP="00BA57E2">
            <w:pPr>
              <w:spacing w:before="100" w:beforeAutospacing="1" w:after="100" w:afterAutospacing="1"/>
              <w:rPr>
                <w:rFonts w:ascii="Arial" w:hAnsi="Arial" w:cs="Arial"/>
              </w:rPr>
            </w:pPr>
            <w:r w:rsidRPr="00F62746">
              <w:rPr>
                <w:rFonts w:ascii="Arial" w:hAnsi="Arial" w:cs="Arial"/>
              </w:rPr>
              <w:t xml:space="preserve">Supporting Academics: Prepare </w:t>
            </w:r>
            <w:r w:rsidR="00896E40" w:rsidRPr="00F62746">
              <w:rPr>
                <w:rFonts w:ascii="Arial" w:hAnsi="Arial" w:cs="Arial"/>
              </w:rPr>
              <w:t xml:space="preserve">families </w:t>
            </w:r>
            <w:r w:rsidRPr="00F62746">
              <w:rPr>
                <w:rFonts w:ascii="Arial" w:hAnsi="Arial" w:cs="Arial"/>
              </w:rPr>
              <w:t>to support their</w:t>
            </w:r>
            <w:r w:rsidR="00896E40" w:rsidRPr="00F62746">
              <w:rPr>
                <w:rFonts w:ascii="Arial" w:hAnsi="Arial" w:cs="Arial"/>
              </w:rPr>
              <w:t xml:space="preserve"> children’s learning.</w:t>
            </w:r>
          </w:p>
        </w:tc>
        <w:tc>
          <w:tcPr>
            <w:tcW w:w="3240" w:type="dxa"/>
            <w:hideMark/>
          </w:tcPr>
          <w:p w14:paraId="42DD7231" w14:textId="77777777" w:rsidR="00896E40" w:rsidRPr="00F62746" w:rsidRDefault="00896E40" w:rsidP="00142F53">
            <w:pPr>
              <w:pStyle w:val="ListParagraph"/>
              <w:numPr>
                <w:ilvl w:val="0"/>
                <w:numId w:val="9"/>
              </w:numPr>
              <w:spacing w:before="100" w:beforeAutospacing="1" w:after="100" w:afterAutospacing="1"/>
              <w:ind w:left="345" w:hanging="270"/>
              <w:rPr>
                <w:rFonts w:ascii="Arial" w:hAnsi="Arial" w:cs="Arial"/>
              </w:rPr>
            </w:pPr>
            <w:r w:rsidRPr="00F62746">
              <w:rPr>
                <w:rFonts w:ascii="Arial" w:hAnsi="Arial" w:cs="Arial"/>
              </w:rPr>
              <w:t>Support local MEPs in rese</w:t>
            </w:r>
            <w:r w:rsidR="000F624F" w:rsidRPr="00F62746">
              <w:rPr>
                <w:rFonts w:ascii="Arial" w:hAnsi="Arial" w:cs="Arial"/>
              </w:rPr>
              <w:t>arching, developing</w:t>
            </w:r>
            <w:r w:rsidR="00773107" w:rsidRPr="00F62746">
              <w:rPr>
                <w:rFonts w:ascii="Arial" w:hAnsi="Arial" w:cs="Arial"/>
              </w:rPr>
              <w:t>,</w:t>
            </w:r>
            <w:r w:rsidRPr="00F62746">
              <w:rPr>
                <w:rFonts w:ascii="Arial" w:hAnsi="Arial" w:cs="Arial"/>
              </w:rPr>
              <w:t xml:space="preserve"> and implementing home learning activities that support migrant student academic success.</w:t>
            </w:r>
          </w:p>
        </w:tc>
        <w:tc>
          <w:tcPr>
            <w:tcW w:w="4065" w:type="dxa"/>
            <w:hideMark/>
          </w:tcPr>
          <w:p w14:paraId="44728FE0" w14:textId="77777777" w:rsidR="00896E40" w:rsidRPr="00F62746" w:rsidRDefault="00896E40" w:rsidP="00142F53">
            <w:pPr>
              <w:numPr>
                <w:ilvl w:val="0"/>
                <w:numId w:val="8"/>
              </w:numPr>
              <w:tabs>
                <w:tab w:val="clear" w:pos="720"/>
                <w:tab w:val="num" w:pos="435"/>
              </w:tabs>
              <w:spacing w:before="100" w:beforeAutospacing="1"/>
              <w:ind w:left="432" w:hanging="274"/>
              <w:rPr>
                <w:rFonts w:ascii="Arial" w:hAnsi="Arial" w:cs="Arial"/>
              </w:rPr>
            </w:pPr>
            <w:r w:rsidRPr="00F62746">
              <w:rPr>
                <w:rFonts w:ascii="Arial" w:hAnsi="Arial" w:cs="Arial"/>
              </w:rPr>
              <w:t>Offer family literacy opportunities, focused on math and reading.</w:t>
            </w:r>
          </w:p>
          <w:p w14:paraId="7A06688D" w14:textId="77777777" w:rsidR="00896E40" w:rsidRPr="00F62746" w:rsidRDefault="00896E40" w:rsidP="00142F53">
            <w:pPr>
              <w:numPr>
                <w:ilvl w:val="0"/>
                <w:numId w:val="8"/>
              </w:numPr>
              <w:tabs>
                <w:tab w:val="clear" w:pos="720"/>
                <w:tab w:val="num" w:pos="435"/>
              </w:tabs>
              <w:spacing w:before="100" w:beforeAutospacing="1"/>
              <w:ind w:left="432" w:hanging="274"/>
              <w:rPr>
                <w:rFonts w:ascii="Arial" w:hAnsi="Arial" w:cs="Arial"/>
              </w:rPr>
            </w:pPr>
            <w:r w:rsidRPr="00F62746">
              <w:rPr>
                <w:rFonts w:ascii="Arial" w:hAnsi="Arial" w:cs="Arial"/>
              </w:rPr>
              <w:t xml:space="preserve">Instruct families on the use of hands-on activities for content area learning, </w:t>
            </w:r>
            <w:r w:rsidR="00773107" w:rsidRPr="00F62746">
              <w:rPr>
                <w:rFonts w:ascii="Arial" w:hAnsi="Arial" w:cs="Arial"/>
              </w:rPr>
              <w:t>(</w:t>
            </w:r>
            <w:r w:rsidRPr="00F62746">
              <w:rPr>
                <w:rFonts w:ascii="Arial" w:hAnsi="Arial" w:cs="Arial"/>
              </w:rPr>
              <w:t>e.g., math manipulatives</w:t>
            </w:r>
            <w:r w:rsidR="00773107" w:rsidRPr="00F62746">
              <w:rPr>
                <w:rFonts w:ascii="Arial" w:hAnsi="Arial" w:cs="Arial"/>
              </w:rPr>
              <w:t>)</w:t>
            </w:r>
            <w:r w:rsidRPr="00F62746">
              <w:rPr>
                <w:rFonts w:ascii="Arial" w:hAnsi="Arial" w:cs="Arial"/>
              </w:rPr>
              <w:t>.</w:t>
            </w:r>
          </w:p>
          <w:p w14:paraId="62E5E3CE" w14:textId="77777777" w:rsidR="00896E40" w:rsidRPr="00F62746" w:rsidRDefault="00DE4BB8" w:rsidP="00142F53">
            <w:pPr>
              <w:numPr>
                <w:ilvl w:val="0"/>
                <w:numId w:val="8"/>
              </w:numPr>
              <w:tabs>
                <w:tab w:val="clear" w:pos="720"/>
                <w:tab w:val="num" w:pos="435"/>
              </w:tabs>
              <w:spacing w:before="100" w:beforeAutospacing="1"/>
              <w:ind w:left="432" w:hanging="274"/>
              <w:rPr>
                <w:rFonts w:ascii="Arial" w:hAnsi="Arial" w:cs="Arial"/>
              </w:rPr>
            </w:pPr>
            <w:r w:rsidRPr="00F62746">
              <w:rPr>
                <w:rFonts w:ascii="Arial" w:hAnsi="Arial" w:cs="Arial"/>
              </w:rPr>
              <w:t>Train</w:t>
            </w:r>
            <w:r w:rsidR="00BA57E2" w:rsidRPr="00F62746">
              <w:rPr>
                <w:rFonts w:ascii="Arial" w:hAnsi="Arial" w:cs="Arial"/>
              </w:rPr>
              <w:t xml:space="preserve"> families to </w:t>
            </w:r>
            <w:r w:rsidR="00896E40" w:rsidRPr="00F62746">
              <w:rPr>
                <w:rFonts w:ascii="Arial" w:hAnsi="Arial" w:cs="Arial"/>
              </w:rPr>
              <w:t>building school readiness skills.</w:t>
            </w:r>
          </w:p>
        </w:tc>
      </w:tr>
    </w:tbl>
    <w:p w14:paraId="346046A8" w14:textId="77777777" w:rsidR="004F6691" w:rsidRPr="005E0053" w:rsidRDefault="00293E5D" w:rsidP="006856D5">
      <w:pPr>
        <w:pStyle w:val="Heading3"/>
      </w:pPr>
      <w:bookmarkStart w:id="80" w:name="_Toc504520876"/>
      <w:r w:rsidRPr="005E0053">
        <w:lastRenderedPageBreak/>
        <w:t xml:space="preserve">Section VII: </w:t>
      </w:r>
      <w:r w:rsidR="004F6691" w:rsidRPr="005E0053">
        <w:t>Exchange of Student Records</w:t>
      </w:r>
      <w:bookmarkEnd w:id="80"/>
    </w:p>
    <w:p w14:paraId="6C837385" w14:textId="77777777" w:rsidR="00D84B70" w:rsidRPr="005E0053" w:rsidRDefault="00AA5066" w:rsidP="00EF2E4B">
      <w:pPr>
        <w:rPr>
          <w:rFonts w:ascii="Arial" w:hAnsi="Arial" w:cs="Arial"/>
        </w:rPr>
      </w:pPr>
      <w:r w:rsidRPr="005E0053">
        <w:rPr>
          <w:rFonts w:ascii="Arial" w:hAnsi="Arial" w:cs="Arial"/>
        </w:rPr>
        <w:t>Educational continuity is one of the most pressing academic challenges facing our migratory students</w:t>
      </w:r>
      <w:r w:rsidR="00862F8C" w:rsidRPr="005E0053">
        <w:rPr>
          <w:rFonts w:ascii="Arial" w:hAnsi="Arial" w:cs="Arial"/>
        </w:rPr>
        <w:t xml:space="preserve"> with PFS students being the most mobile subgroup of the migratory population. </w:t>
      </w:r>
      <w:r w:rsidR="00A37789" w:rsidRPr="005E0053">
        <w:rPr>
          <w:rFonts w:ascii="Arial" w:hAnsi="Arial" w:cs="Arial"/>
        </w:rPr>
        <w:t xml:space="preserve">In accordance with Section 1304(D)(3), California has developed a data collection system to assist with reliable data collection and reporting as well as compliance with state and federal mandates on interstate and intrastate coordination of services for migratory children, including educational continuity. </w:t>
      </w:r>
    </w:p>
    <w:p w14:paraId="09F3A304" w14:textId="77777777" w:rsidR="00D84B70" w:rsidRPr="005E0053" w:rsidRDefault="00C11A9B" w:rsidP="005A4784">
      <w:pPr>
        <w:spacing w:before="240" w:after="240"/>
        <w:rPr>
          <w:rFonts w:ascii="Arial" w:hAnsi="Arial" w:cs="Arial"/>
        </w:rPr>
      </w:pPr>
      <w:r w:rsidRPr="005E0053">
        <w:rPr>
          <w:rFonts w:ascii="Arial" w:hAnsi="Arial" w:cs="Arial"/>
        </w:rPr>
        <w:t xml:space="preserve">California’s </w:t>
      </w:r>
      <w:r w:rsidR="00776BE1" w:rsidRPr="005E0053">
        <w:rPr>
          <w:rFonts w:ascii="Arial" w:hAnsi="Arial" w:cs="Arial"/>
        </w:rPr>
        <w:t>Title I, Part C funded subgrantees utilize the MSIX and the MSIN to promote interstate and</w:t>
      </w:r>
      <w:r w:rsidR="00776BE1" w:rsidRPr="005E0053">
        <w:rPr>
          <w:rFonts w:ascii="Arial" w:hAnsi="Arial" w:cs="Arial"/>
          <w:spacing w:val="-8"/>
        </w:rPr>
        <w:t xml:space="preserve"> </w:t>
      </w:r>
      <w:r w:rsidR="00776BE1" w:rsidRPr="005E0053">
        <w:rPr>
          <w:rFonts w:ascii="Arial" w:hAnsi="Arial" w:cs="Arial"/>
        </w:rPr>
        <w:t xml:space="preserve">intrastate coordination of services for migratory children and the timely transfer of pertinent school records. The MSIX is a federally funded national data collection system that ensures greater continuity of educational services for migratory children by providing a mechanism for all states to exchange education-related information on migratory children who move from one state to another. The MSIN is the California state equivalent to the MSIX and provides a mechanism for exchanging education-related information on migratory children who move within the state and assists the CDE-funded subgrantees in locating migrant students throughout the state using the Migrant Student Locator. Both the MSIX and the MSIN help to improve the timeliness of school enrollment, the appropriateness of grade and course placement, and the sharing of immunization information </w:t>
      </w:r>
      <w:r w:rsidR="00A37789" w:rsidRPr="005E0053">
        <w:rPr>
          <w:rFonts w:ascii="Arial" w:hAnsi="Arial" w:cs="Arial"/>
        </w:rPr>
        <w:t xml:space="preserve">of migratory children. </w:t>
      </w:r>
    </w:p>
    <w:p w14:paraId="62C180EE" w14:textId="77777777" w:rsidR="004F6691" w:rsidRPr="005E0053" w:rsidRDefault="00A37789" w:rsidP="00EF2E4B">
      <w:pPr>
        <w:rPr>
          <w:rFonts w:ascii="Arial" w:hAnsi="Arial" w:cs="Arial"/>
        </w:rPr>
      </w:pPr>
      <w:r w:rsidRPr="005E0053">
        <w:rPr>
          <w:rFonts w:ascii="Arial" w:hAnsi="Arial" w:cs="Arial"/>
        </w:rPr>
        <w:t xml:space="preserve">Opportunities to </w:t>
      </w:r>
      <w:r w:rsidR="00776BE1" w:rsidRPr="005E0053">
        <w:rPr>
          <w:rFonts w:ascii="Arial" w:hAnsi="Arial" w:cs="Arial"/>
        </w:rPr>
        <w:t>collaborate with other states servin</w:t>
      </w:r>
      <w:r w:rsidRPr="005E0053">
        <w:rPr>
          <w:rFonts w:ascii="Arial" w:hAnsi="Arial" w:cs="Arial"/>
        </w:rPr>
        <w:t>g the same migratory students</w:t>
      </w:r>
      <w:r w:rsidR="00776BE1" w:rsidRPr="005E0053">
        <w:rPr>
          <w:rFonts w:ascii="Arial" w:hAnsi="Arial" w:cs="Arial"/>
        </w:rPr>
        <w:t xml:space="preserve"> ensure th</w:t>
      </w:r>
      <w:r w:rsidRPr="005E0053">
        <w:rPr>
          <w:rFonts w:ascii="Arial" w:hAnsi="Arial" w:cs="Arial"/>
        </w:rPr>
        <w:t>ese</w:t>
      </w:r>
      <w:r w:rsidR="00776BE1" w:rsidRPr="005E0053">
        <w:rPr>
          <w:rFonts w:ascii="Arial" w:hAnsi="Arial" w:cs="Arial"/>
        </w:rPr>
        <w:t xml:space="preserve"> eligible students receive services as they </w:t>
      </w:r>
      <w:r w:rsidR="00D84B70" w:rsidRPr="005E0053">
        <w:rPr>
          <w:rFonts w:ascii="Arial" w:hAnsi="Arial" w:cs="Arial"/>
        </w:rPr>
        <w:t>migrate. T</w:t>
      </w:r>
      <w:r w:rsidR="00776BE1" w:rsidRPr="005E0053">
        <w:rPr>
          <w:rFonts w:ascii="Arial" w:hAnsi="Arial" w:cs="Arial"/>
        </w:rPr>
        <w:t>he CDE and subgrantees participate in interstate organizational meetings and conferences with the Interstate Migrant Education Council and the National Association of State Directors of Migrant Education.</w:t>
      </w:r>
      <w:r w:rsidR="00D84B70" w:rsidRPr="005E0053">
        <w:rPr>
          <w:rFonts w:ascii="Arial" w:hAnsi="Arial" w:cs="Arial"/>
        </w:rPr>
        <w:t xml:space="preserve"> During MEP Director meetings, MEP staff from other states that share migratory children with California are invited to present to the Directors and brainstorm ideas on the best way to ensure educational continuity, including MEP services, for migratory children. </w:t>
      </w:r>
    </w:p>
    <w:p w14:paraId="347C184F" w14:textId="77777777" w:rsidR="00AB5388" w:rsidRPr="005E0053" w:rsidRDefault="00B25C17" w:rsidP="0073568C">
      <w:pPr>
        <w:pStyle w:val="Heading3"/>
      </w:pPr>
      <w:r w:rsidRPr="005E0053">
        <w:rPr>
          <w:rFonts w:cs="Arial"/>
        </w:rPr>
        <w:br w:type="page"/>
      </w:r>
      <w:bookmarkStart w:id="81" w:name="_Toc504520877"/>
      <w:r w:rsidR="00293E5D" w:rsidRPr="005E0053">
        <w:lastRenderedPageBreak/>
        <w:t xml:space="preserve">Section VIII: </w:t>
      </w:r>
      <w:r w:rsidR="00AB5388" w:rsidRPr="005E0053">
        <w:t>Migrant Education Program Professional Development Plan</w:t>
      </w:r>
      <w:bookmarkEnd w:id="81"/>
    </w:p>
    <w:p w14:paraId="17BD4D1E" w14:textId="77777777" w:rsidR="004F6691" w:rsidRPr="005E0053" w:rsidRDefault="006A536F" w:rsidP="00AB5388">
      <w:pPr>
        <w:rPr>
          <w:rFonts w:ascii="Arial" w:hAnsi="Arial" w:cs="Arial"/>
        </w:rPr>
      </w:pPr>
      <w:r w:rsidRPr="005E0053">
        <w:rPr>
          <w:rFonts w:ascii="Arial" w:hAnsi="Arial" w:cs="Arial"/>
        </w:rPr>
        <w:t>Professional development</w:t>
      </w:r>
      <w:r w:rsidR="00DE19AD" w:rsidRPr="005E0053">
        <w:rPr>
          <w:rFonts w:ascii="Arial" w:hAnsi="Arial" w:cs="Arial"/>
        </w:rPr>
        <w:t xml:space="preserve"> (PD)</w:t>
      </w:r>
      <w:r w:rsidRPr="005E0053">
        <w:rPr>
          <w:rFonts w:ascii="Arial" w:hAnsi="Arial" w:cs="Arial"/>
        </w:rPr>
        <w:t xml:space="preserve"> opportunities are provided to </w:t>
      </w:r>
      <w:r w:rsidR="00D734E4" w:rsidRPr="005E0053">
        <w:rPr>
          <w:rFonts w:ascii="Arial" w:hAnsi="Arial" w:cs="Arial"/>
        </w:rPr>
        <w:t>subgrantees at the state and local level</w:t>
      </w:r>
      <w:r w:rsidR="000B7CB2" w:rsidRPr="005E0053">
        <w:rPr>
          <w:rFonts w:ascii="Arial" w:hAnsi="Arial" w:cs="Arial"/>
        </w:rPr>
        <w:t>s</w:t>
      </w:r>
      <w:r w:rsidR="00D734E4" w:rsidRPr="005E0053">
        <w:rPr>
          <w:rFonts w:ascii="Arial" w:hAnsi="Arial" w:cs="Arial"/>
        </w:rPr>
        <w:t>.</w:t>
      </w:r>
      <w:r w:rsidR="004F6691" w:rsidRPr="005E0053">
        <w:rPr>
          <w:rFonts w:ascii="Arial" w:hAnsi="Arial" w:cs="Arial"/>
        </w:rPr>
        <w:t xml:space="preserve"> </w:t>
      </w:r>
      <w:r w:rsidR="00DE19AD" w:rsidRPr="005E0053">
        <w:rPr>
          <w:rFonts w:ascii="Arial" w:hAnsi="Arial" w:cs="Arial"/>
        </w:rPr>
        <w:t>Content for</w:t>
      </w:r>
      <w:r w:rsidR="002022C5" w:rsidRPr="005E0053">
        <w:rPr>
          <w:rFonts w:ascii="Arial" w:hAnsi="Arial" w:cs="Arial"/>
        </w:rPr>
        <w:t xml:space="preserve"> </w:t>
      </w:r>
      <w:r w:rsidR="001574F6" w:rsidRPr="005E0053">
        <w:rPr>
          <w:rFonts w:ascii="Arial" w:hAnsi="Arial" w:cs="Arial"/>
        </w:rPr>
        <w:t xml:space="preserve">statewide </w:t>
      </w:r>
      <w:r w:rsidR="00DE19AD" w:rsidRPr="005E0053">
        <w:rPr>
          <w:rFonts w:ascii="Arial" w:hAnsi="Arial" w:cs="Arial"/>
        </w:rPr>
        <w:t>PD is driven</w:t>
      </w:r>
      <w:r w:rsidR="002022C5" w:rsidRPr="005E0053">
        <w:rPr>
          <w:rFonts w:ascii="Arial" w:hAnsi="Arial" w:cs="Arial"/>
        </w:rPr>
        <w:t xml:space="preserve"> by state and </w:t>
      </w:r>
      <w:r w:rsidR="009D47B8" w:rsidRPr="005E0053">
        <w:rPr>
          <w:rFonts w:ascii="Arial" w:hAnsi="Arial" w:cs="Arial"/>
        </w:rPr>
        <w:t xml:space="preserve">federal </w:t>
      </w:r>
      <w:r w:rsidR="00FC3AE8" w:rsidRPr="005E0053">
        <w:rPr>
          <w:rFonts w:ascii="Arial" w:hAnsi="Arial" w:cs="Arial"/>
        </w:rPr>
        <w:t xml:space="preserve">laws and </w:t>
      </w:r>
      <w:r w:rsidR="009D47B8" w:rsidRPr="005E0053">
        <w:rPr>
          <w:rFonts w:ascii="Arial" w:hAnsi="Arial" w:cs="Arial"/>
        </w:rPr>
        <w:t>regulation</w:t>
      </w:r>
      <w:r w:rsidR="00FC3AE8" w:rsidRPr="005E0053">
        <w:rPr>
          <w:rFonts w:ascii="Arial" w:hAnsi="Arial" w:cs="Arial"/>
        </w:rPr>
        <w:t>s</w:t>
      </w:r>
      <w:r w:rsidR="009D47B8" w:rsidRPr="005E0053">
        <w:rPr>
          <w:rFonts w:ascii="Arial" w:hAnsi="Arial" w:cs="Arial"/>
        </w:rPr>
        <w:t xml:space="preserve">, </w:t>
      </w:r>
      <w:r w:rsidR="00FC3AE8" w:rsidRPr="005E0053">
        <w:rPr>
          <w:rFonts w:ascii="Arial" w:hAnsi="Arial" w:cs="Arial"/>
        </w:rPr>
        <w:t>student</w:t>
      </w:r>
      <w:r w:rsidR="009D47B8" w:rsidRPr="005E0053">
        <w:rPr>
          <w:rFonts w:ascii="Arial" w:hAnsi="Arial" w:cs="Arial"/>
        </w:rPr>
        <w:t xml:space="preserve"> needs identified by MEP Directors and staff</w:t>
      </w:r>
      <w:r w:rsidR="000B7CB2" w:rsidRPr="005E0053">
        <w:rPr>
          <w:rFonts w:ascii="Arial" w:hAnsi="Arial" w:cs="Arial"/>
        </w:rPr>
        <w:t>, SPAC parents</w:t>
      </w:r>
      <w:r w:rsidR="009D47B8" w:rsidRPr="005E0053">
        <w:rPr>
          <w:rFonts w:ascii="Arial" w:hAnsi="Arial" w:cs="Arial"/>
        </w:rPr>
        <w:t xml:space="preserve"> as well as</w:t>
      </w:r>
      <w:r w:rsidR="002022C5" w:rsidRPr="005E0053">
        <w:rPr>
          <w:rFonts w:ascii="Arial" w:hAnsi="Arial" w:cs="Arial"/>
        </w:rPr>
        <w:t xml:space="preserve"> California’s Common Core State Standards.</w:t>
      </w:r>
      <w:r w:rsidR="009D47B8" w:rsidRPr="005E0053">
        <w:rPr>
          <w:rFonts w:ascii="Arial" w:hAnsi="Arial" w:cs="Arial"/>
        </w:rPr>
        <w:t xml:space="preserve"> </w:t>
      </w:r>
      <w:r w:rsidR="006E3278" w:rsidRPr="005E0053">
        <w:rPr>
          <w:rFonts w:ascii="Arial" w:hAnsi="Arial" w:cs="Arial"/>
        </w:rPr>
        <w:t xml:space="preserve">As mentioned above, the CDE provides extensive training for identification and </w:t>
      </w:r>
      <w:r w:rsidR="001C1253" w:rsidRPr="005E0053">
        <w:rPr>
          <w:rFonts w:ascii="Arial" w:hAnsi="Arial" w:cs="Arial"/>
        </w:rPr>
        <w:t xml:space="preserve">recruitment. </w:t>
      </w:r>
      <w:r w:rsidR="009D47B8" w:rsidRPr="005E0053">
        <w:rPr>
          <w:rFonts w:ascii="Arial" w:hAnsi="Arial" w:cs="Arial"/>
        </w:rPr>
        <w:t xml:space="preserve">Throughout the year, the CDE </w:t>
      </w:r>
      <w:r w:rsidR="001C1253" w:rsidRPr="005E0053">
        <w:rPr>
          <w:rFonts w:ascii="Arial" w:hAnsi="Arial" w:cs="Arial"/>
        </w:rPr>
        <w:t xml:space="preserve">also </w:t>
      </w:r>
      <w:r w:rsidR="009D47B8" w:rsidRPr="005E0053">
        <w:rPr>
          <w:rFonts w:ascii="Arial" w:hAnsi="Arial" w:cs="Arial"/>
        </w:rPr>
        <w:t>provides PD to MEP Directors through quarterly MEP Director</w:t>
      </w:r>
      <w:r w:rsidR="006E3278" w:rsidRPr="005E0053">
        <w:rPr>
          <w:rFonts w:ascii="Arial" w:hAnsi="Arial" w:cs="Arial"/>
        </w:rPr>
        <w:t>s’</w:t>
      </w:r>
      <w:r w:rsidR="009D47B8" w:rsidRPr="005E0053">
        <w:rPr>
          <w:rFonts w:ascii="Arial" w:hAnsi="Arial" w:cs="Arial"/>
        </w:rPr>
        <w:t xml:space="preserve"> Meetings. </w:t>
      </w:r>
      <w:r w:rsidR="006E3278" w:rsidRPr="005E0053">
        <w:rPr>
          <w:rFonts w:ascii="Arial" w:hAnsi="Arial" w:cs="Arial"/>
        </w:rPr>
        <w:t>A variety of topics are discussed during the year ranging from state and federal compliance, program improvement, fiscal</w:t>
      </w:r>
      <w:r w:rsidR="001C1253" w:rsidRPr="005E0053">
        <w:rPr>
          <w:rFonts w:ascii="Arial" w:hAnsi="Arial" w:cs="Arial"/>
        </w:rPr>
        <w:t xml:space="preserve"> monitoring to data collection and current events that affect the MEP. </w:t>
      </w:r>
      <w:r w:rsidR="009D47B8" w:rsidRPr="005E0053">
        <w:rPr>
          <w:rFonts w:ascii="Arial" w:hAnsi="Arial" w:cs="Arial"/>
        </w:rPr>
        <w:t xml:space="preserve">During these meetings, MEP Directors </w:t>
      </w:r>
      <w:r w:rsidR="001C1253" w:rsidRPr="005E0053">
        <w:rPr>
          <w:rFonts w:ascii="Arial" w:hAnsi="Arial" w:cs="Arial"/>
        </w:rPr>
        <w:t>have the opportunity to</w:t>
      </w:r>
      <w:r w:rsidR="009D47B8" w:rsidRPr="005E0053">
        <w:rPr>
          <w:rFonts w:ascii="Arial" w:hAnsi="Arial" w:cs="Arial"/>
        </w:rPr>
        <w:t xml:space="preserve"> engage in peer-to-peer learning to identify various strategies </w:t>
      </w:r>
      <w:r w:rsidR="001C1253" w:rsidRPr="005E0053">
        <w:rPr>
          <w:rFonts w:ascii="Arial" w:hAnsi="Arial" w:cs="Arial"/>
        </w:rPr>
        <w:t>to assist in the improvement of</w:t>
      </w:r>
      <w:r w:rsidR="009D47B8" w:rsidRPr="005E0053">
        <w:rPr>
          <w:rFonts w:ascii="Arial" w:hAnsi="Arial" w:cs="Arial"/>
        </w:rPr>
        <w:t xml:space="preserve"> identification and recruitment, program development</w:t>
      </w:r>
      <w:r w:rsidR="00B25C17" w:rsidRPr="005E0053">
        <w:rPr>
          <w:rFonts w:ascii="Arial" w:hAnsi="Arial" w:cs="Arial"/>
        </w:rPr>
        <w:t>,</w:t>
      </w:r>
      <w:r w:rsidR="000B7CB2" w:rsidRPr="005E0053">
        <w:rPr>
          <w:rFonts w:ascii="Arial" w:hAnsi="Arial" w:cs="Arial"/>
        </w:rPr>
        <w:t xml:space="preserve"> and family outreach and participation. PD is also a valuable aspect of the SPAC meetings. Parents </w:t>
      </w:r>
      <w:r w:rsidR="006E3278" w:rsidRPr="005E0053">
        <w:rPr>
          <w:rFonts w:ascii="Arial" w:hAnsi="Arial" w:cs="Arial"/>
        </w:rPr>
        <w:t xml:space="preserve">are trained to formally participate on a statewide committee in addition to </w:t>
      </w:r>
      <w:r w:rsidR="000B7CB2" w:rsidRPr="005E0053">
        <w:rPr>
          <w:rFonts w:ascii="Arial" w:hAnsi="Arial" w:cs="Arial"/>
        </w:rPr>
        <w:t>learn</w:t>
      </w:r>
      <w:r w:rsidR="006E3278" w:rsidRPr="005E0053">
        <w:rPr>
          <w:rFonts w:ascii="Arial" w:hAnsi="Arial" w:cs="Arial"/>
        </w:rPr>
        <w:t>ing</w:t>
      </w:r>
      <w:r w:rsidR="000B7CB2" w:rsidRPr="005E0053">
        <w:rPr>
          <w:rFonts w:ascii="Arial" w:hAnsi="Arial" w:cs="Arial"/>
        </w:rPr>
        <w:t xml:space="preserve"> about various school services </w:t>
      </w:r>
      <w:r w:rsidR="006E3278" w:rsidRPr="005E0053">
        <w:rPr>
          <w:rFonts w:ascii="Arial" w:hAnsi="Arial" w:cs="Arial"/>
        </w:rPr>
        <w:t>within</w:t>
      </w:r>
      <w:r w:rsidR="001C1253" w:rsidRPr="005E0053">
        <w:rPr>
          <w:rFonts w:ascii="Arial" w:hAnsi="Arial" w:cs="Arial"/>
        </w:rPr>
        <w:t>,</w:t>
      </w:r>
      <w:r w:rsidR="006E3278" w:rsidRPr="005E0053">
        <w:rPr>
          <w:rFonts w:ascii="Arial" w:hAnsi="Arial" w:cs="Arial"/>
        </w:rPr>
        <w:t xml:space="preserve"> and </w:t>
      </w:r>
      <w:r w:rsidR="000B7CB2" w:rsidRPr="005E0053">
        <w:rPr>
          <w:rFonts w:ascii="Arial" w:hAnsi="Arial" w:cs="Arial"/>
        </w:rPr>
        <w:t>outside</w:t>
      </w:r>
      <w:r w:rsidR="001C1253" w:rsidRPr="005E0053">
        <w:rPr>
          <w:rFonts w:ascii="Arial" w:hAnsi="Arial" w:cs="Arial"/>
        </w:rPr>
        <w:t>,</w:t>
      </w:r>
      <w:r w:rsidR="000B7CB2" w:rsidRPr="005E0053">
        <w:rPr>
          <w:rFonts w:ascii="Arial" w:hAnsi="Arial" w:cs="Arial"/>
        </w:rPr>
        <w:t xml:space="preserve"> of the MEP</w:t>
      </w:r>
      <w:r w:rsidR="006E3278" w:rsidRPr="005E0053">
        <w:rPr>
          <w:rFonts w:ascii="Arial" w:hAnsi="Arial" w:cs="Arial"/>
        </w:rPr>
        <w:t xml:space="preserve"> to support their children. Both the MEP Directors’ and SPAC meetings are a way for the CDE to provide </w:t>
      </w:r>
      <w:r w:rsidR="001C1253" w:rsidRPr="005E0053">
        <w:rPr>
          <w:rFonts w:ascii="Arial" w:hAnsi="Arial" w:cs="Arial"/>
        </w:rPr>
        <w:t xml:space="preserve">information on a statewide level with the expectation that Directors and SPAC members return to their regions to share the information </w:t>
      </w:r>
      <w:r w:rsidR="005B2C58" w:rsidRPr="005E0053">
        <w:rPr>
          <w:rFonts w:ascii="Arial" w:hAnsi="Arial" w:cs="Arial"/>
        </w:rPr>
        <w:t>and train MEP staff and parents.</w:t>
      </w:r>
    </w:p>
    <w:p w14:paraId="54443723" w14:textId="77777777" w:rsidR="005B2C58" w:rsidRPr="005E0053" w:rsidRDefault="001C0BFD" w:rsidP="005A4784">
      <w:pPr>
        <w:spacing w:before="240"/>
        <w:rPr>
          <w:rFonts w:ascii="Arial" w:hAnsi="Arial" w:cs="Arial"/>
        </w:rPr>
      </w:pPr>
      <w:r w:rsidRPr="005E0053">
        <w:rPr>
          <w:rFonts w:ascii="Arial" w:hAnsi="Arial" w:cs="Arial"/>
        </w:rPr>
        <w:t>Additional t</w:t>
      </w:r>
      <w:r w:rsidR="005B2C58" w:rsidRPr="005E0053">
        <w:rPr>
          <w:rFonts w:ascii="Arial" w:hAnsi="Arial" w:cs="Arial"/>
        </w:rPr>
        <w:t xml:space="preserve">raining varies from year to year depending on program focus and needs identified by MEP Directors and staff. For example, in 2016–17, the CDE offered Family Biliteracy training for all the participating MEPs. This training covered the CDE’s expectations in offering this service, provided an overview of the service and its implementation along with starting discussions around a statewide assessment for school readiness. Additionally, the CDE facilitated a statewide webinar on a study evaluating the dangers that pesticides have on the </w:t>
      </w:r>
      <w:r w:rsidRPr="005E0053">
        <w:rPr>
          <w:rFonts w:ascii="Arial" w:hAnsi="Arial" w:cs="Arial"/>
        </w:rPr>
        <w:t xml:space="preserve">health of migratory farm workers. In 2017–18, the CDE will contract with </w:t>
      </w:r>
      <w:r w:rsidR="00B25C17" w:rsidRPr="005E0053">
        <w:rPr>
          <w:rFonts w:ascii="Arial" w:hAnsi="Arial" w:cs="Arial"/>
        </w:rPr>
        <w:t xml:space="preserve">the </w:t>
      </w:r>
      <w:r w:rsidRPr="005E0053">
        <w:rPr>
          <w:rFonts w:ascii="Arial" w:hAnsi="Arial" w:cs="Arial"/>
        </w:rPr>
        <w:t>California Preschool Instru</w:t>
      </w:r>
      <w:r w:rsidR="0082400C" w:rsidRPr="005E0053">
        <w:rPr>
          <w:rFonts w:ascii="Arial" w:hAnsi="Arial" w:cs="Arial"/>
        </w:rPr>
        <w:t xml:space="preserve">ctional Network (CPIN) to </w:t>
      </w:r>
      <w:r w:rsidR="0082400C" w:rsidRPr="005E0053">
        <w:rPr>
          <w:rFonts w:ascii="Arial" w:eastAsia="Times New Roman" w:hAnsi="Arial" w:cs="Arial"/>
          <w:color w:val="2C2C2E"/>
          <w:shd w:val="clear" w:color="auto" w:fill="FFFFFF"/>
        </w:rPr>
        <w:t>provide</w:t>
      </w:r>
      <w:r w:rsidRPr="005E0053">
        <w:rPr>
          <w:rFonts w:ascii="Arial" w:eastAsia="Times New Roman" w:hAnsi="Arial" w:cs="Arial"/>
          <w:color w:val="2C2C2E"/>
          <w:shd w:val="clear" w:color="auto" w:fill="FFFFFF"/>
        </w:rPr>
        <w:t xml:space="preserve"> high quality, regional PD highlighting current research-based information, resources</w:t>
      </w:r>
      <w:r w:rsidR="00B25C17" w:rsidRPr="005E0053">
        <w:rPr>
          <w:rFonts w:ascii="Arial" w:eastAsia="Times New Roman" w:hAnsi="Arial" w:cs="Arial"/>
          <w:color w:val="2C2C2E"/>
          <w:shd w:val="clear" w:color="auto" w:fill="FFFFFF"/>
        </w:rPr>
        <w:t>,</w:t>
      </w:r>
      <w:r w:rsidRPr="005E0053">
        <w:rPr>
          <w:rFonts w:ascii="Arial" w:eastAsia="Times New Roman" w:hAnsi="Arial" w:cs="Arial"/>
          <w:color w:val="2C2C2E"/>
          <w:shd w:val="clear" w:color="auto" w:fill="FFFFFF"/>
        </w:rPr>
        <w:t xml:space="preserve"> and effective instructional practices for preschool administrators and teachers</w:t>
      </w:r>
      <w:r w:rsidR="003D5F75" w:rsidRPr="005E0053">
        <w:rPr>
          <w:rFonts w:ascii="Arial" w:eastAsia="Times New Roman" w:hAnsi="Arial" w:cs="Arial"/>
          <w:color w:val="2C2C2E"/>
          <w:shd w:val="clear" w:color="auto" w:fill="FFFFFF"/>
        </w:rPr>
        <w:t xml:space="preserve">. Furthermore, CPIN offers </w:t>
      </w:r>
      <w:r w:rsidR="00B25C17" w:rsidRPr="005E0053">
        <w:rPr>
          <w:rFonts w:ascii="Arial" w:eastAsia="Times New Roman" w:hAnsi="Arial" w:cs="Arial"/>
          <w:color w:val="2C2C2E"/>
          <w:shd w:val="clear" w:color="auto" w:fill="FFFFFF"/>
        </w:rPr>
        <w:t xml:space="preserve">a </w:t>
      </w:r>
      <w:r w:rsidR="003D5F75" w:rsidRPr="005E0053">
        <w:rPr>
          <w:rFonts w:ascii="Arial" w:eastAsia="Times New Roman" w:hAnsi="Arial" w:cs="Arial"/>
          <w:color w:val="2C2C2E"/>
          <w:shd w:val="clear" w:color="auto" w:fill="FFFFFF"/>
        </w:rPr>
        <w:t>certification that MEP</w:t>
      </w:r>
      <w:r w:rsidR="00B25C17" w:rsidRPr="005E0053">
        <w:rPr>
          <w:rFonts w:ascii="Arial" w:eastAsia="Times New Roman" w:hAnsi="Arial" w:cs="Arial"/>
          <w:color w:val="2C2C2E"/>
          <w:shd w:val="clear" w:color="auto" w:fill="FFFFFF"/>
        </w:rPr>
        <w:t xml:space="preserve"> </w:t>
      </w:r>
      <w:r w:rsidR="003D5F75" w:rsidRPr="005E0053">
        <w:rPr>
          <w:rFonts w:ascii="Arial" w:eastAsia="Times New Roman" w:hAnsi="Arial" w:cs="Arial"/>
          <w:color w:val="2C2C2E"/>
          <w:shd w:val="clear" w:color="auto" w:fill="FFFFFF"/>
        </w:rPr>
        <w:t>s</w:t>
      </w:r>
      <w:r w:rsidR="00B25C17" w:rsidRPr="005E0053">
        <w:rPr>
          <w:rFonts w:ascii="Arial" w:eastAsia="Times New Roman" w:hAnsi="Arial" w:cs="Arial"/>
          <w:color w:val="2C2C2E"/>
          <w:shd w:val="clear" w:color="auto" w:fill="FFFFFF"/>
        </w:rPr>
        <w:t>taff</w:t>
      </w:r>
      <w:r w:rsidR="003D5F75" w:rsidRPr="005E0053">
        <w:rPr>
          <w:rFonts w:ascii="Arial" w:eastAsia="Times New Roman" w:hAnsi="Arial" w:cs="Arial"/>
          <w:color w:val="2C2C2E"/>
          <w:shd w:val="clear" w:color="auto" w:fill="FFFFFF"/>
        </w:rPr>
        <w:t xml:space="preserve"> may enroll in to become a certified CPIN partner qualified to conduct PD trainings within their region. </w:t>
      </w:r>
      <w:r w:rsidR="003130A9" w:rsidRPr="005E0053">
        <w:rPr>
          <w:rFonts w:ascii="Arial" w:eastAsia="Times New Roman" w:hAnsi="Arial" w:cs="Arial"/>
          <w:color w:val="2C2C2E"/>
          <w:shd w:val="clear" w:color="auto" w:fill="FFFFFF"/>
        </w:rPr>
        <w:t xml:space="preserve">The CDE also offered a number of local mental health and suicide prevention trainings to support subgrantees in addressing mental health issues of migratory children. </w:t>
      </w:r>
      <w:r w:rsidR="00E66CBC" w:rsidRPr="005E0053">
        <w:rPr>
          <w:rFonts w:ascii="Arial" w:eastAsia="Times New Roman" w:hAnsi="Arial" w:cs="Arial"/>
          <w:color w:val="2C2C2E"/>
          <w:shd w:val="clear" w:color="auto" w:fill="FFFFFF"/>
        </w:rPr>
        <w:t>Other opportunities to build MEP staff capacity to address the unique needs of migratory children include participation in G</w:t>
      </w:r>
      <w:r w:rsidR="003130A9" w:rsidRPr="005E0053">
        <w:rPr>
          <w:rFonts w:ascii="Arial" w:eastAsia="Times New Roman" w:hAnsi="Arial" w:cs="Arial"/>
          <w:color w:val="2C2C2E"/>
          <w:shd w:val="clear" w:color="auto" w:fill="FFFFFF"/>
        </w:rPr>
        <w:t>raduation and Outcomes for Success for OSY events and meetings.</w:t>
      </w:r>
      <w:r w:rsidR="00E66CBC" w:rsidRPr="005E0053">
        <w:rPr>
          <w:rFonts w:ascii="Arial" w:eastAsia="Times New Roman" w:hAnsi="Arial" w:cs="Arial"/>
          <w:color w:val="2C2C2E"/>
          <w:shd w:val="clear" w:color="auto" w:fill="FFFFFF"/>
        </w:rPr>
        <w:t xml:space="preserve"> </w:t>
      </w:r>
      <w:r w:rsidR="003D5F75" w:rsidRPr="005E0053">
        <w:rPr>
          <w:rFonts w:ascii="Arial" w:eastAsia="Times New Roman" w:hAnsi="Arial" w:cs="Arial"/>
          <w:color w:val="2C2C2E"/>
          <w:shd w:val="clear" w:color="auto" w:fill="FFFFFF"/>
        </w:rPr>
        <w:t>The CDE is also working with contractors to bring statewide health education trainings to all of the local MEPs. These PD opportunities are an integral aspect of the continuous improvement cycle as they build capacity of the MEP Directors, staff</w:t>
      </w:r>
      <w:r w:rsidR="00B25C17" w:rsidRPr="005E0053">
        <w:rPr>
          <w:rFonts w:ascii="Arial" w:eastAsia="Times New Roman" w:hAnsi="Arial" w:cs="Arial"/>
          <w:color w:val="2C2C2E"/>
          <w:shd w:val="clear" w:color="auto" w:fill="FFFFFF"/>
        </w:rPr>
        <w:t>,</w:t>
      </w:r>
      <w:r w:rsidR="003D5F75" w:rsidRPr="005E0053">
        <w:rPr>
          <w:rFonts w:ascii="Arial" w:eastAsia="Times New Roman" w:hAnsi="Arial" w:cs="Arial"/>
          <w:color w:val="2C2C2E"/>
          <w:shd w:val="clear" w:color="auto" w:fill="FFFFFF"/>
        </w:rPr>
        <w:t xml:space="preserve"> and parents to administer the program.</w:t>
      </w:r>
      <w:r w:rsidR="00D80FE4" w:rsidRPr="005E0053">
        <w:rPr>
          <w:rFonts w:ascii="Arial" w:eastAsia="Times New Roman" w:hAnsi="Arial" w:cs="Arial"/>
          <w:color w:val="2C2C2E"/>
          <w:shd w:val="clear" w:color="auto" w:fill="FFFFFF"/>
        </w:rPr>
        <w:t xml:space="preserve"> The next section outlines the CDE’s next steps in providing PD on the SSDP.</w:t>
      </w:r>
    </w:p>
    <w:p w14:paraId="58041F3E" w14:textId="77777777" w:rsidR="004F6691" w:rsidRPr="005E0053" w:rsidRDefault="00293E5D" w:rsidP="006856D5">
      <w:pPr>
        <w:pStyle w:val="Heading3"/>
      </w:pPr>
      <w:bookmarkStart w:id="82" w:name="_Toc504520878"/>
      <w:r w:rsidRPr="005E0053">
        <w:lastRenderedPageBreak/>
        <w:t xml:space="preserve">Section IX: </w:t>
      </w:r>
      <w:r w:rsidR="004F6691" w:rsidRPr="005E0053">
        <w:t>Looking Forward: Next Steps</w:t>
      </w:r>
      <w:bookmarkEnd w:id="82"/>
    </w:p>
    <w:p w14:paraId="312F6C16" w14:textId="39F74C5E" w:rsidR="006F5649" w:rsidRPr="005E0053" w:rsidRDefault="00365E54" w:rsidP="004F6691">
      <w:pPr>
        <w:pStyle w:val="Default"/>
        <w:rPr>
          <w:rFonts w:ascii="Arial" w:hAnsi="Arial" w:cs="Arial"/>
        </w:rPr>
      </w:pPr>
      <w:r w:rsidRPr="005E0053">
        <w:rPr>
          <w:rFonts w:ascii="Arial" w:hAnsi="Arial" w:cs="Arial"/>
        </w:rPr>
        <w:t xml:space="preserve">To support local MEPs in </w:t>
      </w:r>
      <w:r w:rsidR="0021030A" w:rsidRPr="005E0053">
        <w:rPr>
          <w:rFonts w:ascii="Arial" w:hAnsi="Arial" w:cs="Arial"/>
        </w:rPr>
        <w:t xml:space="preserve">aligning </w:t>
      </w:r>
      <w:r w:rsidRPr="005E0053">
        <w:rPr>
          <w:rFonts w:ascii="Arial" w:hAnsi="Arial" w:cs="Arial"/>
        </w:rPr>
        <w:t>program services to b</w:t>
      </w:r>
      <w:r w:rsidR="00B25C17" w:rsidRPr="005E0053">
        <w:rPr>
          <w:rFonts w:ascii="Arial" w:hAnsi="Arial" w:cs="Arial"/>
        </w:rPr>
        <w:t>etter address migratory student</w:t>
      </w:r>
      <w:r w:rsidRPr="005E0053">
        <w:rPr>
          <w:rFonts w:ascii="Arial" w:hAnsi="Arial" w:cs="Arial"/>
        </w:rPr>
        <w:t xml:space="preserve"> </w:t>
      </w:r>
      <w:r w:rsidR="00D80FE4" w:rsidRPr="005E0053">
        <w:rPr>
          <w:rFonts w:ascii="Arial" w:hAnsi="Arial" w:cs="Arial"/>
        </w:rPr>
        <w:t>needs, the CDE will offer multiple training opportunities to subgrantees on the SSDP</w:t>
      </w:r>
      <w:r w:rsidR="00B25C17" w:rsidRPr="005E0053">
        <w:rPr>
          <w:rFonts w:ascii="Arial" w:hAnsi="Arial" w:cs="Arial"/>
        </w:rPr>
        <w:t xml:space="preserve"> guidance and steps toward</w:t>
      </w:r>
      <w:r w:rsidR="006A5852" w:rsidRPr="005E0053">
        <w:rPr>
          <w:rFonts w:ascii="Arial" w:hAnsi="Arial" w:cs="Arial"/>
        </w:rPr>
        <w:t xml:space="preserve"> implementation</w:t>
      </w:r>
      <w:r w:rsidR="00D80FE4" w:rsidRPr="005E0053">
        <w:rPr>
          <w:rFonts w:ascii="Arial" w:hAnsi="Arial" w:cs="Arial"/>
        </w:rPr>
        <w:t xml:space="preserve">. The following tables detail the outreach activities to review the SSDP with subgrantees and other </w:t>
      </w:r>
      <w:r w:rsidR="00EF59DB">
        <w:rPr>
          <w:rFonts w:ascii="Arial" w:hAnsi="Arial" w:cs="Arial"/>
        </w:rPr>
        <w:t>interested parties</w:t>
      </w:r>
      <w:r w:rsidR="00D80FE4" w:rsidRPr="005E0053">
        <w:rPr>
          <w:rFonts w:ascii="Arial" w:hAnsi="Arial" w:cs="Arial"/>
        </w:rPr>
        <w:t xml:space="preserve">. </w:t>
      </w:r>
    </w:p>
    <w:p w14:paraId="03524450" w14:textId="77777777" w:rsidR="004F6691" w:rsidRPr="005E0053" w:rsidRDefault="004F6691" w:rsidP="006856D5">
      <w:pPr>
        <w:pStyle w:val="Heading4"/>
      </w:pPr>
      <w:r w:rsidRPr="005E0053">
        <w:t>Communicating the</w:t>
      </w:r>
      <w:r w:rsidR="00791178" w:rsidRPr="005E0053">
        <w:t xml:space="preserve"> State Service Delivery Plan</w:t>
      </w:r>
      <w:r w:rsidRPr="005E0053">
        <w:t xml:space="preserve"> to Local Projects </w:t>
      </w:r>
    </w:p>
    <w:p w14:paraId="06136D02" w14:textId="77777777" w:rsidR="00601662" w:rsidRPr="006849D8" w:rsidRDefault="00601662" w:rsidP="006849D8">
      <w:pPr>
        <w:pStyle w:val="Heading5"/>
        <w:spacing w:after="0"/>
        <w:rPr>
          <w:b/>
          <w:i w:val="0"/>
          <w:sz w:val="24"/>
        </w:rPr>
      </w:pPr>
      <w:bookmarkStart w:id="83" w:name="_Toc101961127"/>
      <w:r w:rsidRPr="006849D8">
        <w:rPr>
          <w:b/>
          <w:i w:val="0"/>
          <w:sz w:val="24"/>
        </w:rPr>
        <w:t xml:space="preserve">Table </w:t>
      </w:r>
      <w:r w:rsidR="006C4B40" w:rsidRPr="006849D8">
        <w:rPr>
          <w:b/>
          <w:i w:val="0"/>
          <w:sz w:val="24"/>
        </w:rPr>
        <w:fldChar w:fldCharType="begin"/>
      </w:r>
      <w:r w:rsidR="006C4B40" w:rsidRPr="006849D8">
        <w:rPr>
          <w:b/>
          <w:i w:val="0"/>
          <w:sz w:val="24"/>
        </w:rPr>
        <w:instrText xml:space="preserve"> SEQ Table \* ARABIC </w:instrText>
      </w:r>
      <w:r w:rsidR="006C4B40" w:rsidRPr="006849D8">
        <w:rPr>
          <w:b/>
          <w:i w:val="0"/>
          <w:sz w:val="24"/>
        </w:rPr>
        <w:fldChar w:fldCharType="separate"/>
      </w:r>
      <w:r w:rsidR="00791A0A" w:rsidRPr="006849D8">
        <w:rPr>
          <w:b/>
          <w:i w:val="0"/>
          <w:noProof/>
          <w:sz w:val="24"/>
        </w:rPr>
        <w:t>37</w:t>
      </w:r>
      <w:r w:rsidR="006C4B40" w:rsidRPr="006849D8">
        <w:rPr>
          <w:b/>
          <w:i w:val="0"/>
          <w:noProof/>
          <w:sz w:val="24"/>
        </w:rPr>
        <w:fldChar w:fldCharType="end"/>
      </w:r>
      <w:r w:rsidRPr="006849D8">
        <w:rPr>
          <w:b/>
          <w:i w:val="0"/>
          <w:sz w:val="24"/>
        </w:rPr>
        <w:t xml:space="preserve">. </w:t>
      </w:r>
      <w:r w:rsidR="008E3AFA" w:rsidRPr="006849D8">
        <w:rPr>
          <w:b/>
          <w:i w:val="0"/>
          <w:sz w:val="24"/>
        </w:rPr>
        <w:t xml:space="preserve">State Service Delivery Plan </w:t>
      </w:r>
      <w:r w:rsidRPr="006849D8">
        <w:rPr>
          <w:b/>
          <w:i w:val="0"/>
          <w:sz w:val="24"/>
        </w:rPr>
        <w:t>Communication Plan for MEP Directors and Staff</w:t>
      </w:r>
      <w:bookmarkEnd w:id="83"/>
    </w:p>
    <w:tbl>
      <w:tblPr>
        <w:tblStyle w:val="GridTable4-Accent1"/>
        <w:tblW w:w="9396" w:type="dxa"/>
        <w:tblLook w:val="0420" w:firstRow="1" w:lastRow="0" w:firstColumn="0" w:lastColumn="0" w:noHBand="0" w:noVBand="1"/>
        <w:tblDescription w:val="State Service Delivery Plan Communication Timeline for MEP Directors and Staff"/>
      </w:tblPr>
      <w:tblGrid>
        <w:gridCol w:w="1458"/>
        <w:gridCol w:w="1241"/>
        <w:gridCol w:w="3577"/>
        <w:gridCol w:w="1577"/>
        <w:gridCol w:w="1543"/>
      </w:tblGrid>
      <w:tr w:rsidR="00142F53" w:rsidRPr="00455E68" w14:paraId="26DDB582" w14:textId="77777777" w:rsidTr="00940787">
        <w:trPr>
          <w:cnfStyle w:val="100000000000" w:firstRow="1" w:lastRow="0" w:firstColumn="0" w:lastColumn="0" w:oddVBand="0" w:evenVBand="0" w:oddHBand="0" w:evenHBand="0" w:firstRowFirstColumn="0" w:firstRowLastColumn="0" w:lastRowFirstColumn="0" w:lastRowLastColumn="0"/>
          <w:cantSplit/>
          <w:trHeight w:val="286"/>
          <w:tblHeader/>
        </w:trPr>
        <w:tc>
          <w:tcPr>
            <w:tcW w:w="1458" w:type="dxa"/>
            <w:tcBorders>
              <w:right w:val="single" w:sz="4" w:space="0" w:color="5B9BD5"/>
            </w:tcBorders>
            <w:shd w:val="clear" w:color="auto" w:fill="1F3864" w:themeFill="accent5" w:themeFillShade="80"/>
          </w:tcPr>
          <w:p w14:paraId="3249A532" w14:textId="77777777" w:rsidR="00D133C6" w:rsidRPr="00455E68" w:rsidRDefault="00D133C6" w:rsidP="00142F53">
            <w:pPr>
              <w:jc w:val="center"/>
              <w:rPr>
                <w:rFonts w:ascii="Arial" w:hAnsi="Arial" w:cs="Arial"/>
                <w:color w:val="FFFFFF"/>
              </w:rPr>
            </w:pPr>
            <w:r w:rsidRPr="00455E68">
              <w:rPr>
                <w:rFonts w:ascii="Arial" w:hAnsi="Arial" w:cs="Arial"/>
                <w:color w:val="FFFFFF"/>
              </w:rPr>
              <w:t>Timeframe</w:t>
            </w:r>
          </w:p>
        </w:tc>
        <w:tc>
          <w:tcPr>
            <w:tcW w:w="1241" w:type="dxa"/>
            <w:tcBorders>
              <w:left w:val="single" w:sz="4" w:space="0" w:color="5B9BD5"/>
              <w:right w:val="single" w:sz="4" w:space="0" w:color="5B9BD5"/>
            </w:tcBorders>
            <w:shd w:val="clear" w:color="auto" w:fill="1F3864" w:themeFill="accent5" w:themeFillShade="80"/>
          </w:tcPr>
          <w:p w14:paraId="4E5333DD" w14:textId="77777777" w:rsidR="00D133C6" w:rsidRPr="00455E68" w:rsidRDefault="00D133C6" w:rsidP="00142F53">
            <w:pPr>
              <w:jc w:val="center"/>
              <w:rPr>
                <w:rFonts w:ascii="Arial" w:hAnsi="Arial" w:cs="Arial"/>
                <w:color w:val="FFFFFF"/>
              </w:rPr>
            </w:pPr>
            <w:r w:rsidRPr="00455E68">
              <w:rPr>
                <w:rFonts w:ascii="Arial" w:hAnsi="Arial" w:cs="Arial"/>
                <w:color w:val="FFFFFF"/>
              </w:rPr>
              <w:t>Training</w:t>
            </w:r>
          </w:p>
        </w:tc>
        <w:tc>
          <w:tcPr>
            <w:tcW w:w="3577" w:type="dxa"/>
            <w:tcBorders>
              <w:left w:val="single" w:sz="4" w:space="0" w:color="5B9BD5"/>
              <w:right w:val="single" w:sz="4" w:space="0" w:color="5B9BD5"/>
            </w:tcBorders>
            <w:shd w:val="clear" w:color="auto" w:fill="1F3864" w:themeFill="accent5" w:themeFillShade="80"/>
          </w:tcPr>
          <w:p w14:paraId="68F98587" w14:textId="77777777" w:rsidR="00D133C6" w:rsidRPr="00455E68" w:rsidRDefault="00E8548A" w:rsidP="00142F53">
            <w:pPr>
              <w:jc w:val="center"/>
              <w:rPr>
                <w:rFonts w:ascii="Arial" w:hAnsi="Arial" w:cs="Arial"/>
                <w:color w:val="FFFFFF"/>
              </w:rPr>
            </w:pPr>
            <w:r w:rsidRPr="00455E68">
              <w:rPr>
                <w:rFonts w:ascii="Arial" w:hAnsi="Arial" w:cs="Arial"/>
                <w:color w:val="FFFFFF"/>
              </w:rPr>
              <w:t>Objectives</w:t>
            </w:r>
          </w:p>
        </w:tc>
        <w:tc>
          <w:tcPr>
            <w:tcW w:w="1577" w:type="dxa"/>
            <w:tcBorders>
              <w:left w:val="single" w:sz="4" w:space="0" w:color="5B9BD5"/>
              <w:right w:val="single" w:sz="4" w:space="0" w:color="5B9BD5"/>
            </w:tcBorders>
            <w:shd w:val="clear" w:color="auto" w:fill="1F3864" w:themeFill="accent5" w:themeFillShade="80"/>
          </w:tcPr>
          <w:p w14:paraId="47848547" w14:textId="77777777" w:rsidR="00D133C6" w:rsidRPr="00455E68" w:rsidRDefault="00D133C6" w:rsidP="00142F53">
            <w:pPr>
              <w:jc w:val="center"/>
              <w:rPr>
                <w:rFonts w:ascii="Arial" w:hAnsi="Arial" w:cs="Arial"/>
                <w:color w:val="FFFFFF"/>
              </w:rPr>
            </w:pPr>
            <w:r w:rsidRPr="00455E68">
              <w:rPr>
                <w:rFonts w:ascii="Arial" w:hAnsi="Arial" w:cs="Arial"/>
                <w:color w:val="FFFFFF"/>
              </w:rPr>
              <w:t>Where</w:t>
            </w:r>
          </w:p>
        </w:tc>
        <w:tc>
          <w:tcPr>
            <w:tcW w:w="1543" w:type="dxa"/>
            <w:tcBorders>
              <w:left w:val="single" w:sz="4" w:space="0" w:color="5B9BD5"/>
            </w:tcBorders>
            <w:shd w:val="clear" w:color="auto" w:fill="1F3864" w:themeFill="accent5" w:themeFillShade="80"/>
          </w:tcPr>
          <w:p w14:paraId="41F9CA96" w14:textId="77777777" w:rsidR="00D133C6" w:rsidRPr="00455E68" w:rsidRDefault="00D133C6" w:rsidP="00142F53">
            <w:pPr>
              <w:jc w:val="center"/>
              <w:rPr>
                <w:rFonts w:ascii="Arial" w:hAnsi="Arial" w:cs="Arial"/>
                <w:color w:val="FFFFFF"/>
              </w:rPr>
            </w:pPr>
            <w:r w:rsidRPr="00455E68">
              <w:rPr>
                <w:rFonts w:ascii="Arial" w:hAnsi="Arial" w:cs="Arial"/>
                <w:color w:val="FFFFFF"/>
              </w:rPr>
              <w:t>Audience</w:t>
            </w:r>
          </w:p>
        </w:tc>
      </w:tr>
      <w:tr w:rsidR="007B435A" w:rsidRPr="00F62746" w14:paraId="1DCE6FAE" w14:textId="77777777" w:rsidTr="00940787">
        <w:trPr>
          <w:cnfStyle w:val="000000100000" w:firstRow="0" w:lastRow="0" w:firstColumn="0" w:lastColumn="0" w:oddVBand="0" w:evenVBand="0" w:oddHBand="1" w:evenHBand="0" w:firstRowFirstColumn="0" w:firstRowLastColumn="0" w:lastRowFirstColumn="0" w:lastRowLastColumn="0"/>
          <w:cantSplit/>
          <w:trHeight w:val="1179"/>
        </w:trPr>
        <w:tc>
          <w:tcPr>
            <w:tcW w:w="1458" w:type="dxa"/>
          </w:tcPr>
          <w:p w14:paraId="22890DFA" w14:textId="77777777" w:rsidR="00D133C6" w:rsidRPr="00F62746" w:rsidRDefault="00D133C6" w:rsidP="00472899">
            <w:pPr>
              <w:rPr>
                <w:rFonts w:ascii="Arial" w:hAnsi="Arial" w:cs="Arial"/>
              </w:rPr>
            </w:pPr>
            <w:r w:rsidRPr="00F62746">
              <w:rPr>
                <w:rFonts w:ascii="Arial" w:hAnsi="Arial" w:cs="Arial"/>
              </w:rPr>
              <w:t>Sept. 2017</w:t>
            </w:r>
          </w:p>
        </w:tc>
        <w:tc>
          <w:tcPr>
            <w:tcW w:w="1241" w:type="dxa"/>
          </w:tcPr>
          <w:p w14:paraId="7EE9E9D0" w14:textId="77777777" w:rsidR="00D133C6" w:rsidRPr="00F62746" w:rsidRDefault="00D133C6" w:rsidP="00472899">
            <w:pPr>
              <w:rPr>
                <w:rFonts w:ascii="Arial" w:hAnsi="Arial" w:cs="Arial"/>
              </w:rPr>
            </w:pPr>
            <w:r w:rsidRPr="00F62746">
              <w:rPr>
                <w:rFonts w:ascii="Arial" w:hAnsi="Arial" w:cs="Arial"/>
              </w:rPr>
              <w:t>Overview of the SSDP</w:t>
            </w:r>
          </w:p>
        </w:tc>
        <w:tc>
          <w:tcPr>
            <w:tcW w:w="3577" w:type="dxa"/>
          </w:tcPr>
          <w:p w14:paraId="6EBBC107" w14:textId="77777777" w:rsidR="007B435A" w:rsidRPr="00F62746" w:rsidRDefault="00E8548A" w:rsidP="007D443E">
            <w:pPr>
              <w:pStyle w:val="ListParagraph"/>
              <w:numPr>
                <w:ilvl w:val="6"/>
                <w:numId w:val="21"/>
              </w:numPr>
              <w:ind w:left="336"/>
              <w:rPr>
                <w:rFonts w:ascii="Arial" w:hAnsi="Arial" w:cs="Arial"/>
              </w:rPr>
            </w:pPr>
            <w:r w:rsidRPr="00F62746">
              <w:rPr>
                <w:rFonts w:ascii="Arial" w:hAnsi="Arial" w:cs="Arial"/>
              </w:rPr>
              <w:t>Provide an overview of the SSDP process.</w:t>
            </w:r>
          </w:p>
          <w:p w14:paraId="33E91C1C" w14:textId="77777777" w:rsidR="00E8548A" w:rsidRPr="00F62746" w:rsidRDefault="00E8548A" w:rsidP="007D443E">
            <w:pPr>
              <w:pStyle w:val="ListParagraph"/>
              <w:numPr>
                <w:ilvl w:val="6"/>
                <w:numId w:val="21"/>
              </w:numPr>
              <w:ind w:left="336"/>
              <w:rPr>
                <w:rFonts w:ascii="Arial" w:hAnsi="Arial" w:cs="Arial"/>
              </w:rPr>
            </w:pPr>
            <w:r w:rsidRPr="00F62746">
              <w:rPr>
                <w:rFonts w:ascii="Arial" w:hAnsi="Arial" w:cs="Arial"/>
              </w:rPr>
              <w:t>Review performance targets for each focus area.</w:t>
            </w:r>
          </w:p>
        </w:tc>
        <w:tc>
          <w:tcPr>
            <w:tcW w:w="1577" w:type="dxa"/>
          </w:tcPr>
          <w:p w14:paraId="10E82DAD" w14:textId="77777777" w:rsidR="00D133C6" w:rsidRPr="00F62746" w:rsidRDefault="00D133C6" w:rsidP="007B435A">
            <w:pPr>
              <w:rPr>
                <w:rFonts w:ascii="Arial" w:hAnsi="Arial" w:cs="Arial"/>
              </w:rPr>
            </w:pPr>
            <w:r w:rsidRPr="00F62746">
              <w:rPr>
                <w:rFonts w:ascii="Arial" w:hAnsi="Arial" w:cs="Arial"/>
              </w:rPr>
              <w:t>MEP Director Meeting</w:t>
            </w:r>
          </w:p>
          <w:p w14:paraId="362CEE9C" w14:textId="77777777" w:rsidR="00705CE8" w:rsidRPr="00F62746" w:rsidRDefault="00705CE8" w:rsidP="007B435A">
            <w:pPr>
              <w:rPr>
                <w:rFonts w:ascii="Arial" w:hAnsi="Arial" w:cs="Arial"/>
              </w:rPr>
            </w:pPr>
            <w:r w:rsidRPr="00F62746">
              <w:rPr>
                <w:rFonts w:ascii="Arial" w:hAnsi="Arial" w:cs="Arial"/>
              </w:rPr>
              <w:t>Sacramento, CA</w:t>
            </w:r>
          </w:p>
        </w:tc>
        <w:tc>
          <w:tcPr>
            <w:tcW w:w="1543" w:type="dxa"/>
          </w:tcPr>
          <w:p w14:paraId="74CAA951" w14:textId="77777777" w:rsidR="00D133C6" w:rsidRPr="00F62746" w:rsidRDefault="00D133C6" w:rsidP="00F62746">
            <w:pPr>
              <w:ind w:left="-18"/>
              <w:rPr>
                <w:rFonts w:ascii="Arial" w:hAnsi="Arial" w:cs="Arial"/>
              </w:rPr>
            </w:pPr>
            <w:r w:rsidRPr="00F62746">
              <w:rPr>
                <w:rFonts w:ascii="Arial" w:hAnsi="Arial" w:cs="Arial"/>
              </w:rPr>
              <w:t>MEP Directors</w:t>
            </w:r>
          </w:p>
        </w:tc>
      </w:tr>
      <w:tr w:rsidR="007B435A" w:rsidRPr="00F62746" w14:paraId="191A15E7" w14:textId="77777777" w:rsidTr="00940787">
        <w:trPr>
          <w:cantSplit/>
          <w:trHeight w:val="2633"/>
        </w:trPr>
        <w:tc>
          <w:tcPr>
            <w:tcW w:w="1458" w:type="dxa"/>
          </w:tcPr>
          <w:p w14:paraId="139F2561" w14:textId="77777777" w:rsidR="00D133C6" w:rsidRPr="00F62746" w:rsidRDefault="002A1053" w:rsidP="00472899">
            <w:pPr>
              <w:rPr>
                <w:rFonts w:ascii="Arial" w:hAnsi="Arial" w:cs="Arial"/>
              </w:rPr>
            </w:pPr>
            <w:r w:rsidRPr="00F62746">
              <w:rPr>
                <w:rFonts w:ascii="Arial" w:hAnsi="Arial" w:cs="Arial"/>
              </w:rPr>
              <w:t>Jan. 2018</w:t>
            </w:r>
          </w:p>
        </w:tc>
        <w:tc>
          <w:tcPr>
            <w:tcW w:w="1241" w:type="dxa"/>
          </w:tcPr>
          <w:p w14:paraId="5B69B26F" w14:textId="77777777" w:rsidR="00D133C6" w:rsidRPr="00F62746" w:rsidRDefault="00D133C6" w:rsidP="00472899">
            <w:pPr>
              <w:rPr>
                <w:rFonts w:ascii="Arial" w:hAnsi="Arial" w:cs="Arial"/>
              </w:rPr>
            </w:pPr>
            <w:r w:rsidRPr="00F62746">
              <w:rPr>
                <w:rFonts w:ascii="Arial" w:hAnsi="Arial" w:cs="Arial"/>
              </w:rPr>
              <w:t>Aligning MEP Services with the SSDP</w:t>
            </w:r>
          </w:p>
        </w:tc>
        <w:tc>
          <w:tcPr>
            <w:tcW w:w="3577" w:type="dxa"/>
          </w:tcPr>
          <w:p w14:paraId="00EF2F02" w14:textId="77777777" w:rsidR="007B435A" w:rsidRPr="00F62746" w:rsidRDefault="00E8548A" w:rsidP="007D443E">
            <w:pPr>
              <w:pStyle w:val="ListParagraph"/>
              <w:numPr>
                <w:ilvl w:val="6"/>
                <w:numId w:val="41"/>
              </w:numPr>
              <w:ind w:left="336"/>
              <w:rPr>
                <w:rFonts w:ascii="Arial" w:hAnsi="Arial" w:cs="Arial"/>
              </w:rPr>
            </w:pPr>
            <w:r w:rsidRPr="00F62746">
              <w:rPr>
                <w:rFonts w:ascii="Arial" w:hAnsi="Arial" w:cs="Arial"/>
              </w:rPr>
              <w:t>Review performance targets for each focus area.</w:t>
            </w:r>
          </w:p>
          <w:p w14:paraId="72EB1BAB" w14:textId="77777777" w:rsidR="0082400C" w:rsidRPr="00F62746" w:rsidRDefault="00E8548A" w:rsidP="007D443E">
            <w:pPr>
              <w:pStyle w:val="ListParagraph"/>
              <w:numPr>
                <w:ilvl w:val="6"/>
                <w:numId w:val="41"/>
              </w:numPr>
              <w:ind w:left="336"/>
              <w:rPr>
                <w:rFonts w:ascii="Arial" w:hAnsi="Arial" w:cs="Arial"/>
              </w:rPr>
            </w:pPr>
            <w:r w:rsidRPr="00F62746">
              <w:rPr>
                <w:rFonts w:ascii="Arial" w:hAnsi="Arial" w:cs="Arial"/>
              </w:rPr>
              <w:t>Discuss MEP services that address all of the focus areas.</w:t>
            </w:r>
          </w:p>
          <w:p w14:paraId="409154F3" w14:textId="77777777" w:rsidR="00E8548A" w:rsidRPr="00F62746" w:rsidRDefault="00E8548A" w:rsidP="007D443E">
            <w:pPr>
              <w:pStyle w:val="ListParagraph"/>
              <w:numPr>
                <w:ilvl w:val="6"/>
                <w:numId w:val="41"/>
              </w:numPr>
              <w:ind w:left="336"/>
              <w:rPr>
                <w:rFonts w:ascii="Arial" w:hAnsi="Arial" w:cs="Arial"/>
              </w:rPr>
            </w:pPr>
            <w:r w:rsidRPr="00F62746">
              <w:rPr>
                <w:rFonts w:ascii="Arial" w:hAnsi="Arial" w:cs="Arial"/>
              </w:rPr>
              <w:t xml:space="preserve">Identify </w:t>
            </w:r>
            <w:r w:rsidR="0082400C" w:rsidRPr="00F62746">
              <w:rPr>
                <w:rFonts w:ascii="Arial" w:hAnsi="Arial" w:cs="Arial"/>
              </w:rPr>
              <w:t>services that already align with the SSDP, enhance services that partially align with the SSDP</w:t>
            </w:r>
            <w:r w:rsidR="00B25C17" w:rsidRPr="00F62746">
              <w:rPr>
                <w:rFonts w:ascii="Arial" w:hAnsi="Arial" w:cs="Arial"/>
              </w:rPr>
              <w:t>,</w:t>
            </w:r>
            <w:r w:rsidR="0082400C" w:rsidRPr="00F62746">
              <w:rPr>
                <w:rFonts w:ascii="Arial" w:hAnsi="Arial" w:cs="Arial"/>
              </w:rPr>
              <w:t xml:space="preserve"> and develop new services.</w:t>
            </w:r>
          </w:p>
        </w:tc>
        <w:tc>
          <w:tcPr>
            <w:tcW w:w="1577" w:type="dxa"/>
          </w:tcPr>
          <w:p w14:paraId="2274CDF7" w14:textId="77777777" w:rsidR="00D133C6" w:rsidRPr="00F62746" w:rsidRDefault="00C11858" w:rsidP="007B435A">
            <w:pPr>
              <w:rPr>
                <w:rFonts w:ascii="Arial" w:hAnsi="Arial" w:cs="Arial"/>
              </w:rPr>
            </w:pPr>
            <w:r w:rsidRPr="00F62746">
              <w:rPr>
                <w:rFonts w:ascii="Arial" w:hAnsi="Arial" w:cs="Arial"/>
              </w:rPr>
              <w:t>Sacramento, CA</w:t>
            </w:r>
          </w:p>
        </w:tc>
        <w:tc>
          <w:tcPr>
            <w:tcW w:w="1543" w:type="dxa"/>
          </w:tcPr>
          <w:p w14:paraId="760E2E7B" w14:textId="77777777" w:rsidR="00D133C6" w:rsidRPr="00F62746" w:rsidRDefault="00D133C6" w:rsidP="00F62746">
            <w:pPr>
              <w:ind w:left="-18"/>
              <w:rPr>
                <w:rFonts w:ascii="Arial" w:hAnsi="Arial" w:cs="Arial"/>
              </w:rPr>
            </w:pPr>
            <w:r w:rsidRPr="00F62746">
              <w:rPr>
                <w:rFonts w:ascii="Arial" w:hAnsi="Arial" w:cs="Arial"/>
              </w:rPr>
              <w:t>Regional MEP staff</w:t>
            </w:r>
            <w:r w:rsidR="006F5649" w:rsidRPr="00F62746">
              <w:rPr>
                <w:rFonts w:ascii="Arial" w:hAnsi="Arial" w:cs="Arial"/>
              </w:rPr>
              <w:t xml:space="preserve"> in </w:t>
            </w:r>
            <w:r w:rsidR="0082400C" w:rsidRPr="00F62746">
              <w:rPr>
                <w:rFonts w:ascii="Arial" w:hAnsi="Arial" w:cs="Arial"/>
              </w:rPr>
              <w:t>Central</w:t>
            </w:r>
            <w:r w:rsidR="006F5649" w:rsidRPr="00F62746">
              <w:rPr>
                <w:rFonts w:ascii="Arial" w:hAnsi="Arial" w:cs="Arial"/>
              </w:rPr>
              <w:t xml:space="preserve"> CA</w:t>
            </w:r>
          </w:p>
        </w:tc>
      </w:tr>
      <w:tr w:rsidR="0082400C" w:rsidRPr="00F62746" w14:paraId="59086449" w14:textId="77777777" w:rsidTr="00940787">
        <w:trPr>
          <w:cnfStyle w:val="000000100000" w:firstRow="0" w:lastRow="0" w:firstColumn="0" w:lastColumn="0" w:oddVBand="0" w:evenVBand="0" w:oddHBand="1" w:evenHBand="0" w:firstRowFirstColumn="0" w:firstRowLastColumn="0" w:lastRowFirstColumn="0" w:lastRowLastColumn="0"/>
          <w:cantSplit/>
          <w:trHeight w:val="2645"/>
        </w:trPr>
        <w:tc>
          <w:tcPr>
            <w:tcW w:w="1458" w:type="dxa"/>
          </w:tcPr>
          <w:p w14:paraId="18C70414" w14:textId="77777777" w:rsidR="0082400C" w:rsidRPr="00F62746" w:rsidRDefault="002A1053" w:rsidP="009E4270">
            <w:pPr>
              <w:rPr>
                <w:rFonts w:ascii="Arial" w:hAnsi="Arial" w:cs="Arial"/>
              </w:rPr>
            </w:pPr>
            <w:r w:rsidRPr="00F62746">
              <w:rPr>
                <w:rFonts w:ascii="Arial" w:hAnsi="Arial" w:cs="Arial"/>
              </w:rPr>
              <w:t>Jan. 2018</w:t>
            </w:r>
          </w:p>
        </w:tc>
        <w:tc>
          <w:tcPr>
            <w:tcW w:w="1241" w:type="dxa"/>
          </w:tcPr>
          <w:p w14:paraId="25F43FD8" w14:textId="77777777" w:rsidR="0082400C" w:rsidRPr="00F62746" w:rsidRDefault="0082400C" w:rsidP="009E4270">
            <w:pPr>
              <w:rPr>
                <w:rFonts w:ascii="Arial" w:hAnsi="Arial" w:cs="Arial"/>
              </w:rPr>
            </w:pPr>
            <w:r w:rsidRPr="00F62746">
              <w:rPr>
                <w:rFonts w:ascii="Arial" w:hAnsi="Arial" w:cs="Arial"/>
              </w:rPr>
              <w:t>Aligning MEP Services with the SSDP</w:t>
            </w:r>
          </w:p>
        </w:tc>
        <w:tc>
          <w:tcPr>
            <w:tcW w:w="3577" w:type="dxa"/>
          </w:tcPr>
          <w:p w14:paraId="26420D5F" w14:textId="77777777" w:rsidR="0082400C" w:rsidRPr="00F62746" w:rsidRDefault="0082400C" w:rsidP="007D443E">
            <w:pPr>
              <w:pStyle w:val="ListParagraph"/>
              <w:numPr>
                <w:ilvl w:val="6"/>
                <w:numId w:val="56"/>
              </w:numPr>
              <w:ind w:left="321"/>
              <w:rPr>
                <w:rFonts w:ascii="Arial" w:hAnsi="Arial" w:cs="Arial"/>
              </w:rPr>
            </w:pPr>
            <w:r w:rsidRPr="00F62746">
              <w:rPr>
                <w:rFonts w:ascii="Arial" w:hAnsi="Arial" w:cs="Arial"/>
              </w:rPr>
              <w:t>Review performance targets for each focus area.</w:t>
            </w:r>
          </w:p>
          <w:p w14:paraId="4F07CF6D" w14:textId="77777777" w:rsidR="0082400C" w:rsidRPr="00F62746" w:rsidRDefault="0082400C" w:rsidP="007D443E">
            <w:pPr>
              <w:pStyle w:val="ListParagraph"/>
              <w:numPr>
                <w:ilvl w:val="6"/>
                <w:numId w:val="56"/>
              </w:numPr>
              <w:ind w:left="336"/>
              <w:rPr>
                <w:rFonts w:ascii="Arial" w:hAnsi="Arial" w:cs="Arial"/>
              </w:rPr>
            </w:pPr>
            <w:r w:rsidRPr="00F62746">
              <w:rPr>
                <w:rFonts w:ascii="Arial" w:hAnsi="Arial" w:cs="Arial"/>
              </w:rPr>
              <w:t>Discuss MEP services that address all of the focus areas.</w:t>
            </w:r>
          </w:p>
          <w:p w14:paraId="79AD613C" w14:textId="77777777" w:rsidR="0082400C" w:rsidRPr="00F62746" w:rsidRDefault="0082400C" w:rsidP="007D443E">
            <w:pPr>
              <w:pStyle w:val="ListParagraph"/>
              <w:numPr>
                <w:ilvl w:val="6"/>
                <w:numId w:val="56"/>
              </w:numPr>
              <w:ind w:left="336"/>
              <w:rPr>
                <w:rFonts w:ascii="Arial" w:hAnsi="Arial" w:cs="Arial"/>
              </w:rPr>
            </w:pPr>
            <w:r w:rsidRPr="00F62746">
              <w:rPr>
                <w:rFonts w:ascii="Arial" w:hAnsi="Arial" w:cs="Arial"/>
              </w:rPr>
              <w:t>Identify services that already align with the SSDP, enhance services that partially align with the SSDP</w:t>
            </w:r>
            <w:r w:rsidR="00B25C17" w:rsidRPr="00F62746">
              <w:rPr>
                <w:rFonts w:ascii="Arial" w:hAnsi="Arial" w:cs="Arial"/>
              </w:rPr>
              <w:t>,</w:t>
            </w:r>
            <w:r w:rsidRPr="00F62746">
              <w:rPr>
                <w:rFonts w:ascii="Arial" w:hAnsi="Arial" w:cs="Arial"/>
              </w:rPr>
              <w:t xml:space="preserve"> and develop new services.</w:t>
            </w:r>
          </w:p>
        </w:tc>
        <w:tc>
          <w:tcPr>
            <w:tcW w:w="1577" w:type="dxa"/>
          </w:tcPr>
          <w:p w14:paraId="0B78366F" w14:textId="77777777" w:rsidR="0082400C" w:rsidRPr="00F62746" w:rsidRDefault="00C11858" w:rsidP="009E4270">
            <w:pPr>
              <w:rPr>
                <w:rFonts w:ascii="Arial" w:hAnsi="Arial" w:cs="Arial"/>
              </w:rPr>
            </w:pPr>
            <w:r w:rsidRPr="00F62746">
              <w:rPr>
                <w:rFonts w:ascii="Arial" w:hAnsi="Arial" w:cs="Arial"/>
              </w:rPr>
              <w:t xml:space="preserve">Fresno, </w:t>
            </w:r>
            <w:r w:rsidR="0082400C" w:rsidRPr="00F62746">
              <w:rPr>
                <w:rFonts w:ascii="Arial" w:hAnsi="Arial" w:cs="Arial"/>
              </w:rPr>
              <w:t>CA</w:t>
            </w:r>
          </w:p>
        </w:tc>
        <w:tc>
          <w:tcPr>
            <w:tcW w:w="1543" w:type="dxa"/>
          </w:tcPr>
          <w:p w14:paraId="1DCCE8B7" w14:textId="77777777" w:rsidR="0082400C" w:rsidRPr="00F62746" w:rsidRDefault="0082400C" w:rsidP="00F62746">
            <w:pPr>
              <w:ind w:left="-18"/>
              <w:rPr>
                <w:rFonts w:ascii="Arial" w:hAnsi="Arial" w:cs="Arial"/>
              </w:rPr>
            </w:pPr>
            <w:r w:rsidRPr="00F62746">
              <w:rPr>
                <w:rFonts w:ascii="Arial" w:hAnsi="Arial" w:cs="Arial"/>
              </w:rPr>
              <w:t xml:space="preserve">Regional MEP staff in </w:t>
            </w:r>
            <w:r w:rsidR="00E8105D" w:rsidRPr="00F62746">
              <w:rPr>
                <w:rFonts w:ascii="Arial" w:hAnsi="Arial" w:cs="Arial"/>
              </w:rPr>
              <w:t>Northern</w:t>
            </w:r>
            <w:r w:rsidRPr="00F62746">
              <w:rPr>
                <w:rFonts w:ascii="Arial" w:hAnsi="Arial" w:cs="Arial"/>
              </w:rPr>
              <w:t xml:space="preserve"> CA</w:t>
            </w:r>
          </w:p>
        </w:tc>
      </w:tr>
      <w:tr w:rsidR="0082400C" w:rsidRPr="00F62746" w14:paraId="296FE16A" w14:textId="77777777" w:rsidTr="00940787">
        <w:trPr>
          <w:cantSplit/>
          <w:trHeight w:val="2061"/>
        </w:trPr>
        <w:tc>
          <w:tcPr>
            <w:tcW w:w="1458" w:type="dxa"/>
          </w:tcPr>
          <w:p w14:paraId="31FC1A04" w14:textId="77777777" w:rsidR="0082400C" w:rsidRPr="00F62746" w:rsidRDefault="0035337A" w:rsidP="00705CE8">
            <w:pPr>
              <w:rPr>
                <w:rFonts w:ascii="Arial" w:hAnsi="Arial" w:cs="Arial"/>
              </w:rPr>
            </w:pPr>
            <w:r w:rsidRPr="00F62746">
              <w:rPr>
                <w:rFonts w:ascii="Arial" w:hAnsi="Arial" w:cs="Arial"/>
              </w:rPr>
              <w:lastRenderedPageBreak/>
              <w:t>Feb</w:t>
            </w:r>
            <w:r w:rsidR="0082400C" w:rsidRPr="00F62746">
              <w:rPr>
                <w:rFonts w:ascii="Arial" w:hAnsi="Arial" w:cs="Arial"/>
              </w:rPr>
              <w:t>. 201</w:t>
            </w:r>
            <w:r w:rsidR="00705CE8" w:rsidRPr="00F62746">
              <w:rPr>
                <w:rFonts w:ascii="Arial" w:hAnsi="Arial" w:cs="Arial"/>
              </w:rPr>
              <w:t>8</w:t>
            </w:r>
          </w:p>
        </w:tc>
        <w:tc>
          <w:tcPr>
            <w:tcW w:w="1241" w:type="dxa"/>
          </w:tcPr>
          <w:p w14:paraId="2F7EC899" w14:textId="77777777" w:rsidR="0082400C" w:rsidRPr="00F62746" w:rsidRDefault="0082400C" w:rsidP="009E4270">
            <w:pPr>
              <w:rPr>
                <w:rFonts w:ascii="Arial" w:hAnsi="Arial" w:cs="Arial"/>
              </w:rPr>
            </w:pPr>
            <w:r w:rsidRPr="00F62746">
              <w:rPr>
                <w:rFonts w:ascii="Arial" w:hAnsi="Arial" w:cs="Arial"/>
              </w:rPr>
              <w:t>Aligning MEP Services with the SSDP</w:t>
            </w:r>
          </w:p>
        </w:tc>
        <w:tc>
          <w:tcPr>
            <w:tcW w:w="3577" w:type="dxa"/>
          </w:tcPr>
          <w:p w14:paraId="2DE25173" w14:textId="77777777" w:rsidR="0082400C" w:rsidRPr="00F62746" w:rsidRDefault="0082400C" w:rsidP="007D443E">
            <w:pPr>
              <w:pStyle w:val="ListParagraph"/>
              <w:numPr>
                <w:ilvl w:val="6"/>
                <w:numId w:val="57"/>
              </w:numPr>
              <w:ind w:left="321"/>
              <w:rPr>
                <w:rFonts w:ascii="Arial" w:hAnsi="Arial" w:cs="Arial"/>
              </w:rPr>
            </w:pPr>
            <w:r w:rsidRPr="00F62746">
              <w:rPr>
                <w:rFonts w:ascii="Arial" w:hAnsi="Arial" w:cs="Arial"/>
              </w:rPr>
              <w:t>Review performance targets for each focus area.</w:t>
            </w:r>
          </w:p>
          <w:p w14:paraId="5E5B87A3" w14:textId="77777777" w:rsidR="0082400C" w:rsidRPr="00F62746" w:rsidRDefault="0082400C" w:rsidP="007D443E">
            <w:pPr>
              <w:pStyle w:val="ListParagraph"/>
              <w:numPr>
                <w:ilvl w:val="6"/>
                <w:numId w:val="57"/>
              </w:numPr>
              <w:ind w:left="336"/>
              <w:rPr>
                <w:rFonts w:ascii="Arial" w:hAnsi="Arial" w:cs="Arial"/>
              </w:rPr>
            </w:pPr>
            <w:r w:rsidRPr="00F62746">
              <w:rPr>
                <w:rFonts w:ascii="Arial" w:hAnsi="Arial" w:cs="Arial"/>
              </w:rPr>
              <w:t>Discuss MEP services that address all of the focus areas.</w:t>
            </w:r>
          </w:p>
          <w:p w14:paraId="786F5067" w14:textId="77777777" w:rsidR="0082400C" w:rsidRPr="00F62746" w:rsidRDefault="0082400C" w:rsidP="007D443E">
            <w:pPr>
              <w:pStyle w:val="ListParagraph"/>
              <w:numPr>
                <w:ilvl w:val="6"/>
                <w:numId w:val="57"/>
              </w:numPr>
              <w:ind w:left="336"/>
              <w:rPr>
                <w:rFonts w:ascii="Arial" w:hAnsi="Arial" w:cs="Arial"/>
              </w:rPr>
            </w:pPr>
            <w:r w:rsidRPr="00F62746">
              <w:rPr>
                <w:rFonts w:ascii="Arial" w:hAnsi="Arial" w:cs="Arial"/>
              </w:rPr>
              <w:t>Identify services that already align with the SSDP, enhance services that partially align with the SSDP</w:t>
            </w:r>
            <w:r w:rsidR="00B25C17" w:rsidRPr="00F62746">
              <w:rPr>
                <w:rFonts w:ascii="Arial" w:hAnsi="Arial" w:cs="Arial"/>
              </w:rPr>
              <w:t>,</w:t>
            </w:r>
            <w:r w:rsidRPr="00F62746">
              <w:rPr>
                <w:rFonts w:ascii="Arial" w:hAnsi="Arial" w:cs="Arial"/>
              </w:rPr>
              <w:t xml:space="preserve"> and develop new services.</w:t>
            </w:r>
          </w:p>
        </w:tc>
        <w:tc>
          <w:tcPr>
            <w:tcW w:w="1577" w:type="dxa"/>
          </w:tcPr>
          <w:p w14:paraId="616C779A" w14:textId="77777777" w:rsidR="0082400C" w:rsidRPr="00F62746" w:rsidRDefault="0035337A" w:rsidP="009E4270">
            <w:pPr>
              <w:rPr>
                <w:rFonts w:ascii="Arial" w:hAnsi="Arial" w:cs="Arial"/>
              </w:rPr>
            </w:pPr>
            <w:r w:rsidRPr="00F62746">
              <w:rPr>
                <w:rFonts w:ascii="Arial" w:hAnsi="Arial" w:cs="Arial"/>
              </w:rPr>
              <w:t>Downey</w:t>
            </w:r>
            <w:r w:rsidR="0082400C" w:rsidRPr="00F62746">
              <w:rPr>
                <w:rFonts w:ascii="Arial" w:hAnsi="Arial" w:cs="Arial"/>
              </w:rPr>
              <w:t>, CA</w:t>
            </w:r>
          </w:p>
        </w:tc>
        <w:tc>
          <w:tcPr>
            <w:tcW w:w="1543" w:type="dxa"/>
          </w:tcPr>
          <w:p w14:paraId="19353646" w14:textId="77777777" w:rsidR="0082400C" w:rsidRPr="00F62746" w:rsidRDefault="0082400C" w:rsidP="00F62746">
            <w:pPr>
              <w:ind w:left="-18"/>
              <w:rPr>
                <w:rFonts w:ascii="Arial" w:hAnsi="Arial" w:cs="Arial"/>
              </w:rPr>
            </w:pPr>
            <w:r w:rsidRPr="00F62746">
              <w:rPr>
                <w:rFonts w:ascii="Arial" w:hAnsi="Arial" w:cs="Arial"/>
              </w:rPr>
              <w:t xml:space="preserve">Regional MEP staff in </w:t>
            </w:r>
            <w:r w:rsidR="00E8105D" w:rsidRPr="00F62746">
              <w:rPr>
                <w:rFonts w:ascii="Arial" w:hAnsi="Arial" w:cs="Arial"/>
              </w:rPr>
              <w:t>Southern</w:t>
            </w:r>
            <w:r w:rsidRPr="00F62746">
              <w:rPr>
                <w:rFonts w:ascii="Arial" w:hAnsi="Arial" w:cs="Arial"/>
              </w:rPr>
              <w:t xml:space="preserve"> CA</w:t>
            </w:r>
          </w:p>
        </w:tc>
      </w:tr>
    </w:tbl>
    <w:p w14:paraId="44276C02" w14:textId="5F3988D7" w:rsidR="004F6691" w:rsidRPr="005E0053" w:rsidRDefault="004F6691" w:rsidP="006856D5">
      <w:pPr>
        <w:pStyle w:val="Heading4"/>
      </w:pPr>
      <w:r w:rsidRPr="005E0053">
        <w:t xml:space="preserve">Communicating the </w:t>
      </w:r>
      <w:r w:rsidR="00791178" w:rsidRPr="005E0053">
        <w:t xml:space="preserve">State Service Delivery Plan </w:t>
      </w:r>
      <w:r w:rsidRPr="005E0053">
        <w:t xml:space="preserve">to Other </w:t>
      </w:r>
      <w:r w:rsidR="00EF59DB">
        <w:t>Interested Parties</w:t>
      </w:r>
      <w:r w:rsidR="00EF59DB" w:rsidRPr="005E0053">
        <w:t xml:space="preserve"> </w:t>
      </w:r>
    </w:p>
    <w:p w14:paraId="37677406" w14:textId="77777777" w:rsidR="008B1191" w:rsidRPr="005E0053" w:rsidRDefault="008B1191" w:rsidP="00072681">
      <w:pPr>
        <w:rPr>
          <w:rFonts w:ascii="Arial" w:hAnsi="Arial" w:cs="Arial"/>
        </w:rPr>
      </w:pPr>
      <w:r w:rsidRPr="005E0053">
        <w:rPr>
          <w:rFonts w:ascii="Arial" w:hAnsi="Arial" w:cs="Arial"/>
        </w:rPr>
        <w:t>Additional informational and training sessions will be offered to internal and external partners. In conjunction with the CDE, the Los Angeles County Office of Education (LACOE) is developing California’s new online MEP grant application and expenditure reporting system. The CDE is working with LACOE</w:t>
      </w:r>
      <w:r w:rsidR="004035B1" w:rsidRPr="005E0053">
        <w:rPr>
          <w:rFonts w:ascii="Arial" w:hAnsi="Arial" w:cs="Arial"/>
        </w:rPr>
        <w:t xml:space="preserve"> to align the online MEP grant application to the SSDP to assist with statewide implementation and program evaluation. Furthermore, the CDE will continue to provide training around the SSDP and consult with the SPAC during SSDP implementation.</w:t>
      </w:r>
    </w:p>
    <w:p w14:paraId="16DAE838" w14:textId="01960AA1" w:rsidR="00601662" w:rsidRPr="006849D8" w:rsidRDefault="00601662" w:rsidP="006849D8">
      <w:pPr>
        <w:pStyle w:val="Heading5"/>
        <w:spacing w:after="0"/>
        <w:rPr>
          <w:b/>
          <w:i w:val="0"/>
          <w:sz w:val="24"/>
        </w:rPr>
      </w:pPr>
      <w:bookmarkStart w:id="84" w:name="_Toc101961128"/>
      <w:r w:rsidRPr="006849D8">
        <w:rPr>
          <w:b/>
          <w:i w:val="0"/>
          <w:sz w:val="24"/>
        </w:rPr>
        <w:t xml:space="preserve">Table </w:t>
      </w:r>
      <w:r w:rsidR="006C4B40" w:rsidRPr="006849D8">
        <w:rPr>
          <w:b/>
          <w:i w:val="0"/>
          <w:sz w:val="24"/>
        </w:rPr>
        <w:fldChar w:fldCharType="begin"/>
      </w:r>
      <w:r w:rsidR="006C4B40" w:rsidRPr="006849D8">
        <w:rPr>
          <w:b/>
          <w:i w:val="0"/>
          <w:sz w:val="24"/>
        </w:rPr>
        <w:instrText xml:space="preserve"> SEQ Table \* ARABIC </w:instrText>
      </w:r>
      <w:r w:rsidR="006C4B40" w:rsidRPr="006849D8">
        <w:rPr>
          <w:b/>
          <w:i w:val="0"/>
          <w:sz w:val="24"/>
        </w:rPr>
        <w:fldChar w:fldCharType="separate"/>
      </w:r>
      <w:r w:rsidR="00791A0A" w:rsidRPr="006849D8">
        <w:rPr>
          <w:b/>
          <w:i w:val="0"/>
          <w:noProof/>
          <w:sz w:val="24"/>
        </w:rPr>
        <w:t>38</w:t>
      </w:r>
      <w:r w:rsidR="006C4B40" w:rsidRPr="006849D8">
        <w:rPr>
          <w:b/>
          <w:i w:val="0"/>
          <w:noProof/>
          <w:sz w:val="24"/>
        </w:rPr>
        <w:fldChar w:fldCharType="end"/>
      </w:r>
      <w:r w:rsidRPr="006849D8">
        <w:rPr>
          <w:b/>
          <w:i w:val="0"/>
          <w:sz w:val="24"/>
        </w:rPr>
        <w:t xml:space="preserve">. </w:t>
      </w:r>
      <w:r w:rsidR="008E3AFA" w:rsidRPr="006849D8">
        <w:rPr>
          <w:b/>
          <w:i w:val="0"/>
          <w:sz w:val="24"/>
        </w:rPr>
        <w:t xml:space="preserve">State Service Delivery Plan </w:t>
      </w:r>
      <w:r w:rsidRPr="006849D8">
        <w:rPr>
          <w:b/>
          <w:i w:val="0"/>
          <w:sz w:val="24"/>
        </w:rPr>
        <w:t xml:space="preserve">Communication Plan for Other </w:t>
      </w:r>
      <w:r w:rsidR="00EF59DB">
        <w:rPr>
          <w:b/>
          <w:i w:val="0"/>
          <w:sz w:val="24"/>
        </w:rPr>
        <w:t>Interested Parties</w:t>
      </w:r>
      <w:bookmarkEnd w:id="84"/>
    </w:p>
    <w:tbl>
      <w:tblPr>
        <w:tblStyle w:val="GridTable4-Accent1"/>
        <w:tblW w:w="9504" w:type="dxa"/>
        <w:tblLook w:val="0420" w:firstRow="1" w:lastRow="0" w:firstColumn="0" w:lastColumn="0" w:noHBand="0" w:noVBand="1"/>
        <w:tblDescription w:val="State Service Delivery Plan Communication Timeline for Other Stakeholders"/>
      </w:tblPr>
      <w:tblGrid>
        <w:gridCol w:w="1430"/>
        <w:gridCol w:w="1362"/>
        <w:gridCol w:w="3504"/>
        <w:gridCol w:w="1577"/>
        <w:gridCol w:w="1631"/>
      </w:tblGrid>
      <w:tr w:rsidR="008B1191" w:rsidRPr="00F62746" w14:paraId="1F9A6563" w14:textId="77777777" w:rsidTr="00940787">
        <w:trPr>
          <w:cnfStyle w:val="100000000000" w:firstRow="1" w:lastRow="0" w:firstColumn="0" w:lastColumn="0" w:oddVBand="0" w:evenVBand="0" w:oddHBand="0" w:evenHBand="0" w:firstRowFirstColumn="0" w:firstRowLastColumn="0" w:lastRowFirstColumn="0" w:lastRowLastColumn="0"/>
          <w:cantSplit/>
          <w:trHeight w:val="289"/>
          <w:tblHeader/>
        </w:trPr>
        <w:tc>
          <w:tcPr>
            <w:tcW w:w="1398" w:type="dxa"/>
            <w:tcBorders>
              <w:right w:val="single" w:sz="4" w:space="0" w:color="5B9BD5"/>
            </w:tcBorders>
            <w:shd w:val="clear" w:color="auto" w:fill="1F3864" w:themeFill="accent5" w:themeFillShade="80"/>
          </w:tcPr>
          <w:p w14:paraId="670B5E3E" w14:textId="77777777" w:rsidR="00D133C6" w:rsidRPr="00F62746" w:rsidRDefault="00D133C6" w:rsidP="009D2881">
            <w:pPr>
              <w:jc w:val="center"/>
              <w:rPr>
                <w:rFonts w:ascii="Arial" w:hAnsi="Arial" w:cs="Arial"/>
                <w:color w:val="FFFFFF"/>
              </w:rPr>
            </w:pPr>
            <w:r w:rsidRPr="00F62746">
              <w:rPr>
                <w:rFonts w:ascii="Arial" w:hAnsi="Arial" w:cs="Arial"/>
                <w:color w:val="FFFFFF"/>
              </w:rPr>
              <w:t>Timeframe</w:t>
            </w:r>
          </w:p>
        </w:tc>
        <w:tc>
          <w:tcPr>
            <w:tcW w:w="1365" w:type="dxa"/>
            <w:tcBorders>
              <w:left w:val="single" w:sz="4" w:space="0" w:color="5B9BD5"/>
              <w:right w:val="single" w:sz="4" w:space="0" w:color="5B9BD5"/>
            </w:tcBorders>
            <w:shd w:val="clear" w:color="auto" w:fill="1F3864" w:themeFill="accent5" w:themeFillShade="80"/>
          </w:tcPr>
          <w:p w14:paraId="3A2B6FAD" w14:textId="77777777" w:rsidR="00D133C6" w:rsidRPr="00F62746" w:rsidRDefault="00D133C6" w:rsidP="009D2881">
            <w:pPr>
              <w:jc w:val="center"/>
              <w:rPr>
                <w:rFonts w:ascii="Arial" w:hAnsi="Arial" w:cs="Arial"/>
                <w:color w:val="FFFFFF"/>
              </w:rPr>
            </w:pPr>
            <w:r w:rsidRPr="00F62746">
              <w:rPr>
                <w:rFonts w:ascii="Arial" w:hAnsi="Arial" w:cs="Arial"/>
                <w:color w:val="FFFFFF"/>
              </w:rPr>
              <w:t>Training</w:t>
            </w:r>
          </w:p>
        </w:tc>
        <w:tc>
          <w:tcPr>
            <w:tcW w:w="3533" w:type="dxa"/>
            <w:tcBorders>
              <w:left w:val="single" w:sz="4" w:space="0" w:color="5B9BD5"/>
              <w:right w:val="single" w:sz="4" w:space="0" w:color="5B9BD5"/>
            </w:tcBorders>
            <w:shd w:val="clear" w:color="auto" w:fill="1F3864" w:themeFill="accent5" w:themeFillShade="80"/>
          </w:tcPr>
          <w:p w14:paraId="2F68230E" w14:textId="77777777" w:rsidR="00D133C6" w:rsidRPr="00F62746" w:rsidRDefault="00E8548A" w:rsidP="009D2881">
            <w:pPr>
              <w:jc w:val="center"/>
              <w:rPr>
                <w:rFonts w:ascii="Arial" w:hAnsi="Arial" w:cs="Arial"/>
                <w:color w:val="FFFFFF"/>
              </w:rPr>
            </w:pPr>
            <w:r w:rsidRPr="00F62746">
              <w:rPr>
                <w:rFonts w:ascii="Arial" w:hAnsi="Arial" w:cs="Arial"/>
                <w:color w:val="FFFFFF"/>
              </w:rPr>
              <w:t>Objectives</w:t>
            </w:r>
          </w:p>
        </w:tc>
        <w:tc>
          <w:tcPr>
            <w:tcW w:w="1577" w:type="dxa"/>
            <w:tcBorders>
              <w:left w:val="single" w:sz="4" w:space="0" w:color="5B9BD5"/>
              <w:right w:val="single" w:sz="4" w:space="0" w:color="5B9BD5"/>
            </w:tcBorders>
            <w:shd w:val="clear" w:color="auto" w:fill="1F3864" w:themeFill="accent5" w:themeFillShade="80"/>
          </w:tcPr>
          <w:p w14:paraId="49159672" w14:textId="77777777" w:rsidR="00D133C6" w:rsidRPr="00F62746" w:rsidRDefault="00D133C6" w:rsidP="009D2881">
            <w:pPr>
              <w:jc w:val="center"/>
              <w:rPr>
                <w:rFonts w:ascii="Arial" w:hAnsi="Arial" w:cs="Arial"/>
                <w:color w:val="FFFFFF"/>
              </w:rPr>
            </w:pPr>
            <w:r w:rsidRPr="00F62746">
              <w:rPr>
                <w:rFonts w:ascii="Arial" w:hAnsi="Arial" w:cs="Arial"/>
                <w:color w:val="FFFFFF"/>
              </w:rPr>
              <w:t>Where</w:t>
            </w:r>
          </w:p>
        </w:tc>
        <w:tc>
          <w:tcPr>
            <w:tcW w:w="1631" w:type="dxa"/>
            <w:tcBorders>
              <w:left w:val="single" w:sz="4" w:space="0" w:color="5B9BD5"/>
            </w:tcBorders>
            <w:shd w:val="clear" w:color="auto" w:fill="1F3864" w:themeFill="accent5" w:themeFillShade="80"/>
          </w:tcPr>
          <w:p w14:paraId="5C395C65" w14:textId="77777777" w:rsidR="00D133C6" w:rsidRPr="00F62746" w:rsidRDefault="00D133C6" w:rsidP="009D2881">
            <w:pPr>
              <w:jc w:val="center"/>
              <w:rPr>
                <w:rFonts w:ascii="Arial" w:hAnsi="Arial" w:cs="Arial"/>
                <w:color w:val="FFFFFF"/>
              </w:rPr>
            </w:pPr>
            <w:r w:rsidRPr="00F62746">
              <w:rPr>
                <w:rFonts w:ascii="Arial" w:hAnsi="Arial" w:cs="Arial"/>
                <w:color w:val="FFFFFF"/>
              </w:rPr>
              <w:t>Audience</w:t>
            </w:r>
          </w:p>
        </w:tc>
      </w:tr>
      <w:tr w:rsidR="008B1191" w:rsidRPr="00F62746" w14:paraId="0D8C70F5" w14:textId="77777777" w:rsidTr="00940787">
        <w:trPr>
          <w:cnfStyle w:val="000000100000" w:firstRow="0" w:lastRow="0" w:firstColumn="0" w:lastColumn="0" w:oddVBand="0" w:evenVBand="0" w:oddHBand="1" w:evenHBand="0" w:firstRowFirstColumn="0" w:firstRowLastColumn="0" w:lastRowFirstColumn="0" w:lastRowLastColumn="0"/>
          <w:cantSplit/>
          <w:trHeight w:val="1190"/>
        </w:trPr>
        <w:tc>
          <w:tcPr>
            <w:tcW w:w="1398" w:type="dxa"/>
          </w:tcPr>
          <w:p w14:paraId="01304084" w14:textId="77777777" w:rsidR="00D133C6" w:rsidRPr="00F62746" w:rsidRDefault="00D133C6" w:rsidP="003A04A9">
            <w:pPr>
              <w:rPr>
                <w:rFonts w:ascii="Arial" w:hAnsi="Arial" w:cs="Arial"/>
              </w:rPr>
            </w:pPr>
            <w:r w:rsidRPr="00F62746">
              <w:rPr>
                <w:rFonts w:ascii="Arial" w:hAnsi="Arial" w:cs="Arial"/>
              </w:rPr>
              <w:t>Sept. 2017</w:t>
            </w:r>
          </w:p>
        </w:tc>
        <w:tc>
          <w:tcPr>
            <w:tcW w:w="1365" w:type="dxa"/>
          </w:tcPr>
          <w:p w14:paraId="3327A840" w14:textId="77777777" w:rsidR="00D133C6" w:rsidRPr="00F62746" w:rsidRDefault="00D133C6" w:rsidP="003A04A9">
            <w:pPr>
              <w:rPr>
                <w:rFonts w:ascii="Arial" w:hAnsi="Arial" w:cs="Arial"/>
              </w:rPr>
            </w:pPr>
            <w:r w:rsidRPr="00F62746">
              <w:rPr>
                <w:rFonts w:ascii="Arial" w:hAnsi="Arial" w:cs="Arial"/>
              </w:rPr>
              <w:t>Overview of the SSDP</w:t>
            </w:r>
          </w:p>
        </w:tc>
        <w:tc>
          <w:tcPr>
            <w:tcW w:w="3533" w:type="dxa"/>
          </w:tcPr>
          <w:p w14:paraId="136E5DBF" w14:textId="77777777" w:rsidR="00E8548A" w:rsidRPr="00F62746" w:rsidRDefault="00E8548A" w:rsidP="007D443E">
            <w:pPr>
              <w:pStyle w:val="ListParagraph"/>
              <w:numPr>
                <w:ilvl w:val="0"/>
                <w:numId w:val="42"/>
              </w:numPr>
              <w:rPr>
                <w:rFonts w:ascii="Arial" w:hAnsi="Arial" w:cs="Arial"/>
              </w:rPr>
            </w:pPr>
            <w:r w:rsidRPr="00F62746">
              <w:rPr>
                <w:rFonts w:ascii="Arial" w:hAnsi="Arial" w:cs="Arial"/>
              </w:rPr>
              <w:t>Provide an overview of the SSDP process.</w:t>
            </w:r>
          </w:p>
          <w:p w14:paraId="0C0F13BC" w14:textId="77777777" w:rsidR="00D133C6" w:rsidRPr="00F62746" w:rsidRDefault="00E8548A" w:rsidP="007D443E">
            <w:pPr>
              <w:pStyle w:val="ListParagraph"/>
              <w:numPr>
                <w:ilvl w:val="0"/>
                <w:numId w:val="42"/>
              </w:numPr>
              <w:rPr>
                <w:rFonts w:ascii="Arial" w:hAnsi="Arial" w:cs="Arial"/>
              </w:rPr>
            </w:pPr>
            <w:r w:rsidRPr="00F62746">
              <w:rPr>
                <w:rFonts w:ascii="Arial" w:hAnsi="Arial" w:cs="Arial"/>
              </w:rPr>
              <w:t>Review performance targets for each focus area.</w:t>
            </w:r>
          </w:p>
        </w:tc>
        <w:tc>
          <w:tcPr>
            <w:tcW w:w="1577" w:type="dxa"/>
          </w:tcPr>
          <w:p w14:paraId="3974DCFD" w14:textId="77777777" w:rsidR="00D133C6" w:rsidRPr="00F62746" w:rsidRDefault="00D133C6" w:rsidP="003A04A9">
            <w:pPr>
              <w:rPr>
                <w:rFonts w:ascii="Arial" w:hAnsi="Arial" w:cs="Arial"/>
              </w:rPr>
            </w:pPr>
            <w:r w:rsidRPr="00F62746">
              <w:rPr>
                <w:rFonts w:ascii="Arial" w:hAnsi="Arial" w:cs="Arial"/>
              </w:rPr>
              <w:t>Sacramento, CA</w:t>
            </w:r>
          </w:p>
        </w:tc>
        <w:tc>
          <w:tcPr>
            <w:tcW w:w="1631" w:type="dxa"/>
          </w:tcPr>
          <w:p w14:paraId="534EB541" w14:textId="77777777" w:rsidR="00D133C6" w:rsidRPr="00F62746" w:rsidRDefault="008B1191" w:rsidP="003A04A9">
            <w:pPr>
              <w:rPr>
                <w:rFonts w:ascii="Arial" w:hAnsi="Arial" w:cs="Arial"/>
              </w:rPr>
            </w:pPr>
            <w:r w:rsidRPr="00F62746">
              <w:rPr>
                <w:rFonts w:ascii="Arial" w:hAnsi="Arial" w:cs="Arial"/>
              </w:rPr>
              <w:t>LACOE</w:t>
            </w:r>
            <w:r w:rsidR="00D133C6" w:rsidRPr="00F62746">
              <w:rPr>
                <w:rFonts w:ascii="Arial" w:hAnsi="Arial" w:cs="Arial"/>
              </w:rPr>
              <w:t xml:space="preserve"> MEP Online Grant Application Development Team</w:t>
            </w:r>
          </w:p>
        </w:tc>
      </w:tr>
      <w:tr w:rsidR="008B1191" w:rsidRPr="00F62746" w14:paraId="48EDCD44" w14:textId="77777777" w:rsidTr="00940787">
        <w:trPr>
          <w:cantSplit/>
          <w:trHeight w:val="2658"/>
        </w:trPr>
        <w:tc>
          <w:tcPr>
            <w:tcW w:w="1398" w:type="dxa"/>
          </w:tcPr>
          <w:p w14:paraId="5FD62185" w14:textId="77777777" w:rsidR="00D133C6" w:rsidRPr="00F62746" w:rsidRDefault="00D133C6" w:rsidP="00D133C6">
            <w:pPr>
              <w:rPr>
                <w:rFonts w:ascii="Arial" w:hAnsi="Arial" w:cs="Arial"/>
              </w:rPr>
            </w:pPr>
            <w:r w:rsidRPr="00F62746">
              <w:rPr>
                <w:rFonts w:ascii="Arial" w:hAnsi="Arial" w:cs="Arial"/>
              </w:rPr>
              <w:t>Feb. 201</w:t>
            </w:r>
            <w:r w:rsidR="00791178" w:rsidRPr="00F62746">
              <w:rPr>
                <w:rFonts w:ascii="Arial" w:hAnsi="Arial" w:cs="Arial"/>
              </w:rPr>
              <w:t>8</w:t>
            </w:r>
          </w:p>
        </w:tc>
        <w:tc>
          <w:tcPr>
            <w:tcW w:w="1365" w:type="dxa"/>
          </w:tcPr>
          <w:p w14:paraId="34D0E633" w14:textId="77777777" w:rsidR="00D133C6" w:rsidRPr="00F62746" w:rsidRDefault="00D133C6" w:rsidP="001745B0">
            <w:pPr>
              <w:rPr>
                <w:rFonts w:ascii="Arial" w:hAnsi="Arial" w:cs="Arial"/>
              </w:rPr>
            </w:pPr>
            <w:r w:rsidRPr="00F62746">
              <w:rPr>
                <w:rFonts w:ascii="Arial" w:hAnsi="Arial" w:cs="Arial"/>
              </w:rPr>
              <w:t>Aligning MEP Services with the SS</w:t>
            </w:r>
            <w:r w:rsidR="001745B0" w:rsidRPr="00F62746">
              <w:rPr>
                <w:rFonts w:ascii="Arial" w:hAnsi="Arial" w:cs="Arial"/>
              </w:rPr>
              <w:t>DP</w:t>
            </w:r>
          </w:p>
        </w:tc>
        <w:tc>
          <w:tcPr>
            <w:tcW w:w="3533" w:type="dxa"/>
          </w:tcPr>
          <w:p w14:paraId="4D1C082B" w14:textId="77777777" w:rsidR="007B435A" w:rsidRPr="00F62746" w:rsidRDefault="00E8548A" w:rsidP="007D443E">
            <w:pPr>
              <w:pStyle w:val="ListParagraph"/>
              <w:numPr>
                <w:ilvl w:val="0"/>
                <w:numId w:val="43"/>
              </w:numPr>
              <w:rPr>
                <w:rFonts w:ascii="Arial" w:hAnsi="Arial" w:cs="Arial"/>
              </w:rPr>
            </w:pPr>
            <w:r w:rsidRPr="00F62746">
              <w:rPr>
                <w:rFonts w:ascii="Arial" w:hAnsi="Arial" w:cs="Arial"/>
              </w:rPr>
              <w:t>Review performance targets for each focus area.</w:t>
            </w:r>
          </w:p>
          <w:p w14:paraId="47724B10" w14:textId="77777777" w:rsidR="00E8548A" w:rsidRPr="00F62746" w:rsidRDefault="00E8548A" w:rsidP="007D443E">
            <w:pPr>
              <w:pStyle w:val="ListParagraph"/>
              <w:numPr>
                <w:ilvl w:val="0"/>
                <w:numId w:val="43"/>
              </w:numPr>
              <w:rPr>
                <w:rFonts w:ascii="Arial" w:hAnsi="Arial" w:cs="Arial"/>
              </w:rPr>
            </w:pPr>
            <w:r w:rsidRPr="00F62746">
              <w:rPr>
                <w:rFonts w:ascii="Arial" w:hAnsi="Arial" w:cs="Arial"/>
              </w:rPr>
              <w:t>Discuss MEP services that address all of the focus areas.</w:t>
            </w:r>
          </w:p>
          <w:p w14:paraId="06B67ECE" w14:textId="77777777" w:rsidR="00D133C6" w:rsidRPr="00F62746" w:rsidRDefault="00E8548A" w:rsidP="007D443E">
            <w:pPr>
              <w:pStyle w:val="ListParagraph"/>
              <w:numPr>
                <w:ilvl w:val="0"/>
                <w:numId w:val="43"/>
              </w:numPr>
              <w:rPr>
                <w:rFonts w:ascii="Arial" w:hAnsi="Arial" w:cs="Arial"/>
              </w:rPr>
            </w:pPr>
            <w:r w:rsidRPr="00F62746">
              <w:rPr>
                <w:rFonts w:ascii="Arial" w:hAnsi="Arial" w:cs="Arial"/>
              </w:rPr>
              <w:t>Identify additional data collection steps needed to evaluate the performance targets and reporting to the CDE.</w:t>
            </w:r>
          </w:p>
        </w:tc>
        <w:tc>
          <w:tcPr>
            <w:tcW w:w="1577" w:type="dxa"/>
          </w:tcPr>
          <w:p w14:paraId="222B5E15" w14:textId="77777777" w:rsidR="00D133C6" w:rsidRPr="00F62746" w:rsidRDefault="00D133C6" w:rsidP="00D133C6">
            <w:pPr>
              <w:rPr>
                <w:rFonts w:ascii="Arial" w:hAnsi="Arial" w:cs="Arial"/>
              </w:rPr>
            </w:pPr>
            <w:r w:rsidRPr="00F62746">
              <w:rPr>
                <w:rFonts w:ascii="Arial" w:hAnsi="Arial" w:cs="Arial"/>
              </w:rPr>
              <w:t>SPAC Meeting</w:t>
            </w:r>
          </w:p>
        </w:tc>
        <w:tc>
          <w:tcPr>
            <w:tcW w:w="1631" w:type="dxa"/>
          </w:tcPr>
          <w:p w14:paraId="74C51CC6" w14:textId="77777777" w:rsidR="00D133C6" w:rsidRPr="00F62746" w:rsidRDefault="00D133C6" w:rsidP="00D133C6">
            <w:pPr>
              <w:rPr>
                <w:rFonts w:ascii="Arial" w:hAnsi="Arial" w:cs="Arial"/>
              </w:rPr>
            </w:pPr>
            <w:r w:rsidRPr="00F62746">
              <w:rPr>
                <w:rFonts w:ascii="Arial" w:hAnsi="Arial" w:cs="Arial"/>
              </w:rPr>
              <w:t>SPAC members</w:t>
            </w:r>
          </w:p>
        </w:tc>
      </w:tr>
    </w:tbl>
    <w:p w14:paraId="0D1CB480" w14:textId="77777777" w:rsidR="002B5060" w:rsidRDefault="002B5060">
      <w:pPr>
        <w:rPr>
          <w:rFonts w:ascii="Arial" w:eastAsia="Times New Roman" w:hAnsi="Arial"/>
          <w:b/>
          <w:sz w:val="32"/>
          <w:szCs w:val="26"/>
        </w:rPr>
      </w:pPr>
      <w:bookmarkStart w:id="85" w:name="_Toc40116906"/>
      <w:r>
        <w:br w:type="page"/>
      </w:r>
    </w:p>
    <w:p w14:paraId="2B528923" w14:textId="39B5C393" w:rsidR="002B5060" w:rsidRPr="00C53729" w:rsidRDefault="002B5060" w:rsidP="00976DBD">
      <w:pPr>
        <w:pStyle w:val="Heading2"/>
      </w:pPr>
      <w:r w:rsidRPr="00B90A99">
        <w:lastRenderedPageBreak/>
        <w:t>Conclusion</w:t>
      </w:r>
      <w:bookmarkEnd w:id="85"/>
    </w:p>
    <w:p w14:paraId="02B4B2D1" w14:textId="10A35A83" w:rsidR="002B5060" w:rsidRPr="00976DBD" w:rsidRDefault="002B5060" w:rsidP="00976DBD">
      <w:pPr>
        <w:spacing w:after="1320"/>
        <w:rPr>
          <w:rFonts w:ascii="Arial" w:hAnsi="Arial" w:cs="Arial"/>
        </w:rPr>
      </w:pPr>
      <w:r w:rsidRPr="00976DBD">
        <w:rPr>
          <w:rFonts w:ascii="Arial" w:hAnsi="Arial" w:cs="Arial"/>
        </w:rPr>
        <w:t>The guidance issued in this document applies to all California MEP-funded subgrantees. Information within this document should be shared and widely discussed by MEP staff within each subgrantee’s program area. MEP Directors and Coordinators should provide training and technical assistance on the strategies identified under each focus area and work with MEP staff, including reimbursable districts, to develop services that address the unique needs of migratory children as identified in Section 2 of this document. Strategy implementation will be measured annually, so subgrantees need to continue to review services through the lens of continuous improvement. For subgrantees with reimbursable districts, the MEP Director must coordinate services to ensure that the region as a whole develops the grant applications and services to meet the Measurable Program Objectives for each focus area. Furthermore, subgrantees may need to provide additional training and technical assistance for other program areas such as identifying and recruiting migrant students, giving PFS students priority enrollment in services, and using MSIN and MSIX. If you have additional questions, please visit the</w:t>
      </w:r>
      <w:r w:rsidR="00BB4058">
        <w:rPr>
          <w:rFonts w:ascii="Arial" w:hAnsi="Arial" w:cs="Arial"/>
        </w:rPr>
        <w:t xml:space="preserve"> </w:t>
      </w:r>
      <w:r w:rsidR="00AF511B">
        <w:rPr>
          <w:rFonts w:ascii="Arial" w:hAnsi="Arial" w:cs="Arial"/>
        </w:rPr>
        <w:t>Migrant Education Office web page at</w:t>
      </w:r>
      <w:r w:rsidRPr="00976DBD">
        <w:rPr>
          <w:rFonts w:ascii="Arial" w:hAnsi="Arial" w:cs="Arial"/>
        </w:rPr>
        <w:t xml:space="preserve"> </w:t>
      </w:r>
      <w:hyperlink r:id="rId20" w:tooltip="Migrant Education Office web page" w:history="1">
        <w:r w:rsidR="00AF511B">
          <w:rPr>
            <w:rStyle w:val="Hyperlink"/>
            <w:rFonts w:ascii="Arial" w:hAnsi="Arial" w:cs="Arial"/>
          </w:rPr>
          <w:t>https://www.cde.ca.gov/sp/me/mt/</w:t>
        </w:r>
      </w:hyperlink>
      <w:r w:rsidRPr="00976DBD">
        <w:rPr>
          <w:rFonts w:ascii="Arial" w:hAnsi="Arial" w:cs="Arial"/>
        </w:rPr>
        <w:t>.</w:t>
      </w:r>
    </w:p>
    <w:p w14:paraId="65E894EC" w14:textId="7D95DA40" w:rsidR="00072681" w:rsidRPr="002B5060" w:rsidRDefault="002B5060" w:rsidP="00976DBD">
      <w:pPr>
        <w:spacing w:after="240"/>
        <w:jc w:val="center"/>
        <w:rPr>
          <w:rFonts w:ascii="Arial" w:hAnsi="Arial" w:cs="Arial"/>
        </w:rPr>
      </w:pPr>
      <w:r w:rsidRPr="00976DBD">
        <w:rPr>
          <w:rFonts w:ascii="Arial" w:hAnsi="Arial" w:cs="Arial"/>
        </w:rPr>
        <w:t xml:space="preserve">The State Service Delivery Plan for California and all associated documents and activities were 100 percent funded by federal Title I, Part C </w:t>
      </w:r>
      <w:r w:rsidR="00E22495" w:rsidRPr="00976DBD">
        <w:rPr>
          <w:rFonts w:ascii="Arial" w:hAnsi="Arial" w:cs="Arial"/>
        </w:rPr>
        <w:t>funding</w:t>
      </w:r>
      <w:r w:rsidRPr="00976DBD">
        <w:rPr>
          <w:rFonts w:ascii="Arial" w:hAnsi="Arial" w:cs="Arial"/>
        </w:rPr>
        <w:t xml:space="preserve"> provided by the U.S. Department of Education.</w:t>
      </w:r>
    </w:p>
    <w:sectPr w:rsidR="00072681" w:rsidRPr="002B5060" w:rsidSect="00EA493F">
      <w:footerReference w:type="first" r:id="rId21"/>
      <w:pgSz w:w="12240" w:h="15840"/>
      <w:pgMar w:top="1440" w:right="1440" w:bottom="167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F26" w14:textId="77777777" w:rsidR="00997AB1" w:rsidRDefault="00997AB1" w:rsidP="004F6691">
      <w:r>
        <w:separator/>
      </w:r>
    </w:p>
  </w:endnote>
  <w:endnote w:type="continuationSeparator" w:id="0">
    <w:p w14:paraId="002B78DD" w14:textId="77777777" w:rsidR="00997AB1" w:rsidRDefault="00997AB1" w:rsidP="004F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54C9" w14:textId="77777777" w:rsidR="0017794E" w:rsidRPr="00147CFF" w:rsidRDefault="0017794E">
    <w:pPr>
      <w:pStyle w:val="Footer"/>
      <w:jc w:val="center"/>
      <w:rPr>
        <w:rFonts w:ascii="Arial" w:hAnsi="Arial" w:cs="Arial"/>
      </w:rPr>
    </w:pPr>
    <w:r w:rsidRPr="00147CFF">
      <w:rPr>
        <w:rFonts w:ascii="Arial" w:hAnsi="Arial" w:cs="Arial"/>
      </w:rPr>
      <w:fldChar w:fldCharType="begin"/>
    </w:r>
    <w:r w:rsidRPr="00147CFF">
      <w:rPr>
        <w:rFonts w:ascii="Arial" w:hAnsi="Arial" w:cs="Arial"/>
      </w:rPr>
      <w:instrText xml:space="preserve"> PAGE   \* MERGEFORMAT </w:instrText>
    </w:r>
    <w:r w:rsidRPr="00147CFF">
      <w:rPr>
        <w:rFonts w:ascii="Arial" w:hAnsi="Arial" w:cs="Arial"/>
      </w:rPr>
      <w:fldChar w:fldCharType="separate"/>
    </w:r>
    <w:r>
      <w:rPr>
        <w:rFonts w:ascii="Arial" w:hAnsi="Arial" w:cs="Arial"/>
        <w:noProof/>
      </w:rPr>
      <w:t>19</w:t>
    </w:r>
    <w:r w:rsidRPr="00147CFF">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9423" w14:textId="77777777" w:rsidR="0017794E" w:rsidRDefault="0017794E">
    <w:pPr>
      <w:pStyle w:val="Footer"/>
      <w:jc w:val="center"/>
    </w:pPr>
  </w:p>
  <w:p w14:paraId="0B5EBA88" w14:textId="77777777" w:rsidR="0017794E" w:rsidRDefault="00177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7F77" w14:textId="77777777" w:rsidR="0017794E" w:rsidRDefault="0017794E">
    <w:pPr>
      <w:pStyle w:val="Footer"/>
      <w:jc w:val="center"/>
    </w:pPr>
    <w:r>
      <w:fldChar w:fldCharType="begin"/>
    </w:r>
    <w:r>
      <w:instrText xml:space="preserve"> PAGE   \* MERGEFORMAT </w:instrText>
    </w:r>
    <w:r>
      <w:fldChar w:fldCharType="separate"/>
    </w:r>
    <w:r>
      <w:rPr>
        <w:noProof/>
      </w:rPr>
      <w:t>1</w:t>
    </w:r>
    <w:r>
      <w:rPr>
        <w:noProof/>
      </w:rPr>
      <w:fldChar w:fldCharType="end"/>
    </w:r>
  </w:p>
  <w:p w14:paraId="3E32D345" w14:textId="77777777" w:rsidR="0017794E" w:rsidRDefault="001779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6542" w14:textId="77777777" w:rsidR="0017794E" w:rsidRDefault="0017794E">
    <w:pPr>
      <w:pStyle w:val="Footer"/>
      <w:jc w:val="center"/>
    </w:pPr>
    <w:r>
      <w:fldChar w:fldCharType="begin"/>
    </w:r>
    <w:r>
      <w:instrText xml:space="preserve"> PAGE   \* MERGEFORMAT </w:instrText>
    </w:r>
    <w:r>
      <w:fldChar w:fldCharType="separate"/>
    </w:r>
    <w:r>
      <w:rPr>
        <w:noProof/>
      </w:rPr>
      <w:t>66</w:t>
    </w:r>
    <w:r>
      <w:rPr>
        <w:noProof/>
      </w:rPr>
      <w:fldChar w:fldCharType="end"/>
    </w:r>
  </w:p>
  <w:p w14:paraId="72E46931" w14:textId="77777777" w:rsidR="0017794E" w:rsidRDefault="0017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EA4C" w14:textId="77777777" w:rsidR="00997AB1" w:rsidRDefault="00997AB1" w:rsidP="004F6691">
      <w:r>
        <w:separator/>
      </w:r>
    </w:p>
  </w:footnote>
  <w:footnote w:type="continuationSeparator" w:id="0">
    <w:p w14:paraId="3DFA9A5A" w14:textId="77777777" w:rsidR="00997AB1" w:rsidRDefault="00997AB1" w:rsidP="004F6691">
      <w:r>
        <w:continuationSeparator/>
      </w:r>
    </w:p>
  </w:footnote>
  <w:footnote w:id="1">
    <w:p w14:paraId="36210E59" w14:textId="77777777" w:rsidR="0017794E" w:rsidRPr="00B45BD6" w:rsidRDefault="0017794E" w:rsidP="00E66CBC">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Depending on the revised needs for English Language Development, due to California’s transition between English Language Proficiency assessments, one or two additional needs may be included once data for the new assessment is analyzed.</w:t>
      </w:r>
    </w:p>
  </w:footnote>
  <w:footnote w:id="2">
    <w:p w14:paraId="2D302F8B" w14:textId="77777777" w:rsidR="0017794E" w:rsidRPr="005E0053" w:rsidRDefault="0017794E">
      <w:pPr>
        <w:pStyle w:val="FootnoteText"/>
        <w:rPr>
          <w:rFonts w:ascii="Arial" w:hAnsi="Arial" w:cs="Arial"/>
        </w:rPr>
      </w:pPr>
      <w:r w:rsidRPr="005E0053">
        <w:rPr>
          <w:rStyle w:val="FootnoteReference"/>
          <w:rFonts w:ascii="Arial" w:hAnsi="Arial" w:cs="Arial"/>
        </w:rPr>
        <w:footnoteRef/>
      </w:r>
      <w:r w:rsidRPr="005E0053">
        <w:rPr>
          <w:rFonts w:ascii="Arial" w:hAnsi="Arial" w:cs="Arial"/>
        </w:rPr>
        <w:t xml:space="preserve"> U.S. Department of Education. 2012. The Migrant Education Service Delivery Plan Toolkit: </w:t>
      </w:r>
      <w:hyperlink r:id="rId1" w:tooltip="US Department of Education Migrant Education Service Delivery Plan Toolkit" w:history="1">
        <w:r w:rsidRPr="005E0053">
          <w:rPr>
            <w:rStyle w:val="Hyperlink"/>
            <w:rFonts w:ascii="Arial" w:hAnsi="Arial" w:cs="Arial"/>
          </w:rPr>
          <w:t>https://results-assets.s3.amazonaws.com/tools/sdp_toolkit/sdp-toolkit.pdf</w:t>
        </w:r>
      </w:hyperlink>
      <w:r w:rsidRPr="005E0053">
        <w:rPr>
          <w:rFonts w:ascii="Arial" w:hAnsi="Arial" w:cs="Arial"/>
        </w:rPr>
        <w:t xml:space="preserve"> </w:t>
      </w:r>
    </w:p>
  </w:footnote>
  <w:footnote w:id="3">
    <w:p w14:paraId="2C9CBEB7" w14:textId="77777777" w:rsidR="0017794E" w:rsidRPr="003A4C93" w:rsidRDefault="0017794E" w:rsidP="00C83239">
      <w:pPr>
        <w:pStyle w:val="FootnoteText"/>
        <w:rPr>
          <w:rFonts w:ascii="Arial" w:hAnsi="Arial" w:cs="Arial"/>
        </w:rPr>
      </w:pPr>
      <w:r w:rsidRPr="003A4C93">
        <w:rPr>
          <w:rStyle w:val="FootnoteReference"/>
          <w:rFonts w:ascii="Arial" w:hAnsi="Arial" w:cs="Arial"/>
        </w:rPr>
        <w:footnoteRef/>
      </w:r>
      <w:r w:rsidRPr="003A4C93">
        <w:rPr>
          <w:rFonts w:ascii="Arial" w:hAnsi="Arial" w:cs="Arial"/>
        </w:rPr>
        <w:t xml:space="preserve"> California Department of Food and Agriculture. 2015. 2015 Crop Year Report. Sacramento, California: California Department of Food and Agriculture. </w:t>
      </w:r>
      <w:hyperlink r:id="rId2" w:tooltip="California Agricultural Production Statistics" w:history="1">
        <w:r w:rsidRPr="003A4C93">
          <w:rPr>
            <w:rStyle w:val="Hyperlink"/>
            <w:rFonts w:ascii="Arial" w:hAnsi="Arial" w:cs="Arial"/>
          </w:rPr>
          <w:t>https://www.cdfa.ca.gov/statistics/</w:t>
        </w:r>
      </w:hyperlink>
    </w:p>
  </w:footnote>
  <w:footnote w:id="4">
    <w:p w14:paraId="144D3672" w14:textId="77777777" w:rsidR="0017794E" w:rsidRPr="003A4C93" w:rsidRDefault="0017794E">
      <w:pPr>
        <w:pStyle w:val="FootnoteText"/>
        <w:rPr>
          <w:rFonts w:ascii="Arial" w:hAnsi="Arial" w:cs="Arial"/>
        </w:rPr>
      </w:pPr>
      <w:r w:rsidRPr="003A4C93">
        <w:rPr>
          <w:rStyle w:val="FootnoteReference"/>
          <w:rFonts w:ascii="Arial" w:hAnsi="Arial" w:cs="Arial"/>
        </w:rPr>
        <w:footnoteRef/>
      </w:r>
      <w:r w:rsidRPr="003A4C93">
        <w:rPr>
          <w:rFonts w:ascii="Arial" w:hAnsi="Arial" w:cs="Arial"/>
        </w:rPr>
        <w:t xml:space="preserve"> For more information on CALPADS, visit: </w:t>
      </w:r>
      <w:hyperlink r:id="rId3" w:tooltip="About CALPADS" w:history="1">
        <w:r w:rsidRPr="003A4C93">
          <w:rPr>
            <w:rStyle w:val="Hyperlink"/>
            <w:rFonts w:ascii="Arial" w:hAnsi="Arial" w:cs="Arial"/>
          </w:rPr>
          <w:t>https://www.ed-data.org/article/About-California's-Longitudinal-Pupil-Achievement-Data-System-(CALPADS)</w:t>
        </w:r>
      </w:hyperlink>
      <w:r w:rsidRPr="003A4C93">
        <w:rPr>
          <w:rFonts w:ascii="Arial" w:hAnsi="Arial" w:cs="Arial"/>
        </w:rPr>
        <w:t xml:space="preserve"> </w:t>
      </w:r>
    </w:p>
  </w:footnote>
  <w:footnote w:id="5">
    <w:p w14:paraId="712E5D39" w14:textId="77777777" w:rsidR="0017794E" w:rsidRPr="00B45BD6" w:rsidRDefault="0017794E">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The CDE Management and Data Team was responsible for planning, implementing, and evaluating the various aspects of the CNA and SSDP development.</w:t>
      </w:r>
    </w:p>
  </w:footnote>
  <w:footnote w:id="6">
    <w:p w14:paraId="1ABB3B30" w14:textId="78E2C2DB" w:rsidR="0017794E" w:rsidRPr="00B45BD6" w:rsidRDefault="0017794E">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The Migrant Student Profile compiled all available migratory child data for the nine focus areas into one report that the CNA/SSDP Committee and CDE Management and Data Team used to identify student needs and guide program development.</w:t>
      </w:r>
    </w:p>
  </w:footnote>
  <w:footnote w:id="7">
    <w:p w14:paraId="1BDA4E12" w14:textId="2E5A4445" w:rsidR="0017794E" w:rsidRPr="00B45BD6" w:rsidRDefault="0017794E">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The CNA/SSDP Committee included migratory parents. </w:t>
      </w:r>
    </w:p>
  </w:footnote>
  <w:footnote w:id="8">
    <w:p w14:paraId="20F1D3C5" w14:textId="77777777" w:rsidR="0017794E" w:rsidRPr="00B45BD6" w:rsidRDefault="0017794E">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w:t>
      </w:r>
      <w:r w:rsidRPr="00B45BD6">
        <w:rPr>
          <w:rFonts w:ascii="Arial" w:hAnsi="Arial" w:cs="Arial"/>
          <w:color w:val="333333"/>
        </w:rPr>
        <w:t xml:space="preserve">The </w:t>
      </w:r>
      <w:r w:rsidRPr="00B45BD6">
        <w:rPr>
          <w:rStyle w:val="Emphasis"/>
          <w:rFonts w:ascii="Arial" w:hAnsi="Arial" w:cs="Arial"/>
          <w:color w:val="333333"/>
        </w:rPr>
        <w:t>English Language Arts/English Language Development Framework for California Public Schools: Kindergarten Through Grade Twelve</w:t>
      </w:r>
      <w:r w:rsidRPr="00B45BD6">
        <w:rPr>
          <w:rFonts w:ascii="Arial" w:hAnsi="Arial" w:cs="Arial"/>
          <w:color w:val="333333"/>
        </w:rPr>
        <w:t xml:space="preserve"> offers guidance for providing all California students a world-class education​ in English language arts and in literacy in history/social studies, science, and technical subjects.</w:t>
      </w:r>
    </w:p>
  </w:footnote>
  <w:footnote w:id="9">
    <w:p w14:paraId="7855EE20" w14:textId="77777777" w:rsidR="0017794E" w:rsidRPr="00B45BD6" w:rsidRDefault="0017794E">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w:t>
      </w:r>
      <w:r w:rsidRPr="00B45BD6">
        <w:rPr>
          <w:rFonts w:ascii="Arial" w:hAnsi="Arial" w:cs="Arial"/>
          <w:color w:val="333333"/>
        </w:rPr>
        <w:t xml:space="preserve">The </w:t>
      </w:r>
      <w:r w:rsidRPr="00B45BD6">
        <w:rPr>
          <w:rStyle w:val="Emphasis"/>
          <w:rFonts w:ascii="Arial" w:hAnsi="Arial" w:cs="Arial"/>
          <w:color w:val="333333"/>
        </w:rPr>
        <w:t>Mathematics Framework for California Public Schools, K-12</w:t>
      </w:r>
      <w:r w:rsidRPr="00B45BD6">
        <w:rPr>
          <w:rFonts w:ascii="Arial" w:hAnsi="Arial" w:cs="Arial"/>
          <w:color w:val="333333"/>
        </w:rPr>
        <w:t xml:space="preserve"> highlights essential information and provides guidance in mathematics.</w:t>
      </w:r>
    </w:p>
  </w:footnote>
  <w:footnote w:id="10">
    <w:p w14:paraId="139D3F5C" w14:textId="77777777" w:rsidR="0017794E" w:rsidRPr="00B45BD6" w:rsidRDefault="0017794E" w:rsidP="00B978C7">
      <w:pPr>
        <w:ind w:right="-810"/>
        <w:rPr>
          <w:rFonts w:ascii="Arial" w:eastAsia="Times New Roman" w:hAnsi="Arial" w:cs="Arial"/>
        </w:rPr>
      </w:pPr>
      <w:r w:rsidRPr="00B45BD6">
        <w:rPr>
          <w:rStyle w:val="FootnoteReference"/>
          <w:rFonts w:ascii="Arial" w:hAnsi="Arial" w:cs="Arial"/>
        </w:rPr>
        <w:footnoteRef/>
      </w:r>
      <w:r w:rsidRPr="00B45BD6">
        <w:rPr>
          <w:rFonts w:ascii="Arial" w:hAnsi="Arial" w:cs="Arial"/>
        </w:rPr>
        <w:t>CAASPP: Understanding Your Student Score Report, CDE</w:t>
      </w:r>
      <w:r>
        <w:rPr>
          <w:rFonts w:ascii="Arial" w:hAnsi="Arial" w:cs="Arial"/>
        </w:rPr>
        <w:t>.</w:t>
      </w:r>
      <w:r w:rsidRPr="00B45BD6">
        <w:rPr>
          <w:rFonts w:ascii="Arial" w:hAnsi="Arial" w:cs="Arial"/>
        </w:rPr>
        <w:t xml:space="preserve"> </w:t>
      </w:r>
    </w:p>
  </w:footnote>
  <w:footnote w:id="11">
    <w:p w14:paraId="1294581C" w14:textId="77777777" w:rsidR="0017794E" w:rsidRPr="00B45BD6" w:rsidRDefault="0017794E" w:rsidP="006143B6">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This goal area is consistent with OME’s requirement for the Government Performance and Results Act of 1983. </w:t>
      </w:r>
    </w:p>
  </w:footnote>
  <w:footnote w:id="12">
    <w:p w14:paraId="6004D9AD" w14:textId="77777777" w:rsidR="0017794E" w:rsidRPr="00B45BD6" w:rsidRDefault="0017794E" w:rsidP="006143B6">
      <w:pPr>
        <w:pStyle w:val="FootnoteText"/>
        <w:rPr>
          <w:rFonts w:ascii="Arial" w:hAnsi="Arial" w:cs="Arial"/>
        </w:rPr>
      </w:pPr>
      <w:r w:rsidRPr="00B45BD6">
        <w:rPr>
          <w:rStyle w:val="FootnoteReference"/>
          <w:rFonts w:ascii="Arial" w:hAnsi="Arial" w:cs="Arial"/>
        </w:rPr>
        <w:footnoteRef/>
      </w:r>
      <w:r w:rsidRPr="00B45BD6">
        <w:rPr>
          <w:rFonts w:ascii="Arial" w:hAnsi="Arial" w:cs="Arial"/>
        </w:rPr>
        <w:t xml:space="preserve"> This goal area is consistent with OME’s requirement for the Government Performance and Results Act of 1983.</w:t>
      </w:r>
    </w:p>
  </w:footnote>
  <w:footnote w:id="13">
    <w:p w14:paraId="351FA1D5" w14:textId="77777777" w:rsidR="0017794E" w:rsidRPr="00743715" w:rsidRDefault="0017794E">
      <w:pPr>
        <w:pStyle w:val="FootnoteText"/>
        <w:rPr>
          <w:rFonts w:ascii="Arial" w:hAnsi="Arial" w:cs="Arial"/>
        </w:rPr>
      </w:pPr>
      <w:r w:rsidRPr="00743715">
        <w:rPr>
          <w:rStyle w:val="FootnoteReference"/>
          <w:rFonts w:ascii="Arial" w:hAnsi="Arial" w:cs="Arial"/>
        </w:rPr>
        <w:footnoteRef/>
      </w:r>
      <w:r w:rsidRPr="00743715">
        <w:rPr>
          <w:rFonts w:ascii="Arial" w:hAnsi="Arial" w:cs="Arial"/>
        </w:rPr>
        <w:t xml:space="preserve"> Most of these strategies are also included at the end of this section under Additional Considerations for Program Improvement.</w:t>
      </w:r>
    </w:p>
  </w:footnote>
  <w:footnote w:id="14">
    <w:p w14:paraId="19903602" w14:textId="77777777" w:rsidR="0017794E" w:rsidRPr="00743715" w:rsidRDefault="0017794E" w:rsidP="00BE34FC">
      <w:pPr>
        <w:rPr>
          <w:rFonts w:ascii="Arial" w:hAnsi="Arial" w:cs="Arial"/>
        </w:rPr>
      </w:pPr>
      <w:r w:rsidRPr="00743715">
        <w:rPr>
          <w:rStyle w:val="FootnoteReference"/>
          <w:rFonts w:ascii="Arial" w:hAnsi="Arial" w:cs="Arial"/>
        </w:rPr>
        <w:footnoteRef/>
      </w:r>
      <w:r w:rsidRPr="00743715">
        <w:rPr>
          <w:rFonts w:ascii="Arial" w:hAnsi="Arial" w:cs="Arial"/>
        </w:rPr>
        <w:t xml:space="preserve"> Due to the need to evaluate certain focus areas using outputs verses outcomes, the CDE chose not to use the term measurable program outcomes (MPO). Since what the CDE is looking for is a milestone for any given indicator, the CDE uses performance target in lieu of MPO.</w:t>
      </w:r>
    </w:p>
  </w:footnote>
  <w:footnote w:id="15">
    <w:p w14:paraId="4C74A518" w14:textId="77777777" w:rsidR="0017794E" w:rsidRPr="00743715" w:rsidRDefault="0017794E">
      <w:pPr>
        <w:pStyle w:val="FootnoteText"/>
        <w:rPr>
          <w:rFonts w:ascii="Arial" w:hAnsi="Arial" w:cs="Arial"/>
        </w:rPr>
      </w:pPr>
      <w:r w:rsidRPr="00743715">
        <w:rPr>
          <w:rStyle w:val="FootnoteReference"/>
          <w:rFonts w:ascii="Arial" w:hAnsi="Arial" w:cs="Arial"/>
        </w:rPr>
        <w:footnoteRef/>
      </w:r>
      <w:r w:rsidRPr="00743715">
        <w:rPr>
          <w:rFonts w:ascii="Arial" w:hAnsi="Arial" w:cs="Arial"/>
        </w:rPr>
        <w:t xml:space="preserve"> Due to limitations on data availability, 2015–16 student achievement data is the most current available data. However the SSDP will not be implemented until 2018–19 allowing for two school years between the most current data and the plan’s implementation. It is for this reason as well as the proportional responsibility of the MEP as a supplemental service to reduce the achievement gap that we will include 2016–18 as time that MEPs can work to reduce the gap. During the 2017–18 school year, the CDE will provide training so that local MEPs can adjust the program services to meet the needs of migratory students during that program year.</w:t>
      </w:r>
    </w:p>
  </w:footnote>
  <w:footnote w:id="16">
    <w:p w14:paraId="31EE76AA" w14:textId="77777777" w:rsidR="0017794E" w:rsidRPr="00694080" w:rsidRDefault="0017794E" w:rsidP="0005472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Please review the statewide CNA and the CDE’s ELA/ELD Framework for additional strategies to improve overall ELA achievement.</w:t>
      </w:r>
    </w:p>
  </w:footnote>
  <w:footnote w:id="17">
    <w:p w14:paraId="244B35A5" w14:textId="57F9D685" w:rsidR="0017794E" w:rsidRDefault="0017794E" w:rsidP="0005472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ELPAC scores will be used to identify kindergarten through third grade students who require additional support in ELA. The most recent scores on the CAASPP Smarter Balanced Assessment will use to place fourth through twelfth grade students.</w:t>
      </w:r>
    </w:p>
    <w:p w14:paraId="68F8F5BC" w14:textId="2F8ECBD8" w:rsidR="00D573DC" w:rsidRDefault="00D573DC" w:rsidP="0005472F">
      <w:pPr>
        <w:pStyle w:val="FootnoteText"/>
        <w:rPr>
          <w:rFonts w:ascii="Arial" w:hAnsi="Arial" w:cs="Arial"/>
        </w:rPr>
      </w:pPr>
      <w:r w:rsidRPr="00D573DC">
        <w:rPr>
          <w:rFonts w:ascii="Arial" w:hAnsi="Arial" w:cs="Arial"/>
          <w:vertAlign w:val="superscript"/>
        </w:rPr>
        <w:t>18</w:t>
      </w:r>
      <w:r>
        <w:rPr>
          <w:rFonts w:ascii="Arial" w:hAnsi="Arial" w:cs="Arial"/>
          <w:vertAlign w:val="superscript"/>
        </w:rPr>
        <w:t xml:space="preserve"> </w:t>
      </w:r>
      <w:r w:rsidRPr="00D573DC">
        <w:rPr>
          <w:rFonts w:ascii="Arial" w:hAnsi="Arial" w:cs="Arial"/>
        </w:rPr>
        <w:t>Previous guidance indicated that only certificated staff could provide instruction for services aligning to MPO 1.0. Due to the persistent teacher shortage and hiring challenges, subgrantees may use highly qualified classified staff for RSY services, but certificated staff should be prioritized. California Education Code Section 54444.3[a][4] requires appropriately credentialed teachers in summer, so this flexibility cannot apply in summer services.</w:t>
      </w:r>
    </w:p>
    <w:p w14:paraId="25EF3A5B" w14:textId="15DFAF9D" w:rsidR="00D573DC" w:rsidRPr="00D573DC" w:rsidRDefault="00D573DC" w:rsidP="0005472F">
      <w:pPr>
        <w:pStyle w:val="FootnoteText"/>
        <w:rPr>
          <w:vertAlign w:val="superscript"/>
        </w:rPr>
      </w:pPr>
      <w:r w:rsidRPr="00D573DC">
        <w:rPr>
          <w:rFonts w:ascii="Arial" w:hAnsi="Arial" w:cs="Arial"/>
          <w:vertAlign w:val="superscript"/>
        </w:rPr>
        <w:t>19</w:t>
      </w:r>
      <w:r>
        <w:rPr>
          <w:rFonts w:ascii="Arial" w:hAnsi="Arial" w:cs="Arial"/>
          <w:vertAlign w:val="superscript"/>
        </w:rPr>
        <w:t xml:space="preserve"> </w:t>
      </w:r>
      <w:r w:rsidRPr="00D573DC">
        <w:rPr>
          <w:rFonts w:ascii="Arial" w:hAnsi="Arial" w:cs="Arial"/>
        </w:rPr>
        <w:t xml:space="preserve">These services may include newcomer and bilingual services </w:t>
      </w:r>
      <w:proofErr w:type="gramStart"/>
      <w:r w:rsidRPr="00D573DC">
        <w:rPr>
          <w:rFonts w:ascii="Arial" w:hAnsi="Arial" w:cs="Arial"/>
        </w:rPr>
        <w:t>as long as</w:t>
      </w:r>
      <w:proofErr w:type="gramEnd"/>
      <w:r w:rsidRPr="00D573DC">
        <w:rPr>
          <w:rFonts w:ascii="Arial" w:hAnsi="Arial" w:cs="Arial"/>
        </w:rPr>
        <w:t xml:space="preserve"> the language arts content standards are addressed in Spanish.</w:t>
      </w:r>
    </w:p>
  </w:footnote>
  <w:footnote w:id="18">
    <w:p w14:paraId="7455C544" w14:textId="77777777" w:rsidR="0017794E" w:rsidRPr="00694080" w:rsidRDefault="0017794E" w:rsidP="0005472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This does not include after school homework tutoring services.</w:t>
      </w:r>
    </w:p>
  </w:footnote>
  <w:footnote w:id="19">
    <w:p w14:paraId="197DC91A" w14:textId="06C140C6" w:rsidR="0017794E" w:rsidRDefault="0017794E" w:rsidP="0005472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w:t>
      </w:r>
      <w:r w:rsidRPr="00261292">
        <w:rPr>
          <w:rFonts w:ascii="Arial" w:hAnsi="Arial" w:cs="Arial"/>
        </w:rPr>
        <w:t>ELPAC scores will be used to identify kindergarten through third grade students who require additional support in math. The most recent scores on the CAASPP Smarter Balanced Assessment will use to place fourth through twelfth grade students.</w:t>
      </w:r>
    </w:p>
    <w:p w14:paraId="30CA899B" w14:textId="0B9F235B" w:rsidR="008E78C6" w:rsidRPr="008E78C6" w:rsidRDefault="008E78C6" w:rsidP="0005472F">
      <w:pPr>
        <w:pStyle w:val="FootnoteText"/>
        <w:rPr>
          <w:rFonts w:ascii="Arial" w:hAnsi="Arial" w:cs="Arial"/>
          <w:vertAlign w:val="superscript"/>
        </w:rPr>
      </w:pPr>
      <w:r w:rsidRPr="008E78C6">
        <w:rPr>
          <w:rFonts w:ascii="Arial" w:hAnsi="Arial" w:cs="Arial"/>
          <w:vertAlign w:val="superscript"/>
        </w:rPr>
        <w:t xml:space="preserve">20 </w:t>
      </w:r>
      <w:r w:rsidRPr="008E78C6">
        <w:rPr>
          <w:rFonts w:ascii="Arial" w:hAnsi="Arial" w:cs="Arial"/>
        </w:rPr>
        <w:t>Previous guidance indicated that only certificated staff could provide instruction for services aligning to MPO 2.0. Due to the persistent teacher shortage and hiring challenges, subgrantees may use highly qualified classified staff for RSY services, but certificated staff should be prioritized. California Education Code Section 54444.3[a][4] requires appropriately credentialed teachers in summer, so this flexibility cannot apply in summer services.</w:t>
      </w:r>
    </w:p>
  </w:footnote>
  <w:footnote w:id="20">
    <w:p w14:paraId="0998A69E" w14:textId="77777777" w:rsidR="0017794E" w:rsidRPr="00140945" w:rsidRDefault="0017794E" w:rsidP="0005472F">
      <w:pPr>
        <w:pStyle w:val="FootnoteText"/>
        <w:rPr>
          <w:sz w:val="20"/>
          <w:szCs w:val="20"/>
        </w:rPr>
      </w:pPr>
      <w:r w:rsidRPr="00694080">
        <w:rPr>
          <w:rStyle w:val="FootnoteReference"/>
          <w:rFonts w:ascii="Arial" w:hAnsi="Arial" w:cs="Arial"/>
        </w:rPr>
        <w:footnoteRef/>
      </w:r>
      <w:r w:rsidRPr="00694080">
        <w:rPr>
          <w:rFonts w:ascii="Arial" w:hAnsi="Arial" w:cs="Arial"/>
        </w:rPr>
        <w:t xml:space="preserve"> Professional </w:t>
      </w:r>
      <w:r>
        <w:rPr>
          <w:rFonts w:ascii="Arial" w:hAnsi="Arial" w:cs="Arial"/>
        </w:rPr>
        <w:t>d</w:t>
      </w:r>
      <w:r w:rsidRPr="00694080">
        <w:rPr>
          <w:rFonts w:ascii="Arial" w:hAnsi="Arial" w:cs="Arial"/>
        </w:rPr>
        <w:t>evelopment should also include strategies for communicating and reasoning in mathematics as this piece should be integrated in learning for both mathematical claims identified in this strategy.</w:t>
      </w:r>
    </w:p>
  </w:footnote>
  <w:footnote w:id="21">
    <w:p w14:paraId="403CA968" w14:textId="26A782C9" w:rsidR="0017794E" w:rsidRPr="00743715" w:rsidRDefault="0017794E" w:rsidP="00BA5C6E">
      <w:pPr>
        <w:pStyle w:val="FootnoteText"/>
        <w:rPr>
          <w:rFonts w:ascii="Arial" w:hAnsi="Arial" w:cs="Arial"/>
        </w:rPr>
      </w:pPr>
      <w:r w:rsidRPr="00743715">
        <w:rPr>
          <w:rStyle w:val="FootnoteReference"/>
          <w:rFonts w:ascii="Arial" w:hAnsi="Arial" w:cs="Arial"/>
        </w:rPr>
        <w:footnoteRef/>
      </w:r>
      <w:r w:rsidRPr="00743715">
        <w:rPr>
          <w:rFonts w:ascii="Arial" w:hAnsi="Arial" w:cs="Arial"/>
        </w:rPr>
        <w:t xml:space="preserve"> Performance targets, strategies, </w:t>
      </w:r>
      <w:r>
        <w:rPr>
          <w:rFonts w:ascii="Arial" w:hAnsi="Arial" w:cs="Arial"/>
        </w:rPr>
        <w:t>and MPOs</w:t>
      </w:r>
      <w:r w:rsidRPr="00743715">
        <w:rPr>
          <w:rFonts w:ascii="Arial" w:hAnsi="Arial" w:cs="Arial"/>
        </w:rPr>
        <w:t xml:space="preserve"> will be developed once ELPAC initial and summative assessments become operational and data become available in 2018-19. </w:t>
      </w:r>
      <w:r>
        <w:rPr>
          <w:rFonts w:ascii="Arial" w:hAnsi="Arial" w:cs="Arial"/>
        </w:rPr>
        <w:t>The CNA/SSDP Committee</w:t>
      </w:r>
      <w:r w:rsidRPr="00743715">
        <w:rPr>
          <w:rFonts w:ascii="Arial" w:hAnsi="Arial" w:cs="Arial"/>
        </w:rPr>
        <w:t xml:space="preserve"> will review the ELPAC data to devise a plan to address the ELP needs of migratory students.</w:t>
      </w:r>
    </w:p>
  </w:footnote>
  <w:footnote w:id="22">
    <w:p w14:paraId="723BC27C" w14:textId="03512407" w:rsidR="0017794E" w:rsidRPr="00694080" w:rsidRDefault="0017794E" w:rsidP="0005472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CNA/SSDP Committee members suggest using school site advocates to provide these services as they develop relationships with staff at specific school sites.</w:t>
      </w:r>
    </w:p>
  </w:footnote>
  <w:footnote w:id="23">
    <w:p w14:paraId="79A108BA" w14:textId="56E05883" w:rsidR="0017794E" w:rsidRPr="00694080" w:rsidRDefault="0017794E" w:rsidP="0005472F">
      <w:pPr>
        <w:rPr>
          <w:rFonts w:ascii="Arial" w:eastAsia="Times New Roman" w:hAnsi="Arial" w:cs="Arial"/>
        </w:rPr>
      </w:pPr>
      <w:r w:rsidRPr="00694080">
        <w:rPr>
          <w:rStyle w:val="FootnoteReference"/>
          <w:rFonts w:ascii="Arial" w:hAnsi="Arial" w:cs="Arial"/>
        </w:rPr>
        <w:footnoteRef/>
      </w:r>
      <w:r w:rsidRPr="00694080">
        <w:rPr>
          <w:rFonts w:ascii="Arial" w:hAnsi="Arial" w:cs="Arial"/>
        </w:rPr>
        <w:t xml:space="preserve"> Per California Education Code 54443.1(a), MEPs shall include “</w:t>
      </w:r>
      <w:r w:rsidRPr="00694080">
        <w:rPr>
          <w:rFonts w:ascii="Arial" w:eastAsia="Times New Roman" w:hAnsi="Arial" w:cs="Arial"/>
          <w:color w:val="333333"/>
          <w:shd w:val="clear" w:color="auto" w:fill="FFFFFF"/>
        </w:rPr>
        <w:t>an individual assessment of the educational and relevant health needs of each participating pupil within 30 days of enrollment. This assessment shall include assessments concurrently provided pursuant to compensatory education, bilingual-cross cultural education, school improvement programs, and other programs serving the pupil.”</w:t>
      </w:r>
    </w:p>
  </w:footnote>
  <w:footnote w:id="24">
    <w:p w14:paraId="31D8C72D" w14:textId="4ABB8CEE" w:rsidR="0017794E" w:rsidRPr="00D523A7" w:rsidRDefault="0017794E" w:rsidP="0005472F">
      <w:pPr>
        <w:pStyle w:val="FootnoteText"/>
        <w:rPr>
          <w:sz w:val="20"/>
          <w:szCs w:val="20"/>
        </w:rPr>
      </w:pPr>
      <w:r w:rsidRPr="00694080">
        <w:rPr>
          <w:rStyle w:val="FootnoteReference"/>
          <w:rFonts w:ascii="Arial" w:hAnsi="Arial" w:cs="Arial"/>
        </w:rPr>
        <w:footnoteRef/>
      </w:r>
      <w:r w:rsidRPr="00694080">
        <w:rPr>
          <w:rFonts w:ascii="Arial" w:hAnsi="Arial" w:cs="Arial"/>
        </w:rPr>
        <w:t xml:space="preserve"> Local MEPs </w:t>
      </w:r>
      <w:r>
        <w:rPr>
          <w:rFonts w:ascii="Arial" w:hAnsi="Arial" w:cs="Arial"/>
        </w:rPr>
        <w:t xml:space="preserve">are </w:t>
      </w:r>
      <w:r w:rsidRPr="00694080">
        <w:rPr>
          <w:rFonts w:ascii="Arial" w:hAnsi="Arial" w:cs="Arial"/>
        </w:rPr>
        <w:t xml:space="preserve">required to </w:t>
      </w:r>
      <w:r>
        <w:rPr>
          <w:rFonts w:ascii="Arial" w:hAnsi="Arial" w:cs="Arial"/>
        </w:rPr>
        <w:t>identify</w:t>
      </w:r>
      <w:r w:rsidRPr="00694080">
        <w:rPr>
          <w:rFonts w:ascii="Arial" w:hAnsi="Arial" w:cs="Arial"/>
        </w:rPr>
        <w:t xml:space="preserve"> students who </w:t>
      </w:r>
      <w:r>
        <w:rPr>
          <w:rFonts w:ascii="Arial" w:hAnsi="Arial" w:cs="Arial"/>
        </w:rPr>
        <w:t xml:space="preserve">participate in </w:t>
      </w:r>
      <w:r w:rsidRPr="00694080">
        <w:rPr>
          <w:rFonts w:ascii="Arial" w:hAnsi="Arial" w:cs="Arial"/>
        </w:rPr>
        <w:t xml:space="preserve">ELA/Math services </w:t>
      </w:r>
      <w:r>
        <w:rPr>
          <w:rFonts w:ascii="Arial" w:hAnsi="Arial" w:cs="Arial"/>
        </w:rPr>
        <w:t xml:space="preserve">for Strategies 1.0 and 2.0. </w:t>
      </w:r>
      <w:r w:rsidRPr="00694080">
        <w:rPr>
          <w:rFonts w:ascii="Arial" w:hAnsi="Arial" w:cs="Arial"/>
        </w:rPr>
        <w:t>Local MEPs should use the INA/</w:t>
      </w:r>
      <w:r>
        <w:rPr>
          <w:rFonts w:ascii="Arial" w:hAnsi="Arial" w:cs="Arial"/>
        </w:rPr>
        <w:t>IL</w:t>
      </w:r>
      <w:r w:rsidRPr="00694080">
        <w:rPr>
          <w:rFonts w:ascii="Arial" w:hAnsi="Arial" w:cs="Arial"/>
        </w:rPr>
        <w:t>P to regularly assess student needs, monitor student progress and as a tool to determine future services.</w:t>
      </w:r>
    </w:p>
  </w:footnote>
  <w:footnote w:id="25">
    <w:p w14:paraId="645DC9B6" w14:textId="77777777" w:rsidR="0017794E" w:rsidRPr="00743715" w:rsidRDefault="0017794E">
      <w:pPr>
        <w:pStyle w:val="FootnoteText"/>
        <w:rPr>
          <w:rFonts w:ascii="Arial" w:hAnsi="Arial" w:cs="Arial"/>
        </w:rPr>
      </w:pPr>
      <w:r w:rsidRPr="00743715">
        <w:rPr>
          <w:rStyle w:val="FootnoteReference"/>
          <w:rFonts w:ascii="Arial" w:hAnsi="Arial" w:cs="Arial"/>
        </w:rPr>
        <w:footnoteRef/>
      </w:r>
      <w:r w:rsidRPr="00743715">
        <w:rPr>
          <w:rFonts w:ascii="Arial" w:hAnsi="Arial" w:cs="Arial"/>
        </w:rPr>
        <w:t xml:space="preserve"> Strategies for increasing migratory student high school graduation rates and decreasing dropout rates are similar as early intervention is essential to both issues.</w:t>
      </w:r>
    </w:p>
  </w:footnote>
  <w:footnote w:id="26">
    <w:p w14:paraId="7D102614" w14:textId="77777777" w:rsidR="0017794E" w:rsidRPr="0046651C" w:rsidRDefault="0017794E" w:rsidP="0046651C">
      <w:pPr>
        <w:rPr>
          <w:rFonts w:ascii="Arial" w:hAnsi="Arial" w:cs="Arial"/>
        </w:rPr>
      </w:pPr>
      <w:r w:rsidRPr="0046651C">
        <w:rPr>
          <w:rStyle w:val="FootnoteReference"/>
          <w:rFonts w:ascii="Arial" w:hAnsi="Arial" w:cs="Arial"/>
        </w:rPr>
        <w:footnoteRef/>
      </w:r>
      <w:r w:rsidRPr="0046651C">
        <w:rPr>
          <w:rFonts w:ascii="Arial" w:hAnsi="Arial" w:cs="Arial"/>
        </w:rPr>
        <w:t xml:space="preserve"> Per California Education Code 54443.1(a), MEPs shall include “</w:t>
      </w:r>
      <w:r w:rsidRPr="0046651C">
        <w:rPr>
          <w:rFonts w:ascii="Arial" w:eastAsia="Times New Roman" w:hAnsi="Arial" w:cs="Arial"/>
          <w:color w:val="333333"/>
          <w:shd w:val="clear" w:color="auto" w:fill="FFFFFF"/>
        </w:rPr>
        <w:t>an individual assessment of the educational and relevant health needs of each participating pupil within 30 days of enrollment.</w:t>
      </w:r>
    </w:p>
  </w:footnote>
  <w:footnote w:id="27">
    <w:p w14:paraId="6F91BABC" w14:textId="77777777" w:rsidR="0017794E" w:rsidRDefault="0017794E">
      <w:pPr>
        <w:pStyle w:val="FootnoteText"/>
      </w:pPr>
      <w:r w:rsidRPr="0046651C">
        <w:rPr>
          <w:rStyle w:val="FootnoteReference"/>
          <w:rFonts w:ascii="Arial" w:hAnsi="Arial" w:cs="Arial"/>
        </w:rPr>
        <w:footnoteRef/>
      </w:r>
      <w:r w:rsidRPr="0046651C">
        <w:rPr>
          <w:rFonts w:ascii="Arial" w:hAnsi="Arial" w:cs="Arial"/>
        </w:rPr>
        <w:t xml:space="preserve"> Local MEPs are required identify students who participate in ELA/Math services for Strategies 1.0 and 2.0. Local MEPs should use the INA/ILP to regularly assess student needs, monitor student progress and as a tool to determine future services.</w:t>
      </w:r>
    </w:p>
  </w:footnote>
  <w:footnote w:id="28">
    <w:p w14:paraId="140647D9" w14:textId="1030EFEE" w:rsidR="0017794E" w:rsidRPr="00967232" w:rsidRDefault="0017794E">
      <w:pPr>
        <w:pStyle w:val="FootnoteText"/>
        <w:rPr>
          <w:rFonts w:ascii="Arial" w:hAnsi="Arial" w:cs="Arial"/>
        </w:rPr>
      </w:pPr>
      <w:r w:rsidRPr="00967232">
        <w:rPr>
          <w:rStyle w:val="FootnoteReference"/>
          <w:rFonts w:ascii="Arial" w:hAnsi="Arial" w:cs="Arial"/>
        </w:rPr>
        <w:footnoteRef/>
      </w:r>
      <w:r w:rsidRPr="00967232">
        <w:rPr>
          <w:rFonts w:ascii="Arial" w:hAnsi="Arial" w:cs="Arial"/>
        </w:rPr>
        <w:t xml:space="preserve"> All school readiness instructional services provided to pre-k students must be provided by a certificated pre-k teacher.</w:t>
      </w:r>
    </w:p>
  </w:footnote>
  <w:footnote w:id="29">
    <w:p w14:paraId="44B5A6AC" w14:textId="77777777" w:rsidR="0017794E" w:rsidRPr="00694080" w:rsidRDefault="0017794E" w:rsidP="007A0C1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Due to the new data collection needs of the SSDP’s MPOs, and the Migrant Student Information Network updates that all of the MPOs require, parent participation data will be collected starting in 2019–2020; however, subgrantees will still implement this strategy.</w:t>
      </w:r>
    </w:p>
  </w:footnote>
  <w:footnote w:id="30">
    <w:p w14:paraId="1C36F604" w14:textId="77777777" w:rsidR="0017794E" w:rsidRPr="004E1863" w:rsidRDefault="0017794E">
      <w:pPr>
        <w:pStyle w:val="FootnoteText"/>
        <w:rPr>
          <w:rFonts w:ascii="Arial" w:hAnsi="Arial" w:cs="Arial"/>
        </w:rPr>
      </w:pPr>
      <w:r w:rsidRPr="004E1863">
        <w:rPr>
          <w:rStyle w:val="FootnoteReference"/>
          <w:rFonts w:ascii="Arial" w:hAnsi="Arial" w:cs="Arial"/>
        </w:rPr>
        <w:footnoteRef/>
      </w:r>
      <w:r w:rsidRPr="004E1863">
        <w:rPr>
          <w:rFonts w:ascii="Arial" w:hAnsi="Arial" w:cs="Arial"/>
        </w:rPr>
        <w:t xml:space="preserve"> For more information on California’s compulsory education laws and the School Attendance Review Board process, please visit: </w:t>
      </w:r>
      <w:hyperlink r:id="rId4" w:tooltip="School Attendance Review Boards web page" w:history="1">
        <w:r w:rsidRPr="00695725">
          <w:rPr>
            <w:rStyle w:val="Hyperlink"/>
            <w:rFonts w:ascii="Arial" w:hAnsi="Arial" w:cs="Arial"/>
          </w:rPr>
          <w:t>https://www.cde.ca.gov/ls/ai/sb/</w:t>
        </w:r>
      </w:hyperlink>
      <w:r w:rsidRPr="004E1863">
        <w:rPr>
          <w:rFonts w:ascii="Arial" w:hAnsi="Arial" w:cs="Arial"/>
        </w:rPr>
        <w:t xml:space="preserve">. </w:t>
      </w:r>
    </w:p>
  </w:footnote>
  <w:footnote w:id="31">
    <w:p w14:paraId="0388BD84" w14:textId="77777777" w:rsidR="0017794E" w:rsidRPr="0034470B" w:rsidRDefault="0017794E" w:rsidP="00AE3F3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For OSY who plan on returning to their country of origin, and want to get a high school diploma from that country, MEPs may offer services in the OSY’s primary language. For example, if an OSY from Mexico wants to return to Mexico in the near future, but would like to continue his or her studies in Spanish, the MEP may offer </w:t>
      </w:r>
      <w:r w:rsidRPr="0034470B">
        <w:rPr>
          <w:rFonts w:ascii="Arial" w:hAnsi="Arial" w:cs="Arial"/>
        </w:rPr>
        <w:t>courses if enough students require this type of assistance.</w:t>
      </w:r>
    </w:p>
  </w:footnote>
  <w:footnote w:id="32">
    <w:p w14:paraId="0F6E731B" w14:textId="307F19C0" w:rsidR="0017794E" w:rsidRDefault="0017794E">
      <w:pPr>
        <w:pStyle w:val="FootnoteText"/>
      </w:pPr>
      <w:r w:rsidRPr="001C0233">
        <w:rPr>
          <w:rStyle w:val="FootnoteReference"/>
          <w:rFonts w:ascii="Arial" w:hAnsi="Arial" w:cs="Arial"/>
        </w:rPr>
        <w:footnoteRef/>
      </w:r>
      <w:r w:rsidRPr="001C0233">
        <w:rPr>
          <w:rFonts w:ascii="Arial" w:hAnsi="Arial" w:cs="Arial"/>
        </w:rPr>
        <w:t xml:space="preserve"> Local MEPs should work with their HEP regional coordinator to provide services to OSY.</w:t>
      </w:r>
    </w:p>
  </w:footnote>
  <w:footnote w:id="33">
    <w:p w14:paraId="2FDB1E10" w14:textId="77777777" w:rsidR="0017794E" w:rsidRPr="00694080" w:rsidRDefault="0017794E" w:rsidP="00AE3F3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Student and parent attendance data will be collected annually from the subgrantees.</w:t>
      </w:r>
    </w:p>
  </w:footnote>
  <w:footnote w:id="34">
    <w:p w14:paraId="041D0CA1" w14:textId="56D00142" w:rsidR="0017794E" w:rsidRDefault="0017794E" w:rsidP="00AE3F3F">
      <w:pPr>
        <w:pStyle w:val="FootnoteText"/>
      </w:pPr>
      <w:r w:rsidRPr="00694080">
        <w:rPr>
          <w:rStyle w:val="FootnoteReference"/>
          <w:rFonts w:ascii="Arial" w:hAnsi="Arial" w:cs="Arial"/>
        </w:rPr>
        <w:footnoteRef/>
      </w:r>
      <w:r w:rsidRPr="00694080">
        <w:rPr>
          <w:rFonts w:ascii="Arial" w:hAnsi="Arial" w:cs="Arial"/>
        </w:rPr>
        <w:t xml:space="preserve"> The CDE and </w:t>
      </w:r>
      <w:r>
        <w:rPr>
          <w:rFonts w:ascii="Arial" w:hAnsi="Arial" w:cs="Arial"/>
        </w:rPr>
        <w:t>interested parties</w:t>
      </w:r>
      <w:r w:rsidRPr="00694080">
        <w:rPr>
          <w:rFonts w:ascii="Arial" w:hAnsi="Arial" w:cs="Arial"/>
        </w:rPr>
        <w:t xml:space="preserve"> will standardize the INA and </w:t>
      </w:r>
      <w:r>
        <w:rPr>
          <w:rFonts w:ascii="Arial" w:hAnsi="Arial" w:cs="Arial"/>
        </w:rPr>
        <w:t>IL</w:t>
      </w:r>
      <w:r w:rsidRPr="00694080">
        <w:rPr>
          <w:rFonts w:ascii="Arial" w:hAnsi="Arial" w:cs="Arial"/>
        </w:rPr>
        <w:t>P in 2018–19; therefore, data will not be available until the following year.</w:t>
      </w:r>
    </w:p>
  </w:footnote>
  <w:footnote w:id="35">
    <w:p w14:paraId="697A3488" w14:textId="77777777" w:rsidR="0017794E" w:rsidRPr="00694080" w:rsidRDefault="0017794E" w:rsidP="00AE3F3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There should be a focus on making sure that new families understand what the MEP offers. Parent orientation attendance will be collected starting in 2018–19; however, it will not be available in MSIN until 2019–2020. </w:t>
      </w:r>
    </w:p>
  </w:footnote>
  <w:footnote w:id="36">
    <w:p w14:paraId="103E4084" w14:textId="77777777" w:rsidR="0017794E" w:rsidRPr="00694080" w:rsidRDefault="0017794E" w:rsidP="00AE3F3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Please refer to the CDE Family Engagement Framework to increase family engagement and support student academic achievement at: </w:t>
      </w:r>
      <w:hyperlink r:id="rId5" w:tooltip="Family Engagement Framework" w:history="1">
        <w:r w:rsidRPr="00694080">
          <w:rPr>
            <w:rStyle w:val="Hyperlink"/>
            <w:rFonts w:ascii="Arial" w:hAnsi="Arial" w:cs="Arial"/>
          </w:rPr>
          <w:t>https://www.cde.ca.gov/ls/pf/pf/documents/famengageframeenglish.pdf</w:t>
        </w:r>
      </w:hyperlink>
      <w:r w:rsidRPr="00694080">
        <w:rPr>
          <w:rFonts w:ascii="Arial" w:hAnsi="Arial" w:cs="Arial"/>
        </w:rPr>
        <w:t xml:space="preserve">. </w:t>
      </w:r>
    </w:p>
  </w:footnote>
  <w:footnote w:id="37">
    <w:p w14:paraId="3F3DCC23" w14:textId="77777777" w:rsidR="0017794E" w:rsidRPr="00DC02D4" w:rsidRDefault="0017794E" w:rsidP="00AE3F3F">
      <w:pPr>
        <w:pStyle w:val="FootnoteText"/>
        <w:rPr>
          <w:sz w:val="20"/>
          <w:szCs w:val="20"/>
        </w:rPr>
      </w:pPr>
      <w:r w:rsidRPr="00694080">
        <w:rPr>
          <w:rStyle w:val="FootnoteReference"/>
          <w:rFonts w:ascii="Arial" w:hAnsi="Arial" w:cs="Arial"/>
        </w:rPr>
        <w:footnoteRef/>
      </w:r>
      <w:r w:rsidRPr="00694080">
        <w:rPr>
          <w:rFonts w:ascii="Arial" w:hAnsi="Arial" w:cs="Arial"/>
        </w:rPr>
        <w:t xml:space="preserve"> Parent attendance will be collected starting in 2018–19; however, it will not be available in MSIN until 2019–20.</w:t>
      </w:r>
      <w:r w:rsidRPr="00DC02D4">
        <w:rPr>
          <w:sz w:val="20"/>
          <w:szCs w:val="20"/>
        </w:rPr>
        <w:t xml:space="preserve"> </w:t>
      </w:r>
    </w:p>
  </w:footnote>
  <w:footnote w:id="38">
    <w:p w14:paraId="40CD3FCB" w14:textId="77777777" w:rsidR="0017794E" w:rsidRPr="00694080" w:rsidRDefault="0017794E" w:rsidP="00AE3F3F">
      <w:pPr>
        <w:pStyle w:val="FootnoteText"/>
        <w:rPr>
          <w:rFonts w:ascii="Arial" w:hAnsi="Arial" w:cs="Arial"/>
        </w:rPr>
      </w:pPr>
      <w:r w:rsidRPr="00694080">
        <w:rPr>
          <w:rStyle w:val="FootnoteReference"/>
          <w:rFonts w:ascii="Arial" w:hAnsi="Arial" w:cs="Arial"/>
        </w:rPr>
        <w:footnoteRef/>
      </w:r>
      <w:r w:rsidRPr="00694080">
        <w:rPr>
          <w:rFonts w:ascii="Arial" w:hAnsi="Arial" w:cs="Arial"/>
        </w:rPr>
        <w:t xml:space="preserve"> Staff attendance lists from the cultural competency professional development will be collected by the CDE.</w:t>
      </w:r>
    </w:p>
  </w:footnote>
  <w:footnote w:id="39">
    <w:p w14:paraId="4FF3B1F7" w14:textId="77777777" w:rsidR="0017794E" w:rsidRPr="006856D5" w:rsidRDefault="0017794E">
      <w:pPr>
        <w:pStyle w:val="FootnoteText"/>
        <w:rPr>
          <w:rFonts w:ascii="Arial" w:hAnsi="Arial" w:cs="Arial"/>
        </w:rPr>
      </w:pPr>
      <w:r w:rsidRPr="006856D5">
        <w:rPr>
          <w:rStyle w:val="FootnoteReference"/>
          <w:rFonts w:ascii="Arial" w:hAnsi="Arial" w:cs="Arial"/>
        </w:rPr>
        <w:footnoteRef/>
      </w:r>
      <w:r w:rsidRPr="006856D5">
        <w:rPr>
          <w:rFonts w:ascii="Arial" w:hAnsi="Arial" w:cs="Arial"/>
        </w:rPr>
        <w:t xml:space="preserve"> In 2018–19, California will fully transition from using the CELDT to using the English Language Proficiency Assessments for California (ELPAC) to evaluate students’ English language proficiency.</w:t>
      </w:r>
    </w:p>
  </w:footnote>
  <w:footnote w:id="40">
    <w:p w14:paraId="52FF30CA" w14:textId="77777777" w:rsidR="0017794E" w:rsidRPr="006856D5" w:rsidRDefault="0017794E">
      <w:pPr>
        <w:pStyle w:val="FootnoteText"/>
        <w:rPr>
          <w:rFonts w:ascii="Arial" w:hAnsi="Arial" w:cs="Arial"/>
        </w:rPr>
      </w:pPr>
      <w:r w:rsidRPr="006856D5">
        <w:rPr>
          <w:rStyle w:val="FootnoteReference"/>
          <w:rFonts w:ascii="Arial" w:hAnsi="Arial" w:cs="Arial"/>
        </w:rPr>
        <w:footnoteRef/>
      </w:r>
      <w:r w:rsidRPr="006856D5">
        <w:rPr>
          <w:rFonts w:ascii="Arial" w:hAnsi="Arial" w:cs="Arial"/>
        </w:rPr>
        <w:t xml:space="preserve"> </w:t>
      </w:r>
      <w:r w:rsidRPr="006856D5">
        <w:rPr>
          <w:rFonts w:ascii="Arial" w:hAnsi="Arial" w:cs="Arial"/>
          <w:color w:val="030A13"/>
        </w:rPr>
        <w:t>ED</w:t>
      </w:r>
      <w:r w:rsidRPr="006856D5">
        <w:rPr>
          <w:rStyle w:val="Emphasis"/>
          <w:rFonts w:ascii="Arial" w:hAnsi="Arial" w:cs="Arial"/>
          <w:color w:val="030A13"/>
        </w:rPr>
        <w:t>Facts</w:t>
      </w:r>
      <w:r w:rsidRPr="006856D5">
        <w:rPr>
          <w:rFonts w:ascii="Arial" w:hAnsi="Arial" w:cs="Arial"/>
          <w:color w:val="030A13"/>
        </w:rPr>
        <w:t xml:space="preserve"> is a U.S. Department of Education (ED) initiative to collect, analyze, and promote the use of high-quality, pre-kindergarten through grade 12 data, and can be found at: </w:t>
      </w:r>
      <w:hyperlink r:id="rId6" w:tooltip="US Department of Education EDFacts Initiative Web page" w:history="1">
        <w:r w:rsidRPr="006856D5">
          <w:rPr>
            <w:rStyle w:val="Hyperlink"/>
            <w:rFonts w:ascii="Arial" w:hAnsi="Arial" w:cs="Arial"/>
          </w:rPr>
          <w:t>https://www2.ed.gov/about/inits/ed/edfacts/index.html</w:t>
        </w:r>
      </w:hyperlink>
      <w:r w:rsidRPr="006856D5">
        <w:rPr>
          <w:rFonts w:ascii="Arial" w:hAnsi="Arial" w:cs="Arial"/>
          <w:color w:val="030A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B4C2" w14:textId="77777777" w:rsidR="0017794E" w:rsidRPr="00102FC0" w:rsidRDefault="0017794E" w:rsidP="004F6691">
    <w:pPr>
      <w:pStyle w:val="Header"/>
      <w:jc w:val="right"/>
      <w:rPr>
        <w:rFonts w:ascii="Arial" w:hAnsi="Arial" w:cs="Arial"/>
      </w:rPr>
    </w:pPr>
    <w:r w:rsidRPr="00102FC0">
      <w:rPr>
        <w:rFonts w:ascii="Arial" w:hAnsi="Arial" w:cs="Arial"/>
      </w:rPr>
      <w:t>California Department of Education</w:t>
    </w:r>
  </w:p>
  <w:p w14:paraId="690F666B" w14:textId="77777777" w:rsidR="0017794E" w:rsidRPr="00102FC0" w:rsidRDefault="0017794E" w:rsidP="004F6691">
    <w:pPr>
      <w:pStyle w:val="Header"/>
      <w:jc w:val="right"/>
      <w:rPr>
        <w:rFonts w:ascii="Arial" w:hAnsi="Arial" w:cs="Arial"/>
      </w:rPr>
    </w:pPr>
    <w:r w:rsidRPr="00102FC0">
      <w:rPr>
        <w:rFonts w:ascii="Arial" w:hAnsi="Arial" w:cs="Arial"/>
      </w:rPr>
      <w:t>Migrant Education Office</w:t>
    </w:r>
  </w:p>
  <w:p w14:paraId="0ED8FF1A" w14:textId="77777777" w:rsidR="0017794E" w:rsidRPr="00102FC0" w:rsidRDefault="0017794E" w:rsidP="00102FC0">
    <w:pPr>
      <w:pStyle w:val="Header"/>
      <w:spacing w:after="240"/>
      <w:jc w:val="right"/>
      <w:rPr>
        <w:rFonts w:ascii="Arial" w:hAnsi="Arial" w:cs="Arial"/>
      </w:rPr>
    </w:pPr>
    <w:r w:rsidRPr="00102FC0">
      <w:rPr>
        <w:rFonts w:ascii="Arial" w:hAnsi="Arial" w:cs="Arial"/>
      </w:rPr>
      <w:t>2017 State Service Delivery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0DC4" w14:textId="77777777" w:rsidR="0017794E" w:rsidRPr="00102FC0" w:rsidRDefault="0017794E" w:rsidP="00EA493F">
    <w:pPr>
      <w:pStyle w:val="Header"/>
      <w:jc w:val="right"/>
      <w:rPr>
        <w:rFonts w:ascii="Arial" w:hAnsi="Arial" w:cs="Arial"/>
      </w:rPr>
    </w:pPr>
    <w:r w:rsidRPr="00102FC0">
      <w:rPr>
        <w:rFonts w:ascii="Arial" w:hAnsi="Arial" w:cs="Arial"/>
      </w:rPr>
      <w:t>California Department of Education</w:t>
    </w:r>
  </w:p>
  <w:p w14:paraId="7612D09F" w14:textId="77777777" w:rsidR="0017794E" w:rsidRPr="00102FC0" w:rsidRDefault="0017794E" w:rsidP="00EA493F">
    <w:pPr>
      <w:pStyle w:val="Header"/>
      <w:jc w:val="right"/>
      <w:rPr>
        <w:rFonts w:ascii="Arial" w:hAnsi="Arial" w:cs="Arial"/>
      </w:rPr>
    </w:pPr>
    <w:r w:rsidRPr="00102FC0">
      <w:rPr>
        <w:rFonts w:ascii="Arial" w:hAnsi="Arial" w:cs="Arial"/>
      </w:rPr>
      <w:t>Migrant Education Office</w:t>
    </w:r>
  </w:p>
  <w:p w14:paraId="4ADA5B59" w14:textId="77777777" w:rsidR="0017794E" w:rsidRPr="00102FC0" w:rsidRDefault="0017794E" w:rsidP="00102FC0">
    <w:pPr>
      <w:pStyle w:val="Header"/>
      <w:spacing w:after="240"/>
      <w:jc w:val="right"/>
      <w:rPr>
        <w:rFonts w:ascii="Arial" w:hAnsi="Arial" w:cs="Arial"/>
      </w:rPr>
    </w:pPr>
    <w:r w:rsidRPr="00102FC0">
      <w:rPr>
        <w:rFonts w:ascii="Arial" w:hAnsi="Arial" w:cs="Arial"/>
      </w:rPr>
      <w:t>2017 State Service Delivery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D69"/>
    <w:multiLevelType w:val="multilevel"/>
    <w:tmpl w:val="84D66A80"/>
    <w:lvl w:ilvl="0">
      <w:start w:val="10"/>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135E1B"/>
    <w:multiLevelType w:val="hybridMultilevel"/>
    <w:tmpl w:val="E46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63DA"/>
    <w:multiLevelType w:val="multilevel"/>
    <w:tmpl w:val="134EEFA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8769E3"/>
    <w:multiLevelType w:val="hybridMultilevel"/>
    <w:tmpl w:val="243A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26D0"/>
    <w:multiLevelType w:val="hybridMultilevel"/>
    <w:tmpl w:val="5B74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C1C10"/>
    <w:multiLevelType w:val="multilevel"/>
    <w:tmpl w:val="CCFA148C"/>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7E4283"/>
    <w:multiLevelType w:val="hybridMultilevel"/>
    <w:tmpl w:val="D92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C6471"/>
    <w:multiLevelType w:val="hybridMultilevel"/>
    <w:tmpl w:val="06F0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E5612"/>
    <w:multiLevelType w:val="multilevel"/>
    <w:tmpl w:val="42AAFD4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6477E"/>
    <w:multiLevelType w:val="hybridMultilevel"/>
    <w:tmpl w:val="FD8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E03C3"/>
    <w:multiLevelType w:val="hybridMultilevel"/>
    <w:tmpl w:val="2254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35357"/>
    <w:multiLevelType w:val="multilevel"/>
    <w:tmpl w:val="134EEFA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D008BF"/>
    <w:multiLevelType w:val="hybridMultilevel"/>
    <w:tmpl w:val="7952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81B25"/>
    <w:multiLevelType w:val="hybridMultilevel"/>
    <w:tmpl w:val="436E5AD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4" w15:restartNumberingAfterBreak="0">
    <w:nsid w:val="2282127C"/>
    <w:multiLevelType w:val="hybridMultilevel"/>
    <w:tmpl w:val="97A8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17EA4"/>
    <w:multiLevelType w:val="hybridMultilevel"/>
    <w:tmpl w:val="C574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F73A5"/>
    <w:multiLevelType w:val="hybridMultilevel"/>
    <w:tmpl w:val="62EA1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D77F8"/>
    <w:multiLevelType w:val="hybridMultilevel"/>
    <w:tmpl w:val="4370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36460"/>
    <w:multiLevelType w:val="hybridMultilevel"/>
    <w:tmpl w:val="10F0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211F8"/>
    <w:multiLevelType w:val="hybridMultilevel"/>
    <w:tmpl w:val="2ECE01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842DDC"/>
    <w:multiLevelType w:val="multilevel"/>
    <w:tmpl w:val="134EEFA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8375D0"/>
    <w:multiLevelType w:val="multilevel"/>
    <w:tmpl w:val="EF764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B925AD"/>
    <w:multiLevelType w:val="multilevel"/>
    <w:tmpl w:val="E8D49C80"/>
    <w:lvl w:ilvl="0">
      <w:start w:val="7"/>
      <w:numFmt w:val="decimal"/>
      <w:lvlText w:val="%1"/>
      <w:lvlJc w:val="left"/>
      <w:pPr>
        <w:ind w:left="360" w:hanging="360"/>
      </w:pPr>
      <w:rPr>
        <w:rFonts w:hint="default"/>
        <w:color w:val="000000"/>
      </w:rPr>
    </w:lvl>
    <w:lvl w:ilvl="1">
      <w:start w:val="1"/>
      <w:numFmt w:val="decimal"/>
      <w:lvlText w:val="8.%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3" w15:restartNumberingAfterBreak="0">
    <w:nsid w:val="388517AE"/>
    <w:multiLevelType w:val="hybridMultilevel"/>
    <w:tmpl w:val="1B0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34CF9"/>
    <w:multiLevelType w:val="hybridMultilevel"/>
    <w:tmpl w:val="50B2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41661"/>
    <w:multiLevelType w:val="hybridMultilevel"/>
    <w:tmpl w:val="CDBEA21C"/>
    <w:lvl w:ilvl="0" w:tplc="9CF867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F10CB"/>
    <w:multiLevelType w:val="multilevel"/>
    <w:tmpl w:val="859292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22747D"/>
    <w:multiLevelType w:val="hybridMultilevel"/>
    <w:tmpl w:val="4FF4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4221C"/>
    <w:multiLevelType w:val="hybridMultilevel"/>
    <w:tmpl w:val="173CCF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D367EE"/>
    <w:multiLevelType w:val="multilevel"/>
    <w:tmpl w:val="134EEFA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3D1C2E"/>
    <w:multiLevelType w:val="hybridMultilevel"/>
    <w:tmpl w:val="88FA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384FA2"/>
    <w:multiLevelType w:val="hybridMultilevel"/>
    <w:tmpl w:val="971ECB50"/>
    <w:lvl w:ilvl="0" w:tplc="69F2C39A">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422CEE"/>
    <w:multiLevelType w:val="multilevel"/>
    <w:tmpl w:val="134EEFA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602679"/>
    <w:multiLevelType w:val="hybridMultilevel"/>
    <w:tmpl w:val="2DAECF32"/>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15:restartNumberingAfterBreak="0">
    <w:nsid w:val="43E144D1"/>
    <w:multiLevelType w:val="multilevel"/>
    <w:tmpl w:val="C7DCE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D61A3A"/>
    <w:multiLevelType w:val="multilevel"/>
    <w:tmpl w:val="7B304842"/>
    <w:lvl w:ilvl="0">
      <w:start w:val="6"/>
      <w:numFmt w:val="decimal"/>
      <w:lvlText w:val="%1"/>
      <w:lvlJc w:val="left"/>
      <w:pPr>
        <w:ind w:left="360" w:hanging="360"/>
      </w:pPr>
      <w:rPr>
        <w:rFonts w:hint="default"/>
        <w:color w:val="000000"/>
      </w:rPr>
    </w:lvl>
    <w:lvl w:ilvl="1">
      <w:start w:val="1"/>
      <w:numFmt w:val="decimal"/>
      <w:lvlText w:val="7.%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6" w15:restartNumberingAfterBreak="0">
    <w:nsid w:val="44F23967"/>
    <w:multiLevelType w:val="multilevel"/>
    <w:tmpl w:val="B816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2A558D"/>
    <w:multiLevelType w:val="hybridMultilevel"/>
    <w:tmpl w:val="894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BD6919"/>
    <w:multiLevelType w:val="hybridMultilevel"/>
    <w:tmpl w:val="67D6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70BED"/>
    <w:multiLevelType w:val="multilevel"/>
    <w:tmpl w:val="B302EC4C"/>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15:restartNumberingAfterBreak="0">
    <w:nsid w:val="4EB66E35"/>
    <w:multiLevelType w:val="hybridMultilevel"/>
    <w:tmpl w:val="FBAA2D5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D74EBA"/>
    <w:multiLevelType w:val="hybridMultilevel"/>
    <w:tmpl w:val="CA08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317E33"/>
    <w:multiLevelType w:val="hybridMultilevel"/>
    <w:tmpl w:val="609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51759"/>
    <w:multiLevelType w:val="multilevel"/>
    <w:tmpl w:val="A194202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30C2D58"/>
    <w:multiLevelType w:val="multilevel"/>
    <w:tmpl w:val="6DFA6A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40B0384"/>
    <w:multiLevelType w:val="hybridMultilevel"/>
    <w:tmpl w:val="132C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96524"/>
    <w:multiLevelType w:val="hybridMultilevel"/>
    <w:tmpl w:val="B7AE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B4159D"/>
    <w:multiLevelType w:val="hybridMultilevel"/>
    <w:tmpl w:val="A7A0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55691"/>
    <w:multiLevelType w:val="hybridMultilevel"/>
    <w:tmpl w:val="6CCA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8C3B0A"/>
    <w:multiLevelType w:val="hybridMultilevel"/>
    <w:tmpl w:val="6928B9A2"/>
    <w:lvl w:ilvl="0" w:tplc="0BFE7018">
      <w:start w:val="1"/>
      <w:numFmt w:val="bullet"/>
      <w:lvlText w:val="•"/>
      <w:lvlJc w:val="left"/>
      <w:pPr>
        <w:tabs>
          <w:tab w:val="num" w:pos="720"/>
        </w:tabs>
        <w:ind w:left="720" w:hanging="360"/>
      </w:pPr>
      <w:rPr>
        <w:rFonts w:ascii="Arial" w:hAnsi="Arial" w:hint="default"/>
      </w:rPr>
    </w:lvl>
    <w:lvl w:ilvl="1" w:tplc="D966CD94" w:tentative="1">
      <w:start w:val="1"/>
      <w:numFmt w:val="bullet"/>
      <w:lvlText w:val="•"/>
      <w:lvlJc w:val="left"/>
      <w:pPr>
        <w:tabs>
          <w:tab w:val="num" w:pos="1440"/>
        </w:tabs>
        <w:ind w:left="1440" w:hanging="360"/>
      </w:pPr>
      <w:rPr>
        <w:rFonts w:ascii="Arial" w:hAnsi="Arial" w:hint="default"/>
      </w:rPr>
    </w:lvl>
    <w:lvl w:ilvl="2" w:tplc="2EB2DA36" w:tentative="1">
      <w:start w:val="1"/>
      <w:numFmt w:val="bullet"/>
      <w:lvlText w:val="•"/>
      <w:lvlJc w:val="left"/>
      <w:pPr>
        <w:tabs>
          <w:tab w:val="num" w:pos="2160"/>
        </w:tabs>
        <w:ind w:left="2160" w:hanging="360"/>
      </w:pPr>
      <w:rPr>
        <w:rFonts w:ascii="Arial" w:hAnsi="Arial" w:hint="default"/>
      </w:rPr>
    </w:lvl>
    <w:lvl w:ilvl="3" w:tplc="D1765728" w:tentative="1">
      <w:start w:val="1"/>
      <w:numFmt w:val="bullet"/>
      <w:lvlText w:val="•"/>
      <w:lvlJc w:val="left"/>
      <w:pPr>
        <w:tabs>
          <w:tab w:val="num" w:pos="2880"/>
        </w:tabs>
        <w:ind w:left="2880" w:hanging="360"/>
      </w:pPr>
      <w:rPr>
        <w:rFonts w:ascii="Arial" w:hAnsi="Arial" w:hint="default"/>
      </w:rPr>
    </w:lvl>
    <w:lvl w:ilvl="4" w:tplc="31AC0DCE" w:tentative="1">
      <w:start w:val="1"/>
      <w:numFmt w:val="bullet"/>
      <w:lvlText w:val="•"/>
      <w:lvlJc w:val="left"/>
      <w:pPr>
        <w:tabs>
          <w:tab w:val="num" w:pos="3600"/>
        </w:tabs>
        <w:ind w:left="3600" w:hanging="360"/>
      </w:pPr>
      <w:rPr>
        <w:rFonts w:ascii="Arial" w:hAnsi="Arial" w:hint="default"/>
      </w:rPr>
    </w:lvl>
    <w:lvl w:ilvl="5" w:tplc="EF88DAF8" w:tentative="1">
      <w:start w:val="1"/>
      <w:numFmt w:val="bullet"/>
      <w:lvlText w:val="•"/>
      <w:lvlJc w:val="left"/>
      <w:pPr>
        <w:tabs>
          <w:tab w:val="num" w:pos="4320"/>
        </w:tabs>
        <w:ind w:left="4320" w:hanging="360"/>
      </w:pPr>
      <w:rPr>
        <w:rFonts w:ascii="Arial" w:hAnsi="Arial" w:hint="default"/>
      </w:rPr>
    </w:lvl>
    <w:lvl w:ilvl="6" w:tplc="D96458AA" w:tentative="1">
      <w:start w:val="1"/>
      <w:numFmt w:val="bullet"/>
      <w:lvlText w:val="•"/>
      <w:lvlJc w:val="left"/>
      <w:pPr>
        <w:tabs>
          <w:tab w:val="num" w:pos="5040"/>
        </w:tabs>
        <w:ind w:left="5040" w:hanging="360"/>
      </w:pPr>
      <w:rPr>
        <w:rFonts w:ascii="Arial" w:hAnsi="Arial" w:hint="default"/>
      </w:rPr>
    </w:lvl>
    <w:lvl w:ilvl="7" w:tplc="F7AAEADC" w:tentative="1">
      <w:start w:val="1"/>
      <w:numFmt w:val="bullet"/>
      <w:lvlText w:val="•"/>
      <w:lvlJc w:val="left"/>
      <w:pPr>
        <w:tabs>
          <w:tab w:val="num" w:pos="5760"/>
        </w:tabs>
        <w:ind w:left="5760" w:hanging="360"/>
      </w:pPr>
      <w:rPr>
        <w:rFonts w:ascii="Arial" w:hAnsi="Arial" w:hint="default"/>
      </w:rPr>
    </w:lvl>
    <w:lvl w:ilvl="8" w:tplc="783AD7E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C961F81"/>
    <w:multiLevelType w:val="hybridMultilevel"/>
    <w:tmpl w:val="9E74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DE6A8D"/>
    <w:multiLevelType w:val="multilevel"/>
    <w:tmpl w:val="859292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D85727C"/>
    <w:multiLevelType w:val="hybridMultilevel"/>
    <w:tmpl w:val="B462B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8B7172"/>
    <w:multiLevelType w:val="hybridMultilevel"/>
    <w:tmpl w:val="04CC8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9A2935"/>
    <w:multiLevelType w:val="multilevel"/>
    <w:tmpl w:val="065EB17E"/>
    <w:lvl w:ilvl="0">
      <w:start w:val="18"/>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5"/>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EA0017"/>
    <w:multiLevelType w:val="multilevel"/>
    <w:tmpl w:val="BF68A63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3CA02EB"/>
    <w:multiLevelType w:val="hybridMultilevel"/>
    <w:tmpl w:val="4066FF6E"/>
    <w:lvl w:ilvl="0" w:tplc="B3AE9ACA">
      <w:start w:val="1"/>
      <w:numFmt w:val="bullet"/>
      <w:lvlText w:val="o"/>
      <w:lvlJc w:val="left"/>
      <w:pPr>
        <w:ind w:left="360" w:hanging="360"/>
      </w:pPr>
      <w:rPr>
        <w:rFonts w:ascii="Courier New" w:hAnsi="Courier New" w:cs="Courier New"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6981B98"/>
    <w:multiLevelType w:val="hybridMultilevel"/>
    <w:tmpl w:val="9138A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742A73"/>
    <w:multiLevelType w:val="multilevel"/>
    <w:tmpl w:val="69C66E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9291924"/>
    <w:multiLevelType w:val="multilevel"/>
    <w:tmpl w:val="2C7CE6B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6D4C02"/>
    <w:multiLevelType w:val="multilevel"/>
    <w:tmpl w:val="2DF8F33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AF17C45"/>
    <w:multiLevelType w:val="hybridMultilevel"/>
    <w:tmpl w:val="5962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941391"/>
    <w:multiLevelType w:val="multilevel"/>
    <w:tmpl w:val="AE5CA03A"/>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01F368F"/>
    <w:multiLevelType w:val="multilevel"/>
    <w:tmpl w:val="C0DC4274"/>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0262382"/>
    <w:multiLevelType w:val="multilevel"/>
    <w:tmpl w:val="67A6E93A"/>
    <w:lvl w:ilvl="0">
      <w:start w:val="5"/>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65" w15:restartNumberingAfterBreak="0">
    <w:nsid w:val="77856B03"/>
    <w:multiLevelType w:val="hybridMultilevel"/>
    <w:tmpl w:val="47B412F8"/>
    <w:lvl w:ilvl="0" w:tplc="2722AF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0B0E43"/>
    <w:multiLevelType w:val="multilevel"/>
    <w:tmpl w:val="CE1EDFC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A532552"/>
    <w:multiLevelType w:val="hybridMultilevel"/>
    <w:tmpl w:val="ECB4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31087"/>
    <w:multiLevelType w:val="multilevel"/>
    <w:tmpl w:val="B302EC4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9" w15:restartNumberingAfterBreak="0">
    <w:nsid w:val="7DB904AC"/>
    <w:multiLevelType w:val="hybridMultilevel"/>
    <w:tmpl w:val="BE823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007DAD"/>
    <w:multiLevelType w:val="hybridMultilevel"/>
    <w:tmpl w:val="57B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005218">
    <w:abstractNumId w:val="16"/>
  </w:num>
  <w:num w:numId="2" w16cid:durableId="387648880">
    <w:abstractNumId w:val="6"/>
  </w:num>
  <w:num w:numId="3" w16cid:durableId="185288934">
    <w:abstractNumId w:val="27"/>
  </w:num>
  <w:num w:numId="4" w16cid:durableId="403769150">
    <w:abstractNumId w:val="4"/>
  </w:num>
  <w:num w:numId="5" w16cid:durableId="746920498">
    <w:abstractNumId w:val="66"/>
  </w:num>
  <w:num w:numId="6" w16cid:durableId="748887230">
    <w:abstractNumId w:val="59"/>
  </w:num>
  <w:num w:numId="7" w16cid:durableId="1566064267">
    <w:abstractNumId w:val="8"/>
  </w:num>
  <w:num w:numId="8" w16cid:durableId="717247973">
    <w:abstractNumId w:val="36"/>
  </w:num>
  <w:num w:numId="9" w16cid:durableId="895119533">
    <w:abstractNumId w:val="65"/>
  </w:num>
  <w:num w:numId="10" w16cid:durableId="1158154427">
    <w:abstractNumId w:val="33"/>
  </w:num>
  <w:num w:numId="11" w16cid:durableId="838809123">
    <w:abstractNumId w:val="23"/>
  </w:num>
  <w:num w:numId="12" w16cid:durableId="1453596464">
    <w:abstractNumId w:val="34"/>
  </w:num>
  <w:num w:numId="13" w16cid:durableId="592513392">
    <w:abstractNumId w:val="51"/>
  </w:num>
  <w:num w:numId="14" w16cid:durableId="1872523576">
    <w:abstractNumId w:val="17"/>
  </w:num>
  <w:num w:numId="15" w16cid:durableId="1054428726">
    <w:abstractNumId w:val="15"/>
  </w:num>
  <w:num w:numId="16" w16cid:durableId="2084797418">
    <w:abstractNumId w:val="26"/>
  </w:num>
  <w:num w:numId="17" w16cid:durableId="926497429">
    <w:abstractNumId w:val="37"/>
  </w:num>
  <w:num w:numId="18" w16cid:durableId="2066485869">
    <w:abstractNumId w:val="55"/>
  </w:num>
  <w:num w:numId="19" w16cid:durableId="7610940">
    <w:abstractNumId w:val="58"/>
  </w:num>
  <w:num w:numId="20" w16cid:durableId="789058776">
    <w:abstractNumId w:val="3"/>
  </w:num>
  <w:num w:numId="21" w16cid:durableId="1024136543">
    <w:abstractNumId w:val="43"/>
  </w:num>
  <w:num w:numId="22" w16cid:durableId="1260797284">
    <w:abstractNumId w:val="1"/>
  </w:num>
  <w:num w:numId="23" w16cid:durableId="48695784">
    <w:abstractNumId w:val="12"/>
  </w:num>
  <w:num w:numId="24" w16cid:durableId="1813014855">
    <w:abstractNumId w:val="41"/>
  </w:num>
  <w:num w:numId="25" w16cid:durableId="1144466873">
    <w:abstractNumId w:val="38"/>
  </w:num>
  <w:num w:numId="26" w16cid:durableId="1966813198">
    <w:abstractNumId w:val="67"/>
  </w:num>
  <w:num w:numId="27" w16cid:durableId="1817380723">
    <w:abstractNumId w:val="10"/>
  </w:num>
  <w:num w:numId="28" w16cid:durableId="997683904">
    <w:abstractNumId w:val="69"/>
  </w:num>
  <w:num w:numId="29" w16cid:durableId="2006131609">
    <w:abstractNumId w:val="24"/>
  </w:num>
  <w:num w:numId="30" w16cid:durableId="1220439067">
    <w:abstractNumId w:val="45"/>
  </w:num>
  <w:num w:numId="31" w16cid:durableId="1050349738">
    <w:abstractNumId w:val="14"/>
  </w:num>
  <w:num w:numId="32" w16cid:durableId="498040177">
    <w:abstractNumId w:val="42"/>
  </w:num>
  <w:num w:numId="33" w16cid:durableId="1601403108">
    <w:abstractNumId w:val="28"/>
  </w:num>
  <w:num w:numId="34" w16cid:durableId="1473329653">
    <w:abstractNumId w:val="68"/>
  </w:num>
  <w:num w:numId="35" w16cid:durableId="1761952979">
    <w:abstractNumId w:val="35"/>
  </w:num>
  <w:num w:numId="36" w16cid:durableId="740295422">
    <w:abstractNumId w:val="22"/>
  </w:num>
  <w:num w:numId="37" w16cid:durableId="298347503">
    <w:abstractNumId w:val="63"/>
  </w:num>
  <w:num w:numId="38" w16cid:durableId="2025857547">
    <w:abstractNumId w:val="52"/>
  </w:num>
  <w:num w:numId="39" w16cid:durableId="1780370907">
    <w:abstractNumId w:val="56"/>
  </w:num>
  <w:num w:numId="40" w16cid:durableId="2134396499">
    <w:abstractNumId w:val="19"/>
  </w:num>
  <w:num w:numId="41" w16cid:durableId="269245747">
    <w:abstractNumId w:val="29"/>
  </w:num>
  <w:num w:numId="42" w16cid:durableId="319432186">
    <w:abstractNumId w:val="2"/>
  </w:num>
  <w:num w:numId="43" w16cid:durableId="1776636736">
    <w:abstractNumId w:val="32"/>
  </w:num>
  <w:num w:numId="44" w16cid:durableId="990253469">
    <w:abstractNumId w:val="60"/>
  </w:num>
  <w:num w:numId="45" w16cid:durableId="466438750">
    <w:abstractNumId w:val="0"/>
  </w:num>
  <w:num w:numId="46" w16cid:durableId="1622808102">
    <w:abstractNumId w:val="5"/>
  </w:num>
  <w:num w:numId="47" w16cid:durableId="742948322">
    <w:abstractNumId w:val="13"/>
  </w:num>
  <w:num w:numId="48" w16cid:durableId="2040274821">
    <w:abstractNumId w:val="18"/>
  </w:num>
  <w:num w:numId="49" w16cid:durableId="1151940910">
    <w:abstractNumId w:val="64"/>
  </w:num>
  <w:num w:numId="50" w16cid:durableId="2065641227">
    <w:abstractNumId w:val="30"/>
  </w:num>
  <w:num w:numId="51" w16cid:durableId="1263607359">
    <w:abstractNumId w:val="70"/>
  </w:num>
  <w:num w:numId="52" w16cid:durableId="713890643">
    <w:abstractNumId w:val="31"/>
  </w:num>
  <w:num w:numId="53" w16cid:durableId="716852783">
    <w:abstractNumId w:val="39"/>
  </w:num>
  <w:num w:numId="54" w16cid:durableId="1308587497">
    <w:abstractNumId w:val="25"/>
  </w:num>
  <w:num w:numId="55" w16cid:durableId="1889343258">
    <w:abstractNumId w:val="44"/>
  </w:num>
  <w:num w:numId="56" w16cid:durableId="786898224">
    <w:abstractNumId w:val="20"/>
  </w:num>
  <w:num w:numId="57" w16cid:durableId="1782530862">
    <w:abstractNumId w:val="11"/>
  </w:num>
  <w:num w:numId="58" w16cid:durableId="1874338461">
    <w:abstractNumId w:val="57"/>
  </w:num>
  <w:num w:numId="59" w16cid:durableId="585962899">
    <w:abstractNumId w:val="47"/>
  </w:num>
  <w:num w:numId="60" w16cid:durableId="1097628991">
    <w:abstractNumId w:val="62"/>
  </w:num>
  <w:num w:numId="61" w16cid:durableId="1450053547">
    <w:abstractNumId w:val="50"/>
  </w:num>
  <w:num w:numId="62" w16cid:durableId="1309557372">
    <w:abstractNumId w:val="9"/>
  </w:num>
  <w:num w:numId="63" w16cid:durableId="704871384">
    <w:abstractNumId w:val="61"/>
  </w:num>
  <w:num w:numId="64" w16cid:durableId="1831554788">
    <w:abstractNumId w:val="54"/>
  </w:num>
  <w:num w:numId="65" w16cid:durableId="2108305928">
    <w:abstractNumId w:val="40"/>
  </w:num>
  <w:num w:numId="66" w16cid:durableId="1190296857">
    <w:abstractNumId w:val="48"/>
  </w:num>
  <w:num w:numId="67" w16cid:durableId="1354965184">
    <w:abstractNumId w:val="21"/>
  </w:num>
  <w:num w:numId="68" w16cid:durableId="1785348756">
    <w:abstractNumId w:val="46"/>
  </w:num>
  <w:num w:numId="69" w16cid:durableId="417167687">
    <w:abstractNumId w:val="7"/>
  </w:num>
  <w:num w:numId="70" w16cid:durableId="515928513">
    <w:abstractNumId w:val="49"/>
  </w:num>
  <w:num w:numId="71" w16cid:durableId="444615256">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81"/>
    <w:rsid w:val="00000408"/>
    <w:rsid w:val="0000348B"/>
    <w:rsid w:val="00003514"/>
    <w:rsid w:val="00004EC0"/>
    <w:rsid w:val="000053FB"/>
    <w:rsid w:val="000075C1"/>
    <w:rsid w:val="00007ABB"/>
    <w:rsid w:val="000130A8"/>
    <w:rsid w:val="000145F2"/>
    <w:rsid w:val="00017CE0"/>
    <w:rsid w:val="0002014F"/>
    <w:rsid w:val="00020EC3"/>
    <w:rsid w:val="00021FEA"/>
    <w:rsid w:val="0002382A"/>
    <w:rsid w:val="00026A0C"/>
    <w:rsid w:val="000311FD"/>
    <w:rsid w:val="0003757C"/>
    <w:rsid w:val="0004006F"/>
    <w:rsid w:val="00041119"/>
    <w:rsid w:val="00042387"/>
    <w:rsid w:val="00042A7F"/>
    <w:rsid w:val="0004629B"/>
    <w:rsid w:val="0004661B"/>
    <w:rsid w:val="00046B4C"/>
    <w:rsid w:val="00047438"/>
    <w:rsid w:val="00051BF9"/>
    <w:rsid w:val="0005219B"/>
    <w:rsid w:val="00052DC4"/>
    <w:rsid w:val="0005472F"/>
    <w:rsid w:val="00055F45"/>
    <w:rsid w:val="0006562C"/>
    <w:rsid w:val="00065DDE"/>
    <w:rsid w:val="00071F66"/>
    <w:rsid w:val="00072681"/>
    <w:rsid w:val="000728C2"/>
    <w:rsid w:val="0007494A"/>
    <w:rsid w:val="00077A33"/>
    <w:rsid w:val="00077B3C"/>
    <w:rsid w:val="00077DE5"/>
    <w:rsid w:val="00081269"/>
    <w:rsid w:val="00081304"/>
    <w:rsid w:val="00083991"/>
    <w:rsid w:val="00084F28"/>
    <w:rsid w:val="00085638"/>
    <w:rsid w:val="0008620F"/>
    <w:rsid w:val="00087B07"/>
    <w:rsid w:val="000909E8"/>
    <w:rsid w:val="0009275A"/>
    <w:rsid w:val="000963A5"/>
    <w:rsid w:val="00096581"/>
    <w:rsid w:val="00097B74"/>
    <w:rsid w:val="000B1AE9"/>
    <w:rsid w:val="000B3BDF"/>
    <w:rsid w:val="000B4D06"/>
    <w:rsid w:val="000B566E"/>
    <w:rsid w:val="000B7CB2"/>
    <w:rsid w:val="000C1308"/>
    <w:rsid w:val="000C6D1F"/>
    <w:rsid w:val="000D024C"/>
    <w:rsid w:val="000D1520"/>
    <w:rsid w:val="000D1B33"/>
    <w:rsid w:val="000D252E"/>
    <w:rsid w:val="000D3336"/>
    <w:rsid w:val="000D35F6"/>
    <w:rsid w:val="000D3C07"/>
    <w:rsid w:val="000D551D"/>
    <w:rsid w:val="000D558B"/>
    <w:rsid w:val="000D5948"/>
    <w:rsid w:val="000E2933"/>
    <w:rsid w:val="000E5486"/>
    <w:rsid w:val="000F2B65"/>
    <w:rsid w:val="000F31DC"/>
    <w:rsid w:val="000F624F"/>
    <w:rsid w:val="000F6AEE"/>
    <w:rsid w:val="001022AE"/>
    <w:rsid w:val="00102FC0"/>
    <w:rsid w:val="001057F0"/>
    <w:rsid w:val="00105D9B"/>
    <w:rsid w:val="0011033B"/>
    <w:rsid w:val="001118BB"/>
    <w:rsid w:val="00111FCD"/>
    <w:rsid w:val="0012057C"/>
    <w:rsid w:val="001237CC"/>
    <w:rsid w:val="00123CCA"/>
    <w:rsid w:val="0012498D"/>
    <w:rsid w:val="00125DAC"/>
    <w:rsid w:val="001260BB"/>
    <w:rsid w:val="001261CB"/>
    <w:rsid w:val="00127BD8"/>
    <w:rsid w:val="00127E07"/>
    <w:rsid w:val="00130D73"/>
    <w:rsid w:val="001311C5"/>
    <w:rsid w:val="0013287D"/>
    <w:rsid w:val="00133F1D"/>
    <w:rsid w:val="00140945"/>
    <w:rsid w:val="00142F53"/>
    <w:rsid w:val="0014514B"/>
    <w:rsid w:val="0014522C"/>
    <w:rsid w:val="00147CFF"/>
    <w:rsid w:val="001504C1"/>
    <w:rsid w:val="0015145A"/>
    <w:rsid w:val="001574F6"/>
    <w:rsid w:val="00163672"/>
    <w:rsid w:val="00163F0A"/>
    <w:rsid w:val="00164B59"/>
    <w:rsid w:val="001669F2"/>
    <w:rsid w:val="00171580"/>
    <w:rsid w:val="001717FE"/>
    <w:rsid w:val="00171DE4"/>
    <w:rsid w:val="001725A8"/>
    <w:rsid w:val="001729BD"/>
    <w:rsid w:val="00172AE1"/>
    <w:rsid w:val="001745B0"/>
    <w:rsid w:val="00174DAD"/>
    <w:rsid w:val="0017794E"/>
    <w:rsid w:val="001821D4"/>
    <w:rsid w:val="001830F1"/>
    <w:rsid w:val="00183A0A"/>
    <w:rsid w:val="00186EA0"/>
    <w:rsid w:val="00187159"/>
    <w:rsid w:val="0018723F"/>
    <w:rsid w:val="0019456D"/>
    <w:rsid w:val="0019671E"/>
    <w:rsid w:val="00196CEB"/>
    <w:rsid w:val="001A25A1"/>
    <w:rsid w:val="001A3231"/>
    <w:rsid w:val="001A3300"/>
    <w:rsid w:val="001A6754"/>
    <w:rsid w:val="001B07E6"/>
    <w:rsid w:val="001B502F"/>
    <w:rsid w:val="001B50D5"/>
    <w:rsid w:val="001B7E0D"/>
    <w:rsid w:val="001C0225"/>
    <w:rsid w:val="001C0233"/>
    <w:rsid w:val="001C0BFD"/>
    <w:rsid w:val="001C1253"/>
    <w:rsid w:val="001C1B1E"/>
    <w:rsid w:val="001C4AB1"/>
    <w:rsid w:val="001C61F0"/>
    <w:rsid w:val="001C70D0"/>
    <w:rsid w:val="001C7704"/>
    <w:rsid w:val="001D727E"/>
    <w:rsid w:val="001D786B"/>
    <w:rsid w:val="001E146D"/>
    <w:rsid w:val="001E263E"/>
    <w:rsid w:val="001E26A9"/>
    <w:rsid w:val="001E44C7"/>
    <w:rsid w:val="001E5135"/>
    <w:rsid w:val="001E6AFD"/>
    <w:rsid w:val="001F000D"/>
    <w:rsid w:val="001F1B8E"/>
    <w:rsid w:val="001F28E4"/>
    <w:rsid w:val="001F2D31"/>
    <w:rsid w:val="002022C5"/>
    <w:rsid w:val="00205F4B"/>
    <w:rsid w:val="00206012"/>
    <w:rsid w:val="0021030A"/>
    <w:rsid w:val="0021137D"/>
    <w:rsid w:val="00211962"/>
    <w:rsid w:val="002119B3"/>
    <w:rsid w:val="002119CE"/>
    <w:rsid w:val="00213B2D"/>
    <w:rsid w:val="00213C78"/>
    <w:rsid w:val="00214CC0"/>
    <w:rsid w:val="002157EE"/>
    <w:rsid w:val="00216673"/>
    <w:rsid w:val="00220AEF"/>
    <w:rsid w:val="00220B9E"/>
    <w:rsid w:val="00221841"/>
    <w:rsid w:val="002244E2"/>
    <w:rsid w:val="002274C1"/>
    <w:rsid w:val="0023163E"/>
    <w:rsid w:val="00232497"/>
    <w:rsid w:val="00233CA0"/>
    <w:rsid w:val="00240283"/>
    <w:rsid w:val="00246F19"/>
    <w:rsid w:val="00247E94"/>
    <w:rsid w:val="002535A7"/>
    <w:rsid w:val="00254FB0"/>
    <w:rsid w:val="0025567D"/>
    <w:rsid w:val="00255DB7"/>
    <w:rsid w:val="00261292"/>
    <w:rsid w:val="00262072"/>
    <w:rsid w:val="00265C3A"/>
    <w:rsid w:val="00270D66"/>
    <w:rsid w:val="0027296E"/>
    <w:rsid w:val="00273DDA"/>
    <w:rsid w:val="002743A3"/>
    <w:rsid w:val="00274D6B"/>
    <w:rsid w:val="00275DCA"/>
    <w:rsid w:val="002760D7"/>
    <w:rsid w:val="00277454"/>
    <w:rsid w:val="0028173F"/>
    <w:rsid w:val="00283543"/>
    <w:rsid w:val="00286522"/>
    <w:rsid w:val="00287279"/>
    <w:rsid w:val="00293BAF"/>
    <w:rsid w:val="00293E5D"/>
    <w:rsid w:val="002954A4"/>
    <w:rsid w:val="002955A0"/>
    <w:rsid w:val="00296F95"/>
    <w:rsid w:val="002979F4"/>
    <w:rsid w:val="002A1053"/>
    <w:rsid w:val="002A56AD"/>
    <w:rsid w:val="002A6C38"/>
    <w:rsid w:val="002A76AE"/>
    <w:rsid w:val="002B011D"/>
    <w:rsid w:val="002B2029"/>
    <w:rsid w:val="002B3F16"/>
    <w:rsid w:val="002B49CA"/>
    <w:rsid w:val="002B4A43"/>
    <w:rsid w:val="002B5060"/>
    <w:rsid w:val="002B5832"/>
    <w:rsid w:val="002C0464"/>
    <w:rsid w:val="002C2760"/>
    <w:rsid w:val="002C3FDD"/>
    <w:rsid w:val="002C73CF"/>
    <w:rsid w:val="002D35D7"/>
    <w:rsid w:val="002D37A2"/>
    <w:rsid w:val="002D3B4D"/>
    <w:rsid w:val="002D4F47"/>
    <w:rsid w:val="002E2267"/>
    <w:rsid w:val="002E286A"/>
    <w:rsid w:val="002E7853"/>
    <w:rsid w:val="002F2A4F"/>
    <w:rsid w:val="002F380D"/>
    <w:rsid w:val="002F5AF7"/>
    <w:rsid w:val="002F6B2E"/>
    <w:rsid w:val="002F7419"/>
    <w:rsid w:val="00301A34"/>
    <w:rsid w:val="00301CFA"/>
    <w:rsid w:val="003027F1"/>
    <w:rsid w:val="003044D6"/>
    <w:rsid w:val="003130A9"/>
    <w:rsid w:val="00314A97"/>
    <w:rsid w:val="00314F9F"/>
    <w:rsid w:val="00315A22"/>
    <w:rsid w:val="00315DB7"/>
    <w:rsid w:val="00317E33"/>
    <w:rsid w:val="003214B9"/>
    <w:rsid w:val="00326281"/>
    <w:rsid w:val="003302B7"/>
    <w:rsid w:val="00330649"/>
    <w:rsid w:val="00333E52"/>
    <w:rsid w:val="00334A32"/>
    <w:rsid w:val="00337E9A"/>
    <w:rsid w:val="0034470B"/>
    <w:rsid w:val="00347455"/>
    <w:rsid w:val="00350E13"/>
    <w:rsid w:val="00351A15"/>
    <w:rsid w:val="00352789"/>
    <w:rsid w:val="003527A3"/>
    <w:rsid w:val="0035337A"/>
    <w:rsid w:val="003541F1"/>
    <w:rsid w:val="0035681B"/>
    <w:rsid w:val="00357BC9"/>
    <w:rsid w:val="0036163F"/>
    <w:rsid w:val="00365E54"/>
    <w:rsid w:val="0036670F"/>
    <w:rsid w:val="0036746F"/>
    <w:rsid w:val="00371808"/>
    <w:rsid w:val="0037223D"/>
    <w:rsid w:val="0037481B"/>
    <w:rsid w:val="003756E0"/>
    <w:rsid w:val="00375907"/>
    <w:rsid w:val="00377326"/>
    <w:rsid w:val="00380F3F"/>
    <w:rsid w:val="003820A9"/>
    <w:rsid w:val="00384656"/>
    <w:rsid w:val="003852AC"/>
    <w:rsid w:val="00386708"/>
    <w:rsid w:val="0039220E"/>
    <w:rsid w:val="00395349"/>
    <w:rsid w:val="00396FDD"/>
    <w:rsid w:val="003A04A9"/>
    <w:rsid w:val="003A0D04"/>
    <w:rsid w:val="003A33C0"/>
    <w:rsid w:val="003A4C93"/>
    <w:rsid w:val="003A60CE"/>
    <w:rsid w:val="003B1E63"/>
    <w:rsid w:val="003B229D"/>
    <w:rsid w:val="003B5450"/>
    <w:rsid w:val="003C2596"/>
    <w:rsid w:val="003C3E3A"/>
    <w:rsid w:val="003C4EB8"/>
    <w:rsid w:val="003C6B11"/>
    <w:rsid w:val="003C731C"/>
    <w:rsid w:val="003D14D7"/>
    <w:rsid w:val="003D21DE"/>
    <w:rsid w:val="003D2A1B"/>
    <w:rsid w:val="003D2B71"/>
    <w:rsid w:val="003D458E"/>
    <w:rsid w:val="003D54FC"/>
    <w:rsid w:val="003D5F75"/>
    <w:rsid w:val="003E3A81"/>
    <w:rsid w:val="003E417B"/>
    <w:rsid w:val="003E50CA"/>
    <w:rsid w:val="003E62DA"/>
    <w:rsid w:val="003F0FB1"/>
    <w:rsid w:val="003F137B"/>
    <w:rsid w:val="004035B1"/>
    <w:rsid w:val="00406FEE"/>
    <w:rsid w:val="00407E5D"/>
    <w:rsid w:val="00410659"/>
    <w:rsid w:val="00412FEF"/>
    <w:rsid w:val="004138D4"/>
    <w:rsid w:val="00415C7B"/>
    <w:rsid w:val="00424E1D"/>
    <w:rsid w:val="0042552C"/>
    <w:rsid w:val="00425804"/>
    <w:rsid w:val="00426A8B"/>
    <w:rsid w:val="00426F5A"/>
    <w:rsid w:val="0042789B"/>
    <w:rsid w:val="00431491"/>
    <w:rsid w:val="00431C79"/>
    <w:rsid w:val="00434BCF"/>
    <w:rsid w:val="00435863"/>
    <w:rsid w:val="004377BA"/>
    <w:rsid w:val="00437CEE"/>
    <w:rsid w:val="00437F6E"/>
    <w:rsid w:val="0044137F"/>
    <w:rsid w:val="00441F0F"/>
    <w:rsid w:val="004475CE"/>
    <w:rsid w:val="00453356"/>
    <w:rsid w:val="00455E68"/>
    <w:rsid w:val="00461D1A"/>
    <w:rsid w:val="00464015"/>
    <w:rsid w:val="004646B2"/>
    <w:rsid w:val="00465587"/>
    <w:rsid w:val="00465ECC"/>
    <w:rsid w:val="004663D3"/>
    <w:rsid w:val="0046651C"/>
    <w:rsid w:val="00472899"/>
    <w:rsid w:val="004744C9"/>
    <w:rsid w:val="00475ABE"/>
    <w:rsid w:val="0047706A"/>
    <w:rsid w:val="00482124"/>
    <w:rsid w:val="00486077"/>
    <w:rsid w:val="004872BA"/>
    <w:rsid w:val="00490947"/>
    <w:rsid w:val="00493B02"/>
    <w:rsid w:val="00494831"/>
    <w:rsid w:val="00496925"/>
    <w:rsid w:val="00496F11"/>
    <w:rsid w:val="004A231F"/>
    <w:rsid w:val="004A55EA"/>
    <w:rsid w:val="004B1496"/>
    <w:rsid w:val="004B481D"/>
    <w:rsid w:val="004B7E42"/>
    <w:rsid w:val="004C1522"/>
    <w:rsid w:val="004C2A0E"/>
    <w:rsid w:val="004C41D7"/>
    <w:rsid w:val="004C495B"/>
    <w:rsid w:val="004C54DD"/>
    <w:rsid w:val="004C691F"/>
    <w:rsid w:val="004D3FCF"/>
    <w:rsid w:val="004D5A25"/>
    <w:rsid w:val="004D620E"/>
    <w:rsid w:val="004D6F02"/>
    <w:rsid w:val="004E1863"/>
    <w:rsid w:val="004E1B40"/>
    <w:rsid w:val="004E5949"/>
    <w:rsid w:val="004E6F3D"/>
    <w:rsid w:val="004F1D24"/>
    <w:rsid w:val="004F20F8"/>
    <w:rsid w:val="004F46DE"/>
    <w:rsid w:val="004F6691"/>
    <w:rsid w:val="004F6C37"/>
    <w:rsid w:val="004F712F"/>
    <w:rsid w:val="005000B7"/>
    <w:rsid w:val="00500502"/>
    <w:rsid w:val="00503A74"/>
    <w:rsid w:val="00503EE2"/>
    <w:rsid w:val="005047D0"/>
    <w:rsid w:val="005049C8"/>
    <w:rsid w:val="0050515A"/>
    <w:rsid w:val="005068F9"/>
    <w:rsid w:val="0051238B"/>
    <w:rsid w:val="0051241D"/>
    <w:rsid w:val="00514084"/>
    <w:rsid w:val="005162E8"/>
    <w:rsid w:val="00516387"/>
    <w:rsid w:val="0051787F"/>
    <w:rsid w:val="0052331A"/>
    <w:rsid w:val="00525EDC"/>
    <w:rsid w:val="0052611C"/>
    <w:rsid w:val="00531039"/>
    <w:rsid w:val="005326A7"/>
    <w:rsid w:val="00534857"/>
    <w:rsid w:val="00542CC2"/>
    <w:rsid w:val="0054625A"/>
    <w:rsid w:val="00547AB3"/>
    <w:rsid w:val="0055121F"/>
    <w:rsid w:val="00553804"/>
    <w:rsid w:val="005558C5"/>
    <w:rsid w:val="00555C51"/>
    <w:rsid w:val="00555FDF"/>
    <w:rsid w:val="00556049"/>
    <w:rsid w:val="00557DAF"/>
    <w:rsid w:val="00563A6E"/>
    <w:rsid w:val="00567216"/>
    <w:rsid w:val="00571E6B"/>
    <w:rsid w:val="005722DB"/>
    <w:rsid w:val="00574F70"/>
    <w:rsid w:val="0057789C"/>
    <w:rsid w:val="005814EB"/>
    <w:rsid w:val="00582AFB"/>
    <w:rsid w:val="005846CD"/>
    <w:rsid w:val="0058530A"/>
    <w:rsid w:val="005907A1"/>
    <w:rsid w:val="00590C84"/>
    <w:rsid w:val="00592524"/>
    <w:rsid w:val="0059465A"/>
    <w:rsid w:val="00596E96"/>
    <w:rsid w:val="005A2225"/>
    <w:rsid w:val="005A4784"/>
    <w:rsid w:val="005B2C58"/>
    <w:rsid w:val="005B6218"/>
    <w:rsid w:val="005B6631"/>
    <w:rsid w:val="005C0F3B"/>
    <w:rsid w:val="005C3A5A"/>
    <w:rsid w:val="005C4E1A"/>
    <w:rsid w:val="005C55AD"/>
    <w:rsid w:val="005C5821"/>
    <w:rsid w:val="005C68CD"/>
    <w:rsid w:val="005D0E9C"/>
    <w:rsid w:val="005D59AD"/>
    <w:rsid w:val="005D66FB"/>
    <w:rsid w:val="005D757A"/>
    <w:rsid w:val="005E0053"/>
    <w:rsid w:val="005E2F9A"/>
    <w:rsid w:val="005E5313"/>
    <w:rsid w:val="005F2AE7"/>
    <w:rsid w:val="005F3C8C"/>
    <w:rsid w:val="005F5271"/>
    <w:rsid w:val="00601557"/>
    <w:rsid w:val="00601662"/>
    <w:rsid w:val="00603BB3"/>
    <w:rsid w:val="00610248"/>
    <w:rsid w:val="00611072"/>
    <w:rsid w:val="006132EF"/>
    <w:rsid w:val="006143B6"/>
    <w:rsid w:val="006174AA"/>
    <w:rsid w:val="00617FB1"/>
    <w:rsid w:val="00621C29"/>
    <w:rsid w:val="006231F6"/>
    <w:rsid w:val="006238BD"/>
    <w:rsid w:val="00631351"/>
    <w:rsid w:val="006344E7"/>
    <w:rsid w:val="00634B5B"/>
    <w:rsid w:val="00647732"/>
    <w:rsid w:val="00650336"/>
    <w:rsid w:val="0065721C"/>
    <w:rsid w:val="00660A5D"/>
    <w:rsid w:val="00661064"/>
    <w:rsid w:val="006611EC"/>
    <w:rsid w:val="00662BB3"/>
    <w:rsid w:val="006662F8"/>
    <w:rsid w:val="00666FB3"/>
    <w:rsid w:val="0067013B"/>
    <w:rsid w:val="00670CB5"/>
    <w:rsid w:val="006725AA"/>
    <w:rsid w:val="00677C19"/>
    <w:rsid w:val="00681474"/>
    <w:rsid w:val="006849D8"/>
    <w:rsid w:val="00685242"/>
    <w:rsid w:val="006856D5"/>
    <w:rsid w:val="00685C16"/>
    <w:rsid w:val="00693F83"/>
    <w:rsid w:val="00694080"/>
    <w:rsid w:val="006A3626"/>
    <w:rsid w:val="006A4266"/>
    <w:rsid w:val="006A536F"/>
    <w:rsid w:val="006A563E"/>
    <w:rsid w:val="006A5852"/>
    <w:rsid w:val="006A608B"/>
    <w:rsid w:val="006A6171"/>
    <w:rsid w:val="006A7A96"/>
    <w:rsid w:val="006B0749"/>
    <w:rsid w:val="006B393D"/>
    <w:rsid w:val="006C032C"/>
    <w:rsid w:val="006C1C37"/>
    <w:rsid w:val="006C2073"/>
    <w:rsid w:val="006C4B40"/>
    <w:rsid w:val="006C504D"/>
    <w:rsid w:val="006C5768"/>
    <w:rsid w:val="006C748F"/>
    <w:rsid w:val="006D1ADB"/>
    <w:rsid w:val="006D3E87"/>
    <w:rsid w:val="006D4E43"/>
    <w:rsid w:val="006D6407"/>
    <w:rsid w:val="006D7AEF"/>
    <w:rsid w:val="006E3278"/>
    <w:rsid w:val="006E628B"/>
    <w:rsid w:val="006E79F4"/>
    <w:rsid w:val="006F0C1A"/>
    <w:rsid w:val="006F2988"/>
    <w:rsid w:val="006F3CF9"/>
    <w:rsid w:val="006F5649"/>
    <w:rsid w:val="006F65B6"/>
    <w:rsid w:val="006F772B"/>
    <w:rsid w:val="00700E80"/>
    <w:rsid w:val="00700FC0"/>
    <w:rsid w:val="007036FF"/>
    <w:rsid w:val="00705CE8"/>
    <w:rsid w:val="00710101"/>
    <w:rsid w:val="007117AA"/>
    <w:rsid w:val="007138F7"/>
    <w:rsid w:val="00714D66"/>
    <w:rsid w:val="00714FEB"/>
    <w:rsid w:val="00717FA3"/>
    <w:rsid w:val="00724D10"/>
    <w:rsid w:val="007253B8"/>
    <w:rsid w:val="00730671"/>
    <w:rsid w:val="007335B7"/>
    <w:rsid w:val="0073568C"/>
    <w:rsid w:val="00735776"/>
    <w:rsid w:val="00737ED4"/>
    <w:rsid w:val="00740CB9"/>
    <w:rsid w:val="00741E88"/>
    <w:rsid w:val="00743715"/>
    <w:rsid w:val="00746D85"/>
    <w:rsid w:val="00747ECB"/>
    <w:rsid w:val="007503B2"/>
    <w:rsid w:val="0075189E"/>
    <w:rsid w:val="00752255"/>
    <w:rsid w:val="00755CA2"/>
    <w:rsid w:val="0075611B"/>
    <w:rsid w:val="007561CD"/>
    <w:rsid w:val="00761A04"/>
    <w:rsid w:val="007626CD"/>
    <w:rsid w:val="007626F3"/>
    <w:rsid w:val="00764045"/>
    <w:rsid w:val="007703F5"/>
    <w:rsid w:val="00773107"/>
    <w:rsid w:val="00773374"/>
    <w:rsid w:val="0077444E"/>
    <w:rsid w:val="0077602D"/>
    <w:rsid w:val="0077660E"/>
    <w:rsid w:val="007769CD"/>
    <w:rsid w:val="00776BE1"/>
    <w:rsid w:val="007874C6"/>
    <w:rsid w:val="00791178"/>
    <w:rsid w:val="00791A0A"/>
    <w:rsid w:val="0079266D"/>
    <w:rsid w:val="0079618A"/>
    <w:rsid w:val="00797073"/>
    <w:rsid w:val="007A0C1F"/>
    <w:rsid w:val="007A0D0E"/>
    <w:rsid w:val="007A113F"/>
    <w:rsid w:val="007A1375"/>
    <w:rsid w:val="007A4B1E"/>
    <w:rsid w:val="007A5003"/>
    <w:rsid w:val="007A63F2"/>
    <w:rsid w:val="007B0584"/>
    <w:rsid w:val="007B0D6D"/>
    <w:rsid w:val="007B35FA"/>
    <w:rsid w:val="007B3EC5"/>
    <w:rsid w:val="007B435A"/>
    <w:rsid w:val="007B4474"/>
    <w:rsid w:val="007B6D28"/>
    <w:rsid w:val="007C0B46"/>
    <w:rsid w:val="007C17EB"/>
    <w:rsid w:val="007C3B79"/>
    <w:rsid w:val="007C549E"/>
    <w:rsid w:val="007D07D7"/>
    <w:rsid w:val="007D1324"/>
    <w:rsid w:val="007D2B04"/>
    <w:rsid w:val="007D443E"/>
    <w:rsid w:val="007D74B3"/>
    <w:rsid w:val="007E0E58"/>
    <w:rsid w:val="007E3A59"/>
    <w:rsid w:val="007E5483"/>
    <w:rsid w:val="007E73CF"/>
    <w:rsid w:val="007E7C2C"/>
    <w:rsid w:val="007E7CC8"/>
    <w:rsid w:val="007F00D9"/>
    <w:rsid w:val="007F18FA"/>
    <w:rsid w:val="007F3F61"/>
    <w:rsid w:val="007F60C6"/>
    <w:rsid w:val="00801A8B"/>
    <w:rsid w:val="00802CA5"/>
    <w:rsid w:val="008036DE"/>
    <w:rsid w:val="00804486"/>
    <w:rsid w:val="0080761C"/>
    <w:rsid w:val="0081195E"/>
    <w:rsid w:val="008173AB"/>
    <w:rsid w:val="00817CF0"/>
    <w:rsid w:val="0082154E"/>
    <w:rsid w:val="0082318D"/>
    <w:rsid w:val="0082400C"/>
    <w:rsid w:val="008250C7"/>
    <w:rsid w:val="00825EED"/>
    <w:rsid w:val="00827A62"/>
    <w:rsid w:val="00830931"/>
    <w:rsid w:val="00830D8C"/>
    <w:rsid w:val="00833FB8"/>
    <w:rsid w:val="00834801"/>
    <w:rsid w:val="00835BD6"/>
    <w:rsid w:val="00841A22"/>
    <w:rsid w:val="00841D48"/>
    <w:rsid w:val="008437E7"/>
    <w:rsid w:val="008443C1"/>
    <w:rsid w:val="0084534C"/>
    <w:rsid w:val="00845631"/>
    <w:rsid w:val="0084629D"/>
    <w:rsid w:val="00850C60"/>
    <w:rsid w:val="00853A82"/>
    <w:rsid w:val="00853F8C"/>
    <w:rsid w:val="008560F1"/>
    <w:rsid w:val="00857299"/>
    <w:rsid w:val="00857C19"/>
    <w:rsid w:val="00862AE4"/>
    <w:rsid w:val="00862F8C"/>
    <w:rsid w:val="0086590B"/>
    <w:rsid w:val="00867ABA"/>
    <w:rsid w:val="008721C2"/>
    <w:rsid w:val="0087251D"/>
    <w:rsid w:val="00872C26"/>
    <w:rsid w:val="00873C54"/>
    <w:rsid w:val="00874B3A"/>
    <w:rsid w:val="00876D4E"/>
    <w:rsid w:val="008813B8"/>
    <w:rsid w:val="00885C18"/>
    <w:rsid w:val="00886B2A"/>
    <w:rsid w:val="0089154A"/>
    <w:rsid w:val="008943D6"/>
    <w:rsid w:val="00896E40"/>
    <w:rsid w:val="008A0884"/>
    <w:rsid w:val="008A3778"/>
    <w:rsid w:val="008A6927"/>
    <w:rsid w:val="008B0200"/>
    <w:rsid w:val="008B1191"/>
    <w:rsid w:val="008B170E"/>
    <w:rsid w:val="008B44BB"/>
    <w:rsid w:val="008B4755"/>
    <w:rsid w:val="008B6E9C"/>
    <w:rsid w:val="008C24F6"/>
    <w:rsid w:val="008C4335"/>
    <w:rsid w:val="008C52ED"/>
    <w:rsid w:val="008C68F6"/>
    <w:rsid w:val="008D5C37"/>
    <w:rsid w:val="008D773C"/>
    <w:rsid w:val="008E0FDE"/>
    <w:rsid w:val="008E2D6B"/>
    <w:rsid w:val="008E3AFA"/>
    <w:rsid w:val="008E5C39"/>
    <w:rsid w:val="008E5EAB"/>
    <w:rsid w:val="008E78C6"/>
    <w:rsid w:val="008E7C2C"/>
    <w:rsid w:val="008F0548"/>
    <w:rsid w:val="008F2576"/>
    <w:rsid w:val="008F389B"/>
    <w:rsid w:val="0090012E"/>
    <w:rsid w:val="0090021F"/>
    <w:rsid w:val="009054B8"/>
    <w:rsid w:val="00905DD0"/>
    <w:rsid w:val="00906FB1"/>
    <w:rsid w:val="009074C7"/>
    <w:rsid w:val="009075A5"/>
    <w:rsid w:val="00910B9E"/>
    <w:rsid w:val="00915C57"/>
    <w:rsid w:val="009206CE"/>
    <w:rsid w:val="00922CF0"/>
    <w:rsid w:val="00923016"/>
    <w:rsid w:val="00923C56"/>
    <w:rsid w:val="00925F5B"/>
    <w:rsid w:val="009308A3"/>
    <w:rsid w:val="00932254"/>
    <w:rsid w:val="00933081"/>
    <w:rsid w:val="00937771"/>
    <w:rsid w:val="00940589"/>
    <w:rsid w:val="00940787"/>
    <w:rsid w:val="00940B6C"/>
    <w:rsid w:val="00945E64"/>
    <w:rsid w:val="009503FF"/>
    <w:rsid w:val="00950414"/>
    <w:rsid w:val="00950B5A"/>
    <w:rsid w:val="00953B61"/>
    <w:rsid w:val="00960389"/>
    <w:rsid w:val="00960956"/>
    <w:rsid w:val="00962238"/>
    <w:rsid w:val="00963506"/>
    <w:rsid w:val="00965428"/>
    <w:rsid w:val="009665DD"/>
    <w:rsid w:val="00967232"/>
    <w:rsid w:val="009677C8"/>
    <w:rsid w:val="00976DBD"/>
    <w:rsid w:val="009815FE"/>
    <w:rsid w:val="009827B7"/>
    <w:rsid w:val="0098795C"/>
    <w:rsid w:val="00991180"/>
    <w:rsid w:val="00992F7F"/>
    <w:rsid w:val="009934C2"/>
    <w:rsid w:val="00995E68"/>
    <w:rsid w:val="00997AB1"/>
    <w:rsid w:val="009A05DC"/>
    <w:rsid w:val="009A17F4"/>
    <w:rsid w:val="009A35DC"/>
    <w:rsid w:val="009A431B"/>
    <w:rsid w:val="009A5E61"/>
    <w:rsid w:val="009B58CE"/>
    <w:rsid w:val="009C2A4D"/>
    <w:rsid w:val="009C48A3"/>
    <w:rsid w:val="009D030F"/>
    <w:rsid w:val="009D09F0"/>
    <w:rsid w:val="009D2881"/>
    <w:rsid w:val="009D3580"/>
    <w:rsid w:val="009D47B8"/>
    <w:rsid w:val="009D6284"/>
    <w:rsid w:val="009E3484"/>
    <w:rsid w:val="009E39FA"/>
    <w:rsid w:val="009E4270"/>
    <w:rsid w:val="009E570F"/>
    <w:rsid w:val="009E5E97"/>
    <w:rsid w:val="009F0C39"/>
    <w:rsid w:val="009F1775"/>
    <w:rsid w:val="009F33C6"/>
    <w:rsid w:val="009F3623"/>
    <w:rsid w:val="009F433F"/>
    <w:rsid w:val="009F5BE5"/>
    <w:rsid w:val="009F7A7C"/>
    <w:rsid w:val="00A00E0C"/>
    <w:rsid w:val="00A021B9"/>
    <w:rsid w:val="00A03E6E"/>
    <w:rsid w:val="00A04995"/>
    <w:rsid w:val="00A04F86"/>
    <w:rsid w:val="00A04FDB"/>
    <w:rsid w:val="00A069DE"/>
    <w:rsid w:val="00A117E0"/>
    <w:rsid w:val="00A11DA3"/>
    <w:rsid w:val="00A13308"/>
    <w:rsid w:val="00A155EF"/>
    <w:rsid w:val="00A1642E"/>
    <w:rsid w:val="00A23F39"/>
    <w:rsid w:val="00A25EF0"/>
    <w:rsid w:val="00A2760A"/>
    <w:rsid w:val="00A27D3D"/>
    <w:rsid w:val="00A317B7"/>
    <w:rsid w:val="00A31F68"/>
    <w:rsid w:val="00A33CC8"/>
    <w:rsid w:val="00A345CA"/>
    <w:rsid w:val="00A3585C"/>
    <w:rsid w:val="00A35F85"/>
    <w:rsid w:val="00A37789"/>
    <w:rsid w:val="00A37942"/>
    <w:rsid w:val="00A4228D"/>
    <w:rsid w:val="00A429EF"/>
    <w:rsid w:val="00A45A66"/>
    <w:rsid w:val="00A466E0"/>
    <w:rsid w:val="00A51B9E"/>
    <w:rsid w:val="00A55869"/>
    <w:rsid w:val="00A57CCE"/>
    <w:rsid w:val="00A66BD3"/>
    <w:rsid w:val="00A66CEC"/>
    <w:rsid w:val="00A76388"/>
    <w:rsid w:val="00A80250"/>
    <w:rsid w:val="00A81A36"/>
    <w:rsid w:val="00A858C1"/>
    <w:rsid w:val="00A90531"/>
    <w:rsid w:val="00A90E54"/>
    <w:rsid w:val="00A91DF9"/>
    <w:rsid w:val="00A96C2A"/>
    <w:rsid w:val="00AA3534"/>
    <w:rsid w:val="00AA5066"/>
    <w:rsid w:val="00AA6AB0"/>
    <w:rsid w:val="00AB1B24"/>
    <w:rsid w:val="00AB3788"/>
    <w:rsid w:val="00AB4C1A"/>
    <w:rsid w:val="00AB5388"/>
    <w:rsid w:val="00AB69A7"/>
    <w:rsid w:val="00AC0184"/>
    <w:rsid w:val="00AC45A5"/>
    <w:rsid w:val="00AC71FD"/>
    <w:rsid w:val="00AC7AA1"/>
    <w:rsid w:val="00AD1C3A"/>
    <w:rsid w:val="00AD548B"/>
    <w:rsid w:val="00AD77D7"/>
    <w:rsid w:val="00AE3F3F"/>
    <w:rsid w:val="00AE46BC"/>
    <w:rsid w:val="00AE5610"/>
    <w:rsid w:val="00AF511B"/>
    <w:rsid w:val="00B007E5"/>
    <w:rsid w:val="00B01949"/>
    <w:rsid w:val="00B03614"/>
    <w:rsid w:val="00B05951"/>
    <w:rsid w:val="00B11F8F"/>
    <w:rsid w:val="00B16E6A"/>
    <w:rsid w:val="00B1744E"/>
    <w:rsid w:val="00B21026"/>
    <w:rsid w:val="00B21C78"/>
    <w:rsid w:val="00B21FF1"/>
    <w:rsid w:val="00B2239F"/>
    <w:rsid w:val="00B223C5"/>
    <w:rsid w:val="00B2330D"/>
    <w:rsid w:val="00B25C17"/>
    <w:rsid w:val="00B31AE4"/>
    <w:rsid w:val="00B326C6"/>
    <w:rsid w:val="00B32E36"/>
    <w:rsid w:val="00B35B88"/>
    <w:rsid w:val="00B35CA8"/>
    <w:rsid w:val="00B3700E"/>
    <w:rsid w:val="00B41718"/>
    <w:rsid w:val="00B417FD"/>
    <w:rsid w:val="00B42DD9"/>
    <w:rsid w:val="00B453D9"/>
    <w:rsid w:val="00B4591E"/>
    <w:rsid w:val="00B459CD"/>
    <w:rsid w:val="00B45BD6"/>
    <w:rsid w:val="00B460CA"/>
    <w:rsid w:val="00B50FE1"/>
    <w:rsid w:val="00B521B9"/>
    <w:rsid w:val="00B52F51"/>
    <w:rsid w:val="00B532E8"/>
    <w:rsid w:val="00B54FFB"/>
    <w:rsid w:val="00B55BE4"/>
    <w:rsid w:val="00B62115"/>
    <w:rsid w:val="00B62DFA"/>
    <w:rsid w:val="00B66370"/>
    <w:rsid w:val="00B66594"/>
    <w:rsid w:val="00B73A48"/>
    <w:rsid w:val="00B73C48"/>
    <w:rsid w:val="00B74D5D"/>
    <w:rsid w:val="00B81939"/>
    <w:rsid w:val="00B86D3D"/>
    <w:rsid w:val="00B90FA2"/>
    <w:rsid w:val="00B94687"/>
    <w:rsid w:val="00B96CAB"/>
    <w:rsid w:val="00B9766E"/>
    <w:rsid w:val="00B97770"/>
    <w:rsid w:val="00B978C7"/>
    <w:rsid w:val="00BA0181"/>
    <w:rsid w:val="00BA18B9"/>
    <w:rsid w:val="00BA5719"/>
    <w:rsid w:val="00BA57E2"/>
    <w:rsid w:val="00BA5C6E"/>
    <w:rsid w:val="00BA7D41"/>
    <w:rsid w:val="00BB0DB9"/>
    <w:rsid w:val="00BB4058"/>
    <w:rsid w:val="00BB4C7C"/>
    <w:rsid w:val="00BB73B9"/>
    <w:rsid w:val="00BC0B5E"/>
    <w:rsid w:val="00BD39C7"/>
    <w:rsid w:val="00BD3B1E"/>
    <w:rsid w:val="00BD4F35"/>
    <w:rsid w:val="00BE34FC"/>
    <w:rsid w:val="00BE54BB"/>
    <w:rsid w:val="00BE6F92"/>
    <w:rsid w:val="00BE7167"/>
    <w:rsid w:val="00BF2AF1"/>
    <w:rsid w:val="00BF6403"/>
    <w:rsid w:val="00BF71F9"/>
    <w:rsid w:val="00C000A2"/>
    <w:rsid w:val="00C00ED9"/>
    <w:rsid w:val="00C01B6E"/>
    <w:rsid w:val="00C03360"/>
    <w:rsid w:val="00C03BE7"/>
    <w:rsid w:val="00C03C8A"/>
    <w:rsid w:val="00C0763C"/>
    <w:rsid w:val="00C11858"/>
    <w:rsid w:val="00C11A9B"/>
    <w:rsid w:val="00C121F4"/>
    <w:rsid w:val="00C140EF"/>
    <w:rsid w:val="00C1422F"/>
    <w:rsid w:val="00C156E5"/>
    <w:rsid w:val="00C165A0"/>
    <w:rsid w:val="00C23539"/>
    <w:rsid w:val="00C27EAE"/>
    <w:rsid w:val="00C30930"/>
    <w:rsid w:val="00C3264E"/>
    <w:rsid w:val="00C330A6"/>
    <w:rsid w:val="00C34248"/>
    <w:rsid w:val="00C3495F"/>
    <w:rsid w:val="00C3502D"/>
    <w:rsid w:val="00C4385F"/>
    <w:rsid w:val="00C47B13"/>
    <w:rsid w:val="00C52B3A"/>
    <w:rsid w:val="00C53053"/>
    <w:rsid w:val="00C53A11"/>
    <w:rsid w:val="00C54245"/>
    <w:rsid w:val="00C55CA8"/>
    <w:rsid w:val="00C5707D"/>
    <w:rsid w:val="00C66062"/>
    <w:rsid w:val="00C66AFF"/>
    <w:rsid w:val="00C73697"/>
    <w:rsid w:val="00C742C1"/>
    <w:rsid w:val="00C80CE2"/>
    <w:rsid w:val="00C82B5C"/>
    <w:rsid w:val="00C82D8D"/>
    <w:rsid w:val="00C83239"/>
    <w:rsid w:val="00C84BB3"/>
    <w:rsid w:val="00C9094A"/>
    <w:rsid w:val="00C91878"/>
    <w:rsid w:val="00C93696"/>
    <w:rsid w:val="00C93B4B"/>
    <w:rsid w:val="00CA0BB2"/>
    <w:rsid w:val="00CA52FB"/>
    <w:rsid w:val="00CA588F"/>
    <w:rsid w:val="00CA647E"/>
    <w:rsid w:val="00CB1349"/>
    <w:rsid w:val="00CB1E87"/>
    <w:rsid w:val="00CB2692"/>
    <w:rsid w:val="00CB2C23"/>
    <w:rsid w:val="00CB2F56"/>
    <w:rsid w:val="00CB72A5"/>
    <w:rsid w:val="00CB78C9"/>
    <w:rsid w:val="00CC57B6"/>
    <w:rsid w:val="00CD11DF"/>
    <w:rsid w:val="00CD143F"/>
    <w:rsid w:val="00CD1835"/>
    <w:rsid w:val="00CD49BD"/>
    <w:rsid w:val="00CD4FEE"/>
    <w:rsid w:val="00CD6849"/>
    <w:rsid w:val="00CE321D"/>
    <w:rsid w:val="00CE4149"/>
    <w:rsid w:val="00CE5D55"/>
    <w:rsid w:val="00CF237E"/>
    <w:rsid w:val="00CF2BE4"/>
    <w:rsid w:val="00CF43B5"/>
    <w:rsid w:val="00D00236"/>
    <w:rsid w:val="00D00F5B"/>
    <w:rsid w:val="00D05A3D"/>
    <w:rsid w:val="00D133C6"/>
    <w:rsid w:val="00D1549C"/>
    <w:rsid w:val="00D23418"/>
    <w:rsid w:val="00D23634"/>
    <w:rsid w:val="00D23C84"/>
    <w:rsid w:val="00D249C8"/>
    <w:rsid w:val="00D251A0"/>
    <w:rsid w:val="00D27058"/>
    <w:rsid w:val="00D31626"/>
    <w:rsid w:val="00D32E6E"/>
    <w:rsid w:val="00D33177"/>
    <w:rsid w:val="00D33DA5"/>
    <w:rsid w:val="00D35806"/>
    <w:rsid w:val="00D36497"/>
    <w:rsid w:val="00D37EFC"/>
    <w:rsid w:val="00D43477"/>
    <w:rsid w:val="00D4454C"/>
    <w:rsid w:val="00D47654"/>
    <w:rsid w:val="00D50E2C"/>
    <w:rsid w:val="00D523A7"/>
    <w:rsid w:val="00D531AA"/>
    <w:rsid w:val="00D533F5"/>
    <w:rsid w:val="00D534EF"/>
    <w:rsid w:val="00D54B98"/>
    <w:rsid w:val="00D5555A"/>
    <w:rsid w:val="00D573DC"/>
    <w:rsid w:val="00D674B8"/>
    <w:rsid w:val="00D71ADC"/>
    <w:rsid w:val="00D7247F"/>
    <w:rsid w:val="00D734E4"/>
    <w:rsid w:val="00D74379"/>
    <w:rsid w:val="00D77863"/>
    <w:rsid w:val="00D77E5E"/>
    <w:rsid w:val="00D80FE4"/>
    <w:rsid w:val="00D84827"/>
    <w:rsid w:val="00D84B70"/>
    <w:rsid w:val="00D954D1"/>
    <w:rsid w:val="00D96A40"/>
    <w:rsid w:val="00DA1528"/>
    <w:rsid w:val="00DA313D"/>
    <w:rsid w:val="00DA4B5B"/>
    <w:rsid w:val="00DB0B5D"/>
    <w:rsid w:val="00DB1199"/>
    <w:rsid w:val="00DB60B2"/>
    <w:rsid w:val="00DC02D4"/>
    <w:rsid w:val="00DC0C63"/>
    <w:rsid w:val="00DC135A"/>
    <w:rsid w:val="00DC1BE4"/>
    <w:rsid w:val="00DC1C61"/>
    <w:rsid w:val="00DC5C7D"/>
    <w:rsid w:val="00DC67D3"/>
    <w:rsid w:val="00DC6A20"/>
    <w:rsid w:val="00DD0801"/>
    <w:rsid w:val="00DD0F55"/>
    <w:rsid w:val="00DD2B50"/>
    <w:rsid w:val="00DD3029"/>
    <w:rsid w:val="00DD3E01"/>
    <w:rsid w:val="00DD752E"/>
    <w:rsid w:val="00DD7531"/>
    <w:rsid w:val="00DE19AD"/>
    <w:rsid w:val="00DE1D3F"/>
    <w:rsid w:val="00DE1E77"/>
    <w:rsid w:val="00DE4BB8"/>
    <w:rsid w:val="00DE58F7"/>
    <w:rsid w:val="00DE5AD3"/>
    <w:rsid w:val="00DF0377"/>
    <w:rsid w:val="00DF04F9"/>
    <w:rsid w:val="00DF26B7"/>
    <w:rsid w:val="00DF3F9E"/>
    <w:rsid w:val="00DF4457"/>
    <w:rsid w:val="00DF455D"/>
    <w:rsid w:val="00DF6230"/>
    <w:rsid w:val="00DF7547"/>
    <w:rsid w:val="00DF7E87"/>
    <w:rsid w:val="00E009EA"/>
    <w:rsid w:val="00E02836"/>
    <w:rsid w:val="00E05399"/>
    <w:rsid w:val="00E0606D"/>
    <w:rsid w:val="00E0699D"/>
    <w:rsid w:val="00E10BEB"/>
    <w:rsid w:val="00E1127C"/>
    <w:rsid w:val="00E2090B"/>
    <w:rsid w:val="00E22495"/>
    <w:rsid w:val="00E23976"/>
    <w:rsid w:val="00E25C08"/>
    <w:rsid w:val="00E30DA7"/>
    <w:rsid w:val="00E315E5"/>
    <w:rsid w:val="00E31FD3"/>
    <w:rsid w:val="00E325DC"/>
    <w:rsid w:val="00E34CE0"/>
    <w:rsid w:val="00E3556B"/>
    <w:rsid w:val="00E35659"/>
    <w:rsid w:val="00E44DDD"/>
    <w:rsid w:val="00E44FD6"/>
    <w:rsid w:val="00E45828"/>
    <w:rsid w:val="00E4616D"/>
    <w:rsid w:val="00E506A2"/>
    <w:rsid w:val="00E51D50"/>
    <w:rsid w:val="00E52B34"/>
    <w:rsid w:val="00E5368A"/>
    <w:rsid w:val="00E53F38"/>
    <w:rsid w:val="00E571D6"/>
    <w:rsid w:val="00E57DBF"/>
    <w:rsid w:val="00E60A5A"/>
    <w:rsid w:val="00E63254"/>
    <w:rsid w:val="00E66CBC"/>
    <w:rsid w:val="00E72202"/>
    <w:rsid w:val="00E8105D"/>
    <w:rsid w:val="00E81B6E"/>
    <w:rsid w:val="00E8548A"/>
    <w:rsid w:val="00E857B4"/>
    <w:rsid w:val="00E91A53"/>
    <w:rsid w:val="00E9366C"/>
    <w:rsid w:val="00EA05A0"/>
    <w:rsid w:val="00EA0784"/>
    <w:rsid w:val="00EA2E99"/>
    <w:rsid w:val="00EA3D29"/>
    <w:rsid w:val="00EA3FA3"/>
    <w:rsid w:val="00EA493F"/>
    <w:rsid w:val="00EB08C3"/>
    <w:rsid w:val="00EB5575"/>
    <w:rsid w:val="00EC06D4"/>
    <w:rsid w:val="00EC142B"/>
    <w:rsid w:val="00EC46AC"/>
    <w:rsid w:val="00ED255A"/>
    <w:rsid w:val="00ED2F02"/>
    <w:rsid w:val="00ED35BC"/>
    <w:rsid w:val="00ED68F8"/>
    <w:rsid w:val="00EE4E51"/>
    <w:rsid w:val="00EE5F8A"/>
    <w:rsid w:val="00EF13B8"/>
    <w:rsid w:val="00EF15DD"/>
    <w:rsid w:val="00EF2E4B"/>
    <w:rsid w:val="00EF3956"/>
    <w:rsid w:val="00EF3D6C"/>
    <w:rsid w:val="00EF51F7"/>
    <w:rsid w:val="00EF59DB"/>
    <w:rsid w:val="00EF603E"/>
    <w:rsid w:val="00EF750E"/>
    <w:rsid w:val="00F0390A"/>
    <w:rsid w:val="00F041B2"/>
    <w:rsid w:val="00F043D1"/>
    <w:rsid w:val="00F062E2"/>
    <w:rsid w:val="00F068A4"/>
    <w:rsid w:val="00F1002A"/>
    <w:rsid w:val="00F14980"/>
    <w:rsid w:val="00F15776"/>
    <w:rsid w:val="00F1584A"/>
    <w:rsid w:val="00F16401"/>
    <w:rsid w:val="00F23BE0"/>
    <w:rsid w:val="00F30AED"/>
    <w:rsid w:val="00F30B37"/>
    <w:rsid w:val="00F348F9"/>
    <w:rsid w:val="00F355B6"/>
    <w:rsid w:val="00F37274"/>
    <w:rsid w:val="00F377AE"/>
    <w:rsid w:val="00F419CF"/>
    <w:rsid w:val="00F419D3"/>
    <w:rsid w:val="00F51E43"/>
    <w:rsid w:val="00F53432"/>
    <w:rsid w:val="00F55E1B"/>
    <w:rsid w:val="00F56AA9"/>
    <w:rsid w:val="00F62746"/>
    <w:rsid w:val="00F6400C"/>
    <w:rsid w:val="00F65801"/>
    <w:rsid w:val="00F71478"/>
    <w:rsid w:val="00F71726"/>
    <w:rsid w:val="00F76F1E"/>
    <w:rsid w:val="00F8330B"/>
    <w:rsid w:val="00F84410"/>
    <w:rsid w:val="00F849FE"/>
    <w:rsid w:val="00F9153D"/>
    <w:rsid w:val="00F93924"/>
    <w:rsid w:val="00F9508F"/>
    <w:rsid w:val="00FA103E"/>
    <w:rsid w:val="00FA2566"/>
    <w:rsid w:val="00FA2656"/>
    <w:rsid w:val="00FA3D98"/>
    <w:rsid w:val="00FA42F2"/>
    <w:rsid w:val="00FA71E4"/>
    <w:rsid w:val="00FB0FFF"/>
    <w:rsid w:val="00FB25D1"/>
    <w:rsid w:val="00FB2C86"/>
    <w:rsid w:val="00FB40BB"/>
    <w:rsid w:val="00FB5849"/>
    <w:rsid w:val="00FB7104"/>
    <w:rsid w:val="00FC0A1D"/>
    <w:rsid w:val="00FC172E"/>
    <w:rsid w:val="00FC3448"/>
    <w:rsid w:val="00FC3AE8"/>
    <w:rsid w:val="00FC4090"/>
    <w:rsid w:val="00FD581D"/>
    <w:rsid w:val="00FD7ACD"/>
    <w:rsid w:val="00FF0978"/>
    <w:rsid w:val="00FF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2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2C1"/>
    <w:rPr>
      <w:rFonts w:ascii="Times New Roman" w:hAnsi="Times New Roman"/>
      <w:sz w:val="24"/>
      <w:szCs w:val="24"/>
    </w:rPr>
  </w:style>
  <w:style w:type="paragraph" w:styleId="Heading1">
    <w:name w:val="heading 1"/>
    <w:basedOn w:val="Normal"/>
    <w:next w:val="Normal"/>
    <w:link w:val="Heading1Char"/>
    <w:uiPriority w:val="9"/>
    <w:qFormat/>
    <w:rsid w:val="001821D4"/>
    <w:pPr>
      <w:keepNext/>
      <w:keepLines/>
      <w:spacing w:before="240"/>
      <w:outlineLvl w:val="0"/>
    </w:pPr>
    <w:rPr>
      <w:rFonts w:ascii="Arial" w:eastAsia="Times New Roman" w:hAnsi="Arial"/>
      <w:b/>
      <w:sz w:val="36"/>
      <w:szCs w:val="32"/>
    </w:rPr>
  </w:style>
  <w:style w:type="paragraph" w:styleId="Heading2">
    <w:name w:val="heading 2"/>
    <w:basedOn w:val="Normal"/>
    <w:next w:val="Normal"/>
    <w:link w:val="Heading2Char"/>
    <w:uiPriority w:val="9"/>
    <w:unhideWhenUsed/>
    <w:qFormat/>
    <w:rsid w:val="00EC06D4"/>
    <w:pPr>
      <w:keepNext/>
      <w:keepLines/>
      <w:spacing w:after="240"/>
      <w:outlineLvl w:val="1"/>
    </w:pPr>
    <w:rPr>
      <w:rFonts w:ascii="Arial" w:eastAsia="Times New Roman" w:hAnsi="Arial"/>
      <w:b/>
      <w:sz w:val="32"/>
      <w:szCs w:val="26"/>
    </w:rPr>
  </w:style>
  <w:style w:type="paragraph" w:styleId="Heading3">
    <w:name w:val="heading 3"/>
    <w:basedOn w:val="Normal"/>
    <w:next w:val="Normal"/>
    <w:link w:val="Heading3Char"/>
    <w:uiPriority w:val="9"/>
    <w:unhideWhenUsed/>
    <w:qFormat/>
    <w:rsid w:val="00743715"/>
    <w:pPr>
      <w:keepNext/>
      <w:keepLines/>
      <w:spacing w:after="240"/>
      <w:outlineLvl w:val="2"/>
    </w:pPr>
    <w:rPr>
      <w:rFonts w:ascii="Arial" w:eastAsia="Times New Roman" w:hAnsi="Arial"/>
      <w:i/>
      <w:sz w:val="32"/>
    </w:rPr>
  </w:style>
  <w:style w:type="paragraph" w:styleId="Heading4">
    <w:name w:val="heading 4"/>
    <w:basedOn w:val="Normal"/>
    <w:next w:val="Normal"/>
    <w:link w:val="Heading4Char"/>
    <w:uiPriority w:val="9"/>
    <w:unhideWhenUsed/>
    <w:qFormat/>
    <w:rsid w:val="00743715"/>
    <w:pPr>
      <w:keepNext/>
      <w:keepLines/>
      <w:spacing w:before="240" w:after="240"/>
      <w:outlineLvl w:val="3"/>
    </w:pPr>
    <w:rPr>
      <w:rFonts w:ascii="Arial" w:eastAsia="Times New Roman" w:hAnsi="Arial"/>
      <w:b/>
      <w:iCs/>
      <w:sz w:val="28"/>
    </w:rPr>
  </w:style>
  <w:style w:type="paragraph" w:styleId="Heading5">
    <w:name w:val="heading 5"/>
    <w:basedOn w:val="Normal"/>
    <w:next w:val="Normal"/>
    <w:link w:val="Heading5Char"/>
    <w:uiPriority w:val="9"/>
    <w:unhideWhenUsed/>
    <w:qFormat/>
    <w:rsid w:val="00743715"/>
    <w:pPr>
      <w:keepNext/>
      <w:keepLines/>
      <w:spacing w:before="240" w:after="240"/>
      <w:outlineLvl w:val="4"/>
    </w:pPr>
    <w:rPr>
      <w:rFonts w:ascii="Arial" w:eastAsia="Times New Roman" w:hAnsi="Arial"/>
      <w:i/>
      <w:sz w:val="28"/>
    </w:rPr>
  </w:style>
  <w:style w:type="paragraph" w:styleId="Heading6">
    <w:name w:val="heading 6"/>
    <w:basedOn w:val="Normal"/>
    <w:next w:val="Normal"/>
    <w:link w:val="Heading6Char"/>
    <w:uiPriority w:val="9"/>
    <w:unhideWhenUsed/>
    <w:qFormat/>
    <w:rsid w:val="00743715"/>
    <w:pPr>
      <w:keepNext/>
      <w:keepLines/>
      <w:spacing w:before="240"/>
      <w:outlineLvl w:val="5"/>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2681"/>
    <w:rPr>
      <w:rFonts w:eastAsia="Times New Roman"/>
      <w:sz w:val="22"/>
      <w:szCs w:val="22"/>
    </w:rPr>
  </w:style>
  <w:style w:type="character" w:customStyle="1" w:styleId="NoSpacingChar">
    <w:name w:val="No Spacing Char"/>
    <w:link w:val="NoSpacing"/>
    <w:uiPriority w:val="1"/>
    <w:rsid w:val="00072681"/>
    <w:rPr>
      <w:rFonts w:eastAsia="Times New Roman"/>
    </w:rPr>
  </w:style>
  <w:style w:type="character" w:customStyle="1" w:styleId="Heading1Char">
    <w:name w:val="Heading 1 Char"/>
    <w:link w:val="Heading1"/>
    <w:uiPriority w:val="9"/>
    <w:rsid w:val="001821D4"/>
    <w:rPr>
      <w:rFonts w:ascii="Arial" w:eastAsia="Times New Roman" w:hAnsi="Arial" w:cs="Times New Roman"/>
      <w:b/>
      <w:sz w:val="36"/>
      <w:szCs w:val="32"/>
    </w:rPr>
  </w:style>
  <w:style w:type="paragraph" w:styleId="TOCHeading">
    <w:name w:val="TOC Heading"/>
    <w:basedOn w:val="Heading1"/>
    <w:next w:val="Normal"/>
    <w:uiPriority w:val="39"/>
    <w:unhideWhenUsed/>
    <w:qFormat/>
    <w:rsid w:val="00072681"/>
    <w:pPr>
      <w:outlineLvl w:val="9"/>
    </w:pPr>
  </w:style>
  <w:style w:type="paragraph" w:styleId="TOC1">
    <w:name w:val="toc 1"/>
    <w:basedOn w:val="Normal"/>
    <w:next w:val="Normal"/>
    <w:autoRedefine/>
    <w:uiPriority w:val="39"/>
    <w:unhideWhenUsed/>
    <w:rsid w:val="00B81939"/>
    <w:pPr>
      <w:tabs>
        <w:tab w:val="right" w:leader="dot" w:pos="9350"/>
      </w:tabs>
      <w:spacing w:after="100"/>
    </w:pPr>
    <w:rPr>
      <w:rFonts w:ascii="Arial" w:hAnsi="Arial" w:cs="Arial"/>
    </w:rPr>
  </w:style>
  <w:style w:type="character" w:styleId="Hyperlink">
    <w:name w:val="Hyperlink"/>
    <w:uiPriority w:val="99"/>
    <w:unhideWhenUsed/>
    <w:rsid w:val="004F6691"/>
    <w:rPr>
      <w:color w:val="0563C1"/>
      <w:u w:val="single"/>
    </w:rPr>
  </w:style>
  <w:style w:type="character" w:customStyle="1" w:styleId="Heading2Char">
    <w:name w:val="Heading 2 Char"/>
    <w:link w:val="Heading2"/>
    <w:uiPriority w:val="9"/>
    <w:rsid w:val="00EC06D4"/>
    <w:rPr>
      <w:rFonts w:ascii="Arial" w:eastAsia="Times New Roman" w:hAnsi="Arial" w:cs="Times New Roman"/>
      <w:b/>
      <w:sz w:val="32"/>
      <w:szCs w:val="26"/>
    </w:rPr>
  </w:style>
  <w:style w:type="paragraph" w:styleId="TOC2">
    <w:name w:val="toc 2"/>
    <w:basedOn w:val="Normal"/>
    <w:next w:val="Normal"/>
    <w:autoRedefine/>
    <w:uiPriority w:val="39"/>
    <w:unhideWhenUsed/>
    <w:rsid w:val="004F6691"/>
    <w:pPr>
      <w:spacing w:after="100"/>
      <w:ind w:left="220"/>
    </w:pPr>
  </w:style>
  <w:style w:type="paragraph" w:styleId="Header">
    <w:name w:val="header"/>
    <w:basedOn w:val="Normal"/>
    <w:link w:val="HeaderChar"/>
    <w:uiPriority w:val="99"/>
    <w:unhideWhenUsed/>
    <w:rsid w:val="004F6691"/>
    <w:pPr>
      <w:tabs>
        <w:tab w:val="center" w:pos="4680"/>
        <w:tab w:val="right" w:pos="9360"/>
      </w:tabs>
    </w:pPr>
  </w:style>
  <w:style w:type="character" w:customStyle="1" w:styleId="HeaderChar">
    <w:name w:val="Header Char"/>
    <w:basedOn w:val="DefaultParagraphFont"/>
    <w:link w:val="Header"/>
    <w:uiPriority w:val="99"/>
    <w:rsid w:val="004F6691"/>
  </w:style>
  <w:style w:type="paragraph" w:styleId="Footer">
    <w:name w:val="footer"/>
    <w:basedOn w:val="Normal"/>
    <w:link w:val="FooterChar"/>
    <w:uiPriority w:val="99"/>
    <w:unhideWhenUsed/>
    <w:rsid w:val="004F6691"/>
    <w:pPr>
      <w:tabs>
        <w:tab w:val="center" w:pos="4680"/>
        <w:tab w:val="right" w:pos="9360"/>
      </w:tabs>
    </w:pPr>
  </w:style>
  <w:style w:type="character" w:customStyle="1" w:styleId="FooterChar">
    <w:name w:val="Footer Char"/>
    <w:basedOn w:val="DefaultParagraphFont"/>
    <w:link w:val="Footer"/>
    <w:uiPriority w:val="99"/>
    <w:rsid w:val="004F6691"/>
  </w:style>
  <w:style w:type="paragraph" w:customStyle="1" w:styleId="Default">
    <w:name w:val="Default"/>
    <w:rsid w:val="004F669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011D"/>
    <w:pPr>
      <w:spacing w:before="100" w:beforeAutospacing="1" w:after="100" w:afterAutospacing="1"/>
    </w:pPr>
  </w:style>
  <w:style w:type="paragraph" w:customStyle="1" w:styleId="DataSource">
    <w:name w:val="Data Source"/>
    <w:basedOn w:val="Normal"/>
    <w:qFormat/>
    <w:rsid w:val="002B011D"/>
    <w:pPr>
      <w:widowControl w:val="0"/>
      <w:autoSpaceDE w:val="0"/>
      <w:autoSpaceDN w:val="0"/>
      <w:adjustRightInd w:val="0"/>
      <w:spacing w:line="260" w:lineRule="atLeast"/>
      <w:textAlignment w:val="center"/>
    </w:pPr>
    <w:rPr>
      <w:rFonts w:ascii="Century Gothic" w:eastAsia="Times New Roman" w:hAnsi="Century Gothic"/>
      <w:color w:val="44546A"/>
      <w:spacing w:val="-2"/>
      <w:sz w:val="20"/>
    </w:rPr>
  </w:style>
  <w:style w:type="paragraph" w:styleId="Caption">
    <w:name w:val="caption"/>
    <w:aliases w:val="Table Caption"/>
    <w:basedOn w:val="Normal"/>
    <w:next w:val="Normal"/>
    <w:uiPriority w:val="35"/>
    <w:unhideWhenUsed/>
    <w:qFormat/>
    <w:rsid w:val="002B011D"/>
    <w:pPr>
      <w:autoSpaceDE w:val="0"/>
      <w:autoSpaceDN w:val="0"/>
      <w:adjustRightInd w:val="0"/>
    </w:pPr>
    <w:rPr>
      <w:rFonts w:ascii="Arial" w:eastAsia="Times New Roman" w:hAnsi="Arial" w:cs="Arial"/>
      <w:b/>
      <w:lang w:eastAsia="zh-CN"/>
    </w:rPr>
  </w:style>
  <w:style w:type="paragraph" w:customStyle="1" w:styleId="Header5">
    <w:name w:val="Header 5"/>
    <w:basedOn w:val="Caption"/>
    <w:qFormat/>
    <w:rsid w:val="001821D4"/>
  </w:style>
  <w:style w:type="paragraph" w:styleId="FootnoteText">
    <w:name w:val="footnote text"/>
    <w:basedOn w:val="Normal"/>
    <w:link w:val="FootnoteTextChar"/>
    <w:uiPriority w:val="99"/>
    <w:unhideWhenUsed/>
    <w:rsid w:val="002B011D"/>
    <w:rPr>
      <w:rFonts w:ascii="Calibri Light" w:eastAsia="Times New Roman" w:hAnsi="Calibri Light"/>
      <w:lang w:eastAsia="zh-CN"/>
    </w:rPr>
  </w:style>
  <w:style w:type="character" w:customStyle="1" w:styleId="FootnoteTextChar">
    <w:name w:val="Footnote Text Char"/>
    <w:link w:val="FootnoteText"/>
    <w:uiPriority w:val="99"/>
    <w:rsid w:val="002B011D"/>
    <w:rPr>
      <w:rFonts w:ascii="Calibri Light" w:eastAsia="Times New Roman" w:hAnsi="Calibri Light" w:cs="Times New Roman"/>
      <w:sz w:val="24"/>
      <w:szCs w:val="24"/>
      <w:lang w:eastAsia="zh-CN"/>
    </w:rPr>
  </w:style>
  <w:style w:type="character" w:styleId="FootnoteReference">
    <w:name w:val="footnote reference"/>
    <w:uiPriority w:val="99"/>
    <w:unhideWhenUsed/>
    <w:rsid w:val="002B011D"/>
    <w:rPr>
      <w:vertAlign w:val="superscript"/>
    </w:rPr>
  </w:style>
  <w:style w:type="table" w:styleId="TableGrid">
    <w:name w:val="Table Grid"/>
    <w:basedOn w:val="TableNormal"/>
    <w:uiPriority w:val="39"/>
    <w:rsid w:val="002B011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C68F6"/>
  </w:style>
  <w:style w:type="paragraph" w:styleId="ListParagraph">
    <w:name w:val="List Paragraph"/>
    <w:basedOn w:val="Normal"/>
    <w:uiPriority w:val="34"/>
    <w:qFormat/>
    <w:rsid w:val="00A858C1"/>
    <w:pPr>
      <w:ind w:left="720"/>
      <w:contextualSpacing/>
    </w:pPr>
  </w:style>
  <w:style w:type="character" w:styleId="CommentReference">
    <w:name w:val="annotation reference"/>
    <w:uiPriority w:val="99"/>
    <w:semiHidden/>
    <w:unhideWhenUsed/>
    <w:rsid w:val="00F0390A"/>
    <w:rPr>
      <w:sz w:val="16"/>
      <w:szCs w:val="16"/>
    </w:rPr>
  </w:style>
  <w:style w:type="paragraph" w:styleId="CommentText">
    <w:name w:val="annotation text"/>
    <w:basedOn w:val="Normal"/>
    <w:link w:val="CommentTextChar"/>
    <w:uiPriority w:val="99"/>
    <w:semiHidden/>
    <w:unhideWhenUsed/>
    <w:rsid w:val="00F0390A"/>
    <w:rPr>
      <w:sz w:val="20"/>
      <w:szCs w:val="20"/>
    </w:rPr>
  </w:style>
  <w:style w:type="character" w:customStyle="1" w:styleId="CommentTextChar">
    <w:name w:val="Comment Text Char"/>
    <w:link w:val="CommentText"/>
    <w:uiPriority w:val="99"/>
    <w:semiHidden/>
    <w:rsid w:val="00F0390A"/>
    <w:rPr>
      <w:sz w:val="20"/>
      <w:szCs w:val="20"/>
    </w:rPr>
  </w:style>
  <w:style w:type="paragraph" w:styleId="BalloonText">
    <w:name w:val="Balloon Text"/>
    <w:basedOn w:val="Normal"/>
    <w:link w:val="BalloonTextChar"/>
    <w:uiPriority w:val="99"/>
    <w:semiHidden/>
    <w:unhideWhenUsed/>
    <w:rsid w:val="00F0390A"/>
    <w:rPr>
      <w:sz w:val="18"/>
      <w:szCs w:val="18"/>
    </w:rPr>
  </w:style>
  <w:style w:type="character" w:customStyle="1" w:styleId="BalloonTextChar">
    <w:name w:val="Balloon Text Char"/>
    <w:link w:val="BalloonText"/>
    <w:uiPriority w:val="99"/>
    <w:semiHidden/>
    <w:rsid w:val="00F0390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E6F92"/>
    <w:rPr>
      <w:b/>
      <w:bCs/>
    </w:rPr>
  </w:style>
  <w:style w:type="character" w:customStyle="1" w:styleId="CommentSubjectChar">
    <w:name w:val="Comment Subject Char"/>
    <w:link w:val="CommentSubject"/>
    <w:uiPriority w:val="99"/>
    <w:semiHidden/>
    <w:rsid w:val="00BE6F92"/>
    <w:rPr>
      <w:b/>
      <w:bCs/>
      <w:sz w:val="20"/>
      <w:szCs w:val="20"/>
    </w:rPr>
  </w:style>
  <w:style w:type="paragraph" w:styleId="Revision">
    <w:name w:val="Revision"/>
    <w:hidden/>
    <w:uiPriority w:val="99"/>
    <w:semiHidden/>
    <w:rsid w:val="00AB5388"/>
    <w:rPr>
      <w:rFonts w:ascii="Times New Roman" w:hAnsi="Times New Roman"/>
      <w:sz w:val="24"/>
      <w:szCs w:val="24"/>
    </w:rPr>
  </w:style>
  <w:style w:type="character" w:customStyle="1" w:styleId="Heading3Char">
    <w:name w:val="Heading 3 Char"/>
    <w:link w:val="Heading3"/>
    <w:uiPriority w:val="9"/>
    <w:rsid w:val="00743715"/>
    <w:rPr>
      <w:rFonts w:ascii="Arial" w:eastAsia="Times New Roman" w:hAnsi="Arial" w:cs="Times New Roman"/>
      <w:i/>
      <w:sz w:val="32"/>
      <w:szCs w:val="24"/>
    </w:rPr>
  </w:style>
  <w:style w:type="paragraph" w:customStyle="1" w:styleId="m2339869358632070472msolistparagraph">
    <w:name w:val="m_2339869358632070472msolistparagraph"/>
    <w:basedOn w:val="Normal"/>
    <w:rsid w:val="000F31DC"/>
    <w:pPr>
      <w:spacing w:before="100" w:beforeAutospacing="1" w:after="100" w:afterAutospacing="1"/>
    </w:pPr>
  </w:style>
  <w:style w:type="paragraph" w:styleId="TOC3">
    <w:name w:val="toc 3"/>
    <w:basedOn w:val="Normal"/>
    <w:next w:val="Normal"/>
    <w:autoRedefine/>
    <w:uiPriority w:val="39"/>
    <w:unhideWhenUsed/>
    <w:rsid w:val="00601662"/>
    <w:pPr>
      <w:spacing w:after="100"/>
      <w:ind w:left="480"/>
    </w:pPr>
  </w:style>
  <w:style w:type="character" w:customStyle="1" w:styleId="u-smo-texttruncate">
    <w:name w:val="u-smo-texttruncate"/>
    <w:basedOn w:val="DefaultParagraphFont"/>
    <w:rsid w:val="007A4B1E"/>
  </w:style>
  <w:style w:type="character" w:styleId="Emphasis">
    <w:name w:val="Emphasis"/>
    <w:uiPriority w:val="20"/>
    <w:qFormat/>
    <w:rsid w:val="00213C78"/>
    <w:rPr>
      <w:i/>
      <w:iCs/>
    </w:rPr>
  </w:style>
  <w:style w:type="character" w:styleId="FollowedHyperlink">
    <w:name w:val="FollowedHyperlink"/>
    <w:uiPriority w:val="99"/>
    <w:semiHidden/>
    <w:unhideWhenUsed/>
    <w:rsid w:val="003C731C"/>
    <w:rPr>
      <w:color w:val="954F72"/>
      <w:u w:val="single"/>
    </w:rPr>
  </w:style>
  <w:style w:type="character" w:customStyle="1" w:styleId="Heading4Char">
    <w:name w:val="Heading 4 Char"/>
    <w:link w:val="Heading4"/>
    <w:uiPriority w:val="9"/>
    <w:rsid w:val="00743715"/>
    <w:rPr>
      <w:rFonts w:ascii="Arial" w:eastAsia="Times New Roman" w:hAnsi="Arial" w:cs="Times New Roman"/>
      <w:b/>
      <w:iCs/>
      <w:sz w:val="28"/>
      <w:szCs w:val="24"/>
    </w:rPr>
  </w:style>
  <w:style w:type="character" w:customStyle="1" w:styleId="Heading5Char">
    <w:name w:val="Heading 5 Char"/>
    <w:link w:val="Heading5"/>
    <w:uiPriority w:val="9"/>
    <w:rsid w:val="00743715"/>
    <w:rPr>
      <w:rFonts w:ascii="Arial" w:eastAsia="Times New Roman" w:hAnsi="Arial" w:cs="Times New Roman"/>
      <w:i/>
      <w:sz w:val="28"/>
      <w:szCs w:val="24"/>
    </w:rPr>
  </w:style>
  <w:style w:type="character" w:customStyle="1" w:styleId="Heading6Char">
    <w:name w:val="Heading 6 Char"/>
    <w:link w:val="Heading6"/>
    <w:uiPriority w:val="9"/>
    <w:rsid w:val="00743715"/>
    <w:rPr>
      <w:rFonts w:ascii="Arial" w:eastAsia="Times New Roman" w:hAnsi="Arial" w:cs="Times New Roman"/>
      <w:b/>
      <w:sz w:val="24"/>
      <w:szCs w:val="24"/>
    </w:rPr>
  </w:style>
  <w:style w:type="table" w:customStyle="1" w:styleId="TableGrid1">
    <w:name w:val="Table Grid1"/>
    <w:basedOn w:val="TableNormal"/>
    <w:next w:val="TableGrid"/>
    <w:uiPriority w:val="39"/>
    <w:rsid w:val="00AE3F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3F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E3F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E3F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F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849D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6849D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6849D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7004">
      <w:bodyDiv w:val="1"/>
      <w:marLeft w:val="0"/>
      <w:marRight w:val="0"/>
      <w:marTop w:val="0"/>
      <w:marBottom w:val="0"/>
      <w:divBdr>
        <w:top w:val="none" w:sz="0" w:space="0" w:color="auto"/>
        <w:left w:val="none" w:sz="0" w:space="0" w:color="auto"/>
        <w:bottom w:val="none" w:sz="0" w:space="0" w:color="auto"/>
        <w:right w:val="none" w:sz="0" w:space="0" w:color="auto"/>
      </w:divBdr>
    </w:div>
    <w:div w:id="396588609">
      <w:bodyDiv w:val="1"/>
      <w:marLeft w:val="0"/>
      <w:marRight w:val="0"/>
      <w:marTop w:val="0"/>
      <w:marBottom w:val="0"/>
      <w:divBdr>
        <w:top w:val="none" w:sz="0" w:space="0" w:color="auto"/>
        <w:left w:val="none" w:sz="0" w:space="0" w:color="auto"/>
        <w:bottom w:val="none" w:sz="0" w:space="0" w:color="auto"/>
        <w:right w:val="none" w:sz="0" w:space="0" w:color="auto"/>
      </w:divBdr>
    </w:div>
    <w:div w:id="440880935">
      <w:bodyDiv w:val="1"/>
      <w:marLeft w:val="0"/>
      <w:marRight w:val="0"/>
      <w:marTop w:val="0"/>
      <w:marBottom w:val="0"/>
      <w:divBdr>
        <w:top w:val="none" w:sz="0" w:space="0" w:color="auto"/>
        <w:left w:val="none" w:sz="0" w:space="0" w:color="auto"/>
        <w:bottom w:val="none" w:sz="0" w:space="0" w:color="auto"/>
        <w:right w:val="none" w:sz="0" w:space="0" w:color="auto"/>
      </w:divBdr>
    </w:div>
    <w:div w:id="514346458">
      <w:bodyDiv w:val="1"/>
      <w:marLeft w:val="0"/>
      <w:marRight w:val="0"/>
      <w:marTop w:val="0"/>
      <w:marBottom w:val="0"/>
      <w:divBdr>
        <w:top w:val="none" w:sz="0" w:space="0" w:color="auto"/>
        <w:left w:val="none" w:sz="0" w:space="0" w:color="auto"/>
        <w:bottom w:val="none" w:sz="0" w:space="0" w:color="auto"/>
        <w:right w:val="none" w:sz="0" w:space="0" w:color="auto"/>
      </w:divBdr>
      <w:divsChild>
        <w:div w:id="1047029194">
          <w:marLeft w:val="0"/>
          <w:marRight w:val="0"/>
          <w:marTop w:val="0"/>
          <w:marBottom w:val="0"/>
          <w:divBdr>
            <w:top w:val="none" w:sz="0" w:space="0" w:color="auto"/>
            <w:left w:val="none" w:sz="0" w:space="0" w:color="auto"/>
            <w:bottom w:val="none" w:sz="0" w:space="0" w:color="auto"/>
            <w:right w:val="none" w:sz="0" w:space="0" w:color="auto"/>
          </w:divBdr>
          <w:divsChild>
            <w:div w:id="141116305">
              <w:marLeft w:val="0"/>
              <w:marRight w:val="0"/>
              <w:marTop w:val="0"/>
              <w:marBottom w:val="0"/>
              <w:divBdr>
                <w:top w:val="none" w:sz="0" w:space="0" w:color="auto"/>
                <w:left w:val="none" w:sz="0" w:space="0" w:color="auto"/>
                <w:bottom w:val="none" w:sz="0" w:space="0" w:color="auto"/>
                <w:right w:val="none" w:sz="0" w:space="0" w:color="auto"/>
              </w:divBdr>
              <w:divsChild>
                <w:div w:id="383069354">
                  <w:marLeft w:val="0"/>
                  <w:marRight w:val="0"/>
                  <w:marTop w:val="0"/>
                  <w:marBottom w:val="0"/>
                  <w:divBdr>
                    <w:top w:val="none" w:sz="0" w:space="0" w:color="auto"/>
                    <w:left w:val="none" w:sz="0" w:space="0" w:color="auto"/>
                    <w:bottom w:val="none" w:sz="0" w:space="0" w:color="auto"/>
                    <w:right w:val="none" w:sz="0" w:space="0" w:color="auto"/>
                  </w:divBdr>
                </w:div>
              </w:divsChild>
            </w:div>
            <w:div w:id="858547755">
              <w:marLeft w:val="0"/>
              <w:marRight w:val="0"/>
              <w:marTop w:val="0"/>
              <w:marBottom w:val="0"/>
              <w:divBdr>
                <w:top w:val="none" w:sz="0" w:space="0" w:color="auto"/>
                <w:left w:val="none" w:sz="0" w:space="0" w:color="auto"/>
                <w:bottom w:val="none" w:sz="0" w:space="0" w:color="auto"/>
                <w:right w:val="none" w:sz="0" w:space="0" w:color="auto"/>
              </w:divBdr>
              <w:divsChild>
                <w:div w:id="400567090">
                  <w:marLeft w:val="0"/>
                  <w:marRight w:val="0"/>
                  <w:marTop w:val="0"/>
                  <w:marBottom w:val="0"/>
                  <w:divBdr>
                    <w:top w:val="none" w:sz="0" w:space="0" w:color="auto"/>
                    <w:left w:val="none" w:sz="0" w:space="0" w:color="auto"/>
                    <w:bottom w:val="none" w:sz="0" w:space="0" w:color="auto"/>
                    <w:right w:val="none" w:sz="0" w:space="0" w:color="auto"/>
                  </w:divBdr>
                </w:div>
              </w:divsChild>
            </w:div>
            <w:div w:id="1076442445">
              <w:marLeft w:val="0"/>
              <w:marRight w:val="0"/>
              <w:marTop w:val="0"/>
              <w:marBottom w:val="0"/>
              <w:divBdr>
                <w:top w:val="none" w:sz="0" w:space="0" w:color="auto"/>
                <w:left w:val="none" w:sz="0" w:space="0" w:color="auto"/>
                <w:bottom w:val="none" w:sz="0" w:space="0" w:color="auto"/>
                <w:right w:val="none" w:sz="0" w:space="0" w:color="auto"/>
              </w:divBdr>
              <w:divsChild>
                <w:div w:id="937951434">
                  <w:marLeft w:val="0"/>
                  <w:marRight w:val="0"/>
                  <w:marTop w:val="0"/>
                  <w:marBottom w:val="0"/>
                  <w:divBdr>
                    <w:top w:val="none" w:sz="0" w:space="0" w:color="auto"/>
                    <w:left w:val="none" w:sz="0" w:space="0" w:color="auto"/>
                    <w:bottom w:val="none" w:sz="0" w:space="0" w:color="auto"/>
                    <w:right w:val="none" w:sz="0" w:space="0" w:color="auto"/>
                  </w:divBdr>
                </w:div>
              </w:divsChild>
            </w:div>
            <w:div w:id="1184827662">
              <w:marLeft w:val="0"/>
              <w:marRight w:val="0"/>
              <w:marTop w:val="0"/>
              <w:marBottom w:val="0"/>
              <w:divBdr>
                <w:top w:val="none" w:sz="0" w:space="0" w:color="auto"/>
                <w:left w:val="none" w:sz="0" w:space="0" w:color="auto"/>
                <w:bottom w:val="none" w:sz="0" w:space="0" w:color="auto"/>
                <w:right w:val="none" w:sz="0" w:space="0" w:color="auto"/>
              </w:divBdr>
              <w:divsChild>
                <w:div w:id="1838184331">
                  <w:marLeft w:val="0"/>
                  <w:marRight w:val="0"/>
                  <w:marTop w:val="0"/>
                  <w:marBottom w:val="0"/>
                  <w:divBdr>
                    <w:top w:val="none" w:sz="0" w:space="0" w:color="auto"/>
                    <w:left w:val="none" w:sz="0" w:space="0" w:color="auto"/>
                    <w:bottom w:val="none" w:sz="0" w:space="0" w:color="auto"/>
                    <w:right w:val="none" w:sz="0" w:space="0" w:color="auto"/>
                  </w:divBdr>
                </w:div>
              </w:divsChild>
            </w:div>
            <w:div w:id="1196237683">
              <w:marLeft w:val="0"/>
              <w:marRight w:val="0"/>
              <w:marTop w:val="0"/>
              <w:marBottom w:val="0"/>
              <w:divBdr>
                <w:top w:val="none" w:sz="0" w:space="0" w:color="auto"/>
                <w:left w:val="none" w:sz="0" w:space="0" w:color="auto"/>
                <w:bottom w:val="none" w:sz="0" w:space="0" w:color="auto"/>
                <w:right w:val="none" w:sz="0" w:space="0" w:color="auto"/>
              </w:divBdr>
              <w:divsChild>
                <w:div w:id="1184368142">
                  <w:marLeft w:val="0"/>
                  <w:marRight w:val="0"/>
                  <w:marTop w:val="0"/>
                  <w:marBottom w:val="0"/>
                  <w:divBdr>
                    <w:top w:val="none" w:sz="0" w:space="0" w:color="auto"/>
                    <w:left w:val="none" w:sz="0" w:space="0" w:color="auto"/>
                    <w:bottom w:val="none" w:sz="0" w:space="0" w:color="auto"/>
                    <w:right w:val="none" w:sz="0" w:space="0" w:color="auto"/>
                  </w:divBdr>
                </w:div>
              </w:divsChild>
            </w:div>
            <w:div w:id="1385566790">
              <w:marLeft w:val="0"/>
              <w:marRight w:val="0"/>
              <w:marTop w:val="0"/>
              <w:marBottom w:val="0"/>
              <w:divBdr>
                <w:top w:val="none" w:sz="0" w:space="0" w:color="auto"/>
                <w:left w:val="none" w:sz="0" w:space="0" w:color="auto"/>
                <w:bottom w:val="none" w:sz="0" w:space="0" w:color="auto"/>
                <w:right w:val="none" w:sz="0" w:space="0" w:color="auto"/>
              </w:divBdr>
              <w:divsChild>
                <w:div w:id="1976132500">
                  <w:marLeft w:val="0"/>
                  <w:marRight w:val="0"/>
                  <w:marTop w:val="0"/>
                  <w:marBottom w:val="0"/>
                  <w:divBdr>
                    <w:top w:val="none" w:sz="0" w:space="0" w:color="auto"/>
                    <w:left w:val="none" w:sz="0" w:space="0" w:color="auto"/>
                    <w:bottom w:val="none" w:sz="0" w:space="0" w:color="auto"/>
                    <w:right w:val="none" w:sz="0" w:space="0" w:color="auto"/>
                  </w:divBdr>
                </w:div>
              </w:divsChild>
            </w:div>
            <w:div w:id="1649166275">
              <w:marLeft w:val="0"/>
              <w:marRight w:val="0"/>
              <w:marTop w:val="0"/>
              <w:marBottom w:val="0"/>
              <w:divBdr>
                <w:top w:val="none" w:sz="0" w:space="0" w:color="auto"/>
                <w:left w:val="none" w:sz="0" w:space="0" w:color="auto"/>
                <w:bottom w:val="none" w:sz="0" w:space="0" w:color="auto"/>
                <w:right w:val="none" w:sz="0" w:space="0" w:color="auto"/>
              </w:divBdr>
              <w:divsChild>
                <w:div w:id="528880664">
                  <w:marLeft w:val="0"/>
                  <w:marRight w:val="0"/>
                  <w:marTop w:val="0"/>
                  <w:marBottom w:val="0"/>
                  <w:divBdr>
                    <w:top w:val="none" w:sz="0" w:space="0" w:color="auto"/>
                    <w:left w:val="none" w:sz="0" w:space="0" w:color="auto"/>
                    <w:bottom w:val="none" w:sz="0" w:space="0" w:color="auto"/>
                    <w:right w:val="none" w:sz="0" w:space="0" w:color="auto"/>
                  </w:divBdr>
                </w:div>
              </w:divsChild>
            </w:div>
            <w:div w:id="1765804294">
              <w:marLeft w:val="0"/>
              <w:marRight w:val="0"/>
              <w:marTop w:val="0"/>
              <w:marBottom w:val="0"/>
              <w:divBdr>
                <w:top w:val="none" w:sz="0" w:space="0" w:color="auto"/>
                <w:left w:val="none" w:sz="0" w:space="0" w:color="auto"/>
                <w:bottom w:val="none" w:sz="0" w:space="0" w:color="auto"/>
                <w:right w:val="none" w:sz="0" w:space="0" w:color="auto"/>
              </w:divBdr>
              <w:divsChild>
                <w:div w:id="947354355">
                  <w:marLeft w:val="0"/>
                  <w:marRight w:val="0"/>
                  <w:marTop w:val="0"/>
                  <w:marBottom w:val="0"/>
                  <w:divBdr>
                    <w:top w:val="none" w:sz="0" w:space="0" w:color="auto"/>
                    <w:left w:val="none" w:sz="0" w:space="0" w:color="auto"/>
                    <w:bottom w:val="none" w:sz="0" w:space="0" w:color="auto"/>
                    <w:right w:val="none" w:sz="0" w:space="0" w:color="auto"/>
                  </w:divBdr>
                </w:div>
              </w:divsChild>
            </w:div>
            <w:div w:id="2103455817">
              <w:marLeft w:val="0"/>
              <w:marRight w:val="0"/>
              <w:marTop w:val="0"/>
              <w:marBottom w:val="0"/>
              <w:divBdr>
                <w:top w:val="none" w:sz="0" w:space="0" w:color="auto"/>
                <w:left w:val="none" w:sz="0" w:space="0" w:color="auto"/>
                <w:bottom w:val="none" w:sz="0" w:space="0" w:color="auto"/>
                <w:right w:val="none" w:sz="0" w:space="0" w:color="auto"/>
              </w:divBdr>
              <w:divsChild>
                <w:div w:id="489566328">
                  <w:marLeft w:val="0"/>
                  <w:marRight w:val="0"/>
                  <w:marTop w:val="0"/>
                  <w:marBottom w:val="0"/>
                  <w:divBdr>
                    <w:top w:val="none" w:sz="0" w:space="0" w:color="auto"/>
                    <w:left w:val="none" w:sz="0" w:space="0" w:color="auto"/>
                    <w:bottom w:val="none" w:sz="0" w:space="0" w:color="auto"/>
                    <w:right w:val="none" w:sz="0" w:space="0" w:color="auto"/>
                  </w:divBdr>
                </w:div>
              </w:divsChild>
            </w:div>
            <w:div w:id="2141918309">
              <w:marLeft w:val="0"/>
              <w:marRight w:val="0"/>
              <w:marTop w:val="0"/>
              <w:marBottom w:val="0"/>
              <w:divBdr>
                <w:top w:val="none" w:sz="0" w:space="0" w:color="auto"/>
                <w:left w:val="none" w:sz="0" w:space="0" w:color="auto"/>
                <w:bottom w:val="none" w:sz="0" w:space="0" w:color="auto"/>
                <w:right w:val="none" w:sz="0" w:space="0" w:color="auto"/>
              </w:divBdr>
              <w:divsChild>
                <w:div w:id="1557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50012">
      <w:bodyDiv w:val="1"/>
      <w:marLeft w:val="0"/>
      <w:marRight w:val="0"/>
      <w:marTop w:val="0"/>
      <w:marBottom w:val="0"/>
      <w:divBdr>
        <w:top w:val="none" w:sz="0" w:space="0" w:color="auto"/>
        <w:left w:val="none" w:sz="0" w:space="0" w:color="auto"/>
        <w:bottom w:val="none" w:sz="0" w:space="0" w:color="auto"/>
        <w:right w:val="none" w:sz="0" w:space="0" w:color="auto"/>
      </w:divBdr>
    </w:div>
    <w:div w:id="566113715">
      <w:bodyDiv w:val="1"/>
      <w:marLeft w:val="0"/>
      <w:marRight w:val="0"/>
      <w:marTop w:val="0"/>
      <w:marBottom w:val="0"/>
      <w:divBdr>
        <w:top w:val="none" w:sz="0" w:space="0" w:color="auto"/>
        <w:left w:val="none" w:sz="0" w:space="0" w:color="auto"/>
        <w:bottom w:val="none" w:sz="0" w:space="0" w:color="auto"/>
        <w:right w:val="none" w:sz="0" w:space="0" w:color="auto"/>
      </w:divBdr>
      <w:divsChild>
        <w:div w:id="1104501354">
          <w:marLeft w:val="0"/>
          <w:marRight w:val="0"/>
          <w:marTop w:val="0"/>
          <w:marBottom w:val="0"/>
          <w:divBdr>
            <w:top w:val="none" w:sz="0" w:space="0" w:color="auto"/>
            <w:left w:val="none" w:sz="0" w:space="0" w:color="auto"/>
            <w:bottom w:val="none" w:sz="0" w:space="0" w:color="auto"/>
            <w:right w:val="none" w:sz="0" w:space="0" w:color="auto"/>
          </w:divBdr>
          <w:divsChild>
            <w:div w:id="284048193">
              <w:marLeft w:val="0"/>
              <w:marRight w:val="0"/>
              <w:marTop w:val="0"/>
              <w:marBottom w:val="0"/>
              <w:divBdr>
                <w:top w:val="none" w:sz="0" w:space="0" w:color="auto"/>
                <w:left w:val="none" w:sz="0" w:space="0" w:color="auto"/>
                <w:bottom w:val="none" w:sz="0" w:space="0" w:color="auto"/>
                <w:right w:val="none" w:sz="0" w:space="0" w:color="auto"/>
              </w:divBdr>
              <w:divsChild>
                <w:div w:id="1442143582">
                  <w:marLeft w:val="0"/>
                  <w:marRight w:val="0"/>
                  <w:marTop w:val="0"/>
                  <w:marBottom w:val="0"/>
                  <w:divBdr>
                    <w:top w:val="none" w:sz="0" w:space="0" w:color="auto"/>
                    <w:left w:val="none" w:sz="0" w:space="0" w:color="auto"/>
                    <w:bottom w:val="none" w:sz="0" w:space="0" w:color="auto"/>
                    <w:right w:val="none" w:sz="0" w:space="0" w:color="auto"/>
                  </w:divBdr>
                </w:div>
              </w:divsChild>
            </w:div>
            <w:div w:id="1647390442">
              <w:marLeft w:val="0"/>
              <w:marRight w:val="0"/>
              <w:marTop w:val="0"/>
              <w:marBottom w:val="0"/>
              <w:divBdr>
                <w:top w:val="none" w:sz="0" w:space="0" w:color="auto"/>
                <w:left w:val="none" w:sz="0" w:space="0" w:color="auto"/>
                <w:bottom w:val="none" w:sz="0" w:space="0" w:color="auto"/>
                <w:right w:val="none" w:sz="0" w:space="0" w:color="auto"/>
              </w:divBdr>
              <w:divsChild>
                <w:div w:id="13454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3701">
          <w:marLeft w:val="0"/>
          <w:marRight w:val="0"/>
          <w:marTop w:val="0"/>
          <w:marBottom w:val="0"/>
          <w:divBdr>
            <w:top w:val="none" w:sz="0" w:space="0" w:color="auto"/>
            <w:left w:val="none" w:sz="0" w:space="0" w:color="auto"/>
            <w:bottom w:val="none" w:sz="0" w:space="0" w:color="auto"/>
            <w:right w:val="none" w:sz="0" w:space="0" w:color="auto"/>
          </w:divBdr>
          <w:divsChild>
            <w:div w:id="1632713017">
              <w:marLeft w:val="0"/>
              <w:marRight w:val="0"/>
              <w:marTop w:val="0"/>
              <w:marBottom w:val="0"/>
              <w:divBdr>
                <w:top w:val="none" w:sz="0" w:space="0" w:color="auto"/>
                <w:left w:val="none" w:sz="0" w:space="0" w:color="auto"/>
                <w:bottom w:val="none" w:sz="0" w:space="0" w:color="auto"/>
                <w:right w:val="none" w:sz="0" w:space="0" w:color="auto"/>
              </w:divBdr>
              <w:divsChild>
                <w:div w:id="9909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4126">
      <w:bodyDiv w:val="1"/>
      <w:marLeft w:val="0"/>
      <w:marRight w:val="0"/>
      <w:marTop w:val="0"/>
      <w:marBottom w:val="0"/>
      <w:divBdr>
        <w:top w:val="none" w:sz="0" w:space="0" w:color="auto"/>
        <w:left w:val="none" w:sz="0" w:space="0" w:color="auto"/>
        <w:bottom w:val="none" w:sz="0" w:space="0" w:color="auto"/>
        <w:right w:val="none" w:sz="0" w:space="0" w:color="auto"/>
      </w:divBdr>
    </w:div>
    <w:div w:id="720634099">
      <w:bodyDiv w:val="1"/>
      <w:marLeft w:val="0"/>
      <w:marRight w:val="0"/>
      <w:marTop w:val="0"/>
      <w:marBottom w:val="0"/>
      <w:divBdr>
        <w:top w:val="none" w:sz="0" w:space="0" w:color="auto"/>
        <w:left w:val="none" w:sz="0" w:space="0" w:color="auto"/>
        <w:bottom w:val="none" w:sz="0" w:space="0" w:color="auto"/>
        <w:right w:val="none" w:sz="0" w:space="0" w:color="auto"/>
      </w:divBdr>
      <w:divsChild>
        <w:div w:id="1134559647">
          <w:marLeft w:val="0"/>
          <w:marRight w:val="0"/>
          <w:marTop w:val="0"/>
          <w:marBottom w:val="0"/>
          <w:divBdr>
            <w:top w:val="none" w:sz="0" w:space="0" w:color="auto"/>
            <w:left w:val="none" w:sz="0" w:space="0" w:color="auto"/>
            <w:bottom w:val="none" w:sz="0" w:space="0" w:color="auto"/>
            <w:right w:val="none" w:sz="0" w:space="0" w:color="auto"/>
          </w:divBdr>
          <w:divsChild>
            <w:div w:id="208611774">
              <w:marLeft w:val="0"/>
              <w:marRight w:val="0"/>
              <w:marTop w:val="0"/>
              <w:marBottom w:val="0"/>
              <w:divBdr>
                <w:top w:val="none" w:sz="0" w:space="0" w:color="auto"/>
                <w:left w:val="none" w:sz="0" w:space="0" w:color="auto"/>
                <w:bottom w:val="none" w:sz="0" w:space="0" w:color="auto"/>
                <w:right w:val="none" w:sz="0" w:space="0" w:color="auto"/>
              </w:divBdr>
              <w:divsChild>
                <w:div w:id="813061707">
                  <w:marLeft w:val="0"/>
                  <w:marRight w:val="0"/>
                  <w:marTop w:val="0"/>
                  <w:marBottom w:val="0"/>
                  <w:divBdr>
                    <w:top w:val="none" w:sz="0" w:space="0" w:color="auto"/>
                    <w:left w:val="none" w:sz="0" w:space="0" w:color="auto"/>
                    <w:bottom w:val="none" w:sz="0" w:space="0" w:color="auto"/>
                    <w:right w:val="none" w:sz="0" w:space="0" w:color="auto"/>
                  </w:divBdr>
                </w:div>
              </w:divsChild>
            </w:div>
            <w:div w:id="377320975">
              <w:marLeft w:val="0"/>
              <w:marRight w:val="0"/>
              <w:marTop w:val="0"/>
              <w:marBottom w:val="0"/>
              <w:divBdr>
                <w:top w:val="none" w:sz="0" w:space="0" w:color="auto"/>
                <w:left w:val="none" w:sz="0" w:space="0" w:color="auto"/>
                <w:bottom w:val="none" w:sz="0" w:space="0" w:color="auto"/>
                <w:right w:val="none" w:sz="0" w:space="0" w:color="auto"/>
              </w:divBdr>
              <w:divsChild>
                <w:div w:id="1493453146">
                  <w:marLeft w:val="0"/>
                  <w:marRight w:val="0"/>
                  <w:marTop w:val="0"/>
                  <w:marBottom w:val="0"/>
                  <w:divBdr>
                    <w:top w:val="none" w:sz="0" w:space="0" w:color="auto"/>
                    <w:left w:val="none" w:sz="0" w:space="0" w:color="auto"/>
                    <w:bottom w:val="none" w:sz="0" w:space="0" w:color="auto"/>
                    <w:right w:val="none" w:sz="0" w:space="0" w:color="auto"/>
                  </w:divBdr>
                </w:div>
              </w:divsChild>
            </w:div>
            <w:div w:id="446195088">
              <w:marLeft w:val="0"/>
              <w:marRight w:val="0"/>
              <w:marTop w:val="0"/>
              <w:marBottom w:val="0"/>
              <w:divBdr>
                <w:top w:val="none" w:sz="0" w:space="0" w:color="auto"/>
                <w:left w:val="none" w:sz="0" w:space="0" w:color="auto"/>
                <w:bottom w:val="none" w:sz="0" w:space="0" w:color="auto"/>
                <w:right w:val="none" w:sz="0" w:space="0" w:color="auto"/>
              </w:divBdr>
              <w:divsChild>
                <w:div w:id="1016469116">
                  <w:marLeft w:val="0"/>
                  <w:marRight w:val="0"/>
                  <w:marTop w:val="0"/>
                  <w:marBottom w:val="0"/>
                  <w:divBdr>
                    <w:top w:val="none" w:sz="0" w:space="0" w:color="auto"/>
                    <w:left w:val="none" w:sz="0" w:space="0" w:color="auto"/>
                    <w:bottom w:val="none" w:sz="0" w:space="0" w:color="auto"/>
                    <w:right w:val="none" w:sz="0" w:space="0" w:color="auto"/>
                  </w:divBdr>
                </w:div>
              </w:divsChild>
            </w:div>
            <w:div w:id="482700489">
              <w:marLeft w:val="0"/>
              <w:marRight w:val="0"/>
              <w:marTop w:val="0"/>
              <w:marBottom w:val="0"/>
              <w:divBdr>
                <w:top w:val="none" w:sz="0" w:space="0" w:color="auto"/>
                <w:left w:val="none" w:sz="0" w:space="0" w:color="auto"/>
                <w:bottom w:val="none" w:sz="0" w:space="0" w:color="auto"/>
                <w:right w:val="none" w:sz="0" w:space="0" w:color="auto"/>
              </w:divBdr>
              <w:divsChild>
                <w:div w:id="1982609823">
                  <w:marLeft w:val="0"/>
                  <w:marRight w:val="0"/>
                  <w:marTop w:val="0"/>
                  <w:marBottom w:val="0"/>
                  <w:divBdr>
                    <w:top w:val="none" w:sz="0" w:space="0" w:color="auto"/>
                    <w:left w:val="none" w:sz="0" w:space="0" w:color="auto"/>
                    <w:bottom w:val="none" w:sz="0" w:space="0" w:color="auto"/>
                    <w:right w:val="none" w:sz="0" w:space="0" w:color="auto"/>
                  </w:divBdr>
                </w:div>
              </w:divsChild>
            </w:div>
            <w:div w:id="639726863">
              <w:marLeft w:val="0"/>
              <w:marRight w:val="0"/>
              <w:marTop w:val="0"/>
              <w:marBottom w:val="0"/>
              <w:divBdr>
                <w:top w:val="none" w:sz="0" w:space="0" w:color="auto"/>
                <w:left w:val="none" w:sz="0" w:space="0" w:color="auto"/>
                <w:bottom w:val="none" w:sz="0" w:space="0" w:color="auto"/>
                <w:right w:val="none" w:sz="0" w:space="0" w:color="auto"/>
              </w:divBdr>
              <w:divsChild>
                <w:div w:id="1363438610">
                  <w:marLeft w:val="0"/>
                  <w:marRight w:val="0"/>
                  <w:marTop w:val="0"/>
                  <w:marBottom w:val="0"/>
                  <w:divBdr>
                    <w:top w:val="none" w:sz="0" w:space="0" w:color="auto"/>
                    <w:left w:val="none" w:sz="0" w:space="0" w:color="auto"/>
                    <w:bottom w:val="none" w:sz="0" w:space="0" w:color="auto"/>
                    <w:right w:val="none" w:sz="0" w:space="0" w:color="auto"/>
                  </w:divBdr>
                </w:div>
              </w:divsChild>
            </w:div>
            <w:div w:id="707994398">
              <w:marLeft w:val="0"/>
              <w:marRight w:val="0"/>
              <w:marTop w:val="0"/>
              <w:marBottom w:val="0"/>
              <w:divBdr>
                <w:top w:val="none" w:sz="0" w:space="0" w:color="auto"/>
                <w:left w:val="none" w:sz="0" w:space="0" w:color="auto"/>
                <w:bottom w:val="none" w:sz="0" w:space="0" w:color="auto"/>
                <w:right w:val="none" w:sz="0" w:space="0" w:color="auto"/>
              </w:divBdr>
              <w:divsChild>
                <w:div w:id="1807506569">
                  <w:marLeft w:val="0"/>
                  <w:marRight w:val="0"/>
                  <w:marTop w:val="0"/>
                  <w:marBottom w:val="0"/>
                  <w:divBdr>
                    <w:top w:val="none" w:sz="0" w:space="0" w:color="auto"/>
                    <w:left w:val="none" w:sz="0" w:space="0" w:color="auto"/>
                    <w:bottom w:val="none" w:sz="0" w:space="0" w:color="auto"/>
                    <w:right w:val="none" w:sz="0" w:space="0" w:color="auto"/>
                  </w:divBdr>
                </w:div>
              </w:divsChild>
            </w:div>
            <w:div w:id="809252935">
              <w:marLeft w:val="0"/>
              <w:marRight w:val="0"/>
              <w:marTop w:val="0"/>
              <w:marBottom w:val="0"/>
              <w:divBdr>
                <w:top w:val="none" w:sz="0" w:space="0" w:color="auto"/>
                <w:left w:val="none" w:sz="0" w:space="0" w:color="auto"/>
                <w:bottom w:val="none" w:sz="0" w:space="0" w:color="auto"/>
                <w:right w:val="none" w:sz="0" w:space="0" w:color="auto"/>
              </w:divBdr>
              <w:divsChild>
                <w:div w:id="1799371297">
                  <w:marLeft w:val="0"/>
                  <w:marRight w:val="0"/>
                  <w:marTop w:val="0"/>
                  <w:marBottom w:val="0"/>
                  <w:divBdr>
                    <w:top w:val="none" w:sz="0" w:space="0" w:color="auto"/>
                    <w:left w:val="none" w:sz="0" w:space="0" w:color="auto"/>
                    <w:bottom w:val="none" w:sz="0" w:space="0" w:color="auto"/>
                    <w:right w:val="none" w:sz="0" w:space="0" w:color="auto"/>
                  </w:divBdr>
                </w:div>
              </w:divsChild>
            </w:div>
            <w:div w:id="956985554">
              <w:marLeft w:val="0"/>
              <w:marRight w:val="0"/>
              <w:marTop w:val="0"/>
              <w:marBottom w:val="0"/>
              <w:divBdr>
                <w:top w:val="none" w:sz="0" w:space="0" w:color="auto"/>
                <w:left w:val="none" w:sz="0" w:space="0" w:color="auto"/>
                <w:bottom w:val="none" w:sz="0" w:space="0" w:color="auto"/>
                <w:right w:val="none" w:sz="0" w:space="0" w:color="auto"/>
              </w:divBdr>
              <w:divsChild>
                <w:div w:id="607197791">
                  <w:marLeft w:val="0"/>
                  <w:marRight w:val="0"/>
                  <w:marTop w:val="0"/>
                  <w:marBottom w:val="0"/>
                  <w:divBdr>
                    <w:top w:val="none" w:sz="0" w:space="0" w:color="auto"/>
                    <w:left w:val="none" w:sz="0" w:space="0" w:color="auto"/>
                    <w:bottom w:val="none" w:sz="0" w:space="0" w:color="auto"/>
                    <w:right w:val="none" w:sz="0" w:space="0" w:color="auto"/>
                  </w:divBdr>
                </w:div>
              </w:divsChild>
            </w:div>
            <w:div w:id="1049836491">
              <w:marLeft w:val="0"/>
              <w:marRight w:val="0"/>
              <w:marTop w:val="0"/>
              <w:marBottom w:val="0"/>
              <w:divBdr>
                <w:top w:val="none" w:sz="0" w:space="0" w:color="auto"/>
                <w:left w:val="none" w:sz="0" w:space="0" w:color="auto"/>
                <w:bottom w:val="none" w:sz="0" w:space="0" w:color="auto"/>
                <w:right w:val="none" w:sz="0" w:space="0" w:color="auto"/>
              </w:divBdr>
              <w:divsChild>
                <w:div w:id="321158308">
                  <w:marLeft w:val="0"/>
                  <w:marRight w:val="0"/>
                  <w:marTop w:val="0"/>
                  <w:marBottom w:val="0"/>
                  <w:divBdr>
                    <w:top w:val="none" w:sz="0" w:space="0" w:color="auto"/>
                    <w:left w:val="none" w:sz="0" w:space="0" w:color="auto"/>
                    <w:bottom w:val="none" w:sz="0" w:space="0" w:color="auto"/>
                    <w:right w:val="none" w:sz="0" w:space="0" w:color="auto"/>
                  </w:divBdr>
                </w:div>
              </w:divsChild>
            </w:div>
            <w:div w:id="1144931787">
              <w:marLeft w:val="0"/>
              <w:marRight w:val="0"/>
              <w:marTop w:val="0"/>
              <w:marBottom w:val="0"/>
              <w:divBdr>
                <w:top w:val="none" w:sz="0" w:space="0" w:color="auto"/>
                <w:left w:val="none" w:sz="0" w:space="0" w:color="auto"/>
                <w:bottom w:val="none" w:sz="0" w:space="0" w:color="auto"/>
                <w:right w:val="none" w:sz="0" w:space="0" w:color="auto"/>
              </w:divBdr>
              <w:divsChild>
                <w:div w:id="1269502649">
                  <w:marLeft w:val="0"/>
                  <w:marRight w:val="0"/>
                  <w:marTop w:val="0"/>
                  <w:marBottom w:val="0"/>
                  <w:divBdr>
                    <w:top w:val="none" w:sz="0" w:space="0" w:color="auto"/>
                    <w:left w:val="none" w:sz="0" w:space="0" w:color="auto"/>
                    <w:bottom w:val="none" w:sz="0" w:space="0" w:color="auto"/>
                    <w:right w:val="none" w:sz="0" w:space="0" w:color="auto"/>
                  </w:divBdr>
                </w:div>
              </w:divsChild>
            </w:div>
            <w:div w:id="1202551870">
              <w:marLeft w:val="0"/>
              <w:marRight w:val="0"/>
              <w:marTop w:val="0"/>
              <w:marBottom w:val="0"/>
              <w:divBdr>
                <w:top w:val="none" w:sz="0" w:space="0" w:color="auto"/>
                <w:left w:val="none" w:sz="0" w:space="0" w:color="auto"/>
                <w:bottom w:val="none" w:sz="0" w:space="0" w:color="auto"/>
                <w:right w:val="none" w:sz="0" w:space="0" w:color="auto"/>
              </w:divBdr>
              <w:divsChild>
                <w:div w:id="2100130422">
                  <w:marLeft w:val="0"/>
                  <w:marRight w:val="0"/>
                  <w:marTop w:val="0"/>
                  <w:marBottom w:val="0"/>
                  <w:divBdr>
                    <w:top w:val="none" w:sz="0" w:space="0" w:color="auto"/>
                    <w:left w:val="none" w:sz="0" w:space="0" w:color="auto"/>
                    <w:bottom w:val="none" w:sz="0" w:space="0" w:color="auto"/>
                    <w:right w:val="none" w:sz="0" w:space="0" w:color="auto"/>
                  </w:divBdr>
                </w:div>
              </w:divsChild>
            </w:div>
            <w:div w:id="1246257703">
              <w:marLeft w:val="0"/>
              <w:marRight w:val="0"/>
              <w:marTop w:val="0"/>
              <w:marBottom w:val="0"/>
              <w:divBdr>
                <w:top w:val="none" w:sz="0" w:space="0" w:color="auto"/>
                <w:left w:val="none" w:sz="0" w:space="0" w:color="auto"/>
                <w:bottom w:val="none" w:sz="0" w:space="0" w:color="auto"/>
                <w:right w:val="none" w:sz="0" w:space="0" w:color="auto"/>
              </w:divBdr>
              <w:divsChild>
                <w:div w:id="1123767661">
                  <w:marLeft w:val="0"/>
                  <w:marRight w:val="0"/>
                  <w:marTop w:val="0"/>
                  <w:marBottom w:val="0"/>
                  <w:divBdr>
                    <w:top w:val="none" w:sz="0" w:space="0" w:color="auto"/>
                    <w:left w:val="none" w:sz="0" w:space="0" w:color="auto"/>
                    <w:bottom w:val="none" w:sz="0" w:space="0" w:color="auto"/>
                    <w:right w:val="none" w:sz="0" w:space="0" w:color="auto"/>
                  </w:divBdr>
                </w:div>
              </w:divsChild>
            </w:div>
            <w:div w:id="1347436711">
              <w:marLeft w:val="0"/>
              <w:marRight w:val="0"/>
              <w:marTop w:val="0"/>
              <w:marBottom w:val="0"/>
              <w:divBdr>
                <w:top w:val="none" w:sz="0" w:space="0" w:color="auto"/>
                <w:left w:val="none" w:sz="0" w:space="0" w:color="auto"/>
                <w:bottom w:val="none" w:sz="0" w:space="0" w:color="auto"/>
                <w:right w:val="none" w:sz="0" w:space="0" w:color="auto"/>
              </w:divBdr>
              <w:divsChild>
                <w:div w:id="1102451305">
                  <w:marLeft w:val="0"/>
                  <w:marRight w:val="0"/>
                  <w:marTop w:val="0"/>
                  <w:marBottom w:val="0"/>
                  <w:divBdr>
                    <w:top w:val="none" w:sz="0" w:space="0" w:color="auto"/>
                    <w:left w:val="none" w:sz="0" w:space="0" w:color="auto"/>
                    <w:bottom w:val="none" w:sz="0" w:space="0" w:color="auto"/>
                    <w:right w:val="none" w:sz="0" w:space="0" w:color="auto"/>
                  </w:divBdr>
                </w:div>
              </w:divsChild>
            </w:div>
            <w:div w:id="1488519229">
              <w:marLeft w:val="0"/>
              <w:marRight w:val="0"/>
              <w:marTop w:val="0"/>
              <w:marBottom w:val="0"/>
              <w:divBdr>
                <w:top w:val="none" w:sz="0" w:space="0" w:color="auto"/>
                <w:left w:val="none" w:sz="0" w:space="0" w:color="auto"/>
                <w:bottom w:val="none" w:sz="0" w:space="0" w:color="auto"/>
                <w:right w:val="none" w:sz="0" w:space="0" w:color="auto"/>
              </w:divBdr>
              <w:divsChild>
                <w:div w:id="159321635">
                  <w:marLeft w:val="0"/>
                  <w:marRight w:val="0"/>
                  <w:marTop w:val="0"/>
                  <w:marBottom w:val="0"/>
                  <w:divBdr>
                    <w:top w:val="none" w:sz="0" w:space="0" w:color="auto"/>
                    <w:left w:val="none" w:sz="0" w:space="0" w:color="auto"/>
                    <w:bottom w:val="none" w:sz="0" w:space="0" w:color="auto"/>
                    <w:right w:val="none" w:sz="0" w:space="0" w:color="auto"/>
                  </w:divBdr>
                </w:div>
              </w:divsChild>
            </w:div>
            <w:div w:id="1560894412">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
              </w:divsChild>
            </w:div>
            <w:div w:id="2039116481">
              <w:marLeft w:val="0"/>
              <w:marRight w:val="0"/>
              <w:marTop w:val="0"/>
              <w:marBottom w:val="0"/>
              <w:divBdr>
                <w:top w:val="none" w:sz="0" w:space="0" w:color="auto"/>
                <w:left w:val="none" w:sz="0" w:space="0" w:color="auto"/>
                <w:bottom w:val="none" w:sz="0" w:space="0" w:color="auto"/>
                <w:right w:val="none" w:sz="0" w:space="0" w:color="auto"/>
              </w:divBdr>
              <w:divsChild>
                <w:div w:id="1485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1554">
      <w:bodyDiv w:val="1"/>
      <w:marLeft w:val="0"/>
      <w:marRight w:val="0"/>
      <w:marTop w:val="0"/>
      <w:marBottom w:val="0"/>
      <w:divBdr>
        <w:top w:val="none" w:sz="0" w:space="0" w:color="auto"/>
        <w:left w:val="none" w:sz="0" w:space="0" w:color="auto"/>
        <w:bottom w:val="none" w:sz="0" w:space="0" w:color="auto"/>
        <w:right w:val="none" w:sz="0" w:space="0" w:color="auto"/>
      </w:divBdr>
    </w:div>
    <w:div w:id="993727887">
      <w:bodyDiv w:val="1"/>
      <w:marLeft w:val="0"/>
      <w:marRight w:val="0"/>
      <w:marTop w:val="0"/>
      <w:marBottom w:val="0"/>
      <w:divBdr>
        <w:top w:val="none" w:sz="0" w:space="0" w:color="auto"/>
        <w:left w:val="none" w:sz="0" w:space="0" w:color="auto"/>
        <w:bottom w:val="none" w:sz="0" w:space="0" w:color="auto"/>
        <w:right w:val="none" w:sz="0" w:space="0" w:color="auto"/>
      </w:divBdr>
      <w:divsChild>
        <w:div w:id="339696633">
          <w:marLeft w:val="0"/>
          <w:marRight w:val="0"/>
          <w:marTop w:val="0"/>
          <w:marBottom w:val="0"/>
          <w:divBdr>
            <w:top w:val="none" w:sz="0" w:space="0" w:color="auto"/>
            <w:left w:val="none" w:sz="0" w:space="0" w:color="auto"/>
            <w:bottom w:val="none" w:sz="0" w:space="0" w:color="auto"/>
            <w:right w:val="none" w:sz="0" w:space="0" w:color="auto"/>
          </w:divBdr>
          <w:divsChild>
            <w:div w:id="679283083">
              <w:marLeft w:val="0"/>
              <w:marRight w:val="0"/>
              <w:marTop w:val="0"/>
              <w:marBottom w:val="0"/>
              <w:divBdr>
                <w:top w:val="none" w:sz="0" w:space="0" w:color="auto"/>
                <w:left w:val="none" w:sz="0" w:space="0" w:color="auto"/>
                <w:bottom w:val="none" w:sz="0" w:space="0" w:color="auto"/>
                <w:right w:val="none" w:sz="0" w:space="0" w:color="auto"/>
              </w:divBdr>
              <w:divsChild>
                <w:div w:id="4064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7428">
          <w:marLeft w:val="0"/>
          <w:marRight w:val="0"/>
          <w:marTop w:val="0"/>
          <w:marBottom w:val="0"/>
          <w:divBdr>
            <w:top w:val="none" w:sz="0" w:space="0" w:color="auto"/>
            <w:left w:val="none" w:sz="0" w:space="0" w:color="auto"/>
            <w:bottom w:val="none" w:sz="0" w:space="0" w:color="auto"/>
            <w:right w:val="none" w:sz="0" w:space="0" w:color="auto"/>
          </w:divBdr>
          <w:divsChild>
            <w:div w:id="920679624">
              <w:marLeft w:val="0"/>
              <w:marRight w:val="0"/>
              <w:marTop w:val="0"/>
              <w:marBottom w:val="0"/>
              <w:divBdr>
                <w:top w:val="none" w:sz="0" w:space="0" w:color="auto"/>
                <w:left w:val="none" w:sz="0" w:space="0" w:color="auto"/>
                <w:bottom w:val="none" w:sz="0" w:space="0" w:color="auto"/>
                <w:right w:val="none" w:sz="0" w:space="0" w:color="auto"/>
              </w:divBdr>
              <w:divsChild>
                <w:div w:id="143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3163">
      <w:bodyDiv w:val="1"/>
      <w:marLeft w:val="0"/>
      <w:marRight w:val="0"/>
      <w:marTop w:val="0"/>
      <w:marBottom w:val="0"/>
      <w:divBdr>
        <w:top w:val="none" w:sz="0" w:space="0" w:color="auto"/>
        <w:left w:val="none" w:sz="0" w:space="0" w:color="auto"/>
        <w:bottom w:val="none" w:sz="0" w:space="0" w:color="auto"/>
        <w:right w:val="none" w:sz="0" w:space="0" w:color="auto"/>
      </w:divBdr>
    </w:div>
    <w:div w:id="1415124643">
      <w:bodyDiv w:val="1"/>
      <w:marLeft w:val="0"/>
      <w:marRight w:val="0"/>
      <w:marTop w:val="0"/>
      <w:marBottom w:val="0"/>
      <w:divBdr>
        <w:top w:val="none" w:sz="0" w:space="0" w:color="auto"/>
        <w:left w:val="none" w:sz="0" w:space="0" w:color="auto"/>
        <w:bottom w:val="none" w:sz="0" w:space="0" w:color="auto"/>
        <w:right w:val="none" w:sz="0" w:space="0" w:color="auto"/>
      </w:divBdr>
      <w:divsChild>
        <w:div w:id="1777140742">
          <w:marLeft w:val="0"/>
          <w:marRight w:val="0"/>
          <w:marTop w:val="0"/>
          <w:marBottom w:val="0"/>
          <w:divBdr>
            <w:top w:val="none" w:sz="0" w:space="0" w:color="auto"/>
            <w:left w:val="none" w:sz="0" w:space="0" w:color="auto"/>
            <w:bottom w:val="none" w:sz="0" w:space="0" w:color="auto"/>
            <w:right w:val="none" w:sz="0" w:space="0" w:color="auto"/>
          </w:divBdr>
          <w:divsChild>
            <w:div w:id="15737564">
              <w:marLeft w:val="0"/>
              <w:marRight w:val="0"/>
              <w:marTop w:val="0"/>
              <w:marBottom w:val="0"/>
              <w:divBdr>
                <w:top w:val="none" w:sz="0" w:space="0" w:color="auto"/>
                <w:left w:val="none" w:sz="0" w:space="0" w:color="auto"/>
                <w:bottom w:val="none" w:sz="0" w:space="0" w:color="auto"/>
                <w:right w:val="none" w:sz="0" w:space="0" w:color="auto"/>
              </w:divBdr>
              <w:divsChild>
                <w:div w:id="109666000">
                  <w:marLeft w:val="0"/>
                  <w:marRight w:val="0"/>
                  <w:marTop w:val="0"/>
                  <w:marBottom w:val="0"/>
                  <w:divBdr>
                    <w:top w:val="none" w:sz="0" w:space="0" w:color="auto"/>
                    <w:left w:val="none" w:sz="0" w:space="0" w:color="auto"/>
                    <w:bottom w:val="none" w:sz="0" w:space="0" w:color="auto"/>
                    <w:right w:val="none" w:sz="0" w:space="0" w:color="auto"/>
                  </w:divBdr>
                </w:div>
              </w:divsChild>
            </w:div>
            <w:div w:id="89660957">
              <w:marLeft w:val="0"/>
              <w:marRight w:val="0"/>
              <w:marTop w:val="0"/>
              <w:marBottom w:val="0"/>
              <w:divBdr>
                <w:top w:val="none" w:sz="0" w:space="0" w:color="auto"/>
                <w:left w:val="none" w:sz="0" w:space="0" w:color="auto"/>
                <w:bottom w:val="none" w:sz="0" w:space="0" w:color="auto"/>
                <w:right w:val="none" w:sz="0" w:space="0" w:color="auto"/>
              </w:divBdr>
              <w:divsChild>
                <w:div w:id="261499477">
                  <w:marLeft w:val="0"/>
                  <w:marRight w:val="0"/>
                  <w:marTop w:val="0"/>
                  <w:marBottom w:val="0"/>
                  <w:divBdr>
                    <w:top w:val="none" w:sz="0" w:space="0" w:color="auto"/>
                    <w:left w:val="none" w:sz="0" w:space="0" w:color="auto"/>
                    <w:bottom w:val="none" w:sz="0" w:space="0" w:color="auto"/>
                    <w:right w:val="none" w:sz="0" w:space="0" w:color="auto"/>
                  </w:divBdr>
                </w:div>
              </w:divsChild>
            </w:div>
            <w:div w:id="329212411">
              <w:marLeft w:val="0"/>
              <w:marRight w:val="0"/>
              <w:marTop w:val="0"/>
              <w:marBottom w:val="0"/>
              <w:divBdr>
                <w:top w:val="none" w:sz="0" w:space="0" w:color="auto"/>
                <w:left w:val="none" w:sz="0" w:space="0" w:color="auto"/>
                <w:bottom w:val="none" w:sz="0" w:space="0" w:color="auto"/>
                <w:right w:val="none" w:sz="0" w:space="0" w:color="auto"/>
              </w:divBdr>
              <w:divsChild>
                <w:div w:id="1523939747">
                  <w:marLeft w:val="0"/>
                  <w:marRight w:val="0"/>
                  <w:marTop w:val="0"/>
                  <w:marBottom w:val="0"/>
                  <w:divBdr>
                    <w:top w:val="none" w:sz="0" w:space="0" w:color="auto"/>
                    <w:left w:val="none" w:sz="0" w:space="0" w:color="auto"/>
                    <w:bottom w:val="none" w:sz="0" w:space="0" w:color="auto"/>
                    <w:right w:val="none" w:sz="0" w:space="0" w:color="auto"/>
                  </w:divBdr>
                </w:div>
              </w:divsChild>
            </w:div>
            <w:div w:id="477263350">
              <w:marLeft w:val="0"/>
              <w:marRight w:val="0"/>
              <w:marTop w:val="0"/>
              <w:marBottom w:val="0"/>
              <w:divBdr>
                <w:top w:val="none" w:sz="0" w:space="0" w:color="auto"/>
                <w:left w:val="none" w:sz="0" w:space="0" w:color="auto"/>
                <w:bottom w:val="none" w:sz="0" w:space="0" w:color="auto"/>
                <w:right w:val="none" w:sz="0" w:space="0" w:color="auto"/>
              </w:divBdr>
              <w:divsChild>
                <w:div w:id="240216572">
                  <w:marLeft w:val="0"/>
                  <w:marRight w:val="0"/>
                  <w:marTop w:val="0"/>
                  <w:marBottom w:val="0"/>
                  <w:divBdr>
                    <w:top w:val="none" w:sz="0" w:space="0" w:color="auto"/>
                    <w:left w:val="none" w:sz="0" w:space="0" w:color="auto"/>
                    <w:bottom w:val="none" w:sz="0" w:space="0" w:color="auto"/>
                    <w:right w:val="none" w:sz="0" w:space="0" w:color="auto"/>
                  </w:divBdr>
                </w:div>
              </w:divsChild>
            </w:div>
            <w:div w:id="528836482">
              <w:marLeft w:val="0"/>
              <w:marRight w:val="0"/>
              <w:marTop w:val="0"/>
              <w:marBottom w:val="0"/>
              <w:divBdr>
                <w:top w:val="none" w:sz="0" w:space="0" w:color="auto"/>
                <w:left w:val="none" w:sz="0" w:space="0" w:color="auto"/>
                <w:bottom w:val="none" w:sz="0" w:space="0" w:color="auto"/>
                <w:right w:val="none" w:sz="0" w:space="0" w:color="auto"/>
              </w:divBdr>
              <w:divsChild>
                <w:div w:id="545337405">
                  <w:marLeft w:val="0"/>
                  <w:marRight w:val="0"/>
                  <w:marTop w:val="0"/>
                  <w:marBottom w:val="0"/>
                  <w:divBdr>
                    <w:top w:val="none" w:sz="0" w:space="0" w:color="auto"/>
                    <w:left w:val="none" w:sz="0" w:space="0" w:color="auto"/>
                    <w:bottom w:val="none" w:sz="0" w:space="0" w:color="auto"/>
                    <w:right w:val="none" w:sz="0" w:space="0" w:color="auto"/>
                  </w:divBdr>
                </w:div>
              </w:divsChild>
            </w:div>
            <w:div w:id="669453475">
              <w:marLeft w:val="0"/>
              <w:marRight w:val="0"/>
              <w:marTop w:val="0"/>
              <w:marBottom w:val="0"/>
              <w:divBdr>
                <w:top w:val="none" w:sz="0" w:space="0" w:color="auto"/>
                <w:left w:val="none" w:sz="0" w:space="0" w:color="auto"/>
                <w:bottom w:val="none" w:sz="0" w:space="0" w:color="auto"/>
                <w:right w:val="none" w:sz="0" w:space="0" w:color="auto"/>
              </w:divBdr>
              <w:divsChild>
                <w:div w:id="1433360968">
                  <w:marLeft w:val="0"/>
                  <w:marRight w:val="0"/>
                  <w:marTop w:val="0"/>
                  <w:marBottom w:val="0"/>
                  <w:divBdr>
                    <w:top w:val="none" w:sz="0" w:space="0" w:color="auto"/>
                    <w:left w:val="none" w:sz="0" w:space="0" w:color="auto"/>
                    <w:bottom w:val="none" w:sz="0" w:space="0" w:color="auto"/>
                    <w:right w:val="none" w:sz="0" w:space="0" w:color="auto"/>
                  </w:divBdr>
                </w:div>
              </w:divsChild>
            </w:div>
            <w:div w:id="1211529324">
              <w:marLeft w:val="0"/>
              <w:marRight w:val="0"/>
              <w:marTop w:val="0"/>
              <w:marBottom w:val="0"/>
              <w:divBdr>
                <w:top w:val="none" w:sz="0" w:space="0" w:color="auto"/>
                <w:left w:val="none" w:sz="0" w:space="0" w:color="auto"/>
                <w:bottom w:val="none" w:sz="0" w:space="0" w:color="auto"/>
                <w:right w:val="none" w:sz="0" w:space="0" w:color="auto"/>
              </w:divBdr>
              <w:divsChild>
                <w:div w:id="185679708">
                  <w:marLeft w:val="0"/>
                  <w:marRight w:val="0"/>
                  <w:marTop w:val="0"/>
                  <w:marBottom w:val="0"/>
                  <w:divBdr>
                    <w:top w:val="none" w:sz="0" w:space="0" w:color="auto"/>
                    <w:left w:val="none" w:sz="0" w:space="0" w:color="auto"/>
                    <w:bottom w:val="none" w:sz="0" w:space="0" w:color="auto"/>
                    <w:right w:val="none" w:sz="0" w:space="0" w:color="auto"/>
                  </w:divBdr>
                </w:div>
              </w:divsChild>
            </w:div>
            <w:div w:id="1497499922">
              <w:marLeft w:val="0"/>
              <w:marRight w:val="0"/>
              <w:marTop w:val="0"/>
              <w:marBottom w:val="0"/>
              <w:divBdr>
                <w:top w:val="none" w:sz="0" w:space="0" w:color="auto"/>
                <w:left w:val="none" w:sz="0" w:space="0" w:color="auto"/>
                <w:bottom w:val="none" w:sz="0" w:space="0" w:color="auto"/>
                <w:right w:val="none" w:sz="0" w:space="0" w:color="auto"/>
              </w:divBdr>
              <w:divsChild>
                <w:div w:id="169833659">
                  <w:marLeft w:val="0"/>
                  <w:marRight w:val="0"/>
                  <w:marTop w:val="0"/>
                  <w:marBottom w:val="0"/>
                  <w:divBdr>
                    <w:top w:val="none" w:sz="0" w:space="0" w:color="auto"/>
                    <w:left w:val="none" w:sz="0" w:space="0" w:color="auto"/>
                    <w:bottom w:val="none" w:sz="0" w:space="0" w:color="auto"/>
                    <w:right w:val="none" w:sz="0" w:space="0" w:color="auto"/>
                  </w:divBdr>
                </w:div>
              </w:divsChild>
            </w:div>
            <w:div w:id="2032368415">
              <w:marLeft w:val="0"/>
              <w:marRight w:val="0"/>
              <w:marTop w:val="0"/>
              <w:marBottom w:val="0"/>
              <w:divBdr>
                <w:top w:val="none" w:sz="0" w:space="0" w:color="auto"/>
                <w:left w:val="none" w:sz="0" w:space="0" w:color="auto"/>
                <w:bottom w:val="none" w:sz="0" w:space="0" w:color="auto"/>
                <w:right w:val="none" w:sz="0" w:space="0" w:color="auto"/>
              </w:divBdr>
              <w:divsChild>
                <w:div w:id="233586672">
                  <w:marLeft w:val="0"/>
                  <w:marRight w:val="0"/>
                  <w:marTop w:val="0"/>
                  <w:marBottom w:val="0"/>
                  <w:divBdr>
                    <w:top w:val="none" w:sz="0" w:space="0" w:color="auto"/>
                    <w:left w:val="none" w:sz="0" w:space="0" w:color="auto"/>
                    <w:bottom w:val="none" w:sz="0" w:space="0" w:color="auto"/>
                    <w:right w:val="none" w:sz="0" w:space="0" w:color="auto"/>
                  </w:divBdr>
                </w:div>
              </w:divsChild>
            </w:div>
            <w:div w:id="2065374020">
              <w:marLeft w:val="0"/>
              <w:marRight w:val="0"/>
              <w:marTop w:val="0"/>
              <w:marBottom w:val="0"/>
              <w:divBdr>
                <w:top w:val="none" w:sz="0" w:space="0" w:color="auto"/>
                <w:left w:val="none" w:sz="0" w:space="0" w:color="auto"/>
                <w:bottom w:val="none" w:sz="0" w:space="0" w:color="auto"/>
                <w:right w:val="none" w:sz="0" w:space="0" w:color="auto"/>
              </w:divBdr>
              <w:divsChild>
                <w:div w:id="10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59810">
      <w:bodyDiv w:val="1"/>
      <w:marLeft w:val="0"/>
      <w:marRight w:val="0"/>
      <w:marTop w:val="0"/>
      <w:marBottom w:val="0"/>
      <w:divBdr>
        <w:top w:val="none" w:sz="0" w:space="0" w:color="auto"/>
        <w:left w:val="none" w:sz="0" w:space="0" w:color="auto"/>
        <w:bottom w:val="none" w:sz="0" w:space="0" w:color="auto"/>
        <w:right w:val="none" w:sz="0" w:space="0" w:color="auto"/>
      </w:divBdr>
    </w:div>
    <w:div w:id="2058239106">
      <w:bodyDiv w:val="1"/>
      <w:marLeft w:val="0"/>
      <w:marRight w:val="0"/>
      <w:marTop w:val="0"/>
      <w:marBottom w:val="0"/>
      <w:divBdr>
        <w:top w:val="none" w:sz="0" w:space="0" w:color="auto"/>
        <w:left w:val="none" w:sz="0" w:space="0" w:color="auto"/>
        <w:bottom w:val="none" w:sz="0" w:space="0" w:color="auto"/>
        <w:right w:val="none" w:sz="0" w:space="0" w:color="auto"/>
      </w:divBdr>
    </w:div>
    <w:div w:id="21433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de.ca.gov/sp/me/mt/mepsubgrantees.asp"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cde.ca.gov/sp/me/m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d-data.org/article/About-California's-Longitudinal-Pupil-Achievement-Data-System-(CALPADS)" TargetMode="External"/><Relationship Id="rId2" Type="http://schemas.openxmlformats.org/officeDocument/2006/relationships/hyperlink" Target="https://www.cdfa.ca.gov/statistics/" TargetMode="External"/><Relationship Id="rId1" Type="http://schemas.openxmlformats.org/officeDocument/2006/relationships/hyperlink" Target="https://results-assets.s3.amazonaws.com/tools/sdp_toolkit/sdp-toolkit.pdf" TargetMode="External"/><Relationship Id="rId6" Type="http://schemas.openxmlformats.org/officeDocument/2006/relationships/hyperlink" Target="https://www2.ed.gov/about/inits/ed/edfacts/index.html" TargetMode="External"/><Relationship Id="rId5" Type="http://schemas.openxmlformats.org/officeDocument/2006/relationships/hyperlink" Target="https://www.cde.ca.gov/ls/pf/pf/documents/famengageframeenglish.pdf" TargetMode="External"/><Relationship Id="rId4" Type="http://schemas.openxmlformats.org/officeDocument/2006/relationships/hyperlink" Target="https://www.cde.ca.gov/ls/ai/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0C1916-9FF6-4C33-9974-2637F32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23310</Words>
  <Characters>132872</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155871</CharactersWithSpaces>
  <SharedDoc>false</SharedDoc>
  <HLinks>
    <vt:vector size="552" baseType="variant">
      <vt:variant>
        <vt:i4>6357088</vt:i4>
      </vt:variant>
      <vt:variant>
        <vt:i4>588</vt:i4>
      </vt:variant>
      <vt:variant>
        <vt:i4>0</vt:i4>
      </vt:variant>
      <vt:variant>
        <vt:i4>5</vt:i4>
      </vt:variant>
      <vt:variant>
        <vt:lpwstr>https://www.cde.ca.gov/re/es/plandrafts.asp</vt:lpwstr>
      </vt:variant>
      <vt:variant>
        <vt:lpwstr/>
      </vt:variant>
      <vt:variant>
        <vt:i4>6684719</vt:i4>
      </vt:variant>
      <vt:variant>
        <vt:i4>528</vt:i4>
      </vt:variant>
      <vt:variant>
        <vt:i4>0</vt:i4>
      </vt:variant>
      <vt:variant>
        <vt:i4>5</vt:i4>
      </vt:variant>
      <vt:variant>
        <vt:lpwstr>https://www.cde.ca.gov/sp/me/mt/mepsubgrantees.asp</vt:lpwstr>
      </vt:variant>
      <vt:variant>
        <vt:lpwstr/>
      </vt:variant>
      <vt:variant>
        <vt:i4>1966130</vt:i4>
      </vt:variant>
      <vt:variant>
        <vt:i4>500</vt:i4>
      </vt:variant>
      <vt:variant>
        <vt:i4>0</vt:i4>
      </vt:variant>
      <vt:variant>
        <vt:i4>5</vt:i4>
      </vt:variant>
      <vt:variant>
        <vt:lpwstr/>
      </vt:variant>
      <vt:variant>
        <vt:lpwstr>_Toc497900199</vt:lpwstr>
      </vt:variant>
      <vt:variant>
        <vt:i4>1966130</vt:i4>
      </vt:variant>
      <vt:variant>
        <vt:i4>494</vt:i4>
      </vt:variant>
      <vt:variant>
        <vt:i4>0</vt:i4>
      </vt:variant>
      <vt:variant>
        <vt:i4>5</vt:i4>
      </vt:variant>
      <vt:variant>
        <vt:lpwstr/>
      </vt:variant>
      <vt:variant>
        <vt:lpwstr>_Toc497900198</vt:lpwstr>
      </vt:variant>
      <vt:variant>
        <vt:i4>1966130</vt:i4>
      </vt:variant>
      <vt:variant>
        <vt:i4>488</vt:i4>
      </vt:variant>
      <vt:variant>
        <vt:i4>0</vt:i4>
      </vt:variant>
      <vt:variant>
        <vt:i4>5</vt:i4>
      </vt:variant>
      <vt:variant>
        <vt:lpwstr/>
      </vt:variant>
      <vt:variant>
        <vt:lpwstr>_Toc497900197</vt:lpwstr>
      </vt:variant>
      <vt:variant>
        <vt:i4>1966130</vt:i4>
      </vt:variant>
      <vt:variant>
        <vt:i4>482</vt:i4>
      </vt:variant>
      <vt:variant>
        <vt:i4>0</vt:i4>
      </vt:variant>
      <vt:variant>
        <vt:i4>5</vt:i4>
      </vt:variant>
      <vt:variant>
        <vt:lpwstr/>
      </vt:variant>
      <vt:variant>
        <vt:lpwstr>_Toc497900196</vt:lpwstr>
      </vt:variant>
      <vt:variant>
        <vt:i4>1966130</vt:i4>
      </vt:variant>
      <vt:variant>
        <vt:i4>476</vt:i4>
      </vt:variant>
      <vt:variant>
        <vt:i4>0</vt:i4>
      </vt:variant>
      <vt:variant>
        <vt:i4>5</vt:i4>
      </vt:variant>
      <vt:variant>
        <vt:lpwstr/>
      </vt:variant>
      <vt:variant>
        <vt:lpwstr>_Toc497900195</vt:lpwstr>
      </vt:variant>
      <vt:variant>
        <vt:i4>1966130</vt:i4>
      </vt:variant>
      <vt:variant>
        <vt:i4>470</vt:i4>
      </vt:variant>
      <vt:variant>
        <vt:i4>0</vt:i4>
      </vt:variant>
      <vt:variant>
        <vt:i4>5</vt:i4>
      </vt:variant>
      <vt:variant>
        <vt:lpwstr/>
      </vt:variant>
      <vt:variant>
        <vt:lpwstr>_Toc497900194</vt:lpwstr>
      </vt:variant>
      <vt:variant>
        <vt:i4>1966130</vt:i4>
      </vt:variant>
      <vt:variant>
        <vt:i4>464</vt:i4>
      </vt:variant>
      <vt:variant>
        <vt:i4>0</vt:i4>
      </vt:variant>
      <vt:variant>
        <vt:i4>5</vt:i4>
      </vt:variant>
      <vt:variant>
        <vt:lpwstr/>
      </vt:variant>
      <vt:variant>
        <vt:lpwstr>_Toc497900193</vt:lpwstr>
      </vt:variant>
      <vt:variant>
        <vt:i4>1966130</vt:i4>
      </vt:variant>
      <vt:variant>
        <vt:i4>458</vt:i4>
      </vt:variant>
      <vt:variant>
        <vt:i4>0</vt:i4>
      </vt:variant>
      <vt:variant>
        <vt:i4>5</vt:i4>
      </vt:variant>
      <vt:variant>
        <vt:lpwstr/>
      </vt:variant>
      <vt:variant>
        <vt:lpwstr>_Toc497900192</vt:lpwstr>
      </vt:variant>
      <vt:variant>
        <vt:i4>1966130</vt:i4>
      </vt:variant>
      <vt:variant>
        <vt:i4>452</vt:i4>
      </vt:variant>
      <vt:variant>
        <vt:i4>0</vt:i4>
      </vt:variant>
      <vt:variant>
        <vt:i4>5</vt:i4>
      </vt:variant>
      <vt:variant>
        <vt:lpwstr/>
      </vt:variant>
      <vt:variant>
        <vt:lpwstr>_Toc497900191</vt:lpwstr>
      </vt:variant>
      <vt:variant>
        <vt:i4>1966130</vt:i4>
      </vt:variant>
      <vt:variant>
        <vt:i4>446</vt:i4>
      </vt:variant>
      <vt:variant>
        <vt:i4>0</vt:i4>
      </vt:variant>
      <vt:variant>
        <vt:i4>5</vt:i4>
      </vt:variant>
      <vt:variant>
        <vt:lpwstr/>
      </vt:variant>
      <vt:variant>
        <vt:lpwstr>_Toc497900190</vt:lpwstr>
      </vt:variant>
      <vt:variant>
        <vt:i4>2031666</vt:i4>
      </vt:variant>
      <vt:variant>
        <vt:i4>440</vt:i4>
      </vt:variant>
      <vt:variant>
        <vt:i4>0</vt:i4>
      </vt:variant>
      <vt:variant>
        <vt:i4>5</vt:i4>
      </vt:variant>
      <vt:variant>
        <vt:lpwstr/>
      </vt:variant>
      <vt:variant>
        <vt:lpwstr>_Toc497900189</vt:lpwstr>
      </vt:variant>
      <vt:variant>
        <vt:i4>2031666</vt:i4>
      </vt:variant>
      <vt:variant>
        <vt:i4>434</vt:i4>
      </vt:variant>
      <vt:variant>
        <vt:i4>0</vt:i4>
      </vt:variant>
      <vt:variant>
        <vt:i4>5</vt:i4>
      </vt:variant>
      <vt:variant>
        <vt:lpwstr/>
      </vt:variant>
      <vt:variant>
        <vt:lpwstr>_Toc497900188</vt:lpwstr>
      </vt:variant>
      <vt:variant>
        <vt:i4>2031666</vt:i4>
      </vt:variant>
      <vt:variant>
        <vt:i4>428</vt:i4>
      </vt:variant>
      <vt:variant>
        <vt:i4>0</vt:i4>
      </vt:variant>
      <vt:variant>
        <vt:i4>5</vt:i4>
      </vt:variant>
      <vt:variant>
        <vt:lpwstr/>
      </vt:variant>
      <vt:variant>
        <vt:lpwstr>_Toc497900187</vt:lpwstr>
      </vt:variant>
      <vt:variant>
        <vt:i4>2031666</vt:i4>
      </vt:variant>
      <vt:variant>
        <vt:i4>422</vt:i4>
      </vt:variant>
      <vt:variant>
        <vt:i4>0</vt:i4>
      </vt:variant>
      <vt:variant>
        <vt:i4>5</vt:i4>
      </vt:variant>
      <vt:variant>
        <vt:lpwstr/>
      </vt:variant>
      <vt:variant>
        <vt:lpwstr>_Toc497900186</vt:lpwstr>
      </vt:variant>
      <vt:variant>
        <vt:i4>2031666</vt:i4>
      </vt:variant>
      <vt:variant>
        <vt:i4>416</vt:i4>
      </vt:variant>
      <vt:variant>
        <vt:i4>0</vt:i4>
      </vt:variant>
      <vt:variant>
        <vt:i4>5</vt:i4>
      </vt:variant>
      <vt:variant>
        <vt:lpwstr/>
      </vt:variant>
      <vt:variant>
        <vt:lpwstr>_Toc497900185</vt:lpwstr>
      </vt:variant>
      <vt:variant>
        <vt:i4>2031666</vt:i4>
      </vt:variant>
      <vt:variant>
        <vt:i4>410</vt:i4>
      </vt:variant>
      <vt:variant>
        <vt:i4>0</vt:i4>
      </vt:variant>
      <vt:variant>
        <vt:i4>5</vt:i4>
      </vt:variant>
      <vt:variant>
        <vt:lpwstr/>
      </vt:variant>
      <vt:variant>
        <vt:lpwstr>_Toc497900184</vt:lpwstr>
      </vt:variant>
      <vt:variant>
        <vt:i4>2031666</vt:i4>
      </vt:variant>
      <vt:variant>
        <vt:i4>404</vt:i4>
      </vt:variant>
      <vt:variant>
        <vt:i4>0</vt:i4>
      </vt:variant>
      <vt:variant>
        <vt:i4>5</vt:i4>
      </vt:variant>
      <vt:variant>
        <vt:lpwstr/>
      </vt:variant>
      <vt:variant>
        <vt:lpwstr>_Toc497900183</vt:lpwstr>
      </vt:variant>
      <vt:variant>
        <vt:i4>2031666</vt:i4>
      </vt:variant>
      <vt:variant>
        <vt:i4>398</vt:i4>
      </vt:variant>
      <vt:variant>
        <vt:i4>0</vt:i4>
      </vt:variant>
      <vt:variant>
        <vt:i4>5</vt:i4>
      </vt:variant>
      <vt:variant>
        <vt:lpwstr/>
      </vt:variant>
      <vt:variant>
        <vt:lpwstr>_Toc497900182</vt:lpwstr>
      </vt:variant>
      <vt:variant>
        <vt:i4>2031666</vt:i4>
      </vt:variant>
      <vt:variant>
        <vt:i4>392</vt:i4>
      </vt:variant>
      <vt:variant>
        <vt:i4>0</vt:i4>
      </vt:variant>
      <vt:variant>
        <vt:i4>5</vt:i4>
      </vt:variant>
      <vt:variant>
        <vt:lpwstr/>
      </vt:variant>
      <vt:variant>
        <vt:lpwstr>_Toc497900181</vt:lpwstr>
      </vt:variant>
      <vt:variant>
        <vt:i4>2031666</vt:i4>
      </vt:variant>
      <vt:variant>
        <vt:i4>386</vt:i4>
      </vt:variant>
      <vt:variant>
        <vt:i4>0</vt:i4>
      </vt:variant>
      <vt:variant>
        <vt:i4>5</vt:i4>
      </vt:variant>
      <vt:variant>
        <vt:lpwstr/>
      </vt:variant>
      <vt:variant>
        <vt:lpwstr>_Toc497900180</vt:lpwstr>
      </vt:variant>
      <vt:variant>
        <vt:i4>1048626</vt:i4>
      </vt:variant>
      <vt:variant>
        <vt:i4>380</vt:i4>
      </vt:variant>
      <vt:variant>
        <vt:i4>0</vt:i4>
      </vt:variant>
      <vt:variant>
        <vt:i4>5</vt:i4>
      </vt:variant>
      <vt:variant>
        <vt:lpwstr/>
      </vt:variant>
      <vt:variant>
        <vt:lpwstr>_Toc497900179</vt:lpwstr>
      </vt:variant>
      <vt:variant>
        <vt:i4>1048626</vt:i4>
      </vt:variant>
      <vt:variant>
        <vt:i4>374</vt:i4>
      </vt:variant>
      <vt:variant>
        <vt:i4>0</vt:i4>
      </vt:variant>
      <vt:variant>
        <vt:i4>5</vt:i4>
      </vt:variant>
      <vt:variant>
        <vt:lpwstr/>
      </vt:variant>
      <vt:variant>
        <vt:lpwstr>_Toc497900178</vt:lpwstr>
      </vt:variant>
      <vt:variant>
        <vt:i4>1048626</vt:i4>
      </vt:variant>
      <vt:variant>
        <vt:i4>368</vt:i4>
      </vt:variant>
      <vt:variant>
        <vt:i4>0</vt:i4>
      </vt:variant>
      <vt:variant>
        <vt:i4>5</vt:i4>
      </vt:variant>
      <vt:variant>
        <vt:lpwstr/>
      </vt:variant>
      <vt:variant>
        <vt:lpwstr>_Toc497900177</vt:lpwstr>
      </vt:variant>
      <vt:variant>
        <vt:i4>1048626</vt:i4>
      </vt:variant>
      <vt:variant>
        <vt:i4>362</vt:i4>
      </vt:variant>
      <vt:variant>
        <vt:i4>0</vt:i4>
      </vt:variant>
      <vt:variant>
        <vt:i4>5</vt:i4>
      </vt:variant>
      <vt:variant>
        <vt:lpwstr/>
      </vt:variant>
      <vt:variant>
        <vt:lpwstr>_Toc497900176</vt:lpwstr>
      </vt:variant>
      <vt:variant>
        <vt:i4>1048626</vt:i4>
      </vt:variant>
      <vt:variant>
        <vt:i4>356</vt:i4>
      </vt:variant>
      <vt:variant>
        <vt:i4>0</vt:i4>
      </vt:variant>
      <vt:variant>
        <vt:i4>5</vt:i4>
      </vt:variant>
      <vt:variant>
        <vt:lpwstr/>
      </vt:variant>
      <vt:variant>
        <vt:lpwstr>_Toc497900175</vt:lpwstr>
      </vt:variant>
      <vt:variant>
        <vt:i4>1048626</vt:i4>
      </vt:variant>
      <vt:variant>
        <vt:i4>350</vt:i4>
      </vt:variant>
      <vt:variant>
        <vt:i4>0</vt:i4>
      </vt:variant>
      <vt:variant>
        <vt:i4>5</vt:i4>
      </vt:variant>
      <vt:variant>
        <vt:lpwstr/>
      </vt:variant>
      <vt:variant>
        <vt:lpwstr>_Toc497900174</vt:lpwstr>
      </vt:variant>
      <vt:variant>
        <vt:i4>1048626</vt:i4>
      </vt:variant>
      <vt:variant>
        <vt:i4>344</vt:i4>
      </vt:variant>
      <vt:variant>
        <vt:i4>0</vt:i4>
      </vt:variant>
      <vt:variant>
        <vt:i4>5</vt:i4>
      </vt:variant>
      <vt:variant>
        <vt:lpwstr/>
      </vt:variant>
      <vt:variant>
        <vt:lpwstr>_Toc497900173</vt:lpwstr>
      </vt:variant>
      <vt:variant>
        <vt:i4>1048626</vt:i4>
      </vt:variant>
      <vt:variant>
        <vt:i4>338</vt:i4>
      </vt:variant>
      <vt:variant>
        <vt:i4>0</vt:i4>
      </vt:variant>
      <vt:variant>
        <vt:i4>5</vt:i4>
      </vt:variant>
      <vt:variant>
        <vt:lpwstr/>
      </vt:variant>
      <vt:variant>
        <vt:lpwstr>_Toc497900172</vt:lpwstr>
      </vt:variant>
      <vt:variant>
        <vt:i4>1048626</vt:i4>
      </vt:variant>
      <vt:variant>
        <vt:i4>332</vt:i4>
      </vt:variant>
      <vt:variant>
        <vt:i4>0</vt:i4>
      </vt:variant>
      <vt:variant>
        <vt:i4>5</vt:i4>
      </vt:variant>
      <vt:variant>
        <vt:lpwstr/>
      </vt:variant>
      <vt:variant>
        <vt:lpwstr>_Toc497900171</vt:lpwstr>
      </vt:variant>
      <vt:variant>
        <vt:i4>1048626</vt:i4>
      </vt:variant>
      <vt:variant>
        <vt:i4>326</vt:i4>
      </vt:variant>
      <vt:variant>
        <vt:i4>0</vt:i4>
      </vt:variant>
      <vt:variant>
        <vt:i4>5</vt:i4>
      </vt:variant>
      <vt:variant>
        <vt:lpwstr/>
      </vt:variant>
      <vt:variant>
        <vt:lpwstr>_Toc497900170</vt:lpwstr>
      </vt:variant>
      <vt:variant>
        <vt:i4>1114162</vt:i4>
      </vt:variant>
      <vt:variant>
        <vt:i4>320</vt:i4>
      </vt:variant>
      <vt:variant>
        <vt:i4>0</vt:i4>
      </vt:variant>
      <vt:variant>
        <vt:i4>5</vt:i4>
      </vt:variant>
      <vt:variant>
        <vt:lpwstr/>
      </vt:variant>
      <vt:variant>
        <vt:lpwstr>_Toc497900169</vt:lpwstr>
      </vt:variant>
      <vt:variant>
        <vt:i4>1114162</vt:i4>
      </vt:variant>
      <vt:variant>
        <vt:i4>314</vt:i4>
      </vt:variant>
      <vt:variant>
        <vt:i4>0</vt:i4>
      </vt:variant>
      <vt:variant>
        <vt:i4>5</vt:i4>
      </vt:variant>
      <vt:variant>
        <vt:lpwstr/>
      </vt:variant>
      <vt:variant>
        <vt:lpwstr>_Toc497900168</vt:lpwstr>
      </vt:variant>
      <vt:variant>
        <vt:i4>1114162</vt:i4>
      </vt:variant>
      <vt:variant>
        <vt:i4>308</vt:i4>
      </vt:variant>
      <vt:variant>
        <vt:i4>0</vt:i4>
      </vt:variant>
      <vt:variant>
        <vt:i4>5</vt:i4>
      </vt:variant>
      <vt:variant>
        <vt:lpwstr/>
      </vt:variant>
      <vt:variant>
        <vt:lpwstr>_Toc497900167</vt:lpwstr>
      </vt:variant>
      <vt:variant>
        <vt:i4>1114162</vt:i4>
      </vt:variant>
      <vt:variant>
        <vt:i4>302</vt:i4>
      </vt:variant>
      <vt:variant>
        <vt:i4>0</vt:i4>
      </vt:variant>
      <vt:variant>
        <vt:i4>5</vt:i4>
      </vt:variant>
      <vt:variant>
        <vt:lpwstr/>
      </vt:variant>
      <vt:variant>
        <vt:lpwstr>_Toc497900166</vt:lpwstr>
      </vt:variant>
      <vt:variant>
        <vt:i4>1114162</vt:i4>
      </vt:variant>
      <vt:variant>
        <vt:i4>296</vt:i4>
      </vt:variant>
      <vt:variant>
        <vt:i4>0</vt:i4>
      </vt:variant>
      <vt:variant>
        <vt:i4>5</vt:i4>
      </vt:variant>
      <vt:variant>
        <vt:lpwstr/>
      </vt:variant>
      <vt:variant>
        <vt:lpwstr>_Toc497900165</vt:lpwstr>
      </vt:variant>
      <vt:variant>
        <vt:i4>1114162</vt:i4>
      </vt:variant>
      <vt:variant>
        <vt:i4>290</vt:i4>
      </vt:variant>
      <vt:variant>
        <vt:i4>0</vt:i4>
      </vt:variant>
      <vt:variant>
        <vt:i4>5</vt:i4>
      </vt:variant>
      <vt:variant>
        <vt:lpwstr/>
      </vt:variant>
      <vt:variant>
        <vt:lpwstr>_Toc497900164</vt:lpwstr>
      </vt:variant>
      <vt:variant>
        <vt:i4>1114162</vt:i4>
      </vt:variant>
      <vt:variant>
        <vt:i4>284</vt:i4>
      </vt:variant>
      <vt:variant>
        <vt:i4>0</vt:i4>
      </vt:variant>
      <vt:variant>
        <vt:i4>5</vt:i4>
      </vt:variant>
      <vt:variant>
        <vt:lpwstr/>
      </vt:variant>
      <vt:variant>
        <vt:lpwstr>_Toc497900163</vt:lpwstr>
      </vt:variant>
      <vt:variant>
        <vt:i4>1114162</vt:i4>
      </vt:variant>
      <vt:variant>
        <vt:i4>278</vt:i4>
      </vt:variant>
      <vt:variant>
        <vt:i4>0</vt:i4>
      </vt:variant>
      <vt:variant>
        <vt:i4>5</vt:i4>
      </vt:variant>
      <vt:variant>
        <vt:lpwstr/>
      </vt:variant>
      <vt:variant>
        <vt:lpwstr>_Toc497900162</vt:lpwstr>
      </vt:variant>
      <vt:variant>
        <vt:i4>1114167</vt:i4>
      </vt:variant>
      <vt:variant>
        <vt:i4>269</vt:i4>
      </vt:variant>
      <vt:variant>
        <vt:i4>0</vt:i4>
      </vt:variant>
      <vt:variant>
        <vt:i4>5</vt:i4>
      </vt:variant>
      <vt:variant>
        <vt:lpwstr/>
      </vt:variant>
      <vt:variant>
        <vt:lpwstr>_Toc495328443</vt:lpwstr>
      </vt:variant>
      <vt:variant>
        <vt:i4>1114167</vt:i4>
      </vt:variant>
      <vt:variant>
        <vt:i4>263</vt:i4>
      </vt:variant>
      <vt:variant>
        <vt:i4>0</vt:i4>
      </vt:variant>
      <vt:variant>
        <vt:i4>5</vt:i4>
      </vt:variant>
      <vt:variant>
        <vt:lpwstr/>
      </vt:variant>
      <vt:variant>
        <vt:lpwstr>_Toc495328442</vt:lpwstr>
      </vt:variant>
      <vt:variant>
        <vt:i4>1114167</vt:i4>
      </vt:variant>
      <vt:variant>
        <vt:i4>257</vt:i4>
      </vt:variant>
      <vt:variant>
        <vt:i4>0</vt:i4>
      </vt:variant>
      <vt:variant>
        <vt:i4>5</vt:i4>
      </vt:variant>
      <vt:variant>
        <vt:lpwstr/>
      </vt:variant>
      <vt:variant>
        <vt:lpwstr>_Toc495328441</vt:lpwstr>
      </vt:variant>
      <vt:variant>
        <vt:i4>1114167</vt:i4>
      </vt:variant>
      <vt:variant>
        <vt:i4>251</vt:i4>
      </vt:variant>
      <vt:variant>
        <vt:i4>0</vt:i4>
      </vt:variant>
      <vt:variant>
        <vt:i4>5</vt:i4>
      </vt:variant>
      <vt:variant>
        <vt:lpwstr/>
      </vt:variant>
      <vt:variant>
        <vt:lpwstr>_Toc495328440</vt:lpwstr>
      </vt:variant>
      <vt:variant>
        <vt:i4>1376315</vt:i4>
      </vt:variant>
      <vt:variant>
        <vt:i4>242</vt:i4>
      </vt:variant>
      <vt:variant>
        <vt:i4>0</vt:i4>
      </vt:variant>
      <vt:variant>
        <vt:i4>5</vt:i4>
      </vt:variant>
      <vt:variant>
        <vt:lpwstr/>
      </vt:variant>
      <vt:variant>
        <vt:lpwstr>_Toc504520878</vt:lpwstr>
      </vt:variant>
      <vt:variant>
        <vt:i4>1376315</vt:i4>
      </vt:variant>
      <vt:variant>
        <vt:i4>236</vt:i4>
      </vt:variant>
      <vt:variant>
        <vt:i4>0</vt:i4>
      </vt:variant>
      <vt:variant>
        <vt:i4>5</vt:i4>
      </vt:variant>
      <vt:variant>
        <vt:lpwstr/>
      </vt:variant>
      <vt:variant>
        <vt:lpwstr>_Toc504520877</vt:lpwstr>
      </vt:variant>
      <vt:variant>
        <vt:i4>1376315</vt:i4>
      </vt:variant>
      <vt:variant>
        <vt:i4>230</vt:i4>
      </vt:variant>
      <vt:variant>
        <vt:i4>0</vt:i4>
      </vt:variant>
      <vt:variant>
        <vt:i4>5</vt:i4>
      </vt:variant>
      <vt:variant>
        <vt:lpwstr/>
      </vt:variant>
      <vt:variant>
        <vt:lpwstr>_Toc504520876</vt:lpwstr>
      </vt:variant>
      <vt:variant>
        <vt:i4>1376315</vt:i4>
      </vt:variant>
      <vt:variant>
        <vt:i4>224</vt:i4>
      </vt:variant>
      <vt:variant>
        <vt:i4>0</vt:i4>
      </vt:variant>
      <vt:variant>
        <vt:i4>5</vt:i4>
      </vt:variant>
      <vt:variant>
        <vt:lpwstr/>
      </vt:variant>
      <vt:variant>
        <vt:lpwstr>_Toc504520875</vt:lpwstr>
      </vt:variant>
      <vt:variant>
        <vt:i4>1376315</vt:i4>
      </vt:variant>
      <vt:variant>
        <vt:i4>218</vt:i4>
      </vt:variant>
      <vt:variant>
        <vt:i4>0</vt:i4>
      </vt:variant>
      <vt:variant>
        <vt:i4>5</vt:i4>
      </vt:variant>
      <vt:variant>
        <vt:lpwstr/>
      </vt:variant>
      <vt:variant>
        <vt:lpwstr>_Toc504520874</vt:lpwstr>
      </vt:variant>
      <vt:variant>
        <vt:i4>1376315</vt:i4>
      </vt:variant>
      <vt:variant>
        <vt:i4>212</vt:i4>
      </vt:variant>
      <vt:variant>
        <vt:i4>0</vt:i4>
      </vt:variant>
      <vt:variant>
        <vt:i4>5</vt:i4>
      </vt:variant>
      <vt:variant>
        <vt:lpwstr/>
      </vt:variant>
      <vt:variant>
        <vt:lpwstr>_Toc504520873</vt:lpwstr>
      </vt:variant>
      <vt:variant>
        <vt:i4>1376315</vt:i4>
      </vt:variant>
      <vt:variant>
        <vt:i4>206</vt:i4>
      </vt:variant>
      <vt:variant>
        <vt:i4>0</vt:i4>
      </vt:variant>
      <vt:variant>
        <vt:i4>5</vt:i4>
      </vt:variant>
      <vt:variant>
        <vt:lpwstr/>
      </vt:variant>
      <vt:variant>
        <vt:lpwstr>_Toc504520872</vt:lpwstr>
      </vt:variant>
      <vt:variant>
        <vt:i4>1376315</vt:i4>
      </vt:variant>
      <vt:variant>
        <vt:i4>200</vt:i4>
      </vt:variant>
      <vt:variant>
        <vt:i4>0</vt:i4>
      </vt:variant>
      <vt:variant>
        <vt:i4>5</vt:i4>
      </vt:variant>
      <vt:variant>
        <vt:lpwstr/>
      </vt:variant>
      <vt:variant>
        <vt:lpwstr>_Toc504520871</vt:lpwstr>
      </vt:variant>
      <vt:variant>
        <vt:i4>1376315</vt:i4>
      </vt:variant>
      <vt:variant>
        <vt:i4>194</vt:i4>
      </vt:variant>
      <vt:variant>
        <vt:i4>0</vt:i4>
      </vt:variant>
      <vt:variant>
        <vt:i4>5</vt:i4>
      </vt:variant>
      <vt:variant>
        <vt:lpwstr/>
      </vt:variant>
      <vt:variant>
        <vt:lpwstr>_Toc504520870</vt:lpwstr>
      </vt:variant>
      <vt:variant>
        <vt:i4>1310779</vt:i4>
      </vt:variant>
      <vt:variant>
        <vt:i4>188</vt:i4>
      </vt:variant>
      <vt:variant>
        <vt:i4>0</vt:i4>
      </vt:variant>
      <vt:variant>
        <vt:i4>5</vt:i4>
      </vt:variant>
      <vt:variant>
        <vt:lpwstr/>
      </vt:variant>
      <vt:variant>
        <vt:lpwstr>_Toc504520869</vt:lpwstr>
      </vt:variant>
      <vt:variant>
        <vt:i4>1310779</vt:i4>
      </vt:variant>
      <vt:variant>
        <vt:i4>182</vt:i4>
      </vt:variant>
      <vt:variant>
        <vt:i4>0</vt:i4>
      </vt:variant>
      <vt:variant>
        <vt:i4>5</vt:i4>
      </vt:variant>
      <vt:variant>
        <vt:lpwstr/>
      </vt:variant>
      <vt:variant>
        <vt:lpwstr>_Toc504520868</vt:lpwstr>
      </vt:variant>
      <vt:variant>
        <vt:i4>1310779</vt:i4>
      </vt:variant>
      <vt:variant>
        <vt:i4>176</vt:i4>
      </vt:variant>
      <vt:variant>
        <vt:i4>0</vt:i4>
      </vt:variant>
      <vt:variant>
        <vt:i4>5</vt:i4>
      </vt:variant>
      <vt:variant>
        <vt:lpwstr/>
      </vt:variant>
      <vt:variant>
        <vt:lpwstr>_Toc504520867</vt:lpwstr>
      </vt:variant>
      <vt:variant>
        <vt:i4>1310779</vt:i4>
      </vt:variant>
      <vt:variant>
        <vt:i4>170</vt:i4>
      </vt:variant>
      <vt:variant>
        <vt:i4>0</vt:i4>
      </vt:variant>
      <vt:variant>
        <vt:i4>5</vt:i4>
      </vt:variant>
      <vt:variant>
        <vt:lpwstr/>
      </vt:variant>
      <vt:variant>
        <vt:lpwstr>_Toc504520866</vt:lpwstr>
      </vt:variant>
      <vt:variant>
        <vt:i4>1310779</vt:i4>
      </vt:variant>
      <vt:variant>
        <vt:i4>164</vt:i4>
      </vt:variant>
      <vt:variant>
        <vt:i4>0</vt:i4>
      </vt:variant>
      <vt:variant>
        <vt:i4>5</vt:i4>
      </vt:variant>
      <vt:variant>
        <vt:lpwstr/>
      </vt:variant>
      <vt:variant>
        <vt:lpwstr>_Toc504520865</vt:lpwstr>
      </vt:variant>
      <vt:variant>
        <vt:i4>1310779</vt:i4>
      </vt:variant>
      <vt:variant>
        <vt:i4>158</vt:i4>
      </vt:variant>
      <vt:variant>
        <vt:i4>0</vt:i4>
      </vt:variant>
      <vt:variant>
        <vt:i4>5</vt:i4>
      </vt:variant>
      <vt:variant>
        <vt:lpwstr/>
      </vt:variant>
      <vt:variant>
        <vt:lpwstr>_Toc504520864</vt:lpwstr>
      </vt:variant>
      <vt:variant>
        <vt:i4>1310779</vt:i4>
      </vt:variant>
      <vt:variant>
        <vt:i4>152</vt:i4>
      </vt:variant>
      <vt:variant>
        <vt:i4>0</vt:i4>
      </vt:variant>
      <vt:variant>
        <vt:i4>5</vt:i4>
      </vt:variant>
      <vt:variant>
        <vt:lpwstr/>
      </vt:variant>
      <vt:variant>
        <vt:lpwstr>_Toc504520863</vt:lpwstr>
      </vt:variant>
      <vt:variant>
        <vt:i4>1310779</vt:i4>
      </vt:variant>
      <vt:variant>
        <vt:i4>146</vt:i4>
      </vt:variant>
      <vt:variant>
        <vt:i4>0</vt:i4>
      </vt:variant>
      <vt:variant>
        <vt:i4>5</vt:i4>
      </vt:variant>
      <vt:variant>
        <vt:lpwstr/>
      </vt:variant>
      <vt:variant>
        <vt:lpwstr>_Toc504520862</vt:lpwstr>
      </vt:variant>
      <vt:variant>
        <vt:i4>1310779</vt:i4>
      </vt:variant>
      <vt:variant>
        <vt:i4>140</vt:i4>
      </vt:variant>
      <vt:variant>
        <vt:i4>0</vt:i4>
      </vt:variant>
      <vt:variant>
        <vt:i4>5</vt:i4>
      </vt:variant>
      <vt:variant>
        <vt:lpwstr/>
      </vt:variant>
      <vt:variant>
        <vt:lpwstr>_Toc504520861</vt:lpwstr>
      </vt:variant>
      <vt:variant>
        <vt:i4>1310779</vt:i4>
      </vt:variant>
      <vt:variant>
        <vt:i4>134</vt:i4>
      </vt:variant>
      <vt:variant>
        <vt:i4>0</vt:i4>
      </vt:variant>
      <vt:variant>
        <vt:i4>5</vt:i4>
      </vt:variant>
      <vt:variant>
        <vt:lpwstr/>
      </vt:variant>
      <vt:variant>
        <vt:lpwstr>_Toc504520860</vt:lpwstr>
      </vt:variant>
      <vt:variant>
        <vt:i4>1507387</vt:i4>
      </vt:variant>
      <vt:variant>
        <vt:i4>128</vt:i4>
      </vt:variant>
      <vt:variant>
        <vt:i4>0</vt:i4>
      </vt:variant>
      <vt:variant>
        <vt:i4>5</vt:i4>
      </vt:variant>
      <vt:variant>
        <vt:lpwstr/>
      </vt:variant>
      <vt:variant>
        <vt:lpwstr>_Toc504520859</vt:lpwstr>
      </vt:variant>
      <vt:variant>
        <vt:i4>1507387</vt:i4>
      </vt:variant>
      <vt:variant>
        <vt:i4>122</vt:i4>
      </vt:variant>
      <vt:variant>
        <vt:i4>0</vt:i4>
      </vt:variant>
      <vt:variant>
        <vt:i4>5</vt:i4>
      </vt:variant>
      <vt:variant>
        <vt:lpwstr/>
      </vt:variant>
      <vt:variant>
        <vt:lpwstr>_Toc504520858</vt:lpwstr>
      </vt:variant>
      <vt:variant>
        <vt:i4>1507387</vt:i4>
      </vt:variant>
      <vt:variant>
        <vt:i4>116</vt:i4>
      </vt:variant>
      <vt:variant>
        <vt:i4>0</vt:i4>
      </vt:variant>
      <vt:variant>
        <vt:i4>5</vt:i4>
      </vt:variant>
      <vt:variant>
        <vt:lpwstr/>
      </vt:variant>
      <vt:variant>
        <vt:lpwstr>_Toc504520857</vt:lpwstr>
      </vt:variant>
      <vt:variant>
        <vt:i4>1507387</vt:i4>
      </vt:variant>
      <vt:variant>
        <vt:i4>110</vt:i4>
      </vt:variant>
      <vt:variant>
        <vt:i4>0</vt:i4>
      </vt:variant>
      <vt:variant>
        <vt:i4>5</vt:i4>
      </vt:variant>
      <vt:variant>
        <vt:lpwstr/>
      </vt:variant>
      <vt:variant>
        <vt:lpwstr>_Toc504520856</vt:lpwstr>
      </vt:variant>
      <vt:variant>
        <vt:i4>1507387</vt:i4>
      </vt:variant>
      <vt:variant>
        <vt:i4>104</vt:i4>
      </vt:variant>
      <vt:variant>
        <vt:i4>0</vt:i4>
      </vt:variant>
      <vt:variant>
        <vt:i4>5</vt:i4>
      </vt:variant>
      <vt:variant>
        <vt:lpwstr/>
      </vt:variant>
      <vt:variant>
        <vt:lpwstr>_Toc504520855</vt:lpwstr>
      </vt:variant>
      <vt:variant>
        <vt:i4>1507387</vt:i4>
      </vt:variant>
      <vt:variant>
        <vt:i4>98</vt:i4>
      </vt:variant>
      <vt:variant>
        <vt:i4>0</vt:i4>
      </vt:variant>
      <vt:variant>
        <vt:i4>5</vt:i4>
      </vt:variant>
      <vt:variant>
        <vt:lpwstr/>
      </vt:variant>
      <vt:variant>
        <vt:lpwstr>_Toc504520854</vt:lpwstr>
      </vt:variant>
      <vt:variant>
        <vt:i4>1507387</vt:i4>
      </vt:variant>
      <vt:variant>
        <vt:i4>92</vt:i4>
      </vt:variant>
      <vt:variant>
        <vt:i4>0</vt:i4>
      </vt:variant>
      <vt:variant>
        <vt:i4>5</vt:i4>
      </vt:variant>
      <vt:variant>
        <vt:lpwstr/>
      </vt:variant>
      <vt:variant>
        <vt:lpwstr>_Toc504520853</vt:lpwstr>
      </vt:variant>
      <vt:variant>
        <vt:i4>1507387</vt:i4>
      </vt:variant>
      <vt:variant>
        <vt:i4>86</vt:i4>
      </vt:variant>
      <vt:variant>
        <vt:i4>0</vt:i4>
      </vt:variant>
      <vt:variant>
        <vt:i4>5</vt:i4>
      </vt:variant>
      <vt:variant>
        <vt:lpwstr/>
      </vt:variant>
      <vt:variant>
        <vt:lpwstr>_Toc504520852</vt:lpwstr>
      </vt:variant>
      <vt:variant>
        <vt:i4>1507387</vt:i4>
      </vt:variant>
      <vt:variant>
        <vt:i4>80</vt:i4>
      </vt:variant>
      <vt:variant>
        <vt:i4>0</vt:i4>
      </vt:variant>
      <vt:variant>
        <vt:i4>5</vt:i4>
      </vt:variant>
      <vt:variant>
        <vt:lpwstr/>
      </vt:variant>
      <vt:variant>
        <vt:lpwstr>_Toc504520851</vt:lpwstr>
      </vt:variant>
      <vt:variant>
        <vt:i4>1507387</vt:i4>
      </vt:variant>
      <vt:variant>
        <vt:i4>74</vt:i4>
      </vt:variant>
      <vt:variant>
        <vt:i4>0</vt:i4>
      </vt:variant>
      <vt:variant>
        <vt:i4>5</vt:i4>
      </vt:variant>
      <vt:variant>
        <vt:lpwstr/>
      </vt:variant>
      <vt:variant>
        <vt:lpwstr>_Toc504520850</vt:lpwstr>
      </vt:variant>
      <vt:variant>
        <vt:i4>1441851</vt:i4>
      </vt:variant>
      <vt:variant>
        <vt:i4>68</vt:i4>
      </vt:variant>
      <vt:variant>
        <vt:i4>0</vt:i4>
      </vt:variant>
      <vt:variant>
        <vt:i4>5</vt:i4>
      </vt:variant>
      <vt:variant>
        <vt:lpwstr/>
      </vt:variant>
      <vt:variant>
        <vt:lpwstr>_Toc504520849</vt:lpwstr>
      </vt:variant>
      <vt:variant>
        <vt:i4>1441851</vt:i4>
      </vt:variant>
      <vt:variant>
        <vt:i4>62</vt:i4>
      </vt:variant>
      <vt:variant>
        <vt:i4>0</vt:i4>
      </vt:variant>
      <vt:variant>
        <vt:i4>5</vt:i4>
      </vt:variant>
      <vt:variant>
        <vt:lpwstr/>
      </vt:variant>
      <vt:variant>
        <vt:lpwstr>_Toc504520848</vt:lpwstr>
      </vt:variant>
      <vt:variant>
        <vt:i4>1441851</vt:i4>
      </vt:variant>
      <vt:variant>
        <vt:i4>56</vt:i4>
      </vt:variant>
      <vt:variant>
        <vt:i4>0</vt:i4>
      </vt:variant>
      <vt:variant>
        <vt:i4>5</vt:i4>
      </vt:variant>
      <vt:variant>
        <vt:lpwstr/>
      </vt:variant>
      <vt:variant>
        <vt:lpwstr>_Toc504520847</vt:lpwstr>
      </vt:variant>
      <vt:variant>
        <vt:i4>1441851</vt:i4>
      </vt:variant>
      <vt:variant>
        <vt:i4>50</vt:i4>
      </vt:variant>
      <vt:variant>
        <vt:i4>0</vt:i4>
      </vt:variant>
      <vt:variant>
        <vt:i4>5</vt:i4>
      </vt:variant>
      <vt:variant>
        <vt:lpwstr/>
      </vt:variant>
      <vt:variant>
        <vt:lpwstr>_Toc504520846</vt:lpwstr>
      </vt:variant>
      <vt:variant>
        <vt:i4>1441851</vt:i4>
      </vt:variant>
      <vt:variant>
        <vt:i4>44</vt:i4>
      </vt:variant>
      <vt:variant>
        <vt:i4>0</vt:i4>
      </vt:variant>
      <vt:variant>
        <vt:i4>5</vt:i4>
      </vt:variant>
      <vt:variant>
        <vt:lpwstr/>
      </vt:variant>
      <vt:variant>
        <vt:lpwstr>_Toc504520845</vt:lpwstr>
      </vt:variant>
      <vt:variant>
        <vt:i4>1441851</vt:i4>
      </vt:variant>
      <vt:variant>
        <vt:i4>38</vt:i4>
      </vt:variant>
      <vt:variant>
        <vt:i4>0</vt:i4>
      </vt:variant>
      <vt:variant>
        <vt:i4>5</vt:i4>
      </vt:variant>
      <vt:variant>
        <vt:lpwstr/>
      </vt:variant>
      <vt:variant>
        <vt:lpwstr>_Toc504520844</vt:lpwstr>
      </vt:variant>
      <vt:variant>
        <vt:i4>1441851</vt:i4>
      </vt:variant>
      <vt:variant>
        <vt:i4>32</vt:i4>
      </vt:variant>
      <vt:variant>
        <vt:i4>0</vt:i4>
      </vt:variant>
      <vt:variant>
        <vt:i4>5</vt:i4>
      </vt:variant>
      <vt:variant>
        <vt:lpwstr/>
      </vt:variant>
      <vt:variant>
        <vt:lpwstr>_Toc504520843</vt:lpwstr>
      </vt:variant>
      <vt:variant>
        <vt:i4>1441851</vt:i4>
      </vt:variant>
      <vt:variant>
        <vt:i4>26</vt:i4>
      </vt:variant>
      <vt:variant>
        <vt:i4>0</vt:i4>
      </vt:variant>
      <vt:variant>
        <vt:i4>5</vt:i4>
      </vt:variant>
      <vt:variant>
        <vt:lpwstr/>
      </vt:variant>
      <vt:variant>
        <vt:lpwstr>_Toc504520842</vt:lpwstr>
      </vt:variant>
      <vt:variant>
        <vt:i4>1441851</vt:i4>
      </vt:variant>
      <vt:variant>
        <vt:i4>20</vt:i4>
      </vt:variant>
      <vt:variant>
        <vt:i4>0</vt:i4>
      </vt:variant>
      <vt:variant>
        <vt:i4>5</vt:i4>
      </vt:variant>
      <vt:variant>
        <vt:lpwstr/>
      </vt:variant>
      <vt:variant>
        <vt:lpwstr>_Toc504520841</vt:lpwstr>
      </vt:variant>
      <vt:variant>
        <vt:i4>1441851</vt:i4>
      </vt:variant>
      <vt:variant>
        <vt:i4>14</vt:i4>
      </vt:variant>
      <vt:variant>
        <vt:i4>0</vt:i4>
      </vt:variant>
      <vt:variant>
        <vt:i4>5</vt:i4>
      </vt:variant>
      <vt:variant>
        <vt:lpwstr/>
      </vt:variant>
      <vt:variant>
        <vt:lpwstr>_Toc504520840</vt:lpwstr>
      </vt:variant>
      <vt:variant>
        <vt:i4>1114171</vt:i4>
      </vt:variant>
      <vt:variant>
        <vt:i4>8</vt:i4>
      </vt:variant>
      <vt:variant>
        <vt:i4>0</vt:i4>
      </vt:variant>
      <vt:variant>
        <vt:i4>5</vt:i4>
      </vt:variant>
      <vt:variant>
        <vt:lpwstr/>
      </vt:variant>
      <vt:variant>
        <vt:lpwstr>_Toc504520839</vt:lpwstr>
      </vt:variant>
      <vt:variant>
        <vt:i4>1114171</vt:i4>
      </vt:variant>
      <vt:variant>
        <vt:i4>2</vt:i4>
      </vt:variant>
      <vt:variant>
        <vt:i4>0</vt:i4>
      </vt:variant>
      <vt:variant>
        <vt:i4>5</vt:i4>
      </vt:variant>
      <vt:variant>
        <vt:lpwstr/>
      </vt:variant>
      <vt:variant>
        <vt:lpwstr>_Toc504520838</vt:lpwstr>
      </vt:variant>
      <vt:variant>
        <vt:i4>5570647</vt:i4>
      </vt:variant>
      <vt:variant>
        <vt:i4>18</vt:i4>
      </vt:variant>
      <vt:variant>
        <vt:i4>0</vt:i4>
      </vt:variant>
      <vt:variant>
        <vt:i4>5</vt:i4>
      </vt:variant>
      <vt:variant>
        <vt:lpwstr>https://www2.ed.gov/about/inits/ed/edfacts/index.html</vt:lpwstr>
      </vt:variant>
      <vt:variant>
        <vt:lpwstr/>
      </vt:variant>
      <vt:variant>
        <vt:i4>7405691</vt:i4>
      </vt:variant>
      <vt:variant>
        <vt:i4>15</vt:i4>
      </vt:variant>
      <vt:variant>
        <vt:i4>0</vt:i4>
      </vt:variant>
      <vt:variant>
        <vt:i4>5</vt:i4>
      </vt:variant>
      <vt:variant>
        <vt:lpwstr>https://www.cde.ca.gov/ls/pf/pf/documents/famengageframeenglish.pdf</vt:lpwstr>
      </vt:variant>
      <vt:variant>
        <vt:lpwstr/>
      </vt:variant>
      <vt:variant>
        <vt:i4>262164</vt:i4>
      </vt:variant>
      <vt:variant>
        <vt:i4>12</vt:i4>
      </vt:variant>
      <vt:variant>
        <vt:i4>0</vt:i4>
      </vt:variant>
      <vt:variant>
        <vt:i4>5</vt:i4>
      </vt:variant>
      <vt:variant>
        <vt:lpwstr>https://www.cde.ca.gov/ls/ai/sb/</vt:lpwstr>
      </vt:variant>
      <vt:variant>
        <vt:lpwstr/>
      </vt:variant>
      <vt:variant>
        <vt:i4>3145843</vt:i4>
      </vt:variant>
      <vt:variant>
        <vt:i4>9</vt:i4>
      </vt:variant>
      <vt:variant>
        <vt:i4>0</vt:i4>
      </vt:variant>
      <vt:variant>
        <vt:i4>5</vt:i4>
      </vt:variant>
      <vt:variant>
        <vt:lpwstr>https://www.cde.ca.gov/ta/tg/ca/caasppssreports.asp</vt:lpwstr>
      </vt:variant>
      <vt:variant>
        <vt:lpwstr/>
      </vt:variant>
      <vt:variant>
        <vt:i4>3866751</vt:i4>
      </vt:variant>
      <vt:variant>
        <vt:i4>6</vt:i4>
      </vt:variant>
      <vt:variant>
        <vt:i4>0</vt:i4>
      </vt:variant>
      <vt:variant>
        <vt:i4>5</vt:i4>
      </vt:variant>
      <vt:variant>
        <vt:lpwstr>https://www.ed-data.org/article/About-California's-Longitudinal-Pupil-Achievement-Data-System-(CALPADS)</vt:lpwstr>
      </vt:variant>
      <vt:variant>
        <vt:lpwstr/>
      </vt:variant>
      <vt:variant>
        <vt:i4>2687095</vt:i4>
      </vt:variant>
      <vt:variant>
        <vt:i4>3</vt:i4>
      </vt:variant>
      <vt:variant>
        <vt:i4>0</vt:i4>
      </vt:variant>
      <vt:variant>
        <vt:i4>5</vt:i4>
      </vt:variant>
      <vt:variant>
        <vt:lpwstr>https://www.cdfa.ca.gov/statistics/</vt:lpwstr>
      </vt:variant>
      <vt:variant>
        <vt:lpwstr/>
      </vt:variant>
      <vt:variant>
        <vt:i4>3866702</vt:i4>
      </vt:variant>
      <vt:variant>
        <vt:i4>0</vt:i4>
      </vt:variant>
      <vt:variant>
        <vt:i4>0</vt:i4>
      </vt:variant>
      <vt:variant>
        <vt:i4>5</vt:i4>
      </vt:variant>
      <vt:variant>
        <vt:lpwstr>https://results-assets.s3.amazonaws.com/tools/sdp_toolkit/sdp-toolkit.pdf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Service Delivery Plan - Migrant (CA Dept of Education)</dc:title>
  <dc:subject>State Service Delivery Plan for the 2017 Migrant Education Program updated in Spring 2023.</dc:subject>
  <dc:creator/>
  <cp:keywords/>
  <dc:description/>
  <cp:lastModifiedBy/>
  <cp:revision>1</cp:revision>
  <dcterms:created xsi:type="dcterms:W3CDTF">2024-11-04T18:05:00Z</dcterms:created>
  <dcterms:modified xsi:type="dcterms:W3CDTF">2024-11-04T18:06:00Z</dcterms:modified>
</cp:coreProperties>
</file>