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28D3C" w14:textId="77777777" w:rsidR="00083EDC" w:rsidRDefault="00083EDC" w:rsidP="0034052C">
      <w:pPr>
        <w:pBdr>
          <w:top w:val="single" w:sz="24" w:space="1" w:color="auto"/>
          <w:left w:val="single" w:sz="24" w:space="4" w:color="auto"/>
          <w:bottom w:val="single" w:sz="24" w:space="1" w:color="auto"/>
          <w:right w:val="single" w:sz="24" w:space="4" w:color="auto"/>
        </w:pBdr>
        <w:spacing w:after="240"/>
        <w:jc w:val="center"/>
        <w:rPr>
          <w:rFonts w:cs="Arial"/>
          <w:b/>
          <w:bCs/>
        </w:rPr>
      </w:pPr>
    </w:p>
    <w:p w14:paraId="4D591FDD" w14:textId="473BFDC0" w:rsidR="00A70529" w:rsidRPr="000B4A2F" w:rsidRDefault="00A70529" w:rsidP="0034052C">
      <w:pPr>
        <w:pBdr>
          <w:top w:val="single" w:sz="24" w:space="1" w:color="auto"/>
          <w:left w:val="single" w:sz="24" w:space="4" w:color="auto"/>
          <w:bottom w:val="single" w:sz="24" w:space="1" w:color="auto"/>
          <w:right w:val="single" w:sz="24" w:space="4" w:color="auto"/>
        </w:pBdr>
        <w:spacing w:after="240"/>
        <w:jc w:val="center"/>
        <w:rPr>
          <w:rFonts w:cs="Arial"/>
          <w:b/>
          <w:bCs/>
        </w:rPr>
      </w:pPr>
      <w:r w:rsidRPr="000B4A2F">
        <w:rPr>
          <w:rFonts w:cs="Arial"/>
          <w:b/>
          <w:bCs/>
        </w:rPr>
        <w:t>California Department of Education</w:t>
      </w:r>
    </w:p>
    <w:p w14:paraId="4D50D5C5" w14:textId="7306901A" w:rsidR="00A70529" w:rsidRPr="005A09CB" w:rsidRDefault="00A70529" w:rsidP="000B4A2F">
      <w:pPr>
        <w:pStyle w:val="Heading1"/>
      </w:pPr>
      <w:bookmarkStart w:id="0" w:name="_Hlk145408803"/>
      <w:r w:rsidRPr="00E235DE">
        <w:t>Report to the</w:t>
      </w:r>
      <w:r w:rsidR="00892278" w:rsidRPr="00E235DE">
        <w:t xml:space="preserve"> </w:t>
      </w:r>
      <w:r w:rsidR="00E235DE" w:rsidRPr="000B4A2F">
        <w:t>California</w:t>
      </w:r>
      <w:r w:rsidR="00E235DE" w:rsidRPr="00E235DE">
        <w:t xml:space="preserve"> State </w:t>
      </w:r>
      <w:r w:rsidRPr="00E235DE">
        <w:t>Legislature</w:t>
      </w:r>
      <w:r w:rsidR="00643414" w:rsidRPr="00E235DE">
        <w:t xml:space="preserve"> and the</w:t>
      </w:r>
      <w:r w:rsidR="00892278" w:rsidRPr="00E235DE">
        <w:t xml:space="preserve"> </w:t>
      </w:r>
      <w:r w:rsidR="001A15D8" w:rsidRPr="00E235DE">
        <w:t>Department of Finance</w:t>
      </w:r>
      <w:r w:rsidR="00BA2E5A">
        <w:t>:</w:t>
      </w:r>
      <w:r w:rsidR="000B4A2F">
        <w:br/>
      </w:r>
      <w:r w:rsidR="00BA2E5A">
        <w:t xml:space="preserve"> </w:t>
      </w:r>
      <w:r w:rsidR="000F4AD7" w:rsidRPr="00E235DE">
        <w:t xml:space="preserve">Special Education </w:t>
      </w:r>
      <w:r w:rsidR="00C87E58" w:rsidRPr="00E235DE">
        <w:t xml:space="preserve">Dispute </w:t>
      </w:r>
      <w:r w:rsidR="00284D82">
        <w:t>Prevention</w:t>
      </w:r>
      <w:r w:rsidR="00C87E58" w:rsidRPr="00E235DE">
        <w:t xml:space="preserve"> and Dispute </w:t>
      </w:r>
      <w:r w:rsidR="00284D82">
        <w:t>Resolution</w:t>
      </w:r>
      <w:r w:rsidR="00C87E58" w:rsidRPr="00E235DE">
        <w:t xml:space="preserve"> Apportionmen</w:t>
      </w:r>
      <w:r w:rsidR="0034052C">
        <w:t>t</w:t>
      </w:r>
    </w:p>
    <w:bookmarkEnd w:id="0"/>
    <w:p w14:paraId="3125C115" w14:textId="1AAD1BFB" w:rsidR="00A70529" w:rsidRPr="008602A1" w:rsidRDefault="00EE3BB5" w:rsidP="00A17185">
      <w:pPr>
        <w:pBdr>
          <w:top w:val="single" w:sz="24" w:space="1" w:color="auto"/>
          <w:left w:val="single" w:sz="24" w:space="4" w:color="auto"/>
          <w:bottom w:val="single" w:sz="24" w:space="1" w:color="auto"/>
          <w:right w:val="single" w:sz="24" w:space="4" w:color="auto"/>
        </w:pBdr>
        <w:spacing w:after="240"/>
        <w:contextualSpacing/>
        <w:jc w:val="center"/>
        <w:rPr>
          <w:rFonts w:cs="Arial"/>
          <w:b/>
          <w:bCs/>
        </w:rPr>
      </w:pPr>
      <w:r w:rsidRPr="008602A1">
        <w:rPr>
          <w:rFonts w:cs="Arial"/>
          <w:color w:val="C0C0C0"/>
        </w:rPr>
        <w:object w:dxaOrig="5999" w:dyaOrig="5999" w14:anchorId="58728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lifornia Department of Education seal" style="width:177.75pt;height:177.75pt" o:ole="">
            <v:imagedata r:id="rId8" o:title=""/>
          </v:shape>
          <o:OLEObject Type="Embed" ProgID="MSPhotoEd.3" ShapeID="_x0000_i1025" DrawAspect="Content" ObjectID="_1777195416" r:id="rId9"/>
        </w:object>
      </w:r>
    </w:p>
    <w:p w14:paraId="4E9A13CB" w14:textId="403703E9" w:rsidR="00A70529" w:rsidRPr="0034052C" w:rsidRDefault="00A70529" w:rsidP="0034052C">
      <w:pPr>
        <w:pBdr>
          <w:top w:val="single" w:sz="24" w:space="1" w:color="auto"/>
          <w:left w:val="single" w:sz="24" w:space="4" w:color="auto"/>
          <w:bottom w:val="single" w:sz="24" w:space="1" w:color="auto"/>
          <w:right w:val="single" w:sz="24" w:space="4" w:color="auto"/>
        </w:pBdr>
        <w:spacing w:before="840" w:after="240"/>
        <w:jc w:val="center"/>
        <w:rPr>
          <w:rFonts w:cs="Arial"/>
          <w:b/>
          <w:bCs/>
          <w:iCs/>
        </w:rPr>
      </w:pPr>
      <w:r w:rsidRPr="008602A1">
        <w:rPr>
          <w:rFonts w:cs="Arial"/>
          <w:b/>
          <w:bCs/>
          <w:iCs/>
        </w:rPr>
        <w:t>Prepared by:</w:t>
      </w:r>
    </w:p>
    <w:p w14:paraId="07F62240" w14:textId="35F3255D" w:rsidR="00A70529" w:rsidRPr="008602A1" w:rsidRDefault="00D3504A" w:rsidP="0034052C">
      <w:pPr>
        <w:pBdr>
          <w:top w:val="single" w:sz="24" w:space="1" w:color="auto"/>
          <w:left w:val="single" w:sz="24" w:space="4" w:color="auto"/>
          <w:bottom w:val="single" w:sz="24" w:space="1" w:color="auto"/>
          <w:right w:val="single" w:sz="24" w:space="4" w:color="auto"/>
        </w:pBdr>
        <w:spacing w:after="240"/>
        <w:jc w:val="center"/>
        <w:rPr>
          <w:rFonts w:cs="Arial"/>
          <w:b/>
          <w:bCs/>
          <w:sz w:val="28"/>
          <w:szCs w:val="28"/>
        </w:rPr>
      </w:pPr>
      <w:r w:rsidRPr="008602A1">
        <w:rPr>
          <w:rFonts w:cs="Arial"/>
          <w:b/>
          <w:bCs/>
          <w:sz w:val="28"/>
          <w:szCs w:val="28"/>
        </w:rPr>
        <w:t>Special Education Division</w:t>
      </w:r>
    </w:p>
    <w:p w14:paraId="14FD37BD" w14:textId="3DEA3D16" w:rsidR="00A70529" w:rsidRPr="00BA601F" w:rsidRDefault="00C87E58" w:rsidP="0034052C">
      <w:pPr>
        <w:pBdr>
          <w:top w:val="single" w:sz="24" w:space="1" w:color="auto"/>
          <w:left w:val="single" w:sz="24" w:space="4" w:color="auto"/>
          <w:bottom w:val="single" w:sz="24" w:space="1" w:color="auto"/>
          <w:right w:val="single" w:sz="24" w:space="4" w:color="auto"/>
        </w:pBdr>
        <w:spacing w:after="240"/>
        <w:jc w:val="center"/>
        <w:rPr>
          <w:rFonts w:cs="Arial"/>
          <w:b/>
          <w:bCs/>
          <w:sz w:val="28"/>
          <w:szCs w:val="28"/>
        </w:rPr>
      </w:pPr>
      <w:r w:rsidRPr="008602A1">
        <w:rPr>
          <w:rFonts w:cs="Arial"/>
          <w:b/>
          <w:bCs/>
          <w:sz w:val="28"/>
          <w:szCs w:val="28"/>
        </w:rPr>
        <w:t>Opportunities for All</w:t>
      </w:r>
      <w:r w:rsidR="00A70529" w:rsidRPr="008602A1">
        <w:rPr>
          <w:rFonts w:cs="Arial"/>
          <w:b/>
          <w:bCs/>
          <w:sz w:val="28"/>
          <w:szCs w:val="28"/>
        </w:rPr>
        <w:t xml:space="preserve"> Branch</w:t>
      </w:r>
    </w:p>
    <w:p w14:paraId="61D552C8" w14:textId="5661C815" w:rsidR="00A70529" w:rsidRPr="008602A1" w:rsidRDefault="00C87E58" w:rsidP="0034052C">
      <w:pPr>
        <w:pBdr>
          <w:top w:val="single" w:sz="24" w:space="1" w:color="auto"/>
          <w:left w:val="single" w:sz="24" w:space="4" w:color="auto"/>
          <w:bottom w:val="single" w:sz="24" w:space="1" w:color="auto"/>
          <w:right w:val="single" w:sz="24" w:space="4" w:color="auto"/>
        </w:pBdr>
        <w:spacing w:after="240"/>
        <w:jc w:val="center"/>
        <w:rPr>
          <w:rFonts w:cs="Arial"/>
          <w:iCs/>
        </w:rPr>
      </w:pPr>
      <w:r w:rsidRPr="008602A1">
        <w:rPr>
          <w:rFonts w:cs="Arial"/>
          <w:iCs/>
        </w:rPr>
        <w:t>December 2023</w:t>
      </w:r>
    </w:p>
    <w:p w14:paraId="0C5C40CA" w14:textId="729E12EF" w:rsidR="008D175B" w:rsidRPr="008D175B" w:rsidRDefault="00A70529" w:rsidP="000E24B2">
      <w:pPr>
        <w:pBdr>
          <w:top w:val="single" w:sz="24" w:space="1" w:color="auto"/>
          <w:left w:val="single" w:sz="24" w:space="4" w:color="auto"/>
          <w:bottom w:val="single" w:sz="24" w:space="1" w:color="auto"/>
          <w:right w:val="single" w:sz="24" w:space="4" w:color="auto"/>
        </w:pBdr>
        <w:spacing w:after="240"/>
        <w:rPr>
          <w:rFonts w:cs="Arial"/>
          <w:szCs w:val="18"/>
          <w:lang w:bidi="en-US"/>
        </w:rPr>
      </w:pPr>
      <w:r w:rsidRPr="00F9381D">
        <w:rPr>
          <w:rFonts w:cs="Arial"/>
          <w:i/>
          <w:szCs w:val="18"/>
          <w:lang w:bidi="en-US"/>
        </w:rPr>
        <w:t>Description</w:t>
      </w:r>
      <w:r w:rsidRPr="00F9381D">
        <w:rPr>
          <w:rFonts w:cs="Arial"/>
          <w:szCs w:val="18"/>
          <w:lang w:bidi="en-US"/>
        </w:rPr>
        <w:t xml:space="preserve">: </w:t>
      </w:r>
      <w:r w:rsidR="001A15D8" w:rsidRPr="00F9381D">
        <w:rPr>
          <w:rFonts w:cs="Arial"/>
          <w:szCs w:val="18"/>
          <w:lang w:bidi="en-US"/>
        </w:rPr>
        <w:t>Report detailing the effects and impact</w:t>
      </w:r>
      <w:r w:rsidR="00BA2E5A">
        <w:rPr>
          <w:rFonts w:cs="Arial"/>
          <w:szCs w:val="18"/>
          <w:lang w:bidi="en-US"/>
        </w:rPr>
        <w:t>s</w:t>
      </w:r>
      <w:r w:rsidR="001A15D8" w:rsidRPr="00F9381D">
        <w:rPr>
          <w:rFonts w:cs="Arial"/>
          <w:szCs w:val="18"/>
          <w:lang w:bidi="en-US"/>
        </w:rPr>
        <w:t xml:space="preserve"> of the</w:t>
      </w:r>
      <w:r w:rsidR="00242F00" w:rsidRPr="00F9381D">
        <w:rPr>
          <w:rFonts w:cs="Arial"/>
          <w:szCs w:val="18"/>
          <w:lang w:bidi="en-US"/>
        </w:rPr>
        <w:t xml:space="preserve"> </w:t>
      </w:r>
      <w:r w:rsidR="00F9381D" w:rsidRPr="00F9381D">
        <w:rPr>
          <w:rFonts w:cs="Arial"/>
          <w:szCs w:val="18"/>
          <w:lang w:bidi="en-US"/>
        </w:rPr>
        <w:t>$100 million</w:t>
      </w:r>
      <w:r w:rsidR="009452A3" w:rsidRPr="00F9381D" w:rsidDel="009452A3">
        <w:rPr>
          <w:rFonts w:cs="Arial"/>
          <w:szCs w:val="18"/>
          <w:lang w:bidi="en-US"/>
        </w:rPr>
        <w:t xml:space="preserve"> </w:t>
      </w:r>
      <w:r w:rsidR="00242F00" w:rsidRPr="00F9381D">
        <w:rPr>
          <w:rFonts w:cs="Arial"/>
          <w:szCs w:val="18"/>
          <w:lang w:bidi="en-US"/>
        </w:rPr>
        <w:t xml:space="preserve">apportionment that was distributed to </w:t>
      </w:r>
      <w:r w:rsidR="00FD3EB1" w:rsidRPr="00F9381D">
        <w:rPr>
          <w:rFonts w:cs="Arial"/>
          <w:szCs w:val="18"/>
          <w:lang w:bidi="en-US"/>
        </w:rPr>
        <w:t>Special Education Local Plan Areas</w:t>
      </w:r>
      <w:r w:rsidR="007E1BB9">
        <w:rPr>
          <w:rFonts w:cs="Arial"/>
          <w:szCs w:val="18"/>
          <w:lang w:bidi="en-US"/>
        </w:rPr>
        <w:t xml:space="preserve"> (SELPAs)</w:t>
      </w:r>
      <w:r w:rsidR="00242F00" w:rsidRPr="00F9381D">
        <w:rPr>
          <w:rFonts w:cs="Arial"/>
          <w:szCs w:val="18"/>
          <w:lang w:bidi="en-US"/>
        </w:rPr>
        <w:t xml:space="preserve"> in October of 2021 to be used for activities related to special education dispute </w:t>
      </w:r>
      <w:r w:rsidR="00FA5B36" w:rsidRPr="00F9381D">
        <w:rPr>
          <w:rFonts w:cs="Arial"/>
          <w:szCs w:val="18"/>
          <w:lang w:bidi="en-US"/>
        </w:rPr>
        <w:t>prevention</w:t>
      </w:r>
      <w:r w:rsidR="00242F00" w:rsidRPr="00F9381D">
        <w:rPr>
          <w:rFonts w:cs="Arial"/>
          <w:szCs w:val="18"/>
          <w:lang w:bidi="en-US"/>
        </w:rPr>
        <w:t xml:space="preserve"> and dispute </w:t>
      </w:r>
      <w:r w:rsidR="00FA5B36" w:rsidRPr="00F9381D">
        <w:rPr>
          <w:rFonts w:cs="Arial"/>
          <w:szCs w:val="18"/>
          <w:lang w:bidi="en-US"/>
        </w:rPr>
        <w:t>resolution</w:t>
      </w:r>
      <w:r w:rsidR="00DA63EF">
        <w:rPr>
          <w:rFonts w:cs="Arial"/>
          <w:szCs w:val="18"/>
          <w:lang w:bidi="en-US"/>
        </w:rPr>
        <w:t xml:space="preserve"> </w:t>
      </w:r>
      <w:r w:rsidR="00CF3B1F" w:rsidRPr="00F9381D">
        <w:rPr>
          <w:rFonts w:cs="Arial"/>
          <w:szCs w:val="18"/>
          <w:lang w:bidi="en-US"/>
        </w:rPr>
        <w:t xml:space="preserve">stemming from the </w:t>
      </w:r>
      <w:r w:rsidR="002410B3" w:rsidRPr="002410B3">
        <w:rPr>
          <w:rFonts w:cs="Arial"/>
          <w:szCs w:val="18"/>
          <w:lang w:bidi="en-US"/>
        </w:rPr>
        <w:t xml:space="preserve">2019 Novel Coronavirus </w:t>
      </w:r>
      <w:r w:rsidR="002410B3">
        <w:rPr>
          <w:rFonts w:cs="Arial"/>
          <w:szCs w:val="18"/>
          <w:lang w:bidi="en-US"/>
        </w:rPr>
        <w:t>(</w:t>
      </w:r>
      <w:r w:rsidR="00DA63EF">
        <w:rPr>
          <w:rFonts w:cs="Arial"/>
          <w:szCs w:val="18"/>
          <w:lang w:bidi="en-US"/>
        </w:rPr>
        <w:t>C</w:t>
      </w:r>
      <w:r w:rsidR="001444DE">
        <w:rPr>
          <w:rFonts w:cs="Arial"/>
          <w:szCs w:val="18"/>
          <w:lang w:bidi="en-US"/>
        </w:rPr>
        <w:t>OVID</w:t>
      </w:r>
      <w:r w:rsidR="00CF3B1F" w:rsidRPr="00F9381D">
        <w:rPr>
          <w:rFonts w:cs="Arial"/>
          <w:szCs w:val="18"/>
          <w:lang w:bidi="en-US"/>
        </w:rPr>
        <w:t>-19</w:t>
      </w:r>
      <w:r w:rsidR="002410B3">
        <w:rPr>
          <w:rFonts w:cs="Arial"/>
          <w:szCs w:val="18"/>
          <w:lang w:bidi="en-US"/>
        </w:rPr>
        <w:t>)</w:t>
      </w:r>
      <w:r w:rsidR="00CF3B1F" w:rsidRPr="00F9381D">
        <w:rPr>
          <w:rFonts w:cs="Arial"/>
          <w:szCs w:val="18"/>
          <w:lang w:bidi="en-US"/>
        </w:rPr>
        <w:t xml:space="preserve"> pandemic.</w:t>
      </w:r>
    </w:p>
    <w:p w14:paraId="2840F050" w14:textId="4AE61C9B" w:rsidR="00A70529" w:rsidRPr="008D175B" w:rsidRDefault="00A70529" w:rsidP="000E24B2">
      <w:pPr>
        <w:pBdr>
          <w:top w:val="single" w:sz="24" w:space="1" w:color="auto"/>
          <w:left w:val="single" w:sz="24" w:space="4" w:color="auto"/>
          <w:bottom w:val="single" w:sz="24" w:space="1" w:color="auto"/>
          <w:right w:val="single" w:sz="24" w:space="4" w:color="auto"/>
        </w:pBdr>
        <w:spacing w:after="240"/>
        <w:rPr>
          <w:rFonts w:cs="Arial"/>
          <w:szCs w:val="18"/>
          <w:lang w:bidi="en-US"/>
        </w:rPr>
      </w:pPr>
      <w:r w:rsidRPr="00F9381D">
        <w:rPr>
          <w:rFonts w:cs="Arial"/>
          <w:i/>
          <w:szCs w:val="18"/>
          <w:lang w:bidi="en-US"/>
        </w:rPr>
        <w:t>Authority</w:t>
      </w:r>
      <w:r w:rsidR="00157FC8" w:rsidRPr="00F9381D">
        <w:rPr>
          <w:rFonts w:cs="Arial"/>
          <w:szCs w:val="18"/>
          <w:lang w:bidi="en-US"/>
        </w:rPr>
        <w:t>:</w:t>
      </w:r>
      <w:r w:rsidR="00B44740">
        <w:rPr>
          <w:rFonts w:cs="Arial"/>
          <w:szCs w:val="18"/>
          <w:lang w:bidi="en-US"/>
        </w:rPr>
        <w:t xml:space="preserve"> </w:t>
      </w:r>
      <w:r w:rsidR="00B44740" w:rsidRPr="00B44740">
        <w:t xml:space="preserve">2021–22 Education Finance: Education Omnibus Budget Trailer Bill: </w:t>
      </w:r>
      <w:hyperlink r:id="rId10" w:tgtFrame="_blank" w:tooltip="https://leginfo.legislature.ca.gov/faces/billnavclient.xhtml?bill_id=202120220ab130" w:history="1">
        <w:r w:rsidR="00B44740" w:rsidRPr="00B44740">
          <w:rPr>
            <w:rStyle w:val="Hyperlink"/>
            <w:color w:val="auto"/>
            <w:u w:val="none"/>
          </w:rPr>
          <w:t>Assembly Bill 130 (Ch. 44, Stats. 2021), Section 160</w:t>
        </w:r>
      </w:hyperlink>
    </w:p>
    <w:p w14:paraId="3D70B13F" w14:textId="033E2878" w:rsidR="00A70529" w:rsidRPr="0034052C" w:rsidRDefault="00A70529" w:rsidP="000E24B2">
      <w:pPr>
        <w:pBdr>
          <w:top w:val="single" w:sz="24" w:space="1" w:color="auto"/>
          <w:left w:val="single" w:sz="24" w:space="4" w:color="auto"/>
          <w:bottom w:val="single" w:sz="24" w:space="1" w:color="auto"/>
          <w:right w:val="single" w:sz="24" w:space="4" w:color="auto"/>
        </w:pBdr>
        <w:spacing w:after="240"/>
        <w:rPr>
          <w:rFonts w:cs="Arial"/>
          <w:szCs w:val="18"/>
          <w:lang w:bidi="en-US"/>
        </w:rPr>
      </w:pPr>
      <w:r w:rsidRPr="00F9381D">
        <w:rPr>
          <w:rFonts w:cs="Arial"/>
          <w:i/>
          <w:szCs w:val="18"/>
          <w:lang w:bidi="en-US"/>
        </w:rPr>
        <w:t>Recipient</w:t>
      </w:r>
      <w:r w:rsidRPr="00F9381D">
        <w:rPr>
          <w:rFonts w:cs="Arial"/>
          <w:szCs w:val="18"/>
          <w:lang w:bidi="en-US"/>
        </w:rPr>
        <w:t xml:space="preserve">: </w:t>
      </w:r>
      <w:r w:rsidR="00242F00" w:rsidRPr="00F9381D">
        <w:rPr>
          <w:rFonts w:cs="Arial"/>
          <w:szCs w:val="18"/>
          <w:lang w:bidi="en-US"/>
        </w:rPr>
        <w:t xml:space="preserve">California </w:t>
      </w:r>
      <w:r w:rsidR="00B06183" w:rsidRPr="00F9381D">
        <w:rPr>
          <w:rFonts w:cs="Arial"/>
          <w:szCs w:val="18"/>
          <w:lang w:bidi="en-US"/>
        </w:rPr>
        <w:t xml:space="preserve">State </w:t>
      </w:r>
      <w:r w:rsidR="00242F00" w:rsidRPr="00F9381D">
        <w:rPr>
          <w:rFonts w:cs="Arial"/>
          <w:szCs w:val="18"/>
          <w:lang w:bidi="en-US"/>
        </w:rPr>
        <w:t>Legislature and Department of Finance</w:t>
      </w:r>
    </w:p>
    <w:p w14:paraId="274CA3DE" w14:textId="2DCBEC8A" w:rsidR="00A70529" w:rsidRPr="00F9381D" w:rsidRDefault="00A70529" w:rsidP="000E24B2">
      <w:pPr>
        <w:pBdr>
          <w:top w:val="single" w:sz="24" w:space="1" w:color="auto"/>
          <w:left w:val="single" w:sz="24" w:space="4" w:color="auto"/>
          <w:bottom w:val="single" w:sz="24" w:space="1" w:color="auto"/>
          <w:right w:val="single" w:sz="24" w:space="4" w:color="auto"/>
        </w:pBdr>
        <w:spacing w:after="240"/>
        <w:rPr>
          <w:rFonts w:cs="Arial"/>
          <w:szCs w:val="18"/>
          <w:lang w:bidi="en-US"/>
        </w:rPr>
      </w:pPr>
      <w:r w:rsidRPr="00F9381D">
        <w:rPr>
          <w:rFonts w:cs="Arial"/>
          <w:i/>
          <w:szCs w:val="18"/>
          <w:lang w:bidi="en-US"/>
        </w:rPr>
        <w:t>Due Date</w:t>
      </w:r>
      <w:r w:rsidR="00242F00" w:rsidRPr="00F9381D">
        <w:rPr>
          <w:rFonts w:cs="Arial"/>
          <w:szCs w:val="18"/>
          <w:lang w:bidi="en-US"/>
        </w:rPr>
        <w:t>: December 1, 202</w:t>
      </w:r>
      <w:r w:rsidR="0034052C">
        <w:rPr>
          <w:rFonts w:cs="Arial"/>
          <w:szCs w:val="18"/>
          <w:lang w:bidi="en-US"/>
        </w:rPr>
        <w:t>3</w:t>
      </w:r>
    </w:p>
    <w:p w14:paraId="4237374B" w14:textId="77777777" w:rsidR="00A70529" w:rsidRPr="008602A1" w:rsidRDefault="00A70529" w:rsidP="00A17185">
      <w:pPr>
        <w:pBdr>
          <w:top w:val="single" w:sz="24" w:space="1" w:color="auto"/>
          <w:left w:val="single" w:sz="24" w:space="4" w:color="auto"/>
          <w:bottom w:val="single" w:sz="24" w:space="1" w:color="auto"/>
          <w:right w:val="single" w:sz="24" w:space="4" w:color="auto"/>
        </w:pBdr>
        <w:spacing w:after="240"/>
        <w:contextualSpacing/>
        <w:rPr>
          <w:rFonts w:cs="Arial"/>
          <w:lang w:bidi="en-US"/>
        </w:rPr>
      </w:pPr>
    </w:p>
    <w:p w14:paraId="4DCE4315" w14:textId="77777777" w:rsidR="00315109" w:rsidRPr="008602A1" w:rsidRDefault="00315109" w:rsidP="00A17185">
      <w:pPr>
        <w:spacing w:after="240"/>
        <w:contextualSpacing/>
        <w:rPr>
          <w:rFonts w:cs="Arial"/>
        </w:rPr>
        <w:sectPr w:rsidR="00315109" w:rsidRPr="008602A1" w:rsidSect="00977A84">
          <w:footerReference w:type="default" r:id="rId11"/>
          <w:pgSz w:w="12240" w:h="15840"/>
          <w:pgMar w:top="1440" w:right="1440" w:bottom="1440" w:left="1800" w:header="720" w:footer="720" w:gutter="0"/>
          <w:pgNumType w:start="1"/>
          <w:cols w:space="720"/>
          <w:titlePg/>
          <w:docGrid w:linePitch="360"/>
        </w:sectPr>
      </w:pPr>
    </w:p>
    <w:p w14:paraId="7EDF5C43" w14:textId="77777777" w:rsidR="00941F84" w:rsidRPr="008602A1" w:rsidRDefault="00941F84" w:rsidP="0034052C">
      <w:pPr>
        <w:tabs>
          <w:tab w:val="decimal" w:leader="dot" w:pos="8820"/>
        </w:tabs>
        <w:spacing w:after="240"/>
        <w:ind w:right="-180"/>
        <w:jc w:val="center"/>
        <w:rPr>
          <w:rFonts w:cs="Arial"/>
          <w:b/>
          <w:bCs/>
        </w:rPr>
      </w:pPr>
      <w:r w:rsidRPr="008602A1">
        <w:rPr>
          <w:rFonts w:cs="Arial"/>
          <w:b/>
          <w:bCs/>
        </w:rPr>
        <w:lastRenderedPageBreak/>
        <w:t>California Department of Education</w:t>
      </w:r>
    </w:p>
    <w:p w14:paraId="6F9AE74C" w14:textId="2C5D710E" w:rsidR="00D55C7D" w:rsidRPr="0034052C" w:rsidRDefault="008602A1" w:rsidP="00BA2E5A">
      <w:pPr>
        <w:spacing w:after="240"/>
        <w:jc w:val="center"/>
        <w:rPr>
          <w:rFonts w:cs="Arial"/>
          <w:b/>
        </w:rPr>
      </w:pPr>
      <w:r w:rsidRPr="008602A1">
        <w:rPr>
          <w:rFonts w:cs="Arial"/>
          <w:b/>
        </w:rPr>
        <w:t>Report to the Legislature and the Department of Finance</w:t>
      </w:r>
      <w:r w:rsidR="00BA2E5A">
        <w:rPr>
          <w:rFonts w:cs="Arial"/>
          <w:b/>
        </w:rPr>
        <w:t xml:space="preserve">: </w:t>
      </w:r>
      <w:r w:rsidRPr="008602A1">
        <w:rPr>
          <w:rFonts w:cs="Arial"/>
          <w:b/>
        </w:rPr>
        <w:t xml:space="preserve">Special Education Dispute </w:t>
      </w:r>
      <w:r w:rsidR="00284D82">
        <w:rPr>
          <w:rFonts w:cs="Arial"/>
          <w:b/>
        </w:rPr>
        <w:t>Prevention</w:t>
      </w:r>
      <w:r w:rsidRPr="008602A1">
        <w:rPr>
          <w:rFonts w:cs="Arial"/>
          <w:b/>
        </w:rPr>
        <w:t xml:space="preserve"> and Dispute </w:t>
      </w:r>
      <w:r w:rsidR="00284D82">
        <w:rPr>
          <w:rFonts w:cs="Arial"/>
          <w:b/>
        </w:rPr>
        <w:t>Resolution</w:t>
      </w:r>
      <w:r w:rsidR="007E1BB9">
        <w:rPr>
          <w:rFonts w:cs="Arial"/>
          <w:b/>
        </w:rPr>
        <w:t xml:space="preserve"> (DPDR)</w:t>
      </w:r>
      <w:r w:rsidRPr="008602A1">
        <w:rPr>
          <w:rFonts w:cs="Arial"/>
          <w:b/>
        </w:rPr>
        <w:t xml:space="preserve"> Apportionment</w:t>
      </w:r>
    </w:p>
    <w:p w14:paraId="72DDE4A1" w14:textId="19154164" w:rsidR="001564DF" w:rsidRPr="008D175B" w:rsidRDefault="001564DF" w:rsidP="0034052C">
      <w:pPr>
        <w:spacing w:after="240"/>
        <w:jc w:val="center"/>
        <w:rPr>
          <w:rFonts w:cs="Arial"/>
          <w:b/>
          <w:sz w:val="28"/>
        </w:rPr>
      </w:pPr>
      <w:r w:rsidRPr="008602A1">
        <w:rPr>
          <w:rFonts w:cs="Arial"/>
          <w:b/>
          <w:sz w:val="28"/>
        </w:rPr>
        <w:t>Table of Contents</w:t>
      </w:r>
    </w:p>
    <w:p w14:paraId="44989B8C" w14:textId="4776C03E" w:rsidR="00D55C7D" w:rsidRPr="00EB5B04" w:rsidRDefault="00941F84" w:rsidP="00DC05C6">
      <w:pPr>
        <w:pStyle w:val="TOC1"/>
        <w:rPr>
          <w:rFonts w:asciiTheme="minorHAnsi" w:eastAsiaTheme="minorEastAsia" w:hAnsiTheme="minorHAnsi" w:cstheme="minorBidi"/>
          <w:sz w:val="22"/>
          <w:szCs w:val="22"/>
        </w:rPr>
      </w:pPr>
      <w:r w:rsidRPr="00EB5B04">
        <w:fldChar w:fldCharType="begin"/>
      </w:r>
      <w:r w:rsidRPr="00EB5B04">
        <w:instrText xml:space="preserve"> TOC  \* MERGEFORMAT  \* MERGEFORMAT </w:instrText>
      </w:r>
      <w:r w:rsidRPr="00EB5B04">
        <w:fldChar w:fldCharType="separate"/>
      </w:r>
      <w:r w:rsidR="00D55C7D" w:rsidRPr="00EB5B04">
        <w:t>Executive Summary</w:t>
      </w:r>
      <w:r w:rsidR="00D55C7D" w:rsidRPr="00EB5B04">
        <w:tab/>
      </w:r>
      <w:r w:rsidR="00D55C7D" w:rsidRPr="00EB5B04">
        <w:fldChar w:fldCharType="begin"/>
      </w:r>
      <w:r w:rsidR="00D55C7D" w:rsidRPr="00EB5B04">
        <w:instrText xml:space="preserve"> PAGEREF _Toc147996551 \h </w:instrText>
      </w:r>
      <w:r w:rsidR="00D55C7D" w:rsidRPr="00EB5B04">
        <w:fldChar w:fldCharType="separate"/>
      </w:r>
      <w:r w:rsidR="00167044">
        <w:t>2</w:t>
      </w:r>
      <w:r w:rsidR="00D55C7D" w:rsidRPr="00EB5B04">
        <w:fldChar w:fldCharType="end"/>
      </w:r>
    </w:p>
    <w:p w14:paraId="2D941337" w14:textId="4366765D" w:rsidR="00D55C7D" w:rsidRPr="00EB5B04" w:rsidRDefault="00D55C7D" w:rsidP="00DC05C6">
      <w:pPr>
        <w:pStyle w:val="TOC1"/>
        <w:rPr>
          <w:rFonts w:asciiTheme="minorHAnsi" w:eastAsiaTheme="minorEastAsia" w:hAnsiTheme="minorHAnsi" w:cstheme="minorBidi"/>
          <w:sz w:val="22"/>
          <w:szCs w:val="22"/>
        </w:rPr>
      </w:pPr>
      <w:r w:rsidRPr="00EB5B04">
        <w:t>Background</w:t>
      </w:r>
      <w:r w:rsidRPr="00EB5B04">
        <w:tab/>
      </w:r>
      <w:r w:rsidRPr="00EB5B04">
        <w:fldChar w:fldCharType="begin"/>
      </w:r>
      <w:r w:rsidRPr="00EB5B04">
        <w:instrText xml:space="preserve"> PAGEREF _Toc147996552 \h </w:instrText>
      </w:r>
      <w:r w:rsidRPr="00EB5B04">
        <w:fldChar w:fldCharType="separate"/>
      </w:r>
      <w:r w:rsidR="00167044">
        <w:t>3</w:t>
      </w:r>
      <w:r w:rsidRPr="00EB5B04">
        <w:fldChar w:fldCharType="end"/>
      </w:r>
    </w:p>
    <w:p w14:paraId="24B1F827" w14:textId="498C1431" w:rsidR="00D55C7D" w:rsidRPr="00EB5B04" w:rsidRDefault="00D55C7D" w:rsidP="00DC05C6">
      <w:pPr>
        <w:pStyle w:val="TOC1"/>
        <w:rPr>
          <w:rFonts w:asciiTheme="minorHAnsi" w:eastAsiaTheme="minorEastAsia" w:hAnsiTheme="minorHAnsi" w:cstheme="minorBidi"/>
          <w:sz w:val="22"/>
          <w:szCs w:val="22"/>
        </w:rPr>
      </w:pPr>
      <w:r w:rsidRPr="00EB5B04">
        <w:t>SELPA Background</w:t>
      </w:r>
      <w:r w:rsidRPr="00EB5B04">
        <w:tab/>
      </w:r>
      <w:r w:rsidRPr="00EB5B04">
        <w:fldChar w:fldCharType="begin"/>
      </w:r>
      <w:r w:rsidRPr="00EB5B04">
        <w:instrText xml:space="preserve"> PAGEREF _Toc147996553 \h </w:instrText>
      </w:r>
      <w:r w:rsidRPr="00EB5B04">
        <w:fldChar w:fldCharType="separate"/>
      </w:r>
      <w:r w:rsidR="00167044">
        <w:t>3</w:t>
      </w:r>
      <w:r w:rsidRPr="00EB5B04">
        <w:fldChar w:fldCharType="end"/>
      </w:r>
    </w:p>
    <w:p w14:paraId="5A89BB78" w14:textId="4392D6C2" w:rsidR="00D55C7D" w:rsidRPr="00EB5B04" w:rsidRDefault="00D55C7D" w:rsidP="00DC05C6">
      <w:pPr>
        <w:pStyle w:val="TOC1"/>
        <w:rPr>
          <w:rFonts w:asciiTheme="minorHAnsi" w:eastAsiaTheme="minorEastAsia" w:hAnsiTheme="minorHAnsi" w:cstheme="minorBidi"/>
          <w:sz w:val="22"/>
          <w:szCs w:val="22"/>
        </w:rPr>
      </w:pPr>
      <w:r w:rsidRPr="00EB5B04">
        <w:t>Alternate Dispute Resolution Background</w:t>
      </w:r>
      <w:r w:rsidRPr="00EB5B04">
        <w:tab/>
      </w:r>
      <w:r w:rsidRPr="00EB5B04">
        <w:fldChar w:fldCharType="begin"/>
      </w:r>
      <w:r w:rsidRPr="00EB5B04">
        <w:instrText xml:space="preserve"> PAGEREF _Toc147996554 \h </w:instrText>
      </w:r>
      <w:r w:rsidRPr="00EB5B04">
        <w:fldChar w:fldCharType="separate"/>
      </w:r>
      <w:r w:rsidR="00167044">
        <w:t>4</w:t>
      </w:r>
      <w:r w:rsidRPr="00EB5B04">
        <w:fldChar w:fldCharType="end"/>
      </w:r>
    </w:p>
    <w:p w14:paraId="70E9D97C" w14:textId="51BAE193" w:rsidR="00D55C7D" w:rsidRPr="00EB5B04" w:rsidRDefault="00D55C7D" w:rsidP="00DC05C6">
      <w:pPr>
        <w:pStyle w:val="TOC1"/>
        <w:rPr>
          <w:rFonts w:asciiTheme="minorHAnsi" w:eastAsiaTheme="minorEastAsia" w:hAnsiTheme="minorHAnsi" w:cstheme="minorBidi"/>
          <w:sz w:val="22"/>
          <w:szCs w:val="22"/>
        </w:rPr>
      </w:pPr>
      <w:r w:rsidRPr="00EB5B04">
        <w:t>SELPA Data Results</w:t>
      </w:r>
      <w:r w:rsidRPr="00EB5B04">
        <w:tab/>
      </w:r>
      <w:r w:rsidRPr="00EB5B04">
        <w:fldChar w:fldCharType="begin"/>
      </w:r>
      <w:r w:rsidRPr="00EB5B04">
        <w:instrText xml:space="preserve"> PAGEREF _Toc147996555 \h </w:instrText>
      </w:r>
      <w:r w:rsidRPr="00EB5B04">
        <w:fldChar w:fldCharType="separate"/>
      </w:r>
      <w:r w:rsidR="00167044">
        <w:t>6</w:t>
      </w:r>
      <w:r w:rsidRPr="00EB5B04">
        <w:fldChar w:fldCharType="end"/>
      </w:r>
    </w:p>
    <w:p w14:paraId="564963A8" w14:textId="35D35C42" w:rsidR="00D55C7D" w:rsidRPr="00EB5B04" w:rsidRDefault="00D55C7D" w:rsidP="00DC05C6">
      <w:pPr>
        <w:pStyle w:val="TOC1"/>
        <w:rPr>
          <w:rFonts w:asciiTheme="minorHAnsi" w:eastAsiaTheme="minorEastAsia" w:hAnsiTheme="minorHAnsi" w:cstheme="minorBidi"/>
          <w:sz w:val="22"/>
          <w:szCs w:val="22"/>
        </w:rPr>
      </w:pPr>
      <w:r w:rsidRPr="00EB5B04">
        <w:t>Issues That Generate Requests for DPDR Services</w:t>
      </w:r>
      <w:r w:rsidRPr="00EB5B04">
        <w:tab/>
      </w:r>
      <w:r w:rsidRPr="00EB5B04">
        <w:fldChar w:fldCharType="begin"/>
      </w:r>
      <w:r w:rsidRPr="00EB5B04">
        <w:instrText xml:space="preserve"> PAGEREF _Toc147996556 \h </w:instrText>
      </w:r>
      <w:r w:rsidRPr="00EB5B04">
        <w:fldChar w:fldCharType="separate"/>
      </w:r>
      <w:r w:rsidR="00167044">
        <w:t>7</w:t>
      </w:r>
      <w:r w:rsidRPr="00EB5B04">
        <w:fldChar w:fldCharType="end"/>
      </w:r>
    </w:p>
    <w:p w14:paraId="5880F660" w14:textId="2CED42C7" w:rsidR="00D55C7D" w:rsidRPr="00EB5B04" w:rsidRDefault="00D55C7D" w:rsidP="00DC05C6">
      <w:pPr>
        <w:pStyle w:val="TOC1"/>
        <w:rPr>
          <w:rFonts w:asciiTheme="minorHAnsi" w:eastAsiaTheme="minorEastAsia" w:hAnsiTheme="minorHAnsi" w:cstheme="minorBidi"/>
          <w:sz w:val="22"/>
          <w:szCs w:val="22"/>
        </w:rPr>
      </w:pPr>
      <w:r w:rsidRPr="00EB5B04">
        <w:t>Outreach Activities and Family Empowerment Center Support</w:t>
      </w:r>
      <w:r w:rsidRPr="00EB5B04">
        <w:tab/>
      </w:r>
      <w:r w:rsidRPr="00EB5B04">
        <w:fldChar w:fldCharType="begin"/>
      </w:r>
      <w:r w:rsidRPr="00EB5B04">
        <w:instrText xml:space="preserve"> PAGEREF _Toc147996557 \h </w:instrText>
      </w:r>
      <w:r w:rsidRPr="00EB5B04">
        <w:fldChar w:fldCharType="separate"/>
      </w:r>
      <w:r w:rsidR="00167044">
        <w:t>10</w:t>
      </w:r>
      <w:r w:rsidRPr="00EB5B04">
        <w:fldChar w:fldCharType="end"/>
      </w:r>
    </w:p>
    <w:p w14:paraId="6678B29D" w14:textId="7826B12F" w:rsidR="00D55C7D" w:rsidRPr="00EB5B04" w:rsidRDefault="00D55C7D" w:rsidP="00DC05C6">
      <w:pPr>
        <w:pStyle w:val="TOC1"/>
        <w:rPr>
          <w:rFonts w:asciiTheme="minorHAnsi" w:eastAsiaTheme="minorEastAsia" w:hAnsiTheme="minorHAnsi" w:cstheme="minorBidi"/>
          <w:sz w:val="22"/>
          <w:szCs w:val="22"/>
        </w:rPr>
      </w:pPr>
      <w:r w:rsidRPr="00EB5B04">
        <w:t>Continued Support</w:t>
      </w:r>
      <w:r w:rsidRPr="00EB5B04">
        <w:tab/>
      </w:r>
      <w:r w:rsidRPr="00EB5B04">
        <w:fldChar w:fldCharType="begin"/>
      </w:r>
      <w:r w:rsidRPr="00EB5B04">
        <w:instrText xml:space="preserve"> PAGEREF _Toc147996558 \h </w:instrText>
      </w:r>
      <w:r w:rsidRPr="00EB5B04">
        <w:fldChar w:fldCharType="separate"/>
      </w:r>
      <w:r w:rsidR="00167044">
        <w:t>12</w:t>
      </w:r>
      <w:r w:rsidRPr="00EB5B04">
        <w:fldChar w:fldCharType="end"/>
      </w:r>
    </w:p>
    <w:p w14:paraId="3F6926E6" w14:textId="5E0190B7" w:rsidR="00D55C7D" w:rsidRPr="00EB5B04" w:rsidRDefault="00D55C7D" w:rsidP="00DC05C6">
      <w:pPr>
        <w:pStyle w:val="TOC1"/>
        <w:rPr>
          <w:rFonts w:asciiTheme="minorHAnsi" w:eastAsiaTheme="minorEastAsia" w:hAnsiTheme="minorHAnsi" w:cstheme="minorBidi"/>
          <w:sz w:val="22"/>
          <w:szCs w:val="22"/>
        </w:rPr>
      </w:pPr>
      <w:r w:rsidRPr="00EB5B04">
        <w:t>Conclusion</w:t>
      </w:r>
      <w:r w:rsidRPr="00EB5B04">
        <w:tab/>
      </w:r>
      <w:r w:rsidRPr="00EB5B04">
        <w:fldChar w:fldCharType="begin"/>
      </w:r>
      <w:r w:rsidRPr="00EB5B04">
        <w:instrText xml:space="preserve"> PAGEREF _Toc147996559 \h </w:instrText>
      </w:r>
      <w:r w:rsidRPr="00EB5B04">
        <w:fldChar w:fldCharType="separate"/>
      </w:r>
      <w:r w:rsidR="00167044">
        <w:t>15</w:t>
      </w:r>
      <w:r w:rsidRPr="00EB5B04">
        <w:fldChar w:fldCharType="end"/>
      </w:r>
    </w:p>
    <w:p w14:paraId="400614AE" w14:textId="5BE77F98" w:rsidR="00D55C7D" w:rsidRPr="00EB5B04" w:rsidRDefault="00D55C7D" w:rsidP="00DC05C6">
      <w:pPr>
        <w:pStyle w:val="TOC1"/>
        <w:rPr>
          <w:rFonts w:asciiTheme="minorHAnsi" w:eastAsiaTheme="minorEastAsia" w:hAnsiTheme="minorHAnsi" w:cstheme="minorBidi"/>
          <w:sz w:val="22"/>
          <w:szCs w:val="22"/>
        </w:rPr>
      </w:pPr>
      <w:r w:rsidRPr="00EB5B04">
        <w:t>Appendix A: SELPA Data</w:t>
      </w:r>
      <w:r w:rsidRPr="00EB5B04">
        <w:tab/>
      </w:r>
      <w:r w:rsidRPr="00EB5B04">
        <w:fldChar w:fldCharType="begin"/>
      </w:r>
      <w:r w:rsidRPr="00EB5B04">
        <w:instrText xml:space="preserve"> PAGEREF _Toc147996560 \h </w:instrText>
      </w:r>
      <w:r w:rsidRPr="00EB5B04">
        <w:fldChar w:fldCharType="separate"/>
      </w:r>
      <w:r w:rsidR="00167044">
        <w:t>16</w:t>
      </w:r>
      <w:r w:rsidRPr="00EB5B04">
        <w:fldChar w:fldCharType="end"/>
      </w:r>
    </w:p>
    <w:p w14:paraId="620BE7B6" w14:textId="07606BD3" w:rsidR="00941F84" w:rsidRPr="008602A1" w:rsidRDefault="00941F84" w:rsidP="0034052C">
      <w:pPr>
        <w:tabs>
          <w:tab w:val="decimal" w:leader="dot" w:pos="8820"/>
        </w:tabs>
        <w:spacing w:after="240"/>
        <w:ind w:right="-180"/>
        <w:jc w:val="center"/>
        <w:rPr>
          <w:rFonts w:cs="Arial"/>
        </w:rPr>
      </w:pPr>
      <w:r w:rsidRPr="00EB5B04">
        <w:rPr>
          <w:rFonts w:cs="Arial"/>
        </w:rPr>
        <w:fldChar w:fldCharType="end"/>
      </w:r>
      <w:r w:rsidRPr="008602A1">
        <w:rPr>
          <w:rFonts w:cs="Arial"/>
        </w:rPr>
        <w:br w:type="page"/>
      </w:r>
    </w:p>
    <w:p w14:paraId="224A731D" w14:textId="2CBE1993" w:rsidR="00906E4B" w:rsidRPr="00C236E4" w:rsidRDefault="00906E4B" w:rsidP="00A17185">
      <w:pPr>
        <w:tabs>
          <w:tab w:val="decimal" w:leader="dot" w:pos="8820"/>
        </w:tabs>
        <w:spacing w:after="240" w:line="360" w:lineRule="auto"/>
        <w:ind w:right="-180"/>
        <w:contextualSpacing/>
        <w:jc w:val="center"/>
        <w:rPr>
          <w:rFonts w:cs="Arial"/>
          <w:b/>
          <w:bCs/>
        </w:rPr>
      </w:pPr>
      <w:r w:rsidRPr="00C236E4">
        <w:rPr>
          <w:rFonts w:cs="Arial"/>
          <w:b/>
          <w:bCs/>
        </w:rPr>
        <w:lastRenderedPageBreak/>
        <w:t>California Department of Education</w:t>
      </w:r>
    </w:p>
    <w:p w14:paraId="61A22C26" w14:textId="1988CFD8" w:rsidR="00AB2775" w:rsidRPr="00C236E4" w:rsidRDefault="00AB2775" w:rsidP="00BA2E5A">
      <w:pPr>
        <w:spacing w:after="240" w:line="360" w:lineRule="auto"/>
        <w:contextualSpacing/>
        <w:jc w:val="center"/>
        <w:rPr>
          <w:rFonts w:cs="Arial"/>
          <w:b/>
        </w:rPr>
      </w:pPr>
      <w:r w:rsidRPr="00C236E4">
        <w:rPr>
          <w:rFonts w:cs="Arial"/>
        </w:rPr>
        <w:t xml:space="preserve"> </w:t>
      </w:r>
      <w:r w:rsidRPr="00C236E4">
        <w:rPr>
          <w:rFonts w:cs="Arial"/>
          <w:b/>
        </w:rPr>
        <w:t xml:space="preserve">Report to the </w:t>
      </w:r>
      <w:r w:rsidR="00B91E9B" w:rsidRPr="00C236E4">
        <w:rPr>
          <w:rFonts w:cs="Arial"/>
          <w:b/>
        </w:rPr>
        <w:t xml:space="preserve">California State </w:t>
      </w:r>
      <w:r w:rsidRPr="00C236E4">
        <w:rPr>
          <w:rFonts w:cs="Arial"/>
          <w:b/>
        </w:rPr>
        <w:t>Legislature and the Department of Finance</w:t>
      </w:r>
      <w:r w:rsidR="00BA2E5A">
        <w:rPr>
          <w:rFonts w:cs="Arial"/>
          <w:b/>
        </w:rPr>
        <w:t xml:space="preserve">: </w:t>
      </w:r>
      <w:r w:rsidRPr="00C236E4">
        <w:rPr>
          <w:rFonts w:cs="Arial"/>
          <w:b/>
        </w:rPr>
        <w:t xml:space="preserve">Special Education Dispute </w:t>
      </w:r>
      <w:r w:rsidR="00FD3EB1">
        <w:rPr>
          <w:rFonts w:cs="Arial"/>
          <w:b/>
        </w:rPr>
        <w:t>Prevention</w:t>
      </w:r>
      <w:r w:rsidRPr="00C236E4">
        <w:rPr>
          <w:rFonts w:cs="Arial"/>
          <w:b/>
        </w:rPr>
        <w:t xml:space="preserve"> and Dispute </w:t>
      </w:r>
      <w:r w:rsidR="00FD3EB1">
        <w:rPr>
          <w:rFonts w:cs="Arial"/>
          <w:b/>
        </w:rPr>
        <w:t>Resolution</w:t>
      </w:r>
      <w:r w:rsidRPr="00C236E4">
        <w:rPr>
          <w:rFonts w:cs="Arial"/>
          <w:b/>
        </w:rPr>
        <w:t xml:space="preserve"> Apportionment</w:t>
      </w:r>
    </w:p>
    <w:p w14:paraId="6FEC48A0" w14:textId="16411FEC" w:rsidR="008D175B" w:rsidRPr="00A17185" w:rsidRDefault="00906E4B" w:rsidP="000B4A2F">
      <w:pPr>
        <w:pStyle w:val="Heading2"/>
      </w:pPr>
      <w:bookmarkStart w:id="1" w:name="_Toc147996551"/>
      <w:r w:rsidRPr="00C236E4">
        <w:t>Executive Summary</w:t>
      </w:r>
      <w:bookmarkEnd w:id="1"/>
    </w:p>
    <w:p w14:paraId="18B9AA83" w14:textId="043D5C47" w:rsidR="008D175B" w:rsidRPr="00167044" w:rsidRDefault="00906E4B" w:rsidP="00A17185">
      <w:pPr>
        <w:spacing w:after="240"/>
        <w:rPr>
          <w:rFonts w:eastAsia="Calibri" w:cs="Arial"/>
        </w:rPr>
      </w:pPr>
      <w:r w:rsidRPr="00167044">
        <w:rPr>
          <w:rFonts w:cs="Arial"/>
        </w:rPr>
        <w:t xml:space="preserve">This report is </w:t>
      </w:r>
      <w:r w:rsidR="008602A1" w:rsidRPr="00167044">
        <w:rPr>
          <w:rFonts w:cs="Arial"/>
        </w:rPr>
        <w:t>a requirement of</w:t>
      </w:r>
      <w:r w:rsidR="00BA2E5A" w:rsidRPr="00167044">
        <w:rPr>
          <w:rFonts w:cs="Arial"/>
        </w:rPr>
        <w:t xml:space="preserve"> Assembly Bill (AB) 130 (Ch. 44, Stats. 2021), Section 160</w:t>
      </w:r>
      <w:r w:rsidR="00E601B6" w:rsidRPr="00167044">
        <w:rPr>
          <w:rFonts w:cs="Arial"/>
        </w:rPr>
        <w:t xml:space="preserve">. </w:t>
      </w:r>
      <w:r w:rsidR="00E235DE" w:rsidRPr="00167044">
        <w:rPr>
          <w:rFonts w:cs="Arial"/>
          <w:spacing w:val="5"/>
        </w:rPr>
        <w:t>AB</w:t>
      </w:r>
      <w:r w:rsidR="001444DE" w:rsidRPr="00167044">
        <w:rPr>
          <w:rFonts w:cs="Arial"/>
          <w:spacing w:val="5"/>
        </w:rPr>
        <w:t xml:space="preserve"> </w:t>
      </w:r>
      <w:r w:rsidR="00E235DE" w:rsidRPr="00167044">
        <w:rPr>
          <w:rFonts w:cs="Arial"/>
          <w:spacing w:val="5"/>
        </w:rPr>
        <w:t>130 is the Education Finance: Education Omnibus budget trailer bill</w:t>
      </w:r>
      <w:r w:rsidR="00E235DE" w:rsidRPr="00167044">
        <w:rPr>
          <w:rFonts w:cs="Arial"/>
        </w:rPr>
        <w:t xml:space="preserve">. This bill provided </w:t>
      </w:r>
      <w:r w:rsidR="00E235DE" w:rsidRPr="00167044">
        <w:rPr>
          <w:rFonts w:eastAsia="Calibri" w:cs="Arial"/>
        </w:rPr>
        <w:t xml:space="preserve">provisions and funding for different educational areas in response to difficulties arising from the 2020 </w:t>
      </w:r>
      <w:r w:rsidR="00BA2E5A" w:rsidRPr="00167044">
        <w:rPr>
          <w:rFonts w:eastAsia="Calibri" w:cs="Arial"/>
        </w:rPr>
        <w:t>C</w:t>
      </w:r>
      <w:r w:rsidR="00E235DE" w:rsidRPr="00167044">
        <w:rPr>
          <w:rFonts w:eastAsia="Calibri" w:cs="Arial"/>
        </w:rPr>
        <w:t xml:space="preserve">oronavirus pandemic. </w:t>
      </w:r>
    </w:p>
    <w:p w14:paraId="0C7AF58A" w14:textId="541A6F85" w:rsidR="00AE62EF" w:rsidRPr="00167044" w:rsidRDefault="00163E76" w:rsidP="00A17185">
      <w:pPr>
        <w:spacing w:after="240"/>
        <w:rPr>
          <w:rFonts w:eastAsia="Calibri" w:cs="Arial"/>
        </w:rPr>
      </w:pPr>
      <w:r w:rsidRPr="00167044">
        <w:rPr>
          <w:rFonts w:eastAsia="Calibri" w:cs="Arial"/>
        </w:rPr>
        <w:t xml:space="preserve">AB 130 </w:t>
      </w:r>
      <w:r w:rsidR="00242F00" w:rsidRPr="00167044">
        <w:rPr>
          <w:rFonts w:eastAsia="Calibri" w:cs="Arial"/>
        </w:rPr>
        <w:t xml:space="preserve">Section 160 </w:t>
      </w:r>
      <w:r w:rsidRPr="00167044">
        <w:rPr>
          <w:rFonts w:eastAsia="Calibri" w:cs="Arial"/>
        </w:rPr>
        <w:t xml:space="preserve">provided </w:t>
      </w:r>
      <w:r w:rsidR="00242F00" w:rsidRPr="00167044">
        <w:rPr>
          <w:rFonts w:eastAsia="Calibri" w:cs="Arial"/>
        </w:rPr>
        <w:t>$100</w:t>
      </w:r>
      <w:r w:rsidR="00ED37C3" w:rsidRPr="00167044">
        <w:rPr>
          <w:rFonts w:eastAsia="Calibri" w:cs="Arial"/>
        </w:rPr>
        <w:t xml:space="preserve"> million</w:t>
      </w:r>
      <w:r w:rsidR="00242F00" w:rsidRPr="00167044">
        <w:rPr>
          <w:rFonts w:eastAsia="Calibri" w:cs="Arial"/>
        </w:rPr>
        <w:t xml:space="preserve"> </w:t>
      </w:r>
      <w:r w:rsidRPr="00167044">
        <w:rPr>
          <w:rFonts w:eastAsia="Calibri" w:cs="Arial"/>
        </w:rPr>
        <w:t>for the</w:t>
      </w:r>
      <w:r w:rsidR="00F9381D" w:rsidRPr="00167044">
        <w:rPr>
          <w:rFonts w:eastAsia="Calibri" w:cs="Arial"/>
        </w:rPr>
        <w:t xml:space="preserve"> </w:t>
      </w:r>
      <w:r w:rsidR="004600B0" w:rsidRPr="00167044">
        <w:rPr>
          <w:rFonts w:eastAsia="Calibri" w:cs="Arial"/>
        </w:rPr>
        <w:t>Special Education Local Plan Areas (</w:t>
      </w:r>
      <w:r w:rsidR="00E235DE" w:rsidRPr="00167044">
        <w:rPr>
          <w:rFonts w:eastAsia="Calibri" w:cs="Arial"/>
        </w:rPr>
        <w:t>SELPA</w:t>
      </w:r>
      <w:r w:rsidR="27FAA883" w:rsidRPr="00167044">
        <w:rPr>
          <w:rFonts w:eastAsia="Calibri" w:cs="Arial"/>
        </w:rPr>
        <w:t>s</w:t>
      </w:r>
      <w:r w:rsidR="004600B0" w:rsidRPr="00167044">
        <w:rPr>
          <w:rFonts w:eastAsia="Calibri" w:cs="Arial"/>
        </w:rPr>
        <w:t>)</w:t>
      </w:r>
      <w:r w:rsidR="00F47A38" w:rsidRPr="00167044">
        <w:rPr>
          <w:rFonts w:eastAsia="Calibri" w:cs="Arial"/>
        </w:rPr>
        <w:t xml:space="preserve"> for </w:t>
      </w:r>
      <w:r w:rsidR="00EB2353" w:rsidRPr="00167044">
        <w:rPr>
          <w:rFonts w:eastAsia="Calibri" w:cs="Arial"/>
        </w:rPr>
        <w:t>dispute prevention and dispute resolution</w:t>
      </w:r>
      <w:r w:rsidR="00AB2775" w:rsidRPr="00167044">
        <w:rPr>
          <w:rFonts w:eastAsia="Calibri" w:cs="Arial"/>
        </w:rPr>
        <w:t xml:space="preserve"> (DPDR)</w:t>
      </w:r>
      <w:r w:rsidR="00EB2353" w:rsidRPr="00167044">
        <w:rPr>
          <w:rFonts w:eastAsia="Calibri" w:cs="Arial"/>
        </w:rPr>
        <w:t xml:space="preserve"> in special education</w:t>
      </w:r>
      <w:r w:rsidR="00E235DE" w:rsidRPr="00167044">
        <w:rPr>
          <w:rFonts w:eastAsia="Calibri" w:cs="Arial"/>
        </w:rPr>
        <w:t xml:space="preserve">. </w:t>
      </w:r>
      <w:r w:rsidRPr="00167044">
        <w:rPr>
          <w:rFonts w:eastAsia="Calibri" w:cs="Arial"/>
        </w:rPr>
        <w:t xml:space="preserve">The </w:t>
      </w:r>
      <w:r w:rsidR="00EB2353" w:rsidRPr="00167044">
        <w:rPr>
          <w:rFonts w:eastAsia="Calibri" w:cs="Arial"/>
        </w:rPr>
        <w:t xml:space="preserve">SELPAs received </w:t>
      </w:r>
      <w:r w:rsidR="00E235DE" w:rsidRPr="00167044">
        <w:rPr>
          <w:rFonts w:eastAsia="Calibri" w:cs="Arial"/>
        </w:rPr>
        <w:t xml:space="preserve">these </w:t>
      </w:r>
      <w:r w:rsidR="00EB2353" w:rsidRPr="00167044">
        <w:rPr>
          <w:rFonts w:eastAsia="Calibri" w:cs="Arial"/>
        </w:rPr>
        <w:t xml:space="preserve">funds in </w:t>
      </w:r>
      <w:r w:rsidR="3FF5D217" w:rsidRPr="00167044">
        <w:rPr>
          <w:rFonts w:eastAsia="Calibri" w:cs="Arial"/>
        </w:rPr>
        <w:t>October</w:t>
      </w:r>
      <w:r w:rsidR="00EB2353" w:rsidRPr="00167044">
        <w:rPr>
          <w:rFonts w:eastAsia="Calibri" w:cs="Arial"/>
        </w:rPr>
        <w:t xml:space="preserve"> 2021 based on a </w:t>
      </w:r>
      <w:r w:rsidR="003D01CF" w:rsidRPr="00167044">
        <w:rPr>
          <w:rFonts w:eastAsia="Calibri" w:cs="Arial"/>
        </w:rPr>
        <w:t>per</w:t>
      </w:r>
      <w:r w:rsidR="00BA2E5A" w:rsidRPr="00167044">
        <w:rPr>
          <w:rFonts w:eastAsia="Calibri" w:cs="Arial"/>
        </w:rPr>
        <w:t xml:space="preserve"> </w:t>
      </w:r>
      <w:r w:rsidR="003D01CF" w:rsidRPr="00167044">
        <w:rPr>
          <w:rFonts w:eastAsia="Calibri" w:cs="Arial"/>
        </w:rPr>
        <w:t>pupil</w:t>
      </w:r>
      <w:r w:rsidR="00EB2353" w:rsidRPr="00167044">
        <w:rPr>
          <w:rFonts w:eastAsia="Calibri" w:cs="Arial"/>
        </w:rPr>
        <w:t xml:space="preserve"> calculation. </w:t>
      </w:r>
      <w:r w:rsidRPr="00167044">
        <w:rPr>
          <w:rFonts w:eastAsia="Calibri" w:cs="Arial"/>
        </w:rPr>
        <w:t xml:space="preserve">Eighty </w:t>
      </w:r>
      <w:r w:rsidR="00DB0430" w:rsidRPr="00167044">
        <w:rPr>
          <w:rFonts w:eastAsia="Calibri" w:cs="Arial"/>
        </w:rPr>
        <w:t>percent</w:t>
      </w:r>
      <w:r w:rsidR="00EB2353" w:rsidRPr="00167044">
        <w:rPr>
          <w:rFonts w:eastAsia="Calibri" w:cs="Arial"/>
        </w:rPr>
        <w:t xml:space="preserve"> of the funds </w:t>
      </w:r>
      <w:r w:rsidR="00E235DE" w:rsidRPr="00167044">
        <w:rPr>
          <w:rFonts w:eastAsia="Calibri" w:cs="Arial"/>
        </w:rPr>
        <w:t>were required</w:t>
      </w:r>
      <w:r w:rsidR="00EB2353" w:rsidRPr="00167044">
        <w:rPr>
          <w:rFonts w:eastAsia="Calibri" w:cs="Arial"/>
        </w:rPr>
        <w:t xml:space="preserve"> to be distributed to member </w:t>
      </w:r>
      <w:r w:rsidR="00BA2E5A" w:rsidRPr="00167044">
        <w:rPr>
          <w:rFonts w:eastAsia="Calibri" w:cs="Arial"/>
        </w:rPr>
        <w:t>l</w:t>
      </w:r>
      <w:r w:rsidR="00B91E9B" w:rsidRPr="00167044">
        <w:rPr>
          <w:rFonts w:eastAsia="Calibri" w:cs="Arial"/>
        </w:rPr>
        <w:t xml:space="preserve">ocal </w:t>
      </w:r>
      <w:r w:rsidR="00BA2E5A" w:rsidRPr="00167044">
        <w:rPr>
          <w:rFonts w:eastAsia="Calibri" w:cs="Arial"/>
        </w:rPr>
        <w:t>e</w:t>
      </w:r>
      <w:r w:rsidR="00B91E9B" w:rsidRPr="00167044">
        <w:rPr>
          <w:rFonts w:eastAsia="Calibri" w:cs="Arial"/>
        </w:rPr>
        <w:t xml:space="preserve">ducational </w:t>
      </w:r>
      <w:r w:rsidR="00BA2E5A" w:rsidRPr="00167044">
        <w:rPr>
          <w:rFonts w:eastAsia="Calibri" w:cs="Arial"/>
        </w:rPr>
        <w:t>a</w:t>
      </w:r>
      <w:r w:rsidR="00B91E9B" w:rsidRPr="00167044">
        <w:rPr>
          <w:rFonts w:eastAsia="Calibri" w:cs="Arial"/>
        </w:rPr>
        <w:t>gencies (LEAs)</w:t>
      </w:r>
      <w:r w:rsidR="00E235DE" w:rsidRPr="00167044">
        <w:rPr>
          <w:rFonts w:eastAsia="Calibri" w:cs="Arial"/>
        </w:rPr>
        <w:t>,</w:t>
      </w:r>
      <w:r w:rsidR="00EB2353" w:rsidRPr="00167044">
        <w:rPr>
          <w:rFonts w:eastAsia="Calibri" w:cs="Arial"/>
        </w:rPr>
        <w:t xml:space="preserve"> and</w:t>
      </w:r>
      <w:r w:rsidR="00E235DE" w:rsidRPr="00167044">
        <w:rPr>
          <w:rFonts w:eastAsia="Calibri" w:cs="Arial"/>
        </w:rPr>
        <w:t xml:space="preserve"> all LEAs</w:t>
      </w:r>
      <w:r w:rsidR="00EB2353" w:rsidRPr="00167044">
        <w:rPr>
          <w:rFonts w:eastAsia="Calibri" w:cs="Arial"/>
        </w:rPr>
        <w:t xml:space="preserve"> had until September 30, </w:t>
      </w:r>
      <w:r w:rsidR="000B4DC7" w:rsidRPr="00167044">
        <w:rPr>
          <w:rFonts w:eastAsia="Calibri" w:cs="Arial"/>
        </w:rPr>
        <w:t>2023,</w:t>
      </w:r>
      <w:r w:rsidR="00EB2353" w:rsidRPr="00167044">
        <w:rPr>
          <w:rFonts w:eastAsia="Calibri" w:cs="Arial"/>
        </w:rPr>
        <w:t xml:space="preserve"> to fully encumber funds. All </w:t>
      </w:r>
      <w:r w:rsidRPr="00167044">
        <w:rPr>
          <w:rFonts w:eastAsia="Calibri" w:cs="Arial"/>
        </w:rPr>
        <w:t xml:space="preserve">of the </w:t>
      </w:r>
      <w:r w:rsidR="00E235DE" w:rsidRPr="00167044">
        <w:rPr>
          <w:rFonts w:eastAsia="Calibri" w:cs="Arial"/>
        </w:rPr>
        <w:t>SELPAs</w:t>
      </w:r>
      <w:r w:rsidR="00EB2353" w:rsidRPr="00167044">
        <w:rPr>
          <w:rFonts w:eastAsia="Calibri" w:cs="Arial"/>
        </w:rPr>
        <w:t xml:space="preserve"> were required to submit a </w:t>
      </w:r>
      <w:r w:rsidR="001A0328" w:rsidRPr="00167044">
        <w:rPr>
          <w:rFonts w:eastAsia="Calibri" w:cs="Arial"/>
        </w:rPr>
        <w:t xml:space="preserve">final </w:t>
      </w:r>
      <w:r w:rsidR="00EB2353" w:rsidRPr="00167044">
        <w:rPr>
          <w:rFonts w:eastAsia="Calibri" w:cs="Arial"/>
        </w:rPr>
        <w:t xml:space="preserve">report detailing the </w:t>
      </w:r>
      <w:r w:rsidR="00B91E9B" w:rsidRPr="00167044">
        <w:rPr>
          <w:rFonts w:eastAsia="Calibri" w:cs="Arial"/>
        </w:rPr>
        <w:t xml:space="preserve">proposed </w:t>
      </w:r>
      <w:r w:rsidR="00EB2353" w:rsidRPr="00167044">
        <w:rPr>
          <w:rFonts w:eastAsia="Calibri" w:cs="Arial"/>
        </w:rPr>
        <w:t>usage of funds</w:t>
      </w:r>
      <w:r w:rsidR="00B91E9B" w:rsidRPr="00167044">
        <w:rPr>
          <w:rFonts w:eastAsia="Calibri" w:cs="Arial"/>
        </w:rPr>
        <w:t xml:space="preserve"> to the </w:t>
      </w:r>
      <w:r w:rsidR="00FD3EB1" w:rsidRPr="00167044">
        <w:rPr>
          <w:rFonts w:eastAsia="Calibri" w:cs="Arial"/>
        </w:rPr>
        <w:t>California Department of Education (</w:t>
      </w:r>
      <w:r w:rsidR="00B91E9B" w:rsidRPr="00167044">
        <w:rPr>
          <w:rFonts w:eastAsia="Calibri" w:cs="Arial"/>
        </w:rPr>
        <w:t>CDE</w:t>
      </w:r>
      <w:r w:rsidR="00FD3EB1" w:rsidRPr="00167044">
        <w:rPr>
          <w:rFonts w:eastAsia="Calibri" w:cs="Arial"/>
        </w:rPr>
        <w:t>)</w:t>
      </w:r>
      <w:r w:rsidR="00EB2353" w:rsidRPr="00167044">
        <w:rPr>
          <w:rFonts w:eastAsia="Calibri" w:cs="Arial"/>
        </w:rPr>
        <w:t xml:space="preserve"> as well as demographic and narrative data of the programs and activities that were funded</w:t>
      </w:r>
      <w:r w:rsidR="001A0328" w:rsidRPr="00167044">
        <w:rPr>
          <w:rFonts w:eastAsia="Calibri" w:cs="Arial"/>
        </w:rPr>
        <w:t xml:space="preserve">. </w:t>
      </w:r>
      <w:r w:rsidR="00AB2775" w:rsidRPr="00167044">
        <w:rPr>
          <w:rFonts w:eastAsia="Calibri" w:cs="Arial"/>
        </w:rPr>
        <w:t>The average amount of funding received per SELPA was $</w:t>
      </w:r>
      <w:r w:rsidR="00BF2ED1" w:rsidRPr="00167044">
        <w:rPr>
          <w:rFonts w:cs="Arial"/>
        </w:rPr>
        <w:t>737,790</w:t>
      </w:r>
      <w:r w:rsidR="00AB2775" w:rsidRPr="00167044">
        <w:rPr>
          <w:rFonts w:eastAsia="Calibri" w:cs="Arial"/>
        </w:rPr>
        <w:t xml:space="preserve">. </w:t>
      </w:r>
      <w:r w:rsidR="00EB2353" w:rsidRPr="00167044">
        <w:rPr>
          <w:rFonts w:eastAsia="Calibri" w:cs="Arial"/>
        </w:rPr>
        <w:t>Of the $100</w:t>
      </w:r>
      <w:r w:rsidR="009F10E8" w:rsidRPr="00167044">
        <w:rPr>
          <w:rFonts w:eastAsia="Calibri" w:cs="Arial"/>
        </w:rPr>
        <w:t xml:space="preserve"> million </w:t>
      </w:r>
      <w:r w:rsidR="00AB2775" w:rsidRPr="00167044">
        <w:rPr>
          <w:rFonts w:eastAsia="Calibri" w:cs="Arial"/>
        </w:rPr>
        <w:t>allocated</w:t>
      </w:r>
      <w:r w:rsidR="00EB2353" w:rsidRPr="00167044">
        <w:rPr>
          <w:rFonts w:eastAsia="Calibri" w:cs="Arial"/>
        </w:rPr>
        <w:t xml:space="preserve">, the SELPAs reported spending an average of </w:t>
      </w:r>
      <w:r w:rsidR="00D8266C" w:rsidRPr="00167044">
        <w:rPr>
          <w:rFonts w:eastAsia="Calibri" w:cs="Arial"/>
        </w:rPr>
        <w:t>75</w:t>
      </w:r>
      <w:r w:rsidR="007779B5" w:rsidRPr="00167044">
        <w:rPr>
          <w:rFonts w:eastAsia="Calibri" w:cs="Arial"/>
        </w:rPr>
        <w:t xml:space="preserve"> percent</w:t>
      </w:r>
      <w:r w:rsidR="00EB2353" w:rsidRPr="00167044">
        <w:rPr>
          <w:rFonts w:eastAsia="Calibri" w:cs="Arial"/>
        </w:rPr>
        <w:t xml:space="preserve"> of funds on activities to promote dispute resolution and prevention in </w:t>
      </w:r>
      <w:r w:rsidR="009F10E8" w:rsidRPr="00167044">
        <w:rPr>
          <w:rFonts w:eastAsia="Calibri" w:cs="Arial"/>
        </w:rPr>
        <w:t>s</w:t>
      </w:r>
      <w:r w:rsidR="00EB2353" w:rsidRPr="00167044">
        <w:rPr>
          <w:rFonts w:eastAsia="Calibri" w:cs="Arial"/>
        </w:rPr>
        <w:t xml:space="preserve">pecial </w:t>
      </w:r>
      <w:r w:rsidR="009F10E8" w:rsidRPr="00167044">
        <w:rPr>
          <w:rFonts w:eastAsia="Calibri" w:cs="Arial"/>
        </w:rPr>
        <w:t>e</w:t>
      </w:r>
      <w:r w:rsidR="00EB2353" w:rsidRPr="00167044">
        <w:rPr>
          <w:rFonts w:eastAsia="Calibri" w:cs="Arial"/>
        </w:rPr>
        <w:t xml:space="preserve">ducation. </w:t>
      </w:r>
    </w:p>
    <w:p w14:paraId="0749168A" w14:textId="66459735" w:rsidR="00906E4B" w:rsidRPr="00167044" w:rsidRDefault="00EB2353" w:rsidP="00A17185">
      <w:pPr>
        <w:spacing w:after="240"/>
        <w:rPr>
          <w:rFonts w:eastAsia="Calibri" w:cs="Arial"/>
        </w:rPr>
      </w:pPr>
      <w:r w:rsidRPr="00167044">
        <w:rPr>
          <w:rFonts w:eastAsia="Calibri" w:cs="Arial"/>
        </w:rPr>
        <w:t xml:space="preserve">A </w:t>
      </w:r>
      <w:r w:rsidR="00AB2775" w:rsidRPr="00167044">
        <w:rPr>
          <w:rFonts w:eastAsia="Calibri" w:cs="Arial"/>
        </w:rPr>
        <w:t xml:space="preserve">main </w:t>
      </w:r>
      <w:r w:rsidRPr="00167044">
        <w:rPr>
          <w:rFonts w:eastAsia="Calibri" w:cs="Arial"/>
        </w:rPr>
        <w:t xml:space="preserve">goal of </w:t>
      </w:r>
      <w:r w:rsidR="00AB2775" w:rsidRPr="00167044">
        <w:rPr>
          <w:rFonts w:eastAsia="Calibri" w:cs="Arial"/>
        </w:rPr>
        <w:t>DPDR</w:t>
      </w:r>
      <w:r w:rsidR="008602A1" w:rsidRPr="00167044">
        <w:rPr>
          <w:rFonts w:eastAsia="Calibri" w:cs="Arial"/>
        </w:rPr>
        <w:t xml:space="preserve"> </w:t>
      </w:r>
      <w:r w:rsidR="008602A1" w:rsidRPr="00167044">
        <w:rPr>
          <w:rFonts w:cs="Arial"/>
        </w:rPr>
        <w:t xml:space="preserve">was ensuring that the needs of students with disabilities are met effectively while minimizing conflicts and disputes within the special education </w:t>
      </w:r>
      <w:r w:rsidR="009B5CCC" w:rsidRPr="00167044">
        <w:rPr>
          <w:rFonts w:cs="Arial"/>
        </w:rPr>
        <w:t>process and</w:t>
      </w:r>
      <w:r w:rsidR="008602A1" w:rsidRPr="00167044">
        <w:rPr>
          <w:rFonts w:eastAsia="Calibri" w:cs="Arial"/>
        </w:rPr>
        <w:t xml:space="preserve"> </w:t>
      </w:r>
      <w:r w:rsidR="003D01CF" w:rsidRPr="00167044">
        <w:rPr>
          <w:rFonts w:eastAsia="Calibri" w:cs="Arial"/>
        </w:rPr>
        <w:t>decreasing</w:t>
      </w:r>
      <w:r w:rsidRPr="00167044">
        <w:rPr>
          <w:rFonts w:eastAsia="Calibri" w:cs="Arial"/>
        </w:rPr>
        <w:t xml:space="preserve"> the number of </w:t>
      </w:r>
      <w:r w:rsidR="008602A1" w:rsidRPr="00167044">
        <w:rPr>
          <w:rFonts w:eastAsia="Calibri" w:cs="Arial"/>
        </w:rPr>
        <w:t xml:space="preserve">due process filings and </w:t>
      </w:r>
      <w:r w:rsidRPr="00167044">
        <w:rPr>
          <w:rFonts w:eastAsia="Calibri" w:cs="Arial"/>
        </w:rPr>
        <w:t>Office of Administrative Hearings</w:t>
      </w:r>
      <w:r w:rsidR="008602A1" w:rsidRPr="00167044">
        <w:rPr>
          <w:rFonts w:eastAsia="Calibri" w:cs="Arial"/>
        </w:rPr>
        <w:t xml:space="preserve"> (OAH) cases</w:t>
      </w:r>
      <w:r w:rsidRPr="00167044">
        <w:rPr>
          <w:rFonts w:eastAsia="Calibri" w:cs="Arial"/>
        </w:rPr>
        <w:t xml:space="preserve">. </w:t>
      </w:r>
      <w:r w:rsidR="00163E76" w:rsidRPr="00167044">
        <w:rPr>
          <w:rFonts w:eastAsia="Calibri" w:cs="Arial"/>
        </w:rPr>
        <w:t xml:space="preserve">The </w:t>
      </w:r>
      <w:r w:rsidR="00D8266C" w:rsidRPr="00167044">
        <w:rPr>
          <w:rFonts w:eastAsia="Calibri" w:cs="Arial"/>
        </w:rPr>
        <w:t xml:space="preserve">SELPA </w:t>
      </w:r>
      <w:r w:rsidRPr="00167044">
        <w:rPr>
          <w:rFonts w:eastAsia="Calibri" w:cs="Arial"/>
        </w:rPr>
        <w:t xml:space="preserve">data showed that throughout California, there were over </w:t>
      </w:r>
      <w:r w:rsidR="00D8266C" w:rsidRPr="00167044">
        <w:rPr>
          <w:rFonts w:eastAsia="Calibri" w:cs="Arial"/>
        </w:rPr>
        <w:t>9,138</w:t>
      </w:r>
      <w:r w:rsidRPr="00167044">
        <w:rPr>
          <w:rFonts w:eastAsia="Calibri" w:cs="Arial"/>
        </w:rPr>
        <w:t xml:space="preserve"> disputes </w:t>
      </w:r>
      <w:r w:rsidR="008602A1" w:rsidRPr="00167044">
        <w:rPr>
          <w:rFonts w:eastAsia="Calibri" w:cs="Arial"/>
        </w:rPr>
        <w:t>handled</w:t>
      </w:r>
      <w:r w:rsidR="000A416A" w:rsidRPr="00167044">
        <w:rPr>
          <w:rFonts w:eastAsia="Calibri" w:cs="Arial"/>
        </w:rPr>
        <w:t>,</w:t>
      </w:r>
      <w:r w:rsidR="008602A1" w:rsidRPr="00167044">
        <w:rPr>
          <w:rFonts w:eastAsia="Calibri" w:cs="Arial"/>
        </w:rPr>
        <w:t xml:space="preserve"> and </w:t>
      </w:r>
      <w:r w:rsidR="00D8266C" w:rsidRPr="00167044">
        <w:rPr>
          <w:rFonts w:eastAsia="Calibri" w:cs="Arial"/>
        </w:rPr>
        <w:t>7</w:t>
      </w:r>
      <w:r w:rsidR="001444DE" w:rsidRPr="00167044">
        <w:rPr>
          <w:rFonts w:eastAsia="Calibri" w:cs="Arial"/>
        </w:rPr>
        <w:t>,</w:t>
      </w:r>
      <w:r w:rsidR="00D8266C" w:rsidRPr="00167044">
        <w:rPr>
          <w:rFonts w:eastAsia="Calibri" w:cs="Arial"/>
        </w:rPr>
        <w:t xml:space="preserve">898 cases were </w:t>
      </w:r>
      <w:r w:rsidRPr="00167044">
        <w:rPr>
          <w:rFonts w:eastAsia="Calibri" w:cs="Arial"/>
        </w:rPr>
        <w:t xml:space="preserve">fully resolved within the </w:t>
      </w:r>
      <w:r w:rsidR="00AE62EF" w:rsidRPr="00167044">
        <w:rPr>
          <w:rFonts w:eastAsia="Calibri" w:cs="Arial"/>
        </w:rPr>
        <w:t xml:space="preserve">active </w:t>
      </w:r>
      <w:r w:rsidRPr="00167044">
        <w:rPr>
          <w:rFonts w:eastAsia="Calibri" w:cs="Arial"/>
        </w:rPr>
        <w:t xml:space="preserve">dispute resolution and dispute prevention activities. </w:t>
      </w:r>
      <w:r w:rsidR="00F47A38" w:rsidRPr="00167044">
        <w:rPr>
          <w:rFonts w:eastAsia="Calibri" w:cs="Arial"/>
        </w:rPr>
        <w:t xml:space="preserve">Proponents </w:t>
      </w:r>
      <w:r w:rsidR="003D01CF" w:rsidRPr="00167044">
        <w:rPr>
          <w:rFonts w:eastAsia="Calibri" w:cs="Arial"/>
        </w:rPr>
        <w:t xml:space="preserve">of </w:t>
      </w:r>
      <w:r w:rsidR="00420D90" w:rsidRPr="00167044">
        <w:rPr>
          <w:rFonts w:eastAsia="Calibri" w:cs="Arial"/>
        </w:rPr>
        <w:t>DPDR</w:t>
      </w:r>
      <w:r w:rsidR="00F47A38" w:rsidRPr="00167044">
        <w:rPr>
          <w:rFonts w:eastAsia="Calibri" w:cs="Arial"/>
        </w:rPr>
        <w:t xml:space="preserve"> funds</w:t>
      </w:r>
      <w:r w:rsidR="00420D90" w:rsidRPr="00167044">
        <w:rPr>
          <w:rFonts w:eastAsia="Calibri" w:cs="Arial"/>
        </w:rPr>
        <w:t xml:space="preserve"> </w:t>
      </w:r>
      <w:r w:rsidR="000A416A" w:rsidRPr="00167044">
        <w:rPr>
          <w:rFonts w:eastAsia="Calibri" w:cs="Arial"/>
        </w:rPr>
        <w:t xml:space="preserve">note </w:t>
      </w:r>
      <w:r w:rsidR="00420D90" w:rsidRPr="00167044">
        <w:rPr>
          <w:rFonts w:eastAsia="Calibri" w:cs="Arial"/>
        </w:rPr>
        <w:t xml:space="preserve">that </w:t>
      </w:r>
      <w:r w:rsidR="00AB2775" w:rsidRPr="00167044">
        <w:rPr>
          <w:rFonts w:eastAsia="Calibri" w:cs="Arial"/>
        </w:rPr>
        <w:t xml:space="preserve">efforts to mitigate escalation can prevent costly </w:t>
      </w:r>
      <w:r w:rsidR="003D01CF" w:rsidRPr="00167044">
        <w:rPr>
          <w:rFonts w:eastAsia="Calibri" w:cs="Arial"/>
        </w:rPr>
        <w:t xml:space="preserve">legal </w:t>
      </w:r>
      <w:r w:rsidR="00AB2775" w:rsidRPr="00167044">
        <w:rPr>
          <w:rFonts w:eastAsia="Calibri" w:cs="Arial"/>
        </w:rPr>
        <w:t xml:space="preserve">fees and undue media attention </w:t>
      </w:r>
      <w:r w:rsidR="003D01CF" w:rsidRPr="00167044">
        <w:rPr>
          <w:rFonts w:eastAsia="Calibri" w:cs="Arial"/>
        </w:rPr>
        <w:t xml:space="preserve">from </w:t>
      </w:r>
      <w:r w:rsidR="00AB2775" w:rsidRPr="00167044">
        <w:rPr>
          <w:rFonts w:eastAsia="Calibri" w:cs="Arial"/>
        </w:rPr>
        <w:t xml:space="preserve">a hearing or trial. </w:t>
      </w:r>
      <w:r w:rsidR="00EC7020" w:rsidRPr="00167044">
        <w:rPr>
          <w:rFonts w:eastAsia="Calibri" w:cs="Arial"/>
        </w:rPr>
        <w:t xml:space="preserve">There are no known </w:t>
      </w:r>
      <w:r w:rsidR="003D01CF" w:rsidRPr="00167044">
        <w:rPr>
          <w:rFonts w:eastAsia="Calibri" w:cs="Arial"/>
        </w:rPr>
        <w:t xml:space="preserve">oppositions </w:t>
      </w:r>
      <w:r w:rsidR="00A10BAB" w:rsidRPr="00167044">
        <w:rPr>
          <w:rFonts w:eastAsia="Calibri" w:cs="Arial"/>
        </w:rPr>
        <w:t xml:space="preserve">to these funds. Participation in </w:t>
      </w:r>
      <w:r w:rsidR="00163E76" w:rsidRPr="00167044">
        <w:rPr>
          <w:rFonts w:eastAsia="Calibri" w:cs="Arial"/>
        </w:rPr>
        <w:t xml:space="preserve">the </w:t>
      </w:r>
      <w:r w:rsidR="00A10BAB" w:rsidRPr="00167044">
        <w:rPr>
          <w:rFonts w:eastAsia="Calibri" w:cs="Arial"/>
        </w:rPr>
        <w:t xml:space="preserve">DPDR </w:t>
      </w:r>
      <w:r w:rsidR="008602A1" w:rsidRPr="00167044">
        <w:rPr>
          <w:rFonts w:eastAsia="Calibri" w:cs="Arial"/>
        </w:rPr>
        <w:t xml:space="preserve">activities </w:t>
      </w:r>
      <w:r w:rsidR="00A10BAB" w:rsidRPr="00167044">
        <w:rPr>
          <w:rFonts w:eastAsia="Calibri" w:cs="Arial"/>
        </w:rPr>
        <w:t>does not mean that parents, guardians, or LEAs are exempt from any law or regulations in place regarding the Individual</w:t>
      </w:r>
      <w:r w:rsidR="000A416A" w:rsidRPr="00167044">
        <w:rPr>
          <w:rFonts w:eastAsia="Calibri" w:cs="Arial"/>
        </w:rPr>
        <w:t>ized</w:t>
      </w:r>
      <w:r w:rsidR="00A10BAB" w:rsidRPr="00167044">
        <w:rPr>
          <w:rFonts w:eastAsia="Calibri" w:cs="Arial"/>
        </w:rPr>
        <w:t xml:space="preserve"> Education P</w:t>
      </w:r>
      <w:r w:rsidR="007E1BB9">
        <w:rPr>
          <w:rFonts w:eastAsia="Calibri" w:cs="Arial"/>
        </w:rPr>
        <w:t>rogram</w:t>
      </w:r>
      <w:r w:rsidR="00A10BAB" w:rsidRPr="00167044">
        <w:rPr>
          <w:rFonts w:eastAsia="Calibri" w:cs="Arial"/>
        </w:rPr>
        <w:t xml:space="preserve"> (IEP) process.</w:t>
      </w:r>
    </w:p>
    <w:p w14:paraId="52381574" w14:textId="743C2F43" w:rsidR="00A17185" w:rsidRPr="00167044" w:rsidRDefault="00906E4B" w:rsidP="00A17185">
      <w:pPr>
        <w:tabs>
          <w:tab w:val="right" w:pos="9360"/>
        </w:tabs>
        <w:autoSpaceDE w:val="0"/>
        <w:autoSpaceDN w:val="0"/>
        <w:adjustRightInd w:val="0"/>
        <w:spacing w:after="240"/>
        <w:rPr>
          <w:rFonts w:cs="Arial"/>
          <w:iCs/>
        </w:rPr>
      </w:pPr>
      <w:r w:rsidRPr="00167044">
        <w:rPr>
          <w:rFonts w:cs="Arial"/>
          <w:iCs/>
        </w:rPr>
        <w:t xml:space="preserve">If you have any questions regarding this report, please contact </w:t>
      </w:r>
      <w:r w:rsidR="000F4AD7" w:rsidRPr="00167044">
        <w:rPr>
          <w:rFonts w:cs="Arial"/>
          <w:iCs/>
        </w:rPr>
        <w:t>John Burch</w:t>
      </w:r>
      <w:r w:rsidRPr="00167044">
        <w:rPr>
          <w:rFonts w:cs="Arial"/>
          <w:iCs/>
        </w:rPr>
        <w:t xml:space="preserve">, </w:t>
      </w:r>
      <w:r w:rsidR="000F4AD7" w:rsidRPr="00167044">
        <w:rPr>
          <w:rFonts w:cs="Arial"/>
          <w:iCs/>
        </w:rPr>
        <w:t>Education Administrator</w:t>
      </w:r>
      <w:r w:rsidR="00F13741">
        <w:rPr>
          <w:rFonts w:cs="Arial"/>
          <w:iCs/>
        </w:rPr>
        <w:t xml:space="preserve"> I</w:t>
      </w:r>
      <w:r w:rsidR="000A416A" w:rsidRPr="00167044">
        <w:rPr>
          <w:rFonts w:cs="Arial"/>
          <w:iCs/>
        </w:rPr>
        <w:t>, Special Education Division,</w:t>
      </w:r>
      <w:r w:rsidRPr="00167044">
        <w:rPr>
          <w:rFonts w:cs="Arial"/>
          <w:iCs/>
        </w:rPr>
        <w:t xml:space="preserve"> at </w:t>
      </w:r>
      <w:r w:rsidR="009C5C06" w:rsidRPr="00167044">
        <w:rPr>
          <w:rFonts w:cs="Arial"/>
          <w:iCs/>
        </w:rPr>
        <w:t>9</w:t>
      </w:r>
      <w:r w:rsidRPr="00167044">
        <w:rPr>
          <w:rFonts w:cs="Arial"/>
          <w:iCs/>
        </w:rPr>
        <w:t>16-</w:t>
      </w:r>
      <w:r w:rsidR="00D55C7D" w:rsidRPr="00167044">
        <w:rPr>
          <w:rFonts w:cs="Arial"/>
          <w:iCs/>
        </w:rPr>
        <w:t>445-4891</w:t>
      </w:r>
      <w:r w:rsidRPr="00167044">
        <w:rPr>
          <w:rFonts w:cs="Arial"/>
          <w:iCs/>
        </w:rPr>
        <w:t xml:space="preserve"> or </w:t>
      </w:r>
      <w:hyperlink r:id="rId12" w:tooltip="Email address for John Burch" w:history="1">
        <w:r w:rsidR="000E24B2" w:rsidRPr="00167044">
          <w:rPr>
            <w:rStyle w:val="Hyperlink"/>
            <w:rFonts w:cs="Arial"/>
            <w:iCs/>
          </w:rPr>
          <w:t>JBurch@cde.ca.gov</w:t>
        </w:r>
      </w:hyperlink>
      <w:r w:rsidR="000A416A" w:rsidRPr="00167044">
        <w:rPr>
          <w:rFonts w:cs="Arial"/>
          <w:iCs/>
        </w:rPr>
        <w:t>.</w:t>
      </w:r>
    </w:p>
    <w:p w14:paraId="0C580DDF" w14:textId="3067C4B0" w:rsidR="00906E4B" w:rsidRPr="00167044" w:rsidRDefault="00906E4B" w:rsidP="00A17185">
      <w:pPr>
        <w:tabs>
          <w:tab w:val="right" w:pos="9360"/>
        </w:tabs>
        <w:autoSpaceDE w:val="0"/>
        <w:autoSpaceDN w:val="0"/>
        <w:adjustRightInd w:val="0"/>
        <w:spacing w:after="240"/>
        <w:rPr>
          <w:rFonts w:cs="Arial"/>
          <w:iCs/>
        </w:rPr>
      </w:pPr>
      <w:r w:rsidRPr="00167044">
        <w:rPr>
          <w:rFonts w:cs="Arial"/>
          <w:bCs/>
        </w:rPr>
        <w:t xml:space="preserve">You </w:t>
      </w:r>
      <w:r w:rsidR="000A416A" w:rsidRPr="00167044">
        <w:rPr>
          <w:rFonts w:cs="Arial"/>
          <w:bCs/>
        </w:rPr>
        <w:t>will</w:t>
      </w:r>
      <w:r w:rsidRPr="00167044">
        <w:rPr>
          <w:rFonts w:cs="Arial"/>
          <w:bCs/>
        </w:rPr>
        <w:t xml:space="preserve"> find this report </w:t>
      </w:r>
      <w:r w:rsidR="003D01CF" w:rsidRPr="00167044">
        <w:rPr>
          <w:rFonts w:cs="Arial"/>
          <w:bCs/>
        </w:rPr>
        <w:t xml:space="preserve">on </w:t>
      </w:r>
      <w:r w:rsidRPr="00167044">
        <w:rPr>
          <w:rFonts w:cs="Arial"/>
          <w:bCs/>
        </w:rPr>
        <w:t xml:space="preserve">the </w:t>
      </w:r>
      <w:r w:rsidR="00086F9B">
        <w:rPr>
          <w:rFonts w:cs="Arial"/>
          <w:bCs/>
        </w:rPr>
        <w:t>CDE Special Education Laws, Regulations, and Policies web page</w:t>
      </w:r>
      <w:r w:rsidR="00086F9B" w:rsidRPr="00BE4B7D">
        <w:rPr>
          <w:rFonts w:cs="Arial"/>
          <w:bCs/>
        </w:rPr>
        <w:t xml:space="preserve"> at</w:t>
      </w:r>
      <w:r w:rsidR="00086F9B" w:rsidRPr="00B22375">
        <w:t xml:space="preserve"> </w:t>
      </w:r>
      <w:hyperlink r:id="rId13" w:tooltip="CDE Special Education Laws, Regulations, and Policies web page" w:history="1">
        <w:r w:rsidR="00086F9B" w:rsidRPr="00526809">
          <w:rPr>
            <w:rStyle w:val="Hyperlink"/>
            <w:rFonts w:cs="Arial"/>
            <w:bCs/>
          </w:rPr>
          <w:t>https://www.cde.ca.gov/sp/se/lr/</w:t>
        </w:r>
      </w:hyperlink>
      <w:r w:rsidR="000A416A" w:rsidRPr="00167044">
        <w:rPr>
          <w:rFonts w:cs="Arial"/>
          <w:bCs/>
        </w:rPr>
        <w:t xml:space="preserve">. </w:t>
      </w:r>
      <w:r w:rsidR="00E601B6" w:rsidRPr="00167044">
        <w:rPr>
          <w:rFonts w:cs="Arial"/>
          <w:bCs/>
        </w:rPr>
        <w:t>I</w:t>
      </w:r>
      <w:r w:rsidRPr="00167044">
        <w:rPr>
          <w:rFonts w:cs="Arial"/>
          <w:bCs/>
        </w:rPr>
        <w:t xml:space="preserve">f you need a copy of this report, please contact </w:t>
      </w:r>
      <w:r w:rsidR="008602A1" w:rsidRPr="00167044">
        <w:rPr>
          <w:rFonts w:cs="Arial"/>
          <w:bCs/>
        </w:rPr>
        <w:t>Samantha Roan</w:t>
      </w:r>
      <w:r w:rsidR="000A416A" w:rsidRPr="00167044">
        <w:rPr>
          <w:rFonts w:cs="Arial"/>
          <w:bCs/>
        </w:rPr>
        <w:t xml:space="preserve">, Education Programs Consultant, Special Education Division, </w:t>
      </w:r>
      <w:r w:rsidRPr="00167044">
        <w:rPr>
          <w:rFonts w:cs="Arial"/>
          <w:bCs/>
        </w:rPr>
        <w:t>at 916-</w:t>
      </w:r>
      <w:r w:rsidR="008602A1" w:rsidRPr="00167044">
        <w:rPr>
          <w:rFonts w:cs="Arial"/>
          <w:bCs/>
        </w:rPr>
        <w:t>327-3674</w:t>
      </w:r>
      <w:r w:rsidRPr="00167044">
        <w:rPr>
          <w:rFonts w:cs="Arial"/>
          <w:bCs/>
        </w:rPr>
        <w:t xml:space="preserve"> or </w:t>
      </w:r>
      <w:hyperlink r:id="rId14" w:tooltip="Email address for Samantha Roan" w:history="1">
        <w:r w:rsidR="000A416A" w:rsidRPr="00167044">
          <w:rPr>
            <w:rStyle w:val="Hyperlink"/>
            <w:rFonts w:cs="Arial"/>
            <w:bCs/>
          </w:rPr>
          <w:t>SRoan@cde.ca.gov</w:t>
        </w:r>
      </w:hyperlink>
      <w:r w:rsidR="000A416A" w:rsidRPr="00167044">
        <w:rPr>
          <w:rFonts w:cs="Arial"/>
          <w:bCs/>
        </w:rPr>
        <w:t xml:space="preserve">. </w:t>
      </w:r>
    </w:p>
    <w:p w14:paraId="06A26F35" w14:textId="5B72704F" w:rsidR="002D5DE4" w:rsidRPr="00A17185" w:rsidRDefault="00AB2775" w:rsidP="000B4A2F">
      <w:pPr>
        <w:pStyle w:val="Heading3"/>
      </w:pPr>
      <w:bookmarkStart w:id="2" w:name="_Toc147996552"/>
      <w:r w:rsidRPr="001A0328">
        <w:lastRenderedPageBreak/>
        <w:t>Background</w:t>
      </w:r>
      <w:bookmarkEnd w:id="2"/>
    </w:p>
    <w:p w14:paraId="0EE93D15" w14:textId="553D0C33" w:rsidR="002D5DE4" w:rsidRPr="00C236E4" w:rsidRDefault="00EF4E96" w:rsidP="000B4A2F">
      <w:pPr>
        <w:spacing w:after="240"/>
        <w:rPr>
          <w:rFonts w:cs="Arial"/>
        </w:rPr>
      </w:pPr>
      <w:r>
        <w:rPr>
          <w:rFonts w:cs="Arial"/>
        </w:rPr>
        <w:t>AB</w:t>
      </w:r>
      <w:r w:rsidR="002D5DE4" w:rsidRPr="00C236E4">
        <w:rPr>
          <w:rFonts w:cs="Arial"/>
        </w:rPr>
        <w:t xml:space="preserve"> 130</w:t>
      </w:r>
      <w:r w:rsidR="001444DE">
        <w:rPr>
          <w:rFonts w:cs="Arial"/>
        </w:rPr>
        <w:t xml:space="preserve"> (Ch. 44, Stats. 2021)</w:t>
      </w:r>
      <w:r w:rsidR="002D5DE4" w:rsidRPr="00C236E4">
        <w:rPr>
          <w:rFonts w:cs="Arial"/>
        </w:rPr>
        <w:t>, Section 160</w:t>
      </w:r>
      <w:r w:rsidR="007779B5">
        <w:rPr>
          <w:rFonts w:cs="Arial"/>
        </w:rPr>
        <w:t xml:space="preserve"> </w:t>
      </w:r>
      <w:r w:rsidR="003D01CF">
        <w:rPr>
          <w:rFonts w:cs="Arial"/>
        </w:rPr>
        <w:t xml:space="preserve">provided </w:t>
      </w:r>
      <w:r w:rsidR="002D5DE4" w:rsidRPr="00C236E4">
        <w:rPr>
          <w:rFonts w:cs="Arial"/>
        </w:rPr>
        <w:t>$100 million</w:t>
      </w:r>
      <w:r w:rsidR="00D8266C" w:rsidRPr="00C236E4">
        <w:rPr>
          <w:rFonts w:cs="Arial"/>
        </w:rPr>
        <w:t xml:space="preserve"> </w:t>
      </w:r>
      <w:r w:rsidR="002D5DE4" w:rsidRPr="00C236E4">
        <w:rPr>
          <w:rFonts w:cs="Arial"/>
        </w:rPr>
        <w:t xml:space="preserve">from the General Fund to the </w:t>
      </w:r>
      <w:r w:rsidR="007779B5">
        <w:rPr>
          <w:rFonts w:cs="Arial"/>
        </w:rPr>
        <w:t xml:space="preserve">State </w:t>
      </w:r>
      <w:r w:rsidR="002D5DE4" w:rsidRPr="00C236E4">
        <w:rPr>
          <w:rFonts w:cs="Arial"/>
        </w:rPr>
        <w:t xml:space="preserve">Superintendent of Public Instruction for </w:t>
      </w:r>
      <w:r w:rsidR="00163E76">
        <w:rPr>
          <w:rFonts w:cs="Arial"/>
        </w:rPr>
        <w:t xml:space="preserve">the </w:t>
      </w:r>
      <w:r w:rsidR="002D5DE4" w:rsidRPr="00C236E4">
        <w:rPr>
          <w:rFonts w:cs="Arial"/>
        </w:rPr>
        <w:t>SELPAs to support</w:t>
      </w:r>
      <w:r w:rsidR="009F10E8">
        <w:rPr>
          <w:rFonts w:cs="Arial"/>
        </w:rPr>
        <w:t xml:space="preserve"> </w:t>
      </w:r>
      <w:r w:rsidR="001A0328">
        <w:rPr>
          <w:rFonts w:cs="Arial"/>
        </w:rPr>
        <w:t xml:space="preserve">their member </w:t>
      </w:r>
      <w:r w:rsidR="002D5DE4" w:rsidRPr="00C236E4">
        <w:rPr>
          <w:rFonts w:cs="Arial"/>
        </w:rPr>
        <w:t xml:space="preserve">LEAs in resolving special education disputes caused by COVID-19 disruptions between March 13, 2020, and September 1, 2021. The </w:t>
      </w:r>
      <w:r w:rsidR="00FF67D8">
        <w:rPr>
          <w:rFonts w:cs="Arial"/>
        </w:rPr>
        <w:t xml:space="preserve">State </w:t>
      </w:r>
      <w:r w:rsidR="00FF67D8" w:rsidRPr="00C236E4">
        <w:rPr>
          <w:rFonts w:cs="Arial"/>
        </w:rPr>
        <w:t>Superintendent of Public Instruction</w:t>
      </w:r>
      <w:r w:rsidR="00FF67D8" w:rsidDel="00FF67D8">
        <w:rPr>
          <w:rFonts w:cs="Arial"/>
        </w:rPr>
        <w:t xml:space="preserve"> </w:t>
      </w:r>
      <w:r w:rsidR="002D5DE4" w:rsidRPr="00C236E4">
        <w:rPr>
          <w:rFonts w:cs="Arial"/>
        </w:rPr>
        <w:t xml:space="preserve">distributed these funds equally per pupil </w:t>
      </w:r>
      <w:r w:rsidR="00D8266C" w:rsidRPr="00C236E4">
        <w:rPr>
          <w:rFonts w:cs="Arial"/>
        </w:rPr>
        <w:t xml:space="preserve">with exceptional needs </w:t>
      </w:r>
      <w:r w:rsidR="002D5DE4" w:rsidRPr="00C236E4">
        <w:rPr>
          <w:rFonts w:cs="Arial"/>
        </w:rPr>
        <w:t>among</w:t>
      </w:r>
      <w:r w:rsidR="004E5EB7" w:rsidRPr="00C236E4">
        <w:rPr>
          <w:rFonts w:cs="Arial"/>
        </w:rPr>
        <w:t>st</w:t>
      </w:r>
      <w:r w:rsidR="002D5DE4" w:rsidRPr="00C236E4">
        <w:rPr>
          <w:rFonts w:cs="Arial"/>
        </w:rPr>
        <w:t xml:space="preserve"> </w:t>
      </w:r>
      <w:r w:rsidR="00163E76">
        <w:rPr>
          <w:rFonts w:cs="Arial"/>
        </w:rPr>
        <w:t xml:space="preserve">the </w:t>
      </w:r>
      <w:r w:rsidR="002D5DE4" w:rsidRPr="00C236E4">
        <w:rPr>
          <w:rFonts w:cs="Arial"/>
        </w:rPr>
        <w:t>SELPAs</w:t>
      </w:r>
      <w:r w:rsidR="004E5EB7" w:rsidRPr="00C236E4">
        <w:rPr>
          <w:rFonts w:cs="Arial"/>
        </w:rPr>
        <w:t xml:space="preserve">. </w:t>
      </w:r>
      <w:r w:rsidR="002D5DE4" w:rsidRPr="00C236E4">
        <w:rPr>
          <w:rFonts w:cs="Arial"/>
        </w:rPr>
        <w:t xml:space="preserve">To receive these funds, </w:t>
      </w:r>
      <w:r w:rsidR="00163E76">
        <w:rPr>
          <w:rFonts w:cs="Arial"/>
        </w:rPr>
        <w:t xml:space="preserve">the </w:t>
      </w:r>
      <w:r w:rsidR="002D5DE4" w:rsidRPr="00C236E4">
        <w:rPr>
          <w:rFonts w:cs="Arial"/>
        </w:rPr>
        <w:t xml:space="preserve">SELPAs submitted plans to the </w:t>
      </w:r>
      <w:r w:rsidR="009F10E8">
        <w:rPr>
          <w:rFonts w:cs="Arial"/>
        </w:rPr>
        <w:t>CDE</w:t>
      </w:r>
      <w:r w:rsidR="002D5DE4" w:rsidRPr="00C236E4">
        <w:rPr>
          <w:rFonts w:cs="Arial"/>
        </w:rPr>
        <w:t xml:space="preserve"> by October 1, </w:t>
      </w:r>
      <w:r w:rsidR="4ED9BCFD" w:rsidRPr="00C236E4">
        <w:rPr>
          <w:rFonts w:cs="Arial"/>
        </w:rPr>
        <w:t>2021,</w:t>
      </w:r>
      <w:r w:rsidR="002D5DE4" w:rsidRPr="00C236E4">
        <w:rPr>
          <w:rFonts w:cs="Arial"/>
        </w:rPr>
        <w:t xml:space="preserve"> detailing how they </w:t>
      </w:r>
      <w:r w:rsidR="00FF67D8">
        <w:rPr>
          <w:rFonts w:cs="Arial"/>
        </w:rPr>
        <w:t>would</w:t>
      </w:r>
      <w:r w:rsidR="00FF67D8" w:rsidRPr="00C236E4">
        <w:rPr>
          <w:rFonts w:cs="Arial"/>
        </w:rPr>
        <w:t xml:space="preserve"> </w:t>
      </w:r>
      <w:r w:rsidR="002D5DE4" w:rsidRPr="00C236E4">
        <w:rPr>
          <w:rFonts w:cs="Arial"/>
        </w:rPr>
        <w:t xml:space="preserve">support </w:t>
      </w:r>
      <w:r w:rsidR="041B0067" w:rsidRPr="00C236E4">
        <w:rPr>
          <w:rFonts w:cs="Arial"/>
        </w:rPr>
        <w:t>LEAs</w:t>
      </w:r>
      <w:r w:rsidR="002D5DE4" w:rsidRPr="00C236E4">
        <w:rPr>
          <w:rFonts w:cs="Arial"/>
        </w:rPr>
        <w:t xml:space="preserve"> in dispute prevention and resolution, </w:t>
      </w:r>
      <w:r w:rsidR="00FF67D8">
        <w:rPr>
          <w:rFonts w:cs="Arial"/>
        </w:rPr>
        <w:t>which included</w:t>
      </w:r>
      <w:r w:rsidR="00FF67D8" w:rsidRPr="00C236E4">
        <w:rPr>
          <w:rFonts w:cs="Arial"/>
        </w:rPr>
        <w:t xml:space="preserve"> </w:t>
      </w:r>
      <w:r w:rsidR="002D5DE4" w:rsidRPr="00C236E4">
        <w:rPr>
          <w:rFonts w:cs="Arial"/>
        </w:rPr>
        <w:t xml:space="preserve">proposed expenditures and </w:t>
      </w:r>
      <w:r w:rsidR="00AE62EF">
        <w:rPr>
          <w:rFonts w:cs="Arial"/>
        </w:rPr>
        <w:t>allocation information.</w:t>
      </w:r>
      <w:r w:rsidR="002D5DE4" w:rsidRPr="00C236E4">
        <w:rPr>
          <w:rFonts w:cs="Arial"/>
        </w:rPr>
        <w:t xml:space="preserve"> The funds were distributed as an additional apportionment in October of 2021. </w:t>
      </w:r>
    </w:p>
    <w:p w14:paraId="544A75CE" w14:textId="77777777" w:rsidR="00110AE9" w:rsidRPr="00C236E4" w:rsidRDefault="002D5DE4" w:rsidP="000B4A2F">
      <w:pPr>
        <w:spacing w:after="240"/>
        <w:rPr>
          <w:rFonts w:cs="Arial"/>
        </w:rPr>
      </w:pPr>
      <w:r w:rsidRPr="00C236E4">
        <w:rPr>
          <w:rFonts w:cs="Arial"/>
        </w:rPr>
        <w:t xml:space="preserve">The funds provided under this legislation were to be used for several key purposes: </w:t>
      </w:r>
    </w:p>
    <w:p w14:paraId="43F8C39D" w14:textId="7633A645" w:rsidR="009F10E8" w:rsidRPr="00C236E4" w:rsidRDefault="002D5DE4" w:rsidP="000B4A2F">
      <w:pPr>
        <w:spacing w:after="240"/>
        <w:ind w:left="720"/>
        <w:rPr>
          <w:rFonts w:cs="Arial"/>
        </w:rPr>
      </w:pPr>
      <w:r w:rsidRPr="00C236E4">
        <w:rPr>
          <w:rFonts w:cs="Arial"/>
        </w:rPr>
        <w:t>1.</w:t>
      </w:r>
      <w:r w:rsidR="00D8266C" w:rsidRPr="00C236E4">
        <w:rPr>
          <w:rFonts w:cs="Arial"/>
        </w:rPr>
        <w:t xml:space="preserve"> </w:t>
      </w:r>
      <w:r w:rsidRPr="00C236E4">
        <w:rPr>
          <w:rFonts w:cs="Arial"/>
        </w:rPr>
        <w:t xml:space="preserve">Early Intervention: This involves promoting collaboration and positive relationships between families and schools, preventing disputes through proactive communication, collaborative problem-solving, parent education regarding special education processes and rights, and support for families with language barriers. </w:t>
      </w:r>
    </w:p>
    <w:p w14:paraId="308C9205" w14:textId="02BEF9B4" w:rsidR="009F10E8" w:rsidRPr="00C236E4" w:rsidRDefault="002D5DE4" w:rsidP="000B4A2F">
      <w:pPr>
        <w:spacing w:after="240"/>
        <w:ind w:left="720"/>
        <w:rPr>
          <w:rFonts w:cs="Arial"/>
        </w:rPr>
      </w:pPr>
      <w:r w:rsidRPr="00C236E4">
        <w:rPr>
          <w:rFonts w:cs="Arial"/>
        </w:rPr>
        <w:t xml:space="preserve">2. Voluntary Alternative Dispute Resolution: This includes offering alternative dispute resolution for issues not resolved through the </w:t>
      </w:r>
      <w:r w:rsidR="002F594F">
        <w:rPr>
          <w:rFonts w:cs="Arial"/>
        </w:rPr>
        <w:t>IEP</w:t>
      </w:r>
      <w:r w:rsidRPr="00C236E4">
        <w:rPr>
          <w:rFonts w:cs="Arial"/>
        </w:rPr>
        <w:t xml:space="preserve"> process. It emphasizes that the process is voluntary and </w:t>
      </w:r>
      <w:r w:rsidR="003D01CF">
        <w:rPr>
          <w:rFonts w:cs="Arial"/>
        </w:rPr>
        <w:t xml:space="preserve">the </w:t>
      </w:r>
      <w:r w:rsidRPr="00C236E4">
        <w:rPr>
          <w:rFonts w:cs="Arial"/>
        </w:rPr>
        <w:t>staff involved must act as neutral parties. The goal is to reach agreements quickly and at no cost to parents to support learning recovery.</w:t>
      </w:r>
    </w:p>
    <w:p w14:paraId="61A275E6" w14:textId="4F9E2351" w:rsidR="009F10E8" w:rsidRPr="00C236E4" w:rsidRDefault="002D5DE4" w:rsidP="000B4A2F">
      <w:pPr>
        <w:spacing w:after="240"/>
        <w:ind w:left="720"/>
        <w:rPr>
          <w:rFonts w:cs="Arial"/>
        </w:rPr>
      </w:pPr>
      <w:r w:rsidRPr="16BC8463">
        <w:rPr>
          <w:rFonts w:cs="Arial"/>
        </w:rPr>
        <w:t>3. Partnership with Family Support Organizations: L</w:t>
      </w:r>
      <w:r w:rsidR="7868408A" w:rsidRPr="16BC8463">
        <w:rPr>
          <w:rFonts w:cs="Arial"/>
        </w:rPr>
        <w:t>EAs</w:t>
      </w:r>
      <w:r w:rsidRPr="16BC8463">
        <w:rPr>
          <w:rFonts w:cs="Arial"/>
        </w:rPr>
        <w:t xml:space="preserve"> are encouraged to partner with family empowerment centers </w:t>
      </w:r>
      <w:r w:rsidR="006F362E">
        <w:rPr>
          <w:rFonts w:cs="Arial"/>
        </w:rPr>
        <w:t xml:space="preserve">(FECs) </w:t>
      </w:r>
      <w:r w:rsidRPr="16BC8463">
        <w:rPr>
          <w:rFonts w:cs="Arial"/>
        </w:rPr>
        <w:t>and similar organizations to prevent and resolve disputes in a pupil-centered, collaborative, and equitable manner.</w:t>
      </w:r>
    </w:p>
    <w:p w14:paraId="514BF561" w14:textId="6058A76F" w:rsidR="00110AE9" w:rsidRPr="00C236E4" w:rsidRDefault="002D5DE4" w:rsidP="000B4A2F">
      <w:pPr>
        <w:spacing w:after="240"/>
        <w:ind w:left="720"/>
        <w:rPr>
          <w:rFonts w:cs="Arial"/>
        </w:rPr>
      </w:pPr>
      <w:r w:rsidRPr="00C236E4">
        <w:rPr>
          <w:rFonts w:cs="Arial"/>
        </w:rPr>
        <w:t xml:space="preserve">4. Identifying and Assisting Families with Barriers: Agencies should develop plans to identify and reach out to families facing language barriers and other challenges in participating in the special education process. These families have experienced significant disruptions to their education due to the </w:t>
      </w:r>
      <w:r w:rsidR="001444DE" w:rsidRPr="00C236E4">
        <w:rPr>
          <w:rFonts w:cs="Arial"/>
        </w:rPr>
        <w:t>C</w:t>
      </w:r>
      <w:r w:rsidR="001444DE">
        <w:rPr>
          <w:rFonts w:cs="Arial"/>
        </w:rPr>
        <w:t>OVID</w:t>
      </w:r>
      <w:r w:rsidRPr="00C236E4">
        <w:rPr>
          <w:rFonts w:cs="Arial"/>
        </w:rPr>
        <w:t>-19 pandemic</w:t>
      </w:r>
      <w:r w:rsidR="00A17185">
        <w:rPr>
          <w:rFonts w:cs="Arial"/>
        </w:rPr>
        <w:t xml:space="preserve">. </w:t>
      </w:r>
    </w:p>
    <w:p w14:paraId="230360E2" w14:textId="737E1547" w:rsidR="006E4788" w:rsidRPr="000E24B2" w:rsidRDefault="00FE2112" w:rsidP="00D7011E">
      <w:pPr>
        <w:rPr>
          <w:b/>
        </w:rPr>
      </w:pPr>
      <w:r w:rsidRPr="000E24B2">
        <w:t>This legislation was intended to offer needed financial assistance to SELPAs and LEAs</w:t>
      </w:r>
      <w:r w:rsidR="002F594F" w:rsidRPr="000E24B2">
        <w:t xml:space="preserve"> and enable</w:t>
      </w:r>
      <w:r w:rsidRPr="000E24B2">
        <w:t xml:space="preserve"> them to collaborate with local stakeholders in resolving special education disputes arising from the COVID-19 pandemic before resorting to expensive and time-consuming due process hearings or OAH filings.</w:t>
      </w:r>
      <w:bookmarkStart w:id="3" w:name="_Toc147996553"/>
    </w:p>
    <w:p w14:paraId="353065BA" w14:textId="4703290D" w:rsidR="004522FC" w:rsidRDefault="00D8266C" w:rsidP="000B4A2F">
      <w:pPr>
        <w:pStyle w:val="Heading4"/>
      </w:pPr>
      <w:r>
        <w:t>S</w:t>
      </w:r>
      <w:r w:rsidR="50D34B6D">
        <w:t>ELPA</w:t>
      </w:r>
      <w:r>
        <w:t xml:space="preserve"> Background</w:t>
      </w:r>
      <w:bookmarkEnd w:id="3"/>
    </w:p>
    <w:p w14:paraId="0D6F4E63" w14:textId="6F158788" w:rsidR="00A655C5" w:rsidRPr="004522FC" w:rsidRDefault="00A655C5" w:rsidP="000B4A2F">
      <w:pPr>
        <w:spacing w:after="240"/>
        <w:rPr>
          <w:rFonts w:cstheme="majorBidi"/>
        </w:rPr>
      </w:pPr>
      <w:r w:rsidRPr="00C236E4">
        <w:t xml:space="preserve">In 1977, all school districts and county school offices were mandated to form consortiums in geographical regions of sufficient size and scope to provide for all </w:t>
      </w:r>
      <w:r w:rsidRPr="00C236E4">
        <w:lastRenderedPageBreak/>
        <w:t xml:space="preserve">special education service needs of children residing within the </w:t>
      </w:r>
      <w:r w:rsidR="00400F6A">
        <w:t>region’s</w:t>
      </w:r>
      <w:r w:rsidR="00400F6A" w:rsidRPr="00C236E4">
        <w:t xml:space="preserve"> </w:t>
      </w:r>
      <w:r w:rsidRPr="00C236E4">
        <w:t xml:space="preserve">boundaries. Each region, </w:t>
      </w:r>
      <w:r w:rsidR="00D8266C" w:rsidRPr="00C236E4">
        <w:t xml:space="preserve">or </w:t>
      </w:r>
      <w:r w:rsidRPr="00C236E4">
        <w:t>SELPA, developed a local plan describing how it would provide special education services.</w:t>
      </w:r>
      <w:r w:rsidR="004E5EB7" w:rsidRPr="00C236E4">
        <w:t xml:space="preserve"> </w:t>
      </w:r>
      <w:r w:rsidRPr="00C236E4">
        <w:t xml:space="preserve">The SELPA collaborates with county agencies and school districts to develop and maintain healthy and enriching environments in which </w:t>
      </w:r>
      <w:r w:rsidR="00D8266C" w:rsidRPr="00C236E4">
        <w:t>special</w:t>
      </w:r>
      <w:r w:rsidRPr="00C236E4">
        <w:t xml:space="preserve"> needs students and families can live and succeed.</w:t>
      </w:r>
    </w:p>
    <w:p w14:paraId="785A2218" w14:textId="24B98AD6" w:rsidR="00A655C5" w:rsidRPr="00C236E4" w:rsidRDefault="00A655C5" w:rsidP="000B4A2F">
      <w:pPr>
        <w:pStyle w:val="NormalWeb"/>
        <w:shd w:val="clear" w:color="auto" w:fill="FFFFFF"/>
        <w:spacing w:before="0" w:beforeAutospacing="0" w:after="240" w:afterAutospacing="0"/>
        <w:rPr>
          <w:rFonts w:cs="Arial"/>
        </w:rPr>
      </w:pPr>
      <w:r w:rsidRPr="00C236E4">
        <w:rPr>
          <w:rFonts w:cs="Arial"/>
        </w:rPr>
        <w:t>The Rehabilitation Act of 1973 (P</w:t>
      </w:r>
      <w:r w:rsidR="00B31C17">
        <w:rPr>
          <w:rFonts w:cs="Arial"/>
        </w:rPr>
        <w:t xml:space="preserve">ublic </w:t>
      </w:r>
      <w:r w:rsidRPr="00C236E4">
        <w:rPr>
          <w:rFonts w:cs="Arial"/>
        </w:rPr>
        <w:t>L</w:t>
      </w:r>
      <w:r w:rsidR="00B31C17">
        <w:rPr>
          <w:rFonts w:cs="Arial"/>
        </w:rPr>
        <w:t>aw</w:t>
      </w:r>
      <w:r w:rsidRPr="00C236E4">
        <w:rPr>
          <w:rFonts w:cs="Arial"/>
        </w:rPr>
        <w:t xml:space="preserve"> 93-112), amended in 1992, includes Section 504, which affirms the right of any student or adult who has a mental or physical impairment </w:t>
      </w:r>
      <w:r w:rsidR="00B31C17">
        <w:rPr>
          <w:rFonts w:cs="Arial"/>
        </w:rPr>
        <w:t>that</w:t>
      </w:r>
      <w:r w:rsidR="00B31C17" w:rsidRPr="00C236E4">
        <w:rPr>
          <w:rFonts w:cs="Arial"/>
        </w:rPr>
        <w:t xml:space="preserve"> </w:t>
      </w:r>
      <w:r w:rsidRPr="00C236E4">
        <w:rPr>
          <w:rFonts w:cs="Arial"/>
        </w:rPr>
        <w:t xml:space="preserve">inhibits a major life activity </w:t>
      </w:r>
      <w:r w:rsidR="00B31C17">
        <w:rPr>
          <w:rFonts w:cs="Arial"/>
        </w:rPr>
        <w:t>(</w:t>
      </w:r>
      <w:r w:rsidRPr="00C236E4">
        <w:rPr>
          <w:rFonts w:cs="Arial"/>
        </w:rPr>
        <w:t>including learning</w:t>
      </w:r>
      <w:r w:rsidR="00B31C17">
        <w:rPr>
          <w:rFonts w:cs="Arial"/>
        </w:rPr>
        <w:t>),</w:t>
      </w:r>
      <w:r w:rsidRPr="00C236E4">
        <w:rPr>
          <w:rFonts w:cs="Arial"/>
        </w:rPr>
        <w:t xml:space="preserve"> has a history of such an impairment</w:t>
      </w:r>
      <w:r w:rsidR="00B31C17">
        <w:rPr>
          <w:rFonts w:cs="Arial"/>
        </w:rPr>
        <w:t>,</w:t>
      </w:r>
      <w:r w:rsidRPr="00C236E4">
        <w:rPr>
          <w:rFonts w:cs="Arial"/>
        </w:rPr>
        <w:t xml:space="preserve"> or is considered by a team of knowledgeable individuals to have such an impairment from being discriminated against program or activity receiving federal financial assistance. Th</w:t>
      </w:r>
      <w:r w:rsidR="00B31C17">
        <w:rPr>
          <w:rFonts w:cs="Arial"/>
        </w:rPr>
        <w:t>e</w:t>
      </w:r>
      <w:r w:rsidRPr="00C236E4">
        <w:rPr>
          <w:rFonts w:cs="Arial"/>
        </w:rPr>
        <w:t xml:space="preserve"> </w:t>
      </w:r>
      <w:r w:rsidR="00B31C17">
        <w:rPr>
          <w:rFonts w:cs="Arial"/>
        </w:rPr>
        <w:t>a</w:t>
      </w:r>
      <w:r w:rsidRPr="00C236E4">
        <w:rPr>
          <w:rFonts w:cs="Arial"/>
        </w:rPr>
        <w:t>ct also requires that students be given a free</w:t>
      </w:r>
      <w:r w:rsidR="00B31C17">
        <w:rPr>
          <w:rFonts w:cs="Arial"/>
        </w:rPr>
        <w:t>,</w:t>
      </w:r>
      <w:r w:rsidRPr="00C236E4">
        <w:rPr>
          <w:rFonts w:cs="Arial"/>
        </w:rPr>
        <w:t xml:space="preserve"> appropriate public education in regular education classes with necessary supplementary aids and services if they are determined by a school team to be disabled under Section 504 or the Americans with Disabilities Act. Such eligibility may exist without concurrent eligibility for special education under the Individuals with Disabilities Education Act (IDEA).</w:t>
      </w:r>
    </w:p>
    <w:p w14:paraId="4EFC6C87" w14:textId="684E082F" w:rsidR="00A655C5" w:rsidRPr="00C236E4" w:rsidRDefault="00A655C5" w:rsidP="000B4A2F">
      <w:pPr>
        <w:pStyle w:val="NormalWeb"/>
        <w:shd w:val="clear" w:color="auto" w:fill="FFFFFF"/>
        <w:spacing w:before="0" w:beforeAutospacing="0" w:after="240" w:afterAutospacing="0"/>
        <w:rPr>
          <w:rFonts w:cs="Arial"/>
        </w:rPr>
      </w:pPr>
      <w:r w:rsidRPr="00C236E4">
        <w:rPr>
          <w:rFonts w:cs="Arial"/>
        </w:rPr>
        <w:t>The Rehabilitation Act was followed in 1975 by the passage of P</w:t>
      </w:r>
      <w:r w:rsidR="00B31C17">
        <w:rPr>
          <w:rFonts w:cs="Arial"/>
        </w:rPr>
        <w:t>ublic Law</w:t>
      </w:r>
      <w:r w:rsidRPr="00C236E4">
        <w:rPr>
          <w:rFonts w:cs="Arial"/>
        </w:rPr>
        <w:t xml:space="preserve"> 94-142, the Education of Handicapped Act, which was changed in 1990 to the IDEA. This is the legislation that provides that all students who are eligible for special education must be provided with a free</w:t>
      </w:r>
      <w:r w:rsidR="00B31C17">
        <w:rPr>
          <w:rFonts w:cs="Arial"/>
        </w:rPr>
        <w:t>,</w:t>
      </w:r>
      <w:r w:rsidRPr="00C236E4">
        <w:rPr>
          <w:rFonts w:cs="Arial"/>
        </w:rPr>
        <w:t xml:space="preserve"> appropriate public education in the least restrictive environment.</w:t>
      </w:r>
      <w:r w:rsidR="00F623F1" w:rsidRPr="00C236E4">
        <w:rPr>
          <w:rFonts w:cs="Arial"/>
        </w:rPr>
        <w:t xml:space="preserve"> </w:t>
      </w:r>
      <w:r w:rsidRPr="00C236E4">
        <w:rPr>
          <w:rFonts w:cs="Arial"/>
        </w:rPr>
        <w:t>The California Legislature implements the provisions of IDEA through the California Master Plan for Special Education. This plan was first implemented statewide in 1980 with the passage of Senate Bill 1870</w:t>
      </w:r>
      <w:r w:rsidR="00E37FB2">
        <w:rPr>
          <w:rFonts w:cs="Arial"/>
        </w:rPr>
        <w:t xml:space="preserve"> (Ch. 797, Stats. 1980)</w:t>
      </w:r>
      <w:r w:rsidRPr="00C236E4">
        <w:rPr>
          <w:rFonts w:cs="Arial"/>
        </w:rPr>
        <w:t>.</w:t>
      </w:r>
    </w:p>
    <w:p w14:paraId="36CAA775" w14:textId="063E7A1C" w:rsidR="002407AF" w:rsidRPr="00C236E4" w:rsidRDefault="00A655C5" w:rsidP="000B4A2F">
      <w:pPr>
        <w:pStyle w:val="NormalWeb"/>
        <w:shd w:val="clear" w:color="auto" w:fill="FFFFFF"/>
        <w:spacing w:before="0" w:beforeAutospacing="0" w:after="240" w:afterAutospacing="0"/>
        <w:rPr>
          <w:rFonts w:cs="Arial"/>
        </w:rPr>
      </w:pPr>
      <w:r w:rsidRPr="00C236E4">
        <w:rPr>
          <w:rFonts w:cs="Arial"/>
        </w:rPr>
        <w:t>This required the sharing of program resources, including transportation, through regional cooperation among public and non-public schools and non-educational agencies. The services are provided through the SELPAs. The Local Plan developed and maintained in each community by the people who live there is the basis of these improvements and the foundation of services.</w:t>
      </w:r>
      <w:r w:rsidR="00F623F1" w:rsidRPr="00C236E4">
        <w:rPr>
          <w:rFonts w:cs="Arial"/>
        </w:rPr>
        <w:t xml:space="preserve"> (</w:t>
      </w:r>
      <w:r w:rsidR="00301371">
        <w:rPr>
          <w:rFonts w:cs="Arial"/>
        </w:rPr>
        <w:t>Text e</w:t>
      </w:r>
      <w:r w:rsidR="001F432B" w:rsidRPr="00C236E4">
        <w:rPr>
          <w:rFonts w:cs="Arial"/>
        </w:rPr>
        <w:t>xcerpt</w:t>
      </w:r>
      <w:r w:rsidR="00B31C17">
        <w:rPr>
          <w:rFonts w:cs="Arial"/>
        </w:rPr>
        <w:t>ed</w:t>
      </w:r>
      <w:r w:rsidR="001F432B" w:rsidRPr="00C236E4">
        <w:rPr>
          <w:rFonts w:cs="Arial"/>
        </w:rPr>
        <w:t xml:space="preserve"> from</w:t>
      </w:r>
      <w:r w:rsidR="00F623F1" w:rsidRPr="00C236E4">
        <w:rPr>
          <w:rFonts w:cs="Arial"/>
        </w:rPr>
        <w:t xml:space="preserve"> </w:t>
      </w:r>
      <w:r w:rsidR="00B31C17">
        <w:rPr>
          <w:rFonts w:cs="Arial"/>
        </w:rPr>
        <w:t xml:space="preserve">the CDE </w:t>
      </w:r>
      <w:r w:rsidR="00B31C17" w:rsidRPr="00B31C17">
        <w:rPr>
          <w:rFonts w:cs="Arial"/>
        </w:rPr>
        <w:t xml:space="preserve">California </w:t>
      </w:r>
      <w:r w:rsidR="000E24B2">
        <w:rPr>
          <w:rFonts w:cs="Arial"/>
        </w:rPr>
        <w:t>SELPAs</w:t>
      </w:r>
      <w:r w:rsidR="00B31C17" w:rsidRPr="00B31C17">
        <w:rPr>
          <w:rFonts w:cs="Arial"/>
        </w:rPr>
        <w:t xml:space="preserve"> </w:t>
      </w:r>
      <w:r w:rsidR="00B31C17">
        <w:rPr>
          <w:rFonts w:cs="Arial"/>
        </w:rPr>
        <w:t xml:space="preserve">web page at </w:t>
      </w:r>
      <w:hyperlink r:id="rId15" w:tooltip="California Special Education Local Plan Areas web page" w:history="1">
        <w:r w:rsidR="00B31C17" w:rsidRPr="00375088">
          <w:rPr>
            <w:rStyle w:val="Hyperlink"/>
            <w:rFonts w:cs="Arial"/>
          </w:rPr>
          <w:t>https://www.cde.ca.gov/sp/se/as/caselpas.asp</w:t>
        </w:r>
      </w:hyperlink>
      <w:r w:rsidR="00B31C17">
        <w:rPr>
          <w:rFonts w:cs="Arial"/>
        </w:rPr>
        <w:t xml:space="preserve">.) </w:t>
      </w:r>
    </w:p>
    <w:p w14:paraId="42E62C62" w14:textId="22286DA2" w:rsidR="00E8085F" w:rsidRPr="001123E6" w:rsidRDefault="00E8085F" w:rsidP="000B4A2F">
      <w:pPr>
        <w:pStyle w:val="Heading4"/>
      </w:pPr>
      <w:bookmarkStart w:id="4" w:name="_Toc147996554"/>
      <w:r w:rsidRPr="001123E6">
        <w:t>Alternate Dispute Resolution Background</w:t>
      </w:r>
      <w:bookmarkEnd w:id="4"/>
    </w:p>
    <w:p w14:paraId="3547215A" w14:textId="3A3086C2" w:rsidR="00110AE9" w:rsidRPr="00C236E4" w:rsidRDefault="116F8070" w:rsidP="16BC8463">
      <w:pPr>
        <w:pStyle w:val="NormalWeb"/>
        <w:shd w:val="clear" w:color="auto" w:fill="FEFEFE"/>
        <w:spacing w:after="240" w:afterAutospacing="0"/>
        <w:rPr>
          <w:rFonts w:cs="Arial"/>
        </w:rPr>
      </w:pPr>
      <w:r w:rsidRPr="16BC8463">
        <w:rPr>
          <w:rFonts w:cs="Arial"/>
        </w:rPr>
        <w:t>Alternative dispute resolution (ADR)</w:t>
      </w:r>
      <w:r w:rsidR="00E8085F" w:rsidRPr="16BC8463">
        <w:rPr>
          <w:rFonts w:cs="Arial"/>
        </w:rPr>
        <w:t xml:space="preserve"> is a process in which a neutral third party</w:t>
      </w:r>
      <w:r w:rsidR="00C51ECE">
        <w:rPr>
          <w:rFonts w:cs="Arial"/>
        </w:rPr>
        <w:t>—</w:t>
      </w:r>
      <w:r w:rsidR="00E8085F" w:rsidRPr="16BC8463">
        <w:rPr>
          <w:rFonts w:cs="Arial"/>
        </w:rPr>
        <w:t>a mediator or arbitrator</w:t>
      </w:r>
      <w:r w:rsidR="00C51ECE">
        <w:rPr>
          <w:rFonts w:cs="Arial"/>
        </w:rPr>
        <w:t>—</w:t>
      </w:r>
      <w:r w:rsidR="00E8085F" w:rsidRPr="16BC8463">
        <w:rPr>
          <w:rFonts w:cs="Arial"/>
        </w:rPr>
        <w:t xml:space="preserve">helps parties who are embroiled in a dispute come to an agreement. Mediation and arbitration are types of alternative dispute resolution because they offer an alternative to litigation. The foundation for </w:t>
      </w:r>
      <w:r w:rsidR="0094446F">
        <w:rPr>
          <w:rFonts w:cs="Arial"/>
        </w:rPr>
        <w:t xml:space="preserve">the </w:t>
      </w:r>
      <w:r w:rsidR="00E8085F" w:rsidRPr="16BC8463">
        <w:rPr>
          <w:rFonts w:cs="Arial"/>
        </w:rPr>
        <w:t xml:space="preserve">ADR in special education is </w:t>
      </w:r>
      <w:r w:rsidR="0094446F">
        <w:rPr>
          <w:rFonts w:cs="Arial"/>
        </w:rPr>
        <w:t xml:space="preserve">the </w:t>
      </w:r>
      <w:r w:rsidR="00E8085F" w:rsidRPr="16BC8463">
        <w:rPr>
          <w:rFonts w:cs="Arial"/>
        </w:rPr>
        <w:t>IDEA</w:t>
      </w:r>
      <w:r w:rsidR="009F10E8" w:rsidRPr="16BC8463">
        <w:rPr>
          <w:rFonts w:cs="Arial"/>
        </w:rPr>
        <w:t>.</w:t>
      </w:r>
      <w:r w:rsidR="00E8085F" w:rsidRPr="16BC8463">
        <w:rPr>
          <w:rFonts w:cs="Arial"/>
        </w:rPr>
        <w:t xml:space="preserve"> </w:t>
      </w:r>
      <w:r w:rsidR="0094446F">
        <w:rPr>
          <w:rFonts w:cs="Arial"/>
        </w:rPr>
        <w:t xml:space="preserve">The </w:t>
      </w:r>
      <w:r w:rsidR="00E8085F" w:rsidRPr="16BC8463">
        <w:rPr>
          <w:rFonts w:cs="Arial"/>
        </w:rPr>
        <w:t>IDEA provides several ADR options for resolving disputes between parents and school districts, including:</w:t>
      </w:r>
    </w:p>
    <w:p w14:paraId="36DD685C" w14:textId="77777777" w:rsidR="009651A3" w:rsidRDefault="00E8085F" w:rsidP="009651A3">
      <w:pPr>
        <w:pStyle w:val="NormalWeb"/>
        <w:numPr>
          <w:ilvl w:val="0"/>
          <w:numId w:val="16"/>
        </w:numPr>
        <w:shd w:val="clear" w:color="auto" w:fill="FEFEFE"/>
        <w:spacing w:after="240" w:afterAutospacing="0"/>
        <w:rPr>
          <w:rFonts w:cs="Arial"/>
          <w:szCs w:val="27"/>
        </w:rPr>
      </w:pPr>
      <w:r w:rsidRPr="00C236E4">
        <w:rPr>
          <w:rFonts w:cs="Arial"/>
          <w:szCs w:val="27"/>
        </w:rPr>
        <w:t>Mediation: Mediation is a voluntary process where an impartial third party (mediator) helps parents and school districts resolve disputes. The goal is to reach a mutually agreeable solution. Mediation is available at no cost to the parties involved.</w:t>
      </w:r>
    </w:p>
    <w:p w14:paraId="64111683" w14:textId="72AE90A6" w:rsidR="009651A3" w:rsidRDefault="00E8085F" w:rsidP="009651A3">
      <w:pPr>
        <w:pStyle w:val="NormalWeb"/>
        <w:numPr>
          <w:ilvl w:val="0"/>
          <w:numId w:val="16"/>
        </w:numPr>
        <w:shd w:val="clear" w:color="auto" w:fill="FEFEFE"/>
        <w:spacing w:after="240" w:afterAutospacing="0"/>
        <w:rPr>
          <w:rFonts w:cs="Arial"/>
          <w:szCs w:val="27"/>
        </w:rPr>
      </w:pPr>
      <w:r w:rsidRPr="009651A3">
        <w:rPr>
          <w:rFonts w:cs="Arial"/>
          <w:szCs w:val="27"/>
        </w:rPr>
        <w:lastRenderedPageBreak/>
        <w:t xml:space="preserve">Due Process Hearings: When mediation </w:t>
      </w:r>
      <w:r w:rsidR="00DB0430" w:rsidRPr="009651A3">
        <w:rPr>
          <w:rFonts w:cs="Arial"/>
          <w:szCs w:val="27"/>
        </w:rPr>
        <w:t>does not</w:t>
      </w:r>
      <w:r w:rsidRPr="009651A3">
        <w:rPr>
          <w:rFonts w:cs="Arial"/>
          <w:szCs w:val="27"/>
        </w:rPr>
        <w:t xml:space="preserve"> lead to an agreement, parents and school districts can request a due process hearing. This is a formal legal procedure where an impartial hearing officer reviews </w:t>
      </w:r>
      <w:r w:rsidR="00400F6A">
        <w:rPr>
          <w:rFonts w:cs="Arial"/>
          <w:szCs w:val="27"/>
        </w:rPr>
        <w:t xml:space="preserve">the </w:t>
      </w:r>
      <w:r w:rsidRPr="009651A3">
        <w:rPr>
          <w:rFonts w:cs="Arial"/>
          <w:szCs w:val="27"/>
        </w:rPr>
        <w:t>evidence and decides the dispute.</w:t>
      </w:r>
    </w:p>
    <w:p w14:paraId="56DC0AFE" w14:textId="18B5AE77" w:rsidR="009651A3" w:rsidRDefault="00E8085F" w:rsidP="009651A3">
      <w:pPr>
        <w:pStyle w:val="NormalWeb"/>
        <w:numPr>
          <w:ilvl w:val="0"/>
          <w:numId w:val="16"/>
        </w:numPr>
        <w:shd w:val="clear" w:color="auto" w:fill="FEFEFE"/>
        <w:spacing w:after="240" w:afterAutospacing="0"/>
        <w:rPr>
          <w:rFonts w:cs="Arial"/>
          <w:szCs w:val="27"/>
        </w:rPr>
      </w:pPr>
      <w:r w:rsidRPr="009651A3">
        <w:rPr>
          <w:rFonts w:cs="Arial"/>
          <w:szCs w:val="27"/>
        </w:rPr>
        <w:t>State Complaints: Parents can file complaints with their state education agency if they believe a school district has violated</w:t>
      </w:r>
      <w:r w:rsidR="0094446F">
        <w:rPr>
          <w:rFonts w:cs="Arial"/>
          <w:szCs w:val="27"/>
        </w:rPr>
        <w:t xml:space="preserve"> the</w:t>
      </w:r>
      <w:r w:rsidRPr="009651A3">
        <w:rPr>
          <w:rFonts w:cs="Arial"/>
          <w:szCs w:val="27"/>
        </w:rPr>
        <w:t xml:space="preserve"> IDEA. The state agency investigates the complaint and takes appropriate action.</w:t>
      </w:r>
    </w:p>
    <w:p w14:paraId="6EC28279" w14:textId="4F0A827B" w:rsidR="00E8085F" w:rsidRPr="009651A3" w:rsidRDefault="00E8085F" w:rsidP="16BC8463">
      <w:pPr>
        <w:pStyle w:val="NormalWeb"/>
        <w:numPr>
          <w:ilvl w:val="0"/>
          <w:numId w:val="16"/>
        </w:numPr>
        <w:shd w:val="clear" w:color="auto" w:fill="FEFEFE"/>
        <w:spacing w:after="240" w:afterAutospacing="0"/>
        <w:rPr>
          <w:rFonts w:cs="Arial"/>
        </w:rPr>
      </w:pPr>
      <w:r w:rsidRPr="16BC8463">
        <w:rPr>
          <w:rFonts w:cs="Arial"/>
        </w:rPr>
        <w:t>Resolution Sessions: Before a due process hearing,</w:t>
      </w:r>
      <w:r w:rsidR="0094446F">
        <w:rPr>
          <w:rFonts w:cs="Arial"/>
        </w:rPr>
        <w:t xml:space="preserve"> the</w:t>
      </w:r>
      <w:r w:rsidRPr="16BC8463">
        <w:rPr>
          <w:rFonts w:cs="Arial"/>
        </w:rPr>
        <w:t xml:space="preserve"> IDEA requires a resolution session to be held. This is an opportunity for the parents and the school district to resolve the dispute. If an agreement </w:t>
      </w:r>
      <w:r w:rsidR="00DB0430" w:rsidRPr="16BC8463">
        <w:rPr>
          <w:rFonts w:cs="Arial"/>
        </w:rPr>
        <w:t>is not</w:t>
      </w:r>
      <w:r w:rsidRPr="16BC8463">
        <w:rPr>
          <w:rFonts w:cs="Arial"/>
        </w:rPr>
        <w:t xml:space="preserve"> reached, the due process hearing proceeds.</w:t>
      </w:r>
    </w:p>
    <w:p w14:paraId="022E28D0" w14:textId="6ECD27A6" w:rsidR="00BF2ED1" w:rsidRPr="00C236E4" w:rsidRDefault="00E8085F" w:rsidP="00BA601F">
      <w:pPr>
        <w:pStyle w:val="NormalWeb"/>
        <w:shd w:val="clear" w:color="auto" w:fill="FEFEFE"/>
        <w:spacing w:after="240" w:afterAutospacing="0"/>
        <w:rPr>
          <w:rFonts w:cs="Arial"/>
          <w:szCs w:val="27"/>
        </w:rPr>
      </w:pPr>
      <w:r w:rsidRPr="00C236E4">
        <w:rPr>
          <w:rFonts w:cs="Arial"/>
          <w:szCs w:val="27"/>
        </w:rPr>
        <w:t>There are many benefits to</w:t>
      </w:r>
      <w:r w:rsidR="0094446F">
        <w:rPr>
          <w:rFonts w:cs="Arial"/>
          <w:szCs w:val="27"/>
        </w:rPr>
        <w:t xml:space="preserve"> </w:t>
      </w:r>
      <w:r w:rsidRPr="00C236E4">
        <w:rPr>
          <w:rFonts w:cs="Arial"/>
          <w:szCs w:val="27"/>
        </w:rPr>
        <w:t xml:space="preserve">ADR, including: </w:t>
      </w:r>
    </w:p>
    <w:p w14:paraId="60B4F637" w14:textId="4F76FCE5" w:rsidR="00BA601F" w:rsidRDefault="00E8085F" w:rsidP="00BA601F">
      <w:pPr>
        <w:pStyle w:val="NormalWeb"/>
        <w:numPr>
          <w:ilvl w:val="0"/>
          <w:numId w:val="14"/>
        </w:numPr>
        <w:shd w:val="clear" w:color="auto" w:fill="FEFEFE"/>
        <w:spacing w:after="240" w:afterAutospacing="0"/>
        <w:rPr>
          <w:rFonts w:cs="Arial"/>
          <w:szCs w:val="27"/>
        </w:rPr>
      </w:pPr>
      <w:r w:rsidRPr="00BA601F">
        <w:rPr>
          <w:rFonts w:cs="Arial"/>
          <w:szCs w:val="27"/>
        </w:rPr>
        <w:t xml:space="preserve">Faster Resolution: ADR processes are often faster than going to court, </w:t>
      </w:r>
      <w:r w:rsidR="00C51ECE">
        <w:rPr>
          <w:rFonts w:cs="Arial"/>
          <w:szCs w:val="27"/>
        </w:rPr>
        <w:t>which allows</w:t>
      </w:r>
      <w:r w:rsidR="00C51ECE" w:rsidRPr="00BA601F">
        <w:rPr>
          <w:rFonts w:cs="Arial"/>
          <w:szCs w:val="27"/>
        </w:rPr>
        <w:t xml:space="preserve"> </w:t>
      </w:r>
      <w:r w:rsidRPr="00BA601F">
        <w:rPr>
          <w:rFonts w:cs="Arial"/>
          <w:szCs w:val="27"/>
        </w:rPr>
        <w:t>disputes to be resolved more quickly.</w:t>
      </w:r>
    </w:p>
    <w:p w14:paraId="3B6FF0ED" w14:textId="3ABC7DCB" w:rsidR="00BA601F" w:rsidRDefault="00E8085F" w:rsidP="00BA601F">
      <w:pPr>
        <w:pStyle w:val="NormalWeb"/>
        <w:numPr>
          <w:ilvl w:val="0"/>
          <w:numId w:val="14"/>
        </w:numPr>
        <w:shd w:val="clear" w:color="auto" w:fill="FEFEFE"/>
        <w:spacing w:after="240" w:afterAutospacing="0"/>
        <w:rPr>
          <w:rFonts w:cs="Arial"/>
          <w:szCs w:val="27"/>
        </w:rPr>
      </w:pPr>
      <w:r w:rsidRPr="00BA601F">
        <w:rPr>
          <w:rFonts w:cs="Arial"/>
          <w:szCs w:val="27"/>
        </w:rPr>
        <w:t>Cost-Effective: Mediation is typically free, and due process hearings may involve fewer legal fees compared to a full-fledged lawsuit</w:t>
      </w:r>
      <w:r w:rsidR="00E37FB2">
        <w:rPr>
          <w:rFonts w:cs="Arial"/>
          <w:szCs w:val="27"/>
        </w:rPr>
        <w:t>.</w:t>
      </w:r>
    </w:p>
    <w:p w14:paraId="53B080E5" w14:textId="22D0C51E" w:rsidR="00BA601F" w:rsidRDefault="00E8085F" w:rsidP="00BA601F">
      <w:pPr>
        <w:pStyle w:val="NormalWeb"/>
        <w:numPr>
          <w:ilvl w:val="0"/>
          <w:numId w:val="14"/>
        </w:numPr>
        <w:shd w:val="clear" w:color="auto" w:fill="FEFEFE"/>
        <w:spacing w:after="240" w:afterAutospacing="0"/>
        <w:rPr>
          <w:rFonts w:cs="Arial"/>
          <w:szCs w:val="27"/>
        </w:rPr>
      </w:pPr>
      <w:r w:rsidRPr="00BA601F">
        <w:rPr>
          <w:rFonts w:cs="Arial"/>
          <w:szCs w:val="27"/>
        </w:rPr>
        <w:t>Preservation of Relationships: ADR encourages collaboration and can help maintain a positive working relationship between parents and school districts, which is esse</w:t>
      </w:r>
      <w:r w:rsidR="00110AE9" w:rsidRPr="00BA601F">
        <w:rPr>
          <w:rFonts w:cs="Arial"/>
          <w:szCs w:val="27"/>
        </w:rPr>
        <w:t>n</w:t>
      </w:r>
      <w:r w:rsidRPr="00BA601F">
        <w:rPr>
          <w:rFonts w:cs="Arial"/>
          <w:szCs w:val="27"/>
        </w:rPr>
        <w:t xml:space="preserve">tial for the </w:t>
      </w:r>
      <w:r w:rsidR="00DB0430" w:rsidRPr="00BA601F">
        <w:rPr>
          <w:rFonts w:cs="Arial"/>
          <w:szCs w:val="27"/>
        </w:rPr>
        <w:t>child’s</w:t>
      </w:r>
      <w:r w:rsidRPr="00BA601F">
        <w:rPr>
          <w:rFonts w:cs="Arial"/>
          <w:szCs w:val="27"/>
        </w:rPr>
        <w:t xml:space="preserve"> education.</w:t>
      </w:r>
    </w:p>
    <w:p w14:paraId="28807601" w14:textId="3D4AB310" w:rsidR="00BA601F" w:rsidRDefault="00E8085F" w:rsidP="00BA601F">
      <w:pPr>
        <w:pStyle w:val="NormalWeb"/>
        <w:numPr>
          <w:ilvl w:val="0"/>
          <w:numId w:val="14"/>
        </w:numPr>
        <w:shd w:val="clear" w:color="auto" w:fill="FEFEFE"/>
        <w:spacing w:after="240" w:afterAutospacing="0"/>
        <w:rPr>
          <w:rFonts w:cs="Arial"/>
          <w:szCs w:val="27"/>
        </w:rPr>
      </w:pPr>
      <w:r w:rsidRPr="00BA601F">
        <w:rPr>
          <w:rFonts w:cs="Arial"/>
          <w:szCs w:val="27"/>
        </w:rPr>
        <w:t xml:space="preserve">Legal Safeguards: </w:t>
      </w:r>
      <w:r w:rsidR="0094446F">
        <w:rPr>
          <w:rFonts w:cs="Arial"/>
          <w:szCs w:val="27"/>
        </w:rPr>
        <w:t xml:space="preserve">The </w:t>
      </w:r>
      <w:r w:rsidRPr="00BA601F">
        <w:rPr>
          <w:rFonts w:cs="Arial"/>
          <w:szCs w:val="27"/>
        </w:rPr>
        <w:t xml:space="preserve">IDEA provides legal safeguards to ensure that the rights of both parents and children with disabilities are protected during </w:t>
      </w:r>
      <w:r w:rsidR="0094446F">
        <w:rPr>
          <w:rFonts w:cs="Arial"/>
          <w:szCs w:val="27"/>
        </w:rPr>
        <w:t xml:space="preserve">the </w:t>
      </w:r>
      <w:r w:rsidRPr="00BA601F">
        <w:rPr>
          <w:rFonts w:cs="Arial"/>
          <w:szCs w:val="27"/>
        </w:rPr>
        <w:t>ADR processes. These safeguards include the right to legal representation, the opportunity to present evidence, and the right to a written decision.</w:t>
      </w:r>
    </w:p>
    <w:p w14:paraId="0C3B0EF8" w14:textId="3E26E744" w:rsidR="00E8085F" w:rsidRPr="00BA601F" w:rsidRDefault="00E8085F" w:rsidP="00BA601F">
      <w:pPr>
        <w:pStyle w:val="NormalWeb"/>
        <w:numPr>
          <w:ilvl w:val="0"/>
          <w:numId w:val="14"/>
        </w:numPr>
        <w:shd w:val="clear" w:color="auto" w:fill="FEFEFE"/>
        <w:spacing w:after="240" w:afterAutospacing="0"/>
        <w:rPr>
          <w:rFonts w:cs="Arial"/>
          <w:szCs w:val="27"/>
        </w:rPr>
      </w:pPr>
      <w:r w:rsidRPr="00BA601F">
        <w:rPr>
          <w:rFonts w:cs="Arial"/>
          <w:szCs w:val="27"/>
        </w:rPr>
        <w:t>Continual Evolvement: ADR practices in special education continue to evolve, with some states experimenting with innovative approaches to dispute resolution to better serve the needs of students with disabilities and their families.</w:t>
      </w:r>
    </w:p>
    <w:p w14:paraId="4169C595" w14:textId="709C39F0" w:rsidR="002407AF" w:rsidRPr="00C236E4" w:rsidRDefault="00E8085F" w:rsidP="00BA601F">
      <w:pPr>
        <w:pStyle w:val="NormalWeb"/>
        <w:shd w:val="clear" w:color="auto" w:fill="FFFFFF"/>
        <w:spacing w:before="0" w:beforeAutospacing="0" w:after="240" w:afterAutospacing="0"/>
        <w:rPr>
          <w:rFonts w:cs="Arial"/>
        </w:rPr>
      </w:pPr>
      <w:r w:rsidRPr="00C236E4">
        <w:rPr>
          <w:rFonts w:cs="Arial"/>
          <w:szCs w:val="27"/>
        </w:rPr>
        <w:t xml:space="preserve">The CDE distributes an annual ADR grant of $1,950,000 funded through </w:t>
      </w:r>
      <w:r w:rsidR="0094446F">
        <w:rPr>
          <w:rFonts w:cs="Arial"/>
          <w:szCs w:val="27"/>
        </w:rPr>
        <w:t xml:space="preserve">the </w:t>
      </w:r>
      <w:r w:rsidRPr="00C236E4">
        <w:rPr>
          <w:rFonts w:cs="Arial"/>
          <w:szCs w:val="27"/>
        </w:rPr>
        <w:t xml:space="preserve">IDEA to be distributed to </w:t>
      </w:r>
      <w:r w:rsidR="00AC7E7E">
        <w:rPr>
          <w:rFonts w:cs="Arial"/>
          <w:szCs w:val="27"/>
        </w:rPr>
        <w:t xml:space="preserve">the </w:t>
      </w:r>
      <w:r w:rsidRPr="00C236E4">
        <w:rPr>
          <w:rFonts w:cs="Arial"/>
          <w:szCs w:val="27"/>
        </w:rPr>
        <w:t>SELPAs</w:t>
      </w:r>
      <w:r w:rsidR="002407AF" w:rsidRPr="00C236E4">
        <w:rPr>
          <w:rFonts w:cs="Arial"/>
          <w:szCs w:val="27"/>
        </w:rPr>
        <w:t xml:space="preserve"> for dispute resolution activities</w:t>
      </w:r>
      <w:r w:rsidRPr="00C236E4">
        <w:rPr>
          <w:rFonts w:cs="Arial"/>
          <w:szCs w:val="27"/>
        </w:rPr>
        <w:t xml:space="preserve">. All SELPAs are eligible for this funding based on a completed application. The average annual amount per SELPA is $14,500 with a 27-month federal grant period in which to expend the funds. </w:t>
      </w:r>
      <w:r w:rsidR="002407AF" w:rsidRPr="00C236E4">
        <w:rPr>
          <w:rFonts w:cs="Arial"/>
        </w:rPr>
        <w:t>SELPAs typically use these funds to develop and test procedures, materials, and training for ADR in special education. Selected SELPAs train and implement an ADR process to respond to and resolve local complaints and concerns regarding the implementation of IDEA Part B and relevant state laws.</w:t>
      </w:r>
    </w:p>
    <w:p w14:paraId="77342266" w14:textId="097C1D9B" w:rsidR="00E8085F" w:rsidRPr="00C236E4" w:rsidRDefault="00E8085F" w:rsidP="00BA601F">
      <w:pPr>
        <w:pStyle w:val="NormalWeb"/>
        <w:shd w:val="clear" w:color="auto" w:fill="FEFEFE"/>
        <w:spacing w:before="0" w:beforeAutospacing="0" w:after="240" w:afterAutospacing="0"/>
        <w:rPr>
          <w:rFonts w:cs="Arial"/>
          <w:szCs w:val="27"/>
        </w:rPr>
      </w:pPr>
      <w:r w:rsidRPr="00C236E4">
        <w:rPr>
          <w:rFonts w:cs="Arial"/>
          <w:szCs w:val="27"/>
        </w:rPr>
        <w:t>AB 130</w:t>
      </w:r>
      <w:r w:rsidR="00E37FB2">
        <w:rPr>
          <w:rFonts w:cs="Arial"/>
          <w:szCs w:val="27"/>
        </w:rPr>
        <w:t xml:space="preserve"> (Ch. 44, Stats. 2021)</w:t>
      </w:r>
      <w:r w:rsidRPr="00C236E4">
        <w:rPr>
          <w:rFonts w:cs="Arial"/>
          <w:szCs w:val="27"/>
        </w:rPr>
        <w:t xml:space="preserve"> provided SELPAs with a much larger pool of funds to assist with dispute prevention and resolution services. </w:t>
      </w:r>
      <w:r w:rsidR="0094446F">
        <w:rPr>
          <w:rFonts w:cs="Arial"/>
          <w:szCs w:val="27"/>
        </w:rPr>
        <w:t xml:space="preserve">The </w:t>
      </w:r>
      <w:r w:rsidRPr="00C236E4">
        <w:rPr>
          <w:rFonts w:cs="Arial"/>
        </w:rPr>
        <w:t xml:space="preserve">SELPAs were asked to </w:t>
      </w:r>
      <w:r w:rsidRPr="00C236E4">
        <w:rPr>
          <w:rFonts w:cs="Arial"/>
        </w:rPr>
        <w:lastRenderedPageBreak/>
        <w:t xml:space="preserve">report back to the CDE on several key data factors to evaluate the effectiveness of the funds. </w:t>
      </w:r>
    </w:p>
    <w:p w14:paraId="1E5F981F" w14:textId="74EE4C9C" w:rsidR="007E2BBD" w:rsidRPr="00C236E4" w:rsidRDefault="00CC30E1" w:rsidP="004E4C94">
      <w:pPr>
        <w:pStyle w:val="NormalWeb"/>
        <w:shd w:val="clear" w:color="auto" w:fill="FFFFFF"/>
        <w:spacing w:before="0" w:beforeAutospacing="0" w:after="240" w:afterAutospacing="0"/>
        <w:rPr>
          <w:rFonts w:cs="Arial"/>
        </w:rPr>
      </w:pPr>
      <w:r w:rsidRPr="00C236E4">
        <w:rPr>
          <w:rFonts w:cs="Arial"/>
        </w:rPr>
        <w:t>California education entities</w:t>
      </w:r>
      <w:r w:rsidR="004E5EB7" w:rsidRPr="00C236E4">
        <w:rPr>
          <w:rFonts w:cs="Arial"/>
        </w:rPr>
        <w:t>, including SELPAs</w:t>
      </w:r>
      <w:r w:rsidR="00E8085F" w:rsidRPr="00C236E4">
        <w:rPr>
          <w:rFonts w:cs="Arial"/>
        </w:rPr>
        <w:t>,</w:t>
      </w:r>
      <w:r w:rsidRPr="00C236E4">
        <w:rPr>
          <w:rFonts w:cs="Arial"/>
        </w:rPr>
        <w:t xml:space="preserve"> reported a spike in need for ADR funds </w:t>
      </w:r>
      <w:r w:rsidR="004E5EB7" w:rsidRPr="00C236E4">
        <w:rPr>
          <w:rFonts w:cs="Arial"/>
        </w:rPr>
        <w:t xml:space="preserve">as a result of the pandemic. This legislation aimed to provide needed financial support to SELPAs and LEAs to help them work with </w:t>
      </w:r>
      <w:r w:rsidR="00C51ECE">
        <w:rPr>
          <w:rFonts w:cs="Arial"/>
        </w:rPr>
        <w:t>LEAs</w:t>
      </w:r>
      <w:r w:rsidR="002A2FE7">
        <w:rPr>
          <w:rFonts w:cs="Arial"/>
        </w:rPr>
        <w:t xml:space="preserve"> </w:t>
      </w:r>
      <w:r w:rsidR="004E5EB7" w:rsidRPr="00C236E4">
        <w:rPr>
          <w:rFonts w:cs="Arial"/>
        </w:rPr>
        <w:t xml:space="preserve">in resolving disputes related to special education. </w:t>
      </w:r>
      <w:r w:rsidR="007A7C7E">
        <w:rPr>
          <w:rFonts w:cs="Arial"/>
        </w:rPr>
        <w:t>I</w:t>
      </w:r>
      <w:r w:rsidRPr="00C236E4">
        <w:rPr>
          <w:rFonts w:cs="Arial"/>
        </w:rPr>
        <w:t xml:space="preserve">n a letter to SELPAs, LEAs, and other school program administrators from the </w:t>
      </w:r>
      <w:r w:rsidR="00D83C26">
        <w:rPr>
          <w:rFonts w:cs="Arial"/>
        </w:rPr>
        <w:t xml:space="preserve">CDE, </w:t>
      </w:r>
      <w:r w:rsidR="007A7C7E" w:rsidRPr="00C236E4">
        <w:rPr>
          <w:rFonts w:cs="Arial"/>
        </w:rPr>
        <w:t>ADR was suggested</w:t>
      </w:r>
      <w:r w:rsidR="0094446F">
        <w:rPr>
          <w:rFonts w:cs="Arial"/>
        </w:rPr>
        <w:t xml:space="preserve"> as</w:t>
      </w:r>
      <w:r w:rsidRPr="00C236E4">
        <w:rPr>
          <w:rFonts w:cs="Arial"/>
        </w:rPr>
        <w:t xml:space="preserve"> a process “less formal than a due process hearing</w:t>
      </w:r>
      <w:r w:rsidR="002407AF" w:rsidRPr="00C236E4">
        <w:rPr>
          <w:rFonts w:cs="Arial"/>
        </w:rPr>
        <w:t>”</w:t>
      </w:r>
      <w:r w:rsidRPr="00C236E4">
        <w:rPr>
          <w:rFonts w:cs="Arial"/>
        </w:rPr>
        <w:t xml:space="preserve"> and intend</w:t>
      </w:r>
      <w:r w:rsidR="00C51ECE">
        <w:rPr>
          <w:rFonts w:cs="Arial"/>
        </w:rPr>
        <w:t>ed</w:t>
      </w:r>
      <w:r w:rsidRPr="00C236E4">
        <w:rPr>
          <w:rFonts w:cs="Arial"/>
        </w:rPr>
        <w:t xml:space="preserve"> to maintain positive relationships between families and LEA staff by working collaboratively toward solutions. </w:t>
      </w:r>
      <w:r w:rsidR="007A7C7E">
        <w:rPr>
          <w:rFonts w:cs="Arial"/>
        </w:rPr>
        <w:t>Also,</w:t>
      </w:r>
      <w:r w:rsidR="0094446F">
        <w:rPr>
          <w:rFonts w:cs="Arial"/>
        </w:rPr>
        <w:t xml:space="preserve"> </w:t>
      </w:r>
      <w:r w:rsidRPr="00C236E4">
        <w:rPr>
          <w:rFonts w:cs="Arial"/>
        </w:rPr>
        <w:t>ADR is a voluntary method of resolving disputes and may not be used to delay the right to a due process hearing</w:t>
      </w:r>
      <w:r w:rsidR="00E8085F" w:rsidRPr="00C236E4">
        <w:rPr>
          <w:rFonts w:cs="Arial"/>
        </w:rPr>
        <w:t>.</w:t>
      </w:r>
    </w:p>
    <w:p w14:paraId="3EBB7874" w14:textId="6C54C0B5" w:rsidR="0075392B" w:rsidRPr="0075392B" w:rsidRDefault="00CC30E1" w:rsidP="000B4A2F">
      <w:pPr>
        <w:pStyle w:val="Heading3"/>
      </w:pPr>
      <w:bookmarkStart w:id="5" w:name="_Toc147996555"/>
      <w:r>
        <w:t>S</w:t>
      </w:r>
      <w:r w:rsidR="6FBBD540">
        <w:t>ELPA</w:t>
      </w:r>
      <w:r>
        <w:t xml:space="preserve"> Data</w:t>
      </w:r>
      <w:r w:rsidR="004E5EB7">
        <w:t xml:space="preserve"> Results</w:t>
      </w:r>
      <w:bookmarkEnd w:id="5"/>
    </w:p>
    <w:p w14:paraId="33A453F5" w14:textId="66AEE126" w:rsidR="00AF39E0" w:rsidRPr="000B4DC7" w:rsidRDefault="009F10E8" w:rsidP="000B4A2F">
      <w:pPr>
        <w:spacing w:after="240"/>
        <w:rPr>
          <w:rFonts w:cs="Arial"/>
        </w:rPr>
      </w:pPr>
      <w:r>
        <w:rPr>
          <w:rFonts w:cs="Arial"/>
        </w:rPr>
        <w:t xml:space="preserve">At the conclusion of the legislated apportionment period, </w:t>
      </w:r>
      <w:r w:rsidR="00B17691" w:rsidRPr="00C236E4">
        <w:rPr>
          <w:rFonts w:cs="Arial"/>
        </w:rPr>
        <w:t>SELPAs were asked to include data</w:t>
      </w:r>
      <w:r>
        <w:rPr>
          <w:rFonts w:cs="Arial"/>
        </w:rPr>
        <w:t xml:space="preserve"> on the activities completed within their LEAs</w:t>
      </w:r>
      <w:r w:rsidR="007A7C7E">
        <w:rPr>
          <w:rFonts w:cs="Arial"/>
        </w:rPr>
        <w:t xml:space="preserve"> and</w:t>
      </w:r>
      <w:r w:rsidR="00B17691" w:rsidRPr="00C236E4">
        <w:rPr>
          <w:rFonts w:cs="Arial"/>
        </w:rPr>
        <w:t xml:space="preserve"> on all students with disabilities served in their regions</w:t>
      </w:r>
      <w:r w:rsidR="00A478E1">
        <w:rPr>
          <w:rFonts w:cs="Arial"/>
        </w:rPr>
        <w:t>,</w:t>
      </w:r>
      <w:r w:rsidR="00CC30E1" w:rsidRPr="00C236E4">
        <w:rPr>
          <w:rFonts w:cs="Arial"/>
        </w:rPr>
        <w:t xml:space="preserve"> including the number of students served,</w:t>
      </w:r>
      <w:r w:rsidR="00B17691" w:rsidRPr="00C236E4">
        <w:rPr>
          <w:rFonts w:cs="Arial"/>
        </w:rPr>
        <w:t xml:space="preserve"> disability types</w:t>
      </w:r>
      <w:r w:rsidR="004E5EB7" w:rsidRPr="00C236E4">
        <w:rPr>
          <w:rFonts w:cs="Arial"/>
        </w:rPr>
        <w:t>,</w:t>
      </w:r>
      <w:r w:rsidR="00CC30E1" w:rsidRPr="00C236E4">
        <w:rPr>
          <w:rFonts w:cs="Arial"/>
        </w:rPr>
        <w:t xml:space="preserve"> English L</w:t>
      </w:r>
      <w:r>
        <w:rPr>
          <w:rFonts w:cs="Arial"/>
        </w:rPr>
        <w:t>earner</w:t>
      </w:r>
      <w:r w:rsidR="00CC30E1" w:rsidRPr="00C236E4">
        <w:rPr>
          <w:rFonts w:cs="Arial"/>
        </w:rPr>
        <w:t xml:space="preserve"> (EL) status, socioeconomic status, and parent primary language. </w:t>
      </w:r>
      <w:r w:rsidR="00A653E8" w:rsidRPr="00C236E4">
        <w:rPr>
          <w:rFonts w:cs="Arial"/>
        </w:rPr>
        <w:t xml:space="preserve">A comprehensive data chart with statewide totals </w:t>
      </w:r>
      <w:r w:rsidR="00A478E1">
        <w:rPr>
          <w:rFonts w:cs="Arial"/>
        </w:rPr>
        <w:t xml:space="preserve">is available </w:t>
      </w:r>
      <w:r w:rsidR="00A653E8" w:rsidRPr="00C236E4">
        <w:rPr>
          <w:rFonts w:cs="Arial"/>
        </w:rPr>
        <w:t xml:space="preserve">in Appendix A. </w:t>
      </w:r>
      <w:r w:rsidR="00CC30E1" w:rsidRPr="00C236E4">
        <w:rPr>
          <w:rFonts w:cs="Arial"/>
        </w:rPr>
        <w:t xml:space="preserve">A majority of </w:t>
      </w:r>
      <w:r w:rsidR="007A7C7E">
        <w:rPr>
          <w:rFonts w:cs="Arial"/>
        </w:rPr>
        <w:t xml:space="preserve">the </w:t>
      </w:r>
      <w:r w:rsidR="00CC30E1" w:rsidRPr="00C236E4">
        <w:rPr>
          <w:rFonts w:cs="Arial"/>
        </w:rPr>
        <w:t>SELPAs were able to provide the information as instructed for all students with disabilities in their regions. However</w:t>
      </w:r>
      <w:r w:rsidR="00CC30E1" w:rsidRPr="000B4DC7">
        <w:rPr>
          <w:rFonts w:cs="Arial"/>
        </w:rPr>
        <w:t xml:space="preserve">, </w:t>
      </w:r>
      <w:r w:rsidR="000B4DC7" w:rsidRPr="000B4DC7">
        <w:rPr>
          <w:rStyle w:val="cf01"/>
          <w:rFonts w:ascii="Arial" w:hAnsi="Arial" w:cs="Arial"/>
          <w:sz w:val="24"/>
          <w:szCs w:val="24"/>
        </w:rPr>
        <w:t xml:space="preserve">some of the SELPAs </w:t>
      </w:r>
      <w:r w:rsidR="00FE2112">
        <w:rPr>
          <w:rStyle w:val="cf01"/>
          <w:rFonts w:ascii="Arial" w:hAnsi="Arial" w:cs="Arial"/>
          <w:sz w:val="24"/>
          <w:szCs w:val="24"/>
        </w:rPr>
        <w:t xml:space="preserve">were </w:t>
      </w:r>
      <w:r w:rsidR="00400F6A">
        <w:rPr>
          <w:rStyle w:val="cf01"/>
          <w:rFonts w:ascii="Arial" w:hAnsi="Arial" w:cs="Arial"/>
          <w:sz w:val="24"/>
          <w:szCs w:val="24"/>
        </w:rPr>
        <w:t>underreported</w:t>
      </w:r>
      <w:r w:rsidR="000B4DC7" w:rsidRPr="000B4DC7">
        <w:rPr>
          <w:rStyle w:val="cf01"/>
          <w:rFonts w:ascii="Arial" w:hAnsi="Arial" w:cs="Arial"/>
          <w:sz w:val="24"/>
          <w:szCs w:val="24"/>
        </w:rPr>
        <w:t xml:space="preserve"> while other</w:t>
      </w:r>
      <w:r w:rsidR="00400F6A">
        <w:rPr>
          <w:rStyle w:val="cf01"/>
          <w:rFonts w:ascii="Arial" w:hAnsi="Arial" w:cs="Arial"/>
          <w:sz w:val="24"/>
          <w:szCs w:val="24"/>
        </w:rPr>
        <w:t>s</w:t>
      </w:r>
      <w:r w:rsidR="000B4DC7" w:rsidRPr="000B4DC7">
        <w:rPr>
          <w:rStyle w:val="cf01"/>
          <w:rFonts w:ascii="Arial" w:hAnsi="Arial" w:cs="Arial"/>
          <w:sz w:val="24"/>
          <w:szCs w:val="24"/>
        </w:rPr>
        <w:t xml:space="preserve"> </w:t>
      </w:r>
      <w:r w:rsidR="00FE2112">
        <w:rPr>
          <w:rStyle w:val="cf01"/>
          <w:rFonts w:ascii="Arial" w:hAnsi="Arial" w:cs="Arial"/>
          <w:sz w:val="24"/>
          <w:szCs w:val="24"/>
        </w:rPr>
        <w:t xml:space="preserve">were </w:t>
      </w:r>
      <w:r w:rsidR="00400F6A">
        <w:rPr>
          <w:rStyle w:val="cf01"/>
          <w:rFonts w:ascii="Arial" w:hAnsi="Arial" w:cs="Arial"/>
          <w:sz w:val="24"/>
          <w:szCs w:val="24"/>
        </w:rPr>
        <w:t>overreported</w:t>
      </w:r>
      <w:r w:rsidR="00CC30E1" w:rsidRPr="000B4DC7">
        <w:rPr>
          <w:rFonts w:cs="Arial"/>
        </w:rPr>
        <w:t>.</w:t>
      </w:r>
      <w:r w:rsidR="00A653E8" w:rsidRPr="000B4DC7">
        <w:rPr>
          <w:rFonts w:cs="Arial"/>
        </w:rPr>
        <w:t xml:space="preserve"> If SELPAs missed data points, it is noted in the charts.</w:t>
      </w:r>
    </w:p>
    <w:p w14:paraId="2F15BD48" w14:textId="6C20B7A9" w:rsidR="00931581" w:rsidRPr="00931581" w:rsidRDefault="00931581" w:rsidP="000B4A2F">
      <w:pPr>
        <w:pStyle w:val="Heading4"/>
      </w:pPr>
      <w:r w:rsidRPr="00931581">
        <w:t xml:space="preserve">SELPA </w:t>
      </w:r>
      <w:r w:rsidR="00D83C26">
        <w:t>F</w:t>
      </w:r>
      <w:r w:rsidRPr="00931581">
        <w:t xml:space="preserve">unds </w:t>
      </w:r>
      <w:r w:rsidR="00C5658E">
        <w:t>D</w:t>
      </w:r>
      <w:r w:rsidR="00C5658E" w:rsidRPr="00931581">
        <w:t>istributi</w:t>
      </w:r>
      <w:r w:rsidR="00C5658E">
        <w:t>on</w:t>
      </w:r>
    </w:p>
    <w:tbl>
      <w:tblPr>
        <w:tblStyle w:val="TableGrid"/>
        <w:tblW w:w="7657" w:type="dxa"/>
        <w:jc w:val="center"/>
        <w:tblLook w:val="04A0" w:firstRow="1" w:lastRow="0" w:firstColumn="1" w:lastColumn="0" w:noHBand="0" w:noVBand="1"/>
        <w:tblDescription w:val="Average amount awarded per selpa and average amount spent per selpa data. "/>
      </w:tblPr>
      <w:tblGrid>
        <w:gridCol w:w="4135"/>
        <w:gridCol w:w="3522"/>
      </w:tblGrid>
      <w:tr w:rsidR="00C236E4" w:rsidRPr="00167044" w14:paraId="259DD725" w14:textId="77777777" w:rsidTr="0075392B">
        <w:trPr>
          <w:cantSplit/>
          <w:trHeight w:val="773"/>
          <w:tblHeader/>
          <w:jc w:val="center"/>
        </w:trPr>
        <w:tc>
          <w:tcPr>
            <w:tcW w:w="4135" w:type="dxa"/>
            <w:hideMark/>
          </w:tcPr>
          <w:p w14:paraId="30D6E01F" w14:textId="0542EB9C" w:rsidR="00E8085F" w:rsidRPr="00167044" w:rsidRDefault="00E8085F" w:rsidP="000B4A2F">
            <w:pPr>
              <w:spacing w:after="240"/>
              <w:rPr>
                <w:rFonts w:cs="Arial"/>
                <w:b/>
                <w:bCs/>
              </w:rPr>
            </w:pPr>
            <w:r w:rsidRPr="00167044">
              <w:rPr>
                <w:rFonts w:cs="Arial"/>
                <w:b/>
                <w:bCs/>
              </w:rPr>
              <w:t>Average Amount Awarded per SELPA</w:t>
            </w:r>
          </w:p>
        </w:tc>
        <w:tc>
          <w:tcPr>
            <w:tcW w:w="3522" w:type="dxa"/>
            <w:hideMark/>
          </w:tcPr>
          <w:p w14:paraId="3E60E0D3" w14:textId="5E00609F" w:rsidR="00E8085F" w:rsidRPr="00167044" w:rsidRDefault="00E8085F" w:rsidP="000B4A2F">
            <w:pPr>
              <w:spacing w:after="240"/>
              <w:rPr>
                <w:rFonts w:cs="Arial"/>
                <w:b/>
                <w:bCs/>
              </w:rPr>
            </w:pPr>
            <w:r w:rsidRPr="00167044">
              <w:rPr>
                <w:rFonts w:cs="Arial"/>
                <w:b/>
                <w:bCs/>
              </w:rPr>
              <w:t xml:space="preserve">Average Percentage of </w:t>
            </w:r>
            <w:r w:rsidR="00A653E8" w:rsidRPr="00167044">
              <w:rPr>
                <w:rFonts w:cs="Arial"/>
                <w:b/>
                <w:bCs/>
              </w:rPr>
              <w:t>F</w:t>
            </w:r>
            <w:r w:rsidRPr="00167044">
              <w:rPr>
                <w:rFonts w:cs="Arial"/>
                <w:b/>
                <w:bCs/>
              </w:rPr>
              <w:t xml:space="preserve">unds </w:t>
            </w:r>
            <w:r w:rsidR="00A653E8" w:rsidRPr="00167044">
              <w:rPr>
                <w:rFonts w:cs="Arial"/>
                <w:b/>
                <w:bCs/>
              </w:rPr>
              <w:t>U</w:t>
            </w:r>
            <w:r w:rsidRPr="00167044">
              <w:rPr>
                <w:rFonts w:cs="Arial"/>
                <w:b/>
                <w:bCs/>
              </w:rPr>
              <w:t>sed</w:t>
            </w:r>
          </w:p>
        </w:tc>
      </w:tr>
      <w:tr w:rsidR="00E8085F" w:rsidRPr="00167044" w14:paraId="7FE14268" w14:textId="77777777" w:rsidTr="0075392B">
        <w:trPr>
          <w:cantSplit/>
          <w:trHeight w:val="314"/>
          <w:tblHeader/>
          <w:jc w:val="center"/>
        </w:trPr>
        <w:tc>
          <w:tcPr>
            <w:tcW w:w="4135" w:type="dxa"/>
            <w:hideMark/>
          </w:tcPr>
          <w:p w14:paraId="33536DC6" w14:textId="61A7BCA6" w:rsidR="00E8085F" w:rsidRPr="00167044" w:rsidRDefault="00E8085F" w:rsidP="000B4A2F">
            <w:pPr>
              <w:spacing w:after="240"/>
              <w:jc w:val="center"/>
              <w:rPr>
                <w:rFonts w:cs="Arial"/>
              </w:rPr>
            </w:pPr>
            <w:r w:rsidRPr="00167044">
              <w:rPr>
                <w:rFonts w:cs="Arial"/>
              </w:rPr>
              <w:t>$737,790.00</w:t>
            </w:r>
          </w:p>
        </w:tc>
        <w:tc>
          <w:tcPr>
            <w:tcW w:w="3522" w:type="dxa"/>
            <w:noWrap/>
            <w:hideMark/>
          </w:tcPr>
          <w:p w14:paraId="22A71BC6" w14:textId="5DF203D1" w:rsidR="00E8085F" w:rsidRPr="00167044" w:rsidRDefault="00D64F04" w:rsidP="000B4A2F">
            <w:pPr>
              <w:spacing w:after="240"/>
              <w:jc w:val="center"/>
              <w:rPr>
                <w:rFonts w:cs="Arial"/>
              </w:rPr>
            </w:pPr>
            <w:r w:rsidRPr="00167044">
              <w:rPr>
                <w:rFonts w:cs="Arial"/>
              </w:rPr>
              <w:t>75</w:t>
            </w:r>
          </w:p>
        </w:tc>
      </w:tr>
    </w:tbl>
    <w:p w14:paraId="7E94815C" w14:textId="266B6205" w:rsidR="00931581" w:rsidRPr="00167044" w:rsidRDefault="00A66847" w:rsidP="000B4A2F">
      <w:pPr>
        <w:spacing w:before="240" w:after="240"/>
        <w:rPr>
          <w:rFonts w:cs="Arial"/>
        </w:rPr>
      </w:pPr>
      <w:r w:rsidRPr="00167044">
        <w:rPr>
          <w:rFonts w:cs="Arial"/>
        </w:rPr>
        <w:t xml:space="preserve">Most notable was the number of ADR cases mediated and resolved. Almost all SELPAs reported a reduction in due process hearings and OAH filings over the timeline of this </w:t>
      </w:r>
      <w:r w:rsidR="00D64F04" w:rsidRPr="00167044">
        <w:rPr>
          <w:rFonts w:cs="Arial"/>
        </w:rPr>
        <w:t>apportionment</w:t>
      </w:r>
      <w:r w:rsidRPr="00167044">
        <w:rPr>
          <w:rFonts w:cs="Arial"/>
        </w:rPr>
        <w:t xml:space="preserve">. </w:t>
      </w:r>
    </w:p>
    <w:p w14:paraId="32557C41" w14:textId="6C14A777" w:rsidR="00931581" w:rsidRPr="00167044" w:rsidRDefault="00931581" w:rsidP="000B4A2F">
      <w:pPr>
        <w:pStyle w:val="Heading4"/>
      </w:pPr>
      <w:r w:rsidRPr="00167044">
        <w:t xml:space="preserve">Total </w:t>
      </w:r>
      <w:r w:rsidR="00A478E1" w:rsidRPr="00167044">
        <w:t>N</w:t>
      </w:r>
      <w:r w:rsidRPr="00167044">
        <w:t xml:space="preserve">umber of </w:t>
      </w:r>
      <w:r w:rsidR="00A478E1" w:rsidRPr="00167044">
        <w:t>M</w:t>
      </w:r>
      <w:r w:rsidRPr="00167044">
        <w:t xml:space="preserve">ediated </w:t>
      </w:r>
      <w:r w:rsidR="00A478E1" w:rsidRPr="00167044">
        <w:t>C</w:t>
      </w:r>
      <w:r w:rsidRPr="00167044">
        <w:t xml:space="preserve">ases </w:t>
      </w:r>
      <w:r w:rsidR="00A478E1" w:rsidRPr="00167044">
        <w:t>D</w:t>
      </w:r>
      <w:r w:rsidRPr="00167044">
        <w:t xml:space="preserve">uring </w:t>
      </w:r>
      <w:r w:rsidR="00A478E1" w:rsidRPr="00167044">
        <w:t>R</w:t>
      </w:r>
      <w:r w:rsidRPr="00167044">
        <w:t xml:space="preserve">eporting </w:t>
      </w:r>
      <w:r w:rsidR="00A478E1" w:rsidRPr="00167044">
        <w:t>P</w:t>
      </w:r>
      <w:r w:rsidRPr="00167044">
        <w:t xml:space="preserve">eriod </w:t>
      </w:r>
    </w:p>
    <w:tbl>
      <w:tblPr>
        <w:tblStyle w:val="TableGrid"/>
        <w:tblW w:w="8550" w:type="dxa"/>
        <w:tblInd w:w="535" w:type="dxa"/>
        <w:tblLook w:val="04A0" w:firstRow="1" w:lastRow="0" w:firstColumn="1" w:lastColumn="0" w:noHBand="0" w:noVBand="1"/>
        <w:tblDescription w:val="Total number of cases accepting ADR and requesting due process. "/>
      </w:tblPr>
      <w:tblGrid>
        <w:gridCol w:w="3094"/>
        <w:gridCol w:w="2938"/>
        <w:gridCol w:w="2518"/>
      </w:tblGrid>
      <w:tr w:rsidR="00C236E4" w:rsidRPr="00167044" w14:paraId="279BE161" w14:textId="77777777" w:rsidTr="003D5D98">
        <w:trPr>
          <w:cantSplit/>
          <w:trHeight w:val="1040"/>
          <w:tblHeader/>
        </w:trPr>
        <w:tc>
          <w:tcPr>
            <w:tcW w:w="3094" w:type="dxa"/>
            <w:hideMark/>
          </w:tcPr>
          <w:p w14:paraId="1C6CCA58" w14:textId="522E9C71" w:rsidR="0072365B" w:rsidRPr="00167044" w:rsidRDefault="0072365B" w:rsidP="000B4A2F">
            <w:pPr>
              <w:spacing w:after="240"/>
              <w:jc w:val="center"/>
              <w:rPr>
                <w:rFonts w:cs="Arial"/>
                <w:b/>
                <w:bCs/>
              </w:rPr>
            </w:pPr>
            <w:r w:rsidRPr="00167044">
              <w:rPr>
                <w:rFonts w:cs="Arial"/>
                <w:b/>
                <w:bCs/>
              </w:rPr>
              <w:t>Total Number of Cases using DPDR Services</w:t>
            </w:r>
          </w:p>
        </w:tc>
        <w:tc>
          <w:tcPr>
            <w:tcW w:w="2938" w:type="dxa"/>
            <w:hideMark/>
          </w:tcPr>
          <w:p w14:paraId="149B5CC0" w14:textId="77777777" w:rsidR="0072365B" w:rsidRPr="00167044" w:rsidRDefault="0072365B" w:rsidP="000B4A2F">
            <w:pPr>
              <w:spacing w:after="240"/>
              <w:jc w:val="center"/>
              <w:rPr>
                <w:rFonts w:cs="Arial"/>
                <w:b/>
                <w:bCs/>
              </w:rPr>
            </w:pPr>
            <w:r w:rsidRPr="00167044">
              <w:rPr>
                <w:rFonts w:cs="Arial"/>
                <w:b/>
                <w:bCs/>
              </w:rPr>
              <w:t>Resolved by Agreement</w:t>
            </w:r>
          </w:p>
        </w:tc>
        <w:tc>
          <w:tcPr>
            <w:tcW w:w="2518" w:type="dxa"/>
            <w:hideMark/>
          </w:tcPr>
          <w:p w14:paraId="2741EFDE" w14:textId="38BF6A21" w:rsidR="0072365B" w:rsidRPr="00167044" w:rsidRDefault="0072365B" w:rsidP="000B4A2F">
            <w:pPr>
              <w:spacing w:after="240"/>
              <w:jc w:val="center"/>
              <w:rPr>
                <w:rFonts w:cs="Arial"/>
                <w:b/>
                <w:bCs/>
              </w:rPr>
            </w:pPr>
            <w:r w:rsidRPr="00167044">
              <w:rPr>
                <w:rFonts w:cs="Arial"/>
                <w:b/>
                <w:bCs/>
              </w:rPr>
              <w:t>Refused/Requested Due Process</w:t>
            </w:r>
          </w:p>
        </w:tc>
      </w:tr>
      <w:tr w:rsidR="0072365B" w:rsidRPr="00167044" w14:paraId="49D8E06A" w14:textId="77777777" w:rsidTr="003D5D98">
        <w:trPr>
          <w:cantSplit/>
          <w:trHeight w:val="280"/>
          <w:tblHeader/>
        </w:trPr>
        <w:tc>
          <w:tcPr>
            <w:tcW w:w="3094" w:type="dxa"/>
            <w:noWrap/>
            <w:hideMark/>
          </w:tcPr>
          <w:p w14:paraId="222215E4" w14:textId="44D8DBA4" w:rsidR="0072365B" w:rsidRPr="00167044" w:rsidRDefault="0072365B" w:rsidP="000B4A2F">
            <w:pPr>
              <w:spacing w:after="240"/>
              <w:jc w:val="center"/>
              <w:rPr>
                <w:rFonts w:cs="Arial"/>
              </w:rPr>
            </w:pPr>
            <w:r w:rsidRPr="00167044">
              <w:rPr>
                <w:rFonts w:cs="Arial"/>
              </w:rPr>
              <w:t>9</w:t>
            </w:r>
            <w:r w:rsidR="00E37FB2" w:rsidRPr="00167044">
              <w:rPr>
                <w:rFonts w:cs="Arial"/>
              </w:rPr>
              <w:t>,</w:t>
            </w:r>
            <w:r w:rsidRPr="00167044">
              <w:rPr>
                <w:rFonts w:cs="Arial"/>
              </w:rPr>
              <w:t>138</w:t>
            </w:r>
          </w:p>
        </w:tc>
        <w:tc>
          <w:tcPr>
            <w:tcW w:w="2938" w:type="dxa"/>
            <w:noWrap/>
            <w:hideMark/>
          </w:tcPr>
          <w:p w14:paraId="10AE8287" w14:textId="53986B2A" w:rsidR="0072365B" w:rsidRPr="00167044" w:rsidRDefault="0072365B" w:rsidP="000B4A2F">
            <w:pPr>
              <w:spacing w:after="240"/>
              <w:jc w:val="center"/>
              <w:rPr>
                <w:rFonts w:cs="Arial"/>
              </w:rPr>
            </w:pPr>
            <w:r w:rsidRPr="00167044">
              <w:rPr>
                <w:rFonts w:cs="Arial"/>
              </w:rPr>
              <w:t>7</w:t>
            </w:r>
            <w:r w:rsidR="00E37FB2" w:rsidRPr="00167044">
              <w:rPr>
                <w:rFonts w:cs="Arial"/>
              </w:rPr>
              <w:t>,</w:t>
            </w:r>
            <w:r w:rsidRPr="00167044">
              <w:rPr>
                <w:rFonts w:cs="Arial"/>
              </w:rPr>
              <w:t>898</w:t>
            </w:r>
            <w:r w:rsidR="00FC2DEB" w:rsidRPr="00167044">
              <w:rPr>
                <w:rFonts w:cs="Arial"/>
              </w:rPr>
              <w:t xml:space="preserve"> (86.4%)</w:t>
            </w:r>
          </w:p>
        </w:tc>
        <w:tc>
          <w:tcPr>
            <w:tcW w:w="2518" w:type="dxa"/>
            <w:noWrap/>
            <w:hideMark/>
          </w:tcPr>
          <w:p w14:paraId="11D23F73" w14:textId="3767C132" w:rsidR="0072365B" w:rsidRPr="00167044" w:rsidRDefault="0072365B" w:rsidP="000B4A2F">
            <w:pPr>
              <w:spacing w:after="240"/>
              <w:jc w:val="center"/>
              <w:rPr>
                <w:rFonts w:cs="Arial"/>
              </w:rPr>
            </w:pPr>
            <w:r w:rsidRPr="00167044">
              <w:rPr>
                <w:rFonts w:cs="Arial"/>
              </w:rPr>
              <w:t>1</w:t>
            </w:r>
            <w:r w:rsidR="00E37FB2" w:rsidRPr="00167044">
              <w:rPr>
                <w:rFonts w:cs="Arial"/>
              </w:rPr>
              <w:t>,</w:t>
            </w:r>
            <w:r w:rsidRPr="00167044">
              <w:rPr>
                <w:rFonts w:cs="Arial"/>
              </w:rPr>
              <w:t>040</w:t>
            </w:r>
          </w:p>
        </w:tc>
      </w:tr>
    </w:tbl>
    <w:p w14:paraId="16C2202D" w14:textId="225750AD" w:rsidR="00A653E8" w:rsidRPr="00167044" w:rsidRDefault="0072365B" w:rsidP="000B4A2F">
      <w:pPr>
        <w:spacing w:before="240" w:after="240"/>
        <w:rPr>
          <w:rFonts w:cs="Arial"/>
        </w:rPr>
      </w:pPr>
      <w:r w:rsidRPr="00167044">
        <w:rPr>
          <w:rFonts w:cs="Arial"/>
        </w:rPr>
        <w:lastRenderedPageBreak/>
        <w:t xml:space="preserve">These numbers represent a potential of </w:t>
      </w:r>
      <w:r w:rsidR="000B4DC7" w:rsidRPr="00167044">
        <w:rPr>
          <w:rFonts w:cs="Arial"/>
        </w:rPr>
        <w:t xml:space="preserve">hundreds of </w:t>
      </w:r>
      <w:r w:rsidRPr="00167044">
        <w:rPr>
          <w:rFonts w:cs="Arial"/>
        </w:rPr>
        <w:t>thousands of dollars saved in attorney fees and settlements</w:t>
      </w:r>
      <w:r w:rsidR="00517C7E" w:rsidRPr="00167044">
        <w:rPr>
          <w:rFonts w:cs="Arial"/>
        </w:rPr>
        <w:t xml:space="preserve"> as well as relationships</w:t>
      </w:r>
      <w:r w:rsidR="00931581" w:rsidRPr="00167044">
        <w:rPr>
          <w:rFonts w:cs="Arial"/>
        </w:rPr>
        <w:t xml:space="preserve"> saved</w:t>
      </w:r>
      <w:r w:rsidR="00517C7E" w:rsidRPr="00167044">
        <w:rPr>
          <w:rFonts w:cs="Arial"/>
        </w:rPr>
        <w:t xml:space="preserve"> </w:t>
      </w:r>
      <w:r w:rsidR="00931581" w:rsidRPr="00167044">
        <w:rPr>
          <w:rFonts w:cs="Arial"/>
        </w:rPr>
        <w:t>between the LEAs and families.</w:t>
      </w:r>
    </w:p>
    <w:p w14:paraId="2C944BB5" w14:textId="77E74427" w:rsidR="002865DB" w:rsidRPr="00167044" w:rsidRDefault="00517C7E" w:rsidP="000B4A2F">
      <w:pPr>
        <w:spacing w:after="240"/>
        <w:rPr>
          <w:rFonts w:cs="Arial"/>
        </w:rPr>
      </w:pPr>
      <w:r w:rsidRPr="00167044">
        <w:rPr>
          <w:rFonts w:cs="Arial"/>
        </w:rPr>
        <w:t xml:space="preserve">Other </w:t>
      </w:r>
      <w:r w:rsidR="004E4C94" w:rsidRPr="00167044">
        <w:rPr>
          <w:rFonts w:cs="Arial"/>
        </w:rPr>
        <w:t>n</w:t>
      </w:r>
      <w:r w:rsidRPr="00167044">
        <w:rPr>
          <w:rFonts w:cs="Arial"/>
        </w:rPr>
        <w:t>otable demographic information includes</w:t>
      </w:r>
      <w:r w:rsidR="00931581" w:rsidRPr="00167044">
        <w:rPr>
          <w:rFonts w:cs="Arial"/>
        </w:rPr>
        <w:t xml:space="preserve"> socioeconomic and EL</w:t>
      </w:r>
      <w:r w:rsidR="007A7C7E" w:rsidRPr="00167044">
        <w:rPr>
          <w:rFonts w:cs="Arial"/>
        </w:rPr>
        <w:t xml:space="preserve"> student</w:t>
      </w:r>
      <w:r w:rsidR="00931581" w:rsidRPr="00167044">
        <w:rPr>
          <w:rFonts w:cs="Arial"/>
        </w:rPr>
        <w:t xml:space="preserve"> status. </w:t>
      </w:r>
    </w:p>
    <w:p w14:paraId="66F357F8" w14:textId="4A4B1CCC" w:rsidR="00AF39E0" w:rsidRPr="00167044" w:rsidRDefault="00931581" w:rsidP="000B4A2F">
      <w:pPr>
        <w:pStyle w:val="Heading4"/>
      </w:pPr>
      <w:r w:rsidRPr="00167044">
        <w:t>A</w:t>
      </w:r>
      <w:r w:rsidR="002F3CA0" w:rsidRPr="00167044">
        <w:t>verage</w:t>
      </w:r>
      <w:r w:rsidR="00517C7E" w:rsidRPr="00167044">
        <w:t xml:space="preserve"> </w:t>
      </w:r>
      <w:r w:rsidR="00BA25E8" w:rsidRPr="00167044">
        <w:t>S</w:t>
      </w:r>
      <w:r w:rsidR="00517C7E" w:rsidRPr="00167044">
        <w:t xml:space="preserve">ocioeconomic </w:t>
      </w:r>
      <w:r w:rsidR="00BA25E8" w:rsidRPr="00167044">
        <w:t>S</w:t>
      </w:r>
      <w:r w:rsidR="00517C7E" w:rsidRPr="00167044">
        <w:t xml:space="preserve">tatus and </w:t>
      </w:r>
      <w:r w:rsidR="00A478E1" w:rsidRPr="00167044">
        <w:t>EL</w:t>
      </w:r>
      <w:r w:rsidR="007A7C7E" w:rsidRPr="00167044">
        <w:t xml:space="preserve"> </w:t>
      </w:r>
      <w:r w:rsidR="00BA25E8" w:rsidRPr="00167044">
        <w:t>S</w:t>
      </w:r>
      <w:r w:rsidR="0094446F" w:rsidRPr="00167044">
        <w:t>t</w:t>
      </w:r>
      <w:r w:rsidR="007A7C7E" w:rsidRPr="00167044">
        <w:t>udent</w:t>
      </w:r>
      <w:r w:rsidR="00517C7E" w:rsidRPr="00167044">
        <w:t xml:space="preserve"> </w:t>
      </w:r>
      <w:r w:rsidR="00BA25E8" w:rsidRPr="00167044">
        <w:t>S</w:t>
      </w:r>
      <w:r w:rsidR="00517C7E" w:rsidRPr="00167044">
        <w:t xml:space="preserve">tatus of </w:t>
      </w:r>
      <w:r w:rsidR="002F3CA0" w:rsidRPr="00167044">
        <w:t>S</w:t>
      </w:r>
      <w:r w:rsidR="007A7C7E" w:rsidRPr="00167044">
        <w:t xml:space="preserve">tudents with </w:t>
      </w:r>
      <w:r w:rsidR="002F3CA0" w:rsidRPr="00167044">
        <w:t>D</w:t>
      </w:r>
      <w:r w:rsidR="007A7C7E" w:rsidRPr="00167044">
        <w:t>isabilities</w:t>
      </w:r>
      <w:r w:rsidR="00832099" w:rsidRPr="00167044">
        <w:t xml:space="preserve"> </w:t>
      </w:r>
      <w:r w:rsidR="00BA25E8" w:rsidRPr="00167044">
        <w:t>S</w:t>
      </w:r>
      <w:r w:rsidR="00832099" w:rsidRPr="00167044">
        <w:t>erved</w:t>
      </w:r>
    </w:p>
    <w:tbl>
      <w:tblPr>
        <w:tblStyle w:val="TableGrid"/>
        <w:tblW w:w="8995" w:type="dxa"/>
        <w:jc w:val="center"/>
        <w:tblLook w:val="04A0" w:firstRow="1" w:lastRow="0" w:firstColumn="1" w:lastColumn="0" w:noHBand="0" w:noVBand="1"/>
        <w:tblDescription w:val="Total number of students with disabilities served, EL students and socionomically disadvantaged. "/>
      </w:tblPr>
      <w:tblGrid>
        <w:gridCol w:w="3325"/>
        <w:gridCol w:w="2790"/>
        <w:gridCol w:w="2880"/>
      </w:tblGrid>
      <w:tr w:rsidR="00C236E4" w:rsidRPr="00167044" w14:paraId="74C584A1" w14:textId="77777777" w:rsidTr="0075392B">
        <w:trPr>
          <w:cantSplit/>
          <w:trHeight w:val="1040"/>
          <w:tblHeader/>
          <w:jc w:val="center"/>
        </w:trPr>
        <w:tc>
          <w:tcPr>
            <w:tcW w:w="3325" w:type="dxa"/>
            <w:hideMark/>
          </w:tcPr>
          <w:p w14:paraId="304F6CA4" w14:textId="3E9CA0B7" w:rsidR="00517C7E" w:rsidRPr="00167044" w:rsidRDefault="00517C7E" w:rsidP="000B4A2F">
            <w:pPr>
              <w:spacing w:after="240"/>
              <w:jc w:val="center"/>
              <w:rPr>
                <w:rFonts w:cs="Arial"/>
                <w:b/>
                <w:bCs/>
              </w:rPr>
            </w:pPr>
            <w:r w:rsidRPr="00167044">
              <w:rPr>
                <w:rFonts w:cs="Arial"/>
                <w:b/>
                <w:bCs/>
              </w:rPr>
              <w:t xml:space="preserve">Total </w:t>
            </w:r>
            <w:r w:rsidR="00A478E1" w:rsidRPr="00167044">
              <w:rPr>
                <w:rFonts w:cs="Arial"/>
                <w:b/>
                <w:bCs/>
              </w:rPr>
              <w:t>N</w:t>
            </w:r>
            <w:r w:rsidRPr="00167044">
              <w:rPr>
                <w:rFonts w:cs="Arial"/>
                <w:b/>
                <w:bCs/>
              </w:rPr>
              <w:t>umber of S</w:t>
            </w:r>
            <w:r w:rsidR="007A7C7E" w:rsidRPr="00167044">
              <w:rPr>
                <w:rFonts w:cs="Arial"/>
                <w:b/>
                <w:bCs/>
              </w:rPr>
              <w:t xml:space="preserve">tudents with </w:t>
            </w:r>
            <w:r w:rsidRPr="00167044">
              <w:rPr>
                <w:rFonts w:cs="Arial"/>
                <w:b/>
                <w:bCs/>
              </w:rPr>
              <w:t>D</w:t>
            </w:r>
            <w:r w:rsidR="007A7C7E" w:rsidRPr="00167044">
              <w:rPr>
                <w:rFonts w:cs="Arial"/>
                <w:b/>
                <w:bCs/>
              </w:rPr>
              <w:t>isabilities</w:t>
            </w:r>
            <w:r w:rsidRPr="00167044">
              <w:rPr>
                <w:rFonts w:cs="Arial"/>
                <w:b/>
                <w:bCs/>
              </w:rPr>
              <w:t xml:space="preserve"> Served by all SELPAs</w:t>
            </w:r>
          </w:p>
          <w:p w14:paraId="45F3F049" w14:textId="19CE67D2" w:rsidR="00517C7E" w:rsidRPr="00167044" w:rsidRDefault="00517C7E" w:rsidP="000B4A2F">
            <w:pPr>
              <w:spacing w:after="240"/>
              <w:jc w:val="center"/>
              <w:rPr>
                <w:rFonts w:cs="Arial"/>
                <w:b/>
                <w:bCs/>
              </w:rPr>
            </w:pPr>
            <w:r w:rsidRPr="00167044">
              <w:rPr>
                <w:rFonts w:cs="Arial"/>
                <w:b/>
                <w:bCs/>
              </w:rPr>
              <w:t>(12</w:t>
            </w:r>
            <w:r w:rsidR="00B52680" w:rsidRPr="00167044">
              <w:rPr>
                <w:rFonts w:cs="Arial"/>
                <w:b/>
                <w:bCs/>
              </w:rPr>
              <w:t>9</w:t>
            </w:r>
            <w:r w:rsidR="00A478E1" w:rsidRPr="00167044">
              <w:rPr>
                <w:rFonts w:cs="Arial"/>
                <w:b/>
                <w:bCs/>
              </w:rPr>
              <w:t xml:space="preserve"> of </w:t>
            </w:r>
            <w:r w:rsidRPr="00167044">
              <w:rPr>
                <w:rFonts w:cs="Arial"/>
                <w:b/>
                <w:bCs/>
              </w:rPr>
              <w:t xml:space="preserve">135 </w:t>
            </w:r>
            <w:r w:rsidR="00B52680" w:rsidRPr="00167044">
              <w:rPr>
                <w:rFonts w:cs="Arial"/>
                <w:b/>
                <w:bCs/>
              </w:rPr>
              <w:t xml:space="preserve">SELPAs </w:t>
            </w:r>
            <w:r w:rsidRPr="00167044">
              <w:rPr>
                <w:rFonts w:cs="Arial"/>
                <w:b/>
                <w:bCs/>
              </w:rPr>
              <w:t>reporting)</w:t>
            </w:r>
          </w:p>
        </w:tc>
        <w:tc>
          <w:tcPr>
            <w:tcW w:w="2790" w:type="dxa"/>
            <w:hideMark/>
          </w:tcPr>
          <w:p w14:paraId="5C9E20C9" w14:textId="0256A959" w:rsidR="00517C7E" w:rsidRPr="00167044" w:rsidRDefault="00517C7E" w:rsidP="000B4A2F">
            <w:pPr>
              <w:spacing w:after="240"/>
              <w:jc w:val="center"/>
              <w:rPr>
                <w:rFonts w:cs="Arial"/>
                <w:b/>
                <w:bCs/>
              </w:rPr>
            </w:pPr>
            <w:r w:rsidRPr="00167044">
              <w:rPr>
                <w:rFonts w:cs="Arial"/>
                <w:b/>
                <w:bCs/>
              </w:rPr>
              <w:t xml:space="preserve">Number of </w:t>
            </w:r>
            <w:r w:rsidR="00A478E1" w:rsidRPr="00167044">
              <w:rPr>
                <w:rFonts w:cs="Arial"/>
                <w:b/>
                <w:bCs/>
              </w:rPr>
              <w:t>EL S</w:t>
            </w:r>
            <w:r w:rsidR="007A7C7E" w:rsidRPr="00167044">
              <w:rPr>
                <w:rFonts w:cs="Arial"/>
                <w:b/>
                <w:bCs/>
              </w:rPr>
              <w:t>tudents</w:t>
            </w:r>
            <w:r w:rsidRPr="00167044">
              <w:rPr>
                <w:rFonts w:cs="Arial"/>
                <w:b/>
                <w:bCs/>
              </w:rPr>
              <w:t xml:space="preserve"> </w:t>
            </w:r>
            <w:r w:rsidR="00A478E1" w:rsidRPr="00167044">
              <w:rPr>
                <w:rFonts w:cs="Arial"/>
                <w:b/>
                <w:bCs/>
              </w:rPr>
              <w:t>C</w:t>
            </w:r>
            <w:r w:rsidRPr="00167044">
              <w:rPr>
                <w:rFonts w:cs="Arial"/>
                <w:b/>
                <w:bCs/>
              </w:rPr>
              <w:t xml:space="preserve">lassified </w:t>
            </w:r>
            <w:r w:rsidR="007A7C7E" w:rsidRPr="00167044">
              <w:rPr>
                <w:rFonts w:cs="Arial"/>
                <w:b/>
                <w:bCs/>
              </w:rPr>
              <w:t xml:space="preserve">as </w:t>
            </w:r>
            <w:r w:rsidRPr="00167044">
              <w:rPr>
                <w:rFonts w:cs="Arial"/>
                <w:b/>
                <w:bCs/>
              </w:rPr>
              <w:t>S</w:t>
            </w:r>
            <w:r w:rsidR="007A7C7E" w:rsidRPr="00167044">
              <w:rPr>
                <w:rFonts w:cs="Arial"/>
                <w:b/>
                <w:bCs/>
              </w:rPr>
              <w:t xml:space="preserve">tudents with </w:t>
            </w:r>
            <w:r w:rsidRPr="00167044">
              <w:rPr>
                <w:rFonts w:cs="Arial"/>
                <w:b/>
                <w:bCs/>
              </w:rPr>
              <w:t>D</w:t>
            </w:r>
            <w:r w:rsidR="007A7C7E" w:rsidRPr="00167044">
              <w:rPr>
                <w:rFonts w:cs="Arial"/>
                <w:b/>
                <w:bCs/>
              </w:rPr>
              <w:t>isabilities</w:t>
            </w:r>
          </w:p>
          <w:p w14:paraId="31EB0CB0" w14:textId="51AB6298" w:rsidR="00B52680" w:rsidRPr="00167044" w:rsidRDefault="00B52680" w:rsidP="000B4A2F">
            <w:pPr>
              <w:spacing w:after="240"/>
              <w:jc w:val="center"/>
              <w:rPr>
                <w:rFonts w:cs="Arial"/>
                <w:b/>
                <w:bCs/>
              </w:rPr>
            </w:pPr>
            <w:r w:rsidRPr="00167044">
              <w:rPr>
                <w:rFonts w:cs="Arial"/>
                <w:b/>
                <w:bCs/>
              </w:rPr>
              <w:t>(114</w:t>
            </w:r>
            <w:r w:rsidR="00A478E1" w:rsidRPr="00167044">
              <w:rPr>
                <w:rFonts w:cs="Arial"/>
                <w:b/>
                <w:bCs/>
              </w:rPr>
              <w:t xml:space="preserve"> of </w:t>
            </w:r>
            <w:r w:rsidRPr="00167044">
              <w:rPr>
                <w:rFonts w:cs="Arial"/>
                <w:b/>
                <w:bCs/>
              </w:rPr>
              <w:t>135 SELPAs Reporting)</w:t>
            </w:r>
          </w:p>
          <w:p w14:paraId="3A55E7B4" w14:textId="4780C3F9" w:rsidR="00B52680" w:rsidRPr="00167044" w:rsidRDefault="00B52680" w:rsidP="000B4A2F">
            <w:pPr>
              <w:spacing w:after="240"/>
              <w:jc w:val="center"/>
              <w:rPr>
                <w:rFonts w:cs="Arial"/>
                <w:b/>
                <w:bCs/>
              </w:rPr>
            </w:pPr>
          </w:p>
        </w:tc>
        <w:tc>
          <w:tcPr>
            <w:tcW w:w="2880" w:type="dxa"/>
            <w:hideMark/>
          </w:tcPr>
          <w:p w14:paraId="00B28BDD" w14:textId="4F9084E3" w:rsidR="00517C7E" w:rsidRPr="00167044" w:rsidRDefault="00B52680" w:rsidP="000B4A2F">
            <w:pPr>
              <w:spacing w:after="240"/>
              <w:jc w:val="center"/>
              <w:rPr>
                <w:rFonts w:cs="Arial"/>
                <w:b/>
                <w:bCs/>
              </w:rPr>
            </w:pPr>
            <w:r w:rsidRPr="00167044">
              <w:rPr>
                <w:rFonts w:cs="Arial"/>
                <w:b/>
                <w:bCs/>
              </w:rPr>
              <w:t xml:space="preserve">Average </w:t>
            </w:r>
            <w:r w:rsidR="00A478E1" w:rsidRPr="00167044">
              <w:rPr>
                <w:rFonts w:cs="Arial"/>
                <w:b/>
                <w:bCs/>
              </w:rPr>
              <w:t>P</w:t>
            </w:r>
            <w:r w:rsidR="00C7099F" w:rsidRPr="00167044">
              <w:rPr>
                <w:rFonts w:cs="Arial"/>
                <w:b/>
                <w:bCs/>
              </w:rPr>
              <w:t>e</w:t>
            </w:r>
            <w:r w:rsidRPr="00167044">
              <w:rPr>
                <w:rFonts w:cs="Arial"/>
                <w:b/>
                <w:bCs/>
              </w:rPr>
              <w:t>rcentage</w:t>
            </w:r>
            <w:r w:rsidR="00517C7E" w:rsidRPr="00167044">
              <w:rPr>
                <w:rFonts w:cs="Arial"/>
                <w:b/>
                <w:bCs/>
              </w:rPr>
              <w:t xml:space="preserve"> </w:t>
            </w:r>
            <w:r w:rsidR="00C7099F" w:rsidRPr="00167044">
              <w:rPr>
                <w:rFonts w:cs="Arial"/>
                <w:b/>
                <w:bCs/>
              </w:rPr>
              <w:t xml:space="preserve">of </w:t>
            </w:r>
            <w:r w:rsidR="00A478E1" w:rsidRPr="00167044">
              <w:rPr>
                <w:rFonts w:cs="Arial"/>
                <w:b/>
                <w:bCs/>
              </w:rPr>
              <w:t>F</w:t>
            </w:r>
            <w:r w:rsidR="00C7099F" w:rsidRPr="00167044">
              <w:rPr>
                <w:rFonts w:cs="Arial"/>
                <w:b/>
                <w:bCs/>
              </w:rPr>
              <w:t xml:space="preserve">amilies </w:t>
            </w:r>
            <w:r w:rsidR="00A478E1" w:rsidRPr="00167044">
              <w:rPr>
                <w:rFonts w:cs="Arial"/>
                <w:b/>
                <w:bCs/>
              </w:rPr>
              <w:t>I</w:t>
            </w:r>
            <w:r w:rsidR="00C7099F" w:rsidRPr="00167044">
              <w:rPr>
                <w:rFonts w:cs="Arial"/>
                <w:b/>
                <w:bCs/>
              </w:rPr>
              <w:t xml:space="preserve">dentified as </w:t>
            </w:r>
            <w:r w:rsidRPr="00167044">
              <w:rPr>
                <w:rFonts w:cs="Arial"/>
                <w:b/>
                <w:bCs/>
              </w:rPr>
              <w:t>Socioeconomically</w:t>
            </w:r>
            <w:r w:rsidR="00517C7E" w:rsidRPr="00167044">
              <w:rPr>
                <w:rFonts w:cs="Arial"/>
                <w:b/>
                <w:bCs/>
              </w:rPr>
              <w:t xml:space="preserve"> Disadvantaged</w:t>
            </w:r>
          </w:p>
          <w:p w14:paraId="0CA6C44D" w14:textId="7646E9FA" w:rsidR="00B52680" w:rsidRPr="00167044" w:rsidRDefault="00B52680" w:rsidP="000B4A2F">
            <w:pPr>
              <w:spacing w:after="240"/>
              <w:jc w:val="center"/>
              <w:rPr>
                <w:rFonts w:cs="Arial"/>
                <w:b/>
                <w:bCs/>
              </w:rPr>
            </w:pPr>
            <w:r w:rsidRPr="00167044">
              <w:rPr>
                <w:rFonts w:cs="Arial"/>
                <w:b/>
                <w:bCs/>
              </w:rPr>
              <w:t>(111</w:t>
            </w:r>
            <w:r w:rsidR="00A478E1" w:rsidRPr="00167044">
              <w:rPr>
                <w:rFonts w:cs="Arial"/>
                <w:b/>
                <w:bCs/>
              </w:rPr>
              <w:t xml:space="preserve"> of </w:t>
            </w:r>
            <w:r w:rsidRPr="00167044">
              <w:rPr>
                <w:rFonts w:cs="Arial"/>
                <w:b/>
                <w:bCs/>
              </w:rPr>
              <w:t>135 SELPAs Reporting)</w:t>
            </w:r>
          </w:p>
        </w:tc>
      </w:tr>
      <w:tr w:rsidR="00517C7E" w:rsidRPr="00167044" w14:paraId="136F64FB" w14:textId="77777777" w:rsidTr="0075392B">
        <w:trPr>
          <w:cantSplit/>
          <w:trHeight w:val="548"/>
          <w:tblHeader/>
          <w:jc w:val="center"/>
        </w:trPr>
        <w:tc>
          <w:tcPr>
            <w:tcW w:w="3325" w:type="dxa"/>
            <w:noWrap/>
            <w:hideMark/>
          </w:tcPr>
          <w:p w14:paraId="587DF957" w14:textId="599E56EE" w:rsidR="00517C7E" w:rsidRPr="00167044" w:rsidRDefault="00B52680" w:rsidP="000B4A2F">
            <w:pPr>
              <w:spacing w:after="240"/>
              <w:jc w:val="center"/>
              <w:rPr>
                <w:rFonts w:cs="Arial"/>
                <w:bCs/>
              </w:rPr>
            </w:pPr>
            <w:r w:rsidRPr="00167044">
              <w:rPr>
                <w:rFonts w:cs="Arial"/>
                <w:bCs/>
              </w:rPr>
              <w:t>668,796 Students</w:t>
            </w:r>
          </w:p>
        </w:tc>
        <w:tc>
          <w:tcPr>
            <w:tcW w:w="2790" w:type="dxa"/>
            <w:noWrap/>
            <w:hideMark/>
          </w:tcPr>
          <w:p w14:paraId="73D36B53" w14:textId="3CF0C9CE" w:rsidR="00517C7E" w:rsidRPr="00167044" w:rsidRDefault="00517C7E" w:rsidP="000B4A2F">
            <w:pPr>
              <w:spacing w:after="240"/>
              <w:jc w:val="center"/>
              <w:rPr>
                <w:rFonts w:cs="Arial"/>
              </w:rPr>
            </w:pPr>
            <w:r w:rsidRPr="00167044">
              <w:rPr>
                <w:rFonts w:cs="Arial"/>
              </w:rPr>
              <w:t>151</w:t>
            </w:r>
            <w:r w:rsidR="00B52680" w:rsidRPr="00167044">
              <w:rPr>
                <w:rFonts w:cs="Arial"/>
              </w:rPr>
              <w:t>,</w:t>
            </w:r>
            <w:r w:rsidRPr="00167044">
              <w:rPr>
                <w:rFonts w:cs="Arial"/>
              </w:rPr>
              <w:t>590</w:t>
            </w:r>
            <w:r w:rsidR="00B52680" w:rsidRPr="00167044">
              <w:rPr>
                <w:rFonts w:cs="Arial"/>
              </w:rPr>
              <w:t xml:space="preserve"> Students</w:t>
            </w:r>
          </w:p>
        </w:tc>
        <w:tc>
          <w:tcPr>
            <w:tcW w:w="2880" w:type="dxa"/>
            <w:noWrap/>
            <w:hideMark/>
          </w:tcPr>
          <w:p w14:paraId="10C93E80" w14:textId="198B2325" w:rsidR="00517C7E" w:rsidRPr="00167044" w:rsidRDefault="00517C7E" w:rsidP="000B4A2F">
            <w:pPr>
              <w:spacing w:after="240"/>
              <w:jc w:val="center"/>
              <w:rPr>
                <w:rFonts w:cs="Arial"/>
              </w:rPr>
            </w:pPr>
            <w:r w:rsidRPr="00167044">
              <w:rPr>
                <w:rFonts w:cs="Arial"/>
              </w:rPr>
              <w:t>56.19</w:t>
            </w:r>
          </w:p>
        </w:tc>
      </w:tr>
    </w:tbl>
    <w:p w14:paraId="7C81B54C" w14:textId="5FEF2E7A" w:rsidR="00931581" w:rsidRPr="00167044" w:rsidRDefault="00B52680" w:rsidP="000B4A2F">
      <w:pPr>
        <w:spacing w:before="240" w:after="240"/>
        <w:rPr>
          <w:rFonts w:cs="Arial"/>
        </w:rPr>
      </w:pPr>
      <w:r w:rsidRPr="00167044">
        <w:rPr>
          <w:rFonts w:cs="Arial"/>
        </w:rPr>
        <w:t xml:space="preserve">The funds especially impacted families whose primary language was </w:t>
      </w:r>
      <w:r w:rsidR="002F3CA0" w:rsidRPr="00167044">
        <w:rPr>
          <w:rFonts w:cs="Arial"/>
        </w:rPr>
        <w:t xml:space="preserve">not English. Of the 119 SELPAs that provided parent language information, the most common languages of families served </w:t>
      </w:r>
      <w:r w:rsidR="00FE2112" w:rsidRPr="00167044">
        <w:rPr>
          <w:rFonts w:cs="Arial"/>
        </w:rPr>
        <w:t xml:space="preserve">were </w:t>
      </w:r>
      <w:r w:rsidR="0094446F" w:rsidRPr="00167044">
        <w:rPr>
          <w:rFonts w:cs="Arial"/>
        </w:rPr>
        <w:t>as follows</w:t>
      </w:r>
      <w:r w:rsidR="002F3CA0" w:rsidRPr="00167044">
        <w:rPr>
          <w:rFonts w:cs="Arial"/>
        </w:rPr>
        <w:t>:</w:t>
      </w:r>
    </w:p>
    <w:p w14:paraId="617A5541" w14:textId="57BCBFAE" w:rsidR="002F3CA0" w:rsidRPr="00167044" w:rsidRDefault="00931581" w:rsidP="000B4A2F">
      <w:pPr>
        <w:pStyle w:val="Heading4"/>
      </w:pPr>
      <w:r w:rsidRPr="00167044">
        <w:t xml:space="preserve">Parent Primary Language </w:t>
      </w:r>
    </w:p>
    <w:tbl>
      <w:tblPr>
        <w:tblStyle w:val="TableGrid"/>
        <w:tblW w:w="8280" w:type="dxa"/>
        <w:jc w:val="center"/>
        <w:tblLook w:val="04A0" w:firstRow="1" w:lastRow="0" w:firstColumn="1" w:lastColumn="0" w:noHBand="0" w:noVBand="1"/>
        <w:tblDescription w:val="Parent primary language for all students served. "/>
      </w:tblPr>
      <w:tblGrid>
        <w:gridCol w:w="1380"/>
        <w:gridCol w:w="1380"/>
        <w:gridCol w:w="1551"/>
        <w:gridCol w:w="1380"/>
        <w:gridCol w:w="1380"/>
        <w:gridCol w:w="1443"/>
      </w:tblGrid>
      <w:tr w:rsidR="00C236E4" w:rsidRPr="00167044" w14:paraId="4FE440A9" w14:textId="77777777" w:rsidTr="0075392B">
        <w:trPr>
          <w:cantSplit/>
          <w:trHeight w:val="494"/>
          <w:tblHeader/>
          <w:jc w:val="center"/>
        </w:trPr>
        <w:tc>
          <w:tcPr>
            <w:tcW w:w="1380" w:type="dxa"/>
            <w:hideMark/>
          </w:tcPr>
          <w:p w14:paraId="1033D940" w14:textId="77777777" w:rsidR="002F3CA0" w:rsidRPr="00167044" w:rsidRDefault="002F3CA0" w:rsidP="004E4C94">
            <w:pPr>
              <w:spacing w:after="240"/>
              <w:jc w:val="center"/>
              <w:rPr>
                <w:rFonts w:cs="Arial"/>
                <w:b/>
                <w:bCs/>
              </w:rPr>
            </w:pPr>
            <w:r w:rsidRPr="00167044">
              <w:rPr>
                <w:rFonts w:cs="Arial"/>
                <w:b/>
                <w:bCs/>
              </w:rPr>
              <w:t>English</w:t>
            </w:r>
          </w:p>
        </w:tc>
        <w:tc>
          <w:tcPr>
            <w:tcW w:w="1380" w:type="dxa"/>
            <w:hideMark/>
          </w:tcPr>
          <w:p w14:paraId="30221CF4" w14:textId="77777777" w:rsidR="002F3CA0" w:rsidRPr="00167044" w:rsidRDefault="002F3CA0" w:rsidP="004E4C94">
            <w:pPr>
              <w:spacing w:after="240"/>
              <w:jc w:val="center"/>
              <w:rPr>
                <w:rFonts w:cs="Arial"/>
                <w:b/>
                <w:bCs/>
              </w:rPr>
            </w:pPr>
            <w:r w:rsidRPr="00167044">
              <w:rPr>
                <w:rFonts w:cs="Arial"/>
                <w:b/>
                <w:bCs/>
              </w:rPr>
              <w:t>Spanish</w:t>
            </w:r>
          </w:p>
        </w:tc>
        <w:tc>
          <w:tcPr>
            <w:tcW w:w="1380" w:type="dxa"/>
            <w:hideMark/>
          </w:tcPr>
          <w:p w14:paraId="27BD9907" w14:textId="35B7A34F" w:rsidR="002F3CA0" w:rsidRPr="00167044" w:rsidRDefault="002F3CA0" w:rsidP="004E4C94">
            <w:pPr>
              <w:spacing w:after="240"/>
              <w:jc w:val="center"/>
              <w:rPr>
                <w:rFonts w:cs="Arial"/>
                <w:b/>
                <w:bCs/>
              </w:rPr>
            </w:pPr>
            <w:r w:rsidRPr="00167044">
              <w:rPr>
                <w:rFonts w:cs="Arial"/>
                <w:b/>
                <w:bCs/>
              </w:rPr>
              <w:t>Vietnamese</w:t>
            </w:r>
          </w:p>
        </w:tc>
        <w:tc>
          <w:tcPr>
            <w:tcW w:w="1380" w:type="dxa"/>
            <w:hideMark/>
          </w:tcPr>
          <w:p w14:paraId="2FA479F6" w14:textId="12241CBC" w:rsidR="002F3CA0" w:rsidRPr="00167044" w:rsidRDefault="002F3CA0" w:rsidP="004E4C94">
            <w:pPr>
              <w:spacing w:after="240"/>
              <w:jc w:val="center"/>
              <w:rPr>
                <w:rFonts w:cs="Arial"/>
                <w:b/>
                <w:bCs/>
              </w:rPr>
            </w:pPr>
            <w:r w:rsidRPr="00167044">
              <w:rPr>
                <w:rFonts w:cs="Arial"/>
                <w:b/>
                <w:bCs/>
              </w:rPr>
              <w:t>Mandarin</w:t>
            </w:r>
          </w:p>
        </w:tc>
        <w:tc>
          <w:tcPr>
            <w:tcW w:w="1380" w:type="dxa"/>
            <w:hideMark/>
          </w:tcPr>
          <w:p w14:paraId="53E792BB" w14:textId="58C2D54A" w:rsidR="002F3CA0" w:rsidRPr="00167044" w:rsidRDefault="002F3CA0" w:rsidP="004E4C94">
            <w:pPr>
              <w:spacing w:after="240"/>
              <w:jc w:val="center"/>
              <w:rPr>
                <w:rFonts w:cs="Arial"/>
                <w:b/>
                <w:bCs/>
              </w:rPr>
            </w:pPr>
            <w:r w:rsidRPr="00167044">
              <w:rPr>
                <w:rFonts w:cs="Arial"/>
                <w:b/>
                <w:bCs/>
              </w:rPr>
              <w:t>Arabic</w:t>
            </w:r>
          </w:p>
        </w:tc>
        <w:tc>
          <w:tcPr>
            <w:tcW w:w="1380" w:type="dxa"/>
            <w:hideMark/>
          </w:tcPr>
          <w:p w14:paraId="75F4EAE5" w14:textId="5E05B08F" w:rsidR="002F3CA0" w:rsidRPr="00167044" w:rsidRDefault="002F3CA0" w:rsidP="004E4C94">
            <w:pPr>
              <w:spacing w:after="240"/>
              <w:jc w:val="center"/>
              <w:rPr>
                <w:rFonts w:cs="Arial"/>
                <w:b/>
                <w:bCs/>
              </w:rPr>
            </w:pPr>
            <w:r w:rsidRPr="00167044">
              <w:rPr>
                <w:rFonts w:cs="Arial"/>
                <w:b/>
                <w:bCs/>
              </w:rPr>
              <w:t>Cantonese</w:t>
            </w:r>
          </w:p>
        </w:tc>
      </w:tr>
      <w:tr w:rsidR="00C236E4" w:rsidRPr="00167044" w14:paraId="4D77A936" w14:textId="77777777" w:rsidTr="0075392B">
        <w:trPr>
          <w:cantSplit/>
          <w:trHeight w:val="280"/>
          <w:tblHeader/>
          <w:jc w:val="center"/>
        </w:trPr>
        <w:tc>
          <w:tcPr>
            <w:tcW w:w="1380" w:type="dxa"/>
            <w:noWrap/>
            <w:hideMark/>
          </w:tcPr>
          <w:p w14:paraId="02917BC6" w14:textId="72E7A672" w:rsidR="002F3CA0" w:rsidRPr="00167044" w:rsidRDefault="002F3CA0" w:rsidP="004E4C94">
            <w:pPr>
              <w:spacing w:after="240"/>
              <w:jc w:val="center"/>
              <w:rPr>
                <w:rFonts w:cs="Arial"/>
              </w:rPr>
            </w:pPr>
            <w:r w:rsidRPr="00167044">
              <w:rPr>
                <w:rFonts w:cs="Arial"/>
              </w:rPr>
              <w:t>365,303 families</w:t>
            </w:r>
          </w:p>
        </w:tc>
        <w:tc>
          <w:tcPr>
            <w:tcW w:w="1380" w:type="dxa"/>
            <w:noWrap/>
            <w:hideMark/>
          </w:tcPr>
          <w:p w14:paraId="22460F62" w14:textId="3114CA82" w:rsidR="002F3CA0" w:rsidRPr="00167044" w:rsidRDefault="002F3CA0" w:rsidP="004E4C94">
            <w:pPr>
              <w:spacing w:after="240"/>
              <w:jc w:val="center"/>
              <w:rPr>
                <w:rFonts w:cs="Arial"/>
              </w:rPr>
            </w:pPr>
            <w:r w:rsidRPr="00167044">
              <w:rPr>
                <w:rFonts w:cs="Arial"/>
              </w:rPr>
              <w:t>172,805 families</w:t>
            </w:r>
          </w:p>
        </w:tc>
        <w:tc>
          <w:tcPr>
            <w:tcW w:w="1380" w:type="dxa"/>
            <w:noWrap/>
            <w:hideMark/>
          </w:tcPr>
          <w:p w14:paraId="74C8DBC5" w14:textId="420E0A73" w:rsidR="002F3CA0" w:rsidRPr="00167044" w:rsidRDefault="002F3CA0" w:rsidP="004E4C94">
            <w:pPr>
              <w:spacing w:after="240"/>
              <w:jc w:val="center"/>
              <w:rPr>
                <w:rFonts w:cs="Arial"/>
              </w:rPr>
            </w:pPr>
            <w:r w:rsidRPr="00167044">
              <w:rPr>
                <w:rFonts w:cs="Arial"/>
              </w:rPr>
              <w:t>5</w:t>
            </w:r>
            <w:r w:rsidR="00EB49D5" w:rsidRPr="00167044">
              <w:rPr>
                <w:rFonts w:cs="Arial"/>
              </w:rPr>
              <w:t>,</w:t>
            </w:r>
            <w:r w:rsidRPr="00167044">
              <w:rPr>
                <w:rFonts w:cs="Arial"/>
              </w:rPr>
              <w:t>413 families</w:t>
            </w:r>
          </w:p>
        </w:tc>
        <w:tc>
          <w:tcPr>
            <w:tcW w:w="1380" w:type="dxa"/>
            <w:noWrap/>
            <w:hideMark/>
          </w:tcPr>
          <w:p w14:paraId="58A41C1C" w14:textId="7DBCA2D2" w:rsidR="002F3CA0" w:rsidRPr="00167044" w:rsidRDefault="002F3CA0" w:rsidP="004E4C94">
            <w:pPr>
              <w:spacing w:after="240"/>
              <w:jc w:val="center"/>
              <w:rPr>
                <w:rFonts w:cs="Arial"/>
              </w:rPr>
            </w:pPr>
            <w:r w:rsidRPr="00167044">
              <w:rPr>
                <w:rFonts w:cs="Arial"/>
              </w:rPr>
              <w:t>5</w:t>
            </w:r>
            <w:r w:rsidR="00EB49D5" w:rsidRPr="00167044">
              <w:rPr>
                <w:rFonts w:cs="Arial"/>
              </w:rPr>
              <w:t>,</w:t>
            </w:r>
            <w:r w:rsidRPr="00167044">
              <w:rPr>
                <w:rFonts w:cs="Arial"/>
              </w:rPr>
              <w:t>012 families</w:t>
            </w:r>
          </w:p>
        </w:tc>
        <w:tc>
          <w:tcPr>
            <w:tcW w:w="1380" w:type="dxa"/>
            <w:noWrap/>
            <w:hideMark/>
          </w:tcPr>
          <w:p w14:paraId="2AD74EA4" w14:textId="2E860D29" w:rsidR="002F3CA0" w:rsidRPr="00167044" w:rsidRDefault="002F3CA0" w:rsidP="004E4C94">
            <w:pPr>
              <w:spacing w:after="240"/>
              <w:jc w:val="center"/>
              <w:rPr>
                <w:rFonts w:cs="Arial"/>
              </w:rPr>
            </w:pPr>
            <w:r w:rsidRPr="00167044">
              <w:rPr>
                <w:rFonts w:cs="Arial"/>
              </w:rPr>
              <w:t>2</w:t>
            </w:r>
            <w:r w:rsidR="00EB49D5" w:rsidRPr="00167044">
              <w:rPr>
                <w:rFonts w:cs="Arial"/>
              </w:rPr>
              <w:t>,</w:t>
            </w:r>
            <w:r w:rsidRPr="00167044">
              <w:rPr>
                <w:rFonts w:cs="Arial"/>
              </w:rPr>
              <w:t>142 families</w:t>
            </w:r>
          </w:p>
        </w:tc>
        <w:tc>
          <w:tcPr>
            <w:tcW w:w="1380" w:type="dxa"/>
            <w:noWrap/>
            <w:hideMark/>
          </w:tcPr>
          <w:p w14:paraId="20F0B5B5" w14:textId="280B1E27" w:rsidR="002F3CA0" w:rsidRPr="00167044" w:rsidRDefault="002F3CA0" w:rsidP="004E4C94">
            <w:pPr>
              <w:spacing w:after="240"/>
              <w:jc w:val="center"/>
              <w:rPr>
                <w:rFonts w:cs="Arial"/>
              </w:rPr>
            </w:pPr>
            <w:r w:rsidRPr="00167044">
              <w:rPr>
                <w:rFonts w:cs="Arial"/>
              </w:rPr>
              <w:t>1</w:t>
            </w:r>
            <w:r w:rsidR="00EB49D5" w:rsidRPr="00167044">
              <w:rPr>
                <w:rFonts w:cs="Arial"/>
              </w:rPr>
              <w:t>,</w:t>
            </w:r>
            <w:r w:rsidRPr="00167044">
              <w:rPr>
                <w:rFonts w:cs="Arial"/>
              </w:rPr>
              <w:t>930 families</w:t>
            </w:r>
          </w:p>
        </w:tc>
      </w:tr>
    </w:tbl>
    <w:p w14:paraId="30A5388F" w14:textId="09CFF7B8" w:rsidR="00AF39E0" w:rsidRPr="00167044" w:rsidRDefault="00552E47" w:rsidP="00DF4B2E">
      <w:pPr>
        <w:spacing w:before="240" w:after="240"/>
        <w:rPr>
          <w:rFonts w:cs="Arial"/>
        </w:rPr>
      </w:pPr>
      <w:r w:rsidRPr="00167044">
        <w:rPr>
          <w:rFonts w:cs="Arial"/>
        </w:rPr>
        <w:t xml:space="preserve">Additional </w:t>
      </w:r>
      <w:r w:rsidR="002F3CA0" w:rsidRPr="00167044">
        <w:rPr>
          <w:rFonts w:cs="Arial"/>
        </w:rPr>
        <w:t xml:space="preserve">parent primary </w:t>
      </w:r>
      <w:r w:rsidR="00832099" w:rsidRPr="00167044">
        <w:rPr>
          <w:rFonts w:cs="Arial"/>
        </w:rPr>
        <w:t xml:space="preserve">language </w:t>
      </w:r>
      <w:r w:rsidR="002F3CA0" w:rsidRPr="00167044">
        <w:rPr>
          <w:rFonts w:cs="Arial"/>
        </w:rPr>
        <w:t xml:space="preserve">data </w:t>
      </w:r>
      <w:r w:rsidR="00A478E1" w:rsidRPr="00167044">
        <w:rPr>
          <w:rFonts w:cs="Arial"/>
        </w:rPr>
        <w:t>are available</w:t>
      </w:r>
      <w:r w:rsidR="002F3CA0" w:rsidRPr="00167044">
        <w:rPr>
          <w:rFonts w:cs="Arial"/>
        </w:rPr>
        <w:t xml:space="preserve"> in Appendix A.</w:t>
      </w:r>
      <w:bookmarkStart w:id="6" w:name="_Toc147996556"/>
    </w:p>
    <w:p w14:paraId="30006326" w14:textId="21A8713F" w:rsidR="002F3CA0" w:rsidRPr="00BA601F" w:rsidRDefault="002F3CA0" w:rsidP="000B4A2F">
      <w:pPr>
        <w:pStyle w:val="Heading3"/>
      </w:pPr>
      <w:r w:rsidRPr="001123E6">
        <w:t>Issues That Generate Requests for D</w:t>
      </w:r>
      <w:r w:rsidR="0094446F">
        <w:t xml:space="preserve">ispute </w:t>
      </w:r>
      <w:r w:rsidRPr="001123E6">
        <w:t>P</w:t>
      </w:r>
      <w:r w:rsidR="0094446F">
        <w:t xml:space="preserve">revention and </w:t>
      </w:r>
      <w:r w:rsidRPr="001123E6">
        <w:t>D</w:t>
      </w:r>
      <w:r w:rsidR="0094446F">
        <w:t xml:space="preserve">ispute </w:t>
      </w:r>
      <w:r w:rsidRPr="001123E6">
        <w:t>R</w:t>
      </w:r>
      <w:r w:rsidR="0094446F">
        <w:t>esolution</w:t>
      </w:r>
      <w:r w:rsidRPr="001123E6">
        <w:t xml:space="preserve"> Services</w:t>
      </w:r>
      <w:bookmarkEnd w:id="6"/>
    </w:p>
    <w:p w14:paraId="1BE11BBD" w14:textId="7A9A0EC2" w:rsidR="00773777" w:rsidRPr="00167044" w:rsidRDefault="00D64F04" w:rsidP="000B4A2F">
      <w:pPr>
        <w:spacing w:after="240"/>
        <w:rPr>
          <w:rFonts w:cs="Arial"/>
        </w:rPr>
      </w:pPr>
      <w:r w:rsidRPr="00167044">
        <w:rPr>
          <w:rFonts w:cs="Arial"/>
        </w:rPr>
        <w:t xml:space="preserve">In addition to the previous data points, </w:t>
      </w:r>
      <w:r w:rsidR="00552E47" w:rsidRPr="00167044">
        <w:rPr>
          <w:rFonts w:cs="Arial"/>
        </w:rPr>
        <w:t xml:space="preserve">the </w:t>
      </w:r>
      <w:r w:rsidRPr="00167044">
        <w:rPr>
          <w:rFonts w:cs="Arial"/>
        </w:rPr>
        <w:t>SELPAs were asked to provide narrative data about activities performed with the funding.</w:t>
      </w:r>
      <w:r w:rsidR="0072365B" w:rsidRPr="00167044">
        <w:rPr>
          <w:rFonts w:cs="Arial"/>
        </w:rPr>
        <w:t xml:space="preserve"> </w:t>
      </w:r>
      <w:r w:rsidRPr="00167044">
        <w:rPr>
          <w:rFonts w:cs="Arial"/>
        </w:rPr>
        <w:t xml:space="preserve">SELPAs were asked to provide a list of issues that generate the request for </w:t>
      </w:r>
      <w:r w:rsidR="00773777" w:rsidRPr="00167044">
        <w:rPr>
          <w:rFonts w:cs="Arial"/>
        </w:rPr>
        <w:t xml:space="preserve">dispute resolution services through the </w:t>
      </w:r>
      <w:r w:rsidRPr="00167044">
        <w:rPr>
          <w:rFonts w:cs="Arial"/>
        </w:rPr>
        <w:t>DPDR</w:t>
      </w:r>
      <w:r w:rsidR="00773777" w:rsidRPr="00167044">
        <w:rPr>
          <w:rFonts w:cs="Arial"/>
        </w:rPr>
        <w:t xml:space="preserve"> </w:t>
      </w:r>
      <w:r w:rsidRPr="00167044">
        <w:rPr>
          <w:rFonts w:cs="Arial"/>
        </w:rPr>
        <w:t>a</w:t>
      </w:r>
      <w:r w:rsidR="00773777" w:rsidRPr="00167044">
        <w:rPr>
          <w:rFonts w:cs="Arial"/>
        </w:rPr>
        <w:t>pportionment</w:t>
      </w:r>
      <w:r w:rsidRPr="00167044">
        <w:rPr>
          <w:rFonts w:cs="Arial"/>
        </w:rPr>
        <w:t xml:space="preserve">. Below is a list of issues </w:t>
      </w:r>
      <w:r w:rsidR="00773777" w:rsidRPr="00167044">
        <w:rPr>
          <w:rFonts w:cs="Arial"/>
        </w:rPr>
        <w:t xml:space="preserve">across </w:t>
      </w:r>
      <w:r w:rsidR="0094446F" w:rsidRPr="00167044">
        <w:rPr>
          <w:rFonts w:cs="Arial"/>
        </w:rPr>
        <w:t xml:space="preserve">the </w:t>
      </w:r>
      <w:r w:rsidR="00773777" w:rsidRPr="00167044">
        <w:rPr>
          <w:rFonts w:cs="Arial"/>
        </w:rPr>
        <w:t>different</w:t>
      </w:r>
      <w:r w:rsidRPr="00167044">
        <w:rPr>
          <w:rFonts w:cs="Arial"/>
        </w:rPr>
        <w:t xml:space="preserve"> SELPAs</w:t>
      </w:r>
      <w:r w:rsidR="00773777" w:rsidRPr="00167044">
        <w:rPr>
          <w:rFonts w:cs="Arial"/>
        </w:rPr>
        <w:t xml:space="preserve"> along with the number of times they were mentioned. Common themes and recurring issues</w:t>
      </w:r>
      <w:r w:rsidR="00CC30E1" w:rsidRPr="00167044">
        <w:rPr>
          <w:rFonts w:cs="Arial"/>
        </w:rPr>
        <w:t xml:space="preserve"> include</w:t>
      </w:r>
      <w:r w:rsidR="0094446F" w:rsidRPr="00167044">
        <w:rPr>
          <w:rFonts w:cs="Arial"/>
        </w:rPr>
        <w:t>d</w:t>
      </w:r>
      <w:r w:rsidRPr="00167044">
        <w:rPr>
          <w:rFonts w:cs="Arial"/>
        </w:rPr>
        <w:t>:</w:t>
      </w:r>
    </w:p>
    <w:p w14:paraId="4D7B63FE" w14:textId="03389833" w:rsidR="00773777" w:rsidRPr="00167044" w:rsidRDefault="00773777" w:rsidP="000B4A2F">
      <w:pPr>
        <w:spacing w:after="240"/>
        <w:rPr>
          <w:rFonts w:cs="Arial"/>
        </w:rPr>
      </w:pPr>
      <w:r w:rsidRPr="00167044">
        <w:rPr>
          <w:rFonts w:cs="Arial"/>
        </w:rPr>
        <w:t>Placement Issues</w:t>
      </w:r>
      <w:r w:rsidR="00CC30E1" w:rsidRPr="00167044">
        <w:rPr>
          <w:rFonts w:cs="Arial"/>
        </w:rPr>
        <w:t xml:space="preserve"> (70 mentions):</w:t>
      </w:r>
    </w:p>
    <w:p w14:paraId="11B7EBFB"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lastRenderedPageBreak/>
        <w:t>Disagreement on placement for students</w:t>
      </w:r>
    </w:p>
    <w:p w14:paraId="57E4B474" w14:textId="0335260F" w:rsidR="00773777" w:rsidRPr="00167044" w:rsidRDefault="00773777" w:rsidP="000B4A2F">
      <w:pPr>
        <w:pStyle w:val="ListParagraph"/>
        <w:numPr>
          <w:ilvl w:val="0"/>
          <w:numId w:val="12"/>
        </w:numPr>
        <w:spacing w:after="240"/>
        <w:contextualSpacing w:val="0"/>
        <w:rPr>
          <w:rFonts w:cs="Arial"/>
        </w:rPr>
      </w:pPr>
      <w:r w:rsidRPr="00167044">
        <w:rPr>
          <w:rFonts w:cs="Arial"/>
        </w:rPr>
        <w:t xml:space="preserve">Placement in the </w:t>
      </w:r>
      <w:r w:rsidR="00B31C17" w:rsidRPr="00167044">
        <w:rPr>
          <w:rFonts w:cs="Arial"/>
        </w:rPr>
        <w:t>least restrictive environment</w:t>
      </w:r>
      <w:r w:rsidR="00B31C17" w:rsidRPr="00167044" w:rsidDel="00B31C17">
        <w:rPr>
          <w:rFonts w:cs="Arial"/>
        </w:rPr>
        <w:t xml:space="preserve"> </w:t>
      </w:r>
    </w:p>
    <w:p w14:paraId="7BEBAFC9"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Requests for private school placement</w:t>
      </w:r>
    </w:p>
    <w:p w14:paraId="1BC3B692"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Unilateral placement in non-public schools</w:t>
      </w:r>
    </w:p>
    <w:p w14:paraId="3E3FBEF4"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Change of school assignment</w:t>
      </w:r>
    </w:p>
    <w:p w14:paraId="472AD9D6" w14:textId="2901D169" w:rsidR="00773777" w:rsidRPr="00167044" w:rsidRDefault="00773777" w:rsidP="000B4A2F">
      <w:pPr>
        <w:pStyle w:val="ListParagraph"/>
        <w:numPr>
          <w:ilvl w:val="0"/>
          <w:numId w:val="12"/>
        </w:numPr>
        <w:spacing w:after="240"/>
        <w:contextualSpacing w:val="0"/>
        <w:rPr>
          <w:rFonts w:cs="Arial"/>
        </w:rPr>
      </w:pPr>
      <w:r w:rsidRPr="00167044">
        <w:rPr>
          <w:rFonts w:cs="Arial"/>
        </w:rPr>
        <w:t>Residential Treatment Center placement requests</w:t>
      </w:r>
    </w:p>
    <w:p w14:paraId="51F3CFB8" w14:textId="21BCFFD2" w:rsidR="00773777" w:rsidRPr="00167044" w:rsidRDefault="00832099" w:rsidP="000B4A2F">
      <w:pPr>
        <w:spacing w:after="240"/>
        <w:rPr>
          <w:rFonts w:cs="Arial"/>
        </w:rPr>
      </w:pPr>
      <w:r w:rsidRPr="00167044">
        <w:rPr>
          <w:rFonts w:cs="Arial"/>
        </w:rPr>
        <w:t xml:space="preserve">Free and Appropriate </w:t>
      </w:r>
      <w:r w:rsidR="662EB36F" w:rsidRPr="00167044">
        <w:rPr>
          <w:rFonts w:cs="Arial"/>
        </w:rPr>
        <w:t xml:space="preserve">Public </w:t>
      </w:r>
      <w:r w:rsidRPr="00167044">
        <w:rPr>
          <w:rFonts w:cs="Arial"/>
        </w:rPr>
        <w:t>Education (</w:t>
      </w:r>
      <w:r w:rsidR="00CC30E1" w:rsidRPr="00167044">
        <w:rPr>
          <w:rFonts w:cs="Arial"/>
        </w:rPr>
        <w:t>FAPE</w:t>
      </w:r>
      <w:r w:rsidRPr="00167044">
        <w:rPr>
          <w:rFonts w:cs="Arial"/>
        </w:rPr>
        <w:t>)</w:t>
      </w:r>
      <w:r w:rsidR="00CC30E1" w:rsidRPr="00167044">
        <w:rPr>
          <w:rFonts w:cs="Arial"/>
        </w:rPr>
        <w:t xml:space="preserve"> (60 Mentions):</w:t>
      </w:r>
    </w:p>
    <w:p w14:paraId="1174A2AF"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Agreement on what constitutes FAPE</w:t>
      </w:r>
    </w:p>
    <w:p w14:paraId="4291C913"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Denial of FAPE claims</w:t>
      </w:r>
    </w:p>
    <w:p w14:paraId="6DDBABE6"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Offer of FAPE concerns</w:t>
      </w:r>
    </w:p>
    <w:p w14:paraId="1F5E9A22" w14:textId="1DA9C061" w:rsidR="00773777" w:rsidRPr="00167044" w:rsidRDefault="00773777" w:rsidP="000B4A2F">
      <w:pPr>
        <w:pStyle w:val="ListParagraph"/>
        <w:numPr>
          <w:ilvl w:val="0"/>
          <w:numId w:val="12"/>
        </w:numPr>
        <w:spacing w:after="240"/>
        <w:contextualSpacing w:val="0"/>
        <w:rPr>
          <w:rFonts w:cs="Arial"/>
        </w:rPr>
      </w:pPr>
      <w:r w:rsidRPr="00167044">
        <w:rPr>
          <w:rFonts w:cs="Arial"/>
        </w:rPr>
        <w:t>Failure to provide last agreed-upon IEP services during COVID</w:t>
      </w:r>
      <w:r w:rsidR="00EF4E96" w:rsidRPr="00167044">
        <w:rPr>
          <w:rFonts w:cs="Arial"/>
        </w:rPr>
        <w:t>-19</w:t>
      </w:r>
    </w:p>
    <w:p w14:paraId="0B4BBC55"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Declined offer of FAPE</w:t>
      </w:r>
    </w:p>
    <w:p w14:paraId="3E8E14C7" w14:textId="5D119D48" w:rsidR="00CC30E1" w:rsidRPr="00167044" w:rsidRDefault="00773777" w:rsidP="000B4A2F">
      <w:pPr>
        <w:pStyle w:val="ListParagraph"/>
        <w:numPr>
          <w:ilvl w:val="0"/>
          <w:numId w:val="12"/>
        </w:numPr>
        <w:spacing w:after="240"/>
        <w:contextualSpacing w:val="0"/>
        <w:rPr>
          <w:rFonts w:cs="Arial"/>
        </w:rPr>
      </w:pPr>
      <w:r w:rsidRPr="00167044">
        <w:rPr>
          <w:rFonts w:cs="Arial"/>
        </w:rPr>
        <w:t>FAPE implementation during distance learning</w:t>
      </w:r>
    </w:p>
    <w:p w14:paraId="5EBB4CC2" w14:textId="0344E910" w:rsidR="00773777" w:rsidRPr="00167044" w:rsidRDefault="00773777" w:rsidP="000B4A2F">
      <w:pPr>
        <w:spacing w:after="240"/>
        <w:rPr>
          <w:rFonts w:cs="Arial"/>
        </w:rPr>
      </w:pPr>
      <w:r w:rsidRPr="00167044">
        <w:rPr>
          <w:rFonts w:cs="Arial"/>
        </w:rPr>
        <w:t>Eligibility and Assessment Issues</w:t>
      </w:r>
      <w:r w:rsidR="00CC30E1" w:rsidRPr="00167044">
        <w:rPr>
          <w:rFonts w:cs="Arial"/>
        </w:rPr>
        <w:t xml:space="preserve"> (47 Mentions)</w:t>
      </w:r>
    </w:p>
    <w:p w14:paraId="527CA144"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Disagreement with assessment results</w:t>
      </w:r>
    </w:p>
    <w:p w14:paraId="12439209"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Eligibility disputes</w:t>
      </w:r>
    </w:p>
    <w:p w14:paraId="45461F10"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Child Find issues</w:t>
      </w:r>
    </w:p>
    <w:p w14:paraId="2E2280B4" w14:textId="45CB7952" w:rsidR="00773777" w:rsidRPr="00167044" w:rsidRDefault="00773777" w:rsidP="000B4A2F">
      <w:pPr>
        <w:pStyle w:val="ListParagraph"/>
        <w:numPr>
          <w:ilvl w:val="0"/>
          <w:numId w:val="12"/>
        </w:numPr>
        <w:spacing w:after="240"/>
        <w:contextualSpacing w:val="0"/>
        <w:rPr>
          <w:rFonts w:cs="Arial"/>
        </w:rPr>
      </w:pPr>
      <w:r w:rsidRPr="00167044">
        <w:rPr>
          <w:rFonts w:cs="Arial"/>
        </w:rPr>
        <w:t>Request for Independent Educational Evaluations</w:t>
      </w:r>
    </w:p>
    <w:p w14:paraId="7CB055B3"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Delayed assessments</w:t>
      </w:r>
    </w:p>
    <w:p w14:paraId="3926695A" w14:textId="042454D5" w:rsidR="00CC30E1" w:rsidRPr="00167044" w:rsidRDefault="00773777" w:rsidP="000B4A2F">
      <w:pPr>
        <w:pStyle w:val="ListParagraph"/>
        <w:numPr>
          <w:ilvl w:val="0"/>
          <w:numId w:val="12"/>
        </w:numPr>
        <w:spacing w:after="240"/>
        <w:contextualSpacing w:val="0"/>
        <w:rPr>
          <w:rFonts w:cs="Arial"/>
        </w:rPr>
      </w:pPr>
      <w:r w:rsidRPr="00167044">
        <w:rPr>
          <w:rFonts w:cs="Arial"/>
        </w:rPr>
        <w:t>Failure to assess in all areas</w:t>
      </w:r>
    </w:p>
    <w:p w14:paraId="511F2A50" w14:textId="0175662A" w:rsidR="00773777" w:rsidRPr="00167044" w:rsidRDefault="00773777" w:rsidP="000B4A2F">
      <w:pPr>
        <w:spacing w:after="240"/>
        <w:rPr>
          <w:rFonts w:cs="Arial"/>
        </w:rPr>
      </w:pPr>
      <w:r w:rsidRPr="00167044">
        <w:rPr>
          <w:rFonts w:cs="Arial"/>
        </w:rPr>
        <w:t>Service and Program Implementation</w:t>
      </w:r>
      <w:r w:rsidR="00E77FB9" w:rsidRPr="00167044">
        <w:rPr>
          <w:rFonts w:cs="Arial"/>
        </w:rPr>
        <w:t xml:space="preserve"> (66 Mentions)</w:t>
      </w:r>
      <w:r w:rsidRPr="00167044">
        <w:rPr>
          <w:rFonts w:cs="Arial"/>
        </w:rPr>
        <w:t>:</w:t>
      </w:r>
    </w:p>
    <w:p w14:paraId="33A72BEF"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Disagreement with IEP implementation</w:t>
      </w:r>
    </w:p>
    <w:p w14:paraId="2F4D46BE"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Service delivery disputes</w:t>
      </w:r>
    </w:p>
    <w:p w14:paraId="429FB579"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Compensatory education requests</w:t>
      </w:r>
    </w:p>
    <w:p w14:paraId="0401C39E"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lastRenderedPageBreak/>
        <w:t>Learning loss concerns due to COVID-19</w:t>
      </w:r>
    </w:p>
    <w:p w14:paraId="52BA4403"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Lack of progress on IEP goals</w:t>
      </w:r>
    </w:p>
    <w:p w14:paraId="4ED00918"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Lack of services provided consistent with the IEP</w:t>
      </w:r>
    </w:p>
    <w:p w14:paraId="5023BC18" w14:textId="1A717120" w:rsidR="00CC30E1" w:rsidRPr="00167044" w:rsidRDefault="00773777" w:rsidP="000B4A2F">
      <w:pPr>
        <w:pStyle w:val="ListParagraph"/>
        <w:numPr>
          <w:ilvl w:val="0"/>
          <w:numId w:val="12"/>
        </w:numPr>
        <w:spacing w:after="240"/>
        <w:contextualSpacing w:val="0"/>
        <w:rPr>
          <w:rFonts w:cs="Arial"/>
        </w:rPr>
      </w:pPr>
      <w:r w:rsidRPr="00167044">
        <w:rPr>
          <w:rFonts w:cs="Arial"/>
        </w:rPr>
        <w:t>Request for additional services not recommended by the IEP team</w:t>
      </w:r>
    </w:p>
    <w:p w14:paraId="349F565A" w14:textId="0B190115" w:rsidR="00773777" w:rsidRPr="00167044" w:rsidRDefault="00773777" w:rsidP="000B4A2F">
      <w:pPr>
        <w:spacing w:after="240"/>
        <w:rPr>
          <w:rFonts w:cs="Arial"/>
        </w:rPr>
      </w:pPr>
      <w:r w:rsidRPr="00167044">
        <w:rPr>
          <w:rFonts w:cs="Arial"/>
        </w:rPr>
        <w:t>Behavior and Discipline Issues</w:t>
      </w:r>
      <w:r w:rsidR="00E77FB9" w:rsidRPr="00167044">
        <w:rPr>
          <w:rFonts w:cs="Arial"/>
        </w:rPr>
        <w:t xml:space="preserve"> (26 Mentions)</w:t>
      </w:r>
      <w:r w:rsidRPr="00167044">
        <w:rPr>
          <w:rFonts w:cs="Arial"/>
        </w:rPr>
        <w:t>:</w:t>
      </w:r>
    </w:p>
    <w:p w14:paraId="5FC08639"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Student behavior concerns</w:t>
      </w:r>
    </w:p>
    <w:p w14:paraId="77EA1624"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Disagreements with manifestation determination findings</w:t>
      </w:r>
    </w:p>
    <w:p w14:paraId="5FC90D46" w14:textId="0167E3B9" w:rsidR="00CC30E1" w:rsidRPr="00167044" w:rsidRDefault="00773777" w:rsidP="000B4A2F">
      <w:pPr>
        <w:pStyle w:val="ListParagraph"/>
        <w:numPr>
          <w:ilvl w:val="0"/>
          <w:numId w:val="12"/>
        </w:numPr>
        <w:spacing w:after="240"/>
        <w:contextualSpacing w:val="0"/>
        <w:rPr>
          <w:rFonts w:cs="Arial"/>
        </w:rPr>
      </w:pPr>
      <w:r w:rsidRPr="00167044">
        <w:rPr>
          <w:rFonts w:cs="Arial"/>
        </w:rPr>
        <w:t>Discipline-related disputes</w:t>
      </w:r>
    </w:p>
    <w:p w14:paraId="03F5C1D0" w14:textId="4498E864" w:rsidR="00773777" w:rsidRPr="00167044" w:rsidRDefault="00773777" w:rsidP="000B4A2F">
      <w:pPr>
        <w:spacing w:after="240"/>
        <w:rPr>
          <w:rFonts w:cs="Arial"/>
        </w:rPr>
      </w:pPr>
      <w:r w:rsidRPr="00167044">
        <w:rPr>
          <w:rFonts w:cs="Arial"/>
        </w:rPr>
        <w:t>Communication and Parent Participation</w:t>
      </w:r>
      <w:r w:rsidR="00E77FB9" w:rsidRPr="00167044">
        <w:rPr>
          <w:rFonts w:cs="Arial"/>
        </w:rPr>
        <w:t xml:space="preserve"> (16 Mentions)</w:t>
      </w:r>
      <w:r w:rsidRPr="00167044">
        <w:rPr>
          <w:rFonts w:cs="Arial"/>
        </w:rPr>
        <w:t>:</w:t>
      </w:r>
    </w:p>
    <w:p w14:paraId="0618FC7E"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Parents not feeling included in the IEP process</w:t>
      </w:r>
    </w:p>
    <w:p w14:paraId="079B1C88"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Lack of parent involvement</w:t>
      </w:r>
    </w:p>
    <w:p w14:paraId="64A24E11"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Trust issues between school staff and families</w:t>
      </w:r>
    </w:p>
    <w:p w14:paraId="4199D903"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Disputes over communication between staff and parents</w:t>
      </w:r>
    </w:p>
    <w:p w14:paraId="66C633B3" w14:textId="0483D55C" w:rsidR="00773777" w:rsidRPr="00167044" w:rsidRDefault="00773777" w:rsidP="000B4A2F">
      <w:pPr>
        <w:spacing w:after="240"/>
        <w:rPr>
          <w:rFonts w:cs="Arial"/>
        </w:rPr>
      </w:pPr>
      <w:r w:rsidRPr="00167044">
        <w:rPr>
          <w:rFonts w:cs="Arial"/>
        </w:rPr>
        <w:t>Special Services</w:t>
      </w:r>
      <w:r w:rsidR="00E77FB9" w:rsidRPr="00167044">
        <w:rPr>
          <w:rFonts w:cs="Arial"/>
        </w:rPr>
        <w:t xml:space="preserve"> (27 Mentions)</w:t>
      </w:r>
      <w:r w:rsidRPr="00167044">
        <w:rPr>
          <w:rFonts w:cs="Arial"/>
        </w:rPr>
        <w:t>:</w:t>
      </w:r>
    </w:p>
    <w:p w14:paraId="5CBA4626" w14:textId="47065323" w:rsidR="00773777" w:rsidRPr="00167044" w:rsidRDefault="00773777" w:rsidP="000B4A2F">
      <w:pPr>
        <w:pStyle w:val="ListParagraph"/>
        <w:numPr>
          <w:ilvl w:val="0"/>
          <w:numId w:val="12"/>
        </w:numPr>
        <w:spacing w:after="240"/>
        <w:contextualSpacing w:val="0"/>
        <w:rPr>
          <w:rFonts w:cs="Arial"/>
        </w:rPr>
      </w:pPr>
      <w:r w:rsidRPr="00167044">
        <w:rPr>
          <w:rFonts w:cs="Arial"/>
        </w:rPr>
        <w:t xml:space="preserve">Requests for </w:t>
      </w:r>
      <w:r w:rsidR="00B712E2" w:rsidRPr="00167044">
        <w:rPr>
          <w:rFonts w:cs="Arial"/>
        </w:rPr>
        <w:t>i</w:t>
      </w:r>
      <w:r w:rsidR="00CC30E1" w:rsidRPr="00167044">
        <w:rPr>
          <w:rFonts w:cs="Arial"/>
        </w:rPr>
        <w:t>ntensive individual services (</w:t>
      </w:r>
      <w:r w:rsidRPr="00167044">
        <w:rPr>
          <w:rFonts w:cs="Arial"/>
        </w:rPr>
        <w:t>1:1 aides</w:t>
      </w:r>
      <w:r w:rsidR="00CC30E1" w:rsidRPr="00167044">
        <w:rPr>
          <w:rFonts w:cs="Arial"/>
        </w:rPr>
        <w:t>)</w:t>
      </w:r>
    </w:p>
    <w:p w14:paraId="40111980"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Requests for specialized academic instruction</w:t>
      </w:r>
    </w:p>
    <w:p w14:paraId="6B0C207C"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Request for additional speech and language services</w:t>
      </w:r>
    </w:p>
    <w:p w14:paraId="4B471ED8"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Occupational therapy and physical therapy concerns</w:t>
      </w:r>
    </w:p>
    <w:p w14:paraId="02773098"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Requests for behavioral intervention services</w:t>
      </w:r>
    </w:p>
    <w:p w14:paraId="79C99939" w14:textId="509CEDA2" w:rsidR="00773777" w:rsidRPr="00167044" w:rsidRDefault="00773777" w:rsidP="000B4A2F">
      <w:pPr>
        <w:spacing w:after="240"/>
        <w:rPr>
          <w:rFonts w:cs="Arial"/>
        </w:rPr>
      </w:pPr>
      <w:r w:rsidRPr="00167044">
        <w:rPr>
          <w:rFonts w:cs="Arial"/>
        </w:rPr>
        <w:t>COVID-19 Related Issues</w:t>
      </w:r>
      <w:r w:rsidR="00E77FB9" w:rsidRPr="00167044">
        <w:rPr>
          <w:rFonts w:cs="Arial"/>
        </w:rPr>
        <w:t xml:space="preserve"> (40 Mentions)</w:t>
      </w:r>
      <w:r w:rsidRPr="00167044">
        <w:rPr>
          <w:rFonts w:cs="Arial"/>
        </w:rPr>
        <w:t>:</w:t>
      </w:r>
    </w:p>
    <w:p w14:paraId="4608139F"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Impact of COVID-19 on learning</w:t>
      </w:r>
    </w:p>
    <w:p w14:paraId="3EE5949A"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Lack of access to in-person services during school closures</w:t>
      </w:r>
    </w:p>
    <w:p w14:paraId="0882A99F"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Transition to virtual learning</w:t>
      </w:r>
    </w:p>
    <w:p w14:paraId="17B1EBCA" w14:textId="0ED325AD" w:rsidR="00773777" w:rsidRPr="00167044" w:rsidRDefault="00773777" w:rsidP="000B4A2F">
      <w:pPr>
        <w:pStyle w:val="ListParagraph"/>
        <w:numPr>
          <w:ilvl w:val="0"/>
          <w:numId w:val="12"/>
        </w:numPr>
        <w:spacing w:after="240"/>
        <w:contextualSpacing w:val="0"/>
        <w:rPr>
          <w:rFonts w:cs="Arial"/>
        </w:rPr>
      </w:pPr>
      <w:r w:rsidRPr="00167044">
        <w:rPr>
          <w:rFonts w:cs="Arial"/>
        </w:rPr>
        <w:t>Compensatory education for services missed</w:t>
      </w:r>
    </w:p>
    <w:p w14:paraId="398DBE12" w14:textId="2C978950" w:rsidR="00CC30E1" w:rsidRPr="00167044" w:rsidRDefault="00773777" w:rsidP="000B4A2F">
      <w:pPr>
        <w:pStyle w:val="ListParagraph"/>
        <w:numPr>
          <w:ilvl w:val="0"/>
          <w:numId w:val="12"/>
        </w:numPr>
        <w:spacing w:after="240"/>
        <w:contextualSpacing w:val="0"/>
        <w:rPr>
          <w:rFonts w:cs="Arial"/>
        </w:rPr>
      </w:pPr>
      <w:r w:rsidRPr="00167044">
        <w:rPr>
          <w:rFonts w:cs="Arial"/>
        </w:rPr>
        <w:lastRenderedPageBreak/>
        <w:t>Regression following distance learning</w:t>
      </w:r>
    </w:p>
    <w:p w14:paraId="4BB39F93" w14:textId="0F070D88" w:rsidR="00773777" w:rsidRPr="00167044" w:rsidRDefault="00773777" w:rsidP="000B4A2F">
      <w:pPr>
        <w:spacing w:after="240"/>
        <w:rPr>
          <w:rFonts w:cs="Arial"/>
        </w:rPr>
      </w:pPr>
      <w:r w:rsidRPr="00167044">
        <w:rPr>
          <w:rFonts w:cs="Arial"/>
        </w:rPr>
        <w:t>Other Issues</w:t>
      </w:r>
      <w:r w:rsidR="00E77FB9" w:rsidRPr="00167044">
        <w:rPr>
          <w:rFonts w:cs="Arial"/>
        </w:rPr>
        <w:t xml:space="preserve"> (38 Mentions)</w:t>
      </w:r>
    </w:p>
    <w:p w14:paraId="44FDAB49"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Transportation disputes</w:t>
      </w:r>
    </w:p>
    <w:p w14:paraId="52A0E40A"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Trust in staff follow-through</w:t>
      </w:r>
    </w:p>
    <w:p w14:paraId="01592948" w14:textId="41700A26" w:rsidR="00773777" w:rsidRPr="00167044" w:rsidRDefault="00773777" w:rsidP="000B4A2F">
      <w:pPr>
        <w:pStyle w:val="ListParagraph"/>
        <w:numPr>
          <w:ilvl w:val="0"/>
          <w:numId w:val="12"/>
        </w:numPr>
        <w:spacing w:after="240"/>
        <w:contextualSpacing w:val="0"/>
        <w:rPr>
          <w:rFonts w:cs="Arial"/>
        </w:rPr>
      </w:pPr>
      <w:r w:rsidRPr="00167044">
        <w:rPr>
          <w:rFonts w:cs="Arial"/>
        </w:rPr>
        <w:t>Lack of staff</w:t>
      </w:r>
      <w:r w:rsidR="00CC30E1" w:rsidRPr="00167044">
        <w:rPr>
          <w:rFonts w:cs="Arial"/>
        </w:rPr>
        <w:t>ing</w:t>
      </w:r>
      <w:r w:rsidRPr="00167044">
        <w:rPr>
          <w:rFonts w:cs="Arial"/>
        </w:rPr>
        <w:t xml:space="preserve"> in classrooms</w:t>
      </w:r>
    </w:p>
    <w:p w14:paraId="549153DF"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Concerns about staffing shortages</w:t>
      </w:r>
    </w:p>
    <w:p w14:paraId="664B6C00" w14:textId="77777777" w:rsidR="00773777" w:rsidRPr="00167044" w:rsidRDefault="00773777" w:rsidP="000B4A2F">
      <w:pPr>
        <w:pStyle w:val="ListParagraph"/>
        <w:numPr>
          <w:ilvl w:val="0"/>
          <w:numId w:val="12"/>
        </w:numPr>
        <w:spacing w:after="240"/>
        <w:contextualSpacing w:val="0"/>
        <w:rPr>
          <w:rFonts w:cs="Arial"/>
        </w:rPr>
      </w:pPr>
      <w:r w:rsidRPr="00167044">
        <w:rPr>
          <w:rFonts w:cs="Arial"/>
        </w:rPr>
        <w:t>Issues with psychoeducational reports</w:t>
      </w:r>
    </w:p>
    <w:p w14:paraId="6E224B03" w14:textId="4220FAA7" w:rsidR="00CC30E1" w:rsidRPr="00167044" w:rsidRDefault="00773777" w:rsidP="000B4A2F">
      <w:pPr>
        <w:pStyle w:val="ListParagraph"/>
        <w:numPr>
          <w:ilvl w:val="0"/>
          <w:numId w:val="12"/>
        </w:numPr>
        <w:spacing w:after="240"/>
        <w:contextualSpacing w:val="0"/>
        <w:rPr>
          <w:rFonts w:cs="Arial"/>
        </w:rPr>
      </w:pPr>
      <w:r w:rsidRPr="00167044">
        <w:rPr>
          <w:rFonts w:cs="Arial"/>
        </w:rPr>
        <w:t>Program issues and goal disagreements</w:t>
      </w:r>
    </w:p>
    <w:p w14:paraId="4074CB2A" w14:textId="2EB9B995" w:rsidR="00CC30E1" w:rsidRPr="00167044" w:rsidRDefault="00773777" w:rsidP="000B4A2F">
      <w:pPr>
        <w:spacing w:after="240"/>
        <w:rPr>
          <w:rFonts w:cs="Arial"/>
        </w:rPr>
      </w:pPr>
      <w:r w:rsidRPr="00167044">
        <w:rPr>
          <w:rFonts w:cs="Arial"/>
        </w:rPr>
        <w:t>These themes illustrate the complexities and challenges in the special education system, with various stakeholders striving to ensure the best outcomes for students with exceptional needs</w:t>
      </w:r>
      <w:r w:rsidR="00FE2112" w:rsidRPr="00167044">
        <w:rPr>
          <w:rFonts w:cs="Arial"/>
        </w:rPr>
        <w:t>.</w:t>
      </w:r>
      <w:r w:rsidR="00D64F04" w:rsidRPr="00167044">
        <w:rPr>
          <w:rFonts w:cs="Arial"/>
        </w:rPr>
        <w:t xml:space="preserve"> </w:t>
      </w:r>
      <w:r w:rsidRPr="00167044">
        <w:rPr>
          <w:rFonts w:cs="Arial"/>
        </w:rPr>
        <w:t>These counts provide an overview of the frequency of each issue across the SELPA data. It</w:t>
      </w:r>
      <w:r w:rsidR="00DB0430" w:rsidRPr="00167044">
        <w:rPr>
          <w:rFonts w:cs="Arial"/>
        </w:rPr>
        <w:t xml:space="preserve"> i</w:t>
      </w:r>
      <w:r w:rsidRPr="00167044">
        <w:rPr>
          <w:rFonts w:cs="Arial"/>
        </w:rPr>
        <w:t xml:space="preserve">s clear that </w:t>
      </w:r>
      <w:r w:rsidR="00DB0430" w:rsidRPr="00167044">
        <w:rPr>
          <w:rFonts w:cs="Arial"/>
        </w:rPr>
        <w:t>P</w:t>
      </w:r>
      <w:r w:rsidRPr="00167044">
        <w:rPr>
          <w:rFonts w:cs="Arial"/>
        </w:rPr>
        <w:t>lacement and FAPE disputes are the most frequently mentioned concerns, followed by issues related to service and program implementation and eligibility and assessment.</w:t>
      </w:r>
    </w:p>
    <w:p w14:paraId="402EF601" w14:textId="476E9DDF" w:rsidR="00D64F04" w:rsidRPr="00167044" w:rsidRDefault="00D64F04" w:rsidP="000B4A2F">
      <w:pPr>
        <w:pStyle w:val="Heading4"/>
        <w:rPr>
          <w:rFonts w:cs="Arial"/>
        </w:rPr>
      </w:pPr>
      <w:bookmarkStart w:id="7" w:name="_Toc147996557"/>
      <w:r w:rsidRPr="00167044">
        <w:rPr>
          <w:rFonts w:cs="Arial"/>
        </w:rPr>
        <w:t>Outreach Activities and Family Empowerment Center Support</w:t>
      </w:r>
      <w:bookmarkEnd w:id="7"/>
    </w:p>
    <w:p w14:paraId="35F3BE52" w14:textId="7A4D8D22" w:rsidR="00072D0C" w:rsidRPr="00167044" w:rsidRDefault="00D64F04" w:rsidP="000B4A2F">
      <w:pPr>
        <w:spacing w:after="240"/>
        <w:rPr>
          <w:rFonts w:cs="Arial"/>
        </w:rPr>
      </w:pPr>
      <w:r w:rsidRPr="00167044">
        <w:rPr>
          <w:rFonts w:cs="Arial"/>
        </w:rPr>
        <w:t xml:space="preserve">Next, </w:t>
      </w:r>
      <w:r w:rsidR="00552E47" w:rsidRPr="00167044">
        <w:rPr>
          <w:rFonts w:cs="Arial"/>
        </w:rPr>
        <w:t xml:space="preserve">the </w:t>
      </w:r>
      <w:r w:rsidRPr="00167044">
        <w:rPr>
          <w:rFonts w:cs="Arial"/>
        </w:rPr>
        <w:t>SELPAs were asked to address t</w:t>
      </w:r>
      <w:r w:rsidR="00072D0C" w:rsidRPr="00167044">
        <w:rPr>
          <w:rFonts w:cs="Arial"/>
        </w:rPr>
        <w:t xml:space="preserve">he outreach activities conducted pursuant to the </w:t>
      </w:r>
      <w:r w:rsidRPr="00167044">
        <w:rPr>
          <w:rFonts w:cs="Arial"/>
        </w:rPr>
        <w:t xml:space="preserve">DPDR apportionment. </w:t>
      </w:r>
      <w:r w:rsidR="00552E47" w:rsidRPr="00167044">
        <w:rPr>
          <w:rFonts w:cs="Arial"/>
        </w:rPr>
        <w:t xml:space="preserve">The </w:t>
      </w:r>
      <w:r w:rsidR="00072D0C" w:rsidRPr="00167044">
        <w:rPr>
          <w:rFonts w:cs="Arial"/>
        </w:rPr>
        <w:t>SELPAs exhibit</w:t>
      </w:r>
      <w:r w:rsidRPr="00167044">
        <w:rPr>
          <w:rFonts w:cs="Arial"/>
        </w:rPr>
        <w:t>ed</w:t>
      </w:r>
      <w:r w:rsidR="00072D0C" w:rsidRPr="00167044">
        <w:rPr>
          <w:rFonts w:cs="Arial"/>
        </w:rPr>
        <w:t xml:space="preserve"> a wide range of strategies and initiatives aimed at addressing the needs and concerns of parents and families of students with special needs. These activities can be categorized </w:t>
      </w:r>
      <w:r w:rsidR="00416DD4" w:rsidRPr="00167044">
        <w:rPr>
          <w:rFonts w:cs="Arial"/>
        </w:rPr>
        <w:t xml:space="preserve">by </w:t>
      </w:r>
      <w:r w:rsidR="00072D0C" w:rsidRPr="00167044">
        <w:rPr>
          <w:rFonts w:cs="Arial"/>
        </w:rPr>
        <w:t>several key issues</w:t>
      </w:r>
      <w:r w:rsidR="00416DD4" w:rsidRPr="00167044">
        <w:rPr>
          <w:rFonts w:cs="Arial"/>
        </w:rPr>
        <w:t>:</w:t>
      </w:r>
    </w:p>
    <w:p w14:paraId="40DC8EA0" w14:textId="0F2B5D6A" w:rsidR="00072D0C" w:rsidRPr="00167044" w:rsidRDefault="00072D0C" w:rsidP="000B4A2F">
      <w:pPr>
        <w:pStyle w:val="ListParagraph"/>
        <w:numPr>
          <w:ilvl w:val="0"/>
          <w:numId w:val="8"/>
        </w:numPr>
        <w:spacing w:after="240"/>
        <w:contextualSpacing w:val="0"/>
        <w:rPr>
          <w:rFonts w:cs="Arial"/>
        </w:rPr>
      </w:pPr>
      <w:r w:rsidRPr="00167044">
        <w:rPr>
          <w:rFonts w:cs="Arial"/>
        </w:rPr>
        <w:t>Parent Engagement and Education: Multiple SELPAs emphasized the importance of parent engagement and education. This included conducting regular meetings, workshops, and training sessions to educate parents about the special education process, their rights, and procedural safeguards. Additionally, materials were often translated into multiple languages, such as Spanish and Vietnamese, to ensure accessibility for diverse communities.</w:t>
      </w:r>
    </w:p>
    <w:p w14:paraId="22508121" w14:textId="0C2C3CCD" w:rsidR="00072D0C" w:rsidRPr="00167044" w:rsidRDefault="00072D0C" w:rsidP="000B4A2F">
      <w:pPr>
        <w:pStyle w:val="ListParagraph"/>
        <w:numPr>
          <w:ilvl w:val="0"/>
          <w:numId w:val="8"/>
        </w:numPr>
        <w:spacing w:after="240"/>
        <w:contextualSpacing w:val="0"/>
        <w:rPr>
          <w:rFonts w:cs="Arial"/>
        </w:rPr>
      </w:pPr>
      <w:r w:rsidRPr="00167044">
        <w:rPr>
          <w:rFonts w:cs="Arial"/>
        </w:rPr>
        <w:t xml:space="preserve">ADR: Many SELPAs invested in ADR programs and services, such as facilitated IEP meetings, mediation, and early resolution sessions. ADR was a common theme </w:t>
      </w:r>
      <w:r w:rsidR="00416DD4" w:rsidRPr="00167044">
        <w:rPr>
          <w:rFonts w:cs="Arial"/>
        </w:rPr>
        <w:t>to prevent</w:t>
      </w:r>
      <w:r w:rsidRPr="00167044">
        <w:rPr>
          <w:rFonts w:cs="Arial"/>
        </w:rPr>
        <w:t xml:space="preserve"> disputes between parents and school districts.</w:t>
      </w:r>
    </w:p>
    <w:p w14:paraId="31C4FAE2" w14:textId="158366DB" w:rsidR="00072D0C" w:rsidRPr="00167044" w:rsidRDefault="00072D0C" w:rsidP="000B4A2F">
      <w:pPr>
        <w:pStyle w:val="ListParagraph"/>
        <w:numPr>
          <w:ilvl w:val="0"/>
          <w:numId w:val="8"/>
        </w:numPr>
        <w:spacing w:after="240"/>
        <w:contextualSpacing w:val="0"/>
        <w:rPr>
          <w:rFonts w:cs="Arial"/>
        </w:rPr>
      </w:pPr>
      <w:r w:rsidRPr="00167044">
        <w:rPr>
          <w:rFonts w:cs="Arial"/>
        </w:rPr>
        <w:t>Community Partnerships: SELPAs collaborated with community entities, such as Family Resource Centers and advocacy centers, to strengthen their outreach efforts. These partnerships facilitated the sharing of resources and support for families.</w:t>
      </w:r>
    </w:p>
    <w:p w14:paraId="6D23DB89" w14:textId="515C668E" w:rsidR="00072D0C" w:rsidRPr="00167044" w:rsidRDefault="00072D0C" w:rsidP="000B4A2F">
      <w:pPr>
        <w:pStyle w:val="ListParagraph"/>
        <w:numPr>
          <w:ilvl w:val="0"/>
          <w:numId w:val="8"/>
        </w:numPr>
        <w:spacing w:after="240"/>
        <w:contextualSpacing w:val="0"/>
        <w:rPr>
          <w:rFonts w:cs="Arial"/>
        </w:rPr>
      </w:pPr>
      <w:r w:rsidRPr="00167044">
        <w:rPr>
          <w:rFonts w:cs="Arial"/>
        </w:rPr>
        <w:lastRenderedPageBreak/>
        <w:t>Professional Development: Several SELPAs focused on providing professional development opportunities for both parents and staff. This included training sessions on various aspects of special education, conflict resolution, and IEP best practices.</w:t>
      </w:r>
    </w:p>
    <w:p w14:paraId="7D3AB77B" w14:textId="2C5E6855" w:rsidR="00072D0C" w:rsidRPr="00167044" w:rsidRDefault="00072D0C" w:rsidP="000B4A2F">
      <w:pPr>
        <w:pStyle w:val="ListParagraph"/>
        <w:numPr>
          <w:ilvl w:val="0"/>
          <w:numId w:val="8"/>
        </w:numPr>
        <w:spacing w:after="240"/>
        <w:contextualSpacing w:val="0"/>
        <w:rPr>
          <w:rFonts w:cs="Arial"/>
        </w:rPr>
      </w:pPr>
      <w:r w:rsidRPr="00167044">
        <w:rPr>
          <w:rFonts w:cs="Arial"/>
        </w:rPr>
        <w:t>Communication and Information Dissemination: Many SELPAs emphasized effective communication by maintaining websites, distributing newsletters, and using social media to keep parents and educators informed. Additionally, SELPAs developed brochures and informational flyers to disseminate crucial information.</w:t>
      </w:r>
    </w:p>
    <w:p w14:paraId="524B3C01" w14:textId="18254A3C" w:rsidR="00072D0C" w:rsidRPr="00167044" w:rsidRDefault="00072D0C" w:rsidP="000B4A2F">
      <w:pPr>
        <w:pStyle w:val="ListParagraph"/>
        <w:numPr>
          <w:ilvl w:val="0"/>
          <w:numId w:val="8"/>
        </w:numPr>
        <w:spacing w:after="240"/>
        <w:contextualSpacing w:val="0"/>
        <w:rPr>
          <w:rFonts w:cs="Arial"/>
        </w:rPr>
      </w:pPr>
      <w:r w:rsidRPr="00167044">
        <w:rPr>
          <w:rFonts w:cs="Arial"/>
        </w:rPr>
        <w:t xml:space="preserve">Student Support: </w:t>
      </w:r>
      <w:r w:rsidR="000B4DC7" w:rsidRPr="00167044">
        <w:rPr>
          <w:rFonts w:cs="Arial"/>
        </w:rPr>
        <w:t xml:space="preserve">Some </w:t>
      </w:r>
      <w:r w:rsidRPr="00167044">
        <w:rPr>
          <w:rFonts w:cs="Arial"/>
        </w:rPr>
        <w:t>SELPAs allocated resources to directly benefit students through interventions, counseling services, academic support, and technology enhancements. These initiatives</w:t>
      </w:r>
      <w:r w:rsidR="00723FBE" w:rsidRPr="00167044">
        <w:rPr>
          <w:rFonts w:cs="Arial"/>
        </w:rPr>
        <w:t xml:space="preserve"> are intended</w:t>
      </w:r>
      <w:r w:rsidRPr="00167044">
        <w:rPr>
          <w:rFonts w:cs="Arial"/>
        </w:rPr>
        <w:t xml:space="preserve"> to maximize student development and success.</w:t>
      </w:r>
    </w:p>
    <w:p w14:paraId="120FD087" w14:textId="699D9764" w:rsidR="00CC30E1" w:rsidRPr="00167044" w:rsidRDefault="00072D0C" w:rsidP="000B4A2F">
      <w:pPr>
        <w:spacing w:after="240"/>
        <w:rPr>
          <w:rFonts w:cs="Arial"/>
        </w:rPr>
      </w:pPr>
      <w:r w:rsidRPr="00167044">
        <w:rPr>
          <w:rFonts w:cs="Arial"/>
        </w:rPr>
        <w:t>Common themes across these outreach activities include a commitment to transparency, accessibility, and collaboration. SELPAs are actively working to empower parents with knowledge and resources while fostering a cooperative and supportive environment between parents and educational institutions. The focus on ADR as a dispute prevention strategy indicates a proactive approach to resolving potential conflicts and ensuring that the needs of students with disabilities are met effectively.</w:t>
      </w:r>
    </w:p>
    <w:p w14:paraId="7AC2EF60" w14:textId="4D9E7950" w:rsidR="00E77FB9" w:rsidRPr="00167044" w:rsidRDefault="00E77FB9" w:rsidP="000B4A2F">
      <w:pPr>
        <w:spacing w:after="240"/>
        <w:rPr>
          <w:rFonts w:cs="Arial"/>
        </w:rPr>
      </w:pPr>
      <w:r w:rsidRPr="00167044">
        <w:rPr>
          <w:rFonts w:cs="Arial"/>
        </w:rPr>
        <w:t>The activities conducted in partnership with family support organizations pursuant to this section can be summarized into several common themes</w:t>
      </w:r>
      <w:r w:rsidR="00A653E8" w:rsidRPr="00167044">
        <w:rPr>
          <w:rFonts w:cs="Arial"/>
        </w:rPr>
        <w:t>:</w:t>
      </w:r>
    </w:p>
    <w:p w14:paraId="20D9CA2C" w14:textId="5DC5CEFD" w:rsidR="00E77FB9" w:rsidRPr="00167044" w:rsidRDefault="00E77FB9" w:rsidP="000B4A2F">
      <w:pPr>
        <w:pStyle w:val="ListParagraph"/>
        <w:numPr>
          <w:ilvl w:val="0"/>
          <w:numId w:val="9"/>
        </w:numPr>
        <w:spacing w:after="240"/>
        <w:contextualSpacing w:val="0"/>
        <w:rPr>
          <w:rFonts w:cs="Arial"/>
        </w:rPr>
      </w:pPr>
      <w:r w:rsidRPr="00167044">
        <w:rPr>
          <w:rFonts w:cs="Arial"/>
        </w:rPr>
        <w:t xml:space="preserve">Collaboration with Community Organizations and Agencies: Many SELPAs collaborated with various community organizations and agencies, such as Family </w:t>
      </w:r>
      <w:r w:rsidR="00D64F04" w:rsidRPr="00167044">
        <w:rPr>
          <w:rFonts w:cs="Arial"/>
        </w:rPr>
        <w:t>Empowerment/</w:t>
      </w:r>
      <w:r w:rsidRPr="00167044">
        <w:rPr>
          <w:rFonts w:cs="Arial"/>
        </w:rPr>
        <w:t>Resource Centers, Regional Centers, and educational institutions, to support families and students with special needs. These partnerships provide resources, training, and information to parents and caregivers about the special education process, IEPs, and available services.</w:t>
      </w:r>
    </w:p>
    <w:p w14:paraId="5E2DC968" w14:textId="6167071E" w:rsidR="00E77FB9" w:rsidRPr="00167044" w:rsidRDefault="00E77FB9" w:rsidP="000B4A2F">
      <w:pPr>
        <w:pStyle w:val="ListParagraph"/>
        <w:numPr>
          <w:ilvl w:val="0"/>
          <w:numId w:val="9"/>
        </w:numPr>
        <w:spacing w:after="240"/>
        <w:contextualSpacing w:val="0"/>
        <w:rPr>
          <w:rFonts w:cs="Arial"/>
        </w:rPr>
      </w:pPr>
      <w:r w:rsidRPr="00167044">
        <w:rPr>
          <w:rFonts w:cs="Arial"/>
        </w:rPr>
        <w:t xml:space="preserve">Community Advisory Committees: Several SELPAs mentioned active participation in </w:t>
      </w:r>
      <w:r w:rsidR="006F362E" w:rsidRPr="00167044">
        <w:rPr>
          <w:rFonts w:cs="Arial"/>
        </w:rPr>
        <w:t>Community Advisory Committee</w:t>
      </w:r>
      <w:r w:rsidRPr="00167044">
        <w:rPr>
          <w:rFonts w:cs="Arial"/>
        </w:rPr>
        <w:t xml:space="preserve"> meetings, where parents, educators, and community members come together to discuss and address concerns related to special education. These meetings served as platforms for information sharing, parent education, and advocacy.</w:t>
      </w:r>
    </w:p>
    <w:p w14:paraId="666425BD" w14:textId="49F114AA" w:rsidR="00E77FB9" w:rsidRPr="00167044" w:rsidRDefault="00E77FB9" w:rsidP="000B4A2F">
      <w:pPr>
        <w:pStyle w:val="ListParagraph"/>
        <w:numPr>
          <w:ilvl w:val="0"/>
          <w:numId w:val="9"/>
        </w:numPr>
        <w:spacing w:after="240"/>
        <w:contextualSpacing w:val="0"/>
        <w:rPr>
          <w:rFonts w:cs="Arial"/>
        </w:rPr>
      </w:pPr>
      <w:r w:rsidRPr="00167044">
        <w:rPr>
          <w:rFonts w:cs="Arial"/>
        </w:rPr>
        <w:t>Parent Trainings: SELPAs organized parent training sessions, workshops, and seminars to empower parents with knowledge about special education procedures, their rights, and how to navigate the IEP process effectively. Some trainings were conducted in collaboration with FECs.</w:t>
      </w:r>
    </w:p>
    <w:p w14:paraId="068332AC" w14:textId="42DB0DEF" w:rsidR="00E77FB9" w:rsidRPr="00167044" w:rsidRDefault="00E77FB9" w:rsidP="000B4A2F">
      <w:pPr>
        <w:pStyle w:val="ListParagraph"/>
        <w:numPr>
          <w:ilvl w:val="0"/>
          <w:numId w:val="9"/>
        </w:numPr>
        <w:spacing w:after="240"/>
        <w:contextualSpacing w:val="0"/>
        <w:rPr>
          <w:rFonts w:cs="Arial"/>
        </w:rPr>
      </w:pPr>
      <w:r w:rsidRPr="00167044">
        <w:rPr>
          <w:rFonts w:cs="Arial"/>
        </w:rPr>
        <w:t xml:space="preserve">Information Sharing: Information dissemination was a common theme across </w:t>
      </w:r>
      <w:r w:rsidR="00616027" w:rsidRPr="00167044">
        <w:rPr>
          <w:rFonts w:cs="Arial"/>
        </w:rPr>
        <w:t xml:space="preserve">the </w:t>
      </w:r>
      <w:r w:rsidRPr="00167044">
        <w:rPr>
          <w:rFonts w:cs="Arial"/>
        </w:rPr>
        <w:t xml:space="preserve">SELPAs. They created brochures, handbooks, and informational </w:t>
      </w:r>
      <w:r w:rsidRPr="00167044">
        <w:rPr>
          <w:rFonts w:cs="Arial"/>
        </w:rPr>
        <w:lastRenderedPageBreak/>
        <w:t>materials to provide parents with essential information about the special education system, resources, and procedural safeguards.</w:t>
      </w:r>
    </w:p>
    <w:p w14:paraId="37CCB846" w14:textId="28A989E7" w:rsidR="00E77FB9" w:rsidRPr="00167044" w:rsidRDefault="00E77FB9" w:rsidP="000B4A2F">
      <w:pPr>
        <w:pStyle w:val="ListParagraph"/>
        <w:numPr>
          <w:ilvl w:val="0"/>
          <w:numId w:val="9"/>
        </w:numPr>
        <w:spacing w:after="240"/>
        <w:contextualSpacing w:val="0"/>
        <w:rPr>
          <w:rFonts w:cs="Arial"/>
        </w:rPr>
      </w:pPr>
      <w:r w:rsidRPr="00167044">
        <w:rPr>
          <w:rFonts w:cs="Arial"/>
        </w:rPr>
        <w:t>Early Intervention and Support: Some SELPAs focused on early intervention and support, partnering with programs like Head Start preschool and collaborating with agencies that assist families during the early years of a child's education.</w:t>
      </w:r>
    </w:p>
    <w:p w14:paraId="248C01B0" w14:textId="50021F2E" w:rsidR="00E77FB9" w:rsidRPr="00167044" w:rsidRDefault="00E77FB9" w:rsidP="000B4A2F">
      <w:pPr>
        <w:pStyle w:val="ListParagraph"/>
        <w:numPr>
          <w:ilvl w:val="0"/>
          <w:numId w:val="9"/>
        </w:numPr>
        <w:spacing w:after="240"/>
        <w:contextualSpacing w:val="0"/>
        <w:rPr>
          <w:rFonts w:cs="Arial"/>
        </w:rPr>
      </w:pPr>
      <w:r w:rsidRPr="00167044">
        <w:rPr>
          <w:rFonts w:cs="Arial"/>
        </w:rPr>
        <w:t>Multilingual Support: Efforts were made to ensure that information and resources were accessible to parents from diverse linguistic backgrounds. Translation and interpretation services were mentioned to facilitate effective communication.</w:t>
      </w:r>
    </w:p>
    <w:p w14:paraId="1822A6A0" w14:textId="21EEDB2C" w:rsidR="00E77FB9" w:rsidRPr="00167044" w:rsidRDefault="00E77FB9" w:rsidP="000B4A2F">
      <w:pPr>
        <w:pStyle w:val="ListParagraph"/>
        <w:numPr>
          <w:ilvl w:val="0"/>
          <w:numId w:val="9"/>
        </w:numPr>
        <w:spacing w:after="240"/>
        <w:contextualSpacing w:val="0"/>
        <w:rPr>
          <w:rFonts w:cs="Arial"/>
        </w:rPr>
      </w:pPr>
      <w:r w:rsidRPr="00167044">
        <w:rPr>
          <w:rFonts w:cs="Arial"/>
        </w:rPr>
        <w:t>Parent Advocacy: SELPAs engaged with parent advocacy groups and individuals to support parents in advocating for their children</w:t>
      </w:r>
      <w:r w:rsidR="00DB0430" w:rsidRPr="00167044">
        <w:rPr>
          <w:rFonts w:cs="Arial"/>
        </w:rPr>
        <w:t>’</w:t>
      </w:r>
      <w:r w:rsidRPr="00167044">
        <w:rPr>
          <w:rFonts w:cs="Arial"/>
        </w:rPr>
        <w:t>s educational needs,</w:t>
      </w:r>
      <w:r w:rsidR="006F1E8F" w:rsidRPr="00167044">
        <w:rPr>
          <w:rFonts w:cs="Arial"/>
        </w:rPr>
        <w:t xml:space="preserve"> thereby</w:t>
      </w:r>
      <w:r w:rsidRPr="00167044">
        <w:rPr>
          <w:rFonts w:cs="Arial"/>
        </w:rPr>
        <w:t xml:space="preserve"> fostering collaboration between parents and schools.</w:t>
      </w:r>
    </w:p>
    <w:p w14:paraId="4477469A" w14:textId="04A61558" w:rsidR="00E77FB9" w:rsidRPr="00167044" w:rsidRDefault="00E77FB9" w:rsidP="000B4A2F">
      <w:pPr>
        <w:pStyle w:val="ListParagraph"/>
        <w:numPr>
          <w:ilvl w:val="0"/>
          <w:numId w:val="9"/>
        </w:numPr>
        <w:spacing w:after="240"/>
        <w:contextualSpacing w:val="0"/>
        <w:rPr>
          <w:rFonts w:cs="Arial"/>
        </w:rPr>
      </w:pPr>
      <w:r w:rsidRPr="00167044">
        <w:rPr>
          <w:rFonts w:cs="Arial"/>
        </w:rPr>
        <w:t>Resource Fairs and Conferences: Some SELPAs organized resource fairs and conferences, which brought together various stakeholders, including parents, educators, and community partners, to share information, resources, and best practices.</w:t>
      </w:r>
    </w:p>
    <w:p w14:paraId="592CA37F" w14:textId="1DAE02EC" w:rsidR="00E77FB9" w:rsidRPr="00167044" w:rsidRDefault="00E77FB9" w:rsidP="000B4A2F">
      <w:pPr>
        <w:pStyle w:val="ListParagraph"/>
        <w:numPr>
          <w:ilvl w:val="0"/>
          <w:numId w:val="9"/>
        </w:numPr>
        <w:spacing w:after="240"/>
        <w:contextualSpacing w:val="0"/>
        <w:rPr>
          <w:rFonts w:cs="Arial"/>
        </w:rPr>
      </w:pPr>
      <w:r w:rsidRPr="00167044">
        <w:rPr>
          <w:rFonts w:cs="Arial"/>
        </w:rPr>
        <w:t>Collaboration with Educational Institutions: SELPAs partnered with educational institutions such as colleges and universities to provide training and support to parents and educators on topics related to special education.</w:t>
      </w:r>
    </w:p>
    <w:p w14:paraId="257783B1" w14:textId="4E4FB7B3" w:rsidR="00E77FB9" w:rsidRPr="00167044" w:rsidRDefault="00E77FB9" w:rsidP="000B4A2F">
      <w:pPr>
        <w:pStyle w:val="ListParagraph"/>
        <w:numPr>
          <w:ilvl w:val="0"/>
          <w:numId w:val="9"/>
        </w:numPr>
        <w:spacing w:after="240"/>
        <w:contextualSpacing w:val="0"/>
        <w:rPr>
          <w:rFonts w:cs="Arial"/>
        </w:rPr>
      </w:pPr>
      <w:r w:rsidRPr="00167044">
        <w:rPr>
          <w:rFonts w:cs="Arial"/>
        </w:rPr>
        <w:t>Public Awareness: Efforts were made to raise public awareness about special education, disabilities, and available services through community events, outreach, and awareness campaigns.</w:t>
      </w:r>
    </w:p>
    <w:p w14:paraId="6FC3A20E" w14:textId="63473281" w:rsidR="00D64F04" w:rsidRPr="00167044" w:rsidRDefault="00E77FB9" w:rsidP="000B4A2F">
      <w:pPr>
        <w:spacing w:after="240"/>
        <w:rPr>
          <w:rFonts w:cs="Arial"/>
        </w:rPr>
      </w:pPr>
      <w:r w:rsidRPr="00167044">
        <w:rPr>
          <w:rFonts w:cs="Arial"/>
        </w:rPr>
        <w:t>These themes reflect the diverse range of activities and initiatives undertaken by SELPAs in collaboration with family support organizations to improve the educational experiences and outcomes for students with special needs and their families.</w:t>
      </w:r>
    </w:p>
    <w:p w14:paraId="1FA1F892" w14:textId="2D0B6036" w:rsidR="004260AE" w:rsidRPr="00167044" w:rsidRDefault="00D64F04" w:rsidP="000B4A2F">
      <w:pPr>
        <w:pStyle w:val="Heading4"/>
        <w:rPr>
          <w:rFonts w:cs="Arial"/>
        </w:rPr>
      </w:pPr>
      <w:bookmarkStart w:id="8" w:name="_Toc147996558"/>
      <w:r w:rsidRPr="00167044">
        <w:rPr>
          <w:rFonts w:cs="Arial"/>
        </w:rPr>
        <w:t>Continued Support</w:t>
      </w:r>
      <w:bookmarkEnd w:id="8"/>
    </w:p>
    <w:p w14:paraId="3F19618B" w14:textId="703427B8" w:rsidR="00843FE2" w:rsidRPr="00167044" w:rsidRDefault="00D64F04" w:rsidP="00167044">
      <w:pPr>
        <w:spacing w:after="240"/>
        <w:rPr>
          <w:rFonts w:cs="Arial"/>
        </w:rPr>
      </w:pPr>
      <w:r w:rsidRPr="00167044">
        <w:rPr>
          <w:rFonts w:cs="Arial"/>
        </w:rPr>
        <w:t>While most SELPAs were able to complete all of their proposed activities, s</w:t>
      </w:r>
      <w:r w:rsidR="00843FE2" w:rsidRPr="00167044">
        <w:rPr>
          <w:rFonts w:cs="Arial"/>
        </w:rPr>
        <w:t>everal common themes emerge</w:t>
      </w:r>
      <w:r w:rsidR="00400F6A" w:rsidRPr="00167044">
        <w:rPr>
          <w:rFonts w:cs="Arial"/>
        </w:rPr>
        <w:t>d</w:t>
      </w:r>
      <w:r w:rsidR="00843FE2" w:rsidRPr="00167044">
        <w:rPr>
          <w:rFonts w:cs="Arial"/>
        </w:rPr>
        <w:t xml:space="preserve"> from the activities that various SELPAs were unable to complete</w:t>
      </w:r>
      <w:r w:rsidR="006F1E8F" w:rsidRPr="00167044">
        <w:rPr>
          <w:rFonts w:cs="Arial"/>
        </w:rPr>
        <w:t>,</w:t>
      </w:r>
      <w:r w:rsidR="00843FE2" w:rsidRPr="00167044">
        <w:rPr>
          <w:rFonts w:cs="Arial"/>
        </w:rPr>
        <w:t xml:space="preserve"> as detailed in their </w:t>
      </w:r>
      <w:r w:rsidRPr="00167044">
        <w:rPr>
          <w:rFonts w:cs="Arial"/>
        </w:rPr>
        <w:t>DP</w:t>
      </w:r>
      <w:r w:rsidR="00843FE2" w:rsidRPr="00167044">
        <w:rPr>
          <w:rFonts w:cs="Arial"/>
        </w:rPr>
        <w:t>DR plans:</w:t>
      </w:r>
    </w:p>
    <w:p w14:paraId="0167DFEC" w14:textId="1A45C7F6" w:rsidR="002568F2" w:rsidRPr="00167044" w:rsidRDefault="00843FE2" w:rsidP="00167044">
      <w:pPr>
        <w:pStyle w:val="ListParagraph"/>
        <w:numPr>
          <w:ilvl w:val="0"/>
          <w:numId w:val="10"/>
        </w:numPr>
        <w:spacing w:after="240"/>
        <w:contextualSpacing w:val="0"/>
        <w:rPr>
          <w:rFonts w:cs="Arial"/>
        </w:rPr>
      </w:pPr>
      <w:r w:rsidRPr="00167044">
        <w:rPr>
          <w:rFonts w:cs="Arial"/>
        </w:rPr>
        <w:t xml:space="preserve">Staff Shortages: Many SELPAs reported difficulties in completing activities due to staffing shortages. This includes challenges in filling </w:t>
      </w:r>
      <w:r w:rsidR="006F1E8F" w:rsidRPr="00167044">
        <w:rPr>
          <w:rFonts w:cs="Arial"/>
        </w:rPr>
        <w:t>s</w:t>
      </w:r>
      <w:r w:rsidRPr="00167044">
        <w:rPr>
          <w:rFonts w:cs="Arial"/>
        </w:rPr>
        <w:t xml:space="preserve">pecial </w:t>
      </w:r>
      <w:r w:rsidR="006F1E8F" w:rsidRPr="00167044">
        <w:rPr>
          <w:rFonts w:cs="Arial"/>
        </w:rPr>
        <w:t>e</w:t>
      </w:r>
      <w:r w:rsidRPr="00167044">
        <w:rPr>
          <w:rFonts w:cs="Arial"/>
        </w:rPr>
        <w:t>ducation positions, such as Bilingual Teacher on Special Assignment</w:t>
      </w:r>
      <w:r w:rsidR="5C58CC7C" w:rsidRPr="00167044">
        <w:rPr>
          <w:rFonts w:cs="Arial"/>
        </w:rPr>
        <w:t xml:space="preserve"> </w:t>
      </w:r>
      <w:r w:rsidRPr="00167044">
        <w:rPr>
          <w:rFonts w:cs="Arial"/>
        </w:rPr>
        <w:t xml:space="preserve"> roles, as well as classified support positions. In some cases, funds initially allocated for hiring staff were redirected to provide additional ADR training to existing staff. Staff </w:t>
      </w:r>
      <w:r w:rsidRPr="00167044">
        <w:rPr>
          <w:rFonts w:cs="Arial"/>
        </w:rPr>
        <w:lastRenderedPageBreak/>
        <w:t xml:space="preserve">shortages </w:t>
      </w:r>
      <w:r w:rsidR="001072A5" w:rsidRPr="00167044">
        <w:rPr>
          <w:rFonts w:cs="Arial"/>
        </w:rPr>
        <w:t>were</w:t>
      </w:r>
      <w:r w:rsidRPr="00167044">
        <w:rPr>
          <w:rFonts w:cs="Arial"/>
        </w:rPr>
        <w:t xml:space="preserve"> exacerbated </w:t>
      </w:r>
      <w:r w:rsidR="001072A5" w:rsidRPr="00167044">
        <w:rPr>
          <w:rFonts w:cs="Arial"/>
        </w:rPr>
        <w:t xml:space="preserve">in small and </w:t>
      </w:r>
      <w:r w:rsidR="006F1E8F" w:rsidRPr="00167044">
        <w:rPr>
          <w:rFonts w:cs="Arial"/>
        </w:rPr>
        <w:t>rural</w:t>
      </w:r>
      <w:r w:rsidR="001072A5" w:rsidRPr="00167044">
        <w:rPr>
          <w:rFonts w:cs="Arial"/>
        </w:rPr>
        <w:t xml:space="preserve"> areas where LEAs saw</w:t>
      </w:r>
      <w:r w:rsidRPr="00167044">
        <w:rPr>
          <w:rFonts w:cs="Arial"/>
        </w:rPr>
        <w:t xml:space="preserve"> severe staffing shortages</w:t>
      </w:r>
      <w:r w:rsidR="006F1E8F" w:rsidRPr="00167044">
        <w:rPr>
          <w:rFonts w:cs="Arial"/>
        </w:rPr>
        <w:t>,</w:t>
      </w:r>
      <w:r w:rsidR="001072A5" w:rsidRPr="00167044">
        <w:rPr>
          <w:rFonts w:cs="Arial"/>
        </w:rPr>
        <w:t xml:space="preserve"> which may have been increased, in part, by the pandemic.</w:t>
      </w:r>
    </w:p>
    <w:p w14:paraId="530D13A6" w14:textId="6DC4921B" w:rsidR="00843FE2" w:rsidRPr="00167044" w:rsidRDefault="00843FE2" w:rsidP="00167044">
      <w:pPr>
        <w:pStyle w:val="ListParagraph"/>
        <w:numPr>
          <w:ilvl w:val="0"/>
          <w:numId w:val="10"/>
        </w:numPr>
        <w:spacing w:after="240"/>
        <w:contextualSpacing w:val="0"/>
        <w:rPr>
          <w:rFonts w:cs="Arial"/>
        </w:rPr>
      </w:pPr>
      <w:r w:rsidRPr="00167044">
        <w:rPr>
          <w:rFonts w:cs="Arial"/>
        </w:rPr>
        <w:t xml:space="preserve">Illness and Presenter Availability: Some SELPAs were unable to complete planned trainings and activities due to </w:t>
      </w:r>
      <w:r w:rsidR="006F1E8F" w:rsidRPr="00167044">
        <w:rPr>
          <w:rFonts w:cs="Arial"/>
        </w:rPr>
        <w:t xml:space="preserve">presenter </w:t>
      </w:r>
      <w:r w:rsidRPr="00167044">
        <w:rPr>
          <w:rFonts w:cs="Arial"/>
        </w:rPr>
        <w:t>illnesses. This impacted the scheduled activities</w:t>
      </w:r>
      <w:r w:rsidR="006F1E8F" w:rsidRPr="00167044">
        <w:rPr>
          <w:rFonts w:cs="Arial"/>
        </w:rPr>
        <w:t xml:space="preserve"> and led</w:t>
      </w:r>
      <w:r w:rsidRPr="00167044">
        <w:rPr>
          <w:rFonts w:cs="Arial"/>
        </w:rPr>
        <w:t xml:space="preserve"> to lower attendance than anticipated.</w:t>
      </w:r>
    </w:p>
    <w:p w14:paraId="19E7830A" w14:textId="3421AE88" w:rsidR="00843FE2" w:rsidRPr="00167044" w:rsidRDefault="00843FE2" w:rsidP="00167044">
      <w:pPr>
        <w:pStyle w:val="ListParagraph"/>
        <w:numPr>
          <w:ilvl w:val="0"/>
          <w:numId w:val="10"/>
        </w:numPr>
        <w:spacing w:after="240"/>
        <w:contextualSpacing w:val="0"/>
        <w:rPr>
          <w:rFonts w:cs="Arial"/>
        </w:rPr>
      </w:pPr>
      <w:r w:rsidRPr="00167044">
        <w:rPr>
          <w:rFonts w:cs="Arial"/>
        </w:rPr>
        <w:t xml:space="preserve">Data and Leadership Transition: Challenges related to data collection and leadership transitions were reported by some SELPAs. For instance, one SELPA mentioned being unable to pull </w:t>
      </w:r>
      <w:r w:rsidR="006354B8" w:rsidRPr="00167044">
        <w:rPr>
          <w:rFonts w:cs="Arial"/>
        </w:rPr>
        <w:t xml:space="preserve">any </w:t>
      </w:r>
      <w:r w:rsidRPr="00167044">
        <w:rPr>
          <w:rFonts w:cs="Arial"/>
        </w:rPr>
        <w:t>data on parents</w:t>
      </w:r>
      <w:r w:rsidR="00922A3E" w:rsidRPr="00167044">
        <w:rPr>
          <w:rFonts w:cs="Arial"/>
        </w:rPr>
        <w:t>’</w:t>
      </w:r>
      <w:r w:rsidRPr="00167044">
        <w:rPr>
          <w:rFonts w:cs="Arial"/>
        </w:rPr>
        <w:t xml:space="preserve"> primary language</w:t>
      </w:r>
      <w:r w:rsidR="006354B8" w:rsidRPr="00167044">
        <w:rPr>
          <w:rFonts w:cs="Arial"/>
        </w:rPr>
        <w:t xml:space="preserve">. </w:t>
      </w:r>
      <w:r w:rsidRPr="00167044">
        <w:rPr>
          <w:rFonts w:cs="Arial"/>
        </w:rPr>
        <w:t>Additionally, transitions in leadership made it difficult to ascertain which activities were completed or not.</w:t>
      </w:r>
    </w:p>
    <w:p w14:paraId="0C95AB56" w14:textId="17639CD9" w:rsidR="00843FE2" w:rsidRPr="00167044" w:rsidRDefault="00843FE2" w:rsidP="00167044">
      <w:pPr>
        <w:pStyle w:val="ListParagraph"/>
        <w:numPr>
          <w:ilvl w:val="0"/>
          <w:numId w:val="10"/>
        </w:numPr>
        <w:spacing w:after="240"/>
        <w:contextualSpacing w:val="0"/>
        <w:rPr>
          <w:rFonts w:cs="Arial"/>
        </w:rPr>
      </w:pPr>
      <w:r w:rsidRPr="00167044">
        <w:rPr>
          <w:rFonts w:cs="Arial"/>
        </w:rPr>
        <w:t>Virtual Engagement: The transition to virtual engagement had varying impacts. While some SELPAs noted increased participation in virtual meetings and events, others reported that exhaustion and lack of substitutes at the LEA level influenced attendance.</w:t>
      </w:r>
    </w:p>
    <w:p w14:paraId="354947B7" w14:textId="01767F36" w:rsidR="00843FE2" w:rsidRPr="00167044" w:rsidRDefault="00843FE2" w:rsidP="00167044">
      <w:pPr>
        <w:pStyle w:val="ListParagraph"/>
        <w:numPr>
          <w:ilvl w:val="0"/>
          <w:numId w:val="10"/>
        </w:numPr>
        <w:spacing w:after="240"/>
        <w:contextualSpacing w:val="0"/>
        <w:rPr>
          <w:rFonts w:cs="Arial"/>
        </w:rPr>
      </w:pPr>
      <w:r w:rsidRPr="00167044">
        <w:rPr>
          <w:rFonts w:cs="Arial"/>
        </w:rPr>
        <w:t>Collaboration Challenges: Collaboration with local</w:t>
      </w:r>
      <w:r w:rsidR="006F362E" w:rsidRPr="00167044">
        <w:rPr>
          <w:rFonts w:cs="Arial"/>
        </w:rPr>
        <w:t xml:space="preserve"> FECs</w:t>
      </w:r>
      <w:r w:rsidRPr="00167044">
        <w:rPr>
          <w:rFonts w:cs="Arial"/>
        </w:rPr>
        <w:t xml:space="preserve"> and external organizations was a recurring challenge for some SELPAs. Developing and maintaining relationships with these entities for collaborative work with parents proved to be an ongoing challenge.</w:t>
      </w:r>
    </w:p>
    <w:p w14:paraId="678A5ABE" w14:textId="0459DB93" w:rsidR="00843FE2" w:rsidRPr="00167044" w:rsidRDefault="00843FE2" w:rsidP="00167044">
      <w:pPr>
        <w:pStyle w:val="ListParagraph"/>
        <w:numPr>
          <w:ilvl w:val="0"/>
          <w:numId w:val="10"/>
        </w:numPr>
        <w:spacing w:after="240"/>
        <w:contextualSpacing w:val="0"/>
        <w:rPr>
          <w:rFonts w:cs="Arial"/>
        </w:rPr>
      </w:pPr>
      <w:r w:rsidRPr="00167044">
        <w:rPr>
          <w:rFonts w:cs="Arial"/>
        </w:rPr>
        <w:t>Training and Professional Development: Limited resources, including</w:t>
      </w:r>
      <w:r w:rsidR="00D61C10" w:rsidRPr="00167044">
        <w:rPr>
          <w:rFonts w:cs="Arial"/>
        </w:rPr>
        <w:t xml:space="preserve"> a consistent decreased</w:t>
      </w:r>
      <w:r w:rsidRPr="00167044">
        <w:rPr>
          <w:rFonts w:cs="Arial"/>
        </w:rPr>
        <w:t xml:space="preserve"> availability of substitute teachers and ADR professionals, affected training and professional development activities. Some teachers were not willing to attend beyond the school day due to burnout, and there were instances where parents were turned away from training events due to high demand.</w:t>
      </w:r>
    </w:p>
    <w:p w14:paraId="14091F9D" w14:textId="0A75551A" w:rsidR="00A109B7" w:rsidRPr="00167044" w:rsidRDefault="00A653E8" w:rsidP="00167044">
      <w:pPr>
        <w:spacing w:after="240"/>
        <w:rPr>
          <w:rFonts w:cs="Arial"/>
        </w:rPr>
      </w:pPr>
      <w:r w:rsidRPr="00167044">
        <w:rPr>
          <w:rFonts w:cs="Arial"/>
        </w:rPr>
        <w:t xml:space="preserve">In addition, </w:t>
      </w:r>
      <w:r w:rsidR="006354B8" w:rsidRPr="00167044">
        <w:rPr>
          <w:rFonts w:cs="Arial"/>
        </w:rPr>
        <w:t xml:space="preserve">the </w:t>
      </w:r>
      <w:r w:rsidR="00A109B7" w:rsidRPr="00167044">
        <w:rPr>
          <w:rFonts w:cs="Arial"/>
        </w:rPr>
        <w:t>SELPA</w:t>
      </w:r>
      <w:r w:rsidRPr="00167044">
        <w:rPr>
          <w:rFonts w:cs="Arial"/>
        </w:rPr>
        <w:t>s were asked which activities they would</w:t>
      </w:r>
      <w:r w:rsidR="00A109B7" w:rsidRPr="00167044">
        <w:rPr>
          <w:rFonts w:cs="Arial"/>
        </w:rPr>
        <w:t xml:space="preserve"> continue to use to prevent and resolve future due process disputes or to continue educating/informing educational partners</w:t>
      </w:r>
      <w:r w:rsidR="006354B8" w:rsidRPr="00167044">
        <w:rPr>
          <w:rFonts w:cs="Arial"/>
        </w:rPr>
        <w:t>. The SELPAs responded as follows</w:t>
      </w:r>
      <w:r w:rsidR="00A109B7" w:rsidRPr="00167044">
        <w:rPr>
          <w:rFonts w:cs="Arial"/>
        </w:rPr>
        <w:t>:</w:t>
      </w:r>
    </w:p>
    <w:p w14:paraId="06F05E67" w14:textId="1B8BABA8" w:rsidR="00A109B7" w:rsidRPr="00167044" w:rsidRDefault="00A109B7" w:rsidP="00167044">
      <w:pPr>
        <w:pStyle w:val="ListParagraph"/>
        <w:numPr>
          <w:ilvl w:val="0"/>
          <w:numId w:val="11"/>
        </w:numPr>
        <w:spacing w:after="240"/>
        <w:contextualSpacing w:val="0"/>
        <w:rPr>
          <w:rFonts w:cs="Arial"/>
        </w:rPr>
      </w:pPr>
      <w:r w:rsidRPr="00167044">
        <w:rPr>
          <w:rFonts w:cs="Arial"/>
        </w:rPr>
        <w:t>Facilitated IEP Meetings: Many SELPAs find facilitated IEP meetings to be effective in resolving disagreements and maintaining a focus on student progress.</w:t>
      </w:r>
    </w:p>
    <w:p w14:paraId="2C0C056F" w14:textId="74FDEF3C" w:rsidR="00A109B7" w:rsidRPr="00167044" w:rsidRDefault="00A109B7" w:rsidP="00167044">
      <w:pPr>
        <w:pStyle w:val="ListParagraph"/>
        <w:numPr>
          <w:ilvl w:val="0"/>
          <w:numId w:val="11"/>
        </w:numPr>
        <w:spacing w:after="240"/>
        <w:contextualSpacing w:val="0"/>
        <w:rPr>
          <w:rFonts w:cs="Arial"/>
        </w:rPr>
      </w:pPr>
      <w:r w:rsidRPr="00167044">
        <w:rPr>
          <w:rFonts w:cs="Arial"/>
        </w:rPr>
        <w:t>Parent Training: Several SELPAs emphasize the importance of providing training to parents on the IEP process, their rights, and</w:t>
      </w:r>
      <w:r w:rsidR="002A2FE7" w:rsidRPr="00167044">
        <w:rPr>
          <w:rFonts w:cs="Arial"/>
        </w:rPr>
        <w:t xml:space="preserve"> </w:t>
      </w:r>
      <w:r w:rsidR="0096408B" w:rsidRPr="00167044">
        <w:rPr>
          <w:rFonts w:cs="Arial"/>
        </w:rPr>
        <w:t>ADR</w:t>
      </w:r>
      <w:r w:rsidRPr="00167044">
        <w:rPr>
          <w:rFonts w:cs="Arial"/>
        </w:rPr>
        <w:t xml:space="preserve"> strategies.</w:t>
      </w:r>
    </w:p>
    <w:p w14:paraId="024FB898" w14:textId="12D56E0F" w:rsidR="00A109B7" w:rsidRPr="00167044" w:rsidRDefault="00A109B7" w:rsidP="00167044">
      <w:pPr>
        <w:pStyle w:val="ListParagraph"/>
        <w:numPr>
          <w:ilvl w:val="0"/>
          <w:numId w:val="11"/>
        </w:numPr>
        <w:spacing w:after="240"/>
        <w:contextualSpacing w:val="0"/>
        <w:rPr>
          <w:rFonts w:cs="Arial"/>
        </w:rPr>
      </w:pPr>
      <w:r w:rsidRPr="00167044">
        <w:rPr>
          <w:rFonts w:cs="Arial"/>
        </w:rPr>
        <w:t>Professional Development: Staff training and professional development in areas such as conflict resolution, communication, and legal compliance are deem</w:t>
      </w:r>
      <w:r w:rsidR="004E4C94" w:rsidRPr="00167044">
        <w:rPr>
          <w:rFonts w:cs="Arial"/>
        </w:rPr>
        <w:t>e</w:t>
      </w:r>
      <w:r w:rsidRPr="00167044">
        <w:rPr>
          <w:rFonts w:cs="Arial"/>
        </w:rPr>
        <w:t>d essential in preventing disputes.</w:t>
      </w:r>
    </w:p>
    <w:p w14:paraId="2D4E9715" w14:textId="490BC835" w:rsidR="00A109B7" w:rsidRPr="00167044" w:rsidRDefault="00A109B7" w:rsidP="00167044">
      <w:pPr>
        <w:pStyle w:val="ListParagraph"/>
        <w:numPr>
          <w:ilvl w:val="0"/>
          <w:numId w:val="11"/>
        </w:numPr>
        <w:spacing w:after="240"/>
        <w:contextualSpacing w:val="0"/>
        <w:rPr>
          <w:rFonts w:cs="Arial"/>
        </w:rPr>
      </w:pPr>
      <w:r w:rsidRPr="00167044">
        <w:rPr>
          <w:rFonts w:cs="Arial"/>
        </w:rPr>
        <w:lastRenderedPageBreak/>
        <w:t>Collaboration with Family Resource Centers: Collaborative efforts with F</w:t>
      </w:r>
      <w:r w:rsidR="00EF4E96" w:rsidRPr="00167044">
        <w:rPr>
          <w:rFonts w:cs="Arial"/>
        </w:rPr>
        <w:t>ECs</w:t>
      </w:r>
      <w:r w:rsidRPr="00167044">
        <w:rPr>
          <w:rFonts w:cs="Arial"/>
        </w:rPr>
        <w:t xml:space="preserve"> and community organizations to provide resources, support, and training for parents are widely acknowledged</w:t>
      </w:r>
      <w:r w:rsidR="0063467C">
        <w:rPr>
          <w:rFonts w:cs="Arial"/>
        </w:rPr>
        <w:t xml:space="preserve"> as effective</w:t>
      </w:r>
      <w:r w:rsidRPr="00167044">
        <w:rPr>
          <w:rFonts w:cs="Arial"/>
        </w:rPr>
        <w:t>.</w:t>
      </w:r>
    </w:p>
    <w:p w14:paraId="1003AA43" w14:textId="03576D82" w:rsidR="00A109B7" w:rsidRPr="00167044" w:rsidRDefault="00A109B7" w:rsidP="00167044">
      <w:pPr>
        <w:pStyle w:val="ListParagraph"/>
        <w:numPr>
          <w:ilvl w:val="0"/>
          <w:numId w:val="11"/>
        </w:numPr>
        <w:spacing w:after="240"/>
        <w:contextualSpacing w:val="0"/>
        <w:rPr>
          <w:rFonts w:cs="Arial"/>
        </w:rPr>
      </w:pPr>
      <w:r w:rsidRPr="00167044">
        <w:rPr>
          <w:rFonts w:cs="Arial"/>
        </w:rPr>
        <w:t>Use of ADR Specialists: Contracting ADR specialists or facilitators to assist with dispute resolution is seen as beneficial.</w:t>
      </w:r>
    </w:p>
    <w:p w14:paraId="708E9EB5" w14:textId="359C5BF3" w:rsidR="00A109B7" w:rsidRPr="00167044" w:rsidRDefault="00A109B7" w:rsidP="00167044">
      <w:pPr>
        <w:pStyle w:val="ListParagraph"/>
        <w:numPr>
          <w:ilvl w:val="0"/>
          <w:numId w:val="11"/>
        </w:numPr>
        <w:spacing w:after="240"/>
        <w:contextualSpacing w:val="0"/>
        <w:rPr>
          <w:rFonts w:cs="Arial"/>
        </w:rPr>
      </w:pPr>
      <w:r w:rsidRPr="00167044">
        <w:rPr>
          <w:rFonts w:cs="Arial"/>
        </w:rPr>
        <w:t>Continued Outreach and Communication: Maintaining regular communication with parents and educational partners through newsletters, email updates, and other platforms ensure</w:t>
      </w:r>
      <w:r w:rsidR="00522708" w:rsidRPr="00167044">
        <w:rPr>
          <w:rFonts w:cs="Arial"/>
        </w:rPr>
        <w:t>s</w:t>
      </w:r>
      <w:r w:rsidRPr="00167044">
        <w:rPr>
          <w:rFonts w:cs="Arial"/>
        </w:rPr>
        <w:t xml:space="preserve"> transparency and information</w:t>
      </w:r>
      <w:r w:rsidR="00522708" w:rsidRPr="00167044">
        <w:rPr>
          <w:rFonts w:cs="Arial"/>
        </w:rPr>
        <w:t>-</w:t>
      </w:r>
      <w:r w:rsidRPr="00167044">
        <w:rPr>
          <w:rFonts w:cs="Arial"/>
        </w:rPr>
        <w:t>sharing.</w:t>
      </w:r>
    </w:p>
    <w:p w14:paraId="76C2FEFE" w14:textId="79A9C428" w:rsidR="00A109B7" w:rsidRPr="00167044" w:rsidRDefault="00A109B7" w:rsidP="00167044">
      <w:pPr>
        <w:pStyle w:val="ListParagraph"/>
        <w:numPr>
          <w:ilvl w:val="0"/>
          <w:numId w:val="11"/>
        </w:numPr>
        <w:spacing w:after="240"/>
        <w:contextualSpacing w:val="0"/>
        <w:rPr>
          <w:rFonts w:cs="Arial"/>
        </w:rPr>
      </w:pPr>
      <w:r w:rsidRPr="00167044">
        <w:rPr>
          <w:rFonts w:cs="Arial"/>
        </w:rPr>
        <w:t>Parent Ambassador Programs: Programs like Parent Ambassador Programs, which involve parents in the educational process and provide parent engagement training, are considered effective.</w:t>
      </w:r>
    </w:p>
    <w:p w14:paraId="48497107" w14:textId="04DFC57A" w:rsidR="00A109B7" w:rsidRPr="00167044" w:rsidRDefault="00A109B7" w:rsidP="00167044">
      <w:pPr>
        <w:pStyle w:val="ListParagraph"/>
        <w:numPr>
          <w:ilvl w:val="0"/>
          <w:numId w:val="11"/>
        </w:numPr>
        <w:spacing w:after="240"/>
        <w:contextualSpacing w:val="0"/>
        <w:rPr>
          <w:rFonts w:cs="Arial"/>
        </w:rPr>
      </w:pPr>
      <w:r w:rsidRPr="00167044">
        <w:rPr>
          <w:rFonts w:cs="Arial"/>
        </w:rPr>
        <w:t xml:space="preserve">Building Relationships: </w:t>
      </w:r>
      <w:r w:rsidR="00167044" w:rsidRPr="00167044">
        <w:rPr>
          <w:rFonts w:cs="Arial"/>
        </w:rPr>
        <w:t>Focus will continue on building and maintaining positive relationships with parents and families to establish trust and open communication.</w:t>
      </w:r>
    </w:p>
    <w:p w14:paraId="4AEF4AEB" w14:textId="323E7A12" w:rsidR="00A109B7" w:rsidRPr="00167044" w:rsidRDefault="00A109B7" w:rsidP="00167044">
      <w:pPr>
        <w:pStyle w:val="ListParagraph"/>
        <w:numPr>
          <w:ilvl w:val="0"/>
          <w:numId w:val="11"/>
        </w:numPr>
        <w:spacing w:after="240"/>
        <w:contextualSpacing w:val="0"/>
        <w:rPr>
          <w:rFonts w:cs="Arial"/>
        </w:rPr>
      </w:pPr>
      <w:r w:rsidRPr="00167044">
        <w:rPr>
          <w:rFonts w:cs="Arial"/>
        </w:rPr>
        <w:t>A</w:t>
      </w:r>
      <w:r w:rsidR="00EF4E96" w:rsidRPr="00167044">
        <w:rPr>
          <w:rFonts w:cs="Arial"/>
        </w:rPr>
        <w:t>DR</w:t>
      </w:r>
      <w:r w:rsidRPr="00167044">
        <w:rPr>
          <w:rFonts w:cs="Arial"/>
        </w:rPr>
        <w:t xml:space="preserve"> Continuum: The use of a continuum of ADR options, including facilitated IEPs, mediation, and early dispute resolution programs, is highlighted.</w:t>
      </w:r>
    </w:p>
    <w:p w14:paraId="514CAA8B" w14:textId="4A803CDD" w:rsidR="00A109B7" w:rsidRPr="00167044" w:rsidRDefault="00A109B7" w:rsidP="00167044">
      <w:pPr>
        <w:pStyle w:val="ListParagraph"/>
        <w:numPr>
          <w:ilvl w:val="0"/>
          <w:numId w:val="11"/>
        </w:numPr>
        <w:spacing w:after="240"/>
        <w:contextualSpacing w:val="0"/>
        <w:rPr>
          <w:rFonts w:cs="Arial"/>
        </w:rPr>
      </w:pPr>
      <w:r w:rsidRPr="00167044">
        <w:rPr>
          <w:rFonts w:cs="Arial"/>
        </w:rPr>
        <w:t>Translation and Interpretation Services: Providing translation and interpretation services to parents for meetings and materials ensure</w:t>
      </w:r>
      <w:r w:rsidR="00522708" w:rsidRPr="00167044">
        <w:rPr>
          <w:rFonts w:cs="Arial"/>
        </w:rPr>
        <w:t>s</w:t>
      </w:r>
      <w:r w:rsidRPr="00167044">
        <w:rPr>
          <w:rFonts w:cs="Arial"/>
        </w:rPr>
        <w:t xml:space="preserve"> inclusivity.</w:t>
      </w:r>
    </w:p>
    <w:p w14:paraId="39AF927E" w14:textId="34ABBDFB" w:rsidR="00A109B7" w:rsidRPr="00167044" w:rsidRDefault="00A109B7" w:rsidP="00167044">
      <w:pPr>
        <w:pStyle w:val="ListParagraph"/>
        <w:numPr>
          <w:ilvl w:val="0"/>
          <w:numId w:val="11"/>
        </w:numPr>
        <w:spacing w:after="240"/>
        <w:contextualSpacing w:val="0"/>
        <w:rPr>
          <w:rFonts w:cs="Arial"/>
        </w:rPr>
      </w:pPr>
      <w:r w:rsidRPr="00167044">
        <w:rPr>
          <w:rFonts w:cs="Arial"/>
        </w:rPr>
        <w:t>Community Collaboration: Collaborating with community partner agencies and organizations provide</w:t>
      </w:r>
      <w:r w:rsidR="00522708" w:rsidRPr="00167044">
        <w:rPr>
          <w:rFonts w:cs="Arial"/>
        </w:rPr>
        <w:t>s</w:t>
      </w:r>
      <w:r w:rsidRPr="00167044">
        <w:rPr>
          <w:rFonts w:cs="Arial"/>
        </w:rPr>
        <w:t xml:space="preserve"> additional support and resources for students with disabilities and their families.</w:t>
      </w:r>
    </w:p>
    <w:p w14:paraId="049AB7FE" w14:textId="68ED1136" w:rsidR="00A109B7" w:rsidRPr="00167044" w:rsidRDefault="00A109B7" w:rsidP="00167044">
      <w:pPr>
        <w:pStyle w:val="ListParagraph"/>
        <w:numPr>
          <w:ilvl w:val="0"/>
          <w:numId w:val="11"/>
        </w:numPr>
        <w:spacing w:after="240"/>
        <w:contextualSpacing w:val="0"/>
        <w:rPr>
          <w:rFonts w:cs="Arial"/>
        </w:rPr>
      </w:pPr>
      <w:r w:rsidRPr="00167044">
        <w:rPr>
          <w:rFonts w:cs="Arial"/>
        </w:rPr>
        <w:t xml:space="preserve">Continued Training: </w:t>
      </w:r>
      <w:r w:rsidR="00167044" w:rsidRPr="00167044">
        <w:rPr>
          <w:rFonts w:cs="Arial"/>
        </w:rPr>
        <w:t>Teams should focus on continued training for educators and staff on special education processes, conflict management, and ADR strategies.</w:t>
      </w:r>
    </w:p>
    <w:p w14:paraId="66B0AB72" w14:textId="3BA41BE7" w:rsidR="00A109B7" w:rsidRPr="00167044" w:rsidRDefault="00A109B7" w:rsidP="00167044">
      <w:pPr>
        <w:pStyle w:val="ListParagraph"/>
        <w:numPr>
          <w:ilvl w:val="0"/>
          <w:numId w:val="11"/>
        </w:numPr>
        <w:spacing w:after="240"/>
        <w:contextualSpacing w:val="0"/>
        <w:rPr>
          <w:rFonts w:cs="Arial"/>
        </w:rPr>
      </w:pPr>
      <w:r w:rsidRPr="00167044">
        <w:rPr>
          <w:rFonts w:cs="Arial"/>
        </w:rPr>
        <w:t>Website and Resource Development: Updating and enhancing websites, handouts, brochures, and other resources improve accessibility and information dissemination.</w:t>
      </w:r>
    </w:p>
    <w:p w14:paraId="0AB9018A" w14:textId="21CF3EF7" w:rsidR="00A109B7" w:rsidRPr="00167044" w:rsidRDefault="00A109B7" w:rsidP="00167044">
      <w:pPr>
        <w:pStyle w:val="ListParagraph"/>
        <w:numPr>
          <w:ilvl w:val="0"/>
          <w:numId w:val="11"/>
        </w:numPr>
        <w:spacing w:after="240"/>
        <w:contextualSpacing w:val="0"/>
        <w:rPr>
          <w:rFonts w:cs="Arial"/>
        </w:rPr>
      </w:pPr>
      <w:r w:rsidRPr="00167044">
        <w:rPr>
          <w:rFonts w:cs="Arial"/>
        </w:rPr>
        <w:t>Data Collection and Analysis: Collecting and analyzing data related to ADR activities and disputes identify trends and gaps for further improvement.</w:t>
      </w:r>
    </w:p>
    <w:p w14:paraId="29EE60C0" w14:textId="7CF4C6D9" w:rsidR="00A109B7" w:rsidRPr="00167044" w:rsidRDefault="00A109B7" w:rsidP="00167044">
      <w:pPr>
        <w:pStyle w:val="ListParagraph"/>
        <w:numPr>
          <w:ilvl w:val="0"/>
          <w:numId w:val="11"/>
        </w:numPr>
        <w:spacing w:after="240"/>
        <w:contextualSpacing w:val="0"/>
        <w:rPr>
          <w:rFonts w:cs="Arial"/>
        </w:rPr>
      </w:pPr>
      <w:r w:rsidRPr="00167044">
        <w:rPr>
          <w:rFonts w:cs="Arial"/>
        </w:rPr>
        <w:t xml:space="preserve">Participation in Conferences: </w:t>
      </w:r>
      <w:r w:rsidR="00167044" w:rsidRPr="00167044">
        <w:rPr>
          <w:rFonts w:cs="Arial"/>
        </w:rPr>
        <w:t>Increased participation in ADR conferences and workshops helped SELPAs stay informed about best practices and new developments in dispute resolution.</w:t>
      </w:r>
    </w:p>
    <w:p w14:paraId="0DCC6AF7" w14:textId="26AF5F9A" w:rsidR="00A109B7" w:rsidRPr="00167044" w:rsidRDefault="00A109B7" w:rsidP="00167044">
      <w:pPr>
        <w:spacing w:after="240"/>
        <w:rPr>
          <w:rFonts w:cs="Arial"/>
        </w:rPr>
      </w:pPr>
      <w:r w:rsidRPr="00167044">
        <w:rPr>
          <w:rFonts w:cs="Arial"/>
        </w:rPr>
        <w:t xml:space="preserve">These activities promote collaborative problem-solving, maintain positive relationships between parents and educational partners, and ultimately prevent due </w:t>
      </w:r>
      <w:r w:rsidRPr="00167044">
        <w:rPr>
          <w:rFonts w:cs="Arial"/>
        </w:rPr>
        <w:lastRenderedPageBreak/>
        <w:t>process disputes while ensuring that the needs of students with disabilities are met effectively.</w:t>
      </w:r>
      <w:r w:rsidR="002674E1" w:rsidRPr="00167044">
        <w:rPr>
          <w:rFonts w:cs="Arial"/>
        </w:rPr>
        <w:t xml:space="preserve"> </w:t>
      </w:r>
      <w:r w:rsidR="00A653E8" w:rsidRPr="00167044">
        <w:rPr>
          <w:rFonts w:cs="Arial"/>
        </w:rPr>
        <w:t>However,</w:t>
      </w:r>
      <w:r w:rsidR="002674E1" w:rsidRPr="00167044">
        <w:rPr>
          <w:rFonts w:cs="Arial"/>
        </w:rPr>
        <w:t xml:space="preserve"> many SELPAs noted that completing and continuing these activities would be difficult without additional continued funding. </w:t>
      </w:r>
    </w:p>
    <w:p w14:paraId="63C4C652" w14:textId="30F35091" w:rsidR="00E61986" w:rsidRPr="00167044" w:rsidRDefault="00C5658E" w:rsidP="00167044">
      <w:pPr>
        <w:spacing w:after="240"/>
        <w:rPr>
          <w:rFonts w:cs="Arial"/>
        </w:rPr>
      </w:pPr>
      <w:r w:rsidRPr="00167044">
        <w:rPr>
          <w:rFonts w:cs="Arial"/>
        </w:rPr>
        <w:t xml:space="preserve">Representatives from </w:t>
      </w:r>
      <w:r w:rsidR="006354B8" w:rsidRPr="00167044">
        <w:rPr>
          <w:rFonts w:cs="Arial"/>
        </w:rPr>
        <w:t xml:space="preserve">the </w:t>
      </w:r>
      <w:r w:rsidRPr="00167044">
        <w:rPr>
          <w:rFonts w:cs="Arial"/>
        </w:rPr>
        <w:t xml:space="preserve">Compton </w:t>
      </w:r>
      <w:r w:rsidR="00E61986" w:rsidRPr="00167044">
        <w:rPr>
          <w:rFonts w:cs="Arial"/>
        </w:rPr>
        <w:t>SELPA</w:t>
      </w:r>
      <w:r w:rsidRPr="00167044">
        <w:rPr>
          <w:rFonts w:cs="Arial"/>
        </w:rPr>
        <w:t xml:space="preserve"> </w:t>
      </w:r>
      <w:r w:rsidR="00E61986" w:rsidRPr="00167044">
        <w:rPr>
          <w:rFonts w:cs="Arial"/>
        </w:rPr>
        <w:t>stated</w:t>
      </w:r>
      <w:r w:rsidR="00522708" w:rsidRPr="00167044">
        <w:rPr>
          <w:rFonts w:cs="Arial"/>
        </w:rPr>
        <w:t>:</w:t>
      </w:r>
      <w:r w:rsidR="00E61986" w:rsidRPr="00167044">
        <w:rPr>
          <w:rFonts w:cs="Arial"/>
        </w:rPr>
        <w:t xml:space="preserve"> “With these funds, we were able to establish an ADR system that will remain in place to be able to continue collaborating with our families. The positive effect of these funds allowed the SELPA to have a greater outcome of positive family participation in the IEP process and with their student</w:t>
      </w:r>
      <w:r w:rsidR="00522708" w:rsidRPr="00167044">
        <w:rPr>
          <w:rFonts w:cs="Arial"/>
        </w:rPr>
        <w:t>’</w:t>
      </w:r>
      <w:r w:rsidR="00E61986" w:rsidRPr="00167044">
        <w:rPr>
          <w:rFonts w:cs="Arial"/>
        </w:rPr>
        <w:t xml:space="preserve">s education. Funds were also utilized to continue to partner with family support organizations in the community. We would like to continue to enhance our parent training with </w:t>
      </w:r>
      <w:r w:rsidR="00A653E8" w:rsidRPr="00167044">
        <w:rPr>
          <w:rFonts w:cs="Arial"/>
        </w:rPr>
        <w:t xml:space="preserve">additional </w:t>
      </w:r>
      <w:r w:rsidR="00E61986" w:rsidRPr="00167044">
        <w:rPr>
          <w:rFonts w:cs="Arial"/>
        </w:rPr>
        <w:t xml:space="preserve">ADR funds to provide parents with knowledge of the IEP process. </w:t>
      </w:r>
      <w:r w:rsidR="00E16690" w:rsidRPr="00167044">
        <w:rPr>
          <w:rFonts w:cs="Arial"/>
        </w:rPr>
        <w:t>However, outside neutral IEP facilitators can be costly</w:t>
      </w:r>
      <w:r w:rsidR="00522708" w:rsidRPr="00167044">
        <w:rPr>
          <w:rFonts w:cs="Arial"/>
        </w:rPr>
        <w:t>,</w:t>
      </w:r>
      <w:r w:rsidR="00E16690" w:rsidRPr="00167044">
        <w:rPr>
          <w:rFonts w:cs="Arial"/>
        </w:rPr>
        <w:t xml:space="preserve"> and additional funds are needed to maintain and sustain this service</w:t>
      </w:r>
      <w:r w:rsidR="00522708" w:rsidRPr="00167044">
        <w:rPr>
          <w:rFonts w:cs="Arial"/>
        </w:rPr>
        <w:t xml:space="preserve"> [sic]</w:t>
      </w:r>
      <w:r w:rsidR="00E16690" w:rsidRPr="00167044">
        <w:rPr>
          <w:rFonts w:cs="Arial"/>
        </w:rPr>
        <w:t xml:space="preserve"> </w:t>
      </w:r>
      <w:r w:rsidR="00453995" w:rsidRPr="00167044">
        <w:rPr>
          <w:rFonts w:cs="Arial"/>
        </w:rPr>
        <w:t xml:space="preserve">which are </w:t>
      </w:r>
      <w:r w:rsidR="00E16690" w:rsidRPr="00167044">
        <w:rPr>
          <w:rFonts w:cs="Arial"/>
        </w:rPr>
        <w:t>beneficial in preventing disputes</w:t>
      </w:r>
      <w:r w:rsidR="00E61986" w:rsidRPr="00167044">
        <w:rPr>
          <w:rFonts w:cs="Arial"/>
        </w:rPr>
        <w:t>.”</w:t>
      </w:r>
    </w:p>
    <w:p w14:paraId="779C1B48" w14:textId="352B0FF6" w:rsidR="001F432B" w:rsidRPr="00EC43FE" w:rsidRDefault="001F432B" w:rsidP="000B4A2F">
      <w:pPr>
        <w:pStyle w:val="Heading3"/>
      </w:pPr>
      <w:bookmarkStart w:id="9" w:name="_Toc147996559"/>
      <w:r w:rsidRPr="00C236E4">
        <w:t>Conclusion</w:t>
      </w:r>
      <w:bookmarkEnd w:id="9"/>
    </w:p>
    <w:p w14:paraId="08186821" w14:textId="0166984E" w:rsidR="00941F84" w:rsidRDefault="002674E1" w:rsidP="00EC43FE">
      <w:pPr>
        <w:spacing w:after="240"/>
        <w:rPr>
          <w:rFonts w:cs="Arial"/>
        </w:rPr>
      </w:pPr>
      <w:r w:rsidRPr="16BC8463">
        <w:rPr>
          <w:rFonts w:cs="Arial"/>
        </w:rPr>
        <w:t>The AB</w:t>
      </w:r>
      <w:r w:rsidR="00AB0BE9">
        <w:rPr>
          <w:rFonts w:cs="Arial"/>
        </w:rPr>
        <w:t xml:space="preserve"> </w:t>
      </w:r>
      <w:r w:rsidRPr="16BC8463">
        <w:rPr>
          <w:rFonts w:cs="Arial"/>
        </w:rPr>
        <w:t>130</w:t>
      </w:r>
      <w:r w:rsidR="00AB0BE9">
        <w:rPr>
          <w:rFonts w:cs="Arial"/>
        </w:rPr>
        <w:t xml:space="preserve"> (Ch. 44, Stats. 2021)</w:t>
      </w:r>
      <w:r w:rsidRPr="16BC8463">
        <w:rPr>
          <w:rFonts w:cs="Arial"/>
        </w:rPr>
        <w:t xml:space="preserve"> DPDR funds were universally </w:t>
      </w:r>
      <w:r w:rsidR="002F5CCB" w:rsidRPr="16BC8463">
        <w:rPr>
          <w:rFonts w:cs="Arial"/>
        </w:rPr>
        <w:t>favored</w:t>
      </w:r>
      <w:r w:rsidR="000D6DDE" w:rsidRPr="16BC8463">
        <w:rPr>
          <w:rFonts w:cs="Arial"/>
        </w:rPr>
        <w:t xml:space="preserve"> by </w:t>
      </w:r>
      <w:r w:rsidR="006354B8">
        <w:rPr>
          <w:rFonts w:cs="Arial"/>
        </w:rPr>
        <w:t xml:space="preserve">the </w:t>
      </w:r>
      <w:r w:rsidR="000D6DDE" w:rsidRPr="16BC8463">
        <w:rPr>
          <w:rFonts w:cs="Arial"/>
        </w:rPr>
        <w:t>SELPAs</w:t>
      </w:r>
      <w:r w:rsidR="002F5CCB" w:rsidRPr="16BC8463">
        <w:rPr>
          <w:rFonts w:cs="Arial"/>
        </w:rPr>
        <w:t xml:space="preserve">, with no major opposition to the funding. </w:t>
      </w:r>
      <w:r w:rsidR="006354B8">
        <w:rPr>
          <w:rFonts w:cs="Arial"/>
        </w:rPr>
        <w:t xml:space="preserve">The </w:t>
      </w:r>
      <w:r w:rsidR="00A653E8" w:rsidRPr="16BC8463">
        <w:rPr>
          <w:rFonts w:cs="Arial"/>
        </w:rPr>
        <w:t>DP</w:t>
      </w:r>
      <w:r w:rsidRPr="16BC8463">
        <w:rPr>
          <w:rFonts w:cs="Arial"/>
        </w:rPr>
        <w:t>DR activities promote collaborative problem-solving, maintain positive relationships between parents and educational partners, and ultimately prevent due process disputes</w:t>
      </w:r>
      <w:r w:rsidR="002F5CCB" w:rsidRPr="16BC8463">
        <w:rPr>
          <w:rFonts w:cs="Arial"/>
        </w:rPr>
        <w:t xml:space="preserve"> and save LEAs time and money on attorney fees and settlement agreements. </w:t>
      </w:r>
      <w:r w:rsidRPr="16BC8463">
        <w:rPr>
          <w:rFonts w:cs="Arial"/>
        </w:rPr>
        <w:t xml:space="preserve">The emphasis </w:t>
      </w:r>
      <w:r w:rsidR="002F5CCB" w:rsidRPr="16BC8463">
        <w:rPr>
          <w:rFonts w:cs="Arial"/>
        </w:rPr>
        <w:t xml:space="preserve">of these funds </w:t>
      </w:r>
      <w:r w:rsidR="00110AE9" w:rsidRPr="16BC8463">
        <w:rPr>
          <w:rFonts w:cs="Arial"/>
        </w:rPr>
        <w:t>was</w:t>
      </w:r>
      <w:r w:rsidR="002F5CCB" w:rsidRPr="16BC8463">
        <w:rPr>
          <w:rFonts w:cs="Arial"/>
        </w:rPr>
        <w:t xml:space="preserve"> focused </w:t>
      </w:r>
      <w:r w:rsidRPr="16BC8463">
        <w:rPr>
          <w:rFonts w:cs="Arial"/>
        </w:rPr>
        <w:t xml:space="preserve">on ensuring that the needs of students with disabilities are met effectively while </w:t>
      </w:r>
      <w:r w:rsidR="00A653E8" w:rsidRPr="16BC8463">
        <w:rPr>
          <w:rFonts w:cs="Arial"/>
        </w:rPr>
        <w:t xml:space="preserve">maximizing family and community engagement and </w:t>
      </w:r>
      <w:r w:rsidRPr="16BC8463">
        <w:rPr>
          <w:rFonts w:cs="Arial"/>
        </w:rPr>
        <w:t xml:space="preserve">minimizing conflicts and disputes within the special education process. </w:t>
      </w:r>
      <w:r w:rsidR="000D6DDE" w:rsidRPr="16BC8463">
        <w:rPr>
          <w:rFonts w:cs="Arial"/>
        </w:rPr>
        <w:t xml:space="preserve">SELPAs report that additional funding is necessary to </w:t>
      </w:r>
      <w:r w:rsidR="1F1C21C9" w:rsidRPr="16BC8463">
        <w:rPr>
          <w:rFonts w:cs="Arial"/>
        </w:rPr>
        <w:t>continue</w:t>
      </w:r>
      <w:r w:rsidR="000D6DDE" w:rsidRPr="16BC8463">
        <w:rPr>
          <w:rFonts w:cs="Arial"/>
        </w:rPr>
        <w:t xml:space="preserve"> the beneficial work in ADR practices at the local level. </w:t>
      </w:r>
      <w:r w:rsidRPr="16BC8463">
        <w:rPr>
          <w:rFonts w:cs="Arial"/>
        </w:rPr>
        <w:t>The commitment to ongoing training, community collaboration, and effective communication underscores the dedication of SELPAs and LEAs to support students with disabilities and their families</w:t>
      </w:r>
      <w:r w:rsidR="004507F7" w:rsidRPr="16BC8463">
        <w:rPr>
          <w:rFonts w:cs="Arial"/>
        </w:rPr>
        <w:t>.</w:t>
      </w:r>
    </w:p>
    <w:p w14:paraId="29C8DAC8" w14:textId="2AE487FC" w:rsidR="004507F7" w:rsidRPr="00C236E4" w:rsidRDefault="004507F7" w:rsidP="0034052C">
      <w:pPr>
        <w:spacing w:after="240"/>
        <w:rPr>
          <w:rFonts w:cs="Arial"/>
        </w:rPr>
      </w:pPr>
      <w:r>
        <w:rPr>
          <w:rFonts w:cs="Arial"/>
        </w:rPr>
        <w:br w:type="page"/>
      </w:r>
    </w:p>
    <w:p w14:paraId="182BA929" w14:textId="5287C056" w:rsidR="002F3CA0" w:rsidRPr="0034052C" w:rsidRDefault="00EE3BB5" w:rsidP="000B4A2F">
      <w:pPr>
        <w:pStyle w:val="Heading3"/>
      </w:pPr>
      <w:bookmarkStart w:id="10" w:name="_Toc147996560"/>
      <w:r w:rsidRPr="00931581">
        <w:lastRenderedPageBreak/>
        <w:t>Appendix A</w:t>
      </w:r>
      <w:r w:rsidR="00072D0C" w:rsidRPr="00931581">
        <w:t xml:space="preserve">: </w:t>
      </w:r>
      <w:r w:rsidR="00635665" w:rsidRPr="00931581">
        <w:t xml:space="preserve">SELPA </w:t>
      </w:r>
      <w:r w:rsidR="00072D0C" w:rsidRPr="00931581">
        <w:t>Data</w:t>
      </w:r>
      <w:bookmarkEnd w:id="10"/>
    </w:p>
    <w:p w14:paraId="15B653CF" w14:textId="3546053A" w:rsidR="00D3149D" w:rsidRPr="00167044" w:rsidRDefault="00BF2ED1" w:rsidP="000B4A2F">
      <w:pPr>
        <w:spacing w:after="240"/>
        <w:rPr>
          <w:rFonts w:cs="Arial"/>
        </w:rPr>
      </w:pPr>
      <w:r w:rsidRPr="00167044">
        <w:rPr>
          <w:rFonts w:cs="Arial"/>
        </w:rPr>
        <w:t>$100</w:t>
      </w:r>
      <w:r w:rsidR="00EF4E96" w:rsidRPr="00167044">
        <w:rPr>
          <w:rFonts w:cs="Arial"/>
        </w:rPr>
        <w:t xml:space="preserve"> million</w:t>
      </w:r>
      <w:r w:rsidRPr="00167044">
        <w:rPr>
          <w:rFonts w:cs="Arial"/>
        </w:rPr>
        <w:t xml:space="preserve"> was distributed </w:t>
      </w:r>
      <w:r w:rsidR="004D76D4" w:rsidRPr="00167044">
        <w:rPr>
          <w:rFonts w:cs="Arial"/>
        </w:rPr>
        <w:t>through</w:t>
      </w:r>
      <w:r w:rsidRPr="00167044">
        <w:rPr>
          <w:rFonts w:cs="Arial"/>
        </w:rPr>
        <w:t xml:space="preserve"> a per pupil formulation. </w:t>
      </w:r>
    </w:p>
    <w:p w14:paraId="62237A2B" w14:textId="62E2060B" w:rsidR="00BF2ED1" w:rsidRPr="00167044" w:rsidRDefault="00D3149D" w:rsidP="000B4A2F">
      <w:pPr>
        <w:pStyle w:val="Heading4"/>
        <w:rPr>
          <w:rFonts w:cs="Arial"/>
        </w:rPr>
      </w:pPr>
      <w:r w:rsidRPr="00167044">
        <w:rPr>
          <w:rFonts w:cs="Arial"/>
        </w:rPr>
        <w:t>SELPA Funding Amounts</w:t>
      </w:r>
    </w:p>
    <w:tbl>
      <w:tblPr>
        <w:tblStyle w:val="TableGrid"/>
        <w:tblW w:w="7657" w:type="dxa"/>
        <w:jc w:val="center"/>
        <w:tblLook w:val="04A0" w:firstRow="1" w:lastRow="0" w:firstColumn="1" w:lastColumn="0" w:noHBand="0" w:noVBand="1"/>
        <w:tblDescription w:val="Average amount awarded per SELPA and percentage of funds used. "/>
      </w:tblPr>
      <w:tblGrid>
        <w:gridCol w:w="4135"/>
        <w:gridCol w:w="3522"/>
      </w:tblGrid>
      <w:tr w:rsidR="00C236E4" w:rsidRPr="00167044" w14:paraId="1B56CC37" w14:textId="77777777" w:rsidTr="0075392B">
        <w:trPr>
          <w:cantSplit/>
          <w:trHeight w:val="638"/>
          <w:tblHeader/>
          <w:jc w:val="center"/>
        </w:trPr>
        <w:tc>
          <w:tcPr>
            <w:tcW w:w="4135" w:type="dxa"/>
            <w:hideMark/>
          </w:tcPr>
          <w:p w14:paraId="31F570BF" w14:textId="77777777" w:rsidR="00BF2ED1" w:rsidRPr="00167044" w:rsidRDefault="00BF2ED1" w:rsidP="000B4A2F">
            <w:pPr>
              <w:spacing w:after="240"/>
              <w:jc w:val="center"/>
              <w:rPr>
                <w:rFonts w:cs="Arial"/>
                <w:b/>
                <w:bCs/>
              </w:rPr>
            </w:pPr>
            <w:r w:rsidRPr="00167044">
              <w:rPr>
                <w:rFonts w:cs="Arial"/>
                <w:b/>
                <w:bCs/>
              </w:rPr>
              <w:t>Average Amount Awarded per SELPA</w:t>
            </w:r>
          </w:p>
        </w:tc>
        <w:tc>
          <w:tcPr>
            <w:tcW w:w="3522" w:type="dxa"/>
            <w:hideMark/>
          </w:tcPr>
          <w:p w14:paraId="2FF31419" w14:textId="5A43473A" w:rsidR="00BF2ED1" w:rsidRPr="00167044" w:rsidRDefault="00BF2ED1" w:rsidP="000B4A2F">
            <w:pPr>
              <w:spacing w:after="240"/>
              <w:jc w:val="center"/>
              <w:rPr>
                <w:rFonts w:cs="Arial"/>
                <w:b/>
                <w:bCs/>
              </w:rPr>
            </w:pPr>
            <w:r w:rsidRPr="00167044">
              <w:rPr>
                <w:rFonts w:cs="Arial"/>
                <w:b/>
                <w:bCs/>
              </w:rPr>
              <w:t>Average Percentage of Funds Used</w:t>
            </w:r>
          </w:p>
        </w:tc>
      </w:tr>
      <w:tr w:rsidR="00BF2ED1" w:rsidRPr="00167044" w14:paraId="02820F26" w14:textId="77777777" w:rsidTr="0075392B">
        <w:trPr>
          <w:cantSplit/>
          <w:trHeight w:val="314"/>
          <w:tblHeader/>
          <w:jc w:val="center"/>
        </w:trPr>
        <w:tc>
          <w:tcPr>
            <w:tcW w:w="4135" w:type="dxa"/>
            <w:hideMark/>
          </w:tcPr>
          <w:p w14:paraId="6BE5183E" w14:textId="00685354" w:rsidR="00BF2ED1" w:rsidRPr="00167044" w:rsidRDefault="00BF2ED1" w:rsidP="000B4A2F">
            <w:pPr>
              <w:spacing w:after="240"/>
              <w:jc w:val="center"/>
              <w:rPr>
                <w:rFonts w:cs="Arial"/>
              </w:rPr>
            </w:pPr>
            <w:r w:rsidRPr="00167044">
              <w:rPr>
                <w:rFonts w:cs="Arial"/>
              </w:rPr>
              <w:t>$737,790.00</w:t>
            </w:r>
          </w:p>
        </w:tc>
        <w:tc>
          <w:tcPr>
            <w:tcW w:w="3522" w:type="dxa"/>
            <w:noWrap/>
            <w:hideMark/>
          </w:tcPr>
          <w:p w14:paraId="4EE0008D" w14:textId="62106F02" w:rsidR="00BF2ED1" w:rsidRPr="00167044" w:rsidRDefault="00BF2ED1" w:rsidP="000B4A2F">
            <w:pPr>
              <w:spacing w:after="240"/>
              <w:jc w:val="center"/>
              <w:rPr>
                <w:rFonts w:cs="Arial"/>
              </w:rPr>
            </w:pPr>
            <w:r w:rsidRPr="00167044">
              <w:rPr>
                <w:rFonts w:cs="Arial"/>
              </w:rPr>
              <w:t>75</w:t>
            </w:r>
          </w:p>
        </w:tc>
      </w:tr>
    </w:tbl>
    <w:p w14:paraId="7765BAA9" w14:textId="77777777" w:rsidR="00167044" w:rsidRPr="00167044" w:rsidRDefault="00167044" w:rsidP="000B4A2F">
      <w:pPr>
        <w:spacing w:after="240"/>
        <w:rPr>
          <w:rFonts w:cs="Arial"/>
        </w:rPr>
      </w:pPr>
    </w:p>
    <w:p w14:paraId="6F6FB896" w14:textId="7FDA5E6F" w:rsidR="00D3149D" w:rsidRPr="00167044" w:rsidRDefault="00BF2ED1" w:rsidP="000B4A2F">
      <w:pPr>
        <w:spacing w:after="240"/>
        <w:rPr>
          <w:rFonts w:cs="Arial"/>
        </w:rPr>
      </w:pPr>
      <w:r w:rsidRPr="00167044">
        <w:rPr>
          <w:rFonts w:cs="Arial"/>
        </w:rPr>
        <w:t>Other notable demographic information</w:t>
      </w:r>
      <w:r w:rsidR="004D7E9C" w:rsidRPr="00167044">
        <w:rPr>
          <w:rFonts w:cs="Arial"/>
        </w:rPr>
        <w:t>:</w:t>
      </w:r>
    </w:p>
    <w:p w14:paraId="4FD6780E" w14:textId="58109730" w:rsidR="004507F7" w:rsidRPr="00167044" w:rsidRDefault="004D7E9C" w:rsidP="000B4A2F">
      <w:pPr>
        <w:pStyle w:val="Heading4"/>
        <w:rPr>
          <w:rFonts w:cs="Arial"/>
        </w:rPr>
      </w:pPr>
      <w:r w:rsidRPr="00167044">
        <w:rPr>
          <w:rFonts w:cs="Arial"/>
        </w:rPr>
        <w:t>A</w:t>
      </w:r>
      <w:r w:rsidR="00BF2ED1" w:rsidRPr="00167044">
        <w:rPr>
          <w:rFonts w:cs="Arial"/>
        </w:rPr>
        <w:t xml:space="preserve">verage </w:t>
      </w:r>
      <w:r w:rsidR="00616027" w:rsidRPr="00167044">
        <w:rPr>
          <w:rFonts w:cs="Arial"/>
        </w:rPr>
        <w:t>Socioeconomic</w:t>
      </w:r>
      <w:r w:rsidR="00BF2ED1" w:rsidRPr="00167044">
        <w:rPr>
          <w:rFonts w:cs="Arial"/>
        </w:rPr>
        <w:t xml:space="preserve"> </w:t>
      </w:r>
      <w:r w:rsidR="00832C81" w:rsidRPr="00167044">
        <w:rPr>
          <w:rFonts w:cs="Arial"/>
        </w:rPr>
        <w:t>S</w:t>
      </w:r>
      <w:r w:rsidR="00BF2ED1" w:rsidRPr="00167044">
        <w:rPr>
          <w:rFonts w:cs="Arial"/>
        </w:rPr>
        <w:t>tatus and E</w:t>
      </w:r>
      <w:r w:rsidR="000B4DC7" w:rsidRPr="00167044">
        <w:rPr>
          <w:rFonts w:cs="Arial"/>
        </w:rPr>
        <w:t xml:space="preserve">nglish </w:t>
      </w:r>
      <w:r w:rsidR="00BF2ED1" w:rsidRPr="00167044">
        <w:rPr>
          <w:rFonts w:cs="Arial"/>
        </w:rPr>
        <w:t>L</w:t>
      </w:r>
      <w:r w:rsidR="000B4DC7" w:rsidRPr="00167044">
        <w:rPr>
          <w:rFonts w:cs="Arial"/>
        </w:rPr>
        <w:t>earner</w:t>
      </w:r>
      <w:r w:rsidR="00BF2ED1" w:rsidRPr="00167044">
        <w:rPr>
          <w:rFonts w:cs="Arial"/>
        </w:rPr>
        <w:t xml:space="preserve"> </w:t>
      </w:r>
      <w:r w:rsidR="00832C81" w:rsidRPr="00167044">
        <w:rPr>
          <w:rFonts w:cs="Arial"/>
        </w:rPr>
        <w:t>S</w:t>
      </w:r>
      <w:r w:rsidR="00BF2ED1" w:rsidRPr="00167044">
        <w:rPr>
          <w:rFonts w:cs="Arial"/>
        </w:rPr>
        <w:t>tatus of S</w:t>
      </w:r>
      <w:r w:rsidR="000B4DC7" w:rsidRPr="00167044">
        <w:rPr>
          <w:rFonts w:cs="Arial"/>
        </w:rPr>
        <w:t>tudents with Disabilities</w:t>
      </w:r>
    </w:p>
    <w:tbl>
      <w:tblPr>
        <w:tblStyle w:val="TableGrid"/>
        <w:tblW w:w="8995" w:type="dxa"/>
        <w:jc w:val="center"/>
        <w:tblLook w:val="04A0" w:firstRow="1" w:lastRow="0" w:firstColumn="1" w:lastColumn="0" w:noHBand="0" w:noVBand="1"/>
        <w:tblDescription w:val="Total number of students served including EL and Socionomically disadvantaged. "/>
      </w:tblPr>
      <w:tblGrid>
        <w:gridCol w:w="3235"/>
        <w:gridCol w:w="2880"/>
        <w:gridCol w:w="2880"/>
      </w:tblGrid>
      <w:tr w:rsidR="00C236E4" w:rsidRPr="00167044" w14:paraId="6FA12DEC" w14:textId="77777777" w:rsidTr="0075392B">
        <w:trPr>
          <w:cantSplit/>
          <w:trHeight w:val="1040"/>
          <w:tblHeader/>
          <w:jc w:val="center"/>
        </w:trPr>
        <w:tc>
          <w:tcPr>
            <w:tcW w:w="3235" w:type="dxa"/>
            <w:hideMark/>
          </w:tcPr>
          <w:p w14:paraId="513137E7" w14:textId="0F84E515" w:rsidR="00BF2ED1" w:rsidRPr="00167044" w:rsidRDefault="00BF2ED1" w:rsidP="000B4A2F">
            <w:pPr>
              <w:spacing w:after="240"/>
              <w:jc w:val="center"/>
              <w:rPr>
                <w:rFonts w:cs="Arial"/>
                <w:b/>
                <w:bCs/>
              </w:rPr>
            </w:pPr>
            <w:r w:rsidRPr="00167044">
              <w:rPr>
                <w:rFonts w:cs="Arial"/>
                <w:b/>
                <w:bCs/>
              </w:rPr>
              <w:t xml:space="preserve">Total </w:t>
            </w:r>
            <w:r w:rsidR="004D76D4" w:rsidRPr="00167044">
              <w:rPr>
                <w:rFonts w:cs="Arial"/>
                <w:b/>
                <w:bCs/>
              </w:rPr>
              <w:t>N</w:t>
            </w:r>
            <w:r w:rsidRPr="00167044">
              <w:rPr>
                <w:rFonts w:cs="Arial"/>
                <w:b/>
                <w:bCs/>
              </w:rPr>
              <w:t>umber of S</w:t>
            </w:r>
            <w:r w:rsidR="000B4DC7" w:rsidRPr="00167044">
              <w:rPr>
                <w:rFonts w:cs="Arial"/>
                <w:b/>
                <w:bCs/>
              </w:rPr>
              <w:t xml:space="preserve">tudents with </w:t>
            </w:r>
            <w:r w:rsidRPr="00167044">
              <w:rPr>
                <w:rFonts w:cs="Arial"/>
                <w:b/>
                <w:bCs/>
              </w:rPr>
              <w:t>D</w:t>
            </w:r>
            <w:r w:rsidR="000B4DC7" w:rsidRPr="00167044">
              <w:rPr>
                <w:rFonts w:cs="Arial"/>
                <w:b/>
                <w:bCs/>
              </w:rPr>
              <w:t>isabilities</w:t>
            </w:r>
            <w:r w:rsidRPr="00167044">
              <w:rPr>
                <w:rFonts w:cs="Arial"/>
                <w:b/>
                <w:bCs/>
              </w:rPr>
              <w:t xml:space="preserve"> Served by all SELPAs</w:t>
            </w:r>
          </w:p>
          <w:p w14:paraId="683A6B69" w14:textId="78550588" w:rsidR="00BF2ED1" w:rsidRPr="00167044" w:rsidRDefault="00BF2ED1" w:rsidP="000B4A2F">
            <w:pPr>
              <w:spacing w:after="240"/>
              <w:jc w:val="center"/>
              <w:rPr>
                <w:rFonts w:cs="Arial"/>
                <w:b/>
                <w:bCs/>
              </w:rPr>
            </w:pPr>
            <w:r w:rsidRPr="00167044">
              <w:rPr>
                <w:rFonts w:cs="Arial"/>
                <w:b/>
                <w:bCs/>
              </w:rPr>
              <w:t>(129</w:t>
            </w:r>
            <w:r w:rsidR="004D76D4" w:rsidRPr="00167044">
              <w:rPr>
                <w:rFonts w:cs="Arial"/>
                <w:b/>
                <w:bCs/>
              </w:rPr>
              <w:t xml:space="preserve"> of </w:t>
            </w:r>
            <w:r w:rsidRPr="00167044">
              <w:rPr>
                <w:rFonts w:cs="Arial"/>
                <w:b/>
                <w:bCs/>
              </w:rPr>
              <w:t>135 SELPAs reporting)</w:t>
            </w:r>
          </w:p>
        </w:tc>
        <w:tc>
          <w:tcPr>
            <w:tcW w:w="2880" w:type="dxa"/>
            <w:hideMark/>
          </w:tcPr>
          <w:p w14:paraId="24379AD3" w14:textId="70C2275E" w:rsidR="00BF2ED1" w:rsidRPr="00167044" w:rsidRDefault="00BF2ED1" w:rsidP="000B4A2F">
            <w:pPr>
              <w:spacing w:after="240"/>
              <w:jc w:val="center"/>
              <w:rPr>
                <w:rFonts w:cs="Arial"/>
                <w:b/>
                <w:bCs/>
              </w:rPr>
            </w:pPr>
            <w:r w:rsidRPr="00167044">
              <w:rPr>
                <w:rFonts w:cs="Arial"/>
                <w:b/>
                <w:bCs/>
              </w:rPr>
              <w:t>Number of E</w:t>
            </w:r>
            <w:r w:rsidR="000B4DC7" w:rsidRPr="00167044">
              <w:rPr>
                <w:rFonts w:cs="Arial"/>
                <w:b/>
                <w:bCs/>
              </w:rPr>
              <w:t xml:space="preserve">nglish </w:t>
            </w:r>
            <w:r w:rsidRPr="00167044">
              <w:rPr>
                <w:rFonts w:cs="Arial"/>
                <w:b/>
                <w:bCs/>
              </w:rPr>
              <w:t>L</w:t>
            </w:r>
            <w:r w:rsidR="000B4DC7" w:rsidRPr="00167044">
              <w:rPr>
                <w:rFonts w:cs="Arial"/>
                <w:b/>
                <w:bCs/>
              </w:rPr>
              <w:t>earner</w:t>
            </w:r>
            <w:r w:rsidRPr="00167044">
              <w:rPr>
                <w:rFonts w:cs="Arial"/>
                <w:b/>
                <w:bCs/>
              </w:rPr>
              <w:t xml:space="preserve"> </w:t>
            </w:r>
            <w:r w:rsidR="004D76D4" w:rsidRPr="00167044">
              <w:rPr>
                <w:rFonts w:cs="Arial"/>
                <w:b/>
                <w:bCs/>
              </w:rPr>
              <w:t>C</w:t>
            </w:r>
            <w:r w:rsidRPr="00167044">
              <w:rPr>
                <w:rFonts w:cs="Arial"/>
                <w:b/>
                <w:bCs/>
              </w:rPr>
              <w:t>lassified S</w:t>
            </w:r>
            <w:r w:rsidR="000B4DC7" w:rsidRPr="00167044">
              <w:rPr>
                <w:rFonts w:cs="Arial"/>
                <w:b/>
                <w:bCs/>
              </w:rPr>
              <w:t xml:space="preserve">tudents with </w:t>
            </w:r>
            <w:r w:rsidRPr="00167044">
              <w:rPr>
                <w:rFonts w:cs="Arial"/>
                <w:b/>
                <w:bCs/>
              </w:rPr>
              <w:t>D</w:t>
            </w:r>
            <w:r w:rsidR="000B4DC7" w:rsidRPr="00167044">
              <w:rPr>
                <w:rFonts w:cs="Arial"/>
                <w:b/>
                <w:bCs/>
              </w:rPr>
              <w:t>isabilities</w:t>
            </w:r>
          </w:p>
          <w:p w14:paraId="73A85584" w14:textId="636D2FD1" w:rsidR="00BF2ED1" w:rsidRPr="00167044" w:rsidRDefault="00BF2ED1" w:rsidP="000B4A2F">
            <w:pPr>
              <w:spacing w:after="240"/>
              <w:jc w:val="center"/>
              <w:rPr>
                <w:rFonts w:cs="Arial"/>
                <w:b/>
                <w:bCs/>
              </w:rPr>
            </w:pPr>
            <w:r w:rsidRPr="00167044">
              <w:rPr>
                <w:rFonts w:cs="Arial"/>
                <w:b/>
                <w:bCs/>
              </w:rPr>
              <w:t>(114</w:t>
            </w:r>
            <w:r w:rsidR="004D76D4" w:rsidRPr="00167044">
              <w:rPr>
                <w:rFonts w:cs="Arial"/>
                <w:b/>
                <w:bCs/>
              </w:rPr>
              <w:t xml:space="preserve"> of </w:t>
            </w:r>
            <w:r w:rsidRPr="00167044">
              <w:rPr>
                <w:rFonts w:cs="Arial"/>
                <w:b/>
                <w:bCs/>
              </w:rPr>
              <w:t>135 SELPAs Reporting)</w:t>
            </w:r>
          </w:p>
        </w:tc>
        <w:tc>
          <w:tcPr>
            <w:tcW w:w="2880" w:type="dxa"/>
            <w:hideMark/>
          </w:tcPr>
          <w:p w14:paraId="1BE59AEC" w14:textId="12D5D9F8" w:rsidR="00BF2ED1" w:rsidRPr="00167044" w:rsidRDefault="00BF2ED1" w:rsidP="000B4A2F">
            <w:pPr>
              <w:spacing w:after="240"/>
              <w:jc w:val="center"/>
              <w:rPr>
                <w:rFonts w:cs="Arial"/>
                <w:b/>
                <w:bCs/>
              </w:rPr>
            </w:pPr>
            <w:r w:rsidRPr="00167044">
              <w:rPr>
                <w:rFonts w:cs="Arial"/>
                <w:b/>
                <w:bCs/>
              </w:rPr>
              <w:t>Average Percentage</w:t>
            </w:r>
            <w:r w:rsidR="004D76D4" w:rsidRPr="00167044">
              <w:rPr>
                <w:rFonts w:cs="Arial"/>
                <w:b/>
                <w:bCs/>
              </w:rPr>
              <w:t xml:space="preserve"> of</w:t>
            </w:r>
            <w:r w:rsidRPr="00167044">
              <w:rPr>
                <w:rFonts w:cs="Arial"/>
                <w:b/>
                <w:bCs/>
              </w:rPr>
              <w:t xml:space="preserve"> Socioeconomically Disadvantaged</w:t>
            </w:r>
            <w:r w:rsidR="004D76D4" w:rsidRPr="00167044">
              <w:rPr>
                <w:rFonts w:cs="Arial"/>
                <w:b/>
                <w:bCs/>
              </w:rPr>
              <w:t xml:space="preserve"> Students</w:t>
            </w:r>
          </w:p>
          <w:p w14:paraId="52750DD9" w14:textId="6ED049B4" w:rsidR="00BF2ED1" w:rsidRPr="00167044" w:rsidRDefault="00BF2ED1" w:rsidP="000B4A2F">
            <w:pPr>
              <w:spacing w:after="240"/>
              <w:jc w:val="center"/>
              <w:rPr>
                <w:rFonts w:cs="Arial"/>
                <w:b/>
                <w:bCs/>
              </w:rPr>
            </w:pPr>
            <w:r w:rsidRPr="00167044">
              <w:rPr>
                <w:rFonts w:cs="Arial"/>
                <w:b/>
                <w:bCs/>
              </w:rPr>
              <w:t>(111</w:t>
            </w:r>
            <w:r w:rsidR="004D76D4" w:rsidRPr="00167044">
              <w:rPr>
                <w:rFonts w:cs="Arial"/>
                <w:b/>
                <w:bCs/>
              </w:rPr>
              <w:t xml:space="preserve"> of </w:t>
            </w:r>
            <w:r w:rsidRPr="00167044">
              <w:rPr>
                <w:rFonts w:cs="Arial"/>
                <w:b/>
                <w:bCs/>
              </w:rPr>
              <w:t>135 SELPAs Reporting)</w:t>
            </w:r>
          </w:p>
        </w:tc>
      </w:tr>
      <w:tr w:rsidR="00BF2ED1" w:rsidRPr="00167044" w14:paraId="47B91EA8" w14:textId="77777777" w:rsidTr="0075392B">
        <w:trPr>
          <w:cantSplit/>
          <w:trHeight w:val="548"/>
          <w:tblHeader/>
          <w:jc w:val="center"/>
        </w:trPr>
        <w:tc>
          <w:tcPr>
            <w:tcW w:w="3235" w:type="dxa"/>
            <w:noWrap/>
            <w:hideMark/>
          </w:tcPr>
          <w:p w14:paraId="156BACC0" w14:textId="704E4CF4" w:rsidR="00BF2ED1" w:rsidRPr="00167044" w:rsidRDefault="00BF2ED1" w:rsidP="000B4A2F">
            <w:pPr>
              <w:spacing w:after="240"/>
              <w:jc w:val="center"/>
              <w:rPr>
                <w:rFonts w:cs="Arial"/>
                <w:bCs/>
              </w:rPr>
            </w:pPr>
            <w:r w:rsidRPr="00167044">
              <w:rPr>
                <w:rFonts w:cs="Arial"/>
                <w:bCs/>
              </w:rPr>
              <w:t>668,796</w:t>
            </w:r>
          </w:p>
        </w:tc>
        <w:tc>
          <w:tcPr>
            <w:tcW w:w="2880" w:type="dxa"/>
            <w:noWrap/>
            <w:hideMark/>
          </w:tcPr>
          <w:p w14:paraId="4520FE0D" w14:textId="06EB2E56" w:rsidR="00BF2ED1" w:rsidRPr="00167044" w:rsidRDefault="00BF2ED1" w:rsidP="000B4A2F">
            <w:pPr>
              <w:spacing w:after="240"/>
              <w:jc w:val="center"/>
              <w:rPr>
                <w:rFonts w:cs="Arial"/>
              </w:rPr>
            </w:pPr>
            <w:r w:rsidRPr="00167044">
              <w:rPr>
                <w:rFonts w:cs="Arial"/>
              </w:rPr>
              <w:t xml:space="preserve">151,590 </w:t>
            </w:r>
          </w:p>
        </w:tc>
        <w:tc>
          <w:tcPr>
            <w:tcW w:w="2880" w:type="dxa"/>
            <w:noWrap/>
            <w:hideMark/>
          </w:tcPr>
          <w:p w14:paraId="1DBF1C9B" w14:textId="63F65AAB" w:rsidR="00BF2ED1" w:rsidRPr="00167044" w:rsidRDefault="00BF2ED1" w:rsidP="000B4A2F">
            <w:pPr>
              <w:spacing w:after="240"/>
              <w:jc w:val="center"/>
              <w:rPr>
                <w:rFonts w:cs="Arial"/>
              </w:rPr>
            </w:pPr>
            <w:r w:rsidRPr="00167044">
              <w:rPr>
                <w:rFonts w:cs="Arial"/>
              </w:rPr>
              <w:t>56.19</w:t>
            </w:r>
          </w:p>
        </w:tc>
      </w:tr>
    </w:tbl>
    <w:p w14:paraId="7838B872" w14:textId="2210ECCE" w:rsidR="009651A3" w:rsidRPr="00167044" w:rsidRDefault="00BF2ED1" w:rsidP="000B4A2F">
      <w:pPr>
        <w:pStyle w:val="Heading4"/>
        <w:rPr>
          <w:rFonts w:cs="Arial"/>
        </w:rPr>
      </w:pPr>
      <w:r w:rsidRPr="00167044">
        <w:rPr>
          <w:rFonts w:cs="Arial"/>
        </w:rPr>
        <w:lastRenderedPageBreak/>
        <w:t>Primary Disability</w:t>
      </w:r>
      <w:r w:rsidR="004260AE" w:rsidRPr="00167044">
        <w:rPr>
          <w:rFonts w:cs="Arial"/>
        </w:rPr>
        <w:t xml:space="preserve"> of Students</w:t>
      </w:r>
      <w:r w:rsidRPr="00167044">
        <w:rPr>
          <w:rFonts w:cs="Arial"/>
        </w:rPr>
        <w:t xml:space="preserve"> by Type of all S</w:t>
      </w:r>
      <w:r w:rsidR="000B4DC7" w:rsidRPr="00167044">
        <w:rPr>
          <w:rFonts w:cs="Arial"/>
        </w:rPr>
        <w:t xml:space="preserve">tudents with </w:t>
      </w:r>
      <w:r w:rsidRPr="00167044">
        <w:rPr>
          <w:rFonts w:cs="Arial"/>
        </w:rPr>
        <w:t>D</w:t>
      </w:r>
      <w:r w:rsidR="000B4DC7" w:rsidRPr="00167044">
        <w:rPr>
          <w:rFonts w:cs="Arial"/>
        </w:rPr>
        <w:t>isabilities</w:t>
      </w:r>
      <w:r w:rsidRPr="00167044">
        <w:rPr>
          <w:rFonts w:cs="Arial"/>
        </w:rPr>
        <w:t xml:space="preserve"> </w:t>
      </w:r>
      <w:r w:rsidR="004D76D4" w:rsidRPr="00167044">
        <w:rPr>
          <w:rFonts w:cs="Arial"/>
        </w:rPr>
        <w:t>S</w:t>
      </w:r>
      <w:r w:rsidRPr="00167044">
        <w:rPr>
          <w:rFonts w:cs="Arial"/>
        </w:rPr>
        <w:t>erved (128</w:t>
      </w:r>
      <w:r w:rsidR="004D76D4" w:rsidRPr="00167044">
        <w:rPr>
          <w:rFonts w:cs="Arial"/>
        </w:rPr>
        <w:t xml:space="preserve"> of </w:t>
      </w:r>
      <w:r w:rsidRPr="00167044">
        <w:rPr>
          <w:rFonts w:cs="Arial"/>
        </w:rPr>
        <w:t>135 SELPAs</w:t>
      </w:r>
      <w:r w:rsidR="009651A3" w:rsidRPr="00167044">
        <w:rPr>
          <w:rFonts w:cs="Arial"/>
        </w:rPr>
        <w:t xml:space="preserve"> </w:t>
      </w:r>
      <w:r w:rsidRPr="00167044">
        <w:rPr>
          <w:rFonts w:cs="Arial"/>
        </w:rPr>
        <w:t>reporting)</w:t>
      </w:r>
    </w:p>
    <w:tbl>
      <w:tblPr>
        <w:tblStyle w:val="TableGrid"/>
        <w:tblW w:w="0" w:type="auto"/>
        <w:jc w:val="center"/>
        <w:tblLook w:val="04A0" w:firstRow="1" w:lastRow="0" w:firstColumn="1" w:lastColumn="0" w:noHBand="0" w:noVBand="1"/>
        <w:tblDescription w:val="Parent Primary Disability Type by number of students."/>
      </w:tblPr>
      <w:tblGrid>
        <w:gridCol w:w="4950"/>
        <w:gridCol w:w="2583"/>
      </w:tblGrid>
      <w:tr w:rsidR="0034052C" w:rsidRPr="00167044" w14:paraId="2C1109F2" w14:textId="77777777" w:rsidTr="0034052C">
        <w:trPr>
          <w:cantSplit/>
          <w:tblHeader/>
          <w:jc w:val="center"/>
        </w:trPr>
        <w:tc>
          <w:tcPr>
            <w:tcW w:w="4950" w:type="dxa"/>
            <w:shd w:val="clear" w:color="auto" w:fill="E7E6E6" w:themeFill="background2"/>
          </w:tcPr>
          <w:p w14:paraId="32D3B3B6" w14:textId="35A2C339" w:rsidR="0034052C" w:rsidRPr="00167044" w:rsidRDefault="0034052C" w:rsidP="000B4A2F">
            <w:pPr>
              <w:spacing w:after="240"/>
              <w:jc w:val="center"/>
              <w:rPr>
                <w:rFonts w:cs="Arial"/>
                <w:b/>
              </w:rPr>
            </w:pPr>
            <w:r w:rsidRPr="00167044">
              <w:rPr>
                <w:rFonts w:cs="Arial"/>
                <w:b/>
              </w:rPr>
              <w:t>Student Primary Disability Type</w:t>
            </w:r>
          </w:p>
        </w:tc>
        <w:tc>
          <w:tcPr>
            <w:tcW w:w="2577" w:type="dxa"/>
            <w:shd w:val="clear" w:color="auto" w:fill="E7E6E6" w:themeFill="background2"/>
          </w:tcPr>
          <w:p w14:paraId="7EA21BCA" w14:textId="56CED07E" w:rsidR="0034052C" w:rsidRPr="00167044" w:rsidRDefault="0034052C" w:rsidP="000B4A2F">
            <w:pPr>
              <w:spacing w:after="240"/>
              <w:jc w:val="center"/>
              <w:rPr>
                <w:rFonts w:cs="Arial"/>
                <w:b/>
              </w:rPr>
            </w:pPr>
            <w:r w:rsidRPr="00167044">
              <w:rPr>
                <w:rFonts w:cs="Arial"/>
                <w:b/>
              </w:rPr>
              <w:t>Number of Students</w:t>
            </w:r>
          </w:p>
        </w:tc>
      </w:tr>
      <w:tr w:rsidR="0034052C" w:rsidRPr="00167044" w14:paraId="242BBFA1" w14:textId="77777777" w:rsidTr="0034052C">
        <w:trPr>
          <w:cantSplit/>
          <w:tblHeader/>
          <w:jc w:val="center"/>
        </w:trPr>
        <w:tc>
          <w:tcPr>
            <w:tcW w:w="4950" w:type="dxa"/>
          </w:tcPr>
          <w:p w14:paraId="24B7629B" w14:textId="77D43A11" w:rsidR="0034052C" w:rsidRPr="00167044" w:rsidRDefault="0034052C" w:rsidP="000B4A2F">
            <w:pPr>
              <w:spacing w:after="240"/>
              <w:jc w:val="center"/>
              <w:rPr>
                <w:rFonts w:cs="Arial"/>
              </w:rPr>
            </w:pPr>
            <w:r w:rsidRPr="00167044">
              <w:rPr>
                <w:rFonts w:cs="Arial"/>
              </w:rPr>
              <w:t>Intellectual Disability (ID)</w:t>
            </w:r>
          </w:p>
        </w:tc>
        <w:tc>
          <w:tcPr>
            <w:tcW w:w="2583" w:type="dxa"/>
          </w:tcPr>
          <w:p w14:paraId="2A4E980C" w14:textId="46A1F276" w:rsidR="0034052C" w:rsidRPr="00167044" w:rsidRDefault="0034052C" w:rsidP="000B4A2F">
            <w:pPr>
              <w:spacing w:after="240"/>
              <w:jc w:val="center"/>
              <w:rPr>
                <w:rFonts w:cs="Arial"/>
              </w:rPr>
            </w:pPr>
            <w:r w:rsidRPr="00167044">
              <w:rPr>
                <w:rFonts w:cs="Arial"/>
              </w:rPr>
              <w:t>34,515</w:t>
            </w:r>
          </w:p>
        </w:tc>
      </w:tr>
      <w:tr w:rsidR="0034052C" w:rsidRPr="00167044" w14:paraId="170997DF" w14:textId="77777777" w:rsidTr="0034052C">
        <w:trPr>
          <w:cantSplit/>
          <w:tblHeader/>
          <w:jc w:val="center"/>
        </w:trPr>
        <w:tc>
          <w:tcPr>
            <w:tcW w:w="4950" w:type="dxa"/>
          </w:tcPr>
          <w:p w14:paraId="3D6350F7" w14:textId="19608C2E" w:rsidR="0034052C" w:rsidRPr="00167044" w:rsidRDefault="0034052C" w:rsidP="000B4A2F">
            <w:pPr>
              <w:spacing w:after="240"/>
              <w:jc w:val="center"/>
              <w:rPr>
                <w:rFonts w:cs="Arial"/>
              </w:rPr>
            </w:pPr>
            <w:r w:rsidRPr="00167044">
              <w:rPr>
                <w:rFonts w:cs="Arial"/>
              </w:rPr>
              <w:t>Visual Impairment (VI)</w:t>
            </w:r>
          </w:p>
        </w:tc>
        <w:tc>
          <w:tcPr>
            <w:tcW w:w="2583" w:type="dxa"/>
          </w:tcPr>
          <w:p w14:paraId="2625E687" w14:textId="75AC1C39" w:rsidR="0034052C" w:rsidRPr="00167044" w:rsidRDefault="0034052C" w:rsidP="000B4A2F">
            <w:pPr>
              <w:spacing w:after="240"/>
              <w:jc w:val="center"/>
              <w:rPr>
                <w:rFonts w:cs="Arial"/>
              </w:rPr>
            </w:pPr>
            <w:r w:rsidRPr="00167044">
              <w:rPr>
                <w:rFonts w:cs="Arial"/>
              </w:rPr>
              <w:t>1,900</w:t>
            </w:r>
          </w:p>
        </w:tc>
      </w:tr>
      <w:tr w:rsidR="0034052C" w:rsidRPr="00167044" w14:paraId="4411EC35" w14:textId="77777777" w:rsidTr="0034052C">
        <w:trPr>
          <w:cantSplit/>
          <w:tblHeader/>
          <w:jc w:val="center"/>
        </w:trPr>
        <w:tc>
          <w:tcPr>
            <w:tcW w:w="4950" w:type="dxa"/>
          </w:tcPr>
          <w:p w14:paraId="6613FCC8" w14:textId="69E5D729" w:rsidR="0034052C" w:rsidRPr="00167044" w:rsidRDefault="0034052C" w:rsidP="000B4A2F">
            <w:pPr>
              <w:spacing w:after="240"/>
              <w:jc w:val="center"/>
              <w:rPr>
                <w:rFonts w:cs="Arial"/>
              </w:rPr>
            </w:pPr>
            <w:r w:rsidRPr="00167044">
              <w:rPr>
                <w:rFonts w:cs="Arial"/>
              </w:rPr>
              <w:t>Speech or Language Impairment (SLI)</w:t>
            </w:r>
          </w:p>
        </w:tc>
        <w:tc>
          <w:tcPr>
            <w:tcW w:w="2583" w:type="dxa"/>
          </w:tcPr>
          <w:p w14:paraId="27D57C65" w14:textId="29036214" w:rsidR="0034052C" w:rsidRPr="00167044" w:rsidRDefault="0034052C" w:rsidP="000B4A2F">
            <w:pPr>
              <w:spacing w:after="240"/>
              <w:jc w:val="center"/>
              <w:rPr>
                <w:rFonts w:cs="Arial"/>
              </w:rPr>
            </w:pPr>
            <w:r w:rsidRPr="00167044">
              <w:rPr>
                <w:rFonts w:cs="Arial"/>
              </w:rPr>
              <w:t>142,045</w:t>
            </w:r>
          </w:p>
        </w:tc>
      </w:tr>
      <w:tr w:rsidR="0034052C" w:rsidRPr="00167044" w14:paraId="4A9B39AF" w14:textId="77777777" w:rsidTr="0034052C">
        <w:trPr>
          <w:cantSplit/>
          <w:tblHeader/>
          <w:jc w:val="center"/>
        </w:trPr>
        <w:tc>
          <w:tcPr>
            <w:tcW w:w="4950" w:type="dxa"/>
          </w:tcPr>
          <w:p w14:paraId="7E9F8BF6" w14:textId="64F346E1" w:rsidR="0034052C" w:rsidRPr="00167044" w:rsidRDefault="0034052C" w:rsidP="000B4A2F">
            <w:pPr>
              <w:spacing w:after="240"/>
              <w:jc w:val="center"/>
              <w:rPr>
                <w:rFonts w:cs="Arial"/>
              </w:rPr>
            </w:pPr>
            <w:r w:rsidRPr="00167044">
              <w:rPr>
                <w:rFonts w:cs="Arial"/>
              </w:rPr>
              <w:t>Autism (AUT)</w:t>
            </w:r>
          </w:p>
        </w:tc>
        <w:tc>
          <w:tcPr>
            <w:tcW w:w="2583" w:type="dxa"/>
          </w:tcPr>
          <w:p w14:paraId="49C94CFC" w14:textId="2ED7E545" w:rsidR="0034052C" w:rsidRPr="00167044" w:rsidRDefault="0034052C" w:rsidP="000B4A2F">
            <w:pPr>
              <w:spacing w:after="240"/>
              <w:jc w:val="center"/>
              <w:rPr>
                <w:rFonts w:cs="Arial"/>
              </w:rPr>
            </w:pPr>
            <w:r w:rsidRPr="00167044">
              <w:rPr>
                <w:rFonts w:cs="Arial"/>
              </w:rPr>
              <w:t>120,299</w:t>
            </w:r>
          </w:p>
        </w:tc>
      </w:tr>
      <w:tr w:rsidR="0034052C" w:rsidRPr="00167044" w14:paraId="0DD4F359" w14:textId="77777777" w:rsidTr="0034052C">
        <w:trPr>
          <w:cantSplit/>
          <w:tblHeader/>
          <w:jc w:val="center"/>
        </w:trPr>
        <w:tc>
          <w:tcPr>
            <w:tcW w:w="4950" w:type="dxa"/>
          </w:tcPr>
          <w:p w14:paraId="4000DC1F" w14:textId="4261A177" w:rsidR="0034052C" w:rsidRPr="00167044" w:rsidRDefault="0034052C" w:rsidP="000B4A2F">
            <w:pPr>
              <w:spacing w:after="240"/>
              <w:jc w:val="center"/>
              <w:rPr>
                <w:rFonts w:cs="Arial"/>
              </w:rPr>
            </w:pPr>
            <w:r w:rsidRPr="00167044">
              <w:rPr>
                <w:rFonts w:cs="Arial"/>
              </w:rPr>
              <w:t>Specific Learning Disability (SLD)</w:t>
            </w:r>
          </w:p>
        </w:tc>
        <w:tc>
          <w:tcPr>
            <w:tcW w:w="2583" w:type="dxa"/>
          </w:tcPr>
          <w:p w14:paraId="7C095A2A" w14:textId="766AC648" w:rsidR="0034052C" w:rsidRPr="00167044" w:rsidRDefault="0034052C" w:rsidP="000B4A2F">
            <w:pPr>
              <w:spacing w:after="240"/>
              <w:jc w:val="center"/>
              <w:rPr>
                <w:rFonts w:cs="Arial"/>
              </w:rPr>
            </w:pPr>
            <w:r w:rsidRPr="00167044">
              <w:rPr>
                <w:rFonts w:cs="Arial"/>
              </w:rPr>
              <w:t>215,445</w:t>
            </w:r>
          </w:p>
        </w:tc>
      </w:tr>
      <w:tr w:rsidR="0034052C" w:rsidRPr="00167044" w14:paraId="345E1388" w14:textId="77777777" w:rsidTr="0034052C">
        <w:trPr>
          <w:cantSplit/>
          <w:tblHeader/>
          <w:jc w:val="center"/>
        </w:trPr>
        <w:tc>
          <w:tcPr>
            <w:tcW w:w="4950" w:type="dxa"/>
          </w:tcPr>
          <w:p w14:paraId="3D885B00" w14:textId="26C676FE" w:rsidR="0034052C" w:rsidRPr="00167044" w:rsidRDefault="0034052C" w:rsidP="000B4A2F">
            <w:pPr>
              <w:spacing w:after="240"/>
              <w:jc w:val="center"/>
              <w:rPr>
                <w:rFonts w:cs="Arial"/>
              </w:rPr>
            </w:pPr>
            <w:r w:rsidRPr="00167044">
              <w:rPr>
                <w:rFonts w:cs="Arial"/>
              </w:rPr>
              <w:t>Deaf/Hard of Hearing (D/HOH) and Hearing Impaired (HI) Combined</w:t>
            </w:r>
          </w:p>
        </w:tc>
        <w:tc>
          <w:tcPr>
            <w:tcW w:w="2583" w:type="dxa"/>
          </w:tcPr>
          <w:p w14:paraId="3317D549" w14:textId="3038ED7B" w:rsidR="0034052C" w:rsidRPr="00167044" w:rsidRDefault="0034052C" w:rsidP="000B4A2F">
            <w:pPr>
              <w:spacing w:after="240"/>
              <w:jc w:val="center"/>
              <w:rPr>
                <w:rFonts w:cs="Arial"/>
              </w:rPr>
            </w:pPr>
            <w:r w:rsidRPr="00167044">
              <w:rPr>
                <w:rFonts w:cs="Arial"/>
              </w:rPr>
              <w:t>6,881</w:t>
            </w:r>
          </w:p>
        </w:tc>
      </w:tr>
      <w:tr w:rsidR="0034052C" w:rsidRPr="00167044" w14:paraId="61EC53EA" w14:textId="77777777" w:rsidTr="0034052C">
        <w:trPr>
          <w:cantSplit/>
          <w:tblHeader/>
          <w:jc w:val="center"/>
        </w:trPr>
        <w:tc>
          <w:tcPr>
            <w:tcW w:w="4950" w:type="dxa"/>
          </w:tcPr>
          <w:p w14:paraId="18202339" w14:textId="7BE5F102" w:rsidR="0034052C" w:rsidRPr="00167044" w:rsidRDefault="0034052C" w:rsidP="000B4A2F">
            <w:pPr>
              <w:spacing w:after="240"/>
              <w:jc w:val="center"/>
              <w:rPr>
                <w:rFonts w:cs="Arial"/>
              </w:rPr>
            </w:pPr>
            <w:r w:rsidRPr="00167044">
              <w:rPr>
                <w:rFonts w:cs="Arial"/>
              </w:rPr>
              <w:t>Emotional Disturbance (ED)</w:t>
            </w:r>
          </w:p>
        </w:tc>
        <w:tc>
          <w:tcPr>
            <w:tcW w:w="2583" w:type="dxa"/>
          </w:tcPr>
          <w:p w14:paraId="23F3FAE1" w14:textId="7D48F235" w:rsidR="0034052C" w:rsidRPr="00167044" w:rsidRDefault="0034052C" w:rsidP="000B4A2F">
            <w:pPr>
              <w:spacing w:after="240"/>
              <w:jc w:val="center"/>
              <w:rPr>
                <w:rFonts w:cs="Arial"/>
              </w:rPr>
            </w:pPr>
            <w:r w:rsidRPr="00167044">
              <w:rPr>
                <w:rFonts w:cs="Arial"/>
              </w:rPr>
              <w:t>19,298</w:t>
            </w:r>
          </w:p>
        </w:tc>
      </w:tr>
      <w:tr w:rsidR="0034052C" w:rsidRPr="00167044" w14:paraId="3F45531D" w14:textId="77777777" w:rsidTr="0034052C">
        <w:trPr>
          <w:cantSplit/>
          <w:tblHeader/>
          <w:jc w:val="center"/>
        </w:trPr>
        <w:tc>
          <w:tcPr>
            <w:tcW w:w="4950" w:type="dxa"/>
          </w:tcPr>
          <w:p w14:paraId="425C3177" w14:textId="78347084" w:rsidR="0034052C" w:rsidRPr="00167044" w:rsidRDefault="0034052C" w:rsidP="000B4A2F">
            <w:pPr>
              <w:spacing w:after="240"/>
              <w:jc w:val="center"/>
              <w:rPr>
                <w:rFonts w:cs="Arial"/>
              </w:rPr>
            </w:pPr>
            <w:r w:rsidRPr="00167044">
              <w:rPr>
                <w:rFonts w:cs="Arial"/>
              </w:rPr>
              <w:t>Other Health Impairment (OHI)</w:t>
            </w:r>
          </w:p>
        </w:tc>
        <w:tc>
          <w:tcPr>
            <w:tcW w:w="2583" w:type="dxa"/>
          </w:tcPr>
          <w:p w14:paraId="65E28CED" w14:textId="0D2585BE" w:rsidR="0034052C" w:rsidRPr="00167044" w:rsidRDefault="0034052C" w:rsidP="000B4A2F">
            <w:pPr>
              <w:spacing w:after="240"/>
              <w:jc w:val="center"/>
              <w:rPr>
                <w:rFonts w:cs="Arial"/>
              </w:rPr>
            </w:pPr>
            <w:r w:rsidRPr="00167044">
              <w:rPr>
                <w:rFonts w:cs="Arial"/>
              </w:rPr>
              <w:t>92,749</w:t>
            </w:r>
          </w:p>
        </w:tc>
      </w:tr>
      <w:tr w:rsidR="0034052C" w:rsidRPr="00167044" w14:paraId="7CC4216A" w14:textId="77777777" w:rsidTr="0034052C">
        <w:trPr>
          <w:cantSplit/>
          <w:tblHeader/>
          <w:jc w:val="center"/>
        </w:trPr>
        <w:tc>
          <w:tcPr>
            <w:tcW w:w="4950" w:type="dxa"/>
          </w:tcPr>
          <w:p w14:paraId="61925267" w14:textId="256B8D62" w:rsidR="0034052C" w:rsidRPr="00167044" w:rsidRDefault="0034052C" w:rsidP="000B4A2F">
            <w:pPr>
              <w:spacing w:after="240"/>
              <w:jc w:val="center"/>
              <w:rPr>
                <w:rFonts w:cs="Arial"/>
              </w:rPr>
            </w:pPr>
            <w:r w:rsidRPr="00167044">
              <w:rPr>
                <w:rFonts w:cs="Arial"/>
              </w:rPr>
              <w:t>Established Medical Disability (EMD)</w:t>
            </w:r>
          </w:p>
        </w:tc>
        <w:tc>
          <w:tcPr>
            <w:tcW w:w="2583" w:type="dxa"/>
          </w:tcPr>
          <w:p w14:paraId="45703593" w14:textId="515C1428" w:rsidR="0034052C" w:rsidRPr="00167044" w:rsidRDefault="0034052C" w:rsidP="000B4A2F">
            <w:pPr>
              <w:spacing w:after="240"/>
              <w:jc w:val="center"/>
              <w:rPr>
                <w:rFonts w:cs="Arial"/>
              </w:rPr>
            </w:pPr>
            <w:r w:rsidRPr="00167044">
              <w:rPr>
                <w:rFonts w:cs="Arial"/>
              </w:rPr>
              <w:t>270</w:t>
            </w:r>
          </w:p>
        </w:tc>
      </w:tr>
      <w:tr w:rsidR="0034052C" w:rsidRPr="00167044" w14:paraId="7D97C473" w14:textId="77777777" w:rsidTr="0034052C">
        <w:trPr>
          <w:cantSplit/>
          <w:tblHeader/>
          <w:jc w:val="center"/>
        </w:trPr>
        <w:tc>
          <w:tcPr>
            <w:tcW w:w="4950" w:type="dxa"/>
          </w:tcPr>
          <w:p w14:paraId="0B42D79F" w14:textId="04A04BA0" w:rsidR="0034052C" w:rsidRPr="00167044" w:rsidRDefault="0034052C" w:rsidP="000B4A2F">
            <w:pPr>
              <w:spacing w:after="240"/>
              <w:jc w:val="center"/>
              <w:rPr>
                <w:rFonts w:cs="Arial"/>
              </w:rPr>
            </w:pPr>
            <w:r w:rsidRPr="00167044">
              <w:rPr>
                <w:rFonts w:cs="Arial"/>
              </w:rPr>
              <w:t>Orthopedic Impairment (OI)</w:t>
            </w:r>
          </w:p>
        </w:tc>
        <w:tc>
          <w:tcPr>
            <w:tcW w:w="2583" w:type="dxa"/>
          </w:tcPr>
          <w:p w14:paraId="1E56A8D5" w14:textId="05F2F9CE" w:rsidR="0034052C" w:rsidRPr="00167044" w:rsidRDefault="0034052C" w:rsidP="000B4A2F">
            <w:pPr>
              <w:spacing w:after="240"/>
              <w:jc w:val="center"/>
              <w:rPr>
                <w:rFonts w:cs="Arial"/>
              </w:rPr>
            </w:pPr>
            <w:r w:rsidRPr="00167044">
              <w:rPr>
                <w:rFonts w:cs="Arial"/>
              </w:rPr>
              <w:t>5,779</w:t>
            </w:r>
          </w:p>
        </w:tc>
      </w:tr>
      <w:tr w:rsidR="0034052C" w:rsidRPr="00167044" w14:paraId="25C235D8" w14:textId="77777777" w:rsidTr="0034052C">
        <w:trPr>
          <w:cantSplit/>
          <w:tblHeader/>
          <w:jc w:val="center"/>
        </w:trPr>
        <w:tc>
          <w:tcPr>
            <w:tcW w:w="4950" w:type="dxa"/>
          </w:tcPr>
          <w:p w14:paraId="42585E26" w14:textId="036E48E8" w:rsidR="0034052C" w:rsidRPr="00167044" w:rsidRDefault="0034052C" w:rsidP="000B4A2F">
            <w:pPr>
              <w:spacing w:after="240"/>
              <w:jc w:val="center"/>
              <w:rPr>
                <w:rFonts w:cs="Arial"/>
              </w:rPr>
            </w:pPr>
            <w:r w:rsidRPr="00167044">
              <w:rPr>
                <w:rFonts w:cs="Arial"/>
              </w:rPr>
              <w:t>Deaf/Blind (D/B)</w:t>
            </w:r>
          </w:p>
        </w:tc>
        <w:tc>
          <w:tcPr>
            <w:tcW w:w="2583" w:type="dxa"/>
          </w:tcPr>
          <w:p w14:paraId="5320A0B6" w14:textId="47CC6D1A" w:rsidR="0034052C" w:rsidRPr="00167044" w:rsidRDefault="0034052C" w:rsidP="000B4A2F">
            <w:pPr>
              <w:spacing w:after="240"/>
              <w:jc w:val="center"/>
              <w:rPr>
                <w:rFonts w:cs="Arial"/>
              </w:rPr>
            </w:pPr>
            <w:r w:rsidRPr="00167044">
              <w:rPr>
                <w:rFonts w:cs="Arial"/>
              </w:rPr>
              <w:t>67</w:t>
            </w:r>
          </w:p>
        </w:tc>
      </w:tr>
      <w:tr w:rsidR="0034052C" w:rsidRPr="00167044" w14:paraId="4AA09803" w14:textId="77777777" w:rsidTr="0034052C">
        <w:trPr>
          <w:cantSplit/>
          <w:tblHeader/>
          <w:jc w:val="center"/>
        </w:trPr>
        <w:tc>
          <w:tcPr>
            <w:tcW w:w="4950" w:type="dxa"/>
          </w:tcPr>
          <w:p w14:paraId="26985D23" w14:textId="08254A61" w:rsidR="0034052C" w:rsidRPr="00167044" w:rsidRDefault="0034052C" w:rsidP="000B4A2F">
            <w:pPr>
              <w:spacing w:after="240"/>
              <w:jc w:val="center"/>
              <w:rPr>
                <w:rFonts w:cs="Arial"/>
              </w:rPr>
            </w:pPr>
            <w:r w:rsidRPr="00167044">
              <w:rPr>
                <w:rFonts w:cs="Arial"/>
              </w:rPr>
              <w:t>Multiple Disabilities (MD)</w:t>
            </w:r>
          </w:p>
        </w:tc>
        <w:tc>
          <w:tcPr>
            <w:tcW w:w="2583" w:type="dxa"/>
          </w:tcPr>
          <w:p w14:paraId="3E39CDFF" w14:textId="27A390DA" w:rsidR="0034052C" w:rsidRPr="00167044" w:rsidRDefault="0034052C" w:rsidP="000B4A2F">
            <w:pPr>
              <w:spacing w:after="240"/>
              <w:jc w:val="center"/>
              <w:rPr>
                <w:rFonts w:cs="Arial"/>
              </w:rPr>
            </w:pPr>
            <w:r w:rsidRPr="00167044">
              <w:rPr>
                <w:rFonts w:cs="Arial"/>
              </w:rPr>
              <w:t>6,699</w:t>
            </w:r>
          </w:p>
        </w:tc>
      </w:tr>
      <w:tr w:rsidR="0034052C" w:rsidRPr="00167044" w14:paraId="3E1A0252" w14:textId="77777777" w:rsidTr="0034052C">
        <w:trPr>
          <w:cantSplit/>
          <w:tblHeader/>
          <w:jc w:val="center"/>
        </w:trPr>
        <w:tc>
          <w:tcPr>
            <w:tcW w:w="4950" w:type="dxa"/>
          </w:tcPr>
          <w:p w14:paraId="0DF485E8" w14:textId="068CAA02" w:rsidR="0034052C" w:rsidRPr="00167044" w:rsidRDefault="0034052C" w:rsidP="000B4A2F">
            <w:pPr>
              <w:spacing w:after="240"/>
              <w:jc w:val="center"/>
              <w:rPr>
                <w:rFonts w:cs="Arial"/>
              </w:rPr>
            </w:pPr>
            <w:r w:rsidRPr="00167044">
              <w:rPr>
                <w:rFonts w:cs="Arial"/>
              </w:rPr>
              <w:t>Traumatic Brain Injury (TBI)</w:t>
            </w:r>
          </w:p>
        </w:tc>
        <w:tc>
          <w:tcPr>
            <w:tcW w:w="2583" w:type="dxa"/>
          </w:tcPr>
          <w:p w14:paraId="78C1CE73" w14:textId="49F61183" w:rsidR="0034052C" w:rsidRPr="00167044" w:rsidRDefault="0034052C" w:rsidP="000B4A2F">
            <w:pPr>
              <w:spacing w:after="240"/>
              <w:jc w:val="center"/>
              <w:rPr>
                <w:rFonts w:cs="Arial"/>
              </w:rPr>
            </w:pPr>
            <w:r w:rsidRPr="00167044">
              <w:rPr>
                <w:rFonts w:cs="Arial"/>
              </w:rPr>
              <w:t>915</w:t>
            </w:r>
          </w:p>
        </w:tc>
      </w:tr>
    </w:tbl>
    <w:p w14:paraId="48A6E3EA" w14:textId="77777777" w:rsidR="00167044" w:rsidRPr="00167044" w:rsidRDefault="00167044" w:rsidP="000B4A2F">
      <w:pPr>
        <w:spacing w:after="240"/>
        <w:rPr>
          <w:rFonts w:cs="Arial"/>
        </w:rPr>
      </w:pPr>
    </w:p>
    <w:p w14:paraId="138C2F03" w14:textId="14B6ECCB" w:rsidR="0034052C" w:rsidRPr="00167044" w:rsidRDefault="0034052C" w:rsidP="000B4A2F">
      <w:pPr>
        <w:spacing w:after="240"/>
        <w:rPr>
          <w:rFonts w:cs="Arial"/>
        </w:rPr>
      </w:pPr>
      <w:r w:rsidRPr="00167044">
        <w:rPr>
          <w:rFonts w:cs="Arial"/>
        </w:rPr>
        <w:t>These numbers may vary from overall state data due to the self-reporting of LEA and SELPA administrators.</w:t>
      </w:r>
    </w:p>
    <w:p w14:paraId="5366FC40" w14:textId="7E595307" w:rsidR="00FE3867" w:rsidRPr="00167044" w:rsidRDefault="00FE3867" w:rsidP="000B4A2F">
      <w:pPr>
        <w:pStyle w:val="Heading4"/>
      </w:pPr>
      <w:r w:rsidRPr="00167044">
        <w:lastRenderedPageBreak/>
        <w:t>Parent Primary Language of Families Served (119</w:t>
      </w:r>
      <w:r w:rsidR="004D76D4" w:rsidRPr="00167044">
        <w:t xml:space="preserve"> of </w:t>
      </w:r>
      <w:r w:rsidRPr="00167044">
        <w:t>135 SELPAs Reporting)</w:t>
      </w:r>
    </w:p>
    <w:tbl>
      <w:tblPr>
        <w:tblStyle w:val="TableGrid"/>
        <w:tblW w:w="0" w:type="auto"/>
        <w:jc w:val="center"/>
        <w:tblLook w:val="04A0" w:firstRow="1" w:lastRow="0" w:firstColumn="1" w:lastColumn="0" w:noHBand="0" w:noVBand="1"/>
        <w:tblDescription w:val="Parent Primary language by number of families."/>
      </w:tblPr>
      <w:tblGrid>
        <w:gridCol w:w="3846"/>
        <w:gridCol w:w="2631"/>
      </w:tblGrid>
      <w:tr w:rsidR="00FE3867" w:rsidRPr="00167044" w14:paraId="6D8FEC18" w14:textId="77777777" w:rsidTr="00C5658E">
        <w:trPr>
          <w:cantSplit/>
          <w:trHeight w:val="503"/>
          <w:tblHeader/>
          <w:jc w:val="center"/>
        </w:trPr>
        <w:tc>
          <w:tcPr>
            <w:tcW w:w="3846" w:type="dxa"/>
            <w:shd w:val="clear" w:color="auto" w:fill="E7E6E6" w:themeFill="background2"/>
          </w:tcPr>
          <w:p w14:paraId="5AB5CE7C" w14:textId="271F39DE" w:rsidR="00FE3867" w:rsidRPr="00167044" w:rsidRDefault="00FE3867" w:rsidP="00167044">
            <w:pPr>
              <w:spacing w:after="240"/>
              <w:jc w:val="center"/>
              <w:rPr>
                <w:rFonts w:cs="Arial"/>
                <w:b/>
              </w:rPr>
            </w:pPr>
            <w:r w:rsidRPr="00167044">
              <w:rPr>
                <w:rFonts w:cs="Arial"/>
                <w:b/>
              </w:rPr>
              <w:t>Parent Primary Language</w:t>
            </w:r>
          </w:p>
        </w:tc>
        <w:tc>
          <w:tcPr>
            <w:tcW w:w="2631" w:type="dxa"/>
            <w:shd w:val="clear" w:color="auto" w:fill="E7E6E6" w:themeFill="background2"/>
          </w:tcPr>
          <w:p w14:paraId="0BBF529A" w14:textId="046E272D" w:rsidR="00FE3867" w:rsidRPr="00167044" w:rsidRDefault="00FE3867" w:rsidP="00167044">
            <w:pPr>
              <w:spacing w:after="240"/>
              <w:jc w:val="center"/>
              <w:rPr>
                <w:rFonts w:cs="Arial"/>
                <w:b/>
              </w:rPr>
            </w:pPr>
            <w:r w:rsidRPr="00167044">
              <w:rPr>
                <w:rFonts w:cs="Arial"/>
                <w:b/>
              </w:rPr>
              <w:t>Number of Families</w:t>
            </w:r>
          </w:p>
        </w:tc>
      </w:tr>
      <w:tr w:rsidR="00FE3867" w:rsidRPr="00167044" w14:paraId="5183F892" w14:textId="77777777" w:rsidTr="009651A3">
        <w:trPr>
          <w:cantSplit/>
          <w:trHeight w:val="503"/>
          <w:tblHeader/>
          <w:jc w:val="center"/>
        </w:trPr>
        <w:tc>
          <w:tcPr>
            <w:tcW w:w="3846" w:type="dxa"/>
          </w:tcPr>
          <w:p w14:paraId="45614124" w14:textId="36575B0D" w:rsidR="00FE3867" w:rsidRPr="00167044" w:rsidRDefault="00FE3867" w:rsidP="00167044">
            <w:pPr>
              <w:spacing w:after="240"/>
              <w:jc w:val="center"/>
              <w:rPr>
                <w:rFonts w:cs="Arial"/>
              </w:rPr>
            </w:pPr>
            <w:r w:rsidRPr="00167044">
              <w:rPr>
                <w:rFonts w:cs="Arial"/>
              </w:rPr>
              <w:t>English</w:t>
            </w:r>
          </w:p>
        </w:tc>
        <w:tc>
          <w:tcPr>
            <w:tcW w:w="2631" w:type="dxa"/>
          </w:tcPr>
          <w:p w14:paraId="3F0CD5A0" w14:textId="2A563E8E" w:rsidR="00FE3867" w:rsidRPr="00167044" w:rsidRDefault="00FE3867" w:rsidP="00167044">
            <w:pPr>
              <w:spacing w:after="240"/>
              <w:jc w:val="center"/>
              <w:rPr>
                <w:rFonts w:cs="Arial"/>
              </w:rPr>
            </w:pPr>
            <w:r w:rsidRPr="00167044">
              <w:rPr>
                <w:rFonts w:cs="Arial"/>
              </w:rPr>
              <w:t>365,303</w:t>
            </w:r>
          </w:p>
        </w:tc>
      </w:tr>
      <w:tr w:rsidR="00FE3867" w:rsidRPr="00167044" w14:paraId="690B6538" w14:textId="77777777" w:rsidTr="009651A3">
        <w:trPr>
          <w:cantSplit/>
          <w:trHeight w:val="503"/>
          <w:tblHeader/>
          <w:jc w:val="center"/>
        </w:trPr>
        <w:tc>
          <w:tcPr>
            <w:tcW w:w="3846" w:type="dxa"/>
          </w:tcPr>
          <w:p w14:paraId="4EE3CE28" w14:textId="5BA768B3" w:rsidR="00FE3867" w:rsidRPr="00167044" w:rsidRDefault="00FE3867" w:rsidP="00167044">
            <w:pPr>
              <w:spacing w:after="240"/>
              <w:jc w:val="center"/>
              <w:rPr>
                <w:rFonts w:cs="Arial"/>
              </w:rPr>
            </w:pPr>
            <w:r w:rsidRPr="00167044">
              <w:rPr>
                <w:rFonts w:cs="Arial"/>
              </w:rPr>
              <w:t>Spanish</w:t>
            </w:r>
          </w:p>
        </w:tc>
        <w:tc>
          <w:tcPr>
            <w:tcW w:w="2631" w:type="dxa"/>
          </w:tcPr>
          <w:p w14:paraId="1468BB90" w14:textId="4FEA8B90" w:rsidR="00FE3867" w:rsidRPr="00167044" w:rsidRDefault="00FE3867" w:rsidP="00167044">
            <w:pPr>
              <w:spacing w:after="240"/>
              <w:jc w:val="center"/>
              <w:rPr>
                <w:rFonts w:cs="Arial"/>
              </w:rPr>
            </w:pPr>
            <w:r w:rsidRPr="00167044">
              <w:rPr>
                <w:rFonts w:cs="Arial"/>
              </w:rPr>
              <w:t>172,805</w:t>
            </w:r>
          </w:p>
        </w:tc>
      </w:tr>
      <w:tr w:rsidR="00FE3867" w:rsidRPr="00167044" w14:paraId="215B3A95" w14:textId="77777777" w:rsidTr="009651A3">
        <w:trPr>
          <w:cantSplit/>
          <w:trHeight w:val="503"/>
          <w:tblHeader/>
          <w:jc w:val="center"/>
        </w:trPr>
        <w:tc>
          <w:tcPr>
            <w:tcW w:w="3846" w:type="dxa"/>
          </w:tcPr>
          <w:p w14:paraId="7536FF24" w14:textId="3C7F9E63" w:rsidR="00FE3867" w:rsidRPr="00167044" w:rsidRDefault="00FE3867" w:rsidP="00167044">
            <w:pPr>
              <w:spacing w:after="240"/>
              <w:jc w:val="center"/>
              <w:rPr>
                <w:rFonts w:cs="Arial"/>
              </w:rPr>
            </w:pPr>
            <w:r w:rsidRPr="00167044">
              <w:rPr>
                <w:rFonts w:cs="Arial"/>
              </w:rPr>
              <w:t>Portuguese</w:t>
            </w:r>
          </w:p>
        </w:tc>
        <w:tc>
          <w:tcPr>
            <w:tcW w:w="2631" w:type="dxa"/>
          </w:tcPr>
          <w:p w14:paraId="59E6F433" w14:textId="158931F7" w:rsidR="00FE3867" w:rsidRPr="00167044" w:rsidRDefault="00FE3867" w:rsidP="00167044">
            <w:pPr>
              <w:spacing w:after="240"/>
              <w:jc w:val="center"/>
              <w:rPr>
                <w:rFonts w:cs="Arial"/>
              </w:rPr>
            </w:pPr>
            <w:r w:rsidRPr="00167044">
              <w:rPr>
                <w:rFonts w:cs="Arial"/>
              </w:rPr>
              <w:t>323</w:t>
            </w:r>
          </w:p>
        </w:tc>
      </w:tr>
      <w:tr w:rsidR="00FE3867" w:rsidRPr="00167044" w14:paraId="0CBD7E92" w14:textId="77777777" w:rsidTr="009651A3">
        <w:trPr>
          <w:cantSplit/>
          <w:trHeight w:val="503"/>
          <w:tblHeader/>
          <w:jc w:val="center"/>
        </w:trPr>
        <w:tc>
          <w:tcPr>
            <w:tcW w:w="3846" w:type="dxa"/>
          </w:tcPr>
          <w:p w14:paraId="1820ABF3" w14:textId="58E2A7F2" w:rsidR="00FE3867" w:rsidRPr="00167044" w:rsidRDefault="00FE3867" w:rsidP="00167044">
            <w:pPr>
              <w:spacing w:after="240"/>
              <w:jc w:val="center"/>
              <w:rPr>
                <w:rFonts w:cs="Arial"/>
              </w:rPr>
            </w:pPr>
            <w:r w:rsidRPr="00167044">
              <w:rPr>
                <w:rFonts w:cs="Arial"/>
              </w:rPr>
              <w:t>French</w:t>
            </w:r>
          </w:p>
        </w:tc>
        <w:tc>
          <w:tcPr>
            <w:tcW w:w="2631" w:type="dxa"/>
          </w:tcPr>
          <w:p w14:paraId="38713EB4" w14:textId="30511162" w:rsidR="00FE3867" w:rsidRPr="00167044" w:rsidRDefault="00FE3867" w:rsidP="00167044">
            <w:pPr>
              <w:spacing w:after="240"/>
              <w:jc w:val="center"/>
              <w:rPr>
                <w:rFonts w:cs="Arial"/>
              </w:rPr>
            </w:pPr>
            <w:r w:rsidRPr="00167044">
              <w:rPr>
                <w:rFonts w:cs="Arial"/>
              </w:rPr>
              <w:t>211</w:t>
            </w:r>
          </w:p>
        </w:tc>
      </w:tr>
      <w:tr w:rsidR="00FE3867" w:rsidRPr="00167044" w14:paraId="0FEB9B51" w14:textId="77777777" w:rsidTr="009651A3">
        <w:trPr>
          <w:cantSplit/>
          <w:trHeight w:val="503"/>
          <w:tblHeader/>
          <w:jc w:val="center"/>
        </w:trPr>
        <w:tc>
          <w:tcPr>
            <w:tcW w:w="3846" w:type="dxa"/>
          </w:tcPr>
          <w:p w14:paraId="5CAD58B7" w14:textId="6184B6D7" w:rsidR="00FE3867" w:rsidRPr="00167044" w:rsidRDefault="00FE3867" w:rsidP="00167044">
            <w:pPr>
              <w:spacing w:after="240"/>
              <w:jc w:val="center"/>
              <w:rPr>
                <w:rFonts w:cs="Arial"/>
              </w:rPr>
            </w:pPr>
            <w:r w:rsidRPr="00167044">
              <w:rPr>
                <w:rFonts w:cs="Arial"/>
              </w:rPr>
              <w:t>Russian</w:t>
            </w:r>
          </w:p>
        </w:tc>
        <w:tc>
          <w:tcPr>
            <w:tcW w:w="2631" w:type="dxa"/>
          </w:tcPr>
          <w:p w14:paraId="01314EBC" w14:textId="39955D82" w:rsidR="00FE3867" w:rsidRPr="00167044" w:rsidRDefault="00FE3867" w:rsidP="00167044">
            <w:pPr>
              <w:spacing w:after="240"/>
              <w:jc w:val="center"/>
              <w:rPr>
                <w:rFonts w:cs="Arial"/>
              </w:rPr>
            </w:pPr>
            <w:r w:rsidRPr="00167044">
              <w:rPr>
                <w:rFonts w:cs="Arial"/>
              </w:rPr>
              <w:t>960</w:t>
            </w:r>
          </w:p>
        </w:tc>
      </w:tr>
      <w:tr w:rsidR="00FE3867" w:rsidRPr="00167044" w14:paraId="59EB96F8" w14:textId="77777777" w:rsidTr="009651A3">
        <w:trPr>
          <w:cantSplit/>
          <w:trHeight w:val="503"/>
          <w:tblHeader/>
          <w:jc w:val="center"/>
        </w:trPr>
        <w:tc>
          <w:tcPr>
            <w:tcW w:w="3846" w:type="dxa"/>
          </w:tcPr>
          <w:p w14:paraId="36F6E3FF" w14:textId="042E51F5" w:rsidR="00FE3867" w:rsidRPr="00167044" w:rsidRDefault="00FE3867" w:rsidP="00167044">
            <w:pPr>
              <w:spacing w:after="240"/>
              <w:jc w:val="center"/>
              <w:rPr>
                <w:rFonts w:cs="Arial"/>
              </w:rPr>
            </w:pPr>
            <w:r w:rsidRPr="00167044">
              <w:rPr>
                <w:rFonts w:cs="Arial"/>
              </w:rPr>
              <w:t>Japanese</w:t>
            </w:r>
          </w:p>
        </w:tc>
        <w:tc>
          <w:tcPr>
            <w:tcW w:w="2631" w:type="dxa"/>
          </w:tcPr>
          <w:p w14:paraId="38957D10" w14:textId="28F24FA4" w:rsidR="00FE3867" w:rsidRPr="00167044" w:rsidRDefault="00FE3867" w:rsidP="00167044">
            <w:pPr>
              <w:spacing w:after="240"/>
              <w:jc w:val="center"/>
              <w:rPr>
                <w:rFonts w:cs="Arial"/>
              </w:rPr>
            </w:pPr>
            <w:r w:rsidRPr="00167044">
              <w:rPr>
                <w:rFonts w:cs="Arial"/>
              </w:rPr>
              <w:t>366</w:t>
            </w:r>
          </w:p>
        </w:tc>
      </w:tr>
      <w:tr w:rsidR="00FE3867" w:rsidRPr="00167044" w14:paraId="769E0DC3" w14:textId="77777777" w:rsidTr="009651A3">
        <w:trPr>
          <w:cantSplit/>
          <w:trHeight w:val="503"/>
          <w:tblHeader/>
          <w:jc w:val="center"/>
        </w:trPr>
        <w:tc>
          <w:tcPr>
            <w:tcW w:w="3846" w:type="dxa"/>
          </w:tcPr>
          <w:p w14:paraId="7ED50F01" w14:textId="231EF14E" w:rsidR="00FE3867" w:rsidRPr="00167044" w:rsidRDefault="00FE3867" w:rsidP="00167044">
            <w:pPr>
              <w:spacing w:after="240"/>
              <w:jc w:val="center"/>
              <w:rPr>
                <w:rFonts w:cs="Arial"/>
              </w:rPr>
            </w:pPr>
            <w:r w:rsidRPr="00167044">
              <w:rPr>
                <w:rFonts w:cs="Arial"/>
              </w:rPr>
              <w:t>Punjabi</w:t>
            </w:r>
          </w:p>
        </w:tc>
        <w:tc>
          <w:tcPr>
            <w:tcW w:w="2631" w:type="dxa"/>
          </w:tcPr>
          <w:p w14:paraId="4EADA4F4" w14:textId="22725618" w:rsidR="00FE3867" w:rsidRPr="00167044" w:rsidRDefault="00FE3867" w:rsidP="00167044">
            <w:pPr>
              <w:spacing w:after="240"/>
              <w:jc w:val="center"/>
              <w:rPr>
                <w:rFonts w:cs="Arial"/>
              </w:rPr>
            </w:pPr>
            <w:r w:rsidRPr="00167044">
              <w:rPr>
                <w:rFonts w:cs="Arial"/>
              </w:rPr>
              <w:t>1</w:t>
            </w:r>
            <w:r w:rsidR="0034052C" w:rsidRPr="00167044">
              <w:rPr>
                <w:rFonts w:cs="Arial"/>
              </w:rPr>
              <w:t>,</w:t>
            </w:r>
            <w:r w:rsidRPr="00167044">
              <w:rPr>
                <w:rFonts w:cs="Arial"/>
              </w:rPr>
              <w:t>752</w:t>
            </w:r>
          </w:p>
        </w:tc>
      </w:tr>
      <w:tr w:rsidR="00FE3867" w:rsidRPr="00167044" w14:paraId="1F32D233" w14:textId="77777777" w:rsidTr="009651A3">
        <w:trPr>
          <w:cantSplit/>
          <w:trHeight w:val="503"/>
          <w:tblHeader/>
          <w:jc w:val="center"/>
        </w:trPr>
        <w:tc>
          <w:tcPr>
            <w:tcW w:w="3846" w:type="dxa"/>
          </w:tcPr>
          <w:p w14:paraId="3A49F51C" w14:textId="5E63AA91" w:rsidR="00FE3867" w:rsidRPr="00167044" w:rsidRDefault="00FE3867" w:rsidP="00167044">
            <w:pPr>
              <w:spacing w:after="240"/>
              <w:jc w:val="center"/>
              <w:rPr>
                <w:rFonts w:cs="Arial"/>
              </w:rPr>
            </w:pPr>
            <w:r w:rsidRPr="00167044">
              <w:rPr>
                <w:rFonts w:cs="Arial"/>
              </w:rPr>
              <w:t>Tagalog</w:t>
            </w:r>
          </w:p>
        </w:tc>
        <w:tc>
          <w:tcPr>
            <w:tcW w:w="2631" w:type="dxa"/>
          </w:tcPr>
          <w:p w14:paraId="424D012C" w14:textId="175DA8B1" w:rsidR="00FE3867" w:rsidRPr="00167044" w:rsidRDefault="00FE3867" w:rsidP="00167044">
            <w:pPr>
              <w:spacing w:after="240"/>
              <w:jc w:val="center"/>
              <w:rPr>
                <w:rFonts w:cs="Arial"/>
              </w:rPr>
            </w:pPr>
            <w:r w:rsidRPr="00167044">
              <w:rPr>
                <w:rFonts w:cs="Arial"/>
              </w:rPr>
              <w:t>1</w:t>
            </w:r>
            <w:r w:rsidR="0034052C" w:rsidRPr="00167044">
              <w:rPr>
                <w:rFonts w:cs="Arial"/>
              </w:rPr>
              <w:t>,</w:t>
            </w:r>
            <w:r w:rsidRPr="00167044">
              <w:rPr>
                <w:rFonts w:cs="Arial"/>
              </w:rPr>
              <w:t>036</w:t>
            </w:r>
          </w:p>
        </w:tc>
      </w:tr>
      <w:tr w:rsidR="00FE3867" w:rsidRPr="00167044" w14:paraId="74009F9A" w14:textId="77777777" w:rsidTr="009651A3">
        <w:trPr>
          <w:cantSplit/>
          <w:trHeight w:val="503"/>
          <w:tblHeader/>
          <w:jc w:val="center"/>
        </w:trPr>
        <w:tc>
          <w:tcPr>
            <w:tcW w:w="3846" w:type="dxa"/>
          </w:tcPr>
          <w:p w14:paraId="29C14961" w14:textId="54AB1E0D" w:rsidR="00FE3867" w:rsidRPr="00167044" w:rsidRDefault="00FE3867" w:rsidP="00167044">
            <w:pPr>
              <w:spacing w:after="240"/>
              <w:jc w:val="center"/>
              <w:rPr>
                <w:rFonts w:cs="Arial"/>
              </w:rPr>
            </w:pPr>
            <w:r w:rsidRPr="00167044">
              <w:rPr>
                <w:rFonts w:cs="Arial"/>
              </w:rPr>
              <w:t>Hmong</w:t>
            </w:r>
          </w:p>
        </w:tc>
        <w:tc>
          <w:tcPr>
            <w:tcW w:w="2631" w:type="dxa"/>
          </w:tcPr>
          <w:p w14:paraId="7728D1AC" w14:textId="7F1D5D32" w:rsidR="00FE3867" w:rsidRPr="00167044" w:rsidRDefault="00FE3867" w:rsidP="00167044">
            <w:pPr>
              <w:spacing w:after="240"/>
              <w:jc w:val="center"/>
              <w:rPr>
                <w:rFonts w:cs="Arial"/>
              </w:rPr>
            </w:pPr>
            <w:r w:rsidRPr="00167044">
              <w:rPr>
                <w:rFonts w:cs="Arial"/>
              </w:rPr>
              <w:t>1</w:t>
            </w:r>
            <w:r w:rsidR="0034052C" w:rsidRPr="00167044">
              <w:rPr>
                <w:rFonts w:cs="Arial"/>
              </w:rPr>
              <w:t>,</w:t>
            </w:r>
            <w:r w:rsidRPr="00167044">
              <w:rPr>
                <w:rFonts w:cs="Arial"/>
              </w:rPr>
              <w:t>779</w:t>
            </w:r>
          </w:p>
        </w:tc>
      </w:tr>
      <w:tr w:rsidR="00FE3867" w:rsidRPr="00167044" w14:paraId="567C6B67" w14:textId="77777777" w:rsidTr="009651A3">
        <w:trPr>
          <w:cantSplit/>
          <w:trHeight w:val="503"/>
          <w:tblHeader/>
          <w:jc w:val="center"/>
        </w:trPr>
        <w:tc>
          <w:tcPr>
            <w:tcW w:w="3846" w:type="dxa"/>
          </w:tcPr>
          <w:p w14:paraId="7B079174" w14:textId="36802712" w:rsidR="00FE3867" w:rsidRPr="00167044" w:rsidRDefault="00FE3867" w:rsidP="00167044">
            <w:pPr>
              <w:spacing w:after="240"/>
              <w:jc w:val="center"/>
              <w:rPr>
                <w:rFonts w:cs="Arial"/>
              </w:rPr>
            </w:pPr>
            <w:r w:rsidRPr="00167044">
              <w:rPr>
                <w:rFonts w:cs="Arial"/>
              </w:rPr>
              <w:t>Vietnamese</w:t>
            </w:r>
          </w:p>
        </w:tc>
        <w:tc>
          <w:tcPr>
            <w:tcW w:w="2631" w:type="dxa"/>
          </w:tcPr>
          <w:p w14:paraId="6C6414BC" w14:textId="248D51A2" w:rsidR="00FE3867" w:rsidRPr="00167044" w:rsidRDefault="00FE3867" w:rsidP="00167044">
            <w:pPr>
              <w:spacing w:after="240"/>
              <w:jc w:val="center"/>
              <w:rPr>
                <w:rFonts w:cs="Arial"/>
              </w:rPr>
            </w:pPr>
            <w:r w:rsidRPr="00167044">
              <w:rPr>
                <w:rFonts w:cs="Arial"/>
              </w:rPr>
              <w:t>5</w:t>
            </w:r>
            <w:r w:rsidR="0034052C" w:rsidRPr="00167044">
              <w:rPr>
                <w:rFonts w:cs="Arial"/>
              </w:rPr>
              <w:t>,</w:t>
            </w:r>
            <w:r w:rsidRPr="00167044">
              <w:rPr>
                <w:rFonts w:cs="Arial"/>
              </w:rPr>
              <w:t>413</w:t>
            </w:r>
          </w:p>
        </w:tc>
      </w:tr>
      <w:tr w:rsidR="00FE3867" w:rsidRPr="00167044" w14:paraId="70320104" w14:textId="77777777" w:rsidTr="009651A3">
        <w:trPr>
          <w:cantSplit/>
          <w:trHeight w:val="503"/>
          <w:tblHeader/>
          <w:jc w:val="center"/>
        </w:trPr>
        <w:tc>
          <w:tcPr>
            <w:tcW w:w="3846" w:type="dxa"/>
          </w:tcPr>
          <w:p w14:paraId="06008A5B" w14:textId="6C42D73E" w:rsidR="00FE3867" w:rsidRPr="00167044" w:rsidRDefault="00FE3867" w:rsidP="00167044">
            <w:pPr>
              <w:spacing w:after="240"/>
              <w:jc w:val="center"/>
              <w:rPr>
                <w:rFonts w:cs="Arial"/>
              </w:rPr>
            </w:pPr>
            <w:r w:rsidRPr="00167044">
              <w:rPr>
                <w:rFonts w:cs="Arial"/>
              </w:rPr>
              <w:t>Farsi</w:t>
            </w:r>
          </w:p>
        </w:tc>
        <w:tc>
          <w:tcPr>
            <w:tcW w:w="2631" w:type="dxa"/>
          </w:tcPr>
          <w:p w14:paraId="5DC8820C" w14:textId="5C81811A" w:rsidR="00FE3867" w:rsidRPr="00167044" w:rsidRDefault="00FE3867" w:rsidP="00167044">
            <w:pPr>
              <w:spacing w:after="240"/>
              <w:jc w:val="center"/>
              <w:rPr>
                <w:rFonts w:cs="Arial"/>
              </w:rPr>
            </w:pPr>
            <w:r w:rsidRPr="00167044">
              <w:rPr>
                <w:rFonts w:cs="Arial"/>
              </w:rPr>
              <w:t>1</w:t>
            </w:r>
            <w:r w:rsidR="0034052C" w:rsidRPr="00167044">
              <w:rPr>
                <w:rFonts w:cs="Arial"/>
              </w:rPr>
              <w:t>,</w:t>
            </w:r>
            <w:r w:rsidRPr="00167044">
              <w:rPr>
                <w:rFonts w:cs="Arial"/>
              </w:rPr>
              <w:t>960</w:t>
            </w:r>
          </w:p>
        </w:tc>
      </w:tr>
      <w:tr w:rsidR="00FE3867" w:rsidRPr="00167044" w14:paraId="31622231" w14:textId="77777777" w:rsidTr="009651A3">
        <w:trPr>
          <w:cantSplit/>
          <w:trHeight w:val="503"/>
          <w:tblHeader/>
          <w:jc w:val="center"/>
        </w:trPr>
        <w:tc>
          <w:tcPr>
            <w:tcW w:w="3846" w:type="dxa"/>
          </w:tcPr>
          <w:p w14:paraId="2E693AB0" w14:textId="0B5EDD29" w:rsidR="00FE3867" w:rsidRPr="00167044" w:rsidRDefault="00FE3867" w:rsidP="00167044">
            <w:pPr>
              <w:spacing w:after="240"/>
              <w:jc w:val="center"/>
              <w:rPr>
                <w:rFonts w:cs="Arial"/>
              </w:rPr>
            </w:pPr>
            <w:r w:rsidRPr="00167044">
              <w:rPr>
                <w:rFonts w:cs="Arial"/>
              </w:rPr>
              <w:t>Korean</w:t>
            </w:r>
          </w:p>
        </w:tc>
        <w:tc>
          <w:tcPr>
            <w:tcW w:w="2631" w:type="dxa"/>
          </w:tcPr>
          <w:p w14:paraId="15FD4C3B" w14:textId="0AE54D2C" w:rsidR="00FE3867" w:rsidRPr="00167044" w:rsidRDefault="00FE3867" w:rsidP="00167044">
            <w:pPr>
              <w:spacing w:after="240"/>
              <w:jc w:val="center"/>
              <w:rPr>
                <w:rFonts w:cs="Arial"/>
              </w:rPr>
            </w:pPr>
            <w:r w:rsidRPr="00167044">
              <w:rPr>
                <w:rFonts w:cs="Arial"/>
              </w:rPr>
              <w:t>564</w:t>
            </w:r>
          </w:p>
        </w:tc>
      </w:tr>
      <w:tr w:rsidR="00FE3867" w:rsidRPr="00167044" w14:paraId="32630830" w14:textId="77777777" w:rsidTr="009651A3">
        <w:trPr>
          <w:cantSplit/>
          <w:trHeight w:val="503"/>
          <w:tblHeader/>
          <w:jc w:val="center"/>
        </w:trPr>
        <w:tc>
          <w:tcPr>
            <w:tcW w:w="3846" w:type="dxa"/>
          </w:tcPr>
          <w:p w14:paraId="607BB963" w14:textId="0151F1EC" w:rsidR="00FE3867" w:rsidRPr="00167044" w:rsidRDefault="00FE3867" w:rsidP="00167044">
            <w:pPr>
              <w:spacing w:after="240"/>
              <w:jc w:val="center"/>
              <w:rPr>
                <w:rFonts w:cs="Arial"/>
              </w:rPr>
            </w:pPr>
            <w:r w:rsidRPr="00167044">
              <w:rPr>
                <w:rFonts w:cs="Arial"/>
              </w:rPr>
              <w:t>Armenian</w:t>
            </w:r>
          </w:p>
        </w:tc>
        <w:tc>
          <w:tcPr>
            <w:tcW w:w="2631" w:type="dxa"/>
          </w:tcPr>
          <w:p w14:paraId="0583F538" w14:textId="7BFA9EA7" w:rsidR="00FE3867" w:rsidRPr="00167044" w:rsidRDefault="00FE3867" w:rsidP="00167044">
            <w:pPr>
              <w:spacing w:after="240"/>
              <w:jc w:val="center"/>
              <w:rPr>
                <w:rFonts w:cs="Arial"/>
              </w:rPr>
            </w:pPr>
            <w:r w:rsidRPr="00167044">
              <w:rPr>
                <w:rFonts w:cs="Arial"/>
              </w:rPr>
              <w:t>617</w:t>
            </w:r>
          </w:p>
        </w:tc>
      </w:tr>
      <w:tr w:rsidR="00FE3867" w:rsidRPr="00167044" w14:paraId="7F3A6780" w14:textId="77777777" w:rsidTr="009651A3">
        <w:trPr>
          <w:cantSplit/>
          <w:trHeight w:val="503"/>
          <w:tblHeader/>
          <w:jc w:val="center"/>
        </w:trPr>
        <w:tc>
          <w:tcPr>
            <w:tcW w:w="3846" w:type="dxa"/>
          </w:tcPr>
          <w:p w14:paraId="38FCC9D7" w14:textId="49DBB876" w:rsidR="00FE3867" w:rsidRPr="00167044" w:rsidRDefault="00FE3867" w:rsidP="00167044">
            <w:pPr>
              <w:spacing w:after="240"/>
              <w:jc w:val="center"/>
              <w:rPr>
                <w:rFonts w:cs="Arial"/>
              </w:rPr>
            </w:pPr>
            <w:r w:rsidRPr="00167044">
              <w:rPr>
                <w:rFonts w:cs="Arial"/>
              </w:rPr>
              <w:t>Pashto</w:t>
            </w:r>
          </w:p>
        </w:tc>
        <w:tc>
          <w:tcPr>
            <w:tcW w:w="2631" w:type="dxa"/>
          </w:tcPr>
          <w:p w14:paraId="54D80B68" w14:textId="6340FD8C" w:rsidR="00FE3867" w:rsidRPr="00167044" w:rsidRDefault="00FE3867" w:rsidP="00167044">
            <w:pPr>
              <w:spacing w:after="240"/>
              <w:jc w:val="center"/>
              <w:rPr>
                <w:rFonts w:cs="Arial"/>
              </w:rPr>
            </w:pPr>
            <w:r w:rsidRPr="00167044">
              <w:rPr>
                <w:rFonts w:cs="Arial"/>
              </w:rPr>
              <w:t>453</w:t>
            </w:r>
          </w:p>
        </w:tc>
      </w:tr>
      <w:tr w:rsidR="00FE3867" w:rsidRPr="00167044" w14:paraId="4C38F8EA" w14:textId="77777777" w:rsidTr="009651A3">
        <w:trPr>
          <w:cantSplit/>
          <w:trHeight w:val="503"/>
          <w:tblHeader/>
          <w:jc w:val="center"/>
        </w:trPr>
        <w:tc>
          <w:tcPr>
            <w:tcW w:w="3846" w:type="dxa"/>
          </w:tcPr>
          <w:p w14:paraId="14133700" w14:textId="605D6ACC" w:rsidR="00FE3867" w:rsidRPr="00167044" w:rsidRDefault="00FE3867" w:rsidP="00167044">
            <w:pPr>
              <w:spacing w:after="240"/>
              <w:jc w:val="center"/>
              <w:rPr>
                <w:rFonts w:cs="Arial"/>
              </w:rPr>
            </w:pPr>
            <w:r w:rsidRPr="00167044">
              <w:rPr>
                <w:rFonts w:cs="Arial"/>
              </w:rPr>
              <w:t>Filipino</w:t>
            </w:r>
          </w:p>
        </w:tc>
        <w:tc>
          <w:tcPr>
            <w:tcW w:w="2631" w:type="dxa"/>
          </w:tcPr>
          <w:p w14:paraId="4031A94E" w14:textId="695A5D43" w:rsidR="00FE3867" w:rsidRPr="00167044" w:rsidRDefault="00FE3867" w:rsidP="00167044">
            <w:pPr>
              <w:spacing w:after="240"/>
              <w:jc w:val="center"/>
              <w:rPr>
                <w:rFonts w:cs="Arial"/>
              </w:rPr>
            </w:pPr>
            <w:r w:rsidRPr="00167044">
              <w:rPr>
                <w:rFonts w:cs="Arial"/>
              </w:rPr>
              <w:t>434</w:t>
            </w:r>
          </w:p>
        </w:tc>
      </w:tr>
      <w:tr w:rsidR="00FE3867" w:rsidRPr="00167044" w14:paraId="05542486" w14:textId="77777777" w:rsidTr="009651A3">
        <w:trPr>
          <w:cantSplit/>
          <w:trHeight w:val="503"/>
          <w:tblHeader/>
          <w:jc w:val="center"/>
        </w:trPr>
        <w:tc>
          <w:tcPr>
            <w:tcW w:w="3846" w:type="dxa"/>
          </w:tcPr>
          <w:p w14:paraId="6FFADA54" w14:textId="597490D8" w:rsidR="00FE3867" w:rsidRPr="00167044" w:rsidRDefault="00FE3867" w:rsidP="00167044">
            <w:pPr>
              <w:spacing w:after="240"/>
              <w:jc w:val="center"/>
              <w:rPr>
                <w:rFonts w:cs="Arial"/>
              </w:rPr>
            </w:pPr>
            <w:r w:rsidRPr="00167044">
              <w:rPr>
                <w:rFonts w:cs="Arial"/>
              </w:rPr>
              <w:t>Telugu</w:t>
            </w:r>
          </w:p>
        </w:tc>
        <w:tc>
          <w:tcPr>
            <w:tcW w:w="2631" w:type="dxa"/>
          </w:tcPr>
          <w:p w14:paraId="0596CD71" w14:textId="07A1F62B" w:rsidR="00FE3867" w:rsidRPr="00167044" w:rsidRDefault="00FE3867" w:rsidP="00167044">
            <w:pPr>
              <w:spacing w:after="240"/>
              <w:jc w:val="center"/>
              <w:rPr>
                <w:rFonts w:cs="Arial"/>
              </w:rPr>
            </w:pPr>
            <w:r w:rsidRPr="00167044">
              <w:rPr>
                <w:rFonts w:cs="Arial"/>
              </w:rPr>
              <w:t>197</w:t>
            </w:r>
          </w:p>
        </w:tc>
      </w:tr>
      <w:tr w:rsidR="00FE3867" w:rsidRPr="00167044" w14:paraId="7D21F1C1" w14:textId="77777777" w:rsidTr="009651A3">
        <w:trPr>
          <w:cantSplit/>
          <w:trHeight w:val="503"/>
          <w:tblHeader/>
          <w:jc w:val="center"/>
        </w:trPr>
        <w:tc>
          <w:tcPr>
            <w:tcW w:w="3846" w:type="dxa"/>
          </w:tcPr>
          <w:p w14:paraId="365DD592" w14:textId="001A579E" w:rsidR="00FE3867" w:rsidRPr="00167044" w:rsidRDefault="00FE3867" w:rsidP="00167044">
            <w:pPr>
              <w:spacing w:after="240"/>
              <w:jc w:val="center"/>
              <w:rPr>
                <w:rFonts w:cs="Arial"/>
              </w:rPr>
            </w:pPr>
            <w:r w:rsidRPr="00167044">
              <w:rPr>
                <w:rFonts w:cs="Arial"/>
              </w:rPr>
              <w:t>Hebrew</w:t>
            </w:r>
          </w:p>
        </w:tc>
        <w:tc>
          <w:tcPr>
            <w:tcW w:w="2631" w:type="dxa"/>
          </w:tcPr>
          <w:p w14:paraId="48D70D31" w14:textId="72C13677" w:rsidR="00FE3867" w:rsidRPr="00167044" w:rsidRDefault="00FE3867" w:rsidP="00167044">
            <w:pPr>
              <w:spacing w:after="240"/>
              <w:jc w:val="center"/>
              <w:rPr>
                <w:rFonts w:cs="Arial"/>
              </w:rPr>
            </w:pPr>
            <w:r w:rsidRPr="00167044">
              <w:rPr>
                <w:rFonts w:cs="Arial"/>
              </w:rPr>
              <w:t>177</w:t>
            </w:r>
          </w:p>
        </w:tc>
      </w:tr>
      <w:tr w:rsidR="00FE3867" w:rsidRPr="00167044" w14:paraId="1EC9C326" w14:textId="77777777" w:rsidTr="009651A3">
        <w:trPr>
          <w:cantSplit/>
          <w:trHeight w:val="503"/>
          <w:tblHeader/>
          <w:jc w:val="center"/>
        </w:trPr>
        <w:tc>
          <w:tcPr>
            <w:tcW w:w="3846" w:type="dxa"/>
          </w:tcPr>
          <w:p w14:paraId="15A793F1" w14:textId="44599C23" w:rsidR="00FE3867" w:rsidRPr="00167044" w:rsidRDefault="00FE3867" w:rsidP="00167044">
            <w:pPr>
              <w:spacing w:after="240"/>
              <w:jc w:val="center"/>
              <w:rPr>
                <w:rFonts w:cs="Arial"/>
              </w:rPr>
            </w:pPr>
            <w:r w:rsidRPr="00167044">
              <w:rPr>
                <w:rFonts w:cs="Arial"/>
              </w:rPr>
              <w:t>American Sign Language (ASL)</w:t>
            </w:r>
          </w:p>
        </w:tc>
        <w:tc>
          <w:tcPr>
            <w:tcW w:w="2631" w:type="dxa"/>
          </w:tcPr>
          <w:p w14:paraId="58E33088" w14:textId="0D390C6C" w:rsidR="00FE3867" w:rsidRPr="00167044" w:rsidRDefault="00FE3867" w:rsidP="00167044">
            <w:pPr>
              <w:spacing w:after="240"/>
              <w:jc w:val="center"/>
              <w:rPr>
                <w:rFonts w:cs="Arial"/>
              </w:rPr>
            </w:pPr>
            <w:r w:rsidRPr="00167044">
              <w:rPr>
                <w:rFonts w:cs="Arial"/>
              </w:rPr>
              <w:t>84</w:t>
            </w:r>
          </w:p>
        </w:tc>
      </w:tr>
      <w:tr w:rsidR="00FE3867" w:rsidRPr="00167044" w14:paraId="1311217D" w14:textId="77777777" w:rsidTr="009651A3">
        <w:trPr>
          <w:cantSplit/>
          <w:trHeight w:val="503"/>
          <w:tblHeader/>
          <w:jc w:val="center"/>
        </w:trPr>
        <w:tc>
          <w:tcPr>
            <w:tcW w:w="3846" w:type="dxa"/>
          </w:tcPr>
          <w:p w14:paraId="32EBBC84" w14:textId="0EE1A01E" w:rsidR="00FE3867" w:rsidRPr="00167044" w:rsidRDefault="00FE3867" w:rsidP="00167044">
            <w:pPr>
              <w:spacing w:after="240"/>
              <w:jc w:val="center"/>
              <w:rPr>
                <w:rFonts w:cs="Arial"/>
              </w:rPr>
            </w:pPr>
            <w:r w:rsidRPr="00167044">
              <w:rPr>
                <w:rFonts w:cs="Arial"/>
              </w:rPr>
              <w:t>Cantonese</w:t>
            </w:r>
          </w:p>
        </w:tc>
        <w:tc>
          <w:tcPr>
            <w:tcW w:w="2631" w:type="dxa"/>
          </w:tcPr>
          <w:p w14:paraId="18ABD4D8" w14:textId="6F42A6B2" w:rsidR="00FE3867" w:rsidRPr="00167044" w:rsidRDefault="00FE3867" w:rsidP="00167044">
            <w:pPr>
              <w:spacing w:after="240"/>
              <w:jc w:val="center"/>
              <w:rPr>
                <w:rFonts w:cs="Arial"/>
              </w:rPr>
            </w:pPr>
            <w:r w:rsidRPr="00167044">
              <w:rPr>
                <w:rFonts w:cs="Arial"/>
              </w:rPr>
              <w:t>1</w:t>
            </w:r>
            <w:r w:rsidR="0034052C" w:rsidRPr="00167044">
              <w:rPr>
                <w:rFonts w:cs="Arial"/>
              </w:rPr>
              <w:t>,</w:t>
            </w:r>
            <w:r w:rsidRPr="00167044">
              <w:rPr>
                <w:rFonts w:cs="Arial"/>
              </w:rPr>
              <w:t>930</w:t>
            </w:r>
          </w:p>
        </w:tc>
      </w:tr>
      <w:tr w:rsidR="00FE3867" w:rsidRPr="00167044" w14:paraId="7A4B3DB5" w14:textId="77777777" w:rsidTr="009651A3">
        <w:trPr>
          <w:cantSplit/>
          <w:trHeight w:val="503"/>
          <w:tblHeader/>
          <w:jc w:val="center"/>
        </w:trPr>
        <w:tc>
          <w:tcPr>
            <w:tcW w:w="3846" w:type="dxa"/>
          </w:tcPr>
          <w:p w14:paraId="7905F88D" w14:textId="1E23781D" w:rsidR="00FE3867" w:rsidRPr="00167044" w:rsidRDefault="00FE3867" w:rsidP="00167044">
            <w:pPr>
              <w:spacing w:after="240"/>
              <w:jc w:val="center"/>
              <w:rPr>
                <w:rFonts w:cs="Arial"/>
              </w:rPr>
            </w:pPr>
            <w:r w:rsidRPr="00167044">
              <w:rPr>
                <w:rFonts w:cs="Arial"/>
              </w:rPr>
              <w:t>Mandarin</w:t>
            </w:r>
          </w:p>
        </w:tc>
        <w:tc>
          <w:tcPr>
            <w:tcW w:w="2631" w:type="dxa"/>
          </w:tcPr>
          <w:p w14:paraId="751D2617" w14:textId="6B01FC36" w:rsidR="00FE3867" w:rsidRPr="00167044" w:rsidRDefault="00FE3867" w:rsidP="00167044">
            <w:pPr>
              <w:spacing w:after="240"/>
              <w:jc w:val="center"/>
              <w:rPr>
                <w:rFonts w:cs="Arial"/>
              </w:rPr>
            </w:pPr>
            <w:r w:rsidRPr="00167044">
              <w:rPr>
                <w:rFonts w:cs="Arial"/>
              </w:rPr>
              <w:t>5</w:t>
            </w:r>
            <w:r w:rsidR="0034052C" w:rsidRPr="00167044">
              <w:rPr>
                <w:rFonts w:cs="Arial"/>
              </w:rPr>
              <w:t>,</w:t>
            </w:r>
            <w:r w:rsidRPr="00167044">
              <w:rPr>
                <w:rFonts w:cs="Arial"/>
              </w:rPr>
              <w:t>012</w:t>
            </w:r>
          </w:p>
        </w:tc>
      </w:tr>
      <w:tr w:rsidR="00FE3867" w:rsidRPr="00167044" w14:paraId="536101FB" w14:textId="77777777" w:rsidTr="009651A3">
        <w:trPr>
          <w:cantSplit/>
          <w:trHeight w:val="503"/>
          <w:tblHeader/>
          <w:jc w:val="center"/>
        </w:trPr>
        <w:tc>
          <w:tcPr>
            <w:tcW w:w="3846" w:type="dxa"/>
          </w:tcPr>
          <w:p w14:paraId="5EE79873" w14:textId="5601935E" w:rsidR="00FE3867" w:rsidRPr="00167044" w:rsidRDefault="00FE3867" w:rsidP="00167044">
            <w:pPr>
              <w:spacing w:after="240"/>
              <w:jc w:val="center"/>
              <w:rPr>
                <w:rFonts w:cs="Arial"/>
              </w:rPr>
            </w:pPr>
            <w:r w:rsidRPr="00167044">
              <w:rPr>
                <w:rFonts w:cs="Arial"/>
              </w:rPr>
              <w:t>Urdu</w:t>
            </w:r>
          </w:p>
        </w:tc>
        <w:tc>
          <w:tcPr>
            <w:tcW w:w="2631" w:type="dxa"/>
          </w:tcPr>
          <w:p w14:paraId="75D04E84" w14:textId="5E6A1946" w:rsidR="00FE3867" w:rsidRPr="00167044" w:rsidRDefault="00FE3867" w:rsidP="00167044">
            <w:pPr>
              <w:spacing w:after="240"/>
              <w:jc w:val="center"/>
              <w:rPr>
                <w:rFonts w:cs="Arial"/>
              </w:rPr>
            </w:pPr>
            <w:r w:rsidRPr="00167044">
              <w:rPr>
                <w:rFonts w:cs="Arial"/>
              </w:rPr>
              <w:t>504</w:t>
            </w:r>
          </w:p>
        </w:tc>
      </w:tr>
      <w:tr w:rsidR="00FE3867" w:rsidRPr="00167044" w14:paraId="7CF9426A" w14:textId="77777777" w:rsidTr="009651A3">
        <w:trPr>
          <w:cantSplit/>
          <w:trHeight w:val="503"/>
          <w:tblHeader/>
          <w:jc w:val="center"/>
        </w:trPr>
        <w:tc>
          <w:tcPr>
            <w:tcW w:w="3846" w:type="dxa"/>
          </w:tcPr>
          <w:p w14:paraId="2BEFBA28" w14:textId="220FC811" w:rsidR="00FE3867" w:rsidRPr="00167044" w:rsidRDefault="00FE3867" w:rsidP="00167044">
            <w:pPr>
              <w:spacing w:after="240"/>
              <w:jc w:val="center"/>
              <w:rPr>
                <w:rFonts w:cs="Arial"/>
              </w:rPr>
            </w:pPr>
            <w:r w:rsidRPr="00167044">
              <w:rPr>
                <w:rFonts w:cs="Arial"/>
              </w:rPr>
              <w:t>Arabic</w:t>
            </w:r>
          </w:p>
        </w:tc>
        <w:tc>
          <w:tcPr>
            <w:tcW w:w="2631" w:type="dxa"/>
          </w:tcPr>
          <w:p w14:paraId="26C55FCF" w14:textId="4635A611" w:rsidR="00FE3867" w:rsidRPr="00167044" w:rsidRDefault="00FE3867" w:rsidP="00167044">
            <w:pPr>
              <w:spacing w:after="240"/>
              <w:jc w:val="center"/>
              <w:rPr>
                <w:rFonts w:cs="Arial"/>
              </w:rPr>
            </w:pPr>
            <w:r w:rsidRPr="00167044">
              <w:rPr>
                <w:rFonts w:cs="Arial"/>
              </w:rPr>
              <w:t>2</w:t>
            </w:r>
            <w:r w:rsidR="0034052C" w:rsidRPr="00167044">
              <w:rPr>
                <w:rFonts w:cs="Arial"/>
              </w:rPr>
              <w:t>,</w:t>
            </w:r>
            <w:r w:rsidRPr="00167044">
              <w:rPr>
                <w:rFonts w:cs="Arial"/>
              </w:rPr>
              <w:t>142</w:t>
            </w:r>
          </w:p>
        </w:tc>
      </w:tr>
    </w:tbl>
    <w:p w14:paraId="63E4986C" w14:textId="19C828E0" w:rsidR="00FE3867" w:rsidRPr="00167044" w:rsidRDefault="000B4DC7" w:rsidP="00167044">
      <w:pPr>
        <w:spacing w:after="240"/>
        <w:rPr>
          <w:rFonts w:cs="Arial"/>
        </w:rPr>
      </w:pPr>
      <w:r w:rsidRPr="00167044">
        <w:rPr>
          <w:rFonts w:cs="Arial"/>
        </w:rPr>
        <w:t>Thirty-two</w:t>
      </w:r>
      <w:r w:rsidR="0034052C" w:rsidRPr="00167044">
        <w:rPr>
          <w:rFonts w:cs="Arial"/>
        </w:rPr>
        <w:t xml:space="preserve"> </w:t>
      </w:r>
      <w:r w:rsidR="00A72AB6" w:rsidRPr="00167044">
        <w:rPr>
          <w:rFonts w:cs="Arial"/>
        </w:rPr>
        <w:t>a</w:t>
      </w:r>
      <w:r w:rsidR="0034052C" w:rsidRPr="00167044">
        <w:rPr>
          <w:rFonts w:cs="Arial"/>
        </w:rPr>
        <w:t xml:space="preserve">dditional languages spoken ranging from </w:t>
      </w:r>
      <w:r w:rsidR="004D76D4" w:rsidRPr="00167044">
        <w:rPr>
          <w:rFonts w:cs="Arial"/>
        </w:rPr>
        <w:t xml:space="preserve">one to </w:t>
      </w:r>
      <w:r w:rsidR="0034052C" w:rsidRPr="00167044">
        <w:rPr>
          <w:rFonts w:cs="Arial"/>
        </w:rPr>
        <w:t>10 families</w:t>
      </w:r>
      <w:r w:rsidR="009651A3" w:rsidRPr="00167044">
        <w:rPr>
          <w:rFonts w:cs="Arial"/>
        </w:rPr>
        <w:t xml:space="preserve"> each</w:t>
      </w:r>
      <w:r w:rsidR="0034052C" w:rsidRPr="00167044">
        <w:rPr>
          <w:rFonts w:cs="Arial"/>
        </w:rPr>
        <w:t>.</w:t>
      </w:r>
    </w:p>
    <w:sectPr w:rsidR="00FE3867" w:rsidRPr="00167044" w:rsidSect="00977A84">
      <w:footerReference w:type="default" r:id="rId16"/>
      <w:pgSz w:w="12240" w:h="15840"/>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E2FBC" w14:textId="77777777" w:rsidR="00A27E8E" w:rsidRDefault="00A27E8E">
      <w:r>
        <w:separator/>
      </w:r>
    </w:p>
  </w:endnote>
  <w:endnote w:type="continuationSeparator" w:id="0">
    <w:p w14:paraId="02C470EB" w14:textId="77777777" w:rsidR="00A27E8E" w:rsidRDefault="00A27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0409840"/>
      <w:docPartObj>
        <w:docPartGallery w:val="Page Numbers (Bottom of Page)"/>
        <w:docPartUnique/>
      </w:docPartObj>
    </w:sdtPr>
    <w:sdtEndPr>
      <w:rPr>
        <w:rFonts w:cs="Arial"/>
        <w:noProof/>
      </w:rPr>
    </w:sdtEndPr>
    <w:sdtContent>
      <w:p w14:paraId="0F946C20" w14:textId="240301E5" w:rsidR="00FE3867" w:rsidRPr="00131C7F" w:rsidRDefault="00000000">
        <w:pPr>
          <w:pStyle w:val="Footer"/>
          <w:jc w:val="center"/>
          <w:rPr>
            <w:rFonts w:cs="Arial"/>
          </w:rPr>
        </w:pPr>
      </w:p>
    </w:sdtContent>
  </w:sdt>
  <w:p w14:paraId="5A7992EC" w14:textId="77777777" w:rsidR="00FE3867" w:rsidRDefault="00FE3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4196424"/>
      <w:docPartObj>
        <w:docPartGallery w:val="Page Numbers (Bottom of Page)"/>
        <w:docPartUnique/>
      </w:docPartObj>
    </w:sdtPr>
    <w:sdtEndPr>
      <w:rPr>
        <w:rFonts w:cs="Arial"/>
        <w:noProof/>
      </w:rPr>
    </w:sdtEndPr>
    <w:sdtContent>
      <w:p w14:paraId="04C29832" w14:textId="77777777" w:rsidR="00FE3867" w:rsidRPr="00EA3147" w:rsidRDefault="00FE3867">
        <w:pPr>
          <w:pStyle w:val="Footer"/>
          <w:jc w:val="center"/>
          <w:rPr>
            <w:rFonts w:cs="Arial"/>
          </w:rPr>
        </w:pPr>
        <w:r w:rsidRPr="00EA3147">
          <w:rPr>
            <w:rFonts w:cs="Arial"/>
          </w:rPr>
          <w:fldChar w:fldCharType="begin"/>
        </w:r>
        <w:r w:rsidRPr="00EA3147">
          <w:rPr>
            <w:rFonts w:cs="Arial"/>
          </w:rPr>
          <w:instrText xml:space="preserve"> PAGE   \* MERGEFORMAT </w:instrText>
        </w:r>
        <w:r w:rsidRPr="00EA3147">
          <w:rPr>
            <w:rFonts w:cs="Arial"/>
          </w:rPr>
          <w:fldChar w:fldCharType="separate"/>
        </w:r>
        <w:r w:rsidRPr="00EA3147">
          <w:rPr>
            <w:rFonts w:cs="Arial"/>
            <w:noProof/>
          </w:rPr>
          <w:t>2</w:t>
        </w:r>
        <w:r w:rsidRPr="00EA3147">
          <w:rPr>
            <w:rFonts w:cs="Arial"/>
            <w:noProof/>
          </w:rPr>
          <w:fldChar w:fldCharType="end"/>
        </w:r>
      </w:p>
    </w:sdtContent>
  </w:sdt>
  <w:p w14:paraId="38555D21" w14:textId="77777777" w:rsidR="00FE3867" w:rsidRDefault="00FE3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8D5F3" w14:textId="77777777" w:rsidR="00A27E8E" w:rsidRDefault="00A27E8E">
      <w:r>
        <w:separator/>
      </w:r>
    </w:p>
  </w:footnote>
  <w:footnote w:type="continuationSeparator" w:id="0">
    <w:p w14:paraId="2984BAD9" w14:textId="77777777" w:rsidR="00A27E8E" w:rsidRDefault="00A27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47AD5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B220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4F2DCB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2C99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E6D4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3845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AEC6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F62E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AF015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5A5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7535E"/>
    <w:multiLevelType w:val="hybridMultilevel"/>
    <w:tmpl w:val="F8CAF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BA438C3"/>
    <w:multiLevelType w:val="hybridMultilevel"/>
    <w:tmpl w:val="B2C84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26F8C"/>
    <w:multiLevelType w:val="hybridMultilevel"/>
    <w:tmpl w:val="3DB0F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E97766"/>
    <w:multiLevelType w:val="multilevel"/>
    <w:tmpl w:val="97E0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F21278"/>
    <w:multiLevelType w:val="hybridMultilevel"/>
    <w:tmpl w:val="7BC2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C14E75"/>
    <w:multiLevelType w:val="hybridMultilevel"/>
    <w:tmpl w:val="45F40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2A1D22"/>
    <w:multiLevelType w:val="multilevel"/>
    <w:tmpl w:val="A188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C97AC8"/>
    <w:multiLevelType w:val="multilevel"/>
    <w:tmpl w:val="382A1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940209"/>
    <w:multiLevelType w:val="hybridMultilevel"/>
    <w:tmpl w:val="1B4A5370"/>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CD09BA"/>
    <w:multiLevelType w:val="multilevel"/>
    <w:tmpl w:val="AEA2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2322E6"/>
    <w:multiLevelType w:val="hybridMultilevel"/>
    <w:tmpl w:val="1FDEC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B0266"/>
    <w:multiLevelType w:val="multilevel"/>
    <w:tmpl w:val="691A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F50DE3"/>
    <w:multiLevelType w:val="hybridMultilevel"/>
    <w:tmpl w:val="EA72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184609"/>
    <w:multiLevelType w:val="hybridMultilevel"/>
    <w:tmpl w:val="07B28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FC67AE"/>
    <w:multiLevelType w:val="hybridMultilevel"/>
    <w:tmpl w:val="A296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0C36FA"/>
    <w:multiLevelType w:val="multilevel"/>
    <w:tmpl w:val="9C609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6543799">
    <w:abstractNumId w:val="18"/>
  </w:num>
  <w:num w:numId="2" w16cid:durableId="1172912017">
    <w:abstractNumId w:val="17"/>
  </w:num>
  <w:num w:numId="3" w16cid:durableId="1604992242">
    <w:abstractNumId w:val="19"/>
  </w:num>
  <w:num w:numId="4" w16cid:durableId="649094054">
    <w:abstractNumId w:val="16"/>
  </w:num>
  <w:num w:numId="5" w16cid:durableId="1016692713">
    <w:abstractNumId w:val="21"/>
  </w:num>
  <w:num w:numId="6" w16cid:durableId="14507480">
    <w:abstractNumId w:val="13"/>
  </w:num>
  <w:num w:numId="7" w16cid:durableId="1103376008">
    <w:abstractNumId w:val="25"/>
  </w:num>
  <w:num w:numId="8" w16cid:durableId="1332412982">
    <w:abstractNumId w:val="20"/>
  </w:num>
  <w:num w:numId="9" w16cid:durableId="1018042607">
    <w:abstractNumId w:val="22"/>
  </w:num>
  <w:num w:numId="10" w16cid:durableId="2085183752">
    <w:abstractNumId w:val="14"/>
  </w:num>
  <w:num w:numId="11" w16cid:durableId="1483544107">
    <w:abstractNumId w:val="24"/>
  </w:num>
  <w:num w:numId="12" w16cid:durableId="198276405">
    <w:abstractNumId w:val="15"/>
  </w:num>
  <w:num w:numId="13" w16cid:durableId="1824738773">
    <w:abstractNumId w:val="10"/>
  </w:num>
  <w:num w:numId="14" w16cid:durableId="1068386989">
    <w:abstractNumId w:val="12"/>
  </w:num>
  <w:num w:numId="15" w16cid:durableId="74212518">
    <w:abstractNumId w:val="23"/>
  </w:num>
  <w:num w:numId="16" w16cid:durableId="933316533">
    <w:abstractNumId w:val="11"/>
  </w:num>
  <w:num w:numId="17" w16cid:durableId="2037654580">
    <w:abstractNumId w:val="9"/>
  </w:num>
  <w:num w:numId="18" w16cid:durableId="477766610">
    <w:abstractNumId w:val="7"/>
  </w:num>
  <w:num w:numId="19" w16cid:durableId="1763842504">
    <w:abstractNumId w:val="6"/>
  </w:num>
  <w:num w:numId="20" w16cid:durableId="871726762">
    <w:abstractNumId w:val="5"/>
  </w:num>
  <w:num w:numId="21" w16cid:durableId="2118325172">
    <w:abstractNumId w:val="4"/>
  </w:num>
  <w:num w:numId="22" w16cid:durableId="1230994030">
    <w:abstractNumId w:val="8"/>
  </w:num>
  <w:num w:numId="23" w16cid:durableId="1157574625">
    <w:abstractNumId w:val="3"/>
  </w:num>
  <w:num w:numId="24" w16cid:durableId="2041973087">
    <w:abstractNumId w:val="2"/>
  </w:num>
  <w:num w:numId="25" w16cid:durableId="752320428">
    <w:abstractNumId w:val="1"/>
  </w:num>
  <w:num w:numId="26" w16cid:durableId="1270309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9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A0"/>
    <w:rsid w:val="00004C5F"/>
    <w:rsid w:val="000071B8"/>
    <w:rsid w:val="0001256D"/>
    <w:rsid w:val="00012990"/>
    <w:rsid w:val="00072252"/>
    <w:rsid w:val="00072D0C"/>
    <w:rsid w:val="000738FF"/>
    <w:rsid w:val="0008263F"/>
    <w:rsid w:val="00083EDC"/>
    <w:rsid w:val="00086F9B"/>
    <w:rsid w:val="000A416A"/>
    <w:rsid w:val="000B4A2F"/>
    <w:rsid w:val="000B4DC7"/>
    <w:rsid w:val="000B5DE5"/>
    <w:rsid w:val="000C3ADF"/>
    <w:rsid w:val="000C5EB9"/>
    <w:rsid w:val="000D03E8"/>
    <w:rsid w:val="000D6D13"/>
    <w:rsid w:val="000D6DDE"/>
    <w:rsid w:val="000E24B2"/>
    <w:rsid w:val="000F4AD7"/>
    <w:rsid w:val="000F7C6D"/>
    <w:rsid w:val="001072A5"/>
    <w:rsid w:val="00110AE9"/>
    <w:rsid w:val="001123E6"/>
    <w:rsid w:val="00131C7F"/>
    <w:rsid w:val="001444DE"/>
    <w:rsid w:val="00146DCA"/>
    <w:rsid w:val="001564DF"/>
    <w:rsid w:val="00156903"/>
    <w:rsid w:val="00157FC8"/>
    <w:rsid w:val="00163E76"/>
    <w:rsid w:val="00165A53"/>
    <w:rsid w:val="00167044"/>
    <w:rsid w:val="00174BF0"/>
    <w:rsid w:val="00175BC6"/>
    <w:rsid w:val="00176B6E"/>
    <w:rsid w:val="001864FC"/>
    <w:rsid w:val="001A0328"/>
    <w:rsid w:val="001A15D8"/>
    <w:rsid w:val="001B10EA"/>
    <w:rsid w:val="001B6E2E"/>
    <w:rsid w:val="001C1A33"/>
    <w:rsid w:val="001D5BDD"/>
    <w:rsid w:val="001E7642"/>
    <w:rsid w:val="001F432B"/>
    <w:rsid w:val="00211337"/>
    <w:rsid w:val="00236E88"/>
    <w:rsid w:val="002407AF"/>
    <w:rsid w:val="002410B3"/>
    <w:rsid w:val="00242F00"/>
    <w:rsid w:val="002456C6"/>
    <w:rsid w:val="002568F2"/>
    <w:rsid w:val="00261BB4"/>
    <w:rsid w:val="0026353F"/>
    <w:rsid w:val="002674E1"/>
    <w:rsid w:val="00283238"/>
    <w:rsid w:val="00284D82"/>
    <w:rsid w:val="00285D8C"/>
    <w:rsid w:val="002865DB"/>
    <w:rsid w:val="00290C38"/>
    <w:rsid w:val="00291FE4"/>
    <w:rsid w:val="0029344F"/>
    <w:rsid w:val="00296E03"/>
    <w:rsid w:val="002A2FE7"/>
    <w:rsid w:val="002B6466"/>
    <w:rsid w:val="002C4179"/>
    <w:rsid w:val="002D5DE4"/>
    <w:rsid w:val="002F3CA0"/>
    <w:rsid w:val="002F594F"/>
    <w:rsid w:val="002F5CCB"/>
    <w:rsid w:val="002F718A"/>
    <w:rsid w:val="00301371"/>
    <w:rsid w:val="00303115"/>
    <w:rsid w:val="003035E4"/>
    <w:rsid w:val="00306E92"/>
    <w:rsid w:val="00315109"/>
    <w:rsid w:val="00320ED7"/>
    <w:rsid w:val="0032572B"/>
    <w:rsid w:val="0034052C"/>
    <w:rsid w:val="00351D54"/>
    <w:rsid w:val="00355B34"/>
    <w:rsid w:val="00360045"/>
    <w:rsid w:val="00372B9C"/>
    <w:rsid w:val="00387435"/>
    <w:rsid w:val="003B1850"/>
    <w:rsid w:val="003B38CD"/>
    <w:rsid w:val="003B533D"/>
    <w:rsid w:val="003D01CF"/>
    <w:rsid w:val="003D31BB"/>
    <w:rsid w:val="003D5D98"/>
    <w:rsid w:val="003F7C60"/>
    <w:rsid w:val="00400F6A"/>
    <w:rsid w:val="00412300"/>
    <w:rsid w:val="0041626C"/>
    <w:rsid w:val="00416DD4"/>
    <w:rsid w:val="00420D90"/>
    <w:rsid w:val="004237AF"/>
    <w:rsid w:val="004260AE"/>
    <w:rsid w:val="00435CDD"/>
    <w:rsid w:val="0044110E"/>
    <w:rsid w:val="004507F7"/>
    <w:rsid w:val="004522FC"/>
    <w:rsid w:val="004537B9"/>
    <w:rsid w:val="00453995"/>
    <w:rsid w:val="00457203"/>
    <w:rsid w:val="0045760E"/>
    <w:rsid w:val="004600B0"/>
    <w:rsid w:val="00463C0E"/>
    <w:rsid w:val="00482ABD"/>
    <w:rsid w:val="00485E0A"/>
    <w:rsid w:val="00492DF3"/>
    <w:rsid w:val="004C0B59"/>
    <w:rsid w:val="004D4F2B"/>
    <w:rsid w:val="004D76D4"/>
    <w:rsid w:val="004D7E9C"/>
    <w:rsid w:val="004E42CD"/>
    <w:rsid w:val="004E4C94"/>
    <w:rsid w:val="004E5EB7"/>
    <w:rsid w:val="004F0831"/>
    <w:rsid w:val="00512B04"/>
    <w:rsid w:val="00515C46"/>
    <w:rsid w:val="00517839"/>
    <w:rsid w:val="00517C7E"/>
    <w:rsid w:val="00522708"/>
    <w:rsid w:val="00550DA0"/>
    <w:rsid w:val="00552E47"/>
    <w:rsid w:val="00561545"/>
    <w:rsid w:val="005A09CB"/>
    <w:rsid w:val="005C7047"/>
    <w:rsid w:val="005E54C2"/>
    <w:rsid w:val="005E7E5E"/>
    <w:rsid w:val="00605ACF"/>
    <w:rsid w:val="006062A5"/>
    <w:rsid w:val="00610E53"/>
    <w:rsid w:val="00616027"/>
    <w:rsid w:val="00621ABF"/>
    <w:rsid w:val="0063359E"/>
    <w:rsid w:val="00633B36"/>
    <w:rsid w:val="0063467C"/>
    <w:rsid w:val="006354B8"/>
    <w:rsid w:val="00635665"/>
    <w:rsid w:val="00642613"/>
    <w:rsid w:val="00643414"/>
    <w:rsid w:val="00652AB6"/>
    <w:rsid w:val="00652D5C"/>
    <w:rsid w:val="006606F6"/>
    <w:rsid w:val="00663646"/>
    <w:rsid w:val="00666044"/>
    <w:rsid w:val="0067139D"/>
    <w:rsid w:val="00674E80"/>
    <w:rsid w:val="0068362B"/>
    <w:rsid w:val="00692596"/>
    <w:rsid w:val="006A1802"/>
    <w:rsid w:val="006A32BF"/>
    <w:rsid w:val="006D6D90"/>
    <w:rsid w:val="006E4788"/>
    <w:rsid w:val="006F1E8F"/>
    <w:rsid w:val="006F1FCD"/>
    <w:rsid w:val="006F362E"/>
    <w:rsid w:val="00704D67"/>
    <w:rsid w:val="0072365B"/>
    <w:rsid w:val="00723FBE"/>
    <w:rsid w:val="0072742A"/>
    <w:rsid w:val="00731E1A"/>
    <w:rsid w:val="00734D0C"/>
    <w:rsid w:val="0075392B"/>
    <w:rsid w:val="00773777"/>
    <w:rsid w:val="007762C5"/>
    <w:rsid w:val="007779B5"/>
    <w:rsid w:val="007859EA"/>
    <w:rsid w:val="00796322"/>
    <w:rsid w:val="00796C8D"/>
    <w:rsid w:val="007A2D74"/>
    <w:rsid w:val="007A78C4"/>
    <w:rsid w:val="007A7C7E"/>
    <w:rsid w:val="007B0730"/>
    <w:rsid w:val="007C23FC"/>
    <w:rsid w:val="007D6621"/>
    <w:rsid w:val="007D6C29"/>
    <w:rsid w:val="007E1BB9"/>
    <w:rsid w:val="007E2BBD"/>
    <w:rsid w:val="007E75C4"/>
    <w:rsid w:val="0080714A"/>
    <w:rsid w:val="008206AC"/>
    <w:rsid w:val="00825FC5"/>
    <w:rsid w:val="00830835"/>
    <w:rsid w:val="00832099"/>
    <w:rsid w:val="00832C81"/>
    <w:rsid w:val="00832EDC"/>
    <w:rsid w:val="00843FE2"/>
    <w:rsid w:val="00846C10"/>
    <w:rsid w:val="008501D8"/>
    <w:rsid w:val="008602A1"/>
    <w:rsid w:val="008614D3"/>
    <w:rsid w:val="00862860"/>
    <w:rsid w:val="00873A57"/>
    <w:rsid w:val="00887676"/>
    <w:rsid w:val="00892278"/>
    <w:rsid w:val="0089719C"/>
    <w:rsid w:val="008B5289"/>
    <w:rsid w:val="008B703A"/>
    <w:rsid w:val="008C147C"/>
    <w:rsid w:val="008C7435"/>
    <w:rsid w:val="008D0C62"/>
    <w:rsid w:val="008D175B"/>
    <w:rsid w:val="008F21F9"/>
    <w:rsid w:val="00904D9F"/>
    <w:rsid w:val="00906E4B"/>
    <w:rsid w:val="0091121A"/>
    <w:rsid w:val="00922A3E"/>
    <w:rsid w:val="00931581"/>
    <w:rsid w:val="00941F84"/>
    <w:rsid w:val="0094446F"/>
    <w:rsid w:val="009452A3"/>
    <w:rsid w:val="00951583"/>
    <w:rsid w:val="00960062"/>
    <w:rsid w:val="0096408B"/>
    <w:rsid w:val="009651A3"/>
    <w:rsid w:val="00977A84"/>
    <w:rsid w:val="00977B04"/>
    <w:rsid w:val="00983A63"/>
    <w:rsid w:val="009961CD"/>
    <w:rsid w:val="009A2572"/>
    <w:rsid w:val="009B5CCC"/>
    <w:rsid w:val="009B6DEB"/>
    <w:rsid w:val="009C5C06"/>
    <w:rsid w:val="009E6005"/>
    <w:rsid w:val="009F10E8"/>
    <w:rsid w:val="009F2471"/>
    <w:rsid w:val="00A109B7"/>
    <w:rsid w:val="00A10BAB"/>
    <w:rsid w:val="00A17185"/>
    <w:rsid w:val="00A25DA0"/>
    <w:rsid w:val="00A27E8E"/>
    <w:rsid w:val="00A354BD"/>
    <w:rsid w:val="00A41362"/>
    <w:rsid w:val="00A41FE5"/>
    <w:rsid w:val="00A478E1"/>
    <w:rsid w:val="00A52CA7"/>
    <w:rsid w:val="00A54325"/>
    <w:rsid w:val="00A653E8"/>
    <w:rsid w:val="00A655C5"/>
    <w:rsid w:val="00A66847"/>
    <w:rsid w:val="00A70529"/>
    <w:rsid w:val="00A72AB6"/>
    <w:rsid w:val="00A80C5D"/>
    <w:rsid w:val="00A80E96"/>
    <w:rsid w:val="00A815DA"/>
    <w:rsid w:val="00AA256A"/>
    <w:rsid w:val="00AA2641"/>
    <w:rsid w:val="00AA38B0"/>
    <w:rsid w:val="00AB0BE9"/>
    <w:rsid w:val="00AB270B"/>
    <w:rsid w:val="00AB2775"/>
    <w:rsid w:val="00AC257A"/>
    <w:rsid w:val="00AC7E7E"/>
    <w:rsid w:val="00AE11C1"/>
    <w:rsid w:val="00AE3010"/>
    <w:rsid w:val="00AE62EF"/>
    <w:rsid w:val="00AF39E0"/>
    <w:rsid w:val="00AF738D"/>
    <w:rsid w:val="00B06183"/>
    <w:rsid w:val="00B06B7A"/>
    <w:rsid w:val="00B127B1"/>
    <w:rsid w:val="00B17691"/>
    <w:rsid w:val="00B247AA"/>
    <w:rsid w:val="00B31C17"/>
    <w:rsid w:val="00B404B1"/>
    <w:rsid w:val="00B413A3"/>
    <w:rsid w:val="00B44740"/>
    <w:rsid w:val="00B44F2C"/>
    <w:rsid w:val="00B50B9B"/>
    <w:rsid w:val="00B52680"/>
    <w:rsid w:val="00B60A9A"/>
    <w:rsid w:val="00B66A8D"/>
    <w:rsid w:val="00B712E2"/>
    <w:rsid w:val="00B721DC"/>
    <w:rsid w:val="00B85481"/>
    <w:rsid w:val="00B91E9B"/>
    <w:rsid w:val="00BA25E8"/>
    <w:rsid w:val="00BA2E5A"/>
    <w:rsid w:val="00BA601F"/>
    <w:rsid w:val="00BB73AA"/>
    <w:rsid w:val="00BD0088"/>
    <w:rsid w:val="00BD56E7"/>
    <w:rsid w:val="00BE58C4"/>
    <w:rsid w:val="00BF2ED1"/>
    <w:rsid w:val="00BF66E6"/>
    <w:rsid w:val="00C11A48"/>
    <w:rsid w:val="00C11ABF"/>
    <w:rsid w:val="00C236E4"/>
    <w:rsid w:val="00C34360"/>
    <w:rsid w:val="00C41F87"/>
    <w:rsid w:val="00C51ECE"/>
    <w:rsid w:val="00C5658E"/>
    <w:rsid w:val="00C66A5D"/>
    <w:rsid w:val="00C7099F"/>
    <w:rsid w:val="00C71652"/>
    <w:rsid w:val="00C8026C"/>
    <w:rsid w:val="00C829EA"/>
    <w:rsid w:val="00C84149"/>
    <w:rsid w:val="00C87E58"/>
    <w:rsid w:val="00C926AA"/>
    <w:rsid w:val="00C96DAB"/>
    <w:rsid w:val="00CA6ABD"/>
    <w:rsid w:val="00CC30E1"/>
    <w:rsid w:val="00CE02B1"/>
    <w:rsid w:val="00CE7226"/>
    <w:rsid w:val="00CF2F9A"/>
    <w:rsid w:val="00CF3B1F"/>
    <w:rsid w:val="00CF67A6"/>
    <w:rsid w:val="00D03596"/>
    <w:rsid w:val="00D0576C"/>
    <w:rsid w:val="00D24D9B"/>
    <w:rsid w:val="00D3149D"/>
    <w:rsid w:val="00D34917"/>
    <w:rsid w:val="00D3504A"/>
    <w:rsid w:val="00D4085F"/>
    <w:rsid w:val="00D47571"/>
    <w:rsid w:val="00D53C94"/>
    <w:rsid w:val="00D55C7D"/>
    <w:rsid w:val="00D61C10"/>
    <w:rsid w:val="00D64F04"/>
    <w:rsid w:val="00D7011E"/>
    <w:rsid w:val="00D8266C"/>
    <w:rsid w:val="00D83C26"/>
    <w:rsid w:val="00D8655F"/>
    <w:rsid w:val="00D87D89"/>
    <w:rsid w:val="00D91199"/>
    <w:rsid w:val="00DA3BED"/>
    <w:rsid w:val="00DA5A44"/>
    <w:rsid w:val="00DA63EF"/>
    <w:rsid w:val="00DB0430"/>
    <w:rsid w:val="00DC05C6"/>
    <w:rsid w:val="00DC5034"/>
    <w:rsid w:val="00DD28BF"/>
    <w:rsid w:val="00DD3F43"/>
    <w:rsid w:val="00DE6C1B"/>
    <w:rsid w:val="00DF4B2E"/>
    <w:rsid w:val="00E01918"/>
    <w:rsid w:val="00E14AD8"/>
    <w:rsid w:val="00E16690"/>
    <w:rsid w:val="00E22030"/>
    <w:rsid w:val="00E235DE"/>
    <w:rsid w:val="00E33444"/>
    <w:rsid w:val="00E3403F"/>
    <w:rsid w:val="00E37FB2"/>
    <w:rsid w:val="00E43C6D"/>
    <w:rsid w:val="00E601B6"/>
    <w:rsid w:val="00E61986"/>
    <w:rsid w:val="00E64573"/>
    <w:rsid w:val="00E74890"/>
    <w:rsid w:val="00E77FB9"/>
    <w:rsid w:val="00E8085F"/>
    <w:rsid w:val="00E8291B"/>
    <w:rsid w:val="00E83E32"/>
    <w:rsid w:val="00E92E24"/>
    <w:rsid w:val="00E93482"/>
    <w:rsid w:val="00EA3147"/>
    <w:rsid w:val="00EA31E4"/>
    <w:rsid w:val="00EB2353"/>
    <w:rsid w:val="00EB49D5"/>
    <w:rsid w:val="00EB5B04"/>
    <w:rsid w:val="00EB5DEF"/>
    <w:rsid w:val="00EC43FE"/>
    <w:rsid w:val="00EC4E9A"/>
    <w:rsid w:val="00EC7020"/>
    <w:rsid w:val="00ED37C3"/>
    <w:rsid w:val="00EE1F98"/>
    <w:rsid w:val="00EE3BB5"/>
    <w:rsid w:val="00EE6E14"/>
    <w:rsid w:val="00EF4E96"/>
    <w:rsid w:val="00F13741"/>
    <w:rsid w:val="00F22B59"/>
    <w:rsid w:val="00F24684"/>
    <w:rsid w:val="00F47A38"/>
    <w:rsid w:val="00F614E3"/>
    <w:rsid w:val="00F623F1"/>
    <w:rsid w:val="00F633EE"/>
    <w:rsid w:val="00F677C7"/>
    <w:rsid w:val="00F9381D"/>
    <w:rsid w:val="00F96DA9"/>
    <w:rsid w:val="00FA5B36"/>
    <w:rsid w:val="00FC1F9B"/>
    <w:rsid w:val="00FC2DEB"/>
    <w:rsid w:val="00FC7D1A"/>
    <w:rsid w:val="00FD16DE"/>
    <w:rsid w:val="00FD3EB1"/>
    <w:rsid w:val="00FD42FF"/>
    <w:rsid w:val="00FE2112"/>
    <w:rsid w:val="00FE3867"/>
    <w:rsid w:val="00FE5D97"/>
    <w:rsid w:val="00FE7BA8"/>
    <w:rsid w:val="00FF67D8"/>
    <w:rsid w:val="01F1C143"/>
    <w:rsid w:val="041B0067"/>
    <w:rsid w:val="116F8070"/>
    <w:rsid w:val="158269BB"/>
    <w:rsid w:val="16BC8463"/>
    <w:rsid w:val="1F1C21C9"/>
    <w:rsid w:val="2143AC25"/>
    <w:rsid w:val="27DA0D74"/>
    <w:rsid w:val="27FAA883"/>
    <w:rsid w:val="2CA02005"/>
    <w:rsid w:val="2D3934CA"/>
    <w:rsid w:val="301A0A61"/>
    <w:rsid w:val="3AC38C91"/>
    <w:rsid w:val="3B1BB3E6"/>
    <w:rsid w:val="3C2A2BF3"/>
    <w:rsid w:val="3EBEFD6C"/>
    <w:rsid w:val="3EEE58CE"/>
    <w:rsid w:val="3FF5D217"/>
    <w:rsid w:val="43D2D2F2"/>
    <w:rsid w:val="492B7633"/>
    <w:rsid w:val="4ED9BCFD"/>
    <w:rsid w:val="4F129041"/>
    <w:rsid w:val="50D34B6D"/>
    <w:rsid w:val="5A693195"/>
    <w:rsid w:val="5C58CC7C"/>
    <w:rsid w:val="656E29D3"/>
    <w:rsid w:val="662EB36F"/>
    <w:rsid w:val="699E98BD"/>
    <w:rsid w:val="6FBBD540"/>
    <w:rsid w:val="78684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F43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2FC"/>
    <w:rPr>
      <w:rFonts w:ascii="Arial" w:hAnsi="Arial"/>
      <w:sz w:val="24"/>
      <w:szCs w:val="24"/>
    </w:rPr>
  </w:style>
  <w:style w:type="paragraph" w:styleId="Heading1">
    <w:name w:val="heading 1"/>
    <w:basedOn w:val="Normal"/>
    <w:next w:val="Normal"/>
    <w:link w:val="Heading1Char"/>
    <w:autoRedefine/>
    <w:qFormat/>
    <w:rsid w:val="000B4A2F"/>
    <w:pPr>
      <w:keepNext/>
      <w:pBdr>
        <w:top w:val="single" w:sz="24" w:space="1" w:color="auto"/>
        <w:left w:val="single" w:sz="24" w:space="4" w:color="auto"/>
        <w:bottom w:val="single" w:sz="24" w:space="1" w:color="auto"/>
        <w:right w:val="single" w:sz="24" w:space="4" w:color="auto"/>
      </w:pBdr>
      <w:spacing w:after="240"/>
      <w:contextualSpacing/>
      <w:jc w:val="center"/>
      <w:outlineLvl w:val="0"/>
    </w:pPr>
    <w:rPr>
      <w:rFonts w:cs="Arial"/>
      <w:b/>
      <w:bCs/>
    </w:rPr>
  </w:style>
  <w:style w:type="paragraph" w:styleId="Heading2">
    <w:name w:val="heading 2"/>
    <w:basedOn w:val="Normal"/>
    <w:next w:val="Normal"/>
    <w:link w:val="Heading2Char"/>
    <w:autoRedefine/>
    <w:unhideWhenUsed/>
    <w:qFormat/>
    <w:rsid w:val="00A478E1"/>
    <w:pPr>
      <w:keepNext/>
      <w:keepLines/>
      <w:spacing w:after="240"/>
      <w:jc w:val="center"/>
      <w:outlineLvl w:val="1"/>
    </w:pPr>
    <w:rPr>
      <w:rFonts w:eastAsiaTheme="majorEastAsia" w:cstheme="majorBidi"/>
      <w:b/>
      <w:sz w:val="28"/>
      <w:szCs w:val="26"/>
    </w:rPr>
  </w:style>
  <w:style w:type="paragraph" w:styleId="Heading3">
    <w:name w:val="heading 3"/>
    <w:basedOn w:val="Normal"/>
    <w:next w:val="Normal"/>
    <w:link w:val="Heading3Char"/>
    <w:autoRedefine/>
    <w:unhideWhenUsed/>
    <w:qFormat/>
    <w:rsid w:val="00083EDC"/>
    <w:pPr>
      <w:keepNext/>
      <w:keepLines/>
      <w:spacing w:before="240" w:after="240"/>
      <w:jc w:val="center"/>
      <w:outlineLvl w:val="2"/>
    </w:pPr>
    <w:rPr>
      <w:rFonts w:eastAsiaTheme="majorEastAsia" w:cstheme="majorBidi"/>
      <w:b/>
      <w:sz w:val="28"/>
    </w:rPr>
  </w:style>
  <w:style w:type="paragraph" w:styleId="Heading4">
    <w:name w:val="heading 4"/>
    <w:basedOn w:val="Normal"/>
    <w:next w:val="Normal"/>
    <w:link w:val="Heading4Char"/>
    <w:unhideWhenUsed/>
    <w:qFormat/>
    <w:rsid w:val="000B4A2F"/>
    <w:pPr>
      <w:keepNext/>
      <w:keepLines/>
      <w:spacing w:before="240" w:after="2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5DA0"/>
    <w:rPr>
      <w:rFonts w:ascii="Tahoma" w:hAnsi="Tahoma" w:cs="Tahoma"/>
      <w:sz w:val="16"/>
      <w:szCs w:val="16"/>
    </w:rPr>
  </w:style>
  <w:style w:type="character" w:styleId="Hyperlink">
    <w:name w:val="Hyperlink"/>
    <w:rsid w:val="00A80C5D"/>
    <w:rPr>
      <w:color w:val="0000FF"/>
      <w:u w:val="single"/>
    </w:rPr>
  </w:style>
  <w:style w:type="table" w:styleId="TableGrid">
    <w:name w:val="Table Grid"/>
    <w:basedOn w:val="TableNormal"/>
    <w:rsid w:val="00A80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614E3"/>
    <w:rPr>
      <w:szCs w:val="20"/>
    </w:rPr>
  </w:style>
  <w:style w:type="paragraph" w:styleId="Header">
    <w:name w:val="header"/>
    <w:basedOn w:val="Normal"/>
    <w:rsid w:val="00F614E3"/>
    <w:pPr>
      <w:tabs>
        <w:tab w:val="center" w:pos="4320"/>
        <w:tab w:val="right" w:pos="8640"/>
      </w:tabs>
    </w:pPr>
  </w:style>
  <w:style w:type="character" w:styleId="CommentReference">
    <w:name w:val="annotation reference"/>
    <w:rsid w:val="00B06B7A"/>
    <w:rPr>
      <w:sz w:val="16"/>
      <w:szCs w:val="16"/>
    </w:rPr>
  </w:style>
  <w:style w:type="paragraph" w:styleId="CommentText">
    <w:name w:val="annotation text"/>
    <w:basedOn w:val="Normal"/>
    <w:link w:val="CommentTextChar"/>
    <w:rsid w:val="00B06B7A"/>
    <w:rPr>
      <w:sz w:val="20"/>
      <w:szCs w:val="20"/>
    </w:rPr>
  </w:style>
  <w:style w:type="character" w:customStyle="1" w:styleId="CommentTextChar">
    <w:name w:val="Comment Text Char"/>
    <w:basedOn w:val="DefaultParagraphFont"/>
    <w:link w:val="CommentText"/>
    <w:rsid w:val="00B06B7A"/>
  </w:style>
  <w:style w:type="paragraph" w:styleId="CommentSubject">
    <w:name w:val="annotation subject"/>
    <w:basedOn w:val="CommentText"/>
    <w:next w:val="CommentText"/>
    <w:link w:val="CommentSubjectChar"/>
    <w:rsid w:val="00B06B7A"/>
    <w:rPr>
      <w:b/>
      <w:bCs/>
    </w:rPr>
  </w:style>
  <w:style w:type="character" w:customStyle="1" w:styleId="CommentSubjectChar">
    <w:name w:val="Comment Subject Char"/>
    <w:link w:val="CommentSubject"/>
    <w:rsid w:val="00B06B7A"/>
    <w:rPr>
      <w:b/>
      <w:bCs/>
    </w:rPr>
  </w:style>
  <w:style w:type="paragraph" w:styleId="Footer">
    <w:name w:val="footer"/>
    <w:basedOn w:val="Normal"/>
    <w:link w:val="FooterChar"/>
    <w:uiPriority w:val="99"/>
    <w:rsid w:val="00315109"/>
    <w:pPr>
      <w:tabs>
        <w:tab w:val="center" w:pos="4680"/>
        <w:tab w:val="right" w:pos="9360"/>
      </w:tabs>
    </w:pPr>
  </w:style>
  <w:style w:type="character" w:customStyle="1" w:styleId="FooterChar">
    <w:name w:val="Footer Char"/>
    <w:link w:val="Footer"/>
    <w:uiPriority w:val="99"/>
    <w:rsid w:val="00315109"/>
    <w:rPr>
      <w:sz w:val="24"/>
      <w:szCs w:val="24"/>
    </w:rPr>
  </w:style>
  <w:style w:type="paragraph" w:styleId="TOC1">
    <w:name w:val="toc 1"/>
    <w:basedOn w:val="Normal"/>
    <w:next w:val="Normal"/>
    <w:autoRedefine/>
    <w:uiPriority w:val="39"/>
    <w:rsid w:val="00DC05C6"/>
    <w:pPr>
      <w:tabs>
        <w:tab w:val="right" w:leader="dot" w:pos="8990"/>
      </w:tabs>
      <w:spacing w:after="240"/>
    </w:pPr>
    <w:rPr>
      <w:rFonts w:cs="Arial"/>
      <w:noProof/>
    </w:rPr>
  </w:style>
  <w:style w:type="character" w:styleId="UnresolvedMention">
    <w:name w:val="Unresolved Mention"/>
    <w:basedOn w:val="DefaultParagraphFont"/>
    <w:uiPriority w:val="99"/>
    <w:semiHidden/>
    <w:unhideWhenUsed/>
    <w:rsid w:val="00941F84"/>
    <w:rPr>
      <w:color w:val="605E5C"/>
      <w:shd w:val="clear" w:color="auto" w:fill="E1DFDD"/>
    </w:rPr>
  </w:style>
  <w:style w:type="paragraph" w:styleId="ListParagraph">
    <w:name w:val="List Paragraph"/>
    <w:basedOn w:val="Normal"/>
    <w:uiPriority w:val="34"/>
    <w:qFormat/>
    <w:rsid w:val="0068362B"/>
    <w:pPr>
      <w:ind w:left="720"/>
      <w:contextualSpacing/>
    </w:pPr>
  </w:style>
  <w:style w:type="character" w:styleId="Emphasis">
    <w:name w:val="Emphasis"/>
    <w:basedOn w:val="DefaultParagraphFont"/>
    <w:uiPriority w:val="20"/>
    <w:qFormat/>
    <w:rsid w:val="0068362B"/>
    <w:rPr>
      <w:i/>
      <w:iCs/>
    </w:rPr>
  </w:style>
  <w:style w:type="character" w:styleId="Strong">
    <w:name w:val="Strong"/>
    <w:basedOn w:val="DefaultParagraphFont"/>
    <w:uiPriority w:val="22"/>
    <w:qFormat/>
    <w:rsid w:val="0068362B"/>
    <w:rPr>
      <w:b/>
      <w:bCs/>
    </w:rPr>
  </w:style>
  <w:style w:type="paragraph" w:styleId="NormalWeb">
    <w:name w:val="Normal (Web)"/>
    <w:basedOn w:val="Normal"/>
    <w:uiPriority w:val="99"/>
    <w:unhideWhenUsed/>
    <w:rsid w:val="0068362B"/>
    <w:pPr>
      <w:spacing w:before="100" w:beforeAutospacing="1" w:after="100" w:afterAutospacing="1"/>
    </w:pPr>
  </w:style>
  <w:style w:type="character" w:customStyle="1" w:styleId="Heading2Char">
    <w:name w:val="Heading 2 Char"/>
    <w:basedOn w:val="DefaultParagraphFont"/>
    <w:link w:val="Heading2"/>
    <w:rsid w:val="00A478E1"/>
    <w:rPr>
      <w:rFonts w:ascii="Arial" w:eastAsiaTheme="majorEastAsia" w:hAnsi="Arial" w:cstheme="majorBidi"/>
      <w:b/>
      <w:sz w:val="28"/>
      <w:szCs w:val="26"/>
    </w:rPr>
  </w:style>
  <w:style w:type="paragraph" w:customStyle="1" w:styleId="Default">
    <w:name w:val="Default"/>
    <w:rsid w:val="00D0576C"/>
    <w:pPr>
      <w:autoSpaceDE w:val="0"/>
      <w:autoSpaceDN w:val="0"/>
      <w:adjustRightInd w:val="0"/>
    </w:pPr>
    <w:rPr>
      <w:rFonts w:ascii="Arial" w:eastAsiaTheme="minorHAnsi" w:hAnsi="Arial" w:cs="Arial"/>
      <w:color w:val="000000"/>
      <w:sz w:val="24"/>
      <w:szCs w:val="24"/>
    </w:rPr>
  </w:style>
  <w:style w:type="table" w:styleId="PlainTable1">
    <w:name w:val="Plain Table 1"/>
    <w:basedOn w:val="TableNormal"/>
    <w:uiPriority w:val="41"/>
    <w:rsid w:val="00BF2E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1123E6"/>
    <w:rPr>
      <w:sz w:val="24"/>
      <w:szCs w:val="24"/>
    </w:rPr>
  </w:style>
  <w:style w:type="paragraph" w:customStyle="1" w:styleId="Heading20">
    <w:name w:val="Heading2"/>
    <w:basedOn w:val="Heading2"/>
    <w:next w:val="Heading2"/>
    <w:link w:val="Heading2Char0"/>
    <w:qFormat/>
    <w:rsid w:val="0075392B"/>
    <w:rPr>
      <w:b w:val="0"/>
      <w:sz w:val="24"/>
    </w:rPr>
  </w:style>
  <w:style w:type="character" w:customStyle="1" w:styleId="Heading1Char">
    <w:name w:val="Heading 1 Char"/>
    <w:basedOn w:val="DefaultParagraphFont"/>
    <w:link w:val="Heading1"/>
    <w:rsid w:val="000B4A2F"/>
    <w:rPr>
      <w:rFonts w:ascii="Arial" w:hAnsi="Arial" w:cs="Arial"/>
      <w:b/>
      <w:bCs/>
      <w:sz w:val="24"/>
      <w:szCs w:val="24"/>
    </w:rPr>
  </w:style>
  <w:style w:type="character" w:customStyle="1" w:styleId="Heading2Char0">
    <w:name w:val="Heading2 Char"/>
    <w:basedOn w:val="Heading1Char"/>
    <w:link w:val="Heading20"/>
    <w:rsid w:val="0075392B"/>
    <w:rPr>
      <w:rFonts w:ascii="Arial" w:eastAsiaTheme="majorEastAsia" w:hAnsi="Arial" w:cstheme="majorBidi"/>
      <w:b/>
      <w:bCs w:val="0"/>
      <w:sz w:val="24"/>
      <w:szCs w:val="26"/>
    </w:rPr>
  </w:style>
  <w:style w:type="character" w:styleId="FollowedHyperlink">
    <w:name w:val="FollowedHyperlink"/>
    <w:basedOn w:val="DefaultParagraphFont"/>
    <w:rsid w:val="0075392B"/>
    <w:rPr>
      <w:color w:val="954F72" w:themeColor="followedHyperlink"/>
      <w:u w:val="single"/>
    </w:rPr>
  </w:style>
  <w:style w:type="character" w:customStyle="1" w:styleId="Heading3Char">
    <w:name w:val="Heading 3 Char"/>
    <w:basedOn w:val="DefaultParagraphFont"/>
    <w:link w:val="Heading3"/>
    <w:rsid w:val="00083EDC"/>
    <w:rPr>
      <w:rFonts w:ascii="Arial" w:eastAsiaTheme="majorEastAsia" w:hAnsi="Arial" w:cstheme="majorBidi"/>
      <w:b/>
      <w:sz w:val="28"/>
      <w:szCs w:val="24"/>
    </w:rPr>
  </w:style>
  <w:style w:type="character" w:customStyle="1" w:styleId="BodyTextChar">
    <w:name w:val="Body Text Char"/>
    <w:basedOn w:val="DefaultParagraphFont"/>
    <w:link w:val="BodyText"/>
    <w:rsid w:val="004522FC"/>
    <w:rPr>
      <w:rFonts w:ascii="Arial" w:hAnsi="Arial"/>
      <w:sz w:val="24"/>
    </w:rPr>
  </w:style>
  <w:style w:type="paragraph" w:styleId="Revision">
    <w:name w:val="Revision"/>
    <w:hidden/>
    <w:uiPriority w:val="99"/>
    <w:semiHidden/>
    <w:rsid w:val="00ED37C3"/>
    <w:rPr>
      <w:rFonts w:ascii="Arial" w:hAnsi="Arial"/>
      <w:sz w:val="24"/>
      <w:szCs w:val="24"/>
    </w:rPr>
  </w:style>
  <w:style w:type="character" w:customStyle="1" w:styleId="cf01">
    <w:name w:val="cf01"/>
    <w:basedOn w:val="DefaultParagraphFont"/>
    <w:rsid w:val="000B4DC7"/>
    <w:rPr>
      <w:rFonts w:ascii="Segoe UI" w:hAnsi="Segoe UI" w:cs="Segoe UI" w:hint="default"/>
      <w:sz w:val="18"/>
      <w:szCs w:val="18"/>
    </w:rPr>
  </w:style>
  <w:style w:type="paragraph" w:styleId="TOC2">
    <w:name w:val="toc 2"/>
    <w:basedOn w:val="Normal"/>
    <w:next w:val="Normal"/>
    <w:autoRedefine/>
    <w:uiPriority w:val="39"/>
    <w:rsid w:val="00DC05C6"/>
    <w:pPr>
      <w:spacing w:after="100"/>
      <w:ind w:left="240"/>
    </w:pPr>
  </w:style>
  <w:style w:type="paragraph" w:styleId="TOC3">
    <w:name w:val="toc 3"/>
    <w:basedOn w:val="Normal"/>
    <w:next w:val="Normal"/>
    <w:autoRedefine/>
    <w:uiPriority w:val="39"/>
    <w:rsid w:val="00DC05C6"/>
    <w:pPr>
      <w:spacing w:after="100"/>
      <w:ind w:left="480"/>
    </w:pPr>
  </w:style>
  <w:style w:type="character" w:customStyle="1" w:styleId="Heading4Char">
    <w:name w:val="Heading 4 Char"/>
    <w:basedOn w:val="DefaultParagraphFont"/>
    <w:link w:val="Heading4"/>
    <w:rsid w:val="000B4A2F"/>
    <w:rPr>
      <w:rFonts w:ascii="Arial" w:eastAsiaTheme="majorEastAsia" w:hAnsi="Arial" w:cstheme="majorBidi"/>
      <w:b/>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592416">
      <w:bodyDiv w:val="1"/>
      <w:marLeft w:val="0"/>
      <w:marRight w:val="0"/>
      <w:marTop w:val="0"/>
      <w:marBottom w:val="0"/>
      <w:divBdr>
        <w:top w:val="none" w:sz="0" w:space="0" w:color="auto"/>
        <w:left w:val="none" w:sz="0" w:space="0" w:color="auto"/>
        <w:bottom w:val="none" w:sz="0" w:space="0" w:color="auto"/>
        <w:right w:val="none" w:sz="0" w:space="0" w:color="auto"/>
      </w:divBdr>
    </w:div>
    <w:div w:id="235097089">
      <w:bodyDiv w:val="1"/>
      <w:marLeft w:val="0"/>
      <w:marRight w:val="0"/>
      <w:marTop w:val="0"/>
      <w:marBottom w:val="0"/>
      <w:divBdr>
        <w:top w:val="none" w:sz="0" w:space="0" w:color="auto"/>
        <w:left w:val="none" w:sz="0" w:space="0" w:color="auto"/>
        <w:bottom w:val="none" w:sz="0" w:space="0" w:color="auto"/>
        <w:right w:val="none" w:sz="0" w:space="0" w:color="auto"/>
      </w:divBdr>
    </w:div>
    <w:div w:id="564951453">
      <w:bodyDiv w:val="1"/>
      <w:marLeft w:val="0"/>
      <w:marRight w:val="0"/>
      <w:marTop w:val="0"/>
      <w:marBottom w:val="0"/>
      <w:divBdr>
        <w:top w:val="none" w:sz="0" w:space="0" w:color="auto"/>
        <w:left w:val="none" w:sz="0" w:space="0" w:color="auto"/>
        <w:bottom w:val="none" w:sz="0" w:space="0" w:color="auto"/>
        <w:right w:val="none" w:sz="0" w:space="0" w:color="auto"/>
      </w:divBdr>
    </w:div>
    <w:div w:id="755906503">
      <w:bodyDiv w:val="1"/>
      <w:marLeft w:val="0"/>
      <w:marRight w:val="0"/>
      <w:marTop w:val="0"/>
      <w:marBottom w:val="0"/>
      <w:divBdr>
        <w:top w:val="none" w:sz="0" w:space="0" w:color="auto"/>
        <w:left w:val="none" w:sz="0" w:space="0" w:color="auto"/>
        <w:bottom w:val="none" w:sz="0" w:space="0" w:color="auto"/>
        <w:right w:val="none" w:sz="0" w:space="0" w:color="auto"/>
      </w:divBdr>
    </w:div>
    <w:div w:id="1063672669">
      <w:bodyDiv w:val="1"/>
      <w:marLeft w:val="0"/>
      <w:marRight w:val="0"/>
      <w:marTop w:val="0"/>
      <w:marBottom w:val="0"/>
      <w:divBdr>
        <w:top w:val="none" w:sz="0" w:space="0" w:color="auto"/>
        <w:left w:val="none" w:sz="0" w:space="0" w:color="auto"/>
        <w:bottom w:val="none" w:sz="0" w:space="0" w:color="auto"/>
        <w:right w:val="none" w:sz="0" w:space="0" w:color="auto"/>
      </w:divBdr>
    </w:div>
    <w:div w:id="1125152275">
      <w:bodyDiv w:val="1"/>
      <w:marLeft w:val="0"/>
      <w:marRight w:val="0"/>
      <w:marTop w:val="0"/>
      <w:marBottom w:val="0"/>
      <w:divBdr>
        <w:top w:val="none" w:sz="0" w:space="0" w:color="auto"/>
        <w:left w:val="none" w:sz="0" w:space="0" w:color="auto"/>
        <w:bottom w:val="none" w:sz="0" w:space="0" w:color="auto"/>
        <w:right w:val="none" w:sz="0" w:space="0" w:color="auto"/>
      </w:divBdr>
    </w:div>
    <w:div w:id="1209416130">
      <w:bodyDiv w:val="1"/>
      <w:marLeft w:val="0"/>
      <w:marRight w:val="0"/>
      <w:marTop w:val="0"/>
      <w:marBottom w:val="0"/>
      <w:divBdr>
        <w:top w:val="none" w:sz="0" w:space="0" w:color="auto"/>
        <w:left w:val="none" w:sz="0" w:space="0" w:color="auto"/>
        <w:bottom w:val="none" w:sz="0" w:space="0" w:color="auto"/>
        <w:right w:val="none" w:sz="0" w:space="0" w:color="auto"/>
      </w:divBdr>
    </w:div>
    <w:div w:id="1240561139">
      <w:bodyDiv w:val="1"/>
      <w:marLeft w:val="0"/>
      <w:marRight w:val="0"/>
      <w:marTop w:val="0"/>
      <w:marBottom w:val="0"/>
      <w:divBdr>
        <w:top w:val="none" w:sz="0" w:space="0" w:color="auto"/>
        <w:left w:val="none" w:sz="0" w:space="0" w:color="auto"/>
        <w:bottom w:val="none" w:sz="0" w:space="0" w:color="auto"/>
        <w:right w:val="none" w:sz="0" w:space="0" w:color="auto"/>
      </w:divBdr>
    </w:div>
    <w:div w:id="1356998564">
      <w:bodyDiv w:val="1"/>
      <w:marLeft w:val="0"/>
      <w:marRight w:val="0"/>
      <w:marTop w:val="0"/>
      <w:marBottom w:val="0"/>
      <w:divBdr>
        <w:top w:val="none" w:sz="0" w:space="0" w:color="auto"/>
        <w:left w:val="none" w:sz="0" w:space="0" w:color="auto"/>
        <w:bottom w:val="none" w:sz="0" w:space="0" w:color="auto"/>
        <w:right w:val="none" w:sz="0" w:space="0" w:color="auto"/>
      </w:divBdr>
    </w:div>
    <w:div w:id="1588004823">
      <w:bodyDiv w:val="1"/>
      <w:marLeft w:val="0"/>
      <w:marRight w:val="0"/>
      <w:marTop w:val="0"/>
      <w:marBottom w:val="0"/>
      <w:divBdr>
        <w:top w:val="none" w:sz="0" w:space="0" w:color="auto"/>
        <w:left w:val="none" w:sz="0" w:space="0" w:color="auto"/>
        <w:bottom w:val="none" w:sz="0" w:space="0" w:color="auto"/>
        <w:right w:val="none" w:sz="0" w:space="0" w:color="auto"/>
      </w:divBdr>
    </w:div>
    <w:div w:id="1600333263">
      <w:bodyDiv w:val="1"/>
      <w:marLeft w:val="0"/>
      <w:marRight w:val="0"/>
      <w:marTop w:val="0"/>
      <w:marBottom w:val="0"/>
      <w:divBdr>
        <w:top w:val="none" w:sz="0" w:space="0" w:color="auto"/>
        <w:left w:val="none" w:sz="0" w:space="0" w:color="auto"/>
        <w:bottom w:val="none" w:sz="0" w:space="0" w:color="auto"/>
        <w:right w:val="none" w:sz="0" w:space="0" w:color="auto"/>
      </w:divBdr>
    </w:div>
    <w:div w:id="1617130817">
      <w:bodyDiv w:val="1"/>
      <w:marLeft w:val="0"/>
      <w:marRight w:val="0"/>
      <w:marTop w:val="0"/>
      <w:marBottom w:val="0"/>
      <w:divBdr>
        <w:top w:val="none" w:sz="0" w:space="0" w:color="auto"/>
        <w:left w:val="none" w:sz="0" w:space="0" w:color="auto"/>
        <w:bottom w:val="none" w:sz="0" w:space="0" w:color="auto"/>
        <w:right w:val="none" w:sz="0" w:space="0" w:color="auto"/>
      </w:divBdr>
    </w:div>
    <w:div w:id="1691100503">
      <w:bodyDiv w:val="1"/>
      <w:marLeft w:val="0"/>
      <w:marRight w:val="0"/>
      <w:marTop w:val="0"/>
      <w:marBottom w:val="0"/>
      <w:divBdr>
        <w:top w:val="none" w:sz="0" w:space="0" w:color="auto"/>
        <w:left w:val="none" w:sz="0" w:space="0" w:color="auto"/>
        <w:bottom w:val="none" w:sz="0" w:space="0" w:color="auto"/>
        <w:right w:val="none" w:sz="0" w:space="0" w:color="auto"/>
      </w:divBdr>
    </w:div>
    <w:div w:id="1867594931">
      <w:bodyDiv w:val="1"/>
      <w:marLeft w:val="0"/>
      <w:marRight w:val="0"/>
      <w:marTop w:val="0"/>
      <w:marBottom w:val="0"/>
      <w:divBdr>
        <w:top w:val="none" w:sz="0" w:space="0" w:color="auto"/>
        <w:left w:val="none" w:sz="0" w:space="0" w:color="auto"/>
        <w:bottom w:val="none" w:sz="0" w:space="0" w:color="auto"/>
        <w:right w:val="none" w:sz="0" w:space="0" w:color="auto"/>
      </w:divBdr>
    </w:div>
    <w:div w:id="1909925610">
      <w:bodyDiv w:val="1"/>
      <w:marLeft w:val="0"/>
      <w:marRight w:val="0"/>
      <w:marTop w:val="0"/>
      <w:marBottom w:val="0"/>
      <w:divBdr>
        <w:top w:val="none" w:sz="0" w:space="0" w:color="auto"/>
        <w:left w:val="none" w:sz="0" w:space="0" w:color="auto"/>
        <w:bottom w:val="none" w:sz="0" w:space="0" w:color="auto"/>
        <w:right w:val="none" w:sz="0" w:space="0" w:color="auto"/>
      </w:divBdr>
    </w:div>
    <w:div w:id="1916083615">
      <w:bodyDiv w:val="1"/>
      <w:marLeft w:val="0"/>
      <w:marRight w:val="0"/>
      <w:marTop w:val="0"/>
      <w:marBottom w:val="0"/>
      <w:divBdr>
        <w:top w:val="none" w:sz="0" w:space="0" w:color="auto"/>
        <w:left w:val="none" w:sz="0" w:space="0" w:color="auto"/>
        <w:bottom w:val="none" w:sz="0" w:space="0" w:color="auto"/>
        <w:right w:val="none" w:sz="0" w:space="0" w:color="auto"/>
      </w:divBdr>
      <w:divsChild>
        <w:div w:id="949095156">
          <w:marLeft w:val="0"/>
          <w:marRight w:val="0"/>
          <w:marTop w:val="0"/>
          <w:marBottom w:val="0"/>
          <w:divBdr>
            <w:top w:val="single" w:sz="2" w:space="0" w:color="D9D9E3"/>
            <w:left w:val="single" w:sz="2" w:space="0" w:color="D9D9E3"/>
            <w:bottom w:val="single" w:sz="2" w:space="0" w:color="D9D9E3"/>
            <w:right w:val="single" w:sz="2" w:space="0" w:color="D9D9E3"/>
          </w:divBdr>
          <w:divsChild>
            <w:div w:id="380979306">
              <w:marLeft w:val="0"/>
              <w:marRight w:val="0"/>
              <w:marTop w:val="0"/>
              <w:marBottom w:val="0"/>
              <w:divBdr>
                <w:top w:val="single" w:sz="2" w:space="0" w:color="D9D9E3"/>
                <w:left w:val="single" w:sz="2" w:space="0" w:color="D9D9E3"/>
                <w:bottom w:val="single" w:sz="2" w:space="0" w:color="D9D9E3"/>
                <w:right w:val="single" w:sz="2" w:space="0" w:color="D9D9E3"/>
              </w:divBdr>
              <w:divsChild>
                <w:div w:id="1352105379">
                  <w:marLeft w:val="0"/>
                  <w:marRight w:val="0"/>
                  <w:marTop w:val="0"/>
                  <w:marBottom w:val="0"/>
                  <w:divBdr>
                    <w:top w:val="single" w:sz="2" w:space="0" w:color="D9D9E3"/>
                    <w:left w:val="single" w:sz="2" w:space="0" w:color="D9D9E3"/>
                    <w:bottom w:val="single" w:sz="2" w:space="0" w:color="D9D9E3"/>
                    <w:right w:val="single" w:sz="2" w:space="0" w:color="D9D9E3"/>
                  </w:divBdr>
                  <w:divsChild>
                    <w:div w:id="1782530258">
                      <w:marLeft w:val="0"/>
                      <w:marRight w:val="0"/>
                      <w:marTop w:val="0"/>
                      <w:marBottom w:val="0"/>
                      <w:divBdr>
                        <w:top w:val="single" w:sz="2" w:space="0" w:color="D9D9E3"/>
                        <w:left w:val="single" w:sz="2" w:space="0" w:color="D9D9E3"/>
                        <w:bottom w:val="single" w:sz="2" w:space="0" w:color="D9D9E3"/>
                        <w:right w:val="single" w:sz="2" w:space="0" w:color="D9D9E3"/>
                      </w:divBdr>
                      <w:divsChild>
                        <w:div w:id="1461529762">
                          <w:marLeft w:val="0"/>
                          <w:marRight w:val="0"/>
                          <w:marTop w:val="0"/>
                          <w:marBottom w:val="0"/>
                          <w:divBdr>
                            <w:top w:val="single" w:sz="2" w:space="0" w:color="auto"/>
                            <w:left w:val="single" w:sz="2" w:space="0" w:color="auto"/>
                            <w:bottom w:val="single" w:sz="6" w:space="0" w:color="auto"/>
                            <w:right w:val="single" w:sz="2" w:space="0" w:color="auto"/>
                          </w:divBdr>
                          <w:divsChild>
                            <w:div w:id="1648245760">
                              <w:marLeft w:val="0"/>
                              <w:marRight w:val="0"/>
                              <w:marTop w:val="100"/>
                              <w:marBottom w:val="100"/>
                              <w:divBdr>
                                <w:top w:val="single" w:sz="2" w:space="0" w:color="D9D9E3"/>
                                <w:left w:val="single" w:sz="2" w:space="0" w:color="D9D9E3"/>
                                <w:bottom w:val="single" w:sz="2" w:space="0" w:color="D9D9E3"/>
                                <w:right w:val="single" w:sz="2" w:space="0" w:color="D9D9E3"/>
                              </w:divBdr>
                              <w:divsChild>
                                <w:div w:id="556161223">
                                  <w:marLeft w:val="0"/>
                                  <w:marRight w:val="0"/>
                                  <w:marTop w:val="0"/>
                                  <w:marBottom w:val="0"/>
                                  <w:divBdr>
                                    <w:top w:val="single" w:sz="2" w:space="0" w:color="D9D9E3"/>
                                    <w:left w:val="single" w:sz="2" w:space="0" w:color="D9D9E3"/>
                                    <w:bottom w:val="single" w:sz="2" w:space="0" w:color="D9D9E3"/>
                                    <w:right w:val="single" w:sz="2" w:space="0" w:color="D9D9E3"/>
                                  </w:divBdr>
                                  <w:divsChild>
                                    <w:div w:id="238642230">
                                      <w:marLeft w:val="0"/>
                                      <w:marRight w:val="0"/>
                                      <w:marTop w:val="0"/>
                                      <w:marBottom w:val="0"/>
                                      <w:divBdr>
                                        <w:top w:val="single" w:sz="2" w:space="0" w:color="D9D9E3"/>
                                        <w:left w:val="single" w:sz="2" w:space="0" w:color="D9D9E3"/>
                                        <w:bottom w:val="single" w:sz="2" w:space="0" w:color="D9D9E3"/>
                                        <w:right w:val="single" w:sz="2" w:space="0" w:color="D9D9E3"/>
                                      </w:divBdr>
                                      <w:divsChild>
                                        <w:div w:id="1011833195">
                                          <w:marLeft w:val="0"/>
                                          <w:marRight w:val="0"/>
                                          <w:marTop w:val="0"/>
                                          <w:marBottom w:val="0"/>
                                          <w:divBdr>
                                            <w:top w:val="single" w:sz="2" w:space="0" w:color="D9D9E3"/>
                                            <w:left w:val="single" w:sz="2" w:space="0" w:color="D9D9E3"/>
                                            <w:bottom w:val="single" w:sz="2" w:space="0" w:color="D9D9E3"/>
                                            <w:right w:val="single" w:sz="2" w:space="0" w:color="D9D9E3"/>
                                          </w:divBdr>
                                          <w:divsChild>
                                            <w:div w:id="274215284">
                                              <w:marLeft w:val="0"/>
                                              <w:marRight w:val="0"/>
                                              <w:marTop w:val="0"/>
                                              <w:marBottom w:val="0"/>
                                              <w:divBdr>
                                                <w:top w:val="single" w:sz="2" w:space="0" w:color="D9D9E3"/>
                                                <w:left w:val="single" w:sz="2" w:space="0" w:color="D9D9E3"/>
                                                <w:bottom w:val="single" w:sz="2" w:space="0" w:color="D9D9E3"/>
                                                <w:right w:val="single" w:sz="2" w:space="0" w:color="D9D9E3"/>
                                              </w:divBdr>
                                              <w:divsChild>
                                                <w:div w:id="1803658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390151759">
          <w:marLeft w:val="0"/>
          <w:marRight w:val="0"/>
          <w:marTop w:val="0"/>
          <w:marBottom w:val="0"/>
          <w:divBdr>
            <w:top w:val="none" w:sz="0" w:space="0" w:color="auto"/>
            <w:left w:val="none" w:sz="0" w:space="0" w:color="auto"/>
            <w:bottom w:val="none" w:sz="0" w:space="0" w:color="auto"/>
            <w:right w:val="none" w:sz="0" w:space="0" w:color="auto"/>
          </w:divBdr>
        </w:div>
      </w:divsChild>
    </w:div>
    <w:div w:id="1964188854">
      <w:bodyDiv w:val="1"/>
      <w:marLeft w:val="0"/>
      <w:marRight w:val="0"/>
      <w:marTop w:val="0"/>
      <w:marBottom w:val="0"/>
      <w:divBdr>
        <w:top w:val="none" w:sz="0" w:space="0" w:color="auto"/>
        <w:left w:val="none" w:sz="0" w:space="0" w:color="auto"/>
        <w:bottom w:val="none" w:sz="0" w:space="0" w:color="auto"/>
        <w:right w:val="none" w:sz="0" w:space="0" w:color="auto"/>
      </w:divBdr>
    </w:div>
    <w:div w:id="1975526833">
      <w:bodyDiv w:val="1"/>
      <w:marLeft w:val="0"/>
      <w:marRight w:val="0"/>
      <w:marTop w:val="0"/>
      <w:marBottom w:val="0"/>
      <w:divBdr>
        <w:top w:val="none" w:sz="0" w:space="0" w:color="auto"/>
        <w:left w:val="none" w:sz="0" w:space="0" w:color="auto"/>
        <w:bottom w:val="none" w:sz="0" w:space="0" w:color="auto"/>
        <w:right w:val="none" w:sz="0" w:space="0" w:color="auto"/>
      </w:divBdr>
    </w:div>
    <w:div w:id="1978870697">
      <w:bodyDiv w:val="1"/>
      <w:marLeft w:val="0"/>
      <w:marRight w:val="0"/>
      <w:marTop w:val="0"/>
      <w:marBottom w:val="0"/>
      <w:divBdr>
        <w:top w:val="none" w:sz="0" w:space="0" w:color="auto"/>
        <w:left w:val="none" w:sz="0" w:space="0" w:color="auto"/>
        <w:bottom w:val="none" w:sz="0" w:space="0" w:color="auto"/>
        <w:right w:val="none" w:sz="0" w:space="0" w:color="auto"/>
      </w:divBdr>
    </w:div>
    <w:div w:id="2006853477">
      <w:bodyDiv w:val="1"/>
      <w:marLeft w:val="0"/>
      <w:marRight w:val="0"/>
      <w:marTop w:val="0"/>
      <w:marBottom w:val="0"/>
      <w:divBdr>
        <w:top w:val="none" w:sz="0" w:space="0" w:color="auto"/>
        <w:left w:val="none" w:sz="0" w:space="0" w:color="auto"/>
        <w:bottom w:val="none" w:sz="0" w:space="0" w:color="auto"/>
        <w:right w:val="none" w:sz="0" w:space="0" w:color="auto"/>
      </w:divBdr>
    </w:div>
    <w:div w:id="2040548479">
      <w:bodyDiv w:val="1"/>
      <w:marLeft w:val="0"/>
      <w:marRight w:val="0"/>
      <w:marTop w:val="0"/>
      <w:marBottom w:val="0"/>
      <w:divBdr>
        <w:top w:val="none" w:sz="0" w:space="0" w:color="auto"/>
        <w:left w:val="none" w:sz="0" w:space="0" w:color="auto"/>
        <w:bottom w:val="none" w:sz="0" w:space="0" w:color="auto"/>
        <w:right w:val="none" w:sz="0" w:space="0" w:color="auto"/>
      </w:divBdr>
    </w:div>
    <w:div w:id="209108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e.ca.gov/sp/se/l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Burch@cde.c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de.ca.gov/sp/se/as/caselpas.asp" TargetMode="External"/><Relationship Id="rId10" Type="http://schemas.openxmlformats.org/officeDocument/2006/relationships/hyperlink" Target="https://leginfo.legislature.ca.gov/faces/billNavClient.xhtml?bill_id=202120220AB13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SRoan@cd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26368-9226-44F1-979A-3AACD6166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5063</Words>
  <Characters>28861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DPDR Legislative Report - Laws, Regulations, &amp; Policies (CA Dept of Education)</vt:lpstr>
    </vt:vector>
  </TitlesOfParts>
  <Manager/>
  <Company/>
  <LinksUpToDate>false</LinksUpToDate>
  <CharactersWithSpaces>33857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DPDR Legislative Report - Laws, Regulations, &amp; Policies (CA Dept of Education)</dc:title>
  <dc:subject>Dispute Prevention and Dispute Resolution (DPDR) Legislative Report consisting of data from special education local plan areas regarding the $100 million apportionment distributed in October of 2021.</dc:subject>
  <dc:creator/>
  <cp:keywords/>
  <dc:description/>
  <cp:lastModifiedBy/>
  <cp:revision>1</cp:revision>
  <dcterms:created xsi:type="dcterms:W3CDTF">2024-05-14T19:37:00Z</dcterms:created>
  <dcterms:modified xsi:type="dcterms:W3CDTF">2024-05-14T19:37:00Z</dcterms:modified>
</cp:coreProperties>
</file>