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4A136" w14:textId="77777777" w:rsidR="00DE2A40" w:rsidRDefault="00DE2A40" w:rsidP="00DE2A4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14:paraId="43496D1C" w14:textId="77777777" w:rsidR="00DE2A40" w:rsidRPr="00FE75EF" w:rsidRDefault="00DE2A40" w:rsidP="00DE2A4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480" w:after="480"/>
        <w:jc w:val="center"/>
        <w:rPr>
          <w:rFonts w:ascii="Arial" w:hAnsi="Arial" w:cs="Arial"/>
          <w:b/>
          <w:bCs/>
        </w:rPr>
      </w:pPr>
      <w:r w:rsidRPr="00FE75EF">
        <w:rPr>
          <w:rFonts w:ascii="Arial" w:hAnsi="Arial" w:cs="Arial"/>
          <w:b/>
          <w:bCs/>
        </w:rPr>
        <w:t>California Department of Education</w:t>
      </w:r>
    </w:p>
    <w:p w14:paraId="72EB9280" w14:textId="32468E2F" w:rsidR="00DE2A40" w:rsidRPr="00FE75EF" w:rsidRDefault="00DE2A40" w:rsidP="00DE2A40">
      <w:pPr>
        <w:pStyle w:val="Heading1"/>
        <w:rPr>
          <w:sz w:val="24"/>
        </w:rPr>
      </w:pPr>
      <w:bookmarkStart w:id="0" w:name="_Hlk145408803"/>
      <w:r w:rsidRPr="00FE75EF">
        <w:rPr>
          <w:sz w:val="24"/>
        </w:rPr>
        <w:t>Report to the California State Legislature and the Department of Finance:</w:t>
      </w:r>
      <w:bookmarkEnd w:id="0"/>
      <w:r w:rsidRPr="00FE75EF">
        <w:rPr>
          <w:sz w:val="24"/>
        </w:rPr>
        <w:t xml:space="preserve"> Assembly Bill 130</w:t>
      </w:r>
      <w:r w:rsidR="00325F24">
        <w:rPr>
          <w:sz w:val="24"/>
        </w:rPr>
        <w:t>,</w:t>
      </w:r>
      <w:r w:rsidRPr="00FE75EF">
        <w:rPr>
          <w:sz w:val="24"/>
        </w:rPr>
        <w:t xml:space="preserve"> Section 161</w:t>
      </w:r>
      <w:r w:rsidR="00325F24">
        <w:rPr>
          <w:sz w:val="24"/>
        </w:rPr>
        <w:t>:</w:t>
      </w:r>
      <w:r w:rsidRPr="00FE75EF">
        <w:rPr>
          <w:sz w:val="24"/>
        </w:rPr>
        <w:t xml:space="preserve"> Learning Recovery Funds Apportionment</w:t>
      </w:r>
    </w:p>
    <w:p w14:paraId="526035B4" w14:textId="77777777" w:rsidR="00DE2A40" w:rsidRDefault="00DE2A40" w:rsidP="00DE2A4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480"/>
        <w:jc w:val="center"/>
        <w:rPr>
          <w:rFonts w:ascii="Arial" w:hAnsi="Arial" w:cs="Arial"/>
          <w:color w:val="C0C0C0"/>
        </w:rPr>
      </w:pPr>
      <w:r>
        <w:rPr>
          <w:rFonts w:ascii="Arial" w:hAnsi="Arial" w:cs="Arial"/>
          <w:color w:val="C0C0C0"/>
        </w:rPr>
        <w:object w:dxaOrig="5999" w:dyaOrig="5999" w14:anchorId="214675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alifornia Department of Education seal" style="width:179.25pt;height:179.25pt" o:ole="">
            <v:imagedata r:id="rId7" o:title=""/>
          </v:shape>
          <o:OLEObject Type="Embed" ProgID="MSPhotoEd.3" ShapeID="_x0000_i1025" DrawAspect="Content" ObjectID="_1776243328" r:id="rId8"/>
        </w:object>
      </w:r>
    </w:p>
    <w:p w14:paraId="4FF9284F" w14:textId="77777777" w:rsidR="00DE2A40" w:rsidRPr="00FE75EF" w:rsidRDefault="00DE2A40" w:rsidP="00DE2A4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40"/>
        <w:jc w:val="center"/>
        <w:rPr>
          <w:rFonts w:ascii="Arial" w:hAnsi="Arial" w:cs="Arial"/>
          <w:b/>
          <w:bCs/>
          <w:iCs/>
        </w:rPr>
      </w:pPr>
      <w:r w:rsidRPr="00FE75EF">
        <w:rPr>
          <w:rFonts w:ascii="Arial" w:hAnsi="Arial" w:cs="Arial"/>
          <w:b/>
          <w:bCs/>
          <w:iCs/>
        </w:rPr>
        <w:t>Prepared by</w:t>
      </w:r>
    </w:p>
    <w:p w14:paraId="248C4A73" w14:textId="77777777" w:rsidR="00DE2A40" w:rsidRPr="00FE75EF" w:rsidRDefault="00DE2A40" w:rsidP="00DE2A4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</w:rPr>
      </w:pPr>
      <w:r w:rsidRPr="00FE75EF">
        <w:rPr>
          <w:rFonts w:ascii="Arial" w:hAnsi="Arial" w:cs="Arial"/>
          <w:b/>
          <w:bCs/>
        </w:rPr>
        <w:t>Special Education Division</w:t>
      </w:r>
    </w:p>
    <w:p w14:paraId="3510D8E6" w14:textId="77777777" w:rsidR="00DE2A40" w:rsidRPr="00FE75EF" w:rsidRDefault="00DE2A40" w:rsidP="00DE2A4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40"/>
        <w:jc w:val="center"/>
        <w:rPr>
          <w:rFonts w:ascii="Arial" w:hAnsi="Arial" w:cs="Arial"/>
          <w:b/>
          <w:bCs/>
        </w:rPr>
      </w:pPr>
      <w:r w:rsidRPr="00FE75EF">
        <w:rPr>
          <w:rFonts w:ascii="Arial" w:hAnsi="Arial" w:cs="Arial"/>
          <w:b/>
          <w:bCs/>
        </w:rPr>
        <w:t>Opportunities for All Branch</w:t>
      </w:r>
    </w:p>
    <w:p w14:paraId="625DAF18" w14:textId="77777777" w:rsidR="00DE2A40" w:rsidRPr="00FE75EF" w:rsidRDefault="00DE2A40" w:rsidP="00DE2A4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40"/>
        <w:jc w:val="center"/>
        <w:rPr>
          <w:rFonts w:ascii="Arial" w:hAnsi="Arial" w:cs="Arial"/>
          <w:iCs/>
        </w:rPr>
      </w:pPr>
      <w:r w:rsidRPr="00FE75EF">
        <w:rPr>
          <w:rFonts w:ascii="Arial" w:hAnsi="Arial" w:cs="Arial"/>
          <w:iCs/>
        </w:rPr>
        <w:t>December 2023</w:t>
      </w:r>
    </w:p>
    <w:p w14:paraId="3F1306C2" w14:textId="1E2CA48A" w:rsidR="00DE2A40" w:rsidRPr="00FE75EF" w:rsidRDefault="00DE2A40" w:rsidP="7905C6C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40"/>
        <w:jc w:val="both"/>
        <w:rPr>
          <w:rFonts w:ascii="Arial" w:hAnsi="Arial" w:cs="Arial"/>
          <w:lang w:bidi="en-US"/>
        </w:rPr>
      </w:pPr>
      <w:r w:rsidRPr="00325F24">
        <w:rPr>
          <w:rFonts w:ascii="Arial" w:hAnsi="Arial" w:cs="Arial"/>
          <w:i/>
          <w:iCs/>
          <w:lang w:bidi="en-US"/>
        </w:rPr>
        <w:t>Description:</w:t>
      </w:r>
      <w:r w:rsidRPr="00FE75EF">
        <w:rPr>
          <w:rFonts w:ascii="Arial" w:hAnsi="Arial" w:cs="Arial"/>
          <w:lang w:bidi="en-US"/>
        </w:rPr>
        <w:t xml:space="preserve"> Report detailing the impact of the $450 million apportionment distributed to </w:t>
      </w:r>
      <w:r w:rsidR="004B07C1">
        <w:rPr>
          <w:rFonts w:ascii="Arial" w:hAnsi="Arial" w:cs="Arial"/>
          <w:lang w:bidi="en-US"/>
        </w:rPr>
        <w:t>S</w:t>
      </w:r>
      <w:r w:rsidRPr="00FE75EF">
        <w:rPr>
          <w:rFonts w:ascii="Arial" w:hAnsi="Arial" w:cs="Arial"/>
          <w:lang w:bidi="en-US"/>
        </w:rPr>
        <w:t xml:space="preserve">pecial </w:t>
      </w:r>
      <w:r w:rsidR="004B07C1">
        <w:rPr>
          <w:rFonts w:ascii="Arial" w:hAnsi="Arial" w:cs="Arial"/>
          <w:lang w:bidi="en-US"/>
        </w:rPr>
        <w:t>E</w:t>
      </w:r>
      <w:r w:rsidRPr="00FE75EF">
        <w:rPr>
          <w:rFonts w:ascii="Arial" w:hAnsi="Arial" w:cs="Arial"/>
          <w:lang w:bidi="en-US"/>
        </w:rPr>
        <w:t xml:space="preserve">ducation </w:t>
      </w:r>
      <w:r w:rsidR="004B07C1">
        <w:rPr>
          <w:rFonts w:ascii="Arial" w:hAnsi="Arial" w:cs="Arial"/>
          <w:lang w:bidi="en-US"/>
        </w:rPr>
        <w:t>L</w:t>
      </w:r>
      <w:r w:rsidRPr="00FE75EF">
        <w:rPr>
          <w:rFonts w:ascii="Arial" w:hAnsi="Arial" w:cs="Arial"/>
          <w:lang w:bidi="en-US"/>
        </w:rPr>
        <w:t xml:space="preserve">ocal </w:t>
      </w:r>
      <w:r w:rsidR="004B07C1">
        <w:rPr>
          <w:rFonts w:ascii="Arial" w:hAnsi="Arial" w:cs="Arial"/>
          <w:lang w:bidi="en-US"/>
        </w:rPr>
        <w:t>P</w:t>
      </w:r>
      <w:r w:rsidRPr="00FE75EF">
        <w:rPr>
          <w:rFonts w:ascii="Arial" w:hAnsi="Arial" w:cs="Arial"/>
          <w:lang w:bidi="en-US"/>
        </w:rPr>
        <w:t xml:space="preserve">lan </w:t>
      </w:r>
      <w:r w:rsidR="004B07C1">
        <w:rPr>
          <w:rFonts w:ascii="Arial" w:hAnsi="Arial" w:cs="Arial"/>
          <w:lang w:bidi="en-US"/>
        </w:rPr>
        <w:t>A</w:t>
      </w:r>
      <w:r w:rsidRPr="00FE75EF">
        <w:rPr>
          <w:rFonts w:ascii="Arial" w:hAnsi="Arial" w:cs="Arial"/>
          <w:lang w:bidi="en-US"/>
        </w:rPr>
        <w:t>reas</w:t>
      </w:r>
      <w:r w:rsidR="00BB5546">
        <w:rPr>
          <w:rFonts w:ascii="Arial" w:hAnsi="Arial" w:cs="Arial"/>
          <w:lang w:bidi="en-US"/>
        </w:rPr>
        <w:t xml:space="preserve"> (SELPAs)</w:t>
      </w:r>
      <w:r w:rsidRPr="00FE75EF">
        <w:rPr>
          <w:rFonts w:ascii="Arial" w:hAnsi="Arial" w:cs="Arial"/>
          <w:lang w:bidi="en-US"/>
        </w:rPr>
        <w:t xml:space="preserve"> in October 2021 </w:t>
      </w:r>
      <w:r w:rsidR="006C0C86" w:rsidRPr="00FE75EF">
        <w:rPr>
          <w:rFonts w:ascii="Arial" w:hAnsi="Arial" w:cs="Arial"/>
          <w:lang w:bidi="en-US"/>
        </w:rPr>
        <w:t>for purposes of</w:t>
      </w:r>
      <w:r w:rsidRPr="00FE75EF">
        <w:rPr>
          <w:rFonts w:ascii="Arial" w:hAnsi="Arial" w:cs="Arial"/>
          <w:lang w:bidi="en-US"/>
        </w:rPr>
        <w:t xml:space="preserve"> remediat</w:t>
      </w:r>
      <w:r w:rsidR="006C0C86" w:rsidRPr="00FE75EF">
        <w:rPr>
          <w:rFonts w:ascii="Arial" w:hAnsi="Arial" w:cs="Arial"/>
          <w:lang w:bidi="en-US"/>
        </w:rPr>
        <w:t>ing</w:t>
      </w:r>
      <w:r w:rsidRPr="00FE75EF">
        <w:rPr>
          <w:rFonts w:ascii="Arial" w:hAnsi="Arial" w:cs="Arial"/>
          <w:lang w:bidi="en-US"/>
        </w:rPr>
        <w:t xml:space="preserve"> learning loss for students with disabilities stemming from the 2019 Novel Coronavirus (COVID-19) pandemic.</w:t>
      </w:r>
    </w:p>
    <w:p w14:paraId="57F70E8D" w14:textId="4B20CFBD" w:rsidR="00DE2A40" w:rsidRPr="00FE75EF" w:rsidRDefault="00DE2A40" w:rsidP="00DE2A4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40"/>
        <w:jc w:val="both"/>
        <w:rPr>
          <w:rFonts w:ascii="Arial" w:hAnsi="Arial" w:cs="Arial"/>
          <w:lang w:bidi="en-US"/>
        </w:rPr>
      </w:pPr>
      <w:r w:rsidRPr="00325F24">
        <w:rPr>
          <w:rFonts w:ascii="Arial" w:hAnsi="Arial" w:cs="Arial"/>
          <w:i/>
          <w:lang w:bidi="en-US"/>
        </w:rPr>
        <w:t>Authority:</w:t>
      </w:r>
      <w:r w:rsidRPr="00FE75EF">
        <w:rPr>
          <w:rFonts w:ascii="Arial" w:hAnsi="Arial" w:cs="Arial"/>
          <w:lang w:bidi="en-US"/>
        </w:rPr>
        <w:t xml:space="preserve"> Assembly Bill 130</w:t>
      </w:r>
      <w:r w:rsidR="00440854" w:rsidRPr="00FE75EF">
        <w:rPr>
          <w:rFonts w:ascii="Arial" w:hAnsi="Arial" w:cs="Arial"/>
          <w:lang w:bidi="en-US"/>
        </w:rPr>
        <w:t xml:space="preserve"> (Ch. 44, Stats. 2021)</w:t>
      </w:r>
      <w:r w:rsidRPr="00FE75EF">
        <w:rPr>
          <w:rFonts w:ascii="Arial" w:hAnsi="Arial" w:cs="Arial"/>
          <w:lang w:bidi="en-US"/>
        </w:rPr>
        <w:t>, Section 161</w:t>
      </w:r>
    </w:p>
    <w:p w14:paraId="3BF61B67" w14:textId="6DB61672" w:rsidR="00DE2A40" w:rsidRPr="00FE75EF" w:rsidRDefault="00DE2A40" w:rsidP="00DE2A4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40"/>
        <w:jc w:val="both"/>
        <w:rPr>
          <w:rFonts w:ascii="Arial" w:hAnsi="Arial" w:cs="Arial"/>
          <w:lang w:bidi="en-US"/>
        </w:rPr>
      </w:pPr>
      <w:r w:rsidRPr="00325F24">
        <w:rPr>
          <w:rFonts w:ascii="Arial" w:hAnsi="Arial" w:cs="Arial"/>
          <w:i/>
          <w:lang w:bidi="en-US"/>
        </w:rPr>
        <w:t xml:space="preserve">Recipient: </w:t>
      </w:r>
      <w:r w:rsidRPr="00FE75EF">
        <w:rPr>
          <w:rFonts w:ascii="Arial" w:hAnsi="Arial" w:cs="Arial"/>
          <w:lang w:bidi="en-US"/>
        </w:rPr>
        <w:t>California State Legislature and Department of Finance</w:t>
      </w:r>
    </w:p>
    <w:p w14:paraId="6B8612A3" w14:textId="77777777" w:rsidR="00DE2A40" w:rsidRPr="00FE75EF" w:rsidRDefault="00DE2A40" w:rsidP="00DE2A4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40"/>
        <w:jc w:val="both"/>
      </w:pPr>
      <w:r w:rsidRPr="00325F24">
        <w:rPr>
          <w:rFonts w:ascii="Arial" w:hAnsi="Arial" w:cs="Arial"/>
          <w:i/>
          <w:lang w:bidi="en-US"/>
        </w:rPr>
        <w:t>Due Date:</w:t>
      </w:r>
      <w:r w:rsidRPr="00FE75EF">
        <w:rPr>
          <w:rFonts w:ascii="Arial" w:hAnsi="Arial" w:cs="Arial"/>
          <w:lang w:bidi="en-US"/>
        </w:rPr>
        <w:t xml:space="preserve"> December 1, 2023</w:t>
      </w:r>
    </w:p>
    <w:p w14:paraId="1185D75A" w14:textId="77777777" w:rsidR="00DE2A40" w:rsidRDefault="00DE2A40" w:rsidP="00DE2A40">
      <w:pPr>
        <w:jc w:val="center"/>
        <w:sectPr w:rsidR="00DE2A40" w:rsidSect="00360D9A">
          <w:footerReference w:type="default" r:id="rId9"/>
          <w:footerReference w:type="first" r:id="rId10"/>
          <w:pgSz w:w="12240" w:h="15840"/>
          <w:pgMar w:top="1440" w:right="1440" w:bottom="1440" w:left="1800" w:header="720" w:footer="720" w:gutter="0"/>
          <w:pgNumType w:start="1"/>
          <w:cols w:space="720"/>
          <w:titlePg/>
          <w:docGrid w:linePitch="360"/>
        </w:sectPr>
      </w:pPr>
    </w:p>
    <w:p w14:paraId="56A34CF8" w14:textId="77777777" w:rsidR="00DE2A40" w:rsidRPr="00E43A4D" w:rsidRDefault="00DE2A40" w:rsidP="00DE2A40">
      <w:pPr>
        <w:tabs>
          <w:tab w:val="decimal" w:leader="dot" w:pos="8820"/>
        </w:tabs>
        <w:spacing w:after="240"/>
        <w:ind w:right="-180"/>
        <w:jc w:val="center"/>
        <w:rPr>
          <w:rFonts w:ascii="Arial" w:hAnsi="Arial" w:cs="Arial"/>
          <w:b/>
          <w:bCs/>
        </w:rPr>
      </w:pPr>
      <w:r w:rsidRPr="00E43A4D">
        <w:rPr>
          <w:rFonts w:ascii="Arial" w:hAnsi="Arial" w:cs="Arial"/>
          <w:b/>
          <w:bCs/>
        </w:rPr>
        <w:lastRenderedPageBreak/>
        <w:t>California Department of Education</w:t>
      </w:r>
    </w:p>
    <w:p w14:paraId="51CCA58D" w14:textId="77777777" w:rsidR="00DE2A40" w:rsidRPr="00E43A4D" w:rsidRDefault="00DE2A40" w:rsidP="00DE2A40">
      <w:pPr>
        <w:spacing w:after="240"/>
        <w:jc w:val="center"/>
        <w:rPr>
          <w:rFonts w:ascii="Arial" w:hAnsi="Arial" w:cs="Arial"/>
          <w:b/>
        </w:rPr>
      </w:pPr>
      <w:r w:rsidRPr="00E43A4D">
        <w:rPr>
          <w:rFonts w:ascii="Arial" w:hAnsi="Arial" w:cs="Arial"/>
          <w:b/>
        </w:rPr>
        <w:t xml:space="preserve">Report to the </w:t>
      </w:r>
      <w:r>
        <w:rPr>
          <w:rFonts w:ascii="Arial" w:hAnsi="Arial" w:cs="Arial"/>
          <w:b/>
        </w:rPr>
        <w:t xml:space="preserve">California </w:t>
      </w:r>
      <w:r w:rsidRPr="00E43A4D">
        <w:rPr>
          <w:rFonts w:ascii="Arial" w:hAnsi="Arial" w:cs="Arial"/>
          <w:b/>
        </w:rPr>
        <w:t>State Legislature and the Department of Finance</w:t>
      </w:r>
    </w:p>
    <w:p w14:paraId="32F7FBCC" w14:textId="2580F21E" w:rsidR="00DE2A40" w:rsidRPr="00E43A4D" w:rsidRDefault="00DE2A40" w:rsidP="00DE2A40">
      <w:pPr>
        <w:pStyle w:val="Header"/>
        <w:tabs>
          <w:tab w:val="clear" w:pos="8640"/>
          <w:tab w:val="right" w:pos="9360"/>
        </w:tabs>
        <w:spacing w:after="240"/>
        <w:jc w:val="center"/>
        <w:rPr>
          <w:rFonts w:ascii="Arial" w:hAnsi="Arial" w:cs="Arial"/>
          <w:b/>
          <w:bCs/>
        </w:rPr>
      </w:pPr>
      <w:bookmarkStart w:id="1" w:name="_Hlk163489221"/>
      <w:r w:rsidRPr="00E43A4D">
        <w:rPr>
          <w:rFonts w:ascii="Arial" w:hAnsi="Arial" w:cs="Arial"/>
          <w:b/>
          <w:bCs/>
        </w:rPr>
        <w:t>A</w:t>
      </w:r>
      <w:r w:rsidR="00325F24">
        <w:rPr>
          <w:rFonts w:ascii="Arial" w:hAnsi="Arial" w:cs="Arial"/>
          <w:b/>
          <w:bCs/>
        </w:rPr>
        <w:t xml:space="preserve">ssembly </w:t>
      </w:r>
      <w:r w:rsidRPr="00E43A4D">
        <w:rPr>
          <w:rFonts w:ascii="Arial" w:hAnsi="Arial" w:cs="Arial"/>
          <w:b/>
          <w:bCs/>
        </w:rPr>
        <w:t>B</w:t>
      </w:r>
      <w:r w:rsidR="00325F24">
        <w:rPr>
          <w:rFonts w:ascii="Arial" w:hAnsi="Arial" w:cs="Arial"/>
          <w:b/>
          <w:bCs/>
        </w:rPr>
        <w:t>ill</w:t>
      </w:r>
      <w:r w:rsidRPr="00E43A4D">
        <w:rPr>
          <w:rFonts w:ascii="Arial" w:hAnsi="Arial" w:cs="Arial"/>
          <w:b/>
          <w:bCs/>
        </w:rPr>
        <w:t xml:space="preserve"> 130, Section 161</w:t>
      </w:r>
      <w:r w:rsidR="00325F24">
        <w:rPr>
          <w:rFonts w:ascii="Arial" w:hAnsi="Arial" w:cs="Arial"/>
          <w:b/>
          <w:bCs/>
        </w:rPr>
        <w:t>:</w:t>
      </w:r>
      <w:r w:rsidRPr="00E43A4D">
        <w:rPr>
          <w:rFonts w:ascii="Arial" w:hAnsi="Arial" w:cs="Arial"/>
          <w:b/>
          <w:bCs/>
        </w:rPr>
        <w:t xml:space="preserve"> Learning Recovery Funds Apportionment</w:t>
      </w:r>
    </w:p>
    <w:bookmarkEnd w:id="1"/>
    <w:p w14:paraId="6E839853" w14:textId="77777777" w:rsidR="00DE2A40" w:rsidRPr="00941F84" w:rsidRDefault="00DE2A40" w:rsidP="00DE2A40">
      <w:pPr>
        <w:spacing w:before="480" w:after="480"/>
        <w:jc w:val="center"/>
        <w:rPr>
          <w:rFonts w:ascii="Arial" w:hAnsi="Arial" w:cs="Arial"/>
          <w:b/>
          <w:sz w:val="28"/>
        </w:rPr>
      </w:pPr>
      <w:r w:rsidRPr="0057755F">
        <w:rPr>
          <w:rFonts w:ascii="Arial" w:hAnsi="Arial" w:cs="Arial"/>
          <w:b/>
          <w:sz w:val="28"/>
        </w:rPr>
        <w:t>Table of Contents</w:t>
      </w:r>
    </w:p>
    <w:p w14:paraId="4977927A" w14:textId="1DFE2E7C" w:rsidR="00DE2A40" w:rsidRPr="0041177B" w:rsidRDefault="00DE2A40" w:rsidP="00440854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 \* MERGEFORMAT  \* MERGEFORMAT </w:instrText>
      </w:r>
      <w:r>
        <w:fldChar w:fldCharType="separate"/>
      </w:r>
      <w:r w:rsidRPr="0041177B">
        <w:t>Executive Summary</w:t>
      </w:r>
      <w:r w:rsidRPr="0041177B">
        <w:tab/>
      </w:r>
      <w:r w:rsidRPr="0041177B">
        <w:fldChar w:fldCharType="begin"/>
      </w:r>
      <w:r w:rsidRPr="0041177B">
        <w:instrText xml:space="preserve"> PAGEREF _Toc55478426 \h </w:instrText>
      </w:r>
      <w:r w:rsidRPr="0041177B">
        <w:fldChar w:fldCharType="separate"/>
      </w:r>
      <w:r w:rsidR="00AE0C8F">
        <w:t>2</w:t>
      </w:r>
      <w:r w:rsidRPr="0041177B">
        <w:fldChar w:fldCharType="end"/>
      </w:r>
    </w:p>
    <w:p w14:paraId="3B7E8E78" w14:textId="7D8F3DD8" w:rsidR="000A48A1" w:rsidRDefault="000A48A1" w:rsidP="00440854">
      <w:pPr>
        <w:pStyle w:val="TOC1"/>
      </w:pPr>
      <w:r>
        <w:t>Introduction…………………………………………………………………………………..3</w:t>
      </w:r>
    </w:p>
    <w:p w14:paraId="0B3B2292" w14:textId="01372477" w:rsidR="00DE2A40" w:rsidRPr="007341CD" w:rsidRDefault="00DE2A40" w:rsidP="00440854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>
        <w:t>Learning Recovery…………………………………………………………………………..3</w:t>
      </w:r>
    </w:p>
    <w:p w14:paraId="76AA031E" w14:textId="77777777" w:rsidR="00DE2A40" w:rsidRPr="0041177B" w:rsidRDefault="00DE2A40" w:rsidP="00440854">
      <w:pPr>
        <w:pStyle w:val="TOC1"/>
      </w:pPr>
      <w:r w:rsidRPr="0041177B">
        <w:t>SELPA Data Results………………………………………….…….…………………</w:t>
      </w:r>
      <w:r>
        <w:t>.</w:t>
      </w:r>
      <w:r w:rsidRPr="0041177B">
        <w:t>……</w:t>
      </w:r>
      <w:r>
        <w:t>6</w:t>
      </w:r>
    </w:p>
    <w:p w14:paraId="73468C0F" w14:textId="77777777" w:rsidR="00DE2A40" w:rsidRDefault="00DE2A40" w:rsidP="00440854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 w:rsidRPr="0041177B">
        <w:t>Conclusion</w:t>
      </w:r>
      <w:r>
        <w:t>…………………………</w:t>
      </w:r>
      <w:r w:rsidRPr="00AE10F8">
        <w:rPr>
          <w:sz w:val="23"/>
          <w:szCs w:val="23"/>
        </w:rPr>
        <w:t>…</w:t>
      </w:r>
      <w:r>
        <w:t>………………………………</w:t>
      </w:r>
      <w:r w:rsidRPr="00AE10F8">
        <w:rPr>
          <w:sz w:val="22"/>
          <w:szCs w:val="22"/>
        </w:rPr>
        <w:t>…</w:t>
      </w:r>
      <w:r>
        <w:t>…..….……………</w:t>
      </w:r>
      <w:r w:rsidRPr="0057755F">
        <w:t>.</w:t>
      </w:r>
      <w:r>
        <w:t>9</w:t>
      </w:r>
    </w:p>
    <w:p w14:paraId="74780685" w14:textId="77777777" w:rsidR="00DE2A40" w:rsidRDefault="00DE2A40" w:rsidP="00DE2A40">
      <w:pPr>
        <w:tabs>
          <w:tab w:val="decimal" w:leader="dot" w:pos="8820"/>
        </w:tabs>
        <w:ind w:right="-18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br w:type="page"/>
      </w:r>
    </w:p>
    <w:p w14:paraId="3B9F0BE3" w14:textId="77777777" w:rsidR="00DE2A40" w:rsidRPr="00BE4B7D" w:rsidRDefault="00DE2A40" w:rsidP="00DE2A40">
      <w:pPr>
        <w:tabs>
          <w:tab w:val="decimal" w:leader="dot" w:pos="8820"/>
        </w:tabs>
        <w:spacing w:after="240"/>
        <w:ind w:right="-180"/>
        <w:jc w:val="center"/>
        <w:rPr>
          <w:rFonts w:ascii="Arial" w:hAnsi="Arial" w:cs="Arial"/>
          <w:b/>
          <w:bCs/>
        </w:rPr>
      </w:pPr>
      <w:r w:rsidRPr="00BE4B7D">
        <w:rPr>
          <w:rFonts w:ascii="Arial" w:hAnsi="Arial" w:cs="Arial"/>
          <w:b/>
          <w:bCs/>
        </w:rPr>
        <w:lastRenderedPageBreak/>
        <w:t>California Department of Education</w:t>
      </w:r>
    </w:p>
    <w:p w14:paraId="57B64FEC" w14:textId="77777777" w:rsidR="00325F24" w:rsidRDefault="00DE2A40" w:rsidP="00325F24">
      <w:pPr>
        <w:spacing w:after="240"/>
        <w:jc w:val="center"/>
        <w:rPr>
          <w:rFonts w:ascii="Arial" w:hAnsi="Arial" w:cs="Arial"/>
          <w:b/>
        </w:rPr>
      </w:pPr>
      <w:r w:rsidRPr="00BE4B7D">
        <w:rPr>
          <w:rFonts w:ascii="Arial" w:hAnsi="Arial" w:cs="Arial"/>
          <w:b/>
        </w:rPr>
        <w:t xml:space="preserve">Report to the </w:t>
      </w:r>
      <w:r>
        <w:rPr>
          <w:rFonts w:ascii="Arial" w:hAnsi="Arial" w:cs="Arial"/>
          <w:b/>
        </w:rPr>
        <w:t xml:space="preserve">California State </w:t>
      </w:r>
      <w:r w:rsidRPr="00BE4B7D">
        <w:rPr>
          <w:rFonts w:ascii="Arial" w:hAnsi="Arial" w:cs="Arial"/>
          <w:b/>
        </w:rPr>
        <w:t>Legislature and the Department of Finance</w:t>
      </w:r>
      <w:bookmarkStart w:id="2" w:name="_Toc55478426"/>
    </w:p>
    <w:p w14:paraId="4BAB1653" w14:textId="7BC88C2B" w:rsidR="00325F24" w:rsidRPr="00325F24" w:rsidRDefault="00325F24" w:rsidP="00325F24">
      <w:pPr>
        <w:spacing w:after="240"/>
        <w:jc w:val="center"/>
        <w:rPr>
          <w:rFonts w:ascii="Arial" w:hAnsi="Arial" w:cs="Arial"/>
          <w:b/>
          <w:bCs/>
        </w:rPr>
      </w:pPr>
      <w:r w:rsidRPr="00325F24">
        <w:rPr>
          <w:rFonts w:ascii="Arial" w:hAnsi="Arial" w:cs="Arial"/>
          <w:b/>
          <w:bCs/>
        </w:rPr>
        <w:t>Assembly Bill 130, Section 161: Learning Recovery Funds Apportionment</w:t>
      </w:r>
    </w:p>
    <w:p w14:paraId="1E488F14" w14:textId="1A626435" w:rsidR="00DE2A40" w:rsidRPr="00BE4B7D" w:rsidRDefault="00DE2A40" w:rsidP="00DE2A40">
      <w:pPr>
        <w:pStyle w:val="Heading2"/>
        <w:rPr>
          <w:color w:val="000000"/>
        </w:rPr>
      </w:pPr>
      <w:r w:rsidRPr="00BE4B7D">
        <w:t>Executive Summary</w:t>
      </w:r>
      <w:bookmarkEnd w:id="2"/>
    </w:p>
    <w:p w14:paraId="60A5A690" w14:textId="04079D4D" w:rsidR="00DE2A40" w:rsidRPr="00941F84" w:rsidRDefault="00DE2A40" w:rsidP="00DE2A40">
      <w:pPr>
        <w:tabs>
          <w:tab w:val="right" w:pos="9360"/>
        </w:tabs>
        <w:autoSpaceDE w:val="0"/>
        <w:autoSpaceDN w:val="0"/>
        <w:adjustRightInd w:val="0"/>
        <w:spacing w:after="240"/>
        <w:rPr>
          <w:rFonts w:ascii="Arial" w:hAnsi="Arial" w:cs="Arial"/>
          <w:iCs/>
          <w:color w:val="000000"/>
        </w:rPr>
      </w:pPr>
      <w:r w:rsidRPr="00941F84">
        <w:rPr>
          <w:rFonts w:ascii="Arial" w:hAnsi="Arial" w:cs="Arial"/>
        </w:rPr>
        <w:t xml:space="preserve">This report is required by </w:t>
      </w:r>
      <w:r w:rsidRPr="00BE4B7D">
        <w:rPr>
          <w:rFonts w:ascii="Arial" w:hAnsi="Arial" w:cs="Arial"/>
        </w:rPr>
        <w:t xml:space="preserve">Assembly Bill </w:t>
      </w:r>
      <w:r>
        <w:rPr>
          <w:rFonts w:ascii="Arial" w:hAnsi="Arial" w:cs="Arial"/>
        </w:rPr>
        <w:t>(</w:t>
      </w:r>
      <w:r w:rsidRPr="00F42BE0">
        <w:rPr>
          <w:rFonts w:ascii="Arial" w:hAnsi="Arial" w:cs="Arial"/>
        </w:rPr>
        <w:t>AB</w:t>
      </w:r>
      <w:r>
        <w:rPr>
          <w:rFonts w:ascii="Arial" w:hAnsi="Arial" w:cs="Arial"/>
        </w:rPr>
        <w:t xml:space="preserve">) </w:t>
      </w:r>
      <w:r w:rsidRPr="00BE4B7D">
        <w:rPr>
          <w:rFonts w:ascii="Arial" w:hAnsi="Arial" w:cs="Arial"/>
        </w:rPr>
        <w:t>130</w:t>
      </w:r>
      <w:r w:rsidR="008652CC">
        <w:rPr>
          <w:rFonts w:ascii="Arial" w:hAnsi="Arial" w:cs="Arial"/>
        </w:rPr>
        <w:t xml:space="preserve"> (Chapter 44, Statutes of 2021),</w:t>
      </w:r>
      <w:r w:rsidRPr="00BE4B7D">
        <w:rPr>
          <w:rFonts w:ascii="Arial" w:hAnsi="Arial" w:cs="Arial"/>
        </w:rPr>
        <w:t xml:space="preserve"> Section 161</w:t>
      </w:r>
      <w:r w:rsidRPr="00524291">
        <w:rPr>
          <w:rFonts w:ascii="Arial" w:hAnsi="Arial" w:cs="Arial"/>
        </w:rPr>
        <w:t>.</w:t>
      </w:r>
    </w:p>
    <w:p w14:paraId="4DF3DA46" w14:textId="0171FFE7" w:rsidR="00DE2A40" w:rsidRPr="00170F6F" w:rsidRDefault="000A48A1" w:rsidP="00DE2A40">
      <w:pPr>
        <w:spacing w:after="24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In 2021</w:t>
      </w:r>
      <w:r w:rsidR="00BA6BA1">
        <w:rPr>
          <w:rFonts w:ascii="Arial" w:eastAsiaTheme="minorEastAsia" w:hAnsi="Arial" w:cs="Arial"/>
        </w:rPr>
        <w:t>–</w:t>
      </w:r>
      <w:r>
        <w:rPr>
          <w:rFonts w:ascii="Arial" w:eastAsiaTheme="minorEastAsia" w:hAnsi="Arial" w:cs="Arial"/>
        </w:rPr>
        <w:t>22</w:t>
      </w:r>
      <w:r w:rsidR="00BA6BA1">
        <w:rPr>
          <w:rFonts w:ascii="Arial" w:eastAsiaTheme="minorEastAsia" w:hAnsi="Arial" w:cs="Arial"/>
        </w:rPr>
        <w:t xml:space="preserve">, </w:t>
      </w:r>
      <w:r w:rsidR="00DE2A40" w:rsidRPr="6FBF6548">
        <w:rPr>
          <w:rFonts w:ascii="Arial" w:eastAsiaTheme="minorEastAsia" w:hAnsi="Arial" w:cs="Arial"/>
        </w:rPr>
        <w:t>Section 161 of AB 130 appropriated $450</w:t>
      </w:r>
      <w:r w:rsidR="00DE2A40">
        <w:rPr>
          <w:rFonts w:ascii="Arial" w:eastAsiaTheme="minorEastAsia" w:hAnsi="Arial" w:cs="Arial"/>
        </w:rPr>
        <w:t xml:space="preserve"> million</w:t>
      </w:r>
      <w:r w:rsidR="00DE2A40" w:rsidRPr="6FBF6548">
        <w:rPr>
          <w:rFonts w:ascii="Arial" w:eastAsiaTheme="minorEastAsia" w:hAnsi="Arial" w:cs="Arial"/>
        </w:rPr>
        <w:t xml:space="preserve"> from the General Fund to the </w:t>
      </w:r>
      <w:r w:rsidR="00BA6BA1">
        <w:rPr>
          <w:rFonts w:ascii="Arial" w:eastAsiaTheme="minorEastAsia" w:hAnsi="Arial" w:cs="Arial"/>
        </w:rPr>
        <w:t xml:space="preserve">State </w:t>
      </w:r>
      <w:r w:rsidR="006C0C86">
        <w:rPr>
          <w:rFonts w:ascii="Arial" w:eastAsiaTheme="minorEastAsia" w:hAnsi="Arial" w:cs="Arial"/>
        </w:rPr>
        <w:t>Superintendent of Public Instruction</w:t>
      </w:r>
      <w:r w:rsidR="00DE2A40" w:rsidRPr="6FBF6548">
        <w:rPr>
          <w:rFonts w:ascii="Arial" w:eastAsiaTheme="minorEastAsia" w:hAnsi="Arial" w:cs="Arial"/>
        </w:rPr>
        <w:t xml:space="preserve"> on a one-time basis for allocation to</w:t>
      </w:r>
      <w:r w:rsidR="009B238F">
        <w:rPr>
          <w:rFonts w:ascii="Arial" w:eastAsiaTheme="minorEastAsia" w:hAnsi="Arial" w:cs="Arial"/>
        </w:rPr>
        <w:t xml:space="preserve"> </w:t>
      </w:r>
      <w:r w:rsidR="00325F24">
        <w:rPr>
          <w:rFonts w:ascii="Arial" w:eastAsiaTheme="minorEastAsia" w:hAnsi="Arial" w:cs="Arial"/>
        </w:rPr>
        <w:t>S</w:t>
      </w:r>
      <w:r w:rsidR="00DE2A40" w:rsidRPr="6FBF6548">
        <w:rPr>
          <w:rFonts w:ascii="Arial" w:eastAsiaTheme="minorEastAsia" w:hAnsi="Arial" w:cs="Arial"/>
        </w:rPr>
        <w:t xml:space="preserve">pecial </w:t>
      </w:r>
      <w:r w:rsidR="00325F24">
        <w:rPr>
          <w:rFonts w:ascii="Arial" w:eastAsiaTheme="minorEastAsia" w:hAnsi="Arial" w:cs="Arial"/>
        </w:rPr>
        <w:t>E</w:t>
      </w:r>
      <w:r w:rsidR="00DE2A40" w:rsidRPr="6FBF6548">
        <w:rPr>
          <w:rFonts w:ascii="Arial" w:eastAsiaTheme="minorEastAsia" w:hAnsi="Arial" w:cs="Arial"/>
        </w:rPr>
        <w:t xml:space="preserve">ducation </w:t>
      </w:r>
      <w:r w:rsidR="00325F24">
        <w:rPr>
          <w:rFonts w:ascii="Arial" w:eastAsiaTheme="minorEastAsia" w:hAnsi="Arial" w:cs="Arial"/>
        </w:rPr>
        <w:t>L</w:t>
      </w:r>
      <w:r w:rsidR="00DE2A40" w:rsidRPr="6FBF6548">
        <w:rPr>
          <w:rFonts w:ascii="Arial" w:eastAsiaTheme="minorEastAsia" w:hAnsi="Arial" w:cs="Arial"/>
        </w:rPr>
        <w:t xml:space="preserve">ocal </w:t>
      </w:r>
      <w:r w:rsidR="00325F24">
        <w:rPr>
          <w:rFonts w:ascii="Arial" w:eastAsiaTheme="minorEastAsia" w:hAnsi="Arial" w:cs="Arial"/>
        </w:rPr>
        <w:t>P</w:t>
      </w:r>
      <w:r w:rsidR="00DE2A40" w:rsidRPr="6FBF6548">
        <w:rPr>
          <w:rFonts w:ascii="Arial" w:eastAsiaTheme="minorEastAsia" w:hAnsi="Arial" w:cs="Arial"/>
        </w:rPr>
        <w:t xml:space="preserve">lan </w:t>
      </w:r>
      <w:r w:rsidR="00325F24">
        <w:rPr>
          <w:rFonts w:ascii="Arial" w:eastAsiaTheme="minorEastAsia" w:hAnsi="Arial" w:cs="Arial"/>
        </w:rPr>
        <w:t>A</w:t>
      </w:r>
      <w:r w:rsidR="00DE2A40" w:rsidRPr="6FBF6548">
        <w:rPr>
          <w:rFonts w:ascii="Arial" w:eastAsiaTheme="minorEastAsia" w:hAnsi="Arial" w:cs="Arial"/>
        </w:rPr>
        <w:t>reas (</w:t>
      </w:r>
      <w:r w:rsidR="00DE2A40" w:rsidRPr="00F42BE0">
        <w:rPr>
          <w:rFonts w:ascii="Arial" w:eastAsiaTheme="minorEastAsia" w:hAnsi="Arial" w:cs="Arial"/>
        </w:rPr>
        <w:t>SELPAs</w:t>
      </w:r>
      <w:r w:rsidR="00DE2A40" w:rsidRPr="6FBF6548">
        <w:rPr>
          <w:rFonts w:ascii="Arial" w:eastAsiaTheme="minorEastAsia" w:hAnsi="Arial" w:cs="Arial"/>
        </w:rPr>
        <w:t>) to provide learning recovery support</w:t>
      </w:r>
      <w:r w:rsidR="006C0C86">
        <w:rPr>
          <w:rFonts w:ascii="Arial" w:eastAsiaTheme="minorEastAsia" w:hAnsi="Arial" w:cs="Arial"/>
        </w:rPr>
        <w:t xml:space="preserve"> to students with disabilities</w:t>
      </w:r>
      <w:r w:rsidR="007E113C">
        <w:rPr>
          <w:rFonts w:ascii="Arial" w:eastAsiaTheme="minorEastAsia" w:hAnsi="Arial" w:cs="Arial"/>
        </w:rPr>
        <w:t xml:space="preserve"> impacted by</w:t>
      </w:r>
      <w:r w:rsidR="00BA6BA1">
        <w:rPr>
          <w:rFonts w:ascii="Arial" w:eastAsiaTheme="minorEastAsia" w:hAnsi="Arial" w:cs="Arial"/>
        </w:rPr>
        <w:t xml:space="preserve"> </w:t>
      </w:r>
      <w:r w:rsidR="00DE2A40" w:rsidRPr="6FBF6548">
        <w:rPr>
          <w:rFonts w:ascii="Arial" w:eastAsiaTheme="minorEastAsia" w:hAnsi="Arial" w:cs="Arial"/>
        </w:rPr>
        <w:t xml:space="preserve">school disruptions </w:t>
      </w:r>
      <w:r w:rsidR="007E113C">
        <w:rPr>
          <w:rFonts w:ascii="Arial" w:eastAsiaTheme="minorEastAsia" w:hAnsi="Arial" w:cs="Arial"/>
        </w:rPr>
        <w:t xml:space="preserve">stemming </w:t>
      </w:r>
      <w:r w:rsidR="00DE2A40" w:rsidRPr="6FBF6548">
        <w:rPr>
          <w:rFonts w:ascii="Arial" w:eastAsiaTheme="minorEastAsia" w:hAnsi="Arial" w:cs="Arial"/>
        </w:rPr>
        <w:t xml:space="preserve">from the </w:t>
      </w:r>
      <w:r w:rsidR="00DE2A40">
        <w:rPr>
          <w:rFonts w:ascii="Arial" w:eastAsiaTheme="minorEastAsia" w:hAnsi="Arial" w:cs="Arial"/>
        </w:rPr>
        <w:t xml:space="preserve">2019 </w:t>
      </w:r>
      <w:r w:rsidR="00DE2A40" w:rsidRPr="0057755F">
        <w:rPr>
          <w:rFonts w:ascii="Arial" w:eastAsiaTheme="minorEastAsia" w:hAnsi="Arial" w:cs="Arial"/>
        </w:rPr>
        <w:t>Novel Coronavirus</w:t>
      </w:r>
      <w:r w:rsidR="00DE2A40">
        <w:rPr>
          <w:rFonts w:ascii="Arial" w:eastAsiaTheme="minorEastAsia" w:hAnsi="Arial" w:cs="Arial"/>
        </w:rPr>
        <w:t xml:space="preserve"> </w:t>
      </w:r>
      <w:r w:rsidR="00DE2A40" w:rsidRPr="00C85C0D">
        <w:rPr>
          <w:rFonts w:ascii="Arial" w:eastAsiaTheme="minorEastAsia" w:hAnsi="Arial" w:cs="Arial"/>
        </w:rPr>
        <w:t>(COVID-19</w:t>
      </w:r>
      <w:r w:rsidR="00DE2A40">
        <w:rPr>
          <w:rFonts w:ascii="Arial" w:eastAsiaTheme="minorEastAsia" w:hAnsi="Arial" w:cs="Arial"/>
        </w:rPr>
        <w:t>)</w:t>
      </w:r>
      <w:r w:rsidR="00DE2A40" w:rsidRPr="6FBF6548">
        <w:rPr>
          <w:rFonts w:ascii="Arial" w:eastAsiaTheme="minorEastAsia" w:hAnsi="Arial" w:cs="Arial"/>
        </w:rPr>
        <w:t xml:space="preserve"> public health emergency during the period of March 13, 2020, to September 1, 2021. </w:t>
      </w:r>
      <w:r w:rsidR="00DE2A40" w:rsidRPr="6FBF6548">
        <w:rPr>
          <w:rFonts w:ascii="Arial" w:eastAsiaTheme="minorEastAsia" w:hAnsi="Arial" w:cs="Arial"/>
          <w:color w:val="000000" w:themeColor="text1"/>
        </w:rPr>
        <w:t xml:space="preserve">The </w:t>
      </w:r>
      <w:r w:rsidR="007E113C">
        <w:rPr>
          <w:rFonts w:ascii="Arial" w:eastAsiaTheme="minorEastAsia" w:hAnsi="Arial" w:cs="Arial"/>
          <w:color w:val="000000" w:themeColor="text1"/>
        </w:rPr>
        <w:t>California Department of Education (</w:t>
      </w:r>
      <w:r w:rsidR="00DE2A40" w:rsidRPr="00F42BE0">
        <w:rPr>
          <w:rFonts w:ascii="Arial" w:eastAsiaTheme="minorEastAsia" w:hAnsi="Arial" w:cs="Arial"/>
          <w:color w:val="000000" w:themeColor="text1"/>
        </w:rPr>
        <w:t>CDE</w:t>
      </w:r>
      <w:r w:rsidR="007E113C">
        <w:rPr>
          <w:rFonts w:ascii="Arial" w:eastAsiaTheme="minorEastAsia" w:hAnsi="Arial" w:cs="Arial"/>
          <w:color w:val="000000" w:themeColor="text1"/>
        </w:rPr>
        <w:t>)</w:t>
      </w:r>
      <w:r w:rsidR="00DE2A40" w:rsidRPr="6FBF6548">
        <w:rPr>
          <w:rFonts w:ascii="Arial" w:eastAsiaTheme="minorEastAsia" w:hAnsi="Arial" w:cs="Arial"/>
          <w:color w:val="000000" w:themeColor="text1"/>
        </w:rPr>
        <w:t xml:space="preserve"> allocated the funds directly to SELPAs on or before August 31, 2021, using the formula </w:t>
      </w:r>
      <w:r w:rsidR="002364D8">
        <w:rPr>
          <w:rFonts w:ascii="Arial" w:eastAsiaTheme="minorEastAsia" w:hAnsi="Arial" w:cs="Arial"/>
          <w:color w:val="000000" w:themeColor="text1"/>
        </w:rPr>
        <w:t>outlined in</w:t>
      </w:r>
      <w:r w:rsidR="00DE2A40" w:rsidRPr="6FBF6548">
        <w:rPr>
          <w:rFonts w:ascii="Arial" w:eastAsiaTheme="minorEastAsia" w:hAnsi="Arial" w:cs="Arial"/>
          <w:color w:val="000000" w:themeColor="text1"/>
        </w:rPr>
        <w:t xml:space="preserve"> AB 130, Section 161(b)1</w:t>
      </w:r>
      <w:r w:rsidR="00325F24">
        <w:rPr>
          <w:rFonts w:ascii="Arial" w:eastAsiaTheme="minorEastAsia" w:hAnsi="Arial" w:cs="Arial"/>
          <w:color w:val="000000" w:themeColor="text1"/>
        </w:rPr>
        <w:t>–</w:t>
      </w:r>
      <w:r w:rsidR="00DE2A40" w:rsidRPr="6FBF6548">
        <w:rPr>
          <w:rFonts w:ascii="Arial" w:eastAsiaTheme="minorEastAsia" w:hAnsi="Arial" w:cs="Arial"/>
          <w:color w:val="000000" w:themeColor="text1"/>
        </w:rPr>
        <w:t>4.</w:t>
      </w:r>
    </w:p>
    <w:p w14:paraId="1F0981DA" w14:textId="3A43B40B" w:rsidR="00DE2A40" w:rsidRDefault="00DE2A40" w:rsidP="00DE2A40">
      <w:pPr>
        <w:spacing w:after="240"/>
        <w:rPr>
          <w:rFonts w:ascii="Arial" w:hAnsi="Arial" w:cs="Arial"/>
        </w:rPr>
      </w:pPr>
      <w:r w:rsidRPr="6FBF6548">
        <w:rPr>
          <w:rFonts w:ascii="Arial" w:hAnsi="Arial" w:cs="Arial"/>
        </w:rPr>
        <w:t>On or before October 1, 2021, SELPAs were required to work with member local education</w:t>
      </w:r>
      <w:r>
        <w:rPr>
          <w:rFonts w:ascii="Arial" w:hAnsi="Arial" w:cs="Arial"/>
        </w:rPr>
        <w:t>al</w:t>
      </w:r>
      <w:r w:rsidRPr="6FBF6548">
        <w:rPr>
          <w:rFonts w:ascii="Arial" w:hAnsi="Arial" w:cs="Arial"/>
        </w:rPr>
        <w:t xml:space="preserve"> agencies (</w:t>
      </w:r>
      <w:r w:rsidRPr="00F42BE0">
        <w:rPr>
          <w:rFonts w:ascii="Arial" w:hAnsi="Arial" w:cs="Arial"/>
        </w:rPr>
        <w:t>LEA</w:t>
      </w:r>
      <w:r w:rsidRPr="6FBF6548">
        <w:rPr>
          <w:rFonts w:ascii="Arial" w:hAnsi="Arial" w:cs="Arial"/>
        </w:rPr>
        <w:t xml:space="preserve">s) to develop and submit a plan to the </w:t>
      </w:r>
      <w:r w:rsidR="007E113C">
        <w:rPr>
          <w:rFonts w:ascii="Arial" w:hAnsi="Arial" w:cs="Arial"/>
        </w:rPr>
        <w:t>S</w:t>
      </w:r>
      <w:r w:rsidR="008652CC">
        <w:rPr>
          <w:rFonts w:ascii="Arial" w:hAnsi="Arial" w:cs="Arial"/>
        </w:rPr>
        <w:t>tate Superintendent</w:t>
      </w:r>
      <w:r w:rsidR="00590EFD">
        <w:rPr>
          <w:rFonts w:ascii="Arial" w:hAnsi="Arial" w:cs="Arial"/>
        </w:rPr>
        <w:t xml:space="preserve"> of Public Instruction</w:t>
      </w:r>
      <w:r w:rsidR="007E113C" w:rsidRPr="6FBF6548">
        <w:rPr>
          <w:rFonts w:ascii="Arial" w:hAnsi="Arial" w:cs="Arial"/>
        </w:rPr>
        <w:t xml:space="preserve"> </w:t>
      </w:r>
      <w:r w:rsidRPr="6FBF6548">
        <w:rPr>
          <w:rFonts w:ascii="Arial" w:hAnsi="Arial" w:cs="Arial"/>
        </w:rPr>
        <w:t>detailing how the SELPA and its member LEAs would implement the requirements associated with this funding</w:t>
      </w:r>
      <w:r>
        <w:rPr>
          <w:rFonts w:ascii="Arial" w:hAnsi="Arial" w:cs="Arial"/>
        </w:rPr>
        <w:t xml:space="preserve">. The plan was </w:t>
      </w:r>
      <w:r w:rsidR="007E113C">
        <w:rPr>
          <w:rFonts w:ascii="Arial" w:hAnsi="Arial" w:cs="Arial"/>
        </w:rPr>
        <w:t xml:space="preserve">required </w:t>
      </w:r>
      <w:r>
        <w:rPr>
          <w:rFonts w:ascii="Arial" w:hAnsi="Arial" w:cs="Arial"/>
        </w:rPr>
        <w:t xml:space="preserve">to </w:t>
      </w:r>
      <w:r w:rsidRPr="00C2465A">
        <w:rPr>
          <w:rFonts w:ascii="Arial" w:hAnsi="Arial" w:cs="Arial"/>
        </w:rPr>
        <w:t xml:space="preserve">include detailed expenditure information delineated by eligible activity; the number, disabilities, and demographics of pupils to be served; </w:t>
      </w:r>
      <w:r>
        <w:rPr>
          <w:rFonts w:ascii="Arial" w:hAnsi="Arial" w:cs="Arial"/>
        </w:rPr>
        <w:t>and</w:t>
      </w:r>
      <w:r w:rsidR="000A48A1">
        <w:rPr>
          <w:rFonts w:ascii="Arial" w:hAnsi="Arial" w:cs="Arial"/>
        </w:rPr>
        <w:t xml:space="preserve"> </w:t>
      </w:r>
      <w:r w:rsidRPr="00C2465A">
        <w:rPr>
          <w:rFonts w:ascii="Arial" w:hAnsi="Arial" w:cs="Arial"/>
        </w:rPr>
        <w:t xml:space="preserve">evidence of matching funds as required by </w:t>
      </w:r>
      <w:r w:rsidR="007E113C">
        <w:rPr>
          <w:rFonts w:ascii="Arial" w:hAnsi="Arial" w:cs="Arial"/>
        </w:rPr>
        <w:t>the legislation</w:t>
      </w:r>
      <w:r>
        <w:rPr>
          <w:rFonts w:ascii="Arial" w:hAnsi="Arial" w:cs="Arial"/>
        </w:rPr>
        <w:t>.</w:t>
      </w:r>
      <w:r w:rsidRPr="6FBF6548">
        <w:rPr>
          <w:rFonts w:ascii="Arial" w:hAnsi="Arial" w:cs="Arial"/>
        </w:rPr>
        <w:t xml:space="preserve"> Funds were to be encumbered by June 30, 2023</w:t>
      </w:r>
      <w:r w:rsidR="00172F3F">
        <w:rPr>
          <w:rFonts w:ascii="Arial" w:hAnsi="Arial" w:cs="Arial"/>
        </w:rPr>
        <w:t>.</w:t>
      </w:r>
      <w:r w:rsidRPr="6FBF6548">
        <w:rPr>
          <w:rFonts w:ascii="Arial" w:hAnsi="Arial" w:cs="Arial"/>
        </w:rPr>
        <w:t xml:space="preserve"> SELPAs submitted final reports to the CDE on September 30, 2023.</w:t>
      </w:r>
    </w:p>
    <w:p w14:paraId="4AC75A8B" w14:textId="525EDFDD" w:rsidR="00DE2A40" w:rsidRPr="00BA6BA1" w:rsidRDefault="00DE2A40" w:rsidP="00DE2A40">
      <w:pPr>
        <w:spacing w:after="24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This report provides a summary of information and data </w:t>
      </w:r>
      <w:r w:rsidR="000A48A1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 xml:space="preserve">SELPAs submitted to the CDE detailing how AB 130 Section 161 funds were used to </w:t>
      </w:r>
      <w:r w:rsidR="00030345">
        <w:rPr>
          <w:rFonts w:ascii="Arial" w:hAnsi="Arial" w:cs="Arial"/>
        </w:rPr>
        <w:t>provide learning recovery support to</w:t>
      </w:r>
      <w:r>
        <w:rPr>
          <w:rFonts w:ascii="Arial" w:hAnsi="Arial" w:cs="Arial"/>
        </w:rPr>
        <w:t xml:space="preserve"> students with disabilities </w:t>
      </w:r>
      <w:r w:rsidR="00030345">
        <w:rPr>
          <w:rFonts w:ascii="Arial" w:hAnsi="Arial" w:cs="Arial"/>
        </w:rPr>
        <w:t>impacted by the</w:t>
      </w:r>
      <w:r>
        <w:rPr>
          <w:rFonts w:ascii="Arial" w:hAnsi="Arial" w:cs="Arial"/>
        </w:rPr>
        <w:t xml:space="preserve"> COVID-19 </w:t>
      </w:r>
      <w:r w:rsidR="00030345">
        <w:rPr>
          <w:rFonts w:ascii="Arial" w:hAnsi="Arial" w:cs="Arial"/>
        </w:rPr>
        <w:t xml:space="preserve">pandemic </w:t>
      </w:r>
      <w:r>
        <w:rPr>
          <w:rFonts w:ascii="Arial" w:hAnsi="Arial" w:cs="Arial"/>
        </w:rPr>
        <w:t xml:space="preserve">for the period </w:t>
      </w:r>
      <w:r w:rsidR="008776E1">
        <w:rPr>
          <w:rFonts w:ascii="Arial" w:hAnsi="Arial" w:cs="Arial"/>
        </w:rPr>
        <w:t xml:space="preserve">of </w:t>
      </w:r>
      <w:r w:rsidRPr="00BE4B7D">
        <w:rPr>
          <w:rFonts w:ascii="Arial" w:eastAsiaTheme="minorHAnsi" w:hAnsi="Arial" w:cs="Arial"/>
        </w:rPr>
        <w:t>March 13, 2020, to September 1, 2021.</w:t>
      </w:r>
      <w:r w:rsidR="000A48A1" w:rsidRPr="000A48A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A48A1" w:rsidRPr="0062619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Data showed that </w:t>
      </w:r>
      <w:r w:rsidR="000A48A1" w:rsidRPr="0062619A">
        <w:rPr>
          <w:rFonts w:ascii="Arial" w:hAnsi="Arial" w:cs="Arial"/>
          <w:color w:val="000000"/>
        </w:rPr>
        <w:t>757,409</w:t>
      </w:r>
      <w:r w:rsidR="000A48A1" w:rsidRPr="0062619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students with disabilities were served using the learning recovery funds allocated in AB 130. </w:t>
      </w:r>
      <w:r w:rsidR="002364D8">
        <w:rPr>
          <w:rStyle w:val="normaltextrun"/>
          <w:rFonts w:ascii="Arial" w:hAnsi="Arial" w:cs="Arial"/>
          <w:color w:val="000000"/>
          <w:shd w:val="clear" w:color="auto" w:fill="FFFFFF"/>
        </w:rPr>
        <w:t>Ninety-eight</w:t>
      </w:r>
      <w:r w:rsidR="000A48A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percent of apportioned funds were expended in the provision of these services.</w:t>
      </w:r>
    </w:p>
    <w:p w14:paraId="7036FD6C" w14:textId="5AF871C0" w:rsidR="0094148D" w:rsidRDefault="00DE2A40" w:rsidP="0094148D">
      <w:pPr>
        <w:tabs>
          <w:tab w:val="right" w:pos="9360"/>
        </w:tabs>
        <w:autoSpaceDE w:val="0"/>
        <w:autoSpaceDN w:val="0"/>
        <w:adjustRightInd w:val="0"/>
        <w:spacing w:after="240"/>
        <w:rPr>
          <w:rFonts w:ascii="Arial" w:hAnsi="Arial" w:cs="Arial"/>
          <w:bCs/>
        </w:rPr>
      </w:pPr>
      <w:r w:rsidRPr="00BE4B7D">
        <w:rPr>
          <w:rFonts w:ascii="Arial" w:hAnsi="Arial" w:cs="Arial"/>
          <w:bCs/>
        </w:rPr>
        <w:t xml:space="preserve">You </w:t>
      </w:r>
      <w:r w:rsidR="00C8323F">
        <w:rPr>
          <w:rFonts w:ascii="Arial" w:hAnsi="Arial" w:cs="Arial"/>
          <w:bCs/>
        </w:rPr>
        <w:t>will</w:t>
      </w:r>
      <w:r w:rsidRPr="00BE4B7D">
        <w:rPr>
          <w:rFonts w:ascii="Arial" w:hAnsi="Arial" w:cs="Arial"/>
          <w:bCs/>
        </w:rPr>
        <w:t xml:space="preserve"> find this report </w:t>
      </w:r>
      <w:r>
        <w:rPr>
          <w:rFonts w:ascii="Arial" w:hAnsi="Arial" w:cs="Arial"/>
          <w:bCs/>
        </w:rPr>
        <w:t xml:space="preserve">on </w:t>
      </w:r>
      <w:r w:rsidRPr="00BE4B7D">
        <w:rPr>
          <w:rFonts w:ascii="Arial" w:hAnsi="Arial" w:cs="Arial"/>
          <w:bCs/>
        </w:rPr>
        <w:t xml:space="preserve">the </w:t>
      </w:r>
      <w:r w:rsidR="008776E1">
        <w:rPr>
          <w:rFonts w:ascii="Arial" w:hAnsi="Arial" w:cs="Arial"/>
          <w:bCs/>
        </w:rPr>
        <w:t>CDE</w:t>
      </w:r>
      <w:r>
        <w:rPr>
          <w:rFonts w:ascii="Arial" w:hAnsi="Arial" w:cs="Arial"/>
          <w:bCs/>
        </w:rPr>
        <w:t xml:space="preserve"> Special Education Laws, Regulations, and Policies web page</w:t>
      </w:r>
      <w:r w:rsidRPr="00BE4B7D">
        <w:rPr>
          <w:rFonts w:ascii="Arial" w:hAnsi="Arial" w:cs="Arial"/>
          <w:bCs/>
        </w:rPr>
        <w:t xml:space="preserve"> at</w:t>
      </w:r>
      <w:r w:rsidR="00B22375" w:rsidRPr="00B22375">
        <w:t xml:space="preserve"> </w:t>
      </w:r>
      <w:hyperlink r:id="rId11" w:tooltip="CDE Special Education Laws, Regulations, and Policies web page" w:history="1">
        <w:r w:rsidR="002F1E0D" w:rsidRPr="00526809">
          <w:rPr>
            <w:rStyle w:val="Hyperlink"/>
            <w:rFonts w:ascii="Arial" w:hAnsi="Arial" w:cs="Arial"/>
            <w:bCs/>
          </w:rPr>
          <w:t>https://www.cde.ca.gov/sp/se/lr/</w:t>
        </w:r>
      </w:hyperlink>
      <w:r w:rsidR="00B22375" w:rsidRPr="00C8323F">
        <w:rPr>
          <w:rFonts w:ascii="Arial" w:hAnsi="Arial" w:cs="Arial"/>
          <w:bCs/>
        </w:rPr>
        <w:t>.</w:t>
      </w:r>
      <w:r w:rsidR="00C8323F">
        <w:rPr>
          <w:rFonts w:ascii="Arial" w:hAnsi="Arial" w:cs="Arial"/>
          <w:bCs/>
        </w:rPr>
        <w:t xml:space="preserve"> </w:t>
      </w:r>
      <w:r w:rsidRPr="00C2465A">
        <w:rPr>
          <w:rFonts w:ascii="Arial" w:hAnsi="Arial" w:cs="Arial"/>
          <w:bCs/>
        </w:rPr>
        <w:t xml:space="preserve">To request a copy of this report, </w:t>
      </w:r>
      <w:r w:rsidRPr="00BE4B7D">
        <w:rPr>
          <w:rFonts w:ascii="Arial" w:hAnsi="Arial" w:cs="Arial"/>
          <w:bCs/>
        </w:rPr>
        <w:t>please contact Andrea Gallagher</w:t>
      </w:r>
      <w:r>
        <w:rPr>
          <w:rFonts w:ascii="Arial" w:hAnsi="Arial" w:cs="Arial"/>
          <w:bCs/>
        </w:rPr>
        <w:t xml:space="preserve">, Education Programs Consultant, </w:t>
      </w:r>
      <w:r w:rsidR="0094148D">
        <w:rPr>
          <w:rFonts w:ascii="Arial" w:hAnsi="Arial" w:cs="Arial"/>
          <w:bCs/>
        </w:rPr>
        <w:t>Special Education Division</w:t>
      </w:r>
      <w:r w:rsidR="00C8323F">
        <w:rPr>
          <w:rFonts w:ascii="Arial" w:hAnsi="Arial" w:cs="Arial"/>
          <w:bCs/>
        </w:rPr>
        <w:t xml:space="preserve"> </w:t>
      </w:r>
      <w:r w:rsidRPr="00BE4B7D">
        <w:rPr>
          <w:rFonts w:ascii="Arial" w:hAnsi="Arial" w:cs="Arial"/>
          <w:bCs/>
        </w:rPr>
        <w:t xml:space="preserve">at 916-327-3684 or </w:t>
      </w:r>
      <w:hyperlink r:id="rId12" w:tooltip="Email address Andrea Gallagher" w:history="1">
        <w:r w:rsidRPr="00C0621D">
          <w:rPr>
            <w:rStyle w:val="Hyperlink"/>
            <w:rFonts w:ascii="Arial" w:eastAsiaTheme="majorEastAsia" w:hAnsi="Arial" w:cs="Arial"/>
            <w:bCs/>
          </w:rPr>
          <w:t>AGallagher@cde.ca.gov</w:t>
        </w:r>
      </w:hyperlink>
      <w:r w:rsidRPr="00C0621D">
        <w:rPr>
          <w:rFonts w:ascii="Arial" w:hAnsi="Arial" w:cs="Arial"/>
          <w:bCs/>
        </w:rPr>
        <w:t>.</w:t>
      </w:r>
    </w:p>
    <w:p w14:paraId="1BEE985E" w14:textId="77777777" w:rsidR="0094148D" w:rsidRPr="00C0621D" w:rsidRDefault="0094148D" w:rsidP="0094148D">
      <w:pPr>
        <w:tabs>
          <w:tab w:val="right" w:pos="9360"/>
        </w:tabs>
        <w:autoSpaceDE w:val="0"/>
        <w:autoSpaceDN w:val="0"/>
        <w:adjustRightInd w:val="0"/>
        <w:spacing w:after="240"/>
        <w:rPr>
          <w:rFonts w:ascii="Arial" w:hAnsi="Arial" w:cs="Arial"/>
          <w:iCs/>
        </w:rPr>
      </w:pPr>
      <w:r w:rsidRPr="00BE4B7D">
        <w:rPr>
          <w:rFonts w:ascii="Arial" w:hAnsi="Arial" w:cs="Arial"/>
          <w:iCs/>
          <w:color w:val="000000"/>
        </w:rPr>
        <w:t xml:space="preserve">If you have any questions regarding this report, please contact </w:t>
      </w:r>
      <w:r w:rsidRPr="00BE4B7D">
        <w:rPr>
          <w:rFonts w:ascii="Arial" w:hAnsi="Arial" w:cs="Arial"/>
          <w:iCs/>
        </w:rPr>
        <w:t>Barbara Gaskin Wintle, Education</w:t>
      </w:r>
      <w:r>
        <w:rPr>
          <w:rFonts w:ascii="Arial" w:hAnsi="Arial" w:cs="Arial"/>
          <w:iCs/>
        </w:rPr>
        <w:t xml:space="preserve"> Administrator,</w:t>
      </w:r>
      <w:r w:rsidRPr="00BE4B7D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Special Education Division</w:t>
      </w:r>
      <w:r w:rsidRPr="0094148D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</w:t>
      </w:r>
      <w:r w:rsidRPr="00BE4B7D">
        <w:rPr>
          <w:rFonts w:ascii="Arial" w:hAnsi="Arial" w:cs="Arial"/>
          <w:iCs/>
        </w:rPr>
        <w:t xml:space="preserve">at 916-327-0865 or </w:t>
      </w:r>
      <w:hyperlink r:id="rId13" w:tooltip="Email address Barbara Gaskin" w:history="1">
        <w:r w:rsidRPr="00C0621D">
          <w:rPr>
            <w:rStyle w:val="Hyperlink"/>
            <w:rFonts w:ascii="Arial" w:eastAsiaTheme="majorEastAsia" w:hAnsi="Arial" w:cs="Arial"/>
            <w:iCs/>
          </w:rPr>
          <w:t>BGaskin@cde.ca.gov</w:t>
        </w:r>
      </w:hyperlink>
      <w:r w:rsidRPr="00C0621D">
        <w:rPr>
          <w:rFonts w:ascii="Arial" w:hAnsi="Arial" w:cs="Arial"/>
          <w:iCs/>
        </w:rPr>
        <w:t>.</w:t>
      </w:r>
    </w:p>
    <w:p w14:paraId="4D09BACC" w14:textId="77777777" w:rsidR="000A48A1" w:rsidRDefault="000A48A1" w:rsidP="00DE2A40">
      <w:pPr>
        <w:pStyle w:val="Heading2"/>
        <w:spacing w:before="0"/>
      </w:pPr>
      <w:r>
        <w:lastRenderedPageBreak/>
        <w:t>Introduction</w:t>
      </w:r>
    </w:p>
    <w:p w14:paraId="23828907" w14:textId="10B44F54" w:rsidR="009B238F" w:rsidRPr="00170F6F" w:rsidRDefault="009B238F" w:rsidP="009B238F">
      <w:pPr>
        <w:spacing w:after="240"/>
        <w:rPr>
          <w:rFonts w:ascii="Arial" w:eastAsiaTheme="minorEastAsia" w:hAnsi="Arial" w:cs="Arial"/>
        </w:rPr>
      </w:pPr>
      <w:r w:rsidRPr="6FBF6548">
        <w:rPr>
          <w:rFonts w:ascii="Arial" w:eastAsiaTheme="minorEastAsia" w:hAnsi="Arial" w:cs="Arial"/>
        </w:rPr>
        <w:t xml:space="preserve">Section 161 of </w:t>
      </w:r>
      <w:r w:rsidR="00450359">
        <w:rPr>
          <w:rFonts w:ascii="Arial" w:eastAsiaTheme="minorEastAsia" w:hAnsi="Arial" w:cs="Arial"/>
        </w:rPr>
        <w:t>AB</w:t>
      </w:r>
      <w:r w:rsidRPr="6FBF6548">
        <w:rPr>
          <w:rFonts w:ascii="Arial" w:eastAsiaTheme="minorEastAsia" w:hAnsi="Arial" w:cs="Arial"/>
        </w:rPr>
        <w:t xml:space="preserve"> 130 (Chapter 44, Statutes of 2021) appropriated $450</w:t>
      </w:r>
      <w:r>
        <w:rPr>
          <w:rFonts w:ascii="Arial" w:eastAsiaTheme="minorEastAsia" w:hAnsi="Arial" w:cs="Arial"/>
        </w:rPr>
        <w:t xml:space="preserve"> million</w:t>
      </w:r>
      <w:r w:rsidRPr="6FBF6548">
        <w:rPr>
          <w:rFonts w:ascii="Arial" w:eastAsiaTheme="minorEastAsia" w:hAnsi="Arial" w:cs="Arial"/>
        </w:rPr>
        <w:t xml:space="preserve"> from the General Fund to the </w:t>
      </w:r>
      <w:r w:rsidR="00BA6BA1">
        <w:rPr>
          <w:rFonts w:ascii="Arial" w:eastAsiaTheme="minorEastAsia" w:hAnsi="Arial" w:cs="Arial"/>
        </w:rPr>
        <w:t xml:space="preserve">State </w:t>
      </w:r>
      <w:r w:rsidR="00450359">
        <w:rPr>
          <w:rFonts w:ascii="Arial" w:eastAsiaTheme="minorEastAsia" w:hAnsi="Arial" w:cs="Arial"/>
        </w:rPr>
        <w:t xml:space="preserve">Superintendent </w:t>
      </w:r>
      <w:r>
        <w:rPr>
          <w:rFonts w:ascii="Arial" w:eastAsiaTheme="minorEastAsia" w:hAnsi="Arial" w:cs="Arial"/>
        </w:rPr>
        <w:t>of Public Instruction</w:t>
      </w:r>
      <w:r w:rsidRPr="6FBF6548">
        <w:rPr>
          <w:rFonts w:ascii="Arial" w:eastAsiaTheme="minorEastAsia" w:hAnsi="Arial" w:cs="Arial"/>
        </w:rPr>
        <w:t xml:space="preserve"> on a one-time basis for allocation to SELPAs to provide learning recovery support</w:t>
      </w:r>
      <w:r>
        <w:rPr>
          <w:rFonts w:ascii="Arial" w:eastAsiaTheme="minorEastAsia" w:hAnsi="Arial" w:cs="Arial"/>
        </w:rPr>
        <w:t xml:space="preserve"> to students with disabilities impacted by</w:t>
      </w:r>
      <w:r w:rsidRPr="6FBF6548">
        <w:rPr>
          <w:rFonts w:ascii="Arial" w:eastAsiaTheme="minorEastAsia" w:hAnsi="Arial" w:cs="Arial"/>
        </w:rPr>
        <w:t xml:space="preserve"> school disruptions </w:t>
      </w:r>
      <w:r>
        <w:rPr>
          <w:rFonts w:ascii="Arial" w:eastAsiaTheme="minorEastAsia" w:hAnsi="Arial" w:cs="Arial"/>
        </w:rPr>
        <w:t xml:space="preserve">stemming </w:t>
      </w:r>
      <w:r w:rsidRPr="6FBF6548">
        <w:rPr>
          <w:rFonts w:ascii="Arial" w:eastAsiaTheme="minorEastAsia" w:hAnsi="Arial" w:cs="Arial"/>
        </w:rPr>
        <w:t xml:space="preserve">from the </w:t>
      </w:r>
      <w:r>
        <w:rPr>
          <w:rFonts w:ascii="Arial" w:eastAsiaTheme="minorEastAsia" w:hAnsi="Arial" w:cs="Arial"/>
        </w:rPr>
        <w:t xml:space="preserve">2019 </w:t>
      </w:r>
      <w:r w:rsidRPr="0057755F">
        <w:rPr>
          <w:rFonts w:ascii="Arial" w:eastAsiaTheme="minorEastAsia" w:hAnsi="Arial" w:cs="Arial"/>
        </w:rPr>
        <w:t>Novel Coronavirus</w:t>
      </w:r>
      <w:r>
        <w:rPr>
          <w:rFonts w:ascii="Arial" w:eastAsiaTheme="minorEastAsia" w:hAnsi="Arial" w:cs="Arial"/>
        </w:rPr>
        <w:t xml:space="preserve"> </w:t>
      </w:r>
      <w:r w:rsidRPr="00C85C0D">
        <w:rPr>
          <w:rFonts w:ascii="Arial" w:eastAsiaTheme="minorEastAsia" w:hAnsi="Arial" w:cs="Arial"/>
        </w:rPr>
        <w:t>(COVID-19</w:t>
      </w:r>
      <w:r>
        <w:rPr>
          <w:rFonts w:ascii="Arial" w:eastAsiaTheme="minorEastAsia" w:hAnsi="Arial" w:cs="Arial"/>
        </w:rPr>
        <w:t>)</w:t>
      </w:r>
      <w:r w:rsidRPr="6FBF6548">
        <w:rPr>
          <w:rFonts w:ascii="Arial" w:eastAsiaTheme="minorEastAsia" w:hAnsi="Arial" w:cs="Arial"/>
        </w:rPr>
        <w:t xml:space="preserve"> public health emergency during the period of March 13, 2020, to September 1, 2021. </w:t>
      </w:r>
      <w:r w:rsidRPr="6FBF6548">
        <w:rPr>
          <w:rFonts w:ascii="Arial" w:eastAsiaTheme="minorEastAsia" w:hAnsi="Arial" w:cs="Arial"/>
          <w:color w:val="000000" w:themeColor="text1"/>
        </w:rPr>
        <w:t>The CDE allocated the funds directly to</w:t>
      </w:r>
      <w:r>
        <w:rPr>
          <w:rFonts w:ascii="Arial" w:eastAsiaTheme="minorEastAsia" w:hAnsi="Arial" w:cs="Arial"/>
          <w:color w:val="000000" w:themeColor="text1"/>
        </w:rPr>
        <w:t xml:space="preserve"> </w:t>
      </w:r>
      <w:r w:rsidRPr="6FBF6548">
        <w:rPr>
          <w:rFonts w:ascii="Arial" w:eastAsiaTheme="minorEastAsia" w:hAnsi="Arial" w:cs="Arial"/>
          <w:color w:val="000000" w:themeColor="text1"/>
        </w:rPr>
        <w:t>SELPAs on or before August 31, 2021, using the formula set forth in AB 130 Section 161(b)1</w:t>
      </w:r>
      <w:r w:rsidR="00574AEA">
        <w:rPr>
          <w:rFonts w:ascii="Arial" w:eastAsiaTheme="minorEastAsia" w:hAnsi="Arial" w:cs="Arial"/>
          <w:color w:val="000000" w:themeColor="text1"/>
        </w:rPr>
        <w:t>–</w:t>
      </w:r>
      <w:r w:rsidRPr="6FBF6548">
        <w:rPr>
          <w:rFonts w:ascii="Arial" w:eastAsiaTheme="minorEastAsia" w:hAnsi="Arial" w:cs="Arial"/>
          <w:color w:val="000000" w:themeColor="text1"/>
        </w:rPr>
        <w:t>4.</w:t>
      </w:r>
    </w:p>
    <w:p w14:paraId="0044D981" w14:textId="61F69D9F" w:rsidR="00DE2A40" w:rsidRPr="00574AEA" w:rsidRDefault="00DE2A40" w:rsidP="00574AEA">
      <w:pPr>
        <w:pStyle w:val="Heading2"/>
      </w:pPr>
      <w:r w:rsidRPr="00574AEA">
        <w:t>Learning Recovery</w:t>
      </w:r>
    </w:p>
    <w:p w14:paraId="6C58D625" w14:textId="77777777" w:rsidR="00DE2A40" w:rsidRPr="00574AEA" w:rsidRDefault="00DE2A40" w:rsidP="00574AEA">
      <w:pPr>
        <w:pStyle w:val="Heading3"/>
      </w:pPr>
      <w:r w:rsidRPr="00574AEA">
        <w:t>Learning Recovery Description</w:t>
      </w:r>
    </w:p>
    <w:p w14:paraId="271C30B2" w14:textId="473E4743" w:rsidR="00DE2A40" w:rsidRDefault="00DE2A40" w:rsidP="00DE2A40">
      <w:pPr>
        <w:spacing w:after="240"/>
        <w:rPr>
          <w:rFonts w:ascii="Arial" w:eastAsiaTheme="minorEastAsia" w:hAnsi="Arial" w:cs="Arial"/>
        </w:rPr>
      </w:pPr>
      <w:r w:rsidRPr="6FBF6548">
        <w:rPr>
          <w:rFonts w:ascii="Arial" w:eastAsiaTheme="minorEastAsia" w:hAnsi="Arial" w:cs="Arial"/>
        </w:rPr>
        <w:t xml:space="preserve">SELPAs and </w:t>
      </w:r>
      <w:r w:rsidR="00574AEA">
        <w:rPr>
          <w:rFonts w:ascii="Arial" w:eastAsiaTheme="minorEastAsia" w:hAnsi="Arial" w:cs="Arial"/>
        </w:rPr>
        <w:t>L</w:t>
      </w:r>
      <w:r w:rsidRPr="6FBF6548">
        <w:rPr>
          <w:rFonts w:ascii="Arial" w:eastAsiaTheme="minorEastAsia" w:hAnsi="Arial" w:cs="Arial"/>
        </w:rPr>
        <w:t>EAs appl</w:t>
      </w:r>
      <w:r w:rsidR="001D664D">
        <w:rPr>
          <w:rFonts w:ascii="Arial" w:eastAsiaTheme="minorEastAsia" w:hAnsi="Arial" w:cs="Arial"/>
        </w:rPr>
        <w:t>ied</w:t>
      </w:r>
      <w:r w:rsidRPr="6FBF6548">
        <w:rPr>
          <w:rFonts w:ascii="Arial" w:eastAsiaTheme="minorEastAsia" w:hAnsi="Arial" w:cs="Arial"/>
        </w:rPr>
        <w:t xml:space="preserve"> the term </w:t>
      </w:r>
      <w:r>
        <w:rPr>
          <w:rFonts w:ascii="Arial" w:eastAsiaTheme="minorEastAsia" w:hAnsi="Arial" w:cs="Arial"/>
        </w:rPr>
        <w:t>“l</w:t>
      </w:r>
      <w:r w:rsidRPr="00AE10F8">
        <w:rPr>
          <w:rFonts w:ascii="Arial" w:eastAsiaTheme="minorEastAsia" w:hAnsi="Arial" w:cs="Arial"/>
        </w:rPr>
        <w:t xml:space="preserve">earning </w:t>
      </w:r>
      <w:r>
        <w:rPr>
          <w:rFonts w:ascii="Arial" w:eastAsiaTheme="minorEastAsia" w:hAnsi="Arial" w:cs="Arial"/>
        </w:rPr>
        <w:t>re</w:t>
      </w:r>
      <w:r w:rsidRPr="00AE10F8">
        <w:rPr>
          <w:rFonts w:ascii="Arial" w:eastAsiaTheme="minorEastAsia" w:hAnsi="Arial" w:cs="Arial"/>
        </w:rPr>
        <w:t>covery</w:t>
      </w:r>
      <w:r>
        <w:rPr>
          <w:rFonts w:ascii="Arial" w:eastAsiaTheme="minorEastAsia" w:hAnsi="Arial" w:cs="Arial"/>
        </w:rPr>
        <w:t xml:space="preserve">” </w:t>
      </w:r>
      <w:r w:rsidRPr="6FBF6548">
        <w:rPr>
          <w:rFonts w:ascii="Arial" w:eastAsiaTheme="minorEastAsia" w:hAnsi="Arial" w:cs="Arial"/>
        </w:rPr>
        <w:t xml:space="preserve">broadly </w:t>
      </w:r>
      <w:r w:rsidR="001D664D">
        <w:rPr>
          <w:rFonts w:ascii="Arial" w:eastAsiaTheme="minorEastAsia" w:hAnsi="Arial" w:cs="Arial"/>
        </w:rPr>
        <w:t xml:space="preserve">when determining allowable costs </w:t>
      </w:r>
      <w:r w:rsidRPr="6FBF6548">
        <w:rPr>
          <w:rFonts w:ascii="Arial" w:eastAsiaTheme="minorEastAsia" w:hAnsi="Arial" w:cs="Arial"/>
        </w:rPr>
        <w:t xml:space="preserve">to address </w:t>
      </w:r>
      <w:r>
        <w:rPr>
          <w:rFonts w:ascii="Arial" w:eastAsiaTheme="minorEastAsia" w:hAnsi="Arial" w:cs="Arial"/>
        </w:rPr>
        <w:t xml:space="preserve">impacts </w:t>
      </w:r>
      <w:r w:rsidR="002364D8">
        <w:rPr>
          <w:rFonts w:ascii="Arial" w:eastAsiaTheme="minorEastAsia" w:hAnsi="Arial" w:cs="Arial"/>
        </w:rPr>
        <w:t xml:space="preserve">on </w:t>
      </w:r>
      <w:r w:rsidRPr="6FBF6548">
        <w:rPr>
          <w:rFonts w:ascii="Arial" w:eastAsiaTheme="minorEastAsia" w:hAnsi="Arial" w:cs="Arial"/>
        </w:rPr>
        <w:t xml:space="preserve">learning due to </w:t>
      </w:r>
      <w:r w:rsidRPr="007A1713">
        <w:rPr>
          <w:rFonts w:ascii="Arial" w:eastAsiaTheme="minorEastAsia" w:hAnsi="Arial" w:cs="Arial"/>
        </w:rPr>
        <w:t>COVID-19</w:t>
      </w:r>
      <w:r w:rsidRPr="004230D2">
        <w:rPr>
          <w:rFonts w:ascii="Arial" w:eastAsiaTheme="minorEastAsia" w:hAnsi="Arial" w:cs="Arial"/>
        </w:rPr>
        <w:t>-</w:t>
      </w:r>
      <w:r w:rsidRPr="6FBF6548">
        <w:rPr>
          <w:rFonts w:ascii="Arial" w:eastAsiaTheme="minorEastAsia" w:hAnsi="Arial" w:cs="Arial"/>
        </w:rPr>
        <w:t>related school disruptions from March 13, 2020, to September 1, 2021</w:t>
      </w:r>
      <w:r>
        <w:rPr>
          <w:rFonts w:ascii="Arial" w:eastAsiaTheme="minorEastAsia" w:hAnsi="Arial" w:cs="Arial"/>
        </w:rPr>
        <w:t>.</w:t>
      </w:r>
      <w:r w:rsidRPr="6FBF6548">
        <w:rPr>
          <w:rFonts w:ascii="Arial" w:eastAsiaTheme="minorEastAsia" w:hAnsi="Arial" w:cs="Arial"/>
        </w:rPr>
        <w:t xml:space="preserve"> The funds </w:t>
      </w:r>
      <w:r>
        <w:rPr>
          <w:rFonts w:ascii="Arial" w:eastAsiaTheme="minorEastAsia" w:hAnsi="Arial" w:cs="Arial"/>
        </w:rPr>
        <w:t>were not to be used to supplant existing expenditures or obligations of the LEA but to supplement existing staff and services to provide learning recovery support</w:t>
      </w:r>
      <w:r w:rsidRPr="6FBF6548">
        <w:rPr>
          <w:rFonts w:ascii="Arial" w:eastAsiaTheme="minorEastAsia" w:hAnsi="Arial" w:cs="Arial"/>
        </w:rPr>
        <w:t>. SELPAs and LEAs were encouraged to leverage funds in innovative and strategic ways to directly respond to the needs of individual students.</w:t>
      </w:r>
    </w:p>
    <w:p w14:paraId="7F84EA10" w14:textId="77777777" w:rsidR="00DE2A40" w:rsidRPr="00574AEA" w:rsidRDefault="00DE2A40" w:rsidP="00574AEA">
      <w:pPr>
        <w:pStyle w:val="Heading3"/>
      </w:pPr>
      <w:r w:rsidRPr="00574AEA">
        <w:t>Requirements for Special Education Local Plan Areas</w:t>
      </w:r>
    </w:p>
    <w:p w14:paraId="29145A01" w14:textId="1C27EB00" w:rsidR="00DE2A40" w:rsidRPr="00444F28" w:rsidRDefault="00DE2A40" w:rsidP="00DE2A40">
      <w:pPr>
        <w:spacing w:after="240"/>
        <w:rPr>
          <w:rFonts w:ascii="Arial" w:eastAsiaTheme="minorEastAsia" w:hAnsi="Arial" w:cs="Arial"/>
        </w:rPr>
      </w:pPr>
      <w:r w:rsidRPr="6FBF6548">
        <w:rPr>
          <w:rFonts w:ascii="Arial" w:eastAsiaTheme="minorEastAsia" w:hAnsi="Arial" w:cs="Arial"/>
        </w:rPr>
        <w:t>On or before October 1, 2021, SELPAs work</w:t>
      </w:r>
      <w:r w:rsidR="00273A03">
        <w:rPr>
          <w:rFonts w:ascii="Arial" w:eastAsiaTheme="minorEastAsia" w:hAnsi="Arial" w:cs="Arial"/>
        </w:rPr>
        <w:t>ed</w:t>
      </w:r>
      <w:r w:rsidRPr="6FBF6548">
        <w:rPr>
          <w:rFonts w:ascii="Arial" w:eastAsiaTheme="minorEastAsia" w:hAnsi="Arial" w:cs="Arial"/>
        </w:rPr>
        <w:t xml:space="preserve"> with member LEAs to develop and submit a </w:t>
      </w:r>
      <w:r>
        <w:rPr>
          <w:rFonts w:ascii="Arial" w:eastAsiaTheme="minorEastAsia" w:hAnsi="Arial" w:cs="Arial"/>
        </w:rPr>
        <w:t>l</w:t>
      </w:r>
      <w:r w:rsidRPr="6FBF6548">
        <w:rPr>
          <w:rFonts w:ascii="Arial" w:eastAsiaTheme="minorEastAsia" w:hAnsi="Arial" w:cs="Arial"/>
        </w:rPr>
        <w:t xml:space="preserve">earning </w:t>
      </w:r>
      <w:r>
        <w:rPr>
          <w:rFonts w:ascii="Arial" w:eastAsiaTheme="minorEastAsia" w:hAnsi="Arial" w:cs="Arial"/>
        </w:rPr>
        <w:t>r</w:t>
      </w:r>
      <w:r w:rsidRPr="6FBF6548">
        <w:rPr>
          <w:rFonts w:ascii="Arial" w:eastAsiaTheme="minorEastAsia" w:hAnsi="Arial" w:cs="Arial"/>
        </w:rPr>
        <w:t xml:space="preserve">ecovery </w:t>
      </w:r>
      <w:r>
        <w:rPr>
          <w:rFonts w:ascii="Arial" w:eastAsiaTheme="minorEastAsia" w:hAnsi="Arial" w:cs="Arial"/>
        </w:rPr>
        <w:t>p</w:t>
      </w:r>
      <w:r w:rsidRPr="6FBF6548">
        <w:rPr>
          <w:rFonts w:ascii="Arial" w:eastAsiaTheme="minorEastAsia" w:hAnsi="Arial" w:cs="Arial"/>
        </w:rPr>
        <w:t>lan (LRP) to the CDE documenting how the SELPA and its member LEAs would implement the requirements associated with this funding</w:t>
      </w:r>
      <w:r>
        <w:rPr>
          <w:rFonts w:ascii="Arial" w:eastAsiaTheme="minorEastAsia" w:hAnsi="Arial" w:cs="Arial"/>
        </w:rPr>
        <w:t xml:space="preserve">. </w:t>
      </w:r>
      <w:r w:rsidRPr="6FBF6548">
        <w:rPr>
          <w:rFonts w:ascii="Arial" w:eastAsiaTheme="minorEastAsia" w:hAnsi="Arial" w:cs="Arial"/>
        </w:rPr>
        <w:t xml:space="preserve">The </w:t>
      </w:r>
      <w:r>
        <w:rPr>
          <w:rFonts w:ascii="Arial" w:eastAsiaTheme="minorEastAsia" w:hAnsi="Arial" w:cs="Arial"/>
        </w:rPr>
        <w:t>LRP specif</w:t>
      </w:r>
      <w:r w:rsidR="00273A03">
        <w:rPr>
          <w:rFonts w:ascii="Arial" w:eastAsiaTheme="minorEastAsia" w:hAnsi="Arial" w:cs="Arial"/>
        </w:rPr>
        <w:t>ied</w:t>
      </w:r>
      <w:r>
        <w:rPr>
          <w:rFonts w:ascii="Arial" w:eastAsiaTheme="minorEastAsia" w:hAnsi="Arial" w:cs="Arial"/>
        </w:rPr>
        <w:t xml:space="preserve"> how</w:t>
      </w:r>
      <w:r w:rsidRPr="6FBF6548">
        <w:rPr>
          <w:rFonts w:ascii="Arial" w:eastAsiaTheme="minorEastAsia" w:hAnsi="Arial" w:cs="Arial"/>
        </w:rPr>
        <w:t xml:space="preserve"> the</w:t>
      </w:r>
      <w:r>
        <w:rPr>
          <w:rFonts w:ascii="Arial" w:eastAsiaTheme="minorEastAsia" w:hAnsi="Arial" w:cs="Arial"/>
        </w:rPr>
        <w:t xml:space="preserve"> SELPA and member</w:t>
      </w:r>
      <w:r w:rsidRPr="6FBF6548">
        <w:rPr>
          <w:rFonts w:ascii="Arial" w:eastAsiaTheme="minorEastAsia" w:hAnsi="Arial" w:cs="Arial"/>
        </w:rPr>
        <w:t xml:space="preserve"> LEA</w:t>
      </w:r>
      <w:r>
        <w:rPr>
          <w:rFonts w:ascii="Arial" w:eastAsiaTheme="minorEastAsia" w:hAnsi="Arial" w:cs="Arial"/>
        </w:rPr>
        <w:t>s</w:t>
      </w:r>
      <w:r w:rsidRPr="6FBF6548">
        <w:rPr>
          <w:rFonts w:ascii="Arial" w:eastAsiaTheme="minorEastAsia" w:hAnsi="Arial" w:cs="Arial"/>
        </w:rPr>
        <w:t xml:space="preserve"> intended to use the funds</w:t>
      </w:r>
      <w:r>
        <w:rPr>
          <w:rFonts w:ascii="Arial" w:eastAsiaTheme="minorEastAsia" w:hAnsi="Arial" w:cs="Arial"/>
        </w:rPr>
        <w:t>, with</w:t>
      </w:r>
      <w:r w:rsidRPr="6FBF6548">
        <w:rPr>
          <w:rFonts w:ascii="Arial" w:eastAsiaTheme="minorEastAsia" w:hAnsi="Arial" w:cs="Arial"/>
        </w:rPr>
        <w:t xml:space="preserve"> enough </w:t>
      </w:r>
      <w:r>
        <w:rPr>
          <w:rFonts w:ascii="Arial" w:eastAsiaTheme="minorEastAsia" w:hAnsi="Arial" w:cs="Arial"/>
        </w:rPr>
        <w:t xml:space="preserve">detail for the CDE </w:t>
      </w:r>
      <w:r w:rsidRPr="6FBF6548">
        <w:rPr>
          <w:rFonts w:ascii="Arial" w:eastAsiaTheme="minorEastAsia" w:hAnsi="Arial" w:cs="Arial"/>
        </w:rPr>
        <w:t>to understand how funds would be used to</w:t>
      </w:r>
      <w:r>
        <w:rPr>
          <w:rFonts w:ascii="Arial" w:eastAsiaTheme="minorEastAsia" w:hAnsi="Arial" w:cs="Arial"/>
        </w:rPr>
        <w:t xml:space="preserve"> support learning recovery.</w:t>
      </w:r>
      <w:bookmarkStart w:id="3" w:name="_Hlk80819118"/>
      <w:r>
        <w:rPr>
          <w:rFonts w:ascii="Arial" w:eastAsiaTheme="minorEastAsia" w:hAnsi="Arial" w:cs="Arial"/>
        </w:rPr>
        <w:t xml:space="preserve"> </w:t>
      </w:r>
      <w:r w:rsidRPr="6FBF6548">
        <w:rPr>
          <w:rFonts w:ascii="Arial" w:eastAsiaTheme="minorEastAsia" w:hAnsi="Arial" w:cs="Arial"/>
        </w:rPr>
        <w:t>In case</w:t>
      </w:r>
      <w:r>
        <w:rPr>
          <w:rFonts w:ascii="Arial" w:eastAsiaTheme="minorEastAsia" w:hAnsi="Arial" w:cs="Arial"/>
        </w:rPr>
        <w:t>s where</w:t>
      </w:r>
      <w:r w:rsidRPr="6FBF6548">
        <w:rPr>
          <w:rFonts w:ascii="Arial" w:eastAsiaTheme="minorEastAsia" w:hAnsi="Arial" w:cs="Arial"/>
        </w:rPr>
        <w:t xml:space="preserve"> specific needs unique to </w:t>
      </w:r>
      <w:r>
        <w:rPr>
          <w:rFonts w:ascii="Arial" w:eastAsiaTheme="minorEastAsia" w:hAnsi="Arial" w:cs="Arial"/>
        </w:rPr>
        <w:t>an</w:t>
      </w:r>
      <w:r w:rsidRPr="6FBF6548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LEA were identified,</w:t>
      </w:r>
      <w:r w:rsidRPr="6FBF6548">
        <w:rPr>
          <w:rFonts w:ascii="Arial" w:eastAsiaTheme="minorEastAsia" w:hAnsi="Arial" w:cs="Arial"/>
        </w:rPr>
        <w:t xml:space="preserve"> the SELPA prepare</w:t>
      </w:r>
      <w:r w:rsidR="00273A03">
        <w:rPr>
          <w:rFonts w:ascii="Arial" w:eastAsiaTheme="minorEastAsia" w:hAnsi="Arial" w:cs="Arial"/>
        </w:rPr>
        <w:t>d</w:t>
      </w:r>
      <w:r w:rsidRPr="6FBF6548">
        <w:rPr>
          <w:rFonts w:ascii="Arial" w:eastAsiaTheme="minorEastAsia" w:hAnsi="Arial" w:cs="Arial"/>
        </w:rPr>
        <w:t xml:space="preserve"> and </w:t>
      </w:r>
      <w:r w:rsidR="000A48A1" w:rsidRPr="6FBF6548">
        <w:rPr>
          <w:rFonts w:ascii="Arial" w:eastAsiaTheme="minorEastAsia" w:hAnsi="Arial" w:cs="Arial"/>
        </w:rPr>
        <w:t>submit</w:t>
      </w:r>
      <w:r w:rsidR="000A48A1">
        <w:rPr>
          <w:rFonts w:ascii="Arial" w:eastAsiaTheme="minorEastAsia" w:hAnsi="Arial" w:cs="Arial"/>
        </w:rPr>
        <w:t>ted</w:t>
      </w:r>
      <w:r w:rsidRPr="6FBF6548">
        <w:rPr>
          <w:rFonts w:ascii="Arial" w:eastAsiaTheme="minorEastAsia" w:hAnsi="Arial" w:cs="Arial"/>
        </w:rPr>
        <w:t xml:space="preserve"> a separate LRP to reflect these activities of the LEA.</w:t>
      </w:r>
      <w:bookmarkEnd w:id="3"/>
    </w:p>
    <w:p w14:paraId="0CCDAB50" w14:textId="62CAD612" w:rsidR="00DE2A40" w:rsidRDefault="00273A03" w:rsidP="00DE2A40">
      <w:pPr>
        <w:spacing w:after="24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SELPAs submitted f</w:t>
      </w:r>
      <w:r w:rsidR="00DE2A40">
        <w:rPr>
          <w:rFonts w:ascii="Arial" w:eastAsiaTheme="minorHAnsi" w:hAnsi="Arial" w:cs="Arial"/>
        </w:rPr>
        <w:t>inal reports to the CDE on</w:t>
      </w:r>
      <w:r w:rsidR="00DE2A40" w:rsidRPr="00444F28">
        <w:rPr>
          <w:rFonts w:ascii="Arial" w:eastAsiaTheme="minorHAnsi" w:hAnsi="Arial" w:cs="Arial"/>
        </w:rPr>
        <w:t xml:space="preserve"> or before September 30, 2023. Th</w:t>
      </w:r>
      <w:r w:rsidR="00DE2A40">
        <w:rPr>
          <w:rFonts w:ascii="Arial" w:eastAsiaTheme="minorHAnsi" w:hAnsi="Arial" w:cs="Arial"/>
        </w:rPr>
        <w:t>ese</w:t>
      </w:r>
      <w:r w:rsidR="00DE2A40" w:rsidRPr="00444F28">
        <w:rPr>
          <w:rFonts w:ascii="Arial" w:eastAsiaTheme="minorHAnsi" w:hAnsi="Arial" w:cs="Arial"/>
        </w:rPr>
        <w:t xml:space="preserve"> final report</w:t>
      </w:r>
      <w:r w:rsidR="00DE2A40">
        <w:rPr>
          <w:rFonts w:ascii="Arial" w:eastAsiaTheme="minorHAnsi" w:hAnsi="Arial" w:cs="Arial"/>
        </w:rPr>
        <w:t>s</w:t>
      </w:r>
      <w:r w:rsidR="00DE2A40" w:rsidRPr="00444F28">
        <w:rPr>
          <w:rFonts w:ascii="Arial" w:eastAsiaTheme="minorHAnsi" w:hAnsi="Arial" w:cs="Arial"/>
        </w:rPr>
        <w:t xml:space="preserve"> describe</w:t>
      </w:r>
      <w:r w:rsidR="00DE2A40">
        <w:rPr>
          <w:rFonts w:ascii="Arial" w:eastAsiaTheme="minorHAnsi" w:hAnsi="Arial" w:cs="Arial"/>
        </w:rPr>
        <w:t>d</w:t>
      </w:r>
      <w:r w:rsidR="00DE2A40" w:rsidRPr="00444F28">
        <w:rPr>
          <w:rFonts w:ascii="Arial" w:eastAsiaTheme="minorHAnsi" w:hAnsi="Arial" w:cs="Arial"/>
        </w:rPr>
        <w:t xml:space="preserve"> how</w:t>
      </w:r>
      <w:r w:rsidR="000A48A1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 xml:space="preserve">SELPAs and LEAs spent the </w:t>
      </w:r>
      <w:r w:rsidR="00DE2A40" w:rsidRPr="00444F28">
        <w:rPr>
          <w:rFonts w:ascii="Arial" w:eastAsiaTheme="minorHAnsi" w:hAnsi="Arial" w:cs="Arial"/>
        </w:rPr>
        <w:t>funding</w:t>
      </w:r>
      <w:r w:rsidR="00DE2A40">
        <w:rPr>
          <w:rFonts w:ascii="Arial" w:eastAsiaTheme="minorHAnsi" w:hAnsi="Arial" w:cs="Arial"/>
        </w:rPr>
        <w:t xml:space="preserve"> and listed areas impacted and addressed </w:t>
      </w:r>
      <w:r>
        <w:rPr>
          <w:rFonts w:ascii="Arial" w:eastAsiaTheme="minorHAnsi" w:hAnsi="Arial" w:cs="Arial"/>
        </w:rPr>
        <w:t xml:space="preserve">as outlined in </w:t>
      </w:r>
      <w:r w:rsidR="00DE2A40">
        <w:rPr>
          <w:rFonts w:ascii="Arial" w:eastAsiaTheme="minorHAnsi" w:hAnsi="Arial" w:cs="Arial"/>
        </w:rPr>
        <w:t>the LRP. Also included were t</w:t>
      </w:r>
      <w:r w:rsidR="00DE2A40" w:rsidRPr="00444F28">
        <w:rPr>
          <w:rFonts w:ascii="Arial" w:eastAsiaTheme="minorHAnsi" w:hAnsi="Arial" w:cs="Arial"/>
        </w:rPr>
        <w:t>he demographics of pupils served, disability</w:t>
      </w:r>
      <w:r w:rsidR="00DE2A40">
        <w:rPr>
          <w:rFonts w:ascii="Arial" w:eastAsiaTheme="minorHAnsi" w:hAnsi="Arial" w:cs="Arial"/>
        </w:rPr>
        <w:t xml:space="preserve"> categories</w:t>
      </w:r>
      <w:r w:rsidR="00DE2A40" w:rsidRPr="00444F28">
        <w:rPr>
          <w:rFonts w:ascii="Arial" w:eastAsiaTheme="minorHAnsi" w:hAnsi="Arial" w:cs="Arial"/>
        </w:rPr>
        <w:t>, family income, English</w:t>
      </w:r>
      <w:r w:rsidR="00DE2A40">
        <w:rPr>
          <w:rFonts w:ascii="Arial" w:eastAsiaTheme="minorHAnsi" w:hAnsi="Arial" w:cs="Arial"/>
        </w:rPr>
        <w:t xml:space="preserve"> Language L</w:t>
      </w:r>
      <w:r w:rsidR="00DE2A40" w:rsidRPr="00444F28">
        <w:rPr>
          <w:rFonts w:ascii="Arial" w:eastAsiaTheme="minorHAnsi" w:hAnsi="Arial" w:cs="Arial"/>
        </w:rPr>
        <w:t>earner</w:t>
      </w:r>
      <w:r w:rsidR="00DE2A40">
        <w:rPr>
          <w:rFonts w:ascii="Arial" w:eastAsiaTheme="minorHAnsi" w:hAnsi="Arial" w:cs="Arial"/>
        </w:rPr>
        <w:t xml:space="preserve"> (ELL)</w:t>
      </w:r>
      <w:r w:rsidR="00DE2A40" w:rsidRPr="00444F28">
        <w:rPr>
          <w:rFonts w:ascii="Arial" w:eastAsiaTheme="minorHAnsi" w:hAnsi="Arial" w:cs="Arial"/>
        </w:rPr>
        <w:t xml:space="preserve"> classification, and the </w:t>
      </w:r>
      <w:r w:rsidR="00062B2A">
        <w:rPr>
          <w:rFonts w:ascii="Arial" w:eastAsiaTheme="minorHAnsi" w:hAnsi="Arial" w:cs="Arial"/>
        </w:rPr>
        <w:t>parent’s</w:t>
      </w:r>
      <w:r w:rsidR="00062B2A" w:rsidRPr="00444F28">
        <w:rPr>
          <w:rFonts w:ascii="Arial" w:eastAsiaTheme="minorHAnsi" w:hAnsi="Arial" w:cs="Arial"/>
        </w:rPr>
        <w:t xml:space="preserve"> </w:t>
      </w:r>
      <w:r w:rsidR="00DE2A40" w:rsidRPr="00444F28">
        <w:rPr>
          <w:rFonts w:ascii="Arial" w:eastAsiaTheme="minorHAnsi" w:hAnsi="Arial" w:cs="Arial"/>
        </w:rPr>
        <w:t>primary language</w:t>
      </w:r>
      <w:r w:rsidR="00DE2A40">
        <w:rPr>
          <w:rFonts w:ascii="Arial" w:eastAsiaTheme="minorHAnsi" w:hAnsi="Arial" w:cs="Arial"/>
        </w:rPr>
        <w:t>.</w:t>
      </w:r>
      <w:r w:rsidR="00DE2A40" w:rsidRPr="00444F28">
        <w:rPr>
          <w:rFonts w:ascii="Arial" w:eastAsiaTheme="minorHAnsi" w:hAnsi="Arial" w:cs="Arial"/>
        </w:rPr>
        <w:t xml:space="preserve"> </w:t>
      </w:r>
    </w:p>
    <w:p w14:paraId="4931D276" w14:textId="1A836B46" w:rsidR="00DE2A40" w:rsidRDefault="00DE2A40" w:rsidP="00DE2A40">
      <w:pPr>
        <w:spacing w:after="240"/>
        <w:rPr>
          <w:rFonts w:ascii="Arial" w:hAnsi="Arial" w:cs="Arial"/>
        </w:rPr>
      </w:pPr>
      <w:r>
        <w:rPr>
          <w:rFonts w:ascii="Arial" w:eastAsiaTheme="minorHAnsi" w:hAnsi="Arial" w:cs="Arial"/>
        </w:rPr>
        <w:t xml:space="preserve">Pursuant to the language of </w:t>
      </w:r>
      <w:r w:rsidR="004055D3">
        <w:rPr>
          <w:rFonts w:ascii="Arial" w:eastAsiaTheme="minorHAnsi" w:hAnsi="Arial" w:cs="Arial"/>
        </w:rPr>
        <w:t>AB</w:t>
      </w:r>
      <w:r w:rsidR="00273A03">
        <w:rPr>
          <w:rFonts w:ascii="Arial" w:eastAsiaTheme="minorHAnsi" w:hAnsi="Arial" w:cs="Arial"/>
        </w:rPr>
        <w:t xml:space="preserve"> 130</w:t>
      </w:r>
      <w:r>
        <w:rPr>
          <w:rFonts w:ascii="Arial" w:eastAsiaTheme="minorHAnsi" w:hAnsi="Arial" w:cs="Arial"/>
        </w:rPr>
        <w:t>, SELPAs were instructed that</w:t>
      </w:r>
      <w:r>
        <w:rPr>
          <w:rFonts w:ascii="Arial" w:hAnsi="Arial" w:cs="Arial"/>
        </w:rPr>
        <w:t xml:space="preserve"> any unspent funds</w:t>
      </w:r>
      <w:r w:rsidRPr="00E701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from this</w:t>
      </w:r>
      <w:r w:rsidRPr="00E701FF">
        <w:rPr>
          <w:rFonts w:ascii="Arial" w:hAnsi="Arial" w:cs="Arial"/>
        </w:rPr>
        <w:t xml:space="preserve"> apportionment </w:t>
      </w:r>
      <w:r w:rsidR="00273A03">
        <w:rPr>
          <w:rFonts w:ascii="Arial" w:hAnsi="Arial" w:cs="Arial"/>
        </w:rPr>
        <w:t xml:space="preserve">must </w:t>
      </w:r>
      <w:r w:rsidRPr="00E701FF">
        <w:rPr>
          <w:rFonts w:ascii="Arial" w:hAnsi="Arial" w:cs="Arial"/>
        </w:rPr>
        <w:t>be returned to the</w:t>
      </w:r>
      <w:r>
        <w:rPr>
          <w:rFonts w:ascii="Arial" w:hAnsi="Arial" w:cs="Arial"/>
        </w:rPr>
        <w:t xml:space="preserve"> CDE.</w:t>
      </w:r>
    </w:p>
    <w:p w14:paraId="1763CDC4" w14:textId="77777777" w:rsidR="00DE2A40" w:rsidRDefault="00DE2A40" w:rsidP="00DE2A40">
      <w:pPr>
        <w:pStyle w:val="Heading3"/>
        <w:rPr>
          <w:rFonts w:eastAsiaTheme="minorHAnsi"/>
        </w:rPr>
      </w:pPr>
      <w:r w:rsidRPr="00FE7F66">
        <w:rPr>
          <w:rFonts w:eastAsiaTheme="minorHAnsi"/>
        </w:rPr>
        <w:lastRenderedPageBreak/>
        <w:t>Creati</w:t>
      </w:r>
      <w:r>
        <w:rPr>
          <w:rFonts w:eastAsiaTheme="minorHAnsi"/>
        </w:rPr>
        <w:t>on of</w:t>
      </w:r>
      <w:r w:rsidRPr="00FE7F66">
        <w:rPr>
          <w:rFonts w:eastAsiaTheme="minorHAnsi"/>
        </w:rPr>
        <w:t xml:space="preserve"> the Learning Recovery Plan</w:t>
      </w:r>
      <w:r>
        <w:rPr>
          <w:rFonts w:eastAsiaTheme="minorHAnsi"/>
        </w:rPr>
        <w:t>s</w:t>
      </w:r>
    </w:p>
    <w:p w14:paraId="6AD983F5" w14:textId="58979363" w:rsidR="00DE2A40" w:rsidRPr="004C5A98" w:rsidRDefault="00DE2A40" w:rsidP="00DE2A40">
      <w:pPr>
        <w:spacing w:after="240"/>
        <w:rPr>
          <w:rFonts w:ascii="Arial" w:eastAsiaTheme="minorHAnsi" w:hAnsi="Arial" w:cs="Arial"/>
        </w:rPr>
      </w:pPr>
      <w:r w:rsidRPr="004C5A98">
        <w:rPr>
          <w:rFonts w:ascii="Arial" w:eastAsiaTheme="minorHAnsi" w:hAnsi="Arial" w:cs="Arial"/>
        </w:rPr>
        <w:t xml:space="preserve">The CDE </w:t>
      </w:r>
      <w:r>
        <w:rPr>
          <w:rFonts w:ascii="Arial" w:eastAsiaTheme="minorHAnsi" w:hAnsi="Arial" w:cs="Arial"/>
        </w:rPr>
        <w:t>Special Education Division</w:t>
      </w:r>
      <w:r w:rsidRPr="004C5A98">
        <w:rPr>
          <w:rFonts w:ascii="Arial" w:eastAsiaTheme="minorHAnsi" w:hAnsi="Arial" w:cs="Arial"/>
        </w:rPr>
        <w:t xml:space="preserve"> recognize</w:t>
      </w:r>
      <w:r>
        <w:rPr>
          <w:rFonts w:ascii="Arial" w:eastAsiaTheme="minorHAnsi" w:hAnsi="Arial" w:cs="Arial"/>
        </w:rPr>
        <w:t>d</w:t>
      </w:r>
      <w:r w:rsidRPr="004C5A98">
        <w:rPr>
          <w:rFonts w:ascii="Arial" w:eastAsiaTheme="minorHAnsi" w:hAnsi="Arial" w:cs="Arial"/>
        </w:rPr>
        <w:t xml:space="preserve"> that determining learning recovery needs for students with disabilities </w:t>
      </w:r>
      <w:r>
        <w:rPr>
          <w:rFonts w:ascii="Arial" w:eastAsiaTheme="minorHAnsi" w:hAnsi="Arial" w:cs="Arial"/>
        </w:rPr>
        <w:t>was</w:t>
      </w:r>
      <w:r w:rsidRPr="004C5A98">
        <w:rPr>
          <w:rFonts w:ascii="Arial" w:eastAsiaTheme="minorHAnsi" w:hAnsi="Arial" w:cs="Arial"/>
        </w:rPr>
        <w:t xml:space="preserve"> an individualized process </w:t>
      </w:r>
      <w:r w:rsidR="00062B2A">
        <w:rPr>
          <w:rFonts w:ascii="Arial" w:eastAsiaTheme="minorHAnsi" w:hAnsi="Arial" w:cs="Arial"/>
        </w:rPr>
        <w:t>that</w:t>
      </w:r>
      <w:r w:rsidR="00062B2A" w:rsidRPr="004C5A98">
        <w:rPr>
          <w:rFonts w:ascii="Arial" w:eastAsiaTheme="minorHAnsi" w:hAnsi="Arial" w:cs="Arial"/>
        </w:rPr>
        <w:t xml:space="preserve"> </w:t>
      </w:r>
      <w:r w:rsidRPr="004C5A98">
        <w:rPr>
          <w:rFonts w:ascii="Arial" w:eastAsiaTheme="minorHAnsi" w:hAnsi="Arial" w:cs="Arial"/>
        </w:rPr>
        <w:t>varie</w:t>
      </w:r>
      <w:r w:rsidR="00FB61C5">
        <w:rPr>
          <w:rFonts w:ascii="Arial" w:eastAsiaTheme="minorHAnsi" w:hAnsi="Arial" w:cs="Arial"/>
        </w:rPr>
        <w:t>s</w:t>
      </w:r>
      <w:r w:rsidRPr="004C5A98">
        <w:rPr>
          <w:rFonts w:ascii="Arial" w:eastAsiaTheme="minorHAnsi" w:hAnsi="Arial" w:cs="Arial"/>
        </w:rPr>
        <w:t xml:space="preserve"> among SELPAs and LEAs.</w:t>
      </w:r>
      <w:r>
        <w:rPr>
          <w:rFonts w:ascii="Arial" w:eastAsiaTheme="minorHAnsi" w:hAnsi="Arial" w:cs="Arial"/>
        </w:rPr>
        <w:t xml:space="preserve"> </w:t>
      </w:r>
      <w:r w:rsidRPr="004C5A98">
        <w:rPr>
          <w:rFonts w:ascii="Arial" w:eastAsiaTheme="minorHAnsi" w:hAnsi="Arial" w:cs="Arial"/>
          <w:color w:val="000000"/>
        </w:rPr>
        <w:t>The CDE encouraged SELPAs to work with LEAs to conduct a data analysis to identify students with disabilities most impacted by school disruptions from the COVID-19 pandemic and target their resources to</w:t>
      </w:r>
      <w:r>
        <w:rPr>
          <w:rFonts w:ascii="Arial" w:eastAsiaTheme="minorHAnsi" w:hAnsi="Arial" w:cs="Arial"/>
          <w:color w:val="000000"/>
        </w:rPr>
        <w:t xml:space="preserve"> meet the</w:t>
      </w:r>
      <w:r w:rsidR="00C931F0">
        <w:rPr>
          <w:rFonts w:ascii="Arial" w:eastAsiaTheme="minorHAnsi" w:hAnsi="Arial" w:cs="Arial"/>
          <w:color w:val="000000"/>
        </w:rPr>
        <w:t xml:space="preserve"> particular needs of the</w:t>
      </w:r>
      <w:r>
        <w:rPr>
          <w:rFonts w:ascii="Arial" w:eastAsiaTheme="minorHAnsi" w:hAnsi="Arial" w:cs="Arial"/>
          <w:color w:val="000000"/>
        </w:rPr>
        <w:t xml:space="preserve">se </w:t>
      </w:r>
      <w:r w:rsidR="00C931F0">
        <w:rPr>
          <w:rFonts w:ascii="Arial" w:eastAsiaTheme="minorHAnsi" w:hAnsi="Arial" w:cs="Arial"/>
          <w:color w:val="000000"/>
        </w:rPr>
        <w:t>student</w:t>
      </w:r>
      <w:r w:rsidR="00450359">
        <w:rPr>
          <w:rFonts w:ascii="Arial" w:eastAsiaTheme="minorHAnsi" w:hAnsi="Arial" w:cs="Arial"/>
          <w:color w:val="000000"/>
        </w:rPr>
        <w:t>s</w:t>
      </w:r>
      <w:r>
        <w:rPr>
          <w:rFonts w:ascii="Arial" w:eastAsiaTheme="minorHAnsi" w:hAnsi="Arial" w:cs="Arial"/>
          <w:color w:val="000000"/>
        </w:rPr>
        <w:t>.</w:t>
      </w:r>
    </w:p>
    <w:p w14:paraId="35A85134" w14:textId="7AB9A8DC" w:rsidR="00DE2A40" w:rsidRPr="004C5A98" w:rsidRDefault="00DE2A40" w:rsidP="00DE2A40">
      <w:pPr>
        <w:spacing w:after="240"/>
        <w:rPr>
          <w:rFonts w:ascii="Arial" w:eastAsiaTheme="minorHAnsi" w:hAnsi="Arial" w:cs="Arial"/>
        </w:rPr>
      </w:pPr>
      <w:r w:rsidRPr="004C5A98">
        <w:rPr>
          <w:rFonts w:ascii="Arial" w:eastAsiaTheme="minorHAnsi" w:hAnsi="Arial" w:cs="Arial"/>
        </w:rPr>
        <w:t xml:space="preserve">Examples of data useful in determining the needs of the LEA </w:t>
      </w:r>
      <w:r w:rsidR="00062B2A">
        <w:rPr>
          <w:rFonts w:ascii="Arial" w:eastAsiaTheme="minorHAnsi" w:hAnsi="Arial" w:cs="Arial"/>
        </w:rPr>
        <w:t>include</w:t>
      </w:r>
      <w:r w:rsidRPr="004C5A98">
        <w:rPr>
          <w:rFonts w:ascii="Arial" w:eastAsiaTheme="minorHAnsi" w:hAnsi="Arial" w:cs="Arial"/>
        </w:rPr>
        <w:t>:</w:t>
      </w:r>
    </w:p>
    <w:p w14:paraId="154013D5" w14:textId="77777777" w:rsidR="00DE2A40" w:rsidRPr="004C5A98" w:rsidRDefault="00DE2A40" w:rsidP="00DE2A40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eastAsiaTheme="minorHAnsi" w:hAnsi="Arial" w:cs="Arial"/>
        </w:rPr>
      </w:pPr>
      <w:r w:rsidRPr="004C5A98">
        <w:rPr>
          <w:rFonts w:ascii="Arial" w:eastAsiaTheme="minorHAnsi" w:hAnsi="Arial" w:cs="Arial"/>
        </w:rPr>
        <w:t>Local and statewide assessment data</w:t>
      </w:r>
    </w:p>
    <w:p w14:paraId="564580FC" w14:textId="77777777" w:rsidR="00DE2A40" w:rsidRPr="004C5A98" w:rsidRDefault="00DE2A40" w:rsidP="00DE2A40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Benchmark achievement data</w:t>
      </w:r>
    </w:p>
    <w:p w14:paraId="43721CA3" w14:textId="77777777" w:rsidR="00DE2A40" w:rsidRPr="004C5A98" w:rsidRDefault="00DE2A40" w:rsidP="00DE2A40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eastAsiaTheme="minorHAnsi" w:hAnsi="Arial" w:cs="Arial"/>
        </w:rPr>
      </w:pPr>
      <w:r w:rsidRPr="004C5A98">
        <w:rPr>
          <w:rFonts w:ascii="Arial" w:eastAsiaTheme="minorHAnsi" w:hAnsi="Arial" w:cs="Arial"/>
        </w:rPr>
        <w:t>Behavior data</w:t>
      </w:r>
    </w:p>
    <w:p w14:paraId="0BC171EF" w14:textId="77777777" w:rsidR="00DE2A40" w:rsidRPr="004C5A98" w:rsidRDefault="00DE2A40" w:rsidP="00DE2A40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eastAsiaTheme="minorHAnsi" w:hAnsi="Arial" w:cs="Arial"/>
        </w:rPr>
      </w:pPr>
      <w:r w:rsidRPr="004C5A98">
        <w:rPr>
          <w:rFonts w:ascii="Arial" w:eastAsiaTheme="minorHAnsi" w:hAnsi="Arial" w:cs="Arial"/>
        </w:rPr>
        <w:t>Student engagement data</w:t>
      </w:r>
    </w:p>
    <w:p w14:paraId="173C93B3" w14:textId="77777777" w:rsidR="00DE2A40" w:rsidRDefault="00DE2A40" w:rsidP="00DE2A40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Classroom observation</w:t>
      </w:r>
      <w:r w:rsidRPr="004C5A98">
        <w:rPr>
          <w:rFonts w:ascii="Arial" w:eastAsiaTheme="minorHAnsi" w:hAnsi="Arial" w:cs="Arial"/>
        </w:rPr>
        <w:t xml:space="preserve"> data</w:t>
      </w:r>
    </w:p>
    <w:p w14:paraId="09FB0482" w14:textId="77777777" w:rsidR="00DE2A40" w:rsidRDefault="00DE2A40" w:rsidP="00DE2A40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Individualized Education </w:t>
      </w:r>
      <w:r w:rsidRPr="00156580">
        <w:rPr>
          <w:rFonts w:ascii="Arial" w:eastAsiaTheme="minorHAnsi" w:hAnsi="Arial" w:cs="Arial"/>
        </w:rPr>
        <w:t>Program</w:t>
      </w:r>
      <w:r w:rsidRPr="0057755F">
        <w:rPr>
          <w:rFonts w:ascii="Arial" w:eastAsiaTheme="minorHAnsi" w:hAnsi="Arial" w:cs="Arial"/>
        </w:rPr>
        <w:t xml:space="preserve"> (IEP)</w:t>
      </w:r>
      <w:r>
        <w:rPr>
          <w:rFonts w:ascii="Arial" w:eastAsiaTheme="minorHAnsi" w:hAnsi="Arial" w:cs="Arial"/>
        </w:rPr>
        <w:t xml:space="preserve"> </w:t>
      </w:r>
      <w:r w:rsidRPr="00E90496">
        <w:rPr>
          <w:rFonts w:ascii="Arial" w:eastAsiaTheme="minorHAnsi" w:hAnsi="Arial" w:cs="Arial"/>
        </w:rPr>
        <w:t xml:space="preserve">assessment and annual progress </w:t>
      </w:r>
      <w:r>
        <w:rPr>
          <w:rFonts w:ascii="Arial" w:eastAsiaTheme="minorHAnsi" w:hAnsi="Arial" w:cs="Arial"/>
        </w:rPr>
        <w:t>data</w:t>
      </w:r>
    </w:p>
    <w:p w14:paraId="7DE8B7D4" w14:textId="77777777" w:rsidR="00DE2A40" w:rsidRDefault="00DE2A40" w:rsidP="00DE2A40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E</w:t>
      </w:r>
      <w:r w:rsidRPr="00B574C3">
        <w:rPr>
          <w:rFonts w:ascii="Arial" w:eastAsiaTheme="minorHAnsi" w:hAnsi="Arial" w:cs="Arial"/>
        </w:rPr>
        <w:t>nglish Language Proficiency Assessments for California</w:t>
      </w:r>
      <w:r>
        <w:rPr>
          <w:rFonts w:ascii="Arial" w:eastAsiaTheme="minorHAnsi" w:hAnsi="Arial" w:cs="Arial"/>
        </w:rPr>
        <w:t xml:space="preserve"> data</w:t>
      </w:r>
    </w:p>
    <w:p w14:paraId="63E14097" w14:textId="77777777" w:rsidR="00DE2A40" w:rsidRPr="00E90496" w:rsidRDefault="00DE2A40" w:rsidP="00DE2A40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eastAsiaTheme="minorHAnsi" w:hAnsi="Arial" w:cs="Arial"/>
        </w:rPr>
      </w:pPr>
      <w:r w:rsidRPr="00E90496">
        <w:rPr>
          <w:rFonts w:ascii="Arial" w:eastAsiaTheme="minorHAnsi" w:hAnsi="Arial" w:cs="Arial"/>
        </w:rPr>
        <w:t>Parent survey data</w:t>
      </w:r>
    </w:p>
    <w:p w14:paraId="5377D55E" w14:textId="3E918BB1" w:rsidR="00DE2A40" w:rsidRDefault="00DE2A40" w:rsidP="00DE2A40">
      <w:pPr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eastAsiaTheme="minorHAnsi" w:hAnsi="Arial" w:cs="Arial"/>
          <w:color w:val="000000"/>
        </w:rPr>
        <w:t xml:space="preserve">Based on a thorough data analysis, </w:t>
      </w:r>
      <w:r w:rsidRPr="00FE7F66">
        <w:rPr>
          <w:rFonts w:ascii="Arial" w:eastAsiaTheme="minorHAnsi" w:hAnsi="Arial" w:cs="Arial"/>
          <w:color w:val="000000"/>
        </w:rPr>
        <w:t>SELPAs</w:t>
      </w:r>
      <w:r>
        <w:rPr>
          <w:rFonts w:ascii="Arial" w:eastAsiaTheme="minorHAnsi" w:hAnsi="Arial" w:cs="Arial"/>
          <w:color w:val="000000"/>
        </w:rPr>
        <w:t xml:space="preserve"> and member LEAs identified</w:t>
      </w:r>
      <w:r w:rsidRPr="00FE7F66">
        <w:rPr>
          <w:rFonts w:ascii="Arial" w:eastAsiaTheme="minorHAnsi" w:hAnsi="Arial" w:cs="Arial"/>
          <w:color w:val="000000"/>
        </w:rPr>
        <w:t xml:space="preserve"> the</w:t>
      </w:r>
      <w:r>
        <w:rPr>
          <w:rFonts w:ascii="Arial" w:eastAsiaTheme="minorHAnsi" w:hAnsi="Arial" w:cs="Arial"/>
          <w:color w:val="000000"/>
        </w:rPr>
        <w:t xml:space="preserve"> impacted areas and </w:t>
      </w:r>
      <w:r w:rsidRPr="00FE7F66">
        <w:rPr>
          <w:rFonts w:ascii="Arial" w:eastAsiaTheme="minorHAnsi" w:hAnsi="Arial" w:cs="Arial"/>
          <w:color w:val="000000"/>
        </w:rPr>
        <w:t>target population</w:t>
      </w:r>
      <w:r>
        <w:rPr>
          <w:rFonts w:ascii="Arial" w:eastAsiaTheme="minorHAnsi" w:hAnsi="Arial" w:cs="Arial"/>
          <w:color w:val="000000"/>
        </w:rPr>
        <w:t>s for learning recovery services. A description of the students to be served, their disability categories, and grade level(s) also accompanied a detailed account of services to be provided. SELPAs then developed a proposed budget to support learning recovery services and activities as prioritized in their LRP</w:t>
      </w:r>
      <w:r w:rsidR="002E42DE">
        <w:rPr>
          <w:rFonts w:ascii="Arial" w:eastAsiaTheme="minorHAnsi" w:hAnsi="Arial" w:cs="Arial"/>
          <w:color w:val="000000"/>
        </w:rPr>
        <w:t xml:space="preserve"> and</w:t>
      </w:r>
      <w:r>
        <w:rPr>
          <w:rFonts w:ascii="Arial" w:eastAsiaTheme="minorHAnsi" w:hAnsi="Arial" w:cs="Arial"/>
          <w:color w:val="000000"/>
        </w:rPr>
        <w:t xml:space="preserve"> following the guidelines outlined in </w:t>
      </w:r>
      <w:r>
        <w:rPr>
          <w:rFonts w:ascii="Arial" w:hAnsi="Arial" w:cs="Arial"/>
        </w:rPr>
        <w:t>AB 130 Section</w:t>
      </w:r>
      <w:bookmarkStart w:id="4" w:name="_Hlk161822944"/>
      <w:r w:rsidR="002E42DE">
        <w:rPr>
          <w:rFonts w:ascii="Arial" w:hAnsi="Arial" w:cs="Arial"/>
        </w:rPr>
        <w:t xml:space="preserve"> </w:t>
      </w:r>
      <w:r w:rsidR="005A6AE9">
        <w:rPr>
          <w:rFonts w:ascii="Arial" w:hAnsi="Arial" w:cs="Arial"/>
        </w:rPr>
        <w:t>161c</w:t>
      </w:r>
      <w:r w:rsidR="00F42BE0">
        <w:rPr>
          <w:rFonts w:ascii="Arial" w:hAnsi="Arial" w:cs="Arial"/>
        </w:rPr>
        <w:t>/</w:t>
      </w:r>
      <w:r w:rsidR="005A6AE9">
        <w:rPr>
          <w:rFonts w:ascii="Arial" w:hAnsi="Arial" w:cs="Arial"/>
        </w:rPr>
        <w:t>d</w:t>
      </w:r>
      <w:r w:rsidR="00F42BE0">
        <w:rPr>
          <w:rFonts w:ascii="Arial" w:hAnsi="Arial" w:cs="Arial"/>
        </w:rPr>
        <w:t>/</w:t>
      </w:r>
      <w:r w:rsidR="005A6AE9">
        <w:rPr>
          <w:rFonts w:ascii="Arial" w:hAnsi="Arial" w:cs="Arial"/>
        </w:rPr>
        <w:t>e(1)(2)(3)(4)</w:t>
      </w:r>
      <w:bookmarkEnd w:id="4"/>
      <w:r w:rsidR="005A6AE9">
        <w:rPr>
          <w:rFonts w:ascii="Arial" w:hAnsi="Arial" w:cs="Arial"/>
        </w:rPr>
        <w:t>.</w:t>
      </w:r>
    </w:p>
    <w:p w14:paraId="3741624C" w14:textId="3646A0A5" w:rsidR="00DE2A40" w:rsidRPr="00903E10" w:rsidRDefault="00DE2A40" w:rsidP="00DE2A40">
      <w:pPr>
        <w:pStyle w:val="Heading3"/>
        <w:rPr>
          <w:rFonts w:eastAsiaTheme="minorHAnsi"/>
        </w:rPr>
      </w:pPr>
      <w:r w:rsidRPr="007341CD">
        <w:rPr>
          <w:rFonts w:eastAsiaTheme="minorHAnsi"/>
        </w:rPr>
        <w:t xml:space="preserve">Learning Recovery </w:t>
      </w:r>
      <w:r>
        <w:rPr>
          <w:rFonts w:eastAsiaTheme="minorHAnsi"/>
        </w:rPr>
        <w:t>Plans</w:t>
      </w:r>
      <w:r w:rsidR="002E42DE">
        <w:rPr>
          <w:rFonts w:eastAsiaTheme="minorHAnsi"/>
        </w:rPr>
        <w:t>—</w:t>
      </w:r>
      <w:r>
        <w:rPr>
          <w:rFonts w:eastAsiaTheme="minorHAnsi"/>
        </w:rPr>
        <w:t>Impacted Areas</w:t>
      </w:r>
    </w:p>
    <w:p w14:paraId="6264CDB5" w14:textId="1917D16D" w:rsidR="00DE2A40" w:rsidRDefault="00DE2A40" w:rsidP="00DE2A40">
      <w:pPr>
        <w:spacing w:after="240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To</w:t>
      </w:r>
      <w:r w:rsidR="002E42DE">
        <w:rPr>
          <w:rFonts w:ascii="Arial" w:eastAsiaTheme="minorHAnsi" w:hAnsi="Arial" w:cs="Arial"/>
          <w:color w:val="000000"/>
        </w:rPr>
        <w:t xml:space="preserve"> assist</w:t>
      </w:r>
      <w:r w:rsidR="000A48A1">
        <w:rPr>
          <w:rFonts w:ascii="Arial" w:eastAsiaTheme="minorHAnsi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</w:rPr>
        <w:t xml:space="preserve">SELPAs in their efforts to identify appropriate learning recovery services, the LRP template provided </w:t>
      </w:r>
      <w:r w:rsidR="008161C8">
        <w:rPr>
          <w:rFonts w:ascii="Arial" w:eastAsiaTheme="minorHAnsi" w:hAnsi="Arial" w:cs="Arial"/>
          <w:color w:val="000000"/>
        </w:rPr>
        <w:t xml:space="preserve">by CDE included </w:t>
      </w:r>
      <w:r>
        <w:rPr>
          <w:rFonts w:ascii="Arial" w:eastAsiaTheme="minorHAnsi" w:hAnsi="Arial" w:cs="Arial"/>
          <w:color w:val="000000"/>
        </w:rPr>
        <w:t xml:space="preserve">a list of </w:t>
      </w:r>
      <w:r w:rsidR="00590EFD">
        <w:rPr>
          <w:rFonts w:ascii="Arial" w:eastAsiaTheme="minorHAnsi" w:hAnsi="Arial" w:cs="Arial"/>
          <w:color w:val="000000"/>
        </w:rPr>
        <w:t xml:space="preserve">potentially </w:t>
      </w:r>
      <w:r>
        <w:rPr>
          <w:rFonts w:ascii="Arial" w:eastAsiaTheme="minorHAnsi" w:hAnsi="Arial" w:cs="Arial"/>
          <w:color w:val="000000"/>
        </w:rPr>
        <w:t xml:space="preserve">impacted areas of learning as defined by the CDE. </w:t>
      </w:r>
      <w:r w:rsidR="000A48A1">
        <w:rPr>
          <w:rFonts w:ascii="Arial" w:eastAsiaTheme="minorHAnsi" w:hAnsi="Arial" w:cs="Arial"/>
          <w:color w:val="000000"/>
        </w:rPr>
        <w:t xml:space="preserve">The </w:t>
      </w:r>
      <w:r>
        <w:rPr>
          <w:rFonts w:ascii="Arial" w:eastAsiaTheme="minorHAnsi" w:hAnsi="Arial" w:cs="Arial"/>
          <w:color w:val="000000"/>
        </w:rPr>
        <w:t xml:space="preserve">SELPAs </w:t>
      </w:r>
      <w:r w:rsidR="008161C8">
        <w:rPr>
          <w:rFonts w:ascii="Arial" w:eastAsiaTheme="minorHAnsi" w:hAnsi="Arial" w:cs="Arial"/>
          <w:color w:val="000000"/>
        </w:rPr>
        <w:t>used the LRP template to</w:t>
      </w:r>
      <w:r>
        <w:rPr>
          <w:rFonts w:ascii="Arial" w:eastAsiaTheme="minorHAnsi" w:hAnsi="Arial" w:cs="Arial"/>
          <w:color w:val="000000"/>
        </w:rPr>
        <w:t xml:space="preserve"> describe in more detail </w:t>
      </w:r>
      <w:r w:rsidR="008161C8">
        <w:rPr>
          <w:rFonts w:ascii="Arial" w:eastAsiaTheme="minorHAnsi" w:hAnsi="Arial" w:cs="Arial"/>
          <w:color w:val="000000"/>
        </w:rPr>
        <w:t xml:space="preserve">the </w:t>
      </w:r>
      <w:r>
        <w:rPr>
          <w:rFonts w:ascii="Arial" w:eastAsiaTheme="minorHAnsi" w:hAnsi="Arial" w:cs="Arial"/>
          <w:color w:val="000000"/>
        </w:rPr>
        <w:t>specific services, resources, and supports they would provide to address any of the selected impacted areas. These impacted areas, as titled on the LRP template, are as follows:</w:t>
      </w:r>
    </w:p>
    <w:p w14:paraId="50347943" w14:textId="0FADCC18" w:rsidR="00DE2A40" w:rsidRPr="00F56827" w:rsidRDefault="001D6EA3" w:rsidP="00DE2A40">
      <w:pPr>
        <w:spacing w:after="240"/>
        <w:rPr>
          <w:rFonts w:ascii="Arial" w:eastAsiaTheme="minorHAnsi" w:hAnsi="Arial" w:cs="Arial"/>
        </w:rPr>
      </w:pPr>
      <w:r w:rsidRPr="002E42DE">
        <w:rPr>
          <w:rFonts w:ascii="Arial" w:eastAsiaTheme="minorHAnsi" w:hAnsi="Arial" w:cs="Arial"/>
          <w:b/>
          <w:bCs/>
        </w:rPr>
        <w:t>Behavior Needs of Students</w:t>
      </w:r>
      <w:r w:rsidR="00DE408F">
        <w:rPr>
          <w:rFonts w:ascii="Arial" w:eastAsiaTheme="minorHAnsi" w:hAnsi="Arial" w:cs="Arial"/>
          <w:b/>
          <w:bCs/>
        </w:rPr>
        <w:t xml:space="preserve">: </w:t>
      </w:r>
      <w:r w:rsidR="00DE408F" w:rsidRPr="00DE408F">
        <w:rPr>
          <w:rFonts w:ascii="Arial" w:eastAsiaTheme="minorHAnsi" w:hAnsi="Arial" w:cs="Arial"/>
        </w:rPr>
        <w:t>S</w:t>
      </w:r>
      <w:r w:rsidRPr="0023165D">
        <w:rPr>
          <w:rFonts w:ascii="Arial" w:eastAsiaTheme="minorHAnsi" w:hAnsi="Arial" w:cs="Arial"/>
        </w:rPr>
        <w:t xml:space="preserve">ervices, </w:t>
      </w:r>
      <w:r w:rsidR="004055D3" w:rsidRPr="0023165D">
        <w:rPr>
          <w:rFonts w:ascii="Arial" w:eastAsiaTheme="minorHAnsi" w:hAnsi="Arial" w:cs="Arial"/>
        </w:rPr>
        <w:t>resources,</w:t>
      </w:r>
      <w:r w:rsidRPr="0023165D">
        <w:rPr>
          <w:rFonts w:ascii="Arial" w:eastAsiaTheme="minorHAnsi" w:hAnsi="Arial" w:cs="Arial"/>
        </w:rPr>
        <w:t xml:space="preserve"> and supports included</w:t>
      </w:r>
      <w:r w:rsidRPr="002E42DE">
        <w:rPr>
          <w:rFonts w:ascii="Arial" w:eastAsiaTheme="minorHAnsi" w:hAnsi="Arial" w:cs="Arial"/>
          <w:b/>
          <w:bCs/>
        </w:rPr>
        <w:t xml:space="preserve"> </w:t>
      </w:r>
      <w:r>
        <w:rPr>
          <w:rFonts w:ascii="Arial" w:eastAsiaTheme="minorHAnsi" w:hAnsi="Arial" w:cs="Arial"/>
        </w:rPr>
        <w:t>p</w:t>
      </w:r>
      <w:r w:rsidR="00DE2A40" w:rsidRPr="00454134">
        <w:rPr>
          <w:rFonts w:ascii="Arial" w:eastAsiaTheme="minorHAnsi" w:hAnsi="Arial" w:cs="Arial"/>
        </w:rPr>
        <w:t xml:space="preserve">ositive </w:t>
      </w:r>
      <w:r>
        <w:rPr>
          <w:rFonts w:ascii="Arial" w:eastAsiaTheme="minorHAnsi" w:hAnsi="Arial" w:cs="Arial"/>
        </w:rPr>
        <w:t>b</w:t>
      </w:r>
      <w:r w:rsidR="00DE2A40" w:rsidRPr="00454134">
        <w:rPr>
          <w:rFonts w:ascii="Arial" w:eastAsiaTheme="minorHAnsi" w:hAnsi="Arial" w:cs="Arial"/>
        </w:rPr>
        <w:t xml:space="preserve">ehavior </w:t>
      </w:r>
      <w:r>
        <w:rPr>
          <w:rFonts w:ascii="Arial" w:eastAsiaTheme="minorHAnsi" w:hAnsi="Arial" w:cs="Arial"/>
        </w:rPr>
        <w:t>s</w:t>
      </w:r>
      <w:r w:rsidR="00DE2A40" w:rsidRPr="00454134">
        <w:rPr>
          <w:rFonts w:ascii="Arial" w:eastAsiaTheme="minorHAnsi" w:hAnsi="Arial" w:cs="Arial"/>
        </w:rPr>
        <w:t>upports</w:t>
      </w:r>
      <w:r>
        <w:rPr>
          <w:rFonts w:ascii="Arial" w:eastAsiaTheme="minorHAnsi" w:hAnsi="Arial" w:cs="Arial"/>
        </w:rPr>
        <w:t xml:space="preserve"> (e.g., r</w:t>
      </w:r>
      <w:r w:rsidR="00DE2A40" w:rsidRPr="00454134">
        <w:rPr>
          <w:rFonts w:ascii="Arial" w:eastAsiaTheme="minorHAnsi" w:hAnsi="Arial" w:cs="Arial"/>
        </w:rPr>
        <w:t>esearch-based</w:t>
      </w:r>
      <w:r w:rsidR="00DE2A40" w:rsidRPr="00A40167">
        <w:rPr>
          <w:rFonts w:ascii="Arial" w:eastAsiaTheme="minorHAnsi" w:hAnsi="Arial" w:cs="Arial"/>
        </w:rPr>
        <w:t xml:space="preserve"> practices, assessments, interventions, </w:t>
      </w:r>
      <w:r w:rsidR="00DE2A40">
        <w:rPr>
          <w:rFonts w:ascii="Arial" w:eastAsiaTheme="minorHAnsi" w:hAnsi="Arial" w:cs="Arial"/>
        </w:rPr>
        <w:t>or</w:t>
      </w:r>
      <w:r w:rsidR="00DE2A40" w:rsidRPr="00A40167">
        <w:rPr>
          <w:rFonts w:ascii="Arial" w:eastAsiaTheme="minorHAnsi" w:hAnsi="Arial" w:cs="Arial"/>
        </w:rPr>
        <w:t xml:space="preserve"> </w:t>
      </w:r>
      <w:r w:rsidR="00DE2A40" w:rsidRPr="00A40167">
        <w:rPr>
          <w:rFonts w:ascii="Arial" w:eastAsiaTheme="minorHAnsi" w:hAnsi="Arial" w:cs="Arial"/>
        </w:rPr>
        <w:lastRenderedPageBreak/>
        <w:t>systems</w:t>
      </w:r>
      <w:r w:rsidR="00DE2A40">
        <w:rPr>
          <w:rFonts w:ascii="Arial" w:eastAsiaTheme="minorHAnsi" w:hAnsi="Arial" w:cs="Arial"/>
        </w:rPr>
        <w:t>-</w:t>
      </w:r>
      <w:r w:rsidR="00DE2A40" w:rsidRPr="00A40167">
        <w:rPr>
          <w:rFonts w:ascii="Arial" w:eastAsiaTheme="minorHAnsi" w:hAnsi="Arial" w:cs="Arial"/>
        </w:rPr>
        <w:t>change strategies</w:t>
      </w:r>
      <w:r>
        <w:rPr>
          <w:rFonts w:ascii="Arial" w:eastAsiaTheme="minorHAnsi" w:hAnsi="Arial" w:cs="Arial"/>
        </w:rPr>
        <w:t>)</w:t>
      </w:r>
      <w:r w:rsidR="00DE2A40" w:rsidRPr="00A40167">
        <w:rPr>
          <w:rFonts w:ascii="Arial" w:eastAsiaTheme="minorHAnsi" w:hAnsi="Arial" w:cs="Arial"/>
        </w:rPr>
        <w:t xml:space="preserve"> </w:t>
      </w:r>
      <w:r w:rsidR="00DE2A40">
        <w:rPr>
          <w:rFonts w:ascii="Arial" w:eastAsiaTheme="minorHAnsi" w:hAnsi="Arial" w:cs="Arial"/>
        </w:rPr>
        <w:t>to</w:t>
      </w:r>
      <w:r w:rsidR="00DE2A40" w:rsidRPr="00A40167">
        <w:rPr>
          <w:rFonts w:ascii="Arial" w:eastAsiaTheme="minorHAnsi" w:hAnsi="Arial" w:cs="Arial"/>
        </w:rPr>
        <w:t xml:space="preserve"> address behaviors </w:t>
      </w:r>
      <w:r w:rsidR="002E42DE">
        <w:rPr>
          <w:rFonts w:ascii="Arial" w:eastAsiaTheme="minorHAnsi" w:hAnsi="Arial" w:cs="Arial"/>
        </w:rPr>
        <w:t>that</w:t>
      </w:r>
      <w:r w:rsidR="00DE2A40" w:rsidRPr="00A40167">
        <w:rPr>
          <w:rFonts w:ascii="Arial" w:eastAsiaTheme="minorHAnsi" w:hAnsi="Arial" w:cs="Arial"/>
        </w:rPr>
        <w:t xml:space="preserve"> may impede a student</w:t>
      </w:r>
      <w:r w:rsidR="002E42DE">
        <w:rPr>
          <w:rFonts w:ascii="Arial" w:eastAsiaTheme="minorHAnsi" w:hAnsi="Arial" w:cs="Arial"/>
        </w:rPr>
        <w:t>’</w:t>
      </w:r>
      <w:r w:rsidR="00DE2A40" w:rsidRPr="00A40167">
        <w:rPr>
          <w:rFonts w:ascii="Arial" w:eastAsiaTheme="minorHAnsi" w:hAnsi="Arial" w:cs="Arial"/>
        </w:rPr>
        <w:t>s academic success or access to the educational environment.</w:t>
      </w:r>
      <w:r w:rsidR="00DE2A40">
        <w:rPr>
          <w:rFonts w:ascii="Arial" w:eastAsiaTheme="minorHAnsi" w:hAnsi="Arial" w:cs="Arial"/>
        </w:rPr>
        <w:t xml:space="preserve"> </w:t>
      </w:r>
      <w:r w:rsidR="00DE2A40" w:rsidRPr="00F56827">
        <w:rPr>
          <w:rFonts w:ascii="Arial" w:eastAsiaTheme="minorHAnsi" w:hAnsi="Arial" w:cs="Arial"/>
        </w:rPr>
        <w:t xml:space="preserve">These supports specifically focus on the emotional and behavioral learning of students </w:t>
      </w:r>
      <w:r>
        <w:rPr>
          <w:rFonts w:ascii="Arial" w:eastAsiaTheme="minorHAnsi" w:hAnsi="Arial" w:cs="Arial"/>
        </w:rPr>
        <w:t xml:space="preserve">with a goal of </w:t>
      </w:r>
      <w:r w:rsidR="00DE2A40" w:rsidRPr="00F56827">
        <w:rPr>
          <w:rFonts w:ascii="Arial" w:eastAsiaTheme="minorHAnsi" w:hAnsi="Arial" w:cs="Arial"/>
        </w:rPr>
        <w:t>increas</w:t>
      </w:r>
      <w:r>
        <w:rPr>
          <w:rFonts w:ascii="Arial" w:eastAsiaTheme="minorHAnsi" w:hAnsi="Arial" w:cs="Arial"/>
        </w:rPr>
        <w:t>ing student</w:t>
      </w:r>
      <w:r w:rsidR="00DE2A40" w:rsidRPr="00F56827">
        <w:rPr>
          <w:rFonts w:ascii="Arial" w:eastAsiaTheme="minorHAnsi" w:hAnsi="Arial" w:cs="Arial"/>
        </w:rPr>
        <w:t xml:space="preserve"> engagement and decreas</w:t>
      </w:r>
      <w:r>
        <w:rPr>
          <w:rFonts w:ascii="Arial" w:eastAsiaTheme="minorHAnsi" w:hAnsi="Arial" w:cs="Arial"/>
        </w:rPr>
        <w:t>ing</w:t>
      </w:r>
      <w:r w:rsidR="00DE2A40" w:rsidRPr="00F56827">
        <w:rPr>
          <w:rFonts w:ascii="Arial" w:eastAsiaTheme="minorHAnsi" w:hAnsi="Arial" w:cs="Arial"/>
        </w:rPr>
        <w:t xml:space="preserve"> problematic </w:t>
      </w:r>
      <w:r>
        <w:rPr>
          <w:rFonts w:ascii="Arial" w:eastAsiaTheme="minorHAnsi" w:hAnsi="Arial" w:cs="Arial"/>
        </w:rPr>
        <w:t xml:space="preserve">student </w:t>
      </w:r>
      <w:r w:rsidR="00DE2A40" w:rsidRPr="00F56827">
        <w:rPr>
          <w:rFonts w:ascii="Arial" w:eastAsiaTheme="minorHAnsi" w:hAnsi="Arial" w:cs="Arial"/>
        </w:rPr>
        <w:t>behavior over time.</w:t>
      </w:r>
      <w:r w:rsidR="00633DF0">
        <w:rPr>
          <w:rFonts w:ascii="Arial" w:eastAsiaTheme="minorHAnsi" w:hAnsi="Arial" w:cs="Arial"/>
        </w:rPr>
        <w:t xml:space="preserve"> </w:t>
      </w:r>
    </w:p>
    <w:p w14:paraId="081CD762" w14:textId="1D46B25E" w:rsidR="00DE2A40" w:rsidRPr="00F56827" w:rsidRDefault="00DE2A40" w:rsidP="00DE2A40">
      <w:pPr>
        <w:spacing w:after="240"/>
        <w:rPr>
          <w:rFonts w:ascii="Arial" w:eastAsiaTheme="minorHAnsi" w:hAnsi="Arial" w:cs="Arial"/>
        </w:rPr>
      </w:pPr>
      <w:r w:rsidRPr="0023165D">
        <w:rPr>
          <w:rFonts w:ascii="Arial" w:eastAsiaTheme="minorHAnsi" w:hAnsi="Arial" w:cs="Arial"/>
          <w:b/>
          <w:bCs/>
        </w:rPr>
        <w:t>Assessing Learning and Academic Needs of Students</w:t>
      </w:r>
      <w:r w:rsidR="00DE408F" w:rsidRPr="00DE408F">
        <w:rPr>
          <w:rFonts w:ascii="Arial" w:eastAsiaTheme="minorHAnsi" w:hAnsi="Arial" w:cs="Arial"/>
          <w:b/>
          <w:bCs/>
        </w:rPr>
        <w:t>:</w:t>
      </w:r>
      <w:r w:rsidR="00DE408F">
        <w:rPr>
          <w:rFonts w:ascii="Arial" w:eastAsiaTheme="minorHAnsi" w:hAnsi="Arial" w:cs="Arial"/>
        </w:rPr>
        <w:t xml:space="preserve"> </w:t>
      </w:r>
      <w:r w:rsidR="001D6EA3" w:rsidRPr="0023165D">
        <w:rPr>
          <w:rFonts w:ascii="Arial" w:eastAsiaTheme="minorHAnsi" w:hAnsi="Arial" w:cs="Arial"/>
        </w:rPr>
        <w:t>Services, resources</w:t>
      </w:r>
      <w:r w:rsidR="008776E1" w:rsidRPr="0023165D">
        <w:rPr>
          <w:rFonts w:ascii="Arial" w:eastAsiaTheme="minorHAnsi" w:hAnsi="Arial" w:cs="Arial"/>
        </w:rPr>
        <w:t>,</w:t>
      </w:r>
      <w:r w:rsidR="001D6EA3" w:rsidRPr="0023165D">
        <w:rPr>
          <w:rFonts w:ascii="Arial" w:eastAsiaTheme="minorHAnsi" w:hAnsi="Arial" w:cs="Arial"/>
        </w:rPr>
        <w:t xml:space="preserve"> and </w:t>
      </w:r>
      <w:proofErr w:type="gramStart"/>
      <w:r w:rsidR="001D6EA3" w:rsidRPr="0023165D">
        <w:rPr>
          <w:rFonts w:ascii="Arial" w:eastAsiaTheme="minorHAnsi" w:hAnsi="Arial" w:cs="Arial"/>
        </w:rPr>
        <w:t>supports</w:t>
      </w:r>
      <w:proofErr w:type="gramEnd"/>
      <w:r w:rsidR="001D6EA3" w:rsidRPr="0023165D">
        <w:rPr>
          <w:rFonts w:ascii="Arial" w:eastAsiaTheme="minorHAnsi" w:hAnsi="Arial" w:cs="Arial"/>
        </w:rPr>
        <w:t xml:space="preserve"> included</w:t>
      </w:r>
      <w:r w:rsidR="001D6EA3" w:rsidRPr="0023165D">
        <w:rPr>
          <w:rFonts w:ascii="Arial" w:eastAsiaTheme="minorHAnsi" w:hAnsi="Arial" w:cs="Arial"/>
          <w:b/>
          <w:bCs/>
        </w:rPr>
        <w:t xml:space="preserve"> </w:t>
      </w:r>
      <w:r w:rsidR="001D6EA3">
        <w:rPr>
          <w:rFonts w:ascii="Arial" w:eastAsiaTheme="minorHAnsi" w:hAnsi="Arial" w:cs="Arial"/>
        </w:rPr>
        <w:t>i</w:t>
      </w:r>
      <w:r w:rsidRPr="00F56827">
        <w:rPr>
          <w:rFonts w:ascii="Arial" w:eastAsiaTheme="minorHAnsi" w:hAnsi="Arial" w:cs="Arial"/>
        </w:rPr>
        <w:t xml:space="preserve">ntentional work to utilize quantitative and qualitative data to determine the current academic and </w:t>
      </w:r>
      <w:bookmarkStart w:id="5" w:name="_Hlk155883614"/>
      <w:r w:rsidR="00633DF0">
        <w:rPr>
          <w:rFonts w:ascii="Arial" w:eastAsiaTheme="minorHAnsi" w:hAnsi="Arial" w:cs="Arial"/>
        </w:rPr>
        <w:t>social</w:t>
      </w:r>
      <w:r w:rsidR="00633DF0" w:rsidRPr="00633DF0">
        <w:rPr>
          <w:rFonts w:ascii="Arial" w:eastAsiaTheme="minorHAnsi" w:hAnsi="Arial" w:cs="Arial"/>
        </w:rPr>
        <w:t>–</w:t>
      </w:r>
      <w:r w:rsidR="00633DF0">
        <w:rPr>
          <w:rFonts w:ascii="Arial" w:eastAsiaTheme="minorHAnsi" w:hAnsi="Arial" w:cs="Arial"/>
        </w:rPr>
        <w:t>emotional</w:t>
      </w:r>
      <w:r w:rsidRPr="00F56827">
        <w:rPr>
          <w:rFonts w:ascii="Arial" w:eastAsiaTheme="minorHAnsi" w:hAnsi="Arial" w:cs="Arial"/>
        </w:rPr>
        <w:t xml:space="preserve"> </w:t>
      </w:r>
      <w:bookmarkEnd w:id="5"/>
      <w:r w:rsidRPr="00F56827">
        <w:rPr>
          <w:rFonts w:ascii="Arial" w:eastAsiaTheme="minorHAnsi" w:hAnsi="Arial" w:cs="Arial"/>
        </w:rPr>
        <w:t xml:space="preserve">needs </w:t>
      </w:r>
      <w:r w:rsidR="001D6EA3">
        <w:rPr>
          <w:rFonts w:ascii="Arial" w:eastAsiaTheme="minorHAnsi" w:hAnsi="Arial" w:cs="Arial"/>
        </w:rPr>
        <w:t>of</w:t>
      </w:r>
      <w:r w:rsidRPr="00F56827">
        <w:rPr>
          <w:rFonts w:ascii="Arial" w:eastAsiaTheme="minorHAnsi" w:hAnsi="Arial" w:cs="Arial"/>
        </w:rPr>
        <w:t xml:space="preserve"> each student.</w:t>
      </w:r>
    </w:p>
    <w:p w14:paraId="557F8E7C" w14:textId="7A573DA0" w:rsidR="00DE2A40" w:rsidRPr="00F56827" w:rsidRDefault="00633DF0" w:rsidP="00DE2A40">
      <w:pPr>
        <w:spacing w:after="240"/>
        <w:rPr>
          <w:rFonts w:ascii="Arial" w:eastAsiaTheme="minorHAnsi" w:hAnsi="Arial" w:cs="Arial"/>
        </w:rPr>
      </w:pPr>
      <w:r w:rsidRPr="0023165D">
        <w:rPr>
          <w:rFonts w:ascii="Arial" w:eastAsiaTheme="minorHAnsi" w:hAnsi="Arial" w:cs="Arial"/>
          <w:b/>
          <w:bCs/>
        </w:rPr>
        <w:t>Social–Emotional</w:t>
      </w:r>
      <w:r w:rsidR="00DE2A40" w:rsidRPr="0023165D">
        <w:rPr>
          <w:rFonts w:ascii="Arial" w:eastAsiaTheme="minorHAnsi" w:hAnsi="Arial" w:cs="Arial"/>
          <w:b/>
          <w:bCs/>
        </w:rPr>
        <w:t xml:space="preserve"> Needs</w:t>
      </w:r>
      <w:r w:rsidR="00DE408F">
        <w:rPr>
          <w:rFonts w:ascii="Arial" w:eastAsiaTheme="minorHAnsi" w:hAnsi="Arial" w:cs="Arial"/>
          <w:b/>
          <w:bCs/>
        </w:rPr>
        <w:t xml:space="preserve">: </w:t>
      </w:r>
      <w:r w:rsidR="001D6EA3" w:rsidRPr="0023165D">
        <w:rPr>
          <w:rFonts w:ascii="Arial" w:eastAsiaTheme="minorHAnsi" w:hAnsi="Arial" w:cs="Arial"/>
        </w:rPr>
        <w:t>Services, resources</w:t>
      </w:r>
      <w:r w:rsidR="008776E1" w:rsidRPr="0023165D">
        <w:rPr>
          <w:rFonts w:ascii="Arial" w:eastAsiaTheme="minorHAnsi" w:hAnsi="Arial" w:cs="Arial"/>
        </w:rPr>
        <w:t>,</w:t>
      </w:r>
      <w:r w:rsidR="001D6EA3" w:rsidRPr="0023165D">
        <w:rPr>
          <w:rFonts w:ascii="Arial" w:eastAsiaTheme="minorHAnsi" w:hAnsi="Arial" w:cs="Arial"/>
        </w:rPr>
        <w:t xml:space="preserve"> and supports included</w:t>
      </w:r>
      <w:r w:rsidR="001D6EA3">
        <w:rPr>
          <w:rFonts w:ascii="Arial" w:eastAsiaTheme="minorHAnsi" w:hAnsi="Arial" w:cs="Arial"/>
        </w:rPr>
        <w:t xml:space="preserve"> </w:t>
      </w:r>
      <w:r w:rsidR="00DE2A40">
        <w:rPr>
          <w:rFonts w:ascii="Arial" w:eastAsiaTheme="minorHAnsi" w:hAnsi="Arial" w:cs="Arial"/>
        </w:rPr>
        <w:t>w</w:t>
      </w:r>
      <w:r w:rsidR="00DE2A40" w:rsidRPr="00F56827">
        <w:rPr>
          <w:rFonts w:ascii="Arial" w:eastAsiaTheme="minorHAnsi" w:hAnsi="Arial" w:cs="Arial"/>
        </w:rPr>
        <w:t>ork that prioritiz</w:t>
      </w:r>
      <w:r w:rsidR="00DE2A40">
        <w:rPr>
          <w:rFonts w:ascii="Arial" w:eastAsiaTheme="minorHAnsi" w:hAnsi="Arial" w:cs="Arial"/>
        </w:rPr>
        <w:t>ed</w:t>
      </w:r>
      <w:r w:rsidR="00DE2A40" w:rsidRPr="00F56827">
        <w:rPr>
          <w:rFonts w:ascii="Arial" w:eastAsiaTheme="minorHAnsi" w:hAnsi="Arial" w:cs="Arial"/>
        </w:rPr>
        <w:t xml:space="preserve"> the mental health and wellness of students who experienced higher levels of stress due to the COVID-19 pandemic and its </w:t>
      </w:r>
      <w:r w:rsidR="001D6EA3">
        <w:rPr>
          <w:rFonts w:ascii="Arial" w:eastAsiaTheme="minorHAnsi" w:hAnsi="Arial" w:cs="Arial"/>
        </w:rPr>
        <w:t>impact</w:t>
      </w:r>
      <w:r w:rsidR="00DE2A40" w:rsidRPr="00F56827">
        <w:rPr>
          <w:rFonts w:ascii="Arial" w:eastAsiaTheme="minorHAnsi" w:hAnsi="Arial" w:cs="Arial"/>
        </w:rPr>
        <w:t xml:space="preserve"> on their daily li</w:t>
      </w:r>
      <w:r w:rsidR="001D6EA3">
        <w:rPr>
          <w:rFonts w:ascii="Arial" w:eastAsiaTheme="minorHAnsi" w:hAnsi="Arial" w:cs="Arial"/>
        </w:rPr>
        <w:t>ves</w:t>
      </w:r>
      <w:r w:rsidR="00DE2A40" w:rsidRPr="00F56827">
        <w:rPr>
          <w:rFonts w:ascii="Arial" w:eastAsiaTheme="minorHAnsi" w:hAnsi="Arial" w:cs="Arial"/>
        </w:rPr>
        <w:t xml:space="preserve"> (i.e.</w:t>
      </w:r>
      <w:r w:rsidR="00DE408F">
        <w:rPr>
          <w:rFonts w:ascii="Arial" w:eastAsiaTheme="minorHAnsi" w:hAnsi="Arial" w:cs="Arial"/>
        </w:rPr>
        <w:t>,</w:t>
      </w:r>
      <w:r w:rsidR="00DE2A40" w:rsidRPr="00F56827">
        <w:rPr>
          <w:rFonts w:ascii="Arial" w:eastAsiaTheme="minorHAnsi" w:hAnsi="Arial" w:cs="Arial"/>
        </w:rPr>
        <w:t xml:space="preserve"> anxiety, financial stress, loss of focus, withdrawal from </w:t>
      </w:r>
      <w:r>
        <w:rPr>
          <w:rFonts w:ascii="Arial" w:eastAsiaTheme="minorHAnsi" w:hAnsi="Arial" w:cs="Arial"/>
        </w:rPr>
        <w:t xml:space="preserve">the </w:t>
      </w:r>
      <w:r w:rsidR="00DE2A40" w:rsidRPr="00F56827">
        <w:rPr>
          <w:rFonts w:ascii="Arial" w:eastAsiaTheme="minorHAnsi" w:hAnsi="Arial" w:cs="Arial"/>
        </w:rPr>
        <w:t>school community, etc.)</w:t>
      </w:r>
      <w:r w:rsidR="00DE2A40">
        <w:rPr>
          <w:rFonts w:ascii="Arial" w:eastAsiaTheme="minorHAnsi" w:hAnsi="Arial" w:cs="Arial"/>
        </w:rPr>
        <w:t>.</w:t>
      </w:r>
    </w:p>
    <w:p w14:paraId="198A1A9E" w14:textId="38D94FB9" w:rsidR="00DE2A40" w:rsidRPr="00F56827" w:rsidRDefault="00570BD2" w:rsidP="00DE2A40">
      <w:pPr>
        <w:spacing w:after="240"/>
        <w:rPr>
          <w:rFonts w:ascii="Arial" w:eastAsiaTheme="minorHAnsi" w:hAnsi="Arial" w:cs="Arial"/>
        </w:rPr>
      </w:pPr>
      <w:r w:rsidRPr="00DE408F">
        <w:rPr>
          <w:rFonts w:ascii="Arial" w:eastAsiaTheme="minorHAnsi" w:hAnsi="Arial" w:cs="Arial"/>
          <w:b/>
          <w:bCs/>
        </w:rPr>
        <w:t>High-Quality</w:t>
      </w:r>
      <w:r w:rsidR="00DE2A40" w:rsidRPr="00DE408F">
        <w:rPr>
          <w:rFonts w:ascii="Arial" w:eastAsiaTheme="minorHAnsi" w:hAnsi="Arial" w:cs="Arial"/>
          <w:b/>
          <w:bCs/>
        </w:rPr>
        <w:t xml:space="preserve"> Instruction</w:t>
      </w:r>
      <w:r w:rsidR="00DE408F" w:rsidRPr="00DE408F">
        <w:rPr>
          <w:rFonts w:ascii="Arial" w:eastAsiaTheme="minorHAnsi" w:hAnsi="Arial" w:cs="Arial"/>
          <w:b/>
          <w:bCs/>
        </w:rPr>
        <w:t>:</w:t>
      </w:r>
      <w:r w:rsidR="00DE408F" w:rsidRPr="00DE408F">
        <w:rPr>
          <w:rFonts w:ascii="Arial" w:eastAsiaTheme="minorHAnsi" w:hAnsi="Arial" w:cs="Arial"/>
        </w:rPr>
        <w:t xml:space="preserve"> </w:t>
      </w:r>
      <w:r w:rsidR="001D6EA3" w:rsidRPr="00DE408F">
        <w:rPr>
          <w:rFonts w:ascii="Arial" w:eastAsiaTheme="minorHAnsi" w:hAnsi="Arial" w:cs="Arial"/>
        </w:rPr>
        <w:t xml:space="preserve">Services, </w:t>
      </w:r>
      <w:r w:rsidR="004055D3" w:rsidRPr="00DE408F">
        <w:rPr>
          <w:rFonts w:ascii="Arial" w:eastAsiaTheme="minorHAnsi" w:hAnsi="Arial" w:cs="Arial"/>
        </w:rPr>
        <w:t>resources, and</w:t>
      </w:r>
      <w:r w:rsidR="001D6EA3" w:rsidRPr="00DE408F">
        <w:rPr>
          <w:rFonts w:ascii="Arial" w:eastAsiaTheme="minorHAnsi" w:hAnsi="Arial" w:cs="Arial"/>
        </w:rPr>
        <w:t xml:space="preserve"> </w:t>
      </w:r>
      <w:proofErr w:type="gramStart"/>
      <w:r w:rsidR="001D6EA3" w:rsidRPr="00DE408F">
        <w:rPr>
          <w:rFonts w:ascii="Arial" w:eastAsiaTheme="minorHAnsi" w:hAnsi="Arial" w:cs="Arial"/>
        </w:rPr>
        <w:t>supports</w:t>
      </w:r>
      <w:proofErr w:type="gramEnd"/>
      <w:r w:rsidR="001D6EA3" w:rsidRPr="00DE408F">
        <w:rPr>
          <w:rFonts w:ascii="Arial" w:eastAsiaTheme="minorHAnsi" w:hAnsi="Arial" w:cs="Arial"/>
        </w:rPr>
        <w:t xml:space="preserve"> included </w:t>
      </w:r>
      <w:r w:rsidR="001D6EA3">
        <w:rPr>
          <w:rFonts w:ascii="Arial" w:eastAsiaTheme="minorHAnsi" w:hAnsi="Arial" w:cs="Arial"/>
        </w:rPr>
        <w:t>t</w:t>
      </w:r>
      <w:r w:rsidR="00DE2A40" w:rsidRPr="00F56827">
        <w:rPr>
          <w:rFonts w:ascii="Arial" w:eastAsiaTheme="minorHAnsi" w:hAnsi="Arial" w:cs="Arial"/>
        </w:rPr>
        <w:t>he use and application of standards-</w:t>
      </w:r>
      <w:r w:rsidR="00BD27C0">
        <w:rPr>
          <w:rFonts w:ascii="Arial" w:eastAsiaTheme="minorHAnsi" w:hAnsi="Arial" w:cs="Arial"/>
        </w:rPr>
        <w:t xml:space="preserve"> and</w:t>
      </w:r>
      <w:r w:rsidR="00DE2A40" w:rsidRPr="00F56827">
        <w:rPr>
          <w:rFonts w:ascii="Arial" w:eastAsiaTheme="minorHAnsi" w:hAnsi="Arial" w:cs="Arial"/>
        </w:rPr>
        <w:t xml:space="preserve"> evidence-based, engaging, differentiated, culturally responsive, </w:t>
      </w:r>
      <w:r w:rsidR="00DE2A40">
        <w:rPr>
          <w:rFonts w:ascii="Arial" w:eastAsiaTheme="minorHAnsi" w:hAnsi="Arial" w:cs="Arial"/>
        </w:rPr>
        <w:t xml:space="preserve">and </w:t>
      </w:r>
      <w:r w:rsidR="00DE2A40" w:rsidRPr="00F56827">
        <w:rPr>
          <w:rFonts w:ascii="Arial" w:eastAsiaTheme="minorHAnsi" w:hAnsi="Arial" w:cs="Arial"/>
        </w:rPr>
        <w:t>data-driven curricula</w:t>
      </w:r>
      <w:r w:rsidR="00BD27C0">
        <w:rPr>
          <w:rFonts w:ascii="Arial" w:eastAsiaTheme="minorHAnsi" w:hAnsi="Arial" w:cs="Arial"/>
        </w:rPr>
        <w:t>;</w:t>
      </w:r>
      <w:r w:rsidR="00DE2A40" w:rsidRPr="00F56827">
        <w:rPr>
          <w:rFonts w:ascii="Arial" w:eastAsiaTheme="minorHAnsi" w:hAnsi="Arial" w:cs="Arial"/>
        </w:rPr>
        <w:t xml:space="preserve"> teaching practices</w:t>
      </w:r>
      <w:r w:rsidR="00BD27C0">
        <w:rPr>
          <w:rFonts w:ascii="Arial" w:eastAsiaTheme="minorHAnsi" w:hAnsi="Arial" w:cs="Arial"/>
        </w:rPr>
        <w:t>;</w:t>
      </w:r>
      <w:r w:rsidR="00DE2A40" w:rsidRPr="00F56827">
        <w:rPr>
          <w:rFonts w:ascii="Arial" w:eastAsiaTheme="minorHAnsi" w:hAnsi="Arial" w:cs="Arial"/>
        </w:rPr>
        <w:t xml:space="preserve"> and learning environments</w:t>
      </w:r>
      <w:r w:rsidR="00DE2A40">
        <w:rPr>
          <w:rFonts w:ascii="Arial" w:eastAsiaTheme="minorHAnsi" w:hAnsi="Arial" w:cs="Arial"/>
        </w:rPr>
        <w:t>.</w:t>
      </w:r>
    </w:p>
    <w:p w14:paraId="622BE4A1" w14:textId="5142F89B" w:rsidR="00DE2A40" w:rsidRPr="00F56827" w:rsidRDefault="00DE2A40" w:rsidP="00DE2A40">
      <w:pPr>
        <w:spacing w:after="160" w:line="259" w:lineRule="auto"/>
        <w:rPr>
          <w:rFonts w:ascii="Arial" w:eastAsiaTheme="minorHAnsi" w:hAnsi="Arial" w:cs="Arial"/>
        </w:rPr>
      </w:pPr>
      <w:r w:rsidRPr="00BD27C0">
        <w:rPr>
          <w:rFonts w:ascii="Arial" w:eastAsiaTheme="minorHAnsi" w:hAnsi="Arial" w:cs="Arial"/>
          <w:b/>
          <w:bCs/>
        </w:rPr>
        <w:t>Supporting Student Return to In-Person Instruction</w:t>
      </w:r>
      <w:r w:rsidR="00BD27C0" w:rsidRPr="00BD27C0">
        <w:rPr>
          <w:rFonts w:ascii="Arial" w:eastAsiaTheme="minorHAnsi" w:hAnsi="Arial" w:cs="Arial"/>
          <w:b/>
          <w:bCs/>
        </w:rPr>
        <w:t>:</w:t>
      </w:r>
      <w:r w:rsidR="001D6EA3" w:rsidRPr="00BD27C0">
        <w:rPr>
          <w:rFonts w:ascii="Arial" w:eastAsiaTheme="minorHAnsi" w:hAnsi="Arial" w:cs="Arial"/>
        </w:rPr>
        <w:t xml:space="preserve"> Services, </w:t>
      </w:r>
      <w:r w:rsidR="004055D3" w:rsidRPr="00BD27C0">
        <w:rPr>
          <w:rFonts w:ascii="Arial" w:eastAsiaTheme="minorHAnsi" w:hAnsi="Arial" w:cs="Arial"/>
        </w:rPr>
        <w:t>resources,</w:t>
      </w:r>
      <w:r w:rsidR="001D6EA3" w:rsidRPr="00BD27C0">
        <w:rPr>
          <w:rFonts w:ascii="Arial" w:eastAsiaTheme="minorHAnsi" w:hAnsi="Arial" w:cs="Arial"/>
        </w:rPr>
        <w:t xml:space="preserve"> and </w:t>
      </w:r>
      <w:proofErr w:type="gramStart"/>
      <w:r w:rsidR="001D6EA3" w:rsidRPr="00BD27C0">
        <w:rPr>
          <w:rFonts w:ascii="Arial" w:eastAsiaTheme="minorHAnsi" w:hAnsi="Arial" w:cs="Arial"/>
        </w:rPr>
        <w:t>supports</w:t>
      </w:r>
      <w:proofErr w:type="gramEnd"/>
      <w:r w:rsidR="001D6EA3" w:rsidRPr="00BD27C0">
        <w:rPr>
          <w:rFonts w:ascii="Arial" w:eastAsiaTheme="minorHAnsi" w:hAnsi="Arial" w:cs="Arial"/>
        </w:rPr>
        <w:t xml:space="preserve"> included </w:t>
      </w:r>
      <w:r w:rsidR="001D6EA3">
        <w:rPr>
          <w:rFonts w:ascii="Arial" w:eastAsiaTheme="minorHAnsi" w:hAnsi="Arial" w:cs="Arial"/>
        </w:rPr>
        <w:t>t</w:t>
      </w:r>
      <w:r w:rsidRPr="00F56827">
        <w:rPr>
          <w:rFonts w:ascii="Arial" w:eastAsiaTheme="minorHAnsi" w:hAnsi="Arial" w:cs="Arial"/>
        </w:rPr>
        <w:t>he procurement of materials, equipment, or supplies necessary for students to safely return to classrooms and limit further school disruptions.</w:t>
      </w:r>
    </w:p>
    <w:p w14:paraId="48EEEE65" w14:textId="4DEC3968" w:rsidR="00DE2A40" w:rsidRPr="00F56827" w:rsidRDefault="00DE2A40" w:rsidP="00DE2A40">
      <w:pPr>
        <w:spacing w:after="160" w:line="259" w:lineRule="auto"/>
        <w:rPr>
          <w:rFonts w:ascii="Arial" w:eastAsiaTheme="minorHAnsi" w:hAnsi="Arial" w:cs="Arial"/>
        </w:rPr>
      </w:pPr>
      <w:r w:rsidRPr="00BD27C0">
        <w:rPr>
          <w:rFonts w:ascii="Arial" w:eastAsiaTheme="minorHAnsi" w:hAnsi="Arial" w:cs="Arial"/>
          <w:b/>
          <w:bCs/>
        </w:rPr>
        <w:t>Child Find</w:t>
      </w:r>
      <w:r w:rsidR="00BD27C0" w:rsidRPr="00BD27C0">
        <w:rPr>
          <w:rFonts w:ascii="Arial" w:eastAsiaTheme="minorHAnsi" w:hAnsi="Arial" w:cs="Arial"/>
          <w:b/>
          <w:bCs/>
        </w:rPr>
        <w:t>:</w:t>
      </w:r>
      <w:r w:rsidR="00BD27C0">
        <w:rPr>
          <w:rFonts w:ascii="Arial" w:eastAsiaTheme="minorHAnsi" w:hAnsi="Arial" w:cs="Arial"/>
        </w:rPr>
        <w:t xml:space="preserve"> </w:t>
      </w:r>
      <w:r w:rsidR="001D6EA3" w:rsidRPr="00BD27C0">
        <w:rPr>
          <w:rFonts w:ascii="Arial" w:eastAsiaTheme="minorHAnsi" w:hAnsi="Arial" w:cs="Arial"/>
        </w:rPr>
        <w:t xml:space="preserve">Services, </w:t>
      </w:r>
      <w:r w:rsidR="004055D3" w:rsidRPr="00BD27C0">
        <w:rPr>
          <w:rFonts w:ascii="Arial" w:eastAsiaTheme="minorHAnsi" w:hAnsi="Arial" w:cs="Arial"/>
        </w:rPr>
        <w:t>resources,</w:t>
      </w:r>
      <w:r w:rsidR="001D6EA3" w:rsidRPr="00BD27C0">
        <w:rPr>
          <w:rFonts w:ascii="Arial" w:eastAsiaTheme="minorHAnsi" w:hAnsi="Arial" w:cs="Arial"/>
        </w:rPr>
        <w:t xml:space="preserve"> and supports included </w:t>
      </w:r>
      <w:r w:rsidRPr="00F56827">
        <w:rPr>
          <w:rFonts w:ascii="Arial" w:eastAsiaTheme="minorHAnsi" w:hAnsi="Arial" w:cs="Arial"/>
        </w:rPr>
        <w:t>assessments or activities</w:t>
      </w:r>
      <w:r>
        <w:rPr>
          <w:rFonts w:ascii="Arial" w:eastAsiaTheme="minorHAnsi" w:hAnsi="Arial" w:cs="Arial"/>
        </w:rPr>
        <w:t xml:space="preserve"> for </w:t>
      </w:r>
      <w:r w:rsidRPr="00F56827">
        <w:rPr>
          <w:rFonts w:ascii="Arial" w:eastAsiaTheme="minorHAnsi" w:hAnsi="Arial" w:cs="Arial"/>
        </w:rPr>
        <w:t xml:space="preserve">children in the LEA </w:t>
      </w:r>
      <w:r w:rsidR="00791B2A" w:rsidRPr="00791B2A">
        <w:rPr>
          <w:rFonts w:ascii="Arial" w:eastAsiaTheme="minorHAnsi" w:hAnsi="Arial" w:cs="Arial"/>
        </w:rPr>
        <w:t xml:space="preserve">suspected of being </w:t>
      </w:r>
      <w:r w:rsidR="00791B2A">
        <w:rPr>
          <w:rFonts w:ascii="Arial" w:eastAsiaTheme="minorHAnsi" w:hAnsi="Arial" w:cs="Arial"/>
        </w:rPr>
        <w:t>children</w:t>
      </w:r>
      <w:r w:rsidR="00791B2A" w:rsidRPr="00791B2A">
        <w:rPr>
          <w:rFonts w:ascii="Arial" w:eastAsiaTheme="minorHAnsi" w:hAnsi="Arial" w:cs="Arial"/>
        </w:rPr>
        <w:t xml:space="preserve"> with </w:t>
      </w:r>
      <w:r w:rsidR="00791B2A">
        <w:rPr>
          <w:rFonts w:ascii="Arial" w:eastAsiaTheme="minorHAnsi" w:hAnsi="Arial" w:cs="Arial"/>
        </w:rPr>
        <w:t xml:space="preserve">a </w:t>
      </w:r>
      <w:r w:rsidR="00791B2A" w:rsidRPr="00791B2A">
        <w:rPr>
          <w:rFonts w:ascii="Arial" w:eastAsiaTheme="minorHAnsi" w:hAnsi="Arial" w:cs="Arial"/>
        </w:rPr>
        <w:t>disabilit</w:t>
      </w:r>
      <w:r w:rsidR="00791B2A">
        <w:rPr>
          <w:rFonts w:ascii="Arial" w:eastAsiaTheme="minorHAnsi" w:hAnsi="Arial" w:cs="Arial"/>
        </w:rPr>
        <w:t xml:space="preserve">y </w:t>
      </w:r>
      <w:r w:rsidR="00791B2A" w:rsidRPr="00791B2A">
        <w:rPr>
          <w:rFonts w:ascii="Arial" w:eastAsiaTheme="minorHAnsi" w:hAnsi="Arial" w:cs="Arial"/>
        </w:rPr>
        <w:t xml:space="preserve">and in </w:t>
      </w:r>
      <w:r w:rsidRPr="00F56827">
        <w:rPr>
          <w:rFonts w:ascii="Arial" w:eastAsiaTheme="minorHAnsi" w:hAnsi="Arial" w:cs="Arial"/>
        </w:rPr>
        <w:t xml:space="preserve">need </w:t>
      </w:r>
      <w:r w:rsidR="00791B2A">
        <w:rPr>
          <w:rFonts w:ascii="Arial" w:eastAsiaTheme="minorHAnsi" w:hAnsi="Arial" w:cs="Arial"/>
        </w:rPr>
        <w:t xml:space="preserve">of </w:t>
      </w:r>
      <w:r w:rsidR="00F10CF3">
        <w:rPr>
          <w:rFonts w:ascii="Arial" w:eastAsiaTheme="minorHAnsi" w:hAnsi="Arial" w:cs="Arial"/>
        </w:rPr>
        <w:t>s</w:t>
      </w:r>
      <w:r w:rsidRPr="00F56827">
        <w:rPr>
          <w:rFonts w:ascii="Arial" w:eastAsiaTheme="minorHAnsi" w:hAnsi="Arial" w:cs="Arial"/>
        </w:rPr>
        <w:t xml:space="preserve">pecial </w:t>
      </w:r>
      <w:r w:rsidR="00F10CF3">
        <w:rPr>
          <w:rFonts w:ascii="Arial" w:eastAsiaTheme="minorHAnsi" w:hAnsi="Arial" w:cs="Arial"/>
        </w:rPr>
        <w:t>e</w:t>
      </w:r>
      <w:r w:rsidRPr="00F56827">
        <w:rPr>
          <w:rFonts w:ascii="Arial" w:eastAsiaTheme="minorHAnsi" w:hAnsi="Arial" w:cs="Arial"/>
        </w:rPr>
        <w:t xml:space="preserve">ducation </w:t>
      </w:r>
      <w:r>
        <w:rPr>
          <w:rFonts w:ascii="Arial" w:eastAsiaTheme="minorHAnsi" w:hAnsi="Arial" w:cs="Arial"/>
        </w:rPr>
        <w:t xml:space="preserve">who </w:t>
      </w:r>
      <w:r w:rsidRPr="00F56827">
        <w:rPr>
          <w:rFonts w:ascii="Arial" w:eastAsiaTheme="minorHAnsi" w:hAnsi="Arial" w:cs="Arial"/>
        </w:rPr>
        <w:t xml:space="preserve">were not </w:t>
      </w:r>
      <w:r w:rsidR="00791B2A" w:rsidRPr="00791B2A">
        <w:rPr>
          <w:rFonts w:ascii="Arial" w:eastAsiaTheme="minorHAnsi" w:hAnsi="Arial" w:cs="Arial"/>
        </w:rPr>
        <w:t>identif</w:t>
      </w:r>
      <w:r w:rsidR="00791B2A">
        <w:rPr>
          <w:rFonts w:ascii="Arial" w:eastAsiaTheme="minorHAnsi" w:hAnsi="Arial" w:cs="Arial"/>
        </w:rPr>
        <w:t>ied</w:t>
      </w:r>
      <w:r w:rsidR="00791B2A" w:rsidRPr="00791B2A">
        <w:rPr>
          <w:rFonts w:ascii="Arial" w:eastAsiaTheme="minorHAnsi" w:hAnsi="Arial" w:cs="Arial"/>
        </w:rPr>
        <w:t>, locate</w:t>
      </w:r>
      <w:r w:rsidR="00791B2A">
        <w:rPr>
          <w:rFonts w:ascii="Arial" w:eastAsiaTheme="minorHAnsi" w:hAnsi="Arial" w:cs="Arial"/>
        </w:rPr>
        <w:t>d</w:t>
      </w:r>
      <w:r w:rsidR="00791B2A" w:rsidRPr="00791B2A">
        <w:rPr>
          <w:rFonts w:ascii="Arial" w:eastAsiaTheme="minorHAnsi" w:hAnsi="Arial" w:cs="Arial"/>
        </w:rPr>
        <w:t xml:space="preserve">, </w:t>
      </w:r>
      <w:r w:rsidRPr="00F56827">
        <w:rPr>
          <w:rFonts w:ascii="Arial" w:eastAsiaTheme="minorHAnsi" w:hAnsi="Arial" w:cs="Arial"/>
        </w:rPr>
        <w:t xml:space="preserve">or assessed due to </w:t>
      </w:r>
      <w:r w:rsidR="00791B2A">
        <w:rPr>
          <w:rFonts w:ascii="Arial" w:eastAsiaTheme="minorHAnsi" w:hAnsi="Arial" w:cs="Arial"/>
        </w:rPr>
        <w:t xml:space="preserve">school disruptions caused by </w:t>
      </w:r>
      <w:r w:rsidRPr="00F56827">
        <w:rPr>
          <w:rFonts w:ascii="Arial" w:eastAsiaTheme="minorHAnsi" w:hAnsi="Arial" w:cs="Arial"/>
        </w:rPr>
        <w:t xml:space="preserve">the COVID-19 </w:t>
      </w:r>
      <w:r w:rsidR="00BB1AB5">
        <w:rPr>
          <w:rFonts w:ascii="Arial" w:eastAsiaTheme="minorHAnsi" w:hAnsi="Arial" w:cs="Arial"/>
        </w:rPr>
        <w:t>p</w:t>
      </w:r>
      <w:r w:rsidRPr="00F56827">
        <w:rPr>
          <w:rFonts w:ascii="Arial" w:eastAsiaTheme="minorHAnsi" w:hAnsi="Arial" w:cs="Arial"/>
        </w:rPr>
        <w:t>andemic.</w:t>
      </w:r>
    </w:p>
    <w:p w14:paraId="113C86D7" w14:textId="4A49C4DF" w:rsidR="00DE2A40" w:rsidRPr="00454134" w:rsidRDefault="00DE2A40" w:rsidP="00DE2A40">
      <w:pPr>
        <w:spacing w:after="160" w:line="259" w:lineRule="auto"/>
        <w:rPr>
          <w:rFonts w:ascii="Arial" w:eastAsiaTheme="minorHAnsi" w:hAnsi="Arial" w:cs="Arial"/>
        </w:rPr>
      </w:pPr>
      <w:r w:rsidRPr="00BD27C0">
        <w:rPr>
          <w:rFonts w:ascii="Arial" w:eastAsiaTheme="minorHAnsi" w:hAnsi="Arial" w:cs="Arial"/>
          <w:b/>
          <w:bCs/>
        </w:rPr>
        <w:t>Assessing Students Waiting for Initial IEPs</w:t>
      </w:r>
      <w:r w:rsidR="00BD27C0">
        <w:rPr>
          <w:rFonts w:ascii="Arial" w:eastAsiaTheme="minorHAnsi" w:hAnsi="Arial" w:cs="Arial"/>
        </w:rPr>
        <w:t>:</w:t>
      </w:r>
      <w:r w:rsidR="00F10CF3" w:rsidRPr="00BD27C0">
        <w:rPr>
          <w:rFonts w:ascii="Arial" w:eastAsiaTheme="minorHAnsi" w:hAnsi="Arial" w:cs="Arial"/>
        </w:rPr>
        <w:t xml:space="preserve"> Services, resources</w:t>
      </w:r>
      <w:r w:rsidR="004055D3" w:rsidRPr="00BD27C0">
        <w:rPr>
          <w:rFonts w:ascii="Arial" w:eastAsiaTheme="minorHAnsi" w:hAnsi="Arial" w:cs="Arial"/>
        </w:rPr>
        <w:t>,</w:t>
      </w:r>
      <w:r w:rsidR="00F10CF3" w:rsidRPr="00BD27C0">
        <w:rPr>
          <w:rFonts w:ascii="Arial" w:eastAsiaTheme="minorHAnsi" w:hAnsi="Arial" w:cs="Arial"/>
        </w:rPr>
        <w:t xml:space="preserve"> and </w:t>
      </w:r>
      <w:proofErr w:type="gramStart"/>
      <w:r w:rsidR="00F10CF3" w:rsidRPr="00BD27C0">
        <w:rPr>
          <w:rFonts w:ascii="Arial" w:eastAsiaTheme="minorHAnsi" w:hAnsi="Arial" w:cs="Arial"/>
        </w:rPr>
        <w:t>supports</w:t>
      </w:r>
      <w:proofErr w:type="gramEnd"/>
      <w:r w:rsidR="00F10CF3" w:rsidRPr="00BD27C0">
        <w:rPr>
          <w:rFonts w:ascii="Arial" w:eastAsiaTheme="minorHAnsi" w:hAnsi="Arial" w:cs="Arial"/>
        </w:rPr>
        <w:t xml:space="preserve"> included </w:t>
      </w:r>
      <w:r w:rsidRPr="00454134">
        <w:rPr>
          <w:rFonts w:ascii="Arial" w:eastAsiaTheme="minorHAnsi" w:hAnsi="Arial" w:cs="Arial"/>
        </w:rPr>
        <w:t>complet</w:t>
      </w:r>
      <w:r w:rsidR="00F10CF3">
        <w:rPr>
          <w:rFonts w:ascii="Arial" w:eastAsiaTheme="minorHAnsi" w:hAnsi="Arial" w:cs="Arial"/>
        </w:rPr>
        <w:t>ing</w:t>
      </w:r>
      <w:r w:rsidRPr="00454134">
        <w:rPr>
          <w:rFonts w:ascii="Arial" w:eastAsiaTheme="minorHAnsi" w:hAnsi="Arial" w:cs="Arial"/>
        </w:rPr>
        <w:t xml:space="preserve"> initial assessments </w:t>
      </w:r>
      <w:r w:rsidR="00791B2A">
        <w:rPr>
          <w:rFonts w:ascii="Arial" w:eastAsiaTheme="minorHAnsi" w:hAnsi="Arial" w:cs="Arial"/>
        </w:rPr>
        <w:t xml:space="preserve">(required before convening an initial IEP) </w:t>
      </w:r>
      <w:r w:rsidR="00BB1AB5">
        <w:rPr>
          <w:rFonts w:ascii="Arial" w:eastAsiaTheme="minorHAnsi" w:hAnsi="Arial" w:cs="Arial"/>
        </w:rPr>
        <w:t xml:space="preserve">delayed </w:t>
      </w:r>
      <w:proofErr w:type="gramStart"/>
      <w:r w:rsidR="00BB1AB5">
        <w:rPr>
          <w:rFonts w:ascii="Arial" w:eastAsiaTheme="minorHAnsi" w:hAnsi="Arial" w:cs="Arial"/>
        </w:rPr>
        <w:t>as a result of</w:t>
      </w:r>
      <w:proofErr w:type="gramEnd"/>
      <w:r w:rsidR="00BB1AB5">
        <w:rPr>
          <w:rFonts w:ascii="Arial" w:eastAsiaTheme="minorHAnsi" w:hAnsi="Arial" w:cs="Arial"/>
        </w:rPr>
        <w:t xml:space="preserve"> </w:t>
      </w:r>
      <w:bookmarkStart w:id="6" w:name="_Hlk150358508"/>
      <w:r w:rsidR="00BB1AB5">
        <w:rPr>
          <w:rFonts w:ascii="Arial" w:eastAsiaTheme="minorHAnsi" w:hAnsi="Arial" w:cs="Arial"/>
        </w:rPr>
        <w:t xml:space="preserve">school disruptions caused by </w:t>
      </w:r>
      <w:bookmarkEnd w:id="6"/>
      <w:r w:rsidRPr="00454134">
        <w:rPr>
          <w:rFonts w:ascii="Arial" w:eastAsiaTheme="minorHAnsi" w:hAnsi="Arial" w:cs="Arial"/>
        </w:rPr>
        <w:t xml:space="preserve">the COVID-19 </w:t>
      </w:r>
      <w:r w:rsidR="00BB1AB5">
        <w:rPr>
          <w:rFonts w:ascii="Arial" w:eastAsiaTheme="minorHAnsi" w:hAnsi="Arial" w:cs="Arial"/>
        </w:rPr>
        <w:t>pandemic</w:t>
      </w:r>
      <w:r w:rsidRPr="00454134">
        <w:rPr>
          <w:rFonts w:ascii="Arial" w:eastAsiaTheme="minorHAnsi" w:hAnsi="Arial" w:cs="Arial"/>
        </w:rPr>
        <w:t>. These funds</w:t>
      </w:r>
      <w:r w:rsidR="001F62A7">
        <w:rPr>
          <w:rFonts w:ascii="Arial" w:eastAsiaTheme="minorHAnsi" w:hAnsi="Arial" w:cs="Arial"/>
        </w:rPr>
        <w:t xml:space="preserve"> </w:t>
      </w:r>
      <w:r w:rsidR="00BB1AB5">
        <w:rPr>
          <w:rFonts w:ascii="Arial" w:eastAsiaTheme="minorHAnsi" w:hAnsi="Arial" w:cs="Arial"/>
        </w:rPr>
        <w:t>we</w:t>
      </w:r>
      <w:r w:rsidRPr="00454134">
        <w:rPr>
          <w:rFonts w:ascii="Arial" w:eastAsiaTheme="minorHAnsi" w:hAnsi="Arial" w:cs="Arial"/>
        </w:rPr>
        <w:t>re not to be used for current obligations.</w:t>
      </w:r>
    </w:p>
    <w:p w14:paraId="5A0D9A08" w14:textId="468D5B11" w:rsidR="00DE2A40" w:rsidRPr="00454134" w:rsidRDefault="00DE2A40" w:rsidP="00DE2A40">
      <w:pPr>
        <w:spacing w:after="160" w:line="259" w:lineRule="auto"/>
        <w:rPr>
          <w:rFonts w:ascii="Arial" w:eastAsiaTheme="minorHAnsi" w:hAnsi="Arial" w:cs="Arial"/>
        </w:rPr>
      </w:pPr>
      <w:r w:rsidRPr="00BD27C0">
        <w:rPr>
          <w:rFonts w:ascii="Arial" w:eastAsiaTheme="minorHAnsi" w:hAnsi="Arial" w:cs="Arial"/>
          <w:b/>
          <w:bCs/>
        </w:rPr>
        <w:t>Completing Overdue IEPs</w:t>
      </w:r>
      <w:r w:rsidR="00BD27C0" w:rsidRPr="00BD27C0">
        <w:rPr>
          <w:rFonts w:ascii="Arial" w:eastAsiaTheme="minorHAnsi" w:hAnsi="Arial" w:cs="Arial"/>
          <w:b/>
          <w:bCs/>
        </w:rPr>
        <w:t>:</w:t>
      </w:r>
      <w:r w:rsidR="00F10CF3" w:rsidRPr="00BD27C0">
        <w:rPr>
          <w:rFonts w:ascii="Arial" w:eastAsiaTheme="minorHAnsi" w:hAnsi="Arial" w:cs="Arial"/>
        </w:rPr>
        <w:t xml:space="preserve"> Services, resources</w:t>
      </w:r>
      <w:r w:rsidR="004055D3" w:rsidRPr="00BD27C0">
        <w:rPr>
          <w:rFonts w:ascii="Arial" w:eastAsiaTheme="minorHAnsi" w:hAnsi="Arial" w:cs="Arial"/>
        </w:rPr>
        <w:t>,</w:t>
      </w:r>
      <w:r w:rsidR="00F10CF3" w:rsidRPr="00BD27C0">
        <w:rPr>
          <w:rFonts w:ascii="Arial" w:eastAsiaTheme="minorHAnsi" w:hAnsi="Arial" w:cs="Arial"/>
        </w:rPr>
        <w:t xml:space="preserve"> and </w:t>
      </w:r>
      <w:proofErr w:type="gramStart"/>
      <w:r w:rsidR="00F10CF3" w:rsidRPr="00BD27C0">
        <w:rPr>
          <w:rFonts w:ascii="Arial" w:eastAsiaTheme="minorHAnsi" w:hAnsi="Arial" w:cs="Arial"/>
        </w:rPr>
        <w:t>supports</w:t>
      </w:r>
      <w:proofErr w:type="gramEnd"/>
      <w:r w:rsidR="00F10CF3" w:rsidRPr="00BD27C0">
        <w:rPr>
          <w:rFonts w:ascii="Arial" w:eastAsiaTheme="minorHAnsi" w:hAnsi="Arial" w:cs="Arial"/>
        </w:rPr>
        <w:t xml:space="preserve"> included </w:t>
      </w:r>
      <w:r w:rsidRPr="00454134">
        <w:rPr>
          <w:rFonts w:ascii="Arial" w:eastAsiaTheme="minorHAnsi" w:hAnsi="Arial" w:cs="Arial"/>
        </w:rPr>
        <w:t>complet</w:t>
      </w:r>
      <w:r w:rsidR="00F10CF3">
        <w:rPr>
          <w:rFonts w:ascii="Arial" w:eastAsiaTheme="minorHAnsi" w:hAnsi="Arial" w:cs="Arial"/>
        </w:rPr>
        <w:t>ing</w:t>
      </w:r>
      <w:r w:rsidR="00F10CF3" w:rsidRPr="00454134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i</w:t>
      </w:r>
      <w:r w:rsidRPr="00454134">
        <w:rPr>
          <w:rFonts w:ascii="Arial" w:eastAsiaTheme="minorHAnsi" w:hAnsi="Arial" w:cs="Arial"/>
        </w:rPr>
        <w:t xml:space="preserve">nitial and </w:t>
      </w:r>
      <w:r>
        <w:rPr>
          <w:rFonts w:ascii="Arial" w:eastAsiaTheme="minorHAnsi" w:hAnsi="Arial" w:cs="Arial"/>
        </w:rPr>
        <w:t>a</w:t>
      </w:r>
      <w:r w:rsidRPr="00454134">
        <w:rPr>
          <w:rFonts w:ascii="Arial" w:eastAsiaTheme="minorHAnsi" w:hAnsi="Arial" w:cs="Arial"/>
        </w:rPr>
        <w:t xml:space="preserve">nnual IEPs </w:t>
      </w:r>
      <w:r w:rsidR="00F10CF3">
        <w:rPr>
          <w:rFonts w:ascii="Arial" w:eastAsiaTheme="minorHAnsi" w:hAnsi="Arial" w:cs="Arial"/>
        </w:rPr>
        <w:t>over</w:t>
      </w:r>
      <w:r w:rsidRPr="00454134">
        <w:rPr>
          <w:rFonts w:ascii="Arial" w:eastAsiaTheme="minorHAnsi" w:hAnsi="Arial" w:cs="Arial"/>
        </w:rPr>
        <w:t xml:space="preserve">due </w:t>
      </w:r>
      <w:proofErr w:type="gramStart"/>
      <w:r w:rsidR="00F10CF3">
        <w:rPr>
          <w:rFonts w:ascii="Arial" w:eastAsiaTheme="minorHAnsi" w:hAnsi="Arial" w:cs="Arial"/>
        </w:rPr>
        <w:t>as a result of</w:t>
      </w:r>
      <w:proofErr w:type="gramEnd"/>
      <w:r w:rsidR="00F10CF3">
        <w:rPr>
          <w:rFonts w:ascii="Arial" w:eastAsiaTheme="minorHAnsi" w:hAnsi="Arial" w:cs="Arial"/>
        </w:rPr>
        <w:t xml:space="preserve"> school disruptions caused by the</w:t>
      </w:r>
      <w:r w:rsidRPr="00454134">
        <w:rPr>
          <w:rFonts w:ascii="Arial" w:eastAsiaTheme="minorHAnsi" w:hAnsi="Arial" w:cs="Arial"/>
        </w:rPr>
        <w:t xml:space="preserve"> COVID-19 </w:t>
      </w:r>
      <w:r w:rsidR="00F10CF3">
        <w:rPr>
          <w:rFonts w:ascii="Arial" w:eastAsiaTheme="minorHAnsi" w:hAnsi="Arial" w:cs="Arial"/>
        </w:rPr>
        <w:t>pandemic</w:t>
      </w:r>
      <w:r w:rsidRPr="00454134">
        <w:rPr>
          <w:rFonts w:ascii="Arial" w:eastAsiaTheme="minorHAnsi" w:hAnsi="Arial" w:cs="Arial"/>
        </w:rPr>
        <w:t>. These funds were not to be used for current obligations.</w:t>
      </w:r>
    </w:p>
    <w:p w14:paraId="56DAFA06" w14:textId="7B440940" w:rsidR="00DE2A40" w:rsidRDefault="00DE2A40" w:rsidP="00DE2A40">
      <w:pPr>
        <w:spacing w:after="240"/>
        <w:rPr>
          <w:rFonts w:ascii="Arial" w:eastAsiaTheme="minorHAnsi" w:hAnsi="Arial" w:cs="Arial"/>
        </w:rPr>
      </w:pPr>
      <w:r w:rsidRPr="00BD27C0">
        <w:rPr>
          <w:rFonts w:ascii="Arial" w:eastAsiaTheme="minorHAnsi" w:hAnsi="Arial" w:cs="Arial"/>
          <w:b/>
          <w:bCs/>
        </w:rPr>
        <w:t>Other/Additional Support and Services Needed to Address Identified Learning Needs</w:t>
      </w:r>
      <w:r w:rsidR="00BD27C0">
        <w:rPr>
          <w:rFonts w:ascii="Arial" w:eastAsiaTheme="minorHAnsi" w:hAnsi="Arial" w:cs="Arial"/>
        </w:rPr>
        <w:t>:</w:t>
      </w:r>
      <w:r w:rsidR="00F10CF3" w:rsidRPr="00BD27C0">
        <w:rPr>
          <w:rFonts w:ascii="Arial" w:eastAsiaTheme="minorHAnsi" w:hAnsi="Arial" w:cs="Arial"/>
        </w:rPr>
        <w:t xml:space="preserve"> Services, resources</w:t>
      </w:r>
      <w:r w:rsidR="004055D3" w:rsidRPr="00BD27C0">
        <w:rPr>
          <w:rFonts w:ascii="Arial" w:eastAsiaTheme="minorHAnsi" w:hAnsi="Arial" w:cs="Arial"/>
        </w:rPr>
        <w:t>,</w:t>
      </w:r>
      <w:r w:rsidR="00F10CF3" w:rsidRPr="00BD27C0">
        <w:rPr>
          <w:rFonts w:ascii="Arial" w:eastAsiaTheme="minorHAnsi" w:hAnsi="Arial" w:cs="Arial"/>
        </w:rPr>
        <w:t xml:space="preserve"> and supports included </w:t>
      </w:r>
      <w:r w:rsidRPr="00454134">
        <w:rPr>
          <w:rFonts w:ascii="Arial" w:eastAsiaTheme="minorHAnsi" w:hAnsi="Arial" w:cs="Arial"/>
        </w:rPr>
        <w:t>areas not listed above but determined to have impacted students’ learning and for which the LEA</w:t>
      </w:r>
      <w:r w:rsidR="00BB1AB5">
        <w:rPr>
          <w:rFonts w:ascii="Arial" w:eastAsiaTheme="minorHAnsi" w:hAnsi="Arial" w:cs="Arial"/>
        </w:rPr>
        <w:t>,</w:t>
      </w:r>
      <w:r w:rsidRPr="00454134">
        <w:rPr>
          <w:rFonts w:ascii="Arial" w:eastAsiaTheme="minorHAnsi" w:hAnsi="Arial" w:cs="Arial"/>
        </w:rPr>
        <w:t xml:space="preserve"> </w:t>
      </w:r>
      <w:r w:rsidR="00BB1AB5">
        <w:rPr>
          <w:rFonts w:ascii="Arial" w:eastAsiaTheme="minorHAnsi" w:hAnsi="Arial" w:cs="Arial"/>
        </w:rPr>
        <w:t>in conjunction</w:t>
      </w:r>
      <w:r w:rsidR="00BB1AB5" w:rsidRPr="00454134">
        <w:rPr>
          <w:rFonts w:ascii="Arial" w:eastAsiaTheme="minorHAnsi" w:hAnsi="Arial" w:cs="Arial"/>
        </w:rPr>
        <w:t xml:space="preserve"> </w:t>
      </w:r>
      <w:r w:rsidRPr="00454134">
        <w:rPr>
          <w:rFonts w:ascii="Arial" w:eastAsiaTheme="minorHAnsi" w:hAnsi="Arial" w:cs="Arial"/>
        </w:rPr>
        <w:t xml:space="preserve">with </w:t>
      </w:r>
      <w:r w:rsidR="00BB1AB5">
        <w:rPr>
          <w:rFonts w:ascii="Arial" w:eastAsiaTheme="minorHAnsi" w:hAnsi="Arial" w:cs="Arial"/>
        </w:rPr>
        <w:t xml:space="preserve">its </w:t>
      </w:r>
      <w:r w:rsidRPr="00454134">
        <w:rPr>
          <w:rFonts w:ascii="Arial" w:eastAsiaTheme="minorHAnsi" w:hAnsi="Arial" w:cs="Arial"/>
        </w:rPr>
        <w:t>SELPA, identified a need.</w:t>
      </w:r>
    </w:p>
    <w:p w14:paraId="29B69F35" w14:textId="77777777" w:rsidR="00DE2A40" w:rsidRDefault="00DE2A40" w:rsidP="00DE2A40">
      <w:pPr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br w:type="page"/>
      </w:r>
    </w:p>
    <w:p w14:paraId="5E0684BA" w14:textId="77777777" w:rsidR="00DE2A40" w:rsidRPr="00DD4F6E" w:rsidRDefault="00DE2A40" w:rsidP="00DE2A40">
      <w:pPr>
        <w:pStyle w:val="Heading2"/>
        <w:spacing w:before="0"/>
      </w:pPr>
      <w:bookmarkStart w:id="7" w:name="_Hlk149024129"/>
      <w:r w:rsidRPr="00DD4F6E">
        <w:lastRenderedPageBreak/>
        <w:t>S</w:t>
      </w:r>
      <w:r>
        <w:t xml:space="preserve">pecial </w:t>
      </w:r>
      <w:r w:rsidRPr="00DD4F6E">
        <w:t>E</w:t>
      </w:r>
      <w:r>
        <w:t xml:space="preserve">ducation </w:t>
      </w:r>
      <w:r w:rsidRPr="00DD4F6E">
        <w:t>L</w:t>
      </w:r>
      <w:r>
        <w:t xml:space="preserve">ocal </w:t>
      </w:r>
      <w:r w:rsidRPr="00DD4F6E">
        <w:t>P</w:t>
      </w:r>
      <w:r>
        <w:t xml:space="preserve">lan </w:t>
      </w:r>
      <w:r w:rsidRPr="00DD4F6E">
        <w:t>A</w:t>
      </w:r>
      <w:r>
        <w:t>rea</w:t>
      </w:r>
      <w:r w:rsidRPr="00DD4F6E">
        <w:t xml:space="preserve"> Data Results</w:t>
      </w:r>
    </w:p>
    <w:bookmarkEnd w:id="7"/>
    <w:p w14:paraId="3B1EB08F" w14:textId="3CDFE462" w:rsidR="00DE2A40" w:rsidRPr="001F62A7" w:rsidRDefault="00F50395" w:rsidP="00DE2A40">
      <w:pPr>
        <w:spacing w:after="24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>As required by AB 130</w:t>
      </w:r>
      <w:r w:rsidR="00EE5BCE">
        <w:rPr>
          <w:rFonts w:ascii="Arial" w:hAnsi="Arial" w:cs="Arial"/>
        </w:rPr>
        <w:t xml:space="preserve"> (Ch. 44, Stats. 2021)</w:t>
      </w:r>
      <w:r>
        <w:rPr>
          <w:rFonts w:ascii="Arial" w:hAnsi="Arial" w:cs="Arial"/>
        </w:rPr>
        <w:t xml:space="preserve">, </w:t>
      </w:r>
      <w:r w:rsidR="000A48A1">
        <w:rPr>
          <w:rFonts w:ascii="Arial" w:hAnsi="Arial" w:cs="Arial"/>
        </w:rPr>
        <w:t xml:space="preserve">the </w:t>
      </w:r>
      <w:r w:rsidR="00DE2A40" w:rsidRPr="008602A1">
        <w:rPr>
          <w:rFonts w:ascii="Arial" w:hAnsi="Arial" w:cs="Arial"/>
        </w:rPr>
        <w:t xml:space="preserve">SELPAs </w:t>
      </w:r>
      <w:r w:rsidR="00DE2A40">
        <w:rPr>
          <w:rFonts w:ascii="Arial" w:hAnsi="Arial" w:cs="Arial"/>
        </w:rPr>
        <w:t>reported</w:t>
      </w:r>
      <w:r>
        <w:rPr>
          <w:rFonts w:ascii="Arial" w:hAnsi="Arial" w:cs="Arial"/>
        </w:rPr>
        <w:t xml:space="preserve"> to the CDE</w:t>
      </w:r>
      <w:r w:rsidR="00DE2A40" w:rsidRPr="008602A1">
        <w:rPr>
          <w:rFonts w:ascii="Arial" w:hAnsi="Arial" w:cs="Arial"/>
        </w:rPr>
        <w:t xml:space="preserve"> data on all students with disabilities </w:t>
      </w:r>
      <w:r w:rsidR="00407148">
        <w:rPr>
          <w:rFonts w:ascii="Arial" w:hAnsi="Arial" w:cs="Arial"/>
        </w:rPr>
        <w:t>who</w:t>
      </w:r>
      <w:r w:rsidR="00DE2A40">
        <w:rPr>
          <w:rFonts w:ascii="Arial" w:hAnsi="Arial" w:cs="Arial"/>
        </w:rPr>
        <w:t xml:space="preserve"> received </w:t>
      </w:r>
      <w:r>
        <w:rPr>
          <w:rFonts w:ascii="Arial" w:hAnsi="Arial" w:cs="Arial"/>
        </w:rPr>
        <w:t>Learning Recovery Support-</w:t>
      </w:r>
      <w:r w:rsidR="00DE2A40">
        <w:rPr>
          <w:rFonts w:ascii="Arial" w:hAnsi="Arial" w:cs="Arial"/>
        </w:rPr>
        <w:t xml:space="preserve">funded services. Data </w:t>
      </w:r>
      <w:r w:rsidR="00DE2A40" w:rsidRPr="008602A1">
        <w:rPr>
          <w:rFonts w:ascii="Arial" w:hAnsi="Arial" w:cs="Arial"/>
        </w:rPr>
        <w:t>includ</w:t>
      </w:r>
      <w:r w:rsidR="00DE2A40">
        <w:rPr>
          <w:rFonts w:ascii="Arial" w:hAnsi="Arial" w:cs="Arial"/>
        </w:rPr>
        <w:t>ed</w:t>
      </w:r>
      <w:r w:rsidR="00DE2A40" w:rsidRPr="008602A1">
        <w:rPr>
          <w:rFonts w:ascii="Arial" w:hAnsi="Arial" w:cs="Arial"/>
        </w:rPr>
        <w:t xml:space="preserve"> disability </w:t>
      </w:r>
      <w:r w:rsidR="00DE2A40">
        <w:rPr>
          <w:rFonts w:ascii="Arial" w:hAnsi="Arial" w:cs="Arial"/>
        </w:rPr>
        <w:t>categories,</w:t>
      </w:r>
      <w:r w:rsidR="00DE2A40" w:rsidRPr="008602A1">
        <w:rPr>
          <w:rFonts w:ascii="Arial" w:hAnsi="Arial" w:cs="Arial"/>
        </w:rPr>
        <w:t xml:space="preserve"> E</w:t>
      </w:r>
      <w:r w:rsidR="00DE2A40">
        <w:rPr>
          <w:rFonts w:ascii="Arial" w:hAnsi="Arial" w:cs="Arial"/>
        </w:rPr>
        <w:t>LL</w:t>
      </w:r>
      <w:r w:rsidR="00DE2A40" w:rsidRPr="008602A1">
        <w:rPr>
          <w:rFonts w:ascii="Arial" w:hAnsi="Arial" w:cs="Arial"/>
        </w:rPr>
        <w:t xml:space="preserve"> status, socioeconomic status, and parent</w:t>
      </w:r>
      <w:r w:rsidR="00DE2A40">
        <w:rPr>
          <w:rFonts w:ascii="Arial" w:hAnsi="Arial" w:cs="Arial"/>
        </w:rPr>
        <w:t>s’</w:t>
      </w:r>
      <w:r w:rsidR="00DE2A40" w:rsidRPr="008602A1">
        <w:rPr>
          <w:rFonts w:ascii="Arial" w:hAnsi="Arial" w:cs="Arial"/>
        </w:rPr>
        <w:t xml:space="preserve"> primary language.</w:t>
      </w:r>
      <w:r w:rsidR="00DE2A40">
        <w:rPr>
          <w:rFonts w:ascii="Arial" w:hAnsi="Arial" w:cs="Arial"/>
        </w:rPr>
        <w:t xml:space="preserve"> All</w:t>
      </w:r>
      <w:r w:rsidR="00DE2A40" w:rsidRPr="008602A1">
        <w:rPr>
          <w:rFonts w:ascii="Arial" w:hAnsi="Arial" w:cs="Arial"/>
        </w:rPr>
        <w:t xml:space="preserve"> SELPAs provide</w:t>
      </w:r>
      <w:r w:rsidR="00BD696A">
        <w:rPr>
          <w:rFonts w:ascii="Arial" w:hAnsi="Arial" w:cs="Arial"/>
        </w:rPr>
        <w:t>d</w:t>
      </w:r>
      <w:r w:rsidR="00DE2A40" w:rsidRPr="008602A1">
        <w:rPr>
          <w:rFonts w:ascii="Arial" w:hAnsi="Arial" w:cs="Arial"/>
        </w:rPr>
        <w:t xml:space="preserve"> the </w:t>
      </w:r>
      <w:r w:rsidR="00BD696A">
        <w:rPr>
          <w:rFonts w:ascii="Arial" w:hAnsi="Arial" w:cs="Arial"/>
        </w:rPr>
        <w:t xml:space="preserve">required </w:t>
      </w:r>
      <w:r w:rsidR="00DE2A40" w:rsidRPr="008602A1">
        <w:rPr>
          <w:rFonts w:ascii="Arial" w:hAnsi="Arial" w:cs="Arial"/>
        </w:rPr>
        <w:t>information</w:t>
      </w:r>
      <w:r w:rsidR="00DE2A40">
        <w:rPr>
          <w:rFonts w:ascii="Arial" w:hAnsi="Arial" w:cs="Arial"/>
        </w:rPr>
        <w:t>; h</w:t>
      </w:r>
      <w:r w:rsidR="00DE2A40" w:rsidRPr="008602A1">
        <w:rPr>
          <w:rFonts w:ascii="Arial" w:hAnsi="Arial" w:cs="Arial"/>
        </w:rPr>
        <w:t xml:space="preserve">owever, some SELPAs may have </w:t>
      </w:r>
      <w:r w:rsidR="005A6AE9">
        <w:rPr>
          <w:rFonts w:ascii="Arial" w:hAnsi="Arial" w:cs="Arial"/>
        </w:rPr>
        <w:t>under</w:t>
      </w:r>
      <w:r w:rsidR="00407148">
        <w:rPr>
          <w:rFonts w:ascii="Arial" w:hAnsi="Arial" w:cs="Arial"/>
        </w:rPr>
        <w:t>-</w:t>
      </w:r>
      <w:r w:rsidR="00DE2A40" w:rsidRPr="008602A1">
        <w:rPr>
          <w:rFonts w:ascii="Arial" w:hAnsi="Arial" w:cs="Arial"/>
        </w:rPr>
        <w:t xml:space="preserve"> or over</w:t>
      </w:r>
      <w:r w:rsidR="00DE2A40">
        <w:rPr>
          <w:rFonts w:ascii="Arial" w:hAnsi="Arial" w:cs="Arial"/>
        </w:rPr>
        <w:t>-</w:t>
      </w:r>
      <w:r w:rsidR="00DE2A40" w:rsidRPr="008602A1">
        <w:rPr>
          <w:rFonts w:ascii="Arial" w:hAnsi="Arial" w:cs="Arial"/>
        </w:rPr>
        <w:t>reported</w:t>
      </w:r>
      <w:r w:rsidR="00DE2A40">
        <w:rPr>
          <w:rFonts w:ascii="Arial" w:hAnsi="Arial" w:cs="Arial"/>
        </w:rPr>
        <w:t xml:space="preserve"> demographic </w:t>
      </w:r>
      <w:r w:rsidR="00DE2A40" w:rsidRPr="008602A1">
        <w:rPr>
          <w:rFonts w:ascii="Arial" w:hAnsi="Arial" w:cs="Arial"/>
        </w:rPr>
        <w:t>data</w:t>
      </w:r>
      <w:r w:rsidR="00DE2A40">
        <w:rPr>
          <w:rFonts w:ascii="Arial" w:hAnsi="Arial" w:cs="Arial"/>
        </w:rPr>
        <w:t xml:space="preserve"> due to fluctuations </w:t>
      </w:r>
      <w:r w:rsidR="00BD696A">
        <w:rPr>
          <w:rFonts w:ascii="Arial" w:hAnsi="Arial" w:cs="Arial"/>
        </w:rPr>
        <w:t>in</w:t>
      </w:r>
      <w:r w:rsidR="00DE2A40">
        <w:rPr>
          <w:rFonts w:ascii="Arial" w:hAnsi="Arial" w:cs="Arial"/>
        </w:rPr>
        <w:t xml:space="preserve"> students </w:t>
      </w:r>
      <w:r w:rsidR="00BD696A">
        <w:rPr>
          <w:rFonts w:ascii="Arial" w:hAnsi="Arial" w:cs="Arial"/>
        </w:rPr>
        <w:t xml:space="preserve">who </w:t>
      </w:r>
      <w:r w:rsidR="00DE2A40">
        <w:rPr>
          <w:rFonts w:ascii="Arial" w:hAnsi="Arial" w:cs="Arial"/>
        </w:rPr>
        <w:t>receiv</w:t>
      </w:r>
      <w:r w:rsidR="00BD696A">
        <w:rPr>
          <w:rFonts w:ascii="Arial" w:hAnsi="Arial" w:cs="Arial"/>
        </w:rPr>
        <w:t>ed</w:t>
      </w:r>
      <w:r w:rsidR="00DE2A40">
        <w:rPr>
          <w:rFonts w:ascii="Arial" w:hAnsi="Arial" w:cs="Arial"/>
        </w:rPr>
        <w:t xml:space="preserve"> services during the two-year LRP implementation.</w:t>
      </w:r>
      <w:r w:rsidR="000A48A1">
        <w:rPr>
          <w:rFonts w:ascii="Arial" w:hAnsi="Arial" w:cs="Arial"/>
        </w:rPr>
        <w:t xml:space="preserve"> </w:t>
      </w:r>
      <w:r w:rsidR="000A48A1">
        <w:rPr>
          <w:rFonts w:ascii="Arial" w:hAnsi="Arial" w:cs="Arial"/>
          <w:color w:val="000000"/>
          <w:shd w:val="clear" w:color="auto" w:fill="FFFFFF"/>
        </w:rPr>
        <w:t xml:space="preserve">The </w:t>
      </w:r>
      <w:r w:rsidR="00407148">
        <w:rPr>
          <w:rStyle w:val="normaltextrun"/>
          <w:rFonts w:ascii="Arial" w:hAnsi="Arial" w:cs="Arial"/>
          <w:color w:val="000000"/>
          <w:shd w:val="clear" w:color="auto" w:fill="FFFFFF"/>
        </w:rPr>
        <w:t>d</w:t>
      </w:r>
      <w:r w:rsidR="000A48A1" w:rsidRPr="0062619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ata showed that </w:t>
      </w:r>
      <w:r w:rsidR="000A48A1" w:rsidRPr="0062619A">
        <w:rPr>
          <w:rFonts w:ascii="Arial" w:hAnsi="Arial" w:cs="Arial"/>
          <w:color w:val="000000"/>
        </w:rPr>
        <w:t>757,409</w:t>
      </w:r>
      <w:r w:rsidR="000A48A1" w:rsidRPr="0062619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students with disabilities were served using the learning recovery funds allocated in AB 130. </w:t>
      </w:r>
      <w:r w:rsidR="00633DF0">
        <w:rPr>
          <w:rStyle w:val="normaltextrun"/>
          <w:rFonts w:ascii="Arial" w:hAnsi="Arial" w:cs="Arial"/>
          <w:color w:val="000000"/>
          <w:shd w:val="clear" w:color="auto" w:fill="FFFFFF"/>
        </w:rPr>
        <w:t>Ninety-eight</w:t>
      </w:r>
      <w:r w:rsidR="000A48A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percent of apportioned funds were expended in the provision of these services.</w:t>
      </w:r>
    </w:p>
    <w:p w14:paraId="23682163" w14:textId="5877A1AB" w:rsidR="00DE2A40" w:rsidRDefault="000A48A1" w:rsidP="00DE2A40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E2A40">
        <w:rPr>
          <w:rFonts w:ascii="Arial" w:hAnsi="Arial" w:cs="Arial"/>
        </w:rPr>
        <w:t xml:space="preserve">SELPAs reported on impacted areas selected and served by their LRP and final expenditures. </w:t>
      </w:r>
      <w:r>
        <w:rPr>
          <w:rFonts w:ascii="Arial" w:hAnsi="Arial" w:cs="Arial"/>
        </w:rPr>
        <w:t xml:space="preserve">The </w:t>
      </w:r>
      <w:r w:rsidR="00DE2A40">
        <w:rPr>
          <w:rFonts w:ascii="Arial" w:hAnsi="Arial" w:cs="Arial"/>
        </w:rPr>
        <w:t xml:space="preserve">CDE consultants </w:t>
      </w:r>
      <w:r w:rsidR="00BD696A">
        <w:rPr>
          <w:rFonts w:ascii="Arial" w:hAnsi="Arial" w:cs="Arial"/>
        </w:rPr>
        <w:t xml:space="preserve">reviewed the SELPA reports </w:t>
      </w:r>
      <w:r w:rsidR="00DE2A40">
        <w:rPr>
          <w:rFonts w:ascii="Arial" w:hAnsi="Arial" w:cs="Arial"/>
        </w:rPr>
        <w:t xml:space="preserve">for accuracy, including </w:t>
      </w:r>
      <w:r w:rsidR="00BD696A">
        <w:rPr>
          <w:rFonts w:ascii="Arial" w:hAnsi="Arial" w:cs="Arial"/>
        </w:rPr>
        <w:t xml:space="preserve">the </w:t>
      </w:r>
      <w:r w:rsidR="00DE2A40">
        <w:rPr>
          <w:rFonts w:ascii="Arial" w:hAnsi="Arial" w:cs="Arial"/>
        </w:rPr>
        <w:t xml:space="preserve">determination of unspent balances to be returned to </w:t>
      </w:r>
      <w:r w:rsidR="00BD696A">
        <w:rPr>
          <w:rFonts w:ascii="Arial" w:hAnsi="Arial" w:cs="Arial"/>
        </w:rPr>
        <w:t xml:space="preserve">the </w:t>
      </w:r>
      <w:r w:rsidR="00DE2A40">
        <w:rPr>
          <w:rFonts w:ascii="Arial" w:hAnsi="Arial" w:cs="Arial"/>
        </w:rPr>
        <w:t>CDE.</w:t>
      </w:r>
    </w:p>
    <w:p w14:paraId="6CD598B8" w14:textId="77777777" w:rsidR="00DE2A40" w:rsidRDefault="00DE2A40" w:rsidP="00DE2A40">
      <w:pPr>
        <w:pStyle w:val="Heading3"/>
      </w:pPr>
      <w:r w:rsidRPr="006B485B">
        <w:t xml:space="preserve">Students with Disabilities </w:t>
      </w:r>
      <w:r>
        <w:t>S</w:t>
      </w:r>
      <w:r w:rsidRPr="006B485B">
        <w:t xml:space="preserve">erved </w:t>
      </w:r>
      <w:r>
        <w:t xml:space="preserve">by </w:t>
      </w:r>
      <w:r w:rsidRPr="006B485B">
        <w:t>A</w:t>
      </w:r>
      <w:r>
        <w:t xml:space="preserve">ssembly </w:t>
      </w:r>
      <w:r w:rsidRPr="006B485B">
        <w:t>B</w:t>
      </w:r>
      <w:r>
        <w:t>ill</w:t>
      </w:r>
      <w:r w:rsidRPr="006B485B">
        <w:t xml:space="preserve"> 130 Section 161</w:t>
      </w:r>
      <w:r>
        <w:t>-</w:t>
      </w:r>
      <w:r w:rsidRPr="006B485B">
        <w:t xml:space="preserve">Funded </w:t>
      </w:r>
      <w:r>
        <w:t>S</w:t>
      </w:r>
      <w:r w:rsidRPr="006B485B">
        <w:t>ervices</w:t>
      </w:r>
    </w:p>
    <w:tbl>
      <w:tblPr>
        <w:tblStyle w:val="TableGrid4"/>
        <w:tblpPr w:leftFromText="180" w:rightFromText="180" w:vertAnchor="text" w:horzAnchor="margin" w:tblpY="274"/>
        <w:tblW w:w="9085" w:type="dxa"/>
        <w:tblLook w:val="04A0" w:firstRow="1" w:lastRow="0" w:firstColumn="1" w:lastColumn="0" w:noHBand="0" w:noVBand="1"/>
        <w:tblDescription w:val="The disability categories and the number of students in each category that were served."/>
      </w:tblPr>
      <w:tblGrid>
        <w:gridCol w:w="4765"/>
        <w:gridCol w:w="4320"/>
      </w:tblGrid>
      <w:tr w:rsidR="00DE2A40" w:rsidRPr="006B485B" w14:paraId="07465507" w14:textId="77777777" w:rsidTr="00AE10F8">
        <w:trPr>
          <w:cantSplit/>
          <w:tblHeader/>
        </w:trPr>
        <w:tc>
          <w:tcPr>
            <w:tcW w:w="4765" w:type="dxa"/>
            <w:shd w:val="clear" w:color="auto" w:fill="E7E6E6" w:themeFill="background2"/>
          </w:tcPr>
          <w:p w14:paraId="5950CF2A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Disability Category</w:t>
            </w:r>
          </w:p>
        </w:tc>
        <w:tc>
          <w:tcPr>
            <w:tcW w:w="4320" w:type="dxa"/>
            <w:shd w:val="clear" w:color="auto" w:fill="E7E6E6" w:themeFill="background2"/>
          </w:tcPr>
          <w:p w14:paraId="0C287612" w14:textId="3BA41FF8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Number of </w:t>
            </w:r>
            <w:r w:rsidR="00407148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tudents</w:t>
            </w:r>
          </w:p>
        </w:tc>
      </w:tr>
      <w:tr w:rsidR="00DE2A40" w:rsidRPr="006B485B" w14:paraId="0BA6CDB6" w14:textId="77777777" w:rsidTr="005E27AD">
        <w:trPr>
          <w:cantSplit/>
        </w:trPr>
        <w:tc>
          <w:tcPr>
            <w:tcW w:w="4765" w:type="dxa"/>
          </w:tcPr>
          <w:p w14:paraId="3038A1C5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485B">
              <w:rPr>
                <w:rFonts w:ascii="Arial" w:hAnsi="Arial" w:cs="Arial"/>
                <w:color w:val="000000"/>
              </w:rPr>
              <w:t>Intellectual Disability</w:t>
            </w:r>
          </w:p>
        </w:tc>
        <w:tc>
          <w:tcPr>
            <w:tcW w:w="4320" w:type="dxa"/>
          </w:tcPr>
          <w:p w14:paraId="07A2CD33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485B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6,054</w:t>
            </w:r>
          </w:p>
        </w:tc>
      </w:tr>
      <w:tr w:rsidR="00DE2A40" w:rsidRPr="006B485B" w14:paraId="226D4FB3" w14:textId="77777777" w:rsidTr="005E27AD">
        <w:trPr>
          <w:cantSplit/>
        </w:trPr>
        <w:tc>
          <w:tcPr>
            <w:tcW w:w="4765" w:type="dxa"/>
          </w:tcPr>
          <w:p w14:paraId="192E6ABA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485B">
              <w:rPr>
                <w:rFonts w:ascii="Arial" w:hAnsi="Arial" w:cs="Arial"/>
                <w:color w:val="000000"/>
              </w:rPr>
              <w:t>Hard of Hearing</w:t>
            </w:r>
          </w:p>
        </w:tc>
        <w:tc>
          <w:tcPr>
            <w:tcW w:w="4320" w:type="dxa"/>
          </w:tcPr>
          <w:p w14:paraId="24C13079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8,370</w:t>
            </w:r>
          </w:p>
        </w:tc>
      </w:tr>
      <w:tr w:rsidR="00DE2A40" w:rsidRPr="006B485B" w14:paraId="12E23A8D" w14:textId="77777777" w:rsidTr="005E27AD">
        <w:trPr>
          <w:cantSplit/>
        </w:trPr>
        <w:tc>
          <w:tcPr>
            <w:tcW w:w="4765" w:type="dxa"/>
          </w:tcPr>
          <w:p w14:paraId="56975347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485B">
              <w:rPr>
                <w:rFonts w:ascii="Arial" w:hAnsi="Arial" w:cs="Arial"/>
                <w:color w:val="000000"/>
              </w:rPr>
              <w:t>Deafness</w:t>
            </w:r>
          </w:p>
        </w:tc>
        <w:tc>
          <w:tcPr>
            <w:tcW w:w="4320" w:type="dxa"/>
          </w:tcPr>
          <w:p w14:paraId="0662AF0D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2,069</w:t>
            </w:r>
          </w:p>
        </w:tc>
      </w:tr>
      <w:tr w:rsidR="00DE2A40" w:rsidRPr="006B485B" w14:paraId="35AED53F" w14:textId="77777777" w:rsidTr="005E27AD">
        <w:trPr>
          <w:cantSplit/>
        </w:trPr>
        <w:tc>
          <w:tcPr>
            <w:tcW w:w="4765" w:type="dxa"/>
          </w:tcPr>
          <w:p w14:paraId="0BECE8E0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485B">
              <w:rPr>
                <w:rFonts w:ascii="Arial" w:hAnsi="Arial" w:cs="Arial"/>
                <w:color w:val="000000"/>
              </w:rPr>
              <w:t>Language Impairment</w:t>
            </w:r>
          </w:p>
        </w:tc>
        <w:tc>
          <w:tcPr>
            <w:tcW w:w="4320" w:type="dxa"/>
          </w:tcPr>
          <w:p w14:paraId="1AAE8EF4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485B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62,270</w:t>
            </w:r>
          </w:p>
        </w:tc>
      </w:tr>
      <w:tr w:rsidR="00DE2A40" w:rsidRPr="006B485B" w14:paraId="55589101" w14:textId="77777777" w:rsidTr="005E27AD">
        <w:trPr>
          <w:cantSplit/>
        </w:trPr>
        <w:tc>
          <w:tcPr>
            <w:tcW w:w="4765" w:type="dxa"/>
          </w:tcPr>
          <w:p w14:paraId="0F37AAFB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485B">
              <w:rPr>
                <w:rFonts w:ascii="Arial" w:hAnsi="Arial" w:cs="Arial"/>
                <w:color w:val="000000"/>
              </w:rPr>
              <w:t>Visual Impairment</w:t>
            </w:r>
          </w:p>
        </w:tc>
        <w:tc>
          <w:tcPr>
            <w:tcW w:w="4320" w:type="dxa"/>
          </w:tcPr>
          <w:p w14:paraId="65A71189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485B">
              <w:rPr>
                <w:rFonts w:ascii="Arial" w:hAnsi="Arial" w:cs="Arial"/>
                <w:color w:val="000000"/>
              </w:rPr>
              <w:t>2,</w:t>
            </w:r>
            <w:r>
              <w:rPr>
                <w:rFonts w:ascii="Arial" w:hAnsi="Arial" w:cs="Arial"/>
                <w:color w:val="000000"/>
              </w:rPr>
              <w:t>184</w:t>
            </w:r>
          </w:p>
        </w:tc>
      </w:tr>
      <w:tr w:rsidR="00DE2A40" w:rsidRPr="006B485B" w14:paraId="746FEB22" w14:textId="77777777" w:rsidTr="005E27AD">
        <w:trPr>
          <w:cantSplit/>
        </w:trPr>
        <w:tc>
          <w:tcPr>
            <w:tcW w:w="4765" w:type="dxa"/>
          </w:tcPr>
          <w:p w14:paraId="41BFC435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485B">
              <w:rPr>
                <w:rFonts w:ascii="Arial" w:hAnsi="Arial" w:cs="Arial"/>
                <w:color w:val="000000"/>
              </w:rPr>
              <w:t xml:space="preserve">Emotional </w:t>
            </w:r>
            <w:r>
              <w:rPr>
                <w:rFonts w:ascii="Arial" w:hAnsi="Arial" w:cs="Arial"/>
                <w:color w:val="000000"/>
              </w:rPr>
              <w:t>D</w:t>
            </w:r>
            <w:r w:rsidRPr="006B485B">
              <w:rPr>
                <w:rFonts w:ascii="Arial" w:hAnsi="Arial" w:cs="Arial"/>
                <w:color w:val="000000"/>
              </w:rPr>
              <w:t>isturbance</w:t>
            </w:r>
          </w:p>
        </w:tc>
        <w:tc>
          <w:tcPr>
            <w:tcW w:w="4320" w:type="dxa"/>
          </w:tcPr>
          <w:p w14:paraId="74D6EDDB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485B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3,564</w:t>
            </w:r>
          </w:p>
        </w:tc>
      </w:tr>
      <w:tr w:rsidR="00DE2A40" w:rsidRPr="006B485B" w14:paraId="3EFE9A4B" w14:textId="77777777" w:rsidTr="005E27AD">
        <w:trPr>
          <w:cantSplit/>
        </w:trPr>
        <w:tc>
          <w:tcPr>
            <w:tcW w:w="4765" w:type="dxa"/>
          </w:tcPr>
          <w:p w14:paraId="049C6BDE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485B">
              <w:rPr>
                <w:rFonts w:ascii="Arial" w:hAnsi="Arial" w:cs="Arial"/>
                <w:color w:val="000000"/>
              </w:rPr>
              <w:t>Orthopedic Impairment</w:t>
            </w:r>
          </w:p>
        </w:tc>
        <w:tc>
          <w:tcPr>
            <w:tcW w:w="4320" w:type="dxa"/>
          </w:tcPr>
          <w:p w14:paraId="7FE2E881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10,942</w:t>
            </w:r>
          </w:p>
        </w:tc>
      </w:tr>
      <w:tr w:rsidR="00DE2A40" w:rsidRPr="006B485B" w14:paraId="1F63D137" w14:textId="77777777" w:rsidTr="005E27AD">
        <w:trPr>
          <w:cantSplit/>
        </w:trPr>
        <w:tc>
          <w:tcPr>
            <w:tcW w:w="4765" w:type="dxa"/>
          </w:tcPr>
          <w:p w14:paraId="48720BC8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485B">
              <w:rPr>
                <w:rFonts w:ascii="Arial" w:hAnsi="Arial" w:cs="Arial"/>
                <w:color w:val="000000"/>
              </w:rPr>
              <w:t>Other Health Impairment</w:t>
            </w:r>
          </w:p>
        </w:tc>
        <w:tc>
          <w:tcPr>
            <w:tcW w:w="4320" w:type="dxa"/>
          </w:tcPr>
          <w:p w14:paraId="5A3ADE02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485B">
              <w:rPr>
                <w:rFonts w:ascii="Arial" w:hAnsi="Arial" w:cs="Arial"/>
                <w:color w:val="000000"/>
              </w:rPr>
              <w:t>10</w:t>
            </w:r>
            <w:r>
              <w:rPr>
                <w:rFonts w:ascii="Arial" w:hAnsi="Arial" w:cs="Arial"/>
                <w:color w:val="000000"/>
              </w:rPr>
              <w:t>7,001</w:t>
            </w:r>
          </w:p>
        </w:tc>
      </w:tr>
      <w:tr w:rsidR="00DE2A40" w:rsidRPr="006B485B" w14:paraId="1EEFEF02" w14:textId="77777777" w:rsidTr="005E27AD">
        <w:trPr>
          <w:cantSplit/>
        </w:trPr>
        <w:tc>
          <w:tcPr>
            <w:tcW w:w="4765" w:type="dxa"/>
          </w:tcPr>
          <w:p w14:paraId="535DE054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485B">
              <w:rPr>
                <w:rFonts w:ascii="Arial" w:hAnsi="Arial" w:cs="Arial"/>
                <w:color w:val="000000"/>
              </w:rPr>
              <w:t>Specific Learning Disability</w:t>
            </w:r>
          </w:p>
        </w:tc>
        <w:tc>
          <w:tcPr>
            <w:tcW w:w="4320" w:type="dxa"/>
          </w:tcPr>
          <w:p w14:paraId="5373DCF1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485B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60,954</w:t>
            </w:r>
          </w:p>
        </w:tc>
      </w:tr>
      <w:tr w:rsidR="00DE2A40" w:rsidRPr="006B485B" w14:paraId="75235BFB" w14:textId="77777777" w:rsidTr="005E27AD">
        <w:trPr>
          <w:cantSplit/>
        </w:trPr>
        <w:tc>
          <w:tcPr>
            <w:tcW w:w="4765" w:type="dxa"/>
          </w:tcPr>
          <w:p w14:paraId="75B0D0F4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485B">
              <w:rPr>
                <w:rFonts w:ascii="Arial" w:hAnsi="Arial" w:cs="Arial"/>
                <w:color w:val="000000"/>
              </w:rPr>
              <w:t>Deaf/Blindness</w:t>
            </w:r>
          </w:p>
        </w:tc>
        <w:tc>
          <w:tcPr>
            <w:tcW w:w="4320" w:type="dxa"/>
          </w:tcPr>
          <w:p w14:paraId="1B4D0772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485B">
              <w:rPr>
                <w:rFonts w:ascii="Arial" w:hAnsi="Arial" w:cs="Arial"/>
                <w:color w:val="000000"/>
              </w:rPr>
              <w:t>23</w:t>
            </w:r>
            <w:r>
              <w:rPr>
                <w:rFonts w:ascii="Arial" w:hAnsi="Arial" w:cs="Arial"/>
                <w:color w:val="000000"/>
              </w:rPr>
              <w:t>9</w:t>
            </w:r>
          </w:p>
        </w:tc>
      </w:tr>
      <w:tr w:rsidR="00DE2A40" w:rsidRPr="006B485B" w14:paraId="728B94B1" w14:textId="77777777" w:rsidTr="005E27AD">
        <w:trPr>
          <w:cantSplit/>
        </w:trPr>
        <w:tc>
          <w:tcPr>
            <w:tcW w:w="4765" w:type="dxa"/>
          </w:tcPr>
          <w:p w14:paraId="688C9588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485B">
              <w:rPr>
                <w:rFonts w:ascii="Arial" w:hAnsi="Arial" w:cs="Arial"/>
                <w:color w:val="000000"/>
              </w:rPr>
              <w:t>Multiple Disability</w:t>
            </w:r>
          </w:p>
        </w:tc>
        <w:tc>
          <w:tcPr>
            <w:tcW w:w="4320" w:type="dxa"/>
          </w:tcPr>
          <w:p w14:paraId="74516B3A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9,118</w:t>
            </w:r>
          </w:p>
        </w:tc>
      </w:tr>
      <w:tr w:rsidR="00DE2A40" w:rsidRPr="006B485B" w14:paraId="6C75ECA8" w14:textId="77777777" w:rsidTr="005E27AD">
        <w:trPr>
          <w:cantSplit/>
        </w:trPr>
        <w:tc>
          <w:tcPr>
            <w:tcW w:w="4765" w:type="dxa"/>
          </w:tcPr>
          <w:p w14:paraId="6FD4379E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485B">
              <w:rPr>
                <w:rFonts w:ascii="Arial" w:hAnsi="Arial" w:cs="Arial"/>
                <w:color w:val="000000"/>
              </w:rPr>
              <w:t>Autism</w:t>
            </w:r>
          </w:p>
        </w:tc>
        <w:tc>
          <w:tcPr>
            <w:tcW w:w="4320" w:type="dxa"/>
          </w:tcPr>
          <w:p w14:paraId="3B66A933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485B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33,556</w:t>
            </w:r>
          </w:p>
        </w:tc>
      </w:tr>
      <w:tr w:rsidR="00DE2A40" w:rsidRPr="006B485B" w14:paraId="7592B552" w14:textId="77777777" w:rsidTr="005E27AD">
        <w:trPr>
          <w:cantSplit/>
        </w:trPr>
        <w:tc>
          <w:tcPr>
            <w:tcW w:w="4765" w:type="dxa"/>
          </w:tcPr>
          <w:p w14:paraId="0304CECA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485B">
              <w:rPr>
                <w:rFonts w:ascii="Arial" w:hAnsi="Arial" w:cs="Arial"/>
                <w:color w:val="000000"/>
              </w:rPr>
              <w:t>Traumatic Brain Injury</w:t>
            </w:r>
          </w:p>
        </w:tc>
        <w:tc>
          <w:tcPr>
            <w:tcW w:w="4320" w:type="dxa"/>
          </w:tcPr>
          <w:p w14:paraId="6A7DC245" w14:textId="77777777" w:rsidR="00DE2A40" w:rsidRPr="006B485B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1,088</w:t>
            </w:r>
          </w:p>
        </w:tc>
      </w:tr>
      <w:tr w:rsidR="00DE2A40" w:rsidRPr="006B485B" w14:paraId="7DA85ABF" w14:textId="77777777" w:rsidTr="005E27AD">
        <w:trPr>
          <w:cantSplit/>
        </w:trPr>
        <w:tc>
          <w:tcPr>
            <w:tcW w:w="4765" w:type="dxa"/>
          </w:tcPr>
          <w:p w14:paraId="1842FCFC" w14:textId="77777777" w:rsidR="00DE2A40" w:rsidRPr="00B900D2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B900D2">
              <w:rPr>
                <w:rFonts w:ascii="Arial" w:hAnsi="Arial" w:cs="Arial"/>
                <w:b/>
                <w:bCs/>
                <w:color w:val="000000"/>
              </w:rPr>
              <w:t>Total number of students served:</w:t>
            </w:r>
          </w:p>
        </w:tc>
        <w:tc>
          <w:tcPr>
            <w:tcW w:w="4320" w:type="dxa"/>
          </w:tcPr>
          <w:p w14:paraId="5CEFFC21" w14:textId="77777777" w:rsidR="00DE2A40" w:rsidRPr="00B900D2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B900D2">
              <w:rPr>
                <w:rFonts w:ascii="Arial" w:hAnsi="Arial" w:cs="Arial"/>
                <w:b/>
                <w:bCs/>
                <w:color w:val="000000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</w:rPr>
              <w:t>57,409</w:t>
            </w:r>
          </w:p>
        </w:tc>
      </w:tr>
    </w:tbl>
    <w:p w14:paraId="3EAE4CA5" w14:textId="0476483E" w:rsidR="00DE2A40" w:rsidRPr="00B5148C" w:rsidRDefault="00DE2A40" w:rsidP="00DE2A40">
      <w:pPr>
        <w:pStyle w:val="Heading3"/>
      </w:pPr>
      <w:r>
        <w:t xml:space="preserve">English Language Learner </w:t>
      </w:r>
      <w:r w:rsidR="001F62A7">
        <w:t xml:space="preserve">Student </w:t>
      </w:r>
      <w:r>
        <w:t>Classification</w:t>
      </w:r>
    </w:p>
    <w:tbl>
      <w:tblPr>
        <w:tblStyle w:val="TableGrid7"/>
        <w:tblW w:w="9085" w:type="dxa"/>
        <w:tblLook w:val="04A0" w:firstRow="1" w:lastRow="0" w:firstColumn="1" w:lastColumn="0" w:noHBand="0" w:noVBand="1"/>
        <w:tblDescription w:val="The number of students that were served with Learning Recovery Plan services that are either English language learners or reclassified."/>
      </w:tblPr>
      <w:tblGrid>
        <w:gridCol w:w="4502"/>
        <w:gridCol w:w="4583"/>
      </w:tblGrid>
      <w:tr w:rsidR="00DE2A40" w:rsidRPr="008600E0" w14:paraId="2761880F" w14:textId="77777777" w:rsidTr="00AE10F8">
        <w:trPr>
          <w:cantSplit/>
          <w:tblHeader/>
        </w:trPr>
        <w:tc>
          <w:tcPr>
            <w:tcW w:w="4502" w:type="dxa"/>
            <w:shd w:val="clear" w:color="auto" w:fill="E7E6E6" w:themeFill="background2"/>
          </w:tcPr>
          <w:p w14:paraId="3FBF2823" w14:textId="77777777" w:rsidR="00DE2A40" w:rsidRPr="008600E0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600E0">
              <w:rPr>
                <w:rFonts w:ascii="Arial" w:hAnsi="Arial" w:cs="Arial"/>
                <w:b/>
                <w:bCs/>
                <w:color w:val="000000"/>
              </w:rPr>
              <w:t xml:space="preserve">English </w:t>
            </w:r>
            <w:r>
              <w:rPr>
                <w:rFonts w:ascii="Arial" w:hAnsi="Arial" w:cs="Arial"/>
                <w:b/>
                <w:bCs/>
                <w:color w:val="000000"/>
              </w:rPr>
              <w:t>Language Category</w:t>
            </w:r>
          </w:p>
        </w:tc>
        <w:tc>
          <w:tcPr>
            <w:tcW w:w="4583" w:type="dxa"/>
            <w:shd w:val="clear" w:color="auto" w:fill="E7E6E6" w:themeFill="background2"/>
          </w:tcPr>
          <w:p w14:paraId="2373AA85" w14:textId="77777777" w:rsidR="00DE2A40" w:rsidRPr="008600E0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600E0">
              <w:rPr>
                <w:rFonts w:ascii="Arial" w:hAnsi="Arial" w:cs="Arial"/>
                <w:b/>
                <w:bCs/>
                <w:color w:val="000000"/>
              </w:rPr>
              <w:t>Number of Students</w:t>
            </w:r>
          </w:p>
        </w:tc>
      </w:tr>
      <w:tr w:rsidR="00DE2A40" w:rsidRPr="008600E0" w14:paraId="31A368B5" w14:textId="77777777" w:rsidTr="00AE10F8">
        <w:trPr>
          <w:cantSplit/>
        </w:trPr>
        <w:tc>
          <w:tcPr>
            <w:tcW w:w="4502" w:type="dxa"/>
          </w:tcPr>
          <w:p w14:paraId="63AD75D3" w14:textId="77777777" w:rsidR="00DE2A40" w:rsidRPr="008600E0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600E0">
              <w:rPr>
                <w:rFonts w:ascii="Arial" w:hAnsi="Arial" w:cs="Arial"/>
                <w:color w:val="000000"/>
              </w:rPr>
              <w:t>English Language Learner</w:t>
            </w:r>
          </w:p>
        </w:tc>
        <w:tc>
          <w:tcPr>
            <w:tcW w:w="4583" w:type="dxa"/>
          </w:tcPr>
          <w:p w14:paraId="108DF958" w14:textId="77777777" w:rsidR="00DE2A40" w:rsidRPr="008600E0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600E0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77,803</w:t>
            </w:r>
          </w:p>
        </w:tc>
      </w:tr>
      <w:tr w:rsidR="00DE2A40" w:rsidRPr="008600E0" w14:paraId="751D01D3" w14:textId="77777777" w:rsidTr="00AE10F8">
        <w:tc>
          <w:tcPr>
            <w:tcW w:w="4502" w:type="dxa"/>
          </w:tcPr>
          <w:p w14:paraId="64F4A305" w14:textId="77777777" w:rsidR="00DE2A40" w:rsidRPr="008600E0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600E0">
              <w:rPr>
                <w:rFonts w:ascii="Arial" w:hAnsi="Arial" w:cs="Arial"/>
                <w:color w:val="000000"/>
              </w:rPr>
              <w:t>English Language Learner Reclassified</w:t>
            </w:r>
          </w:p>
        </w:tc>
        <w:tc>
          <w:tcPr>
            <w:tcW w:w="4583" w:type="dxa"/>
          </w:tcPr>
          <w:p w14:paraId="181EEAA9" w14:textId="77777777" w:rsidR="00DE2A40" w:rsidRPr="008600E0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600E0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9,195</w:t>
            </w:r>
          </w:p>
        </w:tc>
      </w:tr>
    </w:tbl>
    <w:p w14:paraId="74DBF0D6" w14:textId="77777777" w:rsidR="00DE2A40" w:rsidRPr="00B5148C" w:rsidRDefault="00DE2A40" w:rsidP="00DE2A40">
      <w:pPr>
        <w:pStyle w:val="Heading3"/>
      </w:pPr>
      <w:r w:rsidRPr="00B5148C">
        <w:lastRenderedPageBreak/>
        <w:t>Socioeconomic Status</w:t>
      </w:r>
    </w:p>
    <w:tbl>
      <w:tblPr>
        <w:tblStyle w:val="TableGrid6"/>
        <w:tblW w:w="9085" w:type="dxa"/>
        <w:tblLook w:val="04A0" w:firstRow="1" w:lastRow="0" w:firstColumn="1" w:lastColumn="0" w:noHBand="0" w:noVBand="1"/>
        <w:tblDescription w:val="The economic status of students' families served with the Learning Recovery Plan funds."/>
      </w:tblPr>
      <w:tblGrid>
        <w:gridCol w:w="4494"/>
        <w:gridCol w:w="4591"/>
      </w:tblGrid>
      <w:tr w:rsidR="00DE2A40" w:rsidRPr="00B900D2" w14:paraId="6FEE10F0" w14:textId="77777777" w:rsidTr="00AE10F8">
        <w:trPr>
          <w:cantSplit/>
          <w:tblHeader/>
        </w:trPr>
        <w:tc>
          <w:tcPr>
            <w:tcW w:w="4494" w:type="dxa"/>
            <w:shd w:val="clear" w:color="auto" w:fill="E7E6E6" w:themeFill="background2"/>
          </w:tcPr>
          <w:p w14:paraId="34B3453E" w14:textId="77777777" w:rsidR="00DE2A40" w:rsidRPr="00B900D2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B900D2">
              <w:rPr>
                <w:rFonts w:ascii="Arial" w:hAnsi="Arial" w:cs="Arial"/>
                <w:b/>
                <w:bCs/>
                <w:color w:val="000000"/>
              </w:rPr>
              <w:t>Family Income</w:t>
            </w:r>
          </w:p>
        </w:tc>
        <w:tc>
          <w:tcPr>
            <w:tcW w:w="4591" w:type="dxa"/>
            <w:shd w:val="clear" w:color="auto" w:fill="E7E6E6" w:themeFill="background2"/>
          </w:tcPr>
          <w:p w14:paraId="5C742CF8" w14:textId="77777777" w:rsidR="00DE2A40" w:rsidRPr="00B900D2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B900D2">
              <w:rPr>
                <w:rFonts w:ascii="Arial" w:hAnsi="Arial" w:cs="Arial"/>
                <w:b/>
                <w:bCs/>
                <w:color w:val="000000"/>
              </w:rPr>
              <w:t>Number of Students</w:t>
            </w:r>
          </w:p>
        </w:tc>
      </w:tr>
      <w:tr w:rsidR="00DE2A40" w:rsidRPr="00B900D2" w14:paraId="0870F12C" w14:textId="77777777" w:rsidTr="00AE10F8">
        <w:trPr>
          <w:cantSplit/>
        </w:trPr>
        <w:tc>
          <w:tcPr>
            <w:tcW w:w="4494" w:type="dxa"/>
          </w:tcPr>
          <w:p w14:paraId="1B0CC824" w14:textId="77777777" w:rsidR="00DE2A40" w:rsidRPr="00B900D2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900D2">
              <w:rPr>
                <w:rFonts w:ascii="Arial" w:hAnsi="Arial" w:cs="Arial"/>
                <w:color w:val="000000"/>
              </w:rPr>
              <w:t>Free and Reduced Lunch</w:t>
            </w:r>
          </w:p>
        </w:tc>
        <w:tc>
          <w:tcPr>
            <w:tcW w:w="4591" w:type="dxa"/>
          </w:tcPr>
          <w:p w14:paraId="5466D7C8" w14:textId="77777777" w:rsidR="00DE2A40" w:rsidRPr="00B900D2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900D2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36,376</w:t>
            </w:r>
          </w:p>
        </w:tc>
      </w:tr>
      <w:tr w:rsidR="00DE2A40" w:rsidRPr="00B900D2" w14:paraId="0F35712B" w14:textId="77777777" w:rsidTr="00AE10F8">
        <w:tc>
          <w:tcPr>
            <w:tcW w:w="4494" w:type="dxa"/>
          </w:tcPr>
          <w:p w14:paraId="6FE0CC78" w14:textId="77777777" w:rsidR="00DE2A40" w:rsidRPr="00B900D2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900D2">
              <w:rPr>
                <w:rFonts w:ascii="Arial" w:hAnsi="Arial" w:cs="Arial"/>
                <w:color w:val="000000"/>
              </w:rPr>
              <w:t>Foster</w:t>
            </w:r>
          </w:p>
        </w:tc>
        <w:tc>
          <w:tcPr>
            <w:tcW w:w="4591" w:type="dxa"/>
          </w:tcPr>
          <w:p w14:paraId="1E110D3C" w14:textId="77777777" w:rsidR="00DE2A40" w:rsidRPr="00B900D2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10,096</w:t>
            </w:r>
          </w:p>
        </w:tc>
      </w:tr>
      <w:tr w:rsidR="00DE2A40" w:rsidRPr="00B900D2" w14:paraId="6C5DD19F" w14:textId="77777777" w:rsidTr="00AE10F8">
        <w:trPr>
          <w:cantSplit/>
        </w:trPr>
        <w:tc>
          <w:tcPr>
            <w:tcW w:w="4494" w:type="dxa"/>
          </w:tcPr>
          <w:p w14:paraId="10434535" w14:textId="77777777" w:rsidR="00DE2A40" w:rsidRPr="00B900D2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900D2">
              <w:rPr>
                <w:rFonts w:ascii="Arial" w:hAnsi="Arial" w:cs="Arial"/>
                <w:color w:val="000000"/>
              </w:rPr>
              <w:t>Homeless</w:t>
            </w:r>
          </w:p>
        </w:tc>
        <w:tc>
          <w:tcPr>
            <w:tcW w:w="4591" w:type="dxa"/>
          </w:tcPr>
          <w:p w14:paraId="7FC2B9C6" w14:textId="77777777" w:rsidR="00DE2A40" w:rsidRPr="00B900D2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900D2">
              <w:rPr>
                <w:rFonts w:ascii="Arial" w:hAnsi="Arial" w:cs="Arial"/>
                <w:color w:val="000000"/>
              </w:rPr>
              <w:t>11</w:t>
            </w:r>
            <w:r>
              <w:rPr>
                <w:rFonts w:ascii="Arial" w:hAnsi="Arial" w:cs="Arial"/>
                <w:color w:val="000000"/>
              </w:rPr>
              <w:t>,434</w:t>
            </w:r>
          </w:p>
        </w:tc>
      </w:tr>
      <w:tr w:rsidR="00DE2A40" w:rsidRPr="00B900D2" w14:paraId="48393729" w14:textId="77777777" w:rsidTr="00AE10F8">
        <w:tc>
          <w:tcPr>
            <w:tcW w:w="4494" w:type="dxa"/>
          </w:tcPr>
          <w:p w14:paraId="663FA1CB" w14:textId="77777777" w:rsidR="00DE2A40" w:rsidRPr="00B900D2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900D2">
              <w:rPr>
                <w:rFonts w:ascii="Arial" w:hAnsi="Arial" w:cs="Arial"/>
                <w:color w:val="000000"/>
              </w:rPr>
              <w:t>Other</w:t>
            </w:r>
          </w:p>
        </w:tc>
        <w:tc>
          <w:tcPr>
            <w:tcW w:w="4591" w:type="dxa"/>
          </w:tcPr>
          <w:p w14:paraId="322ECB47" w14:textId="77777777" w:rsidR="00DE2A40" w:rsidRPr="00B900D2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900D2">
              <w:rPr>
                <w:rFonts w:ascii="Arial" w:hAnsi="Arial" w:cs="Arial"/>
                <w:color w:val="000000"/>
              </w:rPr>
              <w:t>2,693</w:t>
            </w:r>
          </w:p>
        </w:tc>
      </w:tr>
    </w:tbl>
    <w:p w14:paraId="56060DF7" w14:textId="77777777" w:rsidR="00DE2A40" w:rsidRPr="00B5148C" w:rsidRDefault="00DE2A40" w:rsidP="00DE2A40">
      <w:pPr>
        <w:pStyle w:val="Heading3"/>
      </w:pPr>
      <w:r w:rsidRPr="00B5148C">
        <w:t>Family Primary Language</w:t>
      </w:r>
    </w:p>
    <w:tbl>
      <w:tblPr>
        <w:tblStyle w:val="TableGrid8"/>
        <w:tblW w:w="9085" w:type="dxa"/>
        <w:tblLook w:val="04A0" w:firstRow="1" w:lastRow="0" w:firstColumn="1" w:lastColumn="0" w:noHBand="0" w:noVBand="1"/>
        <w:tblDescription w:val="The different primary languages spoken by the number of families of students that were served with Learning Recovery Plan funds."/>
      </w:tblPr>
      <w:tblGrid>
        <w:gridCol w:w="4503"/>
        <w:gridCol w:w="4582"/>
      </w:tblGrid>
      <w:tr w:rsidR="00DE2A40" w:rsidRPr="00002438" w14:paraId="4FD69305" w14:textId="77777777" w:rsidTr="00AE10F8">
        <w:trPr>
          <w:cantSplit/>
          <w:tblHeader/>
        </w:trPr>
        <w:tc>
          <w:tcPr>
            <w:tcW w:w="4503" w:type="dxa"/>
            <w:shd w:val="clear" w:color="auto" w:fill="E7E6E6" w:themeFill="background2"/>
          </w:tcPr>
          <w:p w14:paraId="4152900D" w14:textId="77777777" w:rsidR="00DE2A40" w:rsidRPr="00002438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02438">
              <w:rPr>
                <w:rFonts w:ascii="Arial" w:hAnsi="Arial" w:cs="Arial"/>
                <w:b/>
                <w:bCs/>
                <w:color w:val="000000"/>
              </w:rPr>
              <w:t>Primary Language</w:t>
            </w:r>
          </w:p>
        </w:tc>
        <w:tc>
          <w:tcPr>
            <w:tcW w:w="4582" w:type="dxa"/>
            <w:shd w:val="clear" w:color="auto" w:fill="E7E6E6" w:themeFill="background2"/>
          </w:tcPr>
          <w:p w14:paraId="176D1BF7" w14:textId="77777777" w:rsidR="00DE2A40" w:rsidRPr="00002438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02438">
              <w:rPr>
                <w:rFonts w:ascii="Arial" w:hAnsi="Arial" w:cs="Arial"/>
                <w:b/>
                <w:bCs/>
                <w:color w:val="000000"/>
              </w:rPr>
              <w:t xml:space="preserve">Number of </w:t>
            </w:r>
            <w:r>
              <w:rPr>
                <w:rFonts w:ascii="Arial" w:hAnsi="Arial" w:cs="Arial"/>
                <w:b/>
                <w:bCs/>
                <w:color w:val="000000"/>
              </w:rPr>
              <w:t>F</w:t>
            </w:r>
            <w:r w:rsidRPr="00002438">
              <w:rPr>
                <w:rFonts w:ascii="Arial" w:hAnsi="Arial" w:cs="Arial"/>
                <w:b/>
                <w:bCs/>
                <w:color w:val="000000"/>
              </w:rPr>
              <w:t>amilies</w:t>
            </w:r>
          </w:p>
        </w:tc>
      </w:tr>
      <w:tr w:rsidR="00DE2A40" w:rsidRPr="00002438" w14:paraId="4BDFD54F" w14:textId="77777777" w:rsidTr="00AE10F8">
        <w:trPr>
          <w:cantSplit/>
        </w:trPr>
        <w:tc>
          <w:tcPr>
            <w:tcW w:w="4503" w:type="dxa"/>
          </w:tcPr>
          <w:p w14:paraId="75D2FACF" w14:textId="77777777" w:rsidR="00DE2A40" w:rsidRPr="00002438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02438">
              <w:rPr>
                <w:rFonts w:ascii="Arial" w:hAnsi="Arial" w:cs="Arial"/>
                <w:color w:val="000000"/>
              </w:rPr>
              <w:t>English</w:t>
            </w:r>
          </w:p>
        </w:tc>
        <w:tc>
          <w:tcPr>
            <w:tcW w:w="4582" w:type="dxa"/>
          </w:tcPr>
          <w:p w14:paraId="39ECC8CB" w14:textId="77777777" w:rsidR="00DE2A40" w:rsidRPr="00002438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369,370</w:t>
            </w:r>
          </w:p>
        </w:tc>
      </w:tr>
      <w:tr w:rsidR="00DE2A40" w:rsidRPr="00002438" w14:paraId="71368DD5" w14:textId="77777777" w:rsidTr="00AE10F8">
        <w:trPr>
          <w:cantSplit/>
        </w:trPr>
        <w:tc>
          <w:tcPr>
            <w:tcW w:w="4503" w:type="dxa"/>
          </w:tcPr>
          <w:p w14:paraId="65070F10" w14:textId="77777777" w:rsidR="00DE2A40" w:rsidRPr="00002438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02438">
              <w:rPr>
                <w:rFonts w:ascii="Arial" w:hAnsi="Arial" w:cs="Arial"/>
                <w:color w:val="000000"/>
              </w:rPr>
              <w:t>Spanish</w:t>
            </w:r>
          </w:p>
        </w:tc>
        <w:tc>
          <w:tcPr>
            <w:tcW w:w="4582" w:type="dxa"/>
          </w:tcPr>
          <w:p w14:paraId="5AD9D112" w14:textId="77777777" w:rsidR="00DE2A40" w:rsidRPr="00002438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02438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66,950</w:t>
            </w:r>
          </w:p>
        </w:tc>
      </w:tr>
      <w:tr w:rsidR="00DE2A40" w:rsidRPr="00002438" w14:paraId="3668C9B9" w14:textId="77777777" w:rsidTr="00AE10F8">
        <w:trPr>
          <w:cantSplit/>
        </w:trPr>
        <w:tc>
          <w:tcPr>
            <w:tcW w:w="4503" w:type="dxa"/>
          </w:tcPr>
          <w:p w14:paraId="54EC0C9A" w14:textId="77777777" w:rsidR="00DE2A40" w:rsidRPr="00002438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02438">
              <w:rPr>
                <w:rFonts w:ascii="Arial" w:hAnsi="Arial" w:cs="Arial"/>
                <w:color w:val="000000"/>
              </w:rPr>
              <w:t>Chinese</w:t>
            </w:r>
          </w:p>
        </w:tc>
        <w:tc>
          <w:tcPr>
            <w:tcW w:w="4582" w:type="dxa"/>
          </w:tcPr>
          <w:p w14:paraId="7EAC6342" w14:textId="77777777" w:rsidR="00DE2A40" w:rsidRPr="00002438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02438">
              <w:rPr>
                <w:rFonts w:ascii="Arial" w:hAnsi="Arial" w:cs="Arial"/>
                <w:color w:val="000000"/>
              </w:rPr>
              <w:t>3,3</w:t>
            </w:r>
            <w:r>
              <w:rPr>
                <w:rFonts w:ascii="Arial" w:hAnsi="Arial" w:cs="Arial"/>
                <w:color w:val="000000"/>
              </w:rPr>
              <w:t>30</w:t>
            </w:r>
          </w:p>
        </w:tc>
      </w:tr>
      <w:tr w:rsidR="00DE2A40" w:rsidRPr="00002438" w14:paraId="7C77482F" w14:textId="77777777" w:rsidTr="00AE10F8">
        <w:tc>
          <w:tcPr>
            <w:tcW w:w="4503" w:type="dxa"/>
          </w:tcPr>
          <w:p w14:paraId="6D0F83AA" w14:textId="77777777" w:rsidR="00DE2A40" w:rsidRPr="00002438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02438">
              <w:rPr>
                <w:rFonts w:ascii="Arial" w:hAnsi="Arial" w:cs="Arial"/>
                <w:color w:val="000000"/>
              </w:rPr>
              <w:t>Tagalog</w:t>
            </w:r>
          </w:p>
        </w:tc>
        <w:tc>
          <w:tcPr>
            <w:tcW w:w="4582" w:type="dxa"/>
          </w:tcPr>
          <w:p w14:paraId="073AF936" w14:textId="77777777" w:rsidR="00DE2A40" w:rsidRPr="00002438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02438">
              <w:rPr>
                <w:rFonts w:ascii="Arial" w:hAnsi="Arial" w:cs="Arial"/>
                <w:color w:val="000000"/>
              </w:rPr>
              <w:t>1,5</w:t>
            </w:r>
            <w:r>
              <w:rPr>
                <w:rFonts w:ascii="Arial" w:hAnsi="Arial" w:cs="Arial"/>
                <w:color w:val="000000"/>
              </w:rPr>
              <w:t>62</w:t>
            </w:r>
          </w:p>
        </w:tc>
      </w:tr>
      <w:tr w:rsidR="00DE2A40" w:rsidRPr="00002438" w14:paraId="4693D1B5" w14:textId="77777777" w:rsidTr="00AE10F8">
        <w:tc>
          <w:tcPr>
            <w:tcW w:w="4503" w:type="dxa"/>
          </w:tcPr>
          <w:p w14:paraId="07191C6D" w14:textId="77777777" w:rsidR="00DE2A40" w:rsidRPr="00002438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02438">
              <w:rPr>
                <w:rFonts w:ascii="Arial" w:hAnsi="Arial" w:cs="Arial"/>
                <w:color w:val="000000"/>
              </w:rPr>
              <w:t>Vietnamese</w:t>
            </w:r>
          </w:p>
        </w:tc>
        <w:tc>
          <w:tcPr>
            <w:tcW w:w="4582" w:type="dxa"/>
          </w:tcPr>
          <w:p w14:paraId="6964440F" w14:textId="77777777" w:rsidR="00DE2A40" w:rsidRPr="00002438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02438">
              <w:rPr>
                <w:rFonts w:ascii="Arial" w:hAnsi="Arial" w:cs="Arial"/>
                <w:color w:val="000000"/>
              </w:rPr>
              <w:t>5,</w:t>
            </w:r>
            <w:r>
              <w:rPr>
                <w:rFonts w:ascii="Arial" w:hAnsi="Arial" w:cs="Arial"/>
                <w:color w:val="000000"/>
              </w:rPr>
              <w:t>514</w:t>
            </w:r>
          </w:p>
        </w:tc>
      </w:tr>
      <w:tr w:rsidR="00DE2A40" w:rsidRPr="00002438" w14:paraId="1E068A03" w14:textId="77777777" w:rsidTr="00AE10F8">
        <w:tc>
          <w:tcPr>
            <w:tcW w:w="4503" w:type="dxa"/>
          </w:tcPr>
          <w:p w14:paraId="2FE0F9ED" w14:textId="77777777" w:rsidR="00DE2A40" w:rsidRPr="00002438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02438">
              <w:rPr>
                <w:rFonts w:ascii="Arial" w:hAnsi="Arial" w:cs="Arial"/>
                <w:color w:val="000000"/>
              </w:rPr>
              <w:t>Other</w:t>
            </w:r>
          </w:p>
        </w:tc>
        <w:tc>
          <w:tcPr>
            <w:tcW w:w="4582" w:type="dxa"/>
          </w:tcPr>
          <w:p w14:paraId="64E0C586" w14:textId="77777777" w:rsidR="00DE2A40" w:rsidRPr="00002438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313</w:t>
            </w:r>
          </w:p>
        </w:tc>
      </w:tr>
    </w:tbl>
    <w:p w14:paraId="7BE950E1" w14:textId="77777777" w:rsidR="00DE2A40" w:rsidRPr="00B5148C" w:rsidRDefault="00DE2A40" w:rsidP="00DE2A40">
      <w:pPr>
        <w:pStyle w:val="Heading3"/>
      </w:pPr>
      <w:r w:rsidRPr="00B5148C">
        <w:t>Impacted Areas for Student Learning</w:t>
      </w:r>
    </w:p>
    <w:tbl>
      <w:tblPr>
        <w:tblStyle w:val="TableGrid5"/>
        <w:tblW w:w="9085" w:type="dxa"/>
        <w:tblLook w:val="04A0" w:firstRow="1" w:lastRow="0" w:firstColumn="1" w:lastColumn="0" w:noHBand="0" w:noVBand="1"/>
        <w:tblDescription w:val="The impacted areas of learning that special education local plan areas determined they would focus on providing students with disabilties."/>
      </w:tblPr>
      <w:tblGrid>
        <w:gridCol w:w="6385"/>
        <w:gridCol w:w="2700"/>
      </w:tblGrid>
      <w:tr w:rsidR="00DE2A40" w:rsidRPr="00AD3373" w14:paraId="0C0994D0" w14:textId="77777777" w:rsidTr="00407148">
        <w:trPr>
          <w:cantSplit/>
          <w:tblHeader/>
        </w:trPr>
        <w:tc>
          <w:tcPr>
            <w:tcW w:w="6385" w:type="dxa"/>
            <w:shd w:val="clear" w:color="auto" w:fill="E7E6E6" w:themeFill="background2"/>
          </w:tcPr>
          <w:p w14:paraId="40D0C5FE" w14:textId="77777777" w:rsidR="00DE2A40" w:rsidRPr="00AD3373" w:rsidRDefault="00DE2A40" w:rsidP="00AE10F8">
            <w:pPr>
              <w:rPr>
                <w:rFonts w:ascii="Arial" w:hAnsi="Arial" w:cs="Arial"/>
                <w:b/>
                <w:bCs/>
              </w:rPr>
            </w:pPr>
            <w:r w:rsidRPr="00AD3373">
              <w:rPr>
                <w:rFonts w:ascii="Arial" w:hAnsi="Arial" w:cs="Arial"/>
                <w:b/>
                <w:bCs/>
              </w:rPr>
              <w:t xml:space="preserve">Impacted Area </w:t>
            </w:r>
          </w:p>
        </w:tc>
        <w:tc>
          <w:tcPr>
            <w:tcW w:w="2700" w:type="dxa"/>
            <w:shd w:val="clear" w:color="auto" w:fill="E7E6E6" w:themeFill="background2"/>
          </w:tcPr>
          <w:p w14:paraId="24487DA9" w14:textId="6EC74936" w:rsidR="00DE2A40" w:rsidRPr="00AD3373" w:rsidRDefault="00DE2A40" w:rsidP="00AE10F8">
            <w:pPr>
              <w:rPr>
                <w:rFonts w:ascii="Arial" w:hAnsi="Arial" w:cs="Arial"/>
                <w:b/>
                <w:bCs/>
              </w:rPr>
            </w:pPr>
            <w:r w:rsidRPr="00AD3373">
              <w:rPr>
                <w:rFonts w:ascii="Arial" w:hAnsi="Arial" w:cs="Arial"/>
                <w:b/>
                <w:bCs/>
              </w:rPr>
              <w:t xml:space="preserve">Number of SELPAs </w:t>
            </w:r>
            <w:r w:rsidR="00407148">
              <w:rPr>
                <w:rFonts w:ascii="Arial" w:hAnsi="Arial" w:cs="Arial"/>
                <w:b/>
                <w:bCs/>
              </w:rPr>
              <w:t>P</w:t>
            </w:r>
            <w:r w:rsidRPr="00AD3373">
              <w:rPr>
                <w:rFonts w:ascii="Arial" w:hAnsi="Arial" w:cs="Arial"/>
                <w:b/>
                <w:bCs/>
              </w:rPr>
              <w:t xml:space="preserve">roviding </w:t>
            </w:r>
            <w:r w:rsidR="00407148">
              <w:rPr>
                <w:rFonts w:ascii="Arial" w:hAnsi="Arial" w:cs="Arial"/>
                <w:b/>
                <w:bCs/>
              </w:rPr>
              <w:t>S</w:t>
            </w:r>
            <w:r w:rsidRPr="00AD3373">
              <w:rPr>
                <w:rFonts w:ascii="Arial" w:hAnsi="Arial" w:cs="Arial"/>
                <w:b/>
                <w:bCs/>
              </w:rPr>
              <w:t xml:space="preserve">ervices under </w:t>
            </w:r>
            <w:r w:rsidR="00407148">
              <w:rPr>
                <w:rFonts w:ascii="Arial" w:hAnsi="Arial" w:cs="Arial"/>
                <w:b/>
                <w:bCs/>
              </w:rPr>
              <w:t>T</w:t>
            </w:r>
            <w:r w:rsidRPr="00AD3373">
              <w:rPr>
                <w:rFonts w:ascii="Arial" w:hAnsi="Arial" w:cs="Arial"/>
                <w:b/>
                <w:bCs/>
              </w:rPr>
              <w:t xml:space="preserve">his </w:t>
            </w:r>
            <w:r w:rsidR="00407148">
              <w:rPr>
                <w:rFonts w:ascii="Arial" w:hAnsi="Arial" w:cs="Arial"/>
                <w:b/>
                <w:bCs/>
              </w:rPr>
              <w:t>I</w:t>
            </w:r>
            <w:r w:rsidRPr="00AD3373">
              <w:rPr>
                <w:rFonts w:ascii="Arial" w:hAnsi="Arial" w:cs="Arial"/>
                <w:b/>
                <w:bCs/>
              </w:rPr>
              <w:t xml:space="preserve">mpacted </w:t>
            </w:r>
            <w:r w:rsidR="00407148">
              <w:rPr>
                <w:rFonts w:ascii="Arial" w:hAnsi="Arial" w:cs="Arial"/>
                <w:b/>
                <w:bCs/>
              </w:rPr>
              <w:t>A</w:t>
            </w:r>
            <w:r w:rsidRPr="00AD3373">
              <w:rPr>
                <w:rFonts w:ascii="Arial" w:hAnsi="Arial" w:cs="Arial"/>
                <w:b/>
                <w:bCs/>
              </w:rPr>
              <w:t>rea</w:t>
            </w:r>
          </w:p>
        </w:tc>
      </w:tr>
      <w:tr w:rsidR="00DE2A40" w:rsidRPr="00AD3373" w14:paraId="748616EB" w14:textId="77777777" w:rsidTr="00407148">
        <w:trPr>
          <w:cantSplit/>
        </w:trPr>
        <w:tc>
          <w:tcPr>
            <w:tcW w:w="6385" w:type="dxa"/>
          </w:tcPr>
          <w:p w14:paraId="669EAFED" w14:textId="77777777" w:rsidR="00DE2A40" w:rsidRPr="00AD3373" w:rsidRDefault="00DE2A40" w:rsidP="00AE10F8">
            <w:pPr>
              <w:rPr>
                <w:rFonts w:ascii="Arial" w:hAnsi="Arial" w:cs="Arial"/>
              </w:rPr>
            </w:pPr>
            <w:r w:rsidRPr="00AD3373">
              <w:rPr>
                <w:rFonts w:ascii="Arial" w:hAnsi="Arial" w:cs="Arial"/>
              </w:rPr>
              <w:t>Additional Support and Services Needed to Address Identified Learning Needs</w:t>
            </w:r>
          </w:p>
        </w:tc>
        <w:tc>
          <w:tcPr>
            <w:tcW w:w="2700" w:type="dxa"/>
          </w:tcPr>
          <w:p w14:paraId="70CFF20F" w14:textId="77777777" w:rsidR="00DE2A40" w:rsidRPr="00AD3373" w:rsidRDefault="00DE2A40" w:rsidP="00AE10F8">
            <w:pPr>
              <w:rPr>
                <w:rFonts w:ascii="Arial" w:hAnsi="Arial" w:cs="Arial"/>
              </w:rPr>
            </w:pPr>
            <w:r w:rsidRPr="00AD3373">
              <w:rPr>
                <w:rFonts w:ascii="Arial" w:hAnsi="Arial" w:cs="Arial"/>
              </w:rPr>
              <w:t>126</w:t>
            </w:r>
          </w:p>
        </w:tc>
      </w:tr>
      <w:tr w:rsidR="00DE2A40" w:rsidRPr="00AD3373" w14:paraId="4BBE7AEE" w14:textId="77777777" w:rsidTr="00407148">
        <w:tc>
          <w:tcPr>
            <w:tcW w:w="6385" w:type="dxa"/>
          </w:tcPr>
          <w:p w14:paraId="572A1DBF" w14:textId="77777777" w:rsidR="00DE2A40" w:rsidRPr="005E16E4" w:rsidRDefault="00DE2A40" w:rsidP="00AE10F8">
            <w:pPr>
              <w:rPr>
                <w:rFonts w:ascii="Arial" w:hAnsi="Arial" w:cs="Arial"/>
              </w:rPr>
            </w:pPr>
            <w:r w:rsidRPr="00454134">
              <w:rPr>
                <w:rFonts w:ascii="Arial" w:hAnsi="Arial" w:cs="Arial"/>
              </w:rPr>
              <w:t>Positive</w:t>
            </w:r>
            <w:r w:rsidRPr="005E16E4">
              <w:rPr>
                <w:rFonts w:ascii="Arial" w:hAnsi="Arial" w:cs="Arial"/>
              </w:rPr>
              <w:t xml:space="preserve"> Behavior Supports</w:t>
            </w:r>
          </w:p>
        </w:tc>
        <w:tc>
          <w:tcPr>
            <w:tcW w:w="2700" w:type="dxa"/>
          </w:tcPr>
          <w:p w14:paraId="05C40347" w14:textId="77777777" w:rsidR="00DE2A40" w:rsidRPr="00AD3373" w:rsidRDefault="00DE2A40" w:rsidP="00AE10F8">
            <w:pPr>
              <w:rPr>
                <w:rFonts w:ascii="Arial" w:hAnsi="Arial" w:cs="Arial"/>
              </w:rPr>
            </w:pPr>
            <w:r w:rsidRPr="00AD3373">
              <w:rPr>
                <w:rFonts w:ascii="Arial" w:hAnsi="Arial" w:cs="Arial"/>
              </w:rPr>
              <w:t>119</w:t>
            </w:r>
          </w:p>
        </w:tc>
      </w:tr>
      <w:tr w:rsidR="00DE2A40" w:rsidRPr="00AD3373" w14:paraId="634B3D37" w14:textId="77777777" w:rsidTr="00407148">
        <w:trPr>
          <w:cantSplit/>
        </w:trPr>
        <w:tc>
          <w:tcPr>
            <w:tcW w:w="6385" w:type="dxa"/>
          </w:tcPr>
          <w:p w14:paraId="657EE8E1" w14:textId="77777777" w:rsidR="00DE2A40" w:rsidRPr="00AD3373" w:rsidRDefault="00DE2A40" w:rsidP="00AE10F8">
            <w:pPr>
              <w:rPr>
                <w:rFonts w:ascii="Arial" w:hAnsi="Arial" w:cs="Arial"/>
              </w:rPr>
            </w:pPr>
            <w:r w:rsidRPr="00AD3373">
              <w:rPr>
                <w:rFonts w:ascii="Arial" w:hAnsi="Arial" w:cs="Arial"/>
              </w:rPr>
              <w:t>Assessing Learning and Academic Needs of Students</w:t>
            </w:r>
          </w:p>
        </w:tc>
        <w:tc>
          <w:tcPr>
            <w:tcW w:w="2700" w:type="dxa"/>
          </w:tcPr>
          <w:p w14:paraId="50B8F992" w14:textId="77777777" w:rsidR="00DE2A40" w:rsidRPr="00AD3373" w:rsidRDefault="00DE2A40" w:rsidP="00AE10F8">
            <w:pPr>
              <w:rPr>
                <w:rFonts w:ascii="Arial" w:hAnsi="Arial" w:cs="Arial"/>
              </w:rPr>
            </w:pPr>
            <w:r w:rsidRPr="00AD3373">
              <w:rPr>
                <w:rFonts w:ascii="Arial" w:hAnsi="Arial" w:cs="Arial"/>
              </w:rPr>
              <w:t>131</w:t>
            </w:r>
          </w:p>
        </w:tc>
      </w:tr>
      <w:tr w:rsidR="00DE2A40" w:rsidRPr="00AD3373" w14:paraId="518FB716" w14:textId="77777777" w:rsidTr="00407148">
        <w:tc>
          <w:tcPr>
            <w:tcW w:w="6385" w:type="dxa"/>
          </w:tcPr>
          <w:p w14:paraId="58784564" w14:textId="36BE07B7" w:rsidR="00DE2A40" w:rsidRPr="00AD3373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AD3373">
              <w:rPr>
                <w:rFonts w:ascii="Arial" w:hAnsi="Arial" w:cs="Arial"/>
                <w:color w:val="000000"/>
              </w:rPr>
              <w:t>Social</w:t>
            </w:r>
            <w:r w:rsidR="00407148">
              <w:rPr>
                <w:rFonts w:ascii="Arial" w:hAnsi="Arial" w:cs="Arial"/>
                <w:color w:val="000000"/>
              </w:rPr>
              <w:t>–</w:t>
            </w:r>
            <w:r w:rsidRPr="00AD3373">
              <w:rPr>
                <w:rFonts w:ascii="Arial" w:hAnsi="Arial" w:cs="Arial"/>
                <w:color w:val="000000"/>
              </w:rPr>
              <w:t>Emotional Needs</w:t>
            </w:r>
          </w:p>
        </w:tc>
        <w:tc>
          <w:tcPr>
            <w:tcW w:w="2700" w:type="dxa"/>
          </w:tcPr>
          <w:p w14:paraId="190AE213" w14:textId="77777777" w:rsidR="00DE2A40" w:rsidRPr="00AD3373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D3373">
              <w:rPr>
                <w:rFonts w:ascii="Arial" w:hAnsi="Arial" w:cs="Arial"/>
              </w:rPr>
              <w:t>128</w:t>
            </w:r>
          </w:p>
        </w:tc>
      </w:tr>
      <w:tr w:rsidR="00DE2A40" w:rsidRPr="00AD3373" w14:paraId="356420B6" w14:textId="77777777" w:rsidTr="00407148">
        <w:trPr>
          <w:cantSplit/>
        </w:trPr>
        <w:tc>
          <w:tcPr>
            <w:tcW w:w="6385" w:type="dxa"/>
          </w:tcPr>
          <w:p w14:paraId="116FAC13" w14:textId="45D3B0FD" w:rsidR="00DE2A40" w:rsidRPr="00407148" w:rsidRDefault="00DE2A40" w:rsidP="00AE10F8">
            <w:pPr>
              <w:rPr>
                <w:rFonts w:ascii="Arial" w:hAnsi="Arial" w:cs="Arial"/>
                <w:highlight w:val="yellow"/>
              </w:rPr>
            </w:pPr>
            <w:r w:rsidRPr="00E1740C">
              <w:rPr>
                <w:rFonts w:ascii="Arial" w:hAnsi="Arial" w:cs="Arial"/>
              </w:rPr>
              <w:t>High Quality Instruction</w:t>
            </w:r>
          </w:p>
        </w:tc>
        <w:tc>
          <w:tcPr>
            <w:tcW w:w="2700" w:type="dxa"/>
          </w:tcPr>
          <w:p w14:paraId="042909A8" w14:textId="77777777" w:rsidR="00DE2A40" w:rsidRPr="00AD3373" w:rsidRDefault="00DE2A40" w:rsidP="00AE10F8">
            <w:pPr>
              <w:rPr>
                <w:rFonts w:ascii="Arial" w:hAnsi="Arial" w:cs="Arial"/>
              </w:rPr>
            </w:pPr>
            <w:r w:rsidRPr="00AD3373">
              <w:rPr>
                <w:rFonts w:ascii="Arial" w:hAnsi="Arial" w:cs="Arial"/>
              </w:rPr>
              <w:t>122</w:t>
            </w:r>
          </w:p>
        </w:tc>
      </w:tr>
      <w:tr w:rsidR="00DE2A40" w:rsidRPr="00AD3373" w14:paraId="4D817A29" w14:textId="77777777" w:rsidTr="00407148">
        <w:tc>
          <w:tcPr>
            <w:tcW w:w="6385" w:type="dxa"/>
          </w:tcPr>
          <w:p w14:paraId="5D47C62C" w14:textId="77777777" w:rsidR="00DE2A40" w:rsidRPr="00AD3373" w:rsidRDefault="00DE2A40" w:rsidP="00AE10F8">
            <w:pPr>
              <w:rPr>
                <w:rFonts w:ascii="Arial" w:hAnsi="Arial" w:cs="Arial"/>
              </w:rPr>
            </w:pPr>
            <w:r w:rsidRPr="00AD3373">
              <w:rPr>
                <w:rFonts w:ascii="Arial" w:hAnsi="Arial" w:cs="Arial"/>
              </w:rPr>
              <w:t>Supporting Students</w:t>
            </w:r>
            <w:r>
              <w:rPr>
                <w:rFonts w:ascii="Arial" w:hAnsi="Arial" w:cs="Arial"/>
              </w:rPr>
              <w:t>’</w:t>
            </w:r>
            <w:r w:rsidRPr="00AD3373">
              <w:rPr>
                <w:rFonts w:ascii="Arial" w:hAnsi="Arial" w:cs="Arial"/>
              </w:rPr>
              <w:t xml:space="preserve"> Return to In-Person Instruction</w:t>
            </w:r>
          </w:p>
        </w:tc>
        <w:tc>
          <w:tcPr>
            <w:tcW w:w="2700" w:type="dxa"/>
          </w:tcPr>
          <w:p w14:paraId="258A80F2" w14:textId="77777777" w:rsidR="00DE2A40" w:rsidRPr="00AD3373" w:rsidRDefault="00DE2A40" w:rsidP="00AE10F8">
            <w:pPr>
              <w:rPr>
                <w:rFonts w:ascii="Arial" w:hAnsi="Arial" w:cs="Arial"/>
              </w:rPr>
            </w:pPr>
            <w:r w:rsidRPr="00AD3373">
              <w:rPr>
                <w:rFonts w:ascii="Arial" w:hAnsi="Arial" w:cs="Arial"/>
              </w:rPr>
              <w:t>120</w:t>
            </w:r>
          </w:p>
        </w:tc>
      </w:tr>
      <w:tr w:rsidR="00DE2A40" w:rsidRPr="00AD3373" w14:paraId="106E4835" w14:textId="77777777" w:rsidTr="00407148">
        <w:tc>
          <w:tcPr>
            <w:tcW w:w="6385" w:type="dxa"/>
          </w:tcPr>
          <w:p w14:paraId="7B386436" w14:textId="77777777" w:rsidR="00DE2A40" w:rsidRPr="00AD3373" w:rsidRDefault="00DE2A40" w:rsidP="00AE10F8">
            <w:pPr>
              <w:rPr>
                <w:rFonts w:ascii="Arial" w:hAnsi="Arial" w:cs="Arial"/>
              </w:rPr>
            </w:pPr>
            <w:r w:rsidRPr="00AD3373">
              <w:rPr>
                <w:rFonts w:ascii="Arial" w:hAnsi="Arial" w:cs="Arial"/>
              </w:rPr>
              <w:t>Child Find</w:t>
            </w:r>
          </w:p>
        </w:tc>
        <w:tc>
          <w:tcPr>
            <w:tcW w:w="2700" w:type="dxa"/>
          </w:tcPr>
          <w:p w14:paraId="3D696C58" w14:textId="77777777" w:rsidR="00DE2A40" w:rsidRPr="00AD3373" w:rsidRDefault="00DE2A40" w:rsidP="00AE10F8">
            <w:pPr>
              <w:rPr>
                <w:rFonts w:ascii="Arial" w:hAnsi="Arial" w:cs="Arial"/>
              </w:rPr>
            </w:pPr>
            <w:r w:rsidRPr="00AD3373">
              <w:rPr>
                <w:rFonts w:ascii="Arial" w:hAnsi="Arial" w:cs="Arial"/>
              </w:rPr>
              <w:t>100</w:t>
            </w:r>
          </w:p>
        </w:tc>
      </w:tr>
      <w:tr w:rsidR="00DE2A40" w:rsidRPr="00AD3373" w14:paraId="76055734" w14:textId="77777777" w:rsidTr="00407148">
        <w:tc>
          <w:tcPr>
            <w:tcW w:w="6385" w:type="dxa"/>
          </w:tcPr>
          <w:p w14:paraId="71D4E3BB" w14:textId="75F85F6B" w:rsidR="00DE2A40" w:rsidRPr="00AD3373" w:rsidRDefault="00DE2A40" w:rsidP="00AE10F8">
            <w:pPr>
              <w:rPr>
                <w:rFonts w:ascii="Arial" w:hAnsi="Arial" w:cs="Arial"/>
              </w:rPr>
            </w:pPr>
            <w:r w:rsidRPr="00AD3373">
              <w:rPr>
                <w:rFonts w:ascii="Arial" w:hAnsi="Arial" w:cs="Arial"/>
              </w:rPr>
              <w:t xml:space="preserve">Assessing Students </w:t>
            </w:r>
            <w:r>
              <w:rPr>
                <w:rFonts w:ascii="Arial" w:hAnsi="Arial" w:cs="Arial"/>
              </w:rPr>
              <w:t>W</w:t>
            </w:r>
            <w:r w:rsidRPr="00AD3373">
              <w:rPr>
                <w:rFonts w:ascii="Arial" w:hAnsi="Arial" w:cs="Arial"/>
              </w:rPr>
              <w:t xml:space="preserve">ho </w:t>
            </w:r>
            <w:r w:rsidR="00407148">
              <w:rPr>
                <w:rFonts w:ascii="Arial" w:hAnsi="Arial" w:cs="Arial"/>
              </w:rPr>
              <w:t>A</w:t>
            </w:r>
            <w:r w:rsidRPr="00AD3373">
              <w:rPr>
                <w:rFonts w:ascii="Arial" w:hAnsi="Arial" w:cs="Arial"/>
              </w:rPr>
              <w:t xml:space="preserve">re Waiting </w:t>
            </w:r>
            <w:r>
              <w:rPr>
                <w:rFonts w:ascii="Arial" w:hAnsi="Arial" w:cs="Arial"/>
              </w:rPr>
              <w:t>for</w:t>
            </w:r>
            <w:r w:rsidRPr="00AD3373">
              <w:rPr>
                <w:rFonts w:ascii="Arial" w:hAnsi="Arial" w:cs="Arial"/>
              </w:rPr>
              <w:t xml:space="preserve"> Initial IEPs</w:t>
            </w:r>
          </w:p>
        </w:tc>
        <w:tc>
          <w:tcPr>
            <w:tcW w:w="2700" w:type="dxa"/>
          </w:tcPr>
          <w:p w14:paraId="0F316BE8" w14:textId="77777777" w:rsidR="00DE2A40" w:rsidRPr="00AD3373" w:rsidRDefault="00DE2A40" w:rsidP="00AE10F8">
            <w:pPr>
              <w:rPr>
                <w:rFonts w:ascii="Arial" w:hAnsi="Arial" w:cs="Arial"/>
              </w:rPr>
            </w:pPr>
            <w:r w:rsidRPr="00AD3373">
              <w:rPr>
                <w:rFonts w:ascii="Arial" w:hAnsi="Arial" w:cs="Arial"/>
              </w:rPr>
              <w:t>112</w:t>
            </w:r>
          </w:p>
        </w:tc>
      </w:tr>
      <w:tr w:rsidR="00DE2A40" w:rsidRPr="00AD3373" w14:paraId="7DBF5E9A" w14:textId="77777777" w:rsidTr="00407148">
        <w:tc>
          <w:tcPr>
            <w:tcW w:w="6385" w:type="dxa"/>
          </w:tcPr>
          <w:p w14:paraId="45EF615F" w14:textId="77777777" w:rsidR="00DE2A40" w:rsidRPr="00AD3373" w:rsidRDefault="00DE2A40" w:rsidP="00AE10F8">
            <w:pPr>
              <w:rPr>
                <w:rFonts w:ascii="Arial" w:hAnsi="Arial" w:cs="Arial"/>
              </w:rPr>
            </w:pPr>
            <w:r w:rsidRPr="00AD3373">
              <w:rPr>
                <w:rFonts w:ascii="Arial" w:hAnsi="Arial" w:cs="Arial"/>
              </w:rPr>
              <w:t>Complete Overdue IEPs</w:t>
            </w:r>
          </w:p>
        </w:tc>
        <w:tc>
          <w:tcPr>
            <w:tcW w:w="2700" w:type="dxa"/>
          </w:tcPr>
          <w:p w14:paraId="0B77608B" w14:textId="77777777" w:rsidR="00DE2A40" w:rsidRPr="00AD3373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D3373">
              <w:rPr>
                <w:rFonts w:ascii="Arial" w:hAnsi="Arial" w:cs="Arial"/>
                <w:color w:val="000000"/>
              </w:rPr>
              <w:t>107</w:t>
            </w:r>
          </w:p>
        </w:tc>
      </w:tr>
      <w:tr w:rsidR="00DE2A40" w:rsidRPr="00AD3373" w14:paraId="161F81FE" w14:textId="77777777" w:rsidTr="00407148">
        <w:tc>
          <w:tcPr>
            <w:tcW w:w="6385" w:type="dxa"/>
          </w:tcPr>
          <w:p w14:paraId="319D3D4C" w14:textId="208621BE" w:rsidR="00DE2A40" w:rsidRPr="00AD3373" w:rsidRDefault="00DE2A40" w:rsidP="00AE10F8">
            <w:pPr>
              <w:rPr>
                <w:rFonts w:ascii="Arial" w:hAnsi="Arial" w:cs="Arial"/>
              </w:rPr>
            </w:pPr>
            <w:r w:rsidRPr="00AD3373">
              <w:rPr>
                <w:rFonts w:ascii="Arial" w:hAnsi="Arial" w:cs="Arial"/>
              </w:rPr>
              <w:t xml:space="preserve">Other Impacted Areas </w:t>
            </w:r>
          </w:p>
        </w:tc>
        <w:tc>
          <w:tcPr>
            <w:tcW w:w="2700" w:type="dxa"/>
          </w:tcPr>
          <w:p w14:paraId="7845501E" w14:textId="77777777" w:rsidR="00DE2A40" w:rsidRPr="00AD3373" w:rsidRDefault="00DE2A40" w:rsidP="00AE1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</w:tbl>
    <w:p w14:paraId="51CAA0C0" w14:textId="77777777" w:rsidR="00DE2A40" w:rsidRPr="00B5148C" w:rsidRDefault="00DE2A40" w:rsidP="00DE2A40">
      <w:pPr>
        <w:pStyle w:val="Heading3"/>
      </w:pPr>
      <w:r w:rsidRPr="008E5C07">
        <w:t>Apportionment</w:t>
      </w:r>
      <w:r w:rsidRPr="00B5148C">
        <w:t xml:space="preserve"> </w:t>
      </w:r>
      <w:r>
        <w:t>T</w:t>
      </w:r>
      <w:r w:rsidRPr="00B5148C">
        <w:t>otals</w:t>
      </w:r>
    </w:p>
    <w:tbl>
      <w:tblPr>
        <w:tblStyle w:val="TableGrid3"/>
        <w:tblW w:w="5053" w:type="pct"/>
        <w:tblLook w:val="04A0" w:firstRow="1" w:lastRow="0" w:firstColumn="1" w:lastColumn="0" w:noHBand="0" w:noVBand="1"/>
        <w:tblDescription w:val="The  number of SELPAs and how much the total apportionment was and how much of the funds that will be returned to the state of California."/>
      </w:tblPr>
      <w:tblGrid>
        <w:gridCol w:w="1944"/>
        <w:gridCol w:w="2406"/>
        <w:gridCol w:w="2315"/>
        <w:gridCol w:w="2420"/>
      </w:tblGrid>
      <w:tr w:rsidR="00DE2A40" w:rsidRPr="00455973" w14:paraId="667FC6C1" w14:textId="77777777" w:rsidTr="00AE10F8">
        <w:trPr>
          <w:cantSplit/>
          <w:tblHeader/>
        </w:trPr>
        <w:tc>
          <w:tcPr>
            <w:tcW w:w="1070" w:type="pct"/>
            <w:shd w:val="clear" w:color="auto" w:fill="E7E6E6" w:themeFill="background2"/>
          </w:tcPr>
          <w:p w14:paraId="6585B76B" w14:textId="77777777" w:rsidR="00DE2A40" w:rsidRPr="00455973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55973">
              <w:rPr>
                <w:rFonts w:ascii="Arial" w:hAnsi="Arial" w:cs="Arial"/>
                <w:b/>
                <w:bCs/>
                <w:color w:val="000000"/>
              </w:rPr>
              <w:t xml:space="preserve">Number of SELPAs Reporting </w:t>
            </w:r>
          </w:p>
        </w:tc>
        <w:tc>
          <w:tcPr>
            <w:tcW w:w="1324" w:type="pct"/>
            <w:shd w:val="clear" w:color="auto" w:fill="E7E6E6" w:themeFill="background2"/>
          </w:tcPr>
          <w:p w14:paraId="55DA839F" w14:textId="54718AA6" w:rsidR="00DE2A40" w:rsidRPr="00455973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55973">
              <w:rPr>
                <w:rFonts w:ascii="Arial" w:hAnsi="Arial" w:cs="Arial"/>
                <w:b/>
                <w:bCs/>
                <w:color w:val="000000"/>
              </w:rPr>
              <w:t>Total Grant Award</w:t>
            </w:r>
          </w:p>
        </w:tc>
        <w:tc>
          <w:tcPr>
            <w:tcW w:w="1274" w:type="pct"/>
            <w:shd w:val="clear" w:color="auto" w:fill="E7E6E6" w:themeFill="background2"/>
          </w:tcPr>
          <w:p w14:paraId="3AF85F5A" w14:textId="77777777" w:rsidR="00DE2A40" w:rsidRPr="00455973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55973">
              <w:rPr>
                <w:rFonts w:ascii="Arial" w:hAnsi="Arial" w:cs="Arial"/>
                <w:b/>
                <w:bCs/>
                <w:color w:val="000000"/>
              </w:rPr>
              <w:t>Total Grant Award Spent</w:t>
            </w:r>
          </w:p>
        </w:tc>
        <w:tc>
          <w:tcPr>
            <w:tcW w:w="1332" w:type="pct"/>
            <w:shd w:val="clear" w:color="auto" w:fill="E7E6E6" w:themeFill="background2"/>
          </w:tcPr>
          <w:p w14:paraId="656ECB72" w14:textId="0CEA9668" w:rsidR="00DE2A40" w:rsidRPr="00455973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55973">
              <w:rPr>
                <w:rFonts w:ascii="Arial" w:hAnsi="Arial" w:cs="Arial"/>
                <w:b/>
                <w:bCs/>
                <w:color w:val="000000"/>
              </w:rPr>
              <w:t>Total Gran</w:t>
            </w:r>
            <w:r w:rsidR="00AF78A6">
              <w:rPr>
                <w:rFonts w:ascii="Arial" w:hAnsi="Arial" w:cs="Arial"/>
                <w:b/>
                <w:bCs/>
                <w:color w:val="000000"/>
              </w:rPr>
              <w:t>t</w:t>
            </w:r>
            <w:r w:rsidR="001F62A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455973">
              <w:rPr>
                <w:rFonts w:ascii="Arial" w:hAnsi="Arial" w:cs="Arial"/>
                <w:b/>
                <w:bCs/>
                <w:color w:val="000000"/>
              </w:rPr>
              <w:t xml:space="preserve">Award to </w:t>
            </w:r>
            <w:r w:rsidR="00407148">
              <w:rPr>
                <w:rFonts w:ascii="Arial" w:hAnsi="Arial" w:cs="Arial"/>
                <w:b/>
                <w:bCs/>
                <w:color w:val="000000"/>
              </w:rPr>
              <w:t>b</w:t>
            </w:r>
            <w:r w:rsidRPr="00455973">
              <w:rPr>
                <w:rFonts w:ascii="Arial" w:hAnsi="Arial" w:cs="Arial"/>
                <w:b/>
                <w:bCs/>
                <w:color w:val="000000"/>
              </w:rPr>
              <w:t xml:space="preserve">e </w:t>
            </w:r>
            <w:r w:rsidR="00407148">
              <w:rPr>
                <w:rFonts w:ascii="Arial" w:hAnsi="Arial" w:cs="Arial"/>
                <w:b/>
                <w:bCs/>
                <w:color w:val="000000"/>
              </w:rPr>
              <w:t>R</w:t>
            </w:r>
            <w:r w:rsidRPr="00455973">
              <w:rPr>
                <w:rFonts w:ascii="Arial" w:hAnsi="Arial" w:cs="Arial"/>
                <w:b/>
                <w:bCs/>
                <w:color w:val="000000"/>
              </w:rPr>
              <w:t xml:space="preserve">eturned to </w:t>
            </w:r>
            <w:r w:rsidR="00407148">
              <w:rPr>
                <w:rFonts w:ascii="Arial" w:hAnsi="Arial" w:cs="Arial"/>
                <w:b/>
                <w:bCs/>
                <w:color w:val="000000"/>
              </w:rPr>
              <w:t xml:space="preserve">the </w:t>
            </w:r>
            <w:r w:rsidRPr="00455973">
              <w:rPr>
                <w:rFonts w:ascii="Arial" w:hAnsi="Arial" w:cs="Arial"/>
                <w:b/>
                <w:bCs/>
                <w:color w:val="000000"/>
              </w:rPr>
              <w:t>CDE (Unspent)</w:t>
            </w:r>
          </w:p>
        </w:tc>
      </w:tr>
      <w:tr w:rsidR="00DE2A40" w:rsidRPr="00C17BA4" w14:paraId="715579BC" w14:textId="77777777" w:rsidTr="00AE10F8">
        <w:trPr>
          <w:cantSplit/>
        </w:trPr>
        <w:tc>
          <w:tcPr>
            <w:tcW w:w="1070" w:type="pct"/>
          </w:tcPr>
          <w:p w14:paraId="4EF8BAFF" w14:textId="77777777" w:rsidR="00DE2A40" w:rsidRPr="00455973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55973"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324" w:type="pct"/>
          </w:tcPr>
          <w:p w14:paraId="372A9D28" w14:textId="77777777" w:rsidR="00DE2A40" w:rsidRPr="00455973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55973">
              <w:rPr>
                <w:rFonts w:ascii="Arial" w:hAnsi="Arial" w:cs="Arial"/>
                <w:color w:val="000000"/>
              </w:rPr>
              <w:t>$450,000,000.00</w:t>
            </w:r>
          </w:p>
        </w:tc>
        <w:tc>
          <w:tcPr>
            <w:tcW w:w="1274" w:type="pct"/>
          </w:tcPr>
          <w:p w14:paraId="78DBDD2C" w14:textId="248BEB8D" w:rsidR="00DE2A40" w:rsidRPr="00C17BA4" w:rsidRDefault="006F375E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$438,999,632.86</w:t>
            </w:r>
          </w:p>
        </w:tc>
        <w:tc>
          <w:tcPr>
            <w:tcW w:w="1332" w:type="pct"/>
          </w:tcPr>
          <w:p w14:paraId="25C0D26E" w14:textId="4FF663AE" w:rsidR="00DE2A40" w:rsidRPr="00C17BA4" w:rsidRDefault="006F375E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$11,000,367.14</w:t>
            </w:r>
          </w:p>
        </w:tc>
      </w:tr>
    </w:tbl>
    <w:p w14:paraId="772C0ED7" w14:textId="77777777" w:rsidR="00DE2A40" w:rsidRDefault="00DE2A40" w:rsidP="00DE2A40">
      <w:pPr>
        <w:pStyle w:val="Heading3"/>
      </w:pPr>
      <w:r w:rsidRPr="006F40B3">
        <w:lastRenderedPageBreak/>
        <w:t xml:space="preserve">Budget </w:t>
      </w:r>
      <w:proofErr w:type="gramStart"/>
      <w:r w:rsidRPr="006F40B3">
        <w:t>Line Item</w:t>
      </w:r>
      <w:proofErr w:type="gramEnd"/>
      <w:r w:rsidRPr="006F40B3">
        <w:t xml:space="preserve"> Totals</w:t>
      </w:r>
    </w:p>
    <w:tbl>
      <w:tblPr>
        <w:tblStyle w:val="TableGrid9"/>
        <w:tblW w:w="9085" w:type="dxa"/>
        <w:tblLook w:val="04A0" w:firstRow="1" w:lastRow="0" w:firstColumn="1" w:lastColumn="0" w:noHBand="0" w:noVBand="1"/>
        <w:tblCaption w:val="Apportionment totals"/>
        <w:tblDescription w:val="The total amounts for all SELPAs under each budget line item."/>
      </w:tblPr>
      <w:tblGrid>
        <w:gridCol w:w="5395"/>
        <w:gridCol w:w="3690"/>
      </w:tblGrid>
      <w:tr w:rsidR="00DE2A40" w:rsidRPr="00165037" w14:paraId="680B9456" w14:textId="77777777" w:rsidTr="00AE10F8">
        <w:trPr>
          <w:cantSplit/>
          <w:tblHeader/>
        </w:trPr>
        <w:tc>
          <w:tcPr>
            <w:tcW w:w="5395" w:type="dxa"/>
            <w:shd w:val="clear" w:color="auto" w:fill="E7E6E6" w:themeFill="background2"/>
          </w:tcPr>
          <w:p w14:paraId="70423D85" w14:textId="77777777" w:rsidR="00DE2A40" w:rsidRPr="00165037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  <w:r w:rsidRPr="00165037">
              <w:rPr>
                <w:rFonts w:ascii="Arial" w:hAnsi="Arial" w:cs="Arial"/>
                <w:b/>
                <w:bCs/>
                <w:color w:val="000000"/>
              </w:rPr>
              <w:t>udget Line Items</w:t>
            </w:r>
          </w:p>
        </w:tc>
        <w:tc>
          <w:tcPr>
            <w:tcW w:w="3690" w:type="dxa"/>
            <w:shd w:val="clear" w:color="auto" w:fill="E7E6E6" w:themeFill="background2"/>
          </w:tcPr>
          <w:p w14:paraId="383F1B6A" w14:textId="77777777" w:rsidR="00DE2A40" w:rsidRPr="00165037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65037"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</w:tr>
      <w:tr w:rsidR="00DE2A40" w:rsidRPr="00165037" w14:paraId="756514AB" w14:textId="77777777" w:rsidTr="005E27AD">
        <w:trPr>
          <w:cantSplit/>
        </w:trPr>
        <w:tc>
          <w:tcPr>
            <w:tcW w:w="5395" w:type="dxa"/>
          </w:tcPr>
          <w:p w14:paraId="1F46977D" w14:textId="67CA6D82" w:rsidR="00DE2A40" w:rsidRPr="005E27AD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27AD">
              <w:rPr>
                <w:rFonts w:ascii="Arial" w:hAnsi="Arial" w:cs="Arial"/>
              </w:rPr>
              <w:t>1000</w:t>
            </w:r>
            <w:r w:rsidR="00407148" w:rsidRPr="005E27AD">
              <w:rPr>
                <w:rFonts w:ascii="Arial" w:hAnsi="Arial" w:cs="Arial"/>
              </w:rPr>
              <w:t>—</w:t>
            </w:r>
            <w:r w:rsidRPr="005E27AD">
              <w:rPr>
                <w:rFonts w:ascii="Arial" w:hAnsi="Arial" w:cs="Arial"/>
              </w:rPr>
              <w:t>Certificated Salaries</w:t>
            </w:r>
          </w:p>
        </w:tc>
        <w:tc>
          <w:tcPr>
            <w:tcW w:w="3690" w:type="dxa"/>
          </w:tcPr>
          <w:p w14:paraId="722E4DA1" w14:textId="77777777" w:rsidR="00DE2A40" w:rsidRPr="005E27AD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27AD">
              <w:rPr>
                <w:rFonts w:ascii="Arial" w:hAnsi="Arial" w:cs="Arial"/>
              </w:rPr>
              <w:t>$101,541,445.56</w:t>
            </w:r>
          </w:p>
        </w:tc>
      </w:tr>
      <w:tr w:rsidR="00DE2A40" w:rsidRPr="00165037" w14:paraId="3925E658" w14:textId="77777777" w:rsidTr="005E27AD">
        <w:trPr>
          <w:cantSplit/>
        </w:trPr>
        <w:tc>
          <w:tcPr>
            <w:tcW w:w="5395" w:type="dxa"/>
          </w:tcPr>
          <w:p w14:paraId="41D6D5A3" w14:textId="06590DE7" w:rsidR="00DE2A40" w:rsidRPr="005E27AD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27AD">
              <w:rPr>
                <w:rFonts w:ascii="Arial" w:hAnsi="Arial" w:cs="Arial"/>
              </w:rPr>
              <w:t>2000</w:t>
            </w:r>
            <w:r w:rsidR="00407148" w:rsidRPr="005E27AD">
              <w:rPr>
                <w:rFonts w:ascii="Arial" w:hAnsi="Arial" w:cs="Arial"/>
              </w:rPr>
              <w:t>—</w:t>
            </w:r>
            <w:r w:rsidRPr="005E27AD">
              <w:rPr>
                <w:rFonts w:ascii="Arial" w:hAnsi="Arial" w:cs="Arial"/>
              </w:rPr>
              <w:t>Classified Salaries</w:t>
            </w:r>
          </w:p>
        </w:tc>
        <w:tc>
          <w:tcPr>
            <w:tcW w:w="3690" w:type="dxa"/>
          </w:tcPr>
          <w:p w14:paraId="69CEAF3F" w14:textId="77777777" w:rsidR="00DE2A40" w:rsidRPr="005E27AD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27AD">
              <w:rPr>
                <w:rFonts w:ascii="Arial" w:hAnsi="Arial" w:cs="Arial"/>
              </w:rPr>
              <w:t>$39,491,464.57</w:t>
            </w:r>
          </w:p>
        </w:tc>
      </w:tr>
      <w:tr w:rsidR="00DE2A40" w:rsidRPr="00165037" w14:paraId="7CB9E78C" w14:textId="77777777" w:rsidTr="005E27AD">
        <w:trPr>
          <w:cantSplit/>
        </w:trPr>
        <w:tc>
          <w:tcPr>
            <w:tcW w:w="5395" w:type="dxa"/>
          </w:tcPr>
          <w:p w14:paraId="7E028B5E" w14:textId="72D604F8" w:rsidR="00DE2A40" w:rsidRPr="005E27AD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27AD">
              <w:rPr>
                <w:rFonts w:ascii="Arial" w:hAnsi="Arial" w:cs="Arial"/>
              </w:rPr>
              <w:t>3000</w:t>
            </w:r>
            <w:r w:rsidR="00407148" w:rsidRPr="005E27AD">
              <w:rPr>
                <w:rFonts w:ascii="Arial" w:hAnsi="Arial" w:cs="Arial"/>
              </w:rPr>
              <w:t>—</w:t>
            </w:r>
            <w:r w:rsidRPr="005E27AD">
              <w:rPr>
                <w:rFonts w:ascii="Arial" w:hAnsi="Arial" w:cs="Arial"/>
              </w:rPr>
              <w:t>Employee Benefits</w:t>
            </w:r>
          </w:p>
        </w:tc>
        <w:tc>
          <w:tcPr>
            <w:tcW w:w="3690" w:type="dxa"/>
          </w:tcPr>
          <w:p w14:paraId="42A98757" w14:textId="77777777" w:rsidR="00DE2A40" w:rsidRPr="005E27AD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27AD">
              <w:rPr>
                <w:rFonts w:ascii="Arial" w:hAnsi="Arial" w:cs="Arial"/>
              </w:rPr>
              <w:t>$49,392,036.87</w:t>
            </w:r>
          </w:p>
        </w:tc>
      </w:tr>
      <w:tr w:rsidR="00DE2A40" w:rsidRPr="00165037" w14:paraId="38A6E0EB" w14:textId="77777777" w:rsidTr="005E27AD">
        <w:trPr>
          <w:cantSplit/>
        </w:trPr>
        <w:tc>
          <w:tcPr>
            <w:tcW w:w="5395" w:type="dxa"/>
          </w:tcPr>
          <w:p w14:paraId="02F4E8FD" w14:textId="1A05DC84" w:rsidR="00DE2A40" w:rsidRPr="005E27AD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27AD">
              <w:rPr>
                <w:rFonts w:ascii="Arial" w:hAnsi="Arial" w:cs="Arial"/>
              </w:rPr>
              <w:t>4000</w:t>
            </w:r>
            <w:r w:rsidR="00407148" w:rsidRPr="005E27AD">
              <w:rPr>
                <w:rFonts w:ascii="Arial" w:hAnsi="Arial" w:cs="Arial"/>
              </w:rPr>
              <w:t>—</w:t>
            </w:r>
            <w:r w:rsidRPr="005E27AD">
              <w:rPr>
                <w:rFonts w:ascii="Arial" w:hAnsi="Arial" w:cs="Arial"/>
              </w:rPr>
              <w:t xml:space="preserve">Materials and Supplies </w:t>
            </w:r>
          </w:p>
        </w:tc>
        <w:tc>
          <w:tcPr>
            <w:tcW w:w="3690" w:type="dxa"/>
          </w:tcPr>
          <w:p w14:paraId="089AE098" w14:textId="77777777" w:rsidR="00DE2A40" w:rsidRPr="005E27AD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27AD">
              <w:rPr>
                <w:rFonts w:ascii="Arial" w:hAnsi="Arial" w:cs="Arial"/>
              </w:rPr>
              <w:t>$38,495,077.90</w:t>
            </w:r>
          </w:p>
        </w:tc>
      </w:tr>
      <w:tr w:rsidR="00DE2A40" w:rsidRPr="00165037" w14:paraId="2765AD3B" w14:textId="77777777" w:rsidTr="005E27AD">
        <w:trPr>
          <w:cantSplit/>
        </w:trPr>
        <w:tc>
          <w:tcPr>
            <w:tcW w:w="5395" w:type="dxa"/>
          </w:tcPr>
          <w:p w14:paraId="750F5C98" w14:textId="31B57028" w:rsidR="00DE2A40" w:rsidRPr="005E27AD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27AD">
              <w:rPr>
                <w:rFonts w:ascii="Arial" w:hAnsi="Arial" w:cs="Arial"/>
              </w:rPr>
              <w:t>5000</w:t>
            </w:r>
            <w:r w:rsidR="00407148" w:rsidRPr="005E27AD">
              <w:rPr>
                <w:rFonts w:ascii="Arial" w:hAnsi="Arial" w:cs="Arial"/>
              </w:rPr>
              <w:t>—</w:t>
            </w:r>
            <w:r w:rsidRPr="005E27AD">
              <w:rPr>
                <w:rFonts w:ascii="Arial" w:hAnsi="Arial" w:cs="Arial"/>
              </w:rPr>
              <w:t>Services and other Operating Expenses</w:t>
            </w:r>
          </w:p>
        </w:tc>
        <w:tc>
          <w:tcPr>
            <w:tcW w:w="3690" w:type="dxa"/>
          </w:tcPr>
          <w:p w14:paraId="69601DD7" w14:textId="4DCE82AB" w:rsidR="00DE2A40" w:rsidRPr="005E27AD" w:rsidRDefault="006F375E" w:rsidP="00AE10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27AD">
              <w:rPr>
                <w:rFonts w:ascii="Arial" w:hAnsi="Arial" w:cs="Arial"/>
              </w:rPr>
              <w:t>$192,446,635.01</w:t>
            </w:r>
          </w:p>
        </w:tc>
      </w:tr>
      <w:tr w:rsidR="00DE2A40" w:rsidRPr="00165037" w14:paraId="2E68C3CE" w14:textId="77777777" w:rsidTr="005E27AD">
        <w:trPr>
          <w:cantSplit/>
        </w:trPr>
        <w:tc>
          <w:tcPr>
            <w:tcW w:w="5395" w:type="dxa"/>
          </w:tcPr>
          <w:p w14:paraId="02B36809" w14:textId="44852016" w:rsidR="00DE2A40" w:rsidRPr="005E27AD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27AD">
              <w:rPr>
                <w:rFonts w:ascii="Arial" w:hAnsi="Arial" w:cs="Arial"/>
              </w:rPr>
              <w:t>6000</w:t>
            </w:r>
            <w:r w:rsidR="00407148" w:rsidRPr="005E27AD">
              <w:rPr>
                <w:rFonts w:ascii="Arial" w:hAnsi="Arial" w:cs="Arial"/>
              </w:rPr>
              <w:t>—</w:t>
            </w:r>
            <w:r w:rsidRPr="005E27AD">
              <w:rPr>
                <w:rFonts w:ascii="Arial" w:hAnsi="Arial" w:cs="Arial"/>
              </w:rPr>
              <w:t>Capital Outlay</w:t>
            </w:r>
          </w:p>
        </w:tc>
        <w:tc>
          <w:tcPr>
            <w:tcW w:w="3690" w:type="dxa"/>
          </w:tcPr>
          <w:p w14:paraId="37AACC34" w14:textId="77777777" w:rsidR="00DE2A40" w:rsidRPr="005E27AD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27AD">
              <w:rPr>
                <w:rFonts w:ascii="Arial" w:hAnsi="Arial" w:cs="Arial"/>
              </w:rPr>
              <w:t>$2,946,184.47</w:t>
            </w:r>
          </w:p>
        </w:tc>
      </w:tr>
      <w:tr w:rsidR="00DE2A40" w:rsidRPr="00165037" w14:paraId="7895EBFF" w14:textId="77777777" w:rsidTr="005E27AD">
        <w:trPr>
          <w:cantSplit/>
        </w:trPr>
        <w:tc>
          <w:tcPr>
            <w:tcW w:w="5395" w:type="dxa"/>
          </w:tcPr>
          <w:p w14:paraId="042C894F" w14:textId="497D9BC2" w:rsidR="00DE2A40" w:rsidRPr="005E27AD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27AD">
              <w:rPr>
                <w:rFonts w:ascii="Arial" w:hAnsi="Arial" w:cs="Arial"/>
              </w:rPr>
              <w:t>7300</w:t>
            </w:r>
            <w:r w:rsidR="00407148" w:rsidRPr="005E27AD">
              <w:rPr>
                <w:rFonts w:ascii="Arial" w:hAnsi="Arial" w:cs="Arial"/>
              </w:rPr>
              <w:t>—</w:t>
            </w:r>
            <w:r w:rsidRPr="005E27AD">
              <w:rPr>
                <w:rFonts w:ascii="Arial" w:hAnsi="Arial" w:cs="Arial"/>
              </w:rPr>
              <w:t>Indirect Costs (CDE approved rate)</w:t>
            </w:r>
          </w:p>
        </w:tc>
        <w:tc>
          <w:tcPr>
            <w:tcW w:w="3690" w:type="dxa"/>
          </w:tcPr>
          <w:p w14:paraId="3B9C5C83" w14:textId="0677B1B7" w:rsidR="00DE2A40" w:rsidRPr="005E27AD" w:rsidRDefault="006F375E" w:rsidP="00AE10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27AD">
              <w:rPr>
                <w:rFonts w:ascii="Arial" w:hAnsi="Arial" w:cs="Arial"/>
              </w:rPr>
              <w:t>$14,686,788.48</w:t>
            </w:r>
          </w:p>
        </w:tc>
      </w:tr>
      <w:tr w:rsidR="00DE2A40" w:rsidRPr="00165037" w14:paraId="7EC4ACFC" w14:textId="77777777" w:rsidTr="005E27AD">
        <w:trPr>
          <w:cantSplit/>
        </w:trPr>
        <w:tc>
          <w:tcPr>
            <w:tcW w:w="5395" w:type="dxa"/>
            <w:shd w:val="clear" w:color="auto" w:fill="auto"/>
          </w:tcPr>
          <w:p w14:paraId="2A8B90BF" w14:textId="72CD49B3" w:rsidR="00DE2A40" w:rsidRPr="005E27AD" w:rsidRDefault="00DE2A40" w:rsidP="00AE1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E27AD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3690" w:type="dxa"/>
            <w:shd w:val="clear" w:color="auto" w:fill="auto"/>
          </w:tcPr>
          <w:p w14:paraId="473CB3A5" w14:textId="38E979EB" w:rsidR="00DE2A40" w:rsidRPr="005E27AD" w:rsidRDefault="006F375E" w:rsidP="00AE10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27AD">
              <w:rPr>
                <w:rFonts w:ascii="Arial" w:hAnsi="Arial" w:cs="Arial"/>
              </w:rPr>
              <w:t>$438,999,632.86</w:t>
            </w:r>
          </w:p>
        </w:tc>
      </w:tr>
    </w:tbl>
    <w:p w14:paraId="5A2D3CE7" w14:textId="77777777" w:rsidR="00DE2A40" w:rsidRPr="00AE10F8" w:rsidRDefault="00DE2A40" w:rsidP="00DE2A40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14863F6A" w14:textId="77777777" w:rsidR="00DE2A40" w:rsidRPr="00DD4F6E" w:rsidRDefault="00DE2A40" w:rsidP="00DE2A40">
      <w:pPr>
        <w:pStyle w:val="Heading2"/>
        <w:spacing w:before="0"/>
      </w:pPr>
      <w:r w:rsidRPr="00DD4F6E">
        <w:lastRenderedPageBreak/>
        <w:t>Conclusion</w:t>
      </w:r>
    </w:p>
    <w:p w14:paraId="7D3B82A5" w14:textId="2F54DB54" w:rsidR="00DE2A40" w:rsidRPr="00165037" w:rsidRDefault="00BA6BA1" w:rsidP="00DE2A4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 xml:space="preserve">The </w:t>
      </w:r>
      <w:r w:rsidR="00DE2A40" w:rsidRPr="008602A1">
        <w:rPr>
          <w:rFonts w:ascii="Arial" w:hAnsi="Arial" w:cs="Arial"/>
        </w:rPr>
        <w:t>AB</w:t>
      </w:r>
      <w:r w:rsidR="00DE2A40">
        <w:rPr>
          <w:rFonts w:ascii="Arial" w:hAnsi="Arial" w:cs="Arial"/>
        </w:rPr>
        <w:t xml:space="preserve"> </w:t>
      </w:r>
      <w:r w:rsidR="00DE2A40" w:rsidRPr="008602A1">
        <w:rPr>
          <w:rFonts w:ascii="Arial" w:hAnsi="Arial" w:cs="Arial"/>
        </w:rPr>
        <w:t>130</w:t>
      </w:r>
      <w:r w:rsidR="00EE5BCE">
        <w:rPr>
          <w:rFonts w:ascii="Arial" w:hAnsi="Arial" w:cs="Arial"/>
        </w:rPr>
        <w:t xml:space="preserve"> (Ch. 44, Stats. 2021),</w:t>
      </w:r>
      <w:r w:rsidR="00DE2A40" w:rsidRPr="008602A1">
        <w:rPr>
          <w:rFonts w:ascii="Arial" w:hAnsi="Arial" w:cs="Arial"/>
        </w:rPr>
        <w:t xml:space="preserve"> </w:t>
      </w:r>
      <w:r w:rsidR="00DE2A40">
        <w:rPr>
          <w:rFonts w:ascii="Arial" w:hAnsi="Arial" w:cs="Arial"/>
        </w:rPr>
        <w:t>Section 161 Learning Recovery Support</w:t>
      </w:r>
      <w:r w:rsidR="00DE2A40" w:rsidRPr="008602A1">
        <w:rPr>
          <w:rFonts w:ascii="Arial" w:hAnsi="Arial" w:cs="Arial"/>
        </w:rPr>
        <w:t xml:space="preserve"> </w:t>
      </w:r>
      <w:r w:rsidR="00DE2A40">
        <w:rPr>
          <w:rFonts w:ascii="Arial" w:hAnsi="Arial" w:cs="Arial"/>
        </w:rPr>
        <w:t xml:space="preserve">apportionment </w:t>
      </w:r>
      <w:r w:rsidR="00DE2A40" w:rsidRPr="008602A1">
        <w:rPr>
          <w:rFonts w:ascii="Arial" w:hAnsi="Arial" w:cs="Arial"/>
        </w:rPr>
        <w:t xml:space="preserve">funds were </w:t>
      </w:r>
      <w:r w:rsidR="00DE2A40">
        <w:rPr>
          <w:rFonts w:ascii="Arial" w:hAnsi="Arial" w:cs="Arial"/>
        </w:rPr>
        <w:t>utilized by SELPAs</w:t>
      </w:r>
      <w:r w:rsidR="00DE2A40" w:rsidRPr="008602A1">
        <w:rPr>
          <w:rFonts w:ascii="Arial" w:hAnsi="Arial" w:cs="Arial"/>
        </w:rPr>
        <w:t xml:space="preserve"> with no major opposition to the funding. </w:t>
      </w:r>
      <w:r w:rsidR="00DE2A40">
        <w:rPr>
          <w:rFonts w:ascii="Arial" w:hAnsi="Arial" w:cs="Arial"/>
        </w:rPr>
        <w:t xml:space="preserve">SELPAs collaborated with their member LEAs to create </w:t>
      </w:r>
      <w:r w:rsidR="00407148">
        <w:rPr>
          <w:rFonts w:ascii="Arial" w:hAnsi="Arial" w:cs="Arial"/>
        </w:rPr>
        <w:t>LRPs that</w:t>
      </w:r>
      <w:r w:rsidR="00DE2A40">
        <w:rPr>
          <w:rFonts w:ascii="Arial" w:hAnsi="Arial" w:cs="Arial"/>
        </w:rPr>
        <w:t xml:space="preserve"> addressed the learning loss of students with disabilities due to COVID-19. T</w:t>
      </w:r>
      <w:r w:rsidR="00DE2A40" w:rsidRPr="008602A1">
        <w:rPr>
          <w:rFonts w:ascii="Arial" w:hAnsi="Arial" w:cs="Arial"/>
        </w:rPr>
        <w:t xml:space="preserve">hese funds </w:t>
      </w:r>
      <w:r w:rsidR="00DE2A40">
        <w:rPr>
          <w:rFonts w:ascii="Arial" w:hAnsi="Arial" w:cs="Arial"/>
        </w:rPr>
        <w:t>w</w:t>
      </w:r>
      <w:r w:rsidR="00407148">
        <w:rPr>
          <w:rFonts w:ascii="Arial" w:hAnsi="Arial" w:cs="Arial"/>
        </w:rPr>
        <w:t>ere</w:t>
      </w:r>
      <w:r w:rsidR="00DE2A40">
        <w:rPr>
          <w:rFonts w:ascii="Arial" w:hAnsi="Arial" w:cs="Arial"/>
        </w:rPr>
        <w:t xml:space="preserve"> to ensure</w:t>
      </w:r>
      <w:r w:rsidR="00DE2A40" w:rsidRPr="008602A1">
        <w:rPr>
          <w:rFonts w:ascii="Arial" w:hAnsi="Arial" w:cs="Arial"/>
        </w:rPr>
        <w:t xml:space="preserve"> th</w:t>
      </w:r>
      <w:r w:rsidR="00DE2A40">
        <w:rPr>
          <w:rFonts w:ascii="Arial" w:hAnsi="Arial" w:cs="Arial"/>
        </w:rPr>
        <w:t xml:space="preserve">at </w:t>
      </w:r>
      <w:r w:rsidR="00590EFD">
        <w:rPr>
          <w:rFonts w:ascii="Arial" w:hAnsi="Arial" w:cs="Arial"/>
        </w:rPr>
        <w:t xml:space="preserve">the </w:t>
      </w:r>
      <w:r w:rsidR="00DE2A40">
        <w:rPr>
          <w:rFonts w:ascii="Arial" w:hAnsi="Arial" w:cs="Arial"/>
        </w:rPr>
        <w:t>learning recovery</w:t>
      </w:r>
      <w:r w:rsidR="00DE2A40" w:rsidRPr="008602A1">
        <w:rPr>
          <w:rFonts w:ascii="Arial" w:hAnsi="Arial" w:cs="Arial"/>
        </w:rPr>
        <w:t xml:space="preserve"> needs of students with disabilities </w:t>
      </w:r>
      <w:r w:rsidR="00DE2A40">
        <w:rPr>
          <w:rFonts w:ascii="Arial" w:hAnsi="Arial" w:cs="Arial"/>
        </w:rPr>
        <w:t>were</w:t>
      </w:r>
      <w:r w:rsidR="00DE2A40" w:rsidRPr="008602A1">
        <w:rPr>
          <w:rFonts w:ascii="Arial" w:hAnsi="Arial" w:cs="Arial"/>
        </w:rPr>
        <w:t xml:space="preserve"> </w:t>
      </w:r>
      <w:r w:rsidR="00DE2A40">
        <w:rPr>
          <w:rFonts w:ascii="Arial" w:hAnsi="Arial" w:cs="Arial"/>
        </w:rPr>
        <w:t xml:space="preserve">addressed </w:t>
      </w:r>
      <w:r w:rsidR="00DE2A40" w:rsidRPr="008602A1">
        <w:rPr>
          <w:rFonts w:ascii="Arial" w:hAnsi="Arial" w:cs="Arial"/>
        </w:rPr>
        <w:t xml:space="preserve">while </w:t>
      </w:r>
      <w:r w:rsidR="00DE2A40">
        <w:rPr>
          <w:rFonts w:ascii="Arial" w:hAnsi="Arial" w:cs="Arial"/>
        </w:rPr>
        <w:t>also supporting family engagement in their child’s education.</w:t>
      </w:r>
    </w:p>
    <w:p w14:paraId="50412396" w14:textId="77777777" w:rsidR="009F4DA7" w:rsidRDefault="009F4DA7"/>
    <w:sectPr w:rsidR="009F4DA7" w:rsidSect="00360D9A">
      <w:footerReference w:type="default" r:id="rId14"/>
      <w:pgSz w:w="12240" w:h="15840"/>
      <w:pgMar w:top="1440" w:right="144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D2169" w14:textId="77777777" w:rsidR="00360D9A" w:rsidRDefault="00360D9A">
      <w:r>
        <w:separator/>
      </w:r>
    </w:p>
  </w:endnote>
  <w:endnote w:type="continuationSeparator" w:id="0">
    <w:p w14:paraId="3F966108" w14:textId="77777777" w:rsidR="00360D9A" w:rsidRDefault="0036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040984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E6548CB" w14:textId="77777777" w:rsidR="009F4DA7" w:rsidRPr="00131C7F" w:rsidRDefault="00000000">
        <w:pPr>
          <w:pStyle w:val="Footer"/>
          <w:jc w:val="center"/>
          <w:rPr>
            <w:rFonts w:ascii="Arial" w:hAnsi="Arial" w:cs="Arial"/>
          </w:rPr>
        </w:pPr>
      </w:p>
    </w:sdtContent>
  </w:sdt>
  <w:p w14:paraId="1EA6777A" w14:textId="77777777" w:rsidR="009F4DA7" w:rsidRDefault="009F4D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0EF37" w14:textId="77777777" w:rsidR="009F4DA7" w:rsidRDefault="007A18E4">
    <w:pPr>
      <w:pStyle w:val="Footer"/>
    </w:pPr>
    <w:r>
      <w:t>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D0CBD" w14:textId="77777777" w:rsidR="009F4DA7" w:rsidRPr="00AE10F8" w:rsidRDefault="007A18E4" w:rsidP="007F0F09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48675" w14:textId="77777777" w:rsidR="00360D9A" w:rsidRDefault="00360D9A">
      <w:r>
        <w:separator/>
      </w:r>
    </w:p>
  </w:footnote>
  <w:footnote w:type="continuationSeparator" w:id="0">
    <w:p w14:paraId="25CB6AE1" w14:textId="77777777" w:rsidR="00360D9A" w:rsidRDefault="00360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466FD"/>
    <w:multiLevelType w:val="hybridMultilevel"/>
    <w:tmpl w:val="AE185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6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40"/>
    <w:rsid w:val="000165DF"/>
    <w:rsid w:val="00030345"/>
    <w:rsid w:val="00046240"/>
    <w:rsid w:val="00062B2A"/>
    <w:rsid w:val="0006341F"/>
    <w:rsid w:val="000A48A1"/>
    <w:rsid w:val="0013186C"/>
    <w:rsid w:val="001607F7"/>
    <w:rsid w:val="00165AD5"/>
    <w:rsid w:val="00172F3F"/>
    <w:rsid w:val="001B77DB"/>
    <w:rsid w:val="001D664D"/>
    <w:rsid w:val="001D6EA3"/>
    <w:rsid w:val="001F62A7"/>
    <w:rsid w:val="0023165D"/>
    <w:rsid w:val="002364D8"/>
    <w:rsid w:val="00273A03"/>
    <w:rsid w:val="002815D3"/>
    <w:rsid w:val="00290290"/>
    <w:rsid w:val="002E42DE"/>
    <w:rsid w:val="002F1E0D"/>
    <w:rsid w:val="00325F24"/>
    <w:rsid w:val="00335C43"/>
    <w:rsid w:val="00360D9A"/>
    <w:rsid w:val="003B7F99"/>
    <w:rsid w:val="004055D3"/>
    <w:rsid w:val="00407148"/>
    <w:rsid w:val="00440854"/>
    <w:rsid w:val="00450359"/>
    <w:rsid w:val="00480B8E"/>
    <w:rsid w:val="004B07C1"/>
    <w:rsid w:val="004E0897"/>
    <w:rsid w:val="004E6B48"/>
    <w:rsid w:val="00526232"/>
    <w:rsid w:val="00544AE1"/>
    <w:rsid w:val="00570BD2"/>
    <w:rsid w:val="00574AEA"/>
    <w:rsid w:val="00590EFD"/>
    <w:rsid w:val="005A49FF"/>
    <w:rsid w:val="005A6AE9"/>
    <w:rsid w:val="005E27AD"/>
    <w:rsid w:val="005E62B4"/>
    <w:rsid w:val="00633DF0"/>
    <w:rsid w:val="00695724"/>
    <w:rsid w:val="006C0C86"/>
    <w:rsid w:val="006D56C6"/>
    <w:rsid w:val="006F375E"/>
    <w:rsid w:val="00714848"/>
    <w:rsid w:val="00726842"/>
    <w:rsid w:val="00791B2A"/>
    <w:rsid w:val="007A18E4"/>
    <w:rsid w:val="007B091D"/>
    <w:rsid w:val="007E113C"/>
    <w:rsid w:val="00814DE8"/>
    <w:rsid w:val="008161C8"/>
    <w:rsid w:val="008161F1"/>
    <w:rsid w:val="00855E09"/>
    <w:rsid w:val="008652CC"/>
    <w:rsid w:val="008776E1"/>
    <w:rsid w:val="008E4EB3"/>
    <w:rsid w:val="00904C49"/>
    <w:rsid w:val="009231CA"/>
    <w:rsid w:val="0092343B"/>
    <w:rsid w:val="00923AA4"/>
    <w:rsid w:val="0094148D"/>
    <w:rsid w:val="009B238F"/>
    <w:rsid w:val="009F4DA7"/>
    <w:rsid w:val="00A37A56"/>
    <w:rsid w:val="00AE0C8F"/>
    <w:rsid w:val="00AF78A6"/>
    <w:rsid w:val="00B22375"/>
    <w:rsid w:val="00B273BE"/>
    <w:rsid w:val="00BA6BA1"/>
    <w:rsid w:val="00BB1AB5"/>
    <w:rsid w:val="00BB5546"/>
    <w:rsid w:val="00BD27C0"/>
    <w:rsid w:val="00BD696A"/>
    <w:rsid w:val="00C039E1"/>
    <w:rsid w:val="00C0621D"/>
    <w:rsid w:val="00C8323F"/>
    <w:rsid w:val="00C931F0"/>
    <w:rsid w:val="00CF3DD1"/>
    <w:rsid w:val="00D23FB9"/>
    <w:rsid w:val="00D616D2"/>
    <w:rsid w:val="00DB71AD"/>
    <w:rsid w:val="00DD42B5"/>
    <w:rsid w:val="00DE2A40"/>
    <w:rsid w:val="00DE408F"/>
    <w:rsid w:val="00E1740C"/>
    <w:rsid w:val="00EE5BCE"/>
    <w:rsid w:val="00F10CF3"/>
    <w:rsid w:val="00F42BE0"/>
    <w:rsid w:val="00F43FFF"/>
    <w:rsid w:val="00F50395"/>
    <w:rsid w:val="00F63DF6"/>
    <w:rsid w:val="00FB61C5"/>
    <w:rsid w:val="00FD5106"/>
    <w:rsid w:val="00FE75EF"/>
    <w:rsid w:val="7905C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5FA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A40"/>
    <w:pPr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E2A40"/>
    <w:pPr>
      <w:keepNext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after="480"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E2A40"/>
    <w:pPr>
      <w:keepNext/>
      <w:keepLines/>
      <w:spacing w:before="480" w:after="240"/>
      <w:jc w:val="center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E2A40"/>
    <w:pPr>
      <w:keepNext/>
      <w:keepLines/>
      <w:spacing w:before="480" w:after="240"/>
      <w:outlineLvl w:val="2"/>
    </w:pPr>
    <w:rPr>
      <w:rFonts w:ascii="Arial" w:eastAsiaTheme="majorEastAsia" w:hAnsi="Arial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2A40"/>
    <w:rPr>
      <w:rFonts w:ascii="Arial" w:eastAsia="Times New Roman" w:hAnsi="Arial" w:cs="Arial"/>
      <w:b/>
      <w:bCs/>
      <w:kern w:val="0"/>
      <w:sz w:val="32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DE2A40"/>
    <w:rPr>
      <w:rFonts w:ascii="Arial" w:eastAsiaTheme="majorEastAsia" w:hAnsi="Arial" w:cstheme="majorBidi"/>
      <w:b/>
      <w:kern w:val="0"/>
      <w:sz w:val="28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DE2A40"/>
    <w:rPr>
      <w:rFonts w:ascii="Arial" w:eastAsiaTheme="majorEastAsia" w:hAnsi="Arial" w:cstheme="majorBidi"/>
      <w:b/>
      <w:kern w:val="0"/>
      <w:sz w:val="24"/>
      <w:szCs w:val="24"/>
      <w14:ligatures w14:val="none"/>
    </w:rPr>
  </w:style>
  <w:style w:type="character" w:styleId="Hyperlink">
    <w:name w:val="Hyperlink"/>
    <w:rsid w:val="00DE2A40"/>
    <w:rPr>
      <w:color w:val="0000FF"/>
      <w:u w:val="single"/>
    </w:rPr>
  </w:style>
  <w:style w:type="paragraph" w:styleId="Header">
    <w:name w:val="header"/>
    <w:basedOn w:val="Normal"/>
    <w:link w:val="HeaderChar"/>
    <w:rsid w:val="00DE2A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E2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rsid w:val="00DE2A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2A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2A4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DE2A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OC1">
    <w:name w:val="toc 1"/>
    <w:basedOn w:val="Normal"/>
    <w:next w:val="Normal"/>
    <w:autoRedefine/>
    <w:uiPriority w:val="39"/>
    <w:rsid w:val="00440854"/>
    <w:pPr>
      <w:tabs>
        <w:tab w:val="right" w:leader="dot" w:pos="9000"/>
      </w:tabs>
      <w:spacing w:after="240"/>
      <w:jc w:val="both"/>
    </w:pPr>
    <w:rPr>
      <w:rFonts w:ascii="Arial" w:hAnsi="Arial" w:cs="Arial"/>
      <w:noProof/>
    </w:rPr>
  </w:style>
  <w:style w:type="paragraph" w:styleId="ListParagraph">
    <w:name w:val="List Paragraph"/>
    <w:basedOn w:val="Normal"/>
    <w:uiPriority w:val="34"/>
    <w:qFormat/>
    <w:rsid w:val="00DE2A40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DE2A4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E2A4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E2A4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DE2A4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DE2A4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DE2A4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DE2A4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E2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0C86"/>
    <w:pPr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13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F78A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A48A1"/>
  </w:style>
  <w:style w:type="paragraph" w:styleId="BalloonText">
    <w:name w:val="Balloon Text"/>
    <w:basedOn w:val="Normal"/>
    <w:link w:val="BalloonTextChar"/>
    <w:uiPriority w:val="99"/>
    <w:semiHidden/>
    <w:unhideWhenUsed/>
    <w:rsid w:val="00BA6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BA1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832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BGaskin@cde.c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Gallagher@cde.ca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e.ca.gov/sp/se/l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 130 Section 161 Learning Recovery Apportionment - Laws, Regulations, &amp; Policies (CA Dept of Education)</vt:lpstr>
    </vt:vector>
  </TitlesOfParts>
  <Company/>
  <LinksUpToDate>false</LinksUpToDate>
  <CharactersWithSpaces>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130 Section 161 Learning Recovery Apportionment - Laws, Regulations, &amp; Policies (CA Dept of Education)</dc:title>
  <dc:subject>Assembly Bill (AB) 130 Section 161 Summary Report providing demographic and numerical data from special education local plan areas regarding the $450 million apportionment distributed in October 2021.</dc:subject>
  <dc:creator/>
  <cp:keywords/>
  <dc:description/>
  <cp:lastModifiedBy/>
  <cp:revision>1</cp:revision>
  <dcterms:created xsi:type="dcterms:W3CDTF">2024-05-03T01:37:00Z</dcterms:created>
  <dcterms:modified xsi:type="dcterms:W3CDTF">2024-05-03T19:09:00Z</dcterms:modified>
</cp:coreProperties>
</file>