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4AC42" w14:textId="77777777" w:rsidR="003A28FE" w:rsidRDefault="003A28FE" w:rsidP="28688B16">
      <w:pPr>
        <w:pStyle w:val="Title"/>
        <w:widowControl/>
        <w:jc w:val="center"/>
        <w:rPr>
          <w:rFonts w:ascii="Arial" w:hAnsi="Arial" w:cs="Arial"/>
          <w:b/>
          <w:bCs/>
          <w:snapToGrid/>
          <w:sz w:val="32"/>
          <w:szCs w:val="32"/>
        </w:rPr>
      </w:pPr>
    </w:p>
    <w:p w14:paraId="050E0ADD" w14:textId="572A77D9" w:rsidR="0097517B" w:rsidRPr="00112902" w:rsidRDefault="6C909D95" w:rsidP="00112902">
      <w:pPr>
        <w:rPr>
          <w:sz w:val="20"/>
        </w:rPr>
      </w:pPr>
      <w:r w:rsidRPr="00112902">
        <w:rPr>
          <w:sz w:val="20"/>
        </w:rPr>
        <w:t>California Department of Education</w:t>
      </w:r>
    </w:p>
    <w:p w14:paraId="050E0ADE" w14:textId="5F1A154E" w:rsidR="00427352" w:rsidRPr="00112902" w:rsidRDefault="00427352" w:rsidP="00112902">
      <w:pPr>
        <w:rPr>
          <w:sz w:val="20"/>
        </w:rPr>
      </w:pPr>
      <w:r w:rsidRPr="00112902">
        <w:rPr>
          <w:sz w:val="20"/>
        </w:rPr>
        <w:t xml:space="preserve">Report to the Governor, the Legislature, and the </w:t>
      </w:r>
      <w:r w:rsidRPr="00112902">
        <w:rPr>
          <w:sz w:val="20"/>
        </w:rPr>
        <w:br/>
      </w:r>
      <w:r w:rsidR="008A0AA4" w:rsidRPr="00112902">
        <w:rPr>
          <w:sz w:val="20"/>
        </w:rPr>
        <w:t>Department of Finance</w:t>
      </w:r>
      <w:r w:rsidRPr="00112902">
        <w:rPr>
          <w:sz w:val="20"/>
        </w:rPr>
        <w:t>:</w:t>
      </w:r>
    </w:p>
    <w:p w14:paraId="050E0ADF" w14:textId="77777777" w:rsidR="00E9348B" w:rsidRPr="005C3073" w:rsidRDefault="00E9348B" w:rsidP="00F95870">
      <w:pPr>
        <w:widowControl/>
        <w:spacing w:before="0" w:after="0"/>
      </w:pPr>
    </w:p>
    <w:p w14:paraId="050E0AE0" w14:textId="4F4145A3" w:rsidR="00427352" w:rsidRDefault="00427352" w:rsidP="008575A8">
      <w:pPr>
        <w:pStyle w:val="Heading1"/>
        <w:spacing w:before="0" w:beforeAutospacing="0" w:after="0" w:afterAutospacing="0" w:line="240" w:lineRule="auto"/>
      </w:pPr>
      <w:r w:rsidRPr="005C3073">
        <w:t>California Assessment of Student Performance and Progress</w:t>
      </w:r>
      <w:r w:rsidRPr="005C3073">
        <w:br/>
        <w:t>Annual Implementation Update and Five-Year Cost Projection</w:t>
      </w:r>
    </w:p>
    <w:p w14:paraId="050E0AE1" w14:textId="493A0429" w:rsidR="0097517B" w:rsidRPr="005C3073" w:rsidRDefault="00D274F5" w:rsidP="00112902">
      <w:pPr>
        <w:widowControl/>
        <w:rPr>
          <w:rFonts w:cs="Arial"/>
          <w:b/>
          <w:bCs/>
          <w:snapToGrid/>
          <w:szCs w:val="24"/>
        </w:rPr>
      </w:pPr>
      <w:r>
        <w:rPr>
          <w:noProof/>
          <w:color w:val="2B579A"/>
          <w:shd w:val="clear" w:color="auto" w:fill="E6E6E6"/>
        </w:rPr>
        <w:drawing>
          <wp:anchor distT="0" distB="0" distL="114300" distR="114300" simplePos="0" relativeHeight="251658240" behindDoc="0" locked="0" layoutInCell="1" allowOverlap="1" wp14:anchorId="050E0D21" wp14:editId="2CC78E48">
            <wp:simplePos x="2958860" y="2665562"/>
            <wp:positionH relativeFrom="column">
              <wp:posOffset>2963174</wp:posOffset>
            </wp:positionH>
            <wp:positionV relativeFrom="paragraph">
              <wp:align>top</wp:align>
            </wp:positionV>
            <wp:extent cx="1850390" cy="1850390"/>
            <wp:effectExtent l="0" t="0" r="0" b="0"/>
            <wp:wrapSquare wrapText="bothSides"/>
            <wp:docPr id="1065260858" name="Picture 2" descr="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850390" cy="1850390"/>
                    </a:xfrm>
                    <a:prstGeom prst="rect">
                      <a:avLst/>
                    </a:prstGeom>
                  </pic:spPr>
                </pic:pic>
              </a:graphicData>
            </a:graphic>
          </wp:anchor>
        </w:drawing>
      </w:r>
      <w:r w:rsidR="00112902">
        <w:rPr>
          <w:rFonts w:cs="Arial"/>
          <w:b/>
          <w:bCs/>
          <w:snapToGrid/>
          <w:szCs w:val="24"/>
        </w:rPr>
        <w:br w:type="textWrapping" w:clear="all"/>
      </w:r>
    </w:p>
    <w:p w14:paraId="050E0AE2" w14:textId="34916770" w:rsidR="0097517B" w:rsidRPr="005C3073" w:rsidRDefault="0097517B" w:rsidP="00267550">
      <w:pPr>
        <w:widowControl/>
        <w:spacing w:before="720"/>
        <w:jc w:val="center"/>
        <w:rPr>
          <w:rFonts w:cs="Arial"/>
          <w:b/>
          <w:bCs/>
          <w:snapToGrid/>
          <w:szCs w:val="24"/>
        </w:rPr>
      </w:pPr>
      <w:r w:rsidRPr="005C3073">
        <w:rPr>
          <w:rFonts w:cs="Arial"/>
          <w:b/>
          <w:bCs/>
          <w:iCs/>
          <w:snapToGrid/>
          <w:szCs w:val="24"/>
        </w:rPr>
        <w:t>Prepared by the</w:t>
      </w:r>
    </w:p>
    <w:p w14:paraId="050E0AE3" w14:textId="77777777" w:rsidR="0097517B" w:rsidRPr="005C3073" w:rsidRDefault="0097517B" w:rsidP="00F95870">
      <w:pPr>
        <w:widowControl/>
        <w:jc w:val="center"/>
        <w:rPr>
          <w:rFonts w:cs="Arial"/>
          <w:b/>
          <w:bCs/>
          <w:snapToGrid/>
          <w:szCs w:val="24"/>
        </w:rPr>
      </w:pPr>
      <w:r w:rsidRPr="005C3073">
        <w:rPr>
          <w:rFonts w:cs="Arial"/>
          <w:b/>
          <w:bCs/>
          <w:snapToGrid/>
          <w:szCs w:val="24"/>
        </w:rPr>
        <w:t>Assessment Development and Administration Division</w:t>
      </w:r>
    </w:p>
    <w:p w14:paraId="050E0AE4" w14:textId="51A53C09" w:rsidR="0097517B" w:rsidRPr="005C3073" w:rsidRDefault="00B548DB" w:rsidP="00F95870">
      <w:pPr>
        <w:widowControl/>
        <w:jc w:val="center"/>
        <w:rPr>
          <w:rFonts w:cs="Arial"/>
          <w:b/>
          <w:bCs/>
          <w:snapToGrid/>
          <w:szCs w:val="24"/>
        </w:rPr>
      </w:pPr>
      <w:r>
        <w:rPr>
          <w:rFonts w:cs="Arial"/>
          <w:b/>
          <w:bCs/>
          <w:snapToGrid/>
          <w:szCs w:val="24"/>
        </w:rPr>
        <w:t>Instruction and Measurement</w:t>
      </w:r>
      <w:r w:rsidR="0097517B" w:rsidRPr="005C3073">
        <w:rPr>
          <w:rFonts w:cs="Arial"/>
          <w:b/>
          <w:bCs/>
          <w:snapToGrid/>
          <w:szCs w:val="24"/>
        </w:rPr>
        <w:t xml:space="preserve"> Branch</w:t>
      </w:r>
    </w:p>
    <w:p w14:paraId="050E0AE5" w14:textId="13459802" w:rsidR="0097517B" w:rsidRPr="005C3073" w:rsidRDefault="00B941B2" w:rsidP="00F95870">
      <w:pPr>
        <w:widowControl/>
        <w:jc w:val="center"/>
        <w:rPr>
          <w:rFonts w:cs="Arial"/>
          <w:b/>
          <w:iCs/>
          <w:snapToGrid/>
          <w:szCs w:val="24"/>
        </w:rPr>
      </w:pPr>
      <w:r>
        <w:rPr>
          <w:rFonts w:cs="Arial"/>
          <w:b/>
          <w:iCs/>
          <w:snapToGrid/>
          <w:szCs w:val="24"/>
        </w:rPr>
        <w:t>October 2021</w:t>
      </w:r>
    </w:p>
    <w:p w14:paraId="050E0AE6" w14:textId="77777777" w:rsidR="0097517B" w:rsidRPr="005C3073" w:rsidRDefault="0097517B" w:rsidP="00F95870">
      <w:pPr>
        <w:widowControl/>
        <w:jc w:val="center"/>
        <w:rPr>
          <w:rFonts w:cs="Arial"/>
          <w:iCs/>
          <w:snapToGrid/>
          <w:szCs w:val="24"/>
        </w:rPr>
      </w:pPr>
    </w:p>
    <w:p w14:paraId="050E0AE7" w14:textId="44D6B750" w:rsidR="0097517B" w:rsidRPr="005C3073" w:rsidRDefault="0097517B" w:rsidP="00F95870">
      <w:pPr>
        <w:widowControl/>
        <w:ind w:left="1440" w:hanging="1440"/>
        <w:rPr>
          <w:rFonts w:cs="Arial"/>
          <w:snapToGrid/>
          <w:szCs w:val="24"/>
          <w:lang w:bidi="en-US"/>
        </w:rPr>
      </w:pPr>
      <w:r w:rsidRPr="005C3073">
        <w:rPr>
          <w:rFonts w:cs="Arial"/>
          <w:i/>
          <w:snapToGrid/>
          <w:szCs w:val="24"/>
          <w:lang w:bidi="en-US"/>
        </w:rPr>
        <w:t>Description</w:t>
      </w:r>
      <w:r w:rsidRPr="005C3073">
        <w:rPr>
          <w:rFonts w:cs="Arial"/>
          <w:snapToGrid/>
          <w:szCs w:val="24"/>
          <w:lang w:bidi="en-US"/>
        </w:rPr>
        <w:t>:</w:t>
      </w:r>
      <w:r w:rsidRPr="005C3073">
        <w:rPr>
          <w:rFonts w:cs="Arial"/>
          <w:snapToGrid/>
          <w:szCs w:val="24"/>
          <w:lang w:bidi="en-US"/>
        </w:rPr>
        <w:tab/>
      </w:r>
      <w:r w:rsidR="003143BA" w:rsidRPr="005C3073">
        <w:rPr>
          <w:rFonts w:cs="Arial"/>
          <w:snapToGrid/>
          <w:szCs w:val="24"/>
          <w:lang w:bidi="en-US"/>
        </w:rPr>
        <w:t xml:space="preserve">Annual update on the implementation of the </w:t>
      </w:r>
      <w:r w:rsidRPr="005C3073">
        <w:rPr>
          <w:rFonts w:cs="Arial"/>
          <w:snapToGrid/>
          <w:szCs w:val="24"/>
          <w:lang w:bidi="en-US"/>
        </w:rPr>
        <w:t>California Assessment of Student Performance and Progress</w:t>
      </w:r>
      <w:r w:rsidR="003143BA" w:rsidRPr="005C3073">
        <w:rPr>
          <w:rFonts w:cs="Arial"/>
          <w:snapToGrid/>
          <w:szCs w:val="24"/>
          <w:lang w:bidi="en-US"/>
        </w:rPr>
        <w:t>,</w:t>
      </w:r>
      <w:r w:rsidRPr="005C3073">
        <w:rPr>
          <w:rFonts w:cs="Arial"/>
          <w:snapToGrid/>
          <w:szCs w:val="24"/>
          <w:lang w:bidi="en-US"/>
        </w:rPr>
        <w:t xml:space="preserve"> </w:t>
      </w:r>
      <w:r w:rsidR="005B1D9E" w:rsidRPr="005C3073">
        <w:rPr>
          <w:rFonts w:cs="Arial"/>
          <w:snapToGrid/>
          <w:szCs w:val="24"/>
          <w:lang w:bidi="en-US"/>
        </w:rPr>
        <w:t xml:space="preserve">covering the </w:t>
      </w:r>
      <w:r w:rsidR="00796D5E" w:rsidRPr="00914AD1">
        <w:rPr>
          <w:rFonts w:cs="Arial"/>
          <w:snapToGrid/>
          <w:szCs w:val="24"/>
          <w:lang w:bidi="en-US"/>
        </w:rPr>
        <w:t>20</w:t>
      </w:r>
      <w:r w:rsidR="00B941B2" w:rsidRPr="00914AD1">
        <w:rPr>
          <w:rFonts w:cs="Arial"/>
          <w:snapToGrid/>
          <w:szCs w:val="24"/>
          <w:lang w:bidi="en-US"/>
        </w:rPr>
        <w:t>20</w:t>
      </w:r>
      <w:r w:rsidRPr="00914AD1">
        <w:rPr>
          <w:rFonts w:cs="Arial"/>
          <w:snapToGrid/>
          <w:szCs w:val="24"/>
          <w:lang w:bidi="en-US"/>
        </w:rPr>
        <w:t xml:space="preserve"> calendar</w:t>
      </w:r>
      <w:r w:rsidRPr="005C3073">
        <w:rPr>
          <w:rFonts w:cs="Arial"/>
          <w:snapToGrid/>
          <w:szCs w:val="24"/>
          <w:lang w:bidi="en-US"/>
        </w:rPr>
        <w:t xml:space="preserve"> year and </w:t>
      </w:r>
      <w:r w:rsidR="00E325F3">
        <w:rPr>
          <w:rFonts w:cs="Arial"/>
          <w:snapToGrid/>
          <w:szCs w:val="24"/>
          <w:lang w:bidi="en-US"/>
        </w:rPr>
        <w:t xml:space="preserve">providing a </w:t>
      </w:r>
      <w:r w:rsidR="003143BA" w:rsidRPr="005C3073">
        <w:rPr>
          <w:rFonts w:cs="Arial"/>
          <w:snapToGrid/>
          <w:szCs w:val="24"/>
          <w:lang w:bidi="en-US"/>
        </w:rPr>
        <w:t>f</w:t>
      </w:r>
      <w:r w:rsidRPr="005C3073">
        <w:rPr>
          <w:rFonts w:cs="Arial"/>
          <w:snapToGrid/>
          <w:szCs w:val="24"/>
          <w:lang w:bidi="en-US"/>
        </w:rPr>
        <w:t>ive-</w:t>
      </w:r>
      <w:r w:rsidR="003143BA" w:rsidRPr="005C3073">
        <w:rPr>
          <w:rFonts w:cs="Arial"/>
          <w:snapToGrid/>
          <w:szCs w:val="24"/>
          <w:lang w:bidi="en-US"/>
        </w:rPr>
        <w:t>y</w:t>
      </w:r>
      <w:r w:rsidRPr="005C3073">
        <w:rPr>
          <w:rFonts w:cs="Arial"/>
          <w:snapToGrid/>
          <w:szCs w:val="24"/>
          <w:lang w:bidi="en-US"/>
        </w:rPr>
        <w:t xml:space="preserve">ear </w:t>
      </w:r>
      <w:r w:rsidR="003143BA" w:rsidRPr="005C3073">
        <w:rPr>
          <w:rFonts w:cs="Arial"/>
          <w:snapToGrid/>
          <w:szCs w:val="24"/>
          <w:lang w:bidi="en-US"/>
        </w:rPr>
        <w:t>p</w:t>
      </w:r>
      <w:r w:rsidRPr="005C3073">
        <w:rPr>
          <w:rFonts w:cs="Arial"/>
          <w:snapToGrid/>
          <w:szCs w:val="24"/>
          <w:lang w:bidi="en-US"/>
        </w:rPr>
        <w:t>rojection</w:t>
      </w:r>
      <w:r w:rsidR="005B1D9E" w:rsidRPr="005C3073">
        <w:rPr>
          <w:rFonts w:cs="Arial"/>
          <w:snapToGrid/>
          <w:szCs w:val="24"/>
          <w:lang w:bidi="en-US"/>
        </w:rPr>
        <w:t xml:space="preserve"> of costs</w:t>
      </w:r>
    </w:p>
    <w:p w14:paraId="050E0AE8" w14:textId="77777777" w:rsidR="0097517B" w:rsidRPr="005C3073" w:rsidRDefault="0097517B" w:rsidP="00F95870">
      <w:pPr>
        <w:widowControl/>
        <w:jc w:val="both"/>
        <w:rPr>
          <w:rFonts w:cs="Arial"/>
          <w:i/>
          <w:snapToGrid/>
          <w:szCs w:val="24"/>
          <w:lang w:bidi="en-US"/>
        </w:rPr>
      </w:pPr>
      <w:r w:rsidRPr="005C3073">
        <w:rPr>
          <w:rFonts w:cs="Arial"/>
          <w:i/>
          <w:snapToGrid/>
          <w:szCs w:val="24"/>
          <w:lang w:bidi="en-US"/>
        </w:rPr>
        <w:t>Authority</w:t>
      </w:r>
      <w:r w:rsidRPr="005C3073">
        <w:rPr>
          <w:rFonts w:cs="Arial"/>
          <w:snapToGrid/>
          <w:szCs w:val="24"/>
          <w:lang w:bidi="en-US"/>
        </w:rPr>
        <w:t xml:space="preserve">: </w:t>
      </w:r>
      <w:r w:rsidRPr="005C3073">
        <w:rPr>
          <w:rFonts w:cs="Arial"/>
          <w:snapToGrid/>
          <w:szCs w:val="24"/>
          <w:lang w:bidi="en-US"/>
        </w:rPr>
        <w:tab/>
        <w:t xml:space="preserve">California </w:t>
      </w:r>
      <w:r w:rsidRPr="005C3073">
        <w:rPr>
          <w:rFonts w:cs="Arial"/>
          <w:i/>
          <w:snapToGrid/>
          <w:szCs w:val="24"/>
          <w:lang w:bidi="en-US"/>
        </w:rPr>
        <w:t xml:space="preserve">Education Code </w:t>
      </w:r>
      <w:r w:rsidRPr="005C3073">
        <w:rPr>
          <w:rFonts w:cs="Arial"/>
          <w:snapToGrid/>
          <w:szCs w:val="24"/>
          <w:lang w:bidi="en-US"/>
        </w:rPr>
        <w:t xml:space="preserve">Section </w:t>
      </w:r>
      <w:r w:rsidRPr="005C3073">
        <w:rPr>
          <w:rFonts w:cs="Arial"/>
          <w:szCs w:val="24"/>
        </w:rPr>
        <w:t>60604(b)</w:t>
      </w:r>
    </w:p>
    <w:p w14:paraId="050E0AE9" w14:textId="7C434982" w:rsidR="0097517B" w:rsidRPr="005C3073" w:rsidRDefault="0097517B" w:rsidP="00F95870">
      <w:pPr>
        <w:widowControl/>
        <w:ind w:left="1440" w:hanging="1440"/>
        <w:rPr>
          <w:rFonts w:cs="Arial"/>
          <w:i/>
          <w:snapToGrid/>
          <w:szCs w:val="24"/>
          <w:lang w:bidi="en-US"/>
        </w:rPr>
      </w:pPr>
      <w:r w:rsidRPr="005C3073">
        <w:rPr>
          <w:rFonts w:cs="Arial"/>
          <w:i/>
          <w:snapToGrid/>
          <w:szCs w:val="24"/>
          <w:lang w:bidi="en-US"/>
        </w:rPr>
        <w:t>Recipient</w:t>
      </w:r>
      <w:r w:rsidRPr="005C3073">
        <w:rPr>
          <w:rFonts w:cs="Arial"/>
          <w:snapToGrid/>
          <w:szCs w:val="24"/>
          <w:lang w:bidi="en-US"/>
        </w:rPr>
        <w:t>:</w:t>
      </w:r>
      <w:r w:rsidRPr="005C3073">
        <w:rPr>
          <w:rFonts w:cs="Arial"/>
          <w:snapToGrid/>
          <w:szCs w:val="24"/>
          <w:lang w:bidi="en-US"/>
        </w:rPr>
        <w:tab/>
        <w:t>The Governor, the Legislature, the Legislative Analyst’s Office, the Department of Finance, the State Board of Education, and the respective Chairpersons of the appropriate fiscal subcommittees considering budget appropriations and appropriate policy committees in each house</w:t>
      </w:r>
    </w:p>
    <w:p w14:paraId="050E0AEA" w14:textId="77777777" w:rsidR="00EB000A" w:rsidRPr="005C3073" w:rsidRDefault="0097517B" w:rsidP="00F95870">
      <w:pPr>
        <w:widowControl/>
        <w:tabs>
          <w:tab w:val="left" w:pos="1080"/>
        </w:tabs>
        <w:jc w:val="both"/>
        <w:rPr>
          <w:sz w:val="32"/>
          <w:szCs w:val="32"/>
        </w:rPr>
      </w:pPr>
      <w:r w:rsidRPr="005C3073">
        <w:rPr>
          <w:rFonts w:cs="Arial"/>
          <w:i/>
          <w:snapToGrid/>
          <w:szCs w:val="24"/>
          <w:lang w:bidi="en-US"/>
        </w:rPr>
        <w:t>Due Date</w:t>
      </w:r>
      <w:r w:rsidRPr="005C3073">
        <w:rPr>
          <w:rFonts w:cs="Arial"/>
          <w:snapToGrid/>
          <w:szCs w:val="24"/>
          <w:lang w:bidi="en-US"/>
        </w:rPr>
        <w:t xml:space="preserve">: </w:t>
      </w:r>
      <w:r w:rsidRPr="005C3073">
        <w:rPr>
          <w:rFonts w:cs="Arial"/>
          <w:snapToGrid/>
          <w:szCs w:val="24"/>
          <w:lang w:bidi="en-US"/>
        </w:rPr>
        <w:tab/>
        <w:t>On or before March 1 of each year</w:t>
      </w:r>
    </w:p>
    <w:p w14:paraId="050E0AEB" w14:textId="77777777" w:rsidR="0097517B" w:rsidRPr="005C3073" w:rsidRDefault="0097517B" w:rsidP="00F95870">
      <w:pPr>
        <w:widowControl/>
        <w:sectPr w:rsidR="0097517B" w:rsidRPr="005C3073" w:rsidSect="00427352">
          <w:footerReference w:type="default" r:id="rId9"/>
          <w:headerReference w:type="first" r:id="rId10"/>
          <w:footnotePr>
            <w:pos w:val="beneathText"/>
            <w:numRestart w:val="eachPage"/>
          </w:footnotePr>
          <w:pgSz w:w="12240" w:h="15840" w:code="1"/>
          <w:pgMar w:top="936" w:right="1080" w:bottom="936" w:left="1080" w:header="720" w:footer="720" w:gutter="0"/>
          <w:pgNumType w:start="0"/>
          <w:cols w:space="720"/>
          <w:titlePg/>
          <w:docGrid w:linePitch="360"/>
        </w:sectPr>
      </w:pPr>
    </w:p>
    <w:sdt>
      <w:sdtPr>
        <w:rPr>
          <w:rFonts w:ascii="Arial" w:eastAsia="Times New Roman" w:hAnsi="Arial" w:cs="Times New Roman"/>
          <w:noProof/>
          <w:snapToGrid w:val="0"/>
          <w:color w:val="auto"/>
          <w:sz w:val="24"/>
          <w:szCs w:val="20"/>
          <w:shd w:val="clear" w:color="auto" w:fill="E6E6E6"/>
        </w:rPr>
        <w:id w:val="62223151"/>
        <w:docPartObj>
          <w:docPartGallery w:val="Table of Contents"/>
          <w:docPartUnique/>
        </w:docPartObj>
      </w:sdtPr>
      <w:sdtContent>
        <w:p w14:paraId="0929D8A7" w14:textId="2569270E" w:rsidR="00112902" w:rsidRDefault="00112902" w:rsidP="00112902">
          <w:pPr>
            <w:pStyle w:val="TOCHeading"/>
            <w:spacing w:after="240"/>
            <w:jc w:val="center"/>
            <w:rPr>
              <w:noProof/>
              <w:shd w:val="clear" w:color="auto" w:fill="E6E6E6"/>
            </w:rPr>
          </w:pPr>
        </w:p>
        <w:p w14:paraId="050E0AEC" w14:textId="1F43DAB3" w:rsidR="00D20149" w:rsidRPr="00FE2A78" w:rsidRDefault="00233A4B" w:rsidP="00F95870">
          <w:pPr>
            <w:pStyle w:val="TOCHeading"/>
            <w:spacing w:after="240"/>
            <w:jc w:val="center"/>
            <w:rPr>
              <w:rStyle w:val="Heading2Char"/>
              <w:rFonts w:eastAsiaTheme="majorEastAsia"/>
              <w:color w:val="auto"/>
            </w:rPr>
          </w:pPr>
          <w:r w:rsidRPr="00FE2A78">
            <w:rPr>
              <w:rStyle w:val="Heading2Char"/>
              <w:rFonts w:eastAsiaTheme="majorEastAsia"/>
              <w:color w:val="auto"/>
            </w:rPr>
            <w:t>C</w:t>
          </w:r>
          <w:r w:rsidR="00D20149" w:rsidRPr="00FE2A78">
            <w:rPr>
              <w:rStyle w:val="Heading2Char"/>
              <w:rFonts w:eastAsiaTheme="majorEastAsia"/>
              <w:color w:val="auto"/>
            </w:rPr>
            <w:t>ontents</w:t>
          </w:r>
        </w:p>
        <w:p w14:paraId="668A52C9" w14:textId="68C8C050" w:rsidR="002B2E70" w:rsidRPr="00447685" w:rsidRDefault="00D20149" w:rsidP="00447685">
          <w:pPr>
            <w:pStyle w:val="TOC2"/>
            <w:rPr>
              <w:rFonts w:asciiTheme="minorHAnsi" w:eastAsiaTheme="minorEastAsia" w:hAnsiTheme="minorHAnsi" w:cstheme="minorBidi"/>
              <w:snapToGrid/>
              <w:sz w:val="22"/>
              <w:szCs w:val="22"/>
            </w:rPr>
          </w:pPr>
          <w:r w:rsidRPr="00FE2A78">
            <w:rPr>
              <w:noProof w:val="0"/>
              <w:color w:val="2B579A"/>
              <w:shd w:val="clear" w:color="auto" w:fill="E6E6E6"/>
            </w:rPr>
            <w:fldChar w:fldCharType="begin"/>
          </w:r>
          <w:r w:rsidRPr="00FE2A78">
            <w:instrText xml:space="preserve"> TOC \o "1-3" \h \z \u </w:instrText>
          </w:r>
          <w:r w:rsidRPr="00FE2A78">
            <w:rPr>
              <w:noProof w:val="0"/>
              <w:color w:val="2B579A"/>
              <w:shd w:val="clear" w:color="auto" w:fill="E6E6E6"/>
            </w:rPr>
            <w:fldChar w:fldCharType="separate"/>
          </w:r>
          <w:hyperlink w:anchor="_Toc43122193" w:history="1">
            <w:r w:rsidR="002B2E70" w:rsidRPr="00267550">
              <w:rPr>
                <w:rStyle w:val="Hyperlink"/>
                <w:b/>
              </w:rPr>
              <w:t>Executive Summary</w:t>
            </w:r>
            <w:r w:rsidR="002B2E70" w:rsidRPr="00447685">
              <w:rPr>
                <w:webHidden/>
              </w:rPr>
              <w:tab/>
            </w:r>
            <w:r w:rsidR="002B2E70" w:rsidRPr="00267550">
              <w:rPr>
                <w:b/>
                <w:webHidden/>
                <w:color w:val="2B579A"/>
                <w:shd w:val="clear" w:color="auto" w:fill="E6E6E6"/>
              </w:rPr>
              <w:fldChar w:fldCharType="begin"/>
            </w:r>
            <w:r w:rsidR="002B2E70" w:rsidRPr="006D5C07">
              <w:rPr>
                <w:b/>
                <w:webHidden/>
              </w:rPr>
              <w:instrText xml:space="preserve"> PAGEREF _Toc43122193 \h </w:instrText>
            </w:r>
            <w:r w:rsidR="002B2E70" w:rsidRPr="00267550">
              <w:rPr>
                <w:b/>
                <w:webHidden/>
                <w:color w:val="2B579A"/>
                <w:shd w:val="clear" w:color="auto" w:fill="E6E6E6"/>
              </w:rPr>
            </w:r>
            <w:r w:rsidR="002B2E70" w:rsidRPr="00267550">
              <w:rPr>
                <w:b/>
                <w:webHidden/>
                <w:color w:val="2B579A"/>
                <w:shd w:val="clear" w:color="auto" w:fill="E6E6E6"/>
              </w:rPr>
              <w:fldChar w:fldCharType="separate"/>
            </w:r>
            <w:r w:rsidR="00112902">
              <w:rPr>
                <w:b/>
                <w:webHidden/>
              </w:rPr>
              <w:t>1</w:t>
            </w:r>
            <w:r w:rsidR="002B2E70" w:rsidRPr="00267550">
              <w:rPr>
                <w:b/>
                <w:webHidden/>
                <w:color w:val="2B579A"/>
                <w:shd w:val="clear" w:color="auto" w:fill="E6E6E6"/>
              </w:rPr>
              <w:fldChar w:fldCharType="end"/>
            </w:r>
          </w:hyperlink>
        </w:p>
        <w:p w14:paraId="6396C64E" w14:textId="2D10E727" w:rsidR="002B2E70" w:rsidRPr="00447685" w:rsidRDefault="002B2E70" w:rsidP="00447685">
          <w:pPr>
            <w:pStyle w:val="TOC2"/>
            <w:rPr>
              <w:rFonts w:asciiTheme="minorHAnsi" w:eastAsiaTheme="minorEastAsia" w:hAnsiTheme="minorHAnsi" w:cstheme="minorBidi"/>
              <w:snapToGrid/>
              <w:sz w:val="22"/>
              <w:szCs w:val="22"/>
            </w:rPr>
          </w:pPr>
          <w:hyperlink w:anchor="_Toc43122194" w:history="1">
            <w:r w:rsidRPr="00267550">
              <w:rPr>
                <w:rStyle w:val="Hyperlink"/>
                <w:b/>
              </w:rPr>
              <w:t>Program Information</w:t>
            </w:r>
            <w:r w:rsidRPr="00447685">
              <w:rPr>
                <w:webHidden/>
              </w:rPr>
              <w:tab/>
            </w:r>
            <w:r w:rsidRPr="00267550">
              <w:rPr>
                <w:b/>
                <w:webHidden/>
                <w:color w:val="2B579A"/>
                <w:shd w:val="clear" w:color="auto" w:fill="E6E6E6"/>
              </w:rPr>
              <w:fldChar w:fldCharType="begin"/>
            </w:r>
            <w:r w:rsidRPr="006D5C07">
              <w:rPr>
                <w:b/>
                <w:webHidden/>
              </w:rPr>
              <w:instrText xml:space="preserve"> PAGEREF _Toc43122194 \h </w:instrText>
            </w:r>
            <w:r w:rsidRPr="00267550">
              <w:rPr>
                <w:b/>
                <w:webHidden/>
                <w:color w:val="2B579A"/>
                <w:shd w:val="clear" w:color="auto" w:fill="E6E6E6"/>
              </w:rPr>
            </w:r>
            <w:r w:rsidRPr="00267550">
              <w:rPr>
                <w:b/>
                <w:webHidden/>
                <w:color w:val="2B579A"/>
                <w:shd w:val="clear" w:color="auto" w:fill="E6E6E6"/>
              </w:rPr>
              <w:fldChar w:fldCharType="separate"/>
            </w:r>
            <w:r w:rsidR="00112902">
              <w:rPr>
                <w:b/>
                <w:webHidden/>
              </w:rPr>
              <w:t>3</w:t>
            </w:r>
            <w:r w:rsidRPr="00267550">
              <w:rPr>
                <w:b/>
                <w:webHidden/>
                <w:color w:val="2B579A"/>
                <w:shd w:val="clear" w:color="auto" w:fill="E6E6E6"/>
              </w:rPr>
              <w:fldChar w:fldCharType="end"/>
            </w:r>
          </w:hyperlink>
        </w:p>
        <w:p w14:paraId="2A427DA5" w14:textId="341F32DD" w:rsidR="002B2E70" w:rsidRPr="006C78DC" w:rsidRDefault="002B2E70" w:rsidP="00447685">
          <w:pPr>
            <w:pStyle w:val="TOC2"/>
            <w:rPr>
              <w:rFonts w:asciiTheme="minorHAnsi" w:eastAsiaTheme="minorEastAsia" w:hAnsiTheme="minorHAnsi" w:cstheme="minorBidi"/>
              <w:snapToGrid/>
              <w:sz w:val="22"/>
              <w:szCs w:val="22"/>
            </w:rPr>
          </w:pPr>
          <w:hyperlink w:anchor="_Toc43122195" w:history="1">
            <w:r w:rsidRPr="00267550">
              <w:rPr>
                <w:rStyle w:val="Hyperlink"/>
                <w:b/>
              </w:rPr>
              <w:t>Implementation Update</w:t>
            </w:r>
            <w:r w:rsidRPr="006C78DC">
              <w:rPr>
                <w:webHidden/>
              </w:rPr>
              <w:tab/>
            </w:r>
            <w:r w:rsidRPr="00267550">
              <w:rPr>
                <w:b/>
                <w:webHidden/>
                <w:color w:val="2B579A"/>
                <w:shd w:val="clear" w:color="auto" w:fill="E6E6E6"/>
              </w:rPr>
              <w:fldChar w:fldCharType="begin"/>
            </w:r>
            <w:r w:rsidRPr="006D5C07">
              <w:rPr>
                <w:b/>
                <w:webHidden/>
              </w:rPr>
              <w:instrText xml:space="preserve"> PAGEREF _Toc43122195 \h </w:instrText>
            </w:r>
            <w:r w:rsidRPr="00267550">
              <w:rPr>
                <w:b/>
                <w:webHidden/>
                <w:color w:val="2B579A"/>
                <w:shd w:val="clear" w:color="auto" w:fill="E6E6E6"/>
              </w:rPr>
            </w:r>
            <w:r w:rsidRPr="00267550">
              <w:rPr>
                <w:b/>
                <w:webHidden/>
                <w:color w:val="2B579A"/>
                <w:shd w:val="clear" w:color="auto" w:fill="E6E6E6"/>
              </w:rPr>
              <w:fldChar w:fldCharType="separate"/>
            </w:r>
            <w:r w:rsidR="00112902">
              <w:rPr>
                <w:b/>
                <w:webHidden/>
              </w:rPr>
              <w:t>7</w:t>
            </w:r>
            <w:r w:rsidRPr="00267550">
              <w:rPr>
                <w:b/>
                <w:webHidden/>
                <w:color w:val="2B579A"/>
                <w:shd w:val="clear" w:color="auto" w:fill="E6E6E6"/>
              </w:rPr>
              <w:fldChar w:fldCharType="end"/>
            </w:r>
          </w:hyperlink>
        </w:p>
        <w:p w14:paraId="53DAFE94" w14:textId="5B6BED92" w:rsidR="002B2E70" w:rsidRPr="002B2E70" w:rsidRDefault="002B2E70">
          <w:pPr>
            <w:pStyle w:val="TOC3"/>
            <w:rPr>
              <w:rFonts w:asciiTheme="minorHAnsi" w:eastAsiaTheme="minorEastAsia" w:hAnsiTheme="minorHAnsi" w:cstheme="minorBidi"/>
              <w:noProof/>
              <w:snapToGrid/>
              <w:sz w:val="22"/>
              <w:szCs w:val="22"/>
            </w:rPr>
          </w:pPr>
          <w:hyperlink w:anchor="_Toc43122196" w:history="1">
            <w:r w:rsidRPr="002B2E70">
              <w:rPr>
                <w:rStyle w:val="Hyperlink"/>
                <w:noProof/>
              </w:rPr>
              <w:t>Content Standards</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_Toc43122196 \h </w:instrText>
            </w:r>
            <w:r w:rsidRPr="002B2E70">
              <w:rPr>
                <w:noProof/>
                <w:webHidden/>
                <w:color w:val="2B579A"/>
                <w:shd w:val="clear" w:color="auto" w:fill="E6E6E6"/>
              </w:rPr>
            </w:r>
            <w:r w:rsidRPr="002B2E70">
              <w:rPr>
                <w:noProof/>
                <w:webHidden/>
                <w:color w:val="2B579A"/>
                <w:shd w:val="clear" w:color="auto" w:fill="E6E6E6"/>
              </w:rPr>
              <w:fldChar w:fldCharType="separate"/>
            </w:r>
            <w:r w:rsidR="00112902">
              <w:rPr>
                <w:noProof/>
                <w:webHidden/>
              </w:rPr>
              <w:t>7</w:t>
            </w:r>
            <w:r w:rsidRPr="002B2E70">
              <w:rPr>
                <w:noProof/>
                <w:webHidden/>
                <w:color w:val="2B579A"/>
                <w:shd w:val="clear" w:color="auto" w:fill="E6E6E6"/>
              </w:rPr>
              <w:fldChar w:fldCharType="end"/>
            </w:r>
          </w:hyperlink>
        </w:p>
        <w:p w14:paraId="1365533A" w14:textId="590D4460" w:rsidR="002B2E70" w:rsidRPr="002B2E70" w:rsidRDefault="002B2E70">
          <w:pPr>
            <w:pStyle w:val="TOC3"/>
            <w:rPr>
              <w:rFonts w:asciiTheme="minorHAnsi" w:eastAsiaTheme="minorEastAsia" w:hAnsiTheme="minorHAnsi" w:cstheme="minorBidi"/>
              <w:noProof/>
              <w:snapToGrid/>
              <w:sz w:val="22"/>
              <w:szCs w:val="22"/>
            </w:rPr>
          </w:pPr>
          <w:hyperlink w:anchor="_Toc43122197" w:history="1">
            <w:r w:rsidRPr="002B2E70">
              <w:rPr>
                <w:rStyle w:val="Hyperlink"/>
                <w:noProof/>
              </w:rPr>
              <w:t>Periodic Updates of Assessment Developments</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_Toc43122197 \h </w:instrText>
            </w:r>
            <w:r w:rsidRPr="002B2E70">
              <w:rPr>
                <w:noProof/>
                <w:webHidden/>
                <w:color w:val="2B579A"/>
                <w:shd w:val="clear" w:color="auto" w:fill="E6E6E6"/>
              </w:rPr>
            </w:r>
            <w:r w:rsidRPr="002B2E70">
              <w:rPr>
                <w:noProof/>
                <w:webHidden/>
                <w:color w:val="2B579A"/>
                <w:shd w:val="clear" w:color="auto" w:fill="E6E6E6"/>
              </w:rPr>
              <w:fldChar w:fldCharType="separate"/>
            </w:r>
            <w:r w:rsidR="00112902">
              <w:rPr>
                <w:noProof/>
                <w:webHidden/>
              </w:rPr>
              <w:t>7</w:t>
            </w:r>
            <w:r w:rsidRPr="002B2E70">
              <w:rPr>
                <w:noProof/>
                <w:webHidden/>
                <w:color w:val="2B579A"/>
                <w:shd w:val="clear" w:color="auto" w:fill="E6E6E6"/>
              </w:rPr>
              <w:fldChar w:fldCharType="end"/>
            </w:r>
          </w:hyperlink>
        </w:p>
        <w:p w14:paraId="31369B48" w14:textId="08658CD1" w:rsidR="002B2E70" w:rsidRPr="002B2E70" w:rsidRDefault="002B2E70">
          <w:pPr>
            <w:pStyle w:val="TOC3"/>
            <w:rPr>
              <w:rFonts w:asciiTheme="minorHAnsi" w:eastAsiaTheme="minorEastAsia" w:hAnsiTheme="minorHAnsi" w:cstheme="minorBidi"/>
              <w:noProof/>
              <w:snapToGrid/>
              <w:sz w:val="22"/>
              <w:szCs w:val="22"/>
            </w:rPr>
          </w:pPr>
          <w:hyperlink w:anchor="_Toc43122198" w:history="1">
            <w:r w:rsidRPr="002B2E70">
              <w:rPr>
                <w:rStyle w:val="Hyperlink"/>
                <w:noProof/>
              </w:rPr>
              <w:t>Informational Materials</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_Toc43122198 \h </w:instrText>
            </w:r>
            <w:r w:rsidRPr="002B2E70">
              <w:rPr>
                <w:noProof/>
                <w:webHidden/>
                <w:color w:val="2B579A"/>
                <w:shd w:val="clear" w:color="auto" w:fill="E6E6E6"/>
              </w:rPr>
            </w:r>
            <w:r w:rsidRPr="002B2E70">
              <w:rPr>
                <w:noProof/>
                <w:webHidden/>
                <w:color w:val="2B579A"/>
                <w:shd w:val="clear" w:color="auto" w:fill="E6E6E6"/>
              </w:rPr>
              <w:fldChar w:fldCharType="separate"/>
            </w:r>
            <w:r w:rsidR="00112902">
              <w:rPr>
                <w:noProof/>
                <w:webHidden/>
              </w:rPr>
              <w:t>9</w:t>
            </w:r>
            <w:r w:rsidRPr="002B2E70">
              <w:rPr>
                <w:noProof/>
                <w:webHidden/>
                <w:color w:val="2B579A"/>
                <w:shd w:val="clear" w:color="auto" w:fill="E6E6E6"/>
              </w:rPr>
              <w:fldChar w:fldCharType="end"/>
            </w:r>
          </w:hyperlink>
        </w:p>
        <w:p w14:paraId="16EFF060" w14:textId="23574048" w:rsidR="002B2E70" w:rsidRPr="002B2E70" w:rsidRDefault="002B2E70">
          <w:pPr>
            <w:pStyle w:val="TOC3"/>
            <w:rPr>
              <w:rFonts w:asciiTheme="minorHAnsi" w:eastAsiaTheme="minorEastAsia" w:hAnsiTheme="minorHAnsi" w:cstheme="minorBidi"/>
              <w:noProof/>
              <w:snapToGrid/>
              <w:sz w:val="22"/>
              <w:szCs w:val="22"/>
            </w:rPr>
          </w:pPr>
          <w:hyperlink w:anchor="_Toc43122199" w:history="1">
            <w:r w:rsidRPr="002B2E70">
              <w:rPr>
                <w:rStyle w:val="Hyperlink"/>
                <w:noProof/>
              </w:rPr>
              <w:t>Stakeholder Input</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_Toc43122199 \h </w:instrText>
            </w:r>
            <w:r w:rsidRPr="002B2E70">
              <w:rPr>
                <w:noProof/>
                <w:webHidden/>
                <w:color w:val="2B579A"/>
                <w:shd w:val="clear" w:color="auto" w:fill="E6E6E6"/>
              </w:rPr>
            </w:r>
            <w:r w:rsidRPr="002B2E70">
              <w:rPr>
                <w:noProof/>
                <w:webHidden/>
                <w:color w:val="2B579A"/>
                <w:shd w:val="clear" w:color="auto" w:fill="E6E6E6"/>
              </w:rPr>
              <w:fldChar w:fldCharType="separate"/>
            </w:r>
            <w:r w:rsidR="00112902">
              <w:rPr>
                <w:noProof/>
                <w:webHidden/>
              </w:rPr>
              <w:t>11</w:t>
            </w:r>
            <w:r w:rsidRPr="002B2E70">
              <w:rPr>
                <w:noProof/>
                <w:webHidden/>
                <w:color w:val="2B579A"/>
                <w:shd w:val="clear" w:color="auto" w:fill="E6E6E6"/>
              </w:rPr>
              <w:fldChar w:fldCharType="end"/>
            </w:r>
          </w:hyperlink>
        </w:p>
        <w:p w14:paraId="0DE556D7" w14:textId="5FBA56AE" w:rsidR="002B2E70" w:rsidRPr="002B2E70" w:rsidRDefault="002B2E70">
          <w:pPr>
            <w:pStyle w:val="TOC3"/>
            <w:rPr>
              <w:rFonts w:asciiTheme="minorHAnsi" w:eastAsiaTheme="minorEastAsia" w:hAnsiTheme="minorHAnsi" w:cstheme="minorBidi"/>
              <w:noProof/>
              <w:snapToGrid/>
              <w:sz w:val="22"/>
              <w:szCs w:val="22"/>
            </w:rPr>
          </w:pPr>
          <w:hyperlink w:anchor="_Toc43122200" w:history="1">
            <w:r w:rsidRPr="002B2E70">
              <w:rPr>
                <w:rStyle w:val="Hyperlink"/>
                <w:noProof/>
              </w:rPr>
              <w:t>Regulations</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_Toc43122200 \h </w:instrText>
            </w:r>
            <w:r w:rsidRPr="002B2E70">
              <w:rPr>
                <w:noProof/>
                <w:webHidden/>
                <w:color w:val="2B579A"/>
                <w:shd w:val="clear" w:color="auto" w:fill="E6E6E6"/>
              </w:rPr>
            </w:r>
            <w:r w:rsidRPr="002B2E70">
              <w:rPr>
                <w:noProof/>
                <w:webHidden/>
                <w:color w:val="2B579A"/>
                <w:shd w:val="clear" w:color="auto" w:fill="E6E6E6"/>
              </w:rPr>
              <w:fldChar w:fldCharType="separate"/>
            </w:r>
            <w:r w:rsidR="00112902">
              <w:rPr>
                <w:noProof/>
                <w:webHidden/>
              </w:rPr>
              <w:t>13</w:t>
            </w:r>
            <w:r w:rsidRPr="002B2E70">
              <w:rPr>
                <w:noProof/>
                <w:webHidden/>
                <w:color w:val="2B579A"/>
                <w:shd w:val="clear" w:color="auto" w:fill="E6E6E6"/>
              </w:rPr>
              <w:fldChar w:fldCharType="end"/>
            </w:r>
          </w:hyperlink>
        </w:p>
        <w:p w14:paraId="32411FEB" w14:textId="2DF25018" w:rsidR="002B2E70" w:rsidRPr="002B2E70" w:rsidRDefault="002B2E70">
          <w:pPr>
            <w:pStyle w:val="TOC3"/>
            <w:rPr>
              <w:rFonts w:asciiTheme="minorHAnsi" w:eastAsiaTheme="minorEastAsia" w:hAnsiTheme="minorHAnsi" w:cstheme="minorBidi"/>
              <w:noProof/>
              <w:snapToGrid/>
              <w:sz w:val="22"/>
              <w:szCs w:val="22"/>
            </w:rPr>
          </w:pPr>
          <w:hyperlink w:anchor="_Toc43122201" w:history="1">
            <w:r w:rsidRPr="002B2E70">
              <w:rPr>
                <w:rStyle w:val="Hyperlink"/>
                <w:noProof/>
              </w:rPr>
              <w:t>Contracts</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_Toc43122201 \h </w:instrText>
            </w:r>
            <w:r w:rsidRPr="002B2E70">
              <w:rPr>
                <w:noProof/>
                <w:webHidden/>
                <w:color w:val="2B579A"/>
                <w:shd w:val="clear" w:color="auto" w:fill="E6E6E6"/>
              </w:rPr>
            </w:r>
            <w:r w:rsidRPr="002B2E70">
              <w:rPr>
                <w:noProof/>
                <w:webHidden/>
                <w:color w:val="2B579A"/>
                <w:shd w:val="clear" w:color="auto" w:fill="E6E6E6"/>
              </w:rPr>
              <w:fldChar w:fldCharType="separate"/>
            </w:r>
            <w:r w:rsidR="00112902">
              <w:rPr>
                <w:noProof/>
                <w:webHidden/>
              </w:rPr>
              <w:t>13</w:t>
            </w:r>
            <w:r w:rsidRPr="002B2E70">
              <w:rPr>
                <w:noProof/>
                <w:webHidden/>
                <w:color w:val="2B579A"/>
                <w:shd w:val="clear" w:color="auto" w:fill="E6E6E6"/>
              </w:rPr>
              <w:fldChar w:fldCharType="end"/>
            </w:r>
          </w:hyperlink>
        </w:p>
        <w:p w14:paraId="07723B7D" w14:textId="6F36FE19" w:rsidR="002B2E70" w:rsidRPr="002B2E70" w:rsidRDefault="002B2E70">
          <w:pPr>
            <w:pStyle w:val="TOC3"/>
            <w:rPr>
              <w:rFonts w:asciiTheme="minorHAnsi" w:eastAsiaTheme="minorEastAsia" w:hAnsiTheme="minorHAnsi" w:cstheme="minorBidi"/>
              <w:noProof/>
              <w:snapToGrid/>
              <w:sz w:val="22"/>
              <w:szCs w:val="22"/>
            </w:rPr>
          </w:pPr>
          <w:hyperlink w:anchor="_Toc43122202" w:history="1">
            <w:r w:rsidRPr="002B2E70">
              <w:rPr>
                <w:rStyle w:val="Hyperlink"/>
                <w:noProof/>
              </w:rPr>
              <w:t>Technology Readiness</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_Toc43122202 \h </w:instrText>
            </w:r>
            <w:r w:rsidRPr="002B2E70">
              <w:rPr>
                <w:noProof/>
                <w:webHidden/>
                <w:color w:val="2B579A"/>
                <w:shd w:val="clear" w:color="auto" w:fill="E6E6E6"/>
              </w:rPr>
            </w:r>
            <w:r w:rsidRPr="002B2E70">
              <w:rPr>
                <w:noProof/>
                <w:webHidden/>
                <w:color w:val="2B579A"/>
                <w:shd w:val="clear" w:color="auto" w:fill="E6E6E6"/>
              </w:rPr>
              <w:fldChar w:fldCharType="separate"/>
            </w:r>
            <w:r w:rsidR="00112902">
              <w:rPr>
                <w:noProof/>
                <w:webHidden/>
              </w:rPr>
              <w:t>13</w:t>
            </w:r>
            <w:r w:rsidRPr="002B2E70">
              <w:rPr>
                <w:noProof/>
                <w:webHidden/>
                <w:color w:val="2B579A"/>
                <w:shd w:val="clear" w:color="auto" w:fill="E6E6E6"/>
              </w:rPr>
              <w:fldChar w:fldCharType="end"/>
            </w:r>
          </w:hyperlink>
        </w:p>
        <w:p w14:paraId="4460D7F7" w14:textId="5D3BEEC6" w:rsidR="002B2E70" w:rsidRPr="002B2E70" w:rsidRDefault="002B2E70">
          <w:pPr>
            <w:pStyle w:val="TOC3"/>
            <w:rPr>
              <w:rFonts w:asciiTheme="minorHAnsi" w:eastAsiaTheme="minorEastAsia" w:hAnsiTheme="minorHAnsi" w:cstheme="minorBidi"/>
              <w:noProof/>
              <w:snapToGrid/>
              <w:sz w:val="22"/>
              <w:szCs w:val="22"/>
            </w:rPr>
          </w:pPr>
          <w:hyperlink w:anchor="_Toc43122203" w:history="1">
            <w:r w:rsidRPr="002B2E70">
              <w:rPr>
                <w:rStyle w:val="Hyperlink"/>
                <w:noProof/>
              </w:rPr>
              <w:t>Test Security</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_Toc43122203 \h </w:instrText>
            </w:r>
            <w:r w:rsidRPr="002B2E70">
              <w:rPr>
                <w:noProof/>
                <w:webHidden/>
                <w:color w:val="2B579A"/>
                <w:shd w:val="clear" w:color="auto" w:fill="E6E6E6"/>
              </w:rPr>
            </w:r>
            <w:r w:rsidRPr="002B2E70">
              <w:rPr>
                <w:noProof/>
                <w:webHidden/>
                <w:color w:val="2B579A"/>
                <w:shd w:val="clear" w:color="auto" w:fill="E6E6E6"/>
              </w:rPr>
              <w:fldChar w:fldCharType="separate"/>
            </w:r>
            <w:r w:rsidR="00112902">
              <w:rPr>
                <w:noProof/>
                <w:webHidden/>
              </w:rPr>
              <w:t>13</w:t>
            </w:r>
            <w:r w:rsidRPr="002B2E70">
              <w:rPr>
                <w:noProof/>
                <w:webHidden/>
                <w:color w:val="2B579A"/>
                <w:shd w:val="clear" w:color="auto" w:fill="E6E6E6"/>
              </w:rPr>
              <w:fldChar w:fldCharType="end"/>
            </w:r>
          </w:hyperlink>
        </w:p>
        <w:p w14:paraId="524A095A" w14:textId="152EB021" w:rsidR="002B2E70" w:rsidRPr="002B2E70" w:rsidRDefault="002B2E70">
          <w:pPr>
            <w:pStyle w:val="TOC3"/>
            <w:rPr>
              <w:rFonts w:asciiTheme="minorHAnsi" w:eastAsiaTheme="minorEastAsia" w:hAnsiTheme="minorHAnsi" w:cstheme="minorBidi"/>
              <w:noProof/>
              <w:snapToGrid/>
              <w:sz w:val="22"/>
              <w:szCs w:val="22"/>
            </w:rPr>
          </w:pPr>
          <w:hyperlink w:anchor="_Toc43122204" w:history="1">
            <w:r w:rsidRPr="002B2E70">
              <w:rPr>
                <w:rStyle w:val="Hyperlink"/>
                <w:noProof/>
              </w:rPr>
              <w:t>Performance Standards</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_Toc43122204 \h </w:instrText>
            </w:r>
            <w:r w:rsidRPr="002B2E70">
              <w:rPr>
                <w:noProof/>
                <w:webHidden/>
                <w:color w:val="2B579A"/>
                <w:shd w:val="clear" w:color="auto" w:fill="E6E6E6"/>
              </w:rPr>
            </w:r>
            <w:r w:rsidRPr="002B2E70">
              <w:rPr>
                <w:noProof/>
                <w:webHidden/>
                <w:color w:val="2B579A"/>
                <w:shd w:val="clear" w:color="auto" w:fill="E6E6E6"/>
              </w:rPr>
              <w:fldChar w:fldCharType="separate"/>
            </w:r>
            <w:r w:rsidR="00112902">
              <w:rPr>
                <w:noProof/>
                <w:webHidden/>
              </w:rPr>
              <w:t>13</w:t>
            </w:r>
            <w:r w:rsidRPr="002B2E70">
              <w:rPr>
                <w:noProof/>
                <w:webHidden/>
                <w:color w:val="2B579A"/>
                <w:shd w:val="clear" w:color="auto" w:fill="E6E6E6"/>
              </w:rPr>
              <w:fldChar w:fldCharType="end"/>
            </w:r>
          </w:hyperlink>
        </w:p>
        <w:p w14:paraId="7D55ADBD" w14:textId="42836412" w:rsidR="002B2E70" w:rsidRPr="002B2E70" w:rsidRDefault="002B2E70">
          <w:pPr>
            <w:pStyle w:val="TOC3"/>
            <w:rPr>
              <w:rFonts w:asciiTheme="minorHAnsi" w:eastAsiaTheme="minorEastAsia" w:hAnsiTheme="minorHAnsi" w:cstheme="minorBidi"/>
              <w:noProof/>
              <w:snapToGrid/>
              <w:sz w:val="22"/>
              <w:szCs w:val="22"/>
            </w:rPr>
          </w:pPr>
          <w:hyperlink w:anchor="_Toc43122205" w:history="1">
            <w:r w:rsidRPr="002B2E70">
              <w:rPr>
                <w:rStyle w:val="Hyperlink"/>
                <w:noProof/>
              </w:rPr>
              <w:t>Reporting of Results</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_Toc43122205 \h </w:instrText>
            </w:r>
            <w:r w:rsidRPr="002B2E70">
              <w:rPr>
                <w:noProof/>
                <w:webHidden/>
                <w:color w:val="2B579A"/>
                <w:shd w:val="clear" w:color="auto" w:fill="E6E6E6"/>
              </w:rPr>
            </w:r>
            <w:r w:rsidRPr="002B2E70">
              <w:rPr>
                <w:noProof/>
                <w:webHidden/>
                <w:color w:val="2B579A"/>
                <w:shd w:val="clear" w:color="auto" w:fill="E6E6E6"/>
              </w:rPr>
              <w:fldChar w:fldCharType="separate"/>
            </w:r>
            <w:r w:rsidR="00112902">
              <w:rPr>
                <w:noProof/>
                <w:webHidden/>
              </w:rPr>
              <w:t>13</w:t>
            </w:r>
            <w:r w:rsidRPr="002B2E70">
              <w:rPr>
                <w:noProof/>
                <w:webHidden/>
                <w:color w:val="2B579A"/>
                <w:shd w:val="clear" w:color="auto" w:fill="E6E6E6"/>
              </w:rPr>
              <w:fldChar w:fldCharType="end"/>
            </w:r>
          </w:hyperlink>
        </w:p>
        <w:p w14:paraId="5AF72904" w14:textId="48D6FD99" w:rsidR="002B2E70" w:rsidRPr="002B2E70" w:rsidRDefault="002B2E70">
          <w:pPr>
            <w:pStyle w:val="TOC3"/>
            <w:rPr>
              <w:rFonts w:asciiTheme="minorHAnsi" w:eastAsiaTheme="minorEastAsia" w:hAnsiTheme="minorHAnsi" w:cstheme="minorBidi"/>
              <w:noProof/>
              <w:snapToGrid/>
              <w:sz w:val="22"/>
              <w:szCs w:val="22"/>
            </w:rPr>
          </w:pPr>
          <w:hyperlink w:anchor="_Toc43122206" w:history="1">
            <w:r w:rsidRPr="002B2E70">
              <w:rPr>
                <w:rStyle w:val="Hyperlink"/>
                <w:noProof/>
              </w:rPr>
              <w:t>Peer Review Status</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_Toc43122206 \h </w:instrText>
            </w:r>
            <w:r w:rsidRPr="002B2E70">
              <w:rPr>
                <w:noProof/>
                <w:webHidden/>
                <w:color w:val="2B579A"/>
                <w:shd w:val="clear" w:color="auto" w:fill="E6E6E6"/>
              </w:rPr>
            </w:r>
            <w:r w:rsidRPr="002B2E70">
              <w:rPr>
                <w:noProof/>
                <w:webHidden/>
                <w:color w:val="2B579A"/>
                <w:shd w:val="clear" w:color="auto" w:fill="E6E6E6"/>
              </w:rPr>
              <w:fldChar w:fldCharType="separate"/>
            </w:r>
            <w:r w:rsidR="00112902">
              <w:rPr>
                <w:noProof/>
                <w:webHidden/>
              </w:rPr>
              <w:t>14</w:t>
            </w:r>
            <w:r w:rsidRPr="002B2E70">
              <w:rPr>
                <w:noProof/>
                <w:webHidden/>
                <w:color w:val="2B579A"/>
                <w:shd w:val="clear" w:color="auto" w:fill="E6E6E6"/>
              </w:rPr>
              <w:fldChar w:fldCharType="end"/>
            </w:r>
          </w:hyperlink>
        </w:p>
        <w:p w14:paraId="56ED53F2" w14:textId="3673F682" w:rsidR="002B2E70" w:rsidRPr="002B2E70" w:rsidRDefault="002B2E70">
          <w:pPr>
            <w:pStyle w:val="TOC3"/>
            <w:rPr>
              <w:rFonts w:asciiTheme="minorHAnsi" w:eastAsiaTheme="minorEastAsia" w:hAnsiTheme="minorHAnsi" w:cstheme="minorBidi"/>
              <w:noProof/>
              <w:snapToGrid/>
              <w:sz w:val="22"/>
              <w:szCs w:val="22"/>
            </w:rPr>
          </w:pPr>
          <w:hyperlink w:anchor="_Toc43122207" w:history="1">
            <w:r w:rsidRPr="002B2E70">
              <w:rPr>
                <w:rStyle w:val="Hyperlink"/>
                <w:noProof/>
              </w:rPr>
              <w:t>Independent Evaluation</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_Toc43122207 \h </w:instrText>
            </w:r>
            <w:r w:rsidRPr="002B2E70">
              <w:rPr>
                <w:noProof/>
                <w:webHidden/>
                <w:color w:val="2B579A"/>
                <w:shd w:val="clear" w:color="auto" w:fill="E6E6E6"/>
              </w:rPr>
            </w:r>
            <w:r w:rsidRPr="002B2E70">
              <w:rPr>
                <w:noProof/>
                <w:webHidden/>
                <w:color w:val="2B579A"/>
                <w:shd w:val="clear" w:color="auto" w:fill="E6E6E6"/>
              </w:rPr>
              <w:fldChar w:fldCharType="separate"/>
            </w:r>
            <w:r w:rsidR="00112902">
              <w:rPr>
                <w:noProof/>
                <w:webHidden/>
              </w:rPr>
              <w:t>15</w:t>
            </w:r>
            <w:r w:rsidRPr="002B2E70">
              <w:rPr>
                <w:noProof/>
                <w:webHidden/>
                <w:color w:val="2B579A"/>
                <w:shd w:val="clear" w:color="auto" w:fill="E6E6E6"/>
              </w:rPr>
              <w:fldChar w:fldCharType="end"/>
            </w:r>
          </w:hyperlink>
        </w:p>
        <w:p w14:paraId="69BA4E6B" w14:textId="3A8B0AB7" w:rsidR="002B2E70" w:rsidRPr="002B2E70" w:rsidRDefault="002B2E70">
          <w:pPr>
            <w:pStyle w:val="TOC3"/>
            <w:rPr>
              <w:rFonts w:asciiTheme="minorHAnsi" w:eastAsiaTheme="minorEastAsia" w:hAnsiTheme="minorHAnsi" w:cstheme="minorBidi"/>
              <w:noProof/>
              <w:snapToGrid/>
              <w:sz w:val="22"/>
              <w:szCs w:val="22"/>
            </w:rPr>
          </w:pPr>
          <w:hyperlink w:anchor="_Toc43122208" w:history="1">
            <w:r w:rsidRPr="002B2E70">
              <w:rPr>
                <w:rStyle w:val="Hyperlink"/>
                <w:noProof/>
              </w:rPr>
              <w:t xml:space="preserve">Smarter Balanced Summative Assessments, Interim Assessments, and </w:t>
            </w:r>
            <w:r w:rsidR="00361801">
              <w:rPr>
                <w:rStyle w:val="Hyperlink"/>
                <w:noProof/>
              </w:rPr>
              <w:br/>
            </w:r>
            <w:r w:rsidRPr="002B2E70">
              <w:rPr>
                <w:rStyle w:val="Hyperlink"/>
                <w:noProof/>
              </w:rPr>
              <w:t>Digital Library</w:t>
            </w:r>
            <w:r w:rsidR="000E4D10">
              <w:rPr>
                <w:rStyle w:val="Hyperlink"/>
                <w:noProof/>
              </w:rPr>
              <w:t xml:space="preserve"> (Tools for Teachers)</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_Toc43122208 \h </w:instrText>
            </w:r>
            <w:r w:rsidRPr="002B2E70">
              <w:rPr>
                <w:noProof/>
                <w:webHidden/>
                <w:color w:val="2B579A"/>
                <w:shd w:val="clear" w:color="auto" w:fill="E6E6E6"/>
              </w:rPr>
            </w:r>
            <w:r w:rsidRPr="002B2E70">
              <w:rPr>
                <w:noProof/>
                <w:webHidden/>
                <w:color w:val="2B579A"/>
                <w:shd w:val="clear" w:color="auto" w:fill="E6E6E6"/>
              </w:rPr>
              <w:fldChar w:fldCharType="separate"/>
            </w:r>
            <w:r w:rsidR="00112902">
              <w:rPr>
                <w:noProof/>
                <w:webHidden/>
              </w:rPr>
              <w:t>16</w:t>
            </w:r>
            <w:r w:rsidRPr="002B2E70">
              <w:rPr>
                <w:noProof/>
                <w:webHidden/>
                <w:color w:val="2B579A"/>
                <w:shd w:val="clear" w:color="auto" w:fill="E6E6E6"/>
              </w:rPr>
              <w:fldChar w:fldCharType="end"/>
            </w:r>
          </w:hyperlink>
        </w:p>
        <w:p w14:paraId="2B5F411B" w14:textId="5909ACB4" w:rsidR="002B2E70" w:rsidRPr="002B2E70" w:rsidRDefault="002B2E70">
          <w:pPr>
            <w:pStyle w:val="TOC3"/>
            <w:rPr>
              <w:rFonts w:asciiTheme="minorHAnsi" w:eastAsiaTheme="minorEastAsia" w:hAnsiTheme="minorHAnsi" w:cstheme="minorBidi"/>
              <w:noProof/>
              <w:snapToGrid/>
              <w:sz w:val="22"/>
              <w:szCs w:val="22"/>
            </w:rPr>
          </w:pPr>
          <w:hyperlink w:anchor="_Toc43122209" w:history="1">
            <w:r w:rsidRPr="002B2E70">
              <w:rPr>
                <w:rStyle w:val="Hyperlink"/>
                <w:noProof/>
              </w:rPr>
              <w:t>California Alternate Assessments for English Language Arts and Mathematics</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_Toc43122209 \h </w:instrText>
            </w:r>
            <w:r w:rsidRPr="002B2E70">
              <w:rPr>
                <w:noProof/>
                <w:webHidden/>
                <w:color w:val="2B579A"/>
                <w:shd w:val="clear" w:color="auto" w:fill="E6E6E6"/>
              </w:rPr>
            </w:r>
            <w:r w:rsidRPr="002B2E70">
              <w:rPr>
                <w:noProof/>
                <w:webHidden/>
                <w:color w:val="2B579A"/>
                <w:shd w:val="clear" w:color="auto" w:fill="E6E6E6"/>
              </w:rPr>
              <w:fldChar w:fldCharType="separate"/>
            </w:r>
            <w:r w:rsidR="00112902">
              <w:rPr>
                <w:noProof/>
                <w:webHidden/>
              </w:rPr>
              <w:t>17</w:t>
            </w:r>
            <w:r w:rsidRPr="002B2E70">
              <w:rPr>
                <w:noProof/>
                <w:webHidden/>
                <w:color w:val="2B579A"/>
                <w:shd w:val="clear" w:color="auto" w:fill="E6E6E6"/>
              </w:rPr>
              <w:fldChar w:fldCharType="end"/>
            </w:r>
          </w:hyperlink>
        </w:p>
        <w:p w14:paraId="0051614F" w14:textId="491CC2A6" w:rsidR="002B2E70" w:rsidRPr="002B2E70" w:rsidRDefault="002B2E70">
          <w:pPr>
            <w:pStyle w:val="TOC3"/>
            <w:rPr>
              <w:rFonts w:asciiTheme="minorHAnsi" w:eastAsiaTheme="minorEastAsia" w:hAnsiTheme="minorHAnsi" w:cstheme="minorBidi"/>
              <w:noProof/>
              <w:snapToGrid/>
              <w:sz w:val="22"/>
              <w:szCs w:val="22"/>
            </w:rPr>
          </w:pPr>
          <w:hyperlink w:anchor="_Toc43122210" w:history="1">
            <w:r w:rsidRPr="002B2E70">
              <w:rPr>
                <w:rStyle w:val="Hyperlink"/>
                <w:noProof/>
              </w:rPr>
              <w:t>California Science Test</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_Toc43122210 \h </w:instrText>
            </w:r>
            <w:r w:rsidRPr="002B2E70">
              <w:rPr>
                <w:noProof/>
                <w:webHidden/>
                <w:color w:val="2B579A"/>
                <w:shd w:val="clear" w:color="auto" w:fill="E6E6E6"/>
              </w:rPr>
            </w:r>
            <w:r w:rsidRPr="002B2E70">
              <w:rPr>
                <w:noProof/>
                <w:webHidden/>
                <w:color w:val="2B579A"/>
                <w:shd w:val="clear" w:color="auto" w:fill="E6E6E6"/>
              </w:rPr>
              <w:fldChar w:fldCharType="separate"/>
            </w:r>
            <w:r w:rsidR="00112902">
              <w:rPr>
                <w:noProof/>
                <w:webHidden/>
              </w:rPr>
              <w:t>18</w:t>
            </w:r>
            <w:r w:rsidRPr="002B2E70">
              <w:rPr>
                <w:noProof/>
                <w:webHidden/>
                <w:color w:val="2B579A"/>
                <w:shd w:val="clear" w:color="auto" w:fill="E6E6E6"/>
              </w:rPr>
              <w:fldChar w:fldCharType="end"/>
            </w:r>
          </w:hyperlink>
        </w:p>
        <w:p w14:paraId="4D0EC587" w14:textId="140DE3E5" w:rsidR="002B2E70" w:rsidRPr="002B2E70" w:rsidRDefault="002B2E70">
          <w:pPr>
            <w:pStyle w:val="TOC3"/>
            <w:rPr>
              <w:rFonts w:asciiTheme="minorHAnsi" w:eastAsiaTheme="minorEastAsia" w:hAnsiTheme="minorHAnsi" w:cstheme="minorBidi"/>
              <w:noProof/>
              <w:snapToGrid/>
              <w:sz w:val="22"/>
              <w:szCs w:val="22"/>
            </w:rPr>
          </w:pPr>
          <w:hyperlink w:anchor="_Toc43122211" w:history="1">
            <w:r w:rsidRPr="002B2E70">
              <w:rPr>
                <w:rStyle w:val="Hyperlink"/>
                <w:noProof/>
              </w:rPr>
              <w:t>California Alternate Assessment for Science</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_Toc43122211 \h </w:instrText>
            </w:r>
            <w:r w:rsidRPr="002B2E70">
              <w:rPr>
                <w:noProof/>
                <w:webHidden/>
                <w:color w:val="2B579A"/>
                <w:shd w:val="clear" w:color="auto" w:fill="E6E6E6"/>
              </w:rPr>
            </w:r>
            <w:r w:rsidRPr="002B2E70">
              <w:rPr>
                <w:noProof/>
                <w:webHidden/>
                <w:color w:val="2B579A"/>
                <w:shd w:val="clear" w:color="auto" w:fill="E6E6E6"/>
              </w:rPr>
              <w:fldChar w:fldCharType="separate"/>
            </w:r>
            <w:r w:rsidR="00112902">
              <w:rPr>
                <w:noProof/>
                <w:webHidden/>
              </w:rPr>
              <w:t>18</w:t>
            </w:r>
            <w:r w:rsidRPr="002B2E70">
              <w:rPr>
                <w:noProof/>
                <w:webHidden/>
                <w:color w:val="2B579A"/>
                <w:shd w:val="clear" w:color="auto" w:fill="E6E6E6"/>
              </w:rPr>
              <w:fldChar w:fldCharType="end"/>
            </w:r>
          </w:hyperlink>
        </w:p>
        <w:p w14:paraId="4ABC9DDE" w14:textId="271662F9" w:rsidR="002B2E70" w:rsidRPr="002B2E70" w:rsidRDefault="002B2E70">
          <w:pPr>
            <w:pStyle w:val="TOC3"/>
            <w:rPr>
              <w:rFonts w:asciiTheme="minorHAnsi" w:eastAsiaTheme="minorEastAsia" w:hAnsiTheme="minorHAnsi" w:cstheme="minorBidi"/>
              <w:noProof/>
              <w:snapToGrid/>
              <w:sz w:val="22"/>
              <w:szCs w:val="22"/>
            </w:rPr>
          </w:pPr>
          <w:hyperlink w:anchor="_Toc43122212" w:history="1">
            <w:r w:rsidRPr="002B2E70">
              <w:rPr>
                <w:rStyle w:val="Hyperlink"/>
                <w:noProof/>
              </w:rPr>
              <w:t>California Spanish Assessment</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_Toc43122212 \h </w:instrText>
            </w:r>
            <w:r w:rsidRPr="002B2E70">
              <w:rPr>
                <w:noProof/>
                <w:webHidden/>
                <w:color w:val="2B579A"/>
                <w:shd w:val="clear" w:color="auto" w:fill="E6E6E6"/>
              </w:rPr>
            </w:r>
            <w:r w:rsidRPr="002B2E70">
              <w:rPr>
                <w:noProof/>
                <w:webHidden/>
                <w:color w:val="2B579A"/>
                <w:shd w:val="clear" w:color="auto" w:fill="E6E6E6"/>
              </w:rPr>
              <w:fldChar w:fldCharType="separate"/>
            </w:r>
            <w:r w:rsidR="00112902">
              <w:rPr>
                <w:noProof/>
                <w:webHidden/>
              </w:rPr>
              <w:t>19</w:t>
            </w:r>
            <w:r w:rsidRPr="002B2E70">
              <w:rPr>
                <w:noProof/>
                <w:webHidden/>
                <w:color w:val="2B579A"/>
                <w:shd w:val="clear" w:color="auto" w:fill="E6E6E6"/>
              </w:rPr>
              <w:fldChar w:fldCharType="end"/>
            </w:r>
          </w:hyperlink>
        </w:p>
        <w:p w14:paraId="41011CFF" w14:textId="25290F96" w:rsidR="002B2E70" w:rsidRPr="002B2E70" w:rsidRDefault="002B2E70">
          <w:pPr>
            <w:pStyle w:val="TOC3"/>
            <w:rPr>
              <w:rFonts w:asciiTheme="minorHAnsi" w:eastAsiaTheme="minorEastAsia" w:hAnsiTheme="minorHAnsi" w:cstheme="minorBidi"/>
              <w:noProof/>
              <w:snapToGrid/>
              <w:sz w:val="22"/>
              <w:szCs w:val="22"/>
            </w:rPr>
          </w:pPr>
          <w:hyperlink w:anchor="_Toc43122213" w:history="1">
            <w:r w:rsidRPr="002B2E70">
              <w:rPr>
                <w:rStyle w:val="Hyperlink"/>
                <w:noProof/>
              </w:rPr>
              <w:t>California Educator Reporting System</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_Toc43122213 \h </w:instrText>
            </w:r>
            <w:r w:rsidRPr="002B2E70">
              <w:rPr>
                <w:noProof/>
                <w:webHidden/>
                <w:color w:val="2B579A"/>
                <w:shd w:val="clear" w:color="auto" w:fill="E6E6E6"/>
              </w:rPr>
            </w:r>
            <w:r w:rsidRPr="002B2E70">
              <w:rPr>
                <w:noProof/>
                <w:webHidden/>
                <w:color w:val="2B579A"/>
                <w:shd w:val="clear" w:color="auto" w:fill="E6E6E6"/>
              </w:rPr>
              <w:fldChar w:fldCharType="separate"/>
            </w:r>
            <w:r w:rsidR="00112902">
              <w:rPr>
                <w:noProof/>
                <w:webHidden/>
              </w:rPr>
              <w:t>19</w:t>
            </w:r>
            <w:r w:rsidRPr="002B2E70">
              <w:rPr>
                <w:noProof/>
                <w:webHidden/>
                <w:color w:val="2B579A"/>
                <w:shd w:val="clear" w:color="auto" w:fill="E6E6E6"/>
              </w:rPr>
              <w:fldChar w:fldCharType="end"/>
            </w:r>
          </w:hyperlink>
        </w:p>
        <w:p w14:paraId="62C24A30" w14:textId="14DAA5CB" w:rsidR="002B2E70" w:rsidRPr="002B2E70" w:rsidRDefault="002B2E70">
          <w:pPr>
            <w:pStyle w:val="TOC3"/>
            <w:rPr>
              <w:rFonts w:asciiTheme="minorHAnsi" w:eastAsiaTheme="minorEastAsia" w:hAnsiTheme="minorHAnsi" w:cstheme="minorBidi"/>
              <w:noProof/>
              <w:snapToGrid/>
              <w:sz w:val="22"/>
              <w:szCs w:val="22"/>
            </w:rPr>
          </w:pPr>
          <w:hyperlink w:anchor="_Toc43122214" w:history="1">
            <w:r w:rsidRPr="002B2E70">
              <w:rPr>
                <w:rStyle w:val="Hyperlink"/>
                <w:noProof/>
              </w:rPr>
              <w:t>Early Assessment Program</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_Toc43122214 \h </w:instrText>
            </w:r>
            <w:r w:rsidRPr="002B2E70">
              <w:rPr>
                <w:noProof/>
                <w:webHidden/>
                <w:color w:val="2B579A"/>
                <w:shd w:val="clear" w:color="auto" w:fill="E6E6E6"/>
              </w:rPr>
            </w:r>
            <w:r w:rsidRPr="002B2E70">
              <w:rPr>
                <w:noProof/>
                <w:webHidden/>
                <w:color w:val="2B579A"/>
                <w:shd w:val="clear" w:color="auto" w:fill="E6E6E6"/>
              </w:rPr>
              <w:fldChar w:fldCharType="separate"/>
            </w:r>
            <w:r w:rsidR="00112902">
              <w:rPr>
                <w:noProof/>
                <w:webHidden/>
              </w:rPr>
              <w:t>20</w:t>
            </w:r>
            <w:r w:rsidRPr="002B2E70">
              <w:rPr>
                <w:noProof/>
                <w:webHidden/>
                <w:color w:val="2B579A"/>
                <w:shd w:val="clear" w:color="auto" w:fill="E6E6E6"/>
              </w:rPr>
              <w:fldChar w:fldCharType="end"/>
            </w:r>
          </w:hyperlink>
        </w:p>
        <w:p w14:paraId="52A4EE53" w14:textId="0FB7C886" w:rsidR="002B2E70" w:rsidRPr="002B2E70" w:rsidRDefault="002B2E70">
          <w:pPr>
            <w:pStyle w:val="TOC3"/>
            <w:rPr>
              <w:rFonts w:asciiTheme="minorHAnsi" w:eastAsiaTheme="minorEastAsia" w:hAnsiTheme="minorHAnsi" w:cstheme="minorBidi"/>
              <w:noProof/>
              <w:snapToGrid/>
              <w:sz w:val="22"/>
              <w:szCs w:val="22"/>
            </w:rPr>
          </w:pPr>
          <w:hyperlink w:anchor="_Toc43122215" w:history="1">
            <w:r w:rsidRPr="002B2E70">
              <w:rPr>
                <w:rStyle w:val="Hyperlink"/>
                <w:noProof/>
              </w:rPr>
              <w:t>California Assessment of Student Performance and Progress Expansion</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_Toc43122215 \h </w:instrText>
            </w:r>
            <w:r w:rsidRPr="002B2E70">
              <w:rPr>
                <w:noProof/>
                <w:webHidden/>
                <w:color w:val="2B579A"/>
                <w:shd w:val="clear" w:color="auto" w:fill="E6E6E6"/>
              </w:rPr>
            </w:r>
            <w:r w:rsidRPr="002B2E70">
              <w:rPr>
                <w:noProof/>
                <w:webHidden/>
                <w:color w:val="2B579A"/>
                <w:shd w:val="clear" w:color="auto" w:fill="E6E6E6"/>
              </w:rPr>
              <w:fldChar w:fldCharType="separate"/>
            </w:r>
            <w:r w:rsidR="00112902">
              <w:rPr>
                <w:noProof/>
                <w:webHidden/>
              </w:rPr>
              <w:t>20</w:t>
            </w:r>
            <w:r w:rsidRPr="002B2E70">
              <w:rPr>
                <w:noProof/>
                <w:webHidden/>
                <w:color w:val="2B579A"/>
                <w:shd w:val="clear" w:color="auto" w:fill="E6E6E6"/>
              </w:rPr>
              <w:fldChar w:fldCharType="end"/>
            </w:r>
          </w:hyperlink>
        </w:p>
        <w:p w14:paraId="1C57CCA8" w14:textId="11C418AF" w:rsidR="002B2E70" w:rsidRPr="002B2E70" w:rsidRDefault="002B2E70">
          <w:pPr>
            <w:pStyle w:val="TOC3"/>
            <w:rPr>
              <w:rFonts w:asciiTheme="minorHAnsi" w:eastAsiaTheme="minorEastAsia" w:hAnsiTheme="minorHAnsi" w:cstheme="minorBidi"/>
              <w:noProof/>
              <w:snapToGrid/>
              <w:sz w:val="22"/>
              <w:szCs w:val="22"/>
            </w:rPr>
          </w:pPr>
          <w:hyperlink w:anchor="_Toc43122216" w:history="1">
            <w:r w:rsidRPr="002B2E70">
              <w:rPr>
                <w:rStyle w:val="Hyperlink"/>
                <w:noProof/>
              </w:rPr>
              <w:t>Grade Two Diagnostic Assessments for Language Arts and Mathematics</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_Toc43122216 \h </w:instrText>
            </w:r>
            <w:r w:rsidRPr="002B2E70">
              <w:rPr>
                <w:noProof/>
                <w:webHidden/>
                <w:color w:val="2B579A"/>
                <w:shd w:val="clear" w:color="auto" w:fill="E6E6E6"/>
              </w:rPr>
            </w:r>
            <w:r w:rsidRPr="002B2E70">
              <w:rPr>
                <w:noProof/>
                <w:webHidden/>
                <w:color w:val="2B579A"/>
                <w:shd w:val="clear" w:color="auto" w:fill="E6E6E6"/>
              </w:rPr>
              <w:fldChar w:fldCharType="separate"/>
            </w:r>
            <w:r w:rsidR="00112902">
              <w:rPr>
                <w:noProof/>
                <w:webHidden/>
              </w:rPr>
              <w:t>20</w:t>
            </w:r>
            <w:r w:rsidRPr="002B2E70">
              <w:rPr>
                <w:noProof/>
                <w:webHidden/>
                <w:color w:val="2B579A"/>
                <w:shd w:val="clear" w:color="auto" w:fill="E6E6E6"/>
              </w:rPr>
              <w:fldChar w:fldCharType="end"/>
            </w:r>
          </w:hyperlink>
        </w:p>
        <w:p w14:paraId="6F530F16" w14:textId="1869F613" w:rsidR="002B2E70" w:rsidRPr="00447685" w:rsidRDefault="002B2E70" w:rsidP="00447685">
          <w:pPr>
            <w:pStyle w:val="TOC2"/>
            <w:rPr>
              <w:rFonts w:asciiTheme="minorHAnsi" w:eastAsiaTheme="minorEastAsia" w:hAnsiTheme="minorHAnsi" w:cstheme="minorBidi"/>
              <w:snapToGrid/>
              <w:sz w:val="22"/>
              <w:szCs w:val="22"/>
            </w:rPr>
          </w:pPr>
          <w:hyperlink w:anchor="_Toc43122217" w:history="1">
            <w:r w:rsidRPr="00727F1A">
              <w:rPr>
                <w:rStyle w:val="Hyperlink"/>
                <w:b/>
              </w:rPr>
              <w:t>Contract Costs</w:t>
            </w:r>
            <w:r w:rsidRPr="00447685">
              <w:rPr>
                <w:webHidden/>
              </w:rPr>
              <w:tab/>
            </w:r>
            <w:r w:rsidRPr="00267550">
              <w:rPr>
                <w:b/>
                <w:webHidden/>
                <w:color w:val="2B579A"/>
                <w:shd w:val="clear" w:color="auto" w:fill="E6E6E6"/>
              </w:rPr>
              <w:fldChar w:fldCharType="begin"/>
            </w:r>
            <w:r w:rsidRPr="006D5C07">
              <w:rPr>
                <w:b/>
                <w:webHidden/>
              </w:rPr>
              <w:instrText xml:space="preserve"> PAGEREF _Toc43122217 \h </w:instrText>
            </w:r>
            <w:r w:rsidRPr="00267550">
              <w:rPr>
                <w:b/>
                <w:webHidden/>
                <w:color w:val="2B579A"/>
                <w:shd w:val="clear" w:color="auto" w:fill="E6E6E6"/>
              </w:rPr>
            </w:r>
            <w:r w:rsidRPr="00267550">
              <w:rPr>
                <w:b/>
                <w:webHidden/>
                <w:color w:val="2B579A"/>
                <w:shd w:val="clear" w:color="auto" w:fill="E6E6E6"/>
              </w:rPr>
              <w:fldChar w:fldCharType="separate"/>
            </w:r>
            <w:r w:rsidR="00112902">
              <w:rPr>
                <w:b/>
                <w:webHidden/>
              </w:rPr>
              <w:t>21</w:t>
            </w:r>
            <w:r w:rsidRPr="00267550">
              <w:rPr>
                <w:b/>
                <w:webHidden/>
                <w:color w:val="2B579A"/>
                <w:shd w:val="clear" w:color="auto" w:fill="E6E6E6"/>
              </w:rPr>
              <w:fldChar w:fldCharType="end"/>
            </w:r>
          </w:hyperlink>
        </w:p>
        <w:p w14:paraId="6076B8D3" w14:textId="318067E8" w:rsidR="002B2E70" w:rsidRPr="002B2E70" w:rsidRDefault="002B2E70">
          <w:pPr>
            <w:pStyle w:val="TOC3"/>
            <w:rPr>
              <w:rFonts w:asciiTheme="minorHAnsi" w:eastAsiaTheme="minorEastAsia" w:hAnsiTheme="minorHAnsi" w:cstheme="minorBidi"/>
              <w:noProof/>
              <w:snapToGrid/>
              <w:sz w:val="22"/>
              <w:szCs w:val="22"/>
            </w:rPr>
          </w:pPr>
          <w:hyperlink w:anchor="_Toc43122218" w:history="1">
            <w:r w:rsidRPr="002B2E70">
              <w:rPr>
                <w:rStyle w:val="Hyperlink"/>
                <w:noProof/>
              </w:rPr>
              <w:t>Smarter Balanced Consortium-Managed Services Contract</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_Toc43122218 \h </w:instrText>
            </w:r>
            <w:r w:rsidRPr="002B2E70">
              <w:rPr>
                <w:noProof/>
                <w:webHidden/>
                <w:color w:val="2B579A"/>
                <w:shd w:val="clear" w:color="auto" w:fill="E6E6E6"/>
              </w:rPr>
            </w:r>
            <w:r w:rsidRPr="002B2E70">
              <w:rPr>
                <w:noProof/>
                <w:webHidden/>
                <w:color w:val="2B579A"/>
                <w:shd w:val="clear" w:color="auto" w:fill="E6E6E6"/>
              </w:rPr>
              <w:fldChar w:fldCharType="separate"/>
            </w:r>
            <w:r w:rsidR="00112902">
              <w:rPr>
                <w:noProof/>
                <w:webHidden/>
              </w:rPr>
              <w:t>21</w:t>
            </w:r>
            <w:r w:rsidRPr="002B2E70">
              <w:rPr>
                <w:noProof/>
                <w:webHidden/>
                <w:color w:val="2B579A"/>
                <w:shd w:val="clear" w:color="auto" w:fill="E6E6E6"/>
              </w:rPr>
              <w:fldChar w:fldCharType="end"/>
            </w:r>
          </w:hyperlink>
        </w:p>
        <w:p w14:paraId="459D5DFA" w14:textId="4C3C5B8B" w:rsidR="002B2E70" w:rsidRPr="002B2E70" w:rsidRDefault="002B2E70">
          <w:pPr>
            <w:pStyle w:val="TOC3"/>
            <w:rPr>
              <w:rFonts w:asciiTheme="minorHAnsi" w:eastAsiaTheme="minorEastAsia" w:hAnsiTheme="minorHAnsi" w:cstheme="minorBidi"/>
              <w:noProof/>
              <w:snapToGrid/>
              <w:sz w:val="22"/>
              <w:szCs w:val="22"/>
            </w:rPr>
          </w:pPr>
          <w:hyperlink w:anchor="_Toc43122219" w:history="1">
            <w:r w:rsidRPr="002B2E70">
              <w:rPr>
                <w:rStyle w:val="Hyperlink"/>
                <w:bCs/>
                <w:noProof/>
              </w:rPr>
              <w:t>State-Managed Services Contract</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_Toc43122219 \h </w:instrText>
            </w:r>
            <w:r w:rsidRPr="002B2E70">
              <w:rPr>
                <w:noProof/>
                <w:webHidden/>
                <w:color w:val="2B579A"/>
                <w:shd w:val="clear" w:color="auto" w:fill="E6E6E6"/>
              </w:rPr>
            </w:r>
            <w:r w:rsidRPr="002B2E70">
              <w:rPr>
                <w:noProof/>
                <w:webHidden/>
                <w:color w:val="2B579A"/>
                <w:shd w:val="clear" w:color="auto" w:fill="E6E6E6"/>
              </w:rPr>
              <w:fldChar w:fldCharType="separate"/>
            </w:r>
            <w:r w:rsidR="00112902">
              <w:rPr>
                <w:noProof/>
                <w:webHidden/>
              </w:rPr>
              <w:t>22</w:t>
            </w:r>
            <w:r w:rsidRPr="002B2E70">
              <w:rPr>
                <w:noProof/>
                <w:webHidden/>
                <w:color w:val="2B579A"/>
                <w:shd w:val="clear" w:color="auto" w:fill="E6E6E6"/>
              </w:rPr>
              <w:fldChar w:fldCharType="end"/>
            </w:r>
          </w:hyperlink>
        </w:p>
        <w:p w14:paraId="412B2C2B" w14:textId="2BA961FC" w:rsidR="002B2E70" w:rsidRDefault="002B2E70">
          <w:pPr>
            <w:pStyle w:val="TOC3"/>
            <w:rPr>
              <w:rFonts w:asciiTheme="minorHAnsi" w:eastAsiaTheme="minorEastAsia" w:hAnsiTheme="minorHAnsi" w:cstheme="minorBidi"/>
              <w:noProof/>
              <w:snapToGrid/>
              <w:sz w:val="22"/>
              <w:szCs w:val="22"/>
            </w:rPr>
          </w:pPr>
          <w:hyperlink w:anchor="_Toc43122220" w:history="1">
            <w:r w:rsidRPr="002B2E70">
              <w:rPr>
                <w:rStyle w:val="Hyperlink"/>
                <w:noProof/>
              </w:rPr>
              <w:t>Independent Evaluation Contract</w:t>
            </w:r>
            <w:r w:rsidRPr="002B2E70">
              <w:rPr>
                <w:noProof/>
                <w:webHidden/>
              </w:rPr>
              <w:tab/>
            </w:r>
            <w:r w:rsidRPr="002B2E70">
              <w:rPr>
                <w:noProof/>
                <w:webHidden/>
                <w:color w:val="2B579A"/>
                <w:shd w:val="clear" w:color="auto" w:fill="E6E6E6"/>
              </w:rPr>
              <w:fldChar w:fldCharType="begin"/>
            </w:r>
            <w:r w:rsidRPr="002B2E70">
              <w:rPr>
                <w:noProof/>
                <w:webHidden/>
              </w:rPr>
              <w:instrText xml:space="preserve"> PAGEREF _Toc43122220 \h </w:instrText>
            </w:r>
            <w:r w:rsidRPr="002B2E70">
              <w:rPr>
                <w:noProof/>
                <w:webHidden/>
                <w:color w:val="2B579A"/>
                <w:shd w:val="clear" w:color="auto" w:fill="E6E6E6"/>
              </w:rPr>
            </w:r>
            <w:r w:rsidRPr="002B2E70">
              <w:rPr>
                <w:noProof/>
                <w:webHidden/>
                <w:color w:val="2B579A"/>
                <w:shd w:val="clear" w:color="auto" w:fill="E6E6E6"/>
              </w:rPr>
              <w:fldChar w:fldCharType="separate"/>
            </w:r>
            <w:r w:rsidR="00112902">
              <w:rPr>
                <w:noProof/>
                <w:webHidden/>
              </w:rPr>
              <w:t>25</w:t>
            </w:r>
            <w:r w:rsidRPr="002B2E70">
              <w:rPr>
                <w:noProof/>
                <w:webHidden/>
                <w:color w:val="2B579A"/>
                <w:shd w:val="clear" w:color="auto" w:fill="E6E6E6"/>
              </w:rPr>
              <w:fldChar w:fldCharType="end"/>
            </w:r>
          </w:hyperlink>
        </w:p>
        <w:p w14:paraId="304A3A20" w14:textId="3AF1F787" w:rsidR="002B2E70" w:rsidRDefault="002B2E70" w:rsidP="00447685">
          <w:pPr>
            <w:pStyle w:val="TOC2"/>
            <w:rPr>
              <w:rFonts w:asciiTheme="minorHAnsi" w:eastAsiaTheme="minorEastAsia" w:hAnsiTheme="minorHAnsi" w:cstheme="minorBidi"/>
              <w:snapToGrid/>
              <w:sz w:val="22"/>
              <w:szCs w:val="22"/>
            </w:rPr>
          </w:pPr>
          <w:hyperlink w:anchor="_Toc43122221" w:history="1">
            <w:r w:rsidRPr="00267550">
              <w:rPr>
                <w:rStyle w:val="Hyperlink"/>
                <w:b/>
              </w:rPr>
              <w:t>Apportionment Costs</w:t>
            </w:r>
            <w:r>
              <w:rPr>
                <w:webHidden/>
              </w:rPr>
              <w:tab/>
            </w:r>
            <w:r w:rsidRPr="00267550">
              <w:rPr>
                <w:b/>
                <w:webHidden/>
                <w:color w:val="2B579A"/>
                <w:shd w:val="clear" w:color="auto" w:fill="E6E6E6"/>
              </w:rPr>
              <w:fldChar w:fldCharType="begin"/>
            </w:r>
            <w:r w:rsidRPr="006D5C07">
              <w:rPr>
                <w:b/>
                <w:webHidden/>
              </w:rPr>
              <w:instrText xml:space="preserve"> PAGEREF _Toc43122221 \h </w:instrText>
            </w:r>
            <w:r w:rsidRPr="00267550">
              <w:rPr>
                <w:b/>
                <w:webHidden/>
                <w:color w:val="2B579A"/>
                <w:shd w:val="clear" w:color="auto" w:fill="E6E6E6"/>
              </w:rPr>
            </w:r>
            <w:r w:rsidRPr="00267550">
              <w:rPr>
                <w:b/>
                <w:webHidden/>
                <w:color w:val="2B579A"/>
                <w:shd w:val="clear" w:color="auto" w:fill="E6E6E6"/>
              </w:rPr>
              <w:fldChar w:fldCharType="separate"/>
            </w:r>
            <w:r w:rsidR="00112902">
              <w:rPr>
                <w:b/>
                <w:webHidden/>
              </w:rPr>
              <w:t>26</w:t>
            </w:r>
            <w:r w:rsidRPr="00267550">
              <w:rPr>
                <w:b/>
                <w:webHidden/>
                <w:color w:val="2B579A"/>
                <w:shd w:val="clear" w:color="auto" w:fill="E6E6E6"/>
              </w:rPr>
              <w:fldChar w:fldCharType="end"/>
            </w:r>
          </w:hyperlink>
        </w:p>
        <w:p w14:paraId="2AA4A290" w14:textId="7A07CE07" w:rsidR="002B2E70" w:rsidRPr="00447685" w:rsidRDefault="002B2E70" w:rsidP="00447685">
          <w:pPr>
            <w:pStyle w:val="TOC2"/>
            <w:rPr>
              <w:rFonts w:asciiTheme="minorHAnsi" w:eastAsiaTheme="minorEastAsia" w:hAnsiTheme="minorHAnsi" w:cstheme="minorBidi"/>
              <w:snapToGrid/>
              <w:sz w:val="22"/>
              <w:szCs w:val="22"/>
            </w:rPr>
          </w:pPr>
          <w:hyperlink w:anchor="_Toc43122222" w:history="1">
            <w:r w:rsidRPr="00267550">
              <w:rPr>
                <w:rStyle w:val="Hyperlink"/>
                <w:b/>
                <w:u w:val="none"/>
              </w:rPr>
              <w:t>Five-Year Cost Projection</w:t>
            </w:r>
            <w:r w:rsidRPr="00447685">
              <w:rPr>
                <w:webHidden/>
              </w:rPr>
              <w:tab/>
            </w:r>
            <w:r w:rsidRPr="00267550">
              <w:rPr>
                <w:b/>
                <w:webHidden/>
                <w:color w:val="2B579A"/>
                <w:shd w:val="clear" w:color="auto" w:fill="E6E6E6"/>
              </w:rPr>
              <w:fldChar w:fldCharType="begin"/>
            </w:r>
            <w:r w:rsidRPr="006D5C07">
              <w:rPr>
                <w:b/>
                <w:webHidden/>
              </w:rPr>
              <w:instrText xml:space="preserve"> PAGEREF _Toc43122222 \h </w:instrText>
            </w:r>
            <w:r w:rsidRPr="00267550">
              <w:rPr>
                <w:b/>
                <w:webHidden/>
                <w:color w:val="2B579A"/>
                <w:shd w:val="clear" w:color="auto" w:fill="E6E6E6"/>
              </w:rPr>
            </w:r>
            <w:r w:rsidRPr="00267550">
              <w:rPr>
                <w:b/>
                <w:webHidden/>
                <w:color w:val="2B579A"/>
                <w:shd w:val="clear" w:color="auto" w:fill="E6E6E6"/>
              </w:rPr>
              <w:fldChar w:fldCharType="separate"/>
            </w:r>
            <w:r w:rsidR="00112902">
              <w:rPr>
                <w:b/>
                <w:webHidden/>
              </w:rPr>
              <w:t>27</w:t>
            </w:r>
            <w:r w:rsidRPr="00267550">
              <w:rPr>
                <w:b/>
                <w:webHidden/>
                <w:color w:val="2B579A"/>
                <w:shd w:val="clear" w:color="auto" w:fill="E6E6E6"/>
              </w:rPr>
              <w:fldChar w:fldCharType="end"/>
            </w:r>
          </w:hyperlink>
        </w:p>
        <w:p w14:paraId="08FD25FD" w14:textId="15E612FF" w:rsidR="002B2E70" w:rsidRPr="006C78DC" w:rsidRDefault="002B2E70" w:rsidP="00267550">
          <w:pPr>
            <w:pStyle w:val="TOC2"/>
            <w:ind w:left="450"/>
            <w:rPr>
              <w:rFonts w:asciiTheme="minorHAnsi" w:eastAsiaTheme="minorEastAsia" w:hAnsiTheme="minorHAnsi" w:cstheme="minorBidi"/>
              <w:snapToGrid/>
              <w:sz w:val="22"/>
              <w:szCs w:val="22"/>
            </w:rPr>
          </w:pPr>
          <w:hyperlink w:anchor="_Toc43122223" w:history="1">
            <w:r w:rsidRPr="006C78DC">
              <w:rPr>
                <w:rStyle w:val="Hyperlink"/>
              </w:rPr>
              <w:t>Cost Projection Variations of Proposed Budgets, 201</w:t>
            </w:r>
            <w:r w:rsidR="00CA7D0F" w:rsidRPr="006C78DC">
              <w:rPr>
                <w:rStyle w:val="Hyperlink"/>
              </w:rPr>
              <w:t>7</w:t>
            </w:r>
            <w:r w:rsidRPr="006C78DC">
              <w:rPr>
                <w:rStyle w:val="Hyperlink"/>
              </w:rPr>
              <w:t>–20</w:t>
            </w:r>
            <w:r w:rsidR="00CA7D0F" w:rsidRPr="006C78DC">
              <w:rPr>
                <w:rStyle w:val="Hyperlink"/>
              </w:rPr>
              <w:t>20</w:t>
            </w:r>
            <w:r w:rsidRPr="006C78DC">
              <w:rPr>
                <w:webHidden/>
              </w:rPr>
              <w:tab/>
            </w:r>
            <w:r w:rsidRPr="006C78DC">
              <w:rPr>
                <w:webHidden/>
                <w:color w:val="2B579A"/>
                <w:shd w:val="clear" w:color="auto" w:fill="E6E6E6"/>
              </w:rPr>
              <w:fldChar w:fldCharType="begin"/>
            </w:r>
            <w:r w:rsidRPr="006C78DC">
              <w:rPr>
                <w:webHidden/>
              </w:rPr>
              <w:instrText xml:space="preserve"> PAGEREF _Toc43122223 \h </w:instrText>
            </w:r>
            <w:r w:rsidRPr="006C78DC">
              <w:rPr>
                <w:webHidden/>
                <w:color w:val="2B579A"/>
                <w:shd w:val="clear" w:color="auto" w:fill="E6E6E6"/>
              </w:rPr>
            </w:r>
            <w:r w:rsidRPr="006C78DC">
              <w:rPr>
                <w:webHidden/>
                <w:color w:val="2B579A"/>
                <w:shd w:val="clear" w:color="auto" w:fill="E6E6E6"/>
              </w:rPr>
              <w:fldChar w:fldCharType="separate"/>
            </w:r>
            <w:r w:rsidR="00112902">
              <w:rPr>
                <w:webHidden/>
              </w:rPr>
              <w:t>29</w:t>
            </w:r>
            <w:r w:rsidRPr="006C78DC">
              <w:rPr>
                <w:webHidden/>
                <w:color w:val="2B579A"/>
                <w:shd w:val="clear" w:color="auto" w:fill="E6E6E6"/>
              </w:rPr>
              <w:fldChar w:fldCharType="end"/>
            </w:r>
          </w:hyperlink>
        </w:p>
        <w:p w14:paraId="72A70CCF" w14:textId="257C84BC" w:rsidR="002B2E70" w:rsidRDefault="002B2E70" w:rsidP="00267550">
          <w:pPr>
            <w:pStyle w:val="TOC2"/>
            <w:ind w:left="450"/>
            <w:rPr>
              <w:rFonts w:asciiTheme="minorHAnsi" w:eastAsiaTheme="minorEastAsia" w:hAnsiTheme="minorHAnsi" w:cstheme="minorBidi"/>
              <w:snapToGrid/>
              <w:sz w:val="22"/>
              <w:szCs w:val="22"/>
            </w:rPr>
          </w:pPr>
          <w:hyperlink w:anchor="_Toc43122224" w:history="1">
            <w:r w:rsidRPr="002C0910">
              <w:rPr>
                <w:rStyle w:val="Hyperlink"/>
              </w:rPr>
              <w:t>California Assessment of Student Performance and Progress Timeline</w:t>
            </w:r>
            <w:r>
              <w:rPr>
                <w:webHidden/>
              </w:rPr>
              <w:tab/>
            </w:r>
            <w:r>
              <w:rPr>
                <w:webHidden/>
                <w:color w:val="2B579A"/>
                <w:shd w:val="clear" w:color="auto" w:fill="E6E6E6"/>
              </w:rPr>
              <w:fldChar w:fldCharType="begin"/>
            </w:r>
            <w:r>
              <w:rPr>
                <w:webHidden/>
              </w:rPr>
              <w:instrText xml:space="preserve"> PAGEREF _Toc43122224 \h </w:instrText>
            </w:r>
            <w:r>
              <w:rPr>
                <w:webHidden/>
                <w:color w:val="2B579A"/>
                <w:shd w:val="clear" w:color="auto" w:fill="E6E6E6"/>
              </w:rPr>
            </w:r>
            <w:r>
              <w:rPr>
                <w:webHidden/>
                <w:color w:val="2B579A"/>
                <w:shd w:val="clear" w:color="auto" w:fill="E6E6E6"/>
              </w:rPr>
              <w:fldChar w:fldCharType="separate"/>
            </w:r>
            <w:r w:rsidR="00112902">
              <w:rPr>
                <w:webHidden/>
              </w:rPr>
              <w:t>30</w:t>
            </w:r>
            <w:r>
              <w:rPr>
                <w:webHidden/>
                <w:color w:val="2B579A"/>
                <w:shd w:val="clear" w:color="auto" w:fill="E6E6E6"/>
              </w:rPr>
              <w:fldChar w:fldCharType="end"/>
            </w:r>
          </w:hyperlink>
        </w:p>
        <w:p w14:paraId="050E0B0D" w14:textId="1191FB00" w:rsidR="00D20149" w:rsidRPr="00FE2A78" w:rsidRDefault="00D20149" w:rsidP="00447685">
          <w:pPr>
            <w:pStyle w:val="TOC2"/>
          </w:pPr>
          <w:r w:rsidRPr="00FE2A78">
            <w:rPr>
              <w:color w:val="2B579A"/>
              <w:shd w:val="clear" w:color="auto" w:fill="E6E6E6"/>
            </w:rPr>
            <w:fldChar w:fldCharType="end"/>
          </w:r>
        </w:p>
      </w:sdtContent>
    </w:sdt>
    <w:p w14:paraId="050E0B0E" w14:textId="199717D1" w:rsidR="00AC6C3F" w:rsidRDefault="00AC6C3F" w:rsidP="00F95870">
      <w:pPr>
        <w:widowControl/>
        <w:spacing w:before="0" w:after="160" w:line="259" w:lineRule="auto"/>
      </w:pPr>
    </w:p>
    <w:p w14:paraId="323D6811" w14:textId="77777777" w:rsidR="002D2D5C" w:rsidRDefault="002D2D5C" w:rsidP="00F95870">
      <w:pPr>
        <w:widowControl/>
        <w:spacing w:before="0" w:after="160" w:line="259" w:lineRule="auto"/>
        <w:rPr>
          <w:b/>
          <w:bCs/>
          <w:snapToGrid/>
          <w:sz w:val="32"/>
          <w:szCs w:val="36"/>
        </w:rPr>
        <w:sectPr w:rsidR="002D2D5C" w:rsidSect="00FA7654">
          <w:footerReference w:type="default" r:id="rId11"/>
          <w:footnotePr>
            <w:pos w:val="beneathText"/>
            <w:numRestart w:val="eachPage"/>
          </w:footnotePr>
          <w:type w:val="continuous"/>
          <w:pgSz w:w="12240" w:h="15840" w:code="1"/>
          <w:pgMar w:top="1440" w:right="1440" w:bottom="1440" w:left="1440" w:header="576" w:footer="576" w:gutter="0"/>
          <w:pgNumType w:fmt="lowerRoman" w:start="1"/>
          <w:cols w:space="720"/>
          <w:docGrid w:linePitch="360"/>
        </w:sectPr>
      </w:pPr>
    </w:p>
    <w:p w14:paraId="050E0B0F" w14:textId="77777777" w:rsidR="00EB000A" w:rsidRPr="005C3073" w:rsidRDefault="00EB000A" w:rsidP="001D7A3A">
      <w:pPr>
        <w:pStyle w:val="Heading2"/>
        <w:rPr>
          <w:rFonts w:cs="Arial"/>
          <w:szCs w:val="24"/>
        </w:rPr>
      </w:pPr>
      <w:bookmarkStart w:id="0" w:name="_Toc2346296"/>
      <w:bookmarkStart w:id="1" w:name="_Toc43122193"/>
      <w:r w:rsidRPr="005C3073">
        <w:lastRenderedPageBreak/>
        <w:t>Executive Summary</w:t>
      </w:r>
      <w:bookmarkEnd w:id="0"/>
      <w:bookmarkEnd w:id="1"/>
    </w:p>
    <w:p w14:paraId="050E0B10" w14:textId="6D0C371A" w:rsidR="00EB000A" w:rsidRPr="005C3073" w:rsidRDefault="00EB000A" w:rsidP="00F95870">
      <w:pPr>
        <w:widowControl/>
        <w:rPr>
          <w:rFonts w:cs="Arial"/>
          <w:szCs w:val="24"/>
        </w:rPr>
      </w:pPr>
      <w:r w:rsidRPr="005C3073">
        <w:rPr>
          <w:rFonts w:cs="Arial"/>
          <w:szCs w:val="24"/>
        </w:rPr>
        <w:t xml:space="preserve">California </w:t>
      </w:r>
      <w:r w:rsidRPr="005C3073">
        <w:rPr>
          <w:rFonts w:cs="Arial"/>
          <w:i/>
          <w:szCs w:val="24"/>
        </w:rPr>
        <w:t>Education Code</w:t>
      </w:r>
      <w:r w:rsidRPr="005C3073">
        <w:rPr>
          <w:rFonts w:cs="Arial"/>
          <w:szCs w:val="24"/>
        </w:rPr>
        <w:t xml:space="preserve"> </w:t>
      </w:r>
      <w:r w:rsidR="006C78DC">
        <w:rPr>
          <w:rFonts w:cs="Arial"/>
          <w:szCs w:val="24"/>
        </w:rPr>
        <w:t>(</w:t>
      </w:r>
      <w:r w:rsidR="006C78DC" w:rsidRPr="00267550">
        <w:rPr>
          <w:rFonts w:cs="Arial"/>
          <w:i/>
          <w:szCs w:val="24"/>
        </w:rPr>
        <w:t>EC</w:t>
      </w:r>
      <w:r w:rsidR="006C78DC">
        <w:rPr>
          <w:rFonts w:cs="Arial"/>
          <w:szCs w:val="24"/>
        </w:rPr>
        <w:t xml:space="preserve">) </w:t>
      </w:r>
      <w:r w:rsidR="009B3C4E" w:rsidRPr="005C3073">
        <w:rPr>
          <w:rFonts w:cs="Arial"/>
          <w:szCs w:val="24"/>
        </w:rPr>
        <w:t>S</w:t>
      </w:r>
      <w:r w:rsidRPr="005C3073">
        <w:rPr>
          <w:rFonts w:cs="Arial"/>
          <w:szCs w:val="24"/>
        </w:rPr>
        <w:t>ection 60604(b) requires that the State Superintendent of Public Instruction</w:t>
      </w:r>
      <w:r w:rsidR="00DB1509" w:rsidRPr="005C3073">
        <w:rPr>
          <w:rFonts w:cs="Arial"/>
          <w:szCs w:val="24"/>
        </w:rPr>
        <w:t xml:space="preserve"> </w:t>
      </w:r>
      <w:r w:rsidRPr="005C3073">
        <w:rPr>
          <w:rFonts w:cs="Arial"/>
          <w:szCs w:val="24"/>
        </w:rPr>
        <w:t>annually update the Legislature on a</w:t>
      </w:r>
      <w:r w:rsidR="002809B0" w:rsidRPr="005C3073">
        <w:rPr>
          <w:rFonts w:cs="Arial"/>
          <w:szCs w:val="24"/>
        </w:rPr>
        <w:t>n</w:t>
      </w:r>
      <w:r w:rsidRPr="005C3073">
        <w:rPr>
          <w:rFonts w:cs="Arial"/>
          <w:szCs w:val="24"/>
        </w:rPr>
        <w:t xml:space="preserve"> implementation plan, </w:t>
      </w:r>
      <w:r w:rsidR="002809B0" w:rsidRPr="005C3073">
        <w:rPr>
          <w:rFonts w:cs="Arial"/>
          <w:szCs w:val="24"/>
        </w:rPr>
        <w:t xml:space="preserve">five-year cost projection, </w:t>
      </w:r>
      <w:r w:rsidRPr="005C3073">
        <w:rPr>
          <w:rFonts w:cs="Arial"/>
          <w:szCs w:val="24"/>
        </w:rPr>
        <w:t>and timeline for implementing the California Assessment of Student Performance and Progress (CAASPP) System.</w:t>
      </w:r>
    </w:p>
    <w:p w14:paraId="050E0B11" w14:textId="77777777" w:rsidR="00EB000A" w:rsidRPr="005C3073" w:rsidRDefault="00EB000A" w:rsidP="00F95870">
      <w:pPr>
        <w:widowControl/>
        <w:rPr>
          <w:rFonts w:cs="Arial"/>
          <w:szCs w:val="24"/>
        </w:rPr>
      </w:pPr>
      <w:r w:rsidRPr="005C3073">
        <w:rPr>
          <w:rFonts w:cs="Arial"/>
          <w:szCs w:val="24"/>
        </w:rPr>
        <w:t>The</w:t>
      </w:r>
      <w:r w:rsidRPr="005C3073">
        <w:rPr>
          <w:rFonts w:cs="Arial"/>
          <w:b/>
          <w:szCs w:val="24"/>
        </w:rPr>
        <w:t xml:space="preserve"> </w:t>
      </w:r>
      <w:r w:rsidR="0017049D" w:rsidRPr="005C3073">
        <w:rPr>
          <w:rFonts w:cs="Arial"/>
          <w:szCs w:val="24"/>
        </w:rPr>
        <w:t>“</w:t>
      </w:r>
      <w:r w:rsidRPr="005C3073">
        <w:rPr>
          <w:rFonts w:cs="Arial"/>
          <w:szCs w:val="24"/>
        </w:rPr>
        <w:t>Program Information</w:t>
      </w:r>
      <w:r w:rsidR="0017049D" w:rsidRPr="005C3073">
        <w:rPr>
          <w:rFonts w:cs="Arial"/>
          <w:szCs w:val="24"/>
        </w:rPr>
        <w:t>”</w:t>
      </w:r>
      <w:r w:rsidRPr="005C3073">
        <w:rPr>
          <w:rFonts w:cs="Arial"/>
          <w:szCs w:val="24"/>
        </w:rPr>
        <w:t xml:space="preserve"> section of this report provides background information regarding the CAASPP System, including its history, purpose, and components.</w:t>
      </w:r>
    </w:p>
    <w:p w14:paraId="050E0B12" w14:textId="5EB70B40" w:rsidR="00EB000A" w:rsidRPr="005C3073" w:rsidRDefault="00EB000A" w:rsidP="4E0C1B00">
      <w:pPr>
        <w:widowControl/>
        <w:rPr>
          <w:rFonts w:cs="Arial"/>
        </w:rPr>
      </w:pPr>
      <w:r w:rsidRPr="4E0C1B00">
        <w:rPr>
          <w:rFonts w:cs="Arial"/>
        </w:rPr>
        <w:t xml:space="preserve">The </w:t>
      </w:r>
      <w:r w:rsidR="0017049D" w:rsidRPr="4E0C1B00">
        <w:rPr>
          <w:rFonts w:cs="Arial"/>
        </w:rPr>
        <w:t>“</w:t>
      </w:r>
      <w:r w:rsidRPr="4E0C1B00">
        <w:rPr>
          <w:rFonts w:cs="Arial"/>
        </w:rPr>
        <w:t>Implementation Update</w:t>
      </w:r>
      <w:r w:rsidR="0017049D" w:rsidRPr="4E0C1B00">
        <w:rPr>
          <w:rFonts w:cs="Arial"/>
        </w:rPr>
        <w:t>”</w:t>
      </w:r>
      <w:r w:rsidRPr="4E0C1B00">
        <w:rPr>
          <w:rFonts w:cs="Arial"/>
        </w:rPr>
        <w:t xml:space="preserve"> section provides a brief discussion of CAASPP implementation activities during the </w:t>
      </w:r>
      <w:r w:rsidR="00760E24">
        <w:rPr>
          <w:rFonts w:cs="Arial"/>
        </w:rPr>
        <w:t>2020</w:t>
      </w:r>
      <w:r w:rsidR="00760E24" w:rsidRPr="4E0C1B00">
        <w:rPr>
          <w:rFonts w:cs="Arial"/>
        </w:rPr>
        <w:t xml:space="preserve"> </w:t>
      </w:r>
      <w:r w:rsidRPr="4E0C1B00">
        <w:rPr>
          <w:rFonts w:cs="Arial"/>
        </w:rPr>
        <w:t xml:space="preserve">calendar year. </w:t>
      </w:r>
    </w:p>
    <w:p w14:paraId="050E0B13" w14:textId="590BACED" w:rsidR="00EB000A" w:rsidRPr="005C3073" w:rsidRDefault="00EB000A" w:rsidP="0265C20E">
      <w:pPr>
        <w:widowControl/>
        <w:rPr>
          <w:rFonts w:cs="Arial"/>
        </w:rPr>
      </w:pPr>
      <w:r w:rsidRPr="5F9287D1">
        <w:rPr>
          <w:rFonts w:cs="Arial"/>
        </w:rPr>
        <w:t xml:space="preserve">The </w:t>
      </w:r>
      <w:r w:rsidR="0017049D" w:rsidRPr="5F9287D1">
        <w:rPr>
          <w:rFonts w:cs="Arial"/>
        </w:rPr>
        <w:t>“</w:t>
      </w:r>
      <w:r w:rsidRPr="5F9287D1">
        <w:rPr>
          <w:rFonts w:cs="Arial"/>
        </w:rPr>
        <w:t>Contract Costs</w:t>
      </w:r>
      <w:r w:rsidR="0017049D" w:rsidRPr="5F9287D1">
        <w:rPr>
          <w:rFonts w:cs="Arial"/>
        </w:rPr>
        <w:t>”</w:t>
      </w:r>
      <w:r w:rsidRPr="5F9287D1">
        <w:rPr>
          <w:rFonts w:cs="Arial"/>
        </w:rPr>
        <w:t xml:space="preserve"> section provides</w:t>
      </w:r>
      <w:r w:rsidR="005C6517" w:rsidRPr="5F9287D1">
        <w:rPr>
          <w:rFonts w:cs="Arial"/>
        </w:rPr>
        <w:t xml:space="preserve"> costs</w:t>
      </w:r>
      <w:r w:rsidRPr="5F9287D1">
        <w:rPr>
          <w:rFonts w:cs="Arial"/>
        </w:rPr>
        <w:t xml:space="preserve"> and </w:t>
      </w:r>
      <w:r w:rsidR="005C6517" w:rsidRPr="5F9287D1">
        <w:rPr>
          <w:rFonts w:cs="Arial"/>
        </w:rPr>
        <w:t xml:space="preserve">other information </w:t>
      </w:r>
      <w:r w:rsidRPr="5F9287D1">
        <w:rPr>
          <w:rFonts w:cs="Arial"/>
        </w:rPr>
        <w:t xml:space="preserve">regarding the various types of CAASPP contracts, including state-managed services contract costs, extending through </w:t>
      </w:r>
      <w:r w:rsidR="00DB1509" w:rsidRPr="5F9287D1">
        <w:rPr>
          <w:rFonts w:cs="Arial"/>
        </w:rPr>
        <w:t>fiscal year</w:t>
      </w:r>
      <w:r w:rsidR="00EC788A">
        <w:rPr>
          <w:rFonts w:cs="Arial"/>
        </w:rPr>
        <w:t xml:space="preserve"> (FY)</w:t>
      </w:r>
      <w:r w:rsidR="00DB1509" w:rsidRPr="5F9287D1">
        <w:rPr>
          <w:rFonts w:cs="Arial"/>
        </w:rPr>
        <w:t xml:space="preserve"> </w:t>
      </w:r>
      <w:r w:rsidR="000E142F" w:rsidRPr="5F9287D1">
        <w:rPr>
          <w:rFonts w:cs="Arial"/>
        </w:rPr>
        <w:t>2021–2022</w:t>
      </w:r>
      <w:r w:rsidRPr="5F9287D1">
        <w:rPr>
          <w:rFonts w:cs="Arial"/>
        </w:rPr>
        <w:t>.</w:t>
      </w:r>
    </w:p>
    <w:p w14:paraId="050E0B14" w14:textId="77777777" w:rsidR="00EB000A" w:rsidRPr="005C3073" w:rsidRDefault="00EB000A" w:rsidP="00F95870">
      <w:pPr>
        <w:widowControl/>
        <w:rPr>
          <w:rFonts w:cs="Arial"/>
          <w:szCs w:val="24"/>
        </w:rPr>
      </w:pPr>
      <w:r w:rsidRPr="005C3073">
        <w:rPr>
          <w:rFonts w:cs="Arial"/>
          <w:szCs w:val="24"/>
        </w:rPr>
        <w:t xml:space="preserve">The </w:t>
      </w:r>
      <w:r w:rsidR="0017049D" w:rsidRPr="005C3073">
        <w:rPr>
          <w:rFonts w:cs="Arial"/>
          <w:szCs w:val="24"/>
        </w:rPr>
        <w:t>“</w:t>
      </w:r>
      <w:r w:rsidRPr="005C3073">
        <w:rPr>
          <w:rFonts w:cs="Arial"/>
          <w:szCs w:val="24"/>
        </w:rPr>
        <w:t>Apportionment Costs</w:t>
      </w:r>
      <w:r w:rsidR="0017049D" w:rsidRPr="005C3073">
        <w:rPr>
          <w:rFonts w:cs="Arial"/>
          <w:szCs w:val="24"/>
        </w:rPr>
        <w:t>”</w:t>
      </w:r>
      <w:r w:rsidRPr="005C3073">
        <w:rPr>
          <w:rFonts w:cs="Arial"/>
          <w:szCs w:val="24"/>
        </w:rPr>
        <w:t xml:space="preserve"> section provides information on annual CAASPP apportionment reimbursements to local educational agencies (LEAs).</w:t>
      </w:r>
    </w:p>
    <w:p w14:paraId="050E0B15" w14:textId="77777777" w:rsidR="00EB000A" w:rsidRPr="005C3073" w:rsidRDefault="00EB000A" w:rsidP="00F95870">
      <w:pPr>
        <w:widowControl/>
        <w:rPr>
          <w:rFonts w:cs="Arial"/>
          <w:iCs/>
          <w:szCs w:val="24"/>
        </w:rPr>
      </w:pPr>
      <w:r w:rsidRPr="005C3073">
        <w:rPr>
          <w:rFonts w:cs="Arial"/>
          <w:szCs w:val="24"/>
        </w:rPr>
        <w:t xml:space="preserve">The </w:t>
      </w:r>
      <w:r w:rsidR="0017049D" w:rsidRPr="005C3073">
        <w:rPr>
          <w:rFonts w:cs="Arial"/>
          <w:szCs w:val="24"/>
        </w:rPr>
        <w:t>“</w:t>
      </w:r>
      <w:r w:rsidRPr="005C3073">
        <w:rPr>
          <w:rFonts w:cs="Arial"/>
          <w:szCs w:val="24"/>
        </w:rPr>
        <w:t>Five-Year Cost Projection</w:t>
      </w:r>
      <w:r w:rsidR="0017049D" w:rsidRPr="005C3073">
        <w:rPr>
          <w:rFonts w:cs="Arial"/>
          <w:szCs w:val="24"/>
        </w:rPr>
        <w:t>”</w:t>
      </w:r>
      <w:r w:rsidRPr="005C3073">
        <w:rPr>
          <w:rFonts w:cs="Arial"/>
          <w:szCs w:val="24"/>
        </w:rPr>
        <w:t xml:space="preserve"> section provides information on projected annual CAASPP contract and LEA apportionment costs. It includes a timeline </w:t>
      </w:r>
      <w:r w:rsidR="00505B48" w:rsidRPr="005C3073">
        <w:rPr>
          <w:rFonts w:cs="Arial"/>
          <w:szCs w:val="24"/>
        </w:rPr>
        <w:t>of</w:t>
      </w:r>
      <w:r w:rsidRPr="005C3073">
        <w:rPr>
          <w:rFonts w:cs="Arial"/>
          <w:szCs w:val="24"/>
        </w:rPr>
        <w:t xml:space="preserve"> the assessments that are anticipated to be a part of each CAASPP test administration and the projected costs</w:t>
      </w:r>
      <w:r w:rsidR="00B07AC0" w:rsidRPr="005C3073">
        <w:rPr>
          <w:rFonts w:cs="Arial"/>
          <w:szCs w:val="24"/>
        </w:rPr>
        <w:t>,</w:t>
      </w:r>
      <w:r w:rsidRPr="005C3073">
        <w:rPr>
          <w:rFonts w:cs="Arial"/>
          <w:szCs w:val="24"/>
        </w:rPr>
        <w:t xml:space="preserve"> per fiscal year</w:t>
      </w:r>
      <w:r w:rsidR="00B07AC0" w:rsidRPr="005C3073">
        <w:rPr>
          <w:rFonts w:cs="Arial"/>
          <w:szCs w:val="24"/>
        </w:rPr>
        <w:t>,</w:t>
      </w:r>
      <w:r w:rsidRPr="005C3073">
        <w:rPr>
          <w:rFonts w:cs="Arial"/>
          <w:szCs w:val="24"/>
        </w:rPr>
        <w:t xml:space="preserve"> for the overlapping test administration activities</w:t>
      </w:r>
      <w:r w:rsidRPr="005C3073">
        <w:rPr>
          <w:rFonts w:cs="Arial"/>
          <w:iCs/>
          <w:szCs w:val="24"/>
        </w:rPr>
        <w:t>.</w:t>
      </w:r>
    </w:p>
    <w:p w14:paraId="050E0B16" w14:textId="44C9B881" w:rsidR="00EB000A" w:rsidRPr="005C3073" w:rsidRDefault="00EB000A" w:rsidP="00F95870">
      <w:pPr>
        <w:widowControl/>
        <w:rPr>
          <w:rFonts w:cs="Arial"/>
          <w:iCs/>
          <w:szCs w:val="24"/>
        </w:rPr>
      </w:pPr>
      <w:r w:rsidRPr="005C3073">
        <w:rPr>
          <w:rFonts w:cs="Arial"/>
          <w:iCs/>
          <w:szCs w:val="24"/>
        </w:rPr>
        <w:t xml:space="preserve">Any questions regarding this report or requests for copies should be directed to </w:t>
      </w:r>
      <w:r w:rsidRPr="005C3073">
        <w:rPr>
          <w:rFonts w:cs="Arial"/>
          <w:iCs/>
          <w:szCs w:val="24"/>
        </w:rPr>
        <w:br/>
      </w:r>
      <w:r w:rsidR="00730999">
        <w:rPr>
          <w:rFonts w:cs="Arial"/>
          <w:iCs/>
          <w:szCs w:val="24"/>
        </w:rPr>
        <w:t>Mao Vang</w:t>
      </w:r>
      <w:r w:rsidRPr="005C3073">
        <w:rPr>
          <w:rFonts w:cs="Arial"/>
          <w:iCs/>
          <w:szCs w:val="24"/>
        </w:rPr>
        <w:t xml:space="preserve">, Director, Assessment Development and Administration Division, by phone at </w:t>
      </w:r>
      <w:r w:rsidR="00F92528">
        <w:rPr>
          <w:rFonts w:cs="Arial"/>
          <w:szCs w:val="24"/>
        </w:rPr>
        <w:t>916-319-0803</w:t>
      </w:r>
      <w:r w:rsidR="001D7A3A">
        <w:rPr>
          <w:rFonts w:cs="Arial"/>
          <w:szCs w:val="24"/>
        </w:rPr>
        <w:t xml:space="preserve"> </w:t>
      </w:r>
      <w:r w:rsidRPr="005C3073">
        <w:rPr>
          <w:rFonts w:cs="Arial"/>
          <w:iCs/>
          <w:szCs w:val="24"/>
        </w:rPr>
        <w:t xml:space="preserve">or by email at </w:t>
      </w:r>
      <w:hyperlink r:id="rId12" w:history="1">
        <w:r w:rsidR="00730999">
          <w:rPr>
            <w:rStyle w:val="Hyperlink"/>
            <w:rFonts w:cs="Arial"/>
            <w:iCs/>
            <w:szCs w:val="24"/>
          </w:rPr>
          <w:t>mvang</w:t>
        </w:r>
        <w:r w:rsidR="00730999" w:rsidRPr="005C3073">
          <w:rPr>
            <w:rStyle w:val="Hyperlink"/>
            <w:rFonts w:cs="Arial"/>
            <w:iCs/>
            <w:szCs w:val="24"/>
          </w:rPr>
          <w:t>@cde.ca.gov</w:t>
        </w:r>
      </w:hyperlink>
      <w:r w:rsidRPr="005C3073">
        <w:rPr>
          <w:rFonts w:cs="Arial"/>
          <w:iCs/>
          <w:szCs w:val="24"/>
        </w:rPr>
        <w:t>.</w:t>
      </w:r>
      <w:r w:rsidR="00730999">
        <w:rPr>
          <w:rFonts w:cs="Arial"/>
          <w:iCs/>
          <w:szCs w:val="24"/>
        </w:rPr>
        <w:t xml:space="preserve"> </w:t>
      </w:r>
    </w:p>
    <w:p w14:paraId="6ACB4F37" w14:textId="06F4D8F1" w:rsidR="00D06927" w:rsidRDefault="00EB000A" w:rsidP="00F95870">
      <w:pPr>
        <w:widowControl/>
        <w:rPr>
          <w:rFonts w:cs="Arial"/>
          <w:iCs/>
          <w:szCs w:val="24"/>
        </w:rPr>
      </w:pPr>
      <w:r w:rsidRPr="005C3073">
        <w:rPr>
          <w:rFonts w:cs="Arial"/>
          <w:iCs/>
          <w:szCs w:val="24"/>
        </w:rPr>
        <w:t>This report, along with reports from previous years, is available on the California Department of Education</w:t>
      </w:r>
      <w:r w:rsidR="009B638E">
        <w:rPr>
          <w:rFonts w:cs="Arial"/>
          <w:iCs/>
          <w:szCs w:val="24"/>
        </w:rPr>
        <w:t xml:space="preserve"> (CDE)</w:t>
      </w:r>
      <w:r w:rsidR="009B3C4E" w:rsidRPr="005C3073">
        <w:rPr>
          <w:rFonts w:cs="Arial"/>
          <w:iCs/>
          <w:szCs w:val="24"/>
        </w:rPr>
        <w:t xml:space="preserve"> </w:t>
      </w:r>
      <w:r w:rsidRPr="005C3073">
        <w:rPr>
          <w:rFonts w:cs="Arial"/>
          <w:iCs/>
          <w:szCs w:val="24"/>
        </w:rPr>
        <w:t xml:space="preserve">CAASPP </w:t>
      </w:r>
      <w:r w:rsidR="00DB1509" w:rsidRPr="005C3073">
        <w:rPr>
          <w:rFonts w:cs="Arial"/>
          <w:iCs/>
          <w:szCs w:val="24"/>
        </w:rPr>
        <w:t>w</w:t>
      </w:r>
      <w:r w:rsidRPr="005C3073">
        <w:rPr>
          <w:rFonts w:cs="Arial"/>
          <w:iCs/>
          <w:szCs w:val="24"/>
        </w:rPr>
        <w:t xml:space="preserve">eb page at </w:t>
      </w:r>
      <w:hyperlink r:id="rId13" w:tooltip="This link opens the CAASPP Implementation Plan on the CDE CAASPP web page." w:history="1">
        <w:r w:rsidR="00815FB8" w:rsidRPr="005C3073">
          <w:rPr>
            <w:rStyle w:val="Hyperlink"/>
            <w:rFonts w:cs="Arial"/>
            <w:iCs/>
            <w:szCs w:val="24"/>
          </w:rPr>
          <w:t>https://www.cde.ca.gov/ta/tg/ca/caasppimplementation.asp</w:t>
        </w:r>
      </w:hyperlink>
      <w:r w:rsidR="00B455FD" w:rsidRPr="005C3073">
        <w:rPr>
          <w:rFonts w:cs="Arial"/>
          <w:iCs/>
          <w:szCs w:val="24"/>
        </w:rPr>
        <w:t>.</w:t>
      </w:r>
    </w:p>
    <w:p w14:paraId="44943A0F" w14:textId="03B7867D" w:rsidR="00D06927" w:rsidRPr="00C87DFA" w:rsidRDefault="00D06927" w:rsidP="00267550">
      <w:pPr>
        <w:widowControl/>
        <w:rPr>
          <w:rFonts w:cs="Arial"/>
          <w:b/>
          <w:iCs/>
          <w:szCs w:val="24"/>
        </w:rPr>
      </w:pPr>
      <w:r w:rsidRPr="00C87DFA">
        <w:rPr>
          <w:rFonts w:cs="Arial"/>
          <w:b/>
          <w:iCs/>
          <w:szCs w:val="24"/>
        </w:rPr>
        <w:t xml:space="preserve">Impact of the </w:t>
      </w:r>
      <w:r w:rsidR="007E624D">
        <w:rPr>
          <w:rFonts w:cs="Arial"/>
          <w:b/>
          <w:iCs/>
          <w:szCs w:val="24"/>
        </w:rPr>
        <w:t>N</w:t>
      </w:r>
      <w:r w:rsidRPr="00C87DFA">
        <w:rPr>
          <w:rFonts w:cs="Arial"/>
          <w:b/>
          <w:iCs/>
          <w:szCs w:val="24"/>
        </w:rPr>
        <w:t xml:space="preserve">ovel </w:t>
      </w:r>
      <w:r w:rsidR="007E624D">
        <w:rPr>
          <w:rFonts w:cs="Arial"/>
          <w:b/>
          <w:iCs/>
          <w:szCs w:val="24"/>
        </w:rPr>
        <w:t>C</w:t>
      </w:r>
      <w:r w:rsidRPr="00C87DFA">
        <w:rPr>
          <w:rFonts w:cs="Arial"/>
          <w:b/>
          <w:iCs/>
          <w:szCs w:val="24"/>
        </w:rPr>
        <w:t xml:space="preserve">oronavirus </w:t>
      </w:r>
      <w:r w:rsidR="007E624D">
        <w:rPr>
          <w:rFonts w:cs="Arial"/>
          <w:b/>
          <w:iCs/>
          <w:szCs w:val="24"/>
        </w:rPr>
        <w:t>D</w:t>
      </w:r>
      <w:r w:rsidRPr="00C87DFA">
        <w:rPr>
          <w:rFonts w:cs="Arial"/>
          <w:b/>
          <w:iCs/>
          <w:szCs w:val="24"/>
        </w:rPr>
        <w:t>isease 2019</w:t>
      </w:r>
    </w:p>
    <w:p w14:paraId="52734DA8" w14:textId="7FE68410" w:rsidR="00D06927" w:rsidRPr="00C87DFA" w:rsidRDefault="00D06927" w:rsidP="00D06927">
      <w:pPr>
        <w:pStyle w:val="paragraph"/>
        <w:shd w:val="clear" w:color="auto" w:fill="FFFFFF"/>
        <w:spacing w:before="0" w:beforeAutospacing="0" w:after="0" w:afterAutospacing="0"/>
        <w:textAlignment w:val="baseline"/>
        <w:rPr>
          <w:rStyle w:val="normaltextrun"/>
          <w:rFonts w:ascii="Arial" w:hAnsi="Arial" w:cs="Arial"/>
          <w:color w:val="000000"/>
        </w:rPr>
      </w:pPr>
      <w:r w:rsidRPr="00C87DFA">
        <w:rPr>
          <w:rStyle w:val="normaltextrun"/>
          <w:rFonts w:ascii="Arial" w:hAnsi="Arial" w:cs="Arial"/>
          <w:color w:val="000000"/>
        </w:rPr>
        <w:t>On March 17, 2020, school closures associated with the novel coronavirus disease 2019 </w:t>
      </w:r>
      <w:r w:rsidR="007E624D">
        <w:rPr>
          <w:rStyle w:val="normaltextrun"/>
          <w:rFonts w:ascii="Arial" w:hAnsi="Arial" w:cs="Arial"/>
          <w:color w:val="000000"/>
        </w:rPr>
        <w:t xml:space="preserve">(COVID-19) </w:t>
      </w:r>
      <w:r w:rsidRPr="00C87DFA">
        <w:rPr>
          <w:rStyle w:val="normaltextrun"/>
          <w:rFonts w:ascii="Arial" w:hAnsi="Arial" w:cs="Arial"/>
          <w:color w:val="000000"/>
        </w:rPr>
        <w:t>pandemic resulted in the suspension of all summative testing for the 2019–2020 school year.</w:t>
      </w:r>
    </w:p>
    <w:p w14:paraId="2C76FA7A" w14:textId="352CD9AA" w:rsidR="00D06927" w:rsidRPr="00C87DFA" w:rsidRDefault="00D06927" w:rsidP="00D06927">
      <w:pPr>
        <w:rPr>
          <w:rFonts w:eastAsia="Arial" w:cs="Arial"/>
        </w:rPr>
      </w:pPr>
      <w:r w:rsidRPr="00C87DFA">
        <w:rPr>
          <w:rFonts w:eastAsia="Arial" w:cs="Arial"/>
        </w:rPr>
        <w:t xml:space="preserve">On March 18, 2020, Governor </w:t>
      </w:r>
      <w:r w:rsidR="009B638E">
        <w:rPr>
          <w:rFonts w:eastAsia="Arial" w:cs="Arial"/>
        </w:rPr>
        <w:t xml:space="preserve">Gavin </w:t>
      </w:r>
      <w:r w:rsidRPr="00C87DFA">
        <w:rPr>
          <w:rFonts w:eastAsia="Arial" w:cs="Arial"/>
        </w:rPr>
        <w:t>Newsom issued Executive Order N-30-20</w:t>
      </w:r>
      <w:r w:rsidR="007E624D">
        <w:rPr>
          <w:rFonts w:eastAsia="Arial" w:cs="Arial"/>
        </w:rPr>
        <w:t>,</w:t>
      </w:r>
      <w:r w:rsidRPr="00C87DFA">
        <w:rPr>
          <w:rFonts w:eastAsia="Arial" w:cs="Arial"/>
        </w:rPr>
        <w:t xml:space="preserve"> announcing California’s intent to pursue a federal waiver of testing requirements. In this </w:t>
      </w:r>
      <w:r w:rsidR="007E624D">
        <w:rPr>
          <w:rFonts w:eastAsia="Arial" w:cs="Arial"/>
        </w:rPr>
        <w:t>e</w:t>
      </w:r>
      <w:r w:rsidRPr="00C87DFA">
        <w:rPr>
          <w:rFonts w:eastAsia="Arial" w:cs="Arial"/>
        </w:rPr>
        <w:t xml:space="preserve">xecutive </w:t>
      </w:r>
      <w:r w:rsidR="007E624D">
        <w:rPr>
          <w:rFonts w:eastAsia="Arial" w:cs="Arial"/>
        </w:rPr>
        <w:t>o</w:t>
      </w:r>
      <w:r w:rsidRPr="00C87DFA">
        <w:rPr>
          <w:rFonts w:eastAsia="Arial" w:cs="Arial"/>
        </w:rPr>
        <w:t>rder, Governor Newsom acknowledged that California’s schools were in the middle of the statewide testing window</w:t>
      </w:r>
      <w:r w:rsidR="004D79BB">
        <w:rPr>
          <w:rFonts w:eastAsia="Arial" w:cs="Arial"/>
        </w:rPr>
        <w:t>,</w:t>
      </w:r>
      <w:r w:rsidRPr="00C87DFA">
        <w:rPr>
          <w:rFonts w:eastAsia="Arial" w:cs="Arial"/>
        </w:rPr>
        <w:t xml:space="preserve"> and it was </w:t>
      </w:r>
      <w:r w:rsidR="004D79BB" w:rsidRPr="00C87DFA">
        <w:rPr>
          <w:rFonts w:eastAsia="Arial" w:cs="Arial"/>
        </w:rPr>
        <w:t xml:space="preserve">therefore </w:t>
      </w:r>
      <w:r w:rsidRPr="00C87DFA">
        <w:rPr>
          <w:rFonts w:eastAsia="Arial" w:cs="Arial"/>
        </w:rPr>
        <w:t>necessary to waive state requirements to administer annual statewide assessments in order to allow LEAs to take appropriate actions to prevent and mitigate the effects of the COVID-19 pandemic.</w:t>
      </w:r>
    </w:p>
    <w:p w14:paraId="5DD9DC99" w14:textId="14A71AAA" w:rsidR="00D06927" w:rsidRPr="00C87DFA" w:rsidRDefault="00D06927" w:rsidP="00D06927">
      <w:pPr>
        <w:rPr>
          <w:rFonts w:eastAsia="Arial"/>
        </w:rPr>
      </w:pPr>
      <w:r w:rsidRPr="00C87DFA">
        <w:lastRenderedPageBreak/>
        <w:t>On March 19, 2020</w:t>
      </w:r>
      <w:r w:rsidR="004D79BB">
        <w:t>,</w:t>
      </w:r>
      <w:r w:rsidRPr="00C87DFA">
        <w:t xml:space="preserve"> Governor Newsom issued Executive Order N-33-20, which communicated a statewide order for Californians to stay home or at their place of residence to protect the health and well-being of all Californians and to mitigate the impact of COVID-19</w:t>
      </w:r>
      <w:r w:rsidR="002D4BB1" w:rsidRPr="00C87DFA">
        <w:t>.</w:t>
      </w:r>
    </w:p>
    <w:p w14:paraId="72E09F3D" w14:textId="5296358F" w:rsidR="00D06927" w:rsidRPr="00C87DFA" w:rsidRDefault="00D06927" w:rsidP="00D06927">
      <w:pPr>
        <w:rPr>
          <w:rFonts w:eastAsia="Arial" w:cs="Arial"/>
        </w:rPr>
      </w:pPr>
      <w:r w:rsidRPr="00C87DFA">
        <w:t>On March 20, 2020, as a result of the unprecedented circumstances surrounding COVID-19 and in conjunction with statements from Governor Newsom and State Superintendent of Public Instruction Tony Thurmond, the CDE suspended all statewide CAASPP, Summative ELPAC, and California High School Proficiency Examination testing.</w:t>
      </w:r>
      <w:r w:rsidRPr="00C87DFA">
        <w:rPr>
          <w:rFonts w:eastAsia="Arial" w:cs="Arial"/>
        </w:rPr>
        <w:t xml:space="preserve"> On March 26, 2020, State Superintendent of Public Instruction Thurmond and </w:t>
      </w:r>
      <w:r w:rsidR="009211D7">
        <w:rPr>
          <w:rFonts w:eastAsia="Arial" w:cs="Arial"/>
        </w:rPr>
        <w:t xml:space="preserve">California </w:t>
      </w:r>
      <w:r w:rsidR="009B638E">
        <w:rPr>
          <w:rFonts w:eastAsia="Arial" w:cs="Arial"/>
        </w:rPr>
        <w:t>State Board of Education (SBE)</w:t>
      </w:r>
      <w:r w:rsidR="009B638E" w:rsidRPr="00C87DFA">
        <w:rPr>
          <w:rFonts w:eastAsia="Arial" w:cs="Arial"/>
        </w:rPr>
        <w:t xml:space="preserve"> </w:t>
      </w:r>
      <w:r w:rsidRPr="00C87DFA">
        <w:rPr>
          <w:rFonts w:eastAsia="Arial" w:cs="Arial"/>
        </w:rPr>
        <w:t>President Linda Darling-Hammond submitted, on behalf of the CDE and SBE, a waiver for the 2019–2020 school year of the following sections under Elementary and Secondary Education Act Section 8401(b):</w:t>
      </w:r>
    </w:p>
    <w:p w14:paraId="2E49DF59" w14:textId="679181D1" w:rsidR="00D06927" w:rsidRPr="00C87DFA" w:rsidRDefault="3372A7F5" w:rsidP="3FB95C47">
      <w:pPr>
        <w:pStyle w:val="ListParagraph"/>
        <w:widowControl/>
        <w:numPr>
          <w:ilvl w:val="0"/>
          <w:numId w:val="28"/>
        </w:numPr>
        <w:ind w:left="720"/>
        <w:rPr>
          <w:rFonts w:asciiTheme="minorHAnsi" w:eastAsiaTheme="minorEastAsia" w:hAnsiTheme="minorHAnsi" w:cstheme="minorBidi"/>
          <w:color w:val="000000" w:themeColor="text1"/>
        </w:rPr>
      </w:pPr>
      <w:r w:rsidRPr="3FB95C47">
        <w:rPr>
          <w:rFonts w:eastAsia="Arial" w:cs="Arial"/>
        </w:rPr>
        <w:t>Assessment requirements in Section 1111(b)(2)</w:t>
      </w:r>
    </w:p>
    <w:p w14:paraId="630A1A4B" w14:textId="0A379DA6" w:rsidR="00D06927" w:rsidRPr="00C87DFA" w:rsidRDefault="3372A7F5" w:rsidP="3FB95C47">
      <w:pPr>
        <w:pStyle w:val="ListParagraph"/>
        <w:widowControl/>
        <w:numPr>
          <w:ilvl w:val="0"/>
          <w:numId w:val="28"/>
        </w:numPr>
        <w:ind w:left="720"/>
        <w:rPr>
          <w:rFonts w:asciiTheme="minorHAnsi" w:eastAsiaTheme="minorEastAsia" w:hAnsiTheme="minorHAnsi" w:cstheme="minorBidi"/>
          <w:color w:val="000000" w:themeColor="text1"/>
        </w:rPr>
      </w:pPr>
      <w:r w:rsidRPr="3FB95C47">
        <w:rPr>
          <w:rFonts w:eastAsia="Arial" w:cs="Arial"/>
        </w:rPr>
        <w:t>Accountability and school identification requirements in sections 1111(c)(4) and 1111(d)(2)(C)</w:t>
      </w:r>
      <w:r w:rsidR="15DC4E2C" w:rsidRPr="3FB95C47">
        <w:rPr>
          <w:rFonts w:eastAsia="Arial" w:cs="Arial"/>
        </w:rPr>
        <w:t xml:space="preserve"> and</w:t>
      </w:r>
      <w:r w:rsidR="354872BF" w:rsidRPr="3FB95C47">
        <w:rPr>
          <w:rFonts w:eastAsia="Arial" w:cs="Arial"/>
        </w:rPr>
        <w:t xml:space="preserve"> </w:t>
      </w:r>
      <w:r w:rsidRPr="3FB95C47">
        <w:rPr>
          <w:rFonts w:eastAsia="Arial" w:cs="Arial"/>
        </w:rPr>
        <w:t>(D)</w:t>
      </w:r>
    </w:p>
    <w:p w14:paraId="159F9B98" w14:textId="12A794B1" w:rsidR="00D06927" w:rsidRPr="00C87DFA" w:rsidRDefault="3372A7F5" w:rsidP="3FB95C47">
      <w:pPr>
        <w:pStyle w:val="ListParagraph"/>
        <w:widowControl/>
        <w:numPr>
          <w:ilvl w:val="0"/>
          <w:numId w:val="28"/>
        </w:numPr>
        <w:ind w:left="720"/>
        <w:rPr>
          <w:rFonts w:asciiTheme="minorHAnsi" w:eastAsiaTheme="minorEastAsia" w:hAnsiTheme="minorHAnsi" w:cstheme="minorBidi"/>
          <w:color w:val="000000" w:themeColor="text1"/>
        </w:rPr>
      </w:pPr>
      <w:r w:rsidRPr="3FB95C47">
        <w:rPr>
          <w:rFonts w:eastAsia="Arial" w:cs="Arial"/>
        </w:rPr>
        <w:t>Reporting requirements related to assessments and accountability in Section 1111(h)</w:t>
      </w:r>
    </w:p>
    <w:p w14:paraId="2720E2B9" w14:textId="42EE59F3" w:rsidR="00D06927" w:rsidRPr="00C87DFA" w:rsidRDefault="00D06927" w:rsidP="00D06927">
      <w:pPr>
        <w:rPr>
          <w:rStyle w:val="Hyperlink"/>
          <w:rFonts w:eastAsia="Arial" w:cs="Arial"/>
          <w:color w:val="000000" w:themeColor="text1"/>
        </w:rPr>
      </w:pPr>
      <w:r w:rsidRPr="00C87DFA">
        <w:rPr>
          <w:rFonts w:eastAsia="Arial" w:cs="Arial"/>
        </w:rPr>
        <w:t>The waiver, which was approved by the U</w:t>
      </w:r>
      <w:r w:rsidR="004D79BB">
        <w:rPr>
          <w:rFonts w:eastAsia="Arial" w:cs="Arial"/>
        </w:rPr>
        <w:t>.</w:t>
      </w:r>
      <w:r w:rsidRPr="00C87DFA">
        <w:rPr>
          <w:rFonts w:eastAsia="Arial" w:cs="Arial"/>
        </w:rPr>
        <w:t>S</w:t>
      </w:r>
      <w:r w:rsidR="004D79BB">
        <w:rPr>
          <w:rFonts w:eastAsia="Arial" w:cs="Arial"/>
        </w:rPr>
        <w:t>.</w:t>
      </w:r>
      <w:r w:rsidRPr="00C87DFA">
        <w:rPr>
          <w:rFonts w:eastAsia="Arial" w:cs="Arial"/>
        </w:rPr>
        <w:t xml:space="preserve"> Department of Education on March 27, 2020, include</w:t>
      </w:r>
      <w:r w:rsidR="005364A8">
        <w:rPr>
          <w:rFonts w:eastAsia="Arial" w:cs="Arial"/>
        </w:rPr>
        <w:t>d</w:t>
      </w:r>
      <w:r w:rsidRPr="00C87DFA">
        <w:rPr>
          <w:rFonts w:eastAsia="Arial" w:cs="Arial"/>
        </w:rPr>
        <w:t xml:space="preserve"> assessments for English language arts/literacy, mathematics, science, and English language proficiency</w:t>
      </w:r>
      <w:r w:rsidR="006C78DC">
        <w:rPr>
          <w:rFonts w:eastAsia="Arial" w:cs="Arial"/>
        </w:rPr>
        <w:t xml:space="preserve"> </w:t>
      </w:r>
      <w:r w:rsidR="006C78DC" w:rsidRPr="00095548">
        <w:rPr>
          <w:rStyle w:val="Hyperlink"/>
          <w:rFonts w:eastAsia="Arial" w:cs="Arial"/>
          <w:color w:val="000000" w:themeColor="text1"/>
          <w:u w:val="none"/>
        </w:rPr>
        <w:t xml:space="preserve">and was </w:t>
      </w:r>
      <w:r w:rsidR="00622EA5">
        <w:rPr>
          <w:rStyle w:val="Hyperlink"/>
          <w:rFonts w:eastAsia="Arial" w:cs="Arial"/>
          <w:color w:val="000000" w:themeColor="text1"/>
          <w:u w:val="none"/>
        </w:rPr>
        <w:t>ratified</w:t>
      </w:r>
      <w:r w:rsidR="006C78DC" w:rsidRPr="00095548">
        <w:rPr>
          <w:rStyle w:val="Hyperlink"/>
          <w:rFonts w:eastAsia="Arial" w:cs="Arial"/>
          <w:color w:val="000000" w:themeColor="text1"/>
          <w:u w:val="none"/>
        </w:rPr>
        <w:t xml:space="preserve"> in Item 03 of the May 2020 SBE agenda</w:t>
      </w:r>
      <w:r w:rsidR="00622EA5">
        <w:rPr>
          <w:rStyle w:val="Hyperlink"/>
          <w:rFonts w:eastAsia="Arial" w:cs="Arial"/>
          <w:color w:val="000000" w:themeColor="text1"/>
          <w:u w:val="none"/>
        </w:rPr>
        <w:t>.</w:t>
      </w:r>
      <w:r w:rsidR="006C78DC" w:rsidRPr="00095548">
        <w:t xml:space="preserve"> </w:t>
      </w:r>
      <w:r w:rsidR="006C78DC">
        <w:rPr>
          <w:rFonts w:eastAsia="Arial" w:cs="Arial"/>
        </w:rPr>
        <w:t>A</w:t>
      </w:r>
      <w:r w:rsidRPr="00C87DFA">
        <w:rPr>
          <w:rFonts w:eastAsia="Arial" w:cs="Arial"/>
        </w:rPr>
        <w:t xml:space="preserve"> copy of the full waiver is available for review on the </w:t>
      </w:r>
      <w:r w:rsidR="00BA4F64">
        <w:rPr>
          <w:rFonts w:eastAsia="Arial" w:cs="Arial"/>
        </w:rPr>
        <w:t xml:space="preserve">CDE </w:t>
      </w:r>
      <w:r w:rsidRPr="00C87DFA">
        <w:rPr>
          <w:rFonts w:eastAsia="Arial" w:cs="Arial"/>
        </w:rPr>
        <w:t xml:space="preserve">Every Student Succeeds Act web page at </w:t>
      </w:r>
      <w:hyperlink r:id="rId14" w:tooltip="Every Student Succeeds Act web page">
        <w:r w:rsidRPr="00C87DFA">
          <w:rPr>
            <w:rStyle w:val="Hyperlink"/>
            <w:rFonts w:eastAsia="Arial" w:cs="Arial"/>
          </w:rPr>
          <w:t>https://www.cde.ca.gov/re/es/</w:t>
        </w:r>
      </w:hyperlink>
      <w:r w:rsidR="006C78DC">
        <w:rPr>
          <w:rFonts w:eastAsia="Arial" w:cs="Arial"/>
        </w:rPr>
        <w:t>.</w:t>
      </w:r>
    </w:p>
    <w:p w14:paraId="050E0B17" w14:textId="60C141DF" w:rsidR="00D06927" w:rsidRPr="005C3073" w:rsidRDefault="00D06927" w:rsidP="338B0556">
      <w:pPr>
        <w:widowControl/>
        <w:rPr>
          <w:rFonts w:cs="Arial"/>
        </w:rPr>
        <w:sectPr w:rsidR="00D06927" w:rsidRPr="005C3073" w:rsidSect="002D2D5C">
          <w:footerReference w:type="default" r:id="rId15"/>
          <w:footnotePr>
            <w:pos w:val="beneathText"/>
            <w:numRestart w:val="eachPage"/>
          </w:footnotePr>
          <w:pgSz w:w="12240" w:h="15840" w:code="1"/>
          <w:pgMar w:top="1440" w:right="1440" w:bottom="1440" w:left="1440" w:header="576" w:footer="576" w:gutter="0"/>
          <w:pgNumType w:start="1"/>
          <w:cols w:space="720"/>
          <w:docGrid w:linePitch="360"/>
        </w:sectPr>
      </w:pPr>
    </w:p>
    <w:p w14:paraId="050E0B18" w14:textId="77777777" w:rsidR="00EB000A" w:rsidRPr="005C3073" w:rsidRDefault="00EB000A" w:rsidP="00F95870">
      <w:pPr>
        <w:pStyle w:val="Heading2"/>
      </w:pPr>
      <w:bookmarkStart w:id="2" w:name="_Toc2346297"/>
      <w:bookmarkStart w:id="3" w:name="_Toc43122194"/>
      <w:r w:rsidRPr="005C3073">
        <w:lastRenderedPageBreak/>
        <w:t>Program Information</w:t>
      </w:r>
      <w:bookmarkEnd w:id="2"/>
      <w:bookmarkEnd w:id="3"/>
    </w:p>
    <w:p w14:paraId="050E0B19" w14:textId="06B02EB3" w:rsidR="00EB000A" w:rsidRPr="005C3073" w:rsidRDefault="00EB000A" w:rsidP="00F95870">
      <w:pPr>
        <w:widowControl/>
        <w:rPr>
          <w:rFonts w:eastAsia="Calibri" w:cs="Arial"/>
          <w:snapToGrid/>
          <w:szCs w:val="24"/>
        </w:rPr>
      </w:pPr>
      <w:r w:rsidRPr="005C3073">
        <w:rPr>
          <w:rFonts w:eastAsia="Calibri" w:cs="Arial"/>
          <w:snapToGrid/>
          <w:szCs w:val="24"/>
        </w:rPr>
        <w:t>The California Assessment of Student Performance and Progress (CAASPP) System was established in statute (</w:t>
      </w:r>
      <w:r w:rsidR="004257C9">
        <w:rPr>
          <w:rFonts w:eastAsia="Calibri" w:cs="Arial"/>
          <w:snapToGrid/>
          <w:szCs w:val="24"/>
        </w:rPr>
        <w:t xml:space="preserve">California </w:t>
      </w:r>
      <w:r w:rsidR="00E54914" w:rsidRPr="005C3073">
        <w:rPr>
          <w:rFonts w:eastAsia="Calibri" w:cs="Arial"/>
          <w:i/>
          <w:snapToGrid/>
          <w:szCs w:val="24"/>
        </w:rPr>
        <w:t>Education Code</w:t>
      </w:r>
      <w:r w:rsidR="00E54914" w:rsidRPr="005C3073">
        <w:rPr>
          <w:rFonts w:eastAsia="Calibri" w:cs="Arial"/>
          <w:snapToGrid/>
          <w:szCs w:val="24"/>
        </w:rPr>
        <w:t xml:space="preserve"> [</w:t>
      </w:r>
      <w:r w:rsidRPr="005C3073">
        <w:rPr>
          <w:rFonts w:eastAsia="Calibri" w:cs="Arial"/>
          <w:i/>
          <w:snapToGrid/>
          <w:szCs w:val="24"/>
        </w:rPr>
        <w:t>EC</w:t>
      </w:r>
      <w:r w:rsidR="00E54914" w:rsidRPr="005C3073">
        <w:rPr>
          <w:rFonts w:eastAsia="Calibri" w:cs="Arial"/>
          <w:snapToGrid/>
          <w:szCs w:val="24"/>
        </w:rPr>
        <w:t>]</w:t>
      </w:r>
      <w:r w:rsidRPr="005C3073">
        <w:rPr>
          <w:rFonts w:eastAsia="Calibri" w:cs="Arial"/>
          <w:snapToGrid/>
          <w:szCs w:val="24"/>
        </w:rPr>
        <w:t xml:space="preserve"> </w:t>
      </w:r>
      <w:r w:rsidR="00BD772C" w:rsidRPr="005C3073">
        <w:rPr>
          <w:rFonts w:eastAsia="Calibri" w:cs="Arial"/>
          <w:snapToGrid/>
          <w:szCs w:val="24"/>
        </w:rPr>
        <w:t>s</w:t>
      </w:r>
      <w:r w:rsidRPr="005C3073">
        <w:rPr>
          <w:rFonts w:eastAsia="Calibri" w:cs="Arial"/>
          <w:snapToGrid/>
          <w:szCs w:val="24"/>
        </w:rPr>
        <w:t>ections 60640–49) in 2013 per Chapter 4</w:t>
      </w:r>
      <w:r w:rsidR="008A0AA4">
        <w:rPr>
          <w:rFonts w:eastAsia="Calibri" w:cs="Arial"/>
          <w:snapToGrid/>
          <w:szCs w:val="24"/>
        </w:rPr>
        <w:t>89</w:t>
      </w:r>
      <w:r w:rsidRPr="005C3073">
        <w:rPr>
          <w:rFonts w:eastAsia="Calibri" w:cs="Arial"/>
          <w:snapToGrid/>
          <w:szCs w:val="24"/>
        </w:rPr>
        <w:t xml:space="preserve">, Statutes of 2013 (Assembly Bill 484, Bonilla) and became effective on January 1, 2014, with technical amendments per Chapter 32, Statutes of 2014 (Senate Bill 858, </w:t>
      </w:r>
      <w:r w:rsidRPr="005C3073">
        <w:rPr>
          <w:rFonts w:cs="Arial"/>
          <w:szCs w:val="24"/>
        </w:rPr>
        <w:t>Committee on Budget and Fiscal Review</w:t>
      </w:r>
      <w:r w:rsidRPr="005C3073">
        <w:rPr>
          <w:rFonts w:eastAsia="Calibri" w:cs="Arial"/>
          <w:snapToGrid/>
          <w:szCs w:val="24"/>
        </w:rPr>
        <w:t>)</w:t>
      </w:r>
      <w:r w:rsidRPr="005C3073">
        <w:rPr>
          <w:rFonts w:cs="Arial"/>
          <w:i/>
          <w:iCs/>
          <w:snapToGrid/>
          <w:szCs w:val="24"/>
        </w:rPr>
        <w:t>.</w:t>
      </w:r>
      <w:r w:rsidRPr="005C3073">
        <w:rPr>
          <w:rFonts w:eastAsia="Calibri" w:cs="Arial"/>
          <w:snapToGrid/>
          <w:szCs w:val="24"/>
        </w:rPr>
        <w:t xml:space="preserve"> </w:t>
      </w:r>
    </w:p>
    <w:p w14:paraId="050E0B1A" w14:textId="11D148E1" w:rsidR="00EB000A" w:rsidRPr="005C3073" w:rsidRDefault="00EB000A" w:rsidP="00F95870">
      <w:pPr>
        <w:widowControl/>
        <w:rPr>
          <w:rFonts w:eastAsia="Calibri" w:cs="Arial"/>
          <w:snapToGrid/>
          <w:szCs w:val="24"/>
        </w:rPr>
      </w:pPr>
      <w:r w:rsidRPr="005C3073">
        <w:t xml:space="preserve">The purpose of </w:t>
      </w:r>
      <w:r w:rsidR="008A0C31" w:rsidRPr="005C3073">
        <w:t xml:space="preserve">the </w:t>
      </w:r>
      <w:r w:rsidRPr="005C3073">
        <w:t>CAASPP</w:t>
      </w:r>
      <w:r w:rsidR="008964FE" w:rsidRPr="005C3073">
        <w:t xml:space="preserve"> System</w:t>
      </w:r>
      <w:r w:rsidRPr="005C3073">
        <w:t xml:space="preserve"> </w:t>
      </w:r>
      <w:r w:rsidR="008A0C31" w:rsidRPr="005C3073">
        <w:t>is</w:t>
      </w:r>
      <w:r w:rsidRPr="005C3073">
        <w:t xml:space="preserve"> to provide a system of assessments that primarily assist</w:t>
      </w:r>
      <w:r w:rsidR="0094371A" w:rsidRPr="005C3073">
        <w:t>s</w:t>
      </w:r>
      <w:r w:rsidRPr="005C3073">
        <w:t xml:space="preserve"> teachers</w:t>
      </w:r>
      <w:r w:rsidR="00287F8C" w:rsidRPr="005C3073">
        <w:t xml:space="preserve"> and administrators </w:t>
      </w:r>
      <w:r w:rsidR="00107841" w:rsidRPr="005C3073">
        <w:t>in</w:t>
      </w:r>
      <w:r w:rsidRPr="005C3073">
        <w:t xml:space="preserve"> promot</w:t>
      </w:r>
      <w:r w:rsidR="00107841" w:rsidRPr="005C3073">
        <w:t>ing</w:t>
      </w:r>
      <w:r w:rsidRPr="005C3073">
        <w:t xml:space="preserve"> high-quality teaching and learning through the use of a variety of assessment approaches. The statute </w:t>
      </w:r>
      <w:r w:rsidRPr="005C3073">
        <w:rPr>
          <w:rFonts w:eastAsia="Calibri" w:cs="Arial"/>
          <w:snapToGrid/>
          <w:szCs w:val="24"/>
        </w:rPr>
        <w:t xml:space="preserve">provides for the development and administration of assessments through the use of technology where feasible. </w:t>
      </w:r>
    </w:p>
    <w:p w14:paraId="050E0B1B" w14:textId="7E028B63" w:rsidR="00EB000A" w:rsidRPr="005C3073" w:rsidRDefault="00EB000A" w:rsidP="00F95870">
      <w:pPr>
        <w:widowControl/>
        <w:rPr>
          <w:rFonts w:cs="Arial"/>
          <w:szCs w:val="24"/>
        </w:rPr>
      </w:pPr>
      <w:r w:rsidRPr="005C3073">
        <w:rPr>
          <w:rFonts w:eastAsia="Calibri" w:cs="Arial"/>
          <w:snapToGrid/>
          <w:szCs w:val="24"/>
        </w:rPr>
        <w:t xml:space="preserve">This report provides information about the CAASPP System as it relates to </w:t>
      </w:r>
      <w:r w:rsidR="00A63926" w:rsidRPr="005C3073">
        <w:rPr>
          <w:rFonts w:eastAsia="Calibri" w:cs="Arial"/>
          <w:snapToGrid/>
          <w:szCs w:val="24"/>
        </w:rPr>
        <w:br/>
      </w:r>
      <w:r w:rsidRPr="005C3073">
        <w:rPr>
          <w:rFonts w:eastAsia="Calibri" w:cs="Arial"/>
          <w:i/>
          <w:snapToGrid/>
          <w:szCs w:val="24"/>
        </w:rPr>
        <w:t>EC</w:t>
      </w:r>
      <w:r w:rsidRPr="005C3073">
        <w:rPr>
          <w:rFonts w:eastAsia="Calibri" w:cs="Arial"/>
          <w:snapToGrid/>
          <w:szCs w:val="24"/>
        </w:rPr>
        <w:t xml:space="preserve"> Section 60604(b), which requires the </w:t>
      </w:r>
      <w:r w:rsidR="00C66B61" w:rsidRPr="005C3073">
        <w:rPr>
          <w:rFonts w:eastAsia="Calibri" w:cs="Arial"/>
          <w:snapToGrid/>
          <w:szCs w:val="24"/>
        </w:rPr>
        <w:t>State Superintendent</w:t>
      </w:r>
      <w:r w:rsidR="00EC3238" w:rsidRPr="005C3073">
        <w:rPr>
          <w:rFonts w:eastAsia="Calibri" w:cs="Arial"/>
          <w:snapToGrid/>
          <w:szCs w:val="24"/>
        </w:rPr>
        <w:t xml:space="preserve"> of Public Instruction</w:t>
      </w:r>
      <w:r w:rsidR="00863BBC" w:rsidRPr="005C3073">
        <w:rPr>
          <w:rFonts w:eastAsia="Calibri" w:cs="Arial"/>
          <w:snapToGrid/>
          <w:szCs w:val="24"/>
        </w:rPr>
        <w:t xml:space="preserve"> </w:t>
      </w:r>
      <w:r w:rsidRPr="005C3073">
        <w:rPr>
          <w:rFonts w:eastAsia="Calibri" w:cs="Arial"/>
          <w:snapToGrid/>
          <w:szCs w:val="24"/>
        </w:rPr>
        <w:t xml:space="preserve">to develop and annually provide </w:t>
      </w:r>
      <w:r w:rsidR="003F20C1">
        <w:rPr>
          <w:rFonts w:eastAsia="Calibri" w:cs="Arial"/>
          <w:snapToGrid/>
          <w:szCs w:val="24"/>
        </w:rPr>
        <w:t>to</w:t>
      </w:r>
      <w:r w:rsidR="003F20C1" w:rsidRPr="005C3073">
        <w:rPr>
          <w:rFonts w:eastAsia="Calibri" w:cs="Arial"/>
          <w:snapToGrid/>
          <w:szCs w:val="24"/>
        </w:rPr>
        <w:t xml:space="preserve"> </w:t>
      </w:r>
      <w:r w:rsidRPr="005C3073">
        <w:rPr>
          <w:rFonts w:eastAsia="Calibri" w:cs="Arial"/>
          <w:snapToGrid/>
          <w:szCs w:val="24"/>
        </w:rPr>
        <w:t>the Legislature an update on a</w:t>
      </w:r>
      <w:r w:rsidR="00235B06" w:rsidRPr="005C3073">
        <w:rPr>
          <w:rFonts w:eastAsia="Calibri" w:cs="Arial"/>
          <w:snapToGrid/>
          <w:szCs w:val="24"/>
        </w:rPr>
        <w:t>n</w:t>
      </w:r>
      <w:r w:rsidRPr="005C3073">
        <w:rPr>
          <w:rFonts w:eastAsia="Calibri" w:cs="Arial"/>
          <w:snapToGrid/>
          <w:szCs w:val="24"/>
        </w:rPr>
        <w:t xml:space="preserve"> implementation plan, </w:t>
      </w:r>
      <w:r w:rsidR="00936A06">
        <w:rPr>
          <w:rFonts w:eastAsia="Calibri" w:cs="Arial"/>
          <w:snapToGrid/>
          <w:szCs w:val="24"/>
        </w:rPr>
        <w:t xml:space="preserve">a </w:t>
      </w:r>
      <w:r w:rsidR="00235B06" w:rsidRPr="005C3073">
        <w:rPr>
          <w:rFonts w:eastAsia="Calibri" w:cs="Arial"/>
          <w:snapToGrid/>
          <w:szCs w:val="24"/>
        </w:rPr>
        <w:t xml:space="preserve">five-year cost projection, </w:t>
      </w:r>
      <w:r w:rsidRPr="005C3073">
        <w:rPr>
          <w:rFonts w:eastAsia="Calibri" w:cs="Arial"/>
          <w:snapToGrid/>
          <w:szCs w:val="24"/>
        </w:rPr>
        <w:t>and</w:t>
      </w:r>
      <w:r w:rsidR="00936A06">
        <w:rPr>
          <w:rFonts w:eastAsia="Calibri" w:cs="Arial"/>
          <w:snapToGrid/>
          <w:szCs w:val="24"/>
        </w:rPr>
        <w:t xml:space="preserve"> a</w:t>
      </w:r>
      <w:r w:rsidRPr="005C3073">
        <w:rPr>
          <w:rFonts w:eastAsia="Calibri" w:cs="Arial"/>
          <w:snapToGrid/>
          <w:szCs w:val="24"/>
        </w:rPr>
        <w:t xml:space="preserve"> timeline for implementing the CAASPP System.</w:t>
      </w:r>
    </w:p>
    <w:p w14:paraId="53841B6E" w14:textId="7D1853E7" w:rsidR="00B941B2" w:rsidRPr="005C3073" w:rsidRDefault="00BA5115" w:rsidP="00F95870">
      <w:pPr>
        <w:widowControl/>
      </w:pPr>
      <w:r>
        <w:t xml:space="preserve">Per </w:t>
      </w:r>
      <w:r w:rsidRPr="4E0C1B00">
        <w:rPr>
          <w:i/>
          <w:iCs/>
        </w:rPr>
        <w:t>EC</w:t>
      </w:r>
      <w:r>
        <w:t xml:space="preserve"> Section 60605.7, California joined the Smarter Balanced Assessment Consortium (Consortium) in June 2011 as a governing state</w:t>
      </w:r>
      <w:r w:rsidR="00D37564">
        <w:t>,</w:t>
      </w:r>
      <w:r>
        <w:t xml:space="preserve"> working on the development of English language arts/literacy (ELA) and mathematics assessments. As stipulated in </w:t>
      </w:r>
      <w:r w:rsidRPr="4E0C1B00">
        <w:rPr>
          <w:i/>
          <w:iCs/>
        </w:rPr>
        <w:t>EC</w:t>
      </w:r>
      <w:r>
        <w:t xml:space="preserve"> Section 60640(b)(1), the Consortium assessments measure the Common Core State Standards for ELA and mathematics adopted by the California State Board of Education (SBE). The three components of the Smarter Balanced Assessment System—summative assessments, interim assessments, and Digital Library of formative assessment tools—are designed to support teaching and learning throughout the year. </w:t>
      </w:r>
      <w:r w:rsidR="008E56FD">
        <w:t xml:space="preserve">In </w:t>
      </w:r>
      <w:r w:rsidR="000E4D10">
        <w:t>June</w:t>
      </w:r>
      <w:r w:rsidR="008E56FD">
        <w:t xml:space="preserve"> 2020, </w:t>
      </w:r>
      <w:r w:rsidR="005374C1">
        <w:t>the Consortium</w:t>
      </w:r>
      <w:r w:rsidR="008E56FD">
        <w:t xml:space="preserve"> replaced the Digital Library with a newly developed </w:t>
      </w:r>
      <w:r w:rsidR="009108D5">
        <w:t>website</w:t>
      </w:r>
      <w:r w:rsidR="008E56FD">
        <w:t xml:space="preserve"> called </w:t>
      </w:r>
      <w:r w:rsidR="00130FCF">
        <w:t>“</w:t>
      </w:r>
      <w:r w:rsidR="008E56FD">
        <w:t>Tools for Teachers.</w:t>
      </w:r>
      <w:r w:rsidR="00130FCF">
        <w:t>”</w:t>
      </w:r>
      <w:r w:rsidR="00CE7A6A">
        <w:t xml:space="preserve"> Tools for Teachers now serves as the formative assessment component of the </w:t>
      </w:r>
      <w:r w:rsidR="00D06205">
        <w:t>Smarter Balanced Assessment System.</w:t>
      </w:r>
    </w:p>
    <w:p w14:paraId="050E0B1D" w14:textId="4C43421B" w:rsidR="00BA5115" w:rsidRPr="005C3073" w:rsidRDefault="00BA5115" w:rsidP="00F95870">
      <w:pPr>
        <w:widowControl/>
      </w:pPr>
      <w:r w:rsidRPr="005C3073">
        <w:t>As addressed in state law, the CAASPP summative assessments include</w:t>
      </w:r>
      <w:r w:rsidR="000F0C85">
        <w:t xml:space="preserve"> the following</w:t>
      </w:r>
      <w:r w:rsidRPr="005C3073">
        <w:t>:</w:t>
      </w:r>
    </w:p>
    <w:p w14:paraId="050E0B1E" w14:textId="77777777" w:rsidR="00BA5115" w:rsidRPr="005C3073" w:rsidRDefault="282F9FBF" w:rsidP="00AC6C10">
      <w:pPr>
        <w:pStyle w:val="ListParagraph"/>
        <w:widowControl/>
        <w:numPr>
          <w:ilvl w:val="0"/>
          <w:numId w:val="22"/>
        </w:numPr>
      </w:pPr>
      <w:r>
        <w:t>Smarter Balanced Summative Assessments for ELA and mathematics</w:t>
      </w:r>
    </w:p>
    <w:p w14:paraId="050E0B1F" w14:textId="149E4A0E" w:rsidR="00BA5115" w:rsidRPr="005C3073" w:rsidRDefault="282F9FBF" w:rsidP="00AC6C10">
      <w:pPr>
        <w:pStyle w:val="ListParagraph"/>
        <w:widowControl/>
        <w:numPr>
          <w:ilvl w:val="0"/>
          <w:numId w:val="22"/>
        </w:numPr>
      </w:pPr>
      <w:r>
        <w:t>California Alternate Assessments (CAAs)</w:t>
      </w:r>
      <w:r w:rsidR="7C6E892C">
        <w:t xml:space="preserve"> for ELA, mathematics, and science</w:t>
      </w:r>
      <w:r w:rsidR="004D79BB">
        <w:rPr>
          <w:rFonts w:cs="Arial"/>
        </w:rPr>
        <w:t xml:space="preserve"> </w:t>
      </w:r>
      <w:r>
        <w:t xml:space="preserve">for students with the most significant cognitive disabilities, as designated in their individualized education program (IEP) </w:t>
      </w:r>
    </w:p>
    <w:p w14:paraId="050E0B20" w14:textId="77777777" w:rsidR="00BA5115" w:rsidRDefault="282F9FBF" w:rsidP="00AC6C10">
      <w:pPr>
        <w:pStyle w:val="ListParagraph"/>
        <w:widowControl/>
        <w:numPr>
          <w:ilvl w:val="0"/>
          <w:numId w:val="22"/>
        </w:numPr>
      </w:pPr>
      <w:r>
        <w:t>California Science Test (CAST)</w:t>
      </w:r>
    </w:p>
    <w:p w14:paraId="050E0B22" w14:textId="43D6718A" w:rsidR="004257C9" w:rsidRDefault="282F9FBF" w:rsidP="00AC6C10">
      <w:pPr>
        <w:pStyle w:val="ListParagraph"/>
        <w:widowControl/>
        <w:numPr>
          <w:ilvl w:val="0"/>
          <w:numId w:val="22"/>
        </w:numPr>
      </w:pPr>
      <w:r>
        <w:t>California Spanish Assessment (CSA) for Spanish reading/language arts (RLA)</w:t>
      </w:r>
    </w:p>
    <w:p w14:paraId="050E0B24" w14:textId="5B528862" w:rsidR="00EB000A" w:rsidRPr="005C3073" w:rsidRDefault="00EB000A" w:rsidP="00C33758">
      <w:pPr>
        <w:keepNext/>
        <w:keepLines/>
        <w:widowControl/>
        <w:rPr>
          <w:szCs w:val="24"/>
        </w:rPr>
      </w:pPr>
      <w:r w:rsidRPr="005C3073">
        <w:lastRenderedPageBreak/>
        <w:t xml:space="preserve">The </w:t>
      </w:r>
      <w:r w:rsidR="00BA5115" w:rsidRPr="005C3073">
        <w:t xml:space="preserve">CAASPP </w:t>
      </w:r>
      <w:r w:rsidRPr="005C3073">
        <w:t>summative assessments</w:t>
      </w:r>
      <w:r w:rsidR="002F1E71" w:rsidRPr="005C3073">
        <w:t xml:space="preserve"> are computer</w:t>
      </w:r>
      <w:r w:rsidR="00F2509D" w:rsidRPr="005C3073">
        <w:t>-based</w:t>
      </w:r>
      <w:r w:rsidR="002F1E71" w:rsidRPr="005C3073">
        <w:t xml:space="preserve"> tests that measure what students know and can do. They </w:t>
      </w:r>
      <w:r w:rsidRPr="005C3073">
        <w:t xml:space="preserve">produce scores that can be aggregated and disaggregated for the purpose of </w:t>
      </w:r>
      <w:r w:rsidR="00604F39" w:rsidRPr="005C3073">
        <w:t>informing parents</w:t>
      </w:r>
      <w:r w:rsidR="00744CE4" w:rsidRPr="005C3073">
        <w:t>/guardians</w:t>
      </w:r>
      <w:r w:rsidR="00604F39" w:rsidRPr="005C3073">
        <w:t xml:space="preserve">, </w:t>
      </w:r>
      <w:r w:rsidR="00744CE4" w:rsidRPr="005C3073">
        <w:t>local educational agencies (LEAs)</w:t>
      </w:r>
      <w:r w:rsidR="00604F39" w:rsidRPr="005C3073">
        <w:t>,</w:t>
      </w:r>
      <w:r w:rsidRPr="005C3073">
        <w:t xml:space="preserve"> </w:t>
      </w:r>
      <w:r w:rsidR="000B6C15" w:rsidRPr="005C3073">
        <w:t xml:space="preserve">the public, </w:t>
      </w:r>
      <w:r w:rsidR="00604F39" w:rsidRPr="005C3073">
        <w:t xml:space="preserve">and the state about </w:t>
      </w:r>
      <w:r w:rsidR="00D73C3D" w:rsidRPr="005C3073">
        <w:t xml:space="preserve">students’ </w:t>
      </w:r>
      <w:r w:rsidRPr="005C3073">
        <w:t xml:space="preserve">achievement </w:t>
      </w:r>
      <w:r w:rsidR="00D73C3D" w:rsidRPr="005C3073">
        <w:t>in their</w:t>
      </w:r>
      <w:r w:rsidRPr="005C3073">
        <w:t xml:space="preserve"> learning </w:t>
      </w:r>
      <w:r w:rsidR="00D73C3D" w:rsidRPr="005C3073">
        <w:t xml:space="preserve">of </w:t>
      </w:r>
      <w:r w:rsidRPr="005C3073">
        <w:t xml:space="preserve">the California academic content standards. </w:t>
      </w:r>
      <w:r w:rsidRPr="005C3073">
        <w:rPr>
          <w:szCs w:val="24"/>
        </w:rPr>
        <w:t xml:space="preserve">The CAASPP summative assessments (1) provide individual </w:t>
      </w:r>
      <w:r w:rsidRPr="005C3073">
        <w:t>student</w:t>
      </w:r>
      <w:r w:rsidRPr="005C3073">
        <w:rPr>
          <w:szCs w:val="24"/>
        </w:rPr>
        <w:t xml:space="preserve"> results to </w:t>
      </w:r>
      <w:r w:rsidRPr="005C3073">
        <w:t>student</w:t>
      </w:r>
      <w:r w:rsidRPr="005C3073">
        <w:rPr>
          <w:szCs w:val="24"/>
        </w:rPr>
        <w:t xml:space="preserve">s, parents/guardians, and teachers; </w:t>
      </w:r>
      <w:r w:rsidR="00BA5115" w:rsidRPr="005C3073">
        <w:rPr>
          <w:szCs w:val="24"/>
        </w:rPr>
        <w:br/>
      </w:r>
      <w:r w:rsidRPr="005C3073">
        <w:rPr>
          <w:szCs w:val="24"/>
        </w:rPr>
        <w:t>(2) produce school-, district-, and county-level results that allow</w:t>
      </w:r>
      <w:r w:rsidR="0087488F" w:rsidRPr="005C3073">
        <w:rPr>
          <w:szCs w:val="24"/>
        </w:rPr>
        <w:t xml:space="preserve"> for</w:t>
      </w:r>
      <w:r w:rsidRPr="005C3073">
        <w:rPr>
          <w:szCs w:val="24"/>
        </w:rPr>
        <w:t xml:space="preserve"> the monitoring of schools’ progress; and (3) produce results to</w:t>
      </w:r>
      <w:r w:rsidRPr="005C3073">
        <w:t xml:space="preserve"> meet the requirements of the </w:t>
      </w:r>
      <w:r w:rsidR="003D4E62" w:rsidRPr="005C3073">
        <w:t>Every</w:t>
      </w:r>
      <w:r w:rsidRPr="005C3073">
        <w:t xml:space="preserve"> Student Succeeds Act (ESSA), enacted on December 10, 2015</w:t>
      </w:r>
      <w:r w:rsidR="00200805" w:rsidRPr="005C3073">
        <w:t>, and the Elementary and Secondary Education Act</w:t>
      </w:r>
      <w:r w:rsidR="00604F39" w:rsidRPr="005C3073">
        <w:t xml:space="preserve"> (ESEA)</w:t>
      </w:r>
      <w:r w:rsidR="00200805" w:rsidRPr="005C3073">
        <w:t xml:space="preserve">, enacted in 1965. </w:t>
      </w:r>
      <w:r w:rsidRPr="005C3073">
        <w:t>Under the federal requirements of ESSA, all states accepting Title I federal funds for use by LEAs must assess students as follows:</w:t>
      </w:r>
    </w:p>
    <w:p w14:paraId="050E0B25" w14:textId="6499AFA0" w:rsidR="00EB000A" w:rsidRPr="005C3073" w:rsidRDefault="6C97B2C6" w:rsidP="00F95870">
      <w:pPr>
        <w:pStyle w:val="ListParagraph"/>
        <w:widowControl/>
        <w:numPr>
          <w:ilvl w:val="0"/>
          <w:numId w:val="2"/>
        </w:numPr>
      </w:pPr>
      <w:r>
        <w:t xml:space="preserve">For </w:t>
      </w:r>
      <w:r w:rsidR="004D79BB">
        <w:t>RLA</w:t>
      </w:r>
      <w:r>
        <w:t xml:space="preserve"> and mathematics</w:t>
      </w:r>
      <w:r w:rsidR="2990B397" w:rsidRPr="3FB95C47">
        <w:rPr>
          <w:rFonts w:cs="Arial"/>
        </w:rPr>
        <w:t>—</w:t>
      </w:r>
      <w:r w:rsidR="4B4F47F0">
        <w:t xml:space="preserve">assessment </w:t>
      </w:r>
      <w:r w:rsidR="1BC5A612">
        <w:t xml:space="preserve">administered annually in each of grades </w:t>
      </w:r>
      <w:r w:rsidR="33A00460">
        <w:t>three</w:t>
      </w:r>
      <w:r w:rsidR="1BC5A612">
        <w:t xml:space="preserve"> through </w:t>
      </w:r>
      <w:r w:rsidR="33A00460">
        <w:t>eight</w:t>
      </w:r>
      <w:r w:rsidR="1BC5A612">
        <w:t xml:space="preserve"> and once in high school</w:t>
      </w:r>
    </w:p>
    <w:p w14:paraId="050E0B26" w14:textId="72A38952" w:rsidR="0095567A" w:rsidRPr="005C3073" w:rsidRDefault="6C97B2C6" w:rsidP="54FDBCFC">
      <w:pPr>
        <w:pStyle w:val="ListParagraph"/>
        <w:widowControl/>
        <w:numPr>
          <w:ilvl w:val="0"/>
          <w:numId w:val="2"/>
        </w:numPr>
        <w:rPr>
          <w:rFonts w:eastAsia="Calibri"/>
          <w:snapToGrid/>
        </w:rPr>
      </w:pPr>
      <w:r>
        <w:t>For science</w:t>
      </w:r>
      <w:r w:rsidR="2990B397" w:rsidRPr="3FB95C47">
        <w:rPr>
          <w:rFonts w:cs="Arial"/>
        </w:rPr>
        <w:t>—</w:t>
      </w:r>
      <w:r w:rsidR="4B4F47F0">
        <w:t>assessment</w:t>
      </w:r>
      <w:r>
        <w:t xml:space="preserve"> </w:t>
      </w:r>
      <w:r w:rsidR="1BC5A612">
        <w:t>administer</w:t>
      </w:r>
      <w:r w:rsidR="4B4F47F0">
        <w:t>ed</w:t>
      </w:r>
      <w:r w:rsidR="1BC5A612">
        <w:t xml:space="preserve"> annually </w:t>
      </w:r>
      <w:r w:rsidR="33A00460">
        <w:t>in grades five and eight and once in high school (i.e., grade ten, eleven, or twelve)</w:t>
      </w:r>
      <w:r w:rsidR="1F249641">
        <w:t xml:space="preserve"> </w:t>
      </w:r>
    </w:p>
    <w:p w14:paraId="050E0B27" w14:textId="1FFA2A3E" w:rsidR="005249FB" w:rsidRPr="005C3073" w:rsidRDefault="6FFBEA35" w:rsidP="00F95870">
      <w:pPr>
        <w:pStyle w:val="CommentText"/>
        <w:widowControl/>
        <w:rPr>
          <w:rFonts w:eastAsia="Calibri"/>
          <w:snapToGrid/>
          <w:sz w:val="24"/>
          <w:szCs w:val="24"/>
        </w:rPr>
      </w:pPr>
      <w:r w:rsidRPr="005C3073">
        <w:rPr>
          <w:rFonts w:eastAsia="Calibri"/>
          <w:snapToGrid/>
          <w:sz w:val="24"/>
          <w:szCs w:val="24"/>
        </w:rPr>
        <w:t xml:space="preserve">Prior to the federal and state waivers of testing, </w:t>
      </w:r>
      <w:r w:rsidR="0BF6162B" w:rsidRPr="005C3073">
        <w:rPr>
          <w:rFonts w:eastAsia="Calibri"/>
          <w:snapToGrid/>
          <w:sz w:val="24"/>
          <w:szCs w:val="24"/>
        </w:rPr>
        <w:t xml:space="preserve">CAASPP tests were used to meet </w:t>
      </w:r>
      <w:r w:rsidR="2BDD224C" w:rsidRPr="005C3073">
        <w:rPr>
          <w:rFonts w:eastAsia="Calibri"/>
          <w:snapToGrid/>
          <w:sz w:val="24"/>
          <w:szCs w:val="24"/>
        </w:rPr>
        <w:t xml:space="preserve">federal </w:t>
      </w:r>
      <w:r w:rsidR="0BF6162B" w:rsidRPr="005C3073">
        <w:rPr>
          <w:rFonts w:eastAsia="Calibri"/>
          <w:snapToGrid/>
          <w:sz w:val="24"/>
          <w:szCs w:val="24"/>
        </w:rPr>
        <w:t xml:space="preserve">requirements </w:t>
      </w:r>
      <w:r w:rsidR="2BDD224C" w:rsidRPr="005C3073">
        <w:rPr>
          <w:rFonts w:eastAsia="Calibri"/>
          <w:snapToGrid/>
          <w:sz w:val="24"/>
          <w:szCs w:val="24"/>
        </w:rPr>
        <w:t xml:space="preserve">in </w:t>
      </w:r>
      <w:r w:rsidR="15DD0D1A">
        <w:rPr>
          <w:rFonts w:eastAsia="Calibri"/>
          <w:snapToGrid/>
          <w:sz w:val="24"/>
          <w:szCs w:val="24"/>
        </w:rPr>
        <w:t>2019</w:t>
      </w:r>
      <w:r w:rsidR="105821D3" w:rsidRPr="5F9287D1">
        <w:rPr>
          <w:rFonts w:cs="Arial"/>
        </w:rPr>
        <w:t>–</w:t>
      </w:r>
      <w:r w:rsidR="15DD0D1A">
        <w:rPr>
          <w:rFonts w:eastAsia="Calibri"/>
          <w:snapToGrid/>
          <w:sz w:val="24"/>
          <w:szCs w:val="24"/>
        </w:rPr>
        <w:t>2020</w:t>
      </w:r>
      <w:r w:rsidR="635E4E40" w:rsidRPr="005C3073">
        <w:rPr>
          <w:rFonts w:eastAsia="Calibri"/>
          <w:snapToGrid/>
          <w:sz w:val="24"/>
          <w:szCs w:val="24"/>
        </w:rPr>
        <w:t xml:space="preserve"> </w:t>
      </w:r>
      <w:r w:rsidR="0BF6162B" w:rsidRPr="005C3073">
        <w:rPr>
          <w:rFonts w:eastAsia="Calibri"/>
          <w:snapToGrid/>
          <w:sz w:val="24"/>
          <w:szCs w:val="24"/>
        </w:rPr>
        <w:t>through</w:t>
      </w:r>
      <w:r w:rsidR="7E6E8F72" w:rsidRPr="005C3073">
        <w:rPr>
          <w:rFonts w:eastAsia="Calibri"/>
          <w:snapToGrid/>
          <w:sz w:val="24"/>
          <w:szCs w:val="24"/>
        </w:rPr>
        <w:t xml:space="preserve"> the administration of the following:</w:t>
      </w:r>
      <w:r w:rsidR="0BF6162B" w:rsidRPr="005C3073">
        <w:rPr>
          <w:rFonts w:eastAsia="Calibri"/>
          <w:snapToGrid/>
          <w:sz w:val="24"/>
          <w:szCs w:val="24"/>
        </w:rPr>
        <w:t xml:space="preserve"> </w:t>
      </w:r>
    </w:p>
    <w:p w14:paraId="050E0B28" w14:textId="23E4C9C0" w:rsidR="005A793C" w:rsidRPr="005C3073" w:rsidRDefault="54839D4C" w:rsidP="00AC6C10">
      <w:pPr>
        <w:pStyle w:val="CommentText"/>
        <w:widowControl/>
        <w:numPr>
          <w:ilvl w:val="0"/>
          <w:numId w:val="20"/>
        </w:numPr>
        <w:rPr>
          <w:rFonts w:eastAsia="Calibri"/>
          <w:snapToGrid/>
          <w:sz w:val="24"/>
          <w:szCs w:val="24"/>
        </w:rPr>
      </w:pPr>
      <w:r w:rsidRPr="005C3073">
        <w:rPr>
          <w:rFonts w:eastAsia="Calibri"/>
          <w:snapToGrid/>
          <w:sz w:val="24"/>
          <w:szCs w:val="24"/>
        </w:rPr>
        <w:t>T</w:t>
      </w:r>
      <w:r w:rsidR="6C97B2C6" w:rsidRPr="005C3073">
        <w:rPr>
          <w:rFonts w:eastAsia="Calibri"/>
          <w:snapToGrid/>
          <w:sz w:val="24"/>
          <w:szCs w:val="24"/>
        </w:rPr>
        <w:t xml:space="preserve">he Smarter Balanced </w:t>
      </w:r>
      <w:r w:rsidR="77F7CAA9" w:rsidRPr="005C3073">
        <w:rPr>
          <w:rFonts w:eastAsia="Calibri"/>
          <w:snapToGrid/>
          <w:sz w:val="24"/>
          <w:szCs w:val="24"/>
        </w:rPr>
        <w:t>S</w:t>
      </w:r>
      <w:r w:rsidR="7FE57C42" w:rsidRPr="005C3073">
        <w:rPr>
          <w:rFonts w:eastAsia="Calibri"/>
          <w:snapToGrid/>
          <w:sz w:val="24"/>
          <w:szCs w:val="24"/>
        </w:rPr>
        <w:t xml:space="preserve">ummative </w:t>
      </w:r>
      <w:r w:rsidR="77F7CAA9" w:rsidRPr="005C3073">
        <w:rPr>
          <w:rFonts w:eastAsia="Calibri"/>
          <w:snapToGrid/>
          <w:sz w:val="24"/>
          <w:szCs w:val="24"/>
        </w:rPr>
        <w:t>A</w:t>
      </w:r>
      <w:r w:rsidR="6C97B2C6" w:rsidRPr="005C3073">
        <w:rPr>
          <w:rFonts w:eastAsia="Calibri"/>
          <w:snapToGrid/>
          <w:sz w:val="24"/>
          <w:szCs w:val="24"/>
        </w:rPr>
        <w:t>ssessments and the CAAs for ELA and mathematics in grades three through eight and grade eleven</w:t>
      </w:r>
    </w:p>
    <w:p w14:paraId="050E0B29" w14:textId="088CFD79" w:rsidR="00EB000A" w:rsidRPr="005C3073" w:rsidRDefault="54839D4C" w:rsidP="00AC6C10">
      <w:pPr>
        <w:pStyle w:val="CommentText"/>
        <w:widowControl/>
        <w:numPr>
          <w:ilvl w:val="0"/>
          <w:numId w:val="20"/>
        </w:numPr>
        <w:rPr>
          <w:rFonts w:cs="Arial"/>
          <w:sz w:val="24"/>
          <w:szCs w:val="24"/>
        </w:rPr>
      </w:pPr>
      <w:r w:rsidRPr="005C3073">
        <w:rPr>
          <w:rFonts w:eastAsia="Calibri"/>
          <w:snapToGrid/>
          <w:sz w:val="24"/>
          <w:szCs w:val="24"/>
        </w:rPr>
        <w:t>T</w:t>
      </w:r>
      <w:r w:rsidR="6C97B2C6" w:rsidRPr="005C3073">
        <w:rPr>
          <w:rFonts w:eastAsia="Calibri"/>
          <w:snapToGrid/>
          <w:sz w:val="24"/>
          <w:szCs w:val="24"/>
        </w:rPr>
        <w:t xml:space="preserve">he CAST and CAA for </w:t>
      </w:r>
      <w:r w:rsidR="00526C35" w:rsidRPr="005C3073">
        <w:rPr>
          <w:rFonts w:eastAsia="Calibri"/>
          <w:snapToGrid/>
          <w:sz w:val="24"/>
          <w:szCs w:val="24"/>
        </w:rPr>
        <w:t>S</w:t>
      </w:r>
      <w:r w:rsidR="6C97B2C6" w:rsidRPr="005C3073">
        <w:rPr>
          <w:rFonts w:eastAsia="Calibri"/>
          <w:snapToGrid/>
          <w:sz w:val="24"/>
          <w:szCs w:val="24"/>
        </w:rPr>
        <w:t xml:space="preserve">cience </w:t>
      </w:r>
      <w:r w:rsidR="6C97B2C6" w:rsidRPr="005C3073">
        <w:rPr>
          <w:sz w:val="24"/>
          <w:szCs w:val="24"/>
        </w:rPr>
        <w:t xml:space="preserve">in grades </w:t>
      </w:r>
      <w:r w:rsidR="6C97B2C6" w:rsidRPr="005C3073">
        <w:rPr>
          <w:rFonts w:eastAsia="Calibri"/>
          <w:snapToGrid/>
          <w:sz w:val="24"/>
          <w:szCs w:val="24"/>
        </w:rPr>
        <w:t>fiv</w:t>
      </w:r>
      <w:r w:rsidRPr="005C3073">
        <w:rPr>
          <w:rFonts w:eastAsia="Calibri"/>
          <w:snapToGrid/>
          <w:sz w:val="24"/>
          <w:szCs w:val="24"/>
        </w:rPr>
        <w:t xml:space="preserve">e and </w:t>
      </w:r>
      <w:r w:rsidR="6C97B2C6" w:rsidRPr="005C3073">
        <w:rPr>
          <w:rFonts w:eastAsia="Calibri"/>
          <w:snapToGrid/>
          <w:sz w:val="24"/>
          <w:szCs w:val="24"/>
        </w:rPr>
        <w:t xml:space="preserve">eight and </w:t>
      </w:r>
      <w:r w:rsidR="7AF12736" w:rsidRPr="005C3073">
        <w:rPr>
          <w:rFonts w:eastAsia="Calibri"/>
          <w:snapToGrid/>
          <w:sz w:val="24"/>
          <w:szCs w:val="24"/>
        </w:rPr>
        <w:t xml:space="preserve">one time </w:t>
      </w:r>
      <w:r w:rsidR="50197544" w:rsidRPr="005C3073">
        <w:rPr>
          <w:rFonts w:eastAsia="Calibri"/>
          <w:snapToGrid/>
          <w:sz w:val="24"/>
          <w:szCs w:val="24"/>
        </w:rPr>
        <w:t xml:space="preserve">in high school </w:t>
      </w:r>
      <w:r w:rsidRPr="005C3073">
        <w:rPr>
          <w:rFonts w:eastAsia="Calibri"/>
          <w:snapToGrid/>
          <w:sz w:val="24"/>
          <w:szCs w:val="24"/>
        </w:rPr>
        <w:t>(</w:t>
      </w:r>
      <w:r w:rsidR="2592244D" w:rsidRPr="005C3073">
        <w:rPr>
          <w:rFonts w:eastAsia="Calibri"/>
          <w:snapToGrid/>
          <w:sz w:val="24"/>
          <w:szCs w:val="24"/>
        </w:rPr>
        <w:t>A</w:t>
      </w:r>
      <w:r w:rsidR="50197544" w:rsidRPr="005C3073">
        <w:rPr>
          <w:rFonts w:eastAsia="Calibri"/>
          <w:snapToGrid/>
          <w:sz w:val="24"/>
          <w:szCs w:val="24"/>
        </w:rPr>
        <w:t xml:space="preserve">ll grade twelve students </w:t>
      </w:r>
      <w:r w:rsidR="7CE13559">
        <w:rPr>
          <w:rFonts w:eastAsia="Calibri"/>
          <w:snapToGrid/>
          <w:sz w:val="24"/>
          <w:szCs w:val="24"/>
        </w:rPr>
        <w:t xml:space="preserve">who </w:t>
      </w:r>
      <w:r w:rsidR="4B4F47F0">
        <w:rPr>
          <w:rFonts w:eastAsia="Calibri"/>
          <w:snapToGrid/>
          <w:sz w:val="24"/>
          <w:szCs w:val="24"/>
        </w:rPr>
        <w:t xml:space="preserve">had </w:t>
      </w:r>
      <w:r w:rsidR="7CE13559">
        <w:rPr>
          <w:rFonts w:eastAsia="Calibri"/>
          <w:snapToGrid/>
          <w:sz w:val="24"/>
          <w:szCs w:val="24"/>
        </w:rPr>
        <w:t xml:space="preserve">not yet taken a science assessment in high school </w:t>
      </w:r>
      <w:r w:rsidR="50197544" w:rsidRPr="005C3073">
        <w:rPr>
          <w:rFonts w:eastAsia="Calibri"/>
          <w:snapToGrid/>
          <w:sz w:val="24"/>
          <w:szCs w:val="24"/>
        </w:rPr>
        <w:t>were required to take the CAST or the CAA for Science.</w:t>
      </w:r>
      <w:r w:rsidRPr="005C3073">
        <w:rPr>
          <w:rFonts w:eastAsia="Calibri"/>
          <w:snapToGrid/>
          <w:sz w:val="24"/>
          <w:szCs w:val="24"/>
        </w:rPr>
        <w:t>)</w:t>
      </w:r>
    </w:p>
    <w:p w14:paraId="050E0B2A" w14:textId="77777777" w:rsidR="00EB000A" w:rsidRPr="005C3073" w:rsidRDefault="00EB000A" w:rsidP="00F95870">
      <w:pPr>
        <w:widowControl/>
        <w:rPr>
          <w:rFonts w:cs="Arial"/>
          <w:color w:val="000000"/>
        </w:rPr>
      </w:pPr>
      <w:r w:rsidRPr="005C3073">
        <w:rPr>
          <w:rFonts w:cs="Arial"/>
          <w:color w:val="000000"/>
        </w:rPr>
        <w:t>All contracts for the development, purchase, or administration of the CAASPP tests are subject to approval by the SBE. SBE approval must be obtained for</w:t>
      </w:r>
      <w:r w:rsidR="00BE1BB1" w:rsidRPr="005C3073">
        <w:rPr>
          <w:rFonts w:cs="Arial"/>
          <w:color w:val="000000"/>
        </w:rPr>
        <w:t xml:space="preserve"> the following work components:</w:t>
      </w:r>
    </w:p>
    <w:p w14:paraId="050E0B2B" w14:textId="4B9985CC" w:rsidR="00EB000A" w:rsidRPr="005C3073" w:rsidRDefault="6C97B2C6" w:rsidP="54FDBCFC">
      <w:pPr>
        <w:widowControl/>
        <w:numPr>
          <w:ilvl w:val="0"/>
          <w:numId w:val="1"/>
        </w:numPr>
        <w:rPr>
          <w:rFonts w:cs="Arial"/>
        </w:rPr>
      </w:pPr>
      <w:r w:rsidRPr="3FB95C47">
        <w:rPr>
          <w:rFonts w:cs="Arial"/>
          <w:color w:val="000000" w:themeColor="text1"/>
        </w:rPr>
        <w:t>The test blueprints</w:t>
      </w:r>
      <w:r w:rsidR="54839D4C" w:rsidRPr="3FB95C47">
        <w:rPr>
          <w:rFonts w:cs="Arial"/>
          <w:color w:val="000000" w:themeColor="text1"/>
        </w:rPr>
        <w:t>—</w:t>
      </w:r>
      <w:r w:rsidRPr="3FB95C47">
        <w:rPr>
          <w:rFonts w:cs="Arial"/>
          <w:i/>
          <w:iCs/>
          <w:color w:val="000000" w:themeColor="text1"/>
        </w:rPr>
        <w:t>excluding</w:t>
      </w:r>
      <w:r w:rsidRPr="3FB95C47">
        <w:rPr>
          <w:rFonts w:cs="Arial"/>
          <w:color w:val="000000" w:themeColor="text1"/>
        </w:rPr>
        <w:t xml:space="preserve"> </w:t>
      </w:r>
      <w:r w:rsidR="233C0CEE" w:rsidRPr="3FB95C47">
        <w:rPr>
          <w:rFonts w:cs="Arial"/>
          <w:color w:val="000000" w:themeColor="text1"/>
        </w:rPr>
        <w:t>C</w:t>
      </w:r>
      <w:r w:rsidRPr="3FB95C47">
        <w:rPr>
          <w:rFonts w:cs="Arial"/>
          <w:color w:val="000000" w:themeColor="text1"/>
        </w:rPr>
        <w:t>onsortium assessments</w:t>
      </w:r>
      <w:r w:rsidR="54839D4C" w:rsidRPr="3FB95C47">
        <w:rPr>
          <w:rFonts w:cs="Arial"/>
          <w:color w:val="000000" w:themeColor="text1"/>
        </w:rPr>
        <w:t>—</w:t>
      </w:r>
      <w:r w:rsidRPr="3FB95C47">
        <w:rPr>
          <w:rFonts w:cs="Arial"/>
          <w:color w:val="000000" w:themeColor="text1"/>
        </w:rPr>
        <w:t xml:space="preserve">specifying the standards </w:t>
      </w:r>
      <w:r w:rsidR="13EC4A4E" w:rsidRPr="3FB95C47">
        <w:rPr>
          <w:rFonts w:cs="Arial"/>
          <w:color w:val="000000" w:themeColor="text1"/>
        </w:rPr>
        <w:t xml:space="preserve">to be assessed </w:t>
      </w:r>
      <w:r w:rsidRPr="3FB95C47">
        <w:rPr>
          <w:rFonts w:cs="Arial"/>
          <w:color w:val="000000" w:themeColor="text1"/>
        </w:rPr>
        <w:t>and number of items to be tested for each standard included in the tests</w:t>
      </w:r>
    </w:p>
    <w:p w14:paraId="29EBECE1" w14:textId="1E940A3B" w:rsidR="00075D75" w:rsidRDefault="74CEFA94" w:rsidP="00F95870">
      <w:pPr>
        <w:widowControl/>
        <w:numPr>
          <w:ilvl w:val="0"/>
          <w:numId w:val="1"/>
        </w:numPr>
      </w:pPr>
      <w:r>
        <w:t>The achievement levels used in the CAASPP System and the threshold scores—</w:t>
      </w:r>
      <w:r w:rsidRPr="3FB95C47">
        <w:rPr>
          <w:i/>
          <w:iCs/>
        </w:rPr>
        <w:t>excluding</w:t>
      </w:r>
      <w:r>
        <w:t xml:space="preserve"> Consortium assessments—used to identify students’ achievement levels</w:t>
      </w:r>
    </w:p>
    <w:p w14:paraId="050E0B2C" w14:textId="00E77C55" w:rsidR="004257C9" w:rsidRDefault="74CEFA94" w:rsidP="00F95870">
      <w:pPr>
        <w:widowControl/>
        <w:numPr>
          <w:ilvl w:val="0"/>
          <w:numId w:val="1"/>
        </w:numPr>
      </w:pPr>
      <w:r>
        <w:t>The regulations; testing period; calendar of when results are to be delivered to the state, LEAs, and parents/guardians; and when results are to be posted for the public</w:t>
      </w:r>
      <w:r w:rsidR="73B982C6">
        <w:br w:type="page"/>
      </w:r>
    </w:p>
    <w:p w14:paraId="050E0B2F" w14:textId="112B7ABA" w:rsidR="00EB000A" w:rsidRDefault="0009743F" w:rsidP="0052175A">
      <w:pPr>
        <w:widowControl/>
        <w:spacing w:before="0"/>
        <w:contextualSpacing/>
        <w:rPr>
          <w:rFonts w:cs="Arial"/>
          <w:szCs w:val="24"/>
        </w:rPr>
      </w:pPr>
      <w:r>
        <w:rPr>
          <w:i/>
        </w:rPr>
        <w:lastRenderedPageBreak/>
        <w:t xml:space="preserve">EC </w:t>
      </w:r>
      <w:r>
        <w:t>S</w:t>
      </w:r>
      <w:r w:rsidRPr="00C1088C">
        <w:t>ection</w:t>
      </w:r>
      <w:r w:rsidRPr="00C5077A">
        <w:t xml:space="preserve"> 60649 </w:t>
      </w:r>
      <w:r w:rsidR="00EB000A" w:rsidRPr="005C3073">
        <w:t xml:space="preserve">also requires (1) the development of a three-year plan for continuous improvement of the CAASPP System, with </w:t>
      </w:r>
      <w:r w:rsidR="005249FB" w:rsidRPr="005C3073">
        <w:t xml:space="preserve">the </w:t>
      </w:r>
      <w:r w:rsidR="00EB000A" w:rsidRPr="005C3073">
        <w:t xml:space="preserve">approval of the SBE; and (2) the </w:t>
      </w:r>
      <w:r w:rsidR="00E41679" w:rsidRPr="005C3073">
        <w:t>California Department of Education (</w:t>
      </w:r>
      <w:r w:rsidR="00EB000A" w:rsidRPr="005C3073">
        <w:t>CDE</w:t>
      </w:r>
      <w:r w:rsidR="00E41679" w:rsidRPr="005C3073">
        <w:t>)</w:t>
      </w:r>
      <w:r w:rsidR="00EB000A" w:rsidRPr="005C3073">
        <w:t xml:space="preserve"> to contract for a three-year independent evaluation of </w:t>
      </w:r>
      <w:r w:rsidR="00537EF5" w:rsidRPr="005C3073">
        <w:t xml:space="preserve">the </w:t>
      </w:r>
      <w:r w:rsidR="00EB000A" w:rsidRPr="005C3073">
        <w:t xml:space="preserve">CAASPP </w:t>
      </w:r>
      <w:r w:rsidR="009B3C4E" w:rsidRPr="005C3073">
        <w:t xml:space="preserve">System </w:t>
      </w:r>
      <w:r w:rsidR="00EB000A" w:rsidRPr="005C3073">
        <w:t>that will provide interim annual reports, a final report on the activities, and an analysis of the three-year independent evaluation.</w:t>
      </w:r>
      <w:r w:rsidR="00EB000A" w:rsidRPr="005C3073">
        <w:rPr>
          <w:rFonts w:cs="Arial"/>
          <w:sz w:val="18"/>
          <w:szCs w:val="18"/>
        </w:rPr>
        <w:t xml:space="preserve"> </w:t>
      </w:r>
      <w:r w:rsidR="000F74BC">
        <w:rPr>
          <w:rFonts w:cs="Arial"/>
          <w:szCs w:val="24"/>
        </w:rPr>
        <w:t>In December 2019, the</w:t>
      </w:r>
      <w:r w:rsidR="004059B4" w:rsidRPr="005C3073">
        <w:rPr>
          <w:rFonts w:cs="Arial"/>
          <w:szCs w:val="24"/>
        </w:rPr>
        <w:t xml:space="preserve"> </w:t>
      </w:r>
      <w:r w:rsidR="001B68D3">
        <w:rPr>
          <w:rFonts w:cs="Arial"/>
          <w:i/>
          <w:szCs w:val="24"/>
        </w:rPr>
        <w:t>CAASPP</w:t>
      </w:r>
      <w:r w:rsidR="004059B4" w:rsidRPr="005C3073">
        <w:rPr>
          <w:rFonts w:cs="Arial"/>
          <w:i/>
          <w:szCs w:val="24"/>
        </w:rPr>
        <w:t xml:space="preserve"> </w:t>
      </w:r>
      <w:r w:rsidR="005127E7" w:rsidRPr="005C3073">
        <w:rPr>
          <w:rFonts w:cs="Arial"/>
          <w:bCs/>
          <w:i/>
          <w:szCs w:val="24"/>
        </w:rPr>
        <w:t>201</w:t>
      </w:r>
      <w:r w:rsidR="000F74BC">
        <w:rPr>
          <w:rFonts w:cs="Arial"/>
          <w:bCs/>
          <w:i/>
          <w:szCs w:val="24"/>
        </w:rPr>
        <w:t>9</w:t>
      </w:r>
      <w:r w:rsidR="00AC5F29" w:rsidRPr="005C3073">
        <w:rPr>
          <w:rFonts w:cs="Arial"/>
          <w:bCs/>
          <w:i/>
          <w:szCs w:val="24"/>
        </w:rPr>
        <w:t xml:space="preserve"> </w:t>
      </w:r>
      <w:r w:rsidR="005127E7" w:rsidRPr="005C3073">
        <w:rPr>
          <w:rFonts w:cs="Arial"/>
          <w:bCs/>
          <w:i/>
          <w:szCs w:val="24"/>
        </w:rPr>
        <w:t>Independent Evaluation Report</w:t>
      </w:r>
      <w:r w:rsidR="005127E7" w:rsidRPr="005C3073">
        <w:rPr>
          <w:rFonts w:cs="Arial"/>
          <w:bCs/>
          <w:szCs w:val="24"/>
        </w:rPr>
        <w:t xml:space="preserve"> </w:t>
      </w:r>
      <w:r w:rsidR="000F74BC">
        <w:rPr>
          <w:rFonts w:cs="Arial"/>
          <w:bCs/>
          <w:szCs w:val="24"/>
        </w:rPr>
        <w:t>was posted</w:t>
      </w:r>
      <w:r w:rsidR="004059B4" w:rsidRPr="005C3073">
        <w:rPr>
          <w:rFonts w:cs="Arial"/>
          <w:bCs/>
          <w:szCs w:val="24"/>
        </w:rPr>
        <w:t xml:space="preserve"> </w:t>
      </w:r>
      <w:r w:rsidR="005127E7" w:rsidRPr="005C3073">
        <w:rPr>
          <w:rFonts w:cs="Arial"/>
          <w:bCs/>
          <w:szCs w:val="24"/>
        </w:rPr>
        <w:t xml:space="preserve">on the CDE </w:t>
      </w:r>
      <w:r w:rsidR="00BA4F64" w:rsidRPr="00BA4F64">
        <w:rPr>
          <w:rFonts w:cs="Arial"/>
          <w:bCs/>
          <w:szCs w:val="24"/>
        </w:rPr>
        <w:t>CAASPP Technical Reports and Studies</w:t>
      </w:r>
      <w:r w:rsidR="00BA4F64">
        <w:rPr>
          <w:rFonts w:cs="Arial"/>
          <w:bCs/>
          <w:szCs w:val="24"/>
        </w:rPr>
        <w:t xml:space="preserve"> web page web page</w:t>
      </w:r>
      <w:r w:rsidR="005127E7" w:rsidRPr="005C3073">
        <w:rPr>
          <w:rFonts w:cs="Arial"/>
          <w:bCs/>
          <w:szCs w:val="24"/>
        </w:rPr>
        <w:t xml:space="preserve"> at </w:t>
      </w:r>
      <w:hyperlink r:id="rId16" w:tooltip="This link opens the California Assessment of Student Performance and Progress Technical Reports and Studies website." w:history="1">
        <w:r w:rsidR="00284171" w:rsidRPr="005C3073">
          <w:rPr>
            <w:rStyle w:val="Hyperlink"/>
            <w:rFonts w:cs="Arial"/>
            <w:bCs/>
            <w:szCs w:val="24"/>
          </w:rPr>
          <w:t>https://www.cde.ca.gov/ta/tg/ca/caaspprptstudies.asp</w:t>
        </w:r>
      </w:hyperlink>
      <w:r w:rsidR="00284171" w:rsidRPr="005C3073">
        <w:rPr>
          <w:rFonts w:cs="Arial"/>
          <w:bCs/>
          <w:szCs w:val="24"/>
        </w:rPr>
        <w:t>.</w:t>
      </w:r>
      <w:r w:rsidR="0052175A">
        <w:rPr>
          <w:rFonts w:cs="Arial"/>
          <w:szCs w:val="24"/>
        </w:rPr>
        <w:t xml:space="preserve"> </w:t>
      </w:r>
      <w:r w:rsidR="007917EA" w:rsidRPr="005C3073">
        <w:rPr>
          <w:rFonts w:cs="Arial"/>
          <w:szCs w:val="24"/>
        </w:rPr>
        <w:t xml:space="preserve">Additional </w:t>
      </w:r>
      <w:r w:rsidR="00EB000A" w:rsidRPr="005C3073">
        <w:rPr>
          <w:rFonts w:cs="Arial"/>
          <w:szCs w:val="24"/>
        </w:rPr>
        <w:t xml:space="preserve">information regarding </w:t>
      </w:r>
      <w:r w:rsidR="0000138B">
        <w:rPr>
          <w:rFonts w:cs="Arial"/>
          <w:szCs w:val="24"/>
        </w:rPr>
        <w:t xml:space="preserve">the </w:t>
      </w:r>
      <w:r w:rsidR="00EB000A" w:rsidRPr="005C3073">
        <w:rPr>
          <w:rFonts w:cs="Arial"/>
          <w:szCs w:val="24"/>
        </w:rPr>
        <w:t xml:space="preserve">CAASPP is available on the CDE CAASPP System </w:t>
      </w:r>
      <w:r w:rsidR="00FD5980" w:rsidRPr="005C3073">
        <w:rPr>
          <w:rFonts w:cs="Arial"/>
          <w:szCs w:val="24"/>
        </w:rPr>
        <w:t>w</w:t>
      </w:r>
      <w:r w:rsidR="00EB000A" w:rsidRPr="005C3073">
        <w:rPr>
          <w:rFonts w:cs="Arial"/>
          <w:szCs w:val="24"/>
        </w:rPr>
        <w:t xml:space="preserve">eb page at </w:t>
      </w:r>
      <w:hyperlink r:id="rId17" w:tooltip="This link opens the California Assessment of Student Performance and Progress website." w:history="1">
        <w:r w:rsidR="00EB000A" w:rsidRPr="005C3073">
          <w:rPr>
            <w:rStyle w:val="Hyperlink"/>
            <w:rFonts w:cs="Arial"/>
            <w:szCs w:val="24"/>
          </w:rPr>
          <w:t>http://www.cde.ca.gov/ta/tg/ca/</w:t>
        </w:r>
      </w:hyperlink>
      <w:r w:rsidR="00EB000A" w:rsidRPr="005C3073">
        <w:rPr>
          <w:rFonts w:cs="Arial"/>
          <w:szCs w:val="24"/>
        </w:rPr>
        <w:t xml:space="preserve">. </w:t>
      </w:r>
    </w:p>
    <w:p w14:paraId="2C13F3E1" w14:textId="77777777" w:rsidR="0052175A" w:rsidRPr="005C3073" w:rsidRDefault="0052175A" w:rsidP="00267550">
      <w:pPr>
        <w:widowControl/>
        <w:spacing w:before="0"/>
        <w:contextualSpacing/>
        <w:rPr>
          <w:rFonts w:cs="Arial"/>
          <w:szCs w:val="24"/>
        </w:rPr>
      </w:pPr>
    </w:p>
    <w:p w14:paraId="050E0B30" w14:textId="75872B82" w:rsidR="00AA674C" w:rsidRPr="005C3073" w:rsidRDefault="00AA674C" w:rsidP="00F95870">
      <w:pPr>
        <w:widowControl/>
        <w:rPr>
          <w:rFonts w:cs="Arial"/>
          <w:szCs w:val="24"/>
        </w:rPr>
      </w:pPr>
      <w:r w:rsidRPr="005C3073">
        <w:rPr>
          <w:rFonts w:cs="Arial"/>
          <w:szCs w:val="24"/>
        </w:rPr>
        <w:t>Table 1</w:t>
      </w:r>
      <w:r w:rsidR="004918D4" w:rsidRPr="005C3073">
        <w:rPr>
          <w:rFonts w:cs="Arial"/>
          <w:szCs w:val="24"/>
        </w:rPr>
        <w:t>, below,</w:t>
      </w:r>
      <w:r w:rsidRPr="005C3073">
        <w:rPr>
          <w:rFonts w:cs="Arial"/>
          <w:szCs w:val="24"/>
        </w:rPr>
        <w:t xml:space="preserve"> and </w:t>
      </w:r>
      <w:r w:rsidR="004D79BB">
        <w:rPr>
          <w:rFonts w:cs="Arial"/>
          <w:szCs w:val="24"/>
        </w:rPr>
        <w:t>T</w:t>
      </w:r>
      <w:r w:rsidR="004918D4" w:rsidRPr="005C3073">
        <w:rPr>
          <w:rFonts w:cs="Arial"/>
          <w:szCs w:val="24"/>
        </w:rPr>
        <w:t xml:space="preserve">able </w:t>
      </w:r>
      <w:r w:rsidRPr="005C3073">
        <w:rPr>
          <w:rFonts w:cs="Arial"/>
          <w:szCs w:val="24"/>
        </w:rPr>
        <w:t>2</w:t>
      </w:r>
      <w:r w:rsidR="004918D4" w:rsidRPr="005C3073">
        <w:rPr>
          <w:rFonts w:cs="Arial"/>
          <w:szCs w:val="24"/>
        </w:rPr>
        <w:t>, on the following page,</w:t>
      </w:r>
      <w:r w:rsidR="00FD096A" w:rsidRPr="005C3073">
        <w:rPr>
          <w:rFonts w:cs="Arial"/>
          <w:szCs w:val="24"/>
        </w:rPr>
        <w:t xml:space="preserve"> </w:t>
      </w:r>
      <w:r w:rsidRPr="005C3073">
        <w:rPr>
          <w:rFonts w:cs="Arial"/>
          <w:szCs w:val="24"/>
        </w:rPr>
        <w:t xml:space="preserve">identify the required and optional CAASPP assessments that were administered in </w:t>
      </w:r>
      <w:r w:rsidR="00E04442">
        <w:rPr>
          <w:rFonts w:cs="Arial"/>
          <w:szCs w:val="24"/>
        </w:rPr>
        <w:t>2019–</w:t>
      </w:r>
      <w:r w:rsidR="00663180">
        <w:rPr>
          <w:rFonts w:cs="Arial"/>
          <w:szCs w:val="24"/>
        </w:rPr>
        <w:t>20</w:t>
      </w:r>
      <w:r w:rsidR="00E04442">
        <w:rPr>
          <w:rFonts w:cs="Arial"/>
          <w:szCs w:val="24"/>
        </w:rPr>
        <w:t>20</w:t>
      </w:r>
      <w:r w:rsidRPr="005C3073">
        <w:rPr>
          <w:rFonts w:cs="Arial"/>
          <w:szCs w:val="24"/>
        </w:rPr>
        <w:t>.</w:t>
      </w:r>
    </w:p>
    <w:p w14:paraId="050E0B31" w14:textId="6A7CF216" w:rsidR="00EB000A" w:rsidRPr="005C3073" w:rsidRDefault="00EB000A" w:rsidP="4E0C1B00">
      <w:pPr>
        <w:widowControl/>
        <w:ind w:right="720"/>
        <w:rPr>
          <w:rFonts w:cs="Arial"/>
        </w:rPr>
      </w:pPr>
      <w:r w:rsidRPr="4E0C1B00">
        <w:rPr>
          <w:rFonts w:cs="Arial"/>
        </w:rPr>
        <w:t xml:space="preserve">Table 1. CAASPP Required Assessments Administered in </w:t>
      </w:r>
      <w:r w:rsidR="00760E24">
        <w:rPr>
          <w:rFonts w:cs="Arial"/>
        </w:rPr>
        <w:t>2019–2020</w:t>
      </w:r>
      <w:r w:rsidRPr="4E0C1B00">
        <w:rPr>
          <w:rFonts w:cs="Arial"/>
        </w:rPr>
        <w:t>, by Grade</w:t>
      </w:r>
      <w:r w:rsidR="004918D4" w:rsidRPr="4E0C1B00">
        <w:rPr>
          <w:rFonts w:cs="Arial"/>
        </w:rPr>
        <w:t xml:space="preserve"> </w:t>
      </w:r>
      <w:r w:rsidRPr="4E0C1B00">
        <w:rPr>
          <w:rFonts w:cs="Arial"/>
        </w:rPr>
        <w:t>and Content Area</w:t>
      </w:r>
    </w:p>
    <w:tbl>
      <w:tblPr>
        <w:tblStyle w:val="TableGrid"/>
        <w:tblW w:w="9896" w:type="dxa"/>
        <w:tblLayout w:type="fixed"/>
        <w:tblLook w:val="04A0" w:firstRow="1" w:lastRow="0" w:firstColumn="1" w:lastColumn="0" w:noHBand="0" w:noVBand="1"/>
        <w:tblDescription w:val="Tests administered in 2018–19."/>
      </w:tblPr>
      <w:tblGrid>
        <w:gridCol w:w="1705"/>
        <w:gridCol w:w="1620"/>
        <w:gridCol w:w="3510"/>
        <w:gridCol w:w="1350"/>
        <w:gridCol w:w="1711"/>
      </w:tblGrid>
      <w:tr w:rsidR="00FD096A" w:rsidRPr="005C3073" w14:paraId="050E0B37" w14:textId="77777777" w:rsidTr="00233672">
        <w:trPr>
          <w:cantSplit/>
          <w:trHeight w:val="75"/>
          <w:tblHeader/>
        </w:trPr>
        <w:tc>
          <w:tcPr>
            <w:tcW w:w="1705" w:type="dxa"/>
            <w:shd w:val="clear" w:color="auto" w:fill="A8D08D" w:themeFill="accent6" w:themeFillTint="99"/>
            <w:vAlign w:val="center"/>
          </w:tcPr>
          <w:p w14:paraId="050E0B32" w14:textId="77777777" w:rsidR="00FD096A" w:rsidRPr="005C3073" w:rsidRDefault="00FD096A" w:rsidP="00F95870">
            <w:pPr>
              <w:widowControl/>
              <w:spacing w:before="120" w:after="120"/>
              <w:ind w:right="49"/>
              <w:jc w:val="center"/>
              <w:rPr>
                <w:rFonts w:cs="Arial"/>
                <w:b/>
                <w:szCs w:val="24"/>
              </w:rPr>
            </w:pPr>
            <w:r w:rsidRPr="005C3073">
              <w:rPr>
                <w:rFonts w:cs="Arial"/>
                <w:b/>
                <w:szCs w:val="24"/>
              </w:rPr>
              <w:t>Test</w:t>
            </w:r>
          </w:p>
        </w:tc>
        <w:tc>
          <w:tcPr>
            <w:tcW w:w="1620" w:type="dxa"/>
            <w:shd w:val="clear" w:color="auto" w:fill="A8D08D" w:themeFill="accent6" w:themeFillTint="99"/>
            <w:vAlign w:val="center"/>
          </w:tcPr>
          <w:p w14:paraId="050E0B33" w14:textId="77777777" w:rsidR="00FD096A" w:rsidRPr="005C3073" w:rsidRDefault="00FD096A" w:rsidP="00F95870">
            <w:pPr>
              <w:widowControl/>
              <w:tabs>
                <w:tab w:val="left" w:pos="545"/>
              </w:tabs>
              <w:spacing w:before="120" w:after="120"/>
              <w:ind w:right="-77"/>
              <w:jc w:val="center"/>
              <w:rPr>
                <w:rFonts w:cs="Arial"/>
                <w:b/>
                <w:szCs w:val="24"/>
              </w:rPr>
            </w:pPr>
            <w:r w:rsidRPr="005C3073">
              <w:rPr>
                <w:rFonts w:cs="Arial"/>
                <w:b/>
                <w:szCs w:val="24"/>
              </w:rPr>
              <w:t>Type</w:t>
            </w:r>
          </w:p>
        </w:tc>
        <w:tc>
          <w:tcPr>
            <w:tcW w:w="3510" w:type="dxa"/>
            <w:shd w:val="clear" w:color="auto" w:fill="A8D08D" w:themeFill="accent6" w:themeFillTint="99"/>
            <w:vAlign w:val="center"/>
          </w:tcPr>
          <w:p w14:paraId="050E0B34" w14:textId="77777777" w:rsidR="00FD096A" w:rsidRPr="005C3073" w:rsidRDefault="00FD096A" w:rsidP="00F95870">
            <w:pPr>
              <w:widowControl/>
              <w:spacing w:before="120" w:after="120"/>
              <w:ind w:right="114"/>
              <w:jc w:val="center"/>
              <w:rPr>
                <w:rFonts w:cs="Arial"/>
                <w:b/>
                <w:szCs w:val="24"/>
              </w:rPr>
            </w:pPr>
            <w:r w:rsidRPr="005C3073">
              <w:rPr>
                <w:b/>
                <w:szCs w:val="24"/>
              </w:rPr>
              <w:t>Student</w:t>
            </w:r>
            <w:r w:rsidRPr="005C3073">
              <w:rPr>
                <w:rFonts w:cs="Arial"/>
                <w:b/>
                <w:szCs w:val="24"/>
              </w:rPr>
              <w:t>s</w:t>
            </w:r>
          </w:p>
        </w:tc>
        <w:tc>
          <w:tcPr>
            <w:tcW w:w="1350" w:type="dxa"/>
            <w:shd w:val="clear" w:color="auto" w:fill="A8D08D" w:themeFill="accent6" w:themeFillTint="99"/>
            <w:vAlign w:val="center"/>
          </w:tcPr>
          <w:p w14:paraId="050E0B35" w14:textId="77777777" w:rsidR="00FD096A" w:rsidRPr="005C3073" w:rsidRDefault="00FD096A" w:rsidP="00F95870">
            <w:pPr>
              <w:widowControl/>
              <w:spacing w:before="120" w:after="120"/>
              <w:ind w:right="40"/>
              <w:jc w:val="center"/>
              <w:rPr>
                <w:rFonts w:cs="Arial"/>
                <w:b/>
                <w:szCs w:val="24"/>
              </w:rPr>
            </w:pPr>
            <w:r w:rsidRPr="005C3073">
              <w:rPr>
                <w:rFonts w:cs="Arial"/>
                <w:b/>
                <w:szCs w:val="24"/>
              </w:rPr>
              <w:t>Grades</w:t>
            </w:r>
          </w:p>
        </w:tc>
        <w:tc>
          <w:tcPr>
            <w:tcW w:w="1711" w:type="dxa"/>
            <w:shd w:val="clear" w:color="auto" w:fill="A8D08D" w:themeFill="accent6" w:themeFillTint="99"/>
            <w:vAlign w:val="center"/>
          </w:tcPr>
          <w:p w14:paraId="050E0B36" w14:textId="3E42B7A2" w:rsidR="00FD096A" w:rsidRPr="005C3073" w:rsidRDefault="00FD096A" w:rsidP="00F95870">
            <w:pPr>
              <w:widowControl/>
              <w:spacing w:before="120" w:after="120"/>
              <w:jc w:val="center"/>
              <w:rPr>
                <w:rFonts w:cs="Arial"/>
                <w:b/>
                <w:szCs w:val="24"/>
              </w:rPr>
            </w:pPr>
            <w:r w:rsidRPr="005C3073">
              <w:rPr>
                <w:rFonts w:cs="Arial"/>
                <w:b/>
                <w:szCs w:val="24"/>
              </w:rPr>
              <w:t>Content Area</w:t>
            </w:r>
            <w:r w:rsidR="00C5424C">
              <w:rPr>
                <w:rFonts w:cs="Arial"/>
                <w:b/>
                <w:szCs w:val="24"/>
              </w:rPr>
              <w:t>(</w:t>
            </w:r>
            <w:r w:rsidRPr="005C3073">
              <w:rPr>
                <w:rFonts w:cs="Arial"/>
                <w:b/>
                <w:szCs w:val="24"/>
              </w:rPr>
              <w:t>s</w:t>
            </w:r>
            <w:r w:rsidR="00C5424C">
              <w:rPr>
                <w:rFonts w:cs="Arial"/>
                <w:b/>
                <w:szCs w:val="24"/>
              </w:rPr>
              <w:t>)</w:t>
            </w:r>
          </w:p>
        </w:tc>
      </w:tr>
      <w:tr w:rsidR="00FD096A" w:rsidRPr="005C3073" w14:paraId="050E0B3D" w14:textId="77777777" w:rsidTr="00644BEE">
        <w:trPr>
          <w:cantSplit/>
          <w:trHeight w:val="1377"/>
        </w:trPr>
        <w:tc>
          <w:tcPr>
            <w:tcW w:w="1705" w:type="dxa"/>
          </w:tcPr>
          <w:p w14:paraId="050E0B38" w14:textId="77777777" w:rsidR="00A0798A" w:rsidRPr="005C3073" w:rsidRDefault="00FD096A" w:rsidP="00F95870">
            <w:pPr>
              <w:widowControl/>
              <w:spacing w:before="120" w:after="120"/>
              <w:jc w:val="center"/>
              <w:rPr>
                <w:rFonts w:cs="Arial"/>
                <w:bCs/>
                <w:snapToGrid/>
                <w:color w:val="000000"/>
                <w:szCs w:val="24"/>
              </w:rPr>
            </w:pPr>
            <w:r w:rsidRPr="005C3073">
              <w:rPr>
                <w:rFonts w:cs="Arial"/>
                <w:snapToGrid/>
                <w:color w:val="000000"/>
                <w:szCs w:val="24"/>
              </w:rPr>
              <w:t>Smarter Balanced</w:t>
            </w:r>
            <w:r w:rsidR="004A01E9" w:rsidRPr="005C3073">
              <w:rPr>
                <w:rFonts w:cs="Arial"/>
                <w:snapToGrid/>
                <w:color w:val="000000"/>
                <w:szCs w:val="24"/>
              </w:rPr>
              <w:t xml:space="preserve"> </w:t>
            </w:r>
            <w:r w:rsidRPr="005C3073">
              <w:rPr>
                <w:rFonts w:cs="Arial"/>
                <w:bCs/>
                <w:snapToGrid/>
                <w:color w:val="000000"/>
                <w:szCs w:val="24"/>
              </w:rPr>
              <w:t>Summative</w:t>
            </w:r>
            <w:r w:rsidR="00644BEE" w:rsidRPr="005C3073">
              <w:rPr>
                <w:rFonts w:cs="Arial"/>
                <w:bCs/>
                <w:snapToGrid/>
                <w:color w:val="000000"/>
                <w:szCs w:val="24"/>
              </w:rPr>
              <w:t xml:space="preserve"> Assessments</w:t>
            </w:r>
            <w:r w:rsidR="00050C7E" w:rsidRPr="005C3073">
              <w:rPr>
                <w:rFonts w:cs="Arial"/>
                <w:bCs/>
                <w:snapToGrid/>
                <w:color w:val="000000"/>
                <w:szCs w:val="24"/>
              </w:rPr>
              <w:t xml:space="preserve"> </w:t>
            </w:r>
            <w:r w:rsidR="00A0798A" w:rsidRPr="005C3073">
              <w:rPr>
                <w:rFonts w:cs="Arial"/>
                <w:bCs/>
                <w:snapToGrid/>
                <w:color w:val="000000"/>
                <w:szCs w:val="24"/>
              </w:rPr>
              <w:t>for ELA and mathematics</w:t>
            </w:r>
          </w:p>
        </w:tc>
        <w:tc>
          <w:tcPr>
            <w:tcW w:w="1620" w:type="dxa"/>
          </w:tcPr>
          <w:p w14:paraId="050E0B39" w14:textId="73864227" w:rsidR="00FD096A" w:rsidRPr="005C3073" w:rsidRDefault="00704ADF" w:rsidP="00F95870">
            <w:pPr>
              <w:widowControl/>
              <w:tabs>
                <w:tab w:val="left" w:pos="72"/>
              </w:tabs>
              <w:spacing w:before="120" w:after="120"/>
              <w:jc w:val="center"/>
              <w:rPr>
                <w:rFonts w:cs="Arial"/>
                <w:snapToGrid/>
                <w:color w:val="000000"/>
                <w:szCs w:val="24"/>
                <w:vertAlign w:val="superscript"/>
              </w:rPr>
            </w:pPr>
            <w:r w:rsidRPr="005C3073">
              <w:rPr>
                <w:rFonts w:cs="Arial"/>
                <w:snapToGrid/>
                <w:color w:val="000000"/>
                <w:szCs w:val="24"/>
              </w:rPr>
              <w:t>Computer</w:t>
            </w:r>
            <w:r w:rsidR="007622E8">
              <w:rPr>
                <w:rFonts w:cs="Arial"/>
                <w:snapToGrid/>
                <w:color w:val="000000"/>
                <w:szCs w:val="24"/>
              </w:rPr>
              <w:t xml:space="preserve"> </w:t>
            </w:r>
            <w:r w:rsidR="00A0798A" w:rsidRPr="005C3073">
              <w:rPr>
                <w:rFonts w:cs="Arial"/>
                <w:snapToGrid/>
                <w:color w:val="000000"/>
                <w:szCs w:val="24"/>
              </w:rPr>
              <w:t xml:space="preserve">adaptive </w:t>
            </w:r>
            <w:r w:rsidRPr="005C3073">
              <w:rPr>
                <w:rFonts w:cs="Arial"/>
                <w:snapToGrid/>
                <w:color w:val="000000"/>
                <w:szCs w:val="24"/>
              </w:rPr>
              <w:br/>
              <w:t>test</w:t>
            </w:r>
          </w:p>
        </w:tc>
        <w:tc>
          <w:tcPr>
            <w:tcW w:w="3510" w:type="dxa"/>
          </w:tcPr>
          <w:p w14:paraId="050E0B3A" w14:textId="77777777" w:rsidR="00FD096A" w:rsidRPr="005C3073" w:rsidRDefault="00FD096A" w:rsidP="00F95870">
            <w:pPr>
              <w:widowControl/>
              <w:spacing w:before="120" w:after="120"/>
              <w:rPr>
                <w:rFonts w:cs="Arial"/>
                <w:snapToGrid/>
                <w:color w:val="000000"/>
                <w:szCs w:val="24"/>
              </w:rPr>
            </w:pPr>
            <w:r w:rsidRPr="005C3073">
              <w:rPr>
                <w:rFonts w:cs="Arial"/>
                <w:snapToGrid/>
                <w:color w:val="000000"/>
                <w:szCs w:val="24"/>
              </w:rPr>
              <w:t xml:space="preserve">All students, unless they have an IEP indicating </w:t>
            </w:r>
            <w:r w:rsidR="00EA6F10" w:rsidRPr="005C3073">
              <w:rPr>
                <w:rFonts w:cs="Arial"/>
                <w:snapToGrid/>
                <w:color w:val="000000"/>
                <w:szCs w:val="24"/>
              </w:rPr>
              <w:t xml:space="preserve">an alternate </w:t>
            </w:r>
            <w:r w:rsidRPr="005C3073">
              <w:rPr>
                <w:rFonts w:cs="Arial"/>
                <w:snapToGrid/>
                <w:color w:val="000000"/>
                <w:szCs w:val="24"/>
              </w:rPr>
              <w:t>assessment (</w:t>
            </w:r>
            <w:r w:rsidR="00123AD0">
              <w:rPr>
                <w:rFonts w:cs="Arial"/>
                <w:snapToGrid/>
                <w:color w:val="000000"/>
                <w:szCs w:val="24"/>
              </w:rPr>
              <w:t>r</w:t>
            </w:r>
            <w:r w:rsidRPr="005C3073">
              <w:rPr>
                <w:rFonts w:cs="Arial"/>
                <w:snapToGrid/>
                <w:color w:val="000000"/>
                <w:szCs w:val="24"/>
              </w:rPr>
              <w:t>ecently arrived English learner students are exempted from the assessment for ELA)</w:t>
            </w:r>
          </w:p>
        </w:tc>
        <w:tc>
          <w:tcPr>
            <w:tcW w:w="1350" w:type="dxa"/>
          </w:tcPr>
          <w:p w14:paraId="050E0B3B" w14:textId="77777777" w:rsidR="00FD096A" w:rsidRPr="005C3073" w:rsidRDefault="00FD096A" w:rsidP="00F95870">
            <w:pPr>
              <w:widowControl/>
              <w:spacing w:before="120" w:after="120"/>
              <w:jc w:val="center"/>
              <w:rPr>
                <w:rFonts w:cs="Arial"/>
                <w:snapToGrid/>
                <w:color w:val="000000"/>
                <w:szCs w:val="24"/>
                <w:vertAlign w:val="superscript"/>
              </w:rPr>
            </w:pPr>
            <w:r w:rsidRPr="005C3073">
              <w:rPr>
                <w:rFonts w:cs="Arial"/>
                <w:snapToGrid/>
                <w:color w:val="000000"/>
                <w:szCs w:val="24"/>
              </w:rPr>
              <w:t>3–8 and 11</w:t>
            </w:r>
          </w:p>
        </w:tc>
        <w:tc>
          <w:tcPr>
            <w:tcW w:w="1711" w:type="dxa"/>
          </w:tcPr>
          <w:p w14:paraId="050E0B3C" w14:textId="77777777" w:rsidR="00FD096A" w:rsidRPr="005C3073" w:rsidRDefault="00FD096A" w:rsidP="00F95870">
            <w:pPr>
              <w:widowControl/>
              <w:spacing w:before="120" w:after="120"/>
              <w:jc w:val="center"/>
              <w:rPr>
                <w:rFonts w:cs="Arial"/>
                <w:snapToGrid/>
                <w:color w:val="000000"/>
                <w:szCs w:val="24"/>
              </w:rPr>
            </w:pPr>
            <w:r w:rsidRPr="005C3073">
              <w:rPr>
                <w:rFonts w:cs="Arial"/>
                <w:snapToGrid/>
                <w:color w:val="000000"/>
                <w:szCs w:val="24"/>
              </w:rPr>
              <w:t>ELA and mathematics</w:t>
            </w:r>
          </w:p>
        </w:tc>
      </w:tr>
      <w:tr w:rsidR="00FD096A" w:rsidRPr="005C3073" w14:paraId="050E0B43" w14:textId="77777777" w:rsidTr="00DA1145">
        <w:trPr>
          <w:cantSplit/>
          <w:trHeight w:val="1628"/>
        </w:trPr>
        <w:tc>
          <w:tcPr>
            <w:tcW w:w="1705" w:type="dxa"/>
          </w:tcPr>
          <w:p w14:paraId="050E0B3E" w14:textId="77777777" w:rsidR="00FD096A" w:rsidRPr="005C3073" w:rsidRDefault="00FD096A" w:rsidP="00F95870">
            <w:pPr>
              <w:widowControl/>
              <w:spacing w:before="120" w:after="120"/>
              <w:jc w:val="center"/>
              <w:rPr>
                <w:rFonts w:cs="Arial"/>
                <w:snapToGrid/>
                <w:color w:val="000000"/>
                <w:szCs w:val="24"/>
              </w:rPr>
            </w:pPr>
            <w:r w:rsidRPr="005C3073">
              <w:rPr>
                <w:rFonts w:cs="Arial"/>
                <w:snapToGrid/>
                <w:color w:val="000000"/>
                <w:szCs w:val="24"/>
              </w:rPr>
              <w:t>CAAs</w:t>
            </w:r>
            <w:r w:rsidR="00050C7E" w:rsidRPr="005C3073">
              <w:rPr>
                <w:rFonts w:cs="Arial"/>
                <w:snapToGrid/>
                <w:color w:val="000000"/>
                <w:szCs w:val="24"/>
              </w:rPr>
              <w:t xml:space="preserve"> </w:t>
            </w:r>
            <w:r w:rsidR="00A0798A" w:rsidRPr="005C3073">
              <w:rPr>
                <w:rFonts w:cs="Arial"/>
                <w:bCs/>
                <w:snapToGrid/>
                <w:color w:val="000000"/>
                <w:szCs w:val="24"/>
              </w:rPr>
              <w:t>for ELA and mathematics</w:t>
            </w:r>
          </w:p>
        </w:tc>
        <w:tc>
          <w:tcPr>
            <w:tcW w:w="1620" w:type="dxa"/>
          </w:tcPr>
          <w:p w14:paraId="050E0B3F" w14:textId="77777777" w:rsidR="00FD096A" w:rsidRPr="005C3073" w:rsidRDefault="00704ADF" w:rsidP="00F95870">
            <w:pPr>
              <w:widowControl/>
              <w:tabs>
                <w:tab w:val="left" w:pos="72"/>
              </w:tabs>
              <w:spacing w:before="120" w:after="120"/>
              <w:jc w:val="center"/>
              <w:rPr>
                <w:rFonts w:cs="Arial"/>
                <w:snapToGrid/>
                <w:color w:val="000000"/>
                <w:szCs w:val="24"/>
              </w:rPr>
            </w:pPr>
            <w:r w:rsidRPr="005C3073">
              <w:rPr>
                <w:rFonts w:cs="Arial"/>
                <w:snapToGrid/>
                <w:color w:val="000000"/>
                <w:szCs w:val="24"/>
              </w:rPr>
              <w:t xml:space="preserve">Computer-based </w:t>
            </w:r>
            <w:r w:rsidRPr="005C3073">
              <w:rPr>
                <w:rFonts w:cs="Arial"/>
                <w:snapToGrid/>
                <w:color w:val="000000"/>
                <w:szCs w:val="24"/>
              </w:rPr>
              <w:br/>
              <w:t>test</w:t>
            </w:r>
          </w:p>
        </w:tc>
        <w:tc>
          <w:tcPr>
            <w:tcW w:w="3510" w:type="dxa"/>
          </w:tcPr>
          <w:p w14:paraId="050E0B40" w14:textId="77777777" w:rsidR="00FD096A" w:rsidRPr="005C3073" w:rsidRDefault="00FD096A" w:rsidP="00F95870">
            <w:pPr>
              <w:widowControl/>
              <w:spacing w:before="120" w:after="120"/>
              <w:rPr>
                <w:rFonts w:cs="Arial"/>
                <w:snapToGrid/>
                <w:color w:val="000000"/>
                <w:szCs w:val="24"/>
              </w:rPr>
            </w:pPr>
            <w:r w:rsidRPr="005C3073">
              <w:rPr>
                <w:color w:val="000000"/>
                <w:szCs w:val="24"/>
              </w:rPr>
              <w:t xml:space="preserve">Students with the most significant cognitive disabilities whose IEP indicates assessment with an alternate </w:t>
            </w:r>
            <w:r w:rsidR="004F0C69" w:rsidRPr="005C3073">
              <w:rPr>
                <w:color w:val="000000"/>
                <w:szCs w:val="24"/>
              </w:rPr>
              <w:t>test</w:t>
            </w:r>
            <w:r w:rsidR="00612166" w:rsidRPr="005C3073">
              <w:rPr>
                <w:color w:val="000000"/>
                <w:szCs w:val="24"/>
              </w:rPr>
              <w:t xml:space="preserve"> (i.e., CAA)</w:t>
            </w:r>
          </w:p>
        </w:tc>
        <w:tc>
          <w:tcPr>
            <w:tcW w:w="1350" w:type="dxa"/>
          </w:tcPr>
          <w:p w14:paraId="050E0B41" w14:textId="77777777" w:rsidR="00FD096A" w:rsidRPr="005C3073" w:rsidRDefault="00FD096A" w:rsidP="00F95870">
            <w:pPr>
              <w:widowControl/>
              <w:spacing w:before="120" w:after="120"/>
              <w:jc w:val="center"/>
              <w:rPr>
                <w:rFonts w:cs="Arial"/>
                <w:snapToGrid/>
                <w:color w:val="000000"/>
                <w:szCs w:val="24"/>
              </w:rPr>
            </w:pPr>
            <w:r w:rsidRPr="005C3073">
              <w:rPr>
                <w:rFonts w:cs="Arial"/>
                <w:snapToGrid/>
                <w:color w:val="000000"/>
                <w:szCs w:val="24"/>
              </w:rPr>
              <w:t>3–8 and 11</w:t>
            </w:r>
          </w:p>
        </w:tc>
        <w:tc>
          <w:tcPr>
            <w:tcW w:w="1711" w:type="dxa"/>
          </w:tcPr>
          <w:p w14:paraId="050E0B42" w14:textId="77777777" w:rsidR="00FD096A" w:rsidRPr="005C3073" w:rsidRDefault="00FD096A" w:rsidP="00F95870">
            <w:pPr>
              <w:widowControl/>
              <w:spacing w:before="120" w:after="120"/>
              <w:jc w:val="center"/>
              <w:rPr>
                <w:rFonts w:cs="Arial"/>
                <w:snapToGrid/>
                <w:color w:val="000000"/>
                <w:szCs w:val="24"/>
              </w:rPr>
            </w:pPr>
            <w:r w:rsidRPr="005C3073">
              <w:rPr>
                <w:rFonts w:cs="Arial"/>
                <w:snapToGrid/>
                <w:color w:val="000000"/>
                <w:szCs w:val="24"/>
              </w:rPr>
              <w:t>ELA and mathematics</w:t>
            </w:r>
          </w:p>
        </w:tc>
      </w:tr>
      <w:tr w:rsidR="00FD096A" w:rsidRPr="005C3073" w14:paraId="050E0B4A" w14:textId="77777777" w:rsidTr="00DA1145">
        <w:trPr>
          <w:cantSplit/>
          <w:trHeight w:val="1340"/>
        </w:trPr>
        <w:tc>
          <w:tcPr>
            <w:tcW w:w="1705" w:type="dxa"/>
          </w:tcPr>
          <w:p w14:paraId="050E0B45" w14:textId="77777777" w:rsidR="00FD096A" w:rsidRPr="005C3073" w:rsidRDefault="004A01E9" w:rsidP="00F95870">
            <w:pPr>
              <w:widowControl/>
              <w:spacing w:before="180" w:after="0"/>
              <w:jc w:val="center"/>
              <w:rPr>
                <w:rFonts w:cs="Arial"/>
                <w:snapToGrid/>
                <w:color w:val="000000"/>
                <w:szCs w:val="24"/>
              </w:rPr>
            </w:pPr>
            <w:r w:rsidRPr="005C3073">
              <w:rPr>
                <w:rFonts w:cs="Arial"/>
                <w:snapToGrid/>
                <w:color w:val="000000"/>
                <w:szCs w:val="24"/>
              </w:rPr>
              <w:t>CAST</w:t>
            </w:r>
          </w:p>
        </w:tc>
        <w:tc>
          <w:tcPr>
            <w:tcW w:w="1620" w:type="dxa"/>
          </w:tcPr>
          <w:p w14:paraId="050E0B46" w14:textId="77777777" w:rsidR="00FD096A" w:rsidRPr="005C3073" w:rsidRDefault="00704ADF" w:rsidP="00F95870">
            <w:pPr>
              <w:widowControl/>
              <w:tabs>
                <w:tab w:val="left" w:pos="72"/>
              </w:tabs>
              <w:spacing w:before="120" w:after="120"/>
              <w:jc w:val="center"/>
              <w:rPr>
                <w:rFonts w:cs="Arial"/>
                <w:snapToGrid/>
                <w:color w:val="000000"/>
                <w:szCs w:val="24"/>
                <w:vertAlign w:val="superscript"/>
              </w:rPr>
            </w:pPr>
            <w:r w:rsidRPr="005C3073">
              <w:rPr>
                <w:rFonts w:cs="Arial"/>
                <w:snapToGrid/>
                <w:color w:val="000000"/>
                <w:szCs w:val="24"/>
              </w:rPr>
              <w:t>Computer-based</w:t>
            </w:r>
            <w:r w:rsidRPr="005C3073">
              <w:rPr>
                <w:rFonts w:cs="Arial"/>
                <w:snapToGrid/>
                <w:color w:val="000000"/>
                <w:szCs w:val="24"/>
              </w:rPr>
              <w:br/>
              <w:t>test</w:t>
            </w:r>
          </w:p>
        </w:tc>
        <w:tc>
          <w:tcPr>
            <w:tcW w:w="3510" w:type="dxa"/>
          </w:tcPr>
          <w:p w14:paraId="050E0B47" w14:textId="77777777" w:rsidR="00FD096A" w:rsidRPr="005C3073" w:rsidRDefault="00FD096A" w:rsidP="00F95870">
            <w:pPr>
              <w:widowControl/>
              <w:spacing w:before="120" w:after="120"/>
              <w:rPr>
                <w:rFonts w:cs="Arial"/>
                <w:snapToGrid/>
                <w:color w:val="000000"/>
                <w:szCs w:val="24"/>
              </w:rPr>
            </w:pPr>
            <w:r w:rsidRPr="005C3073">
              <w:rPr>
                <w:rFonts w:cs="Arial"/>
                <w:snapToGrid/>
                <w:color w:val="000000"/>
                <w:szCs w:val="24"/>
              </w:rPr>
              <w:t xml:space="preserve">All </w:t>
            </w:r>
            <w:r w:rsidRPr="005C3073">
              <w:rPr>
                <w:color w:val="000000"/>
                <w:szCs w:val="24"/>
              </w:rPr>
              <w:t>student</w:t>
            </w:r>
            <w:r w:rsidRPr="005C3073">
              <w:rPr>
                <w:rFonts w:cs="Arial"/>
                <w:snapToGrid/>
                <w:color w:val="000000"/>
                <w:szCs w:val="24"/>
              </w:rPr>
              <w:t xml:space="preserve">s, unless they have an IEP indicating </w:t>
            </w:r>
            <w:r w:rsidR="00EA6F10" w:rsidRPr="005C3073">
              <w:rPr>
                <w:rFonts w:cs="Arial"/>
                <w:snapToGrid/>
                <w:color w:val="000000"/>
                <w:szCs w:val="24"/>
              </w:rPr>
              <w:t xml:space="preserve">an alternate </w:t>
            </w:r>
            <w:r w:rsidRPr="005C3073">
              <w:rPr>
                <w:rFonts w:cs="Arial"/>
                <w:snapToGrid/>
                <w:color w:val="000000"/>
                <w:szCs w:val="24"/>
              </w:rPr>
              <w:t>assessment (i.e., CAA for Science)</w:t>
            </w:r>
          </w:p>
        </w:tc>
        <w:tc>
          <w:tcPr>
            <w:tcW w:w="1350" w:type="dxa"/>
          </w:tcPr>
          <w:p w14:paraId="050E0B48" w14:textId="77777777" w:rsidR="00FD096A" w:rsidRPr="005C3073" w:rsidRDefault="00FD096A" w:rsidP="00F95870">
            <w:pPr>
              <w:widowControl/>
              <w:spacing w:before="120" w:after="120"/>
              <w:jc w:val="center"/>
              <w:rPr>
                <w:rFonts w:cs="Arial"/>
                <w:snapToGrid/>
                <w:color w:val="000000"/>
                <w:szCs w:val="24"/>
              </w:rPr>
            </w:pPr>
            <w:r w:rsidRPr="005C3073">
              <w:rPr>
                <w:rFonts w:cs="Arial"/>
                <w:snapToGrid/>
                <w:color w:val="000000"/>
                <w:szCs w:val="24"/>
              </w:rPr>
              <w:t>5 and 8 and once in high school</w:t>
            </w:r>
          </w:p>
        </w:tc>
        <w:tc>
          <w:tcPr>
            <w:tcW w:w="1711" w:type="dxa"/>
          </w:tcPr>
          <w:p w14:paraId="050E0B49" w14:textId="77777777" w:rsidR="00FD096A" w:rsidRPr="005C3073" w:rsidRDefault="00FD096A" w:rsidP="00F95870">
            <w:pPr>
              <w:widowControl/>
              <w:spacing w:before="120" w:after="120"/>
              <w:jc w:val="center"/>
              <w:rPr>
                <w:rFonts w:cs="Arial"/>
                <w:snapToGrid/>
                <w:color w:val="000000"/>
                <w:szCs w:val="24"/>
              </w:rPr>
            </w:pPr>
            <w:r w:rsidRPr="005C3073">
              <w:rPr>
                <w:rFonts w:cs="Arial"/>
                <w:snapToGrid/>
                <w:color w:val="000000"/>
                <w:szCs w:val="24"/>
              </w:rPr>
              <w:t>Science</w:t>
            </w:r>
          </w:p>
        </w:tc>
      </w:tr>
      <w:tr w:rsidR="00FD096A" w:rsidRPr="005C3073" w14:paraId="050E0B50" w14:textId="77777777" w:rsidTr="00644BEE">
        <w:trPr>
          <w:cantSplit/>
          <w:trHeight w:val="248"/>
        </w:trPr>
        <w:tc>
          <w:tcPr>
            <w:tcW w:w="1705" w:type="dxa"/>
          </w:tcPr>
          <w:p w14:paraId="050E0B4B" w14:textId="4F244CE1" w:rsidR="00FD096A" w:rsidRPr="00CF43A2" w:rsidRDefault="00FD096A" w:rsidP="008B48B9">
            <w:pPr>
              <w:widowControl/>
              <w:spacing w:before="120" w:after="120"/>
              <w:jc w:val="center"/>
              <w:rPr>
                <w:rFonts w:cs="Arial"/>
                <w:snapToGrid/>
                <w:color w:val="000000"/>
                <w:szCs w:val="24"/>
                <w:vertAlign w:val="superscript"/>
              </w:rPr>
            </w:pPr>
            <w:r w:rsidRPr="005C3073">
              <w:rPr>
                <w:rFonts w:cs="Arial"/>
                <w:snapToGrid/>
                <w:color w:val="000000"/>
                <w:szCs w:val="24"/>
              </w:rPr>
              <w:t xml:space="preserve">CAA for </w:t>
            </w:r>
            <w:r w:rsidR="0072732F" w:rsidRPr="005C3073">
              <w:rPr>
                <w:rFonts w:cs="Arial"/>
                <w:snapToGrid/>
                <w:color w:val="000000"/>
                <w:szCs w:val="24"/>
              </w:rPr>
              <w:t>Science</w:t>
            </w:r>
            <w:r w:rsidR="00B13A38" w:rsidRPr="00267550">
              <w:rPr>
                <w:rFonts w:cs="Arial"/>
                <w:vertAlign w:val="superscript"/>
              </w:rPr>
              <w:t>1</w:t>
            </w:r>
          </w:p>
        </w:tc>
        <w:tc>
          <w:tcPr>
            <w:tcW w:w="1620" w:type="dxa"/>
          </w:tcPr>
          <w:p w14:paraId="050E0B4C" w14:textId="77777777" w:rsidR="00FD096A" w:rsidRPr="005C3073" w:rsidRDefault="00DA68C7" w:rsidP="00F95870">
            <w:pPr>
              <w:widowControl/>
              <w:tabs>
                <w:tab w:val="left" w:pos="72"/>
              </w:tabs>
              <w:spacing w:before="120" w:after="120"/>
              <w:jc w:val="center"/>
              <w:rPr>
                <w:rFonts w:cs="Arial"/>
                <w:snapToGrid/>
                <w:color w:val="000000"/>
                <w:szCs w:val="24"/>
              </w:rPr>
            </w:pPr>
            <w:r w:rsidRPr="005C3073">
              <w:rPr>
                <w:rFonts w:cs="Arial"/>
                <w:snapToGrid/>
                <w:color w:val="000000"/>
                <w:szCs w:val="24"/>
              </w:rPr>
              <w:t>Computer-based</w:t>
            </w:r>
            <w:r w:rsidRPr="005C3073">
              <w:rPr>
                <w:rFonts w:cs="Arial"/>
                <w:snapToGrid/>
                <w:color w:val="000000"/>
                <w:szCs w:val="24"/>
              </w:rPr>
              <w:br/>
              <w:t>test</w:t>
            </w:r>
          </w:p>
        </w:tc>
        <w:tc>
          <w:tcPr>
            <w:tcW w:w="3510" w:type="dxa"/>
          </w:tcPr>
          <w:p w14:paraId="050E0B4D" w14:textId="77777777" w:rsidR="00FD096A" w:rsidRPr="005C3073" w:rsidRDefault="00FD096A" w:rsidP="00F95870">
            <w:pPr>
              <w:widowControl/>
              <w:spacing w:before="120" w:after="120"/>
              <w:rPr>
                <w:rFonts w:cs="Arial"/>
                <w:snapToGrid/>
                <w:color w:val="000000"/>
                <w:szCs w:val="24"/>
              </w:rPr>
            </w:pPr>
            <w:r w:rsidRPr="005C3073">
              <w:rPr>
                <w:color w:val="000000"/>
                <w:szCs w:val="24"/>
              </w:rPr>
              <w:t>Student</w:t>
            </w:r>
            <w:r w:rsidRPr="005C3073">
              <w:rPr>
                <w:rFonts w:cs="Arial"/>
                <w:snapToGrid/>
                <w:color w:val="000000"/>
                <w:szCs w:val="24"/>
              </w:rPr>
              <w:t xml:space="preserve">s with the most significant cognitive disabilities whose IEP indicates assessment with an alternate </w:t>
            </w:r>
            <w:r w:rsidR="004F0C69" w:rsidRPr="005C3073">
              <w:rPr>
                <w:rFonts w:cs="Arial"/>
                <w:snapToGrid/>
                <w:color w:val="000000"/>
                <w:szCs w:val="24"/>
              </w:rPr>
              <w:t xml:space="preserve">test </w:t>
            </w:r>
            <w:r w:rsidRPr="005C3073">
              <w:rPr>
                <w:rFonts w:cs="Arial"/>
                <w:snapToGrid/>
                <w:color w:val="000000"/>
                <w:szCs w:val="24"/>
              </w:rPr>
              <w:t>(i.e., CAA for Science)</w:t>
            </w:r>
          </w:p>
        </w:tc>
        <w:tc>
          <w:tcPr>
            <w:tcW w:w="1350" w:type="dxa"/>
          </w:tcPr>
          <w:p w14:paraId="050E0B4E" w14:textId="77777777" w:rsidR="00FD096A" w:rsidRPr="005C3073" w:rsidRDefault="00FD096A" w:rsidP="00F95870">
            <w:pPr>
              <w:widowControl/>
              <w:spacing w:before="120" w:after="120"/>
              <w:jc w:val="center"/>
              <w:rPr>
                <w:rFonts w:cs="Arial"/>
                <w:snapToGrid/>
                <w:color w:val="000000"/>
                <w:szCs w:val="24"/>
              </w:rPr>
            </w:pPr>
            <w:r w:rsidRPr="005C3073">
              <w:rPr>
                <w:rFonts w:cs="Arial"/>
                <w:snapToGrid/>
                <w:color w:val="000000"/>
                <w:szCs w:val="24"/>
              </w:rPr>
              <w:t>5 and 8 and once in high school</w:t>
            </w:r>
          </w:p>
        </w:tc>
        <w:tc>
          <w:tcPr>
            <w:tcW w:w="1711" w:type="dxa"/>
          </w:tcPr>
          <w:p w14:paraId="050E0B4F" w14:textId="77777777" w:rsidR="00FD096A" w:rsidRPr="005C3073" w:rsidRDefault="00FD096A" w:rsidP="00F95870">
            <w:pPr>
              <w:widowControl/>
              <w:spacing w:before="120" w:after="120"/>
              <w:jc w:val="center"/>
              <w:rPr>
                <w:rFonts w:cs="Arial"/>
                <w:snapToGrid/>
                <w:color w:val="000000"/>
                <w:szCs w:val="24"/>
              </w:rPr>
            </w:pPr>
            <w:r w:rsidRPr="005C3073">
              <w:rPr>
                <w:rFonts w:cs="Arial"/>
                <w:snapToGrid/>
                <w:color w:val="000000"/>
                <w:szCs w:val="24"/>
              </w:rPr>
              <w:t>Science</w:t>
            </w:r>
          </w:p>
        </w:tc>
      </w:tr>
    </w:tbl>
    <w:p w14:paraId="66D456D8" w14:textId="068E96A8" w:rsidR="00F3081F" w:rsidRPr="00267550" w:rsidRDefault="00B13A38" w:rsidP="00267550">
      <w:pPr>
        <w:widowControl/>
        <w:rPr>
          <w:rFonts w:ascii="Arial Narrow" w:hAnsi="Arial Narrow" w:cs="Arial"/>
          <w:szCs w:val="24"/>
        </w:rPr>
      </w:pPr>
      <w:r>
        <w:rPr>
          <w:rFonts w:ascii="Arial Narrow" w:hAnsi="Arial Narrow" w:cs="Arial"/>
          <w:szCs w:val="24"/>
          <w:vertAlign w:val="superscript"/>
        </w:rPr>
        <w:lastRenderedPageBreak/>
        <w:t>1</w:t>
      </w:r>
      <w:r w:rsidR="000C7D4C" w:rsidRPr="00267550">
        <w:rPr>
          <w:rFonts w:ascii="Arial Narrow" w:hAnsi="Arial Narrow" w:cs="Arial"/>
          <w:szCs w:val="24"/>
        </w:rPr>
        <w:t>D</w:t>
      </w:r>
      <w:r w:rsidR="00BE337A" w:rsidRPr="00267550">
        <w:rPr>
          <w:rFonts w:ascii="Arial Narrow" w:hAnsi="Arial Narrow" w:cs="Arial"/>
          <w:szCs w:val="24"/>
        </w:rPr>
        <w:t>ue to the COVID</w:t>
      </w:r>
      <w:r w:rsidR="00BE337A" w:rsidRPr="00267550">
        <w:rPr>
          <w:rFonts w:ascii="Arial Narrow" w:hAnsi="Arial Narrow" w:cs="Arial"/>
          <w:szCs w:val="24"/>
        </w:rPr>
        <w:noBreakHyphen/>
        <w:t>19 pandemic</w:t>
      </w:r>
      <w:r w:rsidR="000C7D4C" w:rsidRPr="00267550">
        <w:rPr>
          <w:rFonts w:ascii="Arial Narrow" w:hAnsi="Arial Narrow" w:cs="Arial"/>
          <w:szCs w:val="24"/>
        </w:rPr>
        <w:t>,</w:t>
      </w:r>
      <w:r w:rsidR="00BE337A" w:rsidRPr="00267550">
        <w:rPr>
          <w:rFonts w:ascii="Arial Narrow" w:hAnsi="Arial Narrow" w:cs="Arial"/>
          <w:szCs w:val="24"/>
        </w:rPr>
        <w:t xml:space="preserve"> </w:t>
      </w:r>
      <w:r w:rsidR="00FB1E13" w:rsidRPr="00267550">
        <w:rPr>
          <w:rFonts w:ascii="Arial Narrow" w:hAnsi="Arial Narrow" w:cs="Arial"/>
          <w:szCs w:val="24"/>
        </w:rPr>
        <w:t xml:space="preserve">all </w:t>
      </w:r>
      <w:r w:rsidR="007F660D" w:rsidRPr="00267550">
        <w:rPr>
          <w:rFonts w:ascii="Arial Narrow" w:hAnsi="Arial Narrow" w:cs="Arial"/>
          <w:szCs w:val="24"/>
        </w:rPr>
        <w:t xml:space="preserve">statewide </w:t>
      </w:r>
      <w:r w:rsidR="00CF43A2" w:rsidRPr="00267550">
        <w:rPr>
          <w:rFonts w:ascii="Arial Narrow" w:hAnsi="Arial Narrow" w:cs="Arial"/>
          <w:szCs w:val="24"/>
        </w:rPr>
        <w:t xml:space="preserve">testing </w:t>
      </w:r>
      <w:r w:rsidR="00FB1E13" w:rsidRPr="00267550">
        <w:rPr>
          <w:rFonts w:ascii="Arial Narrow" w:hAnsi="Arial Narrow" w:cs="Arial"/>
          <w:szCs w:val="24"/>
        </w:rPr>
        <w:t>was suspended</w:t>
      </w:r>
      <w:r w:rsidR="000C7D4C" w:rsidRPr="00267550">
        <w:rPr>
          <w:rFonts w:ascii="Arial Narrow" w:hAnsi="Arial Narrow" w:cs="Arial"/>
          <w:szCs w:val="24"/>
        </w:rPr>
        <w:t xml:space="preserve"> in the 2019–</w:t>
      </w:r>
      <w:r w:rsidR="007B6952" w:rsidRPr="00267550">
        <w:rPr>
          <w:rFonts w:ascii="Arial Narrow" w:hAnsi="Arial Narrow" w:cs="Arial"/>
          <w:szCs w:val="24"/>
        </w:rPr>
        <w:t>20</w:t>
      </w:r>
      <w:r w:rsidR="000C7D4C" w:rsidRPr="00267550">
        <w:rPr>
          <w:rFonts w:ascii="Arial Narrow" w:hAnsi="Arial Narrow" w:cs="Arial"/>
          <w:szCs w:val="24"/>
        </w:rPr>
        <w:t>20 school year</w:t>
      </w:r>
      <w:r w:rsidR="00013771" w:rsidRPr="00267550">
        <w:rPr>
          <w:rFonts w:ascii="Arial Narrow" w:hAnsi="Arial Narrow" w:cs="Arial"/>
          <w:szCs w:val="24"/>
        </w:rPr>
        <w:t>.</w:t>
      </w:r>
      <w:r w:rsidR="004E5DC8" w:rsidRPr="00267550">
        <w:rPr>
          <w:rFonts w:ascii="Arial Narrow" w:hAnsi="Arial Narrow" w:cs="Arial"/>
          <w:szCs w:val="24"/>
        </w:rPr>
        <w:t xml:space="preserve"> </w:t>
      </w:r>
      <w:r w:rsidR="002B26B2" w:rsidRPr="00267550">
        <w:rPr>
          <w:rFonts w:ascii="Arial Narrow" w:hAnsi="Arial Narrow" w:cs="Arial"/>
          <w:szCs w:val="24"/>
        </w:rPr>
        <w:t>As a result</w:t>
      </w:r>
      <w:r w:rsidR="00E66B89" w:rsidRPr="00267550">
        <w:rPr>
          <w:rFonts w:ascii="Arial Narrow" w:hAnsi="Arial Narrow" w:cs="Arial"/>
          <w:szCs w:val="24"/>
        </w:rPr>
        <w:t xml:space="preserve">, </w:t>
      </w:r>
      <w:r w:rsidR="00256BDE" w:rsidRPr="00267550">
        <w:rPr>
          <w:rFonts w:ascii="Arial Narrow" w:hAnsi="Arial Narrow" w:cs="Arial"/>
          <w:szCs w:val="24"/>
        </w:rPr>
        <w:t>an</w:t>
      </w:r>
      <w:r w:rsidR="004D6393" w:rsidRPr="00267550">
        <w:rPr>
          <w:rFonts w:ascii="Arial Narrow" w:hAnsi="Arial Narrow" w:cs="Arial"/>
          <w:szCs w:val="24"/>
        </w:rPr>
        <w:t xml:space="preserve"> insufficient </w:t>
      </w:r>
      <w:r w:rsidR="00256BDE" w:rsidRPr="00267550">
        <w:rPr>
          <w:rFonts w:ascii="Arial Narrow" w:hAnsi="Arial Narrow" w:cs="Arial"/>
          <w:szCs w:val="24"/>
        </w:rPr>
        <w:t xml:space="preserve">number of </w:t>
      </w:r>
      <w:r w:rsidR="00E37469" w:rsidRPr="00267550">
        <w:rPr>
          <w:rFonts w:ascii="Arial Narrow" w:hAnsi="Arial Narrow" w:cs="Arial"/>
          <w:szCs w:val="24"/>
        </w:rPr>
        <w:t xml:space="preserve">students </w:t>
      </w:r>
      <w:r w:rsidR="00C97BC7" w:rsidRPr="00267550">
        <w:rPr>
          <w:rFonts w:ascii="Arial Narrow" w:hAnsi="Arial Narrow" w:cs="Arial"/>
          <w:szCs w:val="24"/>
        </w:rPr>
        <w:t>w</w:t>
      </w:r>
      <w:r w:rsidR="007348C8" w:rsidRPr="00267550">
        <w:rPr>
          <w:rFonts w:ascii="Arial Narrow" w:hAnsi="Arial Narrow" w:cs="Arial"/>
          <w:szCs w:val="24"/>
        </w:rPr>
        <w:t>ere</w:t>
      </w:r>
      <w:r w:rsidR="00C97BC7" w:rsidRPr="00267550">
        <w:rPr>
          <w:rFonts w:ascii="Arial Narrow" w:hAnsi="Arial Narrow" w:cs="Arial"/>
          <w:szCs w:val="24"/>
        </w:rPr>
        <w:t xml:space="preserve"> administered the CAA for Science </w:t>
      </w:r>
      <w:r w:rsidR="00E37469" w:rsidRPr="00267550">
        <w:rPr>
          <w:rFonts w:ascii="Arial Narrow" w:hAnsi="Arial Narrow" w:cs="Arial"/>
          <w:szCs w:val="24"/>
        </w:rPr>
        <w:t xml:space="preserve">for the </w:t>
      </w:r>
      <w:r w:rsidR="006540AC" w:rsidRPr="00267550">
        <w:rPr>
          <w:rFonts w:ascii="Arial Narrow" w:hAnsi="Arial Narrow" w:cs="Arial"/>
          <w:szCs w:val="24"/>
        </w:rPr>
        <w:t>CDE</w:t>
      </w:r>
      <w:r w:rsidR="00E37469" w:rsidRPr="00267550">
        <w:rPr>
          <w:rFonts w:ascii="Arial Narrow" w:hAnsi="Arial Narrow" w:cs="Arial"/>
          <w:szCs w:val="24"/>
        </w:rPr>
        <w:t xml:space="preserve"> and </w:t>
      </w:r>
      <w:r w:rsidR="00FF3487" w:rsidRPr="00267550">
        <w:rPr>
          <w:rFonts w:ascii="Arial Narrow" w:hAnsi="Arial Narrow" w:cs="Arial"/>
          <w:szCs w:val="24"/>
        </w:rPr>
        <w:t>its testing contractor</w:t>
      </w:r>
      <w:r w:rsidR="00C02BA7" w:rsidRPr="00267550">
        <w:rPr>
          <w:rFonts w:ascii="Arial Narrow" w:hAnsi="Arial Narrow" w:cs="Arial"/>
          <w:szCs w:val="24"/>
        </w:rPr>
        <w:t xml:space="preserve"> to</w:t>
      </w:r>
      <w:r w:rsidR="00A42EEB" w:rsidRPr="00267550">
        <w:rPr>
          <w:rFonts w:ascii="Arial Narrow" w:hAnsi="Arial Narrow" w:cs="Arial"/>
          <w:szCs w:val="24"/>
        </w:rPr>
        <w:t xml:space="preserve"> complete</w:t>
      </w:r>
      <w:r w:rsidR="0028144F" w:rsidRPr="00267550">
        <w:rPr>
          <w:rFonts w:ascii="Arial Narrow" w:hAnsi="Arial Narrow" w:cs="Arial"/>
          <w:szCs w:val="24"/>
        </w:rPr>
        <w:t xml:space="preserve"> the necessary</w:t>
      </w:r>
      <w:r w:rsidR="006540AC" w:rsidRPr="00267550">
        <w:rPr>
          <w:rFonts w:ascii="Arial Narrow" w:hAnsi="Arial Narrow" w:cs="Arial"/>
          <w:szCs w:val="24"/>
        </w:rPr>
        <w:t xml:space="preserve"> development work</w:t>
      </w:r>
      <w:r w:rsidR="0028144F" w:rsidRPr="00267550">
        <w:rPr>
          <w:rFonts w:ascii="Arial Narrow" w:hAnsi="Arial Narrow" w:cs="Arial"/>
          <w:szCs w:val="24"/>
        </w:rPr>
        <w:t xml:space="preserve"> </w:t>
      </w:r>
      <w:r w:rsidR="00256BDE" w:rsidRPr="00267550">
        <w:rPr>
          <w:rFonts w:ascii="Arial Narrow" w:hAnsi="Arial Narrow" w:cs="Arial"/>
          <w:szCs w:val="24"/>
        </w:rPr>
        <w:t>to</w:t>
      </w:r>
      <w:r w:rsidR="004E5DC8" w:rsidRPr="00267550">
        <w:rPr>
          <w:rFonts w:ascii="Arial Narrow" w:hAnsi="Arial Narrow" w:cs="Arial"/>
          <w:szCs w:val="24"/>
        </w:rPr>
        <w:t xml:space="preserve"> operationalize</w:t>
      </w:r>
      <w:r w:rsidR="006540AC" w:rsidRPr="00267550">
        <w:rPr>
          <w:rFonts w:ascii="Arial Narrow" w:hAnsi="Arial Narrow" w:cs="Arial"/>
          <w:szCs w:val="24"/>
        </w:rPr>
        <w:t xml:space="preserve"> the CAA for Science</w:t>
      </w:r>
      <w:r w:rsidR="004E5DC8" w:rsidRPr="00267550">
        <w:rPr>
          <w:rFonts w:ascii="Arial Narrow" w:hAnsi="Arial Narrow" w:cs="Arial"/>
          <w:szCs w:val="24"/>
        </w:rPr>
        <w:t>.</w:t>
      </w:r>
    </w:p>
    <w:p w14:paraId="050E0B51" w14:textId="52AD8BAD" w:rsidR="00FD096A" w:rsidRPr="005C3073" w:rsidRDefault="00EB000A" w:rsidP="00F95870">
      <w:pPr>
        <w:keepNext/>
        <w:keepLines/>
        <w:widowControl/>
        <w:tabs>
          <w:tab w:val="left" w:pos="360"/>
        </w:tabs>
        <w:jc w:val="both"/>
        <w:rPr>
          <w:sz w:val="8"/>
          <w:szCs w:val="8"/>
        </w:rPr>
      </w:pPr>
      <w:r w:rsidRPr="00727F1A">
        <w:rPr>
          <w:rFonts w:cs="Arial"/>
          <w:szCs w:val="24"/>
        </w:rPr>
        <w:t>Table 2.</w:t>
      </w:r>
      <w:r w:rsidRPr="00AC02C2">
        <w:rPr>
          <w:rFonts w:cs="Arial"/>
          <w:szCs w:val="24"/>
        </w:rPr>
        <w:t xml:space="preserve"> </w:t>
      </w:r>
      <w:r w:rsidRPr="005C3073">
        <w:rPr>
          <w:rFonts w:cs="Arial"/>
          <w:szCs w:val="24"/>
        </w:rPr>
        <w:t xml:space="preserve">Optional CAASPP Assessments </w:t>
      </w:r>
      <w:r w:rsidR="005022CF" w:rsidRPr="005C3073">
        <w:rPr>
          <w:rFonts w:cs="Arial"/>
          <w:szCs w:val="24"/>
        </w:rPr>
        <w:t xml:space="preserve">and Assessment Tools </w:t>
      </w:r>
      <w:r w:rsidRPr="005C3073">
        <w:rPr>
          <w:rFonts w:cs="Arial"/>
          <w:szCs w:val="24"/>
        </w:rPr>
        <w:t xml:space="preserve">Available </w:t>
      </w:r>
      <w:r w:rsidRPr="00C87DFA">
        <w:rPr>
          <w:rFonts w:cs="Arial"/>
          <w:szCs w:val="24"/>
        </w:rPr>
        <w:t xml:space="preserve">in </w:t>
      </w:r>
      <w:r w:rsidR="000E142F" w:rsidRPr="00C87DFA">
        <w:rPr>
          <w:rFonts w:cs="Arial"/>
          <w:szCs w:val="24"/>
        </w:rPr>
        <w:t>201</w:t>
      </w:r>
      <w:r w:rsidR="00E04442" w:rsidRPr="00C87DFA">
        <w:rPr>
          <w:rFonts w:cs="Arial"/>
          <w:szCs w:val="24"/>
        </w:rPr>
        <w:t>9</w:t>
      </w:r>
      <w:r w:rsidR="000E142F" w:rsidRPr="00C87DFA">
        <w:rPr>
          <w:rFonts w:cs="Arial"/>
          <w:szCs w:val="24"/>
        </w:rPr>
        <w:t>–20</w:t>
      </w:r>
      <w:r w:rsidR="00E04442" w:rsidRPr="00C87DFA">
        <w:rPr>
          <w:rFonts w:cs="Arial"/>
          <w:szCs w:val="24"/>
        </w:rPr>
        <w:t>20</w:t>
      </w:r>
      <w:r w:rsidRPr="00C87DFA">
        <w:rPr>
          <w:rFonts w:cs="Arial"/>
          <w:szCs w:val="24"/>
        </w:rPr>
        <w:t>,</w:t>
      </w:r>
      <w:r w:rsidRPr="005C3073">
        <w:rPr>
          <w:rFonts w:cs="Arial"/>
          <w:szCs w:val="24"/>
        </w:rPr>
        <w:t xml:space="preserve"> </w:t>
      </w:r>
      <w:r w:rsidRPr="005C3073">
        <w:rPr>
          <w:rFonts w:cs="Arial"/>
        </w:rPr>
        <w:t>by Grade and Content Area</w:t>
      </w:r>
    </w:p>
    <w:tbl>
      <w:tblPr>
        <w:tblStyle w:val="TableGrid"/>
        <w:tblW w:w="9904" w:type="dxa"/>
        <w:tblLayout w:type="fixed"/>
        <w:tblLook w:val="04A0" w:firstRow="1" w:lastRow="0" w:firstColumn="1" w:lastColumn="0" w:noHBand="0" w:noVBand="1"/>
        <w:tblDescription w:val="Optional Tests &amp; Tools "/>
      </w:tblPr>
      <w:tblGrid>
        <w:gridCol w:w="2965"/>
        <w:gridCol w:w="2070"/>
        <w:gridCol w:w="1791"/>
        <w:gridCol w:w="1368"/>
        <w:gridCol w:w="1710"/>
      </w:tblGrid>
      <w:tr w:rsidR="00FD096A" w:rsidRPr="005C3073" w14:paraId="050E0B57" w14:textId="77777777" w:rsidTr="00E358AB">
        <w:trPr>
          <w:cantSplit/>
          <w:trHeight w:val="75"/>
          <w:tblHeader/>
        </w:trPr>
        <w:tc>
          <w:tcPr>
            <w:tcW w:w="2965" w:type="dxa"/>
            <w:shd w:val="clear" w:color="auto" w:fill="9CC2E5" w:themeFill="accent1" w:themeFillTint="99"/>
            <w:vAlign w:val="center"/>
          </w:tcPr>
          <w:p w14:paraId="050E0B52" w14:textId="77777777" w:rsidR="00FD096A" w:rsidRPr="005C3073" w:rsidRDefault="00FD096A" w:rsidP="00F95870">
            <w:pPr>
              <w:keepNext/>
              <w:keepLines/>
              <w:widowControl/>
              <w:spacing w:before="120" w:after="120"/>
              <w:ind w:right="49"/>
              <w:jc w:val="center"/>
              <w:rPr>
                <w:rFonts w:cs="Arial"/>
                <w:b/>
                <w:sz w:val="22"/>
                <w:szCs w:val="22"/>
              </w:rPr>
            </w:pPr>
            <w:r w:rsidRPr="005C3073">
              <w:rPr>
                <w:rFonts w:cs="Arial"/>
                <w:b/>
                <w:sz w:val="22"/>
                <w:szCs w:val="22"/>
              </w:rPr>
              <w:t>Test/Tool</w:t>
            </w:r>
          </w:p>
        </w:tc>
        <w:tc>
          <w:tcPr>
            <w:tcW w:w="2070" w:type="dxa"/>
            <w:shd w:val="clear" w:color="auto" w:fill="9CC2E5" w:themeFill="accent1" w:themeFillTint="99"/>
            <w:vAlign w:val="center"/>
          </w:tcPr>
          <w:p w14:paraId="050E0B53" w14:textId="77777777" w:rsidR="00FD096A" w:rsidRPr="005C3073" w:rsidRDefault="00FD096A" w:rsidP="00F95870">
            <w:pPr>
              <w:keepNext/>
              <w:keepLines/>
              <w:widowControl/>
              <w:tabs>
                <w:tab w:val="left" w:pos="545"/>
              </w:tabs>
              <w:spacing w:before="120" w:after="120"/>
              <w:ind w:right="-77"/>
              <w:jc w:val="center"/>
              <w:rPr>
                <w:rFonts w:cs="Arial"/>
                <w:b/>
                <w:sz w:val="22"/>
                <w:szCs w:val="22"/>
              </w:rPr>
            </w:pPr>
            <w:r w:rsidRPr="005C3073">
              <w:rPr>
                <w:rFonts w:cs="Arial"/>
                <w:b/>
                <w:sz w:val="22"/>
                <w:szCs w:val="22"/>
              </w:rPr>
              <w:t>Type</w:t>
            </w:r>
          </w:p>
        </w:tc>
        <w:tc>
          <w:tcPr>
            <w:tcW w:w="1791" w:type="dxa"/>
            <w:shd w:val="clear" w:color="auto" w:fill="9CC2E5" w:themeFill="accent1" w:themeFillTint="99"/>
            <w:vAlign w:val="center"/>
          </w:tcPr>
          <w:p w14:paraId="050E0B54" w14:textId="77777777" w:rsidR="00FD096A" w:rsidRPr="005C3073" w:rsidRDefault="00FD096A" w:rsidP="00F95870">
            <w:pPr>
              <w:keepNext/>
              <w:keepLines/>
              <w:widowControl/>
              <w:spacing w:before="120" w:after="120"/>
              <w:ind w:right="114"/>
              <w:jc w:val="center"/>
              <w:rPr>
                <w:rFonts w:cs="Arial"/>
                <w:b/>
                <w:sz w:val="22"/>
                <w:szCs w:val="22"/>
              </w:rPr>
            </w:pPr>
            <w:r w:rsidRPr="005C3073">
              <w:rPr>
                <w:rFonts w:cs="Arial"/>
                <w:b/>
                <w:sz w:val="22"/>
                <w:szCs w:val="22"/>
              </w:rPr>
              <w:t>Students</w:t>
            </w:r>
          </w:p>
        </w:tc>
        <w:tc>
          <w:tcPr>
            <w:tcW w:w="1368" w:type="dxa"/>
            <w:shd w:val="clear" w:color="auto" w:fill="9CC2E5" w:themeFill="accent1" w:themeFillTint="99"/>
            <w:vAlign w:val="center"/>
          </w:tcPr>
          <w:p w14:paraId="050E0B55" w14:textId="77777777" w:rsidR="00FD096A" w:rsidRPr="005C3073" w:rsidRDefault="00FD096A" w:rsidP="00F95870">
            <w:pPr>
              <w:keepNext/>
              <w:keepLines/>
              <w:widowControl/>
              <w:spacing w:before="120" w:after="120"/>
              <w:ind w:right="40"/>
              <w:jc w:val="center"/>
              <w:rPr>
                <w:rFonts w:cs="Arial"/>
                <w:b/>
                <w:sz w:val="22"/>
                <w:szCs w:val="22"/>
              </w:rPr>
            </w:pPr>
            <w:r w:rsidRPr="005C3073">
              <w:rPr>
                <w:rFonts w:cs="Arial"/>
                <w:b/>
                <w:sz w:val="22"/>
                <w:szCs w:val="22"/>
              </w:rPr>
              <w:t>Grades</w:t>
            </w:r>
          </w:p>
        </w:tc>
        <w:tc>
          <w:tcPr>
            <w:tcW w:w="1710" w:type="dxa"/>
            <w:shd w:val="clear" w:color="auto" w:fill="9CC2E5" w:themeFill="accent1" w:themeFillTint="99"/>
            <w:vAlign w:val="center"/>
          </w:tcPr>
          <w:p w14:paraId="050E0B56" w14:textId="054D692D" w:rsidR="00FD096A" w:rsidRPr="005C3073" w:rsidRDefault="00FD096A" w:rsidP="00F95870">
            <w:pPr>
              <w:keepNext/>
              <w:keepLines/>
              <w:widowControl/>
              <w:spacing w:before="120" w:after="120"/>
              <w:jc w:val="center"/>
              <w:rPr>
                <w:rFonts w:cs="Arial"/>
                <w:b/>
                <w:sz w:val="22"/>
                <w:szCs w:val="22"/>
              </w:rPr>
            </w:pPr>
            <w:r w:rsidRPr="005C3073">
              <w:rPr>
                <w:rFonts w:cs="Arial"/>
                <w:b/>
                <w:sz w:val="22"/>
                <w:szCs w:val="22"/>
              </w:rPr>
              <w:t>Content Area</w:t>
            </w:r>
            <w:r w:rsidR="00C5424C">
              <w:rPr>
                <w:rFonts w:cs="Arial"/>
                <w:b/>
                <w:sz w:val="22"/>
                <w:szCs w:val="22"/>
              </w:rPr>
              <w:t>(</w:t>
            </w:r>
            <w:r w:rsidRPr="005C3073">
              <w:rPr>
                <w:rFonts w:cs="Arial"/>
                <w:b/>
                <w:sz w:val="22"/>
                <w:szCs w:val="22"/>
              </w:rPr>
              <w:t>s</w:t>
            </w:r>
            <w:r w:rsidR="00C5424C">
              <w:rPr>
                <w:rFonts w:cs="Arial"/>
                <w:b/>
                <w:sz w:val="22"/>
                <w:szCs w:val="22"/>
              </w:rPr>
              <w:t>)</w:t>
            </w:r>
          </w:p>
        </w:tc>
      </w:tr>
      <w:tr w:rsidR="00FD096A" w:rsidRPr="005C3073" w14:paraId="050E0B5D" w14:textId="77777777" w:rsidTr="00E358AB">
        <w:trPr>
          <w:cantSplit/>
          <w:trHeight w:val="85"/>
        </w:trPr>
        <w:tc>
          <w:tcPr>
            <w:tcW w:w="2965" w:type="dxa"/>
          </w:tcPr>
          <w:p w14:paraId="050E0B58" w14:textId="03A08400" w:rsidR="00FD096A" w:rsidRPr="00117C5B" w:rsidRDefault="00FD096A" w:rsidP="00F95870">
            <w:pPr>
              <w:keepNext/>
              <w:keepLines/>
              <w:widowControl/>
              <w:spacing w:before="120" w:after="120"/>
              <w:jc w:val="center"/>
              <w:rPr>
                <w:rFonts w:cs="Arial"/>
                <w:snapToGrid/>
                <w:color w:val="000000"/>
                <w:szCs w:val="24"/>
              </w:rPr>
            </w:pPr>
            <w:r w:rsidRPr="00117C5B">
              <w:rPr>
                <w:rFonts w:cs="Arial"/>
                <w:snapToGrid/>
                <w:color w:val="000000"/>
                <w:szCs w:val="24"/>
              </w:rPr>
              <w:t>Smarter Balanced</w:t>
            </w:r>
            <w:r w:rsidR="00FB3671" w:rsidRPr="00117C5B">
              <w:rPr>
                <w:rFonts w:cs="Arial"/>
                <w:snapToGrid/>
                <w:color w:val="000000"/>
                <w:szCs w:val="24"/>
              </w:rPr>
              <w:t xml:space="preserve"> Digital Library</w:t>
            </w:r>
            <w:r w:rsidRPr="00117C5B">
              <w:rPr>
                <w:rFonts w:cs="Arial"/>
                <w:snapToGrid/>
                <w:color w:val="000000"/>
                <w:szCs w:val="24"/>
              </w:rPr>
              <w:t xml:space="preserve"> Formative Assessment </w:t>
            </w:r>
            <w:r w:rsidR="00FD5980" w:rsidRPr="00117C5B">
              <w:rPr>
                <w:rFonts w:cs="Arial"/>
                <w:snapToGrid/>
                <w:color w:val="000000"/>
                <w:szCs w:val="24"/>
              </w:rPr>
              <w:t>T</w:t>
            </w:r>
            <w:r w:rsidRPr="00117C5B">
              <w:rPr>
                <w:rFonts w:cs="Arial"/>
                <w:snapToGrid/>
                <w:color w:val="000000"/>
                <w:szCs w:val="24"/>
              </w:rPr>
              <w:t>ools</w:t>
            </w:r>
            <w:r w:rsidR="00B13A38" w:rsidRPr="00727F1A">
              <w:rPr>
                <w:rFonts w:cs="Arial"/>
                <w:snapToGrid/>
                <w:color w:val="000000"/>
                <w:szCs w:val="24"/>
                <w:vertAlign w:val="superscript"/>
              </w:rPr>
              <w:t>1</w:t>
            </w:r>
          </w:p>
        </w:tc>
        <w:tc>
          <w:tcPr>
            <w:tcW w:w="2070" w:type="dxa"/>
          </w:tcPr>
          <w:p w14:paraId="050E0B59" w14:textId="77777777" w:rsidR="00FD096A" w:rsidRPr="00117C5B" w:rsidRDefault="00FD096A" w:rsidP="00F95870">
            <w:pPr>
              <w:keepNext/>
              <w:keepLines/>
              <w:widowControl/>
              <w:spacing w:before="120" w:after="120"/>
              <w:jc w:val="center"/>
              <w:rPr>
                <w:rFonts w:cs="Arial"/>
                <w:snapToGrid/>
                <w:color w:val="000000"/>
                <w:szCs w:val="24"/>
              </w:rPr>
            </w:pPr>
            <w:r w:rsidRPr="00117C5B">
              <w:rPr>
                <w:rFonts w:cs="Arial"/>
                <w:snapToGrid/>
                <w:color w:val="000000"/>
                <w:szCs w:val="24"/>
              </w:rPr>
              <w:t>N/A</w:t>
            </w:r>
          </w:p>
        </w:tc>
        <w:tc>
          <w:tcPr>
            <w:tcW w:w="1791" w:type="dxa"/>
          </w:tcPr>
          <w:p w14:paraId="050E0B5A" w14:textId="77777777" w:rsidR="00FD096A" w:rsidRPr="00117C5B" w:rsidRDefault="00FD096A" w:rsidP="00F95870">
            <w:pPr>
              <w:keepNext/>
              <w:keepLines/>
              <w:widowControl/>
              <w:spacing w:before="120" w:after="120"/>
              <w:rPr>
                <w:rFonts w:cs="Arial"/>
                <w:snapToGrid/>
                <w:color w:val="000000"/>
                <w:szCs w:val="24"/>
              </w:rPr>
            </w:pPr>
            <w:r w:rsidRPr="00117C5B">
              <w:rPr>
                <w:rFonts w:cs="Arial"/>
                <w:snapToGrid/>
                <w:color w:val="000000"/>
                <w:szCs w:val="24"/>
              </w:rPr>
              <w:t>All students</w:t>
            </w:r>
          </w:p>
        </w:tc>
        <w:tc>
          <w:tcPr>
            <w:tcW w:w="1368" w:type="dxa"/>
          </w:tcPr>
          <w:p w14:paraId="050E0B5B" w14:textId="77777777" w:rsidR="00FD096A" w:rsidRPr="00117C5B" w:rsidRDefault="00FD096A" w:rsidP="00F95870">
            <w:pPr>
              <w:keepNext/>
              <w:keepLines/>
              <w:widowControl/>
              <w:spacing w:before="120" w:after="120"/>
              <w:jc w:val="center"/>
              <w:rPr>
                <w:rFonts w:cs="Arial"/>
                <w:snapToGrid/>
                <w:color w:val="000000"/>
                <w:szCs w:val="24"/>
              </w:rPr>
            </w:pPr>
            <w:r w:rsidRPr="00117C5B">
              <w:rPr>
                <w:rFonts w:cs="Arial"/>
                <w:snapToGrid/>
                <w:color w:val="000000"/>
                <w:szCs w:val="24"/>
              </w:rPr>
              <w:t>K–12</w:t>
            </w:r>
          </w:p>
        </w:tc>
        <w:tc>
          <w:tcPr>
            <w:tcW w:w="1710" w:type="dxa"/>
          </w:tcPr>
          <w:p w14:paraId="050E0B5C" w14:textId="77777777" w:rsidR="00FD096A" w:rsidRPr="00117C5B" w:rsidRDefault="00FD096A" w:rsidP="00F95870">
            <w:pPr>
              <w:keepNext/>
              <w:keepLines/>
              <w:widowControl/>
              <w:spacing w:before="120" w:after="120"/>
              <w:jc w:val="center"/>
              <w:rPr>
                <w:rFonts w:cs="Arial"/>
                <w:snapToGrid/>
                <w:color w:val="000000"/>
                <w:szCs w:val="24"/>
              </w:rPr>
            </w:pPr>
            <w:r w:rsidRPr="00117C5B">
              <w:rPr>
                <w:rFonts w:cs="Arial"/>
                <w:snapToGrid/>
                <w:color w:val="000000"/>
                <w:szCs w:val="24"/>
              </w:rPr>
              <w:t>ELA and mathematics</w:t>
            </w:r>
          </w:p>
        </w:tc>
      </w:tr>
      <w:tr w:rsidR="00FD096A" w:rsidRPr="005C3073" w14:paraId="050E0B63" w14:textId="77777777" w:rsidTr="00E358AB">
        <w:trPr>
          <w:cantSplit/>
          <w:trHeight w:val="551"/>
        </w:trPr>
        <w:tc>
          <w:tcPr>
            <w:tcW w:w="2965" w:type="dxa"/>
          </w:tcPr>
          <w:p w14:paraId="050E0B5E" w14:textId="77777777" w:rsidR="009B3C4E" w:rsidRPr="00117C5B" w:rsidRDefault="00FD096A" w:rsidP="00F95870">
            <w:pPr>
              <w:keepNext/>
              <w:keepLines/>
              <w:widowControl/>
              <w:spacing w:before="120" w:after="120"/>
              <w:jc w:val="center"/>
              <w:rPr>
                <w:rFonts w:cs="Arial"/>
                <w:snapToGrid/>
                <w:color w:val="000000"/>
                <w:szCs w:val="24"/>
              </w:rPr>
            </w:pPr>
            <w:r w:rsidRPr="00117C5B">
              <w:rPr>
                <w:rFonts w:cs="Arial"/>
                <w:snapToGrid/>
                <w:color w:val="000000"/>
                <w:szCs w:val="24"/>
              </w:rPr>
              <w:t>Smarter Balanced Interim</w:t>
            </w:r>
            <w:r w:rsidR="009B3C4E" w:rsidRPr="00117C5B">
              <w:rPr>
                <w:rFonts w:cs="Arial"/>
                <w:snapToGrid/>
                <w:color w:val="000000"/>
                <w:szCs w:val="24"/>
              </w:rPr>
              <w:t xml:space="preserve"> </w:t>
            </w:r>
            <w:r w:rsidRPr="00117C5B">
              <w:rPr>
                <w:rFonts w:cs="Arial"/>
                <w:snapToGrid/>
                <w:color w:val="000000"/>
                <w:szCs w:val="24"/>
              </w:rPr>
              <w:t>Assessments</w:t>
            </w:r>
          </w:p>
        </w:tc>
        <w:tc>
          <w:tcPr>
            <w:tcW w:w="2070" w:type="dxa"/>
          </w:tcPr>
          <w:p w14:paraId="050E0B5F" w14:textId="77777777" w:rsidR="00FD096A" w:rsidRPr="00117C5B" w:rsidRDefault="000520DD" w:rsidP="00F95870">
            <w:pPr>
              <w:keepNext/>
              <w:keepLines/>
              <w:widowControl/>
              <w:spacing w:before="120" w:after="120"/>
              <w:jc w:val="center"/>
              <w:rPr>
                <w:rFonts w:cs="Arial"/>
                <w:snapToGrid/>
                <w:color w:val="000000"/>
                <w:szCs w:val="24"/>
              </w:rPr>
            </w:pPr>
            <w:r w:rsidRPr="00D23670">
              <w:rPr>
                <w:rFonts w:cs="Arial"/>
                <w:snapToGrid/>
                <w:color w:val="000000"/>
                <w:szCs w:val="24"/>
              </w:rPr>
              <w:t xml:space="preserve">Computer-based </w:t>
            </w:r>
            <w:r w:rsidRPr="00D23670">
              <w:rPr>
                <w:rFonts w:cs="Arial"/>
                <w:snapToGrid/>
                <w:color w:val="000000"/>
                <w:szCs w:val="24"/>
              </w:rPr>
              <w:br/>
              <w:t>test</w:t>
            </w:r>
          </w:p>
        </w:tc>
        <w:tc>
          <w:tcPr>
            <w:tcW w:w="1791" w:type="dxa"/>
          </w:tcPr>
          <w:p w14:paraId="050E0B60" w14:textId="77777777" w:rsidR="00FD096A" w:rsidRPr="00117C5B" w:rsidRDefault="00FD096A" w:rsidP="00F95870">
            <w:pPr>
              <w:keepNext/>
              <w:keepLines/>
              <w:widowControl/>
              <w:spacing w:before="120" w:after="120"/>
              <w:rPr>
                <w:rFonts w:cs="Arial"/>
                <w:snapToGrid/>
                <w:color w:val="000000"/>
                <w:szCs w:val="24"/>
              </w:rPr>
            </w:pPr>
            <w:r w:rsidRPr="00117C5B">
              <w:rPr>
                <w:rFonts w:cs="Arial"/>
                <w:snapToGrid/>
                <w:color w:val="000000"/>
                <w:szCs w:val="24"/>
              </w:rPr>
              <w:t>All students</w:t>
            </w:r>
          </w:p>
        </w:tc>
        <w:tc>
          <w:tcPr>
            <w:tcW w:w="1368" w:type="dxa"/>
          </w:tcPr>
          <w:p w14:paraId="050E0B61" w14:textId="77777777" w:rsidR="00FD096A" w:rsidRPr="00117C5B" w:rsidRDefault="00FD096A" w:rsidP="00F95870">
            <w:pPr>
              <w:keepNext/>
              <w:keepLines/>
              <w:widowControl/>
              <w:spacing w:before="120" w:after="120"/>
              <w:jc w:val="center"/>
              <w:rPr>
                <w:rFonts w:cs="Arial"/>
                <w:snapToGrid/>
                <w:color w:val="000000"/>
                <w:szCs w:val="24"/>
              </w:rPr>
            </w:pPr>
            <w:r w:rsidRPr="00117C5B">
              <w:rPr>
                <w:rFonts w:eastAsia="Calibri" w:cs="Arial"/>
                <w:snapToGrid/>
                <w:szCs w:val="24"/>
              </w:rPr>
              <w:t>K–12</w:t>
            </w:r>
          </w:p>
        </w:tc>
        <w:tc>
          <w:tcPr>
            <w:tcW w:w="1710" w:type="dxa"/>
          </w:tcPr>
          <w:p w14:paraId="050E0B62" w14:textId="77777777" w:rsidR="00FD096A" w:rsidRPr="00117C5B" w:rsidRDefault="00FD096A" w:rsidP="00F95870">
            <w:pPr>
              <w:keepNext/>
              <w:keepLines/>
              <w:widowControl/>
              <w:spacing w:before="120" w:after="120"/>
              <w:jc w:val="center"/>
              <w:rPr>
                <w:rFonts w:cs="Arial"/>
                <w:snapToGrid/>
                <w:color w:val="000000"/>
                <w:szCs w:val="24"/>
              </w:rPr>
            </w:pPr>
            <w:r w:rsidRPr="00117C5B">
              <w:rPr>
                <w:rFonts w:cs="Arial"/>
                <w:snapToGrid/>
                <w:color w:val="000000"/>
                <w:szCs w:val="24"/>
              </w:rPr>
              <w:t>ELA and mathematics</w:t>
            </w:r>
          </w:p>
        </w:tc>
      </w:tr>
    </w:tbl>
    <w:p w14:paraId="050E0B6A" w14:textId="3FF4A514" w:rsidR="00AD1895" w:rsidRPr="007C23FF" w:rsidRDefault="00B13A38" w:rsidP="00727F1A">
      <w:pPr>
        <w:pStyle w:val="ListParagraph"/>
        <w:widowControl/>
        <w:tabs>
          <w:tab w:val="left" w:pos="540"/>
        </w:tabs>
        <w:spacing w:before="120"/>
        <w:ind w:left="0"/>
        <w:rPr>
          <w:rFonts w:cs="Arial"/>
        </w:rPr>
      </w:pPr>
      <w:r w:rsidRPr="007C23FF">
        <w:rPr>
          <w:rFonts w:cs="Arial"/>
          <w:vertAlign w:val="superscript"/>
        </w:rPr>
        <w:t>1</w:t>
      </w:r>
      <w:r w:rsidR="00C664C6" w:rsidRPr="007C23FF">
        <w:rPr>
          <w:rFonts w:cs="Arial"/>
        </w:rPr>
        <w:t xml:space="preserve">Replaced by Tools for Teachers in </w:t>
      </w:r>
      <w:r w:rsidR="00D9401E" w:rsidRPr="007C23FF">
        <w:rPr>
          <w:rFonts w:cs="Arial"/>
        </w:rPr>
        <w:t>June</w:t>
      </w:r>
      <w:r w:rsidR="00C664C6" w:rsidRPr="007C23FF">
        <w:rPr>
          <w:rFonts w:cs="Arial"/>
        </w:rPr>
        <w:t xml:space="preserve"> 2020</w:t>
      </w:r>
      <w:r w:rsidR="0072732F" w:rsidRPr="007C23FF">
        <w:rPr>
          <w:rFonts w:cs="Arial"/>
        </w:rPr>
        <w:t>.</w:t>
      </w:r>
      <w:r w:rsidR="00AD1895" w:rsidRPr="007C23FF">
        <w:rPr>
          <w:rFonts w:cs="Arial"/>
        </w:rPr>
        <w:br w:type="page"/>
      </w:r>
    </w:p>
    <w:p w14:paraId="050E0B6B" w14:textId="309E8854" w:rsidR="00EB000A" w:rsidRDefault="00EB000A" w:rsidP="00F95870">
      <w:pPr>
        <w:pStyle w:val="Heading2"/>
      </w:pPr>
      <w:bookmarkStart w:id="4" w:name="_Toc2346298"/>
      <w:bookmarkStart w:id="5" w:name="_Toc43122195"/>
      <w:r w:rsidRPr="005C3073">
        <w:lastRenderedPageBreak/>
        <w:t>Implementation Update</w:t>
      </w:r>
      <w:bookmarkEnd w:id="4"/>
      <w:bookmarkEnd w:id="5"/>
    </w:p>
    <w:p w14:paraId="050E0B6E" w14:textId="77777777" w:rsidR="00EB000A" w:rsidRPr="00C22E49" w:rsidRDefault="003B2EC1" w:rsidP="00F95870">
      <w:pPr>
        <w:pStyle w:val="Heading3"/>
        <w:widowControl/>
        <w:rPr>
          <w:b/>
          <w:i w:val="0"/>
          <w:sz w:val="28"/>
          <w:szCs w:val="28"/>
        </w:rPr>
      </w:pPr>
      <w:bookmarkStart w:id="6" w:name="_Toc2346299"/>
      <w:bookmarkStart w:id="7" w:name="_Toc43122196"/>
      <w:r w:rsidRPr="00C22E49">
        <w:rPr>
          <w:b/>
          <w:i w:val="0"/>
          <w:sz w:val="28"/>
          <w:szCs w:val="28"/>
        </w:rPr>
        <w:t>Content Standards</w:t>
      </w:r>
      <w:bookmarkEnd w:id="6"/>
      <w:bookmarkEnd w:id="7"/>
    </w:p>
    <w:p w14:paraId="050E0B6F" w14:textId="77A63262" w:rsidR="003B2EC1" w:rsidRPr="005C3073" w:rsidRDefault="00091352" w:rsidP="00F95870">
      <w:pPr>
        <w:widowControl/>
        <w:rPr>
          <w:b/>
        </w:rPr>
      </w:pPr>
      <w:r>
        <w:t>There were n</w:t>
      </w:r>
      <w:r w:rsidR="00AA674C" w:rsidRPr="005C3073">
        <w:t>o changes for this reporting period.</w:t>
      </w:r>
      <w:r w:rsidR="00F02B31" w:rsidRPr="005C3073">
        <w:t xml:space="preserve"> </w:t>
      </w:r>
    </w:p>
    <w:p w14:paraId="050E0B70" w14:textId="419C944A" w:rsidR="00EB000A" w:rsidRPr="00C22E49" w:rsidRDefault="008C048E" w:rsidP="00F95870">
      <w:pPr>
        <w:pStyle w:val="Heading3"/>
        <w:widowControl/>
        <w:rPr>
          <w:b/>
          <w:i w:val="0"/>
          <w:sz w:val="28"/>
          <w:szCs w:val="28"/>
        </w:rPr>
      </w:pPr>
      <w:bookmarkStart w:id="8" w:name="_Toc2346300"/>
      <w:bookmarkStart w:id="9" w:name="_Toc43122197"/>
      <w:r w:rsidRPr="00C22E49">
        <w:rPr>
          <w:b/>
          <w:i w:val="0"/>
          <w:sz w:val="28"/>
          <w:szCs w:val="28"/>
        </w:rPr>
        <w:t xml:space="preserve">Periodic Updates of Assessment </w:t>
      </w:r>
      <w:bookmarkEnd w:id="8"/>
      <w:r w:rsidR="006B4271" w:rsidRPr="00C22E49">
        <w:rPr>
          <w:b/>
          <w:i w:val="0"/>
          <w:sz w:val="28"/>
          <w:szCs w:val="28"/>
        </w:rPr>
        <w:t>Developments</w:t>
      </w:r>
      <w:bookmarkEnd w:id="9"/>
    </w:p>
    <w:p w14:paraId="050E0B71" w14:textId="282E5C80" w:rsidR="000D595A" w:rsidRPr="005C3073" w:rsidRDefault="70F6452C" w:rsidP="338B0556">
      <w:pPr>
        <w:widowControl/>
        <w:rPr>
          <w:b/>
          <w:bCs/>
        </w:rPr>
      </w:pPr>
      <w:r>
        <w:t>The 20</w:t>
      </w:r>
      <w:r w:rsidR="4C29B48A">
        <w:t>20</w:t>
      </w:r>
      <w:r w:rsidR="43A1281F">
        <w:t xml:space="preserve"> activities </w:t>
      </w:r>
      <w:r w:rsidR="4C398EE5">
        <w:t xml:space="preserve">carried out </w:t>
      </w:r>
      <w:r w:rsidR="43A1281F">
        <w:t xml:space="preserve">in support of periodic updates of assessment </w:t>
      </w:r>
      <w:r w:rsidR="29A8010E">
        <w:t>developments</w:t>
      </w:r>
      <w:r w:rsidR="43A1281F">
        <w:t xml:space="preserve"> were as follows:</w:t>
      </w:r>
    </w:p>
    <w:p w14:paraId="510EC21C" w14:textId="64814BE3" w:rsidR="00292A83" w:rsidRDefault="6B427137" w:rsidP="00267550">
      <w:pPr>
        <w:pStyle w:val="ListParagraph"/>
        <w:numPr>
          <w:ilvl w:val="0"/>
          <w:numId w:val="27"/>
        </w:numPr>
      </w:pPr>
      <w:r>
        <w:t xml:space="preserve">In January, the CDE provided the SBE with information for approval of the revisions to the </w:t>
      </w:r>
      <w:r w:rsidR="347FC636">
        <w:t>CAST</w:t>
      </w:r>
      <w:r>
        <w:t xml:space="preserve"> Blueprint and an update on program activities.</w:t>
      </w:r>
    </w:p>
    <w:p w14:paraId="2260D225" w14:textId="4F492672" w:rsidR="00795192" w:rsidRPr="00F1386B" w:rsidRDefault="6B427137" w:rsidP="00AC6C10">
      <w:pPr>
        <w:pStyle w:val="ListParagraph"/>
        <w:numPr>
          <w:ilvl w:val="0"/>
          <w:numId w:val="27"/>
        </w:numPr>
        <w:rPr>
          <w:rFonts w:cs="Arial"/>
          <w:color w:val="000000"/>
        </w:rPr>
      </w:pPr>
      <w:r>
        <w:t xml:space="preserve">In February, </w:t>
      </w:r>
      <w:r w:rsidR="03FED0E9">
        <w:t>t</w:t>
      </w:r>
      <w:r>
        <w:t xml:space="preserve">he CDE sought approval from the SBE </w:t>
      </w:r>
      <w:r w:rsidRPr="3FB95C47">
        <w:rPr>
          <w:rFonts w:cs="Arial"/>
          <w:color w:val="000000" w:themeColor="text1"/>
        </w:rPr>
        <w:t>of the proposed 2019</w:t>
      </w:r>
      <w:r w:rsidRPr="3FB95C47">
        <w:rPr>
          <w:rFonts w:ascii="Symbol" w:eastAsia="Symbol" w:hAnsi="Symbol" w:cs="Symbol"/>
        </w:rPr>
        <w:t></w:t>
      </w:r>
      <w:r w:rsidRPr="3FB95C47">
        <w:rPr>
          <w:rFonts w:cs="Arial"/>
          <w:color w:val="000000" w:themeColor="text1"/>
        </w:rPr>
        <w:t>2020 apportionment rates for the CAASPP. The CDE also provided an update on assessment program activities with details on CAASPP test administration, federal peer review submission, and CAASPP program contract procurement.</w:t>
      </w:r>
    </w:p>
    <w:p w14:paraId="47EAE0DA" w14:textId="167F3CE9" w:rsidR="00566330" w:rsidRDefault="03FED0E9" w:rsidP="00AC6C10">
      <w:pPr>
        <w:pStyle w:val="ListParagraph"/>
        <w:numPr>
          <w:ilvl w:val="0"/>
          <w:numId w:val="27"/>
        </w:numPr>
      </w:pPr>
      <w:r>
        <w:t>In February, the CDE sought approval from the SBE to update the Golden State Seal Merit Diploma</w:t>
      </w:r>
      <w:r w:rsidR="7B3BAB05">
        <w:t xml:space="preserve"> (GSSMD)</w:t>
      </w:r>
      <w:r>
        <w:t xml:space="preserve"> eligibility criteria, specifying criteria for students to demonstrate mastery of </w:t>
      </w:r>
      <w:r w:rsidR="347FC636">
        <w:t xml:space="preserve">the </w:t>
      </w:r>
      <w:r>
        <w:t>science curriculum</w:t>
      </w:r>
      <w:r w:rsidR="347FC636">
        <w:t>,</w:t>
      </w:r>
      <w:r>
        <w:t xml:space="preserve"> using the CAST results to award the GSSMD</w:t>
      </w:r>
      <w:r w:rsidR="7B3BAB05">
        <w:t xml:space="preserve"> for graduating students effective March 2020.</w:t>
      </w:r>
    </w:p>
    <w:p w14:paraId="01E78AD0" w14:textId="7FE8F656" w:rsidR="002958D6" w:rsidRPr="00566330" w:rsidRDefault="32683413" w:rsidP="00267550">
      <w:pPr>
        <w:pStyle w:val="ListParagraph"/>
        <w:numPr>
          <w:ilvl w:val="0"/>
          <w:numId w:val="27"/>
        </w:numPr>
        <w:rPr>
          <w:rFonts w:ascii="Helvetica Neue" w:hAnsi="Helvetica Neue" w:cs="Arial"/>
          <w:snapToGrid/>
          <w:color w:val="000000"/>
          <w:sz w:val="21"/>
          <w:szCs w:val="21"/>
          <w:lang w:val="en"/>
        </w:rPr>
      </w:pPr>
      <w:r>
        <w:t>In February, the CDE provided reports to the SBE</w:t>
      </w:r>
      <w:r w:rsidRPr="3FB95C47">
        <w:rPr>
          <w:rFonts w:ascii="Helvetica Neue" w:hAnsi="Helvetica Neue" w:cs="Arial"/>
          <w:color w:val="000000" w:themeColor="text1"/>
          <w:sz w:val="21"/>
          <w:szCs w:val="21"/>
          <w:lang w:val="en"/>
        </w:rPr>
        <w:t xml:space="preserve"> </w:t>
      </w:r>
      <w:r w:rsidRPr="3FB95C47">
        <w:rPr>
          <w:rFonts w:cs="Arial"/>
          <w:color w:val="000000" w:themeColor="text1"/>
          <w:lang w:val="en"/>
        </w:rPr>
        <w:t xml:space="preserve">on the </w:t>
      </w:r>
      <w:r w:rsidR="7C467B7D" w:rsidRPr="3FB95C47">
        <w:rPr>
          <w:rFonts w:cs="Arial"/>
          <w:color w:val="000000" w:themeColor="text1"/>
          <w:lang w:val="en"/>
        </w:rPr>
        <w:t>California Assessment System feedback, an update on the 2018</w:t>
      </w:r>
      <w:r w:rsidR="3B3EE3A1" w:rsidRPr="3FB95C47">
        <w:rPr>
          <w:rFonts w:cs="Arial"/>
        </w:rPr>
        <w:t>–</w:t>
      </w:r>
      <w:r w:rsidR="0F57B3E0" w:rsidRPr="3FB95C47">
        <w:rPr>
          <w:rFonts w:cs="Arial"/>
        </w:rPr>
        <w:t>20</w:t>
      </w:r>
      <w:r w:rsidR="7C467B7D" w:rsidRPr="3FB95C47">
        <w:rPr>
          <w:rFonts w:cs="Arial"/>
          <w:color w:val="000000" w:themeColor="text1"/>
          <w:lang w:val="en"/>
        </w:rPr>
        <w:t xml:space="preserve">19 public release for the </w:t>
      </w:r>
      <w:r w:rsidR="198DA241" w:rsidRPr="3FB95C47">
        <w:rPr>
          <w:rFonts w:cs="Arial"/>
          <w:color w:val="000000" w:themeColor="text1"/>
          <w:lang w:val="en"/>
        </w:rPr>
        <w:t>CAST</w:t>
      </w:r>
      <w:r w:rsidR="7C467B7D" w:rsidRPr="3FB95C47">
        <w:rPr>
          <w:rFonts w:cs="Arial"/>
          <w:color w:val="000000" w:themeColor="text1"/>
          <w:lang w:val="en"/>
        </w:rPr>
        <w:t xml:space="preserve"> and the </w:t>
      </w:r>
      <w:r w:rsidR="28357CFB" w:rsidRPr="3FB95C47">
        <w:rPr>
          <w:rFonts w:cs="Arial"/>
          <w:color w:val="000000" w:themeColor="text1"/>
          <w:lang w:val="en"/>
        </w:rPr>
        <w:t>p</w:t>
      </w:r>
      <w:r w:rsidR="7C467B7D" w:rsidRPr="3FB95C47">
        <w:rPr>
          <w:rFonts w:cs="Arial"/>
          <w:color w:val="000000" w:themeColor="text1"/>
          <w:lang w:val="en"/>
        </w:rPr>
        <w:t xml:space="preserve">reliminary indicators for the </w:t>
      </w:r>
      <w:r w:rsidR="28357CFB" w:rsidRPr="3FB95C47">
        <w:rPr>
          <w:rFonts w:cs="Arial"/>
          <w:color w:val="000000" w:themeColor="text1"/>
          <w:lang w:val="en"/>
        </w:rPr>
        <w:t xml:space="preserve">CAA </w:t>
      </w:r>
      <w:r w:rsidR="7C467B7D" w:rsidRPr="3FB95C47">
        <w:rPr>
          <w:rFonts w:cs="Arial"/>
          <w:color w:val="000000" w:themeColor="text1"/>
          <w:lang w:val="en"/>
        </w:rPr>
        <w:t xml:space="preserve">for Science, and updates on the grade six scoring and reporting for the CAASPP </w:t>
      </w:r>
      <w:r w:rsidR="28357CFB" w:rsidRPr="3FB95C47">
        <w:rPr>
          <w:rFonts w:cs="Arial"/>
          <w:color w:val="000000" w:themeColor="text1"/>
          <w:lang w:val="en"/>
        </w:rPr>
        <w:t>ELA</w:t>
      </w:r>
      <w:r w:rsidR="7C467B7D" w:rsidRPr="3FB95C47">
        <w:rPr>
          <w:rFonts w:cs="Arial"/>
          <w:color w:val="000000" w:themeColor="text1"/>
          <w:lang w:val="en"/>
        </w:rPr>
        <w:t xml:space="preserve"> assessment</w:t>
      </w:r>
      <w:r w:rsidR="767947EE" w:rsidRPr="3FB95C47">
        <w:rPr>
          <w:rFonts w:cs="Arial"/>
          <w:color w:val="000000" w:themeColor="text1"/>
          <w:lang w:val="en"/>
        </w:rPr>
        <w:t>, as follows</w:t>
      </w:r>
      <w:r w:rsidR="7C467B7D" w:rsidRPr="3FB95C47">
        <w:rPr>
          <w:rFonts w:cs="Arial"/>
          <w:color w:val="000000" w:themeColor="text1"/>
          <w:lang w:val="en"/>
        </w:rPr>
        <w:t>:</w:t>
      </w:r>
    </w:p>
    <w:p w14:paraId="67664035" w14:textId="7A7359CA" w:rsidR="0070278F" w:rsidRDefault="32683413" w:rsidP="00267550">
      <w:pPr>
        <w:pStyle w:val="ListParagraph"/>
        <w:widowControl/>
        <w:numPr>
          <w:ilvl w:val="0"/>
          <w:numId w:val="35"/>
        </w:numPr>
        <w:shd w:val="clear" w:color="auto" w:fill="FFFFFF"/>
        <w:spacing w:before="100" w:beforeAutospacing="1"/>
        <w:ind w:left="1440"/>
        <w:rPr>
          <w:rFonts w:cs="Arial"/>
          <w:color w:val="000000"/>
          <w:lang w:val="en"/>
        </w:rPr>
      </w:pPr>
      <w:hyperlink r:id="rId18" w:tooltip="2019–20 Assessment Coordinators Survey Results Report">
        <w:r w:rsidRPr="3FB95C47">
          <w:rPr>
            <w:rStyle w:val="Hyperlink"/>
            <w:rFonts w:cs="Arial"/>
            <w:lang w:val="en"/>
          </w:rPr>
          <w:t>2019–20 Assessment Coordinators Survey Results Report, January 2020</w:t>
        </w:r>
        <w:r w:rsidRPr="3FB95C47">
          <w:rPr>
            <w:rStyle w:val="linknotation"/>
            <w:rFonts w:cs="Arial"/>
            <w:color w:val="0000FF"/>
            <w:u w:val="single"/>
            <w:lang w:val="en"/>
          </w:rPr>
          <w:t xml:space="preserve"> (PDF; </w:t>
        </w:r>
        <w:r w:rsidRPr="0009743F">
          <w:rPr>
            <w:rStyle w:val="Strong"/>
            <w:rFonts w:cs="Arial"/>
            <w:b w:val="0"/>
            <w:color w:val="0000FF"/>
            <w:u w:val="single"/>
            <w:lang w:val="en"/>
          </w:rPr>
          <w:t>Posted</w:t>
        </w:r>
        <w:r w:rsidRPr="3FB95C47">
          <w:rPr>
            <w:rStyle w:val="linknotation"/>
            <w:rFonts w:cs="Arial"/>
            <w:color w:val="0000FF"/>
            <w:u w:val="single"/>
            <w:lang w:val="en"/>
          </w:rPr>
          <w:t xml:space="preserve"> 14-Feb-2020)</w:t>
        </w:r>
      </w:hyperlink>
    </w:p>
    <w:p w14:paraId="4D038CC6" w14:textId="230181F4" w:rsidR="0070278F" w:rsidRDefault="32683413" w:rsidP="00267550">
      <w:pPr>
        <w:pStyle w:val="ListParagraph"/>
        <w:widowControl/>
        <w:numPr>
          <w:ilvl w:val="0"/>
          <w:numId w:val="35"/>
        </w:numPr>
        <w:shd w:val="clear" w:color="auto" w:fill="FFFFFF"/>
        <w:spacing w:before="100" w:beforeAutospacing="1"/>
        <w:ind w:left="1440"/>
        <w:rPr>
          <w:rFonts w:cs="Arial"/>
          <w:color w:val="000000"/>
          <w:lang w:val="en"/>
        </w:rPr>
      </w:pPr>
      <w:hyperlink r:id="rId19" w:tooltip="2019 California Assessment Conference Post-Conference Report">
        <w:r w:rsidRPr="3FB95C47">
          <w:rPr>
            <w:rStyle w:val="Hyperlink"/>
            <w:rFonts w:cs="Arial"/>
            <w:lang w:val="en"/>
          </w:rPr>
          <w:t>2019 California Assessment Conference Post-Conference Report, January 2020</w:t>
        </w:r>
        <w:r w:rsidRPr="3FB95C47">
          <w:rPr>
            <w:rStyle w:val="linknotation"/>
            <w:rFonts w:cs="Arial"/>
            <w:color w:val="0000FF"/>
            <w:u w:val="single"/>
            <w:lang w:val="en"/>
          </w:rPr>
          <w:t xml:space="preserve"> (PDF; </w:t>
        </w:r>
        <w:r w:rsidRPr="0009743F">
          <w:rPr>
            <w:rStyle w:val="Strong"/>
            <w:rFonts w:cs="Arial"/>
            <w:b w:val="0"/>
            <w:color w:val="0000FF"/>
            <w:u w:val="single"/>
            <w:lang w:val="en"/>
          </w:rPr>
          <w:t>Posted</w:t>
        </w:r>
        <w:r w:rsidRPr="3FB95C47">
          <w:rPr>
            <w:rStyle w:val="linknotation"/>
            <w:rFonts w:cs="Arial"/>
            <w:color w:val="0000FF"/>
            <w:u w:val="single"/>
            <w:lang w:val="en"/>
          </w:rPr>
          <w:t xml:space="preserve"> 14-Feb-2020)</w:t>
        </w:r>
      </w:hyperlink>
    </w:p>
    <w:p w14:paraId="4B67A7C8" w14:textId="3A86B092" w:rsidR="002958D6" w:rsidRPr="0070278F" w:rsidRDefault="7C467B7D" w:rsidP="00267550">
      <w:pPr>
        <w:pStyle w:val="ListParagraph"/>
        <w:widowControl/>
        <w:numPr>
          <w:ilvl w:val="0"/>
          <w:numId w:val="35"/>
        </w:numPr>
        <w:shd w:val="clear" w:color="auto" w:fill="FFFFFF"/>
        <w:spacing w:before="100" w:beforeAutospacing="1"/>
        <w:ind w:left="1440"/>
        <w:rPr>
          <w:rFonts w:cs="Arial"/>
          <w:color w:val="000000"/>
          <w:lang w:val="en"/>
        </w:rPr>
      </w:pPr>
      <w:hyperlink r:id="rId20" w:tooltip="Update on 2018–19 Public Releases for the California Science Test, California Spanish Assessment, and the Preliminary Indicators for the California Alternate Assessment for Science">
        <w:r w:rsidRPr="3FB95C47">
          <w:rPr>
            <w:rStyle w:val="Hyperlink"/>
            <w:rFonts w:cs="Arial"/>
            <w:lang w:val="en"/>
          </w:rPr>
          <w:t>Update on 2018–19 Public Releases for the California Science Test, California Spanish Assessment, and the Preliminary Indicators for the California Alternate Assessment for Science</w:t>
        </w:r>
        <w:r w:rsidRPr="3FB95C47">
          <w:rPr>
            <w:rStyle w:val="linknotation"/>
            <w:rFonts w:cs="Arial"/>
            <w:color w:val="0000FF"/>
            <w:u w:val="single"/>
            <w:lang w:val="en"/>
          </w:rPr>
          <w:t xml:space="preserve"> (DOCX; </w:t>
        </w:r>
        <w:r w:rsidRPr="0009743F">
          <w:rPr>
            <w:rStyle w:val="Strong"/>
            <w:rFonts w:cs="Arial"/>
            <w:b w:val="0"/>
            <w:color w:val="0000FF"/>
            <w:u w:val="single"/>
            <w:lang w:val="en"/>
          </w:rPr>
          <w:t>Posted</w:t>
        </w:r>
        <w:r w:rsidRPr="3FB95C47">
          <w:rPr>
            <w:rStyle w:val="linknotation"/>
            <w:rFonts w:cs="Arial"/>
            <w:color w:val="0000FF"/>
            <w:u w:val="single"/>
            <w:lang w:val="en"/>
          </w:rPr>
          <w:t xml:space="preserve"> 14-Feb-2020)</w:t>
        </w:r>
      </w:hyperlink>
    </w:p>
    <w:p w14:paraId="32F1E659" w14:textId="558D37F5" w:rsidR="00274459" w:rsidRPr="002958D6" w:rsidRDefault="7C467B7D" w:rsidP="00267550">
      <w:pPr>
        <w:widowControl/>
        <w:numPr>
          <w:ilvl w:val="0"/>
          <w:numId w:val="35"/>
        </w:numPr>
        <w:shd w:val="clear" w:color="auto" w:fill="FFFFFF"/>
        <w:spacing w:before="100" w:beforeAutospacing="1" w:after="100" w:afterAutospacing="1"/>
        <w:ind w:left="1440"/>
        <w:rPr>
          <w:rFonts w:cs="Arial"/>
          <w:snapToGrid/>
          <w:color w:val="000000"/>
          <w:lang w:val="en"/>
        </w:rPr>
      </w:pPr>
      <w:hyperlink r:id="rId21" w:tooltip="2018–19 California Assessment of Student Performance and Progress English Language Arts/Literacy: Notification and Update on Grade Six Scoring and Reporting">
        <w:r w:rsidRPr="3FB95C47">
          <w:rPr>
            <w:rStyle w:val="Hyperlink"/>
            <w:rFonts w:cs="Arial"/>
            <w:lang w:val="en"/>
          </w:rPr>
          <w:t>2018–19 California Assessment of Student Performance and Progress English Language Arts/Literacy: Notification and Update on Grade Six Scoring and Reporting</w:t>
        </w:r>
        <w:r w:rsidRPr="3FB95C47">
          <w:rPr>
            <w:rStyle w:val="linknotation"/>
            <w:rFonts w:cs="Arial"/>
            <w:color w:val="0000FF"/>
            <w:u w:val="single"/>
            <w:lang w:val="en"/>
          </w:rPr>
          <w:t xml:space="preserve"> (DOCX; </w:t>
        </w:r>
        <w:r w:rsidRPr="0009743F">
          <w:rPr>
            <w:rStyle w:val="Strong"/>
            <w:rFonts w:cs="Arial"/>
            <w:b w:val="0"/>
            <w:color w:val="0000FF"/>
            <w:u w:val="single"/>
            <w:lang w:val="en"/>
          </w:rPr>
          <w:t>Posted</w:t>
        </w:r>
        <w:r w:rsidRPr="0009743F">
          <w:rPr>
            <w:rStyle w:val="linknotation"/>
            <w:rFonts w:cs="Arial"/>
            <w:b/>
            <w:color w:val="0000FF"/>
            <w:u w:val="single"/>
            <w:lang w:val="en"/>
          </w:rPr>
          <w:t xml:space="preserve"> </w:t>
        </w:r>
        <w:r w:rsidRPr="3FB95C47">
          <w:rPr>
            <w:rStyle w:val="linknotation"/>
            <w:rFonts w:cs="Arial"/>
            <w:color w:val="0000FF"/>
            <w:u w:val="single"/>
            <w:lang w:val="en"/>
          </w:rPr>
          <w:t>14-Feb-2020)</w:t>
        </w:r>
      </w:hyperlink>
    </w:p>
    <w:p w14:paraId="5E130142" w14:textId="4454BB3B" w:rsidR="00062FC8" w:rsidRDefault="7B3BAB05" w:rsidP="00267550">
      <w:pPr>
        <w:pStyle w:val="ListParagraph"/>
        <w:numPr>
          <w:ilvl w:val="0"/>
          <w:numId w:val="27"/>
        </w:numPr>
      </w:pPr>
      <w:r>
        <w:t xml:space="preserve">In March, the CDE </w:t>
      </w:r>
      <w:r w:rsidRPr="00ED0D97">
        <w:rPr>
          <w:rFonts w:cs="Arial"/>
          <w:color w:val="000000" w:themeColor="text1"/>
        </w:rPr>
        <w:t>provide</w:t>
      </w:r>
      <w:r>
        <w:rPr>
          <w:rFonts w:cs="Arial"/>
          <w:color w:val="000000" w:themeColor="text1"/>
        </w:rPr>
        <w:t>d</w:t>
      </w:r>
      <w:r w:rsidRPr="00ED0D97">
        <w:rPr>
          <w:rFonts w:cs="Arial"/>
          <w:color w:val="000000" w:themeColor="text1"/>
        </w:rPr>
        <w:t xml:space="preserve"> a summary of developments and updates related to the </w:t>
      </w:r>
      <w:r w:rsidR="006D5C07">
        <w:rPr>
          <w:rFonts w:cs="Arial"/>
          <w:color w:val="000000" w:themeColor="text1"/>
        </w:rPr>
        <w:t>CAASPP</w:t>
      </w:r>
      <w:r w:rsidR="00C22E49">
        <w:rPr>
          <w:rFonts w:cs="Arial"/>
          <w:color w:val="000000" w:themeColor="text1"/>
        </w:rPr>
        <w:t>,</w:t>
      </w:r>
      <w:r w:rsidR="006D5C07">
        <w:rPr>
          <w:rFonts w:cs="Arial"/>
          <w:color w:val="000000" w:themeColor="text1"/>
        </w:rPr>
        <w:t xml:space="preserve"> </w:t>
      </w:r>
      <w:r w:rsidRPr="00ED0D97">
        <w:t xml:space="preserve">including Governor Newsom’s executive orders and California’s </w:t>
      </w:r>
      <w:r w:rsidRPr="00ED0D97">
        <w:lastRenderedPageBreak/>
        <w:t>submission of a federal waiver related to 2019</w:t>
      </w:r>
      <w:r w:rsidRPr="00ED0D97">
        <w:rPr>
          <w:rFonts w:cs="Arial"/>
          <w:color w:val="000000"/>
          <w:bdr w:val="none" w:sz="0" w:space="0" w:color="auto" w:frame="1"/>
        </w:rPr>
        <w:t>–</w:t>
      </w:r>
      <w:r w:rsidRPr="00ED0D97">
        <w:t xml:space="preserve">2020 testing requirements, the 2019 CAST Alignment Study, Smarter Balanced Assessment Consortium (Smarter Balanced) Interim Assessment availability to support distance learning, Smarter Balanced Tools for Teachers launch, and the development of formative assessment resources for science. </w:t>
      </w:r>
    </w:p>
    <w:p w14:paraId="66574505" w14:textId="65141432" w:rsidR="002958D6" w:rsidRDefault="7C467B7D" w:rsidP="00267550">
      <w:pPr>
        <w:pStyle w:val="ListParagraph"/>
        <w:numPr>
          <w:ilvl w:val="0"/>
          <w:numId w:val="27"/>
        </w:numPr>
      </w:pPr>
      <w:r>
        <w:t>In April, the CDE provided memoranda to the SBE on the participation rate for the California Alternate Assessments and the Spanish Assessment score interpretation study:</w:t>
      </w:r>
    </w:p>
    <w:p w14:paraId="67825FDE" w14:textId="2B211102" w:rsidR="002958D6" w:rsidRPr="002958D6" w:rsidRDefault="7C467B7D" w:rsidP="00267550">
      <w:pPr>
        <w:widowControl/>
        <w:numPr>
          <w:ilvl w:val="1"/>
          <w:numId w:val="36"/>
        </w:numPr>
        <w:shd w:val="clear" w:color="auto" w:fill="FFFFFF"/>
        <w:spacing w:before="100" w:beforeAutospacing="1"/>
        <w:rPr>
          <w:rFonts w:cs="Arial"/>
          <w:color w:val="000000"/>
          <w:lang w:val="en"/>
        </w:rPr>
      </w:pPr>
      <w:hyperlink r:id="rId22" w:tooltip="California Alternate Assessments: Exceeding the 1.0 Percent Threshold, and Less than 95 Percent Participation Rate for Students with Disabilities ">
        <w:r w:rsidRPr="3FB95C47">
          <w:rPr>
            <w:rStyle w:val="Hyperlink"/>
            <w:rFonts w:cs="Arial"/>
            <w:lang w:val="en"/>
          </w:rPr>
          <w:t>California Alternate Assessments: Exceeding the 1.0 Percent Threshold, and Less than 95 Percent Participation Rate for Students with Disabilities</w:t>
        </w:r>
        <w:r w:rsidRPr="3FB95C47">
          <w:rPr>
            <w:rStyle w:val="linknotation"/>
            <w:rFonts w:cs="Arial"/>
            <w:color w:val="0000FF"/>
            <w:u w:val="single"/>
            <w:lang w:val="en"/>
          </w:rPr>
          <w:t xml:space="preserve"> (DOCX; </w:t>
        </w:r>
        <w:r w:rsidRPr="0009743F">
          <w:rPr>
            <w:rStyle w:val="Strong"/>
            <w:rFonts w:cs="Arial"/>
            <w:b w:val="0"/>
            <w:color w:val="0000FF"/>
            <w:u w:val="single"/>
            <w:lang w:val="en"/>
          </w:rPr>
          <w:t>Posted</w:t>
        </w:r>
        <w:r w:rsidRPr="0009743F">
          <w:rPr>
            <w:rStyle w:val="linknotation"/>
            <w:rFonts w:cs="Arial"/>
            <w:b/>
            <w:color w:val="0000FF"/>
            <w:u w:val="single"/>
            <w:lang w:val="en"/>
          </w:rPr>
          <w:t xml:space="preserve"> </w:t>
        </w:r>
        <w:r w:rsidRPr="3FB95C47">
          <w:rPr>
            <w:rStyle w:val="linknotation"/>
            <w:rFonts w:cs="Arial"/>
            <w:color w:val="0000FF"/>
            <w:u w:val="single"/>
            <w:lang w:val="en"/>
          </w:rPr>
          <w:t>16-Apr-2020)</w:t>
        </w:r>
      </w:hyperlink>
    </w:p>
    <w:p w14:paraId="32EE0D94" w14:textId="6E248EAA" w:rsidR="002958D6" w:rsidRPr="0070278F" w:rsidRDefault="240374CD" w:rsidP="5E876026">
      <w:pPr>
        <w:widowControl/>
        <w:numPr>
          <w:ilvl w:val="1"/>
          <w:numId w:val="36"/>
        </w:numPr>
        <w:shd w:val="clear" w:color="auto" w:fill="FFFFFF" w:themeFill="background1"/>
        <w:spacing w:before="100" w:beforeAutospacing="1"/>
        <w:rPr>
          <w:rFonts w:cs="Arial"/>
          <w:color w:val="000000"/>
          <w:lang w:val="en"/>
        </w:rPr>
      </w:pPr>
      <w:hyperlink r:id="rId23" w:tooltip="California Assessment of Student Performance and Progress Update on the California Spanish Assessment Score Interpretation Study" w:history="1">
        <w:r w:rsidRPr="009370FF">
          <w:rPr>
            <w:rStyle w:val="linknotation"/>
            <w:color w:val="0000FF"/>
            <w:u w:val="single"/>
          </w:rPr>
          <w:t>California Assessment of Student Performance and Progress Update on the California Spanish Assessment Score Interpretation Study</w:t>
        </w:r>
        <w:r w:rsidRPr="5E876026">
          <w:rPr>
            <w:rStyle w:val="linknotation"/>
            <w:rFonts w:cs="Arial"/>
            <w:color w:val="0000FF"/>
            <w:u w:val="single"/>
            <w:lang w:val="en"/>
          </w:rPr>
          <w:t xml:space="preserve"> (DOCX; </w:t>
        </w:r>
        <w:r w:rsidRPr="5E876026">
          <w:rPr>
            <w:rStyle w:val="Strong"/>
            <w:rFonts w:cs="Arial"/>
            <w:b w:val="0"/>
            <w:bCs w:val="0"/>
            <w:color w:val="0000FF"/>
            <w:u w:val="single"/>
            <w:lang w:val="en"/>
          </w:rPr>
          <w:t>Posted</w:t>
        </w:r>
        <w:r w:rsidRPr="5E876026">
          <w:rPr>
            <w:rStyle w:val="linknotation"/>
            <w:rFonts w:cs="Arial"/>
            <w:color w:val="0000FF"/>
            <w:u w:val="single"/>
            <w:lang w:val="en"/>
          </w:rPr>
          <w:t xml:space="preserve"> 16-Apr-2020)</w:t>
        </w:r>
      </w:hyperlink>
    </w:p>
    <w:p w14:paraId="4CF8B39F" w14:textId="2F514C44" w:rsidR="00BC33D7" w:rsidRPr="00BC33D7" w:rsidRDefault="7DB46D48" w:rsidP="00AC6C10">
      <w:pPr>
        <w:pStyle w:val="ListParagraph"/>
        <w:numPr>
          <w:ilvl w:val="0"/>
          <w:numId w:val="27"/>
        </w:numPr>
        <w:spacing w:before="0"/>
        <w:rPr>
          <w:rFonts w:cs="Arial"/>
        </w:rPr>
      </w:pPr>
      <w:r>
        <w:t>In May</w:t>
      </w:r>
      <w:r w:rsidR="00C22E49">
        <w:t>,</w:t>
      </w:r>
      <w:r>
        <w:t xml:space="preserve"> the CDE </w:t>
      </w:r>
      <w:r w:rsidR="32683413">
        <w:t>requested that</w:t>
      </w:r>
      <w:r>
        <w:t xml:space="preserve"> the SBE</w:t>
      </w:r>
      <w:r w:rsidR="32683413">
        <w:t xml:space="preserve"> </w:t>
      </w:r>
      <w:r>
        <w:t>take the following actions:</w:t>
      </w:r>
    </w:p>
    <w:p w14:paraId="7779C147" w14:textId="6C78233B" w:rsidR="00BC33D7" w:rsidRPr="00AD669B" w:rsidRDefault="00BC33D7" w:rsidP="0070278F">
      <w:pPr>
        <w:pStyle w:val="ListParagraph"/>
        <w:spacing w:before="0"/>
        <w:ind w:left="1080" w:hanging="360"/>
        <w:rPr>
          <w:rFonts w:cs="Arial"/>
        </w:rPr>
      </w:pPr>
      <w:r>
        <w:rPr>
          <w:rFonts w:cs="Arial"/>
        </w:rPr>
        <w:t>1</w:t>
      </w:r>
      <w:r w:rsidR="002000C9">
        <w:rPr>
          <w:rFonts w:cs="Arial"/>
        </w:rPr>
        <w:t>.</w:t>
      </w:r>
      <w:r w:rsidR="002000C9">
        <w:rPr>
          <w:rFonts w:cs="Arial"/>
        </w:rPr>
        <w:tab/>
      </w:r>
      <w:r>
        <w:rPr>
          <w:rFonts w:cs="Arial"/>
        </w:rPr>
        <w:t xml:space="preserve">Ratify the Assessment and Accountability Waiver for the </w:t>
      </w:r>
      <w:r w:rsidRPr="005A2DAC">
        <w:rPr>
          <w:rFonts w:cs="Arial"/>
        </w:rPr>
        <w:t>2019</w:t>
      </w:r>
      <w:r>
        <w:rPr>
          <w:rFonts w:cs="Arial"/>
        </w:rPr>
        <w:t>–</w:t>
      </w:r>
      <w:r w:rsidR="004A283E">
        <w:rPr>
          <w:rFonts w:cs="Arial"/>
        </w:rPr>
        <w:t>20</w:t>
      </w:r>
      <w:r w:rsidRPr="005A2DAC">
        <w:rPr>
          <w:rFonts w:cs="Arial"/>
        </w:rPr>
        <w:t>20</w:t>
      </w:r>
      <w:r>
        <w:rPr>
          <w:rFonts w:cs="Arial"/>
        </w:rPr>
        <w:t xml:space="preserve"> school </w:t>
      </w:r>
      <w:r w:rsidR="008479B5">
        <w:rPr>
          <w:rFonts w:cs="Arial"/>
        </w:rPr>
        <w:t xml:space="preserve">year </w:t>
      </w:r>
      <w:r>
        <w:rPr>
          <w:rFonts w:cs="Arial"/>
        </w:rPr>
        <w:t>of the following sections under ESEA Section 8401(b)</w:t>
      </w:r>
    </w:p>
    <w:p w14:paraId="14F8AF51" w14:textId="3D8858B2" w:rsidR="00BC33D7" w:rsidRPr="00AD669B" w:rsidRDefault="7DB46D48" w:rsidP="00267550">
      <w:pPr>
        <w:pStyle w:val="ListParagraph"/>
        <w:widowControl/>
        <w:numPr>
          <w:ilvl w:val="0"/>
          <w:numId w:val="37"/>
        </w:numPr>
        <w:spacing w:before="0"/>
        <w:rPr>
          <w:rFonts w:cs="Arial"/>
        </w:rPr>
      </w:pPr>
      <w:r w:rsidRPr="3FB95C47">
        <w:rPr>
          <w:rFonts w:cs="Arial"/>
        </w:rPr>
        <w:t xml:space="preserve">Assessment requirements in </w:t>
      </w:r>
      <w:r w:rsidR="00C22E49">
        <w:rPr>
          <w:rFonts w:cs="Arial"/>
        </w:rPr>
        <w:t>S</w:t>
      </w:r>
      <w:r w:rsidRPr="3FB95C47">
        <w:rPr>
          <w:rFonts w:cs="Arial"/>
        </w:rPr>
        <w:t>ection 1111(b)(2)</w:t>
      </w:r>
    </w:p>
    <w:p w14:paraId="236A66E8" w14:textId="13886765" w:rsidR="00BC33D7" w:rsidRPr="00AD669B" w:rsidRDefault="7DB46D48" w:rsidP="00267550">
      <w:pPr>
        <w:pStyle w:val="ListParagraph"/>
        <w:widowControl/>
        <w:numPr>
          <w:ilvl w:val="0"/>
          <w:numId w:val="37"/>
        </w:numPr>
        <w:spacing w:before="0"/>
        <w:rPr>
          <w:rFonts w:cs="Arial"/>
        </w:rPr>
      </w:pPr>
      <w:r w:rsidRPr="3FB95C47">
        <w:rPr>
          <w:rFonts w:cs="Arial"/>
        </w:rPr>
        <w:t>Accountability and school identification requirements in sections 1111(c)(4) and 1111(d)(2)(C)</w:t>
      </w:r>
      <w:r w:rsidR="36511D7C" w:rsidRPr="3FB95C47">
        <w:rPr>
          <w:rFonts w:cs="Arial"/>
        </w:rPr>
        <w:t xml:space="preserve"> and </w:t>
      </w:r>
      <w:r w:rsidRPr="3FB95C47">
        <w:rPr>
          <w:rFonts w:cs="Arial"/>
        </w:rPr>
        <w:t>(D)</w:t>
      </w:r>
    </w:p>
    <w:p w14:paraId="43FA99C3" w14:textId="75F21D37" w:rsidR="00BC33D7" w:rsidRPr="00AD669B" w:rsidRDefault="7DB46D48" w:rsidP="00267550">
      <w:pPr>
        <w:pStyle w:val="ListParagraph"/>
        <w:widowControl/>
        <w:numPr>
          <w:ilvl w:val="0"/>
          <w:numId w:val="37"/>
        </w:numPr>
        <w:spacing w:before="0"/>
        <w:rPr>
          <w:rFonts w:cs="Arial"/>
        </w:rPr>
      </w:pPr>
      <w:r w:rsidRPr="3FB95C47">
        <w:rPr>
          <w:rFonts w:cs="Arial"/>
        </w:rPr>
        <w:t xml:space="preserve">Reporting requirements related to assessments and accountability in </w:t>
      </w:r>
      <w:r w:rsidR="00C22E49">
        <w:rPr>
          <w:rFonts w:cs="Arial"/>
        </w:rPr>
        <w:t>S</w:t>
      </w:r>
      <w:r w:rsidRPr="3FB95C47">
        <w:rPr>
          <w:rFonts w:cs="Arial"/>
        </w:rPr>
        <w:t>ection 1111(h)</w:t>
      </w:r>
    </w:p>
    <w:p w14:paraId="7FE9B29D" w14:textId="069061A8" w:rsidR="00BC33D7" w:rsidRPr="00BC33D7" w:rsidRDefault="00BC33D7" w:rsidP="00351CF3">
      <w:pPr>
        <w:widowControl/>
        <w:spacing w:before="0"/>
        <w:ind w:left="1080" w:hanging="360"/>
        <w:rPr>
          <w:rFonts w:cs="Arial"/>
        </w:rPr>
      </w:pPr>
      <w:r w:rsidRPr="00BC33D7">
        <w:rPr>
          <w:rFonts w:cs="Arial"/>
        </w:rPr>
        <w:t>2</w:t>
      </w:r>
      <w:r w:rsidR="002000C9" w:rsidRPr="00BC33D7">
        <w:rPr>
          <w:rFonts w:cs="Arial"/>
        </w:rPr>
        <w:t>.</w:t>
      </w:r>
      <w:r w:rsidR="002000C9">
        <w:rPr>
          <w:rFonts w:cs="Arial"/>
        </w:rPr>
        <w:tab/>
      </w:r>
      <w:r w:rsidRPr="00BC33D7">
        <w:rPr>
          <w:rFonts w:cs="Arial"/>
        </w:rPr>
        <w:t>Ratify the Federal Funding Flexibility Waiver of the following provisions for</w:t>
      </w:r>
      <w:r w:rsidRPr="00582041">
        <w:t xml:space="preserve"> </w:t>
      </w:r>
      <w:r w:rsidRPr="00BC33D7">
        <w:rPr>
          <w:rFonts w:cs="Arial"/>
        </w:rPr>
        <w:t>the 2019–</w:t>
      </w:r>
      <w:r w:rsidR="00E8497A">
        <w:rPr>
          <w:rFonts w:cs="Arial"/>
        </w:rPr>
        <w:t>20</w:t>
      </w:r>
      <w:r w:rsidRPr="00BC33D7">
        <w:rPr>
          <w:rFonts w:cs="Arial"/>
        </w:rPr>
        <w:t>20 school year under ESEA Section 8401(b):</w:t>
      </w:r>
    </w:p>
    <w:p w14:paraId="43763D00" w14:textId="4BB49B11" w:rsidR="00BC33D7" w:rsidRPr="00582041" w:rsidRDefault="7DB46D48" w:rsidP="00267550">
      <w:pPr>
        <w:pStyle w:val="ListParagraph"/>
        <w:widowControl/>
        <w:numPr>
          <w:ilvl w:val="0"/>
          <w:numId w:val="38"/>
        </w:numPr>
        <w:spacing w:before="0"/>
        <w:rPr>
          <w:rFonts w:cs="Arial"/>
        </w:rPr>
      </w:pPr>
      <w:r w:rsidRPr="3FB95C47">
        <w:rPr>
          <w:rFonts w:cs="Arial"/>
        </w:rPr>
        <w:t xml:space="preserve">Section 1127(b) of Title I, Part A of the ESEA so the CDE may waive, more than once every three years, if necessary, the 15 percent carryover limitation in ESEA </w:t>
      </w:r>
      <w:r w:rsidR="2CF0686F" w:rsidRPr="3FB95C47">
        <w:rPr>
          <w:rFonts w:cs="Arial"/>
        </w:rPr>
        <w:t>S</w:t>
      </w:r>
      <w:r w:rsidRPr="3FB95C47">
        <w:rPr>
          <w:rFonts w:cs="Arial"/>
        </w:rPr>
        <w:t>ection 1127(a) for</w:t>
      </w:r>
      <w:r w:rsidR="009B3DC0">
        <w:rPr>
          <w:rFonts w:cs="Arial"/>
        </w:rPr>
        <w:t xml:space="preserve"> fiscal year (</w:t>
      </w:r>
      <w:r w:rsidRPr="3FB95C47">
        <w:rPr>
          <w:rFonts w:cs="Arial"/>
        </w:rPr>
        <w:t>FY</w:t>
      </w:r>
      <w:r w:rsidR="009B3DC0">
        <w:rPr>
          <w:rFonts w:cs="Arial"/>
        </w:rPr>
        <w:t>)</w:t>
      </w:r>
      <w:r w:rsidRPr="3FB95C47">
        <w:rPr>
          <w:rFonts w:cs="Arial"/>
        </w:rPr>
        <w:t xml:space="preserve"> 2019 Title I, Part A funds</w:t>
      </w:r>
    </w:p>
    <w:p w14:paraId="2A0F0E88" w14:textId="0E8B4203" w:rsidR="00BC33D7" w:rsidRPr="00582041" w:rsidRDefault="7DB46D48" w:rsidP="00267550">
      <w:pPr>
        <w:pStyle w:val="ListParagraph"/>
        <w:widowControl/>
        <w:numPr>
          <w:ilvl w:val="0"/>
          <w:numId w:val="38"/>
        </w:numPr>
        <w:spacing w:before="0"/>
        <w:rPr>
          <w:rFonts w:cs="Arial"/>
        </w:rPr>
      </w:pPr>
      <w:r w:rsidRPr="3FB95C47">
        <w:rPr>
          <w:rFonts w:cs="Arial"/>
        </w:rPr>
        <w:t xml:space="preserve">Section 421(b) of the </w:t>
      </w:r>
      <w:r w:rsidR="1E1F0884" w:rsidRPr="3FB95C47">
        <w:rPr>
          <w:rFonts w:cs="Arial"/>
        </w:rPr>
        <w:t xml:space="preserve">General Education Provisions Act </w:t>
      </w:r>
      <w:r w:rsidRPr="3FB95C47">
        <w:rPr>
          <w:rFonts w:cs="Arial"/>
        </w:rPr>
        <w:t xml:space="preserve">to extend the period of availability of FY 2018 funds for programs in which the CDE participates under its approved consolidated State plan until </w:t>
      </w:r>
      <w:r w:rsidR="150A6401">
        <w:br/>
      </w:r>
      <w:r w:rsidRPr="3FB95C47">
        <w:rPr>
          <w:rFonts w:cs="Arial"/>
        </w:rPr>
        <w:t>September 30, 2021</w:t>
      </w:r>
    </w:p>
    <w:p w14:paraId="1EAD2F9B" w14:textId="3CAB00AD" w:rsidR="00BC33D7" w:rsidRPr="00582041" w:rsidRDefault="7DB46D48" w:rsidP="00267550">
      <w:pPr>
        <w:pStyle w:val="ListParagraph"/>
        <w:widowControl/>
        <w:numPr>
          <w:ilvl w:val="0"/>
          <w:numId w:val="38"/>
        </w:numPr>
        <w:spacing w:before="0"/>
        <w:rPr>
          <w:rFonts w:cs="Arial"/>
        </w:rPr>
      </w:pPr>
      <w:r w:rsidRPr="3FB95C47">
        <w:rPr>
          <w:rFonts w:cs="Arial"/>
        </w:rPr>
        <w:t>Section 4106(d) of Title IV, Part A of the ESEA related to LEA needs assessments for the 2019–2020 school year</w:t>
      </w:r>
    </w:p>
    <w:p w14:paraId="7508099F" w14:textId="0745B0F6" w:rsidR="00BC33D7" w:rsidRPr="00582041" w:rsidRDefault="7DB46D48" w:rsidP="00267550">
      <w:pPr>
        <w:pStyle w:val="ListParagraph"/>
        <w:widowControl/>
        <w:numPr>
          <w:ilvl w:val="0"/>
          <w:numId w:val="38"/>
        </w:numPr>
        <w:spacing w:before="0"/>
        <w:rPr>
          <w:rFonts w:cs="Arial"/>
        </w:rPr>
      </w:pPr>
      <w:r w:rsidRPr="3FB95C47">
        <w:rPr>
          <w:rFonts w:cs="Arial"/>
        </w:rPr>
        <w:lastRenderedPageBreak/>
        <w:t>Section</w:t>
      </w:r>
      <w:r w:rsidR="2C60B12E" w:rsidRPr="3FB95C47">
        <w:rPr>
          <w:rFonts w:cs="Arial"/>
        </w:rPr>
        <w:t>s</w:t>
      </w:r>
      <w:r w:rsidRPr="3FB95C47">
        <w:rPr>
          <w:rFonts w:cs="Arial"/>
        </w:rPr>
        <w:t xml:space="preserve"> 4106(e)(2)(C), (D), and (E) of Title IV, Part A of the ESEA with respect to content-area spending requirements for FYs 2018 and 2019 Title IV, Part A funds</w:t>
      </w:r>
    </w:p>
    <w:p w14:paraId="5066216E" w14:textId="17A2851E" w:rsidR="00BC33D7" w:rsidRPr="00582041" w:rsidRDefault="7DB46D48" w:rsidP="00267550">
      <w:pPr>
        <w:pStyle w:val="ListParagraph"/>
        <w:widowControl/>
        <w:numPr>
          <w:ilvl w:val="0"/>
          <w:numId w:val="38"/>
        </w:numPr>
        <w:spacing w:before="0"/>
        <w:rPr>
          <w:rFonts w:cs="Arial"/>
        </w:rPr>
      </w:pPr>
      <w:r w:rsidRPr="3FB95C47">
        <w:rPr>
          <w:rFonts w:cs="Arial"/>
        </w:rPr>
        <w:t>Section 4109(b) of Title IV, Part A of the ESEA with respect to the spending limitation for technology infrastructure for FYs 2018 and 2019 Title IV, Part A funds</w:t>
      </w:r>
    </w:p>
    <w:p w14:paraId="150F819F" w14:textId="50D988C5" w:rsidR="00BC33D7" w:rsidRPr="00BC33D7" w:rsidRDefault="7DB46D48" w:rsidP="00267550">
      <w:pPr>
        <w:pStyle w:val="ListParagraph"/>
        <w:widowControl/>
        <w:numPr>
          <w:ilvl w:val="0"/>
          <w:numId w:val="38"/>
        </w:numPr>
        <w:spacing w:before="0"/>
        <w:rPr>
          <w:rFonts w:cs="Arial"/>
        </w:rPr>
      </w:pPr>
      <w:r w:rsidRPr="3FB95C47">
        <w:rPr>
          <w:rFonts w:cs="Arial"/>
        </w:rPr>
        <w:t>Section 8101(42) of the ESEA, which defines “professional development,” for activities funded for the 2019–</w:t>
      </w:r>
      <w:r w:rsidR="55A85984" w:rsidRPr="3FB95C47">
        <w:rPr>
          <w:rFonts w:cs="Arial"/>
        </w:rPr>
        <w:t>20</w:t>
      </w:r>
      <w:r w:rsidRPr="3FB95C47">
        <w:rPr>
          <w:rFonts w:cs="Arial"/>
        </w:rPr>
        <w:t>20 school year</w:t>
      </w:r>
    </w:p>
    <w:p w14:paraId="3BD0F680" w14:textId="597944E7" w:rsidR="00292A83" w:rsidRPr="0070278F" w:rsidRDefault="7BC7534B" w:rsidP="00267550">
      <w:pPr>
        <w:pStyle w:val="ListParagraph"/>
        <w:numPr>
          <w:ilvl w:val="0"/>
          <w:numId w:val="46"/>
        </w:numPr>
      </w:pPr>
      <w:r>
        <w:t xml:space="preserve">In July, the CDE provided an update to the SBE on </w:t>
      </w:r>
      <w:r w:rsidR="0B5D512B">
        <w:t>t</w:t>
      </w:r>
      <w:r>
        <w:t xml:space="preserve">he </w:t>
      </w:r>
      <w:r w:rsidR="0B5D512B">
        <w:t>CAASPP</w:t>
      </w:r>
      <w:r>
        <w:t xml:space="preserve"> System program activities</w:t>
      </w:r>
      <w:r w:rsidR="35BC4CE7">
        <w:t>,</w:t>
      </w:r>
      <w:r w:rsidRPr="3FB95C47">
        <w:rPr>
          <w:rFonts w:cs="Arial"/>
          <w:color w:val="000000" w:themeColor="text1"/>
        </w:rPr>
        <w:t xml:space="preserve"> including summary data for the</w:t>
      </w:r>
      <w:r w:rsidRPr="3FB95C47">
        <w:rPr>
          <w:rFonts w:eastAsia="Arial" w:cs="Arial"/>
        </w:rPr>
        <w:t xml:space="preserve"> 2019–2020 test administration year, an update to the California Educator Reporting System (CERS), the Tools for Teachers launch, and the development of formative assessments for science.</w:t>
      </w:r>
    </w:p>
    <w:p w14:paraId="10242186" w14:textId="0DB85DE8" w:rsidR="0070278F" w:rsidRDefault="40BB8296" w:rsidP="004978C2">
      <w:pPr>
        <w:pStyle w:val="ListParagraph"/>
        <w:numPr>
          <w:ilvl w:val="0"/>
          <w:numId w:val="33"/>
        </w:numPr>
      </w:pPr>
      <w:r>
        <w:t xml:space="preserve">In August, the CDE provided </w:t>
      </w:r>
      <w:r w:rsidR="736339A8">
        <w:t xml:space="preserve">to the SBE the following </w:t>
      </w:r>
      <w:r>
        <w:t xml:space="preserve">updates on the California </w:t>
      </w:r>
      <w:r w:rsidR="65E1EFA6">
        <w:t>s</w:t>
      </w:r>
      <w:r>
        <w:t xml:space="preserve">cience </w:t>
      </w:r>
      <w:r w:rsidR="65E1EFA6">
        <w:t>a</w:t>
      </w:r>
      <w:r>
        <w:t>ssessments</w:t>
      </w:r>
      <w:r w:rsidR="736339A8">
        <w:t>:</w:t>
      </w:r>
      <w:r>
        <w:t xml:space="preserve"> </w:t>
      </w:r>
    </w:p>
    <w:p w14:paraId="39450D4B" w14:textId="2E126BA0" w:rsidR="0070278F" w:rsidRPr="0070278F" w:rsidRDefault="0105657D" w:rsidP="0585C463">
      <w:pPr>
        <w:widowControl/>
        <w:numPr>
          <w:ilvl w:val="0"/>
          <w:numId w:val="39"/>
        </w:numPr>
        <w:shd w:val="clear" w:color="auto" w:fill="FFFFFF" w:themeFill="background1"/>
        <w:spacing w:before="0"/>
        <w:ind w:left="1440"/>
        <w:rPr>
          <w:rFonts w:cs="Arial"/>
          <w:snapToGrid/>
          <w:color w:val="000000"/>
          <w:lang w:val="en"/>
        </w:rPr>
      </w:pPr>
      <w:hyperlink r:id="rId24" w:tooltip="Updates on the California Science Assessments" w:history="1">
        <w:r w:rsidRPr="009370FF">
          <w:rPr>
            <w:rStyle w:val="linknotation"/>
            <w:color w:val="0000FF"/>
            <w:u w:val="single"/>
          </w:rPr>
          <w:t>Updates on the California Science Assessments</w:t>
        </w:r>
        <w:r w:rsidRPr="0585C463">
          <w:rPr>
            <w:rStyle w:val="linknotation"/>
            <w:rFonts w:cs="Arial"/>
            <w:color w:val="0000FF"/>
            <w:u w:val="single"/>
            <w:lang w:val="en"/>
          </w:rPr>
          <w:t xml:space="preserve"> (DOCX; </w:t>
        </w:r>
        <w:r w:rsidRPr="00C22E49">
          <w:rPr>
            <w:rStyle w:val="Strong"/>
            <w:rFonts w:cs="Arial"/>
            <w:b w:val="0"/>
            <w:color w:val="0000FF"/>
            <w:u w:val="single"/>
            <w:lang w:val="en"/>
          </w:rPr>
          <w:t>Posted</w:t>
        </w:r>
        <w:r w:rsidRPr="0585C463">
          <w:rPr>
            <w:rStyle w:val="linknotation"/>
            <w:rFonts w:cs="Arial"/>
            <w:color w:val="0000FF"/>
            <w:u w:val="single"/>
            <w:lang w:val="en"/>
          </w:rPr>
          <w:t xml:space="preserve"> 11-Aug-2020)</w:t>
        </w:r>
      </w:hyperlink>
    </w:p>
    <w:p w14:paraId="2AC1D074" w14:textId="0E5E37A4" w:rsidR="00292A83" w:rsidRDefault="7BC7534B" w:rsidP="00F95870">
      <w:pPr>
        <w:pStyle w:val="ListParagraph"/>
        <w:widowControl/>
        <w:numPr>
          <w:ilvl w:val="0"/>
          <w:numId w:val="3"/>
        </w:numPr>
      </w:pPr>
      <w:r>
        <w:t xml:space="preserve">In September, </w:t>
      </w:r>
      <w:r w:rsidR="7FBD5553" w:rsidRPr="3FB95C47">
        <w:rPr>
          <w:rFonts w:cs="Arial"/>
          <w:color w:val="000000" w:themeColor="text1"/>
        </w:rPr>
        <w:t>t</w:t>
      </w:r>
      <w:r w:rsidRPr="3FB95C47">
        <w:rPr>
          <w:rFonts w:cs="Arial"/>
          <w:color w:val="000000" w:themeColor="text1"/>
        </w:rPr>
        <w:t>he CDE provided information to the SBE on program developments and updates related to the CAASPP</w:t>
      </w:r>
      <w:r w:rsidR="006D5C07">
        <w:rPr>
          <w:rFonts w:cs="Arial"/>
          <w:color w:val="000000" w:themeColor="text1"/>
        </w:rPr>
        <w:t>.</w:t>
      </w:r>
      <w:r w:rsidRPr="3FB95C47">
        <w:rPr>
          <w:rFonts w:cs="Arial"/>
          <w:color w:val="000000" w:themeColor="text1"/>
        </w:rPr>
        <w:t xml:space="preserve"> </w:t>
      </w:r>
    </w:p>
    <w:p w14:paraId="61CC4CA2" w14:textId="215EC27A" w:rsidR="003723A0" w:rsidRPr="0070278F" w:rsidRDefault="56DE6C78" w:rsidP="3FB95C47">
      <w:pPr>
        <w:pStyle w:val="ListParagraph"/>
        <w:widowControl/>
        <w:numPr>
          <w:ilvl w:val="0"/>
          <w:numId w:val="3"/>
        </w:numPr>
        <w:rPr>
          <w:rFonts w:asciiTheme="minorHAnsi" w:eastAsiaTheme="minorEastAsia" w:hAnsiTheme="minorHAnsi" w:cstheme="minorBidi"/>
        </w:rPr>
      </w:pPr>
      <w:r>
        <w:t xml:space="preserve">In November, the CDE sought </w:t>
      </w:r>
      <w:r w:rsidR="6FC478A8">
        <w:t>the SBE</w:t>
      </w:r>
      <w:r w:rsidR="15BFBF43">
        <w:t>’s</w:t>
      </w:r>
      <w:r w:rsidR="6FC478A8">
        <w:t xml:space="preserve"> </w:t>
      </w:r>
      <w:r>
        <w:t xml:space="preserve">approval of proposed revisions to </w:t>
      </w:r>
      <w:r w:rsidRPr="3FB95C47">
        <w:rPr>
          <w:color w:val="000000" w:themeColor="text1"/>
        </w:rPr>
        <w:t>the</w:t>
      </w:r>
      <w:r w:rsidR="266D84C2" w:rsidRPr="3FB95C47">
        <w:rPr>
          <w:color w:val="000000" w:themeColor="text1"/>
        </w:rPr>
        <w:t xml:space="preserve"> blueprints</w:t>
      </w:r>
      <w:r w:rsidR="1CA009FC" w:rsidRPr="3FB95C47">
        <w:rPr>
          <w:color w:val="000000" w:themeColor="text1"/>
        </w:rPr>
        <w:t xml:space="preserve"> for</w:t>
      </w:r>
      <w:r w:rsidRPr="3FB95C47">
        <w:rPr>
          <w:color w:val="000000" w:themeColor="text1"/>
        </w:rPr>
        <w:t xml:space="preserve"> </w:t>
      </w:r>
      <w:r w:rsidR="15BFBF43" w:rsidRPr="3FB95C47">
        <w:rPr>
          <w:color w:val="000000" w:themeColor="text1"/>
        </w:rPr>
        <w:t xml:space="preserve">the </w:t>
      </w:r>
      <w:r w:rsidRPr="3FB95C47">
        <w:rPr>
          <w:color w:val="000000" w:themeColor="text1"/>
        </w:rPr>
        <w:t xml:space="preserve">Smarter Balanced Summative Assessments for </w:t>
      </w:r>
      <w:r w:rsidR="662392CD" w:rsidRPr="3FB95C47">
        <w:rPr>
          <w:color w:val="000000" w:themeColor="text1"/>
        </w:rPr>
        <w:t>ELA</w:t>
      </w:r>
      <w:r w:rsidRPr="3FB95C47">
        <w:rPr>
          <w:color w:val="000000" w:themeColor="text1"/>
        </w:rPr>
        <w:t xml:space="preserve"> and </w:t>
      </w:r>
      <w:r w:rsidR="662392CD" w:rsidRPr="3FB95C47">
        <w:rPr>
          <w:color w:val="000000" w:themeColor="text1"/>
        </w:rPr>
        <w:t>m</w:t>
      </w:r>
      <w:r w:rsidRPr="3FB95C47">
        <w:rPr>
          <w:color w:val="000000" w:themeColor="text1"/>
        </w:rPr>
        <w:t>athematics</w:t>
      </w:r>
      <w:r w:rsidR="10369B07" w:rsidRPr="3FB95C47">
        <w:rPr>
          <w:color w:val="000000" w:themeColor="text1"/>
        </w:rPr>
        <w:t xml:space="preserve">. </w:t>
      </w:r>
      <w:r w:rsidR="10369B07" w:rsidRPr="3FB95C47">
        <w:rPr>
          <w:rFonts w:eastAsia="Arial" w:cs="Arial"/>
        </w:rPr>
        <w:t xml:space="preserve">In consultation with </w:t>
      </w:r>
      <w:r w:rsidR="70B59ACF" w:rsidRPr="3FB95C47">
        <w:rPr>
          <w:rFonts w:eastAsia="Arial" w:cs="Arial"/>
        </w:rPr>
        <w:t>the Consortium</w:t>
      </w:r>
      <w:r w:rsidR="10369B07" w:rsidRPr="3FB95C47">
        <w:rPr>
          <w:rFonts w:eastAsia="Arial" w:cs="Arial"/>
        </w:rPr>
        <w:t xml:space="preserve"> and testing contractor ETS, the CDE proposed </w:t>
      </w:r>
      <w:r w:rsidR="210D5397" w:rsidRPr="3FB95C47">
        <w:rPr>
          <w:rFonts w:eastAsia="Arial" w:cs="Arial"/>
        </w:rPr>
        <w:t xml:space="preserve">the </w:t>
      </w:r>
      <w:r w:rsidR="10369B07" w:rsidRPr="3FB95C47">
        <w:rPr>
          <w:rFonts w:eastAsia="Arial" w:cs="Arial"/>
        </w:rPr>
        <w:t>revisions to the blueprints in order to offer short forms for th</w:t>
      </w:r>
      <w:r w:rsidR="210D5397" w:rsidRPr="3FB95C47">
        <w:rPr>
          <w:rFonts w:eastAsia="Arial" w:cs="Arial"/>
        </w:rPr>
        <w:t>os</w:t>
      </w:r>
      <w:r w:rsidR="10369B07" w:rsidRPr="3FB95C47">
        <w:rPr>
          <w:rFonts w:eastAsia="Arial" w:cs="Arial"/>
        </w:rPr>
        <w:t>e assessments to reduce testing time</w:t>
      </w:r>
      <w:r w:rsidR="4A060187" w:rsidRPr="3FB95C47">
        <w:rPr>
          <w:rFonts w:eastAsia="Arial" w:cs="Arial"/>
        </w:rPr>
        <w:t xml:space="preserve"> in 202</w:t>
      </w:r>
      <w:r w:rsidR="73AFD988" w:rsidRPr="3FB95C47">
        <w:rPr>
          <w:rFonts w:eastAsia="Arial" w:cs="Arial"/>
        </w:rPr>
        <w:t>0</w:t>
      </w:r>
      <w:r w:rsidR="4A060187" w:rsidRPr="3FB95C47">
        <w:rPr>
          <w:rFonts w:eastAsia="Arial" w:cs="Arial"/>
        </w:rPr>
        <w:t>–</w:t>
      </w:r>
      <w:r w:rsidR="009B3DC0">
        <w:rPr>
          <w:rFonts w:eastAsia="Arial" w:cs="Arial"/>
        </w:rPr>
        <w:t>20</w:t>
      </w:r>
      <w:r w:rsidR="4A060187" w:rsidRPr="3FB95C47">
        <w:rPr>
          <w:rFonts w:eastAsia="Arial" w:cs="Arial"/>
        </w:rPr>
        <w:t>2</w:t>
      </w:r>
      <w:r w:rsidR="786FB843" w:rsidRPr="3FB95C47">
        <w:rPr>
          <w:rFonts w:eastAsia="Arial" w:cs="Arial"/>
        </w:rPr>
        <w:t>1</w:t>
      </w:r>
      <w:r w:rsidR="10369B07" w:rsidRPr="3FB95C47">
        <w:rPr>
          <w:rFonts w:eastAsia="Arial" w:cs="Arial"/>
        </w:rPr>
        <w:t xml:space="preserve"> and the burden on students and teachers during th</w:t>
      </w:r>
      <w:r w:rsidR="715C07C0" w:rsidRPr="3FB95C47">
        <w:rPr>
          <w:rFonts w:eastAsia="Arial" w:cs="Arial"/>
        </w:rPr>
        <w:t>at</w:t>
      </w:r>
      <w:r w:rsidR="10369B07" w:rsidRPr="3FB95C47">
        <w:rPr>
          <w:rFonts w:eastAsia="Arial" w:cs="Arial"/>
        </w:rPr>
        <w:t xml:space="preserve"> unusual year.</w:t>
      </w:r>
      <w:r w:rsidR="77287F83" w:rsidRPr="3FB95C47">
        <w:rPr>
          <w:color w:val="000000" w:themeColor="text1"/>
        </w:rPr>
        <w:t xml:space="preserve"> </w:t>
      </w:r>
    </w:p>
    <w:p w14:paraId="050E0B82" w14:textId="77777777" w:rsidR="00EB000A" w:rsidRPr="00C22E49" w:rsidRDefault="007917EA" w:rsidP="00F95870">
      <w:pPr>
        <w:pStyle w:val="Heading3"/>
        <w:widowControl/>
        <w:rPr>
          <w:b/>
          <w:i w:val="0"/>
          <w:sz w:val="28"/>
          <w:szCs w:val="28"/>
        </w:rPr>
      </w:pPr>
      <w:bookmarkStart w:id="10" w:name="_Toc2346301"/>
      <w:bookmarkStart w:id="11" w:name="_Toc43122198"/>
      <w:r w:rsidRPr="00C22E49">
        <w:rPr>
          <w:b/>
          <w:i w:val="0"/>
          <w:sz w:val="28"/>
          <w:szCs w:val="28"/>
        </w:rPr>
        <w:t>I</w:t>
      </w:r>
      <w:r w:rsidR="003B2EC1" w:rsidRPr="00C22E49">
        <w:rPr>
          <w:b/>
          <w:i w:val="0"/>
          <w:sz w:val="28"/>
          <w:szCs w:val="28"/>
        </w:rPr>
        <w:t>nformational Materials</w:t>
      </w:r>
      <w:bookmarkEnd w:id="10"/>
      <w:bookmarkEnd w:id="11"/>
    </w:p>
    <w:p w14:paraId="050E0B83" w14:textId="79B7D186" w:rsidR="002613C4" w:rsidRPr="005C3073" w:rsidRDefault="00973978" w:rsidP="00F95870">
      <w:pPr>
        <w:widowControl/>
      </w:pPr>
      <w:r w:rsidRPr="00C87DFA">
        <w:t xml:space="preserve">The </w:t>
      </w:r>
      <w:r w:rsidR="00CA58E1" w:rsidRPr="00C87DFA">
        <w:t>2020</w:t>
      </w:r>
      <w:r w:rsidR="002613C4" w:rsidRPr="00C87DFA">
        <w:t xml:space="preserve"> activities</w:t>
      </w:r>
      <w:r w:rsidR="002613C4" w:rsidRPr="005C3073">
        <w:t xml:space="preserve"> in support of informational materials were as follows:</w:t>
      </w:r>
    </w:p>
    <w:p w14:paraId="050E0B84" w14:textId="00A70A1C" w:rsidR="00EB000A" w:rsidRPr="00813486" w:rsidRDefault="67B68827" w:rsidP="00F95870">
      <w:pPr>
        <w:pStyle w:val="ListParagraph"/>
        <w:widowControl/>
        <w:numPr>
          <w:ilvl w:val="0"/>
          <w:numId w:val="3"/>
        </w:numPr>
      </w:pPr>
      <w:r>
        <w:t xml:space="preserve">The CDE, in coordination with </w:t>
      </w:r>
      <w:r w:rsidR="0EACC081">
        <w:t xml:space="preserve">testing contractor </w:t>
      </w:r>
      <w:r>
        <w:t>ETS</w:t>
      </w:r>
      <w:r w:rsidR="0EACC081">
        <w:t>,</w:t>
      </w:r>
      <w:r>
        <w:t xml:space="preserve"> provided opportunities for teacher participation in the form of item writing workshops, item review workshops, </w:t>
      </w:r>
      <w:r w:rsidR="0EACC081">
        <w:t>d</w:t>
      </w:r>
      <w:r w:rsidR="023FA616">
        <w:t xml:space="preserve">ata review, and range finding. </w:t>
      </w:r>
      <w:r w:rsidR="00A71A16">
        <w:t>In addition, outreach activities—webcasts and pretest and post-test workshops—communicate</w:t>
      </w:r>
      <w:r w:rsidR="2B7E6232">
        <w:t>d</w:t>
      </w:r>
      <w:r w:rsidR="00A71A16">
        <w:t xml:space="preserve"> key information to LEAs and </w:t>
      </w:r>
      <w:r w:rsidR="2B7E6232">
        <w:t xml:space="preserve">were </w:t>
      </w:r>
      <w:r w:rsidR="00A71A16">
        <w:t>reported in CAASPP update items</w:t>
      </w:r>
      <w:r w:rsidR="5CA1C985">
        <w:t>,</w:t>
      </w:r>
      <w:r w:rsidR="7737C47F">
        <w:t xml:space="preserve"> as indicated in the </w:t>
      </w:r>
      <w:r w:rsidR="2E7CBD09">
        <w:t>“</w:t>
      </w:r>
      <w:r w:rsidR="7737C47F">
        <w:t xml:space="preserve">Periodic Updates of Assessment </w:t>
      </w:r>
      <w:r w:rsidR="4D1ECEB5">
        <w:t>Developments</w:t>
      </w:r>
      <w:r w:rsidR="2E7CBD09">
        <w:t>”</w:t>
      </w:r>
      <w:r w:rsidR="7737C47F">
        <w:t xml:space="preserve"> section of this report</w:t>
      </w:r>
      <w:r w:rsidR="00A71A16">
        <w:t>.</w:t>
      </w:r>
    </w:p>
    <w:p w14:paraId="050E0B85" w14:textId="77777777" w:rsidR="006B027C" w:rsidRPr="00813486" w:rsidRDefault="17DEBBC3" w:rsidP="00F95870">
      <w:pPr>
        <w:pStyle w:val="ListParagraph"/>
        <w:widowControl/>
        <w:numPr>
          <w:ilvl w:val="0"/>
          <w:numId w:val="3"/>
        </w:numPr>
      </w:pPr>
      <w:r>
        <w:t xml:space="preserve">The CDE </w:t>
      </w:r>
      <w:r w:rsidR="5E2FFD66">
        <w:t xml:space="preserve">met </w:t>
      </w:r>
      <w:r>
        <w:t>with the Regional Assessment Network</w:t>
      </w:r>
      <w:r w:rsidR="341377FE">
        <w:t>, a subcommittee of the Curriculum and Instruction Steering Committee of the California County Superintendents Educational Services Association,</w:t>
      </w:r>
      <w:r>
        <w:t xml:space="preserve"> every two months </w:t>
      </w:r>
      <w:r w:rsidR="77DF378E">
        <w:t xml:space="preserve">during the year </w:t>
      </w:r>
      <w:r w:rsidR="4E9DD68F">
        <w:t xml:space="preserve">to elicit feedback on informational materials and </w:t>
      </w:r>
      <w:r>
        <w:t xml:space="preserve">activities </w:t>
      </w:r>
      <w:r w:rsidR="4E9DD68F">
        <w:t xml:space="preserve">under </w:t>
      </w:r>
      <w:r>
        <w:lastRenderedPageBreak/>
        <w:t xml:space="preserve">development for all California assessments. This committee </w:t>
      </w:r>
      <w:r w:rsidR="4E9DD68F">
        <w:t xml:space="preserve">also </w:t>
      </w:r>
      <w:r w:rsidR="4E601097">
        <w:t xml:space="preserve">is </w:t>
      </w:r>
      <w:r>
        <w:t>charged with disseminating information on behalf of the CDE.</w:t>
      </w:r>
    </w:p>
    <w:p w14:paraId="62B341DE" w14:textId="5093DA5E" w:rsidR="007E340D" w:rsidRDefault="7B7E55B1" w:rsidP="00F95870">
      <w:pPr>
        <w:pStyle w:val="ListParagraph"/>
        <w:widowControl/>
        <w:numPr>
          <w:ilvl w:val="0"/>
          <w:numId w:val="3"/>
        </w:numPr>
      </w:pPr>
      <w:r>
        <w:t xml:space="preserve">The CDE met monthly with representatives from California educational associations to share </w:t>
      </w:r>
      <w:r w:rsidR="5CD21EB2">
        <w:t>assessment-</w:t>
      </w:r>
      <w:r>
        <w:t xml:space="preserve">related topics and receive feedback to help inform ongoing work of the </w:t>
      </w:r>
      <w:r w:rsidR="5CD21EB2">
        <w:t xml:space="preserve">CDE </w:t>
      </w:r>
      <w:r w:rsidR="4C44A145">
        <w:t>Assessmen</w:t>
      </w:r>
      <w:r w:rsidR="25680F05">
        <w:t xml:space="preserve">t </w:t>
      </w:r>
      <w:r w:rsidR="009B3DC0">
        <w:t>D</w:t>
      </w:r>
      <w:r w:rsidR="25680F05">
        <w:t>evelopment and Administration Division (</w:t>
      </w:r>
      <w:r w:rsidR="5CD21EB2">
        <w:t>ADAD</w:t>
      </w:r>
      <w:r w:rsidR="25680F05">
        <w:t>)</w:t>
      </w:r>
      <w:r>
        <w:t>.</w:t>
      </w:r>
    </w:p>
    <w:p w14:paraId="657C42F2" w14:textId="09FA2C1F" w:rsidR="00593C30" w:rsidRPr="006D6FC7" w:rsidRDefault="4B7A6AF8" w:rsidP="00D23670">
      <w:pPr>
        <w:pStyle w:val="ListParagraph"/>
        <w:widowControl/>
        <w:numPr>
          <w:ilvl w:val="0"/>
          <w:numId w:val="3"/>
        </w:numPr>
      </w:pPr>
      <w:r>
        <w:t>The CDE participate</w:t>
      </w:r>
      <w:r w:rsidR="7997F49C">
        <w:t>d</w:t>
      </w:r>
      <w:r>
        <w:t xml:space="preserve"> in four</w:t>
      </w:r>
      <w:r w:rsidR="73201D7E">
        <w:t xml:space="preserve"> Bilingual Coordinators Network meetings</w:t>
      </w:r>
      <w:r>
        <w:t xml:space="preserve"> to share assessment updates and gather feedback from stakeholders</w:t>
      </w:r>
      <w:r w:rsidR="73201D7E">
        <w:t>.</w:t>
      </w:r>
      <w:r w:rsidR="7997F49C">
        <w:t xml:space="preserve"> CDE staff attend these meetings </w:t>
      </w:r>
      <w:r w:rsidR="0B9572FF">
        <w:t>throughout the year</w:t>
      </w:r>
      <w:r w:rsidR="7997F49C">
        <w:t xml:space="preserve">. </w:t>
      </w:r>
    </w:p>
    <w:p w14:paraId="050E0B87" w14:textId="1165B793" w:rsidR="001A3FFD" w:rsidRPr="007E340D" w:rsidRDefault="6642ACE7" w:rsidP="00F95870">
      <w:pPr>
        <w:pStyle w:val="ListParagraph"/>
        <w:widowControl/>
        <w:numPr>
          <w:ilvl w:val="0"/>
          <w:numId w:val="3"/>
        </w:numPr>
      </w:pPr>
      <w:r>
        <w:t xml:space="preserve">The CDE participated in </w:t>
      </w:r>
      <w:r w:rsidR="0CFED279">
        <w:t xml:space="preserve">two </w:t>
      </w:r>
      <w:r w:rsidR="1543C9E5">
        <w:t xml:space="preserve">Consortium </w:t>
      </w:r>
      <w:r w:rsidR="62EA66E7">
        <w:t>c</w:t>
      </w:r>
      <w:r>
        <w:t xml:space="preserve">ollaboration </w:t>
      </w:r>
      <w:r w:rsidR="62EA66E7">
        <w:t>m</w:t>
      </w:r>
      <w:r w:rsidR="2A6F2EFB">
        <w:t xml:space="preserve">eetings and </w:t>
      </w:r>
      <w:r w:rsidR="33F0F8EA">
        <w:t xml:space="preserve">two </w:t>
      </w:r>
      <w:r w:rsidR="2A6F2EFB">
        <w:t xml:space="preserve">Technical Advisory Committee (TAC) </w:t>
      </w:r>
      <w:r w:rsidR="62EA66E7">
        <w:t>m</w:t>
      </w:r>
      <w:r w:rsidR="2A6F2EFB">
        <w:t>eetings. Member states met</w:t>
      </w:r>
      <w:r w:rsidR="644C51C3">
        <w:t xml:space="preserve"> virtually</w:t>
      </w:r>
      <w:r w:rsidR="2A6F2EFB">
        <w:t xml:space="preserve"> to collaborate, plan</w:t>
      </w:r>
      <w:r w:rsidR="049ED3C8">
        <w:t>,</w:t>
      </w:r>
      <w:r w:rsidR="2A6F2EFB">
        <w:t xml:space="preserve"> and </w:t>
      </w:r>
      <w:r w:rsidR="3C5484B8">
        <w:t>prepare</w:t>
      </w:r>
      <w:r w:rsidR="55358A76">
        <w:t xml:space="preserve"> </w:t>
      </w:r>
      <w:r w:rsidR="2A6F2EFB">
        <w:t xml:space="preserve">for the implementation of </w:t>
      </w:r>
      <w:r w:rsidR="1C733216">
        <w:t xml:space="preserve">and ongoing enhancements to </w:t>
      </w:r>
      <w:r w:rsidR="049ED3C8">
        <w:t xml:space="preserve">the </w:t>
      </w:r>
      <w:r w:rsidR="2A6F2EFB">
        <w:t>Smarter Balanced assessments</w:t>
      </w:r>
      <w:r w:rsidR="533A3F94">
        <w:t xml:space="preserve">, covering such topics as item and test development, accommodations, </w:t>
      </w:r>
      <w:r w:rsidR="6EF2D660">
        <w:t xml:space="preserve">and </w:t>
      </w:r>
      <w:r w:rsidR="533A3F94">
        <w:t>technology</w:t>
      </w:r>
      <w:r w:rsidR="2A6F2EFB">
        <w:t xml:space="preserve">. The TAC members provided guidance on technical assessment matters pertaining to validity, reliability, accuracy, and fairness on </w:t>
      </w:r>
      <w:r w:rsidR="57946AF3">
        <w:t xml:space="preserve">those </w:t>
      </w:r>
      <w:r w:rsidR="2A6F2EFB">
        <w:t>assessments.</w:t>
      </w:r>
    </w:p>
    <w:p w14:paraId="050E0B88" w14:textId="6457C143" w:rsidR="001A3FFD" w:rsidRDefault="0579F7F3" w:rsidP="00F95870">
      <w:pPr>
        <w:pStyle w:val="ListParagraph"/>
        <w:widowControl/>
        <w:numPr>
          <w:ilvl w:val="0"/>
          <w:numId w:val="3"/>
        </w:numPr>
      </w:pPr>
      <w:r>
        <w:t xml:space="preserve">Throughout the year, the CDE weekly newsletter </w:t>
      </w:r>
      <w:r w:rsidR="1C8F3407" w:rsidRPr="3FB95C47">
        <w:rPr>
          <w:i/>
          <w:iCs/>
        </w:rPr>
        <w:t>Assessment Spotlight</w:t>
      </w:r>
      <w:r>
        <w:t xml:space="preserve"> was disseminated to all </w:t>
      </w:r>
      <w:r w:rsidR="037C68B3">
        <w:t>ELPAC coordinators</w:t>
      </w:r>
      <w:r>
        <w:t xml:space="preserve"> and CAASPP listserv subscribers</w:t>
      </w:r>
      <w:r w:rsidR="6EF2D660" w:rsidRPr="3FB95C47">
        <w:rPr>
          <w:rFonts w:cs="Arial"/>
        </w:rPr>
        <w:t>—</w:t>
      </w:r>
      <w:r w:rsidR="12F259F6">
        <w:t>a total of</w:t>
      </w:r>
      <w:r w:rsidR="7206FB2C">
        <w:t xml:space="preserve"> more than 16,700</w:t>
      </w:r>
      <w:r w:rsidR="12F259F6">
        <w:t xml:space="preserve"> recipients</w:t>
      </w:r>
      <w:r w:rsidR="7206FB2C" w:rsidRPr="3FB95C47">
        <w:rPr>
          <w:rFonts w:cs="Arial"/>
        </w:rPr>
        <w:t>—</w:t>
      </w:r>
      <w:r w:rsidR="5683B9F9" w:rsidRPr="3FB95C47">
        <w:rPr>
          <w:rFonts w:cs="Arial"/>
        </w:rPr>
        <w:t xml:space="preserve">to </w:t>
      </w:r>
      <w:r>
        <w:t>alert them to the latest information about the testing program</w:t>
      </w:r>
      <w:r w:rsidR="7B7E55B1">
        <w:t>.</w:t>
      </w:r>
    </w:p>
    <w:p w14:paraId="3A3901D1" w14:textId="79046EE0" w:rsidR="00610B10" w:rsidRPr="00610B10" w:rsidRDefault="1B8627EE" w:rsidP="00F95870">
      <w:pPr>
        <w:pStyle w:val="ListParagraph"/>
        <w:widowControl/>
        <w:numPr>
          <w:ilvl w:val="0"/>
          <w:numId w:val="3"/>
        </w:numPr>
        <w:spacing w:before="120" w:after="120"/>
        <w:rPr>
          <w:rFonts w:cs="Arial"/>
        </w:rPr>
      </w:pPr>
      <w:r>
        <w:t xml:space="preserve">In February, the CDE led a discussion </w:t>
      </w:r>
      <w:r w:rsidR="7857DF43">
        <w:t>about</w:t>
      </w:r>
      <w:r w:rsidRPr="3FB95C47">
        <w:rPr>
          <w:rFonts w:cs="Arial"/>
        </w:rPr>
        <w:t xml:space="preserve"> the design of the CAST and introduc</w:t>
      </w:r>
      <w:r w:rsidR="12859D69" w:rsidRPr="3FB95C47">
        <w:rPr>
          <w:rFonts w:cs="Arial"/>
        </w:rPr>
        <w:t>ed</w:t>
      </w:r>
      <w:r w:rsidRPr="3FB95C47">
        <w:rPr>
          <w:rFonts w:cs="Arial"/>
        </w:rPr>
        <w:t xml:space="preserve"> the item specifications</w:t>
      </w:r>
      <w:r w:rsidR="12859D69">
        <w:t xml:space="preserve"> at the </w:t>
      </w:r>
      <w:r w:rsidR="12859D69" w:rsidRPr="3FB95C47">
        <w:rPr>
          <w:rFonts w:cs="Arial"/>
        </w:rPr>
        <w:t>District Science Leadership Network: Access and Equity Around Assessments</w:t>
      </w:r>
      <w:r w:rsidRPr="3FB95C47">
        <w:rPr>
          <w:rFonts w:cs="Arial"/>
        </w:rPr>
        <w:t>.</w:t>
      </w:r>
    </w:p>
    <w:p w14:paraId="44105792" w14:textId="6C23F669" w:rsidR="00610B10" w:rsidRDefault="1B8627EE" w:rsidP="00F95870">
      <w:pPr>
        <w:pStyle w:val="ListParagraph"/>
        <w:keepNext/>
        <w:keepLines/>
        <w:widowControl/>
        <w:numPr>
          <w:ilvl w:val="0"/>
          <w:numId w:val="3"/>
        </w:numPr>
      </w:pPr>
      <w:r>
        <w:t>In February and March, the CDE presented key information on the development of the CAST</w:t>
      </w:r>
      <w:r w:rsidR="12859D69">
        <w:t xml:space="preserve"> at the California Teachers Association—Good Teaching </w:t>
      </w:r>
      <w:r w:rsidR="00C22E49">
        <w:t>c</w:t>
      </w:r>
      <w:r w:rsidR="12859D69">
        <w:t>onferences, where p</w:t>
      </w:r>
      <w:r>
        <w:t>articipants learned how to read and use an item specification and deconstructed a California Next Generation Science Standards performance expectation.</w:t>
      </w:r>
    </w:p>
    <w:p w14:paraId="6F8A194F" w14:textId="698683A3" w:rsidR="00A900E7" w:rsidRPr="006D6FC7" w:rsidRDefault="6CF9DB98" w:rsidP="00F95870">
      <w:pPr>
        <w:pStyle w:val="ListParagraph"/>
        <w:widowControl/>
        <w:numPr>
          <w:ilvl w:val="0"/>
          <w:numId w:val="3"/>
        </w:numPr>
      </w:pPr>
      <w:r>
        <w:t xml:space="preserve">In July and August, </w:t>
      </w:r>
      <w:r w:rsidR="5226C9F8">
        <w:t xml:space="preserve">the </w:t>
      </w:r>
      <w:r w:rsidR="12859D69">
        <w:t xml:space="preserve">CDE offered the </w:t>
      </w:r>
      <w:r w:rsidR="251202F9">
        <w:t>Interim and Formative Assessment Training Series virtually</w:t>
      </w:r>
      <w:r w:rsidR="2A0FA7AC">
        <w:t>.</w:t>
      </w:r>
      <w:r w:rsidR="5226C9F8">
        <w:t xml:space="preserve"> </w:t>
      </w:r>
      <w:r w:rsidR="75DDB20E">
        <w:t>I</w:t>
      </w:r>
      <w:r w:rsidR="2AE3DE3E">
        <w:t>ntended primarily for teacher trainers</w:t>
      </w:r>
      <w:r w:rsidR="75DDB20E">
        <w:t>,</w:t>
      </w:r>
      <w:r w:rsidR="2AE3DE3E">
        <w:t xml:space="preserve"> </w:t>
      </w:r>
      <w:r w:rsidR="75DDB20E">
        <w:t>t</w:t>
      </w:r>
      <w:r w:rsidR="251202F9">
        <w:t>his training series</w:t>
      </w:r>
      <w:r w:rsidR="29A0BD6D">
        <w:t xml:space="preserve"> </w:t>
      </w:r>
      <w:r w:rsidR="251202F9">
        <w:t xml:space="preserve">focused on </w:t>
      </w:r>
      <w:r w:rsidR="5226C9F8">
        <w:t xml:space="preserve">the </w:t>
      </w:r>
      <w:r w:rsidR="2A0FA7AC">
        <w:t xml:space="preserve">design of Smarter Balanced </w:t>
      </w:r>
      <w:r w:rsidR="150C5778">
        <w:t xml:space="preserve">Interim Assessment </w:t>
      </w:r>
      <w:r w:rsidR="2A0FA7AC">
        <w:t>items,</w:t>
      </w:r>
      <w:r>
        <w:t xml:space="preserve"> </w:t>
      </w:r>
      <w:r w:rsidR="2A0FA7AC">
        <w:t>th</w:t>
      </w:r>
      <w:r>
        <w:t>e use of the Smarter Balanced rubrics to score student responses</w:t>
      </w:r>
      <w:r w:rsidR="2A0FA7AC">
        <w:t xml:space="preserve">, </w:t>
      </w:r>
      <w:r w:rsidR="2AB05BE3">
        <w:t xml:space="preserve">and </w:t>
      </w:r>
      <w:r w:rsidR="2A0FA7AC">
        <w:t xml:space="preserve">how to use the interim assessments and </w:t>
      </w:r>
      <w:r w:rsidR="2D08DC95">
        <w:t xml:space="preserve">formative assessment resources in </w:t>
      </w:r>
      <w:r w:rsidR="6B59A646">
        <w:t xml:space="preserve">the </w:t>
      </w:r>
      <w:r w:rsidR="77C7A875">
        <w:t>Tools for Teachers</w:t>
      </w:r>
      <w:r w:rsidR="2A0FA7AC">
        <w:t xml:space="preserve"> </w:t>
      </w:r>
      <w:r w:rsidR="6B59A646">
        <w:t xml:space="preserve">website </w:t>
      </w:r>
      <w:r w:rsidR="2A0FA7AC">
        <w:t>to support teaching and learning.</w:t>
      </w:r>
    </w:p>
    <w:p w14:paraId="6CAC9A76" w14:textId="56777F36" w:rsidR="006902A7" w:rsidRDefault="6D448AE7" w:rsidP="00F95870">
      <w:pPr>
        <w:pStyle w:val="ListParagraph"/>
        <w:widowControl/>
        <w:numPr>
          <w:ilvl w:val="0"/>
          <w:numId w:val="3"/>
        </w:numPr>
      </w:pPr>
      <w:r>
        <w:t xml:space="preserve">In October, the CDE held </w:t>
      </w:r>
      <w:r w:rsidR="345094E1">
        <w:t>its</w:t>
      </w:r>
      <w:r>
        <w:t xml:space="preserve"> </w:t>
      </w:r>
      <w:r w:rsidR="70779CDD">
        <w:t xml:space="preserve">second </w:t>
      </w:r>
      <w:r>
        <w:t>California Assessment Conference</w:t>
      </w:r>
      <w:r w:rsidR="70779CDD">
        <w:t xml:space="preserve"> virtually. D</w:t>
      </w:r>
      <w:r>
        <w:t>esigned specifically for classroom teachers</w:t>
      </w:r>
      <w:r w:rsidR="70779CDD">
        <w:t>,</w:t>
      </w:r>
      <w:r>
        <w:t xml:space="preserve"> </w:t>
      </w:r>
      <w:r w:rsidR="29A0BD6D">
        <w:t xml:space="preserve">this </w:t>
      </w:r>
      <w:r>
        <w:t xml:space="preserve">conference </w:t>
      </w:r>
      <w:r w:rsidR="3262EFB7">
        <w:t xml:space="preserve">offered opportunities </w:t>
      </w:r>
      <w:r w:rsidR="6FC7CB2B">
        <w:t xml:space="preserve">for participants </w:t>
      </w:r>
      <w:r w:rsidR="3262EFB7">
        <w:t xml:space="preserve">to explore the connection between assessments and classroom instruction, hear from other educators about their experiences </w:t>
      </w:r>
      <w:r w:rsidR="3262EFB7">
        <w:lastRenderedPageBreak/>
        <w:t>with the comprehensive assessment system, and learn how to utilize assessment resources.</w:t>
      </w:r>
    </w:p>
    <w:p w14:paraId="4CD08C73" w14:textId="55EE3A6D" w:rsidR="00F95870" w:rsidRPr="00A900E7" w:rsidRDefault="6B9D7904" w:rsidP="00F95870">
      <w:pPr>
        <w:pStyle w:val="ListParagraph"/>
        <w:widowControl/>
        <w:numPr>
          <w:ilvl w:val="0"/>
          <w:numId w:val="3"/>
        </w:numPr>
      </w:pPr>
      <w:r>
        <w:t xml:space="preserve">In December, the CDE presented to California science educators </w:t>
      </w:r>
      <w:r w:rsidR="7C7B0E45">
        <w:t xml:space="preserve">at the California Science Technology Engineering Art Math (STEAM) Symposium </w:t>
      </w:r>
      <w:r>
        <w:t>how to deconstruct California Next Generation Science Standards Performance Expectations by employing item specifications used in the development of the CAST questions.</w:t>
      </w:r>
    </w:p>
    <w:p w14:paraId="050E0B90" w14:textId="77777777" w:rsidR="000C02AA" w:rsidRPr="00C22E49" w:rsidRDefault="003B2EC1" w:rsidP="00F95870">
      <w:pPr>
        <w:pStyle w:val="Heading3"/>
        <w:widowControl/>
        <w:rPr>
          <w:b/>
          <w:i w:val="0"/>
          <w:sz w:val="28"/>
          <w:szCs w:val="28"/>
        </w:rPr>
      </w:pPr>
      <w:bookmarkStart w:id="12" w:name="_Toc2346302"/>
      <w:bookmarkStart w:id="13" w:name="_Toc43122199"/>
      <w:r w:rsidRPr="00C22E49">
        <w:rPr>
          <w:b/>
          <w:i w:val="0"/>
          <w:sz w:val="28"/>
          <w:szCs w:val="28"/>
        </w:rPr>
        <w:t>Stakeholder Input</w:t>
      </w:r>
      <w:bookmarkEnd w:id="12"/>
      <w:bookmarkEnd w:id="13"/>
    </w:p>
    <w:p w14:paraId="050E0B91" w14:textId="67D25DF0" w:rsidR="000C02AA" w:rsidRPr="005C3073" w:rsidRDefault="00222962" w:rsidP="00F95870">
      <w:pPr>
        <w:widowControl/>
        <w:rPr>
          <w:b/>
        </w:rPr>
      </w:pPr>
      <w:r w:rsidRPr="005C3073">
        <w:t xml:space="preserve">The </w:t>
      </w:r>
      <w:r w:rsidR="00CA58E1" w:rsidRPr="00F31723">
        <w:t>2020</w:t>
      </w:r>
      <w:r w:rsidR="002B2479" w:rsidRPr="005C3073">
        <w:t xml:space="preserve"> </w:t>
      </w:r>
      <w:r w:rsidR="000C02AA" w:rsidRPr="005C3073">
        <w:t>implementation activities in support of stakeholder input were as follows:</w:t>
      </w:r>
    </w:p>
    <w:p w14:paraId="050E0B92" w14:textId="6874F667" w:rsidR="000C02AA" w:rsidRPr="005C3073" w:rsidRDefault="341377FE" w:rsidP="00AC6C10">
      <w:pPr>
        <w:pStyle w:val="ListParagraph"/>
        <w:widowControl/>
        <w:numPr>
          <w:ilvl w:val="0"/>
          <w:numId w:val="10"/>
        </w:numPr>
      </w:pPr>
      <w:r>
        <w:t>Monthly meetings with t</w:t>
      </w:r>
      <w:r w:rsidR="5B8A370A">
        <w:t>he Assessment Stakeholder Committee</w:t>
      </w:r>
      <w:r w:rsidR="08FA72F0">
        <w:t>, whose m</w:t>
      </w:r>
      <w:r>
        <w:t xml:space="preserve">embers </w:t>
      </w:r>
      <w:r w:rsidR="5B8A370A">
        <w:t xml:space="preserve">include representatives from key </w:t>
      </w:r>
      <w:r w:rsidR="17A045E8">
        <w:t xml:space="preserve">California </w:t>
      </w:r>
      <w:r w:rsidR="5B8A370A">
        <w:t>educational associations</w:t>
      </w:r>
      <w:r w:rsidR="24A4F7FA" w:rsidRPr="3FB95C47">
        <w:rPr>
          <w:rFonts w:cs="Arial"/>
        </w:rPr>
        <w:t>:</w:t>
      </w:r>
    </w:p>
    <w:p w14:paraId="050E0B93" w14:textId="4046A5F0" w:rsidR="009C0EEE" w:rsidRPr="005C3073" w:rsidDel="00351CF3" w:rsidRDefault="5FAB002E" w:rsidP="002B1922">
      <w:pPr>
        <w:pStyle w:val="ListParagraph"/>
        <w:widowControl/>
        <w:numPr>
          <w:ilvl w:val="1"/>
          <w:numId w:val="41"/>
        </w:numPr>
        <w:spacing w:before="0" w:after="60"/>
      </w:pPr>
      <w:r>
        <w:t>Advisory Commission on Special Education</w:t>
      </w:r>
    </w:p>
    <w:p w14:paraId="050E0B94" w14:textId="77777777" w:rsidR="000C02AA" w:rsidRPr="005C3073" w:rsidRDefault="5B8A370A" w:rsidP="002B1922">
      <w:pPr>
        <w:pStyle w:val="ListParagraph"/>
        <w:widowControl/>
        <w:numPr>
          <w:ilvl w:val="1"/>
          <w:numId w:val="41"/>
        </w:numPr>
        <w:spacing w:before="0" w:after="60"/>
      </w:pPr>
      <w:r>
        <w:t>Association of California School Administrators</w:t>
      </w:r>
    </w:p>
    <w:p w14:paraId="69D7DEE9" w14:textId="77777777" w:rsidR="007505A1" w:rsidRDefault="76CBA5A3" w:rsidP="007505A1">
      <w:pPr>
        <w:pStyle w:val="ListParagraph"/>
        <w:widowControl/>
        <w:numPr>
          <w:ilvl w:val="1"/>
          <w:numId w:val="41"/>
        </w:numPr>
        <w:spacing w:before="0" w:after="60"/>
      </w:pPr>
      <w:r>
        <w:t>California Association of Bilingual Educators</w:t>
      </w:r>
    </w:p>
    <w:p w14:paraId="050E0B96" w14:textId="77777777" w:rsidR="00813486" w:rsidRPr="005C3073" w:rsidRDefault="76045DBE" w:rsidP="002B1922">
      <w:pPr>
        <w:pStyle w:val="ListParagraph"/>
        <w:widowControl/>
        <w:numPr>
          <w:ilvl w:val="1"/>
          <w:numId w:val="41"/>
        </w:numPr>
        <w:spacing w:before="0" w:after="60"/>
      </w:pPr>
      <w:r>
        <w:t>California Federation of Teachers</w:t>
      </w:r>
    </w:p>
    <w:p w14:paraId="56EFDE83" w14:textId="77777777" w:rsidR="00920FD9" w:rsidRDefault="662392CD" w:rsidP="002B1922">
      <w:pPr>
        <w:pStyle w:val="ListParagraph"/>
        <w:widowControl/>
        <w:numPr>
          <w:ilvl w:val="1"/>
          <w:numId w:val="41"/>
        </w:numPr>
        <w:spacing w:before="0" w:after="60"/>
      </w:pPr>
      <w:r>
        <w:t>California Parent Teacher Association</w:t>
      </w:r>
    </w:p>
    <w:p w14:paraId="050E0B97" w14:textId="77777777" w:rsidR="009C0EEE" w:rsidRPr="005C3073" w:rsidRDefault="2FB56D3E" w:rsidP="002B1922">
      <w:pPr>
        <w:pStyle w:val="ListParagraph"/>
        <w:widowControl/>
        <w:numPr>
          <w:ilvl w:val="1"/>
          <w:numId w:val="41"/>
        </w:numPr>
        <w:spacing w:before="0" w:after="60"/>
      </w:pPr>
      <w:r>
        <w:t>California School Boards Association</w:t>
      </w:r>
    </w:p>
    <w:p w14:paraId="050E0B98" w14:textId="77777777" w:rsidR="009C0EEE" w:rsidRPr="005C3073" w:rsidRDefault="2FB56D3E" w:rsidP="002B1922">
      <w:pPr>
        <w:pStyle w:val="ListParagraph"/>
        <w:widowControl/>
        <w:numPr>
          <w:ilvl w:val="1"/>
          <w:numId w:val="41"/>
        </w:numPr>
        <w:spacing w:before="0" w:after="60"/>
      </w:pPr>
      <w:r>
        <w:t>California Science Teachers Association</w:t>
      </w:r>
    </w:p>
    <w:p w14:paraId="050E0B99" w14:textId="77777777" w:rsidR="009C0EEE" w:rsidRPr="005C3073" w:rsidRDefault="2FB56D3E" w:rsidP="002B1922">
      <w:pPr>
        <w:pStyle w:val="ListParagraph"/>
        <w:widowControl/>
        <w:numPr>
          <w:ilvl w:val="1"/>
          <w:numId w:val="41"/>
        </w:numPr>
        <w:spacing w:before="0" w:after="60"/>
      </w:pPr>
      <w:r>
        <w:t>California Small School District Association</w:t>
      </w:r>
    </w:p>
    <w:p w14:paraId="050E0B9A" w14:textId="77777777" w:rsidR="009C0EEE" w:rsidRPr="005C3073" w:rsidRDefault="2FB56D3E" w:rsidP="002B1922">
      <w:pPr>
        <w:pStyle w:val="ListParagraph"/>
        <w:widowControl/>
        <w:numPr>
          <w:ilvl w:val="1"/>
          <w:numId w:val="41"/>
        </w:numPr>
        <w:spacing w:before="0" w:after="60"/>
      </w:pPr>
      <w:r>
        <w:t>California Teachers Association</w:t>
      </w:r>
    </w:p>
    <w:p w14:paraId="050E0B9B" w14:textId="77777777" w:rsidR="000C02AA" w:rsidRPr="005C3073" w:rsidRDefault="5B8A370A" w:rsidP="002B1922">
      <w:pPr>
        <w:pStyle w:val="ListParagraph"/>
        <w:widowControl/>
        <w:numPr>
          <w:ilvl w:val="1"/>
          <w:numId w:val="41"/>
        </w:numPr>
        <w:spacing w:before="0" w:after="60"/>
      </w:pPr>
      <w:r>
        <w:t>Californians Together</w:t>
      </w:r>
    </w:p>
    <w:p w14:paraId="050E0B9C" w14:textId="77777777" w:rsidR="000C02AA" w:rsidRDefault="5B8A370A" w:rsidP="002B1922">
      <w:pPr>
        <w:pStyle w:val="ListParagraph"/>
        <w:widowControl/>
        <w:numPr>
          <w:ilvl w:val="1"/>
          <w:numId w:val="41"/>
        </w:numPr>
        <w:spacing w:before="0" w:after="60"/>
      </w:pPr>
      <w:r>
        <w:t>Special Education Local Plan Area Assoc</w:t>
      </w:r>
      <w:r w:rsidR="21EBA652">
        <w:t>iation</w:t>
      </w:r>
    </w:p>
    <w:p w14:paraId="12EFD89F" w14:textId="2C41EC3A" w:rsidR="00B23010" w:rsidRPr="005C3073" w:rsidRDefault="00530232" w:rsidP="00F95870">
      <w:pPr>
        <w:widowControl/>
        <w:ind w:left="720"/>
        <w:rPr>
          <w:szCs w:val="18"/>
        </w:rPr>
      </w:pPr>
      <w:r>
        <w:rPr>
          <w:szCs w:val="18"/>
        </w:rPr>
        <w:t>Meetings with representatives</w:t>
      </w:r>
      <w:r w:rsidR="00967BE2">
        <w:rPr>
          <w:szCs w:val="18"/>
        </w:rPr>
        <w:t xml:space="preserve"> from these organizations</w:t>
      </w:r>
      <w:r>
        <w:rPr>
          <w:szCs w:val="18"/>
        </w:rPr>
        <w:t xml:space="preserve"> provide</w:t>
      </w:r>
      <w:r w:rsidR="00967BE2">
        <w:rPr>
          <w:szCs w:val="18"/>
        </w:rPr>
        <w:t>d</w:t>
      </w:r>
      <w:r>
        <w:rPr>
          <w:szCs w:val="18"/>
        </w:rPr>
        <w:t xml:space="preserve"> a regular forum for sharing information about </w:t>
      </w:r>
      <w:r w:rsidR="005E3957">
        <w:rPr>
          <w:szCs w:val="18"/>
        </w:rPr>
        <w:t>state assessment-related</w:t>
      </w:r>
      <w:r>
        <w:rPr>
          <w:szCs w:val="18"/>
        </w:rPr>
        <w:t xml:space="preserve"> developments and receiv</w:t>
      </w:r>
      <w:r w:rsidR="005E3957">
        <w:rPr>
          <w:szCs w:val="18"/>
        </w:rPr>
        <w:t>ing</w:t>
      </w:r>
      <w:r>
        <w:rPr>
          <w:szCs w:val="18"/>
        </w:rPr>
        <w:t xml:space="preserve"> feedback from key</w:t>
      </w:r>
      <w:r w:rsidR="00D23670">
        <w:rPr>
          <w:szCs w:val="18"/>
        </w:rPr>
        <w:t xml:space="preserve"> education</w:t>
      </w:r>
      <w:r>
        <w:rPr>
          <w:szCs w:val="18"/>
        </w:rPr>
        <w:t xml:space="preserve"> stakeholders.</w:t>
      </w:r>
    </w:p>
    <w:p w14:paraId="050E0B9F" w14:textId="4F77F839" w:rsidR="000C02AA" w:rsidRPr="005C3073" w:rsidRDefault="5B8A370A" w:rsidP="00AC6C10">
      <w:pPr>
        <w:pStyle w:val="ListParagraph"/>
        <w:widowControl/>
        <w:numPr>
          <w:ilvl w:val="0"/>
          <w:numId w:val="10"/>
        </w:numPr>
      </w:pPr>
      <w:r>
        <w:t xml:space="preserve">Bimonthly meetings </w:t>
      </w:r>
      <w:r w:rsidR="38881102">
        <w:t xml:space="preserve">also </w:t>
      </w:r>
      <w:r>
        <w:t>were held</w:t>
      </w:r>
      <w:r w:rsidR="76045DBE">
        <w:t xml:space="preserve"> in </w:t>
      </w:r>
      <w:r w:rsidR="0790F970">
        <w:t>2020</w:t>
      </w:r>
      <w:r>
        <w:t xml:space="preserve"> with the Curriculum and Instruction Steering Committee’s Regional Assessment Network, consist</w:t>
      </w:r>
      <w:r w:rsidR="1C9C6385">
        <w:t>ing</w:t>
      </w:r>
      <w:r>
        <w:t xml:space="preserve"> of representatives from all </w:t>
      </w:r>
      <w:r w:rsidR="700F4B10">
        <w:t>11</w:t>
      </w:r>
      <w:r>
        <w:t xml:space="preserve"> </w:t>
      </w:r>
      <w:r w:rsidR="6DEACDA3">
        <w:t xml:space="preserve">of the network’s </w:t>
      </w:r>
      <w:r>
        <w:t xml:space="preserve">regions throughout California. This group meets </w:t>
      </w:r>
      <w:r w:rsidR="1C9C6385">
        <w:t>monthly</w:t>
      </w:r>
      <w:r w:rsidR="7A79350F">
        <w:t xml:space="preserve"> following the</w:t>
      </w:r>
      <w:r>
        <w:t xml:space="preserve"> </w:t>
      </w:r>
      <w:r w:rsidR="2849EE4C">
        <w:t>SBE</w:t>
      </w:r>
      <w:r>
        <w:t xml:space="preserve"> meeting</w:t>
      </w:r>
      <w:r w:rsidR="7A79350F">
        <w:t>s</w:t>
      </w:r>
      <w:r w:rsidR="38881102">
        <w:t xml:space="preserve">. </w:t>
      </w:r>
      <w:r>
        <w:t xml:space="preserve">The </w:t>
      </w:r>
      <w:r w:rsidR="10C39CEF">
        <w:t xml:space="preserve">CDE </w:t>
      </w:r>
      <w:r w:rsidR="055D2C02">
        <w:t>ADAD</w:t>
      </w:r>
      <w:r>
        <w:t xml:space="preserve"> highlight</w:t>
      </w:r>
      <w:r w:rsidR="10C39CEF">
        <w:t>ed</w:t>
      </w:r>
      <w:r>
        <w:t xml:space="preserve"> the latest developments and activities for all statewide assessments</w:t>
      </w:r>
      <w:r w:rsidR="1C9C6385">
        <w:t xml:space="preserve"> at each meeting</w:t>
      </w:r>
      <w:r>
        <w:t xml:space="preserve">. </w:t>
      </w:r>
      <w:r w:rsidR="09E1513E">
        <w:t xml:space="preserve">The </w:t>
      </w:r>
      <w:r w:rsidR="6E6E9FB4">
        <w:t xml:space="preserve">2020 </w:t>
      </w:r>
      <w:r w:rsidR="09E1513E">
        <w:t>m</w:t>
      </w:r>
      <w:r>
        <w:t xml:space="preserve">eeting dates </w:t>
      </w:r>
      <w:r w:rsidR="59BAF589">
        <w:t>were as follows</w:t>
      </w:r>
      <w:r>
        <w:t>:</w:t>
      </w:r>
    </w:p>
    <w:p w14:paraId="050E0BA0" w14:textId="38CB62A6" w:rsidR="000C02AA" w:rsidRPr="005C3073" w:rsidRDefault="5B8A370A" w:rsidP="002B1922">
      <w:pPr>
        <w:pStyle w:val="ListParagraph"/>
        <w:widowControl/>
        <w:numPr>
          <w:ilvl w:val="1"/>
          <w:numId w:val="42"/>
        </w:numPr>
        <w:spacing w:before="0" w:after="60"/>
      </w:pPr>
      <w:r>
        <w:t xml:space="preserve">January </w:t>
      </w:r>
      <w:r w:rsidR="12B3C74B">
        <w:t>17</w:t>
      </w:r>
    </w:p>
    <w:p w14:paraId="050E0BA1" w14:textId="1A2A2507" w:rsidR="000C02AA" w:rsidRPr="005C3073" w:rsidRDefault="5B8A370A" w:rsidP="002B1922">
      <w:pPr>
        <w:pStyle w:val="ListParagraph"/>
        <w:widowControl/>
        <w:numPr>
          <w:ilvl w:val="1"/>
          <w:numId w:val="42"/>
        </w:numPr>
        <w:spacing w:before="0" w:after="60"/>
      </w:pPr>
      <w:r>
        <w:t xml:space="preserve">March </w:t>
      </w:r>
      <w:r w:rsidR="76045DBE">
        <w:t>20</w:t>
      </w:r>
    </w:p>
    <w:p w14:paraId="60BDADC7" w14:textId="09A96050" w:rsidR="00661B93" w:rsidRDefault="5B8A370A" w:rsidP="002B1922">
      <w:pPr>
        <w:pStyle w:val="ListParagraph"/>
        <w:widowControl/>
        <w:numPr>
          <w:ilvl w:val="1"/>
          <w:numId w:val="42"/>
        </w:numPr>
        <w:spacing w:before="0" w:after="60"/>
      </w:pPr>
      <w:r>
        <w:t>May 1</w:t>
      </w:r>
      <w:r w:rsidR="76045DBE">
        <w:t>5</w:t>
      </w:r>
    </w:p>
    <w:p w14:paraId="050E0BA3" w14:textId="6D945A6F" w:rsidR="000C02AA" w:rsidRPr="005C3073" w:rsidRDefault="5B8A370A" w:rsidP="002B1922">
      <w:pPr>
        <w:pStyle w:val="ListParagraph"/>
        <w:widowControl/>
        <w:numPr>
          <w:ilvl w:val="1"/>
          <w:numId w:val="42"/>
        </w:numPr>
        <w:spacing w:before="0" w:after="60"/>
      </w:pPr>
      <w:r>
        <w:t xml:space="preserve">September </w:t>
      </w:r>
      <w:r w:rsidR="402932FE">
        <w:t>25</w:t>
      </w:r>
    </w:p>
    <w:p w14:paraId="050E0BA4" w14:textId="6F5E563F" w:rsidR="000C02AA" w:rsidRPr="005C3073" w:rsidRDefault="5B8A370A" w:rsidP="002B1922">
      <w:pPr>
        <w:pStyle w:val="ListParagraph"/>
        <w:widowControl/>
        <w:numPr>
          <w:ilvl w:val="1"/>
          <w:numId w:val="42"/>
        </w:numPr>
        <w:spacing w:before="0"/>
      </w:pPr>
      <w:r>
        <w:t xml:space="preserve">November </w:t>
      </w:r>
      <w:r w:rsidR="71C2D632">
        <w:t>20</w:t>
      </w:r>
    </w:p>
    <w:p w14:paraId="050E0BA5" w14:textId="6F4FD3D8" w:rsidR="000C02AA" w:rsidRPr="005C3073" w:rsidRDefault="6D232E49" w:rsidP="00AC6C10">
      <w:pPr>
        <w:pStyle w:val="ListParagraph"/>
        <w:widowControl/>
        <w:numPr>
          <w:ilvl w:val="0"/>
          <w:numId w:val="10"/>
        </w:numPr>
      </w:pPr>
      <w:r>
        <w:lastRenderedPageBreak/>
        <w:t xml:space="preserve">The </w:t>
      </w:r>
      <w:r w:rsidR="2D6A48ED">
        <w:t xml:space="preserve">CDE </w:t>
      </w:r>
      <w:r w:rsidR="66C0D1CB">
        <w:t>ADAD</w:t>
      </w:r>
      <w:r>
        <w:t xml:space="preserve"> </w:t>
      </w:r>
      <w:r w:rsidR="646515C1">
        <w:t>made</w:t>
      </w:r>
      <w:r w:rsidR="293E3338">
        <w:t xml:space="preserve"> a</w:t>
      </w:r>
      <w:r w:rsidR="646515C1">
        <w:t xml:space="preserve"> </w:t>
      </w:r>
      <w:r>
        <w:t>present</w:t>
      </w:r>
      <w:r w:rsidR="00F4DC4E">
        <w:t xml:space="preserve">ation in </w:t>
      </w:r>
      <w:r w:rsidR="0E3E037E">
        <w:t xml:space="preserve">August </w:t>
      </w:r>
      <w:r w:rsidR="5848B65E">
        <w:t>2020</w:t>
      </w:r>
      <w:r>
        <w:t xml:space="preserve"> to the Advisory Committee on Special Education. Topics highlight</w:t>
      </w:r>
      <w:r w:rsidR="646515C1">
        <w:t>ed</w:t>
      </w:r>
      <w:r>
        <w:t xml:space="preserve"> current developments for all assessments, with particular emphasis on the CAAs for ELA, mathematics, and science</w:t>
      </w:r>
      <w:r w:rsidR="646515C1">
        <w:t>;</w:t>
      </w:r>
      <w:r>
        <w:t xml:space="preserve"> the accessibility resources for the Smarter Balanced </w:t>
      </w:r>
      <w:r w:rsidR="472E48CE">
        <w:t xml:space="preserve">Summative </w:t>
      </w:r>
      <w:r>
        <w:t>Assessments for ELA and mathematics</w:t>
      </w:r>
      <w:r w:rsidR="646515C1">
        <w:t>;</w:t>
      </w:r>
      <w:r>
        <w:t xml:space="preserve"> and the CAST. </w:t>
      </w:r>
    </w:p>
    <w:p w14:paraId="050E0BAC" w14:textId="318532FE" w:rsidR="00EB000A" w:rsidRPr="002B1922" w:rsidRDefault="007959D5" w:rsidP="001D7A3A">
      <w:pPr>
        <w:pStyle w:val="Heading4"/>
        <w:rPr>
          <w:sz w:val="24"/>
          <w:szCs w:val="24"/>
        </w:rPr>
      </w:pPr>
      <w:bookmarkStart w:id="14" w:name="_Toc2346303"/>
      <w:r w:rsidRPr="002B1922">
        <w:rPr>
          <w:sz w:val="24"/>
          <w:szCs w:val="24"/>
        </w:rPr>
        <w:t xml:space="preserve">Sample, </w:t>
      </w:r>
      <w:r w:rsidR="00E16973" w:rsidRPr="002B1922">
        <w:rPr>
          <w:sz w:val="24"/>
          <w:szCs w:val="24"/>
        </w:rPr>
        <w:t>Practice</w:t>
      </w:r>
      <w:r w:rsidR="002A2D6A" w:rsidRPr="002B1922">
        <w:rPr>
          <w:sz w:val="24"/>
          <w:szCs w:val="24"/>
        </w:rPr>
        <w:t>,</w:t>
      </w:r>
      <w:r w:rsidR="00E16973" w:rsidRPr="002B1922">
        <w:rPr>
          <w:sz w:val="24"/>
          <w:szCs w:val="24"/>
        </w:rPr>
        <w:t xml:space="preserve"> and Training Tests</w:t>
      </w:r>
      <w:bookmarkEnd w:id="14"/>
    </w:p>
    <w:p w14:paraId="17C59F4B" w14:textId="3FBE6866" w:rsidR="02B2D2F8" w:rsidRDefault="2BF069F8" w:rsidP="00F31723">
      <w:pPr>
        <w:rPr>
          <w:rFonts w:cs="Arial"/>
        </w:rPr>
      </w:pPr>
      <w:r>
        <w:t xml:space="preserve">The </w:t>
      </w:r>
      <w:r w:rsidR="7A1FB4F0" w:rsidRPr="00F31723">
        <w:t>2020</w:t>
      </w:r>
      <w:r w:rsidR="0FBC4347">
        <w:t xml:space="preserve"> </w:t>
      </w:r>
      <w:r w:rsidR="00438D92">
        <w:t>implementation activities in support of sample</w:t>
      </w:r>
      <w:r w:rsidR="08AD561B">
        <w:t>,</w:t>
      </w:r>
      <w:r w:rsidR="00438D92">
        <w:t xml:space="preserve"> </w:t>
      </w:r>
      <w:r w:rsidR="08AD561B">
        <w:t>p</w:t>
      </w:r>
      <w:r w:rsidR="76003B38">
        <w:t>ractice</w:t>
      </w:r>
      <w:r w:rsidR="08AD561B">
        <w:t>,</w:t>
      </w:r>
      <w:r w:rsidR="76003B38">
        <w:t xml:space="preserve"> and training tests</w:t>
      </w:r>
      <w:r w:rsidR="00438D92">
        <w:t xml:space="preserve"> were as follows</w:t>
      </w:r>
      <w:r w:rsidR="00670390">
        <w:t>:</w:t>
      </w:r>
      <w:r w:rsidR="78C9D69E" w:rsidRPr="7121CE11">
        <w:rPr>
          <w:rFonts w:cs="Arial"/>
        </w:rPr>
        <w:t xml:space="preserve"> </w:t>
      </w:r>
    </w:p>
    <w:p w14:paraId="71A08425" w14:textId="3F135BFA" w:rsidR="006229A1" w:rsidRPr="006229A1" w:rsidRDefault="555995B0" w:rsidP="006229A1">
      <w:pPr>
        <w:pStyle w:val="ListParagraph"/>
        <w:numPr>
          <w:ilvl w:val="0"/>
          <w:numId w:val="4"/>
        </w:numPr>
        <w:rPr>
          <w:rFonts w:cs="Arial"/>
        </w:rPr>
      </w:pPr>
      <w:r w:rsidRPr="3FB95C47">
        <w:rPr>
          <w:rFonts w:cs="Arial"/>
        </w:rPr>
        <w:t xml:space="preserve">In January, the CSA practice tests and accommodated training tests became available for the first time.  </w:t>
      </w:r>
    </w:p>
    <w:p w14:paraId="050E0BAE" w14:textId="280F1E43" w:rsidR="00EB000A" w:rsidRPr="005C3073" w:rsidRDefault="2D81D1FE" w:rsidP="00F95870">
      <w:pPr>
        <w:pStyle w:val="ListParagraph"/>
        <w:widowControl/>
        <w:numPr>
          <w:ilvl w:val="0"/>
          <w:numId w:val="4"/>
        </w:numPr>
      </w:pPr>
      <w:r>
        <w:t xml:space="preserve">In </w:t>
      </w:r>
      <w:r w:rsidR="456702CA">
        <w:t>February</w:t>
      </w:r>
      <w:r>
        <w:t>, Smarter Balanced released a</w:t>
      </w:r>
      <w:r w:rsidR="33440208">
        <w:t xml:space="preserve">n update to </w:t>
      </w:r>
      <w:r w:rsidR="6AE640F4">
        <w:t xml:space="preserve">its </w:t>
      </w:r>
      <w:r>
        <w:t xml:space="preserve">Sample Items </w:t>
      </w:r>
      <w:r w:rsidR="7FD9544F">
        <w:t>w</w:t>
      </w:r>
      <w:r>
        <w:t>eb</w:t>
      </w:r>
      <w:r w:rsidR="00BA4F64">
        <w:t xml:space="preserve"> page</w:t>
      </w:r>
      <w:r w:rsidR="7B2E70FF">
        <w:t>,</w:t>
      </w:r>
      <w:r>
        <w:t xml:space="preserve"> located at</w:t>
      </w:r>
      <w:r w:rsidR="00BA4F64">
        <w:t xml:space="preserve"> </w:t>
      </w:r>
      <w:hyperlink r:id="rId25" w:history="1">
        <w:r w:rsidR="00BA4F64" w:rsidRPr="00813BE3">
          <w:rPr>
            <w:rStyle w:val="Hyperlink"/>
          </w:rPr>
          <w:t>http://sampleitems.smarterbalanced.org/</w:t>
        </w:r>
      </w:hyperlink>
      <w:r>
        <w:t>,</w:t>
      </w:r>
      <w:r w:rsidR="00BA4F64">
        <w:t xml:space="preserve"> </w:t>
      </w:r>
      <w:r>
        <w:t>which allows parents/guardians, educators, and other stakeholders to explore and interact with sample questions</w:t>
      </w:r>
      <w:r w:rsidR="7B2E70FF">
        <w:t xml:space="preserve">. </w:t>
      </w:r>
      <w:r>
        <w:t xml:space="preserve">Viewers can use search filters to quickly find items </w:t>
      </w:r>
      <w:r w:rsidR="07B5171B">
        <w:t>on the basis of</w:t>
      </w:r>
      <w:r>
        <w:t xml:space="preserve"> grade, subject, claim, or item type. </w:t>
      </w:r>
      <w:r w:rsidR="5C844675">
        <w:t xml:space="preserve">The website was updated to allow users to print sample test items.  </w:t>
      </w:r>
    </w:p>
    <w:p w14:paraId="050E0BAF" w14:textId="2C2C9C08" w:rsidR="0019529B" w:rsidRPr="005C3073" w:rsidRDefault="00EB000A" w:rsidP="00F95870">
      <w:pPr>
        <w:pStyle w:val="ListParagraph"/>
        <w:widowControl/>
      </w:pPr>
      <w:r w:rsidRPr="005C3073">
        <w:t>Th</w:t>
      </w:r>
      <w:r w:rsidR="00987839">
        <w:t>is</w:t>
      </w:r>
      <w:r w:rsidRPr="005C3073">
        <w:t xml:space="preserve"> </w:t>
      </w:r>
      <w:r w:rsidR="003816E2" w:rsidRPr="005C3073">
        <w:t>w</w:t>
      </w:r>
      <w:r w:rsidRPr="005C3073">
        <w:t xml:space="preserve">ebsite presents a variety of item types used in Smarter Balanced assessments to measure </w:t>
      </w:r>
      <w:r w:rsidR="00466B7D" w:rsidRPr="005C3073">
        <w:t xml:space="preserve">what students know and can do. </w:t>
      </w:r>
      <w:r w:rsidRPr="005C3073">
        <w:t>The samples are not intended to be used as practice tests; rather, stakeholders can use them to better understand how Smarter Balanced measures college- and career-read</w:t>
      </w:r>
      <w:r w:rsidR="00250EBB" w:rsidRPr="005C3073">
        <w:t>iness</w:t>
      </w:r>
      <w:r w:rsidRPr="005C3073">
        <w:t xml:space="preserve"> content. </w:t>
      </w:r>
    </w:p>
    <w:p w14:paraId="050E0BB0" w14:textId="7F935327" w:rsidR="007959D5" w:rsidRPr="00A900E7" w:rsidRDefault="231F6273" w:rsidP="00F95870">
      <w:pPr>
        <w:pStyle w:val="ListParagraph"/>
        <w:widowControl/>
        <w:numPr>
          <w:ilvl w:val="0"/>
          <w:numId w:val="4"/>
        </w:numPr>
        <w:rPr>
          <w:rStyle w:val="Hyperlink"/>
          <w:rFonts w:cs="Arial"/>
          <w:color w:val="auto"/>
          <w:u w:val="none"/>
        </w:rPr>
      </w:pPr>
      <w:r w:rsidRPr="3FB95C47">
        <w:rPr>
          <w:rFonts w:cs="Arial"/>
          <w:color w:val="000000" w:themeColor="text1"/>
        </w:rPr>
        <w:t xml:space="preserve">The CAASPP </w:t>
      </w:r>
      <w:r w:rsidR="106C7910" w:rsidRPr="3FB95C47">
        <w:rPr>
          <w:rFonts w:cs="Arial"/>
          <w:color w:val="000000" w:themeColor="text1"/>
        </w:rPr>
        <w:t xml:space="preserve">Online </w:t>
      </w:r>
      <w:r w:rsidR="7B4A5B35" w:rsidRPr="3FB95C47">
        <w:rPr>
          <w:rFonts w:cs="Arial"/>
          <w:color w:val="000000" w:themeColor="text1"/>
        </w:rPr>
        <w:t xml:space="preserve">Practice and Training </w:t>
      </w:r>
      <w:r w:rsidR="106C7910" w:rsidRPr="3FB95C47">
        <w:rPr>
          <w:rFonts w:cs="Arial"/>
          <w:color w:val="000000" w:themeColor="text1"/>
        </w:rPr>
        <w:t xml:space="preserve">Tests </w:t>
      </w:r>
      <w:r w:rsidR="7B4A5B35" w:rsidRPr="3FB95C47">
        <w:rPr>
          <w:rFonts w:cs="Arial"/>
          <w:color w:val="000000" w:themeColor="text1"/>
        </w:rPr>
        <w:t>Portal</w:t>
      </w:r>
      <w:r w:rsidR="09DCDAD2" w:rsidRPr="3FB95C47">
        <w:rPr>
          <w:rFonts w:cs="Arial"/>
          <w:color w:val="000000" w:themeColor="text1"/>
        </w:rPr>
        <w:t>, located</w:t>
      </w:r>
      <w:r w:rsidR="72CB55D7" w:rsidRPr="3FB95C47">
        <w:rPr>
          <w:rFonts w:cs="Arial"/>
          <w:color w:val="000000" w:themeColor="text1"/>
        </w:rPr>
        <w:t xml:space="preserve"> </w:t>
      </w:r>
      <w:r w:rsidR="09DCDAD2" w:rsidRPr="3FB95C47">
        <w:rPr>
          <w:rFonts w:cs="Arial"/>
          <w:color w:val="000000" w:themeColor="text1"/>
        </w:rPr>
        <w:t xml:space="preserve">at </w:t>
      </w:r>
      <w:hyperlink r:id="rId26" w:tooltip="CAASPP Online Practice and Training Tests Portal">
        <w:r w:rsidR="0C06A695" w:rsidRPr="3FB95C47">
          <w:rPr>
            <w:rStyle w:val="Hyperlink"/>
            <w:rFonts w:cs="Arial"/>
          </w:rPr>
          <w:t>http://www.caaspp.org/practice-and-training/index.html</w:t>
        </w:r>
      </w:hyperlink>
      <w:r w:rsidR="09DCDAD2" w:rsidRPr="3FB95C47">
        <w:rPr>
          <w:rFonts w:cs="Arial"/>
          <w:color w:val="000000" w:themeColor="text1"/>
        </w:rPr>
        <w:t>, p</w:t>
      </w:r>
      <w:r w:rsidR="72CB55D7" w:rsidRPr="3FB95C47">
        <w:rPr>
          <w:rFonts w:cs="Arial"/>
          <w:color w:val="000000" w:themeColor="text1"/>
        </w:rPr>
        <w:t>rovided practice and training</w:t>
      </w:r>
      <w:r w:rsidR="7B4A5B35" w:rsidRPr="3FB95C47">
        <w:rPr>
          <w:rFonts w:cs="Arial"/>
          <w:color w:val="000000" w:themeColor="text1"/>
        </w:rPr>
        <w:t xml:space="preserve"> </w:t>
      </w:r>
      <w:r w:rsidR="72CB55D7" w:rsidRPr="3FB95C47">
        <w:rPr>
          <w:rFonts w:cs="Arial"/>
          <w:color w:val="000000" w:themeColor="text1"/>
        </w:rPr>
        <w:t xml:space="preserve">tests as well as scoring guides </w:t>
      </w:r>
      <w:r w:rsidR="5FB3FFEE" w:rsidRPr="3FB95C47">
        <w:rPr>
          <w:rFonts w:cs="Arial"/>
          <w:color w:val="000000" w:themeColor="text1"/>
        </w:rPr>
        <w:t xml:space="preserve">that mirror the depth and breadth of </w:t>
      </w:r>
      <w:r w:rsidR="2D05C3B5" w:rsidRPr="3FB95C47">
        <w:rPr>
          <w:rFonts w:cs="Arial"/>
          <w:color w:val="000000" w:themeColor="text1"/>
        </w:rPr>
        <w:t xml:space="preserve">the </w:t>
      </w:r>
      <w:r w:rsidR="5FB3FFEE" w:rsidRPr="3FB95C47">
        <w:rPr>
          <w:rFonts w:cs="Arial"/>
          <w:color w:val="000000" w:themeColor="text1"/>
        </w:rPr>
        <w:t>content of the operational test.</w:t>
      </w:r>
      <w:r w:rsidR="65E679ED" w:rsidRPr="3FB95C47">
        <w:rPr>
          <w:rFonts w:cs="Arial"/>
          <w:color w:val="000000" w:themeColor="text1"/>
        </w:rPr>
        <w:t xml:space="preserve"> Educators, students,</w:t>
      </w:r>
      <w:r w:rsidR="65E679ED" w:rsidRPr="3FB95C47">
        <w:rPr>
          <w:rFonts w:ascii="Helvetica" w:hAnsi="Helvetica" w:cs="Helvetica"/>
          <w:color w:val="000000" w:themeColor="text1"/>
        </w:rPr>
        <w:t xml:space="preserve"> </w:t>
      </w:r>
      <w:r w:rsidR="65E679ED">
        <w:t>parents</w:t>
      </w:r>
      <w:r w:rsidR="7D2ED94F">
        <w:t>/</w:t>
      </w:r>
      <w:r w:rsidR="65E679ED">
        <w:t xml:space="preserve">guardians, and other stakeholders </w:t>
      </w:r>
      <w:r w:rsidR="2D05C3B5">
        <w:t>can</w:t>
      </w:r>
      <w:r w:rsidR="65E679ED">
        <w:t xml:space="preserve"> view and try</w:t>
      </w:r>
      <w:r w:rsidR="2D05C3B5">
        <w:t xml:space="preserve"> </w:t>
      </w:r>
      <w:r w:rsidR="65E679ED">
        <w:t>out the tests</w:t>
      </w:r>
      <w:r w:rsidR="22C018BC">
        <w:t xml:space="preserve"> in the same way students encounter them on the Smarter Balanced Summative Assessments</w:t>
      </w:r>
      <w:r w:rsidR="65E679ED" w:rsidRPr="3FB95C47">
        <w:rPr>
          <w:rFonts w:cs="Arial"/>
        </w:rPr>
        <w:t>.</w:t>
      </w:r>
      <w:r w:rsidR="48D66FBF" w:rsidRPr="3FB95C47">
        <w:rPr>
          <w:rFonts w:cs="Arial"/>
          <w:color w:val="000000" w:themeColor="text1"/>
        </w:rPr>
        <w:t xml:space="preserve"> </w:t>
      </w:r>
      <w:r w:rsidR="48D13FF1" w:rsidRPr="3FB95C47">
        <w:rPr>
          <w:rFonts w:cs="Arial"/>
          <w:color w:val="000000" w:themeColor="text1"/>
        </w:rPr>
        <w:t>T</w:t>
      </w:r>
      <w:r w:rsidR="2D05C3B5" w:rsidRPr="3FB95C47">
        <w:rPr>
          <w:rFonts w:cs="Arial"/>
          <w:color w:val="000000" w:themeColor="text1"/>
        </w:rPr>
        <w:t xml:space="preserve">he portal </w:t>
      </w:r>
      <w:r w:rsidR="48D13FF1" w:rsidRPr="3FB95C47">
        <w:rPr>
          <w:rFonts w:cs="Arial"/>
          <w:color w:val="000000" w:themeColor="text1"/>
        </w:rPr>
        <w:t xml:space="preserve">offers </w:t>
      </w:r>
      <w:r w:rsidR="72CB55D7" w:rsidRPr="3FB95C47">
        <w:rPr>
          <w:rFonts w:cs="Arial"/>
          <w:color w:val="000000" w:themeColor="text1"/>
        </w:rPr>
        <w:t>the following practice and training tests:</w:t>
      </w:r>
    </w:p>
    <w:p w14:paraId="050E0BB1" w14:textId="0B5D6DFE" w:rsidR="007959D5" w:rsidRPr="00A900E7" w:rsidRDefault="231F6273" w:rsidP="002B1922">
      <w:pPr>
        <w:pStyle w:val="ListParagraph"/>
        <w:widowControl/>
        <w:numPr>
          <w:ilvl w:val="1"/>
          <w:numId w:val="43"/>
        </w:numPr>
        <w:spacing w:before="0" w:after="60"/>
        <w:rPr>
          <w:rFonts w:cs="Arial"/>
        </w:rPr>
      </w:pPr>
      <w:r w:rsidRPr="3FB95C47">
        <w:rPr>
          <w:rFonts w:cs="Arial"/>
          <w:color w:val="000000" w:themeColor="text1"/>
        </w:rPr>
        <w:t>Smarter Balanced</w:t>
      </w:r>
      <w:r w:rsidR="25DD6FB5" w:rsidRPr="3FB95C47">
        <w:rPr>
          <w:rFonts w:cs="Arial"/>
          <w:color w:val="000000" w:themeColor="text1"/>
        </w:rPr>
        <w:t xml:space="preserve"> </w:t>
      </w:r>
      <w:r w:rsidR="2D05C3B5" w:rsidRPr="3FB95C47">
        <w:rPr>
          <w:rFonts w:cs="Arial"/>
          <w:color w:val="000000" w:themeColor="text1"/>
        </w:rPr>
        <w:t xml:space="preserve">Summative </w:t>
      </w:r>
      <w:r w:rsidR="25DD6FB5" w:rsidRPr="3FB95C47">
        <w:rPr>
          <w:rFonts w:cs="Arial"/>
          <w:color w:val="000000" w:themeColor="text1"/>
        </w:rPr>
        <w:t>Assessment</w:t>
      </w:r>
      <w:r w:rsidR="2D05C3B5" w:rsidRPr="3FB95C47">
        <w:rPr>
          <w:rFonts w:cs="Arial"/>
          <w:color w:val="000000" w:themeColor="text1"/>
        </w:rPr>
        <w:t>s</w:t>
      </w:r>
      <w:r w:rsidR="72CB55D7" w:rsidRPr="3FB95C47">
        <w:rPr>
          <w:rFonts w:cs="Arial"/>
          <w:color w:val="000000" w:themeColor="text1"/>
        </w:rPr>
        <w:t xml:space="preserve"> </w:t>
      </w:r>
      <w:r w:rsidR="7E7394FA" w:rsidRPr="3FB95C47">
        <w:rPr>
          <w:rFonts w:cs="Arial"/>
          <w:color w:val="000000" w:themeColor="text1"/>
        </w:rPr>
        <w:t xml:space="preserve">for </w:t>
      </w:r>
      <w:r w:rsidRPr="3FB95C47">
        <w:rPr>
          <w:rFonts w:cs="Arial"/>
          <w:color w:val="000000" w:themeColor="text1"/>
        </w:rPr>
        <w:t xml:space="preserve">ELA and </w:t>
      </w:r>
      <w:r w:rsidR="72CB55D7" w:rsidRPr="3FB95C47">
        <w:rPr>
          <w:rFonts w:cs="Arial"/>
          <w:color w:val="000000" w:themeColor="text1"/>
        </w:rPr>
        <w:t>m</w:t>
      </w:r>
      <w:r w:rsidRPr="3FB95C47">
        <w:rPr>
          <w:rFonts w:cs="Arial"/>
          <w:color w:val="000000" w:themeColor="text1"/>
        </w:rPr>
        <w:t>athematics</w:t>
      </w:r>
    </w:p>
    <w:p w14:paraId="050E0BB2" w14:textId="1B63C0EE" w:rsidR="0016557C" w:rsidRPr="00A900E7" w:rsidRDefault="7E7394FA" w:rsidP="002B1922">
      <w:pPr>
        <w:pStyle w:val="ListParagraph"/>
        <w:widowControl/>
        <w:numPr>
          <w:ilvl w:val="1"/>
          <w:numId w:val="43"/>
        </w:numPr>
        <w:spacing w:before="0" w:after="60"/>
        <w:rPr>
          <w:rFonts w:cs="Arial"/>
        </w:rPr>
      </w:pPr>
      <w:r w:rsidRPr="3FB95C47">
        <w:rPr>
          <w:rFonts w:cs="Arial"/>
          <w:color w:val="000000" w:themeColor="text1"/>
        </w:rPr>
        <w:t>CAA</w:t>
      </w:r>
      <w:r w:rsidR="5C11D014" w:rsidRPr="3FB95C47">
        <w:rPr>
          <w:rFonts w:cs="Arial"/>
          <w:color w:val="000000" w:themeColor="text1"/>
        </w:rPr>
        <w:t>s</w:t>
      </w:r>
      <w:r w:rsidRPr="3FB95C47">
        <w:rPr>
          <w:rFonts w:cs="Arial"/>
          <w:color w:val="000000" w:themeColor="text1"/>
        </w:rPr>
        <w:t xml:space="preserve"> for </w:t>
      </w:r>
      <w:r w:rsidR="16FEE326" w:rsidRPr="3FB95C47">
        <w:rPr>
          <w:rFonts w:cs="Arial"/>
          <w:color w:val="000000" w:themeColor="text1"/>
        </w:rPr>
        <w:t xml:space="preserve">ELA and </w:t>
      </w:r>
      <w:r w:rsidR="72CB55D7" w:rsidRPr="3FB95C47">
        <w:rPr>
          <w:rFonts w:cs="Arial"/>
          <w:color w:val="000000" w:themeColor="text1"/>
        </w:rPr>
        <w:t>m</w:t>
      </w:r>
      <w:r w:rsidR="16FEE326" w:rsidRPr="3FB95C47">
        <w:rPr>
          <w:rFonts w:cs="Arial"/>
          <w:color w:val="000000" w:themeColor="text1"/>
        </w:rPr>
        <w:t>athematics</w:t>
      </w:r>
    </w:p>
    <w:p w14:paraId="050E0BB3" w14:textId="77777777" w:rsidR="0016557C" w:rsidRPr="00A900E7" w:rsidRDefault="16FEE326" w:rsidP="002B1922">
      <w:pPr>
        <w:pStyle w:val="ListParagraph"/>
        <w:widowControl/>
        <w:numPr>
          <w:ilvl w:val="1"/>
          <w:numId w:val="43"/>
        </w:numPr>
        <w:spacing w:before="0" w:after="60"/>
        <w:rPr>
          <w:rFonts w:cs="Arial"/>
        </w:rPr>
      </w:pPr>
      <w:r w:rsidRPr="3FB95C47">
        <w:rPr>
          <w:rFonts w:cs="Arial"/>
          <w:color w:val="000000" w:themeColor="text1"/>
        </w:rPr>
        <w:t>CAST</w:t>
      </w:r>
    </w:p>
    <w:p w14:paraId="050E0BB4" w14:textId="77777777" w:rsidR="00EE0F91" w:rsidRPr="00A900E7" w:rsidRDefault="5DCEF0B3" w:rsidP="002B1922">
      <w:pPr>
        <w:pStyle w:val="ListParagraph"/>
        <w:widowControl/>
        <w:numPr>
          <w:ilvl w:val="1"/>
          <w:numId w:val="43"/>
        </w:numPr>
        <w:spacing w:before="0" w:after="60"/>
        <w:rPr>
          <w:rFonts w:cs="Arial"/>
        </w:rPr>
      </w:pPr>
      <w:r w:rsidRPr="3FB95C47">
        <w:rPr>
          <w:rFonts w:cs="Arial"/>
        </w:rPr>
        <w:t>CAA for Science</w:t>
      </w:r>
    </w:p>
    <w:p w14:paraId="1A63F4D5" w14:textId="5C9DB217" w:rsidR="002D4B06" w:rsidRPr="007F17C2" w:rsidRDefault="4776CE18" w:rsidP="00AC6C10">
      <w:pPr>
        <w:pStyle w:val="ListParagraph"/>
        <w:widowControl/>
        <w:numPr>
          <w:ilvl w:val="1"/>
          <w:numId w:val="24"/>
        </w:numPr>
        <w:ind w:left="720"/>
        <w:rPr>
          <w:rFonts w:cs="Arial"/>
        </w:rPr>
      </w:pPr>
      <w:r w:rsidRPr="3FB95C47">
        <w:rPr>
          <w:rFonts w:cs="Arial"/>
          <w:color w:val="000000" w:themeColor="text1"/>
        </w:rPr>
        <w:t xml:space="preserve">In November, </w:t>
      </w:r>
      <w:r w:rsidR="0EE6DA7D" w:rsidRPr="3FB95C47">
        <w:rPr>
          <w:rFonts w:cs="Arial"/>
          <w:color w:val="000000" w:themeColor="text1"/>
        </w:rPr>
        <w:t xml:space="preserve">new online practice tests and updated training tests </w:t>
      </w:r>
      <w:r w:rsidRPr="3FB95C47">
        <w:rPr>
          <w:rFonts w:cs="Arial"/>
          <w:color w:val="000000" w:themeColor="text1"/>
        </w:rPr>
        <w:t xml:space="preserve">were made available </w:t>
      </w:r>
      <w:r w:rsidR="57F8A6C3" w:rsidRPr="3FB95C47">
        <w:rPr>
          <w:rFonts w:cs="Arial"/>
          <w:color w:val="000000" w:themeColor="text1"/>
        </w:rPr>
        <w:t xml:space="preserve">for </w:t>
      </w:r>
      <w:r w:rsidR="0551C96F" w:rsidRPr="3FB95C47">
        <w:rPr>
          <w:rFonts w:cs="Arial"/>
          <w:color w:val="000000" w:themeColor="text1"/>
        </w:rPr>
        <w:t xml:space="preserve">the </w:t>
      </w:r>
      <w:r w:rsidR="31B62290" w:rsidRPr="3FB95C47">
        <w:rPr>
          <w:rFonts w:cs="Arial"/>
          <w:color w:val="000000" w:themeColor="text1"/>
        </w:rPr>
        <w:t>CAST</w:t>
      </w:r>
      <w:r w:rsidR="0551C96F" w:rsidRPr="3FB95C47">
        <w:rPr>
          <w:rFonts w:cs="Arial"/>
          <w:color w:val="000000" w:themeColor="text1"/>
        </w:rPr>
        <w:t>.</w:t>
      </w:r>
      <w:r w:rsidR="31B62290" w:rsidRPr="3FB95C47">
        <w:rPr>
          <w:rFonts w:cs="Arial"/>
          <w:color w:val="000000" w:themeColor="text1"/>
        </w:rPr>
        <w:t xml:space="preserve"> One test per grade</w:t>
      </w:r>
      <w:r w:rsidR="0551C96F" w:rsidRPr="3FB95C47">
        <w:rPr>
          <w:rFonts w:cs="Arial"/>
          <w:color w:val="000000" w:themeColor="text1"/>
        </w:rPr>
        <w:t>/grade span</w:t>
      </w:r>
      <w:r w:rsidR="31B62290" w:rsidRPr="3FB95C47">
        <w:rPr>
          <w:rFonts w:cs="Arial"/>
          <w:color w:val="000000" w:themeColor="text1"/>
        </w:rPr>
        <w:t xml:space="preserve"> (grade five</w:t>
      </w:r>
      <w:r w:rsidR="0551C96F" w:rsidRPr="3FB95C47">
        <w:rPr>
          <w:rFonts w:cs="Arial"/>
          <w:color w:val="000000" w:themeColor="text1"/>
        </w:rPr>
        <w:t>, grade</w:t>
      </w:r>
      <w:r w:rsidR="31B62290" w:rsidRPr="3FB95C47">
        <w:rPr>
          <w:rFonts w:cs="Arial"/>
          <w:color w:val="000000" w:themeColor="text1"/>
        </w:rPr>
        <w:t xml:space="preserve"> eight</w:t>
      </w:r>
      <w:r w:rsidR="0551C96F" w:rsidRPr="3FB95C47">
        <w:rPr>
          <w:rFonts w:cs="Arial"/>
          <w:color w:val="000000" w:themeColor="text1"/>
        </w:rPr>
        <w:t>,</w:t>
      </w:r>
      <w:r w:rsidR="31B62290" w:rsidRPr="3FB95C47">
        <w:rPr>
          <w:rFonts w:cs="Arial"/>
          <w:color w:val="000000" w:themeColor="text1"/>
        </w:rPr>
        <w:t xml:space="preserve"> and high school) is available</w:t>
      </w:r>
      <w:r w:rsidR="51043168" w:rsidRPr="3FB95C47">
        <w:rPr>
          <w:rFonts w:cs="Arial"/>
          <w:color w:val="000000" w:themeColor="text1"/>
        </w:rPr>
        <w:t xml:space="preserve">. </w:t>
      </w:r>
      <w:r w:rsidR="511D256A" w:rsidRPr="3FB95C47">
        <w:rPr>
          <w:rFonts w:cs="Arial"/>
          <w:color w:val="000000" w:themeColor="text1"/>
        </w:rPr>
        <w:t>In addition</w:t>
      </w:r>
      <w:r w:rsidR="31B62290" w:rsidRPr="3FB95C47">
        <w:rPr>
          <w:rFonts w:cs="Arial"/>
          <w:color w:val="000000" w:themeColor="text1"/>
        </w:rPr>
        <w:t>, three performance tasks—one from each science domain—</w:t>
      </w:r>
      <w:r w:rsidR="70EE0A96" w:rsidRPr="3FB95C47">
        <w:rPr>
          <w:rFonts w:cs="Arial"/>
          <w:color w:val="000000" w:themeColor="text1"/>
        </w:rPr>
        <w:t xml:space="preserve">were </w:t>
      </w:r>
      <w:r w:rsidR="31B62290" w:rsidRPr="3FB95C47">
        <w:rPr>
          <w:rFonts w:cs="Arial"/>
          <w:color w:val="000000" w:themeColor="text1"/>
        </w:rPr>
        <w:t>included</w:t>
      </w:r>
      <w:r w:rsidR="52F0589B" w:rsidRPr="3FB95C47">
        <w:rPr>
          <w:rFonts w:cs="Arial"/>
          <w:color w:val="000000" w:themeColor="text1"/>
        </w:rPr>
        <w:t xml:space="preserve"> </w:t>
      </w:r>
      <w:r w:rsidR="6341CAF0" w:rsidRPr="3FB95C47">
        <w:rPr>
          <w:rFonts w:cs="Arial"/>
          <w:color w:val="000000" w:themeColor="text1"/>
        </w:rPr>
        <w:t xml:space="preserve">in the </w:t>
      </w:r>
      <w:r w:rsidR="31B62290" w:rsidRPr="3FB95C47">
        <w:rPr>
          <w:rFonts w:cs="Arial"/>
        </w:rPr>
        <w:t xml:space="preserve">CAA for Science field test online training performance task, </w:t>
      </w:r>
      <w:r w:rsidR="70EE0A96" w:rsidRPr="3FB95C47">
        <w:rPr>
          <w:rFonts w:cs="Arial"/>
        </w:rPr>
        <w:t>assessing</w:t>
      </w:r>
      <w:r w:rsidR="31B62290" w:rsidRPr="3FB95C47">
        <w:rPr>
          <w:rFonts w:cs="Arial"/>
        </w:rPr>
        <w:t xml:space="preserve"> two Science Connectors—Life Sciences </w:t>
      </w:r>
      <w:r w:rsidR="31B62290" w:rsidRPr="3FB95C47">
        <w:rPr>
          <w:rFonts w:cs="Arial"/>
        </w:rPr>
        <w:lastRenderedPageBreak/>
        <w:t>and Physical Sciences</w:t>
      </w:r>
      <w:r w:rsidR="3FF62937" w:rsidRPr="3FB95C47">
        <w:rPr>
          <w:rFonts w:cs="Arial"/>
        </w:rPr>
        <w:t>.</w:t>
      </w:r>
      <w:r w:rsidR="52F0589B" w:rsidRPr="3FB95C47">
        <w:rPr>
          <w:rFonts w:cs="Arial"/>
        </w:rPr>
        <w:t xml:space="preserve"> </w:t>
      </w:r>
      <w:r w:rsidR="569D4F35" w:rsidRPr="3FB95C47">
        <w:rPr>
          <w:rFonts w:cs="Arial"/>
        </w:rPr>
        <w:t>The CSA acco</w:t>
      </w:r>
      <w:r w:rsidR="6E954B64" w:rsidRPr="3FB95C47">
        <w:rPr>
          <w:rFonts w:cs="Arial"/>
        </w:rPr>
        <w:t>m</w:t>
      </w:r>
      <w:r w:rsidR="569D4F35" w:rsidRPr="3FB95C47">
        <w:rPr>
          <w:rFonts w:cs="Arial"/>
        </w:rPr>
        <w:t>modated practice tests were also made available.</w:t>
      </w:r>
    </w:p>
    <w:p w14:paraId="050E0BB7" w14:textId="77777777" w:rsidR="00A43295" w:rsidRPr="00C22E49" w:rsidRDefault="003B2EC1" w:rsidP="00F95870">
      <w:pPr>
        <w:pStyle w:val="Heading3"/>
        <w:widowControl/>
        <w:rPr>
          <w:i w:val="0"/>
          <w:sz w:val="28"/>
          <w:szCs w:val="28"/>
        </w:rPr>
      </w:pPr>
      <w:bookmarkStart w:id="15" w:name="_Toc2346304"/>
      <w:bookmarkStart w:id="16" w:name="_Toc43122200"/>
      <w:r w:rsidRPr="00C22E49">
        <w:rPr>
          <w:b/>
          <w:i w:val="0"/>
          <w:sz w:val="28"/>
          <w:szCs w:val="28"/>
        </w:rPr>
        <w:t>Regulations</w:t>
      </w:r>
      <w:bookmarkEnd w:id="15"/>
      <w:bookmarkEnd w:id="16"/>
    </w:p>
    <w:p w14:paraId="6DE6B39B" w14:textId="77777777" w:rsidR="00100386" w:rsidRPr="005C3073" w:rsidRDefault="00100386" w:rsidP="00100386">
      <w:pPr>
        <w:widowControl/>
      </w:pPr>
      <w:r w:rsidRPr="005C3073">
        <w:t xml:space="preserve">There were no changes for this reporting period. </w:t>
      </w:r>
    </w:p>
    <w:p w14:paraId="050E0BB9" w14:textId="5845D767" w:rsidR="00EB000A" w:rsidRPr="00C22E49" w:rsidRDefault="00EB000A" w:rsidP="00F95870">
      <w:pPr>
        <w:pStyle w:val="Heading3"/>
        <w:widowControl/>
        <w:rPr>
          <w:i w:val="0"/>
          <w:sz w:val="28"/>
          <w:szCs w:val="28"/>
        </w:rPr>
      </w:pPr>
      <w:bookmarkStart w:id="17" w:name="_Toc2346305"/>
      <w:bookmarkStart w:id="18" w:name="_Toc43122201"/>
      <w:r w:rsidRPr="00C22E49">
        <w:rPr>
          <w:b/>
          <w:i w:val="0"/>
          <w:sz w:val="28"/>
          <w:szCs w:val="28"/>
        </w:rPr>
        <w:t>C</w:t>
      </w:r>
      <w:r w:rsidR="003B2EC1" w:rsidRPr="00C22E49">
        <w:rPr>
          <w:b/>
          <w:i w:val="0"/>
          <w:sz w:val="28"/>
          <w:szCs w:val="28"/>
        </w:rPr>
        <w:t>ontracts</w:t>
      </w:r>
      <w:bookmarkEnd w:id="17"/>
      <w:bookmarkEnd w:id="18"/>
    </w:p>
    <w:p w14:paraId="050E0BBA" w14:textId="6E363638" w:rsidR="00BD33C7" w:rsidRDefault="00313A70" w:rsidP="00F95870">
      <w:pPr>
        <w:widowControl/>
      </w:pPr>
      <w:r>
        <w:t>There were no changes for this reporting period.</w:t>
      </w:r>
    </w:p>
    <w:p w14:paraId="050E0BBB" w14:textId="77777777" w:rsidR="00EA0CD9" w:rsidRPr="00C22E49" w:rsidRDefault="007917EA" w:rsidP="00F95870">
      <w:pPr>
        <w:pStyle w:val="Heading3"/>
        <w:widowControl/>
        <w:rPr>
          <w:b/>
          <w:i w:val="0"/>
          <w:sz w:val="28"/>
          <w:szCs w:val="28"/>
        </w:rPr>
      </w:pPr>
      <w:bookmarkStart w:id="19" w:name="_Toc2346306"/>
      <w:bookmarkStart w:id="20" w:name="_Toc43122202"/>
      <w:r w:rsidRPr="00C22E49">
        <w:rPr>
          <w:b/>
          <w:i w:val="0"/>
          <w:sz w:val="28"/>
          <w:szCs w:val="28"/>
        </w:rPr>
        <w:t>Technology Readiness</w:t>
      </w:r>
      <w:bookmarkEnd w:id="19"/>
      <w:bookmarkEnd w:id="20"/>
    </w:p>
    <w:p w14:paraId="050E0BBC" w14:textId="57F9D05F" w:rsidR="00EB000A" w:rsidRPr="005C3073" w:rsidRDefault="438D4E82" w:rsidP="58CF3974">
      <w:pPr>
        <w:widowControl/>
        <w:rPr>
          <w:b/>
          <w:bCs/>
        </w:rPr>
      </w:pPr>
      <w:r>
        <w:t>The</w:t>
      </w:r>
      <w:r w:rsidR="218F90B6">
        <w:t xml:space="preserve"> </w:t>
      </w:r>
      <w:r w:rsidR="00B369B6">
        <w:t xml:space="preserve">2020 </w:t>
      </w:r>
      <w:r w:rsidR="218F90B6">
        <w:t>implementation activities in support of technology readiness were as follows:</w:t>
      </w:r>
    </w:p>
    <w:p w14:paraId="7E41A652" w14:textId="2CC10729" w:rsidR="00664CE3" w:rsidRPr="00BC7AFC" w:rsidRDefault="5E8C8489" w:rsidP="3FB95C47">
      <w:pPr>
        <w:pStyle w:val="ListParagraph"/>
        <w:widowControl/>
        <w:numPr>
          <w:ilvl w:val="0"/>
          <w:numId w:val="5"/>
        </w:numPr>
        <w:spacing w:before="0" w:after="0"/>
        <w:rPr>
          <w:rFonts w:asciiTheme="minorHAnsi" w:eastAsiaTheme="minorEastAsia" w:hAnsiTheme="minorHAnsi" w:cstheme="minorBidi"/>
          <w:snapToGrid/>
        </w:rPr>
      </w:pPr>
      <w:r w:rsidRPr="3FB95C47">
        <w:rPr>
          <w:rFonts w:cs="Arial"/>
        </w:rPr>
        <w:t>The CDE continued to assist the K–12 High Speed Network with the implementation of the Broadband Infrastructure Improvement Grant (BIIG) program. As of December 31, all of the 164 BIIG 1.0 projects were completed; of the 267 BIIG 2.0 projects, 245 were completed.</w:t>
      </w:r>
    </w:p>
    <w:p w14:paraId="050E0BBE" w14:textId="6E0FF6C2" w:rsidR="000D5AC9" w:rsidRDefault="0AFEB030" w:rsidP="00AC6C10">
      <w:pPr>
        <w:pStyle w:val="ListParagraph"/>
        <w:widowControl/>
        <w:numPr>
          <w:ilvl w:val="0"/>
          <w:numId w:val="5"/>
        </w:numPr>
      </w:pPr>
      <w:r>
        <w:t>The CDE continue</w:t>
      </w:r>
      <w:r w:rsidR="63A4EC88">
        <w:t>d</w:t>
      </w:r>
      <w:r>
        <w:t xml:space="preserve"> to work with its contractor to enhance the Assessment Technology Platform solution to implement efficiencies and improve user experience with the California Assessment Delivery System, includ</w:t>
      </w:r>
      <w:r w:rsidR="63A4EC88">
        <w:t>ing</w:t>
      </w:r>
      <w:r>
        <w:t xml:space="preserve"> all components required to deliver the Smarter Balanced and non-Smarter Balanced assessments</w:t>
      </w:r>
      <w:r w:rsidR="4EA373BF">
        <w:t xml:space="preserve">, </w:t>
      </w:r>
      <w:r>
        <w:t xml:space="preserve">which include </w:t>
      </w:r>
      <w:r w:rsidR="15C4E9EF">
        <w:t xml:space="preserve">the </w:t>
      </w:r>
      <w:r>
        <w:t>CAST, CAAs, and CSA.</w:t>
      </w:r>
    </w:p>
    <w:p w14:paraId="050E0BC1" w14:textId="77777777" w:rsidR="00852149" w:rsidRPr="00BA4F64" w:rsidRDefault="44AA6AE9" w:rsidP="00F95870">
      <w:pPr>
        <w:pStyle w:val="Heading3"/>
        <w:widowControl/>
        <w:rPr>
          <w:i w:val="0"/>
          <w:sz w:val="28"/>
          <w:szCs w:val="28"/>
        </w:rPr>
      </w:pPr>
      <w:bookmarkStart w:id="21" w:name="_Toc2346307"/>
      <w:bookmarkStart w:id="22" w:name="_Toc43122203"/>
      <w:r w:rsidRPr="00BA4F64">
        <w:rPr>
          <w:b/>
          <w:bCs/>
          <w:i w:val="0"/>
          <w:sz w:val="28"/>
          <w:szCs w:val="28"/>
        </w:rPr>
        <w:t>Test Security</w:t>
      </w:r>
      <w:bookmarkEnd w:id="21"/>
      <w:bookmarkEnd w:id="22"/>
      <w:r w:rsidRPr="00BA4F64">
        <w:rPr>
          <w:b/>
          <w:bCs/>
          <w:i w:val="0"/>
          <w:sz w:val="28"/>
          <w:szCs w:val="28"/>
        </w:rPr>
        <w:t xml:space="preserve"> </w:t>
      </w:r>
    </w:p>
    <w:p w14:paraId="050E0BC2" w14:textId="77777777" w:rsidR="00513145" w:rsidRPr="005C3073" w:rsidRDefault="00CE2423" w:rsidP="00F95870">
      <w:pPr>
        <w:widowControl/>
        <w:rPr>
          <w:b/>
        </w:rPr>
      </w:pPr>
      <w:r w:rsidRPr="005C3073">
        <w:t>N</w:t>
      </w:r>
      <w:r w:rsidR="00852149" w:rsidRPr="005C3073">
        <w:t xml:space="preserve">o </w:t>
      </w:r>
      <w:r w:rsidR="00FB7981" w:rsidRPr="005C3073">
        <w:t xml:space="preserve">test security incidents </w:t>
      </w:r>
      <w:r w:rsidRPr="005C3073">
        <w:t xml:space="preserve">occurred </w:t>
      </w:r>
      <w:r w:rsidR="00434626" w:rsidRPr="005C3073">
        <w:t xml:space="preserve">that </w:t>
      </w:r>
      <w:r w:rsidR="00FB7981" w:rsidRPr="005C3073">
        <w:t xml:space="preserve">compromised the integrity of the assessments </w:t>
      </w:r>
      <w:r w:rsidR="00852149" w:rsidRPr="005C3073">
        <w:t>for this reporting period.</w:t>
      </w:r>
    </w:p>
    <w:p w14:paraId="050E0BC3" w14:textId="77777777" w:rsidR="001B6ECA" w:rsidRPr="00C22E49" w:rsidRDefault="003B2EC1" w:rsidP="00F95870">
      <w:pPr>
        <w:pStyle w:val="Heading3"/>
        <w:widowControl/>
        <w:rPr>
          <w:i w:val="0"/>
          <w:sz w:val="28"/>
          <w:szCs w:val="28"/>
        </w:rPr>
      </w:pPr>
      <w:bookmarkStart w:id="23" w:name="_Toc2346308"/>
      <w:bookmarkStart w:id="24" w:name="_Toc43122204"/>
      <w:r w:rsidRPr="00C22E49">
        <w:rPr>
          <w:b/>
          <w:i w:val="0"/>
          <w:sz w:val="28"/>
          <w:szCs w:val="28"/>
        </w:rPr>
        <w:t>Performance Standards</w:t>
      </w:r>
      <w:bookmarkEnd w:id="23"/>
      <w:bookmarkEnd w:id="24"/>
    </w:p>
    <w:p w14:paraId="050E0BC4" w14:textId="77777777" w:rsidR="00EB000A" w:rsidRPr="005C3073" w:rsidRDefault="00331F5A" w:rsidP="00F95870">
      <w:pPr>
        <w:widowControl/>
      </w:pPr>
      <w:r w:rsidRPr="005C3073">
        <w:t>The</w:t>
      </w:r>
      <w:r w:rsidR="00123E4D" w:rsidRPr="005C3073">
        <w:t>re were no changes for this reporting period.</w:t>
      </w:r>
      <w:r w:rsidRPr="005C3073">
        <w:t xml:space="preserve"> </w:t>
      </w:r>
    </w:p>
    <w:p w14:paraId="050E0BC5" w14:textId="77777777" w:rsidR="0008601A" w:rsidRPr="00C22E49" w:rsidRDefault="5F793B92" w:rsidP="00F95870">
      <w:pPr>
        <w:pStyle w:val="Heading3"/>
        <w:widowControl/>
        <w:rPr>
          <w:i w:val="0"/>
          <w:sz w:val="28"/>
          <w:szCs w:val="28"/>
        </w:rPr>
      </w:pPr>
      <w:bookmarkStart w:id="25" w:name="_Toc2346309"/>
      <w:bookmarkStart w:id="26" w:name="_Toc43122205"/>
      <w:r w:rsidRPr="00C22E49">
        <w:rPr>
          <w:b/>
          <w:bCs/>
          <w:i w:val="0"/>
          <w:sz w:val="28"/>
          <w:szCs w:val="28"/>
        </w:rPr>
        <w:t>Reporting of Results</w:t>
      </w:r>
      <w:bookmarkEnd w:id="25"/>
      <w:bookmarkEnd w:id="26"/>
    </w:p>
    <w:p w14:paraId="050E0BC6" w14:textId="33C6D6BF" w:rsidR="0008601A" w:rsidRDefault="00100386" w:rsidP="00F95870">
      <w:pPr>
        <w:widowControl/>
      </w:pPr>
      <w:r>
        <w:t>Due to the statewide suspension of all testing in March 2020, an insufficient number of students completed testing to warrant the publishing of statewide assessment results. Only students who completed testing prior to the suspension of testing received a student score report.</w:t>
      </w:r>
      <w:r w:rsidRPr="005C3073" w:rsidDel="00100386">
        <w:t xml:space="preserve"> </w:t>
      </w:r>
    </w:p>
    <w:p w14:paraId="050E0BD5" w14:textId="4F834B1A" w:rsidR="000B73BD" w:rsidRPr="00C22E49" w:rsidRDefault="000B73BD" w:rsidP="00757A3B">
      <w:pPr>
        <w:pStyle w:val="Heading3"/>
        <w:widowControl/>
        <w:rPr>
          <w:i w:val="0"/>
          <w:sz w:val="28"/>
          <w:szCs w:val="28"/>
        </w:rPr>
      </w:pPr>
      <w:bookmarkStart w:id="27" w:name="_Toc2346310"/>
      <w:bookmarkStart w:id="28" w:name="_Toc43122206"/>
      <w:bookmarkStart w:id="29" w:name="_Hlk34299491"/>
      <w:r w:rsidRPr="00C22E49">
        <w:rPr>
          <w:b/>
          <w:i w:val="0"/>
          <w:sz w:val="28"/>
          <w:szCs w:val="28"/>
        </w:rPr>
        <w:lastRenderedPageBreak/>
        <w:t>Peer Review Status</w:t>
      </w:r>
      <w:bookmarkEnd w:id="27"/>
      <w:bookmarkEnd w:id="28"/>
    </w:p>
    <w:p w14:paraId="2948C00A" w14:textId="77777777" w:rsidR="00B3287C" w:rsidRPr="002B1922" w:rsidRDefault="00B3287C" w:rsidP="00757A3B">
      <w:pPr>
        <w:pStyle w:val="Heading4"/>
        <w:keepLines/>
        <w:rPr>
          <w:rFonts w:cs="Arial"/>
          <w:bCs/>
          <w:snapToGrid/>
          <w:sz w:val="24"/>
          <w:szCs w:val="24"/>
        </w:rPr>
      </w:pPr>
      <w:r w:rsidRPr="002B1922">
        <w:rPr>
          <w:rFonts w:cs="Arial"/>
          <w:bCs/>
          <w:iCs/>
          <w:sz w:val="24"/>
          <w:szCs w:val="24"/>
        </w:rPr>
        <w:t>Federal Peer Review Submission Update</w:t>
      </w:r>
    </w:p>
    <w:p w14:paraId="66FC1234" w14:textId="36DF5EFE" w:rsidR="00B3287C" w:rsidRDefault="00B3287C" w:rsidP="00757A3B">
      <w:pPr>
        <w:keepNext/>
        <w:keepLines/>
        <w:rPr>
          <w:rFonts w:eastAsiaTheme="minorHAnsi" w:cs="Arial"/>
        </w:rPr>
      </w:pPr>
      <w:bookmarkStart w:id="30" w:name="_Hlk33565433"/>
      <w:r>
        <w:rPr>
          <w:rFonts w:cs="Arial"/>
        </w:rPr>
        <w:t>The CDE is required to submit to the U</w:t>
      </w:r>
      <w:r w:rsidR="00C22E49">
        <w:rPr>
          <w:rFonts w:cs="Arial"/>
        </w:rPr>
        <w:t>.</w:t>
      </w:r>
      <w:r>
        <w:rPr>
          <w:rFonts w:cs="Arial"/>
        </w:rPr>
        <w:t>S</w:t>
      </w:r>
      <w:r w:rsidR="00C22E49">
        <w:rPr>
          <w:rFonts w:cs="Arial"/>
        </w:rPr>
        <w:t>.</w:t>
      </w:r>
      <w:r>
        <w:rPr>
          <w:rFonts w:cs="Arial"/>
        </w:rPr>
        <w:t xml:space="preserve"> Department of Education (ED) documents demonstrating that California’s assessments meet the requirements for validity, reliability, and fairness established for states by ESSA. As new assessments become operational, the CDE must provide additional evidence for peer review, covering each assessment that is required under ESSA. The peer</w:t>
      </w:r>
      <w:r w:rsidR="004D77D1">
        <w:rPr>
          <w:rFonts w:cs="Arial"/>
        </w:rPr>
        <w:t xml:space="preserve"> </w:t>
      </w:r>
      <w:r>
        <w:rPr>
          <w:rFonts w:cs="Arial"/>
        </w:rPr>
        <w:t xml:space="preserve">review process is often an iterative one, with states submitting additional evidence to meet the requirements as it becomes available. The status of each California assessment subject to the peer review process is described below. </w:t>
      </w:r>
    </w:p>
    <w:p w14:paraId="6F53352C" w14:textId="05DDCA32" w:rsidR="00B3287C" w:rsidRPr="00B3287C" w:rsidRDefault="084ED4E4" w:rsidP="54FDBCFC">
      <w:pPr>
        <w:pStyle w:val="ListParagraph"/>
        <w:widowControl/>
        <w:numPr>
          <w:ilvl w:val="0"/>
          <w:numId w:val="26"/>
        </w:numPr>
        <w:ind w:left="720"/>
        <w:rPr>
          <w:rFonts w:cs="Arial"/>
        </w:rPr>
      </w:pPr>
      <w:r w:rsidRPr="3FB95C47">
        <w:rPr>
          <w:b/>
          <w:bCs/>
        </w:rPr>
        <w:t xml:space="preserve">Smarter Balanced Summative Assessments for ELA and </w:t>
      </w:r>
      <w:r w:rsidR="55EFE7AB" w:rsidRPr="3FB95C47">
        <w:rPr>
          <w:b/>
          <w:bCs/>
        </w:rPr>
        <w:t>m</w:t>
      </w:r>
      <w:r w:rsidRPr="3FB95C47">
        <w:rPr>
          <w:b/>
          <w:bCs/>
        </w:rPr>
        <w:t>athematics.</w:t>
      </w:r>
      <w:r>
        <w:t xml:space="preserve"> In June 2016, in collaboration with the Consortium, the CDE submitted evidence for peer review of the Smarter Balanced Summative Assessments for ELA and mathematics. There are four possible outcomes of the peer review: meets requirements, substantially meets requirements, partially meets requirements, and does not meet requirements. Both “meets requirements” and “substantially meets requirements” are passing results for peer review. The outcome of this submission was a rating of “substantially meets requirements.” As part of the review, the ED requested additional evidence related to the monitoring of assessment processes for students with special education needs, and the final pieces of evidence </w:t>
      </w:r>
      <w:r w:rsidR="256A1733">
        <w:t>were</w:t>
      </w:r>
      <w:r>
        <w:t xml:space="preserve"> submitted in </w:t>
      </w:r>
      <w:r w:rsidR="5C37F890">
        <w:t xml:space="preserve">December </w:t>
      </w:r>
      <w:r>
        <w:t>2020.</w:t>
      </w:r>
    </w:p>
    <w:p w14:paraId="662BC27B" w14:textId="616B754D" w:rsidR="00B3287C" w:rsidRDefault="084ED4E4" w:rsidP="54FDBCFC">
      <w:pPr>
        <w:pStyle w:val="ListParagraph"/>
        <w:widowControl/>
        <w:numPr>
          <w:ilvl w:val="0"/>
          <w:numId w:val="26"/>
        </w:numPr>
        <w:ind w:left="720"/>
      </w:pPr>
      <w:r w:rsidRPr="3FB95C47">
        <w:rPr>
          <w:b/>
          <w:bCs/>
        </w:rPr>
        <w:t xml:space="preserve">CAAs for ELA and </w:t>
      </w:r>
      <w:r w:rsidR="55EFE7AB" w:rsidRPr="3FB95C47">
        <w:rPr>
          <w:b/>
          <w:bCs/>
        </w:rPr>
        <w:t>m</w:t>
      </w:r>
      <w:r w:rsidRPr="3FB95C47">
        <w:rPr>
          <w:b/>
          <w:bCs/>
        </w:rPr>
        <w:t>athematics.</w:t>
      </w:r>
      <w:r>
        <w:t xml:space="preserve"> In December 2017, the CDE submitted peer-review evidence for the CAAs for ELA and mathematics, which were first administered operationally in 2016. More than 150 documents were submitted, covering the test development process, test alignment, test administration, test and data security, reporting of results, and analyses of test performance. The outcome of this submission was a rating of “substantially meets requirements.” As part of the review, the ED requested additional evidence for both ELA and mathematics related to the statistical dimensionality of the assessments and the process for determining the scoring reliability for items based on rubrics</w:t>
      </w:r>
      <w:r w:rsidR="3350CBE6">
        <w:t>. Supporting evidence was submitted</w:t>
      </w:r>
      <w:r>
        <w:t xml:space="preserve"> in December 2020.</w:t>
      </w:r>
    </w:p>
    <w:p w14:paraId="37D0DF4C" w14:textId="67EB3B81" w:rsidR="00B3287C" w:rsidRPr="008B48B9" w:rsidRDefault="084ED4E4" w:rsidP="54FDBCFC">
      <w:pPr>
        <w:pStyle w:val="ListParagraph"/>
        <w:widowControl/>
        <w:numPr>
          <w:ilvl w:val="0"/>
          <w:numId w:val="26"/>
        </w:numPr>
        <w:ind w:left="720"/>
      </w:pPr>
      <w:r w:rsidRPr="3FB95C47">
        <w:rPr>
          <w:b/>
          <w:bCs/>
        </w:rPr>
        <w:t>CAA for Science.</w:t>
      </w:r>
      <w:r>
        <w:t xml:space="preserve"> The first operational administration of the CAA for Science </w:t>
      </w:r>
      <w:r w:rsidR="3389A689">
        <w:t xml:space="preserve">was planned for </w:t>
      </w:r>
      <w:r>
        <w:t>the 2019–2020 school year</w:t>
      </w:r>
      <w:r w:rsidR="1C58B613">
        <w:t>; however</w:t>
      </w:r>
      <w:r w:rsidR="6DB767A4">
        <w:t>, due to the COVID-19 pandemic</w:t>
      </w:r>
      <w:r w:rsidR="7C4B00EB">
        <w:t>,</w:t>
      </w:r>
      <w:r w:rsidR="6DB767A4">
        <w:t xml:space="preserve"> all state</w:t>
      </w:r>
      <w:r w:rsidR="53F73879">
        <w:t>wide testing was suspended</w:t>
      </w:r>
      <w:r>
        <w:t xml:space="preserve">. </w:t>
      </w:r>
      <w:r w:rsidR="53F73879">
        <w:t xml:space="preserve">As a result, there was an insufficient number of students </w:t>
      </w:r>
      <w:r w:rsidR="7C4B00EB">
        <w:t xml:space="preserve">who were </w:t>
      </w:r>
      <w:r w:rsidR="53F73879">
        <w:t xml:space="preserve">administered the CAA for Science for the CDE and its testing contractor to complete the necessary development work to operationalize the CAA for Science. </w:t>
      </w:r>
      <w:r>
        <w:t xml:space="preserve">The </w:t>
      </w:r>
      <w:r w:rsidR="40B9EA87">
        <w:t xml:space="preserve">CDE expects to submit evidence to </w:t>
      </w:r>
      <w:r w:rsidR="7C4B00EB">
        <w:t xml:space="preserve">the </w:t>
      </w:r>
      <w:r>
        <w:t xml:space="preserve">ED </w:t>
      </w:r>
      <w:r w:rsidR="2F7C25FB">
        <w:t xml:space="preserve">for </w:t>
      </w:r>
      <w:r w:rsidR="7C4B00EB">
        <w:t xml:space="preserve">the </w:t>
      </w:r>
      <w:r w:rsidR="2F7C25FB">
        <w:t xml:space="preserve">CAA for Science </w:t>
      </w:r>
      <w:r w:rsidR="2F0E3D03">
        <w:t>in 2022–23.</w:t>
      </w:r>
    </w:p>
    <w:p w14:paraId="63132EB0" w14:textId="07878A8D" w:rsidR="00B3287C" w:rsidRPr="008A003A" w:rsidRDefault="084ED4E4" w:rsidP="54FDBCFC">
      <w:pPr>
        <w:pStyle w:val="ListParagraph"/>
        <w:widowControl/>
        <w:numPr>
          <w:ilvl w:val="0"/>
          <w:numId w:val="26"/>
        </w:numPr>
        <w:ind w:left="720"/>
      </w:pPr>
      <w:r w:rsidRPr="3FB95C47">
        <w:rPr>
          <w:b/>
          <w:bCs/>
        </w:rPr>
        <w:t>CAST.</w:t>
      </w:r>
      <w:r>
        <w:t xml:space="preserve"> The CAST was first administered operationally in 2018–19. The ED has requested that the CDE complete the first submission of evidence for the CAST for the next peer review submission cycle in December </w:t>
      </w:r>
      <w:r w:rsidR="1C451EE2">
        <w:t>2021</w:t>
      </w:r>
      <w:r>
        <w:t>.</w:t>
      </w:r>
    </w:p>
    <w:p w14:paraId="050E0BD9" w14:textId="77777777" w:rsidR="001B6ECA" w:rsidRPr="00313229" w:rsidRDefault="007917EA" w:rsidP="00F95870">
      <w:pPr>
        <w:pStyle w:val="Heading3"/>
        <w:widowControl/>
        <w:rPr>
          <w:b/>
          <w:i w:val="0"/>
          <w:sz w:val="28"/>
          <w:szCs w:val="28"/>
        </w:rPr>
      </w:pPr>
      <w:bookmarkStart w:id="31" w:name="_Toc43122207"/>
      <w:bookmarkStart w:id="32" w:name="_Hlk25745804"/>
      <w:bookmarkStart w:id="33" w:name="_Hlk25746869"/>
      <w:bookmarkEnd w:id="29"/>
      <w:bookmarkEnd w:id="30"/>
      <w:r w:rsidRPr="00313229">
        <w:rPr>
          <w:b/>
          <w:i w:val="0"/>
          <w:sz w:val="28"/>
          <w:szCs w:val="28"/>
        </w:rPr>
        <w:lastRenderedPageBreak/>
        <w:t>Independent Evaluation</w:t>
      </w:r>
      <w:bookmarkEnd w:id="31"/>
      <w:r w:rsidRPr="00313229">
        <w:rPr>
          <w:b/>
          <w:i w:val="0"/>
          <w:sz w:val="28"/>
          <w:szCs w:val="28"/>
        </w:rPr>
        <w:t xml:space="preserve"> </w:t>
      </w:r>
    </w:p>
    <w:p w14:paraId="4C2EEA65" w14:textId="08512904" w:rsidR="009A7DB1" w:rsidRPr="005C3073" w:rsidRDefault="009A7DB1" w:rsidP="00F95870">
      <w:pPr>
        <w:widowControl/>
        <w:rPr>
          <w:b/>
        </w:rPr>
      </w:pPr>
      <w:r w:rsidRPr="005C3073">
        <w:t>The 20</w:t>
      </w:r>
      <w:r w:rsidR="00615F82">
        <w:t>20</w:t>
      </w:r>
      <w:r w:rsidRPr="005C3073">
        <w:t xml:space="preserve"> implementation activities in support of the independent evaluation were as follows:</w:t>
      </w:r>
    </w:p>
    <w:p w14:paraId="3EE2EF78" w14:textId="703E6D22" w:rsidR="009A7DB1" w:rsidRPr="005C3073" w:rsidRDefault="220A639C" w:rsidP="3FB95C47">
      <w:pPr>
        <w:pStyle w:val="ListParagraph"/>
        <w:widowControl/>
        <w:numPr>
          <w:ilvl w:val="0"/>
          <w:numId w:val="7"/>
        </w:numPr>
        <w:rPr>
          <w:rFonts w:cs="Arial"/>
          <w:i/>
          <w:iCs/>
        </w:rPr>
      </w:pPr>
      <w:r w:rsidRPr="3FB95C47">
        <w:rPr>
          <w:rFonts w:cs="Arial"/>
        </w:rPr>
        <w:t xml:space="preserve">Pursuant to </w:t>
      </w:r>
      <w:r w:rsidRPr="3FB95C47">
        <w:rPr>
          <w:rFonts w:cs="Arial"/>
          <w:i/>
          <w:iCs/>
        </w:rPr>
        <w:t>EC</w:t>
      </w:r>
      <w:r w:rsidRPr="3FB95C47">
        <w:rPr>
          <w:rFonts w:cs="Arial"/>
        </w:rPr>
        <w:t xml:space="preserve"> Section 60649, </w:t>
      </w:r>
      <w:r>
        <w:t xml:space="preserve">as the independent evaluator of the CAASPP System (from </w:t>
      </w:r>
      <w:r w:rsidR="33B7A2E7">
        <w:t xml:space="preserve">July </w:t>
      </w:r>
      <w:r>
        <w:t xml:space="preserve">2018 through </w:t>
      </w:r>
      <w:r w:rsidR="78CE3C9D">
        <w:t xml:space="preserve">December </w:t>
      </w:r>
      <w:r>
        <w:t xml:space="preserve">2020), </w:t>
      </w:r>
      <w:r w:rsidRPr="3FB95C47">
        <w:rPr>
          <w:rFonts w:cs="Arial"/>
        </w:rPr>
        <w:t>the Human Resources Research Organization (</w:t>
      </w:r>
      <w:proofErr w:type="spellStart"/>
      <w:r w:rsidRPr="3FB95C47">
        <w:rPr>
          <w:rFonts w:cs="Arial"/>
        </w:rPr>
        <w:t>HumRRO</w:t>
      </w:r>
      <w:proofErr w:type="spellEnd"/>
      <w:r w:rsidRPr="3FB95C47">
        <w:rPr>
          <w:rFonts w:cs="Arial"/>
        </w:rPr>
        <w:t xml:space="preserve">) continued its three-year independent evaluation to provide objective technical advice and consultation on activities supporting the implementation of the CAASPP System. </w:t>
      </w:r>
    </w:p>
    <w:p w14:paraId="71A5945D" w14:textId="0198F666" w:rsidR="001B68D3" w:rsidRPr="008B531A" w:rsidRDefault="220A639C" w:rsidP="00AC6C10">
      <w:pPr>
        <w:pStyle w:val="ListParagraph"/>
        <w:widowControl/>
        <w:numPr>
          <w:ilvl w:val="0"/>
          <w:numId w:val="7"/>
        </w:numPr>
      </w:pPr>
      <w:proofErr w:type="spellStart"/>
      <w:r w:rsidRPr="3FB95C47">
        <w:rPr>
          <w:rFonts w:cs="Arial"/>
        </w:rPr>
        <w:t>HumRRO</w:t>
      </w:r>
      <w:proofErr w:type="spellEnd"/>
      <w:r w:rsidRPr="3FB95C47">
        <w:rPr>
          <w:rFonts w:cs="Arial"/>
        </w:rPr>
        <w:t xml:space="preserve"> produced the </w:t>
      </w:r>
      <w:r w:rsidRPr="3FB95C47">
        <w:rPr>
          <w:rFonts w:cs="Arial"/>
          <w:i/>
          <w:iCs/>
        </w:rPr>
        <w:t>CAASPP</w:t>
      </w:r>
      <w:r w:rsidR="048B9FB2" w:rsidRPr="3FB95C47">
        <w:rPr>
          <w:rFonts w:cs="Arial"/>
          <w:i/>
          <w:iCs/>
        </w:rPr>
        <w:t xml:space="preserve"> 20</w:t>
      </w:r>
      <w:r w:rsidR="1DCD9904" w:rsidRPr="3FB95C47">
        <w:rPr>
          <w:rFonts w:cs="Arial"/>
          <w:i/>
          <w:iCs/>
        </w:rPr>
        <w:t>20</w:t>
      </w:r>
      <w:r w:rsidRPr="3FB95C47">
        <w:rPr>
          <w:rFonts w:cs="Arial"/>
          <w:i/>
          <w:iCs/>
        </w:rPr>
        <w:t xml:space="preserve"> Independent Evaluation Report</w:t>
      </w:r>
      <w:r w:rsidR="5EB6567F" w:rsidRPr="3FB95C47">
        <w:rPr>
          <w:rFonts w:cs="Arial"/>
          <w:i/>
          <w:iCs/>
        </w:rPr>
        <w:t>,</w:t>
      </w:r>
      <w:r w:rsidRPr="3FB95C47">
        <w:rPr>
          <w:rFonts w:cs="Arial"/>
        </w:rPr>
        <w:t xml:space="preserve"> which describes the work conducted during the year. </w:t>
      </w:r>
    </w:p>
    <w:p w14:paraId="1B69ED2B" w14:textId="55804988" w:rsidR="006B2015" w:rsidRPr="001B68D3" w:rsidRDefault="2A4629CD" w:rsidP="00AC6C10">
      <w:pPr>
        <w:pStyle w:val="ListParagraph"/>
        <w:widowControl/>
        <w:numPr>
          <w:ilvl w:val="0"/>
          <w:numId w:val="7"/>
        </w:numPr>
      </w:pPr>
      <w:proofErr w:type="spellStart"/>
      <w:r w:rsidRPr="3FB95C47">
        <w:rPr>
          <w:rFonts w:cs="Arial"/>
        </w:rPr>
        <w:t>HumRRO</w:t>
      </w:r>
      <w:proofErr w:type="spellEnd"/>
      <w:r w:rsidRPr="3FB95C47">
        <w:rPr>
          <w:rFonts w:cs="Arial"/>
        </w:rPr>
        <w:t xml:space="preserve"> produced the </w:t>
      </w:r>
      <w:r w:rsidRPr="3FB95C47">
        <w:rPr>
          <w:rFonts w:cs="Arial"/>
          <w:i/>
          <w:iCs/>
        </w:rPr>
        <w:t>CAASPP 2018</w:t>
      </w:r>
      <w:r w:rsidR="38BFB567">
        <w:t>–</w:t>
      </w:r>
      <w:r w:rsidRPr="3FB95C47">
        <w:rPr>
          <w:rFonts w:cs="Arial"/>
          <w:i/>
          <w:iCs/>
        </w:rPr>
        <w:t xml:space="preserve">2020 </w:t>
      </w:r>
      <w:r w:rsidR="01DD4B41" w:rsidRPr="3FB95C47">
        <w:rPr>
          <w:rFonts w:cs="Arial"/>
          <w:i/>
          <w:iCs/>
        </w:rPr>
        <w:t>Comprehensive Final</w:t>
      </w:r>
      <w:r w:rsidRPr="3FB95C47">
        <w:rPr>
          <w:rFonts w:cs="Arial"/>
          <w:i/>
          <w:iCs/>
        </w:rPr>
        <w:t xml:space="preserve"> Report</w:t>
      </w:r>
      <w:r w:rsidR="01DD4B41" w:rsidRPr="3FB95C47">
        <w:rPr>
          <w:rFonts w:cs="Arial"/>
        </w:rPr>
        <w:t>, which summarize</w:t>
      </w:r>
      <w:r w:rsidR="39164DF9" w:rsidRPr="3FB95C47">
        <w:rPr>
          <w:rFonts w:cs="Arial"/>
        </w:rPr>
        <w:t>s</w:t>
      </w:r>
      <w:r w:rsidR="01DD4B41" w:rsidRPr="3FB95C47">
        <w:rPr>
          <w:rFonts w:cs="Arial"/>
        </w:rPr>
        <w:t xml:space="preserve"> the work </w:t>
      </w:r>
      <w:r w:rsidR="39164DF9" w:rsidRPr="3FB95C47">
        <w:rPr>
          <w:rFonts w:cs="Arial"/>
        </w:rPr>
        <w:t xml:space="preserve">conducted during the </w:t>
      </w:r>
      <w:r w:rsidR="7C7234FD" w:rsidRPr="3FB95C47">
        <w:rPr>
          <w:rFonts w:cs="Arial"/>
        </w:rPr>
        <w:t>three-year</w:t>
      </w:r>
      <w:r w:rsidR="39164DF9" w:rsidRPr="3FB95C47">
        <w:rPr>
          <w:rFonts w:cs="Arial"/>
        </w:rPr>
        <w:t xml:space="preserve"> contract term.</w:t>
      </w:r>
    </w:p>
    <w:p w14:paraId="09FE1F82" w14:textId="6CB1001D" w:rsidR="006B2015" w:rsidRPr="00351CF3" w:rsidRDefault="5EB6567F" w:rsidP="006B2015">
      <w:pPr>
        <w:pStyle w:val="ListParagraph"/>
        <w:widowControl/>
        <w:numPr>
          <w:ilvl w:val="0"/>
          <w:numId w:val="7"/>
        </w:numPr>
      </w:pPr>
      <w:proofErr w:type="spellStart"/>
      <w:r w:rsidRPr="3FB95C47">
        <w:rPr>
          <w:rFonts w:cs="Arial"/>
        </w:rPr>
        <w:t>H</w:t>
      </w:r>
      <w:r w:rsidR="220A639C" w:rsidRPr="3FB95C47">
        <w:rPr>
          <w:rFonts w:cs="Arial"/>
        </w:rPr>
        <w:t>umRRO</w:t>
      </w:r>
      <w:proofErr w:type="spellEnd"/>
      <w:r w:rsidR="220A639C" w:rsidRPr="3FB95C47">
        <w:rPr>
          <w:rFonts w:cs="Arial"/>
        </w:rPr>
        <w:t xml:space="preserve"> </w:t>
      </w:r>
      <w:r w:rsidR="6D0F9A7D" w:rsidRPr="3FB95C47">
        <w:rPr>
          <w:rFonts w:cs="Arial"/>
        </w:rPr>
        <w:t xml:space="preserve">produced the </w:t>
      </w:r>
      <w:r w:rsidR="6D0F9A7D" w:rsidRPr="3FB95C47">
        <w:rPr>
          <w:rFonts w:cs="Arial"/>
          <w:i/>
          <w:iCs/>
        </w:rPr>
        <w:t>CAST Alignment Study Report</w:t>
      </w:r>
      <w:r w:rsidR="6D0F9A7D" w:rsidRPr="3FB95C47">
        <w:rPr>
          <w:rFonts w:cs="Arial"/>
        </w:rPr>
        <w:t xml:space="preserve"> and the </w:t>
      </w:r>
      <w:r w:rsidR="6D0F9A7D" w:rsidRPr="3FB95C47">
        <w:rPr>
          <w:rFonts w:cs="Arial"/>
          <w:i/>
          <w:iCs/>
        </w:rPr>
        <w:t>CAA for Science Alignment Study Report</w:t>
      </w:r>
      <w:r w:rsidR="0F492AB8" w:rsidRPr="3FB95C47">
        <w:rPr>
          <w:rFonts w:cs="Arial"/>
        </w:rPr>
        <w:t>, which</w:t>
      </w:r>
      <w:r w:rsidR="6D0F9A7D" w:rsidRPr="3FB95C47">
        <w:rPr>
          <w:rFonts w:cs="Arial"/>
        </w:rPr>
        <w:t xml:space="preserve"> </w:t>
      </w:r>
      <w:r w:rsidR="220A639C">
        <w:t>evaluate the assessments relative to their respective standards and blueprints.</w:t>
      </w:r>
    </w:p>
    <w:p w14:paraId="35AE38A2" w14:textId="4D66B893" w:rsidR="001756B3" w:rsidRDefault="0E998DEB" w:rsidP="0047116B">
      <w:pPr>
        <w:pStyle w:val="ListParagraph"/>
        <w:widowControl/>
        <w:numPr>
          <w:ilvl w:val="0"/>
          <w:numId w:val="7"/>
        </w:numPr>
        <w:rPr>
          <w:rStyle w:val="Hyperlink"/>
          <w:color w:val="auto"/>
          <w:u w:val="none"/>
        </w:rPr>
      </w:pPr>
      <w:r w:rsidRPr="3FB95C47">
        <w:rPr>
          <w:rFonts w:cs="Arial"/>
        </w:rPr>
        <w:t xml:space="preserve">The </w:t>
      </w:r>
      <w:r w:rsidR="44339432" w:rsidRPr="3FB95C47">
        <w:rPr>
          <w:rFonts w:cs="Arial"/>
        </w:rPr>
        <w:t>above</w:t>
      </w:r>
      <w:r w:rsidR="7C7234FD" w:rsidRPr="3FB95C47">
        <w:rPr>
          <w:rFonts w:cs="Arial"/>
        </w:rPr>
        <w:t>-</w:t>
      </w:r>
      <w:r w:rsidR="44339432" w:rsidRPr="3FB95C47">
        <w:rPr>
          <w:rFonts w:cs="Arial"/>
        </w:rPr>
        <w:t xml:space="preserve">mentioned </w:t>
      </w:r>
      <w:r w:rsidRPr="3FB95C47">
        <w:rPr>
          <w:rFonts w:cs="Arial"/>
        </w:rPr>
        <w:t>report</w:t>
      </w:r>
      <w:r w:rsidR="44339432" w:rsidRPr="3FB95C47">
        <w:rPr>
          <w:rFonts w:cs="Arial"/>
        </w:rPr>
        <w:t>s</w:t>
      </w:r>
      <w:r w:rsidRPr="3FB95C47">
        <w:rPr>
          <w:rFonts w:cs="Arial"/>
        </w:rPr>
        <w:t xml:space="preserve"> w</w:t>
      </w:r>
      <w:r w:rsidR="44339432" w:rsidRPr="3FB95C47">
        <w:rPr>
          <w:rFonts w:cs="Arial"/>
        </w:rPr>
        <w:t>ere</w:t>
      </w:r>
      <w:r w:rsidRPr="3FB95C47">
        <w:rPr>
          <w:rFonts w:cs="Arial"/>
        </w:rPr>
        <w:t xml:space="preserve"> posted on the CDE</w:t>
      </w:r>
      <w:r w:rsidR="0037489E">
        <w:rPr>
          <w:rFonts w:cs="Arial"/>
        </w:rPr>
        <w:t xml:space="preserve"> CAASPP Technical Reports and Studies web page</w:t>
      </w:r>
      <w:r w:rsidRPr="3FB95C47">
        <w:rPr>
          <w:rFonts w:cs="Arial"/>
        </w:rPr>
        <w:t xml:space="preserve"> at</w:t>
      </w:r>
      <w:r w:rsidR="007F7FFA">
        <w:t xml:space="preserve"> </w:t>
      </w:r>
      <w:hyperlink r:id="rId27" w:history="1">
        <w:r w:rsidR="007F7FFA" w:rsidRPr="0010424E">
          <w:rPr>
            <w:rStyle w:val="Hyperlink"/>
          </w:rPr>
          <w:t>https://www.cde.ca.gov/ta/tg/ca/caaspprptstudies.asp</w:t>
        </w:r>
      </w:hyperlink>
      <w:r w:rsidR="007F7FFA">
        <w:t>.</w:t>
      </w:r>
      <w:r w:rsidRPr="3FB95C47">
        <w:rPr>
          <w:rFonts w:cs="Arial"/>
        </w:rPr>
        <w:t xml:space="preserve"> </w:t>
      </w:r>
      <w:r w:rsidR="5EB6567F">
        <w:t xml:space="preserve"> </w:t>
      </w:r>
      <w:bookmarkStart w:id="34" w:name="_Toc2346311"/>
      <w:bookmarkEnd w:id="32"/>
      <w:r w:rsidR="007F7FFA">
        <w:t xml:space="preserve"> </w:t>
      </w:r>
      <w:r w:rsidR="2604451D" w:rsidRPr="3FB95C47">
        <w:rPr>
          <w:rStyle w:val="Hyperlink"/>
          <w:color w:val="auto"/>
          <w:u w:val="none"/>
        </w:rPr>
        <w:br w:type="page"/>
      </w:r>
    </w:p>
    <w:p w14:paraId="050E0BE0" w14:textId="44D0C4CE" w:rsidR="00EB000A" w:rsidRPr="00313229" w:rsidRDefault="00EB000A" w:rsidP="00F95870">
      <w:pPr>
        <w:pStyle w:val="Heading3"/>
        <w:widowControl/>
        <w:rPr>
          <w:i w:val="0"/>
          <w:sz w:val="28"/>
          <w:szCs w:val="28"/>
        </w:rPr>
      </w:pPr>
      <w:bookmarkStart w:id="35" w:name="_Toc43122208"/>
      <w:bookmarkEnd w:id="33"/>
      <w:r w:rsidRPr="00313229">
        <w:rPr>
          <w:b/>
          <w:i w:val="0"/>
          <w:sz w:val="28"/>
          <w:szCs w:val="28"/>
        </w:rPr>
        <w:lastRenderedPageBreak/>
        <w:t>Smarter Balanced Summative</w:t>
      </w:r>
      <w:r w:rsidR="008B1FB9" w:rsidRPr="00313229">
        <w:rPr>
          <w:b/>
          <w:i w:val="0"/>
          <w:sz w:val="28"/>
          <w:szCs w:val="28"/>
        </w:rPr>
        <w:t xml:space="preserve"> Assessments,</w:t>
      </w:r>
      <w:r w:rsidR="00F90534" w:rsidRPr="00313229">
        <w:rPr>
          <w:b/>
          <w:i w:val="0"/>
          <w:sz w:val="28"/>
          <w:szCs w:val="28"/>
        </w:rPr>
        <w:t xml:space="preserve"> </w:t>
      </w:r>
      <w:r w:rsidR="008B1FB9" w:rsidRPr="00313229">
        <w:rPr>
          <w:b/>
          <w:i w:val="0"/>
          <w:sz w:val="28"/>
          <w:szCs w:val="28"/>
        </w:rPr>
        <w:t>Interim Assessments, and Digital Library</w:t>
      </w:r>
      <w:bookmarkEnd w:id="34"/>
      <w:bookmarkEnd w:id="35"/>
      <w:r w:rsidR="00D678F1" w:rsidRPr="00313229">
        <w:rPr>
          <w:b/>
          <w:i w:val="0"/>
          <w:sz w:val="28"/>
          <w:szCs w:val="28"/>
        </w:rPr>
        <w:t>/Tools for Teachers</w:t>
      </w:r>
    </w:p>
    <w:p w14:paraId="050E0BE1" w14:textId="0D6FA115" w:rsidR="00090D87" w:rsidRDefault="00331F5A" w:rsidP="00F95870">
      <w:pPr>
        <w:widowControl/>
      </w:pPr>
      <w:r>
        <w:t xml:space="preserve">The </w:t>
      </w:r>
      <w:r w:rsidR="58D2121F">
        <w:t xml:space="preserve">2020 </w:t>
      </w:r>
      <w:r w:rsidR="001B6ECA">
        <w:t>implementation activities in support of the Smarter Balanced Summative Assessments</w:t>
      </w:r>
      <w:r w:rsidR="008A6C94">
        <w:t xml:space="preserve">, </w:t>
      </w:r>
      <w:r w:rsidR="00BC0DC4">
        <w:t>i</w:t>
      </w:r>
      <w:r w:rsidR="008A6C94">
        <w:t xml:space="preserve">nterim </w:t>
      </w:r>
      <w:r w:rsidR="00BC0DC4">
        <w:t>a</w:t>
      </w:r>
      <w:r w:rsidR="008A6C94">
        <w:t>ssessments, and Digital Library</w:t>
      </w:r>
      <w:r w:rsidR="00FE49CA">
        <w:t xml:space="preserve"> (replaced by Tools for Teachers)</w:t>
      </w:r>
      <w:r w:rsidR="0047116B">
        <w:t xml:space="preserve"> </w:t>
      </w:r>
      <w:r w:rsidR="001B6ECA">
        <w:t>were as follows:</w:t>
      </w:r>
    </w:p>
    <w:p w14:paraId="5DE0038E" w14:textId="6E4A379E" w:rsidR="00846753" w:rsidRPr="002B1922" w:rsidRDefault="00846753" w:rsidP="00F95870">
      <w:pPr>
        <w:widowControl/>
        <w:rPr>
          <w:b/>
        </w:rPr>
      </w:pPr>
      <w:r w:rsidRPr="002B1922">
        <w:rPr>
          <w:b/>
        </w:rPr>
        <w:t>Summative Assessments</w:t>
      </w:r>
    </w:p>
    <w:p w14:paraId="760AF7F7" w14:textId="024D6B88" w:rsidR="001E7E20" w:rsidRDefault="3DD7BF8F" w:rsidP="00AC6C10">
      <w:pPr>
        <w:pStyle w:val="ListParagraph"/>
        <w:widowControl/>
        <w:numPr>
          <w:ilvl w:val="0"/>
          <w:numId w:val="8"/>
        </w:numPr>
        <w:rPr>
          <w:rFonts w:cs="Arial"/>
        </w:rPr>
      </w:pPr>
      <w:r w:rsidRPr="3FB95C47">
        <w:rPr>
          <w:rFonts w:cs="Arial"/>
        </w:rPr>
        <w:t>E</w:t>
      </w:r>
      <w:r w:rsidR="2D81D1FE" w:rsidRPr="3FB95C47">
        <w:rPr>
          <w:rFonts w:cs="Arial"/>
        </w:rPr>
        <w:t xml:space="preserve">ducators from </w:t>
      </w:r>
      <w:r w:rsidR="652C5368" w:rsidRPr="3FB95C47">
        <w:rPr>
          <w:rFonts w:cs="Arial"/>
        </w:rPr>
        <w:t>Consortium</w:t>
      </w:r>
      <w:r w:rsidR="5739FBF5" w:rsidRPr="3FB95C47">
        <w:rPr>
          <w:rFonts w:cs="Arial"/>
        </w:rPr>
        <w:t xml:space="preserve"> </w:t>
      </w:r>
      <w:r w:rsidR="68AEAB0B" w:rsidRPr="3FB95C47">
        <w:rPr>
          <w:rFonts w:cs="Arial"/>
        </w:rPr>
        <w:t>member</w:t>
      </w:r>
      <w:r w:rsidR="2D81D1FE" w:rsidRPr="3FB95C47">
        <w:rPr>
          <w:rFonts w:cs="Arial"/>
        </w:rPr>
        <w:t xml:space="preserve"> states </w:t>
      </w:r>
      <w:r w:rsidRPr="3FB95C47">
        <w:rPr>
          <w:rFonts w:cs="Arial"/>
        </w:rPr>
        <w:t xml:space="preserve">convened </w:t>
      </w:r>
      <w:r w:rsidR="53C2FB30" w:rsidRPr="3FB95C47">
        <w:rPr>
          <w:rFonts w:cs="Arial"/>
        </w:rPr>
        <w:t xml:space="preserve">virtually </w:t>
      </w:r>
      <w:r w:rsidR="2D81D1FE" w:rsidRPr="3FB95C47">
        <w:rPr>
          <w:rFonts w:cs="Arial"/>
        </w:rPr>
        <w:t xml:space="preserve">for several annual </w:t>
      </w:r>
      <w:r w:rsidRPr="3FB95C47">
        <w:rPr>
          <w:rFonts w:cs="Arial"/>
        </w:rPr>
        <w:t xml:space="preserve">development </w:t>
      </w:r>
      <w:r w:rsidR="2D81D1FE" w:rsidRPr="3FB95C47">
        <w:rPr>
          <w:rFonts w:cs="Arial"/>
        </w:rPr>
        <w:t>activities</w:t>
      </w:r>
      <w:r w:rsidR="410EFB7A" w:rsidRPr="3FB95C47">
        <w:rPr>
          <w:rFonts w:cs="Arial"/>
        </w:rPr>
        <w:t>,</w:t>
      </w:r>
      <w:r w:rsidR="2D81D1FE" w:rsidRPr="3FB95C47">
        <w:rPr>
          <w:rFonts w:cs="Arial"/>
        </w:rPr>
        <w:t xml:space="preserve"> including item writing training, item review, </w:t>
      </w:r>
      <w:r w:rsidR="3864D980" w:rsidRPr="3FB95C47">
        <w:rPr>
          <w:rFonts w:cs="Arial"/>
        </w:rPr>
        <w:t>data review, and range finding.</w:t>
      </w:r>
      <w:r w:rsidRPr="3FB95C47">
        <w:rPr>
          <w:rFonts w:cs="Arial"/>
        </w:rPr>
        <w:t xml:space="preserve"> California educators participated in these educator involvement </w:t>
      </w:r>
      <w:r w:rsidR="6B3ED587" w:rsidRPr="3FB95C47">
        <w:rPr>
          <w:rFonts w:cs="Arial"/>
        </w:rPr>
        <w:t>events</w:t>
      </w:r>
      <w:r w:rsidRPr="3FB95C47">
        <w:rPr>
          <w:rFonts w:cs="Arial"/>
        </w:rPr>
        <w:t>.</w:t>
      </w:r>
    </w:p>
    <w:p w14:paraId="09D54816" w14:textId="54477928" w:rsidR="56612323" w:rsidRPr="001E7E20" w:rsidRDefault="5B960E96" w:rsidP="3FB95C47">
      <w:pPr>
        <w:pStyle w:val="ListParagraph"/>
        <w:widowControl/>
        <w:numPr>
          <w:ilvl w:val="0"/>
          <w:numId w:val="8"/>
        </w:numPr>
        <w:rPr>
          <w:rFonts w:asciiTheme="minorHAnsi" w:eastAsiaTheme="minorEastAsia" w:hAnsiTheme="minorHAnsi" w:cstheme="minorBidi"/>
        </w:rPr>
      </w:pPr>
      <w:r>
        <w:t xml:space="preserve">In March, </w:t>
      </w:r>
      <w:r w:rsidR="6B3ED587">
        <w:t>t</w:t>
      </w:r>
      <w:r w:rsidR="246F003A">
        <w:t xml:space="preserve">he Consortium convened a </w:t>
      </w:r>
      <w:r w:rsidR="68F9135B">
        <w:t>Remote Proctoring Policy Task Force</w:t>
      </w:r>
      <w:r w:rsidR="246F003A">
        <w:t xml:space="preserve"> to establish use cases regarding how interim assessments might support remote learning. In addition, the task force will develop strategies and procedures that reduce risk for the remote administration of Smarter Balanced interim and summative </w:t>
      </w:r>
      <w:r w:rsidR="43FEBAEB">
        <w:t>assessments. The</w:t>
      </w:r>
      <w:r w:rsidR="246F003A">
        <w:t xml:space="preserve"> task force consider</w:t>
      </w:r>
      <w:r w:rsidR="54B9307C">
        <w:t>ed</w:t>
      </w:r>
      <w:r w:rsidR="246F003A">
        <w:t xml:space="preserve"> issues and concerns related to emergent needs surrounding</w:t>
      </w:r>
      <w:r w:rsidR="6B3ED587">
        <w:t xml:space="preserve"> the following</w:t>
      </w:r>
      <w:r w:rsidR="246F003A">
        <w:t>:</w:t>
      </w:r>
    </w:p>
    <w:p w14:paraId="14917AD5" w14:textId="54FFDA8F" w:rsidR="4267AC55" w:rsidRDefault="246F003A" w:rsidP="3FB95C47">
      <w:pPr>
        <w:pStyle w:val="ListParagraph"/>
        <w:numPr>
          <w:ilvl w:val="1"/>
          <w:numId w:val="44"/>
        </w:numPr>
        <w:rPr>
          <w:rFonts w:asciiTheme="minorHAnsi" w:eastAsiaTheme="minorEastAsia" w:hAnsiTheme="minorHAnsi" w:cstheme="minorBidi"/>
        </w:rPr>
      </w:pPr>
      <w:r>
        <w:t>Distance teaching and learning</w:t>
      </w:r>
    </w:p>
    <w:p w14:paraId="5FA9543F" w14:textId="5295BC38" w:rsidR="4267AC55" w:rsidRDefault="7D25ECF0" w:rsidP="3FB95C47">
      <w:pPr>
        <w:pStyle w:val="ListParagraph"/>
        <w:numPr>
          <w:ilvl w:val="1"/>
          <w:numId w:val="44"/>
        </w:numPr>
        <w:rPr>
          <w:rFonts w:asciiTheme="minorHAnsi" w:eastAsiaTheme="minorEastAsia" w:hAnsiTheme="minorHAnsi" w:cstheme="minorBidi"/>
        </w:rPr>
      </w:pPr>
      <w:r>
        <w:t>A</w:t>
      </w:r>
      <w:r w:rsidR="246F003A">
        <w:t>ccessibility and equity</w:t>
      </w:r>
    </w:p>
    <w:p w14:paraId="72014DE6" w14:textId="42C32312" w:rsidR="4267AC55" w:rsidRDefault="7D25ECF0" w:rsidP="3FB95C47">
      <w:pPr>
        <w:pStyle w:val="ListParagraph"/>
        <w:numPr>
          <w:ilvl w:val="1"/>
          <w:numId w:val="44"/>
        </w:numPr>
        <w:rPr>
          <w:rFonts w:asciiTheme="minorHAnsi" w:eastAsiaTheme="minorEastAsia" w:hAnsiTheme="minorHAnsi" w:cstheme="minorBidi"/>
        </w:rPr>
      </w:pPr>
      <w:r>
        <w:t>S</w:t>
      </w:r>
      <w:r w:rsidR="246F003A">
        <w:t>tudent and adult interactions</w:t>
      </w:r>
    </w:p>
    <w:p w14:paraId="6E429691" w14:textId="53254361" w:rsidR="4267AC55" w:rsidRDefault="246F003A" w:rsidP="3FB95C47">
      <w:pPr>
        <w:pStyle w:val="ListParagraph"/>
        <w:numPr>
          <w:ilvl w:val="1"/>
          <w:numId w:val="44"/>
        </w:numPr>
        <w:rPr>
          <w:rFonts w:asciiTheme="minorHAnsi" w:eastAsiaTheme="minorEastAsia" w:hAnsiTheme="minorHAnsi" w:cstheme="minorBidi"/>
        </w:rPr>
      </w:pPr>
      <w:r>
        <w:t>Smarter Balanced and member responsibilities</w:t>
      </w:r>
    </w:p>
    <w:p w14:paraId="362E5BFD" w14:textId="352E261B" w:rsidR="00010231" w:rsidRDefault="3034200F" w:rsidP="3FB95C47">
      <w:pPr>
        <w:pStyle w:val="ListParagraph"/>
        <w:numPr>
          <w:ilvl w:val="0"/>
          <w:numId w:val="8"/>
        </w:numPr>
        <w:rPr>
          <w:rFonts w:asciiTheme="minorHAnsi" w:eastAsiaTheme="minorEastAsia" w:hAnsiTheme="minorHAnsi" w:cstheme="minorBidi"/>
        </w:rPr>
      </w:pPr>
      <w:r>
        <w:t xml:space="preserve">In April, the </w:t>
      </w:r>
      <w:r w:rsidR="237432A0">
        <w:t>C</w:t>
      </w:r>
      <w:r>
        <w:t>onsortium released a new</w:t>
      </w:r>
      <w:r w:rsidR="00313229">
        <w:t xml:space="preserve"> Remote Teaching and Learning website at </w:t>
      </w:r>
      <w:hyperlink r:id="rId28" w:history="1">
        <w:r w:rsidR="00313229" w:rsidRPr="00813BE3">
          <w:rPr>
            <w:rStyle w:val="Hyperlink"/>
          </w:rPr>
          <w:t>https://remote.smartertoolsforteachers.org/</w:t>
        </w:r>
      </w:hyperlink>
      <w:r w:rsidR="00313229">
        <w:t>.</w:t>
      </w:r>
      <w:r>
        <w:t xml:space="preserve"> The website provides educators with suggestions regarding </w:t>
      </w:r>
      <w:r w:rsidR="56A0F681">
        <w:t>the use of</w:t>
      </w:r>
      <w:r>
        <w:t xml:space="preserve"> Smarter Balanced resources while teaching remotely.</w:t>
      </w:r>
    </w:p>
    <w:p w14:paraId="1082ED87" w14:textId="6ACF646C" w:rsidR="6EA23B24" w:rsidRDefault="3A583053" w:rsidP="3FB95C47">
      <w:pPr>
        <w:pStyle w:val="ListParagraph"/>
        <w:numPr>
          <w:ilvl w:val="0"/>
          <w:numId w:val="8"/>
        </w:numPr>
        <w:rPr>
          <w:rFonts w:asciiTheme="minorHAnsi" w:eastAsiaTheme="minorEastAsia" w:hAnsiTheme="minorHAnsi" w:cstheme="minorBidi"/>
          <w:szCs w:val="24"/>
        </w:rPr>
      </w:pPr>
      <w:r w:rsidRPr="3FB95C47">
        <w:rPr>
          <w:rFonts w:cs="Arial"/>
        </w:rPr>
        <w:t>Improvements were made to the Individual Student Assessment Accessibility Profile (ISAAP) Tool. Specifically, the ISAAP Tool has been converted from a macros-enabled spreadsheet to a user-friendly online application. These improvements further support the process of identifying and assigning accessibility resources for students in alignment with their needs.</w:t>
      </w:r>
    </w:p>
    <w:p w14:paraId="56A7A5CA" w14:textId="204E7071" w:rsidR="6EA23B24" w:rsidRDefault="4C8AE7C8" w:rsidP="00422039">
      <w:pPr>
        <w:pStyle w:val="ListParagraph"/>
        <w:numPr>
          <w:ilvl w:val="0"/>
          <w:numId w:val="8"/>
        </w:numPr>
        <w:rPr>
          <w:rFonts w:asciiTheme="minorHAnsi" w:eastAsiaTheme="minorEastAsia" w:hAnsiTheme="minorHAnsi" w:cstheme="minorBidi"/>
          <w:szCs w:val="24"/>
        </w:rPr>
      </w:pPr>
      <w:r>
        <w:t xml:space="preserve">In December, the </w:t>
      </w:r>
      <w:r w:rsidR="2AD4E1A2">
        <w:t>C</w:t>
      </w:r>
      <w:r>
        <w:t xml:space="preserve">onsortium approved </w:t>
      </w:r>
      <w:r w:rsidR="12307392">
        <w:t xml:space="preserve">the </w:t>
      </w:r>
      <w:r>
        <w:t>remote administration of summative assessments for the 2020–21 school year.</w:t>
      </w:r>
    </w:p>
    <w:p w14:paraId="662109BB" w14:textId="77777777" w:rsidR="00E42509" w:rsidRPr="002B1922" w:rsidRDefault="38E6A1C4" w:rsidP="58CF3974">
      <w:pPr>
        <w:pStyle w:val="ListParagraph"/>
        <w:widowControl/>
        <w:ind w:left="0"/>
        <w:rPr>
          <w:rFonts w:cs="Arial"/>
          <w:b/>
          <w:iCs/>
        </w:rPr>
      </w:pPr>
      <w:r w:rsidRPr="002B1922">
        <w:rPr>
          <w:rFonts w:cs="Arial"/>
          <w:b/>
          <w:iCs/>
        </w:rPr>
        <w:t xml:space="preserve">Interim Assessments </w:t>
      </w:r>
    </w:p>
    <w:p w14:paraId="211FF5FF" w14:textId="08C098BB" w:rsidR="00327E20" w:rsidRDefault="30D5DABB" w:rsidP="00AC6C10">
      <w:pPr>
        <w:pStyle w:val="ListParagraph"/>
        <w:widowControl/>
        <w:numPr>
          <w:ilvl w:val="0"/>
          <w:numId w:val="23"/>
        </w:numPr>
        <w:ind w:left="720"/>
      </w:pPr>
      <w:r>
        <w:t>Until March 17 of the 2019</w:t>
      </w:r>
      <w:r w:rsidRPr="3FB95C47">
        <w:rPr>
          <w:rFonts w:cs="Arial"/>
        </w:rPr>
        <w:t>–</w:t>
      </w:r>
      <w:r w:rsidR="5F194CD6" w:rsidRPr="3FB95C47">
        <w:rPr>
          <w:rFonts w:cs="Arial"/>
        </w:rPr>
        <w:t>20</w:t>
      </w:r>
      <w:r>
        <w:t>20 school year (when summative testing was suspended</w:t>
      </w:r>
      <w:r w:rsidR="370E936F">
        <w:t xml:space="preserve"> due to COVID-19</w:t>
      </w:r>
      <w:r>
        <w:t>)</w:t>
      </w:r>
      <w:r w:rsidR="370E936F">
        <w:t>,</w:t>
      </w:r>
      <w:r>
        <w:t xml:space="preserve"> the number of interim assessments </w:t>
      </w:r>
      <w:r w:rsidR="5E08AB16">
        <w:t xml:space="preserve">administered </w:t>
      </w:r>
      <w:r>
        <w:lastRenderedPageBreak/>
        <w:t xml:space="preserve">had surpassed the number of tests </w:t>
      </w:r>
      <w:r w:rsidR="5E08AB16">
        <w:t xml:space="preserve">administered </w:t>
      </w:r>
      <w:r>
        <w:t xml:space="preserve">during the same period during the previous school year. </w:t>
      </w:r>
      <w:r w:rsidR="1D303244">
        <w:t>By April 2020, most California LEAs had transitioned to distance learning. In April 2020,</w:t>
      </w:r>
      <w:r w:rsidR="5E08AB16">
        <w:t xml:space="preserve"> </w:t>
      </w:r>
      <w:r w:rsidR="1D303244">
        <w:t xml:space="preserve">at the direction of the CDE, the </w:t>
      </w:r>
      <w:r w:rsidR="5E08AB16">
        <w:t xml:space="preserve">testing </w:t>
      </w:r>
      <w:r w:rsidR="1D303244">
        <w:t xml:space="preserve">contractor reconfigured the </w:t>
      </w:r>
      <w:r w:rsidR="370E936F">
        <w:t xml:space="preserve">test administration system to allow California schools to administer </w:t>
      </w:r>
      <w:r w:rsidR="238CCBF2">
        <w:t>interim assessment</w:t>
      </w:r>
      <w:r w:rsidR="370E936F">
        <w:t xml:space="preserve">s </w:t>
      </w:r>
      <w:r w:rsidR="2321AA97">
        <w:t>remotely</w:t>
      </w:r>
      <w:r w:rsidR="1D303244">
        <w:t xml:space="preserve">. </w:t>
      </w:r>
    </w:p>
    <w:p w14:paraId="1A45E2A8" w14:textId="2DB84CF2" w:rsidR="006E0F77" w:rsidRDefault="36DE96E8" w:rsidP="00AC6C10">
      <w:pPr>
        <w:pStyle w:val="ListParagraph"/>
        <w:widowControl/>
        <w:numPr>
          <w:ilvl w:val="0"/>
          <w:numId w:val="23"/>
        </w:numPr>
        <w:ind w:left="720"/>
      </w:pPr>
      <w:r>
        <w:t>During the 2020</w:t>
      </w:r>
      <w:r w:rsidRPr="3FB95C47">
        <w:rPr>
          <w:rFonts w:cs="Arial"/>
        </w:rPr>
        <w:t>–</w:t>
      </w:r>
      <w:r>
        <w:t xml:space="preserve">21 school year, the </w:t>
      </w:r>
      <w:r w:rsidR="1D303244">
        <w:t>interim assessments remained available for use during distance learning</w:t>
      </w:r>
      <w:r w:rsidR="467A0C0B">
        <w:t>.</w:t>
      </w:r>
      <w:r w:rsidR="0D0F8B5B">
        <w:t xml:space="preserve"> </w:t>
      </w:r>
      <w:r w:rsidR="467A0C0B">
        <w:t xml:space="preserve">By </w:t>
      </w:r>
      <w:r w:rsidR="238CCBF2">
        <w:t xml:space="preserve">December </w:t>
      </w:r>
      <w:r w:rsidR="467A0C0B">
        <w:t>31</w:t>
      </w:r>
      <w:r w:rsidR="5F1DD9B9">
        <w:t>,</w:t>
      </w:r>
      <w:r w:rsidR="38176CB9">
        <w:t xml:space="preserve"> </w:t>
      </w:r>
      <w:r w:rsidR="161F78EA">
        <w:t>2020,</w:t>
      </w:r>
      <w:r w:rsidR="238CCBF2">
        <w:t xml:space="preserve"> </w:t>
      </w:r>
      <w:r w:rsidR="5F1DD9B9">
        <w:t xml:space="preserve">approximately </w:t>
      </w:r>
      <w:r w:rsidR="5B8D971E">
        <w:t>719,000</w:t>
      </w:r>
      <w:r w:rsidR="238CCBF2">
        <w:t xml:space="preserve"> interim assessments </w:t>
      </w:r>
      <w:r w:rsidR="5F1DD9B9">
        <w:t xml:space="preserve">had been </w:t>
      </w:r>
      <w:r w:rsidR="238CCBF2">
        <w:t>administered</w:t>
      </w:r>
      <w:r w:rsidR="5F1DD9B9">
        <w:t xml:space="preserve"> </w:t>
      </w:r>
      <w:r w:rsidR="58422A05">
        <w:t xml:space="preserve">since the beginning of </w:t>
      </w:r>
      <w:r w:rsidR="5F1DD9B9">
        <w:t>the 2020</w:t>
      </w:r>
      <w:r w:rsidR="5F1DD9B9" w:rsidRPr="3FB95C47">
        <w:rPr>
          <w:rFonts w:cs="Arial"/>
        </w:rPr>
        <w:t>–</w:t>
      </w:r>
      <w:r w:rsidR="5F1DD9B9">
        <w:t>21 school year</w:t>
      </w:r>
      <w:r w:rsidR="238CCBF2">
        <w:t>.</w:t>
      </w:r>
      <w:r w:rsidR="161F78EA">
        <w:t xml:space="preserve"> </w:t>
      </w:r>
      <w:r w:rsidR="15923785">
        <w:t xml:space="preserve">This count is significantly </w:t>
      </w:r>
      <w:r w:rsidR="5B362367">
        <w:t xml:space="preserve">lower than the </w:t>
      </w:r>
      <w:r w:rsidR="15923785">
        <w:t xml:space="preserve">number of interim assessments administered </w:t>
      </w:r>
      <w:r w:rsidR="69A58A1B">
        <w:t>within the same time frame during the previous school year</w:t>
      </w:r>
      <w:r w:rsidR="4878CD5F">
        <w:t xml:space="preserve"> but can be largely attributed</w:t>
      </w:r>
      <w:r w:rsidR="1D382E07">
        <w:t xml:space="preserve"> to the various challenges faced by educators in 2020</w:t>
      </w:r>
      <w:r w:rsidR="601C9F77">
        <w:t xml:space="preserve"> </w:t>
      </w:r>
      <w:r w:rsidR="34D485A8">
        <w:t xml:space="preserve">that </w:t>
      </w:r>
      <w:r w:rsidR="601C9F77">
        <w:t>required educators to focus on other priorities.</w:t>
      </w:r>
    </w:p>
    <w:p w14:paraId="3CBB0472" w14:textId="05A2AE12" w:rsidR="00F071D0" w:rsidRPr="006B4C36" w:rsidRDefault="1AB79B94" w:rsidP="002B1922">
      <w:pPr>
        <w:pStyle w:val="ListParagraph"/>
        <w:widowControl/>
        <w:numPr>
          <w:ilvl w:val="1"/>
          <w:numId w:val="45"/>
        </w:numPr>
        <w:ind w:left="720"/>
        <w:rPr>
          <w:rFonts w:cs="Arial"/>
        </w:rPr>
      </w:pPr>
      <w:r>
        <w:t xml:space="preserve">In August 2020, Smarter Balanced released the Interim Assessment Item Portal, a secure website that </w:t>
      </w:r>
      <w:r w:rsidR="558CF950">
        <w:t>allows educators to easily search through all interim assessments</w:t>
      </w:r>
      <w:r w:rsidR="38176CB9">
        <w:t xml:space="preserve"> by</w:t>
      </w:r>
      <w:r w:rsidR="558CF950">
        <w:t xml:space="preserve"> using filters to identify specific items that align with the content of </w:t>
      </w:r>
      <w:r w:rsidR="38176CB9">
        <w:t xml:space="preserve">their </w:t>
      </w:r>
      <w:r w:rsidR="558CF950">
        <w:t>interest.</w:t>
      </w:r>
    </w:p>
    <w:p w14:paraId="098DB4B2" w14:textId="090E3AF5" w:rsidR="00052A9C" w:rsidRPr="002B1922" w:rsidRDefault="00A577B8" w:rsidP="00233672">
      <w:pPr>
        <w:pStyle w:val="ListParagraph"/>
        <w:widowControl/>
        <w:ind w:left="0"/>
        <w:rPr>
          <w:b/>
        </w:rPr>
      </w:pPr>
      <w:r w:rsidRPr="00BE5649">
        <w:rPr>
          <w:b/>
        </w:rPr>
        <w:t>Transition</w:t>
      </w:r>
      <w:r w:rsidRPr="00A577B8">
        <w:rPr>
          <w:b/>
        </w:rPr>
        <w:t xml:space="preserve"> </w:t>
      </w:r>
      <w:r>
        <w:rPr>
          <w:b/>
        </w:rPr>
        <w:t xml:space="preserve">of the </w:t>
      </w:r>
      <w:r w:rsidR="00846753" w:rsidRPr="002B1922">
        <w:rPr>
          <w:b/>
        </w:rPr>
        <w:t>Digital Library</w:t>
      </w:r>
      <w:r w:rsidR="001D4303" w:rsidRPr="002B1922">
        <w:rPr>
          <w:b/>
        </w:rPr>
        <w:t xml:space="preserve"> </w:t>
      </w:r>
      <w:r w:rsidR="00052A9C" w:rsidRPr="002B1922">
        <w:rPr>
          <w:b/>
        </w:rPr>
        <w:t>to Tools for Teachers</w:t>
      </w:r>
    </w:p>
    <w:p w14:paraId="212BA4DE" w14:textId="304E33B6" w:rsidR="00052A9C" w:rsidRPr="00F14600" w:rsidRDefault="3B99C876" w:rsidP="002B1922">
      <w:pPr>
        <w:pStyle w:val="ListParagraph"/>
        <w:widowControl/>
        <w:numPr>
          <w:ilvl w:val="0"/>
          <w:numId w:val="9"/>
        </w:numPr>
        <w:ind w:left="720"/>
      </w:pPr>
      <w:r>
        <w:t>The Digital Library was retired</w:t>
      </w:r>
      <w:r w:rsidR="51A92B31">
        <w:t xml:space="preserve"> in May 2020</w:t>
      </w:r>
      <w:r>
        <w:t xml:space="preserve"> and replaced </w:t>
      </w:r>
      <w:r w:rsidR="15A21B59">
        <w:t xml:space="preserve">in June 2020 </w:t>
      </w:r>
      <w:r>
        <w:t xml:space="preserve">by </w:t>
      </w:r>
      <w:r w:rsidR="15A21B59">
        <w:t xml:space="preserve">the user-friendly </w:t>
      </w:r>
      <w:r>
        <w:t xml:space="preserve">Tools for Teachers </w:t>
      </w:r>
      <w:r w:rsidR="15A21B59">
        <w:t>website for educators in California LEAs</w:t>
      </w:r>
      <w:r>
        <w:t xml:space="preserve">. </w:t>
      </w:r>
      <w:r w:rsidR="483EA710">
        <w:t xml:space="preserve">Tools for Teachers </w:t>
      </w:r>
      <w:r w:rsidR="166EA3FC">
        <w:t xml:space="preserve">provides </w:t>
      </w:r>
      <w:r w:rsidR="54F0FA64">
        <w:t xml:space="preserve">instructional lesson plans and </w:t>
      </w:r>
      <w:r w:rsidR="420EA622">
        <w:t>professional learning</w:t>
      </w:r>
      <w:r w:rsidR="54F0FA64">
        <w:t xml:space="preserve"> activities using the formative assessment process </w:t>
      </w:r>
      <w:r w:rsidR="195EB290">
        <w:t>with embedded strategies for instructional differentiation</w:t>
      </w:r>
      <w:r w:rsidR="483EA710">
        <w:t>.</w:t>
      </w:r>
      <w:r w:rsidR="420EA622">
        <w:t xml:space="preserve"> </w:t>
      </w:r>
      <w:r w:rsidR="483EA710">
        <w:t xml:space="preserve">Useful </w:t>
      </w:r>
      <w:r w:rsidR="2BA74BFD">
        <w:t xml:space="preserve">links to </w:t>
      </w:r>
      <w:r w:rsidR="06130692">
        <w:t xml:space="preserve">additional </w:t>
      </w:r>
      <w:r w:rsidR="2BA74BFD">
        <w:t>Smarter Balanced resources</w:t>
      </w:r>
      <w:r w:rsidR="34D485A8">
        <w:t>,</w:t>
      </w:r>
      <w:r w:rsidR="2BA74BFD">
        <w:t xml:space="preserve"> including the Interim Assessment Item Portal</w:t>
      </w:r>
      <w:r w:rsidR="483EA710">
        <w:t>, also are provided on the</w:t>
      </w:r>
      <w:r w:rsidR="2664213A">
        <w:t xml:space="preserve"> </w:t>
      </w:r>
      <w:r w:rsidR="00BA4F64">
        <w:t>T</w:t>
      </w:r>
      <w:r w:rsidR="2664213A">
        <w:t>ools for Teachers</w:t>
      </w:r>
      <w:r w:rsidR="483EA710">
        <w:t xml:space="preserve"> website</w:t>
      </w:r>
      <w:r w:rsidR="2664213A">
        <w:t xml:space="preserve"> at</w:t>
      </w:r>
      <w:r w:rsidR="00BA7C7F">
        <w:t xml:space="preserve"> </w:t>
      </w:r>
      <w:hyperlink r:id="rId29" w:history="1">
        <w:r w:rsidR="00BA7C7F" w:rsidRPr="00D01389">
          <w:rPr>
            <w:rStyle w:val="Hyperlink"/>
          </w:rPr>
          <w:t>https://smartertoolsforteachers.org/</w:t>
        </w:r>
      </w:hyperlink>
      <w:r w:rsidR="00202327">
        <w:t>.</w:t>
      </w:r>
      <w:r w:rsidR="00BA7C7F">
        <w:t xml:space="preserve"> </w:t>
      </w:r>
    </w:p>
    <w:p w14:paraId="6F1A00BB" w14:textId="1A7B31BF" w:rsidR="00F90534" w:rsidRPr="00685CA5" w:rsidRDefault="31A0179C" w:rsidP="00AC6C10">
      <w:pPr>
        <w:pStyle w:val="ListParagraph"/>
        <w:widowControl/>
        <w:numPr>
          <w:ilvl w:val="0"/>
          <w:numId w:val="9"/>
        </w:numPr>
        <w:spacing w:before="0" w:after="100" w:afterAutospacing="1"/>
        <w:ind w:left="720"/>
        <w:rPr>
          <w:rStyle w:val="CommentReference"/>
          <w:rFonts w:cs="Arial"/>
          <w:snapToGrid/>
          <w:sz w:val="24"/>
          <w:szCs w:val="24"/>
        </w:rPr>
      </w:pPr>
      <w:r w:rsidRPr="3FB95C47">
        <w:rPr>
          <w:rStyle w:val="A5"/>
          <w:rFonts w:cs="Arial"/>
          <w:i w:val="0"/>
          <w:iCs w:val="0"/>
        </w:rPr>
        <w:t xml:space="preserve">The Consortium added </w:t>
      </w:r>
      <w:r w:rsidR="75BA5019" w:rsidRPr="3FB95C47">
        <w:rPr>
          <w:rStyle w:val="A5"/>
          <w:rFonts w:cs="Arial"/>
          <w:i w:val="0"/>
          <w:iCs w:val="0"/>
        </w:rPr>
        <w:t>42</w:t>
      </w:r>
      <w:r w:rsidRPr="3FB95C47">
        <w:rPr>
          <w:rStyle w:val="A5"/>
          <w:rFonts w:cs="Arial"/>
          <w:i w:val="0"/>
          <w:iCs w:val="0"/>
        </w:rPr>
        <w:t xml:space="preserve"> new Connections Playlists to the Digital Library</w:t>
      </w:r>
      <w:r w:rsidR="23DEC936" w:rsidRPr="3FB95C47">
        <w:rPr>
          <w:rStyle w:val="A5"/>
          <w:rFonts w:cs="Arial"/>
          <w:i w:val="0"/>
          <w:iCs w:val="0"/>
        </w:rPr>
        <w:t xml:space="preserve"> for the 2019</w:t>
      </w:r>
      <w:r w:rsidR="14D80D8E" w:rsidRPr="3FB95C47">
        <w:rPr>
          <w:rStyle w:val="A5"/>
          <w:rFonts w:cs="Arial"/>
          <w:i w:val="0"/>
          <w:iCs w:val="0"/>
        </w:rPr>
        <w:t>–2020 school year</w:t>
      </w:r>
      <w:r w:rsidR="481D2AF0" w:rsidRPr="3FB95C47">
        <w:rPr>
          <w:rStyle w:val="A5"/>
          <w:rFonts w:cs="Arial"/>
          <w:i w:val="0"/>
          <w:iCs w:val="0"/>
        </w:rPr>
        <w:t xml:space="preserve">—one for </w:t>
      </w:r>
      <w:r w:rsidR="24B777AE" w:rsidRPr="54FDBCFC">
        <w:rPr>
          <w:rFonts w:ascii="Helvetica" w:hAnsi="Helvetica" w:cs="Helvetica"/>
          <w:snapToGrid/>
          <w:color w:val="000000"/>
        </w:rPr>
        <w:t>each</w:t>
      </w:r>
      <w:r w:rsidR="06130692">
        <w:rPr>
          <w:rFonts w:ascii="Helvetica" w:hAnsi="Helvetica" w:cs="Helvetica"/>
          <w:snapToGrid/>
          <w:color w:val="000000"/>
        </w:rPr>
        <w:t xml:space="preserve"> of the</w:t>
      </w:r>
      <w:r w:rsidR="34D485A8">
        <w:rPr>
          <w:rFonts w:ascii="Helvetica" w:hAnsi="Helvetica" w:cs="Helvetica"/>
          <w:snapToGrid/>
          <w:color w:val="000000"/>
        </w:rPr>
        <w:t xml:space="preserve"> Interim Assessment Block</w:t>
      </w:r>
      <w:r w:rsidR="06130692">
        <w:rPr>
          <w:rFonts w:ascii="Helvetica" w:hAnsi="Helvetica" w:cs="Helvetica"/>
          <w:snapToGrid/>
          <w:color w:val="000000"/>
        </w:rPr>
        <w:t>s</w:t>
      </w:r>
      <w:r w:rsidR="34D485A8">
        <w:rPr>
          <w:rFonts w:ascii="Helvetica" w:hAnsi="Helvetica" w:cs="Helvetica"/>
          <w:snapToGrid/>
          <w:color w:val="000000"/>
        </w:rPr>
        <w:t xml:space="preserve"> (</w:t>
      </w:r>
      <w:r w:rsidR="24B777AE" w:rsidRPr="54FDBCFC">
        <w:rPr>
          <w:rFonts w:ascii="Helvetica" w:hAnsi="Helvetica" w:cs="Helvetica"/>
          <w:snapToGrid/>
          <w:color w:val="000000"/>
        </w:rPr>
        <w:t>IAB</w:t>
      </w:r>
      <w:r w:rsidR="06130692">
        <w:rPr>
          <w:rFonts w:ascii="Helvetica" w:hAnsi="Helvetica" w:cs="Helvetica"/>
          <w:snapToGrid/>
          <w:color w:val="000000"/>
        </w:rPr>
        <w:t>s</w:t>
      </w:r>
      <w:r w:rsidR="34D485A8">
        <w:rPr>
          <w:rFonts w:ascii="Helvetica" w:hAnsi="Helvetica" w:cs="Helvetica"/>
          <w:snapToGrid/>
          <w:color w:val="000000"/>
        </w:rPr>
        <w:t>)</w:t>
      </w:r>
      <w:r w:rsidR="2664213A">
        <w:rPr>
          <w:rFonts w:ascii="Helvetica" w:hAnsi="Helvetica" w:cs="Helvetica"/>
          <w:snapToGrid/>
          <w:color w:val="000000"/>
        </w:rPr>
        <w:t>.</w:t>
      </w:r>
      <w:r w:rsidR="5DF4F42E">
        <w:rPr>
          <w:rFonts w:ascii="Helvetica" w:hAnsi="Helvetica" w:cs="Helvetica"/>
          <w:snapToGrid/>
          <w:color w:val="000000"/>
        </w:rPr>
        <w:t xml:space="preserve"> </w:t>
      </w:r>
      <w:r w:rsidR="2664213A">
        <w:rPr>
          <w:rFonts w:ascii="Helvetica" w:hAnsi="Helvetica" w:cs="Helvetica"/>
          <w:snapToGrid/>
          <w:color w:val="000000"/>
        </w:rPr>
        <w:t>The new Connections Playlists are</w:t>
      </w:r>
      <w:r w:rsidR="5DF4F42E">
        <w:rPr>
          <w:rFonts w:ascii="Helvetica" w:hAnsi="Helvetica" w:cs="Helvetica"/>
          <w:snapToGrid/>
          <w:color w:val="000000"/>
        </w:rPr>
        <w:t xml:space="preserve"> </w:t>
      </w:r>
      <w:r w:rsidR="24B777AE" w:rsidRPr="54FDBCFC">
        <w:rPr>
          <w:rFonts w:ascii="Helvetica" w:hAnsi="Helvetica" w:cs="Helvetica"/>
          <w:snapToGrid/>
          <w:color w:val="000000"/>
        </w:rPr>
        <w:t xml:space="preserve">aligned with the new focused IABs, which feature 126 new instructional resources for ELA and mathematics. </w:t>
      </w:r>
      <w:r w:rsidR="2664213A" w:rsidRPr="003E54B7">
        <w:rPr>
          <w:rStyle w:val="A5"/>
          <w:rFonts w:cs="Arial"/>
          <w:i w:val="0"/>
        </w:rPr>
        <w:t>D</w:t>
      </w:r>
      <w:r w:rsidR="2664213A" w:rsidRPr="3FB95C47">
        <w:rPr>
          <w:rStyle w:val="A5"/>
          <w:rFonts w:cs="Arial"/>
          <w:i w:val="0"/>
          <w:iCs w:val="0"/>
        </w:rPr>
        <w:t>eveloped in collaboration with educators from Consortium member states, t</w:t>
      </w:r>
      <w:r w:rsidRPr="3FB95C47">
        <w:rPr>
          <w:rStyle w:val="A5"/>
          <w:rFonts w:cs="Arial"/>
          <w:i w:val="0"/>
          <w:iCs w:val="0"/>
        </w:rPr>
        <w:t>he</w:t>
      </w:r>
      <w:r w:rsidR="2664213A" w:rsidRPr="3FB95C47">
        <w:rPr>
          <w:rStyle w:val="A5"/>
          <w:rFonts w:cs="Arial"/>
          <w:i w:val="0"/>
          <w:iCs w:val="0"/>
        </w:rPr>
        <w:t xml:space="preserve"> new</w:t>
      </w:r>
      <w:r w:rsidRPr="3FB95C47">
        <w:rPr>
          <w:rStyle w:val="A5"/>
          <w:rFonts w:cs="Arial"/>
          <w:i w:val="0"/>
          <w:iCs w:val="0"/>
        </w:rPr>
        <w:t xml:space="preserve"> playlists support educators in their use of the Smarter Balanced Interim Assessments in conjunction with </w:t>
      </w:r>
      <w:r w:rsidR="5BE98800" w:rsidRPr="3FB95C47">
        <w:rPr>
          <w:rStyle w:val="A5"/>
          <w:rFonts w:cs="Arial"/>
          <w:i w:val="0"/>
          <w:iCs w:val="0"/>
        </w:rPr>
        <w:t xml:space="preserve">instructional </w:t>
      </w:r>
      <w:r w:rsidRPr="3FB95C47">
        <w:rPr>
          <w:rStyle w:val="A5"/>
          <w:rFonts w:cs="Arial"/>
          <w:i w:val="0"/>
          <w:iCs w:val="0"/>
        </w:rPr>
        <w:t>resources</w:t>
      </w:r>
      <w:r w:rsidR="5BE98800" w:rsidRPr="3FB95C47">
        <w:rPr>
          <w:rStyle w:val="A5"/>
          <w:rFonts w:cs="Arial"/>
          <w:i w:val="0"/>
          <w:iCs w:val="0"/>
        </w:rPr>
        <w:t>.</w:t>
      </w:r>
      <w:r w:rsidRPr="3FB95C47">
        <w:rPr>
          <w:rStyle w:val="A5"/>
          <w:rFonts w:cs="Arial"/>
          <w:i w:val="0"/>
          <w:iCs w:val="0"/>
        </w:rPr>
        <w:t xml:space="preserve"> </w:t>
      </w:r>
      <w:r w:rsidR="64E0E131" w:rsidRPr="3FB95C47">
        <w:rPr>
          <w:rStyle w:val="A5"/>
          <w:rFonts w:cs="Arial"/>
          <w:i w:val="0"/>
          <w:iCs w:val="0"/>
        </w:rPr>
        <w:t>The Connections Playlists are available</w:t>
      </w:r>
      <w:r w:rsidR="1CA1C3C3" w:rsidRPr="3FB95C47">
        <w:rPr>
          <w:rStyle w:val="A5"/>
          <w:rFonts w:cs="Arial"/>
          <w:i w:val="0"/>
          <w:iCs w:val="0"/>
        </w:rPr>
        <w:t xml:space="preserve"> o</w:t>
      </w:r>
      <w:r w:rsidR="67067406" w:rsidRPr="3FB95C47">
        <w:rPr>
          <w:rStyle w:val="A5"/>
          <w:rFonts w:cs="Arial"/>
          <w:i w:val="0"/>
          <w:iCs w:val="0"/>
        </w:rPr>
        <w:t>n the</w:t>
      </w:r>
      <w:r w:rsidR="54A688F0" w:rsidRPr="00685CA5" w:rsidDel="00934BAF">
        <w:rPr>
          <w:rFonts w:cs="Arial"/>
        </w:rPr>
        <w:t xml:space="preserve"> </w:t>
      </w:r>
      <w:r w:rsidR="4B32089A">
        <w:rPr>
          <w:rFonts w:cs="Arial"/>
        </w:rPr>
        <w:t xml:space="preserve">Tools for </w:t>
      </w:r>
      <w:r w:rsidR="6DD3FBF5">
        <w:rPr>
          <w:rFonts w:cs="Arial"/>
        </w:rPr>
        <w:t>Teachers website</w:t>
      </w:r>
      <w:r w:rsidR="4B32089A">
        <w:rPr>
          <w:rFonts w:cs="Arial"/>
        </w:rPr>
        <w:t xml:space="preserve"> at</w:t>
      </w:r>
      <w:r w:rsidR="00BA7C7F">
        <w:t xml:space="preserve"> </w:t>
      </w:r>
      <w:hyperlink r:id="rId30" w:history="1">
        <w:r w:rsidR="00BA7C7F" w:rsidRPr="00D01389">
          <w:rPr>
            <w:rStyle w:val="Hyperlink"/>
          </w:rPr>
          <w:t>https://smartertoolsforteachers.org/</w:t>
        </w:r>
      </w:hyperlink>
      <w:r w:rsidR="00202327">
        <w:t>.</w:t>
      </w:r>
      <w:r w:rsidR="00BA7C7F">
        <w:t xml:space="preserve"> </w:t>
      </w:r>
    </w:p>
    <w:p w14:paraId="050E0BEE" w14:textId="784908FF" w:rsidR="00D325B5" w:rsidRPr="003E54B7" w:rsidRDefault="3D26360F" w:rsidP="00F95870">
      <w:pPr>
        <w:pStyle w:val="Heading3"/>
        <w:widowControl/>
        <w:rPr>
          <w:i w:val="0"/>
          <w:sz w:val="28"/>
          <w:szCs w:val="28"/>
        </w:rPr>
      </w:pPr>
      <w:bookmarkStart w:id="36" w:name="_Toc2346312"/>
      <w:bookmarkStart w:id="37" w:name="_Toc43122209"/>
      <w:r w:rsidRPr="003E54B7">
        <w:rPr>
          <w:b/>
          <w:bCs/>
          <w:i w:val="0"/>
          <w:sz w:val="28"/>
          <w:szCs w:val="28"/>
        </w:rPr>
        <w:t xml:space="preserve">California Alternate Assessments </w:t>
      </w:r>
      <w:r w:rsidR="76A70002" w:rsidRPr="003E54B7">
        <w:rPr>
          <w:b/>
          <w:bCs/>
          <w:i w:val="0"/>
          <w:sz w:val="28"/>
          <w:szCs w:val="28"/>
        </w:rPr>
        <w:t xml:space="preserve">for </w:t>
      </w:r>
      <w:r w:rsidR="5D87A26A" w:rsidRPr="003E54B7">
        <w:rPr>
          <w:b/>
          <w:bCs/>
          <w:i w:val="0"/>
          <w:sz w:val="28"/>
          <w:szCs w:val="28"/>
        </w:rPr>
        <w:t>E</w:t>
      </w:r>
      <w:r w:rsidR="10C2793A" w:rsidRPr="003E54B7">
        <w:rPr>
          <w:b/>
          <w:bCs/>
          <w:i w:val="0"/>
          <w:sz w:val="28"/>
          <w:szCs w:val="28"/>
        </w:rPr>
        <w:t xml:space="preserve">nglish </w:t>
      </w:r>
      <w:r w:rsidR="5D87A26A" w:rsidRPr="003E54B7">
        <w:rPr>
          <w:b/>
          <w:bCs/>
          <w:i w:val="0"/>
          <w:sz w:val="28"/>
          <w:szCs w:val="28"/>
        </w:rPr>
        <w:t>L</w:t>
      </w:r>
      <w:r w:rsidR="10C2793A" w:rsidRPr="003E54B7">
        <w:rPr>
          <w:b/>
          <w:bCs/>
          <w:i w:val="0"/>
          <w:sz w:val="28"/>
          <w:szCs w:val="28"/>
        </w:rPr>
        <w:t xml:space="preserve">anguage </w:t>
      </w:r>
      <w:r w:rsidR="5D87A26A" w:rsidRPr="003E54B7">
        <w:rPr>
          <w:b/>
          <w:bCs/>
          <w:i w:val="0"/>
          <w:sz w:val="28"/>
          <w:szCs w:val="28"/>
        </w:rPr>
        <w:t>A</w:t>
      </w:r>
      <w:r w:rsidR="10C2793A" w:rsidRPr="003E54B7">
        <w:rPr>
          <w:b/>
          <w:bCs/>
          <w:i w:val="0"/>
          <w:sz w:val="28"/>
          <w:szCs w:val="28"/>
        </w:rPr>
        <w:t>rts</w:t>
      </w:r>
      <w:r w:rsidR="5D87A26A" w:rsidRPr="003E54B7">
        <w:rPr>
          <w:b/>
          <w:bCs/>
          <w:i w:val="0"/>
          <w:sz w:val="28"/>
          <w:szCs w:val="28"/>
        </w:rPr>
        <w:t xml:space="preserve"> and Mathematics</w:t>
      </w:r>
      <w:bookmarkEnd w:id="36"/>
      <w:bookmarkEnd w:id="37"/>
    </w:p>
    <w:p w14:paraId="050E0BEF" w14:textId="77949E39" w:rsidR="00D325B5" w:rsidRPr="005C3073" w:rsidRDefault="00D325B5" w:rsidP="00F95870">
      <w:pPr>
        <w:widowControl/>
        <w:rPr>
          <w:snapToGrid/>
        </w:rPr>
      </w:pPr>
      <w:r w:rsidRPr="005C3073">
        <w:rPr>
          <w:snapToGrid/>
        </w:rPr>
        <w:t xml:space="preserve">The </w:t>
      </w:r>
      <w:r w:rsidR="006255E6" w:rsidRPr="005C3073">
        <w:rPr>
          <w:snapToGrid/>
        </w:rPr>
        <w:t>20</w:t>
      </w:r>
      <w:r w:rsidR="00E002BC">
        <w:rPr>
          <w:snapToGrid/>
        </w:rPr>
        <w:t>20</w:t>
      </w:r>
      <w:r w:rsidR="006255E6" w:rsidRPr="005C3073">
        <w:rPr>
          <w:snapToGrid/>
        </w:rPr>
        <w:t xml:space="preserve"> </w:t>
      </w:r>
      <w:r w:rsidRPr="005C3073">
        <w:rPr>
          <w:snapToGrid/>
        </w:rPr>
        <w:t>implementation activities in support of the CAA</w:t>
      </w:r>
      <w:r w:rsidR="002E450D" w:rsidRPr="005C3073">
        <w:rPr>
          <w:snapToGrid/>
        </w:rPr>
        <w:t>s</w:t>
      </w:r>
      <w:r w:rsidRPr="005C3073">
        <w:rPr>
          <w:snapToGrid/>
        </w:rPr>
        <w:t xml:space="preserve"> for ELA and mathematics </w:t>
      </w:r>
      <w:r w:rsidR="00BB30D6">
        <w:rPr>
          <w:snapToGrid/>
        </w:rPr>
        <w:t>included the following</w:t>
      </w:r>
      <w:r w:rsidRPr="005C3073">
        <w:rPr>
          <w:snapToGrid/>
        </w:rPr>
        <w:t>:</w:t>
      </w:r>
    </w:p>
    <w:p w14:paraId="763B9B44" w14:textId="13627088" w:rsidR="00BB30D6" w:rsidRDefault="410EBEFC" w:rsidP="54FDBCFC">
      <w:pPr>
        <w:pStyle w:val="ListParagraph"/>
        <w:widowControl/>
        <w:numPr>
          <w:ilvl w:val="0"/>
          <w:numId w:val="18"/>
        </w:numPr>
        <w:spacing w:before="0"/>
        <w:rPr>
          <w:rFonts w:cs="Arial"/>
        </w:rPr>
      </w:pPr>
      <w:r w:rsidRPr="3FB95C47">
        <w:rPr>
          <w:rFonts w:cs="Arial"/>
        </w:rPr>
        <w:t>Educators</w:t>
      </w:r>
      <w:r w:rsidR="5F220CEB" w:rsidRPr="3FB95C47">
        <w:rPr>
          <w:rFonts w:cs="Arial"/>
        </w:rPr>
        <w:t xml:space="preserve"> from throughout the state convened virtually for item writing and item review workshops. These workshops support</w:t>
      </w:r>
      <w:r w:rsidR="2664213A" w:rsidRPr="3FB95C47">
        <w:rPr>
          <w:rFonts w:cs="Arial"/>
        </w:rPr>
        <w:t>ed</w:t>
      </w:r>
      <w:r w:rsidR="5F220CEB" w:rsidRPr="3FB95C47">
        <w:rPr>
          <w:rFonts w:cs="Arial"/>
        </w:rPr>
        <w:t xml:space="preserve"> the o</w:t>
      </w:r>
      <w:r w:rsidR="62E55DAC" w:rsidRPr="3FB95C47">
        <w:rPr>
          <w:rFonts w:cs="Arial"/>
        </w:rPr>
        <w:t xml:space="preserve">ngoing development work </w:t>
      </w:r>
      <w:r w:rsidR="62E55DAC" w:rsidRPr="3FB95C47">
        <w:rPr>
          <w:rFonts w:cs="Arial"/>
        </w:rPr>
        <w:lastRenderedPageBreak/>
        <w:t>for the CAA</w:t>
      </w:r>
      <w:r w:rsidR="625C1442" w:rsidRPr="3FB95C47">
        <w:rPr>
          <w:rFonts w:cs="Arial"/>
        </w:rPr>
        <w:t>s</w:t>
      </w:r>
      <w:r w:rsidR="62E55DAC" w:rsidRPr="3FB95C47">
        <w:rPr>
          <w:rFonts w:cs="Arial"/>
        </w:rPr>
        <w:t xml:space="preserve"> for ELA and mathematics </w:t>
      </w:r>
      <w:r w:rsidR="74F8458A" w:rsidRPr="3FB95C47">
        <w:rPr>
          <w:rFonts w:cs="Arial"/>
        </w:rPr>
        <w:t xml:space="preserve">in </w:t>
      </w:r>
      <w:r w:rsidR="62E55DAC" w:rsidRPr="3FB95C47">
        <w:rPr>
          <w:rFonts w:cs="Arial"/>
        </w:rPr>
        <w:t xml:space="preserve">refreshing </w:t>
      </w:r>
      <w:r w:rsidR="74F8458A" w:rsidRPr="3FB95C47">
        <w:rPr>
          <w:rFonts w:cs="Arial"/>
        </w:rPr>
        <w:t xml:space="preserve">the </w:t>
      </w:r>
      <w:r w:rsidR="62E55DAC" w:rsidRPr="3FB95C47">
        <w:rPr>
          <w:rFonts w:cs="Arial"/>
        </w:rPr>
        <w:t>item banks and practice tests.</w:t>
      </w:r>
    </w:p>
    <w:p w14:paraId="050E0BF3" w14:textId="2BE252AF" w:rsidR="00802A76" w:rsidRPr="003E54B7" w:rsidRDefault="005D10A3" w:rsidP="00F95870">
      <w:pPr>
        <w:pStyle w:val="Heading3"/>
        <w:widowControl/>
        <w:rPr>
          <w:i w:val="0"/>
          <w:sz w:val="28"/>
          <w:szCs w:val="28"/>
        </w:rPr>
      </w:pPr>
      <w:bookmarkStart w:id="38" w:name="_Toc2346313"/>
      <w:bookmarkStart w:id="39" w:name="_Toc43122210"/>
      <w:r w:rsidRPr="003E54B7">
        <w:rPr>
          <w:b/>
          <w:i w:val="0"/>
          <w:sz w:val="28"/>
          <w:szCs w:val="28"/>
        </w:rPr>
        <w:t xml:space="preserve">California </w:t>
      </w:r>
      <w:r w:rsidR="007917EA" w:rsidRPr="003E54B7">
        <w:rPr>
          <w:b/>
          <w:i w:val="0"/>
          <w:sz w:val="28"/>
          <w:szCs w:val="28"/>
        </w:rPr>
        <w:t xml:space="preserve">Science </w:t>
      </w:r>
      <w:r w:rsidRPr="003E54B7">
        <w:rPr>
          <w:b/>
          <w:i w:val="0"/>
          <w:sz w:val="28"/>
          <w:szCs w:val="28"/>
        </w:rPr>
        <w:t>Test</w:t>
      </w:r>
      <w:bookmarkEnd w:id="38"/>
      <w:bookmarkEnd w:id="39"/>
    </w:p>
    <w:p w14:paraId="050E0BF4" w14:textId="4A0D2E01" w:rsidR="00EB000A" w:rsidRPr="005C3073" w:rsidRDefault="001C70B1" w:rsidP="00F95870">
      <w:pPr>
        <w:widowControl/>
        <w:rPr>
          <w:b/>
        </w:rPr>
      </w:pPr>
      <w:r w:rsidRPr="005C3073">
        <w:t xml:space="preserve">The </w:t>
      </w:r>
      <w:r w:rsidR="00F3645E" w:rsidRPr="005C3073">
        <w:t>20</w:t>
      </w:r>
      <w:r w:rsidR="00F3645E">
        <w:t>20</w:t>
      </w:r>
      <w:r w:rsidR="00F3645E" w:rsidRPr="005C3073">
        <w:t xml:space="preserve"> </w:t>
      </w:r>
      <w:r w:rsidR="00802A76" w:rsidRPr="005C3073">
        <w:t xml:space="preserve">implementation activities in support of </w:t>
      </w:r>
      <w:r w:rsidR="00AD2BB3" w:rsidRPr="005C3073">
        <w:t>the CAST</w:t>
      </w:r>
      <w:r w:rsidR="00802A76" w:rsidRPr="005C3073">
        <w:t xml:space="preserve"> were as follows:</w:t>
      </w:r>
    </w:p>
    <w:p w14:paraId="7F13F16A" w14:textId="0CE92867" w:rsidR="004A6C66" w:rsidRDefault="381E90F6" w:rsidP="54FDBCFC">
      <w:pPr>
        <w:pStyle w:val="ListParagraph"/>
        <w:widowControl/>
        <w:numPr>
          <w:ilvl w:val="0"/>
          <w:numId w:val="10"/>
        </w:numPr>
        <w:rPr>
          <w:rFonts w:cs="Arial"/>
        </w:rPr>
      </w:pPr>
      <w:r w:rsidRPr="3FB95C47">
        <w:rPr>
          <w:rFonts w:cs="Arial"/>
        </w:rPr>
        <w:t xml:space="preserve">In </w:t>
      </w:r>
      <w:r w:rsidR="1D0F3397" w:rsidRPr="3FB95C47">
        <w:rPr>
          <w:rFonts w:cs="Arial"/>
        </w:rPr>
        <w:t>January</w:t>
      </w:r>
      <w:r w:rsidRPr="3FB95C47">
        <w:rPr>
          <w:rFonts w:cs="Arial"/>
        </w:rPr>
        <w:t>,</w:t>
      </w:r>
      <w:r w:rsidR="1EB8BA29" w:rsidRPr="3FB95C47">
        <w:rPr>
          <w:rFonts w:cs="Arial"/>
        </w:rPr>
        <w:t xml:space="preserve"> </w:t>
      </w:r>
      <w:r w:rsidR="6A782CEC" w:rsidRPr="3FB95C47">
        <w:rPr>
          <w:rFonts w:cs="Arial"/>
        </w:rPr>
        <w:t xml:space="preserve">the </w:t>
      </w:r>
      <w:r w:rsidR="557A908C" w:rsidRPr="3FB95C47">
        <w:rPr>
          <w:rFonts w:cs="Arial"/>
        </w:rPr>
        <w:t>SBE</w:t>
      </w:r>
      <w:r w:rsidR="6A782CEC" w:rsidRPr="3FB95C47">
        <w:rPr>
          <w:rFonts w:cs="Arial"/>
        </w:rPr>
        <w:t xml:space="preserve"> approve</w:t>
      </w:r>
      <w:r w:rsidR="31DE08CB" w:rsidRPr="3FB95C47">
        <w:rPr>
          <w:rFonts w:cs="Arial"/>
        </w:rPr>
        <w:t>d</w:t>
      </w:r>
      <w:r w:rsidR="6A782CEC" w:rsidRPr="3FB95C47">
        <w:rPr>
          <w:rFonts w:cs="Arial"/>
        </w:rPr>
        <w:t xml:space="preserve"> the </w:t>
      </w:r>
      <w:r w:rsidR="14BF7A5B" w:rsidRPr="3FB95C47">
        <w:rPr>
          <w:rFonts w:cs="Arial"/>
        </w:rPr>
        <w:t>CDE</w:t>
      </w:r>
      <w:r w:rsidR="1FD7E76B" w:rsidRPr="3FB95C47">
        <w:rPr>
          <w:rFonts w:cs="Arial"/>
        </w:rPr>
        <w:t>-</w:t>
      </w:r>
      <w:r w:rsidR="14BF7A5B" w:rsidRPr="3FB95C47">
        <w:rPr>
          <w:rFonts w:cs="Arial"/>
        </w:rPr>
        <w:t>recommended</w:t>
      </w:r>
      <w:r w:rsidR="31DE08CB" w:rsidRPr="3FB95C47">
        <w:rPr>
          <w:rFonts w:cs="Arial"/>
        </w:rPr>
        <w:t xml:space="preserve"> changes to the </w:t>
      </w:r>
      <w:r w:rsidR="37575A31" w:rsidRPr="3FB95C47">
        <w:rPr>
          <w:rFonts w:cs="Arial"/>
        </w:rPr>
        <w:t xml:space="preserve">CAST design and </w:t>
      </w:r>
      <w:r w:rsidR="31DE08CB" w:rsidRPr="3FB95C47">
        <w:rPr>
          <w:rFonts w:cs="Arial"/>
        </w:rPr>
        <w:t>blueprint</w:t>
      </w:r>
      <w:r w:rsidR="54CD7C8D" w:rsidRPr="3FB95C47">
        <w:rPr>
          <w:rFonts w:cs="Arial"/>
        </w:rPr>
        <w:t xml:space="preserve"> for implementation in the 2020</w:t>
      </w:r>
      <w:r w:rsidR="005BA26F" w:rsidRPr="3FB95C47">
        <w:rPr>
          <w:rFonts w:cs="Arial"/>
        </w:rPr>
        <w:t>–</w:t>
      </w:r>
      <w:r w:rsidR="465F91F7" w:rsidRPr="3FB95C47">
        <w:rPr>
          <w:rFonts w:cs="Arial"/>
        </w:rPr>
        <w:t>20</w:t>
      </w:r>
      <w:r w:rsidR="005BA26F" w:rsidRPr="3FB95C47">
        <w:rPr>
          <w:rFonts w:cs="Arial"/>
        </w:rPr>
        <w:t>21 administration.</w:t>
      </w:r>
    </w:p>
    <w:p w14:paraId="050E0BF5" w14:textId="4CF5C137" w:rsidR="00875F16" w:rsidRPr="005C3073" w:rsidRDefault="7880B658" w:rsidP="54FDBCFC">
      <w:pPr>
        <w:pStyle w:val="ListParagraph"/>
        <w:widowControl/>
        <w:numPr>
          <w:ilvl w:val="0"/>
          <w:numId w:val="10"/>
        </w:numPr>
        <w:rPr>
          <w:rFonts w:cs="Arial"/>
        </w:rPr>
      </w:pPr>
      <w:r w:rsidRPr="3FB95C47">
        <w:rPr>
          <w:rFonts w:cs="Arial"/>
        </w:rPr>
        <w:t xml:space="preserve">In </w:t>
      </w:r>
      <w:r w:rsidR="0227AB49" w:rsidRPr="3FB95C47">
        <w:rPr>
          <w:rFonts w:cs="Arial"/>
        </w:rPr>
        <w:t xml:space="preserve">January, </w:t>
      </w:r>
      <w:r w:rsidR="1EB8BA29" w:rsidRPr="3FB95C47">
        <w:rPr>
          <w:rFonts w:cs="Arial"/>
        </w:rPr>
        <w:t>an in-person item</w:t>
      </w:r>
      <w:r w:rsidR="58EAFDA7" w:rsidRPr="3FB95C47">
        <w:rPr>
          <w:rFonts w:cs="Arial"/>
        </w:rPr>
        <w:t xml:space="preserve"> </w:t>
      </w:r>
      <w:r w:rsidR="1EB8BA29" w:rsidRPr="3FB95C47">
        <w:rPr>
          <w:rFonts w:cs="Arial"/>
        </w:rPr>
        <w:t>w</w:t>
      </w:r>
      <w:r w:rsidR="1D0F3397" w:rsidRPr="3FB95C47">
        <w:rPr>
          <w:rFonts w:cs="Arial"/>
        </w:rPr>
        <w:t>riting</w:t>
      </w:r>
      <w:r w:rsidR="35D6BA62" w:rsidRPr="3FB95C47">
        <w:rPr>
          <w:rFonts w:cs="Arial"/>
        </w:rPr>
        <w:t xml:space="preserve"> w</w:t>
      </w:r>
      <w:r w:rsidR="381E90F6" w:rsidRPr="3FB95C47">
        <w:rPr>
          <w:rFonts w:cs="Arial"/>
        </w:rPr>
        <w:t xml:space="preserve">orkshop was conducted in Sacramento with </w:t>
      </w:r>
      <w:r w:rsidR="5493546F" w:rsidRPr="3FB95C47">
        <w:rPr>
          <w:rFonts w:cs="Arial"/>
        </w:rPr>
        <w:t xml:space="preserve">17 </w:t>
      </w:r>
      <w:r w:rsidR="381E90F6" w:rsidRPr="3FB95C47">
        <w:rPr>
          <w:rFonts w:cs="Arial"/>
        </w:rPr>
        <w:t>California science educators</w:t>
      </w:r>
      <w:r w:rsidR="7D02A240" w:rsidRPr="3FB95C47">
        <w:rPr>
          <w:rFonts w:cs="Arial"/>
        </w:rPr>
        <w:t xml:space="preserve"> participating.</w:t>
      </w:r>
      <w:r w:rsidR="4A7012BE" w:rsidRPr="3FB95C47">
        <w:rPr>
          <w:rFonts w:cs="Arial"/>
        </w:rPr>
        <w:t xml:space="preserve"> </w:t>
      </w:r>
      <w:r w:rsidR="7D02A240" w:rsidRPr="3FB95C47">
        <w:rPr>
          <w:rFonts w:cs="Arial"/>
        </w:rPr>
        <w:t xml:space="preserve">The educators </w:t>
      </w:r>
      <w:r w:rsidR="5493546F" w:rsidRPr="3FB95C47">
        <w:rPr>
          <w:rFonts w:cs="Arial"/>
        </w:rPr>
        <w:t xml:space="preserve">received training on how to write test questions for future </w:t>
      </w:r>
      <w:r w:rsidR="4A7012BE" w:rsidRPr="3FB95C47">
        <w:rPr>
          <w:rFonts w:cs="Arial"/>
        </w:rPr>
        <w:t>CAST</w:t>
      </w:r>
      <w:r w:rsidR="5493546F" w:rsidRPr="3FB95C47">
        <w:rPr>
          <w:rFonts w:cs="Arial"/>
        </w:rPr>
        <w:t xml:space="preserve"> administrations</w:t>
      </w:r>
      <w:r w:rsidR="4A7012BE" w:rsidRPr="3FB95C47">
        <w:rPr>
          <w:rFonts w:cs="Arial"/>
        </w:rPr>
        <w:t>.</w:t>
      </w:r>
    </w:p>
    <w:p w14:paraId="050E0BF6" w14:textId="6EB58FC2" w:rsidR="00755B42" w:rsidRPr="005C3073" w:rsidRDefault="5A6AAB1A" w:rsidP="00AC6C10">
      <w:pPr>
        <w:pStyle w:val="ListParagraph"/>
        <w:widowControl/>
        <w:numPr>
          <w:ilvl w:val="0"/>
          <w:numId w:val="10"/>
        </w:numPr>
      </w:pPr>
      <w:r>
        <w:t xml:space="preserve">On </w:t>
      </w:r>
      <w:r w:rsidR="1D0F3397">
        <w:t xml:space="preserve">January </w:t>
      </w:r>
      <w:r w:rsidR="555FE4FF">
        <w:t>7</w:t>
      </w:r>
      <w:r w:rsidR="4A7012BE">
        <w:t>,</w:t>
      </w:r>
      <w:r>
        <w:t xml:space="preserve"> </w:t>
      </w:r>
      <w:r w:rsidR="4A7012BE" w:rsidRPr="3FB95C47">
        <w:rPr>
          <w:rFonts w:cs="Arial"/>
        </w:rPr>
        <w:t xml:space="preserve">the </w:t>
      </w:r>
      <w:r w:rsidR="75CEED78" w:rsidRPr="3FB95C47">
        <w:rPr>
          <w:rFonts w:cs="Arial"/>
        </w:rPr>
        <w:t xml:space="preserve">CAST </w:t>
      </w:r>
      <w:r w:rsidR="1D0F3397" w:rsidRPr="3FB95C47">
        <w:rPr>
          <w:rStyle w:val="CommentReference"/>
          <w:sz w:val="24"/>
          <w:szCs w:val="24"/>
        </w:rPr>
        <w:t>operational assessment</w:t>
      </w:r>
      <w:r w:rsidR="75CEED78" w:rsidRPr="3FB95C47">
        <w:rPr>
          <w:rStyle w:val="CommentReference"/>
          <w:sz w:val="24"/>
          <w:szCs w:val="24"/>
        </w:rPr>
        <w:t xml:space="preserve"> </w:t>
      </w:r>
      <w:r w:rsidR="5F294875" w:rsidRPr="3FB95C47">
        <w:rPr>
          <w:rStyle w:val="CommentReference"/>
          <w:sz w:val="24"/>
          <w:szCs w:val="24"/>
        </w:rPr>
        <w:t xml:space="preserve">became </w:t>
      </w:r>
      <w:r w:rsidR="75CEED78" w:rsidRPr="3FB95C47">
        <w:rPr>
          <w:rStyle w:val="CommentReference"/>
          <w:sz w:val="24"/>
          <w:szCs w:val="24"/>
        </w:rPr>
        <w:t xml:space="preserve">available </w:t>
      </w:r>
      <w:r w:rsidRPr="3FB95C47">
        <w:rPr>
          <w:rStyle w:val="CommentReference"/>
          <w:sz w:val="24"/>
          <w:szCs w:val="24"/>
        </w:rPr>
        <w:t>to</w:t>
      </w:r>
      <w:r w:rsidR="75CEED78" w:rsidRPr="3FB95C47">
        <w:rPr>
          <w:rStyle w:val="CommentReference"/>
          <w:sz w:val="24"/>
          <w:szCs w:val="24"/>
        </w:rPr>
        <w:t xml:space="preserve"> LEAs</w:t>
      </w:r>
      <w:r w:rsidR="37029E4D" w:rsidRPr="3FB95C47">
        <w:rPr>
          <w:rStyle w:val="CommentReference"/>
          <w:sz w:val="24"/>
          <w:szCs w:val="24"/>
        </w:rPr>
        <w:t xml:space="preserve">; </w:t>
      </w:r>
      <w:r w:rsidR="36AF0672" w:rsidRPr="3FB95C47">
        <w:rPr>
          <w:rStyle w:val="CommentReference"/>
          <w:sz w:val="24"/>
          <w:szCs w:val="24"/>
        </w:rPr>
        <w:t>testing was suspended on March 20, 2020.</w:t>
      </w:r>
      <w:r w:rsidR="75CEED78" w:rsidRPr="3FB95C47">
        <w:rPr>
          <w:rStyle w:val="CommentReference"/>
          <w:sz w:val="24"/>
          <w:szCs w:val="24"/>
        </w:rPr>
        <w:t xml:space="preserve"> </w:t>
      </w:r>
      <w:r w:rsidR="07165933" w:rsidRPr="3FB95C47">
        <w:rPr>
          <w:rFonts w:cs="Arial"/>
        </w:rPr>
        <w:t>One</w:t>
      </w:r>
      <w:r w:rsidR="003E54B7">
        <w:rPr>
          <w:rFonts w:cs="Arial"/>
        </w:rPr>
        <w:t xml:space="preserve"> </w:t>
      </w:r>
      <w:r w:rsidR="07165933" w:rsidRPr="3FB95C47">
        <w:rPr>
          <w:rFonts w:cs="Arial"/>
        </w:rPr>
        <w:t xml:space="preserve">hundred fourteen LEAs </w:t>
      </w:r>
      <w:r w:rsidR="39B69C55" w:rsidRPr="3FB95C47">
        <w:rPr>
          <w:rFonts w:cs="Arial"/>
        </w:rPr>
        <w:t>administered the CAST, and 26,738 students completed</w:t>
      </w:r>
      <w:r w:rsidR="1D0F3397" w:rsidRPr="3FB95C47">
        <w:rPr>
          <w:rFonts w:cs="Arial"/>
        </w:rPr>
        <w:t xml:space="preserve"> </w:t>
      </w:r>
      <w:r w:rsidR="70B59ACF" w:rsidRPr="3FB95C47">
        <w:rPr>
          <w:rFonts w:cs="Arial"/>
        </w:rPr>
        <w:t xml:space="preserve">testing. </w:t>
      </w:r>
    </w:p>
    <w:p w14:paraId="52B06DFB" w14:textId="7CEB0D02" w:rsidR="003E1968" w:rsidRDefault="2A62CC27" w:rsidP="54FDBCFC">
      <w:pPr>
        <w:pStyle w:val="ListParagraph"/>
        <w:widowControl/>
        <w:numPr>
          <w:ilvl w:val="0"/>
          <w:numId w:val="10"/>
        </w:numPr>
      </w:pPr>
      <w:r>
        <w:t xml:space="preserve">In </w:t>
      </w:r>
      <w:r w:rsidR="15491FC1">
        <w:t>February</w:t>
      </w:r>
      <w:r>
        <w:t xml:space="preserve">, </w:t>
      </w:r>
      <w:r w:rsidR="6D3E9E53">
        <w:t>CDE staff pr</w:t>
      </w:r>
      <w:r w:rsidR="42485F68">
        <w:t>esented</w:t>
      </w:r>
      <w:r w:rsidR="6D3E9E53">
        <w:t xml:space="preserve"> updates</w:t>
      </w:r>
      <w:r w:rsidR="15491FC1">
        <w:t xml:space="preserve"> on the CAST</w:t>
      </w:r>
      <w:r w:rsidR="6D3E9E53">
        <w:t xml:space="preserve"> </w:t>
      </w:r>
      <w:r w:rsidR="42485F68">
        <w:t xml:space="preserve">at </w:t>
      </w:r>
      <w:r w:rsidR="42F46CCD">
        <w:t xml:space="preserve">a </w:t>
      </w:r>
      <w:r w:rsidR="6D3E9E53">
        <w:t xml:space="preserve">Community of Practice—Science </w:t>
      </w:r>
      <w:r w:rsidR="3A9D9BB2">
        <w:t>Subcommittee Meeting</w:t>
      </w:r>
      <w:r w:rsidR="42485F68">
        <w:t xml:space="preserve"> attended by 135 subcommittee members</w:t>
      </w:r>
      <w:r w:rsidR="42F46CCD">
        <w:t xml:space="preserve">. </w:t>
      </w:r>
    </w:p>
    <w:p w14:paraId="4286E24B" w14:textId="75501F01" w:rsidR="00931A8B" w:rsidRDefault="361787D6" w:rsidP="54FDBCFC">
      <w:pPr>
        <w:pStyle w:val="ListParagraph"/>
        <w:widowControl/>
        <w:numPr>
          <w:ilvl w:val="0"/>
          <w:numId w:val="10"/>
        </w:numPr>
      </w:pPr>
      <w:r>
        <w:t xml:space="preserve">In February, CDE staff </w:t>
      </w:r>
      <w:r w:rsidR="2DE98C1F">
        <w:t xml:space="preserve">presented </w:t>
      </w:r>
      <w:r w:rsidR="23CAF70A">
        <w:t xml:space="preserve">updates on the CAST </w:t>
      </w:r>
      <w:r w:rsidR="47D1AD9A">
        <w:t>at the Next Generation Science Standard</w:t>
      </w:r>
      <w:r w:rsidR="7DE90999">
        <w:t>s Leadership Conference</w:t>
      </w:r>
      <w:r w:rsidR="2DE98C1F">
        <w:t>, which was attended by 100 conference participants</w:t>
      </w:r>
      <w:r w:rsidR="7C8E4719">
        <w:t>.</w:t>
      </w:r>
    </w:p>
    <w:p w14:paraId="724989E1" w14:textId="1DE5401E" w:rsidR="00B0581D" w:rsidRDefault="7F2BF863" w:rsidP="54FDBCFC">
      <w:pPr>
        <w:pStyle w:val="ListParagraph"/>
        <w:widowControl/>
        <w:numPr>
          <w:ilvl w:val="0"/>
          <w:numId w:val="10"/>
        </w:numPr>
      </w:pPr>
      <w:r>
        <w:t>In June, CDE staff presented a science assessment update</w:t>
      </w:r>
      <w:r w:rsidR="1953FFCF">
        <w:t xml:space="preserve"> at the Curriculum and Instruction Steering Committee—Science Sub-Committee</w:t>
      </w:r>
      <w:r w:rsidR="5914819A">
        <w:t xml:space="preserve"> meeting</w:t>
      </w:r>
      <w:r>
        <w:t xml:space="preserve">, given the suspension of testing and the </w:t>
      </w:r>
      <w:r w:rsidR="2136D791">
        <w:t xml:space="preserve">suspension’s </w:t>
      </w:r>
      <w:r>
        <w:t xml:space="preserve">effect on high school students meeting the state and federal science testing requirement. </w:t>
      </w:r>
      <w:r w:rsidR="2136D791">
        <w:t>CDE staff a</w:t>
      </w:r>
      <w:r>
        <w:t xml:space="preserve">lso provided </w:t>
      </w:r>
      <w:r w:rsidR="2136D791">
        <w:t xml:space="preserve">an </w:t>
      </w:r>
      <w:r>
        <w:t>update on the development of new science instructional resources for California educators.</w:t>
      </w:r>
    </w:p>
    <w:p w14:paraId="3D110B38" w14:textId="64D17876" w:rsidR="00B0581D" w:rsidRDefault="7F2BF863" w:rsidP="54FDBCFC">
      <w:pPr>
        <w:pStyle w:val="ListParagraph"/>
        <w:widowControl/>
        <w:numPr>
          <w:ilvl w:val="0"/>
          <w:numId w:val="10"/>
        </w:numPr>
      </w:pPr>
      <w:r>
        <w:t xml:space="preserve">In June, CDE staff met with staff from the Washington Office of </w:t>
      </w:r>
      <w:r w:rsidR="27CAB2BA">
        <w:t xml:space="preserve">the </w:t>
      </w:r>
      <w:r>
        <w:t>Superintendent of Public Instruction to provide an update on the development of science instructional resources for the Smarter Balanced Tools for Teachers repository.</w:t>
      </w:r>
    </w:p>
    <w:p w14:paraId="5883779E" w14:textId="5B538E8C" w:rsidR="00B267F1" w:rsidRDefault="0E17E11F" w:rsidP="00B267F1">
      <w:pPr>
        <w:pStyle w:val="ListParagraph"/>
        <w:widowControl/>
        <w:numPr>
          <w:ilvl w:val="0"/>
          <w:numId w:val="10"/>
        </w:numPr>
      </w:pPr>
      <w:r>
        <w:t xml:space="preserve">In December, testing contractor ETS conducted a virtual three-day item review meeting with </w:t>
      </w:r>
      <w:r w:rsidR="620071D3">
        <w:t xml:space="preserve">27 </w:t>
      </w:r>
      <w:r>
        <w:t>California science educators to review items and performance tasks that may be field-tested for the 2021–22 administration of the CAST.</w:t>
      </w:r>
    </w:p>
    <w:p w14:paraId="050E0BFC" w14:textId="645F10D0" w:rsidR="00802A76" w:rsidRPr="003E54B7" w:rsidRDefault="004D13CD" w:rsidP="00F95870">
      <w:pPr>
        <w:pStyle w:val="Heading3"/>
        <w:widowControl/>
        <w:rPr>
          <w:rFonts w:eastAsia="Times New Roman" w:cs="Times New Roman"/>
          <w:i w:val="0"/>
          <w:sz w:val="24"/>
          <w:szCs w:val="20"/>
        </w:rPr>
      </w:pPr>
      <w:bookmarkStart w:id="40" w:name="_Toc2346314"/>
      <w:bookmarkStart w:id="41" w:name="_Toc43122211"/>
      <w:r w:rsidRPr="003E54B7">
        <w:rPr>
          <w:b/>
          <w:i w:val="0"/>
          <w:sz w:val="28"/>
          <w:szCs w:val="28"/>
        </w:rPr>
        <w:t xml:space="preserve">California Alternate Assessment </w:t>
      </w:r>
      <w:r w:rsidR="00351FC8" w:rsidRPr="003E54B7">
        <w:rPr>
          <w:b/>
          <w:i w:val="0"/>
          <w:sz w:val="28"/>
          <w:szCs w:val="28"/>
        </w:rPr>
        <w:t>for Science</w:t>
      </w:r>
      <w:bookmarkEnd w:id="40"/>
      <w:bookmarkEnd w:id="41"/>
    </w:p>
    <w:p w14:paraId="42C472C1" w14:textId="061F5E81" w:rsidR="008C247D" w:rsidRPr="00DE769F" w:rsidRDefault="001C70B1" w:rsidP="005B4BF8">
      <w:pPr>
        <w:widowControl/>
        <w:rPr>
          <w:rFonts w:cs="Arial"/>
          <w:b/>
          <w:szCs w:val="24"/>
        </w:rPr>
      </w:pPr>
      <w:r w:rsidRPr="005C3073">
        <w:t xml:space="preserve">The </w:t>
      </w:r>
      <w:r w:rsidR="006C747F" w:rsidRPr="005C3073">
        <w:t>20</w:t>
      </w:r>
      <w:r w:rsidR="006C747F">
        <w:t>20</w:t>
      </w:r>
      <w:r w:rsidR="006C747F" w:rsidRPr="005C3073">
        <w:t xml:space="preserve"> </w:t>
      </w:r>
      <w:r w:rsidR="00802A76" w:rsidRPr="005C3073">
        <w:t xml:space="preserve">implementation activities in support of </w:t>
      </w:r>
      <w:r w:rsidR="00351FC8" w:rsidRPr="005C3073">
        <w:t>the CAA for Science</w:t>
      </w:r>
      <w:r w:rsidR="00802A76" w:rsidRPr="005C3073">
        <w:t xml:space="preserve"> were as follows:</w:t>
      </w:r>
    </w:p>
    <w:p w14:paraId="050E0BFF" w14:textId="619ABAE8" w:rsidR="00EB000A" w:rsidRPr="00B94183" w:rsidRDefault="7C778F31" w:rsidP="00AC6C10">
      <w:pPr>
        <w:pStyle w:val="ListParagraph"/>
        <w:widowControl/>
        <w:numPr>
          <w:ilvl w:val="0"/>
          <w:numId w:val="11"/>
        </w:numPr>
        <w:rPr>
          <w:rStyle w:val="CommentReference"/>
          <w:rFonts w:cs="Arial"/>
          <w:sz w:val="24"/>
          <w:szCs w:val="24"/>
        </w:rPr>
      </w:pPr>
      <w:r w:rsidRPr="3FB95C47">
        <w:rPr>
          <w:rStyle w:val="CommentReference"/>
          <w:sz w:val="24"/>
          <w:szCs w:val="24"/>
        </w:rPr>
        <w:lastRenderedPageBreak/>
        <w:t xml:space="preserve">On </w:t>
      </w:r>
      <w:r w:rsidR="7CD50215" w:rsidRPr="3FB95C47">
        <w:rPr>
          <w:rStyle w:val="CommentReference"/>
          <w:sz w:val="24"/>
          <w:szCs w:val="24"/>
        </w:rPr>
        <w:t xml:space="preserve">September </w:t>
      </w:r>
      <w:r w:rsidRPr="3FB95C47">
        <w:rPr>
          <w:rStyle w:val="CommentReference"/>
          <w:sz w:val="24"/>
          <w:szCs w:val="24"/>
        </w:rPr>
        <w:t>8, t</w:t>
      </w:r>
      <w:r w:rsidR="2316576B" w:rsidRPr="3FB95C47">
        <w:rPr>
          <w:rStyle w:val="CommentReference"/>
          <w:sz w:val="24"/>
          <w:szCs w:val="24"/>
        </w:rPr>
        <w:t xml:space="preserve">he </w:t>
      </w:r>
      <w:r w:rsidR="6C97B2C6" w:rsidRPr="3FB95C47">
        <w:rPr>
          <w:rStyle w:val="CommentReference"/>
          <w:sz w:val="24"/>
          <w:szCs w:val="24"/>
        </w:rPr>
        <w:t>CAA for Science</w:t>
      </w:r>
      <w:r w:rsidR="5A6AAB1A" w:rsidRPr="3FB95C47">
        <w:rPr>
          <w:rStyle w:val="CommentReference"/>
          <w:sz w:val="24"/>
          <w:szCs w:val="24"/>
        </w:rPr>
        <w:t xml:space="preserve"> </w:t>
      </w:r>
      <w:r w:rsidR="66803D78" w:rsidRPr="3FB95C47">
        <w:rPr>
          <w:rStyle w:val="CommentReference"/>
          <w:sz w:val="24"/>
          <w:szCs w:val="24"/>
        </w:rPr>
        <w:t>test</w:t>
      </w:r>
      <w:r w:rsidR="6C97B2C6" w:rsidRPr="3FB95C47">
        <w:rPr>
          <w:rStyle w:val="CommentReference"/>
          <w:sz w:val="24"/>
          <w:szCs w:val="24"/>
        </w:rPr>
        <w:t xml:space="preserve"> </w:t>
      </w:r>
      <w:r w:rsidRPr="3FB95C47">
        <w:rPr>
          <w:rStyle w:val="CommentReference"/>
          <w:sz w:val="24"/>
          <w:szCs w:val="24"/>
        </w:rPr>
        <w:t xml:space="preserve">became available to LEAs; </w:t>
      </w:r>
      <w:r w:rsidR="4F907C38" w:rsidRPr="3FB95C47">
        <w:rPr>
          <w:rStyle w:val="CommentReference"/>
          <w:sz w:val="24"/>
          <w:szCs w:val="24"/>
        </w:rPr>
        <w:t xml:space="preserve">testing was suspended on March 20, 2020. </w:t>
      </w:r>
      <w:r w:rsidR="0D03155E" w:rsidRPr="3FB95C47">
        <w:rPr>
          <w:rFonts w:cs="Arial"/>
        </w:rPr>
        <w:t>This</w:t>
      </w:r>
      <w:r w:rsidR="54E0FE7F" w:rsidRPr="3FB95C47">
        <w:rPr>
          <w:rFonts w:cs="Arial"/>
        </w:rPr>
        <w:t xml:space="preserve"> test consisted of three performance tasks.</w:t>
      </w:r>
      <w:r w:rsidR="430F7C7F" w:rsidRPr="3FB95C47">
        <w:rPr>
          <w:rFonts w:cs="Arial"/>
        </w:rPr>
        <w:t xml:space="preserve"> Two hundred ten LEAs administered the </w:t>
      </w:r>
      <w:r w:rsidR="143544BD" w:rsidRPr="3FB95C47">
        <w:rPr>
          <w:rFonts w:cs="Arial"/>
        </w:rPr>
        <w:t>CAA for Science</w:t>
      </w:r>
      <w:r w:rsidR="430F7C7F" w:rsidRPr="3FB95C47">
        <w:rPr>
          <w:rFonts w:cs="Arial"/>
        </w:rPr>
        <w:t xml:space="preserve">, and </w:t>
      </w:r>
      <w:r w:rsidR="143544BD" w:rsidRPr="3FB95C47">
        <w:rPr>
          <w:rFonts w:cs="Arial"/>
        </w:rPr>
        <w:t>1,227</w:t>
      </w:r>
      <w:r w:rsidR="430F7C7F" w:rsidRPr="3FB95C47">
        <w:rPr>
          <w:rFonts w:cs="Arial"/>
        </w:rPr>
        <w:t xml:space="preserve"> students completed testing.</w:t>
      </w:r>
    </w:p>
    <w:p w14:paraId="031092DD" w14:textId="2F907604" w:rsidR="00B267F1" w:rsidRPr="00B267F1" w:rsidRDefault="0E17E11F" w:rsidP="00B267F1">
      <w:pPr>
        <w:pStyle w:val="ListParagraph"/>
        <w:widowControl/>
        <w:numPr>
          <w:ilvl w:val="0"/>
          <w:numId w:val="10"/>
        </w:numPr>
      </w:pPr>
      <w:r>
        <w:t xml:space="preserve">In February, </w:t>
      </w:r>
      <w:r w:rsidRPr="3FB95C47">
        <w:rPr>
          <w:rFonts w:cs="Arial"/>
        </w:rPr>
        <w:t>an in-person item writing workshop was conducted in Sacramento with 25 California special education and science educators participating. The educators received training on how to write test questions for future CAA for Science administrations.</w:t>
      </w:r>
    </w:p>
    <w:p w14:paraId="58EA06A8" w14:textId="540C332C" w:rsidR="00B267F1" w:rsidRPr="001F793B" w:rsidRDefault="0E17E11F" w:rsidP="00B267F1">
      <w:pPr>
        <w:pStyle w:val="ListParagraph"/>
        <w:widowControl/>
        <w:numPr>
          <w:ilvl w:val="0"/>
          <w:numId w:val="10"/>
        </w:numPr>
      </w:pPr>
      <w:r>
        <w:t xml:space="preserve">In March, </w:t>
      </w:r>
      <w:r w:rsidRPr="3FB95C47">
        <w:rPr>
          <w:rFonts w:cs="Arial"/>
        </w:rPr>
        <w:t xml:space="preserve">an in-person item review meeting was conducted in Sacramento with </w:t>
      </w:r>
      <w:r w:rsidR="5AAB830F" w:rsidRPr="3FB95C47">
        <w:rPr>
          <w:rFonts w:cs="Arial"/>
        </w:rPr>
        <w:t xml:space="preserve">10 </w:t>
      </w:r>
      <w:r w:rsidRPr="3FB95C47">
        <w:rPr>
          <w:rFonts w:cs="Arial"/>
        </w:rPr>
        <w:t>California special education and science educators participating. The educators received training on how to write test questions for future CAA for Science administrations.</w:t>
      </w:r>
    </w:p>
    <w:p w14:paraId="050E0C07" w14:textId="5A2AB5AE" w:rsidR="005929CC" w:rsidRPr="003E54B7" w:rsidRDefault="69DC3403" w:rsidP="7121CE11">
      <w:pPr>
        <w:pStyle w:val="Heading3"/>
        <w:widowControl/>
        <w:rPr>
          <w:b/>
          <w:bCs/>
          <w:i w:val="0"/>
          <w:sz w:val="28"/>
          <w:szCs w:val="28"/>
        </w:rPr>
      </w:pPr>
      <w:bookmarkStart w:id="42" w:name="_Toc2346316"/>
      <w:bookmarkStart w:id="43" w:name="_Toc43122212"/>
      <w:r w:rsidRPr="003E54B7">
        <w:rPr>
          <w:b/>
          <w:bCs/>
          <w:i w:val="0"/>
          <w:sz w:val="28"/>
          <w:szCs w:val="28"/>
        </w:rPr>
        <w:t xml:space="preserve">California Spanish </w:t>
      </w:r>
      <w:r w:rsidR="2113D8AC" w:rsidRPr="003E54B7">
        <w:rPr>
          <w:b/>
          <w:bCs/>
          <w:i w:val="0"/>
          <w:sz w:val="28"/>
          <w:szCs w:val="28"/>
        </w:rPr>
        <w:t>Assessment</w:t>
      </w:r>
      <w:bookmarkEnd w:id="42"/>
      <w:bookmarkEnd w:id="43"/>
    </w:p>
    <w:p w14:paraId="050E0C08" w14:textId="5CADCD4A" w:rsidR="004F0C69" w:rsidRPr="005C3073" w:rsidRDefault="0F86DBB9" w:rsidP="00F95870">
      <w:pPr>
        <w:widowControl/>
      </w:pPr>
      <w:r>
        <w:t xml:space="preserve">The </w:t>
      </w:r>
      <w:r w:rsidR="2B228882">
        <w:t>20</w:t>
      </w:r>
      <w:r w:rsidR="1CE463D9">
        <w:t>20</w:t>
      </w:r>
      <w:r w:rsidR="2B228882">
        <w:t xml:space="preserve"> </w:t>
      </w:r>
      <w:r w:rsidR="29A0489E">
        <w:t xml:space="preserve">implementation activities in support of </w:t>
      </w:r>
      <w:r w:rsidR="55C140DB">
        <w:t>the</w:t>
      </w:r>
      <w:r w:rsidR="437238CD">
        <w:t xml:space="preserve"> </w:t>
      </w:r>
      <w:r w:rsidR="55C140DB">
        <w:t>CSA</w:t>
      </w:r>
      <w:r w:rsidR="330C9AAE">
        <w:t xml:space="preserve"> </w:t>
      </w:r>
      <w:r w:rsidR="29A0489E">
        <w:t>were as follows:</w:t>
      </w:r>
    </w:p>
    <w:p w14:paraId="110CDD36" w14:textId="201E4F51" w:rsidR="004D2AD6" w:rsidRDefault="424FA37D" w:rsidP="3C25B1BC">
      <w:pPr>
        <w:pStyle w:val="ListParagraph"/>
        <w:numPr>
          <w:ilvl w:val="0"/>
          <w:numId w:val="19"/>
        </w:numPr>
        <w:rPr>
          <w:rFonts w:cs="Arial"/>
        </w:rPr>
      </w:pPr>
      <w:r w:rsidRPr="3FB95C47">
        <w:rPr>
          <w:rFonts w:cs="Arial"/>
        </w:rPr>
        <w:t xml:space="preserve">In </w:t>
      </w:r>
      <w:r w:rsidR="3DE5EB21" w:rsidRPr="3FB95C47">
        <w:rPr>
          <w:rFonts w:cs="Arial"/>
        </w:rPr>
        <w:t xml:space="preserve">January, California educators participated in </w:t>
      </w:r>
      <w:r w:rsidR="67B61BDB" w:rsidRPr="3FB95C47">
        <w:rPr>
          <w:rFonts w:cs="Arial"/>
        </w:rPr>
        <w:t>the I</w:t>
      </w:r>
      <w:r w:rsidR="33C9267A" w:rsidRPr="3FB95C47">
        <w:rPr>
          <w:rFonts w:cs="Arial"/>
        </w:rPr>
        <w:t xml:space="preserve">tem </w:t>
      </w:r>
      <w:r w:rsidR="4E643759" w:rsidRPr="3FB95C47">
        <w:rPr>
          <w:rFonts w:cs="Arial"/>
        </w:rPr>
        <w:t>W</w:t>
      </w:r>
      <w:r w:rsidR="33C9267A" w:rsidRPr="3FB95C47">
        <w:rPr>
          <w:rFonts w:cs="Arial"/>
        </w:rPr>
        <w:t>rit</w:t>
      </w:r>
      <w:r w:rsidR="077B3CA4" w:rsidRPr="3FB95C47">
        <w:rPr>
          <w:rFonts w:cs="Arial"/>
        </w:rPr>
        <w:t>er</w:t>
      </w:r>
      <w:r w:rsidR="33C9267A" w:rsidRPr="3FB95C47">
        <w:rPr>
          <w:rFonts w:cs="Arial"/>
        </w:rPr>
        <w:t xml:space="preserve"> </w:t>
      </w:r>
      <w:r w:rsidR="7F765A99" w:rsidRPr="3FB95C47">
        <w:rPr>
          <w:rFonts w:cs="Arial"/>
        </w:rPr>
        <w:t>W</w:t>
      </w:r>
      <w:r w:rsidR="33C9267A" w:rsidRPr="3FB95C47">
        <w:rPr>
          <w:rFonts w:cs="Arial"/>
        </w:rPr>
        <w:t xml:space="preserve">orkshop in </w:t>
      </w:r>
      <w:r w:rsidR="32994917" w:rsidRPr="3FB95C47">
        <w:rPr>
          <w:rFonts w:cs="Arial"/>
        </w:rPr>
        <w:t>advance to the</w:t>
      </w:r>
      <w:r w:rsidR="33C9267A" w:rsidRPr="3FB95C47">
        <w:rPr>
          <w:rFonts w:cs="Arial"/>
        </w:rPr>
        <w:t xml:space="preserve"> 2020 operational </w:t>
      </w:r>
      <w:r w:rsidR="750EFAC8" w:rsidRPr="3FB95C47">
        <w:rPr>
          <w:rFonts w:cs="Arial"/>
        </w:rPr>
        <w:t xml:space="preserve">administration </w:t>
      </w:r>
      <w:r w:rsidR="33C9267A" w:rsidRPr="3FB95C47">
        <w:rPr>
          <w:rFonts w:cs="Arial"/>
        </w:rPr>
        <w:t>of the CSA</w:t>
      </w:r>
      <w:r w:rsidR="3DE5EB21" w:rsidRPr="3FB95C47">
        <w:rPr>
          <w:rFonts w:cs="Arial"/>
        </w:rPr>
        <w:t>.</w:t>
      </w:r>
      <w:r w:rsidR="11D90FC0" w:rsidRPr="3FB95C47">
        <w:rPr>
          <w:rFonts w:cs="Arial"/>
        </w:rPr>
        <w:t xml:space="preserve"> This workshop provided educators with the opportunity to learn how to develop test items and write items for </w:t>
      </w:r>
      <w:r w:rsidR="45BE06BC" w:rsidRPr="3FB95C47">
        <w:rPr>
          <w:rFonts w:cs="Arial"/>
        </w:rPr>
        <w:t>possible inclusion in</w:t>
      </w:r>
      <w:r w:rsidR="11D90FC0" w:rsidRPr="3FB95C47">
        <w:rPr>
          <w:rFonts w:cs="Arial"/>
        </w:rPr>
        <w:t xml:space="preserve"> the CSA.</w:t>
      </w:r>
    </w:p>
    <w:p w14:paraId="1505B629" w14:textId="77C06F5A" w:rsidR="07986296" w:rsidRDefault="42692E82" w:rsidP="3C25B1BC">
      <w:pPr>
        <w:pStyle w:val="ListParagraph"/>
        <w:numPr>
          <w:ilvl w:val="0"/>
          <w:numId w:val="19"/>
        </w:numPr>
      </w:pPr>
      <w:r w:rsidRPr="3FB95C47">
        <w:rPr>
          <w:rFonts w:cs="Arial"/>
        </w:rPr>
        <w:t>In October, a virtual Item Review Meeting was conducted with educators to review items for content, bias, and sensitivity</w:t>
      </w:r>
      <w:r w:rsidR="543E1F29" w:rsidRPr="3FB95C47">
        <w:rPr>
          <w:rFonts w:cs="Arial"/>
        </w:rPr>
        <w:t xml:space="preserve"> of new test items in preparation</w:t>
      </w:r>
      <w:r w:rsidRPr="3FB95C47">
        <w:rPr>
          <w:rFonts w:cs="Arial"/>
        </w:rPr>
        <w:t xml:space="preserve"> </w:t>
      </w:r>
      <w:r w:rsidR="3520069D" w:rsidRPr="3FB95C47">
        <w:rPr>
          <w:rFonts w:cs="Arial"/>
        </w:rPr>
        <w:t>for field testing in 2021.</w:t>
      </w:r>
    </w:p>
    <w:p w14:paraId="14ECCE52" w14:textId="1E7DE3B2" w:rsidR="00F071D0" w:rsidRPr="00DA4E53" w:rsidRDefault="00F071D0" w:rsidP="3C25B1BC">
      <w:pPr>
        <w:rPr>
          <w:b/>
          <w:bCs/>
          <w:szCs w:val="24"/>
        </w:rPr>
      </w:pPr>
      <w:bookmarkStart w:id="44" w:name="_Toc43122213"/>
      <w:r w:rsidRPr="3C25B1BC">
        <w:rPr>
          <w:b/>
          <w:bCs/>
          <w:sz w:val="28"/>
          <w:szCs w:val="28"/>
        </w:rPr>
        <w:t>California Educator Reporting System</w:t>
      </w:r>
      <w:bookmarkEnd w:id="44"/>
    </w:p>
    <w:p w14:paraId="01B4CCBE" w14:textId="16FBB3DF" w:rsidR="003F4A63" w:rsidRDefault="00F071D0" w:rsidP="00F95870">
      <w:pPr>
        <w:widowControl/>
        <w:rPr>
          <w:rFonts w:cs="Arial"/>
        </w:rPr>
      </w:pPr>
      <w:r w:rsidRPr="00E5164C">
        <w:rPr>
          <w:rFonts w:cs="Arial"/>
        </w:rPr>
        <w:t xml:space="preserve">In </w:t>
      </w:r>
      <w:r w:rsidR="00A30876">
        <w:rPr>
          <w:rFonts w:cs="Arial"/>
        </w:rPr>
        <w:t xml:space="preserve">fall </w:t>
      </w:r>
      <w:r w:rsidRPr="00E5164C">
        <w:rPr>
          <w:rFonts w:cs="Arial"/>
        </w:rPr>
        <w:t xml:space="preserve">2019, </w:t>
      </w:r>
      <w:r w:rsidR="00DD4C45" w:rsidRPr="00E5164C">
        <w:rPr>
          <w:rFonts w:cs="Arial"/>
        </w:rPr>
        <w:t xml:space="preserve">the system previously known </w:t>
      </w:r>
      <w:r w:rsidR="00DD4C45">
        <w:rPr>
          <w:rFonts w:cs="Arial"/>
        </w:rPr>
        <w:t xml:space="preserve">to LEAs </w:t>
      </w:r>
      <w:r w:rsidR="00DD4C45" w:rsidRPr="00E5164C">
        <w:rPr>
          <w:rFonts w:cs="Arial"/>
        </w:rPr>
        <w:t>as the Interim Assessment Reporting System</w:t>
      </w:r>
      <w:r w:rsidR="00DD4C45" w:rsidRPr="00E5164C" w:rsidDel="009F7C26">
        <w:rPr>
          <w:rFonts w:cs="Arial"/>
        </w:rPr>
        <w:t xml:space="preserve"> </w:t>
      </w:r>
      <w:r w:rsidR="00DD4C45">
        <w:rPr>
          <w:rFonts w:cs="Arial"/>
        </w:rPr>
        <w:t>was renamed “</w:t>
      </w:r>
      <w:r w:rsidRPr="00E5164C">
        <w:rPr>
          <w:rFonts w:cs="Arial"/>
        </w:rPr>
        <w:t>CERS</w:t>
      </w:r>
      <w:r w:rsidR="00DD4C45">
        <w:rPr>
          <w:rFonts w:cs="Arial"/>
        </w:rPr>
        <w:t>.”</w:t>
      </w:r>
      <w:r w:rsidRPr="00E5164C">
        <w:rPr>
          <w:rFonts w:cs="Arial"/>
        </w:rPr>
        <w:t xml:space="preserve"> This </w:t>
      </w:r>
      <w:r w:rsidR="00F97A1F">
        <w:rPr>
          <w:rFonts w:cs="Arial"/>
        </w:rPr>
        <w:t xml:space="preserve">secure </w:t>
      </w:r>
      <w:r w:rsidRPr="00E5164C">
        <w:rPr>
          <w:rFonts w:cs="Arial"/>
        </w:rPr>
        <w:t>system is used by California LEA staff to view individual and aggregate student results from the Smarter Balanced Interim Assessments for ELA and mathematics.</w:t>
      </w:r>
    </w:p>
    <w:p w14:paraId="141D76A9" w14:textId="6DAA30E2" w:rsidR="006669B8" w:rsidRDefault="00386F67" w:rsidP="00F95870">
      <w:pPr>
        <w:widowControl/>
        <w:rPr>
          <w:rFonts w:cs="Arial"/>
        </w:rPr>
      </w:pPr>
      <w:r>
        <w:rPr>
          <w:rFonts w:cs="Arial"/>
        </w:rPr>
        <w:t>B</w:t>
      </w:r>
      <w:r w:rsidR="00FA3117">
        <w:rPr>
          <w:rFonts w:cs="Arial"/>
        </w:rPr>
        <w:t>y</w:t>
      </w:r>
      <w:r w:rsidR="006D773A">
        <w:rPr>
          <w:rFonts w:cs="Arial"/>
        </w:rPr>
        <w:t xml:space="preserve"> the</w:t>
      </w:r>
      <w:r w:rsidR="00504568">
        <w:rPr>
          <w:rFonts w:cs="Arial"/>
        </w:rPr>
        <w:t xml:space="preserve"> end of the 2020 calendar</w:t>
      </w:r>
      <w:r w:rsidR="006D773A">
        <w:rPr>
          <w:rFonts w:cs="Arial"/>
        </w:rPr>
        <w:t xml:space="preserve"> year, CERS</w:t>
      </w:r>
      <w:r w:rsidR="00504568">
        <w:rPr>
          <w:rFonts w:cs="Arial"/>
        </w:rPr>
        <w:t xml:space="preserve"> </w:t>
      </w:r>
      <w:r w:rsidR="006D773A">
        <w:rPr>
          <w:rFonts w:cs="Arial"/>
        </w:rPr>
        <w:t>replaced the Online Reporting System</w:t>
      </w:r>
      <w:r w:rsidR="00DD4C45">
        <w:rPr>
          <w:rFonts w:cs="Arial"/>
        </w:rPr>
        <w:t>, which</w:t>
      </w:r>
      <w:r w:rsidR="006D773A">
        <w:rPr>
          <w:rFonts w:cs="Arial"/>
        </w:rPr>
        <w:t xml:space="preserve"> was </w:t>
      </w:r>
      <w:r w:rsidR="00504568">
        <w:rPr>
          <w:rFonts w:cs="Arial"/>
        </w:rPr>
        <w:t xml:space="preserve">previously </w:t>
      </w:r>
      <w:r w:rsidR="006D773A">
        <w:rPr>
          <w:rFonts w:cs="Arial"/>
        </w:rPr>
        <w:t>used for summative assessment</w:t>
      </w:r>
      <w:r w:rsidR="00504568">
        <w:rPr>
          <w:rFonts w:cs="Arial"/>
        </w:rPr>
        <w:t xml:space="preserve"> results</w:t>
      </w:r>
      <w:r w:rsidR="00467666">
        <w:rPr>
          <w:rFonts w:cs="Arial"/>
        </w:rPr>
        <w:t xml:space="preserve">. </w:t>
      </w:r>
      <w:r w:rsidR="00FE3A22">
        <w:rPr>
          <w:rFonts w:cs="Arial"/>
        </w:rPr>
        <w:t xml:space="preserve">In addition, by the end of 2020, </w:t>
      </w:r>
      <w:r w:rsidR="00467666">
        <w:rPr>
          <w:rFonts w:cs="Arial"/>
        </w:rPr>
        <w:t xml:space="preserve">the </w:t>
      </w:r>
      <w:r w:rsidR="00504568">
        <w:rPr>
          <w:rFonts w:cs="Arial"/>
        </w:rPr>
        <w:t xml:space="preserve">historical </w:t>
      </w:r>
      <w:r w:rsidR="006D773A">
        <w:rPr>
          <w:rFonts w:cs="Arial"/>
        </w:rPr>
        <w:t xml:space="preserve">summative </w:t>
      </w:r>
      <w:r w:rsidR="00504568">
        <w:rPr>
          <w:rFonts w:cs="Arial"/>
        </w:rPr>
        <w:t>assessment</w:t>
      </w:r>
      <w:r w:rsidR="006D773A">
        <w:rPr>
          <w:rFonts w:cs="Arial"/>
        </w:rPr>
        <w:t xml:space="preserve"> results </w:t>
      </w:r>
      <w:r w:rsidR="00FA3117">
        <w:rPr>
          <w:rFonts w:cs="Arial"/>
        </w:rPr>
        <w:t xml:space="preserve">for CAASPP </w:t>
      </w:r>
      <w:r w:rsidR="006E5D6D">
        <w:rPr>
          <w:rFonts w:cs="Arial"/>
        </w:rPr>
        <w:t xml:space="preserve">and ELPAC </w:t>
      </w:r>
      <w:r w:rsidR="006D773A">
        <w:rPr>
          <w:rFonts w:cs="Arial"/>
        </w:rPr>
        <w:t xml:space="preserve">were </w:t>
      </w:r>
      <w:r w:rsidR="00FA3117">
        <w:rPr>
          <w:rFonts w:cs="Arial"/>
        </w:rPr>
        <w:t>loaded</w:t>
      </w:r>
      <w:r w:rsidR="00D90730">
        <w:rPr>
          <w:rFonts w:cs="Arial"/>
        </w:rPr>
        <w:t xml:space="preserve"> in</w:t>
      </w:r>
      <w:r w:rsidR="00FA3117">
        <w:rPr>
          <w:rFonts w:cs="Arial"/>
        </w:rPr>
        <w:t>to</w:t>
      </w:r>
      <w:r w:rsidR="006D773A">
        <w:rPr>
          <w:rFonts w:cs="Arial"/>
        </w:rPr>
        <w:t xml:space="preserve"> CERS</w:t>
      </w:r>
      <w:r w:rsidR="00FE3A22">
        <w:rPr>
          <w:rFonts w:cs="Arial"/>
        </w:rPr>
        <w:t>,</w:t>
      </w:r>
      <w:r w:rsidR="00467666">
        <w:rPr>
          <w:rFonts w:cs="Arial"/>
        </w:rPr>
        <w:t xml:space="preserve"> and CERS was </w:t>
      </w:r>
      <w:r w:rsidR="00D77AE7">
        <w:rPr>
          <w:rFonts w:cs="Arial"/>
        </w:rPr>
        <w:t>configured</w:t>
      </w:r>
      <w:r w:rsidR="00467666">
        <w:rPr>
          <w:rFonts w:cs="Arial"/>
        </w:rPr>
        <w:t xml:space="preserve"> to receive future regular </w:t>
      </w:r>
      <w:r w:rsidR="00F42BDF">
        <w:rPr>
          <w:rFonts w:cs="Arial"/>
        </w:rPr>
        <w:t xml:space="preserve">data feeds of the </w:t>
      </w:r>
      <w:r w:rsidR="00467666">
        <w:rPr>
          <w:rFonts w:cs="Arial"/>
        </w:rPr>
        <w:t xml:space="preserve">test results for these testing programs. </w:t>
      </w:r>
    </w:p>
    <w:p w14:paraId="70F1A3C8" w14:textId="57216DE7" w:rsidR="00F071D0" w:rsidRPr="00E5164C" w:rsidRDefault="004E1189" w:rsidP="1469434F">
      <w:pPr>
        <w:widowControl/>
        <w:spacing w:after="100" w:afterAutospacing="1"/>
        <w:rPr>
          <w:rStyle w:val="CommentReference"/>
          <w:rFonts w:cs="Arial"/>
          <w:sz w:val="24"/>
          <w:szCs w:val="24"/>
        </w:rPr>
      </w:pPr>
      <w:r>
        <w:rPr>
          <w:rFonts w:cs="Arial"/>
        </w:rPr>
        <w:t>T</w:t>
      </w:r>
      <w:r w:rsidR="00F071D0" w:rsidRPr="00E5164C">
        <w:rPr>
          <w:rFonts w:cs="Arial"/>
        </w:rPr>
        <w:t xml:space="preserve">he </w:t>
      </w:r>
      <w:r w:rsidR="00B278DC">
        <w:rPr>
          <w:rFonts w:cs="Arial"/>
        </w:rPr>
        <w:t xml:space="preserve">CERS </w:t>
      </w:r>
      <w:r w:rsidR="00F071D0" w:rsidRPr="00E5164C">
        <w:rPr>
          <w:rFonts w:cs="Arial"/>
        </w:rPr>
        <w:t>Sandbox</w:t>
      </w:r>
      <w:r w:rsidR="00B278DC">
        <w:rPr>
          <w:rFonts w:cs="Arial"/>
        </w:rPr>
        <w:t xml:space="preserve"> training tool</w:t>
      </w:r>
      <w:r>
        <w:rPr>
          <w:rFonts w:cs="Arial"/>
        </w:rPr>
        <w:t>,</w:t>
      </w:r>
      <w:r w:rsidR="00B278DC">
        <w:rPr>
          <w:rFonts w:cs="Arial"/>
        </w:rPr>
        <w:t xml:space="preserve"> </w:t>
      </w:r>
      <w:r>
        <w:rPr>
          <w:rFonts w:cs="Arial"/>
        </w:rPr>
        <w:t>i</w:t>
      </w:r>
      <w:r w:rsidRPr="00E5164C">
        <w:rPr>
          <w:rFonts w:cs="Arial"/>
        </w:rPr>
        <w:t>ntroduced in July 2019,</w:t>
      </w:r>
      <w:r>
        <w:rPr>
          <w:rFonts w:cs="Arial"/>
        </w:rPr>
        <w:t xml:space="preserve"> </w:t>
      </w:r>
      <w:r w:rsidR="00B278DC">
        <w:rPr>
          <w:rFonts w:cs="Arial"/>
        </w:rPr>
        <w:t>remain</w:t>
      </w:r>
      <w:r w:rsidR="00C57B77">
        <w:rPr>
          <w:rFonts w:cs="Arial"/>
        </w:rPr>
        <w:t>s</w:t>
      </w:r>
      <w:r w:rsidR="00B278DC">
        <w:rPr>
          <w:rFonts w:cs="Arial"/>
        </w:rPr>
        <w:t xml:space="preserve"> available to</w:t>
      </w:r>
      <w:r w:rsidR="00F071D0" w:rsidRPr="00E5164C">
        <w:rPr>
          <w:rFonts w:cs="Arial"/>
        </w:rPr>
        <w:t xml:space="preserve"> help educators become familiar with the features and functions of CERS in a nonsecure environment. </w:t>
      </w:r>
      <w:r w:rsidR="00F071D0" w:rsidRPr="0265C20E">
        <w:rPr>
          <w:rFonts w:cs="Arial"/>
          <w:snapToGrid/>
        </w:rPr>
        <w:t xml:space="preserve">The Sandbox is available on </w:t>
      </w:r>
      <w:r w:rsidR="00DC77E0">
        <w:rPr>
          <w:rFonts w:cs="Arial"/>
          <w:snapToGrid/>
        </w:rPr>
        <w:t>the Smarter Reporting System Sandbox web page at</w:t>
      </w:r>
      <w:r w:rsidR="00DC77E0" w:rsidRPr="00DC77E0">
        <w:t xml:space="preserve"> </w:t>
      </w:r>
      <w:hyperlink r:id="rId31" w:history="1">
        <w:r w:rsidR="00DC77E0" w:rsidRPr="00813BE3">
          <w:rPr>
            <w:rStyle w:val="Hyperlink"/>
            <w:rFonts w:cs="Arial"/>
            <w:snapToGrid/>
          </w:rPr>
          <w:t>https://reporting-demo.smarterbalanced.org/sandbox-login?sandbox=CA_S004</w:t>
        </w:r>
      </w:hyperlink>
      <w:r w:rsidR="00DC77E0">
        <w:rPr>
          <w:rFonts w:cs="Arial"/>
          <w:snapToGrid/>
        </w:rPr>
        <w:t>.</w:t>
      </w:r>
      <w:r w:rsidR="00F071D0" w:rsidRPr="0265C20E">
        <w:rPr>
          <w:rFonts w:cs="Arial"/>
          <w:snapToGrid/>
        </w:rPr>
        <w:t xml:space="preserve"> </w:t>
      </w:r>
    </w:p>
    <w:p w14:paraId="050E0C10" w14:textId="0E78EB24" w:rsidR="00EB000A" w:rsidRPr="00C57FDD" w:rsidRDefault="001C70B1" w:rsidP="00F95870">
      <w:pPr>
        <w:pStyle w:val="Heading3"/>
        <w:widowControl/>
        <w:rPr>
          <w:i w:val="0"/>
          <w:sz w:val="28"/>
          <w:szCs w:val="28"/>
        </w:rPr>
      </w:pPr>
      <w:bookmarkStart w:id="45" w:name="_Toc2346317"/>
      <w:bookmarkStart w:id="46" w:name="_Toc43122214"/>
      <w:r w:rsidRPr="00C57FDD">
        <w:rPr>
          <w:b/>
          <w:i w:val="0"/>
          <w:sz w:val="28"/>
          <w:szCs w:val="28"/>
        </w:rPr>
        <w:lastRenderedPageBreak/>
        <w:t>Early Assessment Program</w:t>
      </w:r>
      <w:bookmarkEnd w:id="45"/>
      <w:bookmarkEnd w:id="46"/>
    </w:p>
    <w:p w14:paraId="050E0C11" w14:textId="5D799E3B" w:rsidR="00371367" w:rsidRPr="005C3073" w:rsidRDefault="00BA546C" w:rsidP="00F95870">
      <w:pPr>
        <w:widowControl/>
      </w:pPr>
      <w:r>
        <w:rPr>
          <w:rFonts w:cs="Arial"/>
          <w:szCs w:val="24"/>
        </w:rPr>
        <w:t>Due to the suspension of testing, EAP results were not available for the 2019</w:t>
      </w:r>
      <w:r w:rsidR="00C57FDD">
        <w:rPr>
          <w:rFonts w:cs="Arial"/>
          <w:szCs w:val="24"/>
        </w:rPr>
        <w:t>–</w:t>
      </w:r>
      <w:r>
        <w:rPr>
          <w:rFonts w:cs="Arial"/>
          <w:szCs w:val="24"/>
        </w:rPr>
        <w:t>2020 testing year.</w:t>
      </w:r>
    </w:p>
    <w:p w14:paraId="050E0C12" w14:textId="77777777" w:rsidR="00EB000A" w:rsidRPr="00C57FDD" w:rsidRDefault="001C54B1" w:rsidP="00F95870">
      <w:pPr>
        <w:pStyle w:val="Heading3"/>
        <w:widowControl/>
        <w:rPr>
          <w:i w:val="0"/>
          <w:sz w:val="28"/>
          <w:szCs w:val="28"/>
        </w:rPr>
      </w:pPr>
      <w:bookmarkStart w:id="47" w:name="_Toc2346318"/>
      <w:bookmarkStart w:id="48" w:name="_Toc43122215"/>
      <w:r w:rsidRPr="00C57FDD">
        <w:rPr>
          <w:b/>
          <w:i w:val="0"/>
          <w:sz w:val="28"/>
          <w:szCs w:val="28"/>
        </w:rPr>
        <w:t>California Assessment of Student Performance and Progress</w:t>
      </w:r>
      <w:r w:rsidR="00EB000A" w:rsidRPr="00C57FDD">
        <w:rPr>
          <w:b/>
          <w:i w:val="0"/>
          <w:sz w:val="28"/>
          <w:szCs w:val="28"/>
        </w:rPr>
        <w:t xml:space="preserve"> Expansion</w:t>
      </w:r>
      <w:bookmarkEnd w:id="47"/>
      <w:bookmarkEnd w:id="48"/>
      <w:r w:rsidR="00EB000A" w:rsidRPr="00C57FDD">
        <w:rPr>
          <w:b/>
          <w:i w:val="0"/>
          <w:sz w:val="28"/>
          <w:szCs w:val="28"/>
        </w:rPr>
        <w:t xml:space="preserve"> </w:t>
      </w:r>
    </w:p>
    <w:p w14:paraId="050E0C13" w14:textId="4D8E98D3" w:rsidR="00371367" w:rsidRPr="005C3073" w:rsidRDefault="00371367" w:rsidP="00F95870">
      <w:pPr>
        <w:widowControl/>
        <w:rPr>
          <w:b/>
        </w:rPr>
      </w:pPr>
      <w:r w:rsidRPr="005C3073">
        <w:rPr>
          <w:rFonts w:cs="Arial"/>
          <w:szCs w:val="24"/>
        </w:rPr>
        <w:t>T</w:t>
      </w:r>
      <w:r w:rsidR="00EB000A" w:rsidRPr="005C3073">
        <w:rPr>
          <w:rFonts w:cs="Arial"/>
          <w:szCs w:val="24"/>
        </w:rPr>
        <w:t>he CDE continue</w:t>
      </w:r>
      <w:r w:rsidR="006078B5" w:rsidRPr="005C3073">
        <w:rPr>
          <w:rFonts w:cs="Arial"/>
          <w:szCs w:val="24"/>
        </w:rPr>
        <w:t>d</w:t>
      </w:r>
      <w:r w:rsidR="00A46367">
        <w:rPr>
          <w:rFonts w:cs="Arial"/>
          <w:szCs w:val="24"/>
        </w:rPr>
        <w:t xml:space="preserve"> the expansion of CAASPP with</w:t>
      </w:r>
      <w:r w:rsidR="006078B5" w:rsidRPr="005C3073">
        <w:rPr>
          <w:rFonts w:cs="Arial"/>
          <w:szCs w:val="24"/>
        </w:rPr>
        <w:t xml:space="preserve"> </w:t>
      </w:r>
      <w:r w:rsidR="00EB000A" w:rsidRPr="005C3073">
        <w:rPr>
          <w:rFonts w:cs="Arial"/>
          <w:szCs w:val="24"/>
        </w:rPr>
        <w:t>the d</w:t>
      </w:r>
      <w:r w:rsidR="00EB000A" w:rsidRPr="005C3073">
        <w:rPr>
          <w:szCs w:val="24"/>
        </w:rPr>
        <w:t>evelopment of the CAA for Science</w:t>
      </w:r>
      <w:r w:rsidR="002F1B98">
        <w:rPr>
          <w:szCs w:val="24"/>
        </w:rPr>
        <w:t xml:space="preserve"> </w:t>
      </w:r>
      <w:r w:rsidR="00EB000A" w:rsidRPr="005C3073">
        <w:rPr>
          <w:szCs w:val="24"/>
        </w:rPr>
        <w:t>and the CSA.</w:t>
      </w:r>
    </w:p>
    <w:p w14:paraId="050E0C14" w14:textId="77777777" w:rsidR="00EB000A" w:rsidRPr="00C57FDD" w:rsidRDefault="00EB000A" w:rsidP="00F95870">
      <w:pPr>
        <w:pStyle w:val="Heading3"/>
        <w:widowControl/>
        <w:rPr>
          <w:i w:val="0"/>
          <w:sz w:val="28"/>
          <w:szCs w:val="28"/>
        </w:rPr>
      </w:pPr>
      <w:bookmarkStart w:id="49" w:name="_Toc2346319"/>
      <w:bookmarkStart w:id="50" w:name="_Toc43122216"/>
      <w:r w:rsidRPr="00C57FDD">
        <w:rPr>
          <w:b/>
          <w:i w:val="0"/>
          <w:sz w:val="28"/>
          <w:szCs w:val="28"/>
        </w:rPr>
        <w:t xml:space="preserve">Grade Two Diagnostic Assessments </w:t>
      </w:r>
      <w:r w:rsidR="00797A25" w:rsidRPr="00C57FDD">
        <w:rPr>
          <w:b/>
          <w:i w:val="0"/>
          <w:sz w:val="28"/>
          <w:szCs w:val="28"/>
        </w:rPr>
        <w:t>for</w:t>
      </w:r>
      <w:r w:rsidR="00AF1323" w:rsidRPr="00C57FDD">
        <w:rPr>
          <w:b/>
          <w:i w:val="0"/>
          <w:sz w:val="28"/>
          <w:szCs w:val="28"/>
        </w:rPr>
        <w:t xml:space="preserve"> Language Arts and Mathematics</w:t>
      </w:r>
      <w:bookmarkEnd w:id="49"/>
      <w:bookmarkEnd w:id="50"/>
    </w:p>
    <w:p w14:paraId="050E0C15" w14:textId="78EEE7AC" w:rsidR="00EB000A" w:rsidRPr="005C3073" w:rsidRDefault="00313A70" w:rsidP="00F95870">
      <w:pPr>
        <w:widowControl/>
      </w:pPr>
      <w:r>
        <w:t>There were n</w:t>
      </w:r>
      <w:r w:rsidR="00371367" w:rsidRPr="005C3073">
        <w:t>o changes for this reporting perio</w:t>
      </w:r>
      <w:r w:rsidR="00785490" w:rsidRPr="005C3073">
        <w:t>d.</w:t>
      </w:r>
      <w:r w:rsidR="00F02B31" w:rsidRPr="005C3073">
        <w:t xml:space="preserve"> </w:t>
      </w:r>
    </w:p>
    <w:p w14:paraId="050E0C16" w14:textId="77777777" w:rsidR="004F3810" w:rsidRPr="005C3073" w:rsidRDefault="004F3810" w:rsidP="00F95870">
      <w:pPr>
        <w:widowControl/>
        <w:spacing w:before="0" w:after="160" w:line="259" w:lineRule="auto"/>
        <w:rPr>
          <w:b/>
          <w:bCs/>
          <w:snapToGrid/>
          <w:kern w:val="36"/>
          <w:sz w:val="32"/>
          <w:szCs w:val="48"/>
        </w:rPr>
      </w:pPr>
      <w:r w:rsidRPr="005C3073">
        <w:br w:type="page"/>
      </w:r>
    </w:p>
    <w:p w14:paraId="050E0C17" w14:textId="77777777" w:rsidR="00EB000A" w:rsidRPr="00F0571C" w:rsidRDefault="00EB000A" w:rsidP="70428E9E">
      <w:pPr>
        <w:pStyle w:val="Heading2"/>
        <w:rPr>
          <w:rFonts w:cs="Arial"/>
        </w:rPr>
      </w:pPr>
      <w:bookmarkStart w:id="51" w:name="_Toc2346320"/>
      <w:bookmarkStart w:id="52" w:name="_Toc43122217"/>
      <w:r>
        <w:lastRenderedPageBreak/>
        <w:t>Contract Costs</w:t>
      </w:r>
      <w:bookmarkEnd w:id="51"/>
      <w:bookmarkEnd w:id="52"/>
    </w:p>
    <w:p w14:paraId="050E0C18" w14:textId="4FD6F9BB" w:rsidR="00EB000A" w:rsidRPr="005C3073" w:rsidRDefault="00EB000A" w:rsidP="00F95870">
      <w:pPr>
        <w:widowControl/>
        <w:rPr>
          <w:szCs w:val="24"/>
        </w:rPr>
      </w:pPr>
      <w:r w:rsidRPr="005C3073">
        <w:rPr>
          <w:szCs w:val="24"/>
        </w:rPr>
        <w:t xml:space="preserve">CAASPP contract costs require </w:t>
      </w:r>
      <w:r w:rsidR="006078B5" w:rsidRPr="005C3073">
        <w:rPr>
          <w:szCs w:val="24"/>
        </w:rPr>
        <w:t xml:space="preserve">SBE </w:t>
      </w:r>
      <w:r w:rsidRPr="005C3073">
        <w:rPr>
          <w:szCs w:val="24"/>
        </w:rPr>
        <w:t>approv</w:t>
      </w:r>
      <w:r w:rsidR="006078B5" w:rsidRPr="005C3073">
        <w:rPr>
          <w:szCs w:val="24"/>
        </w:rPr>
        <w:t>al</w:t>
      </w:r>
      <w:r w:rsidRPr="005C3073">
        <w:rPr>
          <w:szCs w:val="24"/>
        </w:rPr>
        <w:t xml:space="preserve"> </w:t>
      </w:r>
      <w:r w:rsidR="006078B5" w:rsidRPr="005C3073">
        <w:rPr>
          <w:szCs w:val="24"/>
        </w:rPr>
        <w:t xml:space="preserve">and </w:t>
      </w:r>
      <w:r w:rsidRPr="005C3073">
        <w:rPr>
          <w:szCs w:val="24"/>
        </w:rPr>
        <w:t xml:space="preserve">are contingent on the </w:t>
      </w:r>
      <w:r w:rsidR="00A317CA" w:rsidRPr="005C3073">
        <w:rPr>
          <w:szCs w:val="24"/>
        </w:rPr>
        <w:t xml:space="preserve">review of the contract </w:t>
      </w:r>
      <w:r w:rsidR="00A317CA">
        <w:rPr>
          <w:szCs w:val="24"/>
        </w:rPr>
        <w:t>by the Department of Finance (</w:t>
      </w:r>
      <w:r w:rsidRPr="005C3073">
        <w:rPr>
          <w:szCs w:val="24"/>
        </w:rPr>
        <w:t>DOF</w:t>
      </w:r>
      <w:r w:rsidR="00A317CA">
        <w:rPr>
          <w:szCs w:val="24"/>
        </w:rPr>
        <w:t>)</w:t>
      </w:r>
      <w:r w:rsidRPr="005C3073">
        <w:rPr>
          <w:szCs w:val="24"/>
        </w:rPr>
        <w:t xml:space="preserve"> during contract negotiations. Per </w:t>
      </w:r>
      <w:r w:rsidRPr="005C3073">
        <w:rPr>
          <w:i/>
          <w:szCs w:val="24"/>
        </w:rPr>
        <w:t>EC</w:t>
      </w:r>
      <w:r w:rsidRPr="005C3073">
        <w:rPr>
          <w:szCs w:val="24"/>
        </w:rPr>
        <w:t xml:space="preserve"> Section 60643, the CDE, in consultation with the SBE, may make material amendments to the contract that do not increase the contract cost. Contract amendments that increase contract costs may be made </w:t>
      </w:r>
      <w:r w:rsidR="00EA165E" w:rsidRPr="005C3073">
        <w:rPr>
          <w:szCs w:val="24"/>
        </w:rPr>
        <w:t xml:space="preserve">only </w:t>
      </w:r>
      <w:r w:rsidRPr="005C3073">
        <w:rPr>
          <w:szCs w:val="24"/>
        </w:rPr>
        <w:t xml:space="preserve">with the approval of the CDE, the SBE, and the DOF. </w:t>
      </w:r>
      <w:r w:rsidRPr="005C3073">
        <w:rPr>
          <w:rFonts w:cs="Arial"/>
          <w:iCs/>
          <w:szCs w:val="24"/>
        </w:rPr>
        <w:t xml:space="preserve">As of the date of this report, the CAASPP System includes the following contracts: (1) </w:t>
      </w:r>
      <w:r w:rsidR="00A0406B" w:rsidRPr="005C3073">
        <w:rPr>
          <w:rFonts w:cs="Arial"/>
          <w:iCs/>
          <w:szCs w:val="24"/>
        </w:rPr>
        <w:t>C</w:t>
      </w:r>
      <w:r w:rsidRPr="005C3073">
        <w:rPr>
          <w:rFonts w:cs="Arial"/>
          <w:iCs/>
          <w:szCs w:val="24"/>
        </w:rPr>
        <w:t>onsortium-managed services</w:t>
      </w:r>
      <w:r w:rsidR="00575F37">
        <w:rPr>
          <w:rFonts w:cs="Arial"/>
          <w:iCs/>
          <w:szCs w:val="24"/>
        </w:rPr>
        <w:t>,</w:t>
      </w:r>
      <w:r w:rsidRPr="005C3073">
        <w:rPr>
          <w:rFonts w:cs="Arial"/>
          <w:iCs/>
          <w:szCs w:val="24"/>
        </w:rPr>
        <w:t xml:space="preserve"> (2) </w:t>
      </w:r>
      <w:r w:rsidR="00DC20E5" w:rsidRPr="005C3073">
        <w:rPr>
          <w:rFonts w:cs="Arial"/>
          <w:iCs/>
          <w:szCs w:val="24"/>
        </w:rPr>
        <w:t>s</w:t>
      </w:r>
      <w:r w:rsidRPr="005C3073">
        <w:rPr>
          <w:rFonts w:cs="Arial"/>
          <w:iCs/>
          <w:szCs w:val="24"/>
        </w:rPr>
        <w:t>tate-managed services</w:t>
      </w:r>
      <w:r w:rsidR="00575F37">
        <w:rPr>
          <w:rFonts w:cs="Arial"/>
          <w:iCs/>
          <w:szCs w:val="24"/>
        </w:rPr>
        <w:t>,</w:t>
      </w:r>
      <w:r w:rsidRPr="005C3073">
        <w:rPr>
          <w:rFonts w:cs="Arial"/>
          <w:iCs/>
          <w:szCs w:val="24"/>
        </w:rPr>
        <w:t xml:space="preserve"> </w:t>
      </w:r>
      <w:r w:rsidR="009B6E8C" w:rsidRPr="005C3073">
        <w:rPr>
          <w:rFonts w:cs="Arial"/>
          <w:iCs/>
          <w:szCs w:val="24"/>
        </w:rPr>
        <w:t xml:space="preserve">and </w:t>
      </w:r>
      <w:r w:rsidRPr="005C3073">
        <w:rPr>
          <w:rFonts w:cs="Arial"/>
          <w:iCs/>
          <w:szCs w:val="24"/>
        </w:rPr>
        <w:t>(3) independent evaluation.</w:t>
      </w:r>
    </w:p>
    <w:p w14:paraId="050E0C19" w14:textId="77777777" w:rsidR="00EB000A" w:rsidRPr="00575F37" w:rsidRDefault="00CC237F" w:rsidP="00F95870">
      <w:pPr>
        <w:pStyle w:val="Heading3"/>
        <w:widowControl/>
        <w:rPr>
          <w:b/>
          <w:i w:val="0"/>
          <w:sz w:val="28"/>
          <w:szCs w:val="28"/>
        </w:rPr>
      </w:pPr>
      <w:bookmarkStart w:id="53" w:name="_Toc2346321"/>
      <w:bookmarkStart w:id="54" w:name="_Toc43122218"/>
      <w:r w:rsidRPr="00575F37">
        <w:rPr>
          <w:b/>
          <w:i w:val="0"/>
          <w:sz w:val="28"/>
          <w:szCs w:val="28"/>
        </w:rPr>
        <w:t xml:space="preserve">Smarter Balanced </w:t>
      </w:r>
      <w:r w:rsidR="00EB000A" w:rsidRPr="00575F37">
        <w:rPr>
          <w:b/>
          <w:i w:val="0"/>
          <w:sz w:val="28"/>
          <w:szCs w:val="28"/>
        </w:rPr>
        <w:t>Consortium-</w:t>
      </w:r>
      <w:r w:rsidR="00894443" w:rsidRPr="00575F37">
        <w:rPr>
          <w:b/>
          <w:i w:val="0"/>
          <w:sz w:val="28"/>
          <w:szCs w:val="28"/>
        </w:rPr>
        <w:t>M</w:t>
      </w:r>
      <w:r w:rsidR="00EB000A" w:rsidRPr="00575F37">
        <w:rPr>
          <w:b/>
          <w:i w:val="0"/>
          <w:sz w:val="28"/>
          <w:szCs w:val="28"/>
        </w:rPr>
        <w:t>anaged Services Contract</w:t>
      </w:r>
      <w:bookmarkEnd w:id="53"/>
      <w:bookmarkEnd w:id="54"/>
    </w:p>
    <w:p w14:paraId="050E0C1A" w14:textId="5D7E45A6" w:rsidR="00EB000A" w:rsidRPr="005C3073" w:rsidRDefault="00EB000A" w:rsidP="00F95870">
      <w:pPr>
        <w:widowControl/>
        <w:overflowPunct w:val="0"/>
        <w:autoSpaceDE w:val="0"/>
        <w:autoSpaceDN w:val="0"/>
        <w:adjustRightInd w:val="0"/>
        <w:textAlignment w:val="baseline"/>
        <w:rPr>
          <w:rFonts w:eastAsia="Calibri"/>
          <w:snapToGrid/>
          <w:szCs w:val="24"/>
        </w:rPr>
      </w:pPr>
      <w:r w:rsidRPr="005C3073">
        <w:rPr>
          <w:rFonts w:cs="Arial"/>
          <w:iCs/>
          <w:szCs w:val="24"/>
        </w:rPr>
        <w:t xml:space="preserve">The </w:t>
      </w:r>
      <w:r w:rsidR="00A0406B" w:rsidRPr="005C3073">
        <w:rPr>
          <w:rFonts w:cs="Arial"/>
          <w:iCs/>
          <w:szCs w:val="24"/>
        </w:rPr>
        <w:t>C</w:t>
      </w:r>
      <w:r w:rsidRPr="005C3073">
        <w:rPr>
          <w:rFonts w:cs="Arial"/>
          <w:iCs/>
          <w:szCs w:val="24"/>
        </w:rPr>
        <w:t xml:space="preserve">onsortium-managed services contract is a multiyear, sole-source contract with costs based on an annual fee structure for Consortium services provided by a </w:t>
      </w:r>
      <w:r w:rsidR="000A49B1" w:rsidRPr="005C3073">
        <w:rPr>
          <w:rFonts w:cs="Arial"/>
          <w:iCs/>
          <w:szCs w:val="24"/>
        </w:rPr>
        <w:t>Consortium</w:t>
      </w:r>
      <w:r w:rsidRPr="005C3073">
        <w:rPr>
          <w:rFonts w:cs="Arial"/>
          <w:iCs/>
          <w:szCs w:val="24"/>
        </w:rPr>
        <w:t xml:space="preserve">-selected contractor. For the 2017–18 through </w:t>
      </w:r>
      <w:r w:rsidR="000E142F">
        <w:rPr>
          <w:rFonts w:cs="Arial"/>
          <w:iCs/>
          <w:szCs w:val="24"/>
        </w:rPr>
        <w:t>2019–2020</w:t>
      </w:r>
      <w:r w:rsidRPr="005C3073">
        <w:rPr>
          <w:rFonts w:cs="Arial"/>
          <w:iCs/>
          <w:szCs w:val="24"/>
        </w:rPr>
        <w:t xml:space="preserve"> test administrations, the selected contractor </w:t>
      </w:r>
      <w:r w:rsidR="0094180E">
        <w:rPr>
          <w:rFonts w:cs="Arial"/>
          <w:iCs/>
          <w:szCs w:val="24"/>
        </w:rPr>
        <w:t>wa</w:t>
      </w:r>
      <w:r w:rsidRPr="005C3073">
        <w:rPr>
          <w:rFonts w:cs="Arial"/>
          <w:iCs/>
          <w:szCs w:val="24"/>
        </w:rPr>
        <w:t>s</w:t>
      </w:r>
      <w:r w:rsidR="0094180E">
        <w:rPr>
          <w:rFonts w:cs="Arial"/>
          <w:iCs/>
          <w:szCs w:val="24"/>
        </w:rPr>
        <w:t xml:space="preserve"> (and continues to be)</w:t>
      </w:r>
      <w:r w:rsidRPr="005C3073">
        <w:rPr>
          <w:rFonts w:cs="Arial"/>
          <w:iCs/>
          <w:szCs w:val="24"/>
        </w:rPr>
        <w:t xml:space="preserve"> the </w:t>
      </w:r>
      <w:r w:rsidRPr="005C3073">
        <w:rPr>
          <w:rFonts w:cs="Arial"/>
          <w:snapToGrid/>
          <w:szCs w:val="24"/>
        </w:rPr>
        <w:t>Regents of the U</w:t>
      </w:r>
      <w:r w:rsidR="005B42C7" w:rsidRPr="005C3073">
        <w:rPr>
          <w:rFonts w:cs="Arial"/>
          <w:snapToGrid/>
          <w:szCs w:val="24"/>
        </w:rPr>
        <w:t>niversity of California</w:t>
      </w:r>
      <w:r w:rsidR="00A47C02">
        <w:rPr>
          <w:rFonts w:cs="Arial"/>
          <w:snapToGrid/>
          <w:szCs w:val="24"/>
        </w:rPr>
        <w:t xml:space="preserve"> on behalf of the Santa Cruz campus</w:t>
      </w:r>
      <w:r w:rsidRPr="005C3073">
        <w:rPr>
          <w:rFonts w:cs="Arial"/>
          <w:iCs/>
          <w:szCs w:val="24"/>
        </w:rPr>
        <w:t>. Th</w:t>
      </w:r>
      <w:r w:rsidR="00F40D25" w:rsidRPr="005C3073">
        <w:rPr>
          <w:rFonts w:cs="Arial"/>
          <w:iCs/>
          <w:szCs w:val="24"/>
        </w:rPr>
        <w:t>is</w:t>
      </w:r>
      <w:r w:rsidRPr="005C3073">
        <w:rPr>
          <w:rFonts w:cs="Arial"/>
          <w:iCs/>
          <w:szCs w:val="24"/>
        </w:rPr>
        <w:t xml:space="preserve"> contract provides California</w:t>
      </w:r>
      <w:r w:rsidR="00F6330E" w:rsidRPr="005C3073">
        <w:rPr>
          <w:rFonts w:cs="Arial"/>
          <w:iCs/>
          <w:szCs w:val="24"/>
        </w:rPr>
        <w:t xml:space="preserve"> with</w:t>
      </w:r>
      <w:r w:rsidRPr="005C3073">
        <w:rPr>
          <w:rFonts w:cs="Arial"/>
          <w:iCs/>
          <w:szCs w:val="24"/>
        </w:rPr>
        <w:t xml:space="preserve"> a</w:t>
      </w:r>
      <w:r w:rsidRPr="005C3073">
        <w:rPr>
          <w:rFonts w:eastAsia="Calibri"/>
          <w:snapToGrid/>
          <w:szCs w:val="24"/>
        </w:rPr>
        <w:t>ccess to Smarter Balanced Summative Assessment items for statewide testing; the ongoing refreshment of Smarter Balanced test items, validation research, blueprint alignment, accommodations and accessibility research, and so forth; access to Smarter Balanced Interim Assessments (for K–12 teachers) for optional use; and access to formative tools</w:t>
      </w:r>
      <w:r w:rsidR="00E7680C" w:rsidRPr="005C3073">
        <w:rPr>
          <w:rFonts w:eastAsia="Calibri"/>
          <w:snapToGrid/>
          <w:szCs w:val="24"/>
        </w:rPr>
        <w:t xml:space="preserve"> in the Smarter Balanced </w:t>
      </w:r>
      <w:r w:rsidRPr="005C3073">
        <w:rPr>
          <w:rFonts w:eastAsia="Calibri"/>
          <w:snapToGrid/>
          <w:szCs w:val="24"/>
        </w:rPr>
        <w:t>Digital Library (</w:t>
      </w:r>
      <w:r w:rsidR="00FF4EE3">
        <w:rPr>
          <w:rFonts w:eastAsia="Calibri"/>
          <w:snapToGrid/>
          <w:szCs w:val="24"/>
        </w:rPr>
        <w:t>Tools for Teachers</w:t>
      </w:r>
      <w:r w:rsidR="0062243E">
        <w:rPr>
          <w:rFonts w:eastAsia="Calibri"/>
          <w:snapToGrid/>
          <w:szCs w:val="24"/>
        </w:rPr>
        <w:t>)—</w:t>
      </w:r>
      <w:r w:rsidRPr="005C3073">
        <w:rPr>
          <w:rFonts w:eastAsia="Calibri"/>
          <w:snapToGrid/>
          <w:szCs w:val="24"/>
        </w:rPr>
        <w:t>also for K–12 teachers</w:t>
      </w:r>
      <w:r w:rsidR="00D931E5">
        <w:rPr>
          <w:rFonts w:eastAsia="Calibri"/>
          <w:snapToGrid/>
          <w:szCs w:val="24"/>
        </w:rPr>
        <w:t>’</w:t>
      </w:r>
      <w:r w:rsidR="00212F61">
        <w:rPr>
          <w:rFonts w:eastAsia="Calibri"/>
          <w:snapToGrid/>
          <w:szCs w:val="24"/>
        </w:rPr>
        <w:t xml:space="preserve"> </w:t>
      </w:r>
      <w:r w:rsidRPr="005C3073">
        <w:rPr>
          <w:rFonts w:eastAsia="Calibri"/>
          <w:snapToGrid/>
          <w:szCs w:val="24"/>
        </w:rPr>
        <w:t xml:space="preserve">optional use. </w:t>
      </w:r>
    </w:p>
    <w:p w14:paraId="050E0C1B" w14:textId="377B2BC3" w:rsidR="005B42C7" w:rsidRPr="005C3073" w:rsidRDefault="00EB000A" w:rsidP="00F95870">
      <w:pPr>
        <w:widowControl/>
        <w:rPr>
          <w:rFonts w:cs="Arial"/>
        </w:rPr>
      </w:pPr>
      <w:r w:rsidRPr="0265C20E">
        <w:rPr>
          <w:rFonts w:cs="Arial"/>
        </w:rPr>
        <w:t>The</w:t>
      </w:r>
      <w:r w:rsidR="00466D47" w:rsidRPr="0265C20E">
        <w:rPr>
          <w:rFonts w:cs="Arial"/>
        </w:rPr>
        <w:t xml:space="preserve"> current</w:t>
      </w:r>
      <w:r w:rsidRPr="0265C20E">
        <w:rPr>
          <w:rFonts w:cs="Arial"/>
        </w:rPr>
        <w:t xml:space="preserve"> CDE contract </w:t>
      </w:r>
      <w:r w:rsidR="003075E9" w:rsidRPr="0265C20E">
        <w:rPr>
          <w:rFonts w:cs="Arial"/>
        </w:rPr>
        <w:t xml:space="preserve">with </w:t>
      </w:r>
      <w:r w:rsidR="00260E29" w:rsidRPr="0265C20E">
        <w:rPr>
          <w:rFonts w:cs="Arial"/>
        </w:rPr>
        <w:t xml:space="preserve">the </w:t>
      </w:r>
      <w:r w:rsidR="00307748" w:rsidRPr="0265C20E">
        <w:rPr>
          <w:rFonts w:cs="Arial"/>
          <w:snapToGrid/>
        </w:rPr>
        <w:t>Regents of the University of California</w:t>
      </w:r>
      <w:r w:rsidR="00A14B3A" w:rsidRPr="0265C20E">
        <w:rPr>
          <w:rFonts w:cs="Arial"/>
          <w:snapToGrid/>
        </w:rPr>
        <w:t>, on behalf of the Santa Cruz campus</w:t>
      </w:r>
      <w:r w:rsidR="00D931E5">
        <w:rPr>
          <w:rFonts w:cs="Arial"/>
          <w:snapToGrid/>
        </w:rPr>
        <w:t>,</w:t>
      </w:r>
      <w:r w:rsidR="00C81F50" w:rsidRPr="0265C20E">
        <w:rPr>
          <w:rFonts w:cs="Arial"/>
        </w:rPr>
        <w:t xml:space="preserve"> </w:t>
      </w:r>
      <w:r w:rsidR="005B42C7" w:rsidRPr="0265C20E">
        <w:rPr>
          <w:rFonts w:cs="Arial"/>
        </w:rPr>
        <w:t xml:space="preserve">for Smarter Balanced </w:t>
      </w:r>
      <w:r w:rsidRPr="0265C20E">
        <w:rPr>
          <w:rFonts w:cs="Arial"/>
        </w:rPr>
        <w:t>began</w:t>
      </w:r>
      <w:r w:rsidR="00C20DC3" w:rsidRPr="0265C20E">
        <w:rPr>
          <w:rFonts w:cs="Arial"/>
        </w:rPr>
        <w:t xml:space="preserve"> on</w:t>
      </w:r>
      <w:r w:rsidRPr="0265C20E">
        <w:rPr>
          <w:rFonts w:cs="Arial"/>
        </w:rPr>
        <w:t xml:space="preserve"> July 1, </w:t>
      </w:r>
      <w:r w:rsidR="00A14B3A" w:rsidRPr="0265C20E">
        <w:rPr>
          <w:rFonts w:cs="Arial"/>
        </w:rPr>
        <w:t>2017</w:t>
      </w:r>
      <w:r w:rsidRPr="0265C20E">
        <w:rPr>
          <w:rFonts w:cs="Arial"/>
        </w:rPr>
        <w:t xml:space="preserve">, and </w:t>
      </w:r>
      <w:r w:rsidR="00C20DC3" w:rsidRPr="0265C20E">
        <w:rPr>
          <w:rFonts w:cs="Arial"/>
        </w:rPr>
        <w:t xml:space="preserve">will end on </w:t>
      </w:r>
      <w:r w:rsidRPr="0265C20E">
        <w:rPr>
          <w:rFonts w:cs="Arial"/>
        </w:rPr>
        <w:t xml:space="preserve">June 30, </w:t>
      </w:r>
      <w:r w:rsidR="00A14B3A" w:rsidRPr="0265C20E">
        <w:rPr>
          <w:rFonts w:cs="Arial"/>
        </w:rPr>
        <w:t>2022</w:t>
      </w:r>
      <w:r w:rsidR="006B3C89" w:rsidRPr="0265C20E">
        <w:rPr>
          <w:rFonts w:cs="Arial"/>
        </w:rPr>
        <w:t>.</w:t>
      </w:r>
      <w:r w:rsidR="00A14B3A" w:rsidRPr="0265C20E">
        <w:rPr>
          <w:rFonts w:cs="Arial"/>
        </w:rPr>
        <w:t xml:space="preserve"> </w:t>
      </w:r>
      <w:r w:rsidR="00A14B3A" w:rsidRPr="005C3073">
        <w:rPr>
          <w:rFonts w:cs="Arial"/>
        </w:rPr>
        <w:t>In November 2018, the SBE approved a request by the CDE to amend the contract to include activities related to the reporting of assessment results to educators.</w:t>
      </w:r>
      <w:r w:rsidRPr="0265C20E">
        <w:rPr>
          <w:rFonts w:cs="Arial"/>
        </w:rPr>
        <w:t xml:space="preserve"> </w:t>
      </w:r>
      <w:r w:rsidR="00A14B3A" w:rsidRPr="0265C20E">
        <w:rPr>
          <w:rFonts w:cs="Arial"/>
        </w:rPr>
        <w:t>In July 2019</w:t>
      </w:r>
      <w:r w:rsidR="00D931E5">
        <w:rPr>
          <w:rFonts w:cs="Arial"/>
        </w:rPr>
        <w:t>,</w:t>
      </w:r>
      <w:r w:rsidR="00A14B3A" w:rsidRPr="0265C20E">
        <w:rPr>
          <w:rFonts w:cs="Arial"/>
        </w:rPr>
        <w:t xml:space="preserve"> the contract was amended</w:t>
      </w:r>
      <w:r w:rsidR="00A01321" w:rsidRPr="0265C20E">
        <w:rPr>
          <w:rFonts w:cs="Arial"/>
        </w:rPr>
        <w:t xml:space="preserve"> to include the reporting activities</w:t>
      </w:r>
      <w:r w:rsidR="00D931E5">
        <w:rPr>
          <w:rFonts w:cs="Arial"/>
        </w:rPr>
        <w:t>,</w:t>
      </w:r>
      <w:r w:rsidR="00A14B3A" w:rsidRPr="0265C20E">
        <w:rPr>
          <w:rFonts w:cs="Arial"/>
        </w:rPr>
        <w:t xml:space="preserve"> and the</w:t>
      </w:r>
      <w:r w:rsidR="00354049" w:rsidRPr="0265C20E">
        <w:rPr>
          <w:rFonts w:cs="Arial"/>
        </w:rPr>
        <w:t xml:space="preserve"> </w:t>
      </w:r>
      <w:r w:rsidRPr="0265C20E">
        <w:rPr>
          <w:rFonts w:cs="Arial"/>
        </w:rPr>
        <w:t>total</w:t>
      </w:r>
      <w:r w:rsidR="00A14B3A" w:rsidRPr="0265C20E">
        <w:rPr>
          <w:rFonts w:cs="Arial"/>
        </w:rPr>
        <w:t xml:space="preserve"> contract</w:t>
      </w:r>
      <w:r w:rsidR="00A01321" w:rsidRPr="0265C20E">
        <w:rPr>
          <w:rFonts w:cs="Arial"/>
        </w:rPr>
        <w:t xml:space="preserve"> stands at</w:t>
      </w:r>
      <w:r w:rsidRPr="0265C20E">
        <w:rPr>
          <w:rFonts w:cs="Arial"/>
        </w:rPr>
        <w:t xml:space="preserve"> </w:t>
      </w:r>
      <w:r w:rsidR="00A300E0" w:rsidRPr="0265C20E">
        <w:rPr>
          <w:rFonts w:cs="Arial"/>
        </w:rPr>
        <w:t>$</w:t>
      </w:r>
      <w:r w:rsidR="00A01321" w:rsidRPr="0265C20E">
        <w:rPr>
          <w:rFonts w:cs="Arial"/>
        </w:rPr>
        <w:t>50.3</w:t>
      </w:r>
      <w:r w:rsidR="00466D47" w:rsidRPr="0265C20E">
        <w:rPr>
          <w:rFonts w:cs="Arial"/>
        </w:rPr>
        <w:t xml:space="preserve"> </w:t>
      </w:r>
      <w:r w:rsidR="00D80F0E" w:rsidRPr="0265C20E">
        <w:rPr>
          <w:rFonts w:cs="Arial"/>
        </w:rPr>
        <w:t xml:space="preserve">million </w:t>
      </w:r>
      <w:r w:rsidR="00A01321" w:rsidRPr="0265C20E">
        <w:rPr>
          <w:rFonts w:cs="Arial"/>
        </w:rPr>
        <w:t xml:space="preserve">for </w:t>
      </w:r>
      <w:r w:rsidR="00354049" w:rsidRPr="0265C20E">
        <w:rPr>
          <w:rFonts w:cs="Arial"/>
        </w:rPr>
        <w:t xml:space="preserve">a period of </w:t>
      </w:r>
      <w:r w:rsidR="00A01321" w:rsidRPr="0265C20E">
        <w:rPr>
          <w:rFonts w:cs="Arial"/>
        </w:rPr>
        <w:t xml:space="preserve">five </w:t>
      </w:r>
      <w:r w:rsidR="00D80F0E" w:rsidRPr="0265C20E">
        <w:rPr>
          <w:rFonts w:cs="Arial"/>
        </w:rPr>
        <w:t>years</w:t>
      </w:r>
      <w:r w:rsidR="00551DAA" w:rsidRPr="0265C20E">
        <w:rPr>
          <w:rFonts w:cs="Arial"/>
        </w:rPr>
        <w:t>, which includes a total of $</w:t>
      </w:r>
      <w:r w:rsidR="00104E0A" w:rsidRPr="0265C20E">
        <w:rPr>
          <w:rFonts w:cs="Arial"/>
        </w:rPr>
        <w:t>1.8</w:t>
      </w:r>
      <w:r w:rsidR="009F6B5A" w:rsidRPr="0265C20E">
        <w:rPr>
          <w:rFonts w:cs="Arial"/>
        </w:rPr>
        <w:t xml:space="preserve"> million for </w:t>
      </w:r>
      <w:r w:rsidR="00B82D4F" w:rsidRPr="0265C20E">
        <w:rPr>
          <w:rFonts w:cs="Arial"/>
        </w:rPr>
        <w:t xml:space="preserve">CAASPP-related </w:t>
      </w:r>
      <w:r w:rsidR="009F6B5A" w:rsidRPr="0265C20E">
        <w:rPr>
          <w:rFonts w:cs="Arial"/>
        </w:rPr>
        <w:t>educator reporting activities</w:t>
      </w:r>
      <w:r w:rsidRPr="005C3073">
        <w:rPr>
          <w:rFonts w:cs="Arial"/>
        </w:rPr>
        <w:t>. It is anticipated that the annual cost for th</w:t>
      </w:r>
      <w:r w:rsidR="00466D47" w:rsidRPr="005C3073">
        <w:rPr>
          <w:rFonts w:cs="Arial"/>
        </w:rPr>
        <w:t>e</w:t>
      </w:r>
      <w:r w:rsidRPr="005C3073">
        <w:rPr>
          <w:rFonts w:cs="Arial"/>
        </w:rPr>
        <w:t xml:space="preserve"> </w:t>
      </w:r>
      <w:r w:rsidR="006B3C89" w:rsidRPr="005C3073">
        <w:rPr>
          <w:rFonts w:cs="Arial"/>
        </w:rPr>
        <w:t>membership</w:t>
      </w:r>
      <w:r w:rsidRPr="005C3073">
        <w:rPr>
          <w:rFonts w:cs="Arial"/>
        </w:rPr>
        <w:t xml:space="preserve"> will not exceed the current </w:t>
      </w:r>
      <w:r w:rsidR="00354049" w:rsidRPr="005C3073">
        <w:rPr>
          <w:rFonts w:cs="Arial"/>
        </w:rPr>
        <w:t xml:space="preserve">annual </w:t>
      </w:r>
      <w:r w:rsidRPr="005C3073">
        <w:rPr>
          <w:rFonts w:cs="Arial"/>
        </w:rPr>
        <w:t>cap of $9</w:t>
      </w:r>
      <w:r w:rsidR="00A300E0" w:rsidRPr="005C3073">
        <w:rPr>
          <w:rFonts w:cs="Arial"/>
        </w:rPr>
        <w:t>.55 million</w:t>
      </w:r>
      <w:r w:rsidRPr="005C3073">
        <w:rPr>
          <w:rFonts w:cs="Arial"/>
        </w:rPr>
        <w:t>.</w:t>
      </w:r>
    </w:p>
    <w:p w14:paraId="050E0C1D" w14:textId="323DC527" w:rsidR="00EB000A" w:rsidRPr="005C3073" w:rsidRDefault="00EB000A" w:rsidP="00F95870">
      <w:pPr>
        <w:widowControl/>
        <w:rPr>
          <w:rFonts w:cs="Arial"/>
        </w:rPr>
      </w:pPr>
      <w:r w:rsidRPr="005C3073">
        <w:rPr>
          <w:rFonts w:cs="Arial"/>
        </w:rPr>
        <w:t xml:space="preserve">Table </w:t>
      </w:r>
      <w:r w:rsidR="00A43D44">
        <w:rPr>
          <w:rFonts w:cs="Arial"/>
        </w:rPr>
        <w:t>3</w:t>
      </w:r>
      <w:r w:rsidRPr="005C3073">
        <w:rPr>
          <w:rFonts w:cs="Arial"/>
        </w:rPr>
        <w:t xml:space="preserve">, </w:t>
      </w:r>
      <w:r w:rsidR="004B7DED" w:rsidRPr="005C3073">
        <w:rPr>
          <w:rFonts w:cs="Arial"/>
        </w:rPr>
        <w:t>on the following page</w:t>
      </w:r>
      <w:r w:rsidRPr="005C3073">
        <w:rPr>
          <w:rFonts w:cs="Arial"/>
        </w:rPr>
        <w:t xml:space="preserve">, provides a breakdown of the current </w:t>
      </w:r>
      <w:r w:rsidR="00A300E0" w:rsidRPr="005C3073">
        <w:rPr>
          <w:rFonts w:cs="Arial"/>
          <w:iCs/>
        </w:rPr>
        <w:t>Regents of the University of California</w:t>
      </w:r>
      <w:r w:rsidR="009F6B5A">
        <w:rPr>
          <w:rFonts w:cs="Arial"/>
          <w:iCs/>
        </w:rPr>
        <w:t>, on behalf of the Santa Cruz campus</w:t>
      </w:r>
      <w:r w:rsidR="00575F37">
        <w:rPr>
          <w:rFonts w:cs="Arial"/>
          <w:iCs/>
        </w:rPr>
        <w:t>,</w:t>
      </w:r>
      <w:r w:rsidR="00A300E0" w:rsidRPr="005C3073">
        <w:rPr>
          <w:rFonts w:cs="Arial"/>
          <w:iCs/>
        </w:rPr>
        <w:t xml:space="preserve"> </w:t>
      </w:r>
      <w:r w:rsidRPr="005C3073">
        <w:rPr>
          <w:rFonts w:cs="Arial"/>
        </w:rPr>
        <w:t>contract costs per fiscal year.</w:t>
      </w:r>
    </w:p>
    <w:p w14:paraId="050E0C1E" w14:textId="77777777" w:rsidR="004B7DED" w:rsidRPr="005C3073" w:rsidRDefault="004B7DED" w:rsidP="00F95870">
      <w:pPr>
        <w:widowControl/>
        <w:spacing w:before="0" w:after="160" w:line="259" w:lineRule="auto"/>
        <w:rPr>
          <w:rFonts w:cs="Arial"/>
          <w:b/>
          <w:iCs/>
          <w:szCs w:val="24"/>
        </w:rPr>
      </w:pPr>
      <w:r w:rsidRPr="005C3073">
        <w:rPr>
          <w:rFonts w:cs="Arial"/>
          <w:b/>
          <w:iCs/>
          <w:szCs w:val="24"/>
        </w:rPr>
        <w:br w:type="page"/>
      </w:r>
    </w:p>
    <w:p w14:paraId="050E0C1F" w14:textId="72928E32" w:rsidR="00EB000A" w:rsidRPr="005C3073" w:rsidRDefault="00EB000A" w:rsidP="00F95870">
      <w:pPr>
        <w:widowControl/>
        <w:snapToGrid w:val="0"/>
        <w:spacing w:after="80"/>
        <w:jc w:val="both"/>
        <w:rPr>
          <w:rFonts w:cs="Arial"/>
          <w:snapToGrid/>
          <w:szCs w:val="24"/>
        </w:rPr>
      </w:pPr>
      <w:r w:rsidRPr="00490E08">
        <w:rPr>
          <w:rFonts w:cs="Arial"/>
          <w:iCs/>
          <w:szCs w:val="24"/>
        </w:rPr>
        <w:lastRenderedPageBreak/>
        <w:t xml:space="preserve">Table </w:t>
      </w:r>
      <w:r w:rsidR="00A43D44" w:rsidRPr="00490E08">
        <w:rPr>
          <w:rFonts w:cs="Arial"/>
          <w:iCs/>
          <w:szCs w:val="24"/>
        </w:rPr>
        <w:t>3</w:t>
      </w:r>
      <w:r w:rsidRPr="00490E08">
        <w:rPr>
          <w:rFonts w:cs="Arial"/>
          <w:iCs/>
          <w:szCs w:val="24"/>
        </w:rPr>
        <w:t>.</w:t>
      </w:r>
      <w:r w:rsidRPr="005C3073">
        <w:rPr>
          <w:rFonts w:cs="Arial"/>
          <w:iCs/>
          <w:szCs w:val="24"/>
        </w:rPr>
        <w:t xml:space="preserve"> Consortium-</w:t>
      </w:r>
      <w:r w:rsidR="005B35DC">
        <w:rPr>
          <w:rFonts w:cs="Arial"/>
          <w:iCs/>
          <w:szCs w:val="24"/>
        </w:rPr>
        <w:t>M</w:t>
      </w:r>
      <w:r w:rsidRPr="005C3073">
        <w:rPr>
          <w:rFonts w:cs="Arial"/>
          <w:iCs/>
          <w:szCs w:val="24"/>
        </w:rPr>
        <w:t>anaged Services Contract Costs</w:t>
      </w:r>
    </w:p>
    <w:tbl>
      <w:tblPr>
        <w:tblStyle w:val="TableGrid"/>
        <w:tblW w:w="0" w:type="auto"/>
        <w:tblLook w:val="04A0" w:firstRow="1" w:lastRow="0" w:firstColumn="1" w:lastColumn="0" w:noHBand="0" w:noVBand="1"/>
        <w:tblDescription w:val="Contract Costs by Fiscal Year"/>
      </w:tblPr>
      <w:tblGrid>
        <w:gridCol w:w="1210"/>
        <w:gridCol w:w="2231"/>
        <w:gridCol w:w="2314"/>
        <w:gridCol w:w="2052"/>
        <w:gridCol w:w="1543"/>
      </w:tblGrid>
      <w:tr w:rsidR="00EB000A" w:rsidRPr="005C3073" w14:paraId="050E0C25" w14:textId="77777777" w:rsidTr="00233672">
        <w:trPr>
          <w:cantSplit/>
          <w:trHeight w:val="287"/>
          <w:tblHeader/>
        </w:trPr>
        <w:tc>
          <w:tcPr>
            <w:tcW w:w="1210" w:type="dxa"/>
            <w:shd w:val="clear" w:color="auto" w:fill="D0CECE" w:themeFill="background2" w:themeFillShade="E6"/>
            <w:vAlign w:val="center"/>
            <w:hideMark/>
          </w:tcPr>
          <w:p w14:paraId="050E0C20" w14:textId="77777777" w:rsidR="00EB000A" w:rsidRPr="005C3073" w:rsidRDefault="00EB000A" w:rsidP="00F95870">
            <w:pPr>
              <w:widowControl/>
              <w:snapToGrid w:val="0"/>
              <w:spacing w:before="120" w:after="120"/>
              <w:jc w:val="center"/>
              <w:rPr>
                <w:rFonts w:cs="Arial"/>
                <w:b/>
                <w:bCs/>
                <w:szCs w:val="24"/>
              </w:rPr>
            </w:pPr>
            <w:r w:rsidRPr="005C3073">
              <w:rPr>
                <w:rFonts w:cs="Arial"/>
                <w:b/>
                <w:bCs/>
                <w:szCs w:val="24"/>
              </w:rPr>
              <w:t>Fiscal Year</w:t>
            </w:r>
          </w:p>
        </w:tc>
        <w:tc>
          <w:tcPr>
            <w:tcW w:w="2231" w:type="dxa"/>
            <w:shd w:val="clear" w:color="auto" w:fill="D0CECE" w:themeFill="background2" w:themeFillShade="E6"/>
            <w:vAlign w:val="center"/>
            <w:hideMark/>
          </w:tcPr>
          <w:p w14:paraId="050E0C21" w14:textId="77777777" w:rsidR="00EB000A" w:rsidRPr="005C3073" w:rsidRDefault="00EB000A" w:rsidP="00F95870">
            <w:pPr>
              <w:widowControl/>
              <w:snapToGrid w:val="0"/>
              <w:spacing w:before="120" w:after="120"/>
              <w:jc w:val="center"/>
              <w:rPr>
                <w:rFonts w:cs="Arial"/>
                <w:b/>
                <w:bCs/>
                <w:szCs w:val="24"/>
              </w:rPr>
            </w:pPr>
            <w:r w:rsidRPr="005C3073">
              <w:rPr>
                <w:rFonts w:cs="Arial"/>
                <w:b/>
                <w:bCs/>
                <w:szCs w:val="24"/>
              </w:rPr>
              <w:t>Total Cost</w:t>
            </w:r>
          </w:p>
        </w:tc>
        <w:tc>
          <w:tcPr>
            <w:tcW w:w="2314" w:type="dxa"/>
            <w:shd w:val="clear" w:color="auto" w:fill="D0CECE" w:themeFill="background2" w:themeFillShade="E6"/>
            <w:vAlign w:val="center"/>
            <w:hideMark/>
          </w:tcPr>
          <w:p w14:paraId="050E0C22" w14:textId="77777777" w:rsidR="00EB000A" w:rsidRPr="005C3073" w:rsidRDefault="00EB000A" w:rsidP="00F95870">
            <w:pPr>
              <w:widowControl/>
              <w:snapToGrid w:val="0"/>
              <w:spacing w:before="120" w:after="120"/>
              <w:jc w:val="center"/>
              <w:rPr>
                <w:rFonts w:cs="Arial"/>
                <w:b/>
                <w:bCs/>
                <w:szCs w:val="24"/>
              </w:rPr>
            </w:pPr>
            <w:r w:rsidRPr="005C3073">
              <w:rPr>
                <w:rFonts w:cs="Arial"/>
                <w:b/>
                <w:bCs/>
                <w:szCs w:val="24"/>
              </w:rPr>
              <w:t>Package</w:t>
            </w:r>
          </w:p>
        </w:tc>
        <w:tc>
          <w:tcPr>
            <w:tcW w:w="2052" w:type="dxa"/>
            <w:shd w:val="clear" w:color="auto" w:fill="D0CECE" w:themeFill="background2" w:themeFillShade="E6"/>
            <w:vAlign w:val="center"/>
            <w:hideMark/>
          </w:tcPr>
          <w:p w14:paraId="050E0C23" w14:textId="7B6614AA" w:rsidR="00EB000A" w:rsidRPr="005C3073" w:rsidRDefault="00EB000A" w:rsidP="00F95870">
            <w:pPr>
              <w:widowControl/>
              <w:snapToGrid w:val="0"/>
              <w:spacing w:before="120" w:after="120"/>
              <w:ind w:left="-108" w:right="-86" w:firstLine="108"/>
              <w:jc w:val="center"/>
              <w:rPr>
                <w:rFonts w:cs="Arial"/>
                <w:b/>
                <w:bCs/>
                <w:szCs w:val="24"/>
              </w:rPr>
            </w:pPr>
            <w:r w:rsidRPr="005C3073">
              <w:rPr>
                <w:rFonts w:cs="Arial"/>
                <w:b/>
                <w:bCs/>
                <w:szCs w:val="24"/>
              </w:rPr>
              <w:t>Per-</w:t>
            </w:r>
            <w:r w:rsidR="00E767FF">
              <w:rPr>
                <w:rFonts w:cs="Arial"/>
                <w:b/>
                <w:bCs/>
                <w:szCs w:val="24"/>
              </w:rPr>
              <w:t>S</w:t>
            </w:r>
            <w:r w:rsidRPr="005C3073">
              <w:rPr>
                <w:rFonts w:cs="Arial"/>
                <w:b/>
                <w:bCs/>
                <w:szCs w:val="24"/>
              </w:rPr>
              <w:t>tudent Rate</w:t>
            </w:r>
          </w:p>
        </w:tc>
        <w:tc>
          <w:tcPr>
            <w:tcW w:w="1543" w:type="dxa"/>
            <w:shd w:val="clear" w:color="auto" w:fill="D0CECE" w:themeFill="background2" w:themeFillShade="E6"/>
            <w:vAlign w:val="center"/>
            <w:hideMark/>
          </w:tcPr>
          <w:p w14:paraId="050E0C24" w14:textId="09CD184C" w:rsidR="00EB000A" w:rsidRPr="005C3073" w:rsidRDefault="00EB000A" w:rsidP="00F95870">
            <w:pPr>
              <w:widowControl/>
              <w:snapToGrid w:val="0"/>
              <w:spacing w:before="120" w:after="120"/>
              <w:jc w:val="center"/>
              <w:rPr>
                <w:rFonts w:cs="Arial"/>
                <w:b/>
                <w:bCs/>
                <w:szCs w:val="24"/>
              </w:rPr>
            </w:pPr>
            <w:r w:rsidRPr="00664EDA">
              <w:rPr>
                <w:rFonts w:cs="Arial"/>
                <w:b/>
                <w:bCs/>
                <w:szCs w:val="24"/>
              </w:rPr>
              <w:t>Students</w:t>
            </w:r>
            <w:r w:rsidR="003538E6" w:rsidRPr="007F0173">
              <w:rPr>
                <w:rFonts w:cs="Arial"/>
                <w:b/>
                <w:bCs/>
                <w:szCs w:val="24"/>
                <w:vertAlign w:val="superscript"/>
              </w:rPr>
              <w:t>1</w:t>
            </w:r>
          </w:p>
        </w:tc>
      </w:tr>
      <w:tr w:rsidR="00EB000A" w:rsidRPr="005C3073" w14:paraId="050E0C2C" w14:textId="77777777" w:rsidTr="00AF1323">
        <w:trPr>
          <w:cantSplit/>
          <w:trHeight w:val="233"/>
        </w:trPr>
        <w:tc>
          <w:tcPr>
            <w:tcW w:w="1210" w:type="dxa"/>
            <w:hideMark/>
          </w:tcPr>
          <w:p w14:paraId="050E0C26" w14:textId="3B604180" w:rsidR="00EB000A" w:rsidRPr="005C3073" w:rsidRDefault="00EB000A" w:rsidP="00F95870">
            <w:pPr>
              <w:widowControl/>
              <w:snapToGrid w:val="0"/>
              <w:spacing w:before="120" w:after="120"/>
              <w:jc w:val="center"/>
              <w:rPr>
                <w:rFonts w:cs="Arial"/>
                <w:szCs w:val="24"/>
              </w:rPr>
            </w:pPr>
            <w:r w:rsidRPr="005C3073">
              <w:rPr>
                <w:rFonts w:cs="Arial"/>
                <w:szCs w:val="24"/>
              </w:rPr>
              <w:t>2017–18</w:t>
            </w:r>
          </w:p>
        </w:tc>
        <w:tc>
          <w:tcPr>
            <w:tcW w:w="2231" w:type="dxa"/>
            <w:hideMark/>
          </w:tcPr>
          <w:p w14:paraId="050E0C27" w14:textId="77777777" w:rsidR="00EB000A" w:rsidRPr="005C3073" w:rsidRDefault="00EB000A" w:rsidP="00F95870">
            <w:pPr>
              <w:widowControl/>
              <w:snapToGrid w:val="0"/>
              <w:spacing w:before="120" w:after="120"/>
              <w:jc w:val="center"/>
              <w:rPr>
                <w:rFonts w:cs="Arial"/>
                <w:szCs w:val="24"/>
              </w:rPr>
            </w:pPr>
            <w:r w:rsidRPr="005C3073">
              <w:rPr>
                <w:rFonts w:cs="Arial"/>
                <w:szCs w:val="24"/>
              </w:rPr>
              <w:t>$9,550,000</w:t>
            </w:r>
          </w:p>
        </w:tc>
        <w:tc>
          <w:tcPr>
            <w:tcW w:w="2314" w:type="dxa"/>
            <w:hideMark/>
          </w:tcPr>
          <w:p w14:paraId="050E0C28" w14:textId="097B4326" w:rsidR="00EB000A" w:rsidRPr="005C3073" w:rsidRDefault="00EB000A" w:rsidP="00F95870">
            <w:pPr>
              <w:widowControl/>
              <w:snapToGrid w:val="0"/>
              <w:spacing w:before="120" w:after="120"/>
              <w:jc w:val="center"/>
              <w:rPr>
                <w:rFonts w:cs="Arial"/>
                <w:szCs w:val="24"/>
              </w:rPr>
            </w:pPr>
            <w:r w:rsidRPr="005C3073">
              <w:rPr>
                <w:rFonts w:cs="Arial"/>
                <w:szCs w:val="24"/>
              </w:rPr>
              <w:t>Summative</w:t>
            </w:r>
            <w:r w:rsidR="00463495" w:rsidRPr="005C3073">
              <w:rPr>
                <w:rFonts w:cs="Arial"/>
                <w:szCs w:val="24"/>
              </w:rPr>
              <w:t xml:space="preserve">, Interim, and </w:t>
            </w:r>
            <w:r w:rsidRPr="005C3073">
              <w:rPr>
                <w:rFonts w:cs="Arial"/>
                <w:szCs w:val="24"/>
              </w:rPr>
              <w:t>Digital Library</w:t>
            </w:r>
          </w:p>
        </w:tc>
        <w:tc>
          <w:tcPr>
            <w:tcW w:w="2052" w:type="dxa"/>
            <w:hideMark/>
          </w:tcPr>
          <w:p w14:paraId="050E0C29" w14:textId="58CBC665" w:rsidR="00EB000A" w:rsidRPr="005C3073" w:rsidRDefault="003C1B46" w:rsidP="00F95870">
            <w:pPr>
              <w:widowControl/>
              <w:snapToGrid w:val="0"/>
              <w:spacing w:before="120" w:after="120"/>
              <w:jc w:val="center"/>
              <w:rPr>
                <w:rFonts w:cs="Arial"/>
                <w:szCs w:val="24"/>
              </w:rPr>
            </w:pPr>
            <w:r w:rsidRPr="005C3073">
              <w:rPr>
                <w:rFonts w:cs="Arial"/>
                <w:szCs w:val="24"/>
              </w:rPr>
              <w:t xml:space="preserve">$6.20 </w:t>
            </w:r>
            <w:r w:rsidR="00463495" w:rsidRPr="005C3073">
              <w:rPr>
                <w:rFonts w:cs="Arial"/>
                <w:szCs w:val="24"/>
              </w:rPr>
              <w:t>S</w:t>
            </w:r>
            <w:r w:rsidRPr="005C3073">
              <w:rPr>
                <w:rFonts w:cs="Arial"/>
                <w:szCs w:val="24"/>
              </w:rPr>
              <w:t xml:space="preserve">ummative and </w:t>
            </w:r>
            <w:r w:rsidR="005626C8" w:rsidRPr="005C3073">
              <w:rPr>
                <w:rFonts w:cs="Arial"/>
                <w:szCs w:val="24"/>
              </w:rPr>
              <w:br/>
            </w:r>
            <w:r w:rsidRPr="005C3073">
              <w:rPr>
                <w:rFonts w:cs="Arial"/>
                <w:szCs w:val="24"/>
              </w:rPr>
              <w:t xml:space="preserve">$3.35 </w:t>
            </w:r>
            <w:r w:rsidR="00463495" w:rsidRPr="005C3073">
              <w:rPr>
                <w:rFonts w:cs="Arial"/>
                <w:szCs w:val="24"/>
              </w:rPr>
              <w:t>I</w:t>
            </w:r>
            <w:r w:rsidRPr="005C3073">
              <w:rPr>
                <w:rFonts w:cs="Arial"/>
                <w:szCs w:val="24"/>
              </w:rPr>
              <w:t xml:space="preserve">nterim </w:t>
            </w:r>
            <w:r w:rsidR="00463495" w:rsidRPr="005C3073">
              <w:rPr>
                <w:rFonts w:cs="Arial"/>
                <w:szCs w:val="24"/>
              </w:rPr>
              <w:t xml:space="preserve">and </w:t>
            </w:r>
            <w:r w:rsidRPr="005C3073">
              <w:rPr>
                <w:rFonts w:cs="Arial"/>
                <w:szCs w:val="24"/>
              </w:rPr>
              <w:t>Digital Library</w:t>
            </w:r>
          </w:p>
        </w:tc>
        <w:tc>
          <w:tcPr>
            <w:tcW w:w="1543" w:type="dxa"/>
            <w:hideMark/>
          </w:tcPr>
          <w:p w14:paraId="050E0C2A" w14:textId="77777777" w:rsidR="00EB000A" w:rsidRPr="005C3073" w:rsidRDefault="00EB000A" w:rsidP="00F95870">
            <w:pPr>
              <w:widowControl/>
              <w:snapToGrid w:val="0"/>
              <w:spacing w:before="120" w:after="120"/>
              <w:jc w:val="center"/>
              <w:rPr>
                <w:rFonts w:cs="Arial"/>
                <w:szCs w:val="24"/>
              </w:rPr>
            </w:pPr>
            <w:r w:rsidRPr="005C3073">
              <w:rPr>
                <w:rFonts w:cs="Arial"/>
                <w:szCs w:val="24"/>
              </w:rPr>
              <w:t>1 million (cap)</w:t>
            </w:r>
          </w:p>
          <w:p w14:paraId="050E0C2B" w14:textId="77777777" w:rsidR="00EB000A" w:rsidRPr="005C3073" w:rsidRDefault="00EB000A" w:rsidP="00F95870">
            <w:pPr>
              <w:widowControl/>
              <w:snapToGrid w:val="0"/>
              <w:spacing w:before="120" w:after="120"/>
              <w:jc w:val="center"/>
              <w:rPr>
                <w:rFonts w:cs="Arial"/>
                <w:szCs w:val="24"/>
              </w:rPr>
            </w:pPr>
          </w:p>
        </w:tc>
      </w:tr>
      <w:tr w:rsidR="00EB000A" w:rsidRPr="005C3073" w14:paraId="050E0C33" w14:textId="77777777" w:rsidTr="00AF1323">
        <w:trPr>
          <w:cantSplit/>
          <w:trHeight w:val="233"/>
        </w:trPr>
        <w:tc>
          <w:tcPr>
            <w:tcW w:w="1210" w:type="dxa"/>
            <w:hideMark/>
          </w:tcPr>
          <w:p w14:paraId="050E0C2D" w14:textId="624C457E" w:rsidR="00EB000A" w:rsidRPr="005C3073" w:rsidRDefault="000E142F" w:rsidP="00F95870">
            <w:pPr>
              <w:widowControl/>
              <w:snapToGrid w:val="0"/>
              <w:spacing w:before="120" w:after="120"/>
              <w:jc w:val="center"/>
              <w:rPr>
                <w:rFonts w:cs="Arial"/>
                <w:szCs w:val="24"/>
              </w:rPr>
            </w:pPr>
            <w:r>
              <w:rPr>
                <w:rFonts w:cs="Arial"/>
                <w:szCs w:val="24"/>
              </w:rPr>
              <w:t>2018–19</w:t>
            </w:r>
          </w:p>
        </w:tc>
        <w:tc>
          <w:tcPr>
            <w:tcW w:w="2231" w:type="dxa"/>
            <w:hideMark/>
          </w:tcPr>
          <w:p w14:paraId="050E0C2E" w14:textId="1C29D3A9" w:rsidR="00EB000A" w:rsidRPr="005C3073" w:rsidRDefault="00EB000A" w:rsidP="00F95870">
            <w:pPr>
              <w:widowControl/>
              <w:snapToGrid w:val="0"/>
              <w:spacing w:before="120" w:after="120"/>
              <w:jc w:val="center"/>
              <w:rPr>
                <w:rFonts w:cs="Arial"/>
                <w:szCs w:val="24"/>
              </w:rPr>
            </w:pPr>
            <w:r w:rsidRPr="005C3073">
              <w:rPr>
                <w:rFonts w:cs="Arial"/>
                <w:szCs w:val="24"/>
              </w:rPr>
              <w:t>$9,550,00</w:t>
            </w:r>
            <w:r w:rsidR="001C27A6" w:rsidRPr="005C3073">
              <w:rPr>
                <w:rFonts w:cs="Arial"/>
                <w:szCs w:val="24"/>
              </w:rPr>
              <w:t>0</w:t>
            </w:r>
            <w:r w:rsidR="005B42C7" w:rsidRPr="005C3073">
              <w:rPr>
                <w:rFonts w:cs="Arial"/>
                <w:szCs w:val="24"/>
              </w:rPr>
              <w:t xml:space="preserve"> </w:t>
            </w:r>
            <w:r w:rsidR="003C1B46" w:rsidRPr="005C3073">
              <w:rPr>
                <w:rFonts w:cs="Arial"/>
                <w:szCs w:val="24"/>
              </w:rPr>
              <w:t xml:space="preserve">membership fee </w:t>
            </w:r>
            <w:r w:rsidR="005B42C7" w:rsidRPr="005C3073">
              <w:rPr>
                <w:rFonts w:cs="Arial"/>
                <w:szCs w:val="24"/>
              </w:rPr>
              <w:t>and $</w:t>
            </w:r>
            <w:r w:rsidR="00F269AD" w:rsidRPr="00664EDA">
              <w:rPr>
                <w:rFonts w:cs="Arial"/>
                <w:szCs w:val="24"/>
              </w:rPr>
              <w:t>0</w:t>
            </w:r>
            <w:r w:rsidR="007F0173" w:rsidRPr="007F0173">
              <w:rPr>
                <w:rFonts w:cs="Arial"/>
                <w:szCs w:val="24"/>
                <w:vertAlign w:val="superscript"/>
              </w:rPr>
              <w:t>2</w:t>
            </w:r>
            <w:r w:rsidR="00F269AD" w:rsidRPr="005C3073">
              <w:rPr>
                <w:rFonts w:cs="Arial"/>
                <w:szCs w:val="24"/>
              </w:rPr>
              <w:t xml:space="preserve"> </w:t>
            </w:r>
            <w:r w:rsidR="003C1B46" w:rsidRPr="005C3073">
              <w:rPr>
                <w:rFonts w:cs="Arial"/>
                <w:szCs w:val="24"/>
              </w:rPr>
              <w:t>educator reporting activities</w:t>
            </w:r>
          </w:p>
        </w:tc>
        <w:tc>
          <w:tcPr>
            <w:tcW w:w="2314" w:type="dxa"/>
            <w:hideMark/>
          </w:tcPr>
          <w:p w14:paraId="050E0C2F" w14:textId="1C86F65F" w:rsidR="00EB000A" w:rsidRPr="005C3073" w:rsidRDefault="00463495" w:rsidP="00F95870">
            <w:pPr>
              <w:widowControl/>
              <w:snapToGrid w:val="0"/>
              <w:spacing w:before="120" w:after="120"/>
              <w:jc w:val="center"/>
              <w:rPr>
                <w:rFonts w:cs="Arial"/>
                <w:szCs w:val="24"/>
              </w:rPr>
            </w:pPr>
            <w:r w:rsidRPr="005C3073">
              <w:rPr>
                <w:rFonts w:cs="Arial"/>
                <w:szCs w:val="24"/>
              </w:rPr>
              <w:t>Summative, Interim, Digital Library</w:t>
            </w:r>
            <w:r w:rsidR="009C7FF8" w:rsidRPr="005C3073">
              <w:rPr>
                <w:rFonts w:cs="Arial"/>
                <w:szCs w:val="24"/>
              </w:rPr>
              <w:t>, and educator reporting</w:t>
            </w:r>
          </w:p>
        </w:tc>
        <w:tc>
          <w:tcPr>
            <w:tcW w:w="2052" w:type="dxa"/>
            <w:hideMark/>
          </w:tcPr>
          <w:p w14:paraId="050E0C30" w14:textId="00A660A6" w:rsidR="00EB000A" w:rsidRPr="005C3073" w:rsidRDefault="00463495" w:rsidP="00F95870">
            <w:pPr>
              <w:widowControl/>
              <w:snapToGrid w:val="0"/>
              <w:spacing w:before="120" w:after="120"/>
              <w:jc w:val="center"/>
              <w:rPr>
                <w:rFonts w:cs="Arial"/>
                <w:szCs w:val="24"/>
              </w:rPr>
            </w:pPr>
            <w:r w:rsidRPr="005C3073">
              <w:rPr>
                <w:rFonts w:cs="Arial"/>
                <w:szCs w:val="24"/>
              </w:rPr>
              <w:t xml:space="preserve">$6.20 Summative and </w:t>
            </w:r>
            <w:r w:rsidRPr="005C3073">
              <w:rPr>
                <w:rFonts w:cs="Arial"/>
                <w:szCs w:val="24"/>
              </w:rPr>
              <w:br/>
              <w:t>$3.35 Interim and Digital Library</w:t>
            </w:r>
          </w:p>
        </w:tc>
        <w:tc>
          <w:tcPr>
            <w:tcW w:w="1543" w:type="dxa"/>
            <w:hideMark/>
          </w:tcPr>
          <w:p w14:paraId="050E0C31" w14:textId="77777777" w:rsidR="00EB000A" w:rsidRPr="005C3073" w:rsidRDefault="00EB000A" w:rsidP="00F95870">
            <w:pPr>
              <w:widowControl/>
              <w:snapToGrid w:val="0"/>
              <w:spacing w:before="120" w:after="120"/>
              <w:jc w:val="center"/>
              <w:rPr>
                <w:rFonts w:cs="Arial"/>
                <w:szCs w:val="24"/>
              </w:rPr>
            </w:pPr>
            <w:r w:rsidRPr="005C3073">
              <w:rPr>
                <w:rFonts w:cs="Arial"/>
                <w:szCs w:val="24"/>
              </w:rPr>
              <w:t>1 million (cap)</w:t>
            </w:r>
          </w:p>
          <w:p w14:paraId="050E0C32" w14:textId="77777777" w:rsidR="00EB000A" w:rsidRPr="005C3073" w:rsidRDefault="00EB000A" w:rsidP="00F95870">
            <w:pPr>
              <w:widowControl/>
              <w:snapToGrid w:val="0"/>
              <w:spacing w:before="120" w:after="120"/>
              <w:jc w:val="center"/>
              <w:rPr>
                <w:rFonts w:cs="Arial"/>
                <w:szCs w:val="24"/>
              </w:rPr>
            </w:pPr>
          </w:p>
        </w:tc>
      </w:tr>
      <w:tr w:rsidR="00EB000A" w:rsidRPr="005C3073" w14:paraId="050E0C3A" w14:textId="77777777" w:rsidTr="00AF1323">
        <w:trPr>
          <w:cantSplit/>
          <w:trHeight w:val="233"/>
        </w:trPr>
        <w:tc>
          <w:tcPr>
            <w:tcW w:w="1210" w:type="dxa"/>
          </w:tcPr>
          <w:p w14:paraId="050E0C34" w14:textId="659D3718" w:rsidR="00EB000A" w:rsidRPr="005C3073" w:rsidRDefault="000E142F" w:rsidP="00F95870">
            <w:pPr>
              <w:widowControl/>
              <w:snapToGrid w:val="0"/>
              <w:spacing w:before="120" w:after="120"/>
              <w:jc w:val="center"/>
              <w:rPr>
                <w:rFonts w:cs="Arial"/>
                <w:szCs w:val="24"/>
              </w:rPr>
            </w:pPr>
            <w:r>
              <w:rPr>
                <w:rFonts w:cs="Arial"/>
                <w:szCs w:val="24"/>
              </w:rPr>
              <w:t>2019–2020</w:t>
            </w:r>
          </w:p>
        </w:tc>
        <w:tc>
          <w:tcPr>
            <w:tcW w:w="2231" w:type="dxa"/>
          </w:tcPr>
          <w:p w14:paraId="050E0C35" w14:textId="556AA4A0" w:rsidR="00EB000A" w:rsidRPr="005C3073" w:rsidRDefault="00B1025A" w:rsidP="00F95870">
            <w:pPr>
              <w:widowControl/>
              <w:snapToGrid w:val="0"/>
              <w:spacing w:before="120" w:after="120"/>
              <w:jc w:val="center"/>
              <w:rPr>
                <w:rFonts w:cs="Arial"/>
                <w:szCs w:val="24"/>
              </w:rPr>
            </w:pPr>
            <w:r w:rsidRPr="005C3073">
              <w:rPr>
                <w:rFonts w:cs="Arial"/>
                <w:szCs w:val="24"/>
              </w:rPr>
              <w:t>$9,550,00</w:t>
            </w:r>
            <w:r w:rsidR="001C27A6" w:rsidRPr="005C3073">
              <w:rPr>
                <w:rFonts w:cs="Arial"/>
                <w:szCs w:val="24"/>
              </w:rPr>
              <w:t>0</w:t>
            </w:r>
            <w:r w:rsidRPr="005C3073">
              <w:rPr>
                <w:rFonts w:cs="Arial"/>
                <w:szCs w:val="24"/>
              </w:rPr>
              <w:t xml:space="preserve"> </w:t>
            </w:r>
            <w:r w:rsidR="003C1B46" w:rsidRPr="005C3073">
              <w:rPr>
                <w:rFonts w:cs="Arial"/>
                <w:szCs w:val="24"/>
              </w:rPr>
              <w:t xml:space="preserve">membership fee </w:t>
            </w:r>
            <w:r w:rsidRPr="005C3073">
              <w:rPr>
                <w:rFonts w:cs="Arial"/>
                <w:szCs w:val="24"/>
              </w:rPr>
              <w:t>and $</w:t>
            </w:r>
            <w:r w:rsidR="00B82D4F">
              <w:rPr>
                <w:rFonts w:cs="Arial"/>
                <w:szCs w:val="24"/>
              </w:rPr>
              <w:t>369,865</w:t>
            </w:r>
            <w:r w:rsidRPr="005C3073">
              <w:rPr>
                <w:rFonts w:cs="Arial"/>
                <w:szCs w:val="24"/>
              </w:rPr>
              <w:t xml:space="preserve"> </w:t>
            </w:r>
            <w:r w:rsidR="003C1B46" w:rsidRPr="005C3073">
              <w:rPr>
                <w:rFonts w:cs="Arial"/>
                <w:szCs w:val="24"/>
              </w:rPr>
              <w:t>educator reporting activities</w:t>
            </w:r>
          </w:p>
        </w:tc>
        <w:tc>
          <w:tcPr>
            <w:tcW w:w="2314" w:type="dxa"/>
          </w:tcPr>
          <w:p w14:paraId="050E0C36" w14:textId="0BA9A8C7" w:rsidR="00EB000A" w:rsidRPr="005C3073" w:rsidRDefault="00463495" w:rsidP="00F95870">
            <w:pPr>
              <w:widowControl/>
              <w:snapToGrid w:val="0"/>
              <w:spacing w:before="120" w:after="120"/>
              <w:jc w:val="center"/>
              <w:rPr>
                <w:rFonts w:cs="Arial"/>
                <w:szCs w:val="24"/>
              </w:rPr>
            </w:pPr>
            <w:r w:rsidRPr="005C3073">
              <w:rPr>
                <w:rFonts w:cs="Arial"/>
                <w:szCs w:val="24"/>
              </w:rPr>
              <w:t xml:space="preserve">Summative, Interim, </w:t>
            </w:r>
            <w:r w:rsidRPr="00664EDA">
              <w:rPr>
                <w:rFonts w:cs="Arial"/>
                <w:szCs w:val="24"/>
              </w:rPr>
              <w:t>Digital Library</w:t>
            </w:r>
            <w:r w:rsidR="0074188F" w:rsidRPr="00664EDA">
              <w:rPr>
                <w:rFonts w:cs="Arial"/>
                <w:szCs w:val="24"/>
              </w:rPr>
              <w:t>,</w:t>
            </w:r>
            <w:r w:rsidR="007F0173" w:rsidRPr="007F0173">
              <w:rPr>
                <w:rFonts w:cs="Arial"/>
                <w:szCs w:val="24"/>
                <w:vertAlign w:val="superscript"/>
              </w:rPr>
              <w:t>3</w:t>
            </w:r>
            <w:r w:rsidR="0074188F" w:rsidRPr="005C3073">
              <w:rPr>
                <w:rFonts w:cs="Arial"/>
                <w:szCs w:val="24"/>
              </w:rPr>
              <w:t xml:space="preserve"> and educator reporting</w:t>
            </w:r>
          </w:p>
        </w:tc>
        <w:tc>
          <w:tcPr>
            <w:tcW w:w="2052" w:type="dxa"/>
          </w:tcPr>
          <w:p w14:paraId="050E0C37" w14:textId="2D854270" w:rsidR="00EB000A" w:rsidRPr="005C3073" w:rsidRDefault="00463495" w:rsidP="00F95870">
            <w:pPr>
              <w:widowControl/>
              <w:snapToGrid w:val="0"/>
              <w:spacing w:before="120" w:after="120"/>
              <w:jc w:val="center"/>
              <w:rPr>
                <w:rFonts w:cs="Arial"/>
                <w:szCs w:val="24"/>
              </w:rPr>
            </w:pPr>
            <w:r w:rsidRPr="005C3073">
              <w:rPr>
                <w:rFonts w:cs="Arial"/>
                <w:szCs w:val="24"/>
              </w:rPr>
              <w:t xml:space="preserve">$6.20 Summative and </w:t>
            </w:r>
            <w:r w:rsidRPr="005C3073">
              <w:rPr>
                <w:rFonts w:cs="Arial"/>
                <w:szCs w:val="24"/>
              </w:rPr>
              <w:br/>
              <w:t xml:space="preserve">$3.35 Interim and </w:t>
            </w:r>
            <w:r w:rsidR="007838A4">
              <w:rPr>
                <w:rFonts w:cs="Arial"/>
                <w:szCs w:val="24"/>
              </w:rPr>
              <w:t>*</w:t>
            </w:r>
            <w:r w:rsidRPr="005C3073">
              <w:rPr>
                <w:rFonts w:cs="Arial"/>
                <w:szCs w:val="24"/>
              </w:rPr>
              <w:t>Digital Library</w:t>
            </w:r>
          </w:p>
        </w:tc>
        <w:tc>
          <w:tcPr>
            <w:tcW w:w="1543" w:type="dxa"/>
          </w:tcPr>
          <w:p w14:paraId="050E0C38" w14:textId="77777777" w:rsidR="00EB000A" w:rsidRPr="005C3073" w:rsidRDefault="00EB000A" w:rsidP="00F95870">
            <w:pPr>
              <w:widowControl/>
              <w:snapToGrid w:val="0"/>
              <w:spacing w:before="120" w:after="120"/>
              <w:jc w:val="center"/>
              <w:rPr>
                <w:rFonts w:cs="Arial"/>
                <w:szCs w:val="24"/>
              </w:rPr>
            </w:pPr>
            <w:r w:rsidRPr="005C3073">
              <w:rPr>
                <w:rFonts w:cs="Arial"/>
                <w:szCs w:val="24"/>
              </w:rPr>
              <w:t>1 million (cap)</w:t>
            </w:r>
          </w:p>
          <w:p w14:paraId="050E0C39" w14:textId="77777777" w:rsidR="00EB000A" w:rsidRPr="005C3073" w:rsidRDefault="00EB000A" w:rsidP="00F95870">
            <w:pPr>
              <w:widowControl/>
              <w:snapToGrid w:val="0"/>
              <w:spacing w:before="120" w:after="120"/>
              <w:jc w:val="center"/>
              <w:rPr>
                <w:rFonts w:cs="Arial"/>
                <w:szCs w:val="24"/>
              </w:rPr>
            </w:pPr>
          </w:p>
        </w:tc>
      </w:tr>
      <w:tr w:rsidR="005B42C7" w:rsidRPr="005C3073" w14:paraId="050E0C41" w14:textId="77777777" w:rsidTr="00AF1323">
        <w:trPr>
          <w:cantSplit/>
          <w:trHeight w:val="233"/>
        </w:trPr>
        <w:tc>
          <w:tcPr>
            <w:tcW w:w="1210" w:type="dxa"/>
          </w:tcPr>
          <w:p w14:paraId="050E0C3B" w14:textId="28A436A2" w:rsidR="005B42C7" w:rsidRPr="005C3073" w:rsidRDefault="000E142F" w:rsidP="00F95870">
            <w:pPr>
              <w:widowControl/>
              <w:snapToGrid w:val="0"/>
              <w:spacing w:before="120" w:after="120"/>
              <w:jc w:val="center"/>
              <w:rPr>
                <w:rFonts w:cs="Arial"/>
                <w:szCs w:val="24"/>
              </w:rPr>
            </w:pPr>
            <w:r>
              <w:rPr>
                <w:rFonts w:cs="Arial"/>
                <w:szCs w:val="24"/>
              </w:rPr>
              <w:t>2020–21</w:t>
            </w:r>
          </w:p>
        </w:tc>
        <w:tc>
          <w:tcPr>
            <w:tcW w:w="2231" w:type="dxa"/>
          </w:tcPr>
          <w:p w14:paraId="050E0C3C" w14:textId="773A6FFA" w:rsidR="005B42C7" w:rsidRPr="005C3073" w:rsidRDefault="00B1025A" w:rsidP="00F95870">
            <w:pPr>
              <w:widowControl/>
              <w:snapToGrid w:val="0"/>
              <w:spacing w:before="120" w:after="120"/>
              <w:jc w:val="center"/>
              <w:rPr>
                <w:rFonts w:cs="Arial"/>
                <w:szCs w:val="24"/>
              </w:rPr>
            </w:pPr>
            <w:r w:rsidRPr="005C3073">
              <w:rPr>
                <w:rFonts w:cs="Arial"/>
                <w:szCs w:val="24"/>
              </w:rPr>
              <w:t>$9,550,00</w:t>
            </w:r>
            <w:r w:rsidR="001C27A6" w:rsidRPr="005C3073">
              <w:rPr>
                <w:rFonts w:cs="Arial"/>
                <w:szCs w:val="24"/>
              </w:rPr>
              <w:t>0</w:t>
            </w:r>
            <w:r w:rsidRPr="005C3073">
              <w:rPr>
                <w:rFonts w:cs="Arial"/>
                <w:szCs w:val="24"/>
              </w:rPr>
              <w:t xml:space="preserve"> </w:t>
            </w:r>
            <w:r w:rsidR="003C1B46" w:rsidRPr="005C3073">
              <w:rPr>
                <w:rFonts w:cs="Arial"/>
                <w:szCs w:val="24"/>
              </w:rPr>
              <w:t xml:space="preserve">membership fee </w:t>
            </w:r>
            <w:r w:rsidRPr="005C3073">
              <w:rPr>
                <w:rFonts w:cs="Arial"/>
                <w:szCs w:val="24"/>
              </w:rPr>
              <w:t>and $</w:t>
            </w:r>
            <w:r w:rsidR="00B82D4F">
              <w:rPr>
                <w:rFonts w:cs="Arial"/>
                <w:szCs w:val="24"/>
              </w:rPr>
              <w:t>518,780</w:t>
            </w:r>
            <w:r w:rsidRPr="005C3073">
              <w:rPr>
                <w:rFonts w:cs="Arial"/>
                <w:szCs w:val="24"/>
              </w:rPr>
              <w:t xml:space="preserve"> </w:t>
            </w:r>
            <w:r w:rsidR="003C1B46" w:rsidRPr="005C3073">
              <w:rPr>
                <w:rFonts w:cs="Arial"/>
                <w:szCs w:val="24"/>
              </w:rPr>
              <w:t>educator reporting activities</w:t>
            </w:r>
          </w:p>
        </w:tc>
        <w:tc>
          <w:tcPr>
            <w:tcW w:w="2314" w:type="dxa"/>
          </w:tcPr>
          <w:p w14:paraId="050E0C3D" w14:textId="033B904C" w:rsidR="005B42C7" w:rsidRPr="005C3073" w:rsidRDefault="00463495" w:rsidP="00F95870">
            <w:pPr>
              <w:widowControl/>
              <w:snapToGrid w:val="0"/>
              <w:spacing w:before="120" w:after="120"/>
              <w:jc w:val="center"/>
              <w:rPr>
                <w:rFonts w:cs="Arial"/>
                <w:szCs w:val="24"/>
              </w:rPr>
            </w:pPr>
            <w:r w:rsidRPr="005C3073">
              <w:rPr>
                <w:rFonts w:cs="Arial"/>
                <w:szCs w:val="24"/>
              </w:rPr>
              <w:t xml:space="preserve">Summative, Interim, </w:t>
            </w:r>
            <w:r w:rsidR="00B72843">
              <w:rPr>
                <w:rFonts w:cs="Arial"/>
                <w:szCs w:val="24"/>
              </w:rPr>
              <w:t>T</w:t>
            </w:r>
            <w:r w:rsidR="00B72843">
              <w:t>ools for Teachers</w:t>
            </w:r>
            <w:r w:rsidR="0074188F" w:rsidRPr="005C3073">
              <w:rPr>
                <w:rFonts w:cs="Arial"/>
                <w:szCs w:val="24"/>
              </w:rPr>
              <w:t>, and educator reporting</w:t>
            </w:r>
          </w:p>
        </w:tc>
        <w:tc>
          <w:tcPr>
            <w:tcW w:w="2052" w:type="dxa"/>
          </w:tcPr>
          <w:p w14:paraId="050E0C3E" w14:textId="7BC57C47" w:rsidR="005B42C7" w:rsidRPr="005C3073" w:rsidRDefault="00463495" w:rsidP="00F95870">
            <w:pPr>
              <w:widowControl/>
              <w:snapToGrid w:val="0"/>
              <w:spacing w:before="120" w:after="120"/>
              <w:jc w:val="center"/>
              <w:rPr>
                <w:rFonts w:cs="Arial"/>
                <w:szCs w:val="24"/>
              </w:rPr>
            </w:pPr>
            <w:r w:rsidRPr="005C3073">
              <w:rPr>
                <w:rFonts w:cs="Arial"/>
                <w:szCs w:val="24"/>
              </w:rPr>
              <w:t xml:space="preserve">$6.20 Summative and </w:t>
            </w:r>
            <w:r w:rsidRPr="005C3073">
              <w:rPr>
                <w:rFonts w:cs="Arial"/>
                <w:szCs w:val="24"/>
              </w:rPr>
              <w:br/>
              <w:t xml:space="preserve">$3.35 Interim and </w:t>
            </w:r>
            <w:r w:rsidR="00B72843">
              <w:rPr>
                <w:rFonts w:cs="Arial"/>
                <w:szCs w:val="24"/>
              </w:rPr>
              <w:t>T</w:t>
            </w:r>
            <w:r w:rsidR="00B72843">
              <w:t>ools for Teachers</w:t>
            </w:r>
          </w:p>
        </w:tc>
        <w:tc>
          <w:tcPr>
            <w:tcW w:w="1543" w:type="dxa"/>
          </w:tcPr>
          <w:p w14:paraId="050E0C3F" w14:textId="77777777" w:rsidR="005B42C7" w:rsidRPr="005C3073" w:rsidRDefault="005B42C7" w:rsidP="00F95870">
            <w:pPr>
              <w:widowControl/>
              <w:snapToGrid w:val="0"/>
              <w:spacing w:before="120" w:after="120"/>
              <w:jc w:val="center"/>
              <w:rPr>
                <w:rFonts w:cs="Arial"/>
                <w:szCs w:val="24"/>
              </w:rPr>
            </w:pPr>
            <w:r w:rsidRPr="005C3073">
              <w:rPr>
                <w:rFonts w:cs="Arial"/>
                <w:szCs w:val="24"/>
              </w:rPr>
              <w:t>1 million (cap)</w:t>
            </w:r>
          </w:p>
          <w:p w14:paraId="050E0C40" w14:textId="77777777" w:rsidR="005B42C7" w:rsidRPr="005C3073" w:rsidRDefault="005B42C7" w:rsidP="00F95870">
            <w:pPr>
              <w:widowControl/>
              <w:snapToGrid w:val="0"/>
              <w:spacing w:before="120" w:after="120"/>
              <w:jc w:val="center"/>
              <w:rPr>
                <w:rFonts w:cs="Arial"/>
                <w:szCs w:val="24"/>
              </w:rPr>
            </w:pPr>
          </w:p>
        </w:tc>
      </w:tr>
      <w:tr w:rsidR="005B42C7" w:rsidRPr="005C3073" w14:paraId="050E0C48" w14:textId="77777777" w:rsidTr="00AF1323">
        <w:trPr>
          <w:cantSplit/>
          <w:trHeight w:val="233"/>
        </w:trPr>
        <w:tc>
          <w:tcPr>
            <w:tcW w:w="1210" w:type="dxa"/>
          </w:tcPr>
          <w:p w14:paraId="050E0C42" w14:textId="65E343FE" w:rsidR="005B42C7" w:rsidRPr="005C3073" w:rsidRDefault="000E142F" w:rsidP="00F95870">
            <w:pPr>
              <w:widowControl/>
              <w:snapToGrid w:val="0"/>
              <w:spacing w:before="120" w:after="120"/>
              <w:jc w:val="center"/>
              <w:rPr>
                <w:rFonts w:cs="Arial"/>
                <w:szCs w:val="24"/>
              </w:rPr>
            </w:pPr>
            <w:r>
              <w:rPr>
                <w:rFonts w:cs="Arial"/>
                <w:szCs w:val="24"/>
              </w:rPr>
              <w:t>2021–22</w:t>
            </w:r>
          </w:p>
        </w:tc>
        <w:tc>
          <w:tcPr>
            <w:tcW w:w="2231" w:type="dxa"/>
          </w:tcPr>
          <w:p w14:paraId="050E0C43" w14:textId="0D28CB30" w:rsidR="005B42C7" w:rsidRPr="005C3073" w:rsidRDefault="00B1025A" w:rsidP="00F95870">
            <w:pPr>
              <w:widowControl/>
              <w:snapToGrid w:val="0"/>
              <w:spacing w:before="120" w:after="120"/>
              <w:jc w:val="center"/>
              <w:rPr>
                <w:rFonts w:cs="Arial"/>
                <w:szCs w:val="24"/>
              </w:rPr>
            </w:pPr>
            <w:r w:rsidRPr="005C3073">
              <w:rPr>
                <w:rFonts w:cs="Arial"/>
                <w:szCs w:val="24"/>
              </w:rPr>
              <w:t>$9,550,00</w:t>
            </w:r>
            <w:r w:rsidR="001C27A6" w:rsidRPr="005C3073">
              <w:rPr>
                <w:rFonts w:cs="Arial"/>
                <w:szCs w:val="24"/>
              </w:rPr>
              <w:t>0</w:t>
            </w:r>
            <w:r w:rsidRPr="005C3073">
              <w:rPr>
                <w:rFonts w:cs="Arial"/>
                <w:szCs w:val="24"/>
              </w:rPr>
              <w:t xml:space="preserve"> </w:t>
            </w:r>
            <w:r w:rsidR="003C1B46" w:rsidRPr="005C3073">
              <w:rPr>
                <w:rFonts w:cs="Arial"/>
                <w:szCs w:val="24"/>
              </w:rPr>
              <w:t xml:space="preserve">membership fee </w:t>
            </w:r>
            <w:r w:rsidRPr="005C3073">
              <w:rPr>
                <w:rFonts w:cs="Arial"/>
                <w:szCs w:val="24"/>
              </w:rPr>
              <w:t>and $</w:t>
            </w:r>
            <w:r w:rsidR="00B82D4F">
              <w:rPr>
                <w:rFonts w:cs="Arial"/>
                <w:szCs w:val="24"/>
              </w:rPr>
              <w:t>531,346</w:t>
            </w:r>
            <w:r w:rsidRPr="005C3073">
              <w:rPr>
                <w:rFonts w:cs="Arial"/>
                <w:szCs w:val="24"/>
              </w:rPr>
              <w:t xml:space="preserve"> </w:t>
            </w:r>
            <w:r w:rsidR="003C1B46" w:rsidRPr="005C3073">
              <w:rPr>
                <w:rFonts w:cs="Arial"/>
                <w:szCs w:val="24"/>
              </w:rPr>
              <w:t>educator reporting activities</w:t>
            </w:r>
          </w:p>
        </w:tc>
        <w:tc>
          <w:tcPr>
            <w:tcW w:w="2314" w:type="dxa"/>
          </w:tcPr>
          <w:p w14:paraId="050E0C44" w14:textId="70C2ABDE" w:rsidR="005B42C7" w:rsidRPr="005C3073" w:rsidRDefault="00463495" w:rsidP="00F95870">
            <w:pPr>
              <w:widowControl/>
              <w:snapToGrid w:val="0"/>
              <w:spacing w:before="120" w:after="120"/>
              <w:jc w:val="center"/>
              <w:rPr>
                <w:rFonts w:cs="Arial"/>
                <w:szCs w:val="24"/>
              </w:rPr>
            </w:pPr>
            <w:r w:rsidRPr="005C3073">
              <w:rPr>
                <w:rFonts w:cs="Arial"/>
                <w:szCs w:val="24"/>
              </w:rPr>
              <w:t xml:space="preserve">Summative, Interim, </w:t>
            </w:r>
            <w:r w:rsidR="00B72843">
              <w:rPr>
                <w:rFonts w:cs="Arial"/>
                <w:szCs w:val="24"/>
              </w:rPr>
              <w:t>T</w:t>
            </w:r>
            <w:r w:rsidR="00B72843">
              <w:t>ools for Teachers</w:t>
            </w:r>
            <w:r w:rsidR="0074188F" w:rsidRPr="005C3073">
              <w:rPr>
                <w:rFonts w:cs="Arial"/>
                <w:szCs w:val="24"/>
              </w:rPr>
              <w:t>, and educator reporting</w:t>
            </w:r>
          </w:p>
        </w:tc>
        <w:tc>
          <w:tcPr>
            <w:tcW w:w="2052" w:type="dxa"/>
          </w:tcPr>
          <w:p w14:paraId="050E0C45" w14:textId="2FB84D88" w:rsidR="005B42C7" w:rsidRPr="005C3073" w:rsidRDefault="00463495" w:rsidP="00F95870">
            <w:pPr>
              <w:widowControl/>
              <w:snapToGrid w:val="0"/>
              <w:spacing w:before="120" w:after="120"/>
              <w:jc w:val="center"/>
              <w:rPr>
                <w:rFonts w:cs="Arial"/>
                <w:szCs w:val="24"/>
              </w:rPr>
            </w:pPr>
            <w:r w:rsidRPr="005C3073">
              <w:rPr>
                <w:rFonts w:cs="Arial"/>
                <w:szCs w:val="24"/>
              </w:rPr>
              <w:t xml:space="preserve">$6.20 Summative and </w:t>
            </w:r>
            <w:r w:rsidRPr="005C3073">
              <w:rPr>
                <w:rFonts w:cs="Arial"/>
                <w:szCs w:val="24"/>
              </w:rPr>
              <w:br/>
              <w:t xml:space="preserve">$3.35 Interim and </w:t>
            </w:r>
            <w:r w:rsidR="00B72843">
              <w:rPr>
                <w:rFonts w:cs="Arial"/>
                <w:szCs w:val="24"/>
              </w:rPr>
              <w:t>T</w:t>
            </w:r>
            <w:r w:rsidR="00B72843">
              <w:t>ools for Teachers</w:t>
            </w:r>
          </w:p>
        </w:tc>
        <w:tc>
          <w:tcPr>
            <w:tcW w:w="1543" w:type="dxa"/>
          </w:tcPr>
          <w:p w14:paraId="050E0C46" w14:textId="77777777" w:rsidR="005B42C7" w:rsidRPr="005C3073" w:rsidRDefault="005B42C7" w:rsidP="00F95870">
            <w:pPr>
              <w:widowControl/>
              <w:snapToGrid w:val="0"/>
              <w:spacing w:before="120" w:after="120"/>
              <w:jc w:val="center"/>
              <w:rPr>
                <w:rFonts w:cs="Arial"/>
                <w:szCs w:val="24"/>
              </w:rPr>
            </w:pPr>
            <w:r w:rsidRPr="005C3073">
              <w:rPr>
                <w:rFonts w:cs="Arial"/>
                <w:szCs w:val="24"/>
              </w:rPr>
              <w:t>1 million (cap)</w:t>
            </w:r>
          </w:p>
          <w:p w14:paraId="050E0C47" w14:textId="77777777" w:rsidR="005B42C7" w:rsidRPr="005C3073" w:rsidRDefault="005B42C7" w:rsidP="00F95870">
            <w:pPr>
              <w:widowControl/>
              <w:snapToGrid w:val="0"/>
              <w:spacing w:before="120" w:after="120"/>
              <w:jc w:val="center"/>
              <w:rPr>
                <w:rFonts w:cs="Arial"/>
                <w:szCs w:val="24"/>
              </w:rPr>
            </w:pPr>
          </w:p>
        </w:tc>
      </w:tr>
    </w:tbl>
    <w:p w14:paraId="5CA3FAC2" w14:textId="04023F87" w:rsidR="00891E07" w:rsidRPr="00DA4E53" w:rsidRDefault="00891E07" w:rsidP="007F0173">
      <w:pPr>
        <w:pStyle w:val="BodyText"/>
        <w:tabs>
          <w:tab w:val="left" w:pos="360"/>
        </w:tabs>
        <w:spacing w:before="120"/>
        <w:ind w:left="360" w:hanging="360"/>
        <w:rPr>
          <w:rFonts w:ascii="Arial Narrow" w:hAnsi="Arial Narrow"/>
        </w:rPr>
      </w:pPr>
      <w:r>
        <w:rPr>
          <w:rStyle w:val="FootnoteReference"/>
          <w:rFonts w:ascii="Arial Narrow" w:hAnsi="Arial Narrow"/>
          <w:szCs w:val="24"/>
        </w:rPr>
        <w:t>1</w:t>
      </w:r>
      <w:r w:rsidR="00857916">
        <w:rPr>
          <w:rFonts w:ascii="Arial Narrow" w:hAnsi="Arial Narrow"/>
          <w:szCs w:val="24"/>
        </w:rPr>
        <w:tab/>
      </w:r>
      <w:r w:rsidRPr="00DA4E53">
        <w:rPr>
          <w:rFonts w:ascii="Arial Narrow" w:hAnsi="Arial Narrow"/>
        </w:rPr>
        <w:t>California tests approximately 3.2 million students annually with Smarter Balanced summative assessments.</w:t>
      </w:r>
    </w:p>
    <w:p w14:paraId="19D7BB05" w14:textId="16FD0EFA" w:rsidR="00891E07" w:rsidRPr="007F0173" w:rsidRDefault="00891E07" w:rsidP="007F0173">
      <w:pPr>
        <w:pStyle w:val="BodyText"/>
        <w:tabs>
          <w:tab w:val="left" w:pos="360"/>
        </w:tabs>
        <w:spacing w:before="0"/>
        <w:ind w:left="360" w:hanging="360"/>
        <w:rPr>
          <w:rStyle w:val="FootnoteReference"/>
          <w:szCs w:val="24"/>
        </w:rPr>
      </w:pPr>
      <w:r w:rsidRPr="007F0173">
        <w:rPr>
          <w:rStyle w:val="FootnoteReference"/>
          <w:rFonts w:ascii="Arial Narrow" w:hAnsi="Arial Narrow"/>
          <w:szCs w:val="24"/>
        </w:rPr>
        <w:t>2</w:t>
      </w:r>
      <w:r w:rsidR="00857916" w:rsidRPr="007F0173">
        <w:rPr>
          <w:rStyle w:val="FootnoteReference"/>
          <w:rFonts w:ascii="Arial Narrow" w:hAnsi="Arial Narrow"/>
          <w:szCs w:val="24"/>
        </w:rPr>
        <w:tab/>
      </w:r>
      <w:r w:rsidRPr="007F0173">
        <w:rPr>
          <w:rFonts w:ascii="Arial Narrow" w:hAnsi="Arial Narrow"/>
        </w:rPr>
        <w:t>Total reflects a one-time membership credit applied toward the costs to develop the CERS for CAASPP.</w:t>
      </w:r>
    </w:p>
    <w:p w14:paraId="042E80CB" w14:textId="05345475" w:rsidR="00891E07" w:rsidRPr="00DA4E53" w:rsidRDefault="00891E07" w:rsidP="007F0173">
      <w:pPr>
        <w:pStyle w:val="BodyText"/>
        <w:tabs>
          <w:tab w:val="left" w:pos="360"/>
        </w:tabs>
        <w:spacing w:before="0"/>
        <w:ind w:left="360" w:hanging="360"/>
        <w:rPr>
          <w:rFonts w:ascii="Arial Narrow" w:hAnsi="Arial Narrow"/>
          <w:szCs w:val="24"/>
        </w:rPr>
      </w:pPr>
      <w:r>
        <w:rPr>
          <w:rFonts w:ascii="Arial Narrow" w:hAnsi="Arial Narrow"/>
          <w:vertAlign w:val="superscript"/>
        </w:rPr>
        <w:t>3</w:t>
      </w:r>
      <w:r w:rsidR="00857916">
        <w:rPr>
          <w:rFonts w:ascii="Arial Narrow" w:hAnsi="Arial Narrow"/>
          <w:vertAlign w:val="superscript"/>
        </w:rPr>
        <w:tab/>
      </w:r>
      <w:r w:rsidRPr="00DA4E53">
        <w:rPr>
          <w:rFonts w:ascii="Arial Narrow" w:hAnsi="Arial Narrow"/>
        </w:rPr>
        <w:t xml:space="preserve">The Digital Library, </w:t>
      </w:r>
      <w:r>
        <w:rPr>
          <w:rFonts w:ascii="Arial Narrow" w:hAnsi="Arial Narrow"/>
        </w:rPr>
        <w:t xml:space="preserve">which previously was </w:t>
      </w:r>
      <w:r w:rsidRPr="00DA4E53">
        <w:rPr>
          <w:rFonts w:ascii="Arial Narrow" w:hAnsi="Arial Narrow"/>
        </w:rPr>
        <w:t>the formative assessment component of the Smarter Balanced Assessment System, was replaced by Tools for Teachers June 2020.</w:t>
      </w:r>
    </w:p>
    <w:p w14:paraId="050E0C4A" w14:textId="18A92706" w:rsidR="00EB000A" w:rsidRPr="00575F37" w:rsidRDefault="00EB000A" w:rsidP="007F0173">
      <w:pPr>
        <w:keepNext/>
        <w:widowControl/>
        <w:rPr>
          <w:rFonts w:cs="Arial"/>
          <w:b/>
          <w:bCs/>
          <w:sz w:val="28"/>
          <w:szCs w:val="28"/>
        </w:rPr>
      </w:pPr>
      <w:bookmarkStart w:id="55" w:name="_Toc2346322"/>
      <w:bookmarkStart w:id="56" w:name="_Toc43122219"/>
      <w:r w:rsidRPr="00575F37">
        <w:rPr>
          <w:rFonts w:cs="Arial"/>
          <w:b/>
          <w:bCs/>
          <w:sz w:val="28"/>
          <w:szCs w:val="28"/>
        </w:rPr>
        <w:t>State-</w:t>
      </w:r>
      <w:r w:rsidR="00894443" w:rsidRPr="00575F37">
        <w:rPr>
          <w:rFonts w:cs="Arial"/>
          <w:b/>
          <w:bCs/>
          <w:sz w:val="28"/>
          <w:szCs w:val="28"/>
        </w:rPr>
        <w:t>M</w:t>
      </w:r>
      <w:r w:rsidRPr="00575F37">
        <w:rPr>
          <w:rFonts w:cs="Arial"/>
          <w:b/>
          <w:bCs/>
          <w:sz w:val="28"/>
          <w:szCs w:val="28"/>
        </w:rPr>
        <w:t>anaged Services Contract</w:t>
      </w:r>
      <w:bookmarkEnd w:id="55"/>
      <w:bookmarkEnd w:id="56"/>
    </w:p>
    <w:p w14:paraId="050E0C4B" w14:textId="5AB456FD" w:rsidR="00EB000A" w:rsidRPr="005C3073" w:rsidRDefault="00EB000A" w:rsidP="007F0173">
      <w:pPr>
        <w:keepNext/>
        <w:widowControl/>
        <w:overflowPunct w:val="0"/>
        <w:autoSpaceDE w:val="0"/>
        <w:autoSpaceDN w:val="0"/>
        <w:adjustRightInd w:val="0"/>
        <w:textAlignment w:val="baseline"/>
        <w:rPr>
          <w:rFonts w:cs="Arial"/>
          <w:iCs/>
          <w:szCs w:val="24"/>
        </w:rPr>
      </w:pPr>
      <w:r w:rsidRPr="005C3073">
        <w:rPr>
          <w:rFonts w:cs="Arial"/>
          <w:iCs/>
          <w:szCs w:val="24"/>
        </w:rPr>
        <w:t xml:space="preserve">The </w:t>
      </w:r>
      <w:r w:rsidR="002B48B1" w:rsidRPr="005C3073">
        <w:rPr>
          <w:rFonts w:cs="Arial"/>
          <w:iCs/>
          <w:szCs w:val="24"/>
        </w:rPr>
        <w:t>s</w:t>
      </w:r>
      <w:r w:rsidRPr="005C3073">
        <w:rPr>
          <w:rFonts w:cs="Arial"/>
          <w:iCs/>
          <w:szCs w:val="24"/>
        </w:rPr>
        <w:t xml:space="preserve">tate-managed services contract is a multiyear contract </w:t>
      </w:r>
      <w:r w:rsidR="0041452F" w:rsidRPr="005C3073">
        <w:rPr>
          <w:rFonts w:cs="Arial"/>
          <w:iCs/>
          <w:szCs w:val="24"/>
        </w:rPr>
        <w:t>for</w:t>
      </w:r>
      <w:r w:rsidRPr="005C3073">
        <w:rPr>
          <w:rFonts w:cs="Arial"/>
          <w:iCs/>
          <w:szCs w:val="24"/>
        </w:rPr>
        <w:t xml:space="preserve"> the annual administration of all CAASPP assessments, including the </w:t>
      </w:r>
      <w:r w:rsidR="00F854E7" w:rsidRPr="005C3073">
        <w:t xml:space="preserve">Smarter Balanced Consortium </w:t>
      </w:r>
      <w:r w:rsidR="00F854E7" w:rsidRPr="005C3073">
        <w:lastRenderedPageBreak/>
        <w:t>assessments</w:t>
      </w:r>
      <w:r w:rsidRPr="005C3073">
        <w:rPr>
          <w:rFonts w:cs="Arial"/>
          <w:iCs/>
          <w:szCs w:val="24"/>
        </w:rPr>
        <w:t>. This contract was competitively bid through a</w:t>
      </w:r>
      <w:r w:rsidR="00716AA7" w:rsidRPr="005C3073">
        <w:rPr>
          <w:rFonts w:cs="Arial"/>
          <w:iCs/>
          <w:szCs w:val="24"/>
        </w:rPr>
        <w:t xml:space="preserve"> Request for Submission</w:t>
      </w:r>
      <w:r w:rsidRPr="005C3073">
        <w:rPr>
          <w:rFonts w:cs="Arial"/>
          <w:iCs/>
          <w:szCs w:val="24"/>
        </w:rPr>
        <w:t xml:space="preserve"> process with input from CDE and SBE staff. </w:t>
      </w:r>
      <w:r w:rsidR="00CA5D31" w:rsidRPr="005C3073">
        <w:rPr>
          <w:rFonts w:cs="Arial"/>
          <w:iCs/>
          <w:szCs w:val="24"/>
        </w:rPr>
        <w:t>In that process, t</w:t>
      </w:r>
      <w:r w:rsidR="00F6330E" w:rsidRPr="005C3073">
        <w:rPr>
          <w:rFonts w:cs="Arial"/>
          <w:iCs/>
          <w:szCs w:val="24"/>
        </w:rPr>
        <w:t>he SBE designated</w:t>
      </w:r>
      <w:r w:rsidRPr="005C3073">
        <w:rPr>
          <w:rFonts w:cs="Arial"/>
          <w:iCs/>
          <w:szCs w:val="24"/>
        </w:rPr>
        <w:t xml:space="preserve"> the contractor. As allowed in </w:t>
      </w:r>
      <w:r w:rsidR="008C3AFA">
        <w:rPr>
          <w:rFonts w:cs="Arial"/>
          <w:iCs/>
          <w:szCs w:val="24"/>
        </w:rPr>
        <w:t>s</w:t>
      </w:r>
      <w:r w:rsidRPr="005C3073">
        <w:rPr>
          <w:rFonts w:cs="Arial"/>
          <w:iCs/>
          <w:szCs w:val="24"/>
        </w:rPr>
        <w:t>tate law, the final Scope of Work</w:t>
      </w:r>
      <w:r w:rsidR="00F6330E" w:rsidRPr="005C3073">
        <w:rPr>
          <w:rFonts w:cs="Arial"/>
          <w:iCs/>
          <w:szCs w:val="24"/>
        </w:rPr>
        <w:t xml:space="preserve"> and budget we</w:t>
      </w:r>
      <w:r w:rsidRPr="005C3073">
        <w:rPr>
          <w:rFonts w:cs="Arial"/>
          <w:iCs/>
          <w:szCs w:val="24"/>
        </w:rPr>
        <w:t>re then negotiated and approved by</w:t>
      </w:r>
      <w:r w:rsidR="002E4657" w:rsidRPr="005C3073">
        <w:rPr>
          <w:rFonts w:cs="Arial"/>
          <w:iCs/>
          <w:szCs w:val="24"/>
        </w:rPr>
        <w:t xml:space="preserve"> the CDE, the SBE, and the DOF.</w:t>
      </w:r>
    </w:p>
    <w:p w14:paraId="050E0C4C" w14:textId="452A0C87" w:rsidR="00EB000A" w:rsidRPr="005C3073" w:rsidRDefault="00EB000A" w:rsidP="00F95870">
      <w:pPr>
        <w:widowControl/>
        <w:autoSpaceDE w:val="0"/>
        <w:autoSpaceDN w:val="0"/>
        <w:adjustRightInd w:val="0"/>
        <w:rPr>
          <w:rFonts w:cs="Arial"/>
        </w:rPr>
      </w:pPr>
      <w:r w:rsidRPr="328504AF">
        <w:rPr>
          <w:rFonts w:cs="Arial"/>
        </w:rPr>
        <w:t xml:space="preserve">The current </w:t>
      </w:r>
      <w:r w:rsidR="002B48B1" w:rsidRPr="328504AF">
        <w:rPr>
          <w:rFonts w:cs="Arial"/>
        </w:rPr>
        <w:t>s</w:t>
      </w:r>
      <w:r w:rsidRPr="328504AF">
        <w:rPr>
          <w:rFonts w:cs="Arial"/>
        </w:rPr>
        <w:t xml:space="preserve">tate-managed services contractor is ETS. The contract was awarded in May 2015 for the 2015–16 through 2017–18 test administrations. </w:t>
      </w:r>
      <w:r w:rsidR="00E57662" w:rsidRPr="328504AF">
        <w:rPr>
          <w:rFonts w:cs="Arial"/>
        </w:rPr>
        <w:t xml:space="preserve">In January 2018, the SBE approved the renewal of the contract with ETS for a period of two years to cover the </w:t>
      </w:r>
      <w:r w:rsidR="000E142F" w:rsidRPr="328504AF">
        <w:rPr>
          <w:rFonts w:cs="Arial"/>
        </w:rPr>
        <w:t>2018–19</w:t>
      </w:r>
      <w:r w:rsidR="00E57662" w:rsidRPr="328504AF">
        <w:rPr>
          <w:rFonts w:cs="Arial"/>
        </w:rPr>
        <w:t xml:space="preserve"> and </w:t>
      </w:r>
      <w:r w:rsidR="000E142F" w:rsidRPr="328504AF">
        <w:rPr>
          <w:rFonts w:cs="Arial"/>
        </w:rPr>
        <w:t>2019–2020</w:t>
      </w:r>
      <w:r w:rsidR="00E57662" w:rsidRPr="328504AF">
        <w:rPr>
          <w:rFonts w:cs="Arial"/>
        </w:rPr>
        <w:t xml:space="preserve"> CAASPP test administrations.</w:t>
      </w:r>
      <w:r w:rsidR="00995FEF" w:rsidRPr="328504AF">
        <w:rPr>
          <w:rFonts w:cs="Arial"/>
        </w:rPr>
        <w:t xml:space="preserve"> In November 2018, the SBE approved an amendment to the renewed contract with ETS for an additional two</w:t>
      </w:r>
      <w:r w:rsidR="00CA5D31" w:rsidRPr="328504AF">
        <w:rPr>
          <w:rFonts w:cs="Arial"/>
        </w:rPr>
        <w:t>-</w:t>
      </w:r>
      <w:r w:rsidR="00995FEF" w:rsidRPr="328504AF">
        <w:rPr>
          <w:rFonts w:cs="Arial"/>
        </w:rPr>
        <w:t xml:space="preserve">year period to cover the </w:t>
      </w:r>
      <w:r w:rsidR="000E142F" w:rsidRPr="328504AF">
        <w:rPr>
          <w:rFonts w:cs="Arial"/>
        </w:rPr>
        <w:t>2020–21</w:t>
      </w:r>
      <w:r w:rsidR="00995FEF" w:rsidRPr="328504AF">
        <w:rPr>
          <w:rFonts w:cs="Arial"/>
        </w:rPr>
        <w:t xml:space="preserve"> and </w:t>
      </w:r>
      <w:r w:rsidR="000E142F" w:rsidRPr="328504AF">
        <w:rPr>
          <w:rFonts w:cs="Arial"/>
        </w:rPr>
        <w:t>2021–22</w:t>
      </w:r>
      <w:r w:rsidR="00995FEF" w:rsidRPr="328504AF">
        <w:rPr>
          <w:rFonts w:cs="Arial"/>
        </w:rPr>
        <w:t xml:space="preserve"> test administrations.</w:t>
      </w:r>
    </w:p>
    <w:p w14:paraId="050E0C4D" w14:textId="29E83859" w:rsidR="00EB000A" w:rsidRPr="005C3073" w:rsidRDefault="00EB000A" w:rsidP="00F95870">
      <w:pPr>
        <w:widowControl/>
        <w:autoSpaceDE w:val="0"/>
        <w:autoSpaceDN w:val="0"/>
        <w:adjustRightInd w:val="0"/>
        <w:rPr>
          <w:rFonts w:cs="Arial"/>
          <w:b/>
          <w:iCs/>
          <w:szCs w:val="24"/>
        </w:rPr>
      </w:pPr>
      <w:r w:rsidRPr="005C3073">
        <w:rPr>
          <w:snapToGrid/>
          <w:szCs w:val="24"/>
        </w:rPr>
        <w:t xml:space="preserve">The </w:t>
      </w:r>
      <w:r w:rsidR="000E142F">
        <w:rPr>
          <w:snapToGrid/>
          <w:szCs w:val="24"/>
        </w:rPr>
        <w:t>2018–19</w:t>
      </w:r>
      <w:r w:rsidRPr="005C3073">
        <w:rPr>
          <w:snapToGrid/>
          <w:szCs w:val="24"/>
        </w:rPr>
        <w:t xml:space="preserve"> Budget Act provided</w:t>
      </w:r>
      <w:r w:rsidR="007824F8">
        <w:rPr>
          <w:snapToGrid/>
          <w:szCs w:val="24"/>
        </w:rPr>
        <w:t xml:space="preserve"> approximately</w:t>
      </w:r>
      <w:r w:rsidRPr="005C3073">
        <w:rPr>
          <w:snapToGrid/>
          <w:szCs w:val="24"/>
        </w:rPr>
        <w:t xml:space="preserve"> $</w:t>
      </w:r>
      <w:r w:rsidR="00274A7D" w:rsidRPr="005C3073">
        <w:rPr>
          <w:snapToGrid/>
          <w:szCs w:val="24"/>
        </w:rPr>
        <w:t>82</w:t>
      </w:r>
      <w:r w:rsidR="00E5426E" w:rsidRPr="005C3073">
        <w:rPr>
          <w:snapToGrid/>
          <w:szCs w:val="24"/>
        </w:rPr>
        <w:t>.</w:t>
      </w:r>
      <w:r w:rsidR="007824F8">
        <w:rPr>
          <w:snapToGrid/>
          <w:szCs w:val="24"/>
        </w:rPr>
        <w:t>8</w:t>
      </w:r>
      <w:r w:rsidR="007824F8" w:rsidRPr="005C3073">
        <w:rPr>
          <w:snapToGrid/>
          <w:szCs w:val="24"/>
        </w:rPr>
        <w:t xml:space="preserve"> </w:t>
      </w:r>
      <w:r w:rsidR="00E5426E" w:rsidRPr="005C3073">
        <w:rPr>
          <w:snapToGrid/>
          <w:szCs w:val="24"/>
        </w:rPr>
        <w:t>million</w:t>
      </w:r>
      <w:r w:rsidRPr="005C3073">
        <w:rPr>
          <w:snapToGrid/>
          <w:szCs w:val="24"/>
        </w:rPr>
        <w:t xml:space="preserve"> for the ongoing administration of all components of the CAASPP System</w:t>
      </w:r>
      <w:r w:rsidR="00DE5E40" w:rsidRPr="005C3073">
        <w:rPr>
          <w:snapToGrid/>
          <w:szCs w:val="24"/>
        </w:rPr>
        <w:t>.</w:t>
      </w:r>
      <w:r w:rsidRPr="005C3073">
        <w:rPr>
          <w:snapToGrid/>
          <w:szCs w:val="24"/>
        </w:rPr>
        <w:t xml:space="preserve"> </w:t>
      </w:r>
      <w:r w:rsidR="00DE5E40" w:rsidRPr="005C3073">
        <w:rPr>
          <w:snapToGrid/>
          <w:szCs w:val="24"/>
        </w:rPr>
        <w:t>S</w:t>
      </w:r>
      <w:r w:rsidRPr="005C3073">
        <w:rPr>
          <w:snapToGrid/>
          <w:szCs w:val="24"/>
        </w:rPr>
        <w:t>o</w:t>
      </w:r>
      <w:r w:rsidR="003B2EC1" w:rsidRPr="005C3073">
        <w:rPr>
          <w:snapToGrid/>
          <w:szCs w:val="24"/>
        </w:rPr>
        <w:t>me key enhancements</w:t>
      </w:r>
      <w:r w:rsidR="00A850F8" w:rsidRPr="005C3073">
        <w:rPr>
          <w:snapToGrid/>
          <w:szCs w:val="24"/>
        </w:rPr>
        <w:t xml:space="preserve"> </w:t>
      </w:r>
      <w:r w:rsidR="00DE5E40" w:rsidRPr="005C3073">
        <w:rPr>
          <w:snapToGrid/>
          <w:szCs w:val="24"/>
        </w:rPr>
        <w:t>a</w:t>
      </w:r>
      <w:r w:rsidR="00CA5D31" w:rsidRPr="005C3073">
        <w:rPr>
          <w:snapToGrid/>
          <w:szCs w:val="24"/>
        </w:rPr>
        <w:t>re</w:t>
      </w:r>
      <w:r w:rsidR="003B2EC1" w:rsidRPr="005C3073">
        <w:rPr>
          <w:snapToGrid/>
          <w:szCs w:val="24"/>
        </w:rPr>
        <w:t xml:space="preserve"> as follows:</w:t>
      </w:r>
    </w:p>
    <w:p w14:paraId="050E0C4E" w14:textId="4CC67118" w:rsidR="003B086D" w:rsidRPr="005C3073" w:rsidRDefault="6E050CC7" w:rsidP="54FDBCFC">
      <w:pPr>
        <w:widowControl/>
        <w:numPr>
          <w:ilvl w:val="0"/>
          <w:numId w:val="17"/>
        </w:numPr>
        <w:rPr>
          <w:rFonts w:cs="Arial"/>
          <w:snapToGrid/>
        </w:rPr>
      </w:pPr>
      <w:r w:rsidRPr="54FDBCFC">
        <w:rPr>
          <w:rFonts w:cs="Arial"/>
          <w:snapToGrid/>
        </w:rPr>
        <w:t>Expan</w:t>
      </w:r>
      <w:r w:rsidR="3B022BF3" w:rsidRPr="54FDBCFC">
        <w:rPr>
          <w:rFonts w:cs="Arial"/>
          <w:snapToGrid/>
        </w:rPr>
        <w:t>ded</w:t>
      </w:r>
      <w:r w:rsidRPr="54FDBCFC">
        <w:rPr>
          <w:rFonts w:cs="Arial"/>
          <w:snapToGrid/>
        </w:rPr>
        <w:t xml:space="preserve"> the</w:t>
      </w:r>
      <w:r w:rsidR="3B022BF3" w:rsidRPr="54FDBCFC">
        <w:rPr>
          <w:rFonts w:cs="Arial"/>
          <w:snapToGrid/>
        </w:rPr>
        <w:t xml:space="preserve"> capacity of the</w:t>
      </w:r>
      <w:r w:rsidRPr="54FDBCFC">
        <w:rPr>
          <w:rFonts w:cs="Arial"/>
          <w:snapToGrid/>
        </w:rPr>
        <w:t xml:space="preserve"> CAASPP Assessment Delivery System </w:t>
      </w:r>
      <w:r w:rsidR="3B022BF3" w:rsidRPr="54FDBCFC">
        <w:rPr>
          <w:rFonts w:cs="Arial"/>
          <w:snapToGrid/>
        </w:rPr>
        <w:t>from the previous dedicated support for 500,000 concurrent users</w:t>
      </w:r>
      <w:r w:rsidR="3B022BF3" w:rsidRPr="54FDBCFC" w:rsidDel="00A850F8">
        <w:rPr>
          <w:rFonts w:cs="Arial"/>
          <w:snapToGrid/>
        </w:rPr>
        <w:t xml:space="preserve"> </w:t>
      </w:r>
      <w:r w:rsidRPr="54FDBCFC">
        <w:rPr>
          <w:rFonts w:cs="Arial"/>
          <w:snapToGrid/>
        </w:rPr>
        <w:t>to</w:t>
      </w:r>
      <w:r w:rsidR="3B022BF3" w:rsidRPr="54FDBCFC">
        <w:rPr>
          <w:rFonts w:cs="Arial"/>
          <w:snapToGrid/>
        </w:rPr>
        <w:t xml:space="preserve"> </w:t>
      </w:r>
      <w:r w:rsidR="58050D55" w:rsidRPr="54FDBCFC">
        <w:rPr>
          <w:rFonts w:cs="Arial"/>
          <w:snapToGrid/>
        </w:rPr>
        <w:t xml:space="preserve">the dedicated </w:t>
      </w:r>
      <w:r w:rsidR="3B022BF3" w:rsidRPr="54FDBCFC">
        <w:rPr>
          <w:rFonts w:cs="Arial"/>
          <w:snapToGrid/>
        </w:rPr>
        <w:t>support for</w:t>
      </w:r>
      <w:r w:rsidRPr="54FDBCFC">
        <w:rPr>
          <w:rFonts w:cs="Arial"/>
          <w:snapToGrid/>
        </w:rPr>
        <w:t xml:space="preserve"> 2</w:t>
      </w:r>
      <w:r w:rsidR="7DD6A9DC" w:rsidRPr="54FDBCFC">
        <w:rPr>
          <w:rFonts w:cs="Arial"/>
          <w:snapToGrid/>
        </w:rPr>
        <w:t>,000,000</w:t>
      </w:r>
      <w:r w:rsidRPr="54FDBCFC">
        <w:rPr>
          <w:rFonts w:cs="Arial"/>
          <w:snapToGrid/>
        </w:rPr>
        <w:t xml:space="preserve"> concurrent users</w:t>
      </w:r>
      <w:r w:rsidR="00575F37">
        <w:rPr>
          <w:rFonts w:cs="Arial"/>
          <w:snapToGrid/>
        </w:rPr>
        <w:t>.</w:t>
      </w:r>
    </w:p>
    <w:p w14:paraId="050E0C4F" w14:textId="73ED797C" w:rsidR="003B086D" w:rsidRPr="005C3073" w:rsidRDefault="6E050CC7" w:rsidP="54FDBCFC">
      <w:pPr>
        <w:widowControl/>
        <w:numPr>
          <w:ilvl w:val="0"/>
          <w:numId w:val="17"/>
        </w:numPr>
        <w:rPr>
          <w:rFonts w:cs="Arial"/>
          <w:snapToGrid/>
        </w:rPr>
      </w:pPr>
      <w:r w:rsidRPr="54FDBCFC">
        <w:rPr>
          <w:rFonts w:cs="Arial"/>
          <w:snapToGrid/>
        </w:rPr>
        <w:t xml:space="preserve">Piloted access </w:t>
      </w:r>
      <w:r w:rsidR="3B022BF3" w:rsidRPr="54FDBCFC">
        <w:rPr>
          <w:rFonts w:cs="Arial"/>
          <w:snapToGrid/>
        </w:rPr>
        <w:t xml:space="preserve">to </w:t>
      </w:r>
      <w:r w:rsidR="311C12EF">
        <w:rPr>
          <w:rFonts w:cs="Arial"/>
          <w:snapToGrid/>
        </w:rPr>
        <w:t>Student Score Report</w:t>
      </w:r>
      <w:r w:rsidR="311C12EF" w:rsidRPr="54FDBCFC">
        <w:rPr>
          <w:rFonts w:cs="Arial"/>
          <w:snapToGrid/>
        </w:rPr>
        <w:t xml:space="preserve">s </w:t>
      </w:r>
      <w:r w:rsidR="3B022BF3" w:rsidRPr="54FDBCFC">
        <w:rPr>
          <w:rFonts w:cs="Arial"/>
          <w:snapToGrid/>
        </w:rPr>
        <w:t>for LEA</w:t>
      </w:r>
      <w:r w:rsidR="63A4EC88" w:rsidRPr="54FDBCFC">
        <w:rPr>
          <w:rFonts w:cs="Arial"/>
          <w:snapToGrid/>
        </w:rPr>
        <w:t>s</w:t>
      </w:r>
      <w:r w:rsidR="3B022BF3" w:rsidRPr="54FDBCFC">
        <w:rPr>
          <w:rFonts w:cs="Arial"/>
          <w:snapToGrid/>
        </w:rPr>
        <w:t xml:space="preserve"> </w:t>
      </w:r>
      <w:r w:rsidRPr="54FDBCFC">
        <w:rPr>
          <w:rFonts w:cs="Arial"/>
          <w:snapToGrid/>
        </w:rPr>
        <w:t xml:space="preserve">and their authorized </w:t>
      </w:r>
      <w:r w:rsidR="01562980">
        <w:rPr>
          <w:rFonts w:cs="Arial"/>
          <w:snapToGrid/>
        </w:rPr>
        <w:t>student information</w:t>
      </w:r>
      <w:r w:rsidR="01562980" w:rsidRPr="54FDBCFC">
        <w:rPr>
          <w:rFonts w:cs="Arial"/>
          <w:snapToGrid/>
        </w:rPr>
        <w:t xml:space="preserve"> </w:t>
      </w:r>
      <w:r w:rsidRPr="54FDBCFC">
        <w:rPr>
          <w:rFonts w:cs="Arial"/>
          <w:snapToGrid/>
        </w:rPr>
        <w:t xml:space="preserve">vendors in electronic formats suitable for loading directly into their local </w:t>
      </w:r>
      <w:r w:rsidR="01562980">
        <w:rPr>
          <w:rFonts w:cs="Arial"/>
          <w:snapToGrid/>
        </w:rPr>
        <w:t>student information system</w:t>
      </w:r>
      <w:r w:rsidR="00575F37">
        <w:rPr>
          <w:rFonts w:cs="Arial"/>
          <w:snapToGrid/>
        </w:rPr>
        <w:t>.</w:t>
      </w:r>
    </w:p>
    <w:p w14:paraId="050E0C50" w14:textId="785A8D18" w:rsidR="003B086D" w:rsidRPr="005C3073" w:rsidRDefault="6E050CC7" w:rsidP="54FDBCFC">
      <w:pPr>
        <w:widowControl/>
        <w:numPr>
          <w:ilvl w:val="0"/>
          <w:numId w:val="17"/>
        </w:numPr>
        <w:rPr>
          <w:rFonts w:cs="Arial"/>
          <w:snapToGrid/>
        </w:rPr>
      </w:pPr>
      <w:r w:rsidRPr="54FDBCFC">
        <w:rPr>
          <w:rFonts w:cs="Arial"/>
          <w:snapToGrid/>
        </w:rPr>
        <w:t>Explored additional studies and analyses to inform CAASPP assessments</w:t>
      </w:r>
      <w:r w:rsidR="00575F37">
        <w:rPr>
          <w:rFonts w:cs="Arial"/>
          <w:snapToGrid/>
        </w:rPr>
        <w:t>.</w:t>
      </w:r>
      <w:r w:rsidRPr="54FDBCFC">
        <w:rPr>
          <w:rFonts w:cs="Arial"/>
          <w:snapToGrid/>
        </w:rPr>
        <w:t xml:space="preserve"> </w:t>
      </w:r>
    </w:p>
    <w:p w14:paraId="050E0C51" w14:textId="7132F0E9" w:rsidR="003B086D" w:rsidRPr="005C3073" w:rsidRDefault="6E050CC7" w:rsidP="54FDBCFC">
      <w:pPr>
        <w:widowControl/>
        <w:numPr>
          <w:ilvl w:val="0"/>
          <w:numId w:val="17"/>
        </w:numPr>
        <w:rPr>
          <w:rFonts w:cs="Arial"/>
          <w:snapToGrid/>
        </w:rPr>
      </w:pPr>
      <w:r w:rsidRPr="54FDBCFC">
        <w:rPr>
          <w:rFonts w:cs="Arial"/>
          <w:snapToGrid/>
        </w:rPr>
        <w:t>Performed the calculations to inform growth models</w:t>
      </w:r>
      <w:r w:rsidR="00575F37">
        <w:rPr>
          <w:rFonts w:cs="Arial"/>
          <w:snapToGrid/>
        </w:rPr>
        <w:t>.</w:t>
      </w:r>
    </w:p>
    <w:p w14:paraId="050E0C52" w14:textId="25519F11" w:rsidR="008F06F9" w:rsidRPr="005C3073" w:rsidRDefault="6C97B2C6" w:rsidP="54FDBCFC">
      <w:pPr>
        <w:widowControl/>
        <w:numPr>
          <w:ilvl w:val="0"/>
          <w:numId w:val="17"/>
        </w:numPr>
        <w:rPr>
          <w:rFonts w:cs="Arial"/>
          <w:snapToGrid/>
        </w:rPr>
      </w:pPr>
      <w:r w:rsidRPr="54FDBCFC">
        <w:rPr>
          <w:rFonts w:cs="Arial"/>
          <w:snapToGrid/>
        </w:rPr>
        <w:t>Develop</w:t>
      </w:r>
      <w:r w:rsidR="6E050CC7" w:rsidRPr="54FDBCFC">
        <w:rPr>
          <w:rFonts w:cs="Arial"/>
          <w:snapToGrid/>
        </w:rPr>
        <w:t>ed</w:t>
      </w:r>
      <w:r w:rsidR="34290D6E" w:rsidRPr="54FDBCFC">
        <w:rPr>
          <w:rFonts w:cs="Arial"/>
          <w:snapToGrid/>
        </w:rPr>
        <w:t xml:space="preserve"> </w:t>
      </w:r>
      <w:r w:rsidR="4E043ABE" w:rsidRPr="54FDBCFC">
        <w:rPr>
          <w:rFonts w:cs="Arial"/>
          <w:snapToGrid/>
        </w:rPr>
        <w:t xml:space="preserve">practice </w:t>
      </w:r>
      <w:r w:rsidR="3B022BF3" w:rsidRPr="54FDBCFC">
        <w:rPr>
          <w:rFonts w:cs="Arial"/>
          <w:snapToGrid/>
        </w:rPr>
        <w:t xml:space="preserve">tests </w:t>
      </w:r>
      <w:r w:rsidR="4E043ABE" w:rsidRPr="54FDBCFC">
        <w:rPr>
          <w:rFonts w:cs="Arial"/>
          <w:snapToGrid/>
        </w:rPr>
        <w:t>and update</w:t>
      </w:r>
      <w:r w:rsidR="6E050CC7" w:rsidRPr="54FDBCFC">
        <w:rPr>
          <w:rFonts w:cs="Arial"/>
          <w:snapToGrid/>
        </w:rPr>
        <w:t>d</w:t>
      </w:r>
      <w:r w:rsidR="4E043ABE" w:rsidRPr="54FDBCFC">
        <w:rPr>
          <w:rFonts w:cs="Arial"/>
          <w:snapToGrid/>
        </w:rPr>
        <w:t xml:space="preserve"> training tests for the CAST</w:t>
      </w:r>
      <w:r w:rsidR="00575F37">
        <w:rPr>
          <w:rFonts w:cs="Arial"/>
          <w:snapToGrid/>
        </w:rPr>
        <w:t>.</w:t>
      </w:r>
    </w:p>
    <w:p w14:paraId="050E0C53" w14:textId="47500845" w:rsidR="00EB000A" w:rsidRPr="005C3073" w:rsidRDefault="4E043ABE" w:rsidP="54FDBCFC">
      <w:pPr>
        <w:widowControl/>
        <w:numPr>
          <w:ilvl w:val="0"/>
          <w:numId w:val="17"/>
        </w:numPr>
        <w:rPr>
          <w:rFonts w:cs="Arial"/>
          <w:snapToGrid/>
        </w:rPr>
      </w:pPr>
      <w:r w:rsidRPr="54FDBCFC">
        <w:rPr>
          <w:rFonts w:cs="Arial"/>
          <w:snapToGrid/>
        </w:rPr>
        <w:t>Develop</w:t>
      </w:r>
      <w:r w:rsidR="6E050CC7" w:rsidRPr="54FDBCFC">
        <w:rPr>
          <w:rFonts w:cs="Arial"/>
          <w:snapToGrid/>
        </w:rPr>
        <w:t>ed</w:t>
      </w:r>
      <w:r w:rsidRPr="54FDBCFC">
        <w:rPr>
          <w:rFonts w:cs="Arial"/>
          <w:snapToGrid/>
        </w:rPr>
        <w:t xml:space="preserve"> training performance tasks for the CAA for Science</w:t>
      </w:r>
      <w:r w:rsidR="00575F37">
        <w:rPr>
          <w:rFonts w:cs="Arial"/>
          <w:snapToGrid/>
        </w:rPr>
        <w:t>.</w:t>
      </w:r>
    </w:p>
    <w:p w14:paraId="050E0C54" w14:textId="77777777" w:rsidR="00211FD6" w:rsidRPr="00FE3F45" w:rsidRDefault="00EB000A" w:rsidP="00F95870">
      <w:pPr>
        <w:widowControl/>
        <w:spacing w:after="120"/>
        <w:rPr>
          <w:rFonts w:cs="Arial"/>
          <w:iCs/>
          <w:szCs w:val="24"/>
        </w:rPr>
      </w:pPr>
      <w:r w:rsidRPr="005C3073">
        <w:rPr>
          <w:rFonts w:cs="Arial"/>
          <w:iCs/>
          <w:szCs w:val="24"/>
        </w:rPr>
        <w:t xml:space="preserve">Table </w:t>
      </w:r>
      <w:r w:rsidR="00A43D44">
        <w:rPr>
          <w:rFonts w:cs="Arial"/>
          <w:iCs/>
          <w:szCs w:val="24"/>
        </w:rPr>
        <w:t>4</w:t>
      </w:r>
      <w:r w:rsidRPr="005C3073">
        <w:rPr>
          <w:rFonts w:cs="Arial"/>
          <w:iCs/>
          <w:szCs w:val="24"/>
        </w:rPr>
        <w:t xml:space="preserve">, </w:t>
      </w:r>
      <w:r w:rsidR="00A850F8" w:rsidRPr="005C3073">
        <w:rPr>
          <w:rFonts w:cs="Arial"/>
          <w:iCs/>
          <w:szCs w:val="24"/>
        </w:rPr>
        <w:t>on the following page</w:t>
      </w:r>
      <w:r w:rsidRPr="005C3073">
        <w:rPr>
          <w:rFonts w:cs="Arial"/>
          <w:iCs/>
          <w:szCs w:val="24"/>
        </w:rPr>
        <w:t>, provides a breakdown of the current contract costs per fiscal</w:t>
      </w:r>
      <w:r w:rsidRPr="005C3073">
        <w:rPr>
          <w:rFonts w:cs="Arial"/>
          <w:b/>
          <w:iCs/>
          <w:szCs w:val="24"/>
        </w:rPr>
        <w:t xml:space="preserve"> </w:t>
      </w:r>
      <w:r w:rsidR="00FE3F45">
        <w:rPr>
          <w:rFonts w:cs="Arial"/>
          <w:iCs/>
          <w:szCs w:val="24"/>
        </w:rPr>
        <w:t>year.</w:t>
      </w:r>
    </w:p>
    <w:p w14:paraId="050E0C55" w14:textId="77777777" w:rsidR="000C66D9" w:rsidRPr="005C3073" w:rsidRDefault="000C66D9" w:rsidP="00F95870">
      <w:pPr>
        <w:widowControl/>
        <w:spacing w:before="0" w:after="160" w:line="259" w:lineRule="auto"/>
        <w:rPr>
          <w:rFonts w:cs="Arial"/>
          <w:b/>
          <w:iCs/>
          <w:szCs w:val="24"/>
        </w:rPr>
      </w:pPr>
      <w:r w:rsidRPr="005C3073">
        <w:rPr>
          <w:rFonts w:cs="Arial"/>
          <w:b/>
          <w:iCs/>
          <w:szCs w:val="24"/>
        </w:rPr>
        <w:br w:type="page"/>
      </w:r>
    </w:p>
    <w:p w14:paraId="050E0C56" w14:textId="007259AD" w:rsidR="00EB000A" w:rsidRPr="005C3073" w:rsidRDefault="00EB000A" w:rsidP="00490E08">
      <w:pPr>
        <w:widowControl/>
        <w:spacing w:after="120"/>
        <w:ind w:left="-90"/>
        <w:rPr>
          <w:rFonts w:cs="Arial"/>
          <w:b/>
          <w:iCs/>
          <w:szCs w:val="24"/>
        </w:rPr>
      </w:pPr>
      <w:r w:rsidRPr="00490E08">
        <w:rPr>
          <w:rFonts w:cs="Arial"/>
          <w:iCs/>
          <w:szCs w:val="24"/>
        </w:rPr>
        <w:lastRenderedPageBreak/>
        <w:t xml:space="preserve">Table </w:t>
      </w:r>
      <w:r w:rsidR="00A43D44" w:rsidRPr="00490E08">
        <w:rPr>
          <w:rFonts w:cs="Arial"/>
          <w:iCs/>
          <w:szCs w:val="24"/>
        </w:rPr>
        <w:t>4</w:t>
      </w:r>
      <w:r w:rsidRPr="00490E08">
        <w:rPr>
          <w:rFonts w:cs="Arial"/>
          <w:iCs/>
          <w:szCs w:val="24"/>
        </w:rPr>
        <w:t>.</w:t>
      </w:r>
      <w:r w:rsidRPr="005C3073">
        <w:rPr>
          <w:rFonts w:cs="Arial"/>
          <w:b/>
          <w:iCs/>
          <w:szCs w:val="24"/>
        </w:rPr>
        <w:t xml:space="preserve"> </w:t>
      </w:r>
      <w:r w:rsidRPr="005C3073">
        <w:rPr>
          <w:rFonts w:cs="Arial"/>
          <w:iCs/>
          <w:szCs w:val="24"/>
        </w:rPr>
        <w:t>State-</w:t>
      </w:r>
      <w:r w:rsidR="005B35DC">
        <w:rPr>
          <w:rFonts w:cs="Arial"/>
          <w:iCs/>
          <w:szCs w:val="24"/>
        </w:rPr>
        <w:t>M</w:t>
      </w:r>
      <w:r w:rsidRPr="005C3073">
        <w:rPr>
          <w:rFonts w:cs="Arial"/>
          <w:iCs/>
          <w:szCs w:val="24"/>
        </w:rPr>
        <w:t>anaged Services Contract Costs</w:t>
      </w:r>
    </w:p>
    <w:tbl>
      <w:tblPr>
        <w:tblStyle w:val="TableGrid"/>
        <w:tblW w:w="9445" w:type="dxa"/>
        <w:jc w:val="center"/>
        <w:tblLook w:val="04A0" w:firstRow="1" w:lastRow="0" w:firstColumn="1" w:lastColumn="0" w:noHBand="0" w:noVBand="1"/>
        <w:tblDescription w:val="Costs Per Test by Fiscal Year"/>
      </w:tblPr>
      <w:tblGrid>
        <w:gridCol w:w="1620"/>
        <w:gridCol w:w="1551"/>
        <w:gridCol w:w="6274"/>
      </w:tblGrid>
      <w:tr w:rsidR="00EB000A" w:rsidRPr="005C3073" w14:paraId="050E0C5A" w14:textId="77777777" w:rsidTr="3FB95C47">
        <w:trPr>
          <w:cantSplit/>
          <w:trHeight w:val="332"/>
          <w:tblHeader/>
          <w:jc w:val="center"/>
        </w:trPr>
        <w:tc>
          <w:tcPr>
            <w:tcW w:w="1620" w:type="dxa"/>
            <w:shd w:val="clear" w:color="auto" w:fill="D0CECE" w:themeFill="background2" w:themeFillShade="E6"/>
            <w:vAlign w:val="center"/>
          </w:tcPr>
          <w:p w14:paraId="050E0C57" w14:textId="77777777" w:rsidR="00EB000A" w:rsidRPr="005C3073" w:rsidRDefault="00EB000A" w:rsidP="00F95870">
            <w:pPr>
              <w:widowControl/>
              <w:overflowPunct w:val="0"/>
              <w:autoSpaceDE w:val="0"/>
              <w:autoSpaceDN w:val="0"/>
              <w:adjustRightInd w:val="0"/>
              <w:spacing w:before="120" w:after="120"/>
              <w:jc w:val="center"/>
              <w:textAlignment w:val="baseline"/>
              <w:rPr>
                <w:rFonts w:cs="Arial"/>
                <w:b/>
                <w:iCs/>
                <w:szCs w:val="24"/>
              </w:rPr>
            </w:pPr>
            <w:r w:rsidRPr="005C3073">
              <w:rPr>
                <w:rFonts w:cs="Arial"/>
                <w:b/>
                <w:iCs/>
                <w:szCs w:val="24"/>
              </w:rPr>
              <w:t>Fiscal Year</w:t>
            </w:r>
          </w:p>
        </w:tc>
        <w:tc>
          <w:tcPr>
            <w:tcW w:w="1551" w:type="dxa"/>
            <w:shd w:val="clear" w:color="auto" w:fill="D0CECE" w:themeFill="background2" w:themeFillShade="E6"/>
            <w:vAlign w:val="center"/>
          </w:tcPr>
          <w:p w14:paraId="050E0C58" w14:textId="77777777" w:rsidR="00EB000A" w:rsidRPr="005C3073" w:rsidRDefault="00EB000A" w:rsidP="00F95870">
            <w:pPr>
              <w:widowControl/>
              <w:overflowPunct w:val="0"/>
              <w:autoSpaceDE w:val="0"/>
              <w:autoSpaceDN w:val="0"/>
              <w:adjustRightInd w:val="0"/>
              <w:spacing w:before="120" w:after="120"/>
              <w:jc w:val="center"/>
              <w:textAlignment w:val="baseline"/>
              <w:rPr>
                <w:rFonts w:cs="Arial"/>
                <w:b/>
                <w:iCs/>
                <w:szCs w:val="24"/>
              </w:rPr>
            </w:pPr>
            <w:r w:rsidRPr="005C3073">
              <w:rPr>
                <w:rFonts w:cs="Arial"/>
                <w:b/>
                <w:iCs/>
                <w:szCs w:val="24"/>
              </w:rPr>
              <w:t>Total Cost</w:t>
            </w:r>
          </w:p>
        </w:tc>
        <w:tc>
          <w:tcPr>
            <w:tcW w:w="6274" w:type="dxa"/>
            <w:shd w:val="clear" w:color="auto" w:fill="D0CECE" w:themeFill="background2" w:themeFillShade="E6"/>
            <w:vAlign w:val="center"/>
          </w:tcPr>
          <w:p w14:paraId="050E0C59" w14:textId="77777777" w:rsidR="00EB000A" w:rsidRPr="005C3073" w:rsidRDefault="00EB000A" w:rsidP="00F95870">
            <w:pPr>
              <w:widowControl/>
              <w:overflowPunct w:val="0"/>
              <w:autoSpaceDE w:val="0"/>
              <w:autoSpaceDN w:val="0"/>
              <w:adjustRightInd w:val="0"/>
              <w:spacing w:before="120" w:after="120"/>
              <w:jc w:val="center"/>
              <w:textAlignment w:val="baseline"/>
              <w:rPr>
                <w:rFonts w:cs="Arial"/>
                <w:b/>
                <w:iCs/>
                <w:szCs w:val="24"/>
              </w:rPr>
            </w:pPr>
            <w:r w:rsidRPr="005C3073">
              <w:rPr>
                <w:rFonts w:cs="Arial"/>
                <w:b/>
                <w:iCs/>
                <w:szCs w:val="24"/>
              </w:rPr>
              <w:t>Cost Breakdown per Test Administration</w:t>
            </w:r>
          </w:p>
        </w:tc>
      </w:tr>
      <w:tr w:rsidR="00EB000A" w:rsidRPr="005C3073" w14:paraId="050E0C5F" w14:textId="77777777" w:rsidTr="3FB95C47">
        <w:trPr>
          <w:cantSplit/>
          <w:jc w:val="center"/>
        </w:trPr>
        <w:tc>
          <w:tcPr>
            <w:tcW w:w="1620" w:type="dxa"/>
            <w:vAlign w:val="center"/>
          </w:tcPr>
          <w:p w14:paraId="050E0C5B" w14:textId="71D5F2CB" w:rsidR="00EB000A" w:rsidRPr="005C3073" w:rsidRDefault="00EB000A" w:rsidP="00F95870">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2017–18</w:t>
            </w:r>
          </w:p>
        </w:tc>
        <w:tc>
          <w:tcPr>
            <w:tcW w:w="1551" w:type="dxa"/>
            <w:vAlign w:val="center"/>
          </w:tcPr>
          <w:p w14:paraId="050E0C5C" w14:textId="77777777" w:rsidR="00EB000A" w:rsidRPr="005C3073" w:rsidRDefault="00EB000A" w:rsidP="00F95870">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$77,273,778</w:t>
            </w:r>
          </w:p>
        </w:tc>
        <w:tc>
          <w:tcPr>
            <w:tcW w:w="6274" w:type="dxa"/>
          </w:tcPr>
          <w:p w14:paraId="050E0C5D" w14:textId="4B36C2C9" w:rsidR="00EB000A" w:rsidRPr="005C3073" w:rsidRDefault="6C97B2C6" w:rsidP="54FDBCFC">
            <w:pPr>
              <w:pStyle w:val="ListParagraph"/>
              <w:widowControl/>
              <w:numPr>
                <w:ilvl w:val="0"/>
                <w:numId w:val="13"/>
              </w:numPr>
              <w:overflowPunct w:val="0"/>
              <w:autoSpaceDE w:val="0"/>
              <w:autoSpaceDN w:val="0"/>
              <w:adjustRightInd w:val="0"/>
              <w:spacing w:before="120" w:after="120"/>
              <w:ind w:hanging="288"/>
              <w:textAlignment w:val="baseline"/>
              <w:rPr>
                <w:rFonts w:cs="Arial"/>
              </w:rPr>
            </w:pPr>
            <w:r w:rsidRPr="3FB95C47">
              <w:rPr>
                <w:rFonts w:cs="Arial"/>
              </w:rPr>
              <w:t>$5,754,766 for 2016–17 test administration costs</w:t>
            </w:r>
          </w:p>
          <w:p w14:paraId="050E0C5E" w14:textId="16E8B008" w:rsidR="00EB000A" w:rsidRPr="005C3073" w:rsidRDefault="6C97B2C6" w:rsidP="54FDBCFC">
            <w:pPr>
              <w:pStyle w:val="ListParagraph"/>
              <w:widowControl/>
              <w:numPr>
                <w:ilvl w:val="0"/>
                <w:numId w:val="13"/>
              </w:numPr>
              <w:overflowPunct w:val="0"/>
              <w:autoSpaceDE w:val="0"/>
              <w:autoSpaceDN w:val="0"/>
              <w:adjustRightInd w:val="0"/>
              <w:spacing w:before="120" w:after="120"/>
              <w:ind w:hanging="288"/>
              <w:textAlignment w:val="baseline"/>
              <w:rPr>
                <w:rFonts w:cs="Arial"/>
              </w:rPr>
            </w:pPr>
            <w:r w:rsidRPr="3FB95C47">
              <w:rPr>
                <w:rFonts w:cs="Arial"/>
              </w:rPr>
              <w:t>$71,519,012 for 2017–18 test administration costs</w:t>
            </w:r>
          </w:p>
        </w:tc>
      </w:tr>
      <w:tr w:rsidR="00EB000A" w:rsidRPr="005C3073" w14:paraId="050E0C64" w14:textId="77777777" w:rsidTr="3FB95C47">
        <w:trPr>
          <w:cantSplit/>
          <w:trHeight w:val="485"/>
          <w:jc w:val="center"/>
        </w:trPr>
        <w:tc>
          <w:tcPr>
            <w:tcW w:w="1620" w:type="dxa"/>
            <w:vAlign w:val="center"/>
          </w:tcPr>
          <w:p w14:paraId="050E0C60" w14:textId="188081A9" w:rsidR="00EB000A" w:rsidRPr="005C3073" w:rsidRDefault="000E142F" w:rsidP="00F95870">
            <w:pPr>
              <w:widowControl/>
              <w:overflowPunct w:val="0"/>
              <w:autoSpaceDE w:val="0"/>
              <w:autoSpaceDN w:val="0"/>
              <w:adjustRightInd w:val="0"/>
              <w:spacing w:before="120" w:after="120"/>
              <w:jc w:val="center"/>
              <w:textAlignment w:val="baseline"/>
              <w:rPr>
                <w:rFonts w:cs="Arial"/>
                <w:iCs/>
                <w:szCs w:val="24"/>
              </w:rPr>
            </w:pPr>
            <w:r>
              <w:rPr>
                <w:rFonts w:cs="Arial"/>
                <w:iCs/>
                <w:szCs w:val="24"/>
              </w:rPr>
              <w:t>2018–19</w:t>
            </w:r>
          </w:p>
        </w:tc>
        <w:tc>
          <w:tcPr>
            <w:tcW w:w="1551" w:type="dxa"/>
            <w:vAlign w:val="center"/>
          </w:tcPr>
          <w:p w14:paraId="050E0C61" w14:textId="77777777" w:rsidR="00EB000A" w:rsidRPr="005C3073" w:rsidRDefault="00EB000A" w:rsidP="00F95870">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$82,754,000</w:t>
            </w:r>
          </w:p>
        </w:tc>
        <w:tc>
          <w:tcPr>
            <w:tcW w:w="6274" w:type="dxa"/>
          </w:tcPr>
          <w:p w14:paraId="050E0C62" w14:textId="7A4399D1" w:rsidR="00EB000A" w:rsidRPr="005C3073" w:rsidRDefault="6C97B2C6" w:rsidP="54FDBCFC">
            <w:pPr>
              <w:pStyle w:val="ListParagraph"/>
              <w:widowControl/>
              <w:numPr>
                <w:ilvl w:val="0"/>
                <w:numId w:val="14"/>
              </w:numPr>
              <w:overflowPunct w:val="0"/>
              <w:autoSpaceDE w:val="0"/>
              <w:autoSpaceDN w:val="0"/>
              <w:adjustRightInd w:val="0"/>
              <w:spacing w:before="120" w:after="120"/>
              <w:ind w:hanging="288"/>
              <w:textAlignment w:val="baseline"/>
              <w:rPr>
                <w:rFonts w:cs="Arial"/>
              </w:rPr>
            </w:pPr>
            <w:r w:rsidRPr="3FB95C47">
              <w:rPr>
                <w:rFonts w:cs="Arial"/>
              </w:rPr>
              <w:t>$5,380,178 for 2017–18 test administration costs</w:t>
            </w:r>
          </w:p>
          <w:p w14:paraId="050E0C63" w14:textId="19858F96" w:rsidR="00EB000A" w:rsidRPr="005C3073" w:rsidRDefault="6C97B2C6" w:rsidP="54FDBCFC">
            <w:pPr>
              <w:pStyle w:val="ListParagraph"/>
              <w:widowControl/>
              <w:numPr>
                <w:ilvl w:val="0"/>
                <w:numId w:val="14"/>
              </w:numPr>
              <w:overflowPunct w:val="0"/>
              <w:autoSpaceDE w:val="0"/>
              <w:autoSpaceDN w:val="0"/>
              <w:adjustRightInd w:val="0"/>
              <w:spacing w:before="120" w:after="120"/>
              <w:ind w:hanging="288"/>
              <w:textAlignment w:val="baseline"/>
              <w:rPr>
                <w:rFonts w:cs="Arial"/>
              </w:rPr>
            </w:pPr>
            <w:r w:rsidRPr="3FB95C47">
              <w:rPr>
                <w:rFonts w:cs="Arial"/>
              </w:rPr>
              <w:t xml:space="preserve">$77,373,822 for </w:t>
            </w:r>
            <w:r w:rsidR="55022C79" w:rsidRPr="3FB95C47">
              <w:rPr>
                <w:rFonts w:cs="Arial"/>
              </w:rPr>
              <w:t>2018–19</w:t>
            </w:r>
            <w:r w:rsidRPr="3FB95C47">
              <w:rPr>
                <w:rFonts w:cs="Arial"/>
              </w:rPr>
              <w:t xml:space="preserve"> test administration costs </w:t>
            </w:r>
          </w:p>
        </w:tc>
      </w:tr>
      <w:tr w:rsidR="00EB000A" w:rsidRPr="005C3073" w14:paraId="050E0C69" w14:textId="77777777" w:rsidTr="3FB95C47">
        <w:trPr>
          <w:cantSplit/>
          <w:trHeight w:val="485"/>
          <w:jc w:val="center"/>
        </w:trPr>
        <w:tc>
          <w:tcPr>
            <w:tcW w:w="1620" w:type="dxa"/>
            <w:vAlign w:val="center"/>
          </w:tcPr>
          <w:p w14:paraId="050E0C65" w14:textId="3878A7C2" w:rsidR="00EB000A" w:rsidRPr="005C3073" w:rsidRDefault="000E142F" w:rsidP="00F95870">
            <w:pPr>
              <w:widowControl/>
              <w:overflowPunct w:val="0"/>
              <w:autoSpaceDE w:val="0"/>
              <w:autoSpaceDN w:val="0"/>
              <w:adjustRightInd w:val="0"/>
              <w:spacing w:before="120" w:after="120"/>
              <w:jc w:val="center"/>
              <w:textAlignment w:val="baseline"/>
              <w:rPr>
                <w:rFonts w:cs="Arial"/>
                <w:iCs/>
                <w:szCs w:val="24"/>
              </w:rPr>
            </w:pPr>
            <w:r>
              <w:rPr>
                <w:rFonts w:cs="Arial"/>
                <w:iCs/>
                <w:szCs w:val="24"/>
              </w:rPr>
              <w:t>2019–2020</w:t>
            </w:r>
          </w:p>
        </w:tc>
        <w:tc>
          <w:tcPr>
            <w:tcW w:w="1551" w:type="dxa"/>
            <w:vAlign w:val="center"/>
          </w:tcPr>
          <w:p w14:paraId="050E0C66" w14:textId="77777777" w:rsidR="00EB000A" w:rsidRPr="005C3073" w:rsidRDefault="00EB000A" w:rsidP="00F95870">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w:t>
            </w:r>
            <w:r w:rsidR="00995FEF" w:rsidRPr="005C3073">
              <w:rPr>
                <w:rFonts w:cs="Arial"/>
                <w:iCs/>
                <w:szCs w:val="24"/>
              </w:rPr>
              <w:t>76,846,831</w:t>
            </w:r>
          </w:p>
        </w:tc>
        <w:tc>
          <w:tcPr>
            <w:tcW w:w="6274" w:type="dxa"/>
          </w:tcPr>
          <w:p w14:paraId="050E0C67" w14:textId="07B55DA3" w:rsidR="00EB000A" w:rsidRPr="005C3073" w:rsidRDefault="6C97B2C6" w:rsidP="54FDBCFC">
            <w:pPr>
              <w:pStyle w:val="ListParagraph"/>
              <w:widowControl/>
              <w:numPr>
                <w:ilvl w:val="0"/>
                <w:numId w:val="14"/>
              </w:numPr>
              <w:overflowPunct w:val="0"/>
              <w:autoSpaceDE w:val="0"/>
              <w:autoSpaceDN w:val="0"/>
              <w:adjustRightInd w:val="0"/>
              <w:spacing w:before="120" w:after="120"/>
              <w:ind w:hanging="288"/>
              <w:textAlignment w:val="baseline"/>
              <w:rPr>
                <w:rFonts w:cs="Arial"/>
              </w:rPr>
            </w:pPr>
            <w:r w:rsidRPr="3FB95C47">
              <w:rPr>
                <w:rFonts w:cs="Arial"/>
              </w:rPr>
              <w:t xml:space="preserve">$1,578,399 for </w:t>
            </w:r>
            <w:r w:rsidR="55022C79" w:rsidRPr="3FB95C47">
              <w:rPr>
                <w:rFonts w:cs="Arial"/>
              </w:rPr>
              <w:t>2018–19</w:t>
            </w:r>
            <w:r w:rsidRPr="3FB95C47">
              <w:rPr>
                <w:rFonts w:cs="Arial"/>
              </w:rPr>
              <w:t xml:space="preserve"> test administration costs</w:t>
            </w:r>
          </w:p>
          <w:p w14:paraId="050E0C68" w14:textId="318D9C33" w:rsidR="00EB000A" w:rsidRPr="005C3073" w:rsidRDefault="3A377740" w:rsidP="54FDBCFC">
            <w:pPr>
              <w:pStyle w:val="ListParagraph"/>
              <w:widowControl/>
              <w:numPr>
                <w:ilvl w:val="0"/>
                <w:numId w:val="14"/>
              </w:numPr>
              <w:overflowPunct w:val="0"/>
              <w:autoSpaceDE w:val="0"/>
              <w:autoSpaceDN w:val="0"/>
              <w:adjustRightInd w:val="0"/>
              <w:spacing w:before="120" w:after="120"/>
              <w:ind w:hanging="288"/>
              <w:textAlignment w:val="baseline"/>
              <w:rPr>
                <w:rFonts w:cs="Arial"/>
              </w:rPr>
            </w:pPr>
            <w:r w:rsidRPr="3FB95C47">
              <w:rPr>
                <w:rFonts w:cs="Arial"/>
              </w:rPr>
              <w:t>$</w:t>
            </w:r>
            <w:r w:rsidR="6C97B2C6" w:rsidRPr="3FB95C47">
              <w:rPr>
                <w:rFonts w:cs="Arial"/>
              </w:rPr>
              <w:t>75,</w:t>
            </w:r>
            <w:r w:rsidRPr="3FB95C47">
              <w:rPr>
                <w:rFonts w:cs="Arial"/>
              </w:rPr>
              <w:t>268</w:t>
            </w:r>
            <w:r w:rsidR="6C97B2C6" w:rsidRPr="3FB95C47">
              <w:rPr>
                <w:rFonts w:cs="Arial"/>
              </w:rPr>
              <w:t>,</w:t>
            </w:r>
            <w:r w:rsidRPr="3FB95C47">
              <w:rPr>
                <w:rFonts w:cs="Arial"/>
              </w:rPr>
              <w:t>432</w:t>
            </w:r>
            <w:r w:rsidR="6C97B2C6" w:rsidRPr="3FB95C47">
              <w:rPr>
                <w:rFonts w:cs="Arial"/>
              </w:rPr>
              <w:t xml:space="preserve"> for </w:t>
            </w:r>
            <w:r w:rsidR="55022C79" w:rsidRPr="3FB95C47">
              <w:rPr>
                <w:rFonts w:cs="Arial"/>
              </w:rPr>
              <w:t>2019–2020</w:t>
            </w:r>
            <w:r w:rsidR="6C97B2C6" w:rsidRPr="3FB95C47">
              <w:rPr>
                <w:rFonts w:cs="Arial"/>
              </w:rPr>
              <w:t xml:space="preserve"> test administration costs</w:t>
            </w:r>
          </w:p>
        </w:tc>
      </w:tr>
      <w:tr w:rsidR="00EB000A" w:rsidRPr="005C3073" w14:paraId="050E0C6E" w14:textId="77777777" w:rsidTr="3FB95C47">
        <w:trPr>
          <w:cantSplit/>
          <w:trHeight w:val="485"/>
          <w:jc w:val="center"/>
        </w:trPr>
        <w:tc>
          <w:tcPr>
            <w:tcW w:w="1620" w:type="dxa"/>
            <w:vAlign w:val="center"/>
          </w:tcPr>
          <w:p w14:paraId="050E0C6A" w14:textId="50369FB0" w:rsidR="00EB000A" w:rsidRPr="005C3073" w:rsidRDefault="000E142F" w:rsidP="00F95870">
            <w:pPr>
              <w:widowControl/>
              <w:overflowPunct w:val="0"/>
              <w:autoSpaceDE w:val="0"/>
              <w:autoSpaceDN w:val="0"/>
              <w:adjustRightInd w:val="0"/>
              <w:spacing w:before="120" w:after="120"/>
              <w:jc w:val="center"/>
              <w:textAlignment w:val="baseline"/>
              <w:rPr>
                <w:rFonts w:cs="Arial"/>
                <w:iCs/>
                <w:szCs w:val="24"/>
              </w:rPr>
            </w:pPr>
            <w:r>
              <w:rPr>
                <w:rFonts w:cs="Arial"/>
                <w:iCs/>
                <w:szCs w:val="24"/>
              </w:rPr>
              <w:t>2020–21</w:t>
            </w:r>
          </w:p>
        </w:tc>
        <w:tc>
          <w:tcPr>
            <w:tcW w:w="1551" w:type="dxa"/>
            <w:vAlign w:val="center"/>
          </w:tcPr>
          <w:p w14:paraId="050E0C6B" w14:textId="48783CC6" w:rsidR="00EB000A" w:rsidRPr="005C3073" w:rsidRDefault="00EB000A" w:rsidP="54FDBCFC">
            <w:pPr>
              <w:widowControl/>
              <w:overflowPunct w:val="0"/>
              <w:autoSpaceDE w:val="0"/>
              <w:autoSpaceDN w:val="0"/>
              <w:adjustRightInd w:val="0"/>
              <w:spacing w:before="120" w:after="120"/>
              <w:jc w:val="center"/>
              <w:textAlignment w:val="baseline"/>
              <w:rPr>
                <w:rFonts w:cs="Arial"/>
              </w:rPr>
            </w:pPr>
            <w:r w:rsidRPr="54FDBCFC">
              <w:rPr>
                <w:rFonts w:cs="Arial"/>
              </w:rPr>
              <w:t>$</w:t>
            </w:r>
            <w:r w:rsidR="00995FEF" w:rsidRPr="54FDBCFC">
              <w:rPr>
                <w:rFonts w:cs="Arial"/>
              </w:rPr>
              <w:t>76,</w:t>
            </w:r>
            <w:r w:rsidR="04826476" w:rsidRPr="54FDBCFC">
              <w:rPr>
                <w:rFonts w:cs="Arial"/>
              </w:rPr>
              <w:t>565</w:t>
            </w:r>
            <w:r w:rsidR="00995FEF" w:rsidRPr="54FDBCFC">
              <w:rPr>
                <w:rFonts w:cs="Arial"/>
              </w:rPr>
              <w:t>,323</w:t>
            </w:r>
          </w:p>
        </w:tc>
        <w:tc>
          <w:tcPr>
            <w:tcW w:w="6274" w:type="dxa"/>
          </w:tcPr>
          <w:p w14:paraId="050E0C6C" w14:textId="7D3DAEF6" w:rsidR="00EB000A" w:rsidRPr="005C3073" w:rsidRDefault="49945EC6" w:rsidP="54FDBCFC">
            <w:pPr>
              <w:pStyle w:val="ListParagraph"/>
              <w:widowControl/>
              <w:numPr>
                <w:ilvl w:val="0"/>
                <w:numId w:val="14"/>
              </w:numPr>
              <w:overflowPunct w:val="0"/>
              <w:autoSpaceDE w:val="0"/>
              <w:autoSpaceDN w:val="0"/>
              <w:adjustRightInd w:val="0"/>
              <w:spacing w:before="120" w:after="120"/>
              <w:ind w:hanging="288"/>
              <w:textAlignment w:val="baseline"/>
              <w:rPr>
                <w:rFonts w:cs="Arial"/>
              </w:rPr>
            </w:pPr>
            <w:r w:rsidRPr="3FB95C47">
              <w:rPr>
                <w:rFonts w:cs="Arial"/>
              </w:rPr>
              <w:t>$</w:t>
            </w:r>
            <w:r w:rsidR="0A41571D" w:rsidRPr="3FB95C47">
              <w:rPr>
                <w:rFonts w:cs="Arial"/>
              </w:rPr>
              <w:t>2,369,536</w:t>
            </w:r>
            <w:r w:rsidRPr="3FB95C47">
              <w:rPr>
                <w:rFonts w:cs="Arial"/>
              </w:rPr>
              <w:t xml:space="preserve"> for </w:t>
            </w:r>
            <w:r w:rsidR="55022C79" w:rsidRPr="3FB95C47">
              <w:rPr>
                <w:rFonts w:cs="Arial"/>
              </w:rPr>
              <w:t>2019–2020</w:t>
            </w:r>
            <w:r w:rsidR="6C97B2C6" w:rsidRPr="3FB95C47">
              <w:rPr>
                <w:rFonts w:cs="Arial"/>
              </w:rPr>
              <w:t xml:space="preserve"> test administration costs</w:t>
            </w:r>
          </w:p>
          <w:p w14:paraId="050E0C6D" w14:textId="3B8D7FCD" w:rsidR="00EB000A" w:rsidRPr="005C3073" w:rsidRDefault="3A377740" w:rsidP="54FDBCFC">
            <w:pPr>
              <w:pStyle w:val="ListParagraph"/>
              <w:widowControl/>
              <w:numPr>
                <w:ilvl w:val="0"/>
                <w:numId w:val="14"/>
              </w:numPr>
              <w:overflowPunct w:val="0"/>
              <w:autoSpaceDE w:val="0"/>
              <w:autoSpaceDN w:val="0"/>
              <w:adjustRightInd w:val="0"/>
              <w:spacing w:before="120" w:after="120"/>
              <w:ind w:hanging="288"/>
              <w:textAlignment w:val="baseline"/>
              <w:rPr>
                <w:rFonts w:cs="Arial"/>
              </w:rPr>
            </w:pPr>
            <w:r w:rsidRPr="3FB95C47">
              <w:rPr>
                <w:rFonts w:cs="Arial"/>
              </w:rPr>
              <w:t>$74,</w:t>
            </w:r>
            <w:r w:rsidR="074C74BC" w:rsidRPr="3FB95C47">
              <w:rPr>
                <w:rFonts w:cs="Arial"/>
              </w:rPr>
              <w:t>195</w:t>
            </w:r>
            <w:r w:rsidRPr="3FB95C47">
              <w:rPr>
                <w:rFonts w:cs="Arial"/>
              </w:rPr>
              <w:t xml:space="preserve">,787 for </w:t>
            </w:r>
            <w:r w:rsidR="55022C79" w:rsidRPr="3FB95C47">
              <w:rPr>
                <w:rFonts w:cs="Arial"/>
              </w:rPr>
              <w:t>2020–21</w:t>
            </w:r>
            <w:r w:rsidRPr="3FB95C47">
              <w:rPr>
                <w:rFonts w:cs="Arial"/>
              </w:rPr>
              <w:t xml:space="preserve"> test administration costs</w:t>
            </w:r>
          </w:p>
        </w:tc>
      </w:tr>
      <w:tr w:rsidR="00995FEF" w:rsidRPr="005C3073" w14:paraId="050E0C73" w14:textId="77777777" w:rsidTr="3FB95C47">
        <w:trPr>
          <w:cantSplit/>
          <w:trHeight w:val="485"/>
          <w:jc w:val="center"/>
        </w:trPr>
        <w:tc>
          <w:tcPr>
            <w:tcW w:w="1620" w:type="dxa"/>
            <w:vAlign w:val="center"/>
          </w:tcPr>
          <w:p w14:paraId="050E0C6F" w14:textId="68EDCCD5" w:rsidR="00995FEF" w:rsidRPr="005C3073" w:rsidRDefault="000E142F" w:rsidP="00F95870">
            <w:pPr>
              <w:widowControl/>
              <w:overflowPunct w:val="0"/>
              <w:autoSpaceDE w:val="0"/>
              <w:autoSpaceDN w:val="0"/>
              <w:adjustRightInd w:val="0"/>
              <w:spacing w:before="120" w:after="120"/>
              <w:jc w:val="center"/>
              <w:textAlignment w:val="baseline"/>
              <w:rPr>
                <w:rFonts w:cs="Arial"/>
                <w:iCs/>
                <w:szCs w:val="24"/>
              </w:rPr>
            </w:pPr>
            <w:r>
              <w:rPr>
                <w:rFonts w:cs="Arial"/>
                <w:iCs/>
                <w:szCs w:val="24"/>
              </w:rPr>
              <w:t>2021–22</w:t>
            </w:r>
          </w:p>
        </w:tc>
        <w:tc>
          <w:tcPr>
            <w:tcW w:w="1551" w:type="dxa"/>
            <w:vAlign w:val="center"/>
          </w:tcPr>
          <w:p w14:paraId="050E0C70" w14:textId="77777777" w:rsidR="00995FEF" w:rsidRPr="005C3073" w:rsidRDefault="00995FEF" w:rsidP="00F95870">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$76,674,757</w:t>
            </w:r>
          </w:p>
        </w:tc>
        <w:tc>
          <w:tcPr>
            <w:tcW w:w="6274" w:type="dxa"/>
          </w:tcPr>
          <w:p w14:paraId="050E0C71" w14:textId="46D0C88A" w:rsidR="00995FEF" w:rsidRPr="005C3073" w:rsidRDefault="2EC8E248" w:rsidP="54FDBCFC">
            <w:pPr>
              <w:pStyle w:val="ListParagraph"/>
              <w:widowControl/>
              <w:numPr>
                <w:ilvl w:val="0"/>
                <w:numId w:val="14"/>
              </w:numPr>
              <w:overflowPunct w:val="0"/>
              <w:autoSpaceDE w:val="0"/>
              <w:autoSpaceDN w:val="0"/>
              <w:adjustRightInd w:val="0"/>
              <w:spacing w:before="120" w:after="120"/>
              <w:ind w:hanging="288"/>
              <w:textAlignment w:val="baseline"/>
              <w:rPr>
                <w:rFonts w:cs="Arial"/>
              </w:rPr>
            </w:pPr>
            <w:r w:rsidRPr="3FB95C47">
              <w:rPr>
                <w:rFonts w:cs="Arial"/>
              </w:rPr>
              <w:t>$</w:t>
            </w:r>
            <w:r w:rsidR="3A377740" w:rsidRPr="3FB95C47">
              <w:rPr>
                <w:rFonts w:cs="Arial"/>
              </w:rPr>
              <w:t>2,651,082</w:t>
            </w:r>
            <w:r w:rsidRPr="3FB95C47">
              <w:rPr>
                <w:rFonts w:cs="Arial"/>
              </w:rPr>
              <w:t xml:space="preserve"> for </w:t>
            </w:r>
            <w:r w:rsidR="55022C79" w:rsidRPr="3FB95C47">
              <w:rPr>
                <w:rFonts w:cs="Arial"/>
              </w:rPr>
              <w:t>2020–21</w:t>
            </w:r>
            <w:r w:rsidRPr="3FB95C47">
              <w:rPr>
                <w:rFonts w:cs="Arial"/>
              </w:rPr>
              <w:t xml:space="preserve"> test administration costs</w:t>
            </w:r>
          </w:p>
          <w:p w14:paraId="050E0C72" w14:textId="67A5C21E" w:rsidR="00995FEF" w:rsidRPr="005C3073" w:rsidRDefault="3A377740" w:rsidP="54FDBCFC">
            <w:pPr>
              <w:pStyle w:val="ListParagraph"/>
              <w:widowControl/>
              <w:numPr>
                <w:ilvl w:val="0"/>
                <w:numId w:val="14"/>
              </w:numPr>
              <w:overflowPunct w:val="0"/>
              <w:autoSpaceDE w:val="0"/>
              <w:autoSpaceDN w:val="0"/>
              <w:adjustRightInd w:val="0"/>
              <w:spacing w:before="120" w:after="120"/>
              <w:ind w:hanging="288"/>
              <w:textAlignment w:val="baseline"/>
              <w:rPr>
                <w:rFonts w:cs="Arial"/>
              </w:rPr>
            </w:pPr>
            <w:r w:rsidRPr="3FB95C47">
              <w:rPr>
                <w:rFonts w:cs="Arial"/>
              </w:rPr>
              <w:t xml:space="preserve">$74,023,675 for </w:t>
            </w:r>
            <w:r w:rsidR="55022C79" w:rsidRPr="3FB95C47">
              <w:rPr>
                <w:rFonts w:cs="Arial"/>
              </w:rPr>
              <w:t>2021–22</w:t>
            </w:r>
            <w:r w:rsidRPr="3FB95C47">
              <w:rPr>
                <w:rFonts w:cs="Arial"/>
              </w:rPr>
              <w:t xml:space="preserve"> test administration costs</w:t>
            </w:r>
          </w:p>
        </w:tc>
      </w:tr>
      <w:tr w:rsidR="0067159E" w:rsidRPr="005C3073" w14:paraId="233984A2" w14:textId="77777777" w:rsidTr="3FB95C47">
        <w:trPr>
          <w:cantSplit/>
          <w:trHeight w:val="485"/>
          <w:jc w:val="center"/>
        </w:trPr>
        <w:tc>
          <w:tcPr>
            <w:tcW w:w="1620" w:type="dxa"/>
            <w:vAlign w:val="center"/>
          </w:tcPr>
          <w:p w14:paraId="17C8824E" w14:textId="0407C146" w:rsidR="0067159E" w:rsidRPr="005C3073" w:rsidRDefault="000E142F" w:rsidP="00F95870">
            <w:pPr>
              <w:widowControl/>
              <w:overflowPunct w:val="0"/>
              <w:autoSpaceDE w:val="0"/>
              <w:autoSpaceDN w:val="0"/>
              <w:adjustRightInd w:val="0"/>
              <w:spacing w:before="120" w:after="120"/>
              <w:jc w:val="center"/>
              <w:textAlignment w:val="baseline"/>
              <w:rPr>
                <w:rFonts w:cs="Arial"/>
              </w:rPr>
            </w:pPr>
            <w:r w:rsidRPr="6CD51EB8">
              <w:rPr>
                <w:rFonts w:cs="Arial"/>
              </w:rPr>
              <w:t>2022–23</w:t>
            </w:r>
            <w:r w:rsidR="0067159E" w:rsidRPr="6CD51EB8">
              <w:rPr>
                <w:rFonts w:cs="Arial"/>
              </w:rPr>
              <w:t xml:space="preserve"> </w:t>
            </w:r>
          </w:p>
        </w:tc>
        <w:tc>
          <w:tcPr>
            <w:tcW w:w="1551" w:type="dxa"/>
            <w:vAlign w:val="center"/>
          </w:tcPr>
          <w:p w14:paraId="023BACBA" w14:textId="4A11564A" w:rsidR="0067159E" w:rsidRPr="005C3073" w:rsidRDefault="0067159E" w:rsidP="00F95870">
            <w:pPr>
              <w:widowControl/>
              <w:overflowPunct w:val="0"/>
              <w:autoSpaceDE w:val="0"/>
              <w:autoSpaceDN w:val="0"/>
              <w:adjustRightInd w:val="0"/>
              <w:spacing w:before="120" w:after="120"/>
              <w:jc w:val="center"/>
              <w:textAlignment w:val="baseline"/>
              <w:rPr>
                <w:rFonts w:cs="Arial"/>
              </w:rPr>
            </w:pPr>
            <w:r w:rsidRPr="6CD51EB8">
              <w:rPr>
                <w:rFonts w:cs="Arial"/>
              </w:rPr>
              <w:t>$3,000,000</w:t>
            </w:r>
          </w:p>
        </w:tc>
        <w:tc>
          <w:tcPr>
            <w:tcW w:w="6274" w:type="dxa"/>
          </w:tcPr>
          <w:p w14:paraId="465E1ADE" w14:textId="471BA5C5" w:rsidR="0067159E" w:rsidRPr="005C3073" w:rsidRDefault="1DAE221B" w:rsidP="54FDBCFC">
            <w:pPr>
              <w:pStyle w:val="ListParagraph"/>
              <w:widowControl/>
              <w:numPr>
                <w:ilvl w:val="0"/>
                <w:numId w:val="14"/>
              </w:numPr>
              <w:overflowPunct w:val="0"/>
              <w:autoSpaceDE w:val="0"/>
              <w:autoSpaceDN w:val="0"/>
              <w:adjustRightInd w:val="0"/>
              <w:spacing w:before="120" w:after="120"/>
              <w:ind w:hanging="288"/>
              <w:textAlignment w:val="baseline"/>
              <w:rPr>
                <w:rFonts w:cs="Arial"/>
              </w:rPr>
            </w:pPr>
            <w:r w:rsidRPr="3FB95C47">
              <w:rPr>
                <w:rFonts w:cs="Arial"/>
              </w:rPr>
              <w:t xml:space="preserve">$3,000,000 for </w:t>
            </w:r>
            <w:r w:rsidR="55022C79" w:rsidRPr="3FB95C47">
              <w:rPr>
                <w:rFonts w:cs="Arial"/>
              </w:rPr>
              <w:t>2021–22</w:t>
            </w:r>
            <w:r w:rsidRPr="3FB95C47">
              <w:rPr>
                <w:rFonts w:cs="Arial"/>
              </w:rPr>
              <w:t xml:space="preserve"> test administration costs</w:t>
            </w:r>
          </w:p>
        </w:tc>
      </w:tr>
    </w:tbl>
    <w:p w14:paraId="050E0C74" w14:textId="77777777" w:rsidR="00E5426E" w:rsidRPr="005C3073" w:rsidRDefault="00E5426E" w:rsidP="00F95870">
      <w:pPr>
        <w:widowControl/>
        <w:rPr>
          <w:rFonts w:eastAsiaTheme="majorEastAsia" w:cstheme="majorBidi"/>
          <w:sz w:val="32"/>
          <w:szCs w:val="24"/>
        </w:rPr>
      </w:pPr>
      <w:bookmarkStart w:id="57" w:name="_Toc2346323"/>
      <w:r w:rsidRPr="005C3073">
        <w:br w:type="page"/>
      </w:r>
    </w:p>
    <w:p w14:paraId="050E0C75" w14:textId="1C137462" w:rsidR="00EB000A" w:rsidRPr="00575F37" w:rsidRDefault="00EB000A" w:rsidP="00F95870">
      <w:pPr>
        <w:pStyle w:val="Heading3"/>
        <w:widowControl/>
        <w:rPr>
          <w:b/>
          <w:i w:val="0"/>
          <w:sz w:val="28"/>
          <w:szCs w:val="28"/>
        </w:rPr>
      </w:pPr>
      <w:bookmarkStart w:id="58" w:name="_Toc43122220"/>
      <w:r w:rsidRPr="00575F37">
        <w:rPr>
          <w:b/>
          <w:i w:val="0"/>
          <w:sz w:val="28"/>
          <w:szCs w:val="28"/>
        </w:rPr>
        <w:lastRenderedPageBreak/>
        <w:t>Independent Evaluation Contract</w:t>
      </w:r>
      <w:bookmarkEnd w:id="57"/>
      <w:bookmarkEnd w:id="58"/>
    </w:p>
    <w:p w14:paraId="050E0C76" w14:textId="5575FC4D" w:rsidR="005801A1" w:rsidRPr="005C3073" w:rsidRDefault="00EB000A" w:rsidP="54E6C116">
      <w:pPr>
        <w:widowControl/>
        <w:rPr>
          <w:rFonts w:cs="Arial"/>
        </w:rPr>
      </w:pPr>
      <w:r w:rsidRPr="328504AF">
        <w:rPr>
          <w:rFonts w:cs="Arial"/>
        </w:rPr>
        <w:t>The</w:t>
      </w:r>
      <w:r w:rsidR="00903244" w:rsidRPr="328504AF">
        <w:rPr>
          <w:rFonts w:cs="Arial"/>
        </w:rPr>
        <w:t xml:space="preserve"> </w:t>
      </w:r>
      <w:r w:rsidRPr="328504AF">
        <w:rPr>
          <w:rFonts w:cs="Arial"/>
        </w:rPr>
        <w:t xml:space="preserve">independent evaluation contract </w:t>
      </w:r>
      <w:r w:rsidR="00E92995" w:rsidRPr="328504AF">
        <w:rPr>
          <w:rFonts w:cs="Arial"/>
        </w:rPr>
        <w:t>is</w:t>
      </w:r>
      <w:r w:rsidRPr="328504AF">
        <w:rPr>
          <w:rFonts w:cs="Arial"/>
        </w:rPr>
        <w:t xml:space="preserve"> a multiyear contract to provide independent, objective technical advice and consultation on activities to be undertaken in implementing the CAASPP System per </w:t>
      </w:r>
      <w:r w:rsidRPr="328504AF">
        <w:rPr>
          <w:rFonts w:cs="Arial"/>
          <w:i/>
          <w:iCs/>
        </w:rPr>
        <w:t>EC</w:t>
      </w:r>
      <w:r w:rsidRPr="328504AF">
        <w:rPr>
          <w:rFonts w:cs="Arial"/>
        </w:rPr>
        <w:t xml:space="preserve"> Section 60649. The contract </w:t>
      </w:r>
      <w:r w:rsidR="00E92995" w:rsidRPr="328504AF">
        <w:rPr>
          <w:rFonts w:cs="Arial"/>
        </w:rPr>
        <w:t>requires</w:t>
      </w:r>
      <w:r>
        <w:br/>
      </w:r>
      <w:r w:rsidRPr="328504AF">
        <w:rPr>
          <w:rFonts w:cs="Arial"/>
        </w:rPr>
        <w:t xml:space="preserve">interim annual evaluation reports and a final report on the activities and analysis of the three-year evaluation, including recommendations to ensure the quality, fairness, validity, and reliability of the assessments. </w:t>
      </w:r>
      <w:r w:rsidR="00E92995" w:rsidRPr="328504AF">
        <w:rPr>
          <w:rFonts w:cs="Arial"/>
        </w:rPr>
        <w:t xml:space="preserve">This contract was competitively bid through a Request for Proposal </w:t>
      </w:r>
      <w:r w:rsidRPr="328504AF">
        <w:rPr>
          <w:rFonts w:cs="Arial"/>
        </w:rPr>
        <w:t>process with input provided by CDE and SBE staff. The contractor</w:t>
      </w:r>
      <w:r w:rsidR="00F86B59" w:rsidRPr="328504AF">
        <w:rPr>
          <w:rFonts w:cs="Arial"/>
        </w:rPr>
        <w:t xml:space="preserve"> selected</w:t>
      </w:r>
      <w:r w:rsidRPr="328504AF">
        <w:rPr>
          <w:rFonts w:cs="Arial"/>
        </w:rPr>
        <w:t xml:space="preserve"> </w:t>
      </w:r>
      <w:r w:rsidR="00903244" w:rsidRPr="328504AF">
        <w:rPr>
          <w:rFonts w:cs="Arial"/>
        </w:rPr>
        <w:t>wa</w:t>
      </w:r>
      <w:r w:rsidRPr="328504AF">
        <w:rPr>
          <w:rFonts w:cs="Arial"/>
        </w:rPr>
        <w:t xml:space="preserve">s </w:t>
      </w:r>
      <w:proofErr w:type="spellStart"/>
      <w:r w:rsidRPr="328504AF">
        <w:rPr>
          <w:rFonts w:cs="Arial"/>
        </w:rPr>
        <w:t>H</w:t>
      </w:r>
      <w:r w:rsidR="00AB757C" w:rsidRPr="328504AF">
        <w:rPr>
          <w:rFonts w:cs="Arial"/>
        </w:rPr>
        <w:t>um</w:t>
      </w:r>
      <w:r w:rsidRPr="328504AF">
        <w:rPr>
          <w:rFonts w:cs="Arial"/>
        </w:rPr>
        <w:t>RRO</w:t>
      </w:r>
      <w:proofErr w:type="spellEnd"/>
      <w:r w:rsidR="00E92995" w:rsidRPr="328504AF">
        <w:rPr>
          <w:rFonts w:cs="Arial"/>
        </w:rPr>
        <w:t xml:space="preserve"> as the responsible bidder with the lowest</w:t>
      </w:r>
      <w:r w:rsidR="00575F37">
        <w:rPr>
          <w:rFonts w:cs="Arial"/>
        </w:rPr>
        <w:t>-</w:t>
      </w:r>
      <w:r w:rsidR="00E92995" w:rsidRPr="328504AF">
        <w:rPr>
          <w:rFonts w:cs="Arial"/>
        </w:rPr>
        <w:t>cost bid</w:t>
      </w:r>
      <w:r w:rsidRPr="328504AF">
        <w:rPr>
          <w:rFonts w:cs="Arial"/>
        </w:rPr>
        <w:t>.</w:t>
      </w:r>
      <w:r w:rsidR="00E92995" w:rsidRPr="328504AF">
        <w:rPr>
          <w:rFonts w:cs="Arial"/>
        </w:rPr>
        <w:t xml:space="preserve"> </w:t>
      </w:r>
      <w:r w:rsidR="6FDA8313" w:rsidRPr="328504AF">
        <w:rPr>
          <w:rFonts w:cs="Arial"/>
        </w:rPr>
        <w:t>In December 2020, t</w:t>
      </w:r>
      <w:r w:rsidR="7F48996F" w:rsidRPr="328504AF">
        <w:rPr>
          <w:rFonts w:cs="Arial"/>
        </w:rPr>
        <w:t>he contract was amended</w:t>
      </w:r>
      <w:r w:rsidR="00837253">
        <w:rPr>
          <w:rFonts w:cs="Arial"/>
        </w:rPr>
        <w:t>,</w:t>
      </w:r>
      <w:r w:rsidR="7F48996F" w:rsidRPr="328504AF">
        <w:rPr>
          <w:rFonts w:cs="Arial"/>
        </w:rPr>
        <w:t xml:space="preserve"> extending the contract through June 30, 2022</w:t>
      </w:r>
      <w:r w:rsidR="00E92995" w:rsidRPr="328504AF">
        <w:rPr>
          <w:rFonts w:cs="Arial"/>
        </w:rPr>
        <w:t>. The total contract amount is $</w:t>
      </w:r>
      <w:r w:rsidR="403D8AD5" w:rsidRPr="328504AF">
        <w:rPr>
          <w:rFonts w:cs="Arial"/>
        </w:rPr>
        <w:t>2,24</w:t>
      </w:r>
      <w:r w:rsidR="55BDF259" w:rsidRPr="328504AF">
        <w:rPr>
          <w:rFonts w:cs="Arial"/>
        </w:rPr>
        <w:t>4,000</w:t>
      </w:r>
      <w:r w:rsidR="00E92995" w:rsidRPr="328504AF">
        <w:rPr>
          <w:rFonts w:cs="Arial"/>
        </w:rPr>
        <w:t>.</w:t>
      </w:r>
    </w:p>
    <w:p w14:paraId="050E0C77" w14:textId="2A5D0325" w:rsidR="00EB000A" w:rsidRPr="005C3073" w:rsidRDefault="00EB000A" w:rsidP="40B11FEC">
      <w:pPr>
        <w:widowControl/>
        <w:rPr>
          <w:rFonts w:cs="Arial"/>
        </w:rPr>
      </w:pPr>
      <w:r w:rsidRPr="40B11FEC">
        <w:rPr>
          <w:rFonts w:cs="Arial"/>
          <w:color w:val="000000" w:themeColor="text1"/>
        </w:rPr>
        <w:t xml:space="preserve">Evaluation activities include </w:t>
      </w:r>
      <w:r w:rsidR="021E8AB8" w:rsidRPr="40B11FEC">
        <w:rPr>
          <w:rFonts w:cs="Arial"/>
          <w:color w:val="000000" w:themeColor="text1"/>
        </w:rPr>
        <w:t xml:space="preserve">five </w:t>
      </w:r>
      <w:r w:rsidRPr="40B11FEC">
        <w:rPr>
          <w:rFonts w:cs="Arial"/>
          <w:color w:val="000000" w:themeColor="text1"/>
        </w:rPr>
        <w:t>studies</w:t>
      </w:r>
      <w:r w:rsidR="009B42AF" w:rsidRPr="40B11FEC">
        <w:rPr>
          <w:rFonts w:cs="Arial"/>
          <w:color w:val="000000" w:themeColor="text1"/>
        </w:rPr>
        <w:t>: California Science Test Alignment Study</w:t>
      </w:r>
      <w:r w:rsidR="006E1ECA" w:rsidRPr="40B11FEC">
        <w:rPr>
          <w:rFonts w:cs="Arial"/>
          <w:color w:val="000000" w:themeColor="text1"/>
        </w:rPr>
        <w:t>,</w:t>
      </w:r>
      <w:r w:rsidR="009B42AF" w:rsidRPr="40B11FEC">
        <w:rPr>
          <w:rFonts w:cs="Arial"/>
          <w:color w:val="000000" w:themeColor="text1"/>
        </w:rPr>
        <w:t xml:space="preserve"> Impact on Instruction and Student Learning Case Study</w:t>
      </w:r>
      <w:r w:rsidR="006E1ECA" w:rsidRPr="40B11FEC">
        <w:rPr>
          <w:rFonts w:cs="Arial"/>
          <w:color w:val="000000" w:themeColor="text1"/>
        </w:rPr>
        <w:t>,</w:t>
      </w:r>
      <w:r w:rsidR="009B42AF" w:rsidRPr="40B11FEC">
        <w:rPr>
          <w:rFonts w:cs="Arial"/>
          <w:color w:val="000000" w:themeColor="text1"/>
        </w:rPr>
        <w:t xml:space="preserve"> California Alternate Assessment for Science Alignment Study</w:t>
      </w:r>
      <w:r w:rsidR="19CEA07F" w:rsidRPr="40B11FEC">
        <w:rPr>
          <w:rFonts w:cs="Arial"/>
          <w:color w:val="000000" w:themeColor="text1"/>
        </w:rPr>
        <w:t>, ELPAC Alignment Study, and Alternate ELPAC Alignment Study</w:t>
      </w:r>
      <w:r w:rsidR="00575F37">
        <w:rPr>
          <w:rFonts w:cs="Arial"/>
          <w:color w:val="000000" w:themeColor="text1"/>
        </w:rPr>
        <w:t>.</w:t>
      </w:r>
      <w:r w:rsidRPr="40B11FEC">
        <w:rPr>
          <w:rFonts w:cs="Arial"/>
          <w:color w:val="000000" w:themeColor="text1"/>
        </w:rPr>
        <w:t xml:space="preserve"> </w:t>
      </w:r>
    </w:p>
    <w:p w14:paraId="050E0C78" w14:textId="4D4E6EDE" w:rsidR="00EB000A" w:rsidRPr="005C3073" w:rsidRDefault="00EB000A" w:rsidP="00F95870">
      <w:pPr>
        <w:widowControl/>
        <w:jc w:val="both"/>
        <w:rPr>
          <w:rFonts w:cs="Arial"/>
          <w:iCs/>
          <w:szCs w:val="24"/>
        </w:rPr>
      </w:pPr>
      <w:r w:rsidRPr="005C3073">
        <w:rPr>
          <w:rFonts w:cs="Arial"/>
          <w:iCs/>
          <w:szCs w:val="24"/>
        </w:rPr>
        <w:t xml:space="preserve">Table </w:t>
      </w:r>
      <w:r w:rsidR="00A43D44">
        <w:rPr>
          <w:rFonts w:cs="Arial"/>
          <w:iCs/>
          <w:szCs w:val="24"/>
        </w:rPr>
        <w:t>5</w:t>
      </w:r>
      <w:r w:rsidRPr="005C3073">
        <w:rPr>
          <w:rFonts w:cs="Arial"/>
          <w:iCs/>
          <w:szCs w:val="24"/>
        </w:rPr>
        <w:t>, below, provides a breakdown of the current c</w:t>
      </w:r>
      <w:r w:rsidR="005E1129" w:rsidRPr="005C3073">
        <w:rPr>
          <w:rFonts w:cs="Arial"/>
          <w:iCs/>
          <w:szCs w:val="24"/>
        </w:rPr>
        <w:t xml:space="preserve">ontract costs per fiscal year. </w:t>
      </w:r>
    </w:p>
    <w:p w14:paraId="050E0C79" w14:textId="322EBF38" w:rsidR="00EB000A" w:rsidRPr="005C3073" w:rsidRDefault="00EB000A" w:rsidP="40B11FEC">
      <w:pPr>
        <w:widowControl/>
        <w:spacing w:after="120"/>
        <w:jc w:val="center"/>
        <w:rPr>
          <w:rFonts w:cs="Arial"/>
          <w:b/>
          <w:bCs/>
        </w:rPr>
      </w:pPr>
      <w:r w:rsidRPr="40B11FEC">
        <w:rPr>
          <w:rFonts w:cs="Arial"/>
        </w:rPr>
        <w:t xml:space="preserve">Table </w:t>
      </w:r>
      <w:r w:rsidR="00A43D44" w:rsidRPr="40B11FEC">
        <w:rPr>
          <w:rFonts w:cs="Arial"/>
        </w:rPr>
        <w:t>5</w:t>
      </w:r>
      <w:r w:rsidRPr="40B11FEC">
        <w:rPr>
          <w:rFonts w:cs="Arial"/>
        </w:rPr>
        <w:t>.</w:t>
      </w:r>
      <w:r w:rsidRPr="40B11FEC">
        <w:rPr>
          <w:rFonts w:cs="Arial"/>
          <w:b/>
          <w:bCs/>
        </w:rPr>
        <w:t xml:space="preserve"> </w:t>
      </w:r>
      <w:r w:rsidRPr="40B11FEC">
        <w:rPr>
          <w:rFonts w:cs="Arial"/>
        </w:rPr>
        <w:t>Independent Evaluation Contract Costs</w:t>
      </w:r>
    </w:p>
    <w:tbl>
      <w:tblPr>
        <w:tblStyle w:val="TableGrid"/>
        <w:tblW w:w="0" w:type="auto"/>
        <w:jc w:val="center"/>
        <w:tblLook w:val="04A0" w:firstRow="1" w:lastRow="0" w:firstColumn="1" w:lastColumn="0" w:noHBand="0" w:noVBand="1"/>
        <w:tblDescription w:val="Contract Costs by Fiscal Year"/>
      </w:tblPr>
      <w:tblGrid>
        <w:gridCol w:w="2250"/>
        <w:gridCol w:w="2250"/>
      </w:tblGrid>
      <w:tr w:rsidR="00EB000A" w:rsidRPr="005C3073" w14:paraId="050E0C7C" w14:textId="77777777" w:rsidTr="007C23FF">
        <w:trPr>
          <w:cantSplit/>
          <w:trHeight w:val="260"/>
          <w:tblHeader/>
          <w:jc w:val="center"/>
        </w:trPr>
        <w:tc>
          <w:tcPr>
            <w:tcW w:w="2250" w:type="dxa"/>
            <w:shd w:val="clear" w:color="auto" w:fill="D0CECE" w:themeFill="background2" w:themeFillShade="E6"/>
            <w:vAlign w:val="center"/>
          </w:tcPr>
          <w:p w14:paraId="050E0C7A" w14:textId="77777777" w:rsidR="00EB000A" w:rsidRPr="005C3073" w:rsidRDefault="00EB000A" w:rsidP="00F95870">
            <w:pPr>
              <w:widowControl/>
              <w:overflowPunct w:val="0"/>
              <w:autoSpaceDE w:val="0"/>
              <w:autoSpaceDN w:val="0"/>
              <w:adjustRightInd w:val="0"/>
              <w:spacing w:before="120" w:after="120"/>
              <w:jc w:val="center"/>
              <w:textAlignment w:val="baseline"/>
              <w:rPr>
                <w:rFonts w:cs="Arial"/>
                <w:b/>
                <w:iCs/>
                <w:szCs w:val="24"/>
              </w:rPr>
            </w:pPr>
            <w:r w:rsidRPr="005C3073">
              <w:rPr>
                <w:rFonts w:cs="Arial"/>
                <w:b/>
                <w:iCs/>
                <w:szCs w:val="24"/>
              </w:rPr>
              <w:t>Fiscal Year</w:t>
            </w:r>
          </w:p>
        </w:tc>
        <w:tc>
          <w:tcPr>
            <w:tcW w:w="2250" w:type="dxa"/>
            <w:shd w:val="clear" w:color="auto" w:fill="D0CECE" w:themeFill="background2" w:themeFillShade="E6"/>
            <w:vAlign w:val="center"/>
          </w:tcPr>
          <w:p w14:paraId="050E0C7B" w14:textId="77777777" w:rsidR="00EB000A" w:rsidRPr="005C3073" w:rsidRDefault="00EB000A" w:rsidP="00F95870">
            <w:pPr>
              <w:widowControl/>
              <w:overflowPunct w:val="0"/>
              <w:autoSpaceDE w:val="0"/>
              <w:autoSpaceDN w:val="0"/>
              <w:adjustRightInd w:val="0"/>
              <w:spacing w:before="120" w:after="120"/>
              <w:jc w:val="center"/>
              <w:textAlignment w:val="baseline"/>
              <w:rPr>
                <w:rFonts w:cs="Arial"/>
                <w:b/>
                <w:iCs/>
                <w:szCs w:val="24"/>
              </w:rPr>
            </w:pPr>
            <w:r w:rsidRPr="005C3073">
              <w:rPr>
                <w:rFonts w:cs="Arial"/>
                <w:b/>
                <w:iCs/>
                <w:szCs w:val="24"/>
              </w:rPr>
              <w:t>Total Cost</w:t>
            </w:r>
          </w:p>
        </w:tc>
      </w:tr>
      <w:tr w:rsidR="00EB000A" w:rsidRPr="005C3073" w14:paraId="050E0C82" w14:textId="77777777" w:rsidTr="54FDBCFC">
        <w:trPr>
          <w:trHeight w:val="260"/>
          <w:jc w:val="center"/>
        </w:trPr>
        <w:tc>
          <w:tcPr>
            <w:tcW w:w="2250" w:type="dxa"/>
            <w:vAlign w:val="center"/>
          </w:tcPr>
          <w:p w14:paraId="050E0C80" w14:textId="00B13EFB" w:rsidR="00EB000A" w:rsidRPr="005C3073" w:rsidRDefault="000E142F" w:rsidP="00F95870">
            <w:pPr>
              <w:widowControl/>
              <w:overflowPunct w:val="0"/>
              <w:autoSpaceDE w:val="0"/>
              <w:autoSpaceDN w:val="0"/>
              <w:adjustRightInd w:val="0"/>
              <w:spacing w:before="120" w:after="120"/>
              <w:jc w:val="center"/>
              <w:textAlignment w:val="baseline"/>
              <w:rPr>
                <w:rFonts w:cs="Arial"/>
                <w:iCs/>
                <w:szCs w:val="24"/>
              </w:rPr>
            </w:pPr>
            <w:r>
              <w:rPr>
                <w:rFonts w:cs="Arial"/>
                <w:iCs/>
                <w:szCs w:val="24"/>
              </w:rPr>
              <w:t>2018–19</w:t>
            </w:r>
          </w:p>
        </w:tc>
        <w:tc>
          <w:tcPr>
            <w:tcW w:w="2250" w:type="dxa"/>
            <w:vAlign w:val="center"/>
          </w:tcPr>
          <w:p w14:paraId="050E0C81" w14:textId="77777777" w:rsidR="00EB000A" w:rsidRPr="005C3073" w:rsidRDefault="00EB000A" w:rsidP="00F95870">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w:t>
            </w:r>
            <w:r w:rsidR="00201B01" w:rsidRPr="005C3073">
              <w:rPr>
                <w:rFonts w:cs="Arial"/>
                <w:iCs/>
                <w:szCs w:val="24"/>
              </w:rPr>
              <w:t>681</w:t>
            </w:r>
            <w:r w:rsidRPr="005C3073">
              <w:rPr>
                <w:rFonts w:cs="Arial"/>
                <w:iCs/>
                <w:szCs w:val="24"/>
              </w:rPr>
              <w:t>,000</w:t>
            </w:r>
          </w:p>
        </w:tc>
      </w:tr>
      <w:tr w:rsidR="00EB000A" w:rsidRPr="005C3073" w14:paraId="050E0C85" w14:textId="77777777" w:rsidTr="54FDBCFC">
        <w:trPr>
          <w:trHeight w:val="260"/>
          <w:jc w:val="center"/>
        </w:trPr>
        <w:tc>
          <w:tcPr>
            <w:tcW w:w="2250" w:type="dxa"/>
            <w:vAlign w:val="center"/>
          </w:tcPr>
          <w:p w14:paraId="050E0C83" w14:textId="54288234" w:rsidR="00EB000A" w:rsidRPr="005C3073" w:rsidRDefault="000E142F" w:rsidP="00F95870">
            <w:pPr>
              <w:widowControl/>
              <w:overflowPunct w:val="0"/>
              <w:autoSpaceDE w:val="0"/>
              <w:autoSpaceDN w:val="0"/>
              <w:adjustRightInd w:val="0"/>
              <w:spacing w:before="120" w:after="120"/>
              <w:jc w:val="center"/>
              <w:textAlignment w:val="baseline"/>
              <w:rPr>
                <w:rFonts w:cs="Arial"/>
                <w:iCs/>
                <w:szCs w:val="24"/>
              </w:rPr>
            </w:pPr>
            <w:r>
              <w:rPr>
                <w:rFonts w:cs="Arial"/>
                <w:iCs/>
                <w:szCs w:val="24"/>
              </w:rPr>
              <w:t>2019–2020</w:t>
            </w:r>
          </w:p>
        </w:tc>
        <w:tc>
          <w:tcPr>
            <w:tcW w:w="2250" w:type="dxa"/>
            <w:vAlign w:val="center"/>
          </w:tcPr>
          <w:p w14:paraId="050E0C84" w14:textId="77777777" w:rsidR="00EB000A" w:rsidRPr="005C3073" w:rsidRDefault="00EB000A" w:rsidP="00F95870">
            <w:pPr>
              <w:widowControl/>
              <w:overflowPunct w:val="0"/>
              <w:autoSpaceDE w:val="0"/>
              <w:autoSpaceDN w:val="0"/>
              <w:adjustRightInd w:val="0"/>
              <w:spacing w:before="120" w:after="120"/>
              <w:jc w:val="center"/>
              <w:textAlignment w:val="baseline"/>
              <w:rPr>
                <w:rFonts w:cs="Arial"/>
                <w:iCs/>
                <w:szCs w:val="24"/>
              </w:rPr>
            </w:pPr>
            <w:r w:rsidRPr="005C3073">
              <w:rPr>
                <w:rFonts w:cs="Arial"/>
                <w:iCs/>
                <w:szCs w:val="24"/>
              </w:rPr>
              <w:t>$</w:t>
            </w:r>
            <w:r w:rsidR="00201B01" w:rsidRPr="005C3073">
              <w:rPr>
                <w:rFonts w:cs="Arial"/>
                <w:iCs/>
                <w:szCs w:val="24"/>
              </w:rPr>
              <w:t>767</w:t>
            </w:r>
            <w:r w:rsidRPr="005C3073">
              <w:rPr>
                <w:rFonts w:cs="Arial"/>
                <w:iCs/>
                <w:szCs w:val="24"/>
              </w:rPr>
              <w:t>,000</w:t>
            </w:r>
          </w:p>
        </w:tc>
      </w:tr>
      <w:tr w:rsidR="00EB000A" w:rsidRPr="005C3073" w14:paraId="050E0C88" w14:textId="77777777" w:rsidTr="54FDBCFC">
        <w:trPr>
          <w:trHeight w:val="260"/>
          <w:jc w:val="center"/>
        </w:trPr>
        <w:tc>
          <w:tcPr>
            <w:tcW w:w="2250" w:type="dxa"/>
            <w:vAlign w:val="center"/>
          </w:tcPr>
          <w:p w14:paraId="050E0C86" w14:textId="1BF2266F" w:rsidR="00EB000A" w:rsidRPr="005C3073" w:rsidRDefault="000E142F" w:rsidP="00F95870">
            <w:pPr>
              <w:widowControl/>
              <w:overflowPunct w:val="0"/>
              <w:autoSpaceDE w:val="0"/>
              <w:autoSpaceDN w:val="0"/>
              <w:adjustRightInd w:val="0"/>
              <w:spacing w:before="120" w:after="120"/>
              <w:jc w:val="center"/>
              <w:textAlignment w:val="baseline"/>
              <w:rPr>
                <w:rFonts w:cs="Arial"/>
                <w:iCs/>
                <w:szCs w:val="24"/>
              </w:rPr>
            </w:pPr>
            <w:r>
              <w:rPr>
                <w:rFonts w:cs="Arial"/>
                <w:iCs/>
                <w:szCs w:val="24"/>
              </w:rPr>
              <w:t>2020–21</w:t>
            </w:r>
          </w:p>
        </w:tc>
        <w:tc>
          <w:tcPr>
            <w:tcW w:w="2250" w:type="dxa"/>
            <w:vAlign w:val="center"/>
          </w:tcPr>
          <w:p w14:paraId="050E0C87" w14:textId="7C8975CE" w:rsidR="00EB000A" w:rsidRPr="005C3073" w:rsidRDefault="00EB000A" w:rsidP="54FDBCFC">
            <w:pPr>
              <w:widowControl/>
              <w:overflowPunct w:val="0"/>
              <w:autoSpaceDE w:val="0"/>
              <w:autoSpaceDN w:val="0"/>
              <w:adjustRightInd w:val="0"/>
              <w:spacing w:before="120" w:after="120"/>
              <w:jc w:val="center"/>
              <w:textAlignment w:val="baseline"/>
              <w:rPr>
                <w:rFonts w:cs="Arial"/>
              </w:rPr>
            </w:pPr>
            <w:r w:rsidRPr="54FDBCFC">
              <w:rPr>
                <w:rFonts w:cs="Arial"/>
              </w:rPr>
              <w:t>$</w:t>
            </w:r>
            <w:r w:rsidR="23DF83DC" w:rsidRPr="54FDBCFC">
              <w:rPr>
                <w:rFonts w:cs="Arial"/>
              </w:rPr>
              <w:t>574</w:t>
            </w:r>
            <w:r w:rsidRPr="54FDBCFC">
              <w:rPr>
                <w:rFonts w:cs="Arial"/>
              </w:rPr>
              <w:t>,000</w:t>
            </w:r>
          </w:p>
        </w:tc>
      </w:tr>
      <w:tr w:rsidR="54FDBCFC" w14:paraId="77142D19" w14:textId="77777777" w:rsidTr="54FDBCFC">
        <w:trPr>
          <w:trHeight w:val="260"/>
          <w:jc w:val="center"/>
        </w:trPr>
        <w:tc>
          <w:tcPr>
            <w:tcW w:w="2250" w:type="dxa"/>
            <w:vAlign w:val="center"/>
          </w:tcPr>
          <w:p w14:paraId="1BFF6EF1" w14:textId="61168BC7" w:rsidR="577E5CA4" w:rsidRDefault="577E5CA4" w:rsidP="54FDBCFC">
            <w:pPr>
              <w:jc w:val="center"/>
              <w:rPr>
                <w:rFonts w:cs="Arial"/>
              </w:rPr>
            </w:pPr>
            <w:r w:rsidRPr="54FDBCFC">
              <w:rPr>
                <w:szCs w:val="24"/>
              </w:rPr>
              <w:t>2021</w:t>
            </w:r>
            <w:r w:rsidRPr="54FDBCFC">
              <w:rPr>
                <w:rFonts w:cs="Arial"/>
              </w:rPr>
              <w:t>–22</w:t>
            </w:r>
          </w:p>
        </w:tc>
        <w:tc>
          <w:tcPr>
            <w:tcW w:w="2250" w:type="dxa"/>
            <w:vAlign w:val="center"/>
          </w:tcPr>
          <w:p w14:paraId="0C2087C8" w14:textId="2B250055" w:rsidR="577E5CA4" w:rsidRDefault="577E5CA4" w:rsidP="54FDBCFC">
            <w:pPr>
              <w:jc w:val="center"/>
              <w:rPr>
                <w:szCs w:val="24"/>
              </w:rPr>
            </w:pPr>
            <w:r w:rsidRPr="54FDBCFC">
              <w:rPr>
                <w:szCs w:val="24"/>
              </w:rPr>
              <w:t>$222,000</w:t>
            </w:r>
          </w:p>
        </w:tc>
      </w:tr>
    </w:tbl>
    <w:p w14:paraId="050E0C89" w14:textId="77777777" w:rsidR="001252E2" w:rsidRPr="005C3073" w:rsidRDefault="001252E2" w:rsidP="00F95870">
      <w:pPr>
        <w:widowControl/>
        <w:spacing w:after="160" w:line="259" w:lineRule="auto"/>
      </w:pPr>
    </w:p>
    <w:p w14:paraId="050E0C8A" w14:textId="77777777" w:rsidR="004F3810" w:rsidRPr="005C3073" w:rsidRDefault="004F3810" w:rsidP="00F95870">
      <w:pPr>
        <w:widowControl/>
        <w:spacing w:before="0" w:after="160" w:line="259" w:lineRule="auto"/>
        <w:rPr>
          <w:b/>
          <w:bCs/>
          <w:snapToGrid/>
          <w:kern w:val="36"/>
          <w:sz w:val="32"/>
          <w:szCs w:val="32"/>
        </w:rPr>
      </w:pPr>
      <w:r w:rsidRPr="005C3073">
        <w:rPr>
          <w:szCs w:val="32"/>
        </w:rPr>
        <w:br w:type="page"/>
      </w:r>
    </w:p>
    <w:p w14:paraId="050E0C8B" w14:textId="77777777" w:rsidR="00EB000A" w:rsidRPr="00F0571C" w:rsidRDefault="00EB000A" w:rsidP="00F95870">
      <w:pPr>
        <w:pStyle w:val="Heading2"/>
        <w:rPr>
          <w:rFonts w:cs="Arial"/>
          <w:szCs w:val="32"/>
        </w:rPr>
      </w:pPr>
      <w:bookmarkStart w:id="59" w:name="_Toc2346324"/>
      <w:bookmarkStart w:id="60" w:name="_Toc43122221"/>
      <w:r w:rsidRPr="00F0571C">
        <w:rPr>
          <w:szCs w:val="32"/>
        </w:rPr>
        <w:lastRenderedPageBreak/>
        <w:t>Apportionment Costs</w:t>
      </w:r>
      <w:bookmarkEnd w:id="59"/>
      <w:bookmarkEnd w:id="60"/>
    </w:p>
    <w:p w14:paraId="050E0C8C" w14:textId="2E3FC71B" w:rsidR="00EB000A" w:rsidRPr="005C3073" w:rsidRDefault="00EB000A" w:rsidP="00F95870">
      <w:pPr>
        <w:pStyle w:val="Header"/>
        <w:widowControl/>
        <w:tabs>
          <w:tab w:val="clear" w:pos="4320"/>
          <w:tab w:val="clear" w:pos="8640"/>
        </w:tabs>
        <w:rPr>
          <w:szCs w:val="24"/>
        </w:rPr>
      </w:pPr>
      <w:r w:rsidRPr="005C3073">
        <w:t xml:space="preserve">The CAASPP apportionment costs are funded in the annual Budget Act as part of the </w:t>
      </w:r>
      <w:r w:rsidR="00DE5E40" w:rsidRPr="005C3073">
        <w:t>assessment a</w:t>
      </w:r>
      <w:r w:rsidRPr="005C3073">
        <w:t xml:space="preserve">pportionments schedule that includes funding for apportionments to LEAs for the CAASPP System. State testing apportionments </w:t>
      </w:r>
      <w:r w:rsidR="00F72146" w:rsidRPr="005C3073">
        <w:t xml:space="preserve">for any particular year </w:t>
      </w:r>
      <w:r w:rsidRPr="005C3073">
        <w:t>are not paid to LEAs until the following fiscal year</w:t>
      </w:r>
      <w:r w:rsidR="00BF3D0C">
        <w:t>,</w:t>
      </w:r>
      <w:r w:rsidRPr="005C3073">
        <w:t xml:space="preserve"> after all testing has been completed for the school year and the final number of students tested has been certified by the LEAs. </w:t>
      </w:r>
      <w:r w:rsidR="004978C2">
        <w:rPr>
          <w:i/>
        </w:rPr>
        <w:t xml:space="preserve">EC </w:t>
      </w:r>
      <w:r w:rsidR="004978C2">
        <w:t>S</w:t>
      </w:r>
      <w:r w:rsidR="004978C2" w:rsidRPr="00C1088C">
        <w:t>ection</w:t>
      </w:r>
      <w:r w:rsidR="004978C2" w:rsidRPr="00C5077A">
        <w:t xml:space="preserve"> </w:t>
      </w:r>
      <w:r w:rsidR="004978C2">
        <w:t>60640(l)(2)</w:t>
      </w:r>
      <w:r w:rsidR="0056031E">
        <w:t xml:space="preserve"> </w:t>
      </w:r>
      <w:r w:rsidRPr="005C3073">
        <w:rPr>
          <w:szCs w:val="24"/>
        </w:rPr>
        <w:t>states that the SBE shall annually establish the amount of funding to be apportioned to LEAs for specified CAASPP assessments</w:t>
      </w:r>
      <w:r w:rsidR="0031794A" w:rsidRPr="005C3073">
        <w:rPr>
          <w:szCs w:val="24"/>
        </w:rPr>
        <w:t>, which include the optional CSA</w:t>
      </w:r>
      <w:r w:rsidRPr="005C3073">
        <w:rPr>
          <w:szCs w:val="24"/>
        </w:rPr>
        <w:t xml:space="preserve">. </w:t>
      </w:r>
      <w:r w:rsidR="0031794A" w:rsidRPr="005C3073">
        <w:rPr>
          <w:szCs w:val="24"/>
        </w:rPr>
        <w:t>However, s</w:t>
      </w:r>
      <w:r w:rsidRPr="005C3073">
        <w:rPr>
          <w:rFonts w:eastAsia="Calibri"/>
        </w:rPr>
        <w:t>tate law does not authorize LEA apportionments for the optional Smarter Balanced Interim Assessments or Digital Library</w:t>
      </w:r>
      <w:r w:rsidR="005C7161">
        <w:rPr>
          <w:rFonts w:eastAsia="Calibri"/>
        </w:rPr>
        <w:t xml:space="preserve"> (Tools for Teachers)</w:t>
      </w:r>
      <w:r w:rsidR="00463495" w:rsidRPr="005C3073">
        <w:rPr>
          <w:rFonts w:eastAsia="Calibri"/>
        </w:rPr>
        <w:t>.</w:t>
      </w:r>
    </w:p>
    <w:p w14:paraId="050E0C8D" w14:textId="6399170E" w:rsidR="00EB000A" w:rsidRPr="005C3073" w:rsidRDefault="00EB000A" w:rsidP="00F95870">
      <w:pPr>
        <w:widowControl/>
        <w:rPr>
          <w:rFonts w:cs="Arial"/>
        </w:rPr>
      </w:pPr>
      <w:r w:rsidRPr="005C3073">
        <w:rPr>
          <w:rFonts w:cs="Arial"/>
        </w:rPr>
        <w:t>State law (</w:t>
      </w:r>
      <w:r w:rsidRPr="005C3073">
        <w:rPr>
          <w:rFonts w:cs="Arial"/>
          <w:i/>
        </w:rPr>
        <w:t>EC</w:t>
      </w:r>
      <w:r w:rsidRPr="005C3073">
        <w:rPr>
          <w:rFonts w:cs="Arial"/>
        </w:rPr>
        <w:t xml:space="preserve"> Section 60644) also specifies that the savings realized from the elimination of the grade two standards-based achievement test</w:t>
      </w:r>
      <w:r w:rsidR="00EB451E" w:rsidRPr="005C3073">
        <w:rPr>
          <w:rFonts w:cs="Arial"/>
        </w:rPr>
        <w:t>s</w:t>
      </w:r>
      <w:r w:rsidRPr="005C3073">
        <w:rPr>
          <w:rFonts w:cs="Arial"/>
        </w:rPr>
        <w:t xml:space="preserve"> shall be used by LEAs to administer, at the option and cost of the LEA, a grade two diagnostic assessment identified by the CDE as meeting the requirements of </w:t>
      </w:r>
      <w:r w:rsidRPr="005C3073">
        <w:rPr>
          <w:rFonts w:cs="Arial"/>
          <w:i/>
        </w:rPr>
        <w:t>EC</w:t>
      </w:r>
      <w:r w:rsidRPr="005C3073">
        <w:rPr>
          <w:rFonts w:cs="Arial"/>
        </w:rPr>
        <w:t xml:space="preserve"> Section 60644. State CAASPP regulations authorize the CDE to provide this funding to LEAs through the annual CAASPP apportionment process</w:t>
      </w:r>
      <w:r w:rsidR="003520F0" w:rsidRPr="005C3073">
        <w:rPr>
          <w:rFonts w:cs="Arial"/>
        </w:rPr>
        <w:t xml:space="preserve">. </w:t>
      </w:r>
      <w:r w:rsidR="00F72146" w:rsidRPr="005C3073">
        <w:rPr>
          <w:rFonts w:cs="Arial"/>
        </w:rPr>
        <w:t xml:space="preserve">Approximately 290 LEAs received an apportionment </w:t>
      </w:r>
      <w:r w:rsidR="00EC1A91" w:rsidRPr="005C3073">
        <w:rPr>
          <w:rFonts w:cs="Arial"/>
        </w:rPr>
        <w:t>for the grade two diagnostic assessment i</w:t>
      </w:r>
      <w:r w:rsidR="003520F0" w:rsidRPr="005C3073">
        <w:rPr>
          <w:rFonts w:cs="Arial"/>
        </w:rPr>
        <w:t>n the 2017–18 school year.</w:t>
      </w:r>
    </w:p>
    <w:p w14:paraId="050E0C8E" w14:textId="64076B35" w:rsidR="00412DBB" w:rsidRPr="005C3073" w:rsidRDefault="00EB000A" w:rsidP="00F95870">
      <w:pPr>
        <w:widowControl/>
        <w:rPr>
          <w:rFonts w:cs="Arial"/>
          <w:snapToGrid/>
          <w:szCs w:val="24"/>
        </w:rPr>
      </w:pPr>
      <w:r w:rsidRPr="005C3073">
        <w:rPr>
          <w:rFonts w:cs="Arial"/>
          <w:snapToGrid/>
          <w:szCs w:val="24"/>
        </w:rPr>
        <w:t xml:space="preserve">In </w:t>
      </w:r>
      <w:r w:rsidR="0031256D">
        <w:rPr>
          <w:rFonts w:cs="Arial"/>
          <w:snapToGrid/>
          <w:szCs w:val="24"/>
        </w:rPr>
        <w:t>March 2020</w:t>
      </w:r>
      <w:r w:rsidR="00DF07E9">
        <w:rPr>
          <w:rFonts w:cs="Arial"/>
          <w:snapToGrid/>
          <w:szCs w:val="24"/>
        </w:rPr>
        <w:t>,</w:t>
      </w:r>
      <w:r w:rsidRPr="005C3073">
        <w:rPr>
          <w:rFonts w:cs="Arial"/>
          <w:snapToGrid/>
          <w:szCs w:val="24"/>
        </w:rPr>
        <w:t xml:space="preserve"> the SBE approved the LEA apportionment rates for CAASPP for the </w:t>
      </w:r>
      <w:r w:rsidR="000E142F">
        <w:rPr>
          <w:rFonts w:cs="Arial"/>
          <w:snapToGrid/>
          <w:szCs w:val="24"/>
        </w:rPr>
        <w:t>201</w:t>
      </w:r>
      <w:r w:rsidR="0031256D">
        <w:rPr>
          <w:rFonts w:cs="Arial"/>
          <w:snapToGrid/>
          <w:szCs w:val="24"/>
        </w:rPr>
        <w:t>9</w:t>
      </w:r>
      <w:r w:rsidR="000E142F">
        <w:rPr>
          <w:rFonts w:cs="Arial"/>
          <w:snapToGrid/>
          <w:szCs w:val="24"/>
        </w:rPr>
        <w:t>–20</w:t>
      </w:r>
      <w:r w:rsidR="0031256D">
        <w:rPr>
          <w:rFonts w:cs="Arial"/>
          <w:snapToGrid/>
          <w:szCs w:val="24"/>
        </w:rPr>
        <w:t>20</w:t>
      </w:r>
      <w:r w:rsidRPr="005C3073">
        <w:rPr>
          <w:rFonts w:cs="Arial"/>
          <w:snapToGrid/>
          <w:szCs w:val="24"/>
        </w:rPr>
        <w:t xml:space="preserve"> school year. </w:t>
      </w:r>
      <w:r w:rsidR="00785F04" w:rsidRPr="005C3073">
        <w:rPr>
          <w:rFonts w:cs="Arial"/>
          <w:snapToGrid/>
          <w:szCs w:val="24"/>
        </w:rPr>
        <w:t xml:space="preserve">The estimates for </w:t>
      </w:r>
      <w:r w:rsidR="00AB1321" w:rsidRPr="005C3073">
        <w:rPr>
          <w:rFonts w:cs="Arial"/>
          <w:snapToGrid/>
          <w:szCs w:val="24"/>
        </w:rPr>
        <w:t xml:space="preserve">the </w:t>
      </w:r>
      <w:r w:rsidR="00785F04" w:rsidRPr="005C3073">
        <w:rPr>
          <w:rFonts w:cs="Arial"/>
          <w:snapToGrid/>
          <w:szCs w:val="24"/>
        </w:rPr>
        <w:t xml:space="preserve">CAST and </w:t>
      </w:r>
      <w:r w:rsidR="00AB1321" w:rsidRPr="005C3073">
        <w:rPr>
          <w:rFonts w:cs="Arial"/>
          <w:snapToGrid/>
          <w:szCs w:val="24"/>
        </w:rPr>
        <w:t xml:space="preserve">the </w:t>
      </w:r>
      <w:r w:rsidR="00785F04" w:rsidRPr="005C3073">
        <w:rPr>
          <w:rFonts w:cs="Arial"/>
          <w:snapToGrid/>
          <w:szCs w:val="24"/>
        </w:rPr>
        <w:t xml:space="preserve">CAA for </w:t>
      </w:r>
      <w:r w:rsidR="00EC1A91" w:rsidRPr="005C3073">
        <w:rPr>
          <w:rFonts w:cs="Arial"/>
          <w:snapToGrid/>
          <w:szCs w:val="24"/>
        </w:rPr>
        <w:t>S</w:t>
      </w:r>
      <w:r w:rsidR="00785F04" w:rsidRPr="005C3073">
        <w:rPr>
          <w:rFonts w:cs="Arial"/>
          <w:snapToGrid/>
          <w:szCs w:val="24"/>
        </w:rPr>
        <w:t xml:space="preserve">cience are based on the estimated number of </w:t>
      </w:r>
      <w:r w:rsidR="00AB1321" w:rsidRPr="005C3073">
        <w:rPr>
          <w:rFonts w:cs="Arial"/>
          <w:snapToGrid/>
          <w:szCs w:val="24"/>
        </w:rPr>
        <w:t xml:space="preserve">students </w:t>
      </w:r>
      <w:r w:rsidR="00785F04" w:rsidRPr="005C3073">
        <w:rPr>
          <w:rFonts w:cs="Arial"/>
          <w:snapToGrid/>
          <w:szCs w:val="24"/>
        </w:rPr>
        <w:t>tested in grade ten or grade twelve only</w:t>
      </w:r>
      <w:r w:rsidR="00575F37">
        <w:rPr>
          <w:rFonts w:cs="Arial"/>
          <w:snapToGrid/>
          <w:szCs w:val="24"/>
        </w:rPr>
        <w:t xml:space="preserve">; </w:t>
      </w:r>
      <w:r w:rsidR="00AB1321" w:rsidRPr="005C3073">
        <w:rPr>
          <w:rFonts w:cs="Arial"/>
          <w:snapToGrid/>
          <w:szCs w:val="24"/>
        </w:rPr>
        <w:t>students</w:t>
      </w:r>
      <w:r w:rsidR="00DE4770">
        <w:rPr>
          <w:rFonts w:cs="Arial"/>
          <w:snapToGrid/>
          <w:szCs w:val="24"/>
        </w:rPr>
        <w:t xml:space="preserve"> in these grades are</w:t>
      </w:r>
      <w:r w:rsidR="00AB1321" w:rsidRPr="005C3073">
        <w:rPr>
          <w:rFonts w:cs="Arial"/>
          <w:snapToGrid/>
          <w:szCs w:val="24"/>
        </w:rPr>
        <w:t xml:space="preserve"> </w:t>
      </w:r>
      <w:r w:rsidR="00785F04" w:rsidRPr="005C3073">
        <w:rPr>
          <w:rFonts w:cs="Arial"/>
          <w:snapToGrid/>
          <w:szCs w:val="24"/>
        </w:rPr>
        <w:t xml:space="preserve">not required to take an additional CAASPP </w:t>
      </w:r>
      <w:r w:rsidR="00AB1321" w:rsidRPr="005C3073">
        <w:rPr>
          <w:rFonts w:cs="Arial"/>
          <w:snapToGrid/>
          <w:szCs w:val="24"/>
        </w:rPr>
        <w:t>test</w:t>
      </w:r>
      <w:r w:rsidR="00785F04" w:rsidRPr="005C3073">
        <w:rPr>
          <w:rFonts w:cs="Arial"/>
          <w:snapToGrid/>
          <w:szCs w:val="24"/>
        </w:rPr>
        <w:t>. The estimates for the Smarter Balanced Summative</w:t>
      </w:r>
      <w:r w:rsidR="00284A46" w:rsidRPr="005C3073">
        <w:rPr>
          <w:rFonts w:cs="Arial"/>
          <w:snapToGrid/>
          <w:szCs w:val="24"/>
        </w:rPr>
        <w:t xml:space="preserve"> Assessment</w:t>
      </w:r>
      <w:r w:rsidR="00675F17" w:rsidRPr="005C3073">
        <w:rPr>
          <w:rFonts w:cs="Arial"/>
          <w:snapToGrid/>
          <w:szCs w:val="24"/>
        </w:rPr>
        <w:t>s</w:t>
      </w:r>
      <w:r w:rsidR="00AB1321" w:rsidRPr="005C3073">
        <w:rPr>
          <w:rFonts w:cs="Arial"/>
          <w:snapToGrid/>
          <w:szCs w:val="24"/>
        </w:rPr>
        <w:t xml:space="preserve"> </w:t>
      </w:r>
      <w:r w:rsidR="00785F04" w:rsidRPr="005C3073">
        <w:rPr>
          <w:rFonts w:cs="Arial"/>
          <w:snapToGrid/>
          <w:szCs w:val="24"/>
        </w:rPr>
        <w:t>and CAA</w:t>
      </w:r>
      <w:r w:rsidR="00675F17" w:rsidRPr="005C3073">
        <w:rPr>
          <w:rFonts w:cs="Arial"/>
          <w:snapToGrid/>
          <w:szCs w:val="24"/>
        </w:rPr>
        <w:t>s</w:t>
      </w:r>
      <w:r w:rsidR="00785F04" w:rsidRPr="005C3073">
        <w:rPr>
          <w:rFonts w:cs="Arial"/>
          <w:snapToGrid/>
          <w:szCs w:val="24"/>
        </w:rPr>
        <w:t xml:space="preserve"> </w:t>
      </w:r>
      <w:r w:rsidR="00101E8E" w:rsidRPr="005C3073">
        <w:rPr>
          <w:rFonts w:cs="Arial"/>
          <w:snapToGrid/>
          <w:szCs w:val="24"/>
        </w:rPr>
        <w:t xml:space="preserve">for ELA and mathematics </w:t>
      </w:r>
      <w:r w:rsidR="00785F04" w:rsidRPr="005C3073">
        <w:rPr>
          <w:rFonts w:cs="Arial"/>
          <w:snapToGrid/>
          <w:szCs w:val="24"/>
        </w:rPr>
        <w:t>apportionment</w:t>
      </w:r>
      <w:r w:rsidR="005A072A" w:rsidRPr="005C3073">
        <w:rPr>
          <w:rFonts w:cs="Arial"/>
          <w:snapToGrid/>
          <w:szCs w:val="24"/>
        </w:rPr>
        <w:t>s</w:t>
      </w:r>
      <w:r w:rsidR="00785F04" w:rsidRPr="005C3073">
        <w:rPr>
          <w:rFonts w:cs="Arial"/>
          <w:snapToGrid/>
          <w:szCs w:val="24"/>
        </w:rPr>
        <w:t xml:space="preserve"> already include an LEA apportionment reimbursement for </w:t>
      </w:r>
      <w:r w:rsidR="00AB1321" w:rsidRPr="005C3073">
        <w:rPr>
          <w:rFonts w:cs="Arial"/>
          <w:snapToGrid/>
          <w:szCs w:val="24"/>
        </w:rPr>
        <w:t xml:space="preserve">students </w:t>
      </w:r>
      <w:r w:rsidR="00785F04" w:rsidRPr="005C3073">
        <w:rPr>
          <w:rFonts w:cs="Arial"/>
          <w:snapToGrid/>
          <w:szCs w:val="24"/>
        </w:rPr>
        <w:t xml:space="preserve">in grades five, eight, and eleven who </w:t>
      </w:r>
      <w:r w:rsidR="005A072A" w:rsidRPr="005C3073">
        <w:rPr>
          <w:rFonts w:cs="Arial"/>
          <w:snapToGrid/>
          <w:szCs w:val="24"/>
        </w:rPr>
        <w:t xml:space="preserve">also </w:t>
      </w:r>
      <w:r w:rsidR="00785F04" w:rsidRPr="005C3073">
        <w:rPr>
          <w:rFonts w:cs="Arial"/>
          <w:snapToGrid/>
          <w:szCs w:val="24"/>
        </w:rPr>
        <w:t xml:space="preserve">will take the CAST or CAA for </w:t>
      </w:r>
      <w:r w:rsidR="005A072A" w:rsidRPr="005C3073">
        <w:rPr>
          <w:rFonts w:cs="Arial"/>
          <w:snapToGrid/>
          <w:szCs w:val="24"/>
        </w:rPr>
        <w:t>S</w:t>
      </w:r>
      <w:r w:rsidR="00785F04" w:rsidRPr="005C3073">
        <w:rPr>
          <w:rFonts w:cs="Arial"/>
          <w:snapToGrid/>
          <w:szCs w:val="24"/>
        </w:rPr>
        <w:t>cience.</w:t>
      </w:r>
      <w:r w:rsidR="002536D2" w:rsidRPr="005C3073">
        <w:rPr>
          <w:rFonts w:cs="Arial"/>
          <w:snapToGrid/>
          <w:szCs w:val="24"/>
        </w:rPr>
        <w:t xml:space="preserve"> </w:t>
      </w:r>
      <w:r w:rsidRPr="005C3073">
        <w:rPr>
          <w:rFonts w:cs="Arial"/>
          <w:snapToGrid/>
          <w:szCs w:val="24"/>
        </w:rPr>
        <w:t xml:space="preserve">Table </w:t>
      </w:r>
      <w:r w:rsidR="00A43D44">
        <w:rPr>
          <w:rFonts w:cs="Arial"/>
          <w:snapToGrid/>
          <w:szCs w:val="24"/>
        </w:rPr>
        <w:t>6</w:t>
      </w:r>
      <w:r w:rsidRPr="005C3073">
        <w:rPr>
          <w:rFonts w:cs="Arial"/>
          <w:snapToGrid/>
          <w:szCs w:val="24"/>
        </w:rPr>
        <w:t xml:space="preserve">, </w:t>
      </w:r>
      <w:r w:rsidR="002114D8" w:rsidRPr="005C3073">
        <w:rPr>
          <w:rFonts w:cs="Arial"/>
          <w:snapToGrid/>
          <w:szCs w:val="24"/>
        </w:rPr>
        <w:t>on the following page</w:t>
      </w:r>
      <w:r w:rsidRPr="005C3073">
        <w:rPr>
          <w:rFonts w:cs="Arial"/>
          <w:snapToGrid/>
          <w:szCs w:val="24"/>
        </w:rPr>
        <w:t>, provides a breakdown of estimated apportionment costs by assessment.</w:t>
      </w:r>
    </w:p>
    <w:p w14:paraId="050E0C8F" w14:textId="77777777" w:rsidR="001639B3" w:rsidRPr="005C3073" w:rsidRDefault="001639B3" w:rsidP="00F95870">
      <w:pPr>
        <w:widowControl/>
        <w:spacing w:before="0" w:after="160" w:line="259" w:lineRule="auto"/>
        <w:rPr>
          <w:rFonts w:cs="Arial"/>
          <w:b/>
        </w:rPr>
      </w:pPr>
      <w:r w:rsidRPr="005C3073">
        <w:rPr>
          <w:rFonts w:cs="Arial"/>
          <w:b/>
        </w:rPr>
        <w:br w:type="page"/>
      </w:r>
    </w:p>
    <w:p w14:paraId="050E0C90" w14:textId="1ECA3350" w:rsidR="00284C4E" w:rsidRPr="005C3073" w:rsidRDefault="00EB000A" w:rsidP="70428E9E">
      <w:pPr>
        <w:widowControl/>
        <w:spacing w:before="120" w:after="120"/>
        <w:rPr>
          <w:rFonts w:cs="Arial"/>
          <w:b/>
          <w:bCs/>
          <w:snapToGrid/>
        </w:rPr>
      </w:pPr>
      <w:r w:rsidRPr="00814CFF">
        <w:rPr>
          <w:rFonts w:cs="Arial"/>
        </w:rPr>
        <w:lastRenderedPageBreak/>
        <w:t xml:space="preserve">Table </w:t>
      </w:r>
      <w:r w:rsidR="4D7A1B22" w:rsidRPr="00814CFF">
        <w:rPr>
          <w:rFonts w:cs="Arial"/>
        </w:rPr>
        <w:t>6</w:t>
      </w:r>
      <w:r w:rsidRPr="00814CFF">
        <w:rPr>
          <w:rFonts w:cs="Arial"/>
        </w:rPr>
        <w:t>.</w:t>
      </w:r>
      <w:r w:rsidRPr="70428E9E">
        <w:rPr>
          <w:rFonts w:cs="Arial"/>
          <w:b/>
          <w:bCs/>
        </w:rPr>
        <w:t xml:space="preserve"> </w:t>
      </w:r>
      <w:r w:rsidR="77553626" w:rsidRPr="70428E9E">
        <w:rPr>
          <w:rFonts w:cs="Arial"/>
          <w:snapToGrid/>
        </w:rPr>
        <w:t xml:space="preserve">Estimated Apportionment Costs for </w:t>
      </w:r>
      <w:r w:rsidR="60A6A2B0" w:rsidRPr="70428E9E">
        <w:rPr>
          <w:rFonts w:cs="Arial"/>
        </w:rPr>
        <w:t>2019</w:t>
      </w:r>
      <w:r w:rsidR="00525C5A">
        <w:rPr>
          <w:rFonts w:cs="Arial"/>
        </w:rPr>
        <w:t>–</w:t>
      </w:r>
      <w:r w:rsidR="60A6A2B0" w:rsidRPr="70428E9E">
        <w:rPr>
          <w:rFonts w:cs="Arial"/>
        </w:rPr>
        <w:t>2020</w:t>
      </w:r>
      <w:r w:rsidR="77553626" w:rsidRPr="70428E9E">
        <w:rPr>
          <w:rFonts w:cs="Arial"/>
          <w:snapToGrid/>
        </w:rPr>
        <w:t xml:space="preserve"> CAASPP Testing</w:t>
      </w:r>
    </w:p>
    <w:tbl>
      <w:tblPr>
        <w:tblStyle w:val="TableGrid"/>
        <w:tblW w:w="9175" w:type="dxa"/>
        <w:tblLook w:val="04A0" w:firstRow="1" w:lastRow="0" w:firstColumn="1" w:lastColumn="0" w:noHBand="0" w:noVBand="1"/>
        <w:tblDescription w:val="CAASPP Apportionment Costs "/>
      </w:tblPr>
      <w:tblGrid>
        <w:gridCol w:w="3145"/>
        <w:gridCol w:w="1350"/>
        <w:gridCol w:w="2250"/>
        <w:gridCol w:w="2430"/>
      </w:tblGrid>
      <w:tr w:rsidR="00612ED7" w:rsidRPr="005C3073" w14:paraId="050E0C96" w14:textId="77777777" w:rsidTr="007C23FF">
        <w:trPr>
          <w:cantSplit/>
          <w:tblHeader/>
        </w:trPr>
        <w:tc>
          <w:tcPr>
            <w:tcW w:w="3145" w:type="dxa"/>
            <w:shd w:val="clear" w:color="auto" w:fill="D0CECE" w:themeFill="background2" w:themeFillShade="E6"/>
            <w:vAlign w:val="center"/>
          </w:tcPr>
          <w:p w14:paraId="050E0C91" w14:textId="77777777" w:rsidR="00612ED7" w:rsidRPr="00664CE2" w:rsidRDefault="00612ED7" w:rsidP="00F95870">
            <w:pPr>
              <w:widowControl/>
              <w:spacing w:before="120" w:after="120"/>
              <w:jc w:val="center"/>
              <w:rPr>
                <w:rFonts w:cs="Arial"/>
                <w:snapToGrid/>
                <w:szCs w:val="24"/>
              </w:rPr>
            </w:pPr>
            <w:r w:rsidRPr="00664CE2">
              <w:rPr>
                <w:rFonts w:cs="Arial"/>
                <w:b/>
                <w:szCs w:val="22"/>
              </w:rPr>
              <w:t>Assessment</w:t>
            </w:r>
          </w:p>
        </w:tc>
        <w:tc>
          <w:tcPr>
            <w:tcW w:w="1350" w:type="dxa"/>
            <w:shd w:val="clear" w:color="auto" w:fill="D0CECE" w:themeFill="background2" w:themeFillShade="E6"/>
            <w:vAlign w:val="center"/>
          </w:tcPr>
          <w:p w14:paraId="050E0C92" w14:textId="3917ED3C" w:rsidR="00612ED7" w:rsidRPr="00664CE2" w:rsidRDefault="00612ED7" w:rsidP="002225D0">
            <w:pPr>
              <w:widowControl/>
              <w:spacing w:before="120" w:after="120"/>
              <w:jc w:val="center"/>
              <w:rPr>
                <w:rFonts w:cs="Arial"/>
                <w:snapToGrid/>
                <w:szCs w:val="24"/>
              </w:rPr>
            </w:pPr>
            <w:r w:rsidRPr="00664CE2">
              <w:rPr>
                <w:rFonts w:cs="Arial"/>
                <w:b/>
                <w:szCs w:val="22"/>
              </w:rPr>
              <w:t>Per</w:t>
            </w:r>
            <w:r w:rsidR="002114D8" w:rsidRPr="00664CE2">
              <w:rPr>
                <w:rFonts w:cs="Arial"/>
                <w:b/>
                <w:szCs w:val="22"/>
              </w:rPr>
              <w:t>-</w:t>
            </w:r>
            <w:r w:rsidR="006C28B8">
              <w:rPr>
                <w:rFonts w:cs="Arial"/>
                <w:b/>
                <w:szCs w:val="22"/>
              </w:rPr>
              <w:t>P</w:t>
            </w:r>
            <w:r w:rsidRPr="00664CE2">
              <w:rPr>
                <w:rFonts w:cs="Arial"/>
                <w:b/>
                <w:szCs w:val="22"/>
              </w:rPr>
              <w:t>upil Rate</w:t>
            </w:r>
          </w:p>
        </w:tc>
        <w:tc>
          <w:tcPr>
            <w:tcW w:w="2250" w:type="dxa"/>
            <w:shd w:val="clear" w:color="auto" w:fill="D0CECE" w:themeFill="background2" w:themeFillShade="E6"/>
            <w:vAlign w:val="center"/>
          </w:tcPr>
          <w:p w14:paraId="050E0C93" w14:textId="77777777" w:rsidR="002114D8" w:rsidRPr="00664CE2" w:rsidRDefault="00612ED7" w:rsidP="00F95870">
            <w:pPr>
              <w:widowControl/>
              <w:spacing w:before="0" w:after="0"/>
              <w:jc w:val="center"/>
              <w:rPr>
                <w:rFonts w:cs="Arial"/>
                <w:b/>
              </w:rPr>
            </w:pPr>
            <w:r w:rsidRPr="65E3DBE1">
              <w:rPr>
                <w:rFonts w:cs="Arial"/>
                <w:b/>
              </w:rPr>
              <w:t xml:space="preserve">Estimated </w:t>
            </w:r>
          </w:p>
          <w:p w14:paraId="050E0C94" w14:textId="3A1E7A2D" w:rsidR="00612ED7" w:rsidRPr="00664CE2" w:rsidRDefault="00A92686" w:rsidP="00F95870">
            <w:pPr>
              <w:widowControl/>
              <w:spacing w:before="0" w:after="0"/>
              <w:jc w:val="center"/>
              <w:rPr>
                <w:rFonts w:cs="Arial"/>
                <w:snapToGrid/>
              </w:rPr>
            </w:pPr>
            <w:r w:rsidRPr="65E3DBE1">
              <w:rPr>
                <w:rFonts w:cs="Arial"/>
                <w:b/>
              </w:rPr>
              <w:t>201</w:t>
            </w:r>
            <w:r w:rsidR="0031256D" w:rsidRPr="65E3DBE1">
              <w:rPr>
                <w:rFonts w:cs="Arial"/>
                <w:b/>
              </w:rPr>
              <w:t>9</w:t>
            </w:r>
            <w:r w:rsidR="002225D0" w:rsidRPr="65E3DBE1">
              <w:rPr>
                <w:rFonts w:cs="Arial"/>
                <w:b/>
              </w:rPr>
              <w:t>‒20</w:t>
            </w:r>
            <w:r w:rsidR="0031256D" w:rsidRPr="65E3DBE1">
              <w:rPr>
                <w:rFonts w:cs="Arial"/>
                <w:b/>
              </w:rPr>
              <w:t>20</w:t>
            </w:r>
            <w:r w:rsidR="00105370" w:rsidRPr="65E3DBE1">
              <w:rPr>
                <w:rFonts w:cs="Arial"/>
                <w:b/>
              </w:rPr>
              <w:t xml:space="preserve"> </w:t>
            </w:r>
            <w:r w:rsidR="00612ED7" w:rsidRPr="65E3DBE1">
              <w:rPr>
                <w:rFonts w:cs="Arial"/>
                <w:b/>
              </w:rPr>
              <w:t>Pupil Population</w:t>
            </w:r>
          </w:p>
        </w:tc>
        <w:tc>
          <w:tcPr>
            <w:tcW w:w="2430" w:type="dxa"/>
            <w:shd w:val="clear" w:color="auto" w:fill="D0CECE" w:themeFill="background2" w:themeFillShade="E6"/>
            <w:vAlign w:val="center"/>
          </w:tcPr>
          <w:p w14:paraId="050E0C95" w14:textId="17B6697F" w:rsidR="00612ED7" w:rsidRPr="00664CE2" w:rsidRDefault="00612ED7" w:rsidP="00490E08">
            <w:pPr>
              <w:widowControl/>
              <w:spacing w:before="360" w:after="0"/>
              <w:jc w:val="center"/>
              <w:rPr>
                <w:rFonts w:cs="Arial"/>
                <w:snapToGrid/>
                <w:szCs w:val="24"/>
              </w:rPr>
            </w:pPr>
            <w:r w:rsidRPr="00664CE2">
              <w:rPr>
                <w:rFonts w:cs="Arial"/>
                <w:b/>
                <w:szCs w:val="22"/>
              </w:rPr>
              <w:t xml:space="preserve">Estimated Apportionment </w:t>
            </w:r>
            <w:r w:rsidR="002114D8" w:rsidRPr="00664CE2">
              <w:rPr>
                <w:rFonts w:cs="Arial"/>
                <w:b/>
                <w:szCs w:val="22"/>
              </w:rPr>
              <w:br/>
            </w:r>
          </w:p>
        </w:tc>
      </w:tr>
      <w:tr w:rsidR="00612ED7" w:rsidRPr="005C3073" w14:paraId="050E0C9B" w14:textId="77777777" w:rsidTr="009A1846">
        <w:tc>
          <w:tcPr>
            <w:tcW w:w="3145" w:type="dxa"/>
          </w:tcPr>
          <w:p w14:paraId="050E0C97" w14:textId="77777777" w:rsidR="00612ED7" w:rsidRPr="00664CE2" w:rsidRDefault="00612ED7" w:rsidP="00DA4E53">
            <w:pPr>
              <w:widowControl/>
              <w:spacing w:before="120" w:after="120"/>
              <w:ind w:left="69"/>
              <w:rPr>
                <w:rFonts w:cs="Arial"/>
                <w:snapToGrid/>
                <w:szCs w:val="24"/>
              </w:rPr>
            </w:pPr>
            <w:r w:rsidRPr="00664CE2">
              <w:rPr>
                <w:rFonts w:cs="Arial"/>
                <w:szCs w:val="22"/>
              </w:rPr>
              <w:t>Smarter Balanced Summative</w:t>
            </w:r>
            <w:r w:rsidR="00675F17" w:rsidRPr="00664CE2">
              <w:rPr>
                <w:rFonts w:cs="Arial"/>
                <w:szCs w:val="22"/>
              </w:rPr>
              <w:t xml:space="preserve"> Assessments</w:t>
            </w:r>
            <w:r w:rsidR="00AD2BB3" w:rsidRPr="00664CE2">
              <w:rPr>
                <w:rFonts w:cs="Arial"/>
                <w:szCs w:val="22"/>
              </w:rPr>
              <w:t xml:space="preserve"> for ELA and mathematics</w:t>
            </w:r>
          </w:p>
        </w:tc>
        <w:tc>
          <w:tcPr>
            <w:tcW w:w="1350" w:type="dxa"/>
          </w:tcPr>
          <w:p w14:paraId="050E0C98" w14:textId="77777777" w:rsidR="00612ED7" w:rsidRPr="00664CE2" w:rsidRDefault="00612ED7" w:rsidP="00DA4E53">
            <w:pPr>
              <w:widowControl/>
              <w:spacing w:before="120" w:after="120"/>
              <w:ind w:right="221"/>
              <w:jc w:val="right"/>
              <w:rPr>
                <w:rFonts w:cs="Arial"/>
                <w:snapToGrid/>
                <w:szCs w:val="24"/>
              </w:rPr>
            </w:pPr>
            <w:r w:rsidRPr="00664CE2">
              <w:rPr>
                <w:rFonts w:cs="Arial"/>
                <w:szCs w:val="22"/>
              </w:rPr>
              <w:t>$4.00</w:t>
            </w:r>
          </w:p>
        </w:tc>
        <w:tc>
          <w:tcPr>
            <w:tcW w:w="2250" w:type="dxa"/>
          </w:tcPr>
          <w:p w14:paraId="050E0C99" w14:textId="3E41F1AE" w:rsidR="00612ED7" w:rsidRPr="00664CE2" w:rsidRDefault="00834BB8" w:rsidP="00DA4E53">
            <w:pPr>
              <w:widowControl/>
              <w:spacing w:before="120" w:after="120"/>
              <w:ind w:right="487"/>
              <w:jc w:val="right"/>
              <w:rPr>
                <w:rFonts w:cs="Arial"/>
                <w:snapToGrid/>
                <w:szCs w:val="24"/>
              </w:rPr>
            </w:pPr>
            <w:r>
              <w:rPr>
                <w:rFonts w:cs="Arial"/>
                <w:szCs w:val="22"/>
              </w:rPr>
              <w:t>21</w:t>
            </w:r>
            <w:r w:rsidR="00A92686">
              <w:rPr>
                <w:rFonts w:cs="Arial"/>
                <w:szCs w:val="22"/>
              </w:rPr>
              <w:t>,000</w:t>
            </w:r>
          </w:p>
        </w:tc>
        <w:tc>
          <w:tcPr>
            <w:tcW w:w="2430" w:type="dxa"/>
          </w:tcPr>
          <w:p w14:paraId="050E0C9A" w14:textId="1BCBA2D2" w:rsidR="00612ED7" w:rsidRPr="00664CE2" w:rsidRDefault="00612ED7" w:rsidP="00DA4E53">
            <w:pPr>
              <w:widowControl/>
              <w:spacing w:before="120" w:after="120"/>
              <w:ind w:right="703"/>
              <w:jc w:val="right"/>
              <w:rPr>
                <w:rFonts w:cs="Arial"/>
                <w:snapToGrid/>
                <w:szCs w:val="24"/>
              </w:rPr>
            </w:pPr>
            <w:r w:rsidRPr="00664CE2">
              <w:rPr>
                <w:rFonts w:cs="Arial"/>
                <w:szCs w:val="22"/>
              </w:rPr>
              <w:t>$</w:t>
            </w:r>
            <w:r w:rsidR="00834BB8">
              <w:rPr>
                <w:rFonts w:cs="Arial"/>
                <w:szCs w:val="22"/>
              </w:rPr>
              <w:t>84</w:t>
            </w:r>
            <w:r w:rsidR="00105370">
              <w:rPr>
                <w:rFonts w:cs="Arial"/>
                <w:szCs w:val="22"/>
              </w:rPr>
              <w:t>,000</w:t>
            </w:r>
          </w:p>
        </w:tc>
      </w:tr>
      <w:tr w:rsidR="00612ED7" w:rsidRPr="005C3073" w14:paraId="050E0CA0" w14:textId="77777777" w:rsidTr="009A1846">
        <w:tc>
          <w:tcPr>
            <w:tcW w:w="3145" w:type="dxa"/>
          </w:tcPr>
          <w:p w14:paraId="050E0C9C" w14:textId="77777777" w:rsidR="00612ED7" w:rsidRPr="00664CE2" w:rsidRDefault="00612ED7" w:rsidP="00DA4E53">
            <w:pPr>
              <w:widowControl/>
              <w:spacing w:before="120" w:after="120"/>
              <w:ind w:left="69"/>
              <w:rPr>
                <w:rFonts w:cs="Arial"/>
                <w:snapToGrid/>
                <w:szCs w:val="24"/>
              </w:rPr>
            </w:pPr>
            <w:r w:rsidRPr="00664CE2">
              <w:rPr>
                <w:rFonts w:cs="Arial"/>
                <w:szCs w:val="22"/>
              </w:rPr>
              <w:t>CAST</w:t>
            </w:r>
          </w:p>
        </w:tc>
        <w:tc>
          <w:tcPr>
            <w:tcW w:w="1350" w:type="dxa"/>
          </w:tcPr>
          <w:p w14:paraId="050E0C9D" w14:textId="2308375A" w:rsidR="00612ED7" w:rsidRPr="00664CE2" w:rsidRDefault="00612ED7" w:rsidP="00DA4E53">
            <w:pPr>
              <w:widowControl/>
              <w:spacing w:before="120" w:after="120"/>
              <w:ind w:right="221"/>
              <w:jc w:val="right"/>
              <w:rPr>
                <w:rFonts w:cs="Arial"/>
                <w:snapToGrid/>
                <w:szCs w:val="24"/>
              </w:rPr>
            </w:pPr>
            <w:r w:rsidRPr="00664CE2">
              <w:rPr>
                <w:rFonts w:cs="Arial"/>
                <w:szCs w:val="22"/>
              </w:rPr>
              <w:t>$</w:t>
            </w:r>
            <w:r w:rsidR="00105370">
              <w:rPr>
                <w:rFonts w:cs="Arial"/>
                <w:szCs w:val="22"/>
              </w:rPr>
              <w:t>2.00</w:t>
            </w:r>
          </w:p>
        </w:tc>
        <w:tc>
          <w:tcPr>
            <w:tcW w:w="2250" w:type="dxa"/>
          </w:tcPr>
          <w:p w14:paraId="050E0C9E" w14:textId="10619E63" w:rsidR="00612ED7" w:rsidRPr="00664CE2" w:rsidRDefault="004825A8" w:rsidP="00DA4E53">
            <w:pPr>
              <w:widowControl/>
              <w:spacing w:before="120" w:after="120"/>
              <w:ind w:right="487"/>
              <w:jc w:val="right"/>
              <w:rPr>
                <w:rFonts w:cs="Arial"/>
                <w:snapToGrid/>
                <w:szCs w:val="24"/>
              </w:rPr>
            </w:pPr>
            <w:r>
              <w:rPr>
                <w:rFonts w:cs="Arial"/>
                <w:szCs w:val="22"/>
              </w:rPr>
              <w:t>27</w:t>
            </w:r>
            <w:r w:rsidR="00105370">
              <w:rPr>
                <w:rFonts w:cs="Arial"/>
                <w:szCs w:val="22"/>
              </w:rPr>
              <w:t>,000</w:t>
            </w:r>
          </w:p>
        </w:tc>
        <w:tc>
          <w:tcPr>
            <w:tcW w:w="2430" w:type="dxa"/>
          </w:tcPr>
          <w:p w14:paraId="050E0C9F" w14:textId="5B43CDC6" w:rsidR="00612ED7" w:rsidRPr="00664CE2" w:rsidRDefault="00612ED7" w:rsidP="00DA4E53">
            <w:pPr>
              <w:widowControl/>
              <w:spacing w:before="120" w:after="120"/>
              <w:ind w:right="703"/>
              <w:jc w:val="right"/>
              <w:rPr>
                <w:rFonts w:cs="Arial"/>
                <w:snapToGrid/>
                <w:szCs w:val="24"/>
              </w:rPr>
            </w:pPr>
            <w:r w:rsidRPr="00664CE2">
              <w:rPr>
                <w:rFonts w:cs="Arial"/>
                <w:szCs w:val="22"/>
              </w:rPr>
              <w:t>$</w:t>
            </w:r>
            <w:r w:rsidR="004825A8">
              <w:rPr>
                <w:rFonts w:cs="Arial"/>
                <w:szCs w:val="22"/>
              </w:rPr>
              <w:t>54</w:t>
            </w:r>
            <w:r w:rsidR="00105370">
              <w:rPr>
                <w:rFonts w:cs="Arial"/>
                <w:szCs w:val="22"/>
              </w:rPr>
              <w:t>,000</w:t>
            </w:r>
          </w:p>
        </w:tc>
      </w:tr>
      <w:tr w:rsidR="00612ED7" w:rsidRPr="005C3073" w14:paraId="050E0CA5" w14:textId="77777777" w:rsidTr="009A1846">
        <w:tc>
          <w:tcPr>
            <w:tcW w:w="3145" w:type="dxa"/>
          </w:tcPr>
          <w:p w14:paraId="050E0CA1" w14:textId="2DC887C2" w:rsidR="00612ED7" w:rsidRPr="00664CE2" w:rsidRDefault="00105370" w:rsidP="00DA4E53">
            <w:pPr>
              <w:widowControl/>
              <w:spacing w:before="120" w:after="120"/>
              <w:ind w:left="69"/>
              <w:rPr>
                <w:rFonts w:cs="Arial"/>
                <w:snapToGrid/>
                <w:szCs w:val="24"/>
              </w:rPr>
            </w:pPr>
            <w:r w:rsidRPr="00664CE2">
              <w:rPr>
                <w:rFonts w:cs="Arial"/>
                <w:szCs w:val="22"/>
              </w:rPr>
              <w:t>C</w:t>
            </w:r>
            <w:r>
              <w:rPr>
                <w:rFonts w:cs="Arial"/>
                <w:szCs w:val="22"/>
              </w:rPr>
              <w:t>alifornia Alternate Assessments</w:t>
            </w:r>
            <w:r w:rsidRPr="00664CE2">
              <w:rPr>
                <w:rFonts w:cs="Arial"/>
                <w:szCs w:val="22"/>
              </w:rPr>
              <w:t xml:space="preserve"> </w:t>
            </w:r>
            <w:r w:rsidR="00675F17" w:rsidRPr="00664CE2">
              <w:rPr>
                <w:rFonts w:cs="Arial"/>
                <w:szCs w:val="22"/>
              </w:rPr>
              <w:t>for ELA and mathematics</w:t>
            </w:r>
          </w:p>
        </w:tc>
        <w:tc>
          <w:tcPr>
            <w:tcW w:w="1350" w:type="dxa"/>
          </w:tcPr>
          <w:p w14:paraId="050E0CA2" w14:textId="77777777" w:rsidR="00612ED7" w:rsidRPr="00664CE2" w:rsidRDefault="00612ED7" w:rsidP="00DA4E53">
            <w:pPr>
              <w:widowControl/>
              <w:spacing w:before="120" w:after="120"/>
              <w:ind w:right="221"/>
              <w:jc w:val="right"/>
              <w:rPr>
                <w:rFonts w:cs="Arial"/>
                <w:snapToGrid/>
                <w:szCs w:val="24"/>
              </w:rPr>
            </w:pPr>
            <w:r w:rsidRPr="00664CE2">
              <w:rPr>
                <w:rFonts w:cs="Arial"/>
                <w:szCs w:val="22"/>
              </w:rPr>
              <w:t>$5.00</w:t>
            </w:r>
          </w:p>
        </w:tc>
        <w:tc>
          <w:tcPr>
            <w:tcW w:w="2250" w:type="dxa"/>
          </w:tcPr>
          <w:p w14:paraId="050E0CA3" w14:textId="73349A22" w:rsidR="00612ED7" w:rsidRPr="00664CE2" w:rsidRDefault="004825A8" w:rsidP="00DA4E53">
            <w:pPr>
              <w:widowControl/>
              <w:spacing w:before="120" w:after="120"/>
              <w:ind w:right="487"/>
              <w:jc w:val="right"/>
              <w:rPr>
                <w:rFonts w:cs="Arial"/>
                <w:snapToGrid/>
                <w:szCs w:val="24"/>
              </w:rPr>
            </w:pPr>
            <w:r>
              <w:rPr>
                <w:rFonts w:cs="Arial"/>
                <w:szCs w:val="22"/>
              </w:rPr>
              <w:t>8</w:t>
            </w:r>
            <w:r w:rsidR="00A92686">
              <w:rPr>
                <w:rFonts w:cs="Arial"/>
                <w:szCs w:val="22"/>
              </w:rPr>
              <w:t>00</w:t>
            </w:r>
          </w:p>
        </w:tc>
        <w:tc>
          <w:tcPr>
            <w:tcW w:w="2430" w:type="dxa"/>
          </w:tcPr>
          <w:p w14:paraId="050E0CA4" w14:textId="4409F3ED" w:rsidR="00612ED7" w:rsidRPr="00664CE2" w:rsidRDefault="00612ED7" w:rsidP="00DA4E53">
            <w:pPr>
              <w:widowControl/>
              <w:spacing w:before="120" w:after="120"/>
              <w:ind w:right="703"/>
              <w:jc w:val="right"/>
              <w:rPr>
                <w:rFonts w:cs="Arial"/>
                <w:snapToGrid/>
                <w:szCs w:val="24"/>
              </w:rPr>
            </w:pPr>
            <w:r w:rsidRPr="00664CE2">
              <w:rPr>
                <w:rFonts w:cs="Arial"/>
                <w:szCs w:val="22"/>
              </w:rPr>
              <w:t>$</w:t>
            </w:r>
            <w:r w:rsidR="004825A8">
              <w:rPr>
                <w:rFonts w:cs="Arial"/>
                <w:szCs w:val="22"/>
              </w:rPr>
              <w:t>4</w:t>
            </w:r>
            <w:r w:rsidR="00A92686">
              <w:rPr>
                <w:rFonts w:cs="Arial"/>
                <w:szCs w:val="22"/>
              </w:rPr>
              <w:t>,000</w:t>
            </w:r>
          </w:p>
        </w:tc>
      </w:tr>
      <w:tr w:rsidR="00612ED7" w:rsidRPr="005C3073" w14:paraId="050E0CAA" w14:textId="77777777" w:rsidTr="009A1846">
        <w:tc>
          <w:tcPr>
            <w:tcW w:w="3145" w:type="dxa"/>
          </w:tcPr>
          <w:p w14:paraId="050E0CA6" w14:textId="77777777" w:rsidR="00612ED7" w:rsidRPr="00664CE2" w:rsidRDefault="00612ED7" w:rsidP="00DA4E53">
            <w:pPr>
              <w:widowControl/>
              <w:spacing w:before="120" w:after="120"/>
              <w:ind w:left="69"/>
              <w:rPr>
                <w:rFonts w:cs="Arial"/>
                <w:snapToGrid/>
                <w:szCs w:val="24"/>
              </w:rPr>
            </w:pPr>
            <w:r w:rsidRPr="00664CE2">
              <w:rPr>
                <w:rFonts w:cs="Arial"/>
                <w:szCs w:val="22"/>
              </w:rPr>
              <w:t>CAA for Science</w:t>
            </w:r>
          </w:p>
        </w:tc>
        <w:tc>
          <w:tcPr>
            <w:tcW w:w="1350" w:type="dxa"/>
          </w:tcPr>
          <w:p w14:paraId="050E0CA7" w14:textId="77777777" w:rsidR="00612ED7" w:rsidRPr="00664CE2" w:rsidRDefault="00612ED7" w:rsidP="00DA4E53">
            <w:pPr>
              <w:widowControl/>
              <w:spacing w:before="120" w:after="120"/>
              <w:ind w:right="221"/>
              <w:jc w:val="right"/>
              <w:rPr>
                <w:rFonts w:cs="Arial"/>
                <w:snapToGrid/>
                <w:szCs w:val="24"/>
              </w:rPr>
            </w:pPr>
            <w:r w:rsidRPr="00664CE2">
              <w:rPr>
                <w:rFonts w:cs="Arial"/>
                <w:szCs w:val="22"/>
              </w:rPr>
              <w:t>$5.00</w:t>
            </w:r>
          </w:p>
        </w:tc>
        <w:tc>
          <w:tcPr>
            <w:tcW w:w="2250" w:type="dxa"/>
          </w:tcPr>
          <w:p w14:paraId="050E0CA8" w14:textId="3A65A142" w:rsidR="00612ED7" w:rsidRPr="00664CE2" w:rsidRDefault="004825A8" w:rsidP="00DA4E53">
            <w:pPr>
              <w:widowControl/>
              <w:spacing w:before="120" w:after="120"/>
              <w:ind w:right="487"/>
              <w:jc w:val="right"/>
              <w:rPr>
                <w:rFonts w:cs="Arial"/>
                <w:snapToGrid/>
                <w:szCs w:val="24"/>
              </w:rPr>
            </w:pPr>
            <w:r>
              <w:rPr>
                <w:rFonts w:cs="Arial"/>
                <w:szCs w:val="22"/>
              </w:rPr>
              <w:t>1</w:t>
            </w:r>
            <w:r w:rsidR="00A92686">
              <w:rPr>
                <w:rFonts w:cs="Arial"/>
                <w:szCs w:val="22"/>
              </w:rPr>
              <w:t>,</w:t>
            </w:r>
            <w:r>
              <w:rPr>
                <w:rFonts w:cs="Arial"/>
                <w:szCs w:val="22"/>
              </w:rPr>
              <w:t>4</w:t>
            </w:r>
            <w:r w:rsidR="00A92686">
              <w:rPr>
                <w:rFonts w:cs="Arial"/>
                <w:szCs w:val="22"/>
              </w:rPr>
              <w:t>00</w:t>
            </w:r>
          </w:p>
        </w:tc>
        <w:tc>
          <w:tcPr>
            <w:tcW w:w="2430" w:type="dxa"/>
          </w:tcPr>
          <w:p w14:paraId="050E0CA9" w14:textId="51144D65" w:rsidR="00612ED7" w:rsidRPr="00664CE2" w:rsidRDefault="00612ED7" w:rsidP="00DA4E53">
            <w:pPr>
              <w:widowControl/>
              <w:spacing w:before="120" w:after="120"/>
              <w:ind w:right="703"/>
              <w:jc w:val="right"/>
              <w:rPr>
                <w:rFonts w:cs="Arial"/>
                <w:snapToGrid/>
                <w:szCs w:val="24"/>
              </w:rPr>
            </w:pPr>
            <w:r w:rsidRPr="00664CE2">
              <w:rPr>
                <w:rFonts w:cs="Arial"/>
                <w:szCs w:val="22"/>
              </w:rPr>
              <w:t>$</w:t>
            </w:r>
            <w:r w:rsidR="00A92686">
              <w:rPr>
                <w:rFonts w:cs="Arial"/>
                <w:szCs w:val="22"/>
              </w:rPr>
              <w:t>7,</w:t>
            </w:r>
            <w:r w:rsidR="004825A8">
              <w:rPr>
                <w:rFonts w:cs="Arial"/>
                <w:szCs w:val="22"/>
              </w:rPr>
              <w:t>000</w:t>
            </w:r>
          </w:p>
        </w:tc>
      </w:tr>
      <w:tr w:rsidR="00612ED7" w:rsidRPr="005C3073" w14:paraId="050E0CAF" w14:textId="77777777" w:rsidTr="009A1846">
        <w:tc>
          <w:tcPr>
            <w:tcW w:w="3145" w:type="dxa"/>
          </w:tcPr>
          <w:p w14:paraId="050E0CAB" w14:textId="77347EEB" w:rsidR="00612ED7" w:rsidRPr="00664CE2" w:rsidRDefault="00FD33DF" w:rsidP="00DA4E53">
            <w:pPr>
              <w:widowControl/>
              <w:spacing w:before="120" w:after="120"/>
              <w:ind w:left="69"/>
              <w:rPr>
                <w:rFonts w:cs="Arial"/>
                <w:snapToGrid/>
                <w:szCs w:val="24"/>
              </w:rPr>
            </w:pPr>
            <w:r>
              <w:rPr>
                <w:rFonts w:cs="Arial"/>
                <w:szCs w:val="22"/>
              </w:rPr>
              <w:t>CSA</w:t>
            </w:r>
          </w:p>
        </w:tc>
        <w:tc>
          <w:tcPr>
            <w:tcW w:w="1350" w:type="dxa"/>
          </w:tcPr>
          <w:p w14:paraId="050E0CAC" w14:textId="42BECB88" w:rsidR="00612ED7" w:rsidRPr="00664CE2" w:rsidRDefault="00612ED7" w:rsidP="00DA4E53">
            <w:pPr>
              <w:widowControl/>
              <w:spacing w:before="120" w:after="120"/>
              <w:ind w:right="221"/>
              <w:jc w:val="right"/>
              <w:rPr>
                <w:rFonts w:cs="Arial"/>
                <w:snapToGrid/>
                <w:szCs w:val="24"/>
              </w:rPr>
            </w:pPr>
            <w:r w:rsidRPr="00664CE2">
              <w:rPr>
                <w:rFonts w:cs="Arial"/>
                <w:szCs w:val="22"/>
              </w:rPr>
              <w:t>$</w:t>
            </w:r>
            <w:r w:rsidR="00105370">
              <w:rPr>
                <w:rFonts w:cs="Arial"/>
                <w:szCs w:val="22"/>
              </w:rPr>
              <w:t>5.00</w:t>
            </w:r>
          </w:p>
        </w:tc>
        <w:tc>
          <w:tcPr>
            <w:tcW w:w="2250" w:type="dxa"/>
          </w:tcPr>
          <w:p w14:paraId="050E0CAD" w14:textId="33130460" w:rsidR="00612ED7" w:rsidRPr="00664CE2" w:rsidRDefault="00B27E6B" w:rsidP="00DA4E53">
            <w:pPr>
              <w:widowControl/>
              <w:spacing w:before="120" w:after="120"/>
              <w:ind w:right="487"/>
              <w:jc w:val="right"/>
              <w:rPr>
                <w:rFonts w:cs="Arial"/>
                <w:snapToGrid/>
                <w:szCs w:val="24"/>
              </w:rPr>
            </w:pPr>
            <w:r>
              <w:rPr>
                <w:rFonts w:cs="Arial"/>
                <w:szCs w:val="22"/>
              </w:rPr>
              <w:t>1</w:t>
            </w:r>
            <w:r w:rsidR="004825A8">
              <w:rPr>
                <w:rFonts w:cs="Arial"/>
                <w:szCs w:val="22"/>
              </w:rPr>
              <w:t>,3</w:t>
            </w:r>
            <w:r w:rsidR="00105370">
              <w:rPr>
                <w:rFonts w:cs="Arial"/>
                <w:szCs w:val="22"/>
              </w:rPr>
              <w:t>00</w:t>
            </w:r>
          </w:p>
        </w:tc>
        <w:tc>
          <w:tcPr>
            <w:tcW w:w="2430" w:type="dxa"/>
          </w:tcPr>
          <w:p w14:paraId="050E0CAE" w14:textId="1C19CDB6" w:rsidR="00612ED7" w:rsidRPr="00664CE2" w:rsidRDefault="00612ED7" w:rsidP="00DA4E53">
            <w:pPr>
              <w:widowControl/>
              <w:spacing w:before="120" w:after="120"/>
              <w:ind w:right="703"/>
              <w:jc w:val="right"/>
              <w:rPr>
                <w:rFonts w:cs="Arial"/>
                <w:snapToGrid/>
                <w:szCs w:val="24"/>
              </w:rPr>
            </w:pPr>
            <w:r w:rsidRPr="00664CE2">
              <w:rPr>
                <w:rFonts w:cs="Arial"/>
                <w:szCs w:val="22"/>
              </w:rPr>
              <w:t>$</w:t>
            </w:r>
            <w:r w:rsidR="004825A8">
              <w:rPr>
                <w:rFonts w:cs="Arial"/>
                <w:szCs w:val="22"/>
              </w:rPr>
              <w:t>6</w:t>
            </w:r>
            <w:r w:rsidR="00105370">
              <w:rPr>
                <w:rFonts w:cs="Arial"/>
                <w:szCs w:val="22"/>
              </w:rPr>
              <w:t>,</w:t>
            </w:r>
            <w:r w:rsidR="004825A8">
              <w:rPr>
                <w:rFonts w:cs="Arial"/>
                <w:szCs w:val="22"/>
              </w:rPr>
              <w:t>5</w:t>
            </w:r>
            <w:r w:rsidR="00105370">
              <w:rPr>
                <w:rFonts w:cs="Arial"/>
                <w:szCs w:val="22"/>
              </w:rPr>
              <w:t>00</w:t>
            </w:r>
          </w:p>
        </w:tc>
      </w:tr>
      <w:tr w:rsidR="00612ED7" w:rsidRPr="005C3073" w14:paraId="050E0CB9" w14:textId="77777777" w:rsidTr="009A1846">
        <w:trPr>
          <w:trHeight w:val="350"/>
        </w:trPr>
        <w:tc>
          <w:tcPr>
            <w:tcW w:w="3145" w:type="dxa"/>
          </w:tcPr>
          <w:p w14:paraId="050E0CB5" w14:textId="6065A6AF" w:rsidR="00612ED7" w:rsidRPr="00664CE2" w:rsidRDefault="00047AA5" w:rsidP="00DA4E53">
            <w:pPr>
              <w:widowControl/>
              <w:spacing w:before="120" w:after="120"/>
              <w:ind w:left="69"/>
              <w:rPr>
                <w:rFonts w:cs="Arial"/>
                <w:snapToGrid/>
                <w:szCs w:val="24"/>
              </w:rPr>
            </w:pPr>
            <w:r w:rsidRPr="00664CE2">
              <w:rPr>
                <w:rFonts w:cs="Arial"/>
                <w:szCs w:val="22"/>
              </w:rPr>
              <w:t>G</w:t>
            </w:r>
            <w:r w:rsidR="00612ED7" w:rsidRPr="00664CE2">
              <w:rPr>
                <w:rFonts w:cs="Arial"/>
                <w:szCs w:val="22"/>
              </w:rPr>
              <w:t>rade 2 diagnostic</w:t>
            </w:r>
            <w:r w:rsidR="00105370">
              <w:rPr>
                <w:rFonts w:cs="Arial"/>
                <w:szCs w:val="22"/>
              </w:rPr>
              <w:t xml:space="preserve"> assessments</w:t>
            </w:r>
            <w:r w:rsidR="00664CE2">
              <w:rPr>
                <w:rFonts w:cs="Arial"/>
                <w:szCs w:val="22"/>
              </w:rPr>
              <w:br/>
            </w:r>
            <w:r w:rsidRPr="00664CE2">
              <w:rPr>
                <w:rFonts w:cs="Arial"/>
                <w:szCs w:val="22"/>
              </w:rPr>
              <w:t>(</w:t>
            </w:r>
            <w:r w:rsidRPr="00664CE2">
              <w:rPr>
                <w:rFonts w:cs="Arial"/>
                <w:i/>
                <w:szCs w:val="22"/>
              </w:rPr>
              <w:t>EC</w:t>
            </w:r>
            <w:r w:rsidRPr="00664CE2">
              <w:rPr>
                <w:rFonts w:cs="Arial"/>
                <w:szCs w:val="22"/>
              </w:rPr>
              <w:t xml:space="preserve"> 60644)</w:t>
            </w:r>
            <w:r w:rsidR="00612ED7" w:rsidRPr="00664CE2">
              <w:rPr>
                <w:rFonts w:cs="Arial"/>
                <w:szCs w:val="22"/>
              </w:rPr>
              <w:t xml:space="preserve"> </w:t>
            </w:r>
          </w:p>
        </w:tc>
        <w:tc>
          <w:tcPr>
            <w:tcW w:w="1350" w:type="dxa"/>
          </w:tcPr>
          <w:p w14:paraId="050E0CB6" w14:textId="77777777" w:rsidR="00612ED7" w:rsidRPr="00664CE2" w:rsidRDefault="00612ED7" w:rsidP="00DA4E53">
            <w:pPr>
              <w:widowControl/>
              <w:spacing w:before="120" w:after="120"/>
              <w:ind w:right="221"/>
              <w:jc w:val="right"/>
              <w:rPr>
                <w:rFonts w:cs="Arial"/>
                <w:snapToGrid/>
                <w:szCs w:val="24"/>
              </w:rPr>
            </w:pPr>
            <w:r w:rsidRPr="00664CE2">
              <w:rPr>
                <w:rFonts w:cs="Arial"/>
                <w:szCs w:val="22"/>
              </w:rPr>
              <w:t>$2.52</w:t>
            </w:r>
          </w:p>
        </w:tc>
        <w:tc>
          <w:tcPr>
            <w:tcW w:w="2250" w:type="dxa"/>
          </w:tcPr>
          <w:p w14:paraId="050E0CB7" w14:textId="7864F570" w:rsidR="00612ED7" w:rsidRPr="00664CE2" w:rsidRDefault="004825A8" w:rsidP="00DA4E53">
            <w:pPr>
              <w:widowControl/>
              <w:spacing w:before="120" w:after="120"/>
              <w:ind w:right="487"/>
              <w:jc w:val="right"/>
              <w:rPr>
                <w:rFonts w:cs="Arial"/>
                <w:b/>
                <w:snapToGrid/>
                <w:szCs w:val="24"/>
              </w:rPr>
            </w:pPr>
            <w:r>
              <w:rPr>
                <w:rFonts w:cs="Arial"/>
                <w:szCs w:val="22"/>
              </w:rPr>
              <w:t>2</w:t>
            </w:r>
            <w:r w:rsidR="00A92686">
              <w:rPr>
                <w:rFonts w:cs="Arial"/>
                <w:szCs w:val="22"/>
              </w:rPr>
              <w:t>,</w:t>
            </w:r>
            <w:r>
              <w:rPr>
                <w:rFonts w:cs="Arial"/>
                <w:szCs w:val="22"/>
              </w:rPr>
              <w:t>5</w:t>
            </w:r>
            <w:r w:rsidR="00A92686">
              <w:rPr>
                <w:rFonts w:cs="Arial"/>
                <w:szCs w:val="22"/>
              </w:rPr>
              <w:t>00</w:t>
            </w:r>
          </w:p>
        </w:tc>
        <w:tc>
          <w:tcPr>
            <w:tcW w:w="2430" w:type="dxa"/>
          </w:tcPr>
          <w:p w14:paraId="050E0CB8" w14:textId="3AC7CDBB" w:rsidR="00612ED7" w:rsidRPr="00664CE2" w:rsidRDefault="00612ED7" w:rsidP="00DA4E53">
            <w:pPr>
              <w:widowControl/>
              <w:spacing w:before="120" w:after="120"/>
              <w:ind w:right="703"/>
              <w:jc w:val="right"/>
              <w:rPr>
                <w:rFonts w:cs="Arial"/>
                <w:b/>
                <w:snapToGrid/>
                <w:szCs w:val="24"/>
              </w:rPr>
            </w:pPr>
            <w:r w:rsidRPr="00664CE2">
              <w:rPr>
                <w:rFonts w:cs="Arial"/>
                <w:szCs w:val="22"/>
              </w:rPr>
              <w:t>$</w:t>
            </w:r>
            <w:r w:rsidR="004825A8">
              <w:rPr>
                <w:rFonts w:cs="Arial"/>
                <w:szCs w:val="22"/>
              </w:rPr>
              <w:t>6</w:t>
            </w:r>
            <w:r w:rsidR="00A92686">
              <w:rPr>
                <w:rFonts w:cs="Arial"/>
                <w:szCs w:val="22"/>
              </w:rPr>
              <w:t>,</w:t>
            </w:r>
            <w:r w:rsidR="004825A8">
              <w:rPr>
                <w:rFonts w:cs="Arial"/>
                <w:szCs w:val="22"/>
              </w:rPr>
              <w:t>3</w:t>
            </w:r>
            <w:r w:rsidR="00A92686">
              <w:rPr>
                <w:rFonts w:cs="Arial"/>
                <w:szCs w:val="22"/>
              </w:rPr>
              <w:t>00</w:t>
            </w:r>
          </w:p>
        </w:tc>
      </w:tr>
      <w:tr w:rsidR="00B75BED" w:rsidRPr="005C3073" w14:paraId="56DF0834" w14:textId="77777777" w:rsidTr="009A1846">
        <w:trPr>
          <w:trHeight w:val="350"/>
        </w:trPr>
        <w:tc>
          <w:tcPr>
            <w:tcW w:w="3145" w:type="dxa"/>
          </w:tcPr>
          <w:p w14:paraId="41E6EDBA" w14:textId="3F8CCB12" w:rsidR="00B75BED" w:rsidRDefault="00B75BED" w:rsidP="00DA4E53">
            <w:pPr>
              <w:widowControl/>
              <w:spacing w:before="120" w:after="120"/>
              <w:ind w:left="69"/>
              <w:rPr>
                <w:rFonts w:cs="Arial"/>
                <w:szCs w:val="22"/>
              </w:rPr>
            </w:pPr>
            <w:r>
              <w:rPr>
                <w:rFonts w:cs="Arial"/>
                <w:szCs w:val="22"/>
              </w:rPr>
              <w:t xml:space="preserve">Students not tested due to medical emergency </w:t>
            </w:r>
            <w:r w:rsidR="00575F37">
              <w:rPr>
                <w:rFonts w:cs="Arial"/>
                <w:szCs w:val="22"/>
              </w:rPr>
              <w:t>and</w:t>
            </w:r>
            <w:r>
              <w:rPr>
                <w:rFonts w:cs="Arial"/>
                <w:szCs w:val="22"/>
              </w:rPr>
              <w:t xml:space="preserve"> parent/guardian exemptions</w:t>
            </w:r>
          </w:p>
        </w:tc>
        <w:tc>
          <w:tcPr>
            <w:tcW w:w="1350" w:type="dxa"/>
          </w:tcPr>
          <w:p w14:paraId="533AE165" w14:textId="6B8C2B71" w:rsidR="00B75BED" w:rsidRPr="00664CE2" w:rsidRDefault="00B75BED" w:rsidP="00DA4E53">
            <w:pPr>
              <w:widowControl/>
              <w:spacing w:before="120" w:after="120"/>
              <w:ind w:right="221"/>
              <w:jc w:val="right"/>
              <w:rPr>
                <w:rFonts w:cs="Arial"/>
                <w:szCs w:val="22"/>
              </w:rPr>
            </w:pPr>
            <w:r>
              <w:rPr>
                <w:rFonts w:cs="Arial"/>
                <w:szCs w:val="22"/>
              </w:rPr>
              <w:t>$1.00</w:t>
            </w:r>
          </w:p>
        </w:tc>
        <w:tc>
          <w:tcPr>
            <w:tcW w:w="2250" w:type="dxa"/>
          </w:tcPr>
          <w:p w14:paraId="14E5BDF4" w14:textId="27E043E3" w:rsidR="00B75BED" w:rsidRDefault="004825A8" w:rsidP="00DA4E53">
            <w:pPr>
              <w:widowControl/>
              <w:spacing w:before="120" w:after="120"/>
              <w:ind w:right="487"/>
              <w:jc w:val="right"/>
              <w:rPr>
                <w:rFonts w:cs="Arial"/>
                <w:szCs w:val="22"/>
              </w:rPr>
            </w:pPr>
            <w:r>
              <w:rPr>
                <w:rFonts w:cs="Arial"/>
                <w:szCs w:val="22"/>
              </w:rPr>
              <w:t>3,250</w:t>
            </w:r>
            <w:r w:rsidR="00A92686">
              <w:rPr>
                <w:rFonts w:cs="Arial"/>
                <w:szCs w:val="22"/>
              </w:rPr>
              <w:t>,</w:t>
            </w:r>
            <w:r>
              <w:rPr>
                <w:rFonts w:cs="Arial"/>
                <w:szCs w:val="22"/>
              </w:rPr>
              <w:t>0</w:t>
            </w:r>
            <w:r w:rsidR="00A92686">
              <w:rPr>
                <w:rFonts w:cs="Arial"/>
                <w:szCs w:val="22"/>
              </w:rPr>
              <w:t>00</w:t>
            </w:r>
          </w:p>
        </w:tc>
        <w:tc>
          <w:tcPr>
            <w:tcW w:w="2430" w:type="dxa"/>
          </w:tcPr>
          <w:p w14:paraId="4CB50073" w14:textId="496E933F" w:rsidR="00B75BED" w:rsidRDefault="00B75BED" w:rsidP="00DA4E53">
            <w:pPr>
              <w:widowControl/>
              <w:spacing w:before="120" w:after="120"/>
              <w:ind w:right="703"/>
              <w:jc w:val="right"/>
              <w:rPr>
                <w:rFonts w:cs="Arial"/>
                <w:szCs w:val="22"/>
              </w:rPr>
            </w:pPr>
            <w:r>
              <w:rPr>
                <w:rFonts w:cs="Arial"/>
                <w:szCs w:val="22"/>
              </w:rPr>
              <w:t>$</w:t>
            </w:r>
            <w:r w:rsidR="004825A8">
              <w:rPr>
                <w:rFonts w:cs="Arial"/>
                <w:szCs w:val="22"/>
              </w:rPr>
              <w:t>3,250</w:t>
            </w:r>
            <w:r w:rsidR="00A92686">
              <w:rPr>
                <w:rFonts w:cs="Arial"/>
                <w:szCs w:val="22"/>
              </w:rPr>
              <w:t>,</w:t>
            </w:r>
            <w:r w:rsidR="004825A8">
              <w:rPr>
                <w:rFonts w:cs="Arial"/>
                <w:szCs w:val="22"/>
              </w:rPr>
              <w:t>0</w:t>
            </w:r>
            <w:r w:rsidR="00A92686">
              <w:rPr>
                <w:rFonts w:cs="Arial"/>
                <w:szCs w:val="22"/>
              </w:rPr>
              <w:t>00</w:t>
            </w:r>
          </w:p>
        </w:tc>
      </w:tr>
      <w:tr w:rsidR="00B75BED" w:rsidRPr="005C3073" w14:paraId="6B691A93" w14:textId="77777777" w:rsidTr="009A1846">
        <w:trPr>
          <w:trHeight w:val="350"/>
        </w:trPr>
        <w:tc>
          <w:tcPr>
            <w:tcW w:w="3145" w:type="dxa"/>
          </w:tcPr>
          <w:p w14:paraId="7F68B9E5" w14:textId="73FDB297" w:rsidR="00B75BED" w:rsidRDefault="00B75BED" w:rsidP="00DA4E53">
            <w:pPr>
              <w:widowControl/>
              <w:spacing w:before="120" w:after="120"/>
              <w:ind w:left="69"/>
              <w:rPr>
                <w:rFonts w:cs="Arial"/>
                <w:szCs w:val="22"/>
              </w:rPr>
            </w:pPr>
            <w:r>
              <w:rPr>
                <w:rFonts w:cs="Arial"/>
                <w:szCs w:val="22"/>
              </w:rPr>
              <w:t>Total:</w:t>
            </w:r>
          </w:p>
        </w:tc>
        <w:tc>
          <w:tcPr>
            <w:tcW w:w="1350" w:type="dxa"/>
          </w:tcPr>
          <w:p w14:paraId="6FB094DA" w14:textId="5BF30EA1" w:rsidR="00B75BED" w:rsidRDefault="00525C5A" w:rsidP="00DA4E53">
            <w:pPr>
              <w:widowControl/>
              <w:spacing w:before="120" w:after="120"/>
              <w:ind w:right="221"/>
              <w:jc w:val="right"/>
              <w:rPr>
                <w:rFonts w:cs="Arial"/>
                <w:szCs w:val="22"/>
              </w:rPr>
            </w:pPr>
            <w:r>
              <w:rPr>
                <w:rFonts w:cs="Arial"/>
                <w:szCs w:val="22"/>
              </w:rPr>
              <w:t>N/A</w:t>
            </w:r>
          </w:p>
        </w:tc>
        <w:tc>
          <w:tcPr>
            <w:tcW w:w="2250" w:type="dxa"/>
          </w:tcPr>
          <w:p w14:paraId="644B6967" w14:textId="17A2E358" w:rsidR="00B75BED" w:rsidRDefault="20257623" w:rsidP="009A1846">
            <w:pPr>
              <w:widowControl/>
              <w:tabs>
                <w:tab w:val="decimal" w:pos="1602"/>
              </w:tabs>
              <w:spacing w:before="120" w:after="120"/>
              <w:rPr>
                <w:rFonts w:cs="Arial"/>
              </w:rPr>
            </w:pPr>
            <w:r w:rsidRPr="65E3DBE1">
              <w:rPr>
                <w:rFonts w:cs="Arial"/>
              </w:rPr>
              <w:t>3,304,000</w:t>
            </w:r>
          </w:p>
        </w:tc>
        <w:tc>
          <w:tcPr>
            <w:tcW w:w="2430" w:type="dxa"/>
          </w:tcPr>
          <w:p w14:paraId="3C177826" w14:textId="6B4168BD" w:rsidR="00B75BED" w:rsidRDefault="191FF7E1" w:rsidP="00DA4E53">
            <w:pPr>
              <w:widowControl/>
              <w:spacing w:before="120" w:after="120"/>
              <w:ind w:right="703"/>
              <w:jc w:val="right"/>
              <w:rPr>
                <w:rFonts w:cs="Arial"/>
              </w:rPr>
            </w:pPr>
            <w:r w:rsidRPr="7B32D067">
              <w:rPr>
                <w:rFonts w:cs="Arial"/>
              </w:rPr>
              <w:t>$</w:t>
            </w:r>
            <w:r w:rsidR="004825A8">
              <w:rPr>
                <w:rFonts w:cs="Arial"/>
              </w:rPr>
              <w:t>3</w:t>
            </w:r>
            <w:r w:rsidR="30280613" w:rsidRPr="7B32D067">
              <w:rPr>
                <w:rFonts w:cs="Arial"/>
              </w:rPr>
              <w:t>,</w:t>
            </w:r>
            <w:r w:rsidR="004825A8">
              <w:rPr>
                <w:rFonts w:cs="Arial"/>
              </w:rPr>
              <w:t>411</w:t>
            </w:r>
            <w:r w:rsidR="30280613" w:rsidRPr="7B32D067">
              <w:rPr>
                <w:rFonts w:cs="Arial"/>
              </w:rPr>
              <w:t>,</w:t>
            </w:r>
            <w:r w:rsidR="004825A8">
              <w:rPr>
                <w:rFonts w:cs="Arial"/>
              </w:rPr>
              <w:t>8</w:t>
            </w:r>
            <w:r w:rsidR="30280613" w:rsidRPr="7B32D067">
              <w:rPr>
                <w:rFonts w:cs="Arial"/>
              </w:rPr>
              <w:t>00</w:t>
            </w:r>
          </w:p>
        </w:tc>
      </w:tr>
    </w:tbl>
    <w:p w14:paraId="050E0CBB" w14:textId="77777777" w:rsidR="00EB000A" w:rsidRPr="00F0571C" w:rsidRDefault="00EB000A" w:rsidP="00DA4E53">
      <w:pPr>
        <w:pStyle w:val="Heading2"/>
        <w:spacing w:before="240" w:beforeAutospacing="0" w:after="0" w:afterAutospacing="0"/>
        <w:rPr>
          <w:rFonts w:cs="Arial"/>
          <w:iCs/>
          <w:szCs w:val="32"/>
        </w:rPr>
      </w:pPr>
      <w:bookmarkStart w:id="61" w:name="_Toc2346325"/>
      <w:bookmarkStart w:id="62" w:name="_Toc43122222"/>
      <w:r w:rsidRPr="00F0571C">
        <w:rPr>
          <w:szCs w:val="32"/>
        </w:rPr>
        <w:t>Five-</w:t>
      </w:r>
      <w:r w:rsidR="00894443" w:rsidRPr="00F0571C">
        <w:rPr>
          <w:szCs w:val="32"/>
        </w:rPr>
        <w:t>Y</w:t>
      </w:r>
      <w:r w:rsidRPr="00F0571C">
        <w:rPr>
          <w:szCs w:val="32"/>
        </w:rPr>
        <w:t>ear Cost Projection</w:t>
      </w:r>
      <w:bookmarkEnd w:id="61"/>
      <w:bookmarkEnd w:id="62"/>
    </w:p>
    <w:p w14:paraId="050E0CBC" w14:textId="22E62509" w:rsidR="00523F17" w:rsidRPr="005C3073" w:rsidRDefault="00EB000A" w:rsidP="00DA4E53">
      <w:pPr>
        <w:widowControl/>
        <w:spacing w:before="0" w:after="0"/>
        <w:rPr>
          <w:rFonts w:cs="Arial"/>
          <w:iCs/>
          <w:szCs w:val="24"/>
        </w:rPr>
      </w:pPr>
      <w:r w:rsidRPr="005C3073">
        <w:rPr>
          <w:rFonts w:cs="Arial"/>
          <w:iCs/>
          <w:szCs w:val="24"/>
        </w:rPr>
        <w:t xml:space="preserve">The annual Budget Act provides funding for both contract costs and LEA apportionment costs. Cost projections are refined annually as contracts are negotiated and approved and </w:t>
      </w:r>
      <w:r w:rsidR="001C1F5B">
        <w:rPr>
          <w:rFonts w:cs="Arial"/>
          <w:iCs/>
          <w:szCs w:val="24"/>
        </w:rPr>
        <w:t xml:space="preserve">as </w:t>
      </w:r>
      <w:r w:rsidRPr="005C3073">
        <w:rPr>
          <w:rFonts w:cs="Arial"/>
          <w:iCs/>
          <w:szCs w:val="24"/>
        </w:rPr>
        <w:t xml:space="preserve">activities are completed for each </w:t>
      </w:r>
      <w:r w:rsidR="009D275B" w:rsidRPr="005C3073">
        <w:rPr>
          <w:rFonts w:cs="Arial"/>
          <w:iCs/>
          <w:szCs w:val="24"/>
        </w:rPr>
        <w:t xml:space="preserve">implementation </w:t>
      </w:r>
      <w:r w:rsidRPr="005C3073">
        <w:rPr>
          <w:rFonts w:cs="Arial"/>
          <w:iCs/>
          <w:szCs w:val="24"/>
        </w:rPr>
        <w:t xml:space="preserve">phase of the </w:t>
      </w:r>
      <w:r w:rsidR="00D7048A" w:rsidRPr="005C3073">
        <w:rPr>
          <w:rFonts w:cs="Arial"/>
          <w:iCs/>
          <w:szCs w:val="24"/>
        </w:rPr>
        <w:t>CAASPP System.</w:t>
      </w:r>
      <w:r w:rsidRPr="005C3073">
        <w:rPr>
          <w:rFonts w:cs="Arial"/>
          <w:iCs/>
          <w:szCs w:val="24"/>
        </w:rPr>
        <w:t xml:space="preserve"> </w:t>
      </w:r>
    </w:p>
    <w:p w14:paraId="050E0CBD" w14:textId="0E6C3E6A" w:rsidR="00976A99" w:rsidRPr="005C3073" w:rsidRDefault="00DB1101" w:rsidP="00F95870">
      <w:pPr>
        <w:widowControl/>
        <w:rPr>
          <w:rFonts w:cs="Arial"/>
        </w:rPr>
      </w:pPr>
      <w:r>
        <w:t xml:space="preserve">Cost projections for the state-managed services contract are from </w:t>
      </w:r>
      <w:r w:rsidR="00D7048A">
        <w:t xml:space="preserve">the </w:t>
      </w:r>
      <w:r>
        <w:t>approved state-managed CAASPP contract services (</w:t>
      </w:r>
      <w:r w:rsidRPr="006D5C07">
        <w:t xml:space="preserve">see </w:t>
      </w:r>
      <w:r w:rsidR="00575F37">
        <w:t>T</w:t>
      </w:r>
      <w:r w:rsidRPr="006D5C07">
        <w:t xml:space="preserve">able </w:t>
      </w:r>
      <w:r w:rsidR="00A43D44" w:rsidRPr="006D5C07">
        <w:t>4</w:t>
      </w:r>
      <w:r w:rsidR="00C04013" w:rsidRPr="006D5C07">
        <w:t xml:space="preserve">, p. </w:t>
      </w:r>
      <w:r w:rsidR="05D30B5A" w:rsidRPr="006D5C07">
        <w:t>2</w:t>
      </w:r>
      <w:r w:rsidR="006D5C07" w:rsidRPr="006D5C07">
        <w:t>6</w:t>
      </w:r>
      <w:r>
        <w:t xml:space="preserve">). State-managed services contract costs include funding for the development of the CAST, </w:t>
      </w:r>
      <w:r w:rsidR="00767820">
        <w:t xml:space="preserve">the </w:t>
      </w:r>
      <w:r w:rsidR="00D7048A">
        <w:t>CAA</w:t>
      </w:r>
      <w:r>
        <w:t xml:space="preserve"> for Science, and </w:t>
      </w:r>
      <w:r w:rsidR="00767820">
        <w:t xml:space="preserve">the </w:t>
      </w:r>
      <w:r>
        <w:t>CSA.</w:t>
      </w:r>
      <w:r w:rsidR="005E1129">
        <w:t xml:space="preserve"> </w:t>
      </w:r>
      <w:r w:rsidR="00E92F83">
        <w:t>T</w:t>
      </w:r>
      <w:r w:rsidR="005E1129">
        <w:t xml:space="preserve">he costs for </w:t>
      </w:r>
      <w:r w:rsidR="000E142F">
        <w:t>2018–19</w:t>
      </w:r>
      <w:r w:rsidR="005E1129">
        <w:t xml:space="preserve"> and </w:t>
      </w:r>
      <w:r w:rsidR="000E142F">
        <w:t>2019–2020</w:t>
      </w:r>
      <w:r>
        <w:t xml:space="preserve"> include reporting the results of the CAA</w:t>
      </w:r>
      <w:r w:rsidR="004D78C5">
        <w:t>s for ELA, mathematics, and</w:t>
      </w:r>
      <w:r w:rsidR="003374BF">
        <w:t xml:space="preserve"> </w:t>
      </w:r>
      <w:r w:rsidR="004D78C5">
        <w:t>science</w:t>
      </w:r>
      <w:r>
        <w:t>.</w:t>
      </w:r>
      <w:r w:rsidRPr="005C3073">
        <w:rPr>
          <w:rFonts w:cs="Arial"/>
          <w:iCs/>
          <w:sz w:val="18"/>
          <w:szCs w:val="18"/>
        </w:rPr>
        <w:t xml:space="preserve"> </w:t>
      </w:r>
      <w:r w:rsidRPr="778739F0">
        <w:rPr>
          <w:rFonts w:cs="Arial"/>
        </w:rPr>
        <w:t xml:space="preserve">Table </w:t>
      </w:r>
      <w:r w:rsidR="00A43D44" w:rsidRPr="778739F0">
        <w:rPr>
          <w:rFonts w:cs="Arial"/>
        </w:rPr>
        <w:t>7</w:t>
      </w:r>
      <w:r w:rsidRPr="778739F0">
        <w:rPr>
          <w:rFonts w:cs="Arial"/>
        </w:rPr>
        <w:t xml:space="preserve">, </w:t>
      </w:r>
      <w:r w:rsidR="00A214FF" w:rsidRPr="778739F0">
        <w:rPr>
          <w:rFonts w:cs="Arial"/>
        </w:rPr>
        <w:t>on the following page</w:t>
      </w:r>
      <w:r w:rsidRPr="778739F0">
        <w:rPr>
          <w:rFonts w:cs="Arial"/>
        </w:rPr>
        <w:t>, provides an updated five-year projection of CAASPP contract costs.</w:t>
      </w:r>
    </w:p>
    <w:p w14:paraId="050E0CBE" w14:textId="1FC58951" w:rsidR="00EB000A" w:rsidRPr="005C3073" w:rsidRDefault="00EB000A" w:rsidP="009A1846">
      <w:pPr>
        <w:keepNext/>
        <w:widowControl/>
        <w:spacing w:after="120"/>
        <w:rPr>
          <w:rFonts w:cs="Arial"/>
          <w:b/>
          <w:iCs/>
          <w:szCs w:val="24"/>
        </w:rPr>
      </w:pPr>
      <w:r w:rsidRPr="00490E08">
        <w:rPr>
          <w:rFonts w:cs="Arial"/>
          <w:iCs/>
          <w:szCs w:val="24"/>
        </w:rPr>
        <w:lastRenderedPageBreak/>
        <w:t xml:space="preserve">Table </w:t>
      </w:r>
      <w:r w:rsidR="00A43D44" w:rsidRPr="00490E08">
        <w:rPr>
          <w:rFonts w:cs="Arial"/>
          <w:iCs/>
          <w:szCs w:val="24"/>
        </w:rPr>
        <w:t>7</w:t>
      </w:r>
      <w:r w:rsidRPr="00490E08">
        <w:rPr>
          <w:rFonts w:cs="Arial"/>
          <w:iCs/>
          <w:szCs w:val="24"/>
        </w:rPr>
        <w:t>.</w:t>
      </w:r>
      <w:r w:rsidRPr="005C3073">
        <w:rPr>
          <w:rFonts w:cs="Arial"/>
          <w:b/>
          <w:iCs/>
          <w:szCs w:val="24"/>
        </w:rPr>
        <w:t xml:space="preserve"> </w:t>
      </w:r>
      <w:r w:rsidRPr="005C3073">
        <w:rPr>
          <w:rFonts w:cs="Arial"/>
          <w:iCs/>
          <w:szCs w:val="24"/>
        </w:rPr>
        <w:t>Five-</w:t>
      </w:r>
      <w:r w:rsidR="0024393C">
        <w:rPr>
          <w:rFonts w:cs="Arial"/>
          <w:iCs/>
          <w:szCs w:val="24"/>
        </w:rPr>
        <w:t>Y</w:t>
      </w:r>
      <w:r w:rsidRPr="005C3073">
        <w:rPr>
          <w:rFonts w:cs="Arial"/>
          <w:iCs/>
          <w:szCs w:val="24"/>
        </w:rPr>
        <w:t>ear Projection of CAASPP Contract Costs</w:t>
      </w:r>
    </w:p>
    <w:tbl>
      <w:tblPr>
        <w:tblStyle w:val="TableGrid"/>
        <w:tblW w:w="9355" w:type="dxa"/>
        <w:tblLayout w:type="fixed"/>
        <w:tblLook w:val="0020" w:firstRow="1" w:lastRow="0" w:firstColumn="0" w:lastColumn="0" w:noHBand="0" w:noVBand="0"/>
        <w:tblDescription w:val="Five-Year Cost Projections"/>
      </w:tblPr>
      <w:tblGrid>
        <w:gridCol w:w="1435"/>
        <w:gridCol w:w="2160"/>
        <w:gridCol w:w="1890"/>
        <w:gridCol w:w="1890"/>
        <w:gridCol w:w="1980"/>
      </w:tblGrid>
      <w:tr w:rsidR="00B83FC4" w:rsidRPr="005C3073" w14:paraId="050E0CC4" w14:textId="77777777" w:rsidTr="007C23FF">
        <w:trPr>
          <w:cantSplit/>
          <w:trHeight w:val="742"/>
          <w:tblHeader/>
        </w:trPr>
        <w:tc>
          <w:tcPr>
            <w:tcW w:w="1435" w:type="dxa"/>
            <w:shd w:val="clear" w:color="auto" w:fill="D0CECE" w:themeFill="background2" w:themeFillShade="E6"/>
          </w:tcPr>
          <w:p w14:paraId="050E0CBF" w14:textId="77777777" w:rsidR="00B83FC4" w:rsidRPr="005C3073" w:rsidRDefault="00B83FC4" w:rsidP="009A1846">
            <w:pPr>
              <w:keepNext/>
              <w:widowControl/>
              <w:spacing w:before="120" w:after="120"/>
              <w:ind w:left="-52"/>
              <w:jc w:val="center"/>
              <w:rPr>
                <w:rFonts w:cs="Arial"/>
                <w:b/>
                <w:bCs/>
                <w:iCs/>
                <w:szCs w:val="24"/>
              </w:rPr>
            </w:pPr>
            <w:r w:rsidRPr="005C3073">
              <w:rPr>
                <w:rFonts w:cs="Arial"/>
                <w:b/>
                <w:bCs/>
                <w:iCs/>
                <w:szCs w:val="24"/>
              </w:rPr>
              <w:t>Fiscal Year</w:t>
            </w:r>
          </w:p>
        </w:tc>
        <w:tc>
          <w:tcPr>
            <w:tcW w:w="2160" w:type="dxa"/>
            <w:shd w:val="clear" w:color="auto" w:fill="D0CECE" w:themeFill="background2" w:themeFillShade="E6"/>
          </w:tcPr>
          <w:p w14:paraId="050E0CC0" w14:textId="4CA7AE73" w:rsidR="00B83FC4" w:rsidRPr="005C3073" w:rsidRDefault="00B83FC4" w:rsidP="009A1846">
            <w:pPr>
              <w:keepNext/>
              <w:widowControl/>
              <w:spacing w:before="120" w:after="120"/>
              <w:jc w:val="center"/>
              <w:rPr>
                <w:rFonts w:cs="Arial"/>
                <w:b/>
                <w:bCs/>
                <w:iCs/>
                <w:szCs w:val="24"/>
              </w:rPr>
            </w:pPr>
            <w:r w:rsidRPr="005C3073">
              <w:rPr>
                <w:rFonts w:cs="Arial"/>
                <w:b/>
                <w:bCs/>
                <w:iCs/>
                <w:szCs w:val="24"/>
              </w:rPr>
              <w:t>Consortium-</w:t>
            </w:r>
            <w:r w:rsidR="008F6EA3">
              <w:rPr>
                <w:rFonts w:cs="Arial"/>
                <w:b/>
                <w:bCs/>
                <w:iCs/>
                <w:szCs w:val="24"/>
              </w:rPr>
              <w:t>M</w:t>
            </w:r>
            <w:r w:rsidRPr="005C3073">
              <w:rPr>
                <w:rFonts w:cs="Arial"/>
                <w:b/>
                <w:bCs/>
                <w:iCs/>
                <w:szCs w:val="24"/>
              </w:rPr>
              <w:t>anaged Services Cost</w:t>
            </w:r>
          </w:p>
        </w:tc>
        <w:tc>
          <w:tcPr>
            <w:tcW w:w="1890" w:type="dxa"/>
            <w:shd w:val="clear" w:color="auto" w:fill="D0CECE" w:themeFill="background2" w:themeFillShade="E6"/>
          </w:tcPr>
          <w:p w14:paraId="050E0CC1" w14:textId="57DC43D3" w:rsidR="00B83FC4" w:rsidRPr="005C3073" w:rsidRDefault="00B83FC4" w:rsidP="009A1846">
            <w:pPr>
              <w:keepNext/>
              <w:widowControl/>
              <w:spacing w:before="120" w:after="120"/>
              <w:jc w:val="center"/>
              <w:rPr>
                <w:rFonts w:cs="Arial"/>
                <w:b/>
                <w:bCs/>
                <w:iCs/>
                <w:szCs w:val="24"/>
              </w:rPr>
            </w:pPr>
            <w:r w:rsidRPr="005C3073">
              <w:rPr>
                <w:rFonts w:cs="Arial"/>
                <w:b/>
                <w:bCs/>
                <w:iCs/>
                <w:szCs w:val="24"/>
              </w:rPr>
              <w:t>State-</w:t>
            </w:r>
            <w:r w:rsidR="008F6EA3">
              <w:rPr>
                <w:rFonts w:cs="Arial"/>
                <w:b/>
                <w:bCs/>
                <w:iCs/>
                <w:szCs w:val="24"/>
              </w:rPr>
              <w:br/>
              <w:t>M</w:t>
            </w:r>
            <w:r w:rsidRPr="005C3073">
              <w:rPr>
                <w:rFonts w:cs="Arial"/>
                <w:b/>
                <w:bCs/>
                <w:iCs/>
                <w:szCs w:val="24"/>
              </w:rPr>
              <w:t>anaged Contract Cost</w:t>
            </w:r>
          </w:p>
        </w:tc>
        <w:tc>
          <w:tcPr>
            <w:tcW w:w="1890" w:type="dxa"/>
            <w:shd w:val="clear" w:color="auto" w:fill="D0CECE" w:themeFill="background2" w:themeFillShade="E6"/>
          </w:tcPr>
          <w:p w14:paraId="050E0CC2" w14:textId="77777777" w:rsidR="00B83FC4" w:rsidRPr="005C3073" w:rsidRDefault="00B83FC4" w:rsidP="009A1846">
            <w:pPr>
              <w:keepNext/>
              <w:widowControl/>
              <w:spacing w:before="120" w:after="120"/>
              <w:jc w:val="center"/>
              <w:rPr>
                <w:rFonts w:cs="Arial"/>
                <w:b/>
                <w:bCs/>
                <w:iCs/>
                <w:szCs w:val="24"/>
              </w:rPr>
            </w:pPr>
            <w:r w:rsidRPr="005C3073">
              <w:rPr>
                <w:rFonts w:cs="Arial"/>
                <w:b/>
                <w:bCs/>
                <w:iCs/>
                <w:szCs w:val="24"/>
              </w:rPr>
              <w:t>Independent Evaluation Cost</w:t>
            </w:r>
          </w:p>
        </w:tc>
        <w:tc>
          <w:tcPr>
            <w:tcW w:w="1980" w:type="dxa"/>
            <w:shd w:val="clear" w:color="auto" w:fill="D0CECE" w:themeFill="background2" w:themeFillShade="E6"/>
          </w:tcPr>
          <w:p w14:paraId="050E0CC3" w14:textId="77777777" w:rsidR="00B83FC4" w:rsidRPr="005C3073" w:rsidRDefault="00B83FC4" w:rsidP="009A1846">
            <w:pPr>
              <w:keepNext/>
              <w:widowControl/>
              <w:spacing w:before="120" w:after="120"/>
              <w:jc w:val="center"/>
              <w:rPr>
                <w:rFonts w:cs="Arial"/>
                <w:b/>
                <w:bCs/>
                <w:iCs/>
                <w:szCs w:val="24"/>
              </w:rPr>
            </w:pPr>
            <w:r w:rsidRPr="005C3073">
              <w:rPr>
                <w:rFonts w:cs="Arial"/>
                <w:b/>
                <w:bCs/>
                <w:iCs/>
                <w:szCs w:val="24"/>
              </w:rPr>
              <w:t>Total</w:t>
            </w:r>
            <w:r w:rsidR="009D275B" w:rsidRPr="005C3073">
              <w:rPr>
                <w:rFonts w:cs="Arial"/>
                <w:b/>
                <w:bCs/>
                <w:iCs/>
                <w:szCs w:val="24"/>
              </w:rPr>
              <w:t xml:space="preserve"> </w:t>
            </w:r>
            <w:r w:rsidR="009D275B" w:rsidRPr="005C3073">
              <w:rPr>
                <w:rFonts w:cs="Arial"/>
                <w:b/>
                <w:bCs/>
                <w:iCs/>
                <w:szCs w:val="24"/>
              </w:rPr>
              <w:br/>
            </w:r>
            <w:r w:rsidRPr="005C3073">
              <w:rPr>
                <w:rFonts w:cs="Arial"/>
                <w:b/>
                <w:bCs/>
                <w:iCs/>
                <w:szCs w:val="24"/>
              </w:rPr>
              <w:t>CAASPP Contract Cost</w:t>
            </w:r>
          </w:p>
        </w:tc>
      </w:tr>
      <w:tr w:rsidR="00B83FC4" w:rsidRPr="005C3073" w14:paraId="050E0CD0" w14:textId="77777777" w:rsidTr="73F86DEB">
        <w:trPr>
          <w:trHeight w:val="70"/>
        </w:trPr>
        <w:tc>
          <w:tcPr>
            <w:tcW w:w="1435" w:type="dxa"/>
          </w:tcPr>
          <w:p w14:paraId="050E0CCB" w14:textId="328957CE" w:rsidR="00B83FC4" w:rsidRPr="005C3073" w:rsidRDefault="000E142F" w:rsidP="00F95870">
            <w:pPr>
              <w:widowControl/>
              <w:spacing w:before="120" w:after="120"/>
              <w:jc w:val="center"/>
              <w:rPr>
                <w:rFonts w:cs="Arial"/>
                <w:szCs w:val="24"/>
              </w:rPr>
            </w:pPr>
            <w:r>
              <w:rPr>
                <w:rFonts w:cs="Arial"/>
                <w:szCs w:val="24"/>
              </w:rPr>
              <w:t>2018–19</w:t>
            </w:r>
          </w:p>
        </w:tc>
        <w:tc>
          <w:tcPr>
            <w:tcW w:w="2160" w:type="dxa"/>
          </w:tcPr>
          <w:p w14:paraId="050E0CCC" w14:textId="77777777" w:rsidR="00B83FC4" w:rsidRPr="005C3073" w:rsidRDefault="00B83FC4" w:rsidP="00F95870">
            <w:pPr>
              <w:widowControl/>
              <w:spacing w:before="120" w:after="120"/>
              <w:jc w:val="center"/>
              <w:rPr>
                <w:rFonts w:cs="Arial"/>
                <w:iCs/>
                <w:szCs w:val="24"/>
              </w:rPr>
            </w:pPr>
            <w:r w:rsidRPr="005C3073">
              <w:rPr>
                <w:rFonts w:cs="Arial"/>
                <w:iCs/>
                <w:szCs w:val="24"/>
              </w:rPr>
              <w:t>$9.6 million</w:t>
            </w:r>
          </w:p>
        </w:tc>
        <w:tc>
          <w:tcPr>
            <w:tcW w:w="1890" w:type="dxa"/>
          </w:tcPr>
          <w:p w14:paraId="050E0CCD" w14:textId="77777777" w:rsidR="00B83FC4" w:rsidRPr="005C3073" w:rsidRDefault="00B83FC4" w:rsidP="00F95870">
            <w:pPr>
              <w:widowControl/>
              <w:spacing w:before="120" w:after="120"/>
              <w:jc w:val="center"/>
              <w:rPr>
                <w:rFonts w:cs="Arial"/>
                <w:iCs/>
                <w:szCs w:val="24"/>
              </w:rPr>
            </w:pPr>
            <w:r w:rsidRPr="005C3073">
              <w:rPr>
                <w:rFonts w:cs="Arial"/>
                <w:iCs/>
                <w:szCs w:val="24"/>
              </w:rPr>
              <w:t>$82.8 million</w:t>
            </w:r>
          </w:p>
        </w:tc>
        <w:tc>
          <w:tcPr>
            <w:tcW w:w="1890" w:type="dxa"/>
          </w:tcPr>
          <w:p w14:paraId="050E0CCE" w14:textId="77777777" w:rsidR="00B83FC4" w:rsidRPr="005C3073" w:rsidRDefault="00B83FC4" w:rsidP="00F95870">
            <w:pPr>
              <w:widowControl/>
              <w:spacing w:before="120" w:after="120"/>
              <w:jc w:val="center"/>
              <w:rPr>
                <w:rFonts w:cs="Arial"/>
                <w:iCs/>
                <w:szCs w:val="24"/>
              </w:rPr>
            </w:pPr>
            <w:r w:rsidRPr="005C3073">
              <w:rPr>
                <w:rFonts w:cs="Arial"/>
                <w:iCs/>
                <w:szCs w:val="24"/>
              </w:rPr>
              <w:t>$681,000</w:t>
            </w:r>
          </w:p>
        </w:tc>
        <w:tc>
          <w:tcPr>
            <w:tcW w:w="1980" w:type="dxa"/>
          </w:tcPr>
          <w:p w14:paraId="050E0CCF" w14:textId="77777777" w:rsidR="00B83FC4" w:rsidRPr="005C3073" w:rsidRDefault="00B83FC4" w:rsidP="00F95870">
            <w:pPr>
              <w:widowControl/>
              <w:spacing w:before="120" w:after="120"/>
              <w:jc w:val="center"/>
              <w:rPr>
                <w:rFonts w:cs="Arial"/>
                <w:iCs/>
                <w:szCs w:val="24"/>
              </w:rPr>
            </w:pPr>
            <w:r w:rsidRPr="005C3073">
              <w:rPr>
                <w:rFonts w:cs="Arial"/>
                <w:iCs/>
                <w:szCs w:val="24"/>
              </w:rPr>
              <w:t>$93.2 million</w:t>
            </w:r>
          </w:p>
        </w:tc>
      </w:tr>
      <w:tr w:rsidR="00B83FC4" w:rsidRPr="005C3073" w14:paraId="050E0CD6" w14:textId="77777777" w:rsidTr="73F86DEB">
        <w:trPr>
          <w:trHeight w:val="70"/>
        </w:trPr>
        <w:tc>
          <w:tcPr>
            <w:tcW w:w="1435" w:type="dxa"/>
          </w:tcPr>
          <w:p w14:paraId="050E0CD1" w14:textId="2680E6C1" w:rsidR="00B83FC4" w:rsidRPr="005C3073" w:rsidRDefault="000E142F" w:rsidP="00F95870">
            <w:pPr>
              <w:widowControl/>
              <w:spacing w:before="120" w:after="120"/>
              <w:jc w:val="center"/>
              <w:rPr>
                <w:rFonts w:cs="Arial"/>
                <w:szCs w:val="24"/>
              </w:rPr>
            </w:pPr>
            <w:r>
              <w:rPr>
                <w:rFonts w:cs="Arial"/>
                <w:szCs w:val="24"/>
              </w:rPr>
              <w:t>2019–2020</w:t>
            </w:r>
          </w:p>
        </w:tc>
        <w:tc>
          <w:tcPr>
            <w:tcW w:w="2160" w:type="dxa"/>
          </w:tcPr>
          <w:p w14:paraId="050E0CD2" w14:textId="1D03E079" w:rsidR="00B83FC4" w:rsidRPr="005C3073" w:rsidRDefault="00B83FC4" w:rsidP="00F95870">
            <w:pPr>
              <w:widowControl/>
              <w:spacing w:before="120" w:after="120"/>
              <w:jc w:val="center"/>
              <w:rPr>
                <w:rFonts w:cs="Arial"/>
                <w:iCs/>
                <w:szCs w:val="24"/>
              </w:rPr>
            </w:pPr>
            <w:r w:rsidRPr="005C3073">
              <w:rPr>
                <w:rFonts w:cs="Arial"/>
                <w:iCs/>
                <w:szCs w:val="24"/>
              </w:rPr>
              <w:t>$9.</w:t>
            </w:r>
            <w:r w:rsidR="001C27A6" w:rsidRPr="005C3073">
              <w:rPr>
                <w:rFonts w:cs="Arial"/>
                <w:iCs/>
                <w:szCs w:val="24"/>
              </w:rPr>
              <w:t>9</w:t>
            </w:r>
            <w:r w:rsidRPr="005C3073">
              <w:rPr>
                <w:rFonts w:cs="Arial"/>
                <w:iCs/>
                <w:szCs w:val="24"/>
              </w:rPr>
              <w:t xml:space="preserve"> million</w:t>
            </w:r>
          </w:p>
        </w:tc>
        <w:tc>
          <w:tcPr>
            <w:tcW w:w="1890" w:type="dxa"/>
          </w:tcPr>
          <w:p w14:paraId="050E0CD3" w14:textId="77777777" w:rsidR="00B83FC4" w:rsidRPr="005C3073" w:rsidRDefault="00B83FC4" w:rsidP="00F95870">
            <w:pPr>
              <w:widowControl/>
              <w:spacing w:before="120" w:after="120"/>
              <w:jc w:val="center"/>
              <w:rPr>
                <w:rFonts w:cs="Arial"/>
                <w:iCs/>
                <w:szCs w:val="24"/>
              </w:rPr>
            </w:pPr>
            <w:r w:rsidRPr="005C3073">
              <w:rPr>
                <w:rFonts w:cs="Arial"/>
                <w:iCs/>
                <w:szCs w:val="24"/>
              </w:rPr>
              <w:t>$76.9 million</w:t>
            </w:r>
          </w:p>
        </w:tc>
        <w:tc>
          <w:tcPr>
            <w:tcW w:w="1890" w:type="dxa"/>
          </w:tcPr>
          <w:p w14:paraId="050E0CD4" w14:textId="77777777" w:rsidR="00B83FC4" w:rsidRPr="005C3073" w:rsidRDefault="00B83FC4" w:rsidP="00F95870">
            <w:pPr>
              <w:widowControl/>
              <w:spacing w:before="120" w:after="120"/>
              <w:jc w:val="center"/>
              <w:rPr>
                <w:rFonts w:cs="Arial"/>
                <w:iCs/>
                <w:szCs w:val="24"/>
              </w:rPr>
            </w:pPr>
            <w:r w:rsidRPr="005C3073">
              <w:rPr>
                <w:rFonts w:cs="Arial"/>
                <w:iCs/>
                <w:szCs w:val="24"/>
              </w:rPr>
              <w:t>$767,000</w:t>
            </w:r>
          </w:p>
        </w:tc>
        <w:tc>
          <w:tcPr>
            <w:tcW w:w="1980" w:type="dxa"/>
          </w:tcPr>
          <w:p w14:paraId="050E0CD5" w14:textId="77777777" w:rsidR="00B83FC4" w:rsidRPr="005C3073" w:rsidRDefault="00B83FC4" w:rsidP="00F95870">
            <w:pPr>
              <w:widowControl/>
              <w:spacing w:before="120" w:after="120"/>
              <w:jc w:val="center"/>
              <w:rPr>
                <w:rFonts w:cs="Arial"/>
                <w:iCs/>
                <w:szCs w:val="24"/>
              </w:rPr>
            </w:pPr>
            <w:r w:rsidRPr="005C3073">
              <w:rPr>
                <w:rFonts w:cs="Arial"/>
                <w:iCs/>
                <w:szCs w:val="24"/>
              </w:rPr>
              <w:t>$87.</w:t>
            </w:r>
            <w:r w:rsidR="00EE097F" w:rsidRPr="005C3073">
              <w:rPr>
                <w:rFonts w:cs="Arial"/>
                <w:iCs/>
                <w:szCs w:val="24"/>
              </w:rPr>
              <w:t xml:space="preserve">6 </w:t>
            </w:r>
            <w:r w:rsidRPr="005C3073">
              <w:rPr>
                <w:rFonts w:cs="Arial"/>
                <w:iCs/>
                <w:szCs w:val="24"/>
              </w:rPr>
              <w:t>million</w:t>
            </w:r>
          </w:p>
        </w:tc>
      </w:tr>
      <w:tr w:rsidR="00B83FC4" w:rsidRPr="005C3073" w14:paraId="050E0CDC" w14:textId="77777777" w:rsidTr="73F86DEB">
        <w:trPr>
          <w:trHeight w:val="70"/>
        </w:trPr>
        <w:tc>
          <w:tcPr>
            <w:tcW w:w="1435" w:type="dxa"/>
          </w:tcPr>
          <w:p w14:paraId="050E0CD7" w14:textId="718BBAFC" w:rsidR="00B83FC4" w:rsidRPr="005C3073" w:rsidRDefault="000E142F" w:rsidP="00F95870">
            <w:pPr>
              <w:widowControl/>
              <w:spacing w:before="120" w:after="120"/>
              <w:jc w:val="center"/>
              <w:rPr>
                <w:rFonts w:cs="Arial"/>
                <w:szCs w:val="24"/>
              </w:rPr>
            </w:pPr>
            <w:r>
              <w:rPr>
                <w:rFonts w:cs="Arial"/>
                <w:szCs w:val="24"/>
              </w:rPr>
              <w:t>2020–21</w:t>
            </w:r>
          </w:p>
        </w:tc>
        <w:tc>
          <w:tcPr>
            <w:tcW w:w="2160" w:type="dxa"/>
          </w:tcPr>
          <w:p w14:paraId="050E0CD8" w14:textId="77777777" w:rsidR="00B83FC4" w:rsidRPr="005C3073" w:rsidRDefault="00B83FC4" w:rsidP="00F95870">
            <w:pPr>
              <w:widowControl/>
              <w:spacing w:before="120" w:after="120"/>
              <w:jc w:val="center"/>
              <w:rPr>
                <w:rFonts w:cs="Arial"/>
                <w:iCs/>
                <w:szCs w:val="24"/>
              </w:rPr>
            </w:pPr>
            <w:r w:rsidRPr="005C3073">
              <w:rPr>
                <w:rFonts w:cs="Arial"/>
                <w:iCs/>
                <w:szCs w:val="24"/>
              </w:rPr>
              <w:t>$</w:t>
            </w:r>
            <w:r w:rsidR="003E538C" w:rsidRPr="005C3073">
              <w:rPr>
                <w:rFonts w:cs="Arial"/>
                <w:iCs/>
                <w:szCs w:val="24"/>
              </w:rPr>
              <w:t>10.1</w:t>
            </w:r>
            <w:r w:rsidRPr="005C3073">
              <w:rPr>
                <w:rFonts w:cs="Arial"/>
                <w:iCs/>
                <w:szCs w:val="24"/>
              </w:rPr>
              <w:t xml:space="preserve"> million</w:t>
            </w:r>
          </w:p>
        </w:tc>
        <w:tc>
          <w:tcPr>
            <w:tcW w:w="1890" w:type="dxa"/>
          </w:tcPr>
          <w:p w14:paraId="050E0CD9" w14:textId="475C1A1D" w:rsidR="00B83FC4" w:rsidRPr="005C3073" w:rsidRDefault="00B83FC4" w:rsidP="73F86DEB">
            <w:pPr>
              <w:widowControl/>
              <w:spacing w:before="120" w:after="120"/>
              <w:jc w:val="center"/>
              <w:rPr>
                <w:rFonts w:cs="Arial"/>
              </w:rPr>
            </w:pPr>
            <w:r w:rsidRPr="73F86DEB">
              <w:rPr>
                <w:rFonts w:cs="Arial"/>
              </w:rPr>
              <w:t>$76.</w:t>
            </w:r>
            <w:r w:rsidR="76CD7C7E" w:rsidRPr="73F86DEB">
              <w:rPr>
                <w:rFonts w:cs="Arial"/>
              </w:rPr>
              <w:t>6</w:t>
            </w:r>
            <w:r w:rsidRPr="73F86DEB">
              <w:rPr>
                <w:rFonts w:cs="Arial"/>
              </w:rPr>
              <w:t xml:space="preserve"> million</w:t>
            </w:r>
          </w:p>
        </w:tc>
        <w:tc>
          <w:tcPr>
            <w:tcW w:w="1890" w:type="dxa"/>
          </w:tcPr>
          <w:p w14:paraId="050E0CDA" w14:textId="5AF2413E" w:rsidR="00B83FC4" w:rsidRPr="005C3073" w:rsidRDefault="00B83FC4" w:rsidP="00F95870">
            <w:pPr>
              <w:widowControl/>
              <w:spacing w:before="120" w:after="120"/>
              <w:jc w:val="center"/>
              <w:rPr>
                <w:rFonts w:cs="Arial"/>
                <w:iCs/>
                <w:szCs w:val="24"/>
              </w:rPr>
            </w:pPr>
            <w:r w:rsidRPr="005C3073">
              <w:rPr>
                <w:rFonts w:cs="Arial"/>
                <w:iCs/>
                <w:szCs w:val="24"/>
              </w:rPr>
              <w:t>$760,000</w:t>
            </w:r>
            <w:r w:rsidR="00250050" w:rsidRPr="009E5A1E">
              <w:rPr>
                <w:rFonts w:cs="Arial"/>
                <w:iCs/>
                <w:szCs w:val="24"/>
                <w:vertAlign w:val="superscript"/>
              </w:rPr>
              <w:t>1</w:t>
            </w:r>
          </w:p>
        </w:tc>
        <w:tc>
          <w:tcPr>
            <w:tcW w:w="1980" w:type="dxa"/>
          </w:tcPr>
          <w:p w14:paraId="050E0CDB" w14:textId="5005F7F7" w:rsidR="00B83FC4" w:rsidRPr="005C3073" w:rsidRDefault="00B83FC4" w:rsidP="73F86DEB">
            <w:pPr>
              <w:widowControl/>
              <w:spacing w:before="120" w:after="120"/>
              <w:jc w:val="center"/>
              <w:rPr>
                <w:rFonts w:cs="Arial"/>
              </w:rPr>
            </w:pPr>
            <w:r w:rsidRPr="73F86DEB">
              <w:rPr>
                <w:rFonts w:cs="Arial"/>
              </w:rPr>
              <w:t>$87.</w:t>
            </w:r>
            <w:r w:rsidR="1FE09E32" w:rsidRPr="73F86DEB">
              <w:rPr>
                <w:rFonts w:cs="Arial"/>
              </w:rPr>
              <w:t>5</w:t>
            </w:r>
            <w:r w:rsidR="00EE097F" w:rsidRPr="73F86DEB">
              <w:rPr>
                <w:rFonts w:cs="Arial"/>
              </w:rPr>
              <w:t xml:space="preserve"> </w:t>
            </w:r>
            <w:r w:rsidRPr="73F86DEB">
              <w:rPr>
                <w:rFonts w:cs="Arial"/>
              </w:rPr>
              <w:t>million</w:t>
            </w:r>
          </w:p>
        </w:tc>
      </w:tr>
      <w:tr w:rsidR="00F275A2" w:rsidRPr="005C3073" w14:paraId="050E0CE2" w14:textId="77777777" w:rsidTr="73F86DEB">
        <w:trPr>
          <w:trHeight w:val="70"/>
        </w:trPr>
        <w:tc>
          <w:tcPr>
            <w:tcW w:w="1435" w:type="dxa"/>
          </w:tcPr>
          <w:p w14:paraId="050E0CDD" w14:textId="198B0466" w:rsidR="00F275A2" w:rsidRPr="005C3073" w:rsidRDefault="000E142F" w:rsidP="00F95870">
            <w:pPr>
              <w:widowControl/>
              <w:spacing w:before="120" w:after="120"/>
              <w:jc w:val="center"/>
              <w:rPr>
                <w:rFonts w:cs="Arial"/>
                <w:szCs w:val="24"/>
              </w:rPr>
            </w:pPr>
            <w:r>
              <w:rPr>
                <w:rFonts w:cs="Arial"/>
                <w:szCs w:val="24"/>
              </w:rPr>
              <w:t>2021–22</w:t>
            </w:r>
          </w:p>
        </w:tc>
        <w:tc>
          <w:tcPr>
            <w:tcW w:w="2160" w:type="dxa"/>
          </w:tcPr>
          <w:p w14:paraId="050E0CDE" w14:textId="77777777" w:rsidR="00F275A2" w:rsidRPr="005C3073" w:rsidRDefault="00F275A2" w:rsidP="00F95870">
            <w:pPr>
              <w:widowControl/>
              <w:spacing w:before="120" w:after="120"/>
              <w:jc w:val="center"/>
              <w:rPr>
                <w:rFonts w:cs="Arial"/>
                <w:iCs/>
                <w:szCs w:val="24"/>
              </w:rPr>
            </w:pPr>
            <w:r w:rsidRPr="005C3073">
              <w:rPr>
                <w:rFonts w:cs="Arial"/>
                <w:iCs/>
                <w:szCs w:val="24"/>
              </w:rPr>
              <w:t>$</w:t>
            </w:r>
            <w:r w:rsidR="003E538C" w:rsidRPr="005C3073">
              <w:rPr>
                <w:rFonts w:cs="Arial"/>
                <w:iCs/>
                <w:szCs w:val="24"/>
              </w:rPr>
              <w:t>10.1</w:t>
            </w:r>
            <w:r w:rsidRPr="005C3073">
              <w:rPr>
                <w:rFonts w:cs="Arial"/>
                <w:iCs/>
                <w:szCs w:val="24"/>
              </w:rPr>
              <w:t xml:space="preserve"> million</w:t>
            </w:r>
          </w:p>
        </w:tc>
        <w:tc>
          <w:tcPr>
            <w:tcW w:w="1890" w:type="dxa"/>
          </w:tcPr>
          <w:p w14:paraId="050E0CDF" w14:textId="77777777" w:rsidR="00F275A2" w:rsidRPr="005C3073" w:rsidRDefault="00F275A2" w:rsidP="00F95870">
            <w:pPr>
              <w:widowControl/>
              <w:spacing w:before="120" w:after="120"/>
              <w:jc w:val="center"/>
              <w:rPr>
                <w:rFonts w:cs="Arial"/>
                <w:iCs/>
                <w:szCs w:val="24"/>
              </w:rPr>
            </w:pPr>
            <w:r w:rsidRPr="005C3073">
              <w:rPr>
                <w:rFonts w:cs="Arial"/>
                <w:iCs/>
                <w:szCs w:val="24"/>
              </w:rPr>
              <w:t>$76.7 million</w:t>
            </w:r>
          </w:p>
        </w:tc>
        <w:tc>
          <w:tcPr>
            <w:tcW w:w="1890" w:type="dxa"/>
          </w:tcPr>
          <w:p w14:paraId="050E0CE0" w14:textId="77777777" w:rsidR="00F275A2" w:rsidRPr="005C3073" w:rsidRDefault="00F275A2" w:rsidP="00F95870">
            <w:pPr>
              <w:widowControl/>
              <w:spacing w:before="120" w:after="120"/>
              <w:jc w:val="center"/>
              <w:rPr>
                <w:rFonts w:cs="Arial"/>
                <w:iCs/>
                <w:szCs w:val="24"/>
                <w:vertAlign w:val="superscript"/>
              </w:rPr>
            </w:pPr>
            <w:r w:rsidRPr="005C3073">
              <w:rPr>
                <w:rFonts w:cs="Arial"/>
                <w:iCs/>
                <w:szCs w:val="24"/>
              </w:rPr>
              <w:t>$760,000</w:t>
            </w:r>
            <w:r w:rsidRPr="005C3073">
              <w:rPr>
                <w:rFonts w:cs="Arial"/>
                <w:iCs/>
                <w:szCs w:val="24"/>
                <w:vertAlign w:val="superscript"/>
              </w:rPr>
              <w:t>2</w:t>
            </w:r>
          </w:p>
        </w:tc>
        <w:tc>
          <w:tcPr>
            <w:tcW w:w="1980" w:type="dxa"/>
          </w:tcPr>
          <w:p w14:paraId="050E0CE1" w14:textId="77777777" w:rsidR="00F275A2" w:rsidRPr="005C3073" w:rsidRDefault="00F275A2" w:rsidP="00F95870">
            <w:pPr>
              <w:widowControl/>
              <w:spacing w:before="120" w:after="120"/>
              <w:jc w:val="center"/>
              <w:rPr>
                <w:rFonts w:cs="Arial"/>
                <w:iCs/>
                <w:szCs w:val="24"/>
              </w:rPr>
            </w:pPr>
            <w:r w:rsidRPr="005C3073">
              <w:rPr>
                <w:rFonts w:cs="Arial"/>
                <w:iCs/>
                <w:szCs w:val="24"/>
              </w:rPr>
              <w:t>$87.</w:t>
            </w:r>
            <w:r w:rsidR="00EE097F" w:rsidRPr="005C3073">
              <w:rPr>
                <w:rFonts w:cs="Arial"/>
                <w:iCs/>
                <w:szCs w:val="24"/>
              </w:rPr>
              <w:t xml:space="preserve">6 </w:t>
            </w:r>
            <w:r w:rsidRPr="005C3073">
              <w:rPr>
                <w:rFonts w:cs="Arial"/>
                <w:iCs/>
                <w:szCs w:val="24"/>
              </w:rPr>
              <w:t>million</w:t>
            </w:r>
          </w:p>
        </w:tc>
      </w:tr>
      <w:tr w:rsidR="00D43BF1" w:rsidRPr="005C3073" w14:paraId="4A344908" w14:textId="77777777" w:rsidTr="73F86DEB">
        <w:trPr>
          <w:trHeight w:val="70"/>
        </w:trPr>
        <w:tc>
          <w:tcPr>
            <w:tcW w:w="1435" w:type="dxa"/>
          </w:tcPr>
          <w:p w14:paraId="38C241D6" w14:textId="481B7F96" w:rsidR="00D43BF1" w:rsidRPr="005C3073" w:rsidRDefault="00D43BF1" w:rsidP="00D43BF1">
            <w:pPr>
              <w:widowControl/>
              <w:spacing w:before="120" w:after="120"/>
              <w:jc w:val="center"/>
              <w:rPr>
                <w:rFonts w:cs="Arial"/>
                <w:szCs w:val="24"/>
              </w:rPr>
            </w:pPr>
            <w:r>
              <w:rPr>
                <w:rFonts w:cs="Arial"/>
                <w:szCs w:val="24"/>
              </w:rPr>
              <w:t>2022–23</w:t>
            </w:r>
          </w:p>
        </w:tc>
        <w:tc>
          <w:tcPr>
            <w:tcW w:w="2160" w:type="dxa"/>
          </w:tcPr>
          <w:p w14:paraId="0F647F5E" w14:textId="23BBEE1E" w:rsidR="00D43BF1" w:rsidRPr="005C3073" w:rsidRDefault="00D43BF1" w:rsidP="00D43BF1">
            <w:pPr>
              <w:widowControl/>
              <w:spacing w:before="120" w:after="120"/>
              <w:jc w:val="center"/>
              <w:rPr>
                <w:rFonts w:cs="Arial"/>
              </w:rPr>
            </w:pPr>
            <w:r w:rsidRPr="005C3073">
              <w:rPr>
                <w:rFonts w:cs="Arial"/>
                <w:iCs/>
                <w:szCs w:val="24"/>
              </w:rPr>
              <w:t>$10.1 million</w:t>
            </w:r>
          </w:p>
        </w:tc>
        <w:tc>
          <w:tcPr>
            <w:tcW w:w="1890" w:type="dxa"/>
          </w:tcPr>
          <w:p w14:paraId="1D76FDB6" w14:textId="24EBBD3A" w:rsidR="00D43BF1" w:rsidRPr="005C3073" w:rsidRDefault="00D43BF1" w:rsidP="00D43BF1">
            <w:pPr>
              <w:widowControl/>
              <w:spacing w:before="120" w:after="120"/>
              <w:jc w:val="center"/>
              <w:rPr>
                <w:rFonts w:cs="Arial"/>
                <w:iCs/>
                <w:szCs w:val="24"/>
              </w:rPr>
            </w:pPr>
            <w:r w:rsidRPr="00BC7AFC">
              <w:rPr>
                <w:rFonts w:cs="Arial"/>
                <w:iCs/>
                <w:szCs w:val="24"/>
              </w:rPr>
              <w:t>$76.7</w:t>
            </w:r>
            <w:r w:rsidRPr="005C3073">
              <w:rPr>
                <w:rFonts w:cs="Arial"/>
                <w:iCs/>
                <w:szCs w:val="24"/>
              </w:rPr>
              <w:t xml:space="preserve"> million</w:t>
            </w:r>
            <w:r w:rsidR="00C855D7">
              <w:rPr>
                <w:rFonts w:cs="Arial"/>
                <w:iCs/>
                <w:szCs w:val="24"/>
                <w:vertAlign w:val="superscript"/>
              </w:rPr>
              <w:t>3</w:t>
            </w:r>
          </w:p>
        </w:tc>
        <w:tc>
          <w:tcPr>
            <w:tcW w:w="1890" w:type="dxa"/>
          </w:tcPr>
          <w:p w14:paraId="78EFEA4F" w14:textId="5D200140" w:rsidR="00D43BF1" w:rsidRPr="005C3073" w:rsidRDefault="00D43BF1" w:rsidP="00D43BF1">
            <w:pPr>
              <w:widowControl/>
              <w:spacing w:before="120" w:after="120"/>
              <w:jc w:val="center"/>
              <w:rPr>
                <w:rFonts w:cs="Arial"/>
                <w:iCs/>
                <w:szCs w:val="24"/>
              </w:rPr>
            </w:pPr>
            <w:r w:rsidRPr="005C3073">
              <w:rPr>
                <w:rFonts w:cs="Arial"/>
                <w:iCs/>
                <w:szCs w:val="24"/>
              </w:rPr>
              <w:t>$760,000</w:t>
            </w:r>
          </w:p>
        </w:tc>
        <w:tc>
          <w:tcPr>
            <w:tcW w:w="1980" w:type="dxa"/>
          </w:tcPr>
          <w:p w14:paraId="26FCC592" w14:textId="2152D10B" w:rsidR="00D43BF1" w:rsidRPr="005C3073" w:rsidRDefault="00D43BF1" w:rsidP="00D43BF1">
            <w:pPr>
              <w:widowControl/>
              <w:spacing w:before="120" w:after="120"/>
              <w:jc w:val="center"/>
              <w:rPr>
                <w:rFonts w:cs="Arial"/>
                <w:iCs/>
                <w:szCs w:val="24"/>
              </w:rPr>
            </w:pPr>
            <w:r w:rsidRPr="005C3073">
              <w:rPr>
                <w:rFonts w:cs="Arial"/>
                <w:iCs/>
                <w:szCs w:val="24"/>
              </w:rPr>
              <w:t>$87.6 million</w:t>
            </w:r>
          </w:p>
        </w:tc>
      </w:tr>
    </w:tbl>
    <w:p w14:paraId="0D4005E2" w14:textId="4EA6AEE6" w:rsidR="00A16B00" w:rsidRPr="009E5A1E" w:rsidRDefault="00A16B00" w:rsidP="009E5A1E">
      <w:pPr>
        <w:pStyle w:val="FootnoteText"/>
        <w:tabs>
          <w:tab w:val="left" w:pos="360"/>
        </w:tabs>
        <w:spacing w:before="120" w:after="120"/>
        <w:ind w:left="360" w:hanging="360"/>
        <w:rPr>
          <w:rFonts w:ascii="Arial Narrow" w:hAnsi="Arial Narrow"/>
          <w:sz w:val="24"/>
          <w:szCs w:val="24"/>
        </w:rPr>
      </w:pPr>
      <w:r w:rsidRPr="009E5A1E">
        <w:rPr>
          <w:rStyle w:val="FootnoteReference"/>
          <w:rFonts w:ascii="Arial Narrow" w:hAnsi="Arial Narrow"/>
          <w:sz w:val="24"/>
          <w:szCs w:val="24"/>
        </w:rPr>
        <w:t>1</w:t>
      </w:r>
      <w:r w:rsidR="009E5A1E" w:rsidRPr="009E5A1E">
        <w:rPr>
          <w:rFonts w:ascii="Arial Narrow" w:hAnsi="Arial Narrow"/>
        </w:rPr>
        <w:tab/>
      </w:r>
      <w:r w:rsidRPr="009E5A1E">
        <w:rPr>
          <w:rFonts w:ascii="Arial Narrow" w:hAnsi="Arial Narrow"/>
          <w:sz w:val="24"/>
          <w:szCs w:val="16"/>
        </w:rPr>
        <w:t>Total reflects a one-time membership credit applied toward the costs to develop the CERS</w:t>
      </w:r>
      <w:r w:rsidRPr="009E5A1E">
        <w:rPr>
          <w:rFonts w:ascii="Arial Narrow" w:hAnsi="Arial Narrow"/>
          <w:sz w:val="32"/>
        </w:rPr>
        <w:t xml:space="preserve"> </w:t>
      </w:r>
      <w:r w:rsidRPr="009E5A1E">
        <w:rPr>
          <w:rFonts w:ascii="Arial Narrow" w:hAnsi="Arial Narrow"/>
          <w:sz w:val="24"/>
          <w:szCs w:val="16"/>
        </w:rPr>
        <w:t>for CAASPP.</w:t>
      </w:r>
    </w:p>
    <w:p w14:paraId="6C2E6ECA" w14:textId="58C51162" w:rsidR="00A16B00" w:rsidRPr="009E5A1E" w:rsidRDefault="00A16B00" w:rsidP="009E5A1E">
      <w:pPr>
        <w:pStyle w:val="FootnoteText"/>
        <w:tabs>
          <w:tab w:val="left" w:pos="360"/>
        </w:tabs>
        <w:spacing w:before="120" w:after="120"/>
        <w:ind w:left="360" w:hanging="360"/>
        <w:rPr>
          <w:rFonts w:ascii="Arial Narrow" w:hAnsi="Arial Narrow"/>
          <w:iCs/>
          <w:sz w:val="24"/>
          <w:szCs w:val="24"/>
        </w:rPr>
      </w:pPr>
      <w:r w:rsidRPr="009E5A1E">
        <w:rPr>
          <w:rFonts w:ascii="Arial Narrow" w:hAnsi="Arial Narrow"/>
          <w:iCs/>
          <w:sz w:val="24"/>
          <w:szCs w:val="24"/>
          <w:vertAlign w:val="superscript"/>
        </w:rPr>
        <w:t>2</w:t>
      </w:r>
      <w:r w:rsidR="009E5A1E" w:rsidRPr="009E5A1E">
        <w:rPr>
          <w:rFonts w:ascii="Arial Narrow" w:hAnsi="Arial Narrow"/>
          <w:iCs/>
          <w:sz w:val="24"/>
          <w:szCs w:val="24"/>
          <w:vertAlign w:val="superscript"/>
        </w:rPr>
        <w:tab/>
      </w:r>
      <w:r w:rsidRPr="009E5A1E">
        <w:rPr>
          <w:rFonts w:ascii="Arial Narrow" w:hAnsi="Arial Narrow"/>
          <w:sz w:val="24"/>
          <w:szCs w:val="24"/>
        </w:rPr>
        <w:t>C</w:t>
      </w:r>
      <w:r w:rsidRPr="009E5A1E">
        <w:rPr>
          <w:rFonts w:ascii="Arial Narrow" w:hAnsi="Arial Narrow"/>
          <w:iCs/>
          <w:sz w:val="24"/>
          <w:szCs w:val="24"/>
        </w:rPr>
        <w:t>ontract cost estimates for 2021–22 are based on current contract</w:t>
      </w:r>
      <w:r w:rsidRPr="009E5A1E">
        <w:rPr>
          <w:rFonts w:ascii="Arial Narrow" w:hAnsi="Arial Narrow"/>
          <w:iCs/>
          <w:sz w:val="24"/>
          <w:szCs w:val="24"/>
          <w:vertAlign w:val="superscript"/>
        </w:rPr>
        <w:t xml:space="preserve"> </w:t>
      </w:r>
      <w:r w:rsidRPr="009E5A1E">
        <w:rPr>
          <w:rFonts w:ascii="Arial Narrow" w:hAnsi="Arial Narrow"/>
          <w:iCs/>
          <w:sz w:val="24"/>
          <w:szCs w:val="24"/>
        </w:rPr>
        <w:t>obligations. Actual contract costs for 2021–22 and future years will be determined through a future competitive bid process.</w:t>
      </w:r>
    </w:p>
    <w:p w14:paraId="3F0BE090" w14:textId="5528B00F" w:rsidR="00A16B00" w:rsidRPr="009E5A1E" w:rsidRDefault="00A16B00" w:rsidP="009E5A1E">
      <w:pPr>
        <w:widowControl/>
        <w:tabs>
          <w:tab w:val="left" w:pos="360"/>
        </w:tabs>
        <w:spacing w:before="120" w:after="120"/>
        <w:ind w:left="360" w:hanging="360"/>
        <w:rPr>
          <w:rFonts w:ascii="Arial Narrow" w:hAnsi="Arial Narrow" w:cs="Arial"/>
        </w:rPr>
      </w:pPr>
      <w:r w:rsidRPr="009E5A1E">
        <w:rPr>
          <w:rFonts w:ascii="Arial Narrow" w:hAnsi="Arial Narrow" w:cs="Arial"/>
          <w:iCs/>
          <w:szCs w:val="24"/>
          <w:vertAlign w:val="superscript"/>
        </w:rPr>
        <w:t>3</w:t>
      </w:r>
      <w:r w:rsidR="009E5A1E" w:rsidRPr="009E5A1E">
        <w:rPr>
          <w:rFonts w:ascii="Arial Narrow" w:hAnsi="Arial Narrow" w:cs="Arial"/>
          <w:iCs/>
          <w:szCs w:val="24"/>
          <w:vertAlign w:val="superscript"/>
        </w:rPr>
        <w:tab/>
      </w:r>
      <w:r w:rsidRPr="009E5A1E">
        <w:rPr>
          <w:rFonts w:ascii="Arial Narrow" w:hAnsi="Arial Narrow" w:cs="Arial"/>
          <w:iCs/>
          <w:szCs w:val="24"/>
        </w:rPr>
        <w:t xml:space="preserve">Contract costs for 2022–23 include $3 million in current contract obligations, as shown in </w:t>
      </w:r>
      <w:r w:rsidR="00575F37">
        <w:rPr>
          <w:rFonts w:ascii="Arial Narrow" w:hAnsi="Arial Narrow" w:cs="Arial"/>
          <w:iCs/>
          <w:szCs w:val="24"/>
        </w:rPr>
        <w:t>T</w:t>
      </w:r>
      <w:r w:rsidRPr="009E5A1E">
        <w:rPr>
          <w:rFonts w:ascii="Arial Narrow" w:hAnsi="Arial Narrow" w:cs="Arial"/>
          <w:iCs/>
          <w:szCs w:val="24"/>
        </w:rPr>
        <w:t>able 4, and a projected $73.7 million in contract costs. Actual contract costs for 2022–23 and future years will be determined through a future competitive bid process.</w:t>
      </w:r>
    </w:p>
    <w:p w14:paraId="050E0CE4" w14:textId="514EEC98" w:rsidR="00EB000A" w:rsidRPr="005C3073" w:rsidRDefault="00EB000A" w:rsidP="0076112B">
      <w:pPr>
        <w:widowControl/>
        <w:rPr>
          <w:rFonts w:cs="Arial"/>
        </w:rPr>
      </w:pPr>
      <w:r w:rsidRPr="70428E9E">
        <w:rPr>
          <w:rFonts w:cs="Arial"/>
        </w:rPr>
        <w:t xml:space="preserve">Table </w:t>
      </w:r>
      <w:r w:rsidR="4D7A1B22" w:rsidRPr="70428E9E">
        <w:rPr>
          <w:rFonts w:cs="Arial"/>
        </w:rPr>
        <w:t>8</w:t>
      </w:r>
      <w:r w:rsidRPr="70428E9E">
        <w:rPr>
          <w:rFonts w:cs="Arial"/>
        </w:rPr>
        <w:t>.</w:t>
      </w:r>
      <w:r w:rsidRPr="70428E9E">
        <w:rPr>
          <w:rFonts w:cs="Arial"/>
          <w:b/>
          <w:bCs/>
        </w:rPr>
        <w:t xml:space="preserve"> </w:t>
      </w:r>
      <w:r w:rsidRPr="70428E9E">
        <w:rPr>
          <w:rFonts w:cs="Arial"/>
        </w:rPr>
        <w:t>Five-</w:t>
      </w:r>
      <w:r w:rsidR="2E430153" w:rsidRPr="70428E9E">
        <w:rPr>
          <w:rFonts w:cs="Arial"/>
        </w:rPr>
        <w:t>Y</w:t>
      </w:r>
      <w:r w:rsidRPr="70428E9E">
        <w:rPr>
          <w:rFonts w:cs="Arial"/>
        </w:rPr>
        <w:t>ear Projection of CAASPP LEA Apportionment Costs</w:t>
      </w:r>
    </w:p>
    <w:tbl>
      <w:tblPr>
        <w:tblStyle w:val="TableGrid"/>
        <w:tblW w:w="10260" w:type="dxa"/>
        <w:tblInd w:w="-95" w:type="dxa"/>
        <w:tblLayout w:type="fixed"/>
        <w:tblLook w:val="0020" w:firstRow="1" w:lastRow="0" w:firstColumn="0" w:lastColumn="0" w:noHBand="0" w:noVBand="0"/>
        <w:tblDescription w:val="LEA apportionment projections"/>
      </w:tblPr>
      <w:tblGrid>
        <w:gridCol w:w="2160"/>
        <w:gridCol w:w="3330"/>
        <w:gridCol w:w="4770"/>
      </w:tblGrid>
      <w:tr w:rsidR="00EB000A" w:rsidRPr="005C3073" w14:paraId="050E0CE8" w14:textId="77777777" w:rsidTr="007C23FF">
        <w:trPr>
          <w:cantSplit/>
          <w:trHeight w:val="490"/>
          <w:tblHeader/>
        </w:trPr>
        <w:tc>
          <w:tcPr>
            <w:tcW w:w="2160" w:type="dxa"/>
            <w:shd w:val="clear" w:color="auto" w:fill="D0CECE" w:themeFill="background2" w:themeFillShade="E6"/>
          </w:tcPr>
          <w:p w14:paraId="050E0CE5" w14:textId="77777777" w:rsidR="00EB000A" w:rsidRPr="005C3073" w:rsidRDefault="00EB000A" w:rsidP="00F95870">
            <w:pPr>
              <w:widowControl/>
              <w:spacing w:before="120" w:after="120"/>
              <w:ind w:left="-52"/>
              <w:jc w:val="center"/>
              <w:rPr>
                <w:rFonts w:cs="Arial"/>
                <w:b/>
                <w:bCs/>
                <w:iCs/>
                <w:szCs w:val="24"/>
              </w:rPr>
            </w:pPr>
            <w:r w:rsidRPr="005C3073">
              <w:rPr>
                <w:rFonts w:cs="Arial"/>
                <w:b/>
                <w:bCs/>
                <w:iCs/>
                <w:szCs w:val="24"/>
              </w:rPr>
              <w:t>Fiscal Year</w:t>
            </w:r>
          </w:p>
        </w:tc>
        <w:tc>
          <w:tcPr>
            <w:tcW w:w="3330" w:type="dxa"/>
            <w:shd w:val="clear" w:color="auto" w:fill="D0CECE" w:themeFill="background2" w:themeFillShade="E6"/>
          </w:tcPr>
          <w:p w14:paraId="050E0CE6" w14:textId="77777777" w:rsidR="00EB000A" w:rsidRPr="005C3073" w:rsidRDefault="00EB000A" w:rsidP="00F95870">
            <w:pPr>
              <w:widowControl/>
              <w:spacing w:before="120" w:after="120"/>
              <w:jc w:val="center"/>
              <w:rPr>
                <w:rFonts w:cs="Arial"/>
                <w:b/>
                <w:bCs/>
                <w:iCs/>
                <w:szCs w:val="24"/>
              </w:rPr>
            </w:pPr>
            <w:r w:rsidRPr="005C3073">
              <w:rPr>
                <w:rFonts w:cs="Arial"/>
                <w:b/>
                <w:bCs/>
                <w:iCs/>
                <w:szCs w:val="24"/>
              </w:rPr>
              <w:t>LEA Apportionment</w:t>
            </w:r>
            <w:r w:rsidR="00A33134" w:rsidRPr="005C3073">
              <w:rPr>
                <w:rFonts w:cs="Arial"/>
                <w:b/>
                <w:bCs/>
                <w:iCs/>
                <w:szCs w:val="24"/>
              </w:rPr>
              <w:t xml:space="preserve"> </w:t>
            </w:r>
            <w:r w:rsidRPr="005C3073">
              <w:rPr>
                <w:rFonts w:cs="Arial"/>
                <w:b/>
                <w:bCs/>
                <w:iCs/>
                <w:szCs w:val="24"/>
              </w:rPr>
              <w:t>Cost</w:t>
            </w:r>
          </w:p>
        </w:tc>
        <w:tc>
          <w:tcPr>
            <w:tcW w:w="4770" w:type="dxa"/>
            <w:shd w:val="clear" w:color="auto" w:fill="D0CECE" w:themeFill="background2" w:themeFillShade="E6"/>
          </w:tcPr>
          <w:p w14:paraId="050E0CE7" w14:textId="77777777" w:rsidR="00EB000A" w:rsidRPr="005C3073" w:rsidRDefault="00EB000A" w:rsidP="00F95870">
            <w:pPr>
              <w:widowControl/>
              <w:spacing w:before="120" w:after="120"/>
              <w:jc w:val="center"/>
              <w:rPr>
                <w:rFonts w:cs="Arial"/>
                <w:b/>
                <w:bCs/>
                <w:iCs/>
                <w:szCs w:val="24"/>
              </w:rPr>
            </w:pPr>
            <w:r w:rsidRPr="005C3073">
              <w:rPr>
                <w:rFonts w:cs="Arial"/>
                <w:b/>
                <w:bCs/>
                <w:iCs/>
                <w:szCs w:val="24"/>
              </w:rPr>
              <w:t>Test Administration</w:t>
            </w:r>
            <w:r w:rsidR="009B4988" w:rsidRPr="005C3073">
              <w:rPr>
                <w:rFonts w:cs="Arial"/>
                <w:b/>
                <w:bCs/>
                <w:iCs/>
                <w:szCs w:val="24"/>
              </w:rPr>
              <w:t xml:space="preserve"> </w:t>
            </w:r>
            <w:r w:rsidRPr="005C3073">
              <w:rPr>
                <w:rFonts w:cs="Arial"/>
                <w:b/>
                <w:bCs/>
                <w:iCs/>
                <w:szCs w:val="24"/>
              </w:rPr>
              <w:t>Reimbursed</w:t>
            </w:r>
          </w:p>
        </w:tc>
      </w:tr>
      <w:tr w:rsidR="00EB000A" w:rsidRPr="005C3073" w14:paraId="050E0CF0" w14:textId="77777777" w:rsidTr="0076112B">
        <w:trPr>
          <w:trHeight w:val="70"/>
        </w:trPr>
        <w:tc>
          <w:tcPr>
            <w:tcW w:w="2160" w:type="dxa"/>
          </w:tcPr>
          <w:p w14:paraId="050E0CED" w14:textId="67178BEE" w:rsidR="00EB000A" w:rsidRPr="005C3073" w:rsidRDefault="000E142F" w:rsidP="00F95870">
            <w:pPr>
              <w:widowControl/>
              <w:spacing w:before="120" w:after="120"/>
              <w:jc w:val="center"/>
              <w:rPr>
                <w:szCs w:val="24"/>
              </w:rPr>
            </w:pPr>
            <w:r>
              <w:rPr>
                <w:szCs w:val="24"/>
              </w:rPr>
              <w:t>2018–19</w:t>
            </w:r>
          </w:p>
        </w:tc>
        <w:tc>
          <w:tcPr>
            <w:tcW w:w="3330" w:type="dxa"/>
          </w:tcPr>
          <w:p w14:paraId="050E0CEE" w14:textId="4A2F23E4" w:rsidR="00EB000A" w:rsidRPr="005C3073" w:rsidRDefault="00EB000A" w:rsidP="00F95870">
            <w:pPr>
              <w:widowControl/>
              <w:spacing w:before="120" w:after="120"/>
              <w:jc w:val="center"/>
              <w:rPr>
                <w:rFonts w:cs="Arial"/>
                <w:iCs/>
                <w:szCs w:val="24"/>
              </w:rPr>
            </w:pPr>
            <w:r w:rsidRPr="005C3073">
              <w:rPr>
                <w:rFonts w:cs="Arial"/>
                <w:iCs/>
                <w:szCs w:val="24"/>
              </w:rPr>
              <w:t>$</w:t>
            </w:r>
            <w:r w:rsidR="006B52B2">
              <w:rPr>
                <w:rFonts w:cs="Arial"/>
                <w:iCs/>
                <w:szCs w:val="24"/>
              </w:rPr>
              <w:t>16.5</w:t>
            </w:r>
            <w:r w:rsidR="00A36F1F" w:rsidRPr="005C3073">
              <w:rPr>
                <w:rFonts w:cs="Arial"/>
                <w:iCs/>
                <w:szCs w:val="24"/>
              </w:rPr>
              <w:t xml:space="preserve"> </w:t>
            </w:r>
            <w:r w:rsidRPr="005C3073">
              <w:rPr>
                <w:rFonts w:cs="Arial"/>
                <w:iCs/>
                <w:szCs w:val="24"/>
              </w:rPr>
              <w:t>million</w:t>
            </w:r>
          </w:p>
        </w:tc>
        <w:tc>
          <w:tcPr>
            <w:tcW w:w="4770" w:type="dxa"/>
          </w:tcPr>
          <w:p w14:paraId="050E0CEF" w14:textId="1EDDC7D3" w:rsidR="00EB000A" w:rsidRPr="005C3073" w:rsidRDefault="00EB000A" w:rsidP="00F95870">
            <w:pPr>
              <w:widowControl/>
              <w:spacing w:before="120" w:after="120"/>
              <w:jc w:val="center"/>
              <w:rPr>
                <w:rFonts w:cs="Arial"/>
                <w:iCs/>
                <w:szCs w:val="24"/>
              </w:rPr>
            </w:pPr>
            <w:r w:rsidRPr="005C3073">
              <w:rPr>
                <w:rFonts w:cs="Arial"/>
                <w:iCs/>
                <w:szCs w:val="24"/>
              </w:rPr>
              <w:t>2017–</w:t>
            </w:r>
            <w:r w:rsidR="00F91F8D">
              <w:rPr>
                <w:rFonts w:cs="Arial"/>
                <w:iCs/>
                <w:szCs w:val="24"/>
              </w:rPr>
              <w:t>20</w:t>
            </w:r>
            <w:r w:rsidRPr="005C3073">
              <w:rPr>
                <w:rFonts w:cs="Arial"/>
                <w:iCs/>
                <w:szCs w:val="24"/>
              </w:rPr>
              <w:t>18 test administration</w:t>
            </w:r>
          </w:p>
        </w:tc>
      </w:tr>
      <w:tr w:rsidR="00EB000A" w:rsidRPr="005C3073" w14:paraId="050E0CF4" w14:textId="77777777" w:rsidTr="0076112B">
        <w:trPr>
          <w:trHeight w:val="70"/>
        </w:trPr>
        <w:tc>
          <w:tcPr>
            <w:tcW w:w="2160" w:type="dxa"/>
          </w:tcPr>
          <w:p w14:paraId="050E0CF1" w14:textId="1D40FE2B" w:rsidR="00EB000A" w:rsidRPr="005C3073" w:rsidRDefault="000E142F" w:rsidP="00F95870">
            <w:pPr>
              <w:widowControl/>
              <w:spacing w:before="120" w:after="120"/>
              <w:jc w:val="center"/>
              <w:rPr>
                <w:szCs w:val="24"/>
              </w:rPr>
            </w:pPr>
            <w:r>
              <w:rPr>
                <w:szCs w:val="24"/>
              </w:rPr>
              <w:t>2019–2020</w:t>
            </w:r>
          </w:p>
        </w:tc>
        <w:tc>
          <w:tcPr>
            <w:tcW w:w="3330" w:type="dxa"/>
          </w:tcPr>
          <w:p w14:paraId="050E0CF2" w14:textId="6B9C7409" w:rsidR="00EB000A" w:rsidRPr="005C3073" w:rsidRDefault="00EB000A" w:rsidP="00F95870">
            <w:pPr>
              <w:widowControl/>
              <w:spacing w:before="120" w:after="120"/>
              <w:jc w:val="center"/>
              <w:rPr>
                <w:rFonts w:cs="Arial"/>
                <w:iCs/>
                <w:szCs w:val="24"/>
              </w:rPr>
            </w:pPr>
            <w:r w:rsidRPr="005C3073">
              <w:rPr>
                <w:rFonts w:cs="Arial"/>
                <w:iCs/>
                <w:szCs w:val="24"/>
              </w:rPr>
              <w:t>$</w:t>
            </w:r>
            <w:r w:rsidR="00D506FE">
              <w:rPr>
                <w:rFonts w:cs="Arial"/>
                <w:iCs/>
                <w:szCs w:val="24"/>
              </w:rPr>
              <w:t>16.6</w:t>
            </w:r>
            <w:r w:rsidR="00A36F1F" w:rsidRPr="005C3073">
              <w:rPr>
                <w:rFonts w:cs="Arial"/>
                <w:iCs/>
                <w:szCs w:val="24"/>
              </w:rPr>
              <w:t xml:space="preserve"> </w:t>
            </w:r>
            <w:r w:rsidRPr="005C3073">
              <w:rPr>
                <w:rFonts w:cs="Arial"/>
                <w:iCs/>
                <w:szCs w:val="24"/>
              </w:rPr>
              <w:t>million</w:t>
            </w:r>
          </w:p>
        </w:tc>
        <w:tc>
          <w:tcPr>
            <w:tcW w:w="4770" w:type="dxa"/>
          </w:tcPr>
          <w:p w14:paraId="050E0CF3" w14:textId="616384CC" w:rsidR="00EB000A" w:rsidRPr="005C3073" w:rsidRDefault="000E142F" w:rsidP="00F95870">
            <w:pPr>
              <w:widowControl/>
              <w:spacing w:before="120" w:after="120"/>
              <w:jc w:val="center"/>
              <w:rPr>
                <w:rFonts w:cs="Arial"/>
                <w:iCs/>
                <w:szCs w:val="24"/>
              </w:rPr>
            </w:pPr>
            <w:r>
              <w:rPr>
                <w:rFonts w:cs="Arial"/>
                <w:iCs/>
                <w:szCs w:val="24"/>
              </w:rPr>
              <w:t>2018–2019</w:t>
            </w:r>
            <w:r w:rsidR="00EB000A" w:rsidRPr="005C3073">
              <w:rPr>
                <w:rFonts w:cs="Arial"/>
                <w:iCs/>
                <w:szCs w:val="24"/>
              </w:rPr>
              <w:t xml:space="preserve"> test administration</w:t>
            </w:r>
          </w:p>
        </w:tc>
      </w:tr>
      <w:tr w:rsidR="00EB000A" w:rsidRPr="005C3073" w14:paraId="050E0CF8" w14:textId="77777777" w:rsidTr="0076112B">
        <w:trPr>
          <w:trHeight w:val="70"/>
        </w:trPr>
        <w:tc>
          <w:tcPr>
            <w:tcW w:w="2160" w:type="dxa"/>
          </w:tcPr>
          <w:p w14:paraId="050E0CF5" w14:textId="37C1AEC4" w:rsidR="00EB000A" w:rsidRPr="005C3073" w:rsidRDefault="000E142F" w:rsidP="00F95870">
            <w:pPr>
              <w:widowControl/>
              <w:spacing w:before="120" w:after="120"/>
              <w:jc w:val="center"/>
              <w:rPr>
                <w:szCs w:val="24"/>
              </w:rPr>
            </w:pPr>
            <w:r>
              <w:rPr>
                <w:szCs w:val="24"/>
              </w:rPr>
              <w:t>2020–21</w:t>
            </w:r>
          </w:p>
        </w:tc>
        <w:tc>
          <w:tcPr>
            <w:tcW w:w="3330" w:type="dxa"/>
          </w:tcPr>
          <w:p w14:paraId="050E0CF6" w14:textId="28D9650A" w:rsidR="00EB000A" w:rsidRPr="005C3073" w:rsidRDefault="004E3617" w:rsidP="00F95870">
            <w:pPr>
              <w:widowControl/>
              <w:spacing w:before="120" w:after="120"/>
              <w:jc w:val="center"/>
              <w:rPr>
                <w:rFonts w:cs="Arial"/>
                <w:iCs/>
                <w:szCs w:val="24"/>
              </w:rPr>
            </w:pPr>
            <w:r w:rsidRPr="005C3073">
              <w:rPr>
                <w:rFonts w:cs="Arial"/>
                <w:iCs/>
                <w:szCs w:val="24"/>
              </w:rPr>
              <w:t>$</w:t>
            </w:r>
            <w:r w:rsidR="006B52B2">
              <w:rPr>
                <w:rFonts w:cs="Arial"/>
                <w:iCs/>
                <w:szCs w:val="24"/>
              </w:rPr>
              <w:t>17.8</w:t>
            </w:r>
            <w:r w:rsidR="00A36F1F" w:rsidRPr="005C3073">
              <w:rPr>
                <w:rFonts w:cs="Arial"/>
                <w:iCs/>
                <w:szCs w:val="24"/>
              </w:rPr>
              <w:t xml:space="preserve"> </w:t>
            </w:r>
            <w:r w:rsidR="00EB000A" w:rsidRPr="005C3073">
              <w:rPr>
                <w:rFonts w:cs="Arial"/>
                <w:iCs/>
                <w:szCs w:val="24"/>
              </w:rPr>
              <w:t>million</w:t>
            </w:r>
          </w:p>
        </w:tc>
        <w:tc>
          <w:tcPr>
            <w:tcW w:w="4770" w:type="dxa"/>
          </w:tcPr>
          <w:p w14:paraId="050E0CF7" w14:textId="0B42D062" w:rsidR="00EB000A" w:rsidRPr="005C3073" w:rsidRDefault="000E142F" w:rsidP="00F95870">
            <w:pPr>
              <w:widowControl/>
              <w:spacing w:before="120" w:after="120"/>
              <w:jc w:val="center"/>
              <w:rPr>
                <w:rFonts w:cs="Arial"/>
                <w:iCs/>
                <w:szCs w:val="24"/>
              </w:rPr>
            </w:pPr>
            <w:r>
              <w:rPr>
                <w:rFonts w:cs="Arial"/>
                <w:iCs/>
                <w:szCs w:val="24"/>
              </w:rPr>
              <w:t>2019–2020</w:t>
            </w:r>
            <w:r w:rsidR="00EB000A" w:rsidRPr="005C3073">
              <w:rPr>
                <w:rFonts w:cs="Arial"/>
                <w:iCs/>
                <w:szCs w:val="24"/>
              </w:rPr>
              <w:t xml:space="preserve"> test administration</w:t>
            </w:r>
          </w:p>
        </w:tc>
      </w:tr>
      <w:tr w:rsidR="00412DBB" w:rsidRPr="005C3073" w14:paraId="050E0CFC" w14:textId="77777777" w:rsidTr="0076112B">
        <w:trPr>
          <w:trHeight w:val="70"/>
        </w:trPr>
        <w:tc>
          <w:tcPr>
            <w:tcW w:w="2160" w:type="dxa"/>
          </w:tcPr>
          <w:p w14:paraId="050E0CF9" w14:textId="5309DA30" w:rsidR="00412DBB" w:rsidRPr="005C3073" w:rsidRDefault="000E142F" w:rsidP="00F95870">
            <w:pPr>
              <w:widowControl/>
              <w:spacing w:before="120" w:after="120"/>
              <w:jc w:val="center"/>
              <w:rPr>
                <w:szCs w:val="24"/>
              </w:rPr>
            </w:pPr>
            <w:r>
              <w:rPr>
                <w:szCs w:val="24"/>
              </w:rPr>
              <w:t>2021–22</w:t>
            </w:r>
          </w:p>
        </w:tc>
        <w:tc>
          <w:tcPr>
            <w:tcW w:w="3330" w:type="dxa"/>
          </w:tcPr>
          <w:p w14:paraId="050E0CFA" w14:textId="370604DA" w:rsidR="00412DBB" w:rsidRPr="005C3073" w:rsidRDefault="00412DBB" w:rsidP="00F95870">
            <w:pPr>
              <w:widowControl/>
              <w:spacing w:before="120" w:after="120"/>
              <w:jc w:val="center"/>
              <w:rPr>
                <w:rFonts w:cs="Arial"/>
                <w:iCs/>
                <w:szCs w:val="24"/>
              </w:rPr>
            </w:pPr>
            <w:r w:rsidRPr="005C3073">
              <w:rPr>
                <w:rFonts w:cs="Arial"/>
                <w:iCs/>
                <w:szCs w:val="24"/>
              </w:rPr>
              <w:t>$</w:t>
            </w:r>
            <w:r w:rsidR="006B52B2">
              <w:rPr>
                <w:rFonts w:cs="Arial"/>
                <w:iCs/>
                <w:szCs w:val="24"/>
              </w:rPr>
              <w:t>17.8</w:t>
            </w:r>
            <w:r w:rsidRPr="005C3073">
              <w:rPr>
                <w:rFonts w:cs="Arial"/>
                <w:iCs/>
                <w:szCs w:val="24"/>
              </w:rPr>
              <w:t xml:space="preserve"> million</w:t>
            </w:r>
          </w:p>
        </w:tc>
        <w:tc>
          <w:tcPr>
            <w:tcW w:w="4770" w:type="dxa"/>
          </w:tcPr>
          <w:p w14:paraId="050E0CFB" w14:textId="212EA5BD" w:rsidR="00412DBB" w:rsidRPr="005C3073" w:rsidRDefault="000E142F" w:rsidP="00F95870">
            <w:pPr>
              <w:widowControl/>
              <w:spacing w:before="120" w:after="120"/>
              <w:jc w:val="center"/>
              <w:rPr>
                <w:rFonts w:cs="Arial"/>
                <w:iCs/>
                <w:szCs w:val="24"/>
              </w:rPr>
            </w:pPr>
            <w:r>
              <w:rPr>
                <w:rFonts w:cs="Arial"/>
                <w:iCs/>
                <w:szCs w:val="24"/>
              </w:rPr>
              <w:t>2020–2021</w:t>
            </w:r>
            <w:r w:rsidR="00412DBB" w:rsidRPr="005C3073">
              <w:rPr>
                <w:rFonts w:cs="Arial"/>
                <w:iCs/>
                <w:szCs w:val="24"/>
              </w:rPr>
              <w:t xml:space="preserve"> test administration</w:t>
            </w:r>
          </w:p>
        </w:tc>
      </w:tr>
      <w:tr w:rsidR="005149FC" w:rsidRPr="005C3073" w14:paraId="558093E6" w14:textId="77777777" w:rsidTr="0076112B">
        <w:trPr>
          <w:trHeight w:val="70"/>
        </w:trPr>
        <w:tc>
          <w:tcPr>
            <w:tcW w:w="2160" w:type="dxa"/>
          </w:tcPr>
          <w:p w14:paraId="4A44D19E" w14:textId="08FD667D" w:rsidR="005149FC" w:rsidRPr="005C3073" w:rsidRDefault="000E142F" w:rsidP="00F95870">
            <w:pPr>
              <w:widowControl/>
              <w:spacing w:before="120" w:after="120"/>
              <w:jc w:val="center"/>
              <w:rPr>
                <w:szCs w:val="24"/>
              </w:rPr>
            </w:pPr>
            <w:r>
              <w:rPr>
                <w:szCs w:val="24"/>
              </w:rPr>
              <w:t>2022–23</w:t>
            </w:r>
          </w:p>
        </w:tc>
        <w:tc>
          <w:tcPr>
            <w:tcW w:w="3330" w:type="dxa"/>
          </w:tcPr>
          <w:p w14:paraId="4D2A8339" w14:textId="77D978E7" w:rsidR="005149FC" w:rsidRPr="005C3073" w:rsidRDefault="00AB0E8E" w:rsidP="00F95870">
            <w:pPr>
              <w:widowControl/>
              <w:spacing w:before="120" w:after="120"/>
              <w:jc w:val="center"/>
              <w:rPr>
                <w:rFonts w:cs="Arial"/>
                <w:iCs/>
                <w:szCs w:val="24"/>
              </w:rPr>
            </w:pPr>
            <w:r>
              <w:rPr>
                <w:rFonts w:cs="Arial"/>
                <w:iCs/>
                <w:szCs w:val="24"/>
              </w:rPr>
              <w:t>$</w:t>
            </w:r>
            <w:r w:rsidR="006B52B2">
              <w:rPr>
                <w:rFonts w:cs="Arial"/>
                <w:iCs/>
                <w:szCs w:val="24"/>
              </w:rPr>
              <w:t>17.8</w:t>
            </w:r>
            <w:r w:rsidR="00D506FE">
              <w:rPr>
                <w:rFonts w:cs="Arial"/>
                <w:iCs/>
                <w:szCs w:val="24"/>
              </w:rPr>
              <w:t xml:space="preserve"> </w:t>
            </w:r>
            <w:r>
              <w:rPr>
                <w:rFonts w:cs="Arial"/>
                <w:iCs/>
                <w:szCs w:val="24"/>
              </w:rPr>
              <w:t>million</w:t>
            </w:r>
          </w:p>
        </w:tc>
        <w:tc>
          <w:tcPr>
            <w:tcW w:w="4770" w:type="dxa"/>
          </w:tcPr>
          <w:p w14:paraId="72F8FFF7" w14:textId="275ADE9A" w:rsidR="005149FC" w:rsidRPr="005C3073" w:rsidRDefault="000E142F" w:rsidP="00F95870">
            <w:pPr>
              <w:widowControl/>
              <w:spacing w:before="120" w:after="120"/>
              <w:jc w:val="center"/>
              <w:rPr>
                <w:rFonts w:cs="Arial"/>
                <w:iCs/>
                <w:szCs w:val="24"/>
              </w:rPr>
            </w:pPr>
            <w:r>
              <w:rPr>
                <w:rFonts w:cs="Arial"/>
                <w:iCs/>
                <w:szCs w:val="24"/>
              </w:rPr>
              <w:t>2021–2022</w:t>
            </w:r>
            <w:r w:rsidR="00AB0E8E">
              <w:rPr>
                <w:rFonts w:cs="Arial"/>
                <w:iCs/>
                <w:szCs w:val="24"/>
              </w:rPr>
              <w:t xml:space="preserve"> test administration</w:t>
            </w:r>
          </w:p>
        </w:tc>
      </w:tr>
    </w:tbl>
    <w:p w14:paraId="050E0CFD" w14:textId="5B2B796A" w:rsidR="00EB000A" w:rsidRPr="005C3073" w:rsidRDefault="00EB000A" w:rsidP="00F95870">
      <w:pPr>
        <w:widowControl/>
        <w:spacing w:before="360"/>
        <w:ind w:right="-187"/>
        <w:rPr>
          <w:rFonts w:cs="Arial"/>
        </w:rPr>
      </w:pPr>
      <w:r w:rsidRPr="005C3073">
        <w:rPr>
          <w:rFonts w:cs="Arial"/>
        </w:rPr>
        <w:t>These projections are based on the current, approved CAASPP apportionment rates.</w:t>
      </w:r>
      <w:r w:rsidRPr="005C3073">
        <w:rPr>
          <w:rFonts w:cs="Arial"/>
        </w:rPr>
        <w:br/>
        <w:t>The SBE may modify the amount to be apportioned in subsequent years to address changes to LEA test administration activities. Any adjustment to the CAASPP apportionment rates that will increase the total amount apportioned annually will require</w:t>
      </w:r>
      <w:r w:rsidR="00E92F83" w:rsidRPr="005C3073">
        <w:rPr>
          <w:rFonts w:cs="Arial"/>
        </w:rPr>
        <w:t xml:space="preserve"> DOF</w:t>
      </w:r>
      <w:r w:rsidRPr="005C3073">
        <w:rPr>
          <w:rFonts w:cs="Arial"/>
        </w:rPr>
        <w:t xml:space="preserve"> approval. The CDE provided the DOF </w:t>
      </w:r>
      <w:r w:rsidR="00684C1A">
        <w:rPr>
          <w:rFonts w:cs="Arial"/>
        </w:rPr>
        <w:t xml:space="preserve">with </w:t>
      </w:r>
      <w:r w:rsidR="00604596" w:rsidRPr="005C3073">
        <w:rPr>
          <w:rFonts w:cs="Arial"/>
        </w:rPr>
        <w:t xml:space="preserve">estimated assessment apportionments for </w:t>
      </w:r>
      <w:r w:rsidR="00D506FE">
        <w:rPr>
          <w:rFonts w:cs="Arial"/>
        </w:rPr>
        <w:t xml:space="preserve">fiscal year </w:t>
      </w:r>
      <w:r w:rsidR="000E142F">
        <w:rPr>
          <w:rFonts w:cs="Arial"/>
        </w:rPr>
        <w:t>2018–19</w:t>
      </w:r>
      <w:r w:rsidR="00604596" w:rsidRPr="005C3073">
        <w:rPr>
          <w:rFonts w:cs="Arial"/>
        </w:rPr>
        <w:t xml:space="preserve">, including </w:t>
      </w:r>
      <w:r w:rsidR="00E91F4A" w:rsidRPr="005C3073">
        <w:rPr>
          <w:rFonts w:cs="Arial"/>
        </w:rPr>
        <w:t>approximately $</w:t>
      </w:r>
      <w:r w:rsidR="008E759A">
        <w:rPr>
          <w:rFonts w:cs="Arial"/>
        </w:rPr>
        <w:t>15.5</w:t>
      </w:r>
      <w:r w:rsidR="00E91F4A" w:rsidRPr="005C3073">
        <w:rPr>
          <w:rFonts w:cs="Arial"/>
        </w:rPr>
        <w:t xml:space="preserve"> million in </w:t>
      </w:r>
      <w:r w:rsidRPr="005C3073">
        <w:rPr>
          <w:rFonts w:cs="Arial"/>
        </w:rPr>
        <w:t>estimated costs</w:t>
      </w:r>
      <w:r w:rsidR="00E91F4A" w:rsidRPr="005C3073">
        <w:rPr>
          <w:rFonts w:cs="Arial"/>
        </w:rPr>
        <w:t xml:space="preserve"> </w:t>
      </w:r>
      <w:r w:rsidRPr="005C3073">
        <w:rPr>
          <w:rFonts w:cs="Arial"/>
        </w:rPr>
        <w:t xml:space="preserve">for </w:t>
      </w:r>
      <w:r w:rsidR="00604596" w:rsidRPr="005C3073">
        <w:rPr>
          <w:rFonts w:cs="Arial"/>
        </w:rPr>
        <w:t xml:space="preserve">the </w:t>
      </w:r>
      <w:r w:rsidR="00E91F4A" w:rsidRPr="005C3073">
        <w:rPr>
          <w:rFonts w:cs="Arial"/>
        </w:rPr>
        <w:t>CAASPP</w:t>
      </w:r>
      <w:r w:rsidRPr="005C3073">
        <w:rPr>
          <w:rFonts w:cs="Arial"/>
        </w:rPr>
        <w:t xml:space="preserve"> </w:t>
      </w:r>
      <w:r w:rsidR="00604596" w:rsidRPr="005C3073">
        <w:rPr>
          <w:rFonts w:cs="Arial"/>
        </w:rPr>
        <w:t>System.</w:t>
      </w:r>
    </w:p>
    <w:p w14:paraId="050E0CFE" w14:textId="3ACB973F" w:rsidR="00EB000A" w:rsidRPr="005C3073" w:rsidRDefault="00EB000A" w:rsidP="00F95870">
      <w:pPr>
        <w:widowControl/>
        <w:ind w:right="-180"/>
        <w:rPr>
          <w:rFonts w:cs="Arial"/>
          <w:iCs/>
          <w:szCs w:val="24"/>
        </w:rPr>
      </w:pPr>
      <w:r w:rsidRPr="005C3073">
        <w:rPr>
          <w:szCs w:val="24"/>
        </w:rPr>
        <w:lastRenderedPageBreak/>
        <w:t>The 201</w:t>
      </w:r>
      <w:r w:rsidR="008E759A">
        <w:rPr>
          <w:szCs w:val="24"/>
        </w:rPr>
        <w:t>9</w:t>
      </w:r>
      <w:r w:rsidRPr="005C3073">
        <w:rPr>
          <w:szCs w:val="24"/>
        </w:rPr>
        <w:t xml:space="preserve"> Budget Act appropriation of $</w:t>
      </w:r>
      <w:r w:rsidR="008E759A">
        <w:rPr>
          <w:szCs w:val="24"/>
        </w:rPr>
        <w:t>15.5</w:t>
      </w:r>
      <w:r w:rsidRPr="005C3073">
        <w:rPr>
          <w:szCs w:val="24"/>
        </w:rPr>
        <w:t xml:space="preserve"> million </w:t>
      </w:r>
      <w:r w:rsidR="00C60FEB" w:rsidRPr="005C3073">
        <w:rPr>
          <w:szCs w:val="24"/>
        </w:rPr>
        <w:t xml:space="preserve">is </w:t>
      </w:r>
      <w:r w:rsidRPr="005C3073">
        <w:rPr>
          <w:szCs w:val="24"/>
        </w:rPr>
        <w:t xml:space="preserve">sufficient funding </w:t>
      </w:r>
      <w:r w:rsidR="00C60FEB" w:rsidRPr="005C3073">
        <w:rPr>
          <w:szCs w:val="24"/>
        </w:rPr>
        <w:t xml:space="preserve">for the CAASPP apportionments to LEAs for </w:t>
      </w:r>
      <w:r w:rsidR="00520E98" w:rsidRPr="005C3073">
        <w:rPr>
          <w:szCs w:val="24"/>
        </w:rPr>
        <w:t xml:space="preserve">the </w:t>
      </w:r>
      <w:r w:rsidR="00C60FEB" w:rsidRPr="005C3073">
        <w:rPr>
          <w:szCs w:val="24"/>
        </w:rPr>
        <w:t>specified CAASPP assessments.</w:t>
      </w:r>
    </w:p>
    <w:p w14:paraId="050E0CFF" w14:textId="21F27F48" w:rsidR="00EB000A" w:rsidRPr="00BA4F64" w:rsidRDefault="00EB000A" w:rsidP="00DA4E53">
      <w:pPr>
        <w:pStyle w:val="Heading2"/>
        <w:spacing w:after="240" w:afterAutospacing="0" w:line="240" w:lineRule="auto"/>
        <w:jc w:val="left"/>
        <w:rPr>
          <w:sz w:val="28"/>
          <w:szCs w:val="28"/>
        </w:rPr>
      </w:pPr>
      <w:bookmarkStart w:id="63" w:name="_Toc2346326"/>
      <w:bookmarkStart w:id="64" w:name="_Toc43122223"/>
      <w:r w:rsidRPr="00BA4F64">
        <w:rPr>
          <w:sz w:val="28"/>
          <w:szCs w:val="28"/>
        </w:rPr>
        <w:t>Cost Projection Variations</w:t>
      </w:r>
      <w:r w:rsidR="00CC1DBD" w:rsidRPr="00BA4F64">
        <w:rPr>
          <w:sz w:val="28"/>
          <w:szCs w:val="28"/>
        </w:rPr>
        <w:t xml:space="preserve"> of</w:t>
      </w:r>
      <w:r w:rsidRPr="00BA4F64">
        <w:rPr>
          <w:sz w:val="28"/>
          <w:szCs w:val="28"/>
        </w:rPr>
        <w:t xml:space="preserve"> </w:t>
      </w:r>
      <w:r w:rsidR="00CC1DBD" w:rsidRPr="00BA4F64">
        <w:rPr>
          <w:sz w:val="28"/>
          <w:szCs w:val="28"/>
        </w:rPr>
        <w:t>Proposed Budgets, 2016</w:t>
      </w:r>
      <w:r w:rsidR="00F451D6" w:rsidRPr="00BA4F64">
        <w:rPr>
          <w:sz w:val="28"/>
          <w:szCs w:val="28"/>
        </w:rPr>
        <w:t>–</w:t>
      </w:r>
      <w:r w:rsidR="00CC1DBD" w:rsidRPr="00BA4F64">
        <w:rPr>
          <w:sz w:val="28"/>
          <w:szCs w:val="28"/>
        </w:rPr>
        <w:t>20</w:t>
      </w:r>
      <w:r w:rsidR="00414F5D" w:rsidRPr="00BA4F64">
        <w:rPr>
          <w:sz w:val="28"/>
          <w:szCs w:val="28"/>
        </w:rPr>
        <w:t>20</w:t>
      </w:r>
      <w:bookmarkEnd w:id="63"/>
      <w:bookmarkEnd w:id="64"/>
    </w:p>
    <w:p w14:paraId="70DAA4B3" w14:textId="71D07FDB" w:rsidR="00414F5D" w:rsidRDefault="00E91F4A" w:rsidP="2626381B">
      <w:r>
        <w:t>T</w:t>
      </w:r>
      <w:r w:rsidR="00EB000A">
        <w:t>he 201</w:t>
      </w:r>
      <w:r w:rsidR="00412DBB">
        <w:t>6</w:t>
      </w:r>
      <w:r w:rsidR="00EB000A">
        <w:t xml:space="preserve"> Budget Act</w:t>
      </w:r>
      <w:r>
        <w:t xml:space="preserve">, </w:t>
      </w:r>
      <w:r w:rsidR="00EB000A">
        <w:t>201</w:t>
      </w:r>
      <w:r w:rsidR="00412DBB">
        <w:t>7</w:t>
      </w:r>
      <w:r w:rsidR="00EB000A">
        <w:t xml:space="preserve"> Budget Act</w:t>
      </w:r>
      <w:r>
        <w:t>, 2018 Budget Act</w:t>
      </w:r>
      <w:r w:rsidR="00D506FE">
        <w:t>, 2019 Budget Act</w:t>
      </w:r>
      <w:r w:rsidR="00CA0215">
        <w:t>, and 2020 Budget Act</w:t>
      </w:r>
      <w:r>
        <w:t xml:space="preserve"> all</w:t>
      </w:r>
      <w:r w:rsidR="00EB000A">
        <w:t xml:space="preserve"> provided sufficient funding for CAASPP contract costs and apportionment costs.</w:t>
      </w:r>
      <w:r w:rsidR="00BD7102">
        <w:t xml:space="preserve"> </w:t>
      </w:r>
      <w:r w:rsidR="00EB000A">
        <w:t xml:space="preserve">The </w:t>
      </w:r>
      <w:r w:rsidR="00414F5D">
        <w:t>total Budget Act funding, per year, for various CAASPP contract costs were as follows:</w:t>
      </w:r>
    </w:p>
    <w:p w14:paraId="32F04D1D" w14:textId="7EAEEC2A" w:rsidR="00414F5D" w:rsidRPr="00414F5D" w:rsidRDefault="35454A0A" w:rsidP="00DA4E53">
      <w:pPr>
        <w:pStyle w:val="ListParagraph"/>
        <w:numPr>
          <w:ilvl w:val="0"/>
          <w:numId w:val="48"/>
        </w:numPr>
        <w:spacing w:after="0"/>
        <w:rPr>
          <w:rFonts w:cs="Arial"/>
        </w:rPr>
      </w:pPr>
      <w:r>
        <w:t>2016</w:t>
      </w:r>
      <w:r w:rsidRPr="3FB95C47">
        <w:rPr>
          <w:rFonts w:cs="Arial"/>
        </w:rPr>
        <w:t>—</w:t>
      </w:r>
      <w:r>
        <w:t>$93.03 million</w:t>
      </w:r>
    </w:p>
    <w:p w14:paraId="7B753864" w14:textId="4D70B676" w:rsidR="00414F5D" w:rsidRDefault="35454A0A" w:rsidP="00DA4E53">
      <w:pPr>
        <w:pStyle w:val="ListParagraph"/>
        <w:numPr>
          <w:ilvl w:val="0"/>
          <w:numId w:val="48"/>
        </w:numPr>
        <w:spacing w:after="0"/>
      </w:pPr>
      <w:r>
        <w:t>2017</w:t>
      </w:r>
      <w:r w:rsidRPr="3FB95C47">
        <w:rPr>
          <w:rFonts w:cs="Arial"/>
        </w:rPr>
        <w:t>—</w:t>
      </w:r>
      <w:r>
        <w:t>$87.73 million</w:t>
      </w:r>
    </w:p>
    <w:p w14:paraId="267ADD24" w14:textId="5AD526A7" w:rsidR="00414F5D" w:rsidRDefault="35454A0A" w:rsidP="00DA4E53">
      <w:pPr>
        <w:pStyle w:val="ListParagraph"/>
        <w:numPr>
          <w:ilvl w:val="0"/>
          <w:numId w:val="48"/>
        </w:numPr>
        <w:spacing w:after="0"/>
      </w:pPr>
      <w:r>
        <w:t>2018</w:t>
      </w:r>
      <w:r w:rsidRPr="3FB95C47">
        <w:rPr>
          <w:rFonts w:cs="Arial"/>
        </w:rPr>
        <w:t>—</w:t>
      </w:r>
      <w:r>
        <w:t>$86.1 million</w:t>
      </w:r>
    </w:p>
    <w:p w14:paraId="0BCED223" w14:textId="4CB0A38C" w:rsidR="00414F5D" w:rsidRDefault="35454A0A" w:rsidP="00DA4E53">
      <w:pPr>
        <w:pStyle w:val="ListParagraph"/>
        <w:numPr>
          <w:ilvl w:val="0"/>
          <w:numId w:val="48"/>
        </w:numPr>
        <w:spacing w:after="0"/>
      </w:pPr>
      <w:r>
        <w:t>2019</w:t>
      </w:r>
      <w:r w:rsidRPr="3FB95C47">
        <w:rPr>
          <w:rFonts w:cs="Arial"/>
        </w:rPr>
        <w:t>—</w:t>
      </w:r>
      <w:r>
        <w:t>$87.5 million</w:t>
      </w:r>
    </w:p>
    <w:p w14:paraId="7C51C116" w14:textId="1BAD3006" w:rsidR="00414F5D" w:rsidRDefault="35454A0A" w:rsidP="00DA4E53">
      <w:pPr>
        <w:pStyle w:val="ListParagraph"/>
        <w:numPr>
          <w:ilvl w:val="0"/>
          <w:numId w:val="48"/>
        </w:numPr>
      </w:pPr>
      <w:r>
        <w:t>2020</w:t>
      </w:r>
      <w:r w:rsidRPr="3FB95C47">
        <w:rPr>
          <w:rFonts w:cs="Arial"/>
        </w:rPr>
        <w:t>—</w:t>
      </w:r>
      <w:r>
        <w:t>$87.1 million</w:t>
      </w:r>
    </w:p>
    <w:p w14:paraId="5E69B13F" w14:textId="29A68DA6" w:rsidR="0068707F" w:rsidRDefault="0068707F" w:rsidP="2626381B">
      <w:bookmarkStart w:id="65" w:name="_Hlk42507242"/>
      <w:bookmarkEnd w:id="65"/>
      <w:r>
        <w:br w:type="page"/>
      </w:r>
    </w:p>
    <w:p w14:paraId="570DB8E5" w14:textId="77777777" w:rsidR="00576DE9" w:rsidRPr="00BA4F64" w:rsidRDefault="00576DE9" w:rsidP="00DA4E53">
      <w:pPr>
        <w:pStyle w:val="Heading2"/>
        <w:spacing w:before="240" w:beforeAutospacing="0" w:after="240" w:afterAutospacing="0" w:line="240" w:lineRule="auto"/>
        <w:jc w:val="left"/>
        <w:rPr>
          <w:sz w:val="28"/>
          <w:szCs w:val="28"/>
        </w:rPr>
      </w:pPr>
      <w:bookmarkStart w:id="66" w:name="_Toc43122224"/>
      <w:r w:rsidRPr="00BA4F64">
        <w:rPr>
          <w:sz w:val="28"/>
          <w:szCs w:val="28"/>
        </w:rPr>
        <w:lastRenderedPageBreak/>
        <w:t>California Assessment of Student Performance and Progress Timeline</w:t>
      </w:r>
      <w:bookmarkEnd w:id="66"/>
    </w:p>
    <w:p w14:paraId="447B0547" w14:textId="77777777" w:rsidR="00576DE9" w:rsidRPr="005C3073" w:rsidRDefault="00576DE9" w:rsidP="2626381B">
      <w:pPr>
        <w:widowControl/>
        <w:rPr>
          <w:rFonts w:cs="Arial"/>
        </w:rPr>
      </w:pPr>
      <w:r w:rsidRPr="2626381B">
        <w:rPr>
          <w:rFonts w:cs="Arial"/>
        </w:rPr>
        <w:t xml:space="preserve">The CAASPP timeline shown in Table 9, below, provides information on the assessments that are anticipated to be a part of each CAASPP test administration per fiscal year. </w:t>
      </w:r>
    </w:p>
    <w:p w14:paraId="0CA2B364" w14:textId="2CE37A9B" w:rsidR="00576DE9" w:rsidRDefault="00576DE9" w:rsidP="2626381B">
      <w:pPr>
        <w:widowControl/>
        <w:tabs>
          <w:tab w:val="right" w:leader="dot" w:pos="9180"/>
          <w:tab w:val="left" w:pos="12690"/>
        </w:tabs>
        <w:spacing w:after="120"/>
        <w:ind w:left="1620" w:right="270" w:hanging="1620"/>
      </w:pPr>
      <w:r>
        <w:t>Table 9.</w:t>
      </w:r>
      <w:r w:rsidRPr="2626381B">
        <w:rPr>
          <w:b/>
          <w:bCs/>
        </w:rPr>
        <w:t xml:space="preserve"> </w:t>
      </w:r>
      <w:r>
        <w:t xml:space="preserve">CAASPP Timeline </w:t>
      </w:r>
    </w:p>
    <w:tbl>
      <w:tblPr>
        <w:tblStyle w:val="TableGrid"/>
        <w:tblW w:w="0" w:type="auto"/>
        <w:tblLook w:val="04A0" w:firstRow="1" w:lastRow="0" w:firstColumn="1" w:lastColumn="0" w:noHBand="0" w:noVBand="1"/>
        <w:tblDescription w:val="CAASPP Tests per Fiscal Year"/>
      </w:tblPr>
      <w:tblGrid>
        <w:gridCol w:w="1415"/>
        <w:gridCol w:w="2410"/>
        <w:gridCol w:w="2726"/>
        <w:gridCol w:w="2799"/>
      </w:tblGrid>
      <w:tr w:rsidR="008D084D" w14:paraId="21711A39" w14:textId="77777777" w:rsidTr="007C23FF">
        <w:trPr>
          <w:cantSplit/>
          <w:trHeight w:val="1134"/>
          <w:tblHeader/>
        </w:trPr>
        <w:tc>
          <w:tcPr>
            <w:tcW w:w="1439" w:type="dxa"/>
            <w:shd w:val="clear" w:color="auto" w:fill="D0CECE" w:themeFill="background2" w:themeFillShade="E6"/>
            <w:vAlign w:val="center"/>
          </w:tcPr>
          <w:p w14:paraId="38721C7E" w14:textId="2332CAAF" w:rsidR="008D084D" w:rsidRPr="00456598" w:rsidRDefault="00934CD6" w:rsidP="000C28EB">
            <w:pPr>
              <w:widowControl/>
              <w:spacing w:before="120" w:after="120"/>
              <w:jc w:val="center"/>
              <w:rPr>
                <w:b/>
                <w:bCs/>
              </w:rPr>
            </w:pPr>
            <w:r w:rsidRPr="2626381B">
              <w:rPr>
                <w:b/>
                <w:bCs/>
              </w:rPr>
              <w:t>Fiscal Year</w:t>
            </w:r>
          </w:p>
        </w:tc>
        <w:tc>
          <w:tcPr>
            <w:tcW w:w="2427" w:type="dxa"/>
            <w:shd w:val="clear" w:color="auto" w:fill="D0CECE" w:themeFill="background2" w:themeFillShade="E6"/>
            <w:vAlign w:val="center"/>
          </w:tcPr>
          <w:p w14:paraId="0CBBD615" w14:textId="5ABA98B9" w:rsidR="008D084D" w:rsidRPr="00456598" w:rsidRDefault="00165F4D" w:rsidP="000C28EB">
            <w:pPr>
              <w:widowControl/>
              <w:spacing w:before="120" w:after="120"/>
              <w:jc w:val="center"/>
              <w:rPr>
                <w:b/>
                <w:bCs/>
              </w:rPr>
            </w:pPr>
            <w:r w:rsidRPr="2626381B">
              <w:rPr>
                <w:b/>
                <w:bCs/>
              </w:rPr>
              <w:t>Test Administrations</w:t>
            </w:r>
          </w:p>
        </w:tc>
        <w:tc>
          <w:tcPr>
            <w:tcW w:w="2770" w:type="dxa"/>
            <w:shd w:val="clear" w:color="auto" w:fill="D0CECE" w:themeFill="background2" w:themeFillShade="E6"/>
            <w:vAlign w:val="center"/>
          </w:tcPr>
          <w:p w14:paraId="1D10A1F9" w14:textId="24E8420C" w:rsidR="008D084D" w:rsidRPr="00456598" w:rsidRDefault="00165F4D" w:rsidP="000C28EB">
            <w:pPr>
              <w:widowControl/>
              <w:spacing w:before="120" w:after="120"/>
              <w:jc w:val="center"/>
              <w:rPr>
                <w:b/>
                <w:bCs/>
              </w:rPr>
            </w:pPr>
            <w:r w:rsidRPr="2626381B">
              <w:rPr>
                <w:b/>
                <w:bCs/>
              </w:rPr>
              <w:t>Operational Assessments</w:t>
            </w:r>
          </w:p>
        </w:tc>
        <w:tc>
          <w:tcPr>
            <w:tcW w:w="2846" w:type="dxa"/>
            <w:shd w:val="clear" w:color="auto" w:fill="D0CECE" w:themeFill="background2" w:themeFillShade="E6"/>
            <w:vAlign w:val="center"/>
          </w:tcPr>
          <w:p w14:paraId="222285BB" w14:textId="3E13890D" w:rsidR="008D084D" w:rsidRPr="00456598" w:rsidRDefault="00165F4D" w:rsidP="000C28EB">
            <w:pPr>
              <w:widowControl/>
              <w:spacing w:before="120" w:after="120"/>
              <w:jc w:val="center"/>
              <w:rPr>
                <w:b/>
                <w:bCs/>
              </w:rPr>
            </w:pPr>
            <w:r w:rsidRPr="2626381B">
              <w:rPr>
                <w:b/>
                <w:bCs/>
              </w:rPr>
              <w:t xml:space="preserve">Assessments Undergoing </w:t>
            </w:r>
            <w:r w:rsidR="00254F15" w:rsidRPr="2626381B">
              <w:rPr>
                <w:b/>
                <w:bCs/>
              </w:rPr>
              <w:t>Census or Sample Pilot and Field Testing</w:t>
            </w:r>
          </w:p>
        </w:tc>
      </w:tr>
      <w:tr w:rsidR="008D084D" w14:paraId="3F4ED979" w14:textId="77777777" w:rsidTr="00AD6D2D">
        <w:trPr>
          <w:trHeight w:val="1237"/>
        </w:trPr>
        <w:tc>
          <w:tcPr>
            <w:tcW w:w="1439" w:type="dxa"/>
          </w:tcPr>
          <w:p w14:paraId="0B07B488" w14:textId="2ECC5F47" w:rsidR="00934CD6" w:rsidRDefault="00934CD6" w:rsidP="00DA4E53">
            <w:pPr>
              <w:widowControl/>
              <w:spacing w:before="360" w:after="120"/>
              <w:jc w:val="center"/>
            </w:pPr>
            <w:r>
              <w:t>2018–19</w:t>
            </w:r>
          </w:p>
        </w:tc>
        <w:tc>
          <w:tcPr>
            <w:tcW w:w="2427" w:type="dxa"/>
          </w:tcPr>
          <w:p w14:paraId="41A5853F" w14:textId="487068C2" w:rsidR="008D084D" w:rsidRDefault="00254F15" w:rsidP="000C28EB">
            <w:pPr>
              <w:widowControl/>
              <w:spacing w:before="120" w:after="120"/>
              <w:jc w:val="center"/>
              <w:rPr>
                <w:rFonts w:cs="Arial"/>
              </w:rPr>
            </w:pPr>
            <w:r w:rsidRPr="2626381B">
              <w:rPr>
                <w:rFonts w:cs="Arial"/>
              </w:rPr>
              <w:t xml:space="preserve">2017–18 test administration and </w:t>
            </w:r>
            <w:r>
              <w:br/>
            </w:r>
            <w:r w:rsidRPr="2626381B">
              <w:rPr>
                <w:rFonts w:cs="Arial"/>
              </w:rPr>
              <w:t>2018–19 test administration</w:t>
            </w:r>
          </w:p>
        </w:tc>
        <w:tc>
          <w:tcPr>
            <w:tcW w:w="2770" w:type="dxa"/>
          </w:tcPr>
          <w:p w14:paraId="05F59270" w14:textId="7B775678" w:rsidR="008D084D" w:rsidRDefault="003C09C0" w:rsidP="000C28EB">
            <w:pPr>
              <w:widowControl/>
              <w:spacing w:before="120" w:after="120"/>
              <w:jc w:val="center"/>
              <w:rPr>
                <w:rFonts w:cs="Arial"/>
              </w:rPr>
            </w:pPr>
            <w:r w:rsidRPr="2626381B">
              <w:rPr>
                <w:rFonts w:cs="Arial"/>
              </w:rPr>
              <w:t>Smarter Balanced, CAAs for ELA and mathematics, CAST, and CSA</w:t>
            </w:r>
          </w:p>
        </w:tc>
        <w:tc>
          <w:tcPr>
            <w:tcW w:w="2846" w:type="dxa"/>
          </w:tcPr>
          <w:p w14:paraId="38FF9048" w14:textId="29FA7472" w:rsidR="008D084D" w:rsidRDefault="003C09C0" w:rsidP="00DA4E53">
            <w:pPr>
              <w:widowControl/>
              <w:spacing w:before="360" w:after="120"/>
              <w:jc w:val="center"/>
              <w:rPr>
                <w:rFonts w:cs="Arial"/>
              </w:rPr>
            </w:pPr>
            <w:r w:rsidRPr="2626381B">
              <w:rPr>
                <w:rFonts w:cs="Arial"/>
              </w:rPr>
              <w:t>Field test: CAA for Science and CSA</w:t>
            </w:r>
          </w:p>
        </w:tc>
      </w:tr>
      <w:tr w:rsidR="008D084D" w14:paraId="6D8C9732" w14:textId="77777777" w:rsidTr="00AD6D2D">
        <w:trPr>
          <w:trHeight w:val="1225"/>
        </w:trPr>
        <w:tc>
          <w:tcPr>
            <w:tcW w:w="1439" w:type="dxa"/>
          </w:tcPr>
          <w:p w14:paraId="4EF9BD17" w14:textId="13E40609" w:rsidR="008D084D" w:rsidRDefault="00934CD6" w:rsidP="00DA4E53">
            <w:pPr>
              <w:widowControl/>
              <w:spacing w:before="360" w:after="120"/>
              <w:jc w:val="center"/>
            </w:pPr>
            <w:r>
              <w:t>2019–2020</w:t>
            </w:r>
          </w:p>
        </w:tc>
        <w:tc>
          <w:tcPr>
            <w:tcW w:w="2427" w:type="dxa"/>
          </w:tcPr>
          <w:p w14:paraId="5DD7F5CB" w14:textId="24EA15AE" w:rsidR="008D084D" w:rsidRDefault="003C09C0" w:rsidP="000C28EB">
            <w:pPr>
              <w:widowControl/>
              <w:spacing w:before="120" w:after="120"/>
              <w:jc w:val="center"/>
              <w:rPr>
                <w:rFonts w:cs="Arial"/>
              </w:rPr>
            </w:pPr>
            <w:r w:rsidRPr="2626381B">
              <w:rPr>
                <w:rFonts w:cs="Arial"/>
              </w:rPr>
              <w:t xml:space="preserve">2018–19 test administration and </w:t>
            </w:r>
            <w:r>
              <w:br/>
            </w:r>
            <w:r w:rsidRPr="2626381B">
              <w:rPr>
                <w:rFonts w:cs="Arial"/>
              </w:rPr>
              <w:t>2019–2020 test administration</w:t>
            </w:r>
          </w:p>
        </w:tc>
        <w:tc>
          <w:tcPr>
            <w:tcW w:w="2770" w:type="dxa"/>
          </w:tcPr>
          <w:p w14:paraId="40FD4FCD" w14:textId="175CA8FA" w:rsidR="008D084D" w:rsidRDefault="003C09C0" w:rsidP="000C28EB">
            <w:pPr>
              <w:widowControl/>
              <w:spacing w:before="120" w:after="120"/>
              <w:jc w:val="center"/>
              <w:rPr>
                <w:rFonts w:cs="Arial"/>
              </w:rPr>
            </w:pPr>
            <w:r w:rsidRPr="2626381B">
              <w:rPr>
                <w:rFonts w:cs="Arial"/>
              </w:rPr>
              <w:t>Smarter Balanced, CAAs for ELA and mathematics, CAST, CAA for Science</w:t>
            </w:r>
            <w:r w:rsidR="009A1846">
              <w:rPr>
                <w:rFonts w:cs="Arial"/>
                <w:vertAlign w:val="superscript"/>
              </w:rPr>
              <w:t>1</w:t>
            </w:r>
            <w:r w:rsidRPr="2626381B">
              <w:rPr>
                <w:rFonts w:cs="Arial"/>
              </w:rPr>
              <w:t>, CSA</w:t>
            </w:r>
          </w:p>
        </w:tc>
        <w:tc>
          <w:tcPr>
            <w:tcW w:w="2846" w:type="dxa"/>
          </w:tcPr>
          <w:p w14:paraId="50EB4A42" w14:textId="1D26C75C" w:rsidR="008D084D" w:rsidRDefault="003C09C0" w:rsidP="00DA4E53">
            <w:pPr>
              <w:widowControl/>
              <w:spacing w:before="480" w:after="120"/>
              <w:jc w:val="center"/>
              <w:rPr>
                <w:rFonts w:cs="Arial"/>
              </w:rPr>
            </w:pPr>
            <w:r w:rsidRPr="2626381B">
              <w:rPr>
                <w:rFonts w:cs="Arial"/>
              </w:rPr>
              <w:t>None</w:t>
            </w:r>
          </w:p>
        </w:tc>
      </w:tr>
      <w:tr w:rsidR="008D084D" w14:paraId="3C596732" w14:textId="77777777" w:rsidTr="00AD6D2D">
        <w:trPr>
          <w:trHeight w:val="1225"/>
        </w:trPr>
        <w:tc>
          <w:tcPr>
            <w:tcW w:w="1439" w:type="dxa"/>
          </w:tcPr>
          <w:p w14:paraId="45915578" w14:textId="361CCC5F" w:rsidR="008D084D" w:rsidRDefault="00934CD6" w:rsidP="00DA4E53">
            <w:pPr>
              <w:widowControl/>
              <w:spacing w:before="360" w:after="120"/>
              <w:jc w:val="center"/>
            </w:pPr>
            <w:r>
              <w:t>2020–21</w:t>
            </w:r>
          </w:p>
        </w:tc>
        <w:tc>
          <w:tcPr>
            <w:tcW w:w="2427" w:type="dxa"/>
          </w:tcPr>
          <w:p w14:paraId="7388C39E" w14:textId="6BF79DAB" w:rsidR="008D084D" w:rsidRDefault="003C09C0" w:rsidP="000C28EB">
            <w:pPr>
              <w:widowControl/>
              <w:spacing w:before="120" w:after="120"/>
              <w:jc w:val="center"/>
              <w:rPr>
                <w:rFonts w:cs="Arial"/>
              </w:rPr>
            </w:pPr>
            <w:r w:rsidRPr="2626381B">
              <w:rPr>
                <w:rFonts w:cs="Arial"/>
              </w:rPr>
              <w:t xml:space="preserve">2019–2020 test administration and </w:t>
            </w:r>
            <w:r>
              <w:br/>
            </w:r>
            <w:r w:rsidRPr="2626381B">
              <w:rPr>
                <w:rFonts w:cs="Arial"/>
              </w:rPr>
              <w:t>2020–21 test administration</w:t>
            </w:r>
          </w:p>
        </w:tc>
        <w:tc>
          <w:tcPr>
            <w:tcW w:w="2770" w:type="dxa"/>
          </w:tcPr>
          <w:p w14:paraId="60C57B3C" w14:textId="552126B8" w:rsidR="008D084D" w:rsidRDefault="003C09C0" w:rsidP="000C28EB">
            <w:pPr>
              <w:widowControl/>
              <w:spacing w:before="120" w:after="120"/>
              <w:jc w:val="center"/>
              <w:rPr>
                <w:rFonts w:cs="Arial"/>
              </w:rPr>
            </w:pPr>
            <w:r w:rsidRPr="2626381B">
              <w:rPr>
                <w:rFonts w:cs="Arial"/>
              </w:rPr>
              <w:t>Smarter Balanced, CAAs for ELA and mathematics, CAST, CAA for Science, CSA</w:t>
            </w:r>
          </w:p>
        </w:tc>
        <w:tc>
          <w:tcPr>
            <w:tcW w:w="2846" w:type="dxa"/>
          </w:tcPr>
          <w:p w14:paraId="131589F0" w14:textId="73BADAED" w:rsidR="008D084D" w:rsidRDefault="003C09C0" w:rsidP="00DA4E53">
            <w:pPr>
              <w:widowControl/>
              <w:spacing w:before="480" w:after="120"/>
              <w:jc w:val="center"/>
              <w:rPr>
                <w:rFonts w:cs="Arial"/>
              </w:rPr>
            </w:pPr>
            <w:r w:rsidRPr="2626381B">
              <w:rPr>
                <w:rFonts w:cs="Arial"/>
              </w:rPr>
              <w:t>None</w:t>
            </w:r>
          </w:p>
        </w:tc>
      </w:tr>
      <w:tr w:rsidR="008D084D" w14:paraId="0491A51D" w14:textId="77777777" w:rsidTr="00AD6D2D">
        <w:trPr>
          <w:trHeight w:val="1225"/>
        </w:trPr>
        <w:tc>
          <w:tcPr>
            <w:tcW w:w="1439" w:type="dxa"/>
          </w:tcPr>
          <w:p w14:paraId="4CD8CD0B" w14:textId="67B6AF0B" w:rsidR="008D084D" w:rsidRDefault="00934CD6" w:rsidP="00DA4E53">
            <w:pPr>
              <w:widowControl/>
              <w:spacing w:before="360" w:after="120"/>
              <w:jc w:val="center"/>
            </w:pPr>
            <w:r>
              <w:t>2021–22</w:t>
            </w:r>
          </w:p>
        </w:tc>
        <w:tc>
          <w:tcPr>
            <w:tcW w:w="2427" w:type="dxa"/>
          </w:tcPr>
          <w:p w14:paraId="343EFDB5" w14:textId="40C862F1" w:rsidR="008D084D" w:rsidRDefault="003C09C0" w:rsidP="000C28EB">
            <w:pPr>
              <w:widowControl/>
              <w:spacing w:before="120" w:after="120"/>
              <w:jc w:val="center"/>
              <w:rPr>
                <w:rFonts w:cs="Arial"/>
              </w:rPr>
            </w:pPr>
            <w:r w:rsidRPr="2626381B">
              <w:rPr>
                <w:rFonts w:cs="Arial"/>
              </w:rPr>
              <w:t xml:space="preserve">2020–21 test administration and </w:t>
            </w:r>
            <w:r>
              <w:br/>
            </w:r>
            <w:r w:rsidRPr="2626381B">
              <w:rPr>
                <w:rFonts w:cs="Arial"/>
              </w:rPr>
              <w:t>2021–22 test administration</w:t>
            </w:r>
          </w:p>
        </w:tc>
        <w:tc>
          <w:tcPr>
            <w:tcW w:w="2770" w:type="dxa"/>
          </w:tcPr>
          <w:p w14:paraId="6F97D301" w14:textId="4FB801EE" w:rsidR="008D084D" w:rsidRDefault="003C09C0" w:rsidP="000C28EB">
            <w:pPr>
              <w:widowControl/>
              <w:spacing w:before="120" w:after="120"/>
              <w:jc w:val="center"/>
              <w:rPr>
                <w:rFonts w:cs="Arial"/>
              </w:rPr>
            </w:pPr>
            <w:r w:rsidRPr="2626381B">
              <w:rPr>
                <w:rFonts w:cs="Arial"/>
              </w:rPr>
              <w:t>Smarter Balanced, CAAs for ELA and mathematics, CAST, CAA for Science, CSA</w:t>
            </w:r>
          </w:p>
        </w:tc>
        <w:tc>
          <w:tcPr>
            <w:tcW w:w="2846" w:type="dxa"/>
          </w:tcPr>
          <w:p w14:paraId="2E86CDCB" w14:textId="626DB360" w:rsidR="008D084D" w:rsidRDefault="003C09C0" w:rsidP="00DA4E53">
            <w:pPr>
              <w:widowControl/>
              <w:spacing w:before="480" w:after="120"/>
              <w:jc w:val="center"/>
              <w:rPr>
                <w:rFonts w:cs="Arial"/>
              </w:rPr>
            </w:pPr>
            <w:r w:rsidRPr="2626381B">
              <w:rPr>
                <w:rFonts w:cs="Arial"/>
              </w:rPr>
              <w:t>None</w:t>
            </w:r>
          </w:p>
        </w:tc>
      </w:tr>
      <w:tr w:rsidR="008D084D" w14:paraId="1862B1AF" w14:textId="77777777" w:rsidTr="00AD6D2D">
        <w:trPr>
          <w:trHeight w:val="748"/>
        </w:trPr>
        <w:tc>
          <w:tcPr>
            <w:tcW w:w="1439" w:type="dxa"/>
          </w:tcPr>
          <w:p w14:paraId="6277FE22" w14:textId="2C3B9B21" w:rsidR="008D084D" w:rsidRDefault="00934CD6" w:rsidP="00DA4E53">
            <w:pPr>
              <w:widowControl/>
              <w:spacing w:before="360" w:after="120"/>
              <w:jc w:val="center"/>
            </w:pPr>
            <w:r>
              <w:t>2022–23</w:t>
            </w:r>
          </w:p>
        </w:tc>
        <w:tc>
          <w:tcPr>
            <w:tcW w:w="2427" w:type="dxa"/>
          </w:tcPr>
          <w:p w14:paraId="305D4BD3" w14:textId="4E21BBD3" w:rsidR="008D084D" w:rsidRDefault="003C09C0" w:rsidP="000C28EB">
            <w:pPr>
              <w:widowControl/>
              <w:spacing w:before="120" w:after="120"/>
              <w:jc w:val="center"/>
              <w:rPr>
                <w:rFonts w:cs="Arial"/>
              </w:rPr>
            </w:pPr>
            <w:r w:rsidRPr="2626381B">
              <w:rPr>
                <w:rFonts w:cs="Arial"/>
              </w:rPr>
              <w:t xml:space="preserve">2021–22 test administration and </w:t>
            </w:r>
            <w:r>
              <w:br/>
            </w:r>
            <w:r w:rsidRPr="2626381B">
              <w:rPr>
                <w:rFonts w:cs="Arial"/>
              </w:rPr>
              <w:t>2022–23 test administration</w:t>
            </w:r>
          </w:p>
        </w:tc>
        <w:tc>
          <w:tcPr>
            <w:tcW w:w="2770" w:type="dxa"/>
          </w:tcPr>
          <w:p w14:paraId="06329F98" w14:textId="432A3E74" w:rsidR="008D084D" w:rsidRDefault="003C09C0" w:rsidP="000C28EB">
            <w:pPr>
              <w:widowControl/>
              <w:spacing w:before="120" w:after="120"/>
              <w:jc w:val="center"/>
              <w:rPr>
                <w:rFonts w:cs="Arial"/>
              </w:rPr>
            </w:pPr>
            <w:r w:rsidRPr="2626381B">
              <w:rPr>
                <w:rFonts w:cs="Arial"/>
              </w:rPr>
              <w:t>Smarter Balanced, CAAs for ELA and mathematics, CAST, CAA for Science, CSA</w:t>
            </w:r>
          </w:p>
        </w:tc>
        <w:tc>
          <w:tcPr>
            <w:tcW w:w="2846" w:type="dxa"/>
          </w:tcPr>
          <w:p w14:paraId="5F2137B3" w14:textId="25875EB1" w:rsidR="008D084D" w:rsidRDefault="003C09C0" w:rsidP="00DA4E53">
            <w:pPr>
              <w:widowControl/>
              <w:spacing w:before="480" w:after="120"/>
              <w:jc w:val="center"/>
              <w:rPr>
                <w:rFonts w:cs="Arial"/>
              </w:rPr>
            </w:pPr>
            <w:r w:rsidRPr="2626381B">
              <w:rPr>
                <w:rFonts w:cs="Arial"/>
              </w:rPr>
              <w:t>None</w:t>
            </w:r>
          </w:p>
        </w:tc>
      </w:tr>
    </w:tbl>
    <w:p w14:paraId="1FAC57BC" w14:textId="2FA3E5E2" w:rsidR="008D084D" w:rsidRPr="009A1846" w:rsidRDefault="009A1846" w:rsidP="009A1846">
      <w:pPr>
        <w:widowControl/>
        <w:tabs>
          <w:tab w:val="left" w:pos="360"/>
        </w:tabs>
        <w:ind w:left="360" w:hanging="360"/>
        <w:rPr>
          <w:rFonts w:ascii="Arial Narrow" w:hAnsi="Arial Narrow"/>
        </w:rPr>
      </w:pPr>
      <w:r>
        <w:rPr>
          <w:vertAlign w:val="superscript"/>
        </w:rPr>
        <w:t>1</w:t>
      </w:r>
      <w:r>
        <w:rPr>
          <w:vertAlign w:val="superscript"/>
        </w:rPr>
        <w:tab/>
      </w:r>
      <w:r w:rsidRPr="007C23FF">
        <w:rPr>
          <w:rFonts w:cs="Arial"/>
        </w:rPr>
        <w:t>Due to suspension of testing</w:t>
      </w:r>
      <w:r w:rsidR="00BA4F64" w:rsidRPr="007C23FF">
        <w:rPr>
          <w:rFonts w:cs="Arial"/>
        </w:rPr>
        <w:t>,</w:t>
      </w:r>
      <w:r w:rsidRPr="007C23FF">
        <w:rPr>
          <w:rFonts w:cs="Arial"/>
        </w:rPr>
        <w:t xml:space="preserve"> the implementation of the CAA for Science as an operational was delayed until 2020–</w:t>
      </w:r>
      <w:r w:rsidR="00BA4F64" w:rsidRPr="007C23FF">
        <w:rPr>
          <w:rFonts w:cs="Arial"/>
        </w:rPr>
        <w:t>20</w:t>
      </w:r>
      <w:r w:rsidRPr="007C23FF">
        <w:rPr>
          <w:rFonts w:cs="Arial"/>
        </w:rPr>
        <w:t>21.</w:t>
      </w:r>
    </w:p>
    <w:sectPr w:rsidR="008D084D" w:rsidRPr="009A1846" w:rsidSect="007E5F92">
      <w:headerReference w:type="default" r:id="rId32"/>
      <w:headerReference w:type="first" r:id="rId33"/>
      <w:footnotePr>
        <w:pos w:val="beneathText"/>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8B566" w14:textId="77777777" w:rsidR="006E1BFF" w:rsidRDefault="006E1BFF" w:rsidP="00BF55BE">
      <w:r>
        <w:separator/>
      </w:r>
    </w:p>
  </w:endnote>
  <w:endnote w:type="continuationSeparator" w:id="0">
    <w:p w14:paraId="6931E572" w14:textId="77777777" w:rsidR="006E1BFF" w:rsidRDefault="006E1BFF" w:rsidP="00BF55BE">
      <w:r>
        <w:continuationSeparator/>
      </w:r>
    </w:p>
  </w:endnote>
  <w:endnote w:type="continuationNotice" w:id="1">
    <w:p w14:paraId="30C502BE" w14:textId="77777777" w:rsidR="006E1BFF" w:rsidRDefault="006E1BF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3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E0D29" w14:textId="77777777" w:rsidR="008575A8" w:rsidRPr="00107552" w:rsidRDefault="008575A8" w:rsidP="00020A05">
    <w:pPr>
      <w:pStyle w:val="Footer"/>
      <w:tabs>
        <w:tab w:val="clear" w:pos="8640"/>
        <w:tab w:val="right" w:pos="9180"/>
      </w:tabs>
      <w:jc w:val="right"/>
      <w:rPr>
        <w:rFonts w:cs="Arial"/>
        <w:sz w:val="20"/>
      </w:rPr>
    </w:pPr>
    <w:r>
      <w:rPr>
        <w:rFonts w:cs="Arial"/>
        <w:sz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57444"/>
      <w:docPartObj>
        <w:docPartGallery w:val="Page Numbers (Bottom of Page)"/>
        <w:docPartUnique/>
      </w:docPartObj>
    </w:sdtPr>
    <w:sdtEndPr>
      <w:rPr>
        <w:noProof/>
        <w:szCs w:val="18"/>
      </w:rPr>
    </w:sdtEndPr>
    <w:sdtContent>
      <w:p w14:paraId="0E1BAB1E" w14:textId="77777777" w:rsidR="008575A8" w:rsidRPr="00913DD1" w:rsidRDefault="008575A8" w:rsidP="00020A05">
        <w:pPr>
          <w:pStyle w:val="Footer"/>
          <w:jc w:val="center"/>
          <w:rPr>
            <w:szCs w:val="18"/>
          </w:rPr>
        </w:pPr>
        <w:r w:rsidRPr="00913DD1">
          <w:rPr>
            <w:color w:val="2B579A"/>
            <w:szCs w:val="18"/>
            <w:shd w:val="clear" w:color="auto" w:fill="E6E6E6"/>
          </w:rPr>
          <w:fldChar w:fldCharType="begin"/>
        </w:r>
        <w:r w:rsidRPr="002D2D5C">
          <w:rPr>
            <w:sz w:val="18"/>
            <w:szCs w:val="18"/>
          </w:rPr>
          <w:instrText xml:space="preserve"> PAGE   \* MERGEFORMAT </w:instrText>
        </w:r>
        <w:r w:rsidRPr="00913DD1">
          <w:rPr>
            <w:color w:val="2B579A"/>
            <w:szCs w:val="18"/>
            <w:shd w:val="clear" w:color="auto" w:fill="E6E6E6"/>
          </w:rPr>
          <w:fldChar w:fldCharType="separate"/>
        </w:r>
        <w:r w:rsidRPr="0056031E">
          <w:rPr>
            <w:noProof/>
            <w:szCs w:val="18"/>
          </w:rPr>
          <w:t>34</w:t>
        </w:r>
        <w:r w:rsidRPr="00913DD1">
          <w:rPr>
            <w:noProof/>
            <w:color w:val="2B579A"/>
            <w:szCs w:val="18"/>
            <w:shd w:val="clear" w:color="auto" w:fill="E6E6E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929707"/>
      <w:docPartObj>
        <w:docPartGallery w:val="Page Numbers (Bottom of Page)"/>
        <w:docPartUnique/>
      </w:docPartObj>
    </w:sdtPr>
    <w:sdtEndPr>
      <w:rPr>
        <w:noProof/>
        <w:szCs w:val="18"/>
      </w:rPr>
    </w:sdtEndPr>
    <w:sdtContent>
      <w:p w14:paraId="5E7E2FF7" w14:textId="77777777" w:rsidR="008575A8" w:rsidRPr="00913DD1" w:rsidRDefault="008575A8" w:rsidP="00020A05">
        <w:pPr>
          <w:pStyle w:val="Footer"/>
          <w:jc w:val="center"/>
          <w:rPr>
            <w:szCs w:val="18"/>
          </w:rPr>
        </w:pPr>
        <w:r w:rsidRPr="00913DD1">
          <w:rPr>
            <w:color w:val="2B579A"/>
            <w:szCs w:val="18"/>
            <w:shd w:val="clear" w:color="auto" w:fill="E6E6E6"/>
          </w:rPr>
          <w:fldChar w:fldCharType="begin"/>
        </w:r>
        <w:r w:rsidRPr="002D2D5C">
          <w:rPr>
            <w:sz w:val="18"/>
            <w:szCs w:val="18"/>
          </w:rPr>
          <w:instrText xml:space="preserve"> PAGE   \* MERGEFORMAT </w:instrText>
        </w:r>
        <w:r w:rsidRPr="00913DD1">
          <w:rPr>
            <w:color w:val="2B579A"/>
            <w:szCs w:val="18"/>
            <w:shd w:val="clear" w:color="auto" w:fill="E6E6E6"/>
          </w:rPr>
          <w:fldChar w:fldCharType="separate"/>
        </w:r>
        <w:r w:rsidRPr="0056031E">
          <w:rPr>
            <w:noProof/>
            <w:szCs w:val="18"/>
          </w:rPr>
          <w:t>34</w:t>
        </w:r>
        <w:r w:rsidRPr="00913DD1">
          <w:rPr>
            <w:noProof/>
            <w:color w:val="2B579A"/>
            <w:szCs w:val="18"/>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8AB7F" w14:textId="77777777" w:rsidR="006E1BFF" w:rsidRDefault="006E1BFF" w:rsidP="00BF55BE">
      <w:r>
        <w:separator/>
      </w:r>
    </w:p>
  </w:footnote>
  <w:footnote w:type="continuationSeparator" w:id="0">
    <w:p w14:paraId="0B4F4564" w14:textId="77777777" w:rsidR="006E1BFF" w:rsidRDefault="006E1BFF" w:rsidP="00BF55BE">
      <w:r>
        <w:continuationSeparator/>
      </w:r>
    </w:p>
  </w:footnote>
  <w:footnote w:type="continuationNotice" w:id="1">
    <w:p w14:paraId="74BE2C57" w14:textId="77777777" w:rsidR="006E1BFF" w:rsidRDefault="006E1BF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E0D2A" w14:textId="77777777" w:rsidR="008575A8" w:rsidRDefault="008575A8" w:rsidP="00BE1BB1">
    <w:pPr>
      <w:pStyle w:val="Header"/>
      <w:tabs>
        <w:tab w:val="clear" w:pos="4320"/>
        <w:tab w:val="clear" w:pos="8640"/>
        <w:tab w:val="left" w:pos="248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E0D30" w14:textId="77777777" w:rsidR="008575A8" w:rsidRPr="00E370E9" w:rsidRDefault="008575A8" w:rsidP="00E370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E0D33" w14:textId="77777777" w:rsidR="008575A8" w:rsidRPr="008575A8" w:rsidRDefault="008575A8" w:rsidP="00857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5FB0"/>
    <w:multiLevelType w:val="hybridMultilevel"/>
    <w:tmpl w:val="77A47258"/>
    <w:lvl w:ilvl="0" w:tplc="DB9A49B4">
      <w:start w:val="1"/>
      <w:numFmt w:val="decimal"/>
      <w:pStyle w:val="Numbered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95DC1"/>
    <w:multiLevelType w:val="hybridMultilevel"/>
    <w:tmpl w:val="FD68180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10706"/>
    <w:multiLevelType w:val="hybridMultilevel"/>
    <w:tmpl w:val="1CC0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14B3F"/>
    <w:multiLevelType w:val="hybridMultilevel"/>
    <w:tmpl w:val="DA2202D8"/>
    <w:lvl w:ilvl="0" w:tplc="04090001">
      <w:start w:val="1"/>
      <w:numFmt w:val="bullet"/>
      <w:lvlText w:val=""/>
      <w:lvlJc w:val="left"/>
      <w:pPr>
        <w:ind w:left="720" w:hanging="360"/>
      </w:pPr>
      <w:rPr>
        <w:rFonts w:ascii="Symbol" w:hAnsi="Symbol" w:hint="default"/>
      </w:rPr>
    </w:lvl>
    <w:lvl w:ilvl="1" w:tplc="072A37A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E72FD"/>
    <w:multiLevelType w:val="hybridMultilevel"/>
    <w:tmpl w:val="3E40AA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7042265"/>
    <w:multiLevelType w:val="hybridMultilevel"/>
    <w:tmpl w:val="822C5210"/>
    <w:lvl w:ilvl="0" w:tplc="072A37AE">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2F1FFF"/>
    <w:multiLevelType w:val="hybridMultilevel"/>
    <w:tmpl w:val="71124B84"/>
    <w:lvl w:ilvl="0" w:tplc="04090001">
      <w:start w:val="1"/>
      <w:numFmt w:val="bullet"/>
      <w:lvlText w:val=""/>
      <w:lvlJc w:val="left"/>
      <w:pPr>
        <w:ind w:left="720" w:hanging="360"/>
      </w:pPr>
      <w:rPr>
        <w:rFonts w:ascii="Symbol" w:hAnsi="Symbol" w:hint="default"/>
      </w:rPr>
    </w:lvl>
    <w:lvl w:ilvl="1" w:tplc="072A37A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10C06"/>
    <w:multiLevelType w:val="hybridMultilevel"/>
    <w:tmpl w:val="D87A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07D91"/>
    <w:multiLevelType w:val="hybridMultilevel"/>
    <w:tmpl w:val="700E2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01414"/>
    <w:multiLevelType w:val="hybridMultilevel"/>
    <w:tmpl w:val="CCA0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3305B"/>
    <w:multiLevelType w:val="hybridMultilevel"/>
    <w:tmpl w:val="620C03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E1D78"/>
    <w:multiLevelType w:val="hybridMultilevel"/>
    <w:tmpl w:val="759E94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1F751E"/>
    <w:multiLevelType w:val="hybridMultilevel"/>
    <w:tmpl w:val="8C2CD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83ABD"/>
    <w:multiLevelType w:val="hybridMultilevel"/>
    <w:tmpl w:val="4B101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1A3A92"/>
    <w:multiLevelType w:val="hybridMultilevel"/>
    <w:tmpl w:val="4AD4338C"/>
    <w:lvl w:ilvl="0" w:tplc="04090001">
      <w:start w:val="1"/>
      <w:numFmt w:val="bullet"/>
      <w:lvlText w:val=""/>
      <w:lvlJc w:val="left"/>
      <w:pPr>
        <w:ind w:left="720" w:hanging="360"/>
      </w:pPr>
      <w:rPr>
        <w:rFonts w:ascii="Symbol" w:hAnsi="Symbol" w:hint="default"/>
      </w:rPr>
    </w:lvl>
    <w:lvl w:ilvl="1" w:tplc="072A37A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473E5"/>
    <w:multiLevelType w:val="hybridMultilevel"/>
    <w:tmpl w:val="DE04C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75F7F"/>
    <w:multiLevelType w:val="hybridMultilevel"/>
    <w:tmpl w:val="C2221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93580"/>
    <w:multiLevelType w:val="hybridMultilevel"/>
    <w:tmpl w:val="452C1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202C1"/>
    <w:multiLevelType w:val="hybridMultilevel"/>
    <w:tmpl w:val="90661D66"/>
    <w:lvl w:ilvl="0" w:tplc="04090001">
      <w:start w:val="1"/>
      <w:numFmt w:val="bullet"/>
      <w:lvlText w:val=""/>
      <w:lvlJc w:val="left"/>
      <w:pPr>
        <w:ind w:left="720" w:hanging="360"/>
      </w:pPr>
      <w:rPr>
        <w:rFonts w:ascii="Symbol" w:hAnsi="Symbol" w:hint="default"/>
      </w:rPr>
    </w:lvl>
    <w:lvl w:ilvl="1" w:tplc="072A37AE">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9E5908"/>
    <w:multiLevelType w:val="hybridMultilevel"/>
    <w:tmpl w:val="A37EC1D8"/>
    <w:lvl w:ilvl="0" w:tplc="FAD8B4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BE1571"/>
    <w:multiLevelType w:val="hybridMultilevel"/>
    <w:tmpl w:val="50FEB4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1" w15:restartNumberingAfterBreak="0">
    <w:nsid w:val="33BC7CEC"/>
    <w:multiLevelType w:val="hybridMultilevel"/>
    <w:tmpl w:val="68700EA4"/>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33FF6E39"/>
    <w:multiLevelType w:val="hybridMultilevel"/>
    <w:tmpl w:val="9FEC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DD35A7"/>
    <w:multiLevelType w:val="hybridMultilevel"/>
    <w:tmpl w:val="FA8C7D7E"/>
    <w:lvl w:ilvl="0" w:tplc="072A37AE">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4" w15:restartNumberingAfterBreak="0">
    <w:nsid w:val="36FC2259"/>
    <w:multiLevelType w:val="hybridMultilevel"/>
    <w:tmpl w:val="E6A2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0078AD"/>
    <w:multiLevelType w:val="multilevel"/>
    <w:tmpl w:val="DBC48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2020AD"/>
    <w:multiLevelType w:val="hybridMultilevel"/>
    <w:tmpl w:val="ABF2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0902E3"/>
    <w:multiLevelType w:val="hybridMultilevel"/>
    <w:tmpl w:val="CDE8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57134E"/>
    <w:multiLevelType w:val="hybridMultilevel"/>
    <w:tmpl w:val="DBB8E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EA1038"/>
    <w:multiLevelType w:val="hybridMultilevel"/>
    <w:tmpl w:val="44C0E1B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15:restartNumberingAfterBreak="0">
    <w:nsid w:val="4E8E5C42"/>
    <w:multiLevelType w:val="hybridMultilevel"/>
    <w:tmpl w:val="227408B6"/>
    <w:lvl w:ilvl="0" w:tplc="A07EA2F2">
      <w:start w:val="1"/>
      <w:numFmt w:val="bullet"/>
      <w:pStyle w:val="Subbullet4"/>
      <w:lvlText w:val="–"/>
      <w:lvlJc w:val="left"/>
      <w:pPr>
        <w:ind w:left="360" w:hanging="360"/>
      </w:pPr>
      <w:rPr>
        <w:rFonts w:ascii="Times New Roman" w:hAnsi="Times New Roman" w:cs="Times New Roman" w:hint="default"/>
        <w:b w:val="0"/>
        <w:i w:val="0"/>
        <w:sz w:val="24"/>
        <w:szCs w:val="22"/>
      </w:rPr>
    </w:lvl>
    <w:lvl w:ilvl="1" w:tplc="04090019">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4EC400E7"/>
    <w:multiLevelType w:val="hybridMultilevel"/>
    <w:tmpl w:val="A9FA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883478"/>
    <w:multiLevelType w:val="hybridMultilevel"/>
    <w:tmpl w:val="21BC8536"/>
    <w:lvl w:ilvl="0" w:tplc="04090001">
      <w:start w:val="1"/>
      <w:numFmt w:val="bullet"/>
      <w:lvlText w:val=""/>
      <w:lvlJc w:val="left"/>
      <w:pPr>
        <w:ind w:left="720" w:hanging="360"/>
      </w:pPr>
      <w:rPr>
        <w:rFonts w:ascii="Symbol" w:hAnsi="Symbol" w:hint="default"/>
      </w:rPr>
    </w:lvl>
    <w:lvl w:ilvl="1" w:tplc="072A37A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966297"/>
    <w:multiLevelType w:val="hybridMultilevel"/>
    <w:tmpl w:val="117046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4383062"/>
    <w:multiLevelType w:val="hybridMultilevel"/>
    <w:tmpl w:val="C08AE7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7410F3"/>
    <w:multiLevelType w:val="hybridMultilevel"/>
    <w:tmpl w:val="E932AD50"/>
    <w:lvl w:ilvl="0" w:tplc="072A37AE">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955670B"/>
    <w:multiLevelType w:val="hybridMultilevel"/>
    <w:tmpl w:val="AB8A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B15EC5"/>
    <w:multiLevelType w:val="hybridMultilevel"/>
    <w:tmpl w:val="46B2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EC69AC"/>
    <w:multiLevelType w:val="hybridMultilevel"/>
    <w:tmpl w:val="51C8E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5D6A83"/>
    <w:multiLevelType w:val="hybridMultilevel"/>
    <w:tmpl w:val="FC7CD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9E41D53"/>
    <w:multiLevelType w:val="hybridMultilevel"/>
    <w:tmpl w:val="6256DE00"/>
    <w:lvl w:ilvl="0" w:tplc="04090001">
      <w:start w:val="1"/>
      <w:numFmt w:val="bullet"/>
      <w:lvlText w:val=""/>
      <w:lvlJc w:val="left"/>
      <w:pPr>
        <w:ind w:left="720" w:hanging="360"/>
      </w:pPr>
      <w:rPr>
        <w:rFonts w:ascii="Symbol" w:hAnsi="Symbol" w:hint="default"/>
      </w:rPr>
    </w:lvl>
    <w:lvl w:ilvl="1" w:tplc="072A37A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2251BA"/>
    <w:multiLevelType w:val="hybridMultilevel"/>
    <w:tmpl w:val="12CC8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1BD35EB"/>
    <w:multiLevelType w:val="hybridMultilevel"/>
    <w:tmpl w:val="4DAC21FA"/>
    <w:lvl w:ilvl="0" w:tplc="04090001">
      <w:start w:val="1"/>
      <w:numFmt w:val="bullet"/>
      <w:lvlText w:val=""/>
      <w:lvlJc w:val="left"/>
      <w:pPr>
        <w:ind w:left="720" w:hanging="360"/>
      </w:pPr>
      <w:rPr>
        <w:rFonts w:ascii="Symbol" w:hAnsi="Symbol" w:hint="default"/>
      </w:rPr>
    </w:lvl>
    <w:lvl w:ilvl="1" w:tplc="072A37A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CC41E8"/>
    <w:multiLevelType w:val="hybridMultilevel"/>
    <w:tmpl w:val="3A984424"/>
    <w:lvl w:ilvl="0" w:tplc="072A37A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C054B0"/>
    <w:multiLevelType w:val="hybridMultilevel"/>
    <w:tmpl w:val="342A8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964CA8"/>
    <w:multiLevelType w:val="hybridMultilevel"/>
    <w:tmpl w:val="4998D37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6F07DF"/>
    <w:multiLevelType w:val="hybridMultilevel"/>
    <w:tmpl w:val="2A2088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7" w15:restartNumberingAfterBreak="0">
    <w:nsid w:val="7F9A009A"/>
    <w:multiLevelType w:val="hybridMultilevel"/>
    <w:tmpl w:val="83F0F6DE"/>
    <w:lvl w:ilvl="0" w:tplc="04090001">
      <w:start w:val="1"/>
      <w:numFmt w:val="bullet"/>
      <w:lvlText w:val=""/>
      <w:lvlJc w:val="left"/>
      <w:pPr>
        <w:ind w:left="720" w:hanging="360"/>
      </w:pPr>
      <w:rPr>
        <w:rFonts w:ascii="Symbol" w:hAnsi="Symbol" w:hint="default"/>
      </w:rPr>
    </w:lvl>
    <w:lvl w:ilvl="1" w:tplc="072A37AE">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330568">
    <w:abstractNumId w:val="26"/>
  </w:num>
  <w:num w:numId="2" w16cid:durableId="1660690664">
    <w:abstractNumId w:val="41"/>
  </w:num>
  <w:num w:numId="3" w16cid:durableId="2057509297">
    <w:abstractNumId w:val="8"/>
  </w:num>
  <w:num w:numId="4" w16cid:durableId="1580677207">
    <w:abstractNumId w:val="15"/>
  </w:num>
  <w:num w:numId="5" w16cid:durableId="451091068">
    <w:abstractNumId w:val="27"/>
  </w:num>
  <w:num w:numId="6" w16cid:durableId="1302542025">
    <w:abstractNumId w:val="16"/>
  </w:num>
  <w:num w:numId="7" w16cid:durableId="1089470881">
    <w:abstractNumId w:val="36"/>
  </w:num>
  <w:num w:numId="8" w16cid:durableId="126823024">
    <w:abstractNumId w:val="1"/>
  </w:num>
  <w:num w:numId="9" w16cid:durableId="680350400">
    <w:abstractNumId w:val="29"/>
  </w:num>
  <w:num w:numId="10" w16cid:durableId="1240873398">
    <w:abstractNumId w:val="14"/>
  </w:num>
  <w:num w:numId="11" w16cid:durableId="2084260230">
    <w:abstractNumId w:val="38"/>
  </w:num>
  <w:num w:numId="12" w16cid:durableId="772439146">
    <w:abstractNumId w:val="37"/>
  </w:num>
  <w:num w:numId="13" w16cid:durableId="1770345966">
    <w:abstractNumId w:val="39"/>
  </w:num>
  <w:num w:numId="14" w16cid:durableId="324094171">
    <w:abstractNumId w:val="13"/>
  </w:num>
  <w:num w:numId="15" w16cid:durableId="1950892627">
    <w:abstractNumId w:val="0"/>
  </w:num>
  <w:num w:numId="16" w16cid:durableId="1861042498">
    <w:abstractNumId w:val="30"/>
  </w:num>
  <w:num w:numId="17" w16cid:durableId="721099221">
    <w:abstractNumId w:val="12"/>
  </w:num>
  <w:num w:numId="18" w16cid:durableId="1507479256">
    <w:abstractNumId w:val="2"/>
  </w:num>
  <w:num w:numId="19" w16cid:durableId="952639500">
    <w:abstractNumId w:val="31"/>
  </w:num>
  <w:num w:numId="20" w16cid:durableId="1281108191">
    <w:abstractNumId w:val="24"/>
  </w:num>
  <w:num w:numId="21" w16cid:durableId="1667973219">
    <w:abstractNumId w:val="22"/>
  </w:num>
  <w:num w:numId="22" w16cid:durableId="337588387">
    <w:abstractNumId w:val="19"/>
  </w:num>
  <w:num w:numId="23" w16cid:durableId="17631081">
    <w:abstractNumId w:val="44"/>
  </w:num>
  <w:num w:numId="24" w16cid:durableId="1380858008">
    <w:abstractNumId w:val="10"/>
  </w:num>
  <w:num w:numId="25" w16cid:durableId="1805930744">
    <w:abstractNumId w:val="21"/>
  </w:num>
  <w:num w:numId="26" w16cid:durableId="1047878200">
    <w:abstractNumId w:val="46"/>
  </w:num>
  <w:num w:numId="27" w16cid:durableId="1673295431">
    <w:abstractNumId w:val="28"/>
  </w:num>
  <w:num w:numId="28" w16cid:durableId="106970686">
    <w:abstractNumId w:val="4"/>
  </w:num>
  <w:num w:numId="29" w16cid:durableId="1105882921">
    <w:abstractNumId w:val="11"/>
  </w:num>
  <w:num w:numId="30" w16cid:durableId="2136438632">
    <w:abstractNumId w:val="20"/>
  </w:num>
  <w:num w:numId="31" w16cid:durableId="915823278">
    <w:abstractNumId w:val="25"/>
  </w:num>
  <w:num w:numId="32" w16cid:durableId="136578556">
    <w:abstractNumId w:val="33"/>
  </w:num>
  <w:num w:numId="33" w16cid:durableId="860122387">
    <w:abstractNumId w:val="9"/>
  </w:num>
  <w:num w:numId="34" w16cid:durableId="224293904">
    <w:abstractNumId w:val="34"/>
  </w:num>
  <w:num w:numId="35" w16cid:durableId="499588223">
    <w:abstractNumId w:val="35"/>
  </w:num>
  <w:num w:numId="36" w16cid:durableId="2117820990">
    <w:abstractNumId w:val="32"/>
  </w:num>
  <w:num w:numId="37" w16cid:durableId="1694378352">
    <w:abstractNumId w:val="5"/>
  </w:num>
  <w:num w:numId="38" w16cid:durableId="533730337">
    <w:abstractNumId w:val="23"/>
  </w:num>
  <w:num w:numId="39" w16cid:durableId="187063938">
    <w:abstractNumId w:val="43"/>
  </w:num>
  <w:num w:numId="40" w16cid:durableId="768550841">
    <w:abstractNumId w:val="18"/>
  </w:num>
  <w:num w:numId="41" w16cid:durableId="1257790048">
    <w:abstractNumId w:val="47"/>
  </w:num>
  <w:num w:numId="42" w16cid:durableId="984511551">
    <w:abstractNumId w:val="40"/>
  </w:num>
  <w:num w:numId="43" w16cid:durableId="946039310">
    <w:abstractNumId w:val="42"/>
  </w:num>
  <w:num w:numId="44" w16cid:durableId="578250449">
    <w:abstractNumId w:val="3"/>
  </w:num>
  <w:num w:numId="45" w16cid:durableId="1164202036">
    <w:abstractNumId w:val="45"/>
  </w:num>
  <w:num w:numId="46" w16cid:durableId="1819373829">
    <w:abstractNumId w:val="7"/>
  </w:num>
  <w:num w:numId="47" w16cid:durableId="565651292">
    <w:abstractNumId w:val="6"/>
  </w:num>
  <w:num w:numId="48" w16cid:durableId="823468165">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defaultTabStop w:val="720"/>
  <w:characterSpacingControl w:val="doNotCompress"/>
  <w:hdrShapeDefaults>
    <o:shapedefaults v:ext="edit" spidmax="2050"/>
  </w:hdrShapeDefaults>
  <w:footnotePr>
    <w:pos w:val="beneathText"/>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BE"/>
    <w:rsid w:val="00000EBA"/>
    <w:rsid w:val="0000138B"/>
    <w:rsid w:val="000021C0"/>
    <w:rsid w:val="00002B30"/>
    <w:rsid w:val="00002FB2"/>
    <w:rsid w:val="00003080"/>
    <w:rsid w:val="00003441"/>
    <w:rsid w:val="0000367D"/>
    <w:rsid w:val="00003694"/>
    <w:rsid w:val="000040CC"/>
    <w:rsid w:val="0000473A"/>
    <w:rsid w:val="000059E0"/>
    <w:rsid w:val="0000645D"/>
    <w:rsid w:val="0000674A"/>
    <w:rsid w:val="0000798F"/>
    <w:rsid w:val="00010231"/>
    <w:rsid w:val="0001078E"/>
    <w:rsid w:val="00011295"/>
    <w:rsid w:val="00012448"/>
    <w:rsid w:val="000124EF"/>
    <w:rsid w:val="00012FF2"/>
    <w:rsid w:val="00013771"/>
    <w:rsid w:val="000146F3"/>
    <w:rsid w:val="00014FE8"/>
    <w:rsid w:val="000150ED"/>
    <w:rsid w:val="00015F07"/>
    <w:rsid w:val="000161D9"/>
    <w:rsid w:val="0001648B"/>
    <w:rsid w:val="00016B2C"/>
    <w:rsid w:val="00017BC6"/>
    <w:rsid w:val="00017ED8"/>
    <w:rsid w:val="00020A05"/>
    <w:rsid w:val="000213B8"/>
    <w:rsid w:val="000217DF"/>
    <w:rsid w:val="00021A22"/>
    <w:rsid w:val="00021E44"/>
    <w:rsid w:val="000221D0"/>
    <w:rsid w:val="00022711"/>
    <w:rsid w:val="000229C0"/>
    <w:rsid w:val="00022F3D"/>
    <w:rsid w:val="0002301F"/>
    <w:rsid w:val="000233F1"/>
    <w:rsid w:val="00023524"/>
    <w:rsid w:val="000235FB"/>
    <w:rsid w:val="00023D71"/>
    <w:rsid w:val="00024092"/>
    <w:rsid w:val="000242E6"/>
    <w:rsid w:val="0002498F"/>
    <w:rsid w:val="0002513A"/>
    <w:rsid w:val="00025837"/>
    <w:rsid w:val="00025DA1"/>
    <w:rsid w:val="0002680A"/>
    <w:rsid w:val="00027349"/>
    <w:rsid w:val="00032815"/>
    <w:rsid w:val="00033159"/>
    <w:rsid w:val="00033AE4"/>
    <w:rsid w:val="000355A6"/>
    <w:rsid w:val="000357F1"/>
    <w:rsid w:val="00035ED3"/>
    <w:rsid w:val="00036343"/>
    <w:rsid w:val="00037BB5"/>
    <w:rsid w:val="00037DD7"/>
    <w:rsid w:val="00037EC4"/>
    <w:rsid w:val="00040976"/>
    <w:rsid w:val="00040DD9"/>
    <w:rsid w:val="0004110D"/>
    <w:rsid w:val="00041499"/>
    <w:rsid w:val="00042472"/>
    <w:rsid w:val="00042AA9"/>
    <w:rsid w:val="0004321B"/>
    <w:rsid w:val="00044DC0"/>
    <w:rsid w:val="00045842"/>
    <w:rsid w:val="00045A13"/>
    <w:rsid w:val="00047099"/>
    <w:rsid w:val="00047AA5"/>
    <w:rsid w:val="00047B42"/>
    <w:rsid w:val="00050088"/>
    <w:rsid w:val="00050534"/>
    <w:rsid w:val="00050C7E"/>
    <w:rsid w:val="000520DD"/>
    <w:rsid w:val="00052765"/>
    <w:rsid w:val="00052A9C"/>
    <w:rsid w:val="000541C5"/>
    <w:rsid w:val="00054705"/>
    <w:rsid w:val="000549B0"/>
    <w:rsid w:val="00054B94"/>
    <w:rsid w:val="000552CD"/>
    <w:rsid w:val="0005554D"/>
    <w:rsid w:val="000558AF"/>
    <w:rsid w:val="00056C97"/>
    <w:rsid w:val="00056D12"/>
    <w:rsid w:val="000600DD"/>
    <w:rsid w:val="00060159"/>
    <w:rsid w:val="0006036C"/>
    <w:rsid w:val="00060681"/>
    <w:rsid w:val="000607C7"/>
    <w:rsid w:val="00061349"/>
    <w:rsid w:val="000616A6"/>
    <w:rsid w:val="00061A48"/>
    <w:rsid w:val="00062283"/>
    <w:rsid w:val="00062432"/>
    <w:rsid w:val="00062644"/>
    <w:rsid w:val="000629BD"/>
    <w:rsid w:val="00062B6F"/>
    <w:rsid w:val="00062F34"/>
    <w:rsid w:val="00062FC8"/>
    <w:rsid w:val="00063E37"/>
    <w:rsid w:val="00066B48"/>
    <w:rsid w:val="00067795"/>
    <w:rsid w:val="00067AA0"/>
    <w:rsid w:val="00067CC5"/>
    <w:rsid w:val="00070ED5"/>
    <w:rsid w:val="00072FBE"/>
    <w:rsid w:val="00073D8C"/>
    <w:rsid w:val="000749D3"/>
    <w:rsid w:val="00074B4D"/>
    <w:rsid w:val="00074E4A"/>
    <w:rsid w:val="000751FF"/>
    <w:rsid w:val="00075332"/>
    <w:rsid w:val="00075D75"/>
    <w:rsid w:val="000761B6"/>
    <w:rsid w:val="00077047"/>
    <w:rsid w:val="00077372"/>
    <w:rsid w:val="000779A6"/>
    <w:rsid w:val="00077F77"/>
    <w:rsid w:val="00080652"/>
    <w:rsid w:val="00082B33"/>
    <w:rsid w:val="0008415A"/>
    <w:rsid w:val="000849AE"/>
    <w:rsid w:val="00085026"/>
    <w:rsid w:val="0008601A"/>
    <w:rsid w:val="000869A9"/>
    <w:rsid w:val="00086BCD"/>
    <w:rsid w:val="00086F35"/>
    <w:rsid w:val="00087493"/>
    <w:rsid w:val="000879A1"/>
    <w:rsid w:val="00090D87"/>
    <w:rsid w:val="00091352"/>
    <w:rsid w:val="000913DE"/>
    <w:rsid w:val="00091538"/>
    <w:rsid w:val="000915D1"/>
    <w:rsid w:val="00092A4B"/>
    <w:rsid w:val="0009302B"/>
    <w:rsid w:val="0009384D"/>
    <w:rsid w:val="000939B6"/>
    <w:rsid w:val="00095548"/>
    <w:rsid w:val="00096562"/>
    <w:rsid w:val="00096AC3"/>
    <w:rsid w:val="00096CA4"/>
    <w:rsid w:val="00097320"/>
    <w:rsid w:val="0009743F"/>
    <w:rsid w:val="000A087D"/>
    <w:rsid w:val="000A09A4"/>
    <w:rsid w:val="000A0E18"/>
    <w:rsid w:val="000A3129"/>
    <w:rsid w:val="000A432C"/>
    <w:rsid w:val="000A49B1"/>
    <w:rsid w:val="000A50CF"/>
    <w:rsid w:val="000A5D75"/>
    <w:rsid w:val="000A65EB"/>
    <w:rsid w:val="000A74E7"/>
    <w:rsid w:val="000B22F3"/>
    <w:rsid w:val="000B287E"/>
    <w:rsid w:val="000B37B2"/>
    <w:rsid w:val="000B41F4"/>
    <w:rsid w:val="000B4481"/>
    <w:rsid w:val="000B4C4F"/>
    <w:rsid w:val="000B5EF0"/>
    <w:rsid w:val="000B5F9B"/>
    <w:rsid w:val="000B6264"/>
    <w:rsid w:val="000B6C15"/>
    <w:rsid w:val="000B73BD"/>
    <w:rsid w:val="000C02AA"/>
    <w:rsid w:val="000C2155"/>
    <w:rsid w:val="000C28EB"/>
    <w:rsid w:val="000C2D99"/>
    <w:rsid w:val="000C3371"/>
    <w:rsid w:val="000C37AF"/>
    <w:rsid w:val="000C5712"/>
    <w:rsid w:val="000C66D9"/>
    <w:rsid w:val="000C66EF"/>
    <w:rsid w:val="000C674F"/>
    <w:rsid w:val="000C6AA5"/>
    <w:rsid w:val="000C6DAF"/>
    <w:rsid w:val="000C7D4C"/>
    <w:rsid w:val="000D00DF"/>
    <w:rsid w:val="000D0465"/>
    <w:rsid w:val="000D05F3"/>
    <w:rsid w:val="000D18CC"/>
    <w:rsid w:val="000D24C0"/>
    <w:rsid w:val="000D2693"/>
    <w:rsid w:val="000D2AA0"/>
    <w:rsid w:val="000D2C2F"/>
    <w:rsid w:val="000D331B"/>
    <w:rsid w:val="000D4595"/>
    <w:rsid w:val="000D55FD"/>
    <w:rsid w:val="000D595A"/>
    <w:rsid w:val="000D5AC9"/>
    <w:rsid w:val="000D5BF0"/>
    <w:rsid w:val="000D71AF"/>
    <w:rsid w:val="000D79F1"/>
    <w:rsid w:val="000E021B"/>
    <w:rsid w:val="000E142F"/>
    <w:rsid w:val="000E25E2"/>
    <w:rsid w:val="000E3085"/>
    <w:rsid w:val="000E3557"/>
    <w:rsid w:val="000E3E5A"/>
    <w:rsid w:val="000E4D10"/>
    <w:rsid w:val="000E5EA6"/>
    <w:rsid w:val="000E73AE"/>
    <w:rsid w:val="000F01F1"/>
    <w:rsid w:val="000F023D"/>
    <w:rsid w:val="000F0BF8"/>
    <w:rsid w:val="000F0C85"/>
    <w:rsid w:val="000F0F78"/>
    <w:rsid w:val="000F1180"/>
    <w:rsid w:val="000F15B7"/>
    <w:rsid w:val="000F1690"/>
    <w:rsid w:val="000F2199"/>
    <w:rsid w:val="000F241F"/>
    <w:rsid w:val="000F2694"/>
    <w:rsid w:val="000F31AC"/>
    <w:rsid w:val="000F53B2"/>
    <w:rsid w:val="000F5EAA"/>
    <w:rsid w:val="000F5F4A"/>
    <w:rsid w:val="000F62DA"/>
    <w:rsid w:val="000F655B"/>
    <w:rsid w:val="000F65B5"/>
    <w:rsid w:val="000F70AE"/>
    <w:rsid w:val="000F74BC"/>
    <w:rsid w:val="000F77BF"/>
    <w:rsid w:val="000F7D05"/>
    <w:rsid w:val="00100386"/>
    <w:rsid w:val="001008D9"/>
    <w:rsid w:val="00100A67"/>
    <w:rsid w:val="00101621"/>
    <w:rsid w:val="00101E8E"/>
    <w:rsid w:val="00102273"/>
    <w:rsid w:val="00103DB7"/>
    <w:rsid w:val="00104E0A"/>
    <w:rsid w:val="00105370"/>
    <w:rsid w:val="00106D52"/>
    <w:rsid w:val="001071AF"/>
    <w:rsid w:val="00107821"/>
    <w:rsid w:val="00107841"/>
    <w:rsid w:val="00111A1B"/>
    <w:rsid w:val="00111B84"/>
    <w:rsid w:val="0011283E"/>
    <w:rsid w:val="00112902"/>
    <w:rsid w:val="001159C0"/>
    <w:rsid w:val="001165E1"/>
    <w:rsid w:val="00116CAE"/>
    <w:rsid w:val="00116EC0"/>
    <w:rsid w:val="001172E8"/>
    <w:rsid w:val="00117C5B"/>
    <w:rsid w:val="0012051A"/>
    <w:rsid w:val="00122F62"/>
    <w:rsid w:val="00123AD0"/>
    <w:rsid w:val="00123C19"/>
    <w:rsid w:val="00123E4D"/>
    <w:rsid w:val="00124097"/>
    <w:rsid w:val="0012520A"/>
    <w:rsid w:val="001252E2"/>
    <w:rsid w:val="001263D5"/>
    <w:rsid w:val="00127BE3"/>
    <w:rsid w:val="001304BB"/>
    <w:rsid w:val="00130FCF"/>
    <w:rsid w:val="00131036"/>
    <w:rsid w:val="00132CFD"/>
    <w:rsid w:val="001334E7"/>
    <w:rsid w:val="001342F0"/>
    <w:rsid w:val="00135275"/>
    <w:rsid w:val="0013651F"/>
    <w:rsid w:val="001366B3"/>
    <w:rsid w:val="00136AEB"/>
    <w:rsid w:val="00140191"/>
    <w:rsid w:val="001402B3"/>
    <w:rsid w:val="00140D62"/>
    <w:rsid w:val="001435ED"/>
    <w:rsid w:val="00143D5C"/>
    <w:rsid w:val="00143DD2"/>
    <w:rsid w:val="0014430C"/>
    <w:rsid w:val="00144CDF"/>
    <w:rsid w:val="00145E05"/>
    <w:rsid w:val="00145EE5"/>
    <w:rsid w:val="00146660"/>
    <w:rsid w:val="0014738D"/>
    <w:rsid w:val="001500CC"/>
    <w:rsid w:val="00150662"/>
    <w:rsid w:val="00151733"/>
    <w:rsid w:val="00151DCC"/>
    <w:rsid w:val="00152881"/>
    <w:rsid w:val="00153347"/>
    <w:rsid w:val="00153379"/>
    <w:rsid w:val="00153984"/>
    <w:rsid w:val="0015491E"/>
    <w:rsid w:val="001552AE"/>
    <w:rsid w:val="001553DC"/>
    <w:rsid w:val="00156A10"/>
    <w:rsid w:val="001572C8"/>
    <w:rsid w:val="00157E17"/>
    <w:rsid w:val="00157FAB"/>
    <w:rsid w:val="00160A0E"/>
    <w:rsid w:val="00160A52"/>
    <w:rsid w:val="00160A9D"/>
    <w:rsid w:val="001613C7"/>
    <w:rsid w:val="00161C5B"/>
    <w:rsid w:val="00162391"/>
    <w:rsid w:val="001639B3"/>
    <w:rsid w:val="0016557C"/>
    <w:rsid w:val="001656C8"/>
    <w:rsid w:val="00165F4D"/>
    <w:rsid w:val="00167B99"/>
    <w:rsid w:val="001703A1"/>
    <w:rsid w:val="0017049D"/>
    <w:rsid w:val="00170D91"/>
    <w:rsid w:val="0017135F"/>
    <w:rsid w:val="001713AD"/>
    <w:rsid w:val="00171853"/>
    <w:rsid w:val="00171A1C"/>
    <w:rsid w:val="001725D7"/>
    <w:rsid w:val="001729E4"/>
    <w:rsid w:val="00172B28"/>
    <w:rsid w:val="00172E32"/>
    <w:rsid w:val="00173C3F"/>
    <w:rsid w:val="00174241"/>
    <w:rsid w:val="001744EE"/>
    <w:rsid w:val="001756B3"/>
    <w:rsid w:val="001759F8"/>
    <w:rsid w:val="00176B17"/>
    <w:rsid w:val="00180830"/>
    <w:rsid w:val="0018263C"/>
    <w:rsid w:val="00182651"/>
    <w:rsid w:val="00183079"/>
    <w:rsid w:val="001830AD"/>
    <w:rsid w:val="00184B72"/>
    <w:rsid w:val="00184ED4"/>
    <w:rsid w:val="001851C5"/>
    <w:rsid w:val="00186413"/>
    <w:rsid w:val="0018704C"/>
    <w:rsid w:val="00187875"/>
    <w:rsid w:val="00190A50"/>
    <w:rsid w:val="001911B7"/>
    <w:rsid w:val="00191E07"/>
    <w:rsid w:val="00192FA5"/>
    <w:rsid w:val="00193000"/>
    <w:rsid w:val="0019529B"/>
    <w:rsid w:val="00197264"/>
    <w:rsid w:val="001A3929"/>
    <w:rsid w:val="001A3B01"/>
    <w:rsid w:val="001A3FFD"/>
    <w:rsid w:val="001A4735"/>
    <w:rsid w:val="001A61CE"/>
    <w:rsid w:val="001A77E2"/>
    <w:rsid w:val="001A77E3"/>
    <w:rsid w:val="001A7B80"/>
    <w:rsid w:val="001B060E"/>
    <w:rsid w:val="001B0DE6"/>
    <w:rsid w:val="001B14FF"/>
    <w:rsid w:val="001B1BC5"/>
    <w:rsid w:val="001B1E76"/>
    <w:rsid w:val="001B282D"/>
    <w:rsid w:val="001B2C97"/>
    <w:rsid w:val="001B32DC"/>
    <w:rsid w:val="001B4407"/>
    <w:rsid w:val="001B4C8A"/>
    <w:rsid w:val="001B65D0"/>
    <w:rsid w:val="001B663A"/>
    <w:rsid w:val="001B66AE"/>
    <w:rsid w:val="001B68C1"/>
    <w:rsid w:val="001B68D3"/>
    <w:rsid w:val="001B6ECA"/>
    <w:rsid w:val="001B7F97"/>
    <w:rsid w:val="001C19F0"/>
    <w:rsid w:val="001C1F5B"/>
    <w:rsid w:val="001C2786"/>
    <w:rsid w:val="001C27A6"/>
    <w:rsid w:val="001C2F60"/>
    <w:rsid w:val="001C4028"/>
    <w:rsid w:val="001C54B1"/>
    <w:rsid w:val="001C70B1"/>
    <w:rsid w:val="001C7408"/>
    <w:rsid w:val="001D0D14"/>
    <w:rsid w:val="001D0FF8"/>
    <w:rsid w:val="001D134D"/>
    <w:rsid w:val="001D214B"/>
    <w:rsid w:val="001D41E5"/>
    <w:rsid w:val="001D4303"/>
    <w:rsid w:val="001D46C2"/>
    <w:rsid w:val="001D4A8B"/>
    <w:rsid w:val="001D5499"/>
    <w:rsid w:val="001D5645"/>
    <w:rsid w:val="001D654B"/>
    <w:rsid w:val="001D68E8"/>
    <w:rsid w:val="001D77FF"/>
    <w:rsid w:val="001D7A3A"/>
    <w:rsid w:val="001E2105"/>
    <w:rsid w:val="001E257F"/>
    <w:rsid w:val="001E2D86"/>
    <w:rsid w:val="001E3DF1"/>
    <w:rsid w:val="001E3F94"/>
    <w:rsid w:val="001E4116"/>
    <w:rsid w:val="001E675A"/>
    <w:rsid w:val="001E67E8"/>
    <w:rsid w:val="001E7204"/>
    <w:rsid w:val="001E76B3"/>
    <w:rsid w:val="001E7E20"/>
    <w:rsid w:val="001F14ED"/>
    <w:rsid w:val="001F1814"/>
    <w:rsid w:val="001F1BCE"/>
    <w:rsid w:val="001F1E95"/>
    <w:rsid w:val="001F21A6"/>
    <w:rsid w:val="001F2931"/>
    <w:rsid w:val="001F29A8"/>
    <w:rsid w:val="001F29AD"/>
    <w:rsid w:val="001F3107"/>
    <w:rsid w:val="001F32EC"/>
    <w:rsid w:val="001F33DD"/>
    <w:rsid w:val="001F4039"/>
    <w:rsid w:val="001F4303"/>
    <w:rsid w:val="001F49AE"/>
    <w:rsid w:val="001F4CCB"/>
    <w:rsid w:val="001F74C9"/>
    <w:rsid w:val="001F76A5"/>
    <w:rsid w:val="001F793B"/>
    <w:rsid w:val="001F7E2D"/>
    <w:rsid w:val="00200012"/>
    <w:rsid w:val="002000C9"/>
    <w:rsid w:val="00200805"/>
    <w:rsid w:val="00200C46"/>
    <w:rsid w:val="00201373"/>
    <w:rsid w:val="00201B01"/>
    <w:rsid w:val="00202327"/>
    <w:rsid w:val="00202FBF"/>
    <w:rsid w:val="00202FF0"/>
    <w:rsid w:val="00205792"/>
    <w:rsid w:val="00205BC7"/>
    <w:rsid w:val="00205CC4"/>
    <w:rsid w:val="00205F3E"/>
    <w:rsid w:val="002101C4"/>
    <w:rsid w:val="00210F69"/>
    <w:rsid w:val="002114D8"/>
    <w:rsid w:val="00211FD6"/>
    <w:rsid w:val="00212D41"/>
    <w:rsid w:val="00212F61"/>
    <w:rsid w:val="00213555"/>
    <w:rsid w:val="00214F57"/>
    <w:rsid w:val="00215123"/>
    <w:rsid w:val="00215261"/>
    <w:rsid w:val="002153C6"/>
    <w:rsid w:val="0021551A"/>
    <w:rsid w:val="00216597"/>
    <w:rsid w:val="00220316"/>
    <w:rsid w:val="00220A99"/>
    <w:rsid w:val="00220B94"/>
    <w:rsid w:val="002210BA"/>
    <w:rsid w:val="00221190"/>
    <w:rsid w:val="002213B2"/>
    <w:rsid w:val="002225D0"/>
    <w:rsid w:val="00222962"/>
    <w:rsid w:val="00222FBD"/>
    <w:rsid w:val="0022325B"/>
    <w:rsid w:val="0022372F"/>
    <w:rsid w:val="00223998"/>
    <w:rsid w:val="00225082"/>
    <w:rsid w:val="00225365"/>
    <w:rsid w:val="00225D7A"/>
    <w:rsid w:val="00227D21"/>
    <w:rsid w:val="0023082A"/>
    <w:rsid w:val="00231077"/>
    <w:rsid w:val="00231CF4"/>
    <w:rsid w:val="002320E3"/>
    <w:rsid w:val="00232448"/>
    <w:rsid w:val="00233672"/>
    <w:rsid w:val="00233A4B"/>
    <w:rsid w:val="0023405C"/>
    <w:rsid w:val="00234848"/>
    <w:rsid w:val="002356D9"/>
    <w:rsid w:val="0023595A"/>
    <w:rsid w:val="00235B06"/>
    <w:rsid w:val="00240E7F"/>
    <w:rsid w:val="00241DF7"/>
    <w:rsid w:val="00241E41"/>
    <w:rsid w:val="0024217C"/>
    <w:rsid w:val="0024393C"/>
    <w:rsid w:val="00243B6E"/>
    <w:rsid w:val="002450F9"/>
    <w:rsid w:val="002461F9"/>
    <w:rsid w:val="00246370"/>
    <w:rsid w:val="00250050"/>
    <w:rsid w:val="002506D5"/>
    <w:rsid w:val="002507CE"/>
    <w:rsid w:val="00250EBB"/>
    <w:rsid w:val="0025125A"/>
    <w:rsid w:val="00251C08"/>
    <w:rsid w:val="00251EDA"/>
    <w:rsid w:val="002521BC"/>
    <w:rsid w:val="002531D3"/>
    <w:rsid w:val="00253339"/>
    <w:rsid w:val="00253650"/>
    <w:rsid w:val="002536D2"/>
    <w:rsid w:val="0025410E"/>
    <w:rsid w:val="00254B88"/>
    <w:rsid w:val="00254F15"/>
    <w:rsid w:val="00255E99"/>
    <w:rsid w:val="00255ED3"/>
    <w:rsid w:val="00256BDE"/>
    <w:rsid w:val="00256DFA"/>
    <w:rsid w:val="00257EF2"/>
    <w:rsid w:val="00260523"/>
    <w:rsid w:val="002607B8"/>
    <w:rsid w:val="002609AD"/>
    <w:rsid w:val="00260E29"/>
    <w:rsid w:val="00261306"/>
    <w:rsid w:val="002613C4"/>
    <w:rsid w:val="00262C3E"/>
    <w:rsid w:val="00264035"/>
    <w:rsid w:val="002646A9"/>
    <w:rsid w:val="0026481E"/>
    <w:rsid w:val="00264868"/>
    <w:rsid w:val="00264AF7"/>
    <w:rsid w:val="00265911"/>
    <w:rsid w:val="00266E69"/>
    <w:rsid w:val="00266ECC"/>
    <w:rsid w:val="00267550"/>
    <w:rsid w:val="00270950"/>
    <w:rsid w:val="002710BC"/>
    <w:rsid w:val="00272BCA"/>
    <w:rsid w:val="00273798"/>
    <w:rsid w:val="00274459"/>
    <w:rsid w:val="0027492E"/>
    <w:rsid w:val="00274A7D"/>
    <w:rsid w:val="00275C3B"/>
    <w:rsid w:val="002809B0"/>
    <w:rsid w:val="002811FC"/>
    <w:rsid w:val="0028144F"/>
    <w:rsid w:val="00281458"/>
    <w:rsid w:val="00281B75"/>
    <w:rsid w:val="002822BA"/>
    <w:rsid w:val="00282D05"/>
    <w:rsid w:val="00284171"/>
    <w:rsid w:val="00284A46"/>
    <w:rsid w:val="00284C4E"/>
    <w:rsid w:val="00284DD4"/>
    <w:rsid w:val="00285196"/>
    <w:rsid w:val="00286825"/>
    <w:rsid w:val="0028764D"/>
    <w:rsid w:val="00287F8C"/>
    <w:rsid w:val="002903FE"/>
    <w:rsid w:val="002904C0"/>
    <w:rsid w:val="00290829"/>
    <w:rsid w:val="002909E4"/>
    <w:rsid w:val="00290A96"/>
    <w:rsid w:val="002914A2"/>
    <w:rsid w:val="00292A83"/>
    <w:rsid w:val="00292F03"/>
    <w:rsid w:val="00294566"/>
    <w:rsid w:val="0029497A"/>
    <w:rsid w:val="00294EAD"/>
    <w:rsid w:val="002958D6"/>
    <w:rsid w:val="00296D79"/>
    <w:rsid w:val="00296E67"/>
    <w:rsid w:val="002A09D3"/>
    <w:rsid w:val="002A24C7"/>
    <w:rsid w:val="002A2D6A"/>
    <w:rsid w:val="002A42D7"/>
    <w:rsid w:val="002A4D0A"/>
    <w:rsid w:val="002A51B7"/>
    <w:rsid w:val="002A5D06"/>
    <w:rsid w:val="002B02F1"/>
    <w:rsid w:val="002B0B32"/>
    <w:rsid w:val="002B1736"/>
    <w:rsid w:val="002B18C6"/>
    <w:rsid w:val="002B1922"/>
    <w:rsid w:val="002B2479"/>
    <w:rsid w:val="002B26B2"/>
    <w:rsid w:val="002B2E70"/>
    <w:rsid w:val="002B320A"/>
    <w:rsid w:val="002B3419"/>
    <w:rsid w:val="002B4821"/>
    <w:rsid w:val="002B48B1"/>
    <w:rsid w:val="002B4D17"/>
    <w:rsid w:val="002B5186"/>
    <w:rsid w:val="002B51A6"/>
    <w:rsid w:val="002B6176"/>
    <w:rsid w:val="002B6AE7"/>
    <w:rsid w:val="002C0E22"/>
    <w:rsid w:val="002C2D6F"/>
    <w:rsid w:val="002C66FD"/>
    <w:rsid w:val="002C6D36"/>
    <w:rsid w:val="002C6D75"/>
    <w:rsid w:val="002C71D2"/>
    <w:rsid w:val="002C7FEC"/>
    <w:rsid w:val="002D0247"/>
    <w:rsid w:val="002D05BA"/>
    <w:rsid w:val="002D05F8"/>
    <w:rsid w:val="002D0E5C"/>
    <w:rsid w:val="002D0F29"/>
    <w:rsid w:val="002D1699"/>
    <w:rsid w:val="002D1BAF"/>
    <w:rsid w:val="002D25B3"/>
    <w:rsid w:val="002D2D40"/>
    <w:rsid w:val="002D2D5C"/>
    <w:rsid w:val="002D4B06"/>
    <w:rsid w:val="002D4BB1"/>
    <w:rsid w:val="002D7092"/>
    <w:rsid w:val="002D7B1F"/>
    <w:rsid w:val="002E009C"/>
    <w:rsid w:val="002E1A29"/>
    <w:rsid w:val="002E2E73"/>
    <w:rsid w:val="002E35D7"/>
    <w:rsid w:val="002E450D"/>
    <w:rsid w:val="002E4657"/>
    <w:rsid w:val="002E514B"/>
    <w:rsid w:val="002E5239"/>
    <w:rsid w:val="002E650E"/>
    <w:rsid w:val="002E6C2F"/>
    <w:rsid w:val="002E6DA2"/>
    <w:rsid w:val="002E7E29"/>
    <w:rsid w:val="002F126E"/>
    <w:rsid w:val="002F12D3"/>
    <w:rsid w:val="002F1B98"/>
    <w:rsid w:val="002F1E71"/>
    <w:rsid w:val="002F2ABB"/>
    <w:rsid w:val="002F36CE"/>
    <w:rsid w:val="002F42BA"/>
    <w:rsid w:val="002F45DF"/>
    <w:rsid w:val="002F5494"/>
    <w:rsid w:val="002F6C56"/>
    <w:rsid w:val="002F6FB7"/>
    <w:rsid w:val="002F7EB5"/>
    <w:rsid w:val="00301928"/>
    <w:rsid w:val="00301D85"/>
    <w:rsid w:val="0030227E"/>
    <w:rsid w:val="00302C85"/>
    <w:rsid w:val="00302D1D"/>
    <w:rsid w:val="00303BC5"/>
    <w:rsid w:val="003048A8"/>
    <w:rsid w:val="0030531C"/>
    <w:rsid w:val="003059E6"/>
    <w:rsid w:val="00306AD8"/>
    <w:rsid w:val="003075E9"/>
    <w:rsid w:val="00307748"/>
    <w:rsid w:val="00311732"/>
    <w:rsid w:val="003121C5"/>
    <w:rsid w:val="0031256D"/>
    <w:rsid w:val="00312800"/>
    <w:rsid w:val="00313229"/>
    <w:rsid w:val="00313A70"/>
    <w:rsid w:val="003143BA"/>
    <w:rsid w:val="003153F4"/>
    <w:rsid w:val="00315423"/>
    <w:rsid w:val="003154A3"/>
    <w:rsid w:val="00316B5A"/>
    <w:rsid w:val="00316F9F"/>
    <w:rsid w:val="003171F5"/>
    <w:rsid w:val="0031794A"/>
    <w:rsid w:val="00320252"/>
    <w:rsid w:val="00320F20"/>
    <w:rsid w:val="00321EBA"/>
    <w:rsid w:val="0032269B"/>
    <w:rsid w:val="00323DD4"/>
    <w:rsid w:val="00324B64"/>
    <w:rsid w:val="00324BAC"/>
    <w:rsid w:val="00325C9A"/>
    <w:rsid w:val="00325CCA"/>
    <w:rsid w:val="00327DC3"/>
    <w:rsid w:val="00327DF3"/>
    <w:rsid w:val="00327E20"/>
    <w:rsid w:val="00331CDF"/>
    <w:rsid w:val="00331F5A"/>
    <w:rsid w:val="00332046"/>
    <w:rsid w:val="00333DFD"/>
    <w:rsid w:val="00334299"/>
    <w:rsid w:val="0033480D"/>
    <w:rsid w:val="003358D4"/>
    <w:rsid w:val="003359BB"/>
    <w:rsid w:val="00335D99"/>
    <w:rsid w:val="0033604C"/>
    <w:rsid w:val="003360EB"/>
    <w:rsid w:val="0033708B"/>
    <w:rsid w:val="003374BF"/>
    <w:rsid w:val="003375A6"/>
    <w:rsid w:val="00337DC7"/>
    <w:rsid w:val="00337FB9"/>
    <w:rsid w:val="00340109"/>
    <w:rsid w:val="00341322"/>
    <w:rsid w:val="00341547"/>
    <w:rsid w:val="00341B34"/>
    <w:rsid w:val="00341DBF"/>
    <w:rsid w:val="003442D3"/>
    <w:rsid w:val="0034445F"/>
    <w:rsid w:val="003451D5"/>
    <w:rsid w:val="003453BD"/>
    <w:rsid w:val="00345608"/>
    <w:rsid w:val="00345B17"/>
    <w:rsid w:val="00346AFF"/>
    <w:rsid w:val="00346B41"/>
    <w:rsid w:val="00346ED9"/>
    <w:rsid w:val="00347560"/>
    <w:rsid w:val="003507F2"/>
    <w:rsid w:val="00350F7D"/>
    <w:rsid w:val="00351CF3"/>
    <w:rsid w:val="00351FC8"/>
    <w:rsid w:val="003520F0"/>
    <w:rsid w:val="00352A55"/>
    <w:rsid w:val="00352D6E"/>
    <w:rsid w:val="0035387E"/>
    <w:rsid w:val="003538E6"/>
    <w:rsid w:val="00354049"/>
    <w:rsid w:val="003552FE"/>
    <w:rsid w:val="00355A2E"/>
    <w:rsid w:val="00356600"/>
    <w:rsid w:val="00357543"/>
    <w:rsid w:val="00360FFB"/>
    <w:rsid w:val="00361801"/>
    <w:rsid w:val="00361CA1"/>
    <w:rsid w:val="00362128"/>
    <w:rsid w:val="00362349"/>
    <w:rsid w:val="003626BC"/>
    <w:rsid w:val="00362A5D"/>
    <w:rsid w:val="0036315A"/>
    <w:rsid w:val="0036322E"/>
    <w:rsid w:val="00363AA5"/>
    <w:rsid w:val="00363E07"/>
    <w:rsid w:val="00363F64"/>
    <w:rsid w:val="003640ED"/>
    <w:rsid w:val="003642FD"/>
    <w:rsid w:val="00364609"/>
    <w:rsid w:val="003649BD"/>
    <w:rsid w:val="00365CE4"/>
    <w:rsid w:val="003660CB"/>
    <w:rsid w:val="00366E0F"/>
    <w:rsid w:val="0036736D"/>
    <w:rsid w:val="00367765"/>
    <w:rsid w:val="00370F21"/>
    <w:rsid w:val="00371367"/>
    <w:rsid w:val="00371FBE"/>
    <w:rsid w:val="003723A0"/>
    <w:rsid w:val="00372A76"/>
    <w:rsid w:val="00372B5F"/>
    <w:rsid w:val="003732D8"/>
    <w:rsid w:val="00373526"/>
    <w:rsid w:val="0037489E"/>
    <w:rsid w:val="00377559"/>
    <w:rsid w:val="0037759A"/>
    <w:rsid w:val="00377F8F"/>
    <w:rsid w:val="003816CC"/>
    <w:rsid w:val="003816E2"/>
    <w:rsid w:val="00381860"/>
    <w:rsid w:val="003827DB"/>
    <w:rsid w:val="00383C29"/>
    <w:rsid w:val="00383E41"/>
    <w:rsid w:val="00385EE7"/>
    <w:rsid w:val="00386F67"/>
    <w:rsid w:val="00387EDD"/>
    <w:rsid w:val="00390D43"/>
    <w:rsid w:val="0039111C"/>
    <w:rsid w:val="00391A1D"/>
    <w:rsid w:val="00391E21"/>
    <w:rsid w:val="00392157"/>
    <w:rsid w:val="003938C3"/>
    <w:rsid w:val="0039451B"/>
    <w:rsid w:val="003955A8"/>
    <w:rsid w:val="00397046"/>
    <w:rsid w:val="003A26A3"/>
    <w:rsid w:val="003A28FE"/>
    <w:rsid w:val="003A5C31"/>
    <w:rsid w:val="003A9DA3"/>
    <w:rsid w:val="003B002C"/>
    <w:rsid w:val="003B086D"/>
    <w:rsid w:val="003B0DD2"/>
    <w:rsid w:val="003B0F6A"/>
    <w:rsid w:val="003B0FE1"/>
    <w:rsid w:val="003B1007"/>
    <w:rsid w:val="003B1CEC"/>
    <w:rsid w:val="003B2EC1"/>
    <w:rsid w:val="003B2FD8"/>
    <w:rsid w:val="003B3B75"/>
    <w:rsid w:val="003B517D"/>
    <w:rsid w:val="003B5183"/>
    <w:rsid w:val="003B5A76"/>
    <w:rsid w:val="003C09C0"/>
    <w:rsid w:val="003C0E1D"/>
    <w:rsid w:val="003C101F"/>
    <w:rsid w:val="003C13EF"/>
    <w:rsid w:val="003C15AC"/>
    <w:rsid w:val="003C1B46"/>
    <w:rsid w:val="003C1E4F"/>
    <w:rsid w:val="003C52AB"/>
    <w:rsid w:val="003C59FB"/>
    <w:rsid w:val="003C5B3D"/>
    <w:rsid w:val="003C69E8"/>
    <w:rsid w:val="003C76A0"/>
    <w:rsid w:val="003D01DC"/>
    <w:rsid w:val="003D0644"/>
    <w:rsid w:val="003D1B7E"/>
    <w:rsid w:val="003D3FD4"/>
    <w:rsid w:val="003D4E62"/>
    <w:rsid w:val="003D5C65"/>
    <w:rsid w:val="003D6256"/>
    <w:rsid w:val="003D67B8"/>
    <w:rsid w:val="003D6F21"/>
    <w:rsid w:val="003D7244"/>
    <w:rsid w:val="003D7939"/>
    <w:rsid w:val="003E15B5"/>
    <w:rsid w:val="003E1968"/>
    <w:rsid w:val="003E1EC2"/>
    <w:rsid w:val="003E2BC5"/>
    <w:rsid w:val="003E4B6C"/>
    <w:rsid w:val="003E538C"/>
    <w:rsid w:val="003E54B7"/>
    <w:rsid w:val="003E5E4E"/>
    <w:rsid w:val="003E70DB"/>
    <w:rsid w:val="003E7BE8"/>
    <w:rsid w:val="003F0208"/>
    <w:rsid w:val="003F0C25"/>
    <w:rsid w:val="003F1019"/>
    <w:rsid w:val="003F1A04"/>
    <w:rsid w:val="003F20C1"/>
    <w:rsid w:val="003F2456"/>
    <w:rsid w:val="003F267A"/>
    <w:rsid w:val="003F4058"/>
    <w:rsid w:val="003F4A63"/>
    <w:rsid w:val="003F4C2C"/>
    <w:rsid w:val="003F77CA"/>
    <w:rsid w:val="003F7A7E"/>
    <w:rsid w:val="004005DE"/>
    <w:rsid w:val="00402704"/>
    <w:rsid w:val="004034EF"/>
    <w:rsid w:val="004059B4"/>
    <w:rsid w:val="00405CA1"/>
    <w:rsid w:val="00406DBE"/>
    <w:rsid w:val="004078E4"/>
    <w:rsid w:val="00407A45"/>
    <w:rsid w:val="00407E7D"/>
    <w:rsid w:val="00407FA4"/>
    <w:rsid w:val="00407FE3"/>
    <w:rsid w:val="00411EB1"/>
    <w:rsid w:val="00412DBB"/>
    <w:rsid w:val="00414301"/>
    <w:rsid w:val="0041439C"/>
    <w:rsid w:val="0041452F"/>
    <w:rsid w:val="004145C3"/>
    <w:rsid w:val="00414E0E"/>
    <w:rsid w:val="00414F5D"/>
    <w:rsid w:val="004161D0"/>
    <w:rsid w:val="004178AB"/>
    <w:rsid w:val="00417903"/>
    <w:rsid w:val="00417C6C"/>
    <w:rsid w:val="004207B8"/>
    <w:rsid w:val="00420EBB"/>
    <w:rsid w:val="00420F2A"/>
    <w:rsid w:val="00421064"/>
    <w:rsid w:val="00421C7E"/>
    <w:rsid w:val="00422039"/>
    <w:rsid w:val="004223A6"/>
    <w:rsid w:val="00422DC6"/>
    <w:rsid w:val="00423DAB"/>
    <w:rsid w:val="00424F52"/>
    <w:rsid w:val="0042508C"/>
    <w:rsid w:val="004255CC"/>
    <w:rsid w:val="00425665"/>
    <w:rsid w:val="004257C9"/>
    <w:rsid w:val="00425B53"/>
    <w:rsid w:val="00427352"/>
    <w:rsid w:val="004279CA"/>
    <w:rsid w:val="00431B5E"/>
    <w:rsid w:val="00434626"/>
    <w:rsid w:val="00434E2B"/>
    <w:rsid w:val="00436321"/>
    <w:rsid w:val="004363F1"/>
    <w:rsid w:val="00438D92"/>
    <w:rsid w:val="0044077E"/>
    <w:rsid w:val="00444C39"/>
    <w:rsid w:val="004450A7"/>
    <w:rsid w:val="00446A35"/>
    <w:rsid w:val="00447685"/>
    <w:rsid w:val="004478B0"/>
    <w:rsid w:val="00450314"/>
    <w:rsid w:val="0045103D"/>
    <w:rsid w:val="00451F69"/>
    <w:rsid w:val="004532EA"/>
    <w:rsid w:val="004543B4"/>
    <w:rsid w:val="00454729"/>
    <w:rsid w:val="00455257"/>
    <w:rsid w:val="00455932"/>
    <w:rsid w:val="00455AA8"/>
    <w:rsid w:val="00455D9F"/>
    <w:rsid w:val="004562FE"/>
    <w:rsid w:val="00456598"/>
    <w:rsid w:val="00461CFC"/>
    <w:rsid w:val="00463495"/>
    <w:rsid w:val="00464B99"/>
    <w:rsid w:val="00465657"/>
    <w:rsid w:val="00465D1A"/>
    <w:rsid w:val="004665AC"/>
    <w:rsid w:val="00466B7D"/>
    <w:rsid w:val="00466D26"/>
    <w:rsid w:val="00466D47"/>
    <w:rsid w:val="00467666"/>
    <w:rsid w:val="00467A9E"/>
    <w:rsid w:val="00470083"/>
    <w:rsid w:val="00470F2F"/>
    <w:rsid w:val="0047116B"/>
    <w:rsid w:val="00471A49"/>
    <w:rsid w:val="00472795"/>
    <w:rsid w:val="00472FDF"/>
    <w:rsid w:val="00473590"/>
    <w:rsid w:val="0047613B"/>
    <w:rsid w:val="0047751B"/>
    <w:rsid w:val="00477CC5"/>
    <w:rsid w:val="00480934"/>
    <w:rsid w:val="00480D10"/>
    <w:rsid w:val="0048176D"/>
    <w:rsid w:val="00482552"/>
    <w:rsid w:val="004825A8"/>
    <w:rsid w:val="00484692"/>
    <w:rsid w:val="004863FE"/>
    <w:rsid w:val="0048772C"/>
    <w:rsid w:val="00490982"/>
    <w:rsid w:val="00490E08"/>
    <w:rsid w:val="004914FC"/>
    <w:rsid w:val="0049163C"/>
    <w:rsid w:val="0049176F"/>
    <w:rsid w:val="004918D4"/>
    <w:rsid w:val="00491D1F"/>
    <w:rsid w:val="004923FC"/>
    <w:rsid w:val="00492AB9"/>
    <w:rsid w:val="00492FC0"/>
    <w:rsid w:val="00494A79"/>
    <w:rsid w:val="00494E0F"/>
    <w:rsid w:val="0049582D"/>
    <w:rsid w:val="004963F4"/>
    <w:rsid w:val="004967C5"/>
    <w:rsid w:val="004978C2"/>
    <w:rsid w:val="004A003D"/>
    <w:rsid w:val="004A01E9"/>
    <w:rsid w:val="004A0E6A"/>
    <w:rsid w:val="004A2542"/>
    <w:rsid w:val="004A283E"/>
    <w:rsid w:val="004A34EA"/>
    <w:rsid w:val="004A3579"/>
    <w:rsid w:val="004A48B8"/>
    <w:rsid w:val="004A4C17"/>
    <w:rsid w:val="004A5837"/>
    <w:rsid w:val="004A588D"/>
    <w:rsid w:val="004A6C66"/>
    <w:rsid w:val="004A6CB4"/>
    <w:rsid w:val="004B0419"/>
    <w:rsid w:val="004B0E6B"/>
    <w:rsid w:val="004B16F5"/>
    <w:rsid w:val="004B3F0B"/>
    <w:rsid w:val="004B4447"/>
    <w:rsid w:val="004B4C96"/>
    <w:rsid w:val="004B4D41"/>
    <w:rsid w:val="004B5641"/>
    <w:rsid w:val="004B6879"/>
    <w:rsid w:val="004B7DED"/>
    <w:rsid w:val="004C0601"/>
    <w:rsid w:val="004C1A72"/>
    <w:rsid w:val="004C1DCD"/>
    <w:rsid w:val="004C27D8"/>
    <w:rsid w:val="004C3503"/>
    <w:rsid w:val="004C54AA"/>
    <w:rsid w:val="004C5E71"/>
    <w:rsid w:val="004C612A"/>
    <w:rsid w:val="004C6AC6"/>
    <w:rsid w:val="004C6C8A"/>
    <w:rsid w:val="004C7000"/>
    <w:rsid w:val="004C71D5"/>
    <w:rsid w:val="004D0083"/>
    <w:rsid w:val="004D01EE"/>
    <w:rsid w:val="004D0249"/>
    <w:rsid w:val="004D0426"/>
    <w:rsid w:val="004D13CD"/>
    <w:rsid w:val="004D1E92"/>
    <w:rsid w:val="004D1E9D"/>
    <w:rsid w:val="004D20F4"/>
    <w:rsid w:val="004D2AD6"/>
    <w:rsid w:val="004D3358"/>
    <w:rsid w:val="004D4924"/>
    <w:rsid w:val="004D6393"/>
    <w:rsid w:val="004D69CE"/>
    <w:rsid w:val="004D6BCC"/>
    <w:rsid w:val="004D6F3F"/>
    <w:rsid w:val="004D77D1"/>
    <w:rsid w:val="004D78C5"/>
    <w:rsid w:val="004D79BB"/>
    <w:rsid w:val="004D7B83"/>
    <w:rsid w:val="004E032D"/>
    <w:rsid w:val="004E0D6E"/>
    <w:rsid w:val="004E0DAC"/>
    <w:rsid w:val="004E1189"/>
    <w:rsid w:val="004E17E2"/>
    <w:rsid w:val="004E28A2"/>
    <w:rsid w:val="004E3204"/>
    <w:rsid w:val="004E3617"/>
    <w:rsid w:val="004E3F1D"/>
    <w:rsid w:val="004E527D"/>
    <w:rsid w:val="004E5DC8"/>
    <w:rsid w:val="004E6EA5"/>
    <w:rsid w:val="004E7B86"/>
    <w:rsid w:val="004F0C69"/>
    <w:rsid w:val="004F10F4"/>
    <w:rsid w:val="004F3021"/>
    <w:rsid w:val="004F3810"/>
    <w:rsid w:val="004F3D60"/>
    <w:rsid w:val="004F3E4A"/>
    <w:rsid w:val="004F44C5"/>
    <w:rsid w:val="004F4DB9"/>
    <w:rsid w:val="004F5759"/>
    <w:rsid w:val="004F58CD"/>
    <w:rsid w:val="004F6E63"/>
    <w:rsid w:val="004F7488"/>
    <w:rsid w:val="00500996"/>
    <w:rsid w:val="005015C0"/>
    <w:rsid w:val="005018FA"/>
    <w:rsid w:val="005022CF"/>
    <w:rsid w:val="00503C1E"/>
    <w:rsid w:val="00504568"/>
    <w:rsid w:val="005049F0"/>
    <w:rsid w:val="00504AFA"/>
    <w:rsid w:val="00504D9E"/>
    <w:rsid w:val="005051BD"/>
    <w:rsid w:val="0050521B"/>
    <w:rsid w:val="00505957"/>
    <w:rsid w:val="00505B48"/>
    <w:rsid w:val="00505E63"/>
    <w:rsid w:val="00505E88"/>
    <w:rsid w:val="00506AD8"/>
    <w:rsid w:val="005105C4"/>
    <w:rsid w:val="00511573"/>
    <w:rsid w:val="00511D52"/>
    <w:rsid w:val="0051237A"/>
    <w:rsid w:val="005124D0"/>
    <w:rsid w:val="005127E7"/>
    <w:rsid w:val="00512A69"/>
    <w:rsid w:val="00512C72"/>
    <w:rsid w:val="00513145"/>
    <w:rsid w:val="005136CB"/>
    <w:rsid w:val="00513BDC"/>
    <w:rsid w:val="00514296"/>
    <w:rsid w:val="00514873"/>
    <w:rsid w:val="005149FC"/>
    <w:rsid w:val="00515971"/>
    <w:rsid w:val="00515F21"/>
    <w:rsid w:val="005171D8"/>
    <w:rsid w:val="00517A7D"/>
    <w:rsid w:val="005204E8"/>
    <w:rsid w:val="00520E98"/>
    <w:rsid w:val="005216CC"/>
    <w:rsid w:val="0052175A"/>
    <w:rsid w:val="0052269F"/>
    <w:rsid w:val="00523681"/>
    <w:rsid w:val="00523F17"/>
    <w:rsid w:val="005249FB"/>
    <w:rsid w:val="005256F3"/>
    <w:rsid w:val="00525809"/>
    <w:rsid w:val="0052586E"/>
    <w:rsid w:val="00525C5A"/>
    <w:rsid w:val="00525F4A"/>
    <w:rsid w:val="005268CA"/>
    <w:rsid w:val="00526C35"/>
    <w:rsid w:val="00527146"/>
    <w:rsid w:val="0053013A"/>
    <w:rsid w:val="00530232"/>
    <w:rsid w:val="005308A6"/>
    <w:rsid w:val="0053090C"/>
    <w:rsid w:val="00532D57"/>
    <w:rsid w:val="00535664"/>
    <w:rsid w:val="005364A8"/>
    <w:rsid w:val="005374C1"/>
    <w:rsid w:val="00537A4A"/>
    <w:rsid w:val="00537EF5"/>
    <w:rsid w:val="00541885"/>
    <w:rsid w:val="00541D7C"/>
    <w:rsid w:val="00544FA6"/>
    <w:rsid w:val="0054688B"/>
    <w:rsid w:val="00546981"/>
    <w:rsid w:val="00546E30"/>
    <w:rsid w:val="0055084E"/>
    <w:rsid w:val="00550B4F"/>
    <w:rsid w:val="00550BC0"/>
    <w:rsid w:val="00550E4D"/>
    <w:rsid w:val="00551DAA"/>
    <w:rsid w:val="00552736"/>
    <w:rsid w:val="00552999"/>
    <w:rsid w:val="0055414F"/>
    <w:rsid w:val="00554715"/>
    <w:rsid w:val="00554D34"/>
    <w:rsid w:val="0056031E"/>
    <w:rsid w:val="005603C3"/>
    <w:rsid w:val="0056139B"/>
    <w:rsid w:val="00561733"/>
    <w:rsid w:val="005621F2"/>
    <w:rsid w:val="005626C8"/>
    <w:rsid w:val="00562D04"/>
    <w:rsid w:val="005647C5"/>
    <w:rsid w:val="00564D64"/>
    <w:rsid w:val="005655AA"/>
    <w:rsid w:val="005659D0"/>
    <w:rsid w:val="00566330"/>
    <w:rsid w:val="00566727"/>
    <w:rsid w:val="005670EA"/>
    <w:rsid w:val="005674EF"/>
    <w:rsid w:val="00570219"/>
    <w:rsid w:val="005702F2"/>
    <w:rsid w:val="00570C9C"/>
    <w:rsid w:val="00570F19"/>
    <w:rsid w:val="0057289C"/>
    <w:rsid w:val="005738D5"/>
    <w:rsid w:val="00574A0F"/>
    <w:rsid w:val="00574E1A"/>
    <w:rsid w:val="0057589A"/>
    <w:rsid w:val="00575F37"/>
    <w:rsid w:val="00576845"/>
    <w:rsid w:val="00576D5E"/>
    <w:rsid w:val="00576DE9"/>
    <w:rsid w:val="00577E0F"/>
    <w:rsid w:val="005801A1"/>
    <w:rsid w:val="00580F5E"/>
    <w:rsid w:val="005816A2"/>
    <w:rsid w:val="00581B6A"/>
    <w:rsid w:val="005827BA"/>
    <w:rsid w:val="00582A93"/>
    <w:rsid w:val="00582F1F"/>
    <w:rsid w:val="00587076"/>
    <w:rsid w:val="00587FB8"/>
    <w:rsid w:val="00590141"/>
    <w:rsid w:val="005901B2"/>
    <w:rsid w:val="00590535"/>
    <w:rsid w:val="005911BD"/>
    <w:rsid w:val="005929CC"/>
    <w:rsid w:val="00592BF1"/>
    <w:rsid w:val="005935E8"/>
    <w:rsid w:val="00593C30"/>
    <w:rsid w:val="00594208"/>
    <w:rsid w:val="00594A7C"/>
    <w:rsid w:val="00595019"/>
    <w:rsid w:val="00595B97"/>
    <w:rsid w:val="00595C26"/>
    <w:rsid w:val="00596C18"/>
    <w:rsid w:val="00597633"/>
    <w:rsid w:val="005A072A"/>
    <w:rsid w:val="005A0DF7"/>
    <w:rsid w:val="005A2AEB"/>
    <w:rsid w:val="005A389E"/>
    <w:rsid w:val="005A4727"/>
    <w:rsid w:val="005A546D"/>
    <w:rsid w:val="005A638E"/>
    <w:rsid w:val="005A6AB8"/>
    <w:rsid w:val="005A7462"/>
    <w:rsid w:val="005A7925"/>
    <w:rsid w:val="005A793C"/>
    <w:rsid w:val="005B03BB"/>
    <w:rsid w:val="005B0F2F"/>
    <w:rsid w:val="005B102C"/>
    <w:rsid w:val="005B1B02"/>
    <w:rsid w:val="005B1D9E"/>
    <w:rsid w:val="005B35DC"/>
    <w:rsid w:val="005B3D2A"/>
    <w:rsid w:val="005B42C7"/>
    <w:rsid w:val="005B4B26"/>
    <w:rsid w:val="005B4BF8"/>
    <w:rsid w:val="005B6404"/>
    <w:rsid w:val="005B67B6"/>
    <w:rsid w:val="005B6FDE"/>
    <w:rsid w:val="005B72BE"/>
    <w:rsid w:val="005B75A0"/>
    <w:rsid w:val="005B7D51"/>
    <w:rsid w:val="005BA26F"/>
    <w:rsid w:val="005C0025"/>
    <w:rsid w:val="005C2663"/>
    <w:rsid w:val="005C2B10"/>
    <w:rsid w:val="005C2F06"/>
    <w:rsid w:val="005C306C"/>
    <w:rsid w:val="005C3073"/>
    <w:rsid w:val="005C3ACB"/>
    <w:rsid w:val="005C436E"/>
    <w:rsid w:val="005C488F"/>
    <w:rsid w:val="005C49F8"/>
    <w:rsid w:val="005C5139"/>
    <w:rsid w:val="005C52E4"/>
    <w:rsid w:val="005C6517"/>
    <w:rsid w:val="005C67C4"/>
    <w:rsid w:val="005C70C6"/>
    <w:rsid w:val="005C7161"/>
    <w:rsid w:val="005C72A9"/>
    <w:rsid w:val="005C79CB"/>
    <w:rsid w:val="005C7EE4"/>
    <w:rsid w:val="005D10A3"/>
    <w:rsid w:val="005D2B5E"/>
    <w:rsid w:val="005D2DC6"/>
    <w:rsid w:val="005D2EBB"/>
    <w:rsid w:val="005D3C2D"/>
    <w:rsid w:val="005D3C56"/>
    <w:rsid w:val="005D41C6"/>
    <w:rsid w:val="005D41D7"/>
    <w:rsid w:val="005D4ED8"/>
    <w:rsid w:val="005D4F44"/>
    <w:rsid w:val="005D6E8D"/>
    <w:rsid w:val="005E00FF"/>
    <w:rsid w:val="005E1129"/>
    <w:rsid w:val="005E188F"/>
    <w:rsid w:val="005E1D79"/>
    <w:rsid w:val="005E3957"/>
    <w:rsid w:val="005E3C67"/>
    <w:rsid w:val="005E3CCB"/>
    <w:rsid w:val="005E3D30"/>
    <w:rsid w:val="005E431B"/>
    <w:rsid w:val="005E518C"/>
    <w:rsid w:val="005E59A8"/>
    <w:rsid w:val="005E5B94"/>
    <w:rsid w:val="005E6046"/>
    <w:rsid w:val="005E64ED"/>
    <w:rsid w:val="005E6700"/>
    <w:rsid w:val="005E7013"/>
    <w:rsid w:val="005E79B1"/>
    <w:rsid w:val="005F1812"/>
    <w:rsid w:val="005F1A40"/>
    <w:rsid w:val="005F26B0"/>
    <w:rsid w:val="005F27AB"/>
    <w:rsid w:val="005F3166"/>
    <w:rsid w:val="005F32EC"/>
    <w:rsid w:val="005F36BC"/>
    <w:rsid w:val="005F3954"/>
    <w:rsid w:val="005F496B"/>
    <w:rsid w:val="005F687F"/>
    <w:rsid w:val="005F7226"/>
    <w:rsid w:val="005F74E8"/>
    <w:rsid w:val="005F7578"/>
    <w:rsid w:val="005F77C2"/>
    <w:rsid w:val="00602487"/>
    <w:rsid w:val="006028ED"/>
    <w:rsid w:val="00603063"/>
    <w:rsid w:val="00604596"/>
    <w:rsid w:val="00604A68"/>
    <w:rsid w:val="00604F39"/>
    <w:rsid w:val="00605BA4"/>
    <w:rsid w:val="006067B0"/>
    <w:rsid w:val="006069F3"/>
    <w:rsid w:val="00606C7B"/>
    <w:rsid w:val="006078B5"/>
    <w:rsid w:val="00610B10"/>
    <w:rsid w:val="00611AB4"/>
    <w:rsid w:val="00612166"/>
    <w:rsid w:val="00612ED7"/>
    <w:rsid w:val="00613092"/>
    <w:rsid w:val="00615270"/>
    <w:rsid w:val="00615F82"/>
    <w:rsid w:val="00616490"/>
    <w:rsid w:val="00616825"/>
    <w:rsid w:val="006169EF"/>
    <w:rsid w:val="00616ED0"/>
    <w:rsid w:val="00620D71"/>
    <w:rsid w:val="00620D7C"/>
    <w:rsid w:val="0062243E"/>
    <w:rsid w:val="006229A1"/>
    <w:rsid w:val="00622EA5"/>
    <w:rsid w:val="00623D94"/>
    <w:rsid w:val="00624893"/>
    <w:rsid w:val="006248D5"/>
    <w:rsid w:val="006255E6"/>
    <w:rsid w:val="00626F7C"/>
    <w:rsid w:val="00627D88"/>
    <w:rsid w:val="00627DD6"/>
    <w:rsid w:val="00627F60"/>
    <w:rsid w:val="0063038F"/>
    <w:rsid w:val="00631446"/>
    <w:rsid w:val="00633079"/>
    <w:rsid w:val="00634689"/>
    <w:rsid w:val="00634D61"/>
    <w:rsid w:val="00634D6C"/>
    <w:rsid w:val="006360DC"/>
    <w:rsid w:val="006366F4"/>
    <w:rsid w:val="00637198"/>
    <w:rsid w:val="0063747E"/>
    <w:rsid w:val="00642457"/>
    <w:rsid w:val="006429DA"/>
    <w:rsid w:val="00644097"/>
    <w:rsid w:val="00644BEE"/>
    <w:rsid w:val="00644E24"/>
    <w:rsid w:val="006450C5"/>
    <w:rsid w:val="006453EE"/>
    <w:rsid w:val="006456EF"/>
    <w:rsid w:val="00645BE2"/>
    <w:rsid w:val="006461D7"/>
    <w:rsid w:val="00647442"/>
    <w:rsid w:val="00647A8C"/>
    <w:rsid w:val="00650881"/>
    <w:rsid w:val="006513FD"/>
    <w:rsid w:val="00651ED5"/>
    <w:rsid w:val="00652087"/>
    <w:rsid w:val="0065288A"/>
    <w:rsid w:val="006540AC"/>
    <w:rsid w:val="0065477B"/>
    <w:rsid w:val="0065506E"/>
    <w:rsid w:val="00655A24"/>
    <w:rsid w:val="006569F5"/>
    <w:rsid w:val="00660534"/>
    <w:rsid w:val="0066176A"/>
    <w:rsid w:val="00661B93"/>
    <w:rsid w:val="00663180"/>
    <w:rsid w:val="00663334"/>
    <w:rsid w:val="006645F2"/>
    <w:rsid w:val="00664699"/>
    <w:rsid w:val="00664CE2"/>
    <w:rsid w:val="00664CE3"/>
    <w:rsid w:val="00664E39"/>
    <w:rsid w:val="00664EDA"/>
    <w:rsid w:val="006652EF"/>
    <w:rsid w:val="0066538C"/>
    <w:rsid w:val="006669B8"/>
    <w:rsid w:val="00667C25"/>
    <w:rsid w:val="006702E6"/>
    <w:rsid w:val="00670390"/>
    <w:rsid w:val="00670618"/>
    <w:rsid w:val="006709EF"/>
    <w:rsid w:val="0067159E"/>
    <w:rsid w:val="0067181F"/>
    <w:rsid w:val="006724E3"/>
    <w:rsid w:val="00672E8F"/>
    <w:rsid w:val="006739E8"/>
    <w:rsid w:val="00673C23"/>
    <w:rsid w:val="0067408D"/>
    <w:rsid w:val="006745EB"/>
    <w:rsid w:val="00675F17"/>
    <w:rsid w:val="00676308"/>
    <w:rsid w:val="00676C4F"/>
    <w:rsid w:val="006804FB"/>
    <w:rsid w:val="00680579"/>
    <w:rsid w:val="006814E3"/>
    <w:rsid w:val="00681E62"/>
    <w:rsid w:val="006832F7"/>
    <w:rsid w:val="00684C1A"/>
    <w:rsid w:val="00684DFD"/>
    <w:rsid w:val="0068554F"/>
    <w:rsid w:val="00685CA5"/>
    <w:rsid w:val="0068612F"/>
    <w:rsid w:val="00686671"/>
    <w:rsid w:val="0068707F"/>
    <w:rsid w:val="006902A7"/>
    <w:rsid w:val="006915B4"/>
    <w:rsid w:val="006924B9"/>
    <w:rsid w:val="006925BF"/>
    <w:rsid w:val="00692930"/>
    <w:rsid w:val="006929FD"/>
    <w:rsid w:val="00695EB6"/>
    <w:rsid w:val="006965CD"/>
    <w:rsid w:val="00696955"/>
    <w:rsid w:val="00697502"/>
    <w:rsid w:val="00697672"/>
    <w:rsid w:val="00697808"/>
    <w:rsid w:val="006A0307"/>
    <w:rsid w:val="006A0B93"/>
    <w:rsid w:val="006A1087"/>
    <w:rsid w:val="006A1479"/>
    <w:rsid w:val="006A1A2D"/>
    <w:rsid w:val="006A1B4B"/>
    <w:rsid w:val="006A2C59"/>
    <w:rsid w:val="006A2DFD"/>
    <w:rsid w:val="006A4517"/>
    <w:rsid w:val="006A5615"/>
    <w:rsid w:val="006A5643"/>
    <w:rsid w:val="006A56DC"/>
    <w:rsid w:val="006A5B26"/>
    <w:rsid w:val="006A5B28"/>
    <w:rsid w:val="006A60CD"/>
    <w:rsid w:val="006A67A7"/>
    <w:rsid w:val="006A774B"/>
    <w:rsid w:val="006B027C"/>
    <w:rsid w:val="006B1960"/>
    <w:rsid w:val="006B1F25"/>
    <w:rsid w:val="006B2015"/>
    <w:rsid w:val="006B210B"/>
    <w:rsid w:val="006B27FD"/>
    <w:rsid w:val="006B330B"/>
    <w:rsid w:val="006B3A72"/>
    <w:rsid w:val="006B3C89"/>
    <w:rsid w:val="006B3F11"/>
    <w:rsid w:val="006B4271"/>
    <w:rsid w:val="006B480A"/>
    <w:rsid w:val="006B4C36"/>
    <w:rsid w:val="006B52B2"/>
    <w:rsid w:val="006B588E"/>
    <w:rsid w:val="006B6181"/>
    <w:rsid w:val="006B62E8"/>
    <w:rsid w:val="006B7427"/>
    <w:rsid w:val="006C12FA"/>
    <w:rsid w:val="006C154B"/>
    <w:rsid w:val="006C1659"/>
    <w:rsid w:val="006C1776"/>
    <w:rsid w:val="006C1BF4"/>
    <w:rsid w:val="006C1D98"/>
    <w:rsid w:val="006C2359"/>
    <w:rsid w:val="006C28B8"/>
    <w:rsid w:val="006C29C3"/>
    <w:rsid w:val="006C3575"/>
    <w:rsid w:val="006C3654"/>
    <w:rsid w:val="006C50B2"/>
    <w:rsid w:val="006C57B8"/>
    <w:rsid w:val="006C608E"/>
    <w:rsid w:val="006C747F"/>
    <w:rsid w:val="006C7589"/>
    <w:rsid w:val="006C78DC"/>
    <w:rsid w:val="006D0393"/>
    <w:rsid w:val="006D238C"/>
    <w:rsid w:val="006D257B"/>
    <w:rsid w:val="006D2862"/>
    <w:rsid w:val="006D2E22"/>
    <w:rsid w:val="006D3D3B"/>
    <w:rsid w:val="006D3F5D"/>
    <w:rsid w:val="006D5A55"/>
    <w:rsid w:val="006D5B8B"/>
    <w:rsid w:val="006D5C07"/>
    <w:rsid w:val="006D6FC7"/>
    <w:rsid w:val="006D773A"/>
    <w:rsid w:val="006E0448"/>
    <w:rsid w:val="006E0995"/>
    <w:rsid w:val="006E0F77"/>
    <w:rsid w:val="006E1BFF"/>
    <w:rsid w:val="006E1E84"/>
    <w:rsid w:val="006E1ECA"/>
    <w:rsid w:val="006E272D"/>
    <w:rsid w:val="006E2739"/>
    <w:rsid w:val="006E3A24"/>
    <w:rsid w:val="006E41C5"/>
    <w:rsid w:val="006E5D6D"/>
    <w:rsid w:val="006E6DD2"/>
    <w:rsid w:val="006E7574"/>
    <w:rsid w:val="006E797E"/>
    <w:rsid w:val="006F05B8"/>
    <w:rsid w:val="006F0D91"/>
    <w:rsid w:val="006F0FC1"/>
    <w:rsid w:val="006F0FFF"/>
    <w:rsid w:val="006F12EB"/>
    <w:rsid w:val="006F171B"/>
    <w:rsid w:val="006F1C0D"/>
    <w:rsid w:val="006F27DC"/>
    <w:rsid w:val="006F3CC6"/>
    <w:rsid w:val="006F4AFC"/>
    <w:rsid w:val="006F6C52"/>
    <w:rsid w:val="00700171"/>
    <w:rsid w:val="00700898"/>
    <w:rsid w:val="0070154F"/>
    <w:rsid w:val="00701A11"/>
    <w:rsid w:val="0070278F"/>
    <w:rsid w:val="00702F61"/>
    <w:rsid w:val="00703457"/>
    <w:rsid w:val="0070388F"/>
    <w:rsid w:val="0070394A"/>
    <w:rsid w:val="00703A9C"/>
    <w:rsid w:val="0070446C"/>
    <w:rsid w:val="0070468D"/>
    <w:rsid w:val="00704ADF"/>
    <w:rsid w:val="007053C3"/>
    <w:rsid w:val="00705E0E"/>
    <w:rsid w:val="00706109"/>
    <w:rsid w:val="00706114"/>
    <w:rsid w:val="0070622D"/>
    <w:rsid w:val="00706BA4"/>
    <w:rsid w:val="00706CEB"/>
    <w:rsid w:val="00706E76"/>
    <w:rsid w:val="00707429"/>
    <w:rsid w:val="00707CA2"/>
    <w:rsid w:val="00707DF4"/>
    <w:rsid w:val="00710164"/>
    <w:rsid w:val="00710450"/>
    <w:rsid w:val="00710F4E"/>
    <w:rsid w:val="00712587"/>
    <w:rsid w:val="00712835"/>
    <w:rsid w:val="00713F32"/>
    <w:rsid w:val="00713F38"/>
    <w:rsid w:val="007156B1"/>
    <w:rsid w:val="007158AB"/>
    <w:rsid w:val="007158B4"/>
    <w:rsid w:val="00716AA7"/>
    <w:rsid w:val="00716B6F"/>
    <w:rsid w:val="00717084"/>
    <w:rsid w:val="00720ACB"/>
    <w:rsid w:val="00720EA8"/>
    <w:rsid w:val="007214B0"/>
    <w:rsid w:val="00723F11"/>
    <w:rsid w:val="007249FC"/>
    <w:rsid w:val="00724F4D"/>
    <w:rsid w:val="007253B4"/>
    <w:rsid w:val="00727311"/>
    <w:rsid w:val="0072732F"/>
    <w:rsid w:val="0072754C"/>
    <w:rsid w:val="00727A11"/>
    <w:rsid w:val="00727B34"/>
    <w:rsid w:val="00727F1A"/>
    <w:rsid w:val="007307B3"/>
    <w:rsid w:val="00730999"/>
    <w:rsid w:val="007333C5"/>
    <w:rsid w:val="00733F0C"/>
    <w:rsid w:val="007348C8"/>
    <w:rsid w:val="00735F69"/>
    <w:rsid w:val="007374DD"/>
    <w:rsid w:val="00737EF1"/>
    <w:rsid w:val="0074188F"/>
    <w:rsid w:val="00741C09"/>
    <w:rsid w:val="00742832"/>
    <w:rsid w:val="00742B3F"/>
    <w:rsid w:val="00743960"/>
    <w:rsid w:val="00744CE4"/>
    <w:rsid w:val="00744DEA"/>
    <w:rsid w:val="0074569B"/>
    <w:rsid w:val="00745F27"/>
    <w:rsid w:val="00745F78"/>
    <w:rsid w:val="007476E6"/>
    <w:rsid w:val="00747CBE"/>
    <w:rsid w:val="00747F6D"/>
    <w:rsid w:val="007505A1"/>
    <w:rsid w:val="007507E5"/>
    <w:rsid w:val="00750D41"/>
    <w:rsid w:val="00752C18"/>
    <w:rsid w:val="00753198"/>
    <w:rsid w:val="00753875"/>
    <w:rsid w:val="00753E9F"/>
    <w:rsid w:val="00754599"/>
    <w:rsid w:val="00755B42"/>
    <w:rsid w:val="0075697A"/>
    <w:rsid w:val="0075705F"/>
    <w:rsid w:val="007572A9"/>
    <w:rsid w:val="00757A3B"/>
    <w:rsid w:val="0076058B"/>
    <w:rsid w:val="00760E24"/>
    <w:rsid w:val="00760EDB"/>
    <w:rsid w:val="0076112B"/>
    <w:rsid w:val="00761206"/>
    <w:rsid w:val="00761269"/>
    <w:rsid w:val="0076156B"/>
    <w:rsid w:val="0076214E"/>
    <w:rsid w:val="007622E8"/>
    <w:rsid w:val="007623B3"/>
    <w:rsid w:val="0076325E"/>
    <w:rsid w:val="007643BF"/>
    <w:rsid w:val="00764510"/>
    <w:rsid w:val="00765611"/>
    <w:rsid w:val="00767820"/>
    <w:rsid w:val="00767E7C"/>
    <w:rsid w:val="007700DA"/>
    <w:rsid w:val="00770820"/>
    <w:rsid w:val="007708B4"/>
    <w:rsid w:val="00771910"/>
    <w:rsid w:val="00772C08"/>
    <w:rsid w:val="00774436"/>
    <w:rsid w:val="00775DB9"/>
    <w:rsid w:val="00775FBB"/>
    <w:rsid w:val="007762BD"/>
    <w:rsid w:val="0077749C"/>
    <w:rsid w:val="00781B25"/>
    <w:rsid w:val="0078225A"/>
    <w:rsid w:val="007824F8"/>
    <w:rsid w:val="00782D7A"/>
    <w:rsid w:val="007831F1"/>
    <w:rsid w:val="00783723"/>
    <w:rsid w:val="007837B8"/>
    <w:rsid w:val="007838A4"/>
    <w:rsid w:val="007842D9"/>
    <w:rsid w:val="007850E9"/>
    <w:rsid w:val="00785490"/>
    <w:rsid w:val="00785F04"/>
    <w:rsid w:val="00786882"/>
    <w:rsid w:val="00790BD3"/>
    <w:rsid w:val="007910B5"/>
    <w:rsid w:val="007917EA"/>
    <w:rsid w:val="00791F69"/>
    <w:rsid w:val="007920EC"/>
    <w:rsid w:val="007924B2"/>
    <w:rsid w:val="00792E91"/>
    <w:rsid w:val="00792F22"/>
    <w:rsid w:val="00793324"/>
    <w:rsid w:val="00793C84"/>
    <w:rsid w:val="00793F86"/>
    <w:rsid w:val="00794650"/>
    <w:rsid w:val="00795192"/>
    <w:rsid w:val="007959D5"/>
    <w:rsid w:val="00796D5E"/>
    <w:rsid w:val="00797A25"/>
    <w:rsid w:val="007A0111"/>
    <w:rsid w:val="007A05B2"/>
    <w:rsid w:val="007A3325"/>
    <w:rsid w:val="007A35F7"/>
    <w:rsid w:val="007A3717"/>
    <w:rsid w:val="007A395A"/>
    <w:rsid w:val="007A586E"/>
    <w:rsid w:val="007A5CED"/>
    <w:rsid w:val="007A5E4F"/>
    <w:rsid w:val="007A77BF"/>
    <w:rsid w:val="007A7C0E"/>
    <w:rsid w:val="007A7DE7"/>
    <w:rsid w:val="007B1D35"/>
    <w:rsid w:val="007B3ABA"/>
    <w:rsid w:val="007B3F13"/>
    <w:rsid w:val="007B58D7"/>
    <w:rsid w:val="007B5F99"/>
    <w:rsid w:val="007B6519"/>
    <w:rsid w:val="007B6952"/>
    <w:rsid w:val="007B6E26"/>
    <w:rsid w:val="007B7052"/>
    <w:rsid w:val="007B77F8"/>
    <w:rsid w:val="007C1166"/>
    <w:rsid w:val="007C143D"/>
    <w:rsid w:val="007C217E"/>
    <w:rsid w:val="007C23FF"/>
    <w:rsid w:val="007C42C7"/>
    <w:rsid w:val="007C51E6"/>
    <w:rsid w:val="007C5461"/>
    <w:rsid w:val="007C671F"/>
    <w:rsid w:val="007C6F59"/>
    <w:rsid w:val="007C7AA1"/>
    <w:rsid w:val="007D07F6"/>
    <w:rsid w:val="007D0D39"/>
    <w:rsid w:val="007D1667"/>
    <w:rsid w:val="007D2906"/>
    <w:rsid w:val="007D3995"/>
    <w:rsid w:val="007D48D3"/>
    <w:rsid w:val="007D6546"/>
    <w:rsid w:val="007E1028"/>
    <w:rsid w:val="007E1ACB"/>
    <w:rsid w:val="007E24C8"/>
    <w:rsid w:val="007E3123"/>
    <w:rsid w:val="007E340D"/>
    <w:rsid w:val="007E51A3"/>
    <w:rsid w:val="007E542F"/>
    <w:rsid w:val="007E5DFF"/>
    <w:rsid w:val="007E5F92"/>
    <w:rsid w:val="007E624D"/>
    <w:rsid w:val="007F0173"/>
    <w:rsid w:val="007F0392"/>
    <w:rsid w:val="007F17C2"/>
    <w:rsid w:val="007F1820"/>
    <w:rsid w:val="007F33F1"/>
    <w:rsid w:val="007F3AD0"/>
    <w:rsid w:val="007F58BE"/>
    <w:rsid w:val="007F660D"/>
    <w:rsid w:val="007F6D49"/>
    <w:rsid w:val="007F7FFA"/>
    <w:rsid w:val="008003CC"/>
    <w:rsid w:val="00800757"/>
    <w:rsid w:val="0080154A"/>
    <w:rsid w:val="00802A37"/>
    <w:rsid w:val="00802A76"/>
    <w:rsid w:val="00803144"/>
    <w:rsid w:val="00803684"/>
    <w:rsid w:val="00804CEA"/>
    <w:rsid w:val="00805AFC"/>
    <w:rsid w:val="008067F4"/>
    <w:rsid w:val="00806D1E"/>
    <w:rsid w:val="00810333"/>
    <w:rsid w:val="008106BF"/>
    <w:rsid w:val="0081141B"/>
    <w:rsid w:val="0081167A"/>
    <w:rsid w:val="0081260E"/>
    <w:rsid w:val="0081294E"/>
    <w:rsid w:val="00813446"/>
    <w:rsid w:val="00813486"/>
    <w:rsid w:val="008136B4"/>
    <w:rsid w:val="00814CFF"/>
    <w:rsid w:val="00815132"/>
    <w:rsid w:val="00815FB8"/>
    <w:rsid w:val="00816454"/>
    <w:rsid w:val="00820006"/>
    <w:rsid w:val="00820169"/>
    <w:rsid w:val="008202BB"/>
    <w:rsid w:val="00820C36"/>
    <w:rsid w:val="00821C7A"/>
    <w:rsid w:val="00823F80"/>
    <w:rsid w:val="008241E4"/>
    <w:rsid w:val="0082423D"/>
    <w:rsid w:val="00824369"/>
    <w:rsid w:val="00825E91"/>
    <w:rsid w:val="008267C6"/>
    <w:rsid w:val="00826B5D"/>
    <w:rsid w:val="00827B42"/>
    <w:rsid w:val="008300F0"/>
    <w:rsid w:val="0083022B"/>
    <w:rsid w:val="00831142"/>
    <w:rsid w:val="00832BE8"/>
    <w:rsid w:val="00832C2D"/>
    <w:rsid w:val="00834043"/>
    <w:rsid w:val="0083419E"/>
    <w:rsid w:val="008341A2"/>
    <w:rsid w:val="0083494C"/>
    <w:rsid w:val="00834BB8"/>
    <w:rsid w:val="00836D53"/>
    <w:rsid w:val="00837253"/>
    <w:rsid w:val="00840DBE"/>
    <w:rsid w:val="00841288"/>
    <w:rsid w:val="00841C7C"/>
    <w:rsid w:val="0084474E"/>
    <w:rsid w:val="00844E28"/>
    <w:rsid w:val="0084590F"/>
    <w:rsid w:val="00846753"/>
    <w:rsid w:val="008467B3"/>
    <w:rsid w:val="008468EC"/>
    <w:rsid w:val="0084772D"/>
    <w:rsid w:val="008479B5"/>
    <w:rsid w:val="0085185D"/>
    <w:rsid w:val="00852149"/>
    <w:rsid w:val="00852660"/>
    <w:rsid w:val="00852D0D"/>
    <w:rsid w:val="0085316A"/>
    <w:rsid w:val="0085342C"/>
    <w:rsid w:val="00854FD3"/>
    <w:rsid w:val="00855D12"/>
    <w:rsid w:val="00855FD9"/>
    <w:rsid w:val="008575A8"/>
    <w:rsid w:val="0085780B"/>
    <w:rsid w:val="00857916"/>
    <w:rsid w:val="00857D2F"/>
    <w:rsid w:val="008611EF"/>
    <w:rsid w:val="00861EB4"/>
    <w:rsid w:val="00863BB3"/>
    <w:rsid w:val="00863BBC"/>
    <w:rsid w:val="00864310"/>
    <w:rsid w:val="008653D7"/>
    <w:rsid w:val="00865EF4"/>
    <w:rsid w:val="00865F1F"/>
    <w:rsid w:val="00866AAC"/>
    <w:rsid w:val="00866EB0"/>
    <w:rsid w:val="0086763A"/>
    <w:rsid w:val="0087206F"/>
    <w:rsid w:val="00873511"/>
    <w:rsid w:val="008737FB"/>
    <w:rsid w:val="00873B91"/>
    <w:rsid w:val="008742CE"/>
    <w:rsid w:val="008746C0"/>
    <w:rsid w:val="0087488F"/>
    <w:rsid w:val="00875245"/>
    <w:rsid w:val="00875F16"/>
    <w:rsid w:val="0087648B"/>
    <w:rsid w:val="00877156"/>
    <w:rsid w:val="008778B1"/>
    <w:rsid w:val="00880004"/>
    <w:rsid w:val="0088316B"/>
    <w:rsid w:val="00883520"/>
    <w:rsid w:val="008847CC"/>
    <w:rsid w:val="008854CB"/>
    <w:rsid w:val="00885EE3"/>
    <w:rsid w:val="008906D0"/>
    <w:rsid w:val="00890D45"/>
    <w:rsid w:val="0089176B"/>
    <w:rsid w:val="00891E07"/>
    <w:rsid w:val="00892260"/>
    <w:rsid w:val="00892C00"/>
    <w:rsid w:val="00893BB0"/>
    <w:rsid w:val="00894443"/>
    <w:rsid w:val="00895F45"/>
    <w:rsid w:val="008964FE"/>
    <w:rsid w:val="00896DD5"/>
    <w:rsid w:val="00896E5F"/>
    <w:rsid w:val="008A003A"/>
    <w:rsid w:val="008A093D"/>
    <w:rsid w:val="008A0AA4"/>
    <w:rsid w:val="008A0C31"/>
    <w:rsid w:val="008A10B2"/>
    <w:rsid w:val="008A28B2"/>
    <w:rsid w:val="008A46C2"/>
    <w:rsid w:val="008A67D2"/>
    <w:rsid w:val="008A6C94"/>
    <w:rsid w:val="008B04AE"/>
    <w:rsid w:val="008B0801"/>
    <w:rsid w:val="008B0BAD"/>
    <w:rsid w:val="008B0E76"/>
    <w:rsid w:val="008B15EA"/>
    <w:rsid w:val="008B17F4"/>
    <w:rsid w:val="008B1FB9"/>
    <w:rsid w:val="008B2AFB"/>
    <w:rsid w:val="008B2C6A"/>
    <w:rsid w:val="008B3A74"/>
    <w:rsid w:val="008B45D2"/>
    <w:rsid w:val="008B48B9"/>
    <w:rsid w:val="008B48BE"/>
    <w:rsid w:val="008B4B9F"/>
    <w:rsid w:val="008B4DF8"/>
    <w:rsid w:val="008B4EFF"/>
    <w:rsid w:val="008B531A"/>
    <w:rsid w:val="008B6CF9"/>
    <w:rsid w:val="008B6D9F"/>
    <w:rsid w:val="008C009F"/>
    <w:rsid w:val="008C047D"/>
    <w:rsid w:val="008C048E"/>
    <w:rsid w:val="008C0961"/>
    <w:rsid w:val="008C09C8"/>
    <w:rsid w:val="008C1888"/>
    <w:rsid w:val="008C1EF2"/>
    <w:rsid w:val="008C2332"/>
    <w:rsid w:val="008C247D"/>
    <w:rsid w:val="008C3988"/>
    <w:rsid w:val="008C3AFA"/>
    <w:rsid w:val="008C482F"/>
    <w:rsid w:val="008C7436"/>
    <w:rsid w:val="008C7EB6"/>
    <w:rsid w:val="008D084D"/>
    <w:rsid w:val="008D0F19"/>
    <w:rsid w:val="008D1789"/>
    <w:rsid w:val="008D1E84"/>
    <w:rsid w:val="008D253A"/>
    <w:rsid w:val="008D295A"/>
    <w:rsid w:val="008D3934"/>
    <w:rsid w:val="008D3EEA"/>
    <w:rsid w:val="008D4569"/>
    <w:rsid w:val="008D458B"/>
    <w:rsid w:val="008D5F37"/>
    <w:rsid w:val="008D5F78"/>
    <w:rsid w:val="008D6193"/>
    <w:rsid w:val="008D64B8"/>
    <w:rsid w:val="008D775B"/>
    <w:rsid w:val="008E0D5A"/>
    <w:rsid w:val="008E13E5"/>
    <w:rsid w:val="008E202E"/>
    <w:rsid w:val="008E3059"/>
    <w:rsid w:val="008E32CE"/>
    <w:rsid w:val="008E39E8"/>
    <w:rsid w:val="008E512A"/>
    <w:rsid w:val="008E56E1"/>
    <w:rsid w:val="008E56FD"/>
    <w:rsid w:val="008E5995"/>
    <w:rsid w:val="008E6551"/>
    <w:rsid w:val="008E759A"/>
    <w:rsid w:val="008E7DCA"/>
    <w:rsid w:val="008F06EC"/>
    <w:rsid w:val="008F06F9"/>
    <w:rsid w:val="008F1CB7"/>
    <w:rsid w:val="008F2D8F"/>
    <w:rsid w:val="008F2F51"/>
    <w:rsid w:val="008F2FE5"/>
    <w:rsid w:val="008F6360"/>
    <w:rsid w:val="008F6997"/>
    <w:rsid w:val="008F6BB9"/>
    <w:rsid w:val="008F6EA3"/>
    <w:rsid w:val="008F74DC"/>
    <w:rsid w:val="00900208"/>
    <w:rsid w:val="00900BB0"/>
    <w:rsid w:val="00901BB0"/>
    <w:rsid w:val="009029A7"/>
    <w:rsid w:val="00903244"/>
    <w:rsid w:val="009035BA"/>
    <w:rsid w:val="00904A2B"/>
    <w:rsid w:val="00904BDD"/>
    <w:rsid w:val="0090533A"/>
    <w:rsid w:val="00907452"/>
    <w:rsid w:val="009108D5"/>
    <w:rsid w:val="009113C3"/>
    <w:rsid w:val="009126CB"/>
    <w:rsid w:val="00912943"/>
    <w:rsid w:val="0091380F"/>
    <w:rsid w:val="00913BEA"/>
    <w:rsid w:val="00913DD1"/>
    <w:rsid w:val="009141FC"/>
    <w:rsid w:val="0091425F"/>
    <w:rsid w:val="009146EB"/>
    <w:rsid w:val="00914AD1"/>
    <w:rsid w:val="00914D37"/>
    <w:rsid w:val="00915AF1"/>
    <w:rsid w:val="00915F11"/>
    <w:rsid w:val="00916690"/>
    <w:rsid w:val="00920FD9"/>
    <w:rsid w:val="009211D7"/>
    <w:rsid w:val="00922A23"/>
    <w:rsid w:val="00922DB1"/>
    <w:rsid w:val="00924132"/>
    <w:rsid w:val="0092444A"/>
    <w:rsid w:val="00924559"/>
    <w:rsid w:val="00924CB5"/>
    <w:rsid w:val="00930D5C"/>
    <w:rsid w:val="0093134C"/>
    <w:rsid w:val="009318B1"/>
    <w:rsid w:val="00931A8B"/>
    <w:rsid w:val="00931CA6"/>
    <w:rsid w:val="00931D67"/>
    <w:rsid w:val="009323F1"/>
    <w:rsid w:val="00932573"/>
    <w:rsid w:val="00932B3B"/>
    <w:rsid w:val="00934A9E"/>
    <w:rsid w:val="00934BAF"/>
    <w:rsid w:val="00934CD6"/>
    <w:rsid w:val="00936A06"/>
    <w:rsid w:val="00936BD5"/>
    <w:rsid w:val="009370FF"/>
    <w:rsid w:val="00940359"/>
    <w:rsid w:val="009403DD"/>
    <w:rsid w:val="0094063B"/>
    <w:rsid w:val="00940B40"/>
    <w:rsid w:val="0094180E"/>
    <w:rsid w:val="00941B13"/>
    <w:rsid w:val="0094207F"/>
    <w:rsid w:val="0094371A"/>
    <w:rsid w:val="00943B83"/>
    <w:rsid w:val="00946031"/>
    <w:rsid w:val="009476F1"/>
    <w:rsid w:val="009478FF"/>
    <w:rsid w:val="00950745"/>
    <w:rsid w:val="00951B89"/>
    <w:rsid w:val="00951DBB"/>
    <w:rsid w:val="00951F6A"/>
    <w:rsid w:val="0095289F"/>
    <w:rsid w:val="0095412A"/>
    <w:rsid w:val="0095567A"/>
    <w:rsid w:val="00956413"/>
    <w:rsid w:val="00956B86"/>
    <w:rsid w:val="00960A31"/>
    <w:rsid w:val="00961CF0"/>
    <w:rsid w:val="00964053"/>
    <w:rsid w:val="0096414B"/>
    <w:rsid w:val="00964396"/>
    <w:rsid w:val="009646E9"/>
    <w:rsid w:val="00964DC5"/>
    <w:rsid w:val="00965274"/>
    <w:rsid w:val="0096625E"/>
    <w:rsid w:val="00966CF0"/>
    <w:rsid w:val="009674D1"/>
    <w:rsid w:val="00967BE2"/>
    <w:rsid w:val="00970583"/>
    <w:rsid w:val="00972956"/>
    <w:rsid w:val="009737C7"/>
    <w:rsid w:val="00973978"/>
    <w:rsid w:val="00973B66"/>
    <w:rsid w:val="009740B5"/>
    <w:rsid w:val="00974630"/>
    <w:rsid w:val="0097517B"/>
    <w:rsid w:val="009753DA"/>
    <w:rsid w:val="00975F9B"/>
    <w:rsid w:val="009767AA"/>
    <w:rsid w:val="00976A99"/>
    <w:rsid w:val="00983C70"/>
    <w:rsid w:val="00983D01"/>
    <w:rsid w:val="00984162"/>
    <w:rsid w:val="0098450B"/>
    <w:rsid w:val="00984558"/>
    <w:rsid w:val="00984662"/>
    <w:rsid w:val="00985134"/>
    <w:rsid w:val="00987839"/>
    <w:rsid w:val="00990B8D"/>
    <w:rsid w:val="00991D80"/>
    <w:rsid w:val="00991EE0"/>
    <w:rsid w:val="00992AF4"/>
    <w:rsid w:val="00992ECB"/>
    <w:rsid w:val="00993457"/>
    <w:rsid w:val="00994705"/>
    <w:rsid w:val="00994A06"/>
    <w:rsid w:val="0099515D"/>
    <w:rsid w:val="0099556C"/>
    <w:rsid w:val="00995FEF"/>
    <w:rsid w:val="009963BC"/>
    <w:rsid w:val="00997895"/>
    <w:rsid w:val="009A0145"/>
    <w:rsid w:val="009A0146"/>
    <w:rsid w:val="009A1846"/>
    <w:rsid w:val="009A191C"/>
    <w:rsid w:val="009A1EDA"/>
    <w:rsid w:val="009A2D24"/>
    <w:rsid w:val="009A3B7A"/>
    <w:rsid w:val="009A4252"/>
    <w:rsid w:val="009A43ED"/>
    <w:rsid w:val="009A44CB"/>
    <w:rsid w:val="009A4B3A"/>
    <w:rsid w:val="009A4E78"/>
    <w:rsid w:val="009A4FD7"/>
    <w:rsid w:val="009A544D"/>
    <w:rsid w:val="009A74DB"/>
    <w:rsid w:val="009A7742"/>
    <w:rsid w:val="009A7DB1"/>
    <w:rsid w:val="009A7E9B"/>
    <w:rsid w:val="009B0D12"/>
    <w:rsid w:val="009B2208"/>
    <w:rsid w:val="009B2590"/>
    <w:rsid w:val="009B2D25"/>
    <w:rsid w:val="009B35E2"/>
    <w:rsid w:val="009B3C4E"/>
    <w:rsid w:val="009B3DC0"/>
    <w:rsid w:val="009B42AF"/>
    <w:rsid w:val="009B4988"/>
    <w:rsid w:val="009B4E53"/>
    <w:rsid w:val="009B5BC8"/>
    <w:rsid w:val="009B638E"/>
    <w:rsid w:val="009B6D51"/>
    <w:rsid w:val="009B6D54"/>
    <w:rsid w:val="009B6E8C"/>
    <w:rsid w:val="009B7007"/>
    <w:rsid w:val="009B7E39"/>
    <w:rsid w:val="009C0EEE"/>
    <w:rsid w:val="009C1F6A"/>
    <w:rsid w:val="009C3404"/>
    <w:rsid w:val="009C341E"/>
    <w:rsid w:val="009C3BD7"/>
    <w:rsid w:val="009C409E"/>
    <w:rsid w:val="009C5034"/>
    <w:rsid w:val="009C5BCC"/>
    <w:rsid w:val="009C6081"/>
    <w:rsid w:val="009C653F"/>
    <w:rsid w:val="009C7231"/>
    <w:rsid w:val="009C7307"/>
    <w:rsid w:val="009C7DEC"/>
    <w:rsid w:val="009C7FF8"/>
    <w:rsid w:val="009D0E5C"/>
    <w:rsid w:val="009D19DE"/>
    <w:rsid w:val="009D275B"/>
    <w:rsid w:val="009D38AF"/>
    <w:rsid w:val="009D3D47"/>
    <w:rsid w:val="009D3DA4"/>
    <w:rsid w:val="009D4214"/>
    <w:rsid w:val="009D4405"/>
    <w:rsid w:val="009D469B"/>
    <w:rsid w:val="009D5643"/>
    <w:rsid w:val="009D6036"/>
    <w:rsid w:val="009D6067"/>
    <w:rsid w:val="009D7444"/>
    <w:rsid w:val="009E04E2"/>
    <w:rsid w:val="009E0E5E"/>
    <w:rsid w:val="009E17ED"/>
    <w:rsid w:val="009E216C"/>
    <w:rsid w:val="009E2CF4"/>
    <w:rsid w:val="009E318F"/>
    <w:rsid w:val="009E3347"/>
    <w:rsid w:val="009E3B39"/>
    <w:rsid w:val="009E3C3D"/>
    <w:rsid w:val="009E3C4E"/>
    <w:rsid w:val="009E4610"/>
    <w:rsid w:val="009E478F"/>
    <w:rsid w:val="009E4F75"/>
    <w:rsid w:val="009E528D"/>
    <w:rsid w:val="009E55EF"/>
    <w:rsid w:val="009E58B5"/>
    <w:rsid w:val="009E5A1E"/>
    <w:rsid w:val="009E5A8D"/>
    <w:rsid w:val="009E5DB3"/>
    <w:rsid w:val="009E69DA"/>
    <w:rsid w:val="009E7FAE"/>
    <w:rsid w:val="009F0168"/>
    <w:rsid w:val="009F0F92"/>
    <w:rsid w:val="009F11DD"/>
    <w:rsid w:val="009F1403"/>
    <w:rsid w:val="009F1D77"/>
    <w:rsid w:val="009F292B"/>
    <w:rsid w:val="009F4445"/>
    <w:rsid w:val="009F6B5A"/>
    <w:rsid w:val="009F7779"/>
    <w:rsid w:val="009F7C26"/>
    <w:rsid w:val="00A01030"/>
    <w:rsid w:val="00A01321"/>
    <w:rsid w:val="00A01705"/>
    <w:rsid w:val="00A0171F"/>
    <w:rsid w:val="00A023EE"/>
    <w:rsid w:val="00A03591"/>
    <w:rsid w:val="00A03D38"/>
    <w:rsid w:val="00A0406B"/>
    <w:rsid w:val="00A06C8E"/>
    <w:rsid w:val="00A06DB4"/>
    <w:rsid w:val="00A07594"/>
    <w:rsid w:val="00A0798A"/>
    <w:rsid w:val="00A104BD"/>
    <w:rsid w:val="00A1060A"/>
    <w:rsid w:val="00A107ED"/>
    <w:rsid w:val="00A11796"/>
    <w:rsid w:val="00A11CAA"/>
    <w:rsid w:val="00A11F0B"/>
    <w:rsid w:val="00A1226A"/>
    <w:rsid w:val="00A1273A"/>
    <w:rsid w:val="00A12AED"/>
    <w:rsid w:val="00A1328B"/>
    <w:rsid w:val="00A13DBB"/>
    <w:rsid w:val="00A149F9"/>
    <w:rsid w:val="00A14B3A"/>
    <w:rsid w:val="00A1671F"/>
    <w:rsid w:val="00A16B00"/>
    <w:rsid w:val="00A178C1"/>
    <w:rsid w:val="00A17BDE"/>
    <w:rsid w:val="00A21098"/>
    <w:rsid w:val="00A214FF"/>
    <w:rsid w:val="00A21D0F"/>
    <w:rsid w:val="00A22DAD"/>
    <w:rsid w:val="00A22DCA"/>
    <w:rsid w:val="00A24246"/>
    <w:rsid w:val="00A27127"/>
    <w:rsid w:val="00A2732E"/>
    <w:rsid w:val="00A300E0"/>
    <w:rsid w:val="00A30876"/>
    <w:rsid w:val="00A314B0"/>
    <w:rsid w:val="00A317CA"/>
    <w:rsid w:val="00A32250"/>
    <w:rsid w:val="00A322A9"/>
    <w:rsid w:val="00A32BD3"/>
    <w:rsid w:val="00A33134"/>
    <w:rsid w:val="00A3401E"/>
    <w:rsid w:val="00A3486D"/>
    <w:rsid w:val="00A34A5C"/>
    <w:rsid w:val="00A359EB"/>
    <w:rsid w:val="00A3606F"/>
    <w:rsid w:val="00A36F1F"/>
    <w:rsid w:val="00A371C1"/>
    <w:rsid w:val="00A371D7"/>
    <w:rsid w:val="00A37D6E"/>
    <w:rsid w:val="00A40E0E"/>
    <w:rsid w:val="00A41BAF"/>
    <w:rsid w:val="00A42141"/>
    <w:rsid w:val="00A4263E"/>
    <w:rsid w:val="00A42EEB"/>
    <w:rsid w:val="00A43295"/>
    <w:rsid w:val="00A43D44"/>
    <w:rsid w:val="00A44510"/>
    <w:rsid w:val="00A44996"/>
    <w:rsid w:val="00A44A3B"/>
    <w:rsid w:val="00A44BB6"/>
    <w:rsid w:val="00A46367"/>
    <w:rsid w:val="00A47C02"/>
    <w:rsid w:val="00A50451"/>
    <w:rsid w:val="00A504E1"/>
    <w:rsid w:val="00A51D36"/>
    <w:rsid w:val="00A5370C"/>
    <w:rsid w:val="00A54EA9"/>
    <w:rsid w:val="00A55476"/>
    <w:rsid w:val="00A55656"/>
    <w:rsid w:val="00A55C24"/>
    <w:rsid w:val="00A55EAE"/>
    <w:rsid w:val="00A561FC"/>
    <w:rsid w:val="00A569BF"/>
    <w:rsid w:val="00A56F63"/>
    <w:rsid w:val="00A577B8"/>
    <w:rsid w:val="00A57A00"/>
    <w:rsid w:val="00A6017E"/>
    <w:rsid w:val="00A626C0"/>
    <w:rsid w:val="00A6382F"/>
    <w:rsid w:val="00A63926"/>
    <w:rsid w:val="00A63A10"/>
    <w:rsid w:val="00A63AF4"/>
    <w:rsid w:val="00A63D7B"/>
    <w:rsid w:val="00A667AF"/>
    <w:rsid w:val="00A678DB"/>
    <w:rsid w:val="00A71A16"/>
    <w:rsid w:val="00A71E1D"/>
    <w:rsid w:val="00A720F0"/>
    <w:rsid w:val="00A727FB"/>
    <w:rsid w:val="00A7323A"/>
    <w:rsid w:val="00A7348A"/>
    <w:rsid w:val="00A74426"/>
    <w:rsid w:val="00A7548F"/>
    <w:rsid w:val="00A76253"/>
    <w:rsid w:val="00A76CCB"/>
    <w:rsid w:val="00A7788A"/>
    <w:rsid w:val="00A823CA"/>
    <w:rsid w:val="00A827C3"/>
    <w:rsid w:val="00A82DA6"/>
    <w:rsid w:val="00A8389C"/>
    <w:rsid w:val="00A83E29"/>
    <w:rsid w:val="00A847B7"/>
    <w:rsid w:val="00A850F8"/>
    <w:rsid w:val="00A86118"/>
    <w:rsid w:val="00A87692"/>
    <w:rsid w:val="00A87E11"/>
    <w:rsid w:val="00A90055"/>
    <w:rsid w:val="00A900E7"/>
    <w:rsid w:val="00A90FCB"/>
    <w:rsid w:val="00A91171"/>
    <w:rsid w:val="00A916EA"/>
    <w:rsid w:val="00A91775"/>
    <w:rsid w:val="00A92489"/>
    <w:rsid w:val="00A925FF"/>
    <w:rsid w:val="00A92686"/>
    <w:rsid w:val="00A93B5A"/>
    <w:rsid w:val="00A947BC"/>
    <w:rsid w:val="00A94EC8"/>
    <w:rsid w:val="00A9592A"/>
    <w:rsid w:val="00A962A3"/>
    <w:rsid w:val="00A96EF8"/>
    <w:rsid w:val="00A97BD0"/>
    <w:rsid w:val="00AA0751"/>
    <w:rsid w:val="00AA4EDE"/>
    <w:rsid w:val="00AA5A7F"/>
    <w:rsid w:val="00AA674C"/>
    <w:rsid w:val="00AA6A59"/>
    <w:rsid w:val="00AA73A2"/>
    <w:rsid w:val="00AA73BE"/>
    <w:rsid w:val="00AA7E7C"/>
    <w:rsid w:val="00AB0412"/>
    <w:rsid w:val="00AB056F"/>
    <w:rsid w:val="00AB08B6"/>
    <w:rsid w:val="00AB0931"/>
    <w:rsid w:val="00AB0E8E"/>
    <w:rsid w:val="00AB1321"/>
    <w:rsid w:val="00AB146F"/>
    <w:rsid w:val="00AB3ACC"/>
    <w:rsid w:val="00AB57E2"/>
    <w:rsid w:val="00AB59C5"/>
    <w:rsid w:val="00AB62DC"/>
    <w:rsid w:val="00AB6BE8"/>
    <w:rsid w:val="00AB70CE"/>
    <w:rsid w:val="00AB757C"/>
    <w:rsid w:val="00AC02C2"/>
    <w:rsid w:val="00AC0C06"/>
    <w:rsid w:val="00AC2667"/>
    <w:rsid w:val="00AC3A8A"/>
    <w:rsid w:val="00AC4FA0"/>
    <w:rsid w:val="00AC5227"/>
    <w:rsid w:val="00AC5EA7"/>
    <w:rsid w:val="00AC5F29"/>
    <w:rsid w:val="00AC60C4"/>
    <w:rsid w:val="00AC6C10"/>
    <w:rsid w:val="00AC6C3F"/>
    <w:rsid w:val="00AC761A"/>
    <w:rsid w:val="00AC78EA"/>
    <w:rsid w:val="00AD11EB"/>
    <w:rsid w:val="00AD1895"/>
    <w:rsid w:val="00AD2BB3"/>
    <w:rsid w:val="00AD3F0D"/>
    <w:rsid w:val="00AD435B"/>
    <w:rsid w:val="00AD5226"/>
    <w:rsid w:val="00AD596A"/>
    <w:rsid w:val="00AD6D2D"/>
    <w:rsid w:val="00AD6F80"/>
    <w:rsid w:val="00AD79F1"/>
    <w:rsid w:val="00AE1825"/>
    <w:rsid w:val="00AE1C56"/>
    <w:rsid w:val="00AE203A"/>
    <w:rsid w:val="00AE23DE"/>
    <w:rsid w:val="00AE2674"/>
    <w:rsid w:val="00AE2EAF"/>
    <w:rsid w:val="00AE4855"/>
    <w:rsid w:val="00AE5A3F"/>
    <w:rsid w:val="00AE6619"/>
    <w:rsid w:val="00AF03AA"/>
    <w:rsid w:val="00AF0995"/>
    <w:rsid w:val="00AF1323"/>
    <w:rsid w:val="00AF1EC2"/>
    <w:rsid w:val="00AF21E0"/>
    <w:rsid w:val="00AF23E7"/>
    <w:rsid w:val="00AF2AC3"/>
    <w:rsid w:val="00AF37E6"/>
    <w:rsid w:val="00AF40C4"/>
    <w:rsid w:val="00AF48EF"/>
    <w:rsid w:val="00AF4A0D"/>
    <w:rsid w:val="00AF4DFD"/>
    <w:rsid w:val="00AF553F"/>
    <w:rsid w:val="00AF5E76"/>
    <w:rsid w:val="00AF65B4"/>
    <w:rsid w:val="00AF6DD3"/>
    <w:rsid w:val="00B01C7C"/>
    <w:rsid w:val="00B01F8E"/>
    <w:rsid w:val="00B0277E"/>
    <w:rsid w:val="00B03376"/>
    <w:rsid w:val="00B038AC"/>
    <w:rsid w:val="00B03B6F"/>
    <w:rsid w:val="00B04D5C"/>
    <w:rsid w:val="00B04E20"/>
    <w:rsid w:val="00B0581D"/>
    <w:rsid w:val="00B0585F"/>
    <w:rsid w:val="00B05E2A"/>
    <w:rsid w:val="00B07AC0"/>
    <w:rsid w:val="00B1025A"/>
    <w:rsid w:val="00B10766"/>
    <w:rsid w:val="00B10A3C"/>
    <w:rsid w:val="00B11062"/>
    <w:rsid w:val="00B1142E"/>
    <w:rsid w:val="00B1232A"/>
    <w:rsid w:val="00B126F8"/>
    <w:rsid w:val="00B12E4C"/>
    <w:rsid w:val="00B13097"/>
    <w:rsid w:val="00B13A38"/>
    <w:rsid w:val="00B13C2F"/>
    <w:rsid w:val="00B1483F"/>
    <w:rsid w:val="00B14E8D"/>
    <w:rsid w:val="00B16B9A"/>
    <w:rsid w:val="00B16BD0"/>
    <w:rsid w:val="00B17E55"/>
    <w:rsid w:val="00B213EC"/>
    <w:rsid w:val="00B21BCF"/>
    <w:rsid w:val="00B21CEB"/>
    <w:rsid w:val="00B23010"/>
    <w:rsid w:val="00B23FE3"/>
    <w:rsid w:val="00B252A9"/>
    <w:rsid w:val="00B2599E"/>
    <w:rsid w:val="00B25A68"/>
    <w:rsid w:val="00B26013"/>
    <w:rsid w:val="00B267F1"/>
    <w:rsid w:val="00B278DC"/>
    <w:rsid w:val="00B27D0B"/>
    <w:rsid w:val="00B27E6B"/>
    <w:rsid w:val="00B3020C"/>
    <w:rsid w:val="00B31083"/>
    <w:rsid w:val="00B31231"/>
    <w:rsid w:val="00B3135E"/>
    <w:rsid w:val="00B317D5"/>
    <w:rsid w:val="00B31CB8"/>
    <w:rsid w:val="00B3287C"/>
    <w:rsid w:val="00B32FF2"/>
    <w:rsid w:val="00B339AC"/>
    <w:rsid w:val="00B33D6A"/>
    <w:rsid w:val="00B33EA8"/>
    <w:rsid w:val="00B34B53"/>
    <w:rsid w:val="00B35AE3"/>
    <w:rsid w:val="00B35F1F"/>
    <w:rsid w:val="00B369B6"/>
    <w:rsid w:val="00B37A47"/>
    <w:rsid w:val="00B40995"/>
    <w:rsid w:val="00B40BDC"/>
    <w:rsid w:val="00B4184A"/>
    <w:rsid w:val="00B41889"/>
    <w:rsid w:val="00B41EE4"/>
    <w:rsid w:val="00B42311"/>
    <w:rsid w:val="00B4276A"/>
    <w:rsid w:val="00B42851"/>
    <w:rsid w:val="00B454A5"/>
    <w:rsid w:val="00B455FD"/>
    <w:rsid w:val="00B51461"/>
    <w:rsid w:val="00B548DB"/>
    <w:rsid w:val="00B54D47"/>
    <w:rsid w:val="00B55299"/>
    <w:rsid w:val="00B554E2"/>
    <w:rsid w:val="00B5587F"/>
    <w:rsid w:val="00B56FBB"/>
    <w:rsid w:val="00B57659"/>
    <w:rsid w:val="00B57BBA"/>
    <w:rsid w:val="00B60998"/>
    <w:rsid w:val="00B61466"/>
    <w:rsid w:val="00B61834"/>
    <w:rsid w:val="00B61B0A"/>
    <w:rsid w:val="00B62883"/>
    <w:rsid w:val="00B6347F"/>
    <w:rsid w:val="00B63FBA"/>
    <w:rsid w:val="00B64675"/>
    <w:rsid w:val="00B663F9"/>
    <w:rsid w:val="00B714F6"/>
    <w:rsid w:val="00B716A2"/>
    <w:rsid w:val="00B71FCC"/>
    <w:rsid w:val="00B726D2"/>
    <w:rsid w:val="00B72843"/>
    <w:rsid w:val="00B72BA4"/>
    <w:rsid w:val="00B73A64"/>
    <w:rsid w:val="00B75BED"/>
    <w:rsid w:val="00B75E83"/>
    <w:rsid w:val="00B7601F"/>
    <w:rsid w:val="00B766C2"/>
    <w:rsid w:val="00B76FE8"/>
    <w:rsid w:val="00B7731C"/>
    <w:rsid w:val="00B80B95"/>
    <w:rsid w:val="00B80BB9"/>
    <w:rsid w:val="00B81417"/>
    <w:rsid w:val="00B815FB"/>
    <w:rsid w:val="00B82800"/>
    <w:rsid w:val="00B8296A"/>
    <w:rsid w:val="00B82D4F"/>
    <w:rsid w:val="00B83763"/>
    <w:rsid w:val="00B83FC4"/>
    <w:rsid w:val="00B84165"/>
    <w:rsid w:val="00B84A05"/>
    <w:rsid w:val="00B8636E"/>
    <w:rsid w:val="00B87319"/>
    <w:rsid w:val="00B875D2"/>
    <w:rsid w:val="00B877C8"/>
    <w:rsid w:val="00B878FA"/>
    <w:rsid w:val="00B87D1D"/>
    <w:rsid w:val="00B87F89"/>
    <w:rsid w:val="00B90A10"/>
    <w:rsid w:val="00B93076"/>
    <w:rsid w:val="00B93A96"/>
    <w:rsid w:val="00B93CEC"/>
    <w:rsid w:val="00B94183"/>
    <w:rsid w:val="00B941B2"/>
    <w:rsid w:val="00B94269"/>
    <w:rsid w:val="00B95264"/>
    <w:rsid w:val="00B95393"/>
    <w:rsid w:val="00B95761"/>
    <w:rsid w:val="00B95A5D"/>
    <w:rsid w:val="00B96B60"/>
    <w:rsid w:val="00B971DA"/>
    <w:rsid w:val="00B97342"/>
    <w:rsid w:val="00BA0416"/>
    <w:rsid w:val="00BA05B4"/>
    <w:rsid w:val="00BA199C"/>
    <w:rsid w:val="00BA1B01"/>
    <w:rsid w:val="00BA1BC9"/>
    <w:rsid w:val="00BA1C1B"/>
    <w:rsid w:val="00BA24C2"/>
    <w:rsid w:val="00BA2AF4"/>
    <w:rsid w:val="00BA3082"/>
    <w:rsid w:val="00BA3292"/>
    <w:rsid w:val="00BA32F7"/>
    <w:rsid w:val="00BA485D"/>
    <w:rsid w:val="00BA4F64"/>
    <w:rsid w:val="00BA5115"/>
    <w:rsid w:val="00BA546C"/>
    <w:rsid w:val="00BA5E19"/>
    <w:rsid w:val="00BA7C7F"/>
    <w:rsid w:val="00BB095E"/>
    <w:rsid w:val="00BB17AF"/>
    <w:rsid w:val="00BB30D6"/>
    <w:rsid w:val="00BB3261"/>
    <w:rsid w:val="00BB4095"/>
    <w:rsid w:val="00BB445B"/>
    <w:rsid w:val="00BB454E"/>
    <w:rsid w:val="00BB479E"/>
    <w:rsid w:val="00BB4B94"/>
    <w:rsid w:val="00BB6051"/>
    <w:rsid w:val="00BB61C1"/>
    <w:rsid w:val="00BB75DA"/>
    <w:rsid w:val="00BB7889"/>
    <w:rsid w:val="00BB795A"/>
    <w:rsid w:val="00BB7F3C"/>
    <w:rsid w:val="00BC003F"/>
    <w:rsid w:val="00BC0DC4"/>
    <w:rsid w:val="00BC1172"/>
    <w:rsid w:val="00BC2F3C"/>
    <w:rsid w:val="00BC33D7"/>
    <w:rsid w:val="00BC3539"/>
    <w:rsid w:val="00BC4E52"/>
    <w:rsid w:val="00BC5385"/>
    <w:rsid w:val="00BC6885"/>
    <w:rsid w:val="00BC723F"/>
    <w:rsid w:val="00BC793B"/>
    <w:rsid w:val="00BC7AFC"/>
    <w:rsid w:val="00BC7B5C"/>
    <w:rsid w:val="00BD1320"/>
    <w:rsid w:val="00BD19AB"/>
    <w:rsid w:val="00BD1B08"/>
    <w:rsid w:val="00BD218E"/>
    <w:rsid w:val="00BD2968"/>
    <w:rsid w:val="00BD33C7"/>
    <w:rsid w:val="00BD3530"/>
    <w:rsid w:val="00BD3588"/>
    <w:rsid w:val="00BD3DA6"/>
    <w:rsid w:val="00BD53AC"/>
    <w:rsid w:val="00BD582C"/>
    <w:rsid w:val="00BD66BF"/>
    <w:rsid w:val="00BD6728"/>
    <w:rsid w:val="00BD7102"/>
    <w:rsid w:val="00BD71AD"/>
    <w:rsid w:val="00BD772C"/>
    <w:rsid w:val="00BD777A"/>
    <w:rsid w:val="00BE02BC"/>
    <w:rsid w:val="00BE1BB1"/>
    <w:rsid w:val="00BE3027"/>
    <w:rsid w:val="00BE326B"/>
    <w:rsid w:val="00BE330E"/>
    <w:rsid w:val="00BE337A"/>
    <w:rsid w:val="00BE3B11"/>
    <w:rsid w:val="00BE4D4B"/>
    <w:rsid w:val="00BE4EEE"/>
    <w:rsid w:val="00BE5085"/>
    <w:rsid w:val="00BE60FF"/>
    <w:rsid w:val="00BE7E54"/>
    <w:rsid w:val="00BEDF39"/>
    <w:rsid w:val="00BF10E9"/>
    <w:rsid w:val="00BF164C"/>
    <w:rsid w:val="00BF2744"/>
    <w:rsid w:val="00BF3D0C"/>
    <w:rsid w:val="00BF55BE"/>
    <w:rsid w:val="00BF6659"/>
    <w:rsid w:val="00BF7078"/>
    <w:rsid w:val="00BF7E24"/>
    <w:rsid w:val="00C002D3"/>
    <w:rsid w:val="00C018A5"/>
    <w:rsid w:val="00C018B5"/>
    <w:rsid w:val="00C01D26"/>
    <w:rsid w:val="00C02BA7"/>
    <w:rsid w:val="00C03597"/>
    <w:rsid w:val="00C04013"/>
    <w:rsid w:val="00C057A7"/>
    <w:rsid w:val="00C05896"/>
    <w:rsid w:val="00C06165"/>
    <w:rsid w:val="00C069E5"/>
    <w:rsid w:val="00C06F4B"/>
    <w:rsid w:val="00C07438"/>
    <w:rsid w:val="00C1069E"/>
    <w:rsid w:val="00C10A21"/>
    <w:rsid w:val="00C11920"/>
    <w:rsid w:val="00C11C37"/>
    <w:rsid w:val="00C1328A"/>
    <w:rsid w:val="00C13617"/>
    <w:rsid w:val="00C1390A"/>
    <w:rsid w:val="00C13A9C"/>
    <w:rsid w:val="00C14A0E"/>
    <w:rsid w:val="00C164BF"/>
    <w:rsid w:val="00C2012D"/>
    <w:rsid w:val="00C2097E"/>
    <w:rsid w:val="00C20DC3"/>
    <w:rsid w:val="00C20FE2"/>
    <w:rsid w:val="00C2138C"/>
    <w:rsid w:val="00C22774"/>
    <w:rsid w:val="00C22E49"/>
    <w:rsid w:val="00C233E3"/>
    <w:rsid w:val="00C23966"/>
    <w:rsid w:val="00C23C5A"/>
    <w:rsid w:val="00C23D02"/>
    <w:rsid w:val="00C23DF6"/>
    <w:rsid w:val="00C24A5F"/>
    <w:rsid w:val="00C25ECC"/>
    <w:rsid w:val="00C27872"/>
    <w:rsid w:val="00C27D9A"/>
    <w:rsid w:val="00C324C0"/>
    <w:rsid w:val="00C331D9"/>
    <w:rsid w:val="00C3353D"/>
    <w:rsid w:val="00C33733"/>
    <w:rsid w:val="00C33758"/>
    <w:rsid w:val="00C33D25"/>
    <w:rsid w:val="00C3461D"/>
    <w:rsid w:val="00C3495E"/>
    <w:rsid w:val="00C36313"/>
    <w:rsid w:val="00C36A3C"/>
    <w:rsid w:val="00C36EE7"/>
    <w:rsid w:val="00C37990"/>
    <w:rsid w:val="00C37D83"/>
    <w:rsid w:val="00C41447"/>
    <w:rsid w:val="00C41713"/>
    <w:rsid w:val="00C4236A"/>
    <w:rsid w:val="00C43113"/>
    <w:rsid w:val="00C4314C"/>
    <w:rsid w:val="00C43E04"/>
    <w:rsid w:val="00C45495"/>
    <w:rsid w:val="00C45B7E"/>
    <w:rsid w:val="00C4603C"/>
    <w:rsid w:val="00C463AB"/>
    <w:rsid w:val="00C464C3"/>
    <w:rsid w:val="00C46C1C"/>
    <w:rsid w:val="00C46D1D"/>
    <w:rsid w:val="00C472ED"/>
    <w:rsid w:val="00C476F1"/>
    <w:rsid w:val="00C479F5"/>
    <w:rsid w:val="00C5079F"/>
    <w:rsid w:val="00C5207E"/>
    <w:rsid w:val="00C5245E"/>
    <w:rsid w:val="00C5371F"/>
    <w:rsid w:val="00C5424C"/>
    <w:rsid w:val="00C561E1"/>
    <w:rsid w:val="00C56290"/>
    <w:rsid w:val="00C57B77"/>
    <w:rsid w:val="00C57FDD"/>
    <w:rsid w:val="00C6017B"/>
    <w:rsid w:val="00C60FAB"/>
    <w:rsid w:val="00C60FEB"/>
    <w:rsid w:val="00C62163"/>
    <w:rsid w:val="00C63050"/>
    <w:rsid w:val="00C63D46"/>
    <w:rsid w:val="00C664C6"/>
    <w:rsid w:val="00C664DE"/>
    <w:rsid w:val="00C66558"/>
    <w:rsid w:val="00C66B61"/>
    <w:rsid w:val="00C6712D"/>
    <w:rsid w:val="00C6756E"/>
    <w:rsid w:val="00C67A5C"/>
    <w:rsid w:val="00C67D56"/>
    <w:rsid w:val="00C7040D"/>
    <w:rsid w:val="00C7047C"/>
    <w:rsid w:val="00C70532"/>
    <w:rsid w:val="00C722D5"/>
    <w:rsid w:val="00C73A62"/>
    <w:rsid w:val="00C7463F"/>
    <w:rsid w:val="00C7469A"/>
    <w:rsid w:val="00C7499F"/>
    <w:rsid w:val="00C74AE0"/>
    <w:rsid w:val="00C75165"/>
    <w:rsid w:val="00C80919"/>
    <w:rsid w:val="00C80A4D"/>
    <w:rsid w:val="00C81AE6"/>
    <w:rsid w:val="00C81F50"/>
    <w:rsid w:val="00C82F47"/>
    <w:rsid w:val="00C855D7"/>
    <w:rsid w:val="00C85FA7"/>
    <w:rsid w:val="00C87C9E"/>
    <w:rsid w:val="00C87DFA"/>
    <w:rsid w:val="00C87F26"/>
    <w:rsid w:val="00C9003C"/>
    <w:rsid w:val="00C90887"/>
    <w:rsid w:val="00C9100D"/>
    <w:rsid w:val="00C91E23"/>
    <w:rsid w:val="00C9322B"/>
    <w:rsid w:val="00C93F20"/>
    <w:rsid w:val="00C940C4"/>
    <w:rsid w:val="00C941A6"/>
    <w:rsid w:val="00C9514F"/>
    <w:rsid w:val="00C955BB"/>
    <w:rsid w:val="00C96A5C"/>
    <w:rsid w:val="00C96ADD"/>
    <w:rsid w:val="00C96C64"/>
    <w:rsid w:val="00C96CFB"/>
    <w:rsid w:val="00C97AB6"/>
    <w:rsid w:val="00C97BC7"/>
    <w:rsid w:val="00CA0215"/>
    <w:rsid w:val="00CA123E"/>
    <w:rsid w:val="00CA1415"/>
    <w:rsid w:val="00CA1552"/>
    <w:rsid w:val="00CA1EA5"/>
    <w:rsid w:val="00CA1F57"/>
    <w:rsid w:val="00CA20B0"/>
    <w:rsid w:val="00CA2C39"/>
    <w:rsid w:val="00CA3334"/>
    <w:rsid w:val="00CA33DA"/>
    <w:rsid w:val="00CA3F61"/>
    <w:rsid w:val="00CA4AF8"/>
    <w:rsid w:val="00CA4CB2"/>
    <w:rsid w:val="00CA5100"/>
    <w:rsid w:val="00CA51C3"/>
    <w:rsid w:val="00CA58BE"/>
    <w:rsid w:val="00CA58E1"/>
    <w:rsid w:val="00CA5D31"/>
    <w:rsid w:val="00CA6184"/>
    <w:rsid w:val="00CA688C"/>
    <w:rsid w:val="00CA759D"/>
    <w:rsid w:val="00CA7D0F"/>
    <w:rsid w:val="00CB142F"/>
    <w:rsid w:val="00CB1610"/>
    <w:rsid w:val="00CB250E"/>
    <w:rsid w:val="00CB3D48"/>
    <w:rsid w:val="00CB4EF9"/>
    <w:rsid w:val="00CB570D"/>
    <w:rsid w:val="00CB5BB0"/>
    <w:rsid w:val="00CB6A68"/>
    <w:rsid w:val="00CB6C17"/>
    <w:rsid w:val="00CC07B9"/>
    <w:rsid w:val="00CC0D54"/>
    <w:rsid w:val="00CC1DBD"/>
    <w:rsid w:val="00CC237F"/>
    <w:rsid w:val="00CC2A2A"/>
    <w:rsid w:val="00CC411D"/>
    <w:rsid w:val="00CC52A3"/>
    <w:rsid w:val="00CC5DD4"/>
    <w:rsid w:val="00CC5F91"/>
    <w:rsid w:val="00CC71FB"/>
    <w:rsid w:val="00CC7471"/>
    <w:rsid w:val="00CD0329"/>
    <w:rsid w:val="00CD0DBB"/>
    <w:rsid w:val="00CD2BA2"/>
    <w:rsid w:val="00CD2F27"/>
    <w:rsid w:val="00CD3BED"/>
    <w:rsid w:val="00CD46B8"/>
    <w:rsid w:val="00CD4CEC"/>
    <w:rsid w:val="00CD5356"/>
    <w:rsid w:val="00CD5C30"/>
    <w:rsid w:val="00CD656C"/>
    <w:rsid w:val="00CD6951"/>
    <w:rsid w:val="00CD6F13"/>
    <w:rsid w:val="00CD73EA"/>
    <w:rsid w:val="00CD75AD"/>
    <w:rsid w:val="00CE0150"/>
    <w:rsid w:val="00CE0D53"/>
    <w:rsid w:val="00CE1779"/>
    <w:rsid w:val="00CE20F6"/>
    <w:rsid w:val="00CE2423"/>
    <w:rsid w:val="00CE4822"/>
    <w:rsid w:val="00CE64CC"/>
    <w:rsid w:val="00CE7A6A"/>
    <w:rsid w:val="00CF019C"/>
    <w:rsid w:val="00CF10C7"/>
    <w:rsid w:val="00CF43A2"/>
    <w:rsid w:val="00CF46BD"/>
    <w:rsid w:val="00CF51F4"/>
    <w:rsid w:val="00CF5B7C"/>
    <w:rsid w:val="00CF6561"/>
    <w:rsid w:val="00CF6642"/>
    <w:rsid w:val="00CF669B"/>
    <w:rsid w:val="00CF67B2"/>
    <w:rsid w:val="00D01933"/>
    <w:rsid w:val="00D03077"/>
    <w:rsid w:val="00D031CE"/>
    <w:rsid w:val="00D0322B"/>
    <w:rsid w:val="00D03528"/>
    <w:rsid w:val="00D035AA"/>
    <w:rsid w:val="00D037CC"/>
    <w:rsid w:val="00D05AC5"/>
    <w:rsid w:val="00D06205"/>
    <w:rsid w:val="00D06927"/>
    <w:rsid w:val="00D07C9B"/>
    <w:rsid w:val="00D07EBA"/>
    <w:rsid w:val="00D10415"/>
    <w:rsid w:val="00D11501"/>
    <w:rsid w:val="00D12D58"/>
    <w:rsid w:val="00D12F13"/>
    <w:rsid w:val="00D13A23"/>
    <w:rsid w:val="00D148B5"/>
    <w:rsid w:val="00D16879"/>
    <w:rsid w:val="00D17146"/>
    <w:rsid w:val="00D20149"/>
    <w:rsid w:val="00D20734"/>
    <w:rsid w:val="00D21C3C"/>
    <w:rsid w:val="00D220CB"/>
    <w:rsid w:val="00D22565"/>
    <w:rsid w:val="00D23072"/>
    <w:rsid w:val="00D23670"/>
    <w:rsid w:val="00D25AF0"/>
    <w:rsid w:val="00D25F00"/>
    <w:rsid w:val="00D25F55"/>
    <w:rsid w:val="00D26026"/>
    <w:rsid w:val="00D2698F"/>
    <w:rsid w:val="00D274F5"/>
    <w:rsid w:val="00D27C9A"/>
    <w:rsid w:val="00D27CFC"/>
    <w:rsid w:val="00D3009F"/>
    <w:rsid w:val="00D3107A"/>
    <w:rsid w:val="00D325B5"/>
    <w:rsid w:val="00D33402"/>
    <w:rsid w:val="00D33F77"/>
    <w:rsid w:val="00D35AC9"/>
    <w:rsid w:val="00D35F57"/>
    <w:rsid w:val="00D366F9"/>
    <w:rsid w:val="00D368C0"/>
    <w:rsid w:val="00D37564"/>
    <w:rsid w:val="00D40C7C"/>
    <w:rsid w:val="00D41280"/>
    <w:rsid w:val="00D41469"/>
    <w:rsid w:val="00D41D22"/>
    <w:rsid w:val="00D427E7"/>
    <w:rsid w:val="00D43913"/>
    <w:rsid w:val="00D43BF1"/>
    <w:rsid w:val="00D44739"/>
    <w:rsid w:val="00D4545F"/>
    <w:rsid w:val="00D45C50"/>
    <w:rsid w:val="00D46C5B"/>
    <w:rsid w:val="00D47D88"/>
    <w:rsid w:val="00D506FE"/>
    <w:rsid w:val="00D50ABA"/>
    <w:rsid w:val="00D50C08"/>
    <w:rsid w:val="00D51038"/>
    <w:rsid w:val="00D5164A"/>
    <w:rsid w:val="00D51EC2"/>
    <w:rsid w:val="00D5483D"/>
    <w:rsid w:val="00D55873"/>
    <w:rsid w:val="00D565BD"/>
    <w:rsid w:val="00D57274"/>
    <w:rsid w:val="00D57D4C"/>
    <w:rsid w:val="00D57DC3"/>
    <w:rsid w:val="00D60A5A"/>
    <w:rsid w:val="00D6197F"/>
    <w:rsid w:val="00D629C4"/>
    <w:rsid w:val="00D62A11"/>
    <w:rsid w:val="00D640AF"/>
    <w:rsid w:val="00D649E8"/>
    <w:rsid w:val="00D654FF"/>
    <w:rsid w:val="00D66AD1"/>
    <w:rsid w:val="00D67592"/>
    <w:rsid w:val="00D678F1"/>
    <w:rsid w:val="00D70406"/>
    <w:rsid w:val="00D7048A"/>
    <w:rsid w:val="00D71D8D"/>
    <w:rsid w:val="00D722A2"/>
    <w:rsid w:val="00D7231C"/>
    <w:rsid w:val="00D735D2"/>
    <w:rsid w:val="00D73BB8"/>
    <w:rsid w:val="00D73C3D"/>
    <w:rsid w:val="00D73D5E"/>
    <w:rsid w:val="00D74AC6"/>
    <w:rsid w:val="00D756AF"/>
    <w:rsid w:val="00D77AE7"/>
    <w:rsid w:val="00D80B7D"/>
    <w:rsid w:val="00D80C7C"/>
    <w:rsid w:val="00D80F0E"/>
    <w:rsid w:val="00D826EE"/>
    <w:rsid w:val="00D82E76"/>
    <w:rsid w:val="00D83079"/>
    <w:rsid w:val="00D8382D"/>
    <w:rsid w:val="00D85857"/>
    <w:rsid w:val="00D86039"/>
    <w:rsid w:val="00D86634"/>
    <w:rsid w:val="00D8668B"/>
    <w:rsid w:val="00D867A0"/>
    <w:rsid w:val="00D87946"/>
    <w:rsid w:val="00D90116"/>
    <w:rsid w:val="00D9059F"/>
    <w:rsid w:val="00D906BA"/>
    <w:rsid w:val="00D90730"/>
    <w:rsid w:val="00D907E6"/>
    <w:rsid w:val="00D908ED"/>
    <w:rsid w:val="00D90D71"/>
    <w:rsid w:val="00D91030"/>
    <w:rsid w:val="00D9187E"/>
    <w:rsid w:val="00D91BBA"/>
    <w:rsid w:val="00D92802"/>
    <w:rsid w:val="00D92AA6"/>
    <w:rsid w:val="00D92CE3"/>
    <w:rsid w:val="00D931E5"/>
    <w:rsid w:val="00D93E0A"/>
    <w:rsid w:val="00D9401E"/>
    <w:rsid w:val="00D94028"/>
    <w:rsid w:val="00D94352"/>
    <w:rsid w:val="00D95190"/>
    <w:rsid w:val="00DA0714"/>
    <w:rsid w:val="00DA09F6"/>
    <w:rsid w:val="00DA1007"/>
    <w:rsid w:val="00DA1145"/>
    <w:rsid w:val="00DA1CE5"/>
    <w:rsid w:val="00DA214D"/>
    <w:rsid w:val="00DA3436"/>
    <w:rsid w:val="00DA35E8"/>
    <w:rsid w:val="00DA4474"/>
    <w:rsid w:val="00DA4E53"/>
    <w:rsid w:val="00DA5093"/>
    <w:rsid w:val="00DA68C7"/>
    <w:rsid w:val="00DA76A4"/>
    <w:rsid w:val="00DA76AC"/>
    <w:rsid w:val="00DB04F2"/>
    <w:rsid w:val="00DB0A25"/>
    <w:rsid w:val="00DB0B33"/>
    <w:rsid w:val="00DB0CEE"/>
    <w:rsid w:val="00DB0F9E"/>
    <w:rsid w:val="00DB1101"/>
    <w:rsid w:val="00DB1509"/>
    <w:rsid w:val="00DB31D7"/>
    <w:rsid w:val="00DB3B0E"/>
    <w:rsid w:val="00DB4199"/>
    <w:rsid w:val="00DB629F"/>
    <w:rsid w:val="00DB6845"/>
    <w:rsid w:val="00DB79FB"/>
    <w:rsid w:val="00DC1C8F"/>
    <w:rsid w:val="00DC20E5"/>
    <w:rsid w:val="00DC2253"/>
    <w:rsid w:val="00DC24B5"/>
    <w:rsid w:val="00DC2FBA"/>
    <w:rsid w:val="00DC3C18"/>
    <w:rsid w:val="00DC4158"/>
    <w:rsid w:val="00DC4CC7"/>
    <w:rsid w:val="00DC521C"/>
    <w:rsid w:val="00DC69F7"/>
    <w:rsid w:val="00DC6BAF"/>
    <w:rsid w:val="00DC6DD8"/>
    <w:rsid w:val="00DC702C"/>
    <w:rsid w:val="00DC77E0"/>
    <w:rsid w:val="00DD0553"/>
    <w:rsid w:val="00DD1CF8"/>
    <w:rsid w:val="00DD220B"/>
    <w:rsid w:val="00DD2BD6"/>
    <w:rsid w:val="00DD3A0E"/>
    <w:rsid w:val="00DD3FBC"/>
    <w:rsid w:val="00DD45A0"/>
    <w:rsid w:val="00DD4C45"/>
    <w:rsid w:val="00DD5A24"/>
    <w:rsid w:val="00DD64AF"/>
    <w:rsid w:val="00DE092B"/>
    <w:rsid w:val="00DE2C6E"/>
    <w:rsid w:val="00DE45A5"/>
    <w:rsid w:val="00DE4770"/>
    <w:rsid w:val="00DE5E40"/>
    <w:rsid w:val="00DE5FC0"/>
    <w:rsid w:val="00DE6272"/>
    <w:rsid w:val="00DE75EB"/>
    <w:rsid w:val="00DE769F"/>
    <w:rsid w:val="00DF00B8"/>
    <w:rsid w:val="00DF05B2"/>
    <w:rsid w:val="00DF07E9"/>
    <w:rsid w:val="00DF102F"/>
    <w:rsid w:val="00DF1938"/>
    <w:rsid w:val="00DF2815"/>
    <w:rsid w:val="00DF2C74"/>
    <w:rsid w:val="00DF3CE0"/>
    <w:rsid w:val="00DF46AC"/>
    <w:rsid w:val="00DF4C9B"/>
    <w:rsid w:val="00DF59BB"/>
    <w:rsid w:val="00DF5B07"/>
    <w:rsid w:val="00DF5BB9"/>
    <w:rsid w:val="00DF5D57"/>
    <w:rsid w:val="00DF6946"/>
    <w:rsid w:val="00DF6A40"/>
    <w:rsid w:val="00DF731C"/>
    <w:rsid w:val="00DF7AA8"/>
    <w:rsid w:val="00E002BC"/>
    <w:rsid w:val="00E0130E"/>
    <w:rsid w:val="00E02827"/>
    <w:rsid w:val="00E029A7"/>
    <w:rsid w:val="00E02C15"/>
    <w:rsid w:val="00E04442"/>
    <w:rsid w:val="00E04699"/>
    <w:rsid w:val="00E04FEC"/>
    <w:rsid w:val="00E05865"/>
    <w:rsid w:val="00E062A8"/>
    <w:rsid w:val="00E072E8"/>
    <w:rsid w:val="00E0781C"/>
    <w:rsid w:val="00E0792C"/>
    <w:rsid w:val="00E12179"/>
    <w:rsid w:val="00E13611"/>
    <w:rsid w:val="00E14961"/>
    <w:rsid w:val="00E16973"/>
    <w:rsid w:val="00E17CD8"/>
    <w:rsid w:val="00E20533"/>
    <w:rsid w:val="00E20AFF"/>
    <w:rsid w:val="00E20E1B"/>
    <w:rsid w:val="00E21074"/>
    <w:rsid w:val="00E212F9"/>
    <w:rsid w:val="00E21C3C"/>
    <w:rsid w:val="00E21E8D"/>
    <w:rsid w:val="00E21FC5"/>
    <w:rsid w:val="00E225C6"/>
    <w:rsid w:val="00E239F3"/>
    <w:rsid w:val="00E254C7"/>
    <w:rsid w:val="00E303AD"/>
    <w:rsid w:val="00E3174C"/>
    <w:rsid w:val="00E31A1E"/>
    <w:rsid w:val="00E325F3"/>
    <w:rsid w:val="00E32D55"/>
    <w:rsid w:val="00E33378"/>
    <w:rsid w:val="00E347D9"/>
    <w:rsid w:val="00E358AB"/>
    <w:rsid w:val="00E359F9"/>
    <w:rsid w:val="00E369E6"/>
    <w:rsid w:val="00E370E9"/>
    <w:rsid w:val="00E37469"/>
    <w:rsid w:val="00E40070"/>
    <w:rsid w:val="00E40216"/>
    <w:rsid w:val="00E403E8"/>
    <w:rsid w:val="00E40A1F"/>
    <w:rsid w:val="00E40E09"/>
    <w:rsid w:val="00E4131B"/>
    <w:rsid w:val="00E41679"/>
    <w:rsid w:val="00E41706"/>
    <w:rsid w:val="00E41939"/>
    <w:rsid w:val="00E42029"/>
    <w:rsid w:val="00E42509"/>
    <w:rsid w:val="00E43D48"/>
    <w:rsid w:val="00E43F5A"/>
    <w:rsid w:val="00E44EA5"/>
    <w:rsid w:val="00E456DD"/>
    <w:rsid w:val="00E468E7"/>
    <w:rsid w:val="00E477AE"/>
    <w:rsid w:val="00E5164C"/>
    <w:rsid w:val="00E51CBE"/>
    <w:rsid w:val="00E5200D"/>
    <w:rsid w:val="00E53ED7"/>
    <w:rsid w:val="00E5426E"/>
    <w:rsid w:val="00E5473A"/>
    <w:rsid w:val="00E54789"/>
    <w:rsid w:val="00E54914"/>
    <w:rsid w:val="00E54FF5"/>
    <w:rsid w:val="00E552BE"/>
    <w:rsid w:val="00E554E2"/>
    <w:rsid w:val="00E5682F"/>
    <w:rsid w:val="00E56DAC"/>
    <w:rsid w:val="00E57662"/>
    <w:rsid w:val="00E57F67"/>
    <w:rsid w:val="00E605E4"/>
    <w:rsid w:val="00E614FF"/>
    <w:rsid w:val="00E64777"/>
    <w:rsid w:val="00E64DC8"/>
    <w:rsid w:val="00E64F40"/>
    <w:rsid w:val="00E65039"/>
    <w:rsid w:val="00E652FD"/>
    <w:rsid w:val="00E656E8"/>
    <w:rsid w:val="00E65A64"/>
    <w:rsid w:val="00E66B89"/>
    <w:rsid w:val="00E670B2"/>
    <w:rsid w:val="00E672F4"/>
    <w:rsid w:val="00E67F22"/>
    <w:rsid w:val="00E7095C"/>
    <w:rsid w:val="00E70F9B"/>
    <w:rsid w:val="00E7188E"/>
    <w:rsid w:val="00E71A9E"/>
    <w:rsid w:val="00E72193"/>
    <w:rsid w:val="00E725C9"/>
    <w:rsid w:val="00E72AEE"/>
    <w:rsid w:val="00E740CC"/>
    <w:rsid w:val="00E758B9"/>
    <w:rsid w:val="00E7602A"/>
    <w:rsid w:val="00E767FF"/>
    <w:rsid w:val="00E7680C"/>
    <w:rsid w:val="00E7700F"/>
    <w:rsid w:val="00E772FB"/>
    <w:rsid w:val="00E77582"/>
    <w:rsid w:val="00E80E32"/>
    <w:rsid w:val="00E82CA2"/>
    <w:rsid w:val="00E8497A"/>
    <w:rsid w:val="00E8499F"/>
    <w:rsid w:val="00E857BC"/>
    <w:rsid w:val="00E86888"/>
    <w:rsid w:val="00E87060"/>
    <w:rsid w:val="00E87790"/>
    <w:rsid w:val="00E91319"/>
    <w:rsid w:val="00E91F4A"/>
    <w:rsid w:val="00E92995"/>
    <w:rsid w:val="00E92F83"/>
    <w:rsid w:val="00E9348B"/>
    <w:rsid w:val="00E93643"/>
    <w:rsid w:val="00E94440"/>
    <w:rsid w:val="00E94F7E"/>
    <w:rsid w:val="00E952CB"/>
    <w:rsid w:val="00E96396"/>
    <w:rsid w:val="00E966BB"/>
    <w:rsid w:val="00E968C7"/>
    <w:rsid w:val="00E97639"/>
    <w:rsid w:val="00EA04F4"/>
    <w:rsid w:val="00EA0542"/>
    <w:rsid w:val="00EA0CD9"/>
    <w:rsid w:val="00EA1283"/>
    <w:rsid w:val="00EA165E"/>
    <w:rsid w:val="00EA3527"/>
    <w:rsid w:val="00EA4814"/>
    <w:rsid w:val="00EA5348"/>
    <w:rsid w:val="00EA648F"/>
    <w:rsid w:val="00EA6F10"/>
    <w:rsid w:val="00EA6FCA"/>
    <w:rsid w:val="00EA7362"/>
    <w:rsid w:val="00EB000A"/>
    <w:rsid w:val="00EB0510"/>
    <w:rsid w:val="00EB075F"/>
    <w:rsid w:val="00EB2ABC"/>
    <w:rsid w:val="00EB3088"/>
    <w:rsid w:val="00EB451E"/>
    <w:rsid w:val="00EB46E1"/>
    <w:rsid w:val="00EB4AAE"/>
    <w:rsid w:val="00EB6DCC"/>
    <w:rsid w:val="00EB70BE"/>
    <w:rsid w:val="00EC082A"/>
    <w:rsid w:val="00EC1453"/>
    <w:rsid w:val="00EC1A91"/>
    <w:rsid w:val="00EC1F54"/>
    <w:rsid w:val="00EC2948"/>
    <w:rsid w:val="00EC3203"/>
    <w:rsid w:val="00EC3238"/>
    <w:rsid w:val="00EC55F0"/>
    <w:rsid w:val="00EC5660"/>
    <w:rsid w:val="00EC586F"/>
    <w:rsid w:val="00EC5B20"/>
    <w:rsid w:val="00EC788A"/>
    <w:rsid w:val="00EC79D9"/>
    <w:rsid w:val="00ED00D6"/>
    <w:rsid w:val="00ED0400"/>
    <w:rsid w:val="00ED0F77"/>
    <w:rsid w:val="00ED1120"/>
    <w:rsid w:val="00ED5A64"/>
    <w:rsid w:val="00EE0700"/>
    <w:rsid w:val="00EE097F"/>
    <w:rsid w:val="00EE0D6C"/>
    <w:rsid w:val="00EE0F91"/>
    <w:rsid w:val="00EE1435"/>
    <w:rsid w:val="00EE15AE"/>
    <w:rsid w:val="00EE17EA"/>
    <w:rsid w:val="00EE1AAA"/>
    <w:rsid w:val="00EE2A2E"/>
    <w:rsid w:val="00EE30CF"/>
    <w:rsid w:val="00EE315E"/>
    <w:rsid w:val="00EE368B"/>
    <w:rsid w:val="00EE3E22"/>
    <w:rsid w:val="00EE44DF"/>
    <w:rsid w:val="00EE5118"/>
    <w:rsid w:val="00EE60C6"/>
    <w:rsid w:val="00EE65D6"/>
    <w:rsid w:val="00EE6C9A"/>
    <w:rsid w:val="00EEE663"/>
    <w:rsid w:val="00EF02DD"/>
    <w:rsid w:val="00EF054D"/>
    <w:rsid w:val="00EF0788"/>
    <w:rsid w:val="00EF0EB9"/>
    <w:rsid w:val="00EF10FD"/>
    <w:rsid w:val="00EF2363"/>
    <w:rsid w:val="00EF25AD"/>
    <w:rsid w:val="00EF2D26"/>
    <w:rsid w:val="00EF3CE7"/>
    <w:rsid w:val="00EF3D16"/>
    <w:rsid w:val="00EF4A8F"/>
    <w:rsid w:val="00EF50B8"/>
    <w:rsid w:val="00EF5993"/>
    <w:rsid w:val="00EF7A56"/>
    <w:rsid w:val="00EF7B51"/>
    <w:rsid w:val="00EF7D5F"/>
    <w:rsid w:val="00F0013F"/>
    <w:rsid w:val="00F01BD7"/>
    <w:rsid w:val="00F021AB"/>
    <w:rsid w:val="00F02B31"/>
    <w:rsid w:val="00F02EA1"/>
    <w:rsid w:val="00F03F91"/>
    <w:rsid w:val="00F0571C"/>
    <w:rsid w:val="00F05CC2"/>
    <w:rsid w:val="00F071D0"/>
    <w:rsid w:val="00F100EC"/>
    <w:rsid w:val="00F1137E"/>
    <w:rsid w:val="00F1386B"/>
    <w:rsid w:val="00F13BD9"/>
    <w:rsid w:val="00F13C2A"/>
    <w:rsid w:val="00F14600"/>
    <w:rsid w:val="00F167CF"/>
    <w:rsid w:val="00F1694A"/>
    <w:rsid w:val="00F170CD"/>
    <w:rsid w:val="00F17A6D"/>
    <w:rsid w:val="00F17CE5"/>
    <w:rsid w:val="00F17E49"/>
    <w:rsid w:val="00F218B0"/>
    <w:rsid w:val="00F2197A"/>
    <w:rsid w:val="00F22007"/>
    <w:rsid w:val="00F228B9"/>
    <w:rsid w:val="00F22D76"/>
    <w:rsid w:val="00F2343B"/>
    <w:rsid w:val="00F23EB5"/>
    <w:rsid w:val="00F24540"/>
    <w:rsid w:val="00F2509D"/>
    <w:rsid w:val="00F264AE"/>
    <w:rsid w:val="00F269AD"/>
    <w:rsid w:val="00F2753D"/>
    <w:rsid w:val="00F275A2"/>
    <w:rsid w:val="00F27D1C"/>
    <w:rsid w:val="00F30709"/>
    <w:rsid w:val="00F3081F"/>
    <w:rsid w:val="00F31723"/>
    <w:rsid w:val="00F317AE"/>
    <w:rsid w:val="00F32111"/>
    <w:rsid w:val="00F33930"/>
    <w:rsid w:val="00F34135"/>
    <w:rsid w:val="00F3460A"/>
    <w:rsid w:val="00F348A4"/>
    <w:rsid w:val="00F34D42"/>
    <w:rsid w:val="00F3539A"/>
    <w:rsid w:val="00F35752"/>
    <w:rsid w:val="00F3645E"/>
    <w:rsid w:val="00F373DC"/>
    <w:rsid w:val="00F40230"/>
    <w:rsid w:val="00F40311"/>
    <w:rsid w:val="00F40D25"/>
    <w:rsid w:val="00F411E7"/>
    <w:rsid w:val="00F41201"/>
    <w:rsid w:val="00F41981"/>
    <w:rsid w:val="00F421CC"/>
    <w:rsid w:val="00F4295F"/>
    <w:rsid w:val="00F42BDF"/>
    <w:rsid w:val="00F432E4"/>
    <w:rsid w:val="00F43E37"/>
    <w:rsid w:val="00F44C61"/>
    <w:rsid w:val="00F44CD7"/>
    <w:rsid w:val="00F451D6"/>
    <w:rsid w:val="00F45BB3"/>
    <w:rsid w:val="00F45E1B"/>
    <w:rsid w:val="00F46B02"/>
    <w:rsid w:val="00F46CE9"/>
    <w:rsid w:val="00F476B3"/>
    <w:rsid w:val="00F4DC4E"/>
    <w:rsid w:val="00F50A9C"/>
    <w:rsid w:val="00F511BC"/>
    <w:rsid w:val="00F51E2B"/>
    <w:rsid w:val="00F5332F"/>
    <w:rsid w:val="00F54568"/>
    <w:rsid w:val="00F5496E"/>
    <w:rsid w:val="00F55C23"/>
    <w:rsid w:val="00F578E6"/>
    <w:rsid w:val="00F60B4B"/>
    <w:rsid w:val="00F620D1"/>
    <w:rsid w:val="00F628E5"/>
    <w:rsid w:val="00F6330E"/>
    <w:rsid w:val="00F64A61"/>
    <w:rsid w:val="00F64A9F"/>
    <w:rsid w:val="00F64D98"/>
    <w:rsid w:val="00F658B6"/>
    <w:rsid w:val="00F65AB1"/>
    <w:rsid w:val="00F66F4F"/>
    <w:rsid w:val="00F67109"/>
    <w:rsid w:val="00F6770C"/>
    <w:rsid w:val="00F7012E"/>
    <w:rsid w:val="00F70891"/>
    <w:rsid w:val="00F70E33"/>
    <w:rsid w:val="00F71278"/>
    <w:rsid w:val="00F714EC"/>
    <w:rsid w:val="00F7163F"/>
    <w:rsid w:val="00F71DE7"/>
    <w:rsid w:val="00F72108"/>
    <w:rsid w:val="00F72146"/>
    <w:rsid w:val="00F72DA5"/>
    <w:rsid w:val="00F731AC"/>
    <w:rsid w:val="00F73346"/>
    <w:rsid w:val="00F738F3"/>
    <w:rsid w:val="00F7514B"/>
    <w:rsid w:val="00F75552"/>
    <w:rsid w:val="00F7584D"/>
    <w:rsid w:val="00F75D81"/>
    <w:rsid w:val="00F77220"/>
    <w:rsid w:val="00F81901"/>
    <w:rsid w:val="00F82022"/>
    <w:rsid w:val="00F82B82"/>
    <w:rsid w:val="00F84BE2"/>
    <w:rsid w:val="00F84D8E"/>
    <w:rsid w:val="00F854E7"/>
    <w:rsid w:val="00F85EC9"/>
    <w:rsid w:val="00F86A59"/>
    <w:rsid w:val="00F86B59"/>
    <w:rsid w:val="00F870D2"/>
    <w:rsid w:val="00F870E7"/>
    <w:rsid w:val="00F8727A"/>
    <w:rsid w:val="00F87C11"/>
    <w:rsid w:val="00F90534"/>
    <w:rsid w:val="00F9179E"/>
    <w:rsid w:val="00F91F8D"/>
    <w:rsid w:val="00F92528"/>
    <w:rsid w:val="00F92B0F"/>
    <w:rsid w:val="00F93A4E"/>
    <w:rsid w:val="00F943F7"/>
    <w:rsid w:val="00F95870"/>
    <w:rsid w:val="00F95C1E"/>
    <w:rsid w:val="00F9647D"/>
    <w:rsid w:val="00F96814"/>
    <w:rsid w:val="00F972A3"/>
    <w:rsid w:val="00F97761"/>
    <w:rsid w:val="00F97A1F"/>
    <w:rsid w:val="00FA05A9"/>
    <w:rsid w:val="00FA243C"/>
    <w:rsid w:val="00FA3117"/>
    <w:rsid w:val="00FA3279"/>
    <w:rsid w:val="00FA37AA"/>
    <w:rsid w:val="00FA4014"/>
    <w:rsid w:val="00FA51B3"/>
    <w:rsid w:val="00FA56E1"/>
    <w:rsid w:val="00FA6284"/>
    <w:rsid w:val="00FA63F3"/>
    <w:rsid w:val="00FA67E5"/>
    <w:rsid w:val="00FA709A"/>
    <w:rsid w:val="00FA7654"/>
    <w:rsid w:val="00FA7A41"/>
    <w:rsid w:val="00FB0498"/>
    <w:rsid w:val="00FB1E13"/>
    <w:rsid w:val="00FB3671"/>
    <w:rsid w:val="00FB46DE"/>
    <w:rsid w:val="00FB4F1F"/>
    <w:rsid w:val="00FB4F4D"/>
    <w:rsid w:val="00FB6549"/>
    <w:rsid w:val="00FB68E5"/>
    <w:rsid w:val="00FB6D4B"/>
    <w:rsid w:val="00FB6D8B"/>
    <w:rsid w:val="00FB7269"/>
    <w:rsid w:val="00FB7981"/>
    <w:rsid w:val="00FB7CC9"/>
    <w:rsid w:val="00FC10BE"/>
    <w:rsid w:val="00FC2E5D"/>
    <w:rsid w:val="00FC3EDC"/>
    <w:rsid w:val="00FC4C5B"/>
    <w:rsid w:val="00FC5BFC"/>
    <w:rsid w:val="00FC6265"/>
    <w:rsid w:val="00FC709F"/>
    <w:rsid w:val="00FC712F"/>
    <w:rsid w:val="00FC789B"/>
    <w:rsid w:val="00FC7F8C"/>
    <w:rsid w:val="00FD096A"/>
    <w:rsid w:val="00FD0AF0"/>
    <w:rsid w:val="00FD2B4A"/>
    <w:rsid w:val="00FD33DF"/>
    <w:rsid w:val="00FD3C71"/>
    <w:rsid w:val="00FD3F32"/>
    <w:rsid w:val="00FD3F5D"/>
    <w:rsid w:val="00FD4186"/>
    <w:rsid w:val="00FD4459"/>
    <w:rsid w:val="00FD4752"/>
    <w:rsid w:val="00FD55CE"/>
    <w:rsid w:val="00FD594E"/>
    <w:rsid w:val="00FD5980"/>
    <w:rsid w:val="00FD59E2"/>
    <w:rsid w:val="00FE014D"/>
    <w:rsid w:val="00FE053D"/>
    <w:rsid w:val="00FE0ED0"/>
    <w:rsid w:val="00FE1BA9"/>
    <w:rsid w:val="00FE1E0E"/>
    <w:rsid w:val="00FE2A78"/>
    <w:rsid w:val="00FE32E5"/>
    <w:rsid w:val="00FE3A22"/>
    <w:rsid w:val="00FE3B84"/>
    <w:rsid w:val="00FE3F45"/>
    <w:rsid w:val="00FE493F"/>
    <w:rsid w:val="00FE49CA"/>
    <w:rsid w:val="00FE543C"/>
    <w:rsid w:val="00FE5A05"/>
    <w:rsid w:val="00FE6A87"/>
    <w:rsid w:val="00FE6B66"/>
    <w:rsid w:val="00FF107E"/>
    <w:rsid w:val="00FF1890"/>
    <w:rsid w:val="00FF1F33"/>
    <w:rsid w:val="00FF2A02"/>
    <w:rsid w:val="00FF3487"/>
    <w:rsid w:val="00FF384F"/>
    <w:rsid w:val="00FF4C90"/>
    <w:rsid w:val="00FF4EE3"/>
    <w:rsid w:val="00FF50B1"/>
    <w:rsid w:val="00FF5BA5"/>
    <w:rsid w:val="00FF60F4"/>
    <w:rsid w:val="00FF6435"/>
    <w:rsid w:val="00FF663D"/>
    <w:rsid w:val="00FF6C05"/>
    <w:rsid w:val="00FF77C5"/>
    <w:rsid w:val="00FF7CA0"/>
    <w:rsid w:val="0105657D"/>
    <w:rsid w:val="0119E20E"/>
    <w:rsid w:val="012A4DD0"/>
    <w:rsid w:val="01343551"/>
    <w:rsid w:val="014C4E37"/>
    <w:rsid w:val="01562980"/>
    <w:rsid w:val="015BE458"/>
    <w:rsid w:val="017FCAA6"/>
    <w:rsid w:val="01846E2F"/>
    <w:rsid w:val="018FDEBA"/>
    <w:rsid w:val="01B8FC9A"/>
    <w:rsid w:val="01CDEB05"/>
    <w:rsid w:val="01DD4B41"/>
    <w:rsid w:val="02097797"/>
    <w:rsid w:val="020F74B1"/>
    <w:rsid w:val="020FE587"/>
    <w:rsid w:val="021E8AB8"/>
    <w:rsid w:val="0227AB49"/>
    <w:rsid w:val="023F3001"/>
    <w:rsid w:val="023FA616"/>
    <w:rsid w:val="025DEE63"/>
    <w:rsid w:val="0265C20E"/>
    <w:rsid w:val="02854D47"/>
    <w:rsid w:val="02B2D2F8"/>
    <w:rsid w:val="02B871A8"/>
    <w:rsid w:val="0312D492"/>
    <w:rsid w:val="034CA748"/>
    <w:rsid w:val="037C68B3"/>
    <w:rsid w:val="0399301A"/>
    <w:rsid w:val="03FED0E9"/>
    <w:rsid w:val="042877F0"/>
    <w:rsid w:val="04826476"/>
    <w:rsid w:val="0485C943"/>
    <w:rsid w:val="0488BEA1"/>
    <w:rsid w:val="048B9FB2"/>
    <w:rsid w:val="049ED3C8"/>
    <w:rsid w:val="04A1E51E"/>
    <w:rsid w:val="04E08C42"/>
    <w:rsid w:val="054EBA0D"/>
    <w:rsid w:val="0551C96F"/>
    <w:rsid w:val="055D2C02"/>
    <w:rsid w:val="056C076A"/>
    <w:rsid w:val="0579F7F3"/>
    <w:rsid w:val="057FAC69"/>
    <w:rsid w:val="0585C463"/>
    <w:rsid w:val="05868393"/>
    <w:rsid w:val="05D30B5A"/>
    <w:rsid w:val="05D3C8EC"/>
    <w:rsid w:val="060B0C07"/>
    <w:rsid w:val="06130692"/>
    <w:rsid w:val="06D19D68"/>
    <w:rsid w:val="06E5808B"/>
    <w:rsid w:val="070BF23C"/>
    <w:rsid w:val="07165933"/>
    <w:rsid w:val="074C74BC"/>
    <w:rsid w:val="0779E2AE"/>
    <w:rsid w:val="077B3CA4"/>
    <w:rsid w:val="078ADEEF"/>
    <w:rsid w:val="0790F38D"/>
    <w:rsid w:val="0790F970"/>
    <w:rsid w:val="07986296"/>
    <w:rsid w:val="07B5171B"/>
    <w:rsid w:val="07C4B641"/>
    <w:rsid w:val="08202D08"/>
    <w:rsid w:val="084ED4E4"/>
    <w:rsid w:val="085BC238"/>
    <w:rsid w:val="087BB1C6"/>
    <w:rsid w:val="0889FB85"/>
    <w:rsid w:val="08AAFF07"/>
    <w:rsid w:val="08AD561B"/>
    <w:rsid w:val="08FA72F0"/>
    <w:rsid w:val="09193957"/>
    <w:rsid w:val="091B077F"/>
    <w:rsid w:val="097BD0A4"/>
    <w:rsid w:val="098B2A79"/>
    <w:rsid w:val="09BBF1DB"/>
    <w:rsid w:val="09D4C2A5"/>
    <w:rsid w:val="09D7A69B"/>
    <w:rsid w:val="09DCDAD2"/>
    <w:rsid w:val="09E1513E"/>
    <w:rsid w:val="0A0858C6"/>
    <w:rsid w:val="0A09DFE3"/>
    <w:rsid w:val="0A26952B"/>
    <w:rsid w:val="0A41571D"/>
    <w:rsid w:val="0A503031"/>
    <w:rsid w:val="0A594F72"/>
    <w:rsid w:val="0A5E8388"/>
    <w:rsid w:val="0AA629B4"/>
    <w:rsid w:val="0ACBC85B"/>
    <w:rsid w:val="0AD4124C"/>
    <w:rsid w:val="0AE179C5"/>
    <w:rsid w:val="0AFEB030"/>
    <w:rsid w:val="0B205306"/>
    <w:rsid w:val="0B5D512B"/>
    <w:rsid w:val="0B6CF9E9"/>
    <w:rsid w:val="0B9572FF"/>
    <w:rsid w:val="0B959034"/>
    <w:rsid w:val="0BB447AC"/>
    <w:rsid w:val="0BBC6CF9"/>
    <w:rsid w:val="0BED015A"/>
    <w:rsid w:val="0BF6162B"/>
    <w:rsid w:val="0C06A695"/>
    <w:rsid w:val="0C14175F"/>
    <w:rsid w:val="0C1875C4"/>
    <w:rsid w:val="0C3F2F0F"/>
    <w:rsid w:val="0C57570A"/>
    <w:rsid w:val="0C63CDF4"/>
    <w:rsid w:val="0C78273A"/>
    <w:rsid w:val="0CB897B8"/>
    <w:rsid w:val="0CD4122D"/>
    <w:rsid w:val="0CF16C3B"/>
    <w:rsid w:val="0CFED279"/>
    <w:rsid w:val="0D03155E"/>
    <w:rsid w:val="0D0F8B5B"/>
    <w:rsid w:val="0D7F8F3E"/>
    <w:rsid w:val="0DE4C67F"/>
    <w:rsid w:val="0DF0BFE0"/>
    <w:rsid w:val="0DF678F1"/>
    <w:rsid w:val="0E17E11F"/>
    <w:rsid w:val="0E3E037E"/>
    <w:rsid w:val="0E998DEB"/>
    <w:rsid w:val="0EA6F914"/>
    <w:rsid w:val="0EACC081"/>
    <w:rsid w:val="0EB0B5FA"/>
    <w:rsid w:val="0EE6DA7D"/>
    <w:rsid w:val="0F1F5945"/>
    <w:rsid w:val="0F39726C"/>
    <w:rsid w:val="0F492AB8"/>
    <w:rsid w:val="0F575304"/>
    <w:rsid w:val="0F57B3E0"/>
    <w:rsid w:val="0F70DC40"/>
    <w:rsid w:val="0F86DBB9"/>
    <w:rsid w:val="0F931EC2"/>
    <w:rsid w:val="0F9EABD8"/>
    <w:rsid w:val="0FA6478B"/>
    <w:rsid w:val="0FBC4347"/>
    <w:rsid w:val="0FC1C297"/>
    <w:rsid w:val="0FDAD822"/>
    <w:rsid w:val="10369B07"/>
    <w:rsid w:val="105821D3"/>
    <w:rsid w:val="106C7910"/>
    <w:rsid w:val="106FB548"/>
    <w:rsid w:val="107DD53A"/>
    <w:rsid w:val="1083E795"/>
    <w:rsid w:val="1094ED6E"/>
    <w:rsid w:val="10AEF455"/>
    <w:rsid w:val="10C2793A"/>
    <w:rsid w:val="10C2C81B"/>
    <w:rsid w:val="10C39CEF"/>
    <w:rsid w:val="11097AA6"/>
    <w:rsid w:val="11415A34"/>
    <w:rsid w:val="1143A453"/>
    <w:rsid w:val="1150EC21"/>
    <w:rsid w:val="11594314"/>
    <w:rsid w:val="1177A4AC"/>
    <w:rsid w:val="118E632C"/>
    <w:rsid w:val="11D90FC0"/>
    <w:rsid w:val="11E1D696"/>
    <w:rsid w:val="11F92D9C"/>
    <w:rsid w:val="12307392"/>
    <w:rsid w:val="123084DD"/>
    <w:rsid w:val="1262B6A8"/>
    <w:rsid w:val="1268C661"/>
    <w:rsid w:val="126A5600"/>
    <w:rsid w:val="12859D69"/>
    <w:rsid w:val="128C60A4"/>
    <w:rsid w:val="12B3C74B"/>
    <w:rsid w:val="12B5CA30"/>
    <w:rsid w:val="12EBA190"/>
    <w:rsid w:val="12F259F6"/>
    <w:rsid w:val="1304CBD5"/>
    <w:rsid w:val="135EFC62"/>
    <w:rsid w:val="136805A8"/>
    <w:rsid w:val="13992F87"/>
    <w:rsid w:val="139A408D"/>
    <w:rsid w:val="13A5C54C"/>
    <w:rsid w:val="13C99382"/>
    <w:rsid w:val="13EC4A4E"/>
    <w:rsid w:val="13F1B242"/>
    <w:rsid w:val="13FA4B8F"/>
    <w:rsid w:val="143544BD"/>
    <w:rsid w:val="143CCEFD"/>
    <w:rsid w:val="143E489A"/>
    <w:rsid w:val="1440AE68"/>
    <w:rsid w:val="1450998F"/>
    <w:rsid w:val="1469434F"/>
    <w:rsid w:val="146B6C36"/>
    <w:rsid w:val="149C41A9"/>
    <w:rsid w:val="14B0E498"/>
    <w:rsid w:val="14BF7A5B"/>
    <w:rsid w:val="14D66A62"/>
    <w:rsid w:val="14D80D8E"/>
    <w:rsid w:val="14F4C507"/>
    <w:rsid w:val="14FACA77"/>
    <w:rsid w:val="14FCC7A2"/>
    <w:rsid w:val="150A6401"/>
    <w:rsid w:val="150C5778"/>
    <w:rsid w:val="1532AA05"/>
    <w:rsid w:val="1543C9E5"/>
    <w:rsid w:val="1547AF17"/>
    <w:rsid w:val="15491FC1"/>
    <w:rsid w:val="154CD697"/>
    <w:rsid w:val="158079E0"/>
    <w:rsid w:val="1587B95E"/>
    <w:rsid w:val="15923785"/>
    <w:rsid w:val="15A21B59"/>
    <w:rsid w:val="15AB2538"/>
    <w:rsid w:val="15BFBF43"/>
    <w:rsid w:val="15C4E9EF"/>
    <w:rsid w:val="15DC4E2C"/>
    <w:rsid w:val="15DD0D1A"/>
    <w:rsid w:val="15FC73C5"/>
    <w:rsid w:val="161F78EA"/>
    <w:rsid w:val="166EA3FC"/>
    <w:rsid w:val="168135D1"/>
    <w:rsid w:val="16900408"/>
    <w:rsid w:val="16995CFB"/>
    <w:rsid w:val="16A0439A"/>
    <w:rsid w:val="16FEE326"/>
    <w:rsid w:val="17205DF9"/>
    <w:rsid w:val="1746B346"/>
    <w:rsid w:val="17A045E8"/>
    <w:rsid w:val="17B436A6"/>
    <w:rsid w:val="17DEBBC3"/>
    <w:rsid w:val="17ECEC77"/>
    <w:rsid w:val="18356D0B"/>
    <w:rsid w:val="18D8F69E"/>
    <w:rsid w:val="18F960D6"/>
    <w:rsid w:val="191FF7E1"/>
    <w:rsid w:val="194306DB"/>
    <w:rsid w:val="1945749D"/>
    <w:rsid w:val="194EA0DC"/>
    <w:rsid w:val="1952F061"/>
    <w:rsid w:val="1953FFCF"/>
    <w:rsid w:val="1954081F"/>
    <w:rsid w:val="195EB290"/>
    <w:rsid w:val="196E5D90"/>
    <w:rsid w:val="1978A7E4"/>
    <w:rsid w:val="198DA241"/>
    <w:rsid w:val="19CEA07F"/>
    <w:rsid w:val="19F0B9EA"/>
    <w:rsid w:val="19F6BB99"/>
    <w:rsid w:val="19F851A9"/>
    <w:rsid w:val="1A169244"/>
    <w:rsid w:val="1A3B1779"/>
    <w:rsid w:val="1A45C890"/>
    <w:rsid w:val="1A6CEBE4"/>
    <w:rsid w:val="1A73F107"/>
    <w:rsid w:val="1AAC4B95"/>
    <w:rsid w:val="1AB79B94"/>
    <w:rsid w:val="1AB7C1A9"/>
    <w:rsid w:val="1AE1AF5F"/>
    <w:rsid w:val="1B1D0680"/>
    <w:rsid w:val="1B328CED"/>
    <w:rsid w:val="1B37F52F"/>
    <w:rsid w:val="1B593CAB"/>
    <w:rsid w:val="1B5C17B4"/>
    <w:rsid w:val="1B6EE2AE"/>
    <w:rsid w:val="1B7E2F90"/>
    <w:rsid w:val="1B8627EE"/>
    <w:rsid w:val="1BC3D0E3"/>
    <w:rsid w:val="1BC5A612"/>
    <w:rsid w:val="1BF7CCE5"/>
    <w:rsid w:val="1C451EE2"/>
    <w:rsid w:val="1C56F7DB"/>
    <w:rsid w:val="1C587798"/>
    <w:rsid w:val="1C58B613"/>
    <w:rsid w:val="1C733216"/>
    <w:rsid w:val="1C88004A"/>
    <w:rsid w:val="1C8A0824"/>
    <w:rsid w:val="1C8F3407"/>
    <w:rsid w:val="1C8F5B8C"/>
    <w:rsid w:val="1C943D0D"/>
    <w:rsid w:val="1C96BA2F"/>
    <w:rsid w:val="1C9C6385"/>
    <w:rsid w:val="1CA009FC"/>
    <w:rsid w:val="1CA1C3C3"/>
    <w:rsid w:val="1CBEDDFA"/>
    <w:rsid w:val="1CC60C3F"/>
    <w:rsid w:val="1CCDA839"/>
    <w:rsid w:val="1CE1AB59"/>
    <w:rsid w:val="1CE463D9"/>
    <w:rsid w:val="1CE8CA5D"/>
    <w:rsid w:val="1D02B632"/>
    <w:rsid w:val="1D0F3397"/>
    <w:rsid w:val="1D2D56F2"/>
    <w:rsid w:val="1D303244"/>
    <w:rsid w:val="1D382E07"/>
    <w:rsid w:val="1D6FDB79"/>
    <w:rsid w:val="1DAE221B"/>
    <w:rsid w:val="1DCD9904"/>
    <w:rsid w:val="1DDDA90C"/>
    <w:rsid w:val="1E1F0884"/>
    <w:rsid w:val="1E33DD4A"/>
    <w:rsid w:val="1EB8BA29"/>
    <w:rsid w:val="1EDC5431"/>
    <w:rsid w:val="1F03FB02"/>
    <w:rsid w:val="1F0B19A8"/>
    <w:rsid w:val="1F1100EC"/>
    <w:rsid w:val="1F249641"/>
    <w:rsid w:val="1F6528E9"/>
    <w:rsid w:val="1F66FE92"/>
    <w:rsid w:val="1F894114"/>
    <w:rsid w:val="1F8C7B03"/>
    <w:rsid w:val="1FC95637"/>
    <w:rsid w:val="1FCDE019"/>
    <w:rsid w:val="1FD7E76B"/>
    <w:rsid w:val="1FE09E32"/>
    <w:rsid w:val="1FE5673A"/>
    <w:rsid w:val="2008DB9E"/>
    <w:rsid w:val="20257623"/>
    <w:rsid w:val="2028FA14"/>
    <w:rsid w:val="202928DC"/>
    <w:rsid w:val="2035A40D"/>
    <w:rsid w:val="20EA0DF2"/>
    <w:rsid w:val="210125E8"/>
    <w:rsid w:val="210CD22C"/>
    <w:rsid w:val="210D5397"/>
    <w:rsid w:val="2113D8AC"/>
    <w:rsid w:val="212C8C26"/>
    <w:rsid w:val="2136D791"/>
    <w:rsid w:val="215F451B"/>
    <w:rsid w:val="2160A66A"/>
    <w:rsid w:val="218F90B6"/>
    <w:rsid w:val="21EBA652"/>
    <w:rsid w:val="220A639C"/>
    <w:rsid w:val="22513CB4"/>
    <w:rsid w:val="2256BFB9"/>
    <w:rsid w:val="2299B9A4"/>
    <w:rsid w:val="22AA4B08"/>
    <w:rsid w:val="22C018BC"/>
    <w:rsid w:val="22C10C71"/>
    <w:rsid w:val="22C85C87"/>
    <w:rsid w:val="22CFBD60"/>
    <w:rsid w:val="2316576B"/>
    <w:rsid w:val="231F6273"/>
    <w:rsid w:val="2321AA97"/>
    <w:rsid w:val="2334CB66"/>
    <w:rsid w:val="233C0CEE"/>
    <w:rsid w:val="237432A0"/>
    <w:rsid w:val="238CCBF2"/>
    <w:rsid w:val="23B328EF"/>
    <w:rsid w:val="23B8C416"/>
    <w:rsid w:val="23CAF70A"/>
    <w:rsid w:val="23DEC936"/>
    <w:rsid w:val="23DF83DC"/>
    <w:rsid w:val="23F710B3"/>
    <w:rsid w:val="23FA99DE"/>
    <w:rsid w:val="240374CD"/>
    <w:rsid w:val="241CF0C9"/>
    <w:rsid w:val="242DF0F8"/>
    <w:rsid w:val="24485080"/>
    <w:rsid w:val="2449C756"/>
    <w:rsid w:val="246F003A"/>
    <w:rsid w:val="249039E3"/>
    <w:rsid w:val="24A4F7FA"/>
    <w:rsid w:val="24B777AE"/>
    <w:rsid w:val="251202F9"/>
    <w:rsid w:val="252FBAC5"/>
    <w:rsid w:val="25356A6C"/>
    <w:rsid w:val="25680F05"/>
    <w:rsid w:val="256A1733"/>
    <w:rsid w:val="257052B5"/>
    <w:rsid w:val="2592244D"/>
    <w:rsid w:val="25965753"/>
    <w:rsid w:val="25CBA149"/>
    <w:rsid w:val="25D2AEB6"/>
    <w:rsid w:val="25DD6FB5"/>
    <w:rsid w:val="2604451D"/>
    <w:rsid w:val="2620DD9A"/>
    <w:rsid w:val="2626381B"/>
    <w:rsid w:val="26301F77"/>
    <w:rsid w:val="263162FF"/>
    <w:rsid w:val="264A9DF2"/>
    <w:rsid w:val="2664213A"/>
    <w:rsid w:val="266D84C2"/>
    <w:rsid w:val="26994CEF"/>
    <w:rsid w:val="26A64D00"/>
    <w:rsid w:val="26AE44DE"/>
    <w:rsid w:val="273C2A93"/>
    <w:rsid w:val="275E2821"/>
    <w:rsid w:val="27AA6696"/>
    <w:rsid w:val="27CAB2BA"/>
    <w:rsid w:val="2807304C"/>
    <w:rsid w:val="282F9FBF"/>
    <w:rsid w:val="28357CFB"/>
    <w:rsid w:val="2849EE4C"/>
    <w:rsid w:val="28688B16"/>
    <w:rsid w:val="2898460C"/>
    <w:rsid w:val="291B351C"/>
    <w:rsid w:val="29220469"/>
    <w:rsid w:val="29295940"/>
    <w:rsid w:val="293E0FA8"/>
    <w:rsid w:val="293E3338"/>
    <w:rsid w:val="295BA951"/>
    <w:rsid w:val="295FC709"/>
    <w:rsid w:val="2964B99C"/>
    <w:rsid w:val="297C49D8"/>
    <w:rsid w:val="2990B397"/>
    <w:rsid w:val="29A0489E"/>
    <w:rsid w:val="29A08368"/>
    <w:rsid w:val="29A0BD6D"/>
    <w:rsid w:val="29A8010E"/>
    <w:rsid w:val="29B5E1C5"/>
    <w:rsid w:val="29CF2EBD"/>
    <w:rsid w:val="2A0FA7AC"/>
    <w:rsid w:val="2A13B1F6"/>
    <w:rsid w:val="2A183786"/>
    <w:rsid w:val="2A1A7006"/>
    <w:rsid w:val="2A4629CD"/>
    <w:rsid w:val="2A62CC27"/>
    <w:rsid w:val="2A6F2EFB"/>
    <w:rsid w:val="2AB05BE3"/>
    <w:rsid w:val="2AD4E1A2"/>
    <w:rsid w:val="2AE3DE3E"/>
    <w:rsid w:val="2AE71109"/>
    <w:rsid w:val="2B228882"/>
    <w:rsid w:val="2B3916A1"/>
    <w:rsid w:val="2B6809B8"/>
    <w:rsid w:val="2B7E6232"/>
    <w:rsid w:val="2B8FDB2D"/>
    <w:rsid w:val="2BA74BFD"/>
    <w:rsid w:val="2BB4CBB0"/>
    <w:rsid w:val="2BDD224C"/>
    <w:rsid w:val="2BF069F8"/>
    <w:rsid w:val="2C20D0B3"/>
    <w:rsid w:val="2C41877F"/>
    <w:rsid w:val="2C60B12E"/>
    <w:rsid w:val="2CF0686F"/>
    <w:rsid w:val="2D05C3B5"/>
    <w:rsid w:val="2D08DC95"/>
    <w:rsid w:val="2D6A48ED"/>
    <w:rsid w:val="2D81D1FE"/>
    <w:rsid w:val="2DB2448C"/>
    <w:rsid w:val="2DDF90C1"/>
    <w:rsid w:val="2DE98C1F"/>
    <w:rsid w:val="2E430153"/>
    <w:rsid w:val="2E4D5E54"/>
    <w:rsid w:val="2E7CBD09"/>
    <w:rsid w:val="2E8952E8"/>
    <w:rsid w:val="2EC7A042"/>
    <w:rsid w:val="2EC8E248"/>
    <w:rsid w:val="2ECB03E5"/>
    <w:rsid w:val="2ECD346D"/>
    <w:rsid w:val="2F05FD7D"/>
    <w:rsid w:val="2F0E3D03"/>
    <w:rsid w:val="2F6DD7FD"/>
    <w:rsid w:val="2F771046"/>
    <w:rsid w:val="2F7C25FB"/>
    <w:rsid w:val="2FB56D3E"/>
    <w:rsid w:val="300B680F"/>
    <w:rsid w:val="30280613"/>
    <w:rsid w:val="3034200F"/>
    <w:rsid w:val="3043CEC3"/>
    <w:rsid w:val="304FCD96"/>
    <w:rsid w:val="3076C0AE"/>
    <w:rsid w:val="307B0FA5"/>
    <w:rsid w:val="3085C949"/>
    <w:rsid w:val="30B06F5D"/>
    <w:rsid w:val="30D5DABB"/>
    <w:rsid w:val="30DE953A"/>
    <w:rsid w:val="311C12EF"/>
    <w:rsid w:val="313B7E8C"/>
    <w:rsid w:val="31543D60"/>
    <w:rsid w:val="3158B41A"/>
    <w:rsid w:val="317A0D39"/>
    <w:rsid w:val="318711CF"/>
    <w:rsid w:val="31A0179C"/>
    <w:rsid w:val="31B62290"/>
    <w:rsid w:val="31C7EDA1"/>
    <w:rsid w:val="31DE08CB"/>
    <w:rsid w:val="32121FCC"/>
    <w:rsid w:val="3262EFB7"/>
    <w:rsid w:val="32683413"/>
    <w:rsid w:val="328504AF"/>
    <w:rsid w:val="32994917"/>
    <w:rsid w:val="32BA35C4"/>
    <w:rsid w:val="32C524A0"/>
    <w:rsid w:val="32D325DC"/>
    <w:rsid w:val="32D87383"/>
    <w:rsid w:val="32DC1DCC"/>
    <w:rsid w:val="32E43FED"/>
    <w:rsid w:val="3303B539"/>
    <w:rsid w:val="330C9AAE"/>
    <w:rsid w:val="3314DF15"/>
    <w:rsid w:val="33440208"/>
    <w:rsid w:val="3350CBE6"/>
    <w:rsid w:val="33525CC1"/>
    <w:rsid w:val="3372A7F5"/>
    <w:rsid w:val="33747A5A"/>
    <w:rsid w:val="3389A689"/>
    <w:rsid w:val="338B0556"/>
    <w:rsid w:val="33A00460"/>
    <w:rsid w:val="33AA2BE2"/>
    <w:rsid w:val="33B7A2E7"/>
    <w:rsid w:val="33C9267A"/>
    <w:rsid w:val="33CF68FA"/>
    <w:rsid w:val="33D93806"/>
    <w:rsid w:val="33EDD18F"/>
    <w:rsid w:val="33F0F8EA"/>
    <w:rsid w:val="341377FE"/>
    <w:rsid w:val="34290D6E"/>
    <w:rsid w:val="34338DED"/>
    <w:rsid w:val="345094E1"/>
    <w:rsid w:val="347FC636"/>
    <w:rsid w:val="3480B189"/>
    <w:rsid w:val="34BC171A"/>
    <w:rsid w:val="34BCFADE"/>
    <w:rsid w:val="34CA7AD1"/>
    <w:rsid w:val="34CF3B93"/>
    <w:rsid w:val="34D485A8"/>
    <w:rsid w:val="34F57AA3"/>
    <w:rsid w:val="3508954B"/>
    <w:rsid w:val="3515A8BF"/>
    <w:rsid w:val="3520069D"/>
    <w:rsid w:val="3528D946"/>
    <w:rsid w:val="35454A0A"/>
    <w:rsid w:val="354872BF"/>
    <w:rsid w:val="359B6AD3"/>
    <w:rsid w:val="359EC051"/>
    <w:rsid w:val="35BC4CE7"/>
    <w:rsid w:val="35C44379"/>
    <w:rsid w:val="35D6BA62"/>
    <w:rsid w:val="361787D6"/>
    <w:rsid w:val="36511D7C"/>
    <w:rsid w:val="36563C82"/>
    <w:rsid w:val="3657F4CE"/>
    <w:rsid w:val="3660DCB7"/>
    <w:rsid w:val="3664A190"/>
    <w:rsid w:val="36674B2D"/>
    <w:rsid w:val="367FA771"/>
    <w:rsid w:val="36A90BF4"/>
    <w:rsid w:val="36AF0672"/>
    <w:rsid w:val="36CFDC10"/>
    <w:rsid w:val="36DE96E8"/>
    <w:rsid w:val="37029E4D"/>
    <w:rsid w:val="370E936F"/>
    <w:rsid w:val="373E86AA"/>
    <w:rsid w:val="37575A31"/>
    <w:rsid w:val="377061ED"/>
    <w:rsid w:val="37AFEB83"/>
    <w:rsid w:val="38176CB9"/>
    <w:rsid w:val="381E90F6"/>
    <w:rsid w:val="38421F3A"/>
    <w:rsid w:val="384AE32A"/>
    <w:rsid w:val="3864D980"/>
    <w:rsid w:val="3880D7E6"/>
    <w:rsid w:val="38881102"/>
    <w:rsid w:val="38B0E4FA"/>
    <w:rsid w:val="38B751A4"/>
    <w:rsid w:val="38BC801B"/>
    <w:rsid w:val="38BFB567"/>
    <w:rsid w:val="38E6A1C4"/>
    <w:rsid w:val="38EB358D"/>
    <w:rsid w:val="38F7CD78"/>
    <w:rsid w:val="390B001B"/>
    <w:rsid w:val="39164DF9"/>
    <w:rsid w:val="3920F690"/>
    <w:rsid w:val="394012D3"/>
    <w:rsid w:val="3984AEBE"/>
    <w:rsid w:val="39A68853"/>
    <w:rsid w:val="39B69C55"/>
    <w:rsid w:val="39D214CD"/>
    <w:rsid w:val="39D97E8B"/>
    <w:rsid w:val="3A028A78"/>
    <w:rsid w:val="3A05735A"/>
    <w:rsid w:val="3A201A7A"/>
    <w:rsid w:val="3A377740"/>
    <w:rsid w:val="3A5035A3"/>
    <w:rsid w:val="3A512101"/>
    <w:rsid w:val="3A583053"/>
    <w:rsid w:val="3A6198E3"/>
    <w:rsid w:val="3A798563"/>
    <w:rsid w:val="3A7ECE95"/>
    <w:rsid w:val="3A9D9BB2"/>
    <w:rsid w:val="3AA64794"/>
    <w:rsid w:val="3AB1660C"/>
    <w:rsid w:val="3AB60A28"/>
    <w:rsid w:val="3AC06130"/>
    <w:rsid w:val="3B022BF3"/>
    <w:rsid w:val="3B256DEB"/>
    <w:rsid w:val="3B3EE3A1"/>
    <w:rsid w:val="3B4CB796"/>
    <w:rsid w:val="3B5618B5"/>
    <w:rsid w:val="3B85B683"/>
    <w:rsid w:val="3B99C876"/>
    <w:rsid w:val="3BA04C6F"/>
    <w:rsid w:val="3BA08597"/>
    <w:rsid w:val="3BC2EF9B"/>
    <w:rsid w:val="3C25B1BC"/>
    <w:rsid w:val="3C5484B8"/>
    <w:rsid w:val="3CB03F5D"/>
    <w:rsid w:val="3CB30557"/>
    <w:rsid w:val="3CDBD3E3"/>
    <w:rsid w:val="3D26360F"/>
    <w:rsid w:val="3D2BD0D3"/>
    <w:rsid w:val="3D413B93"/>
    <w:rsid w:val="3D4BF7C5"/>
    <w:rsid w:val="3D52C0ED"/>
    <w:rsid w:val="3D63C112"/>
    <w:rsid w:val="3DD7BF8F"/>
    <w:rsid w:val="3DDA0C25"/>
    <w:rsid w:val="3DDB6AFC"/>
    <w:rsid w:val="3DE5EB21"/>
    <w:rsid w:val="3E5AD36E"/>
    <w:rsid w:val="3EBE09CD"/>
    <w:rsid w:val="3F284A14"/>
    <w:rsid w:val="3F4715EC"/>
    <w:rsid w:val="3F5565F3"/>
    <w:rsid w:val="3F8CCA22"/>
    <w:rsid w:val="3FA0589C"/>
    <w:rsid w:val="3FB95C47"/>
    <w:rsid w:val="3FBF7A44"/>
    <w:rsid w:val="3FF62937"/>
    <w:rsid w:val="400A485A"/>
    <w:rsid w:val="402446F9"/>
    <w:rsid w:val="402932FE"/>
    <w:rsid w:val="403D8AD5"/>
    <w:rsid w:val="40449800"/>
    <w:rsid w:val="4068EBBD"/>
    <w:rsid w:val="407D902F"/>
    <w:rsid w:val="40B11FEC"/>
    <w:rsid w:val="40B9EA87"/>
    <w:rsid w:val="40BB8296"/>
    <w:rsid w:val="40DC8C3E"/>
    <w:rsid w:val="40DF8C17"/>
    <w:rsid w:val="410EBEFC"/>
    <w:rsid w:val="410EFB7A"/>
    <w:rsid w:val="412D4F93"/>
    <w:rsid w:val="412F0A06"/>
    <w:rsid w:val="413D7084"/>
    <w:rsid w:val="417BE9E3"/>
    <w:rsid w:val="419272E5"/>
    <w:rsid w:val="419C183D"/>
    <w:rsid w:val="41C2015F"/>
    <w:rsid w:val="420EA622"/>
    <w:rsid w:val="423270F7"/>
    <w:rsid w:val="423FA7CA"/>
    <w:rsid w:val="42485F68"/>
    <w:rsid w:val="424FA37D"/>
    <w:rsid w:val="426611A3"/>
    <w:rsid w:val="4267AC55"/>
    <w:rsid w:val="42692E82"/>
    <w:rsid w:val="429DDA8A"/>
    <w:rsid w:val="42AB9482"/>
    <w:rsid w:val="42B833C1"/>
    <w:rsid w:val="42F46CCD"/>
    <w:rsid w:val="4300C03C"/>
    <w:rsid w:val="430F7C7F"/>
    <w:rsid w:val="432A1EF0"/>
    <w:rsid w:val="437238CD"/>
    <w:rsid w:val="437C0A54"/>
    <w:rsid w:val="438D4E82"/>
    <w:rsid w:val="43A1281F"/>
    <w:rsid w:val="43B6DF26"/>
    <w:rsid w:val="43E8FD1D"/>
    <w:rsid w:val="43F9202C"/>
    <w:rsid w:val="43FEBAEB"/>
    <w:rsid w:val="4419ECB6"/>
    <w:rsid w:val="44339432"/>
    <w:rsid w:val="44490AA7"/>
    <w:rsid w:val="449C909D"/>
    <w:rsid w:val="44AA6AE9"/>
    <w:rsid w:val="44B9034B"/>
    <w:rsid w:val="44DB7E5F"/>
    <w:rsid w:val="44DCEB52"/>
    <w:rsid w:val="44F11DC5"/>
    <w:rsid w:val="44F8FF20"/>
    <w:rsid w:val="4557B71D"/>
    <w:rsid w:val="456702CA"/>
    <w:rsid w:val="45BE06BC"/>
    <w:rsid w:val="46086F8F"/>
    <w:rsid w:val="4616F5AC"/>
    <w:rsid w:val="46175A5C"/>
    <w:rsid w:val="4626CF6B"/>
    <w:rsid w:val="464EE77A"/>
    <w:rsid w:val="465F91F7"/>
    <w:rsid w:val="466CBE97"/>
    <w:rsid w:val="4679D1EE"/>
    <w:rsid w:val="467A0C0B"/>
    <w:rsid w:val="46C8FAE6"/>
    <w:rsid w:val="472E48CE"/>
    <w:rsid w:val="473982C6"/>
    <w:rsid w:val="47622D11"/>
    <w:rsid w:val="4776CE18"/>
    <w:rsid w:val="477E5C11"/>
    <w:rsid w:val="479B3BE7"/>
    <w:rsid w:val="47D1AD9A"/>
    <w:rsid w:val="47D7CA4A"/>
    <w:rsid w:val="4804043C"/>
    <w:rsid w:val="481D2AF0"/>
    <w:rsid w:val="48224E61"/>
    <w:rsid w:val="483357B9"/>
    <w:rsid w:val="483EA710"/>
    <w:rsid w:val="4861A6ED"/>
    <w:rsid w:val="4878CD5F"/>
    <w:rsid w:val="48D13FF1"/>
    <w:rsid w:val="48D66FBF"/>
    <w:rsid w:val="48DFA6F1"/>
    <w:rsid w:val="4903E975"/>
    <w:rsid w:val="492FED26"/>
    <w:rsid w:val="49637EE1"/>
    <w:rsid w:val="496CC530"/>
    <w:rsid w:val="497C5BB9"/>
    <w:rsid w:val="49937955"/>
    <w:rsid w:val="49945EC6"/>
    <w:rsid w:val="49D5ABCB"/>
    <w:rsid w:val="49E134C2"/>
    <w:rsid w:val="49F75E37"/>
    <w:rsid w:val="4A060187"/>
    <w:rsid w:val="4A1116A2"/>
    <w:rsid w:val="4A294C21"/>
    <w:rsid w:val="4A396656"/>
    <w:rsid w:val="4A3B3A82"/>
    <w:rsid w:val="4A7012BE"/>
    <w:rsid w:val="4A75D825"/>
    <w:rsid w:val="4AC242DA"/>
    <w:rsid w:val="4AE4E504"/>
    <w:rsid w:val="4AE8E25D"/>
    <w:rsid w:val="4AE9BA5C"/>
    <w:rsid w:val="4B32089A"/>
    <w:rsid w:val="4B431093"/>
    <w:rsid w:val="4B4F47F0"/>
    <w:rsid w:val="4B7A6AF8"/>
    <w:rsid w:val="4BAF1D6C"/>
    <w:rsid w:val="4BC7EBC1"/>
    <w:rsid w:val="4BCF2B23"/>
    <w:rsid w:val="4C08DB65"/>
    <w:rsid w:val="4C2201B3"/>
    <w:rsid w:val="4C25E3FC"/>
    <w:rsid w:val="4C29B48A"/>
    <w:rsid w:val="4C398EE5"/>
    <w:rsid w:val="4C44A145"/>
    <w:rsid w:val="4C5396B0"/>
    <w:rsid w:val="4C70B437"/>
    <w:rsid w:val="4C8AE7C8"/>
    <w:rsid w:val="4D1ECEB5"/>
    <w:rsid w:val="4D43D1B4"/>
    <w:rsid w:val="4D4A14FB"/>
    <w:rsid w:val="4D5628F1"/>
    <w:rsid w:val="4D702409"/>
    <w:rsid w:val="4D752264"/>
    <w:rsid w:val="4D7A1B22"/>
    <w:rsid w:val="4D8024A5"/>
    <w:rsid w:val="4D8D0E47"/>
    <w:rsid w:val="4DA176E5"/>
    <w:rsid w:val="4DA33915"/>
    <w:rsid w:val="4DC9D898"/>
    <w:rsid w:val="4DF60862"/>
    <w:rsid w:val="4DF7258C"/>
    <w:rsid w:val="4E043ABE"/>
    <w:rsid w:val="4E0C1B00"/>
    <w:rsid w:val="4E12C896"/>
    <w:rsid w:val="4E134C8B"/>
    <w:rsid w:val="4E22D90A"/>
    <w:rsid w:val="4E601097"/>
    <w:rsid w:val="4E643759"/>
    <w:rsid w:val="4E9DD68F"/>
    <w:rsid w:val="4EA373BF"/>
    <w:rsid w:val="4EA45FAD"/>
    <w:rsid w:val="4ED0A5BB"/>
    <w:rsid w:val="4EE4B7AD"/>
    <w:rsid w:val="4F08CC72"/>
    <w:rsid w:val="4F0A0A23"/>
    <w:rsid w:val="4F10CD5F"/>
    <w:rsid w:val="4F907C38"/>
    <w:rsid w:val="4FA2FC18"/>
    <w:rsid w:val="4FAA5208"/>
    <w:rsid w:val="4FE9CAC8"/>
    <w:rsid w:val="4FF1D6A6"/>
    <w:rsid w:val="50197544"/>
    <w:rsid w:val="50256C1B"/>
    <w:rsid w:val="5061D072"/>
    <w:rsid w:val="50A1170A"/>
    <w:rsid w:val="50EDFEE3"/>
    <w:rsid w:val="51043168"/>
    <w:rsid w:val="51116756"/>
    <w:rsid w:val="511D256A"/>
    <w:rsid w:val="5125BC65"/>
    <w:rsid w:val="5168C0D5"/>
    <w:rsid w:val="5172A650"/>
    <w:rsid w:val="51A8AB27"/>
    <w:rsid w:val="51A92B31"/>
    <w:rsid w:val="51E3A0C0"/>
    <w:rsid w:val="5205B7BF"/>
    <w:rsid w:val="520E17A0"/>
    <w:rsid w:val="520E2188"/>
    <w:rsid w:val="52191D0A"/>
    <w:rsid w:val="5226C9F8"/>
    <w:rsid w:val="525BE98E"/>
    <w:rsid w:val="525CBC00"/>
    <w:rsid w:val="525FC373"/>
    <w:rsid w:val="5270D8F5"/>
    <w:rsid w:val="52821E27"/>
    <w:rsid w:val="52983D8D"/>
    <w:rsid w:val="52DE1389"/>
    <w:rsid w:val="52F0589B"/>
    <w:rsid w:val="52FE8000"/>
    <w:rsid w:val="531AC8C7"/>
    <w:rsid w:val="533A3F94"/>
    <w:rsid w:val="536203C5"/>
    <w:rsid w:val="53B4D034"/>
    <w:rsid w:val="53C2FB30"/>
    <w:rsid w:val="53D7B379"/>
    <w:rsid w:val="53F73879"/>
    <w:rsid w:val="53FEDD71"/>
    <w:rsid w:val="542D8291"/>
    <w:rsid w:val="543E1F29"/>
    <w:rsid w:val="544439BD"/>
    <w:rsid w:val="5458C3FB"/>
    <w:rsid w:val="54839D4C"/>
    <w:rsid w:val="5493546F"/>
    <w:rsid w:val="54A688F0"/>
    <w:rsid w:val="54B9307C"/>
    <w:rsid w:val="54CD7C8D"/>
    <w:rsid w:val="54E0FE7F"/>
    <w:rsid w:val="54E1B6E7"/>
    <w:rsid w:val="54E6C116"/>
    <w:rsid w:val="54F0FA64"/>
    <w:rsid w:val="54FDBCFC"/>
    <w:rsid w:val="55022C79"/>
    <w:rsid w:val="55358A76"/>
    <w:rsid w:val="555995B0"/>
    <w:rsid w:val="555FE4FF"/>
    <w:rsid w:val="556377B3"/>
    <w:rsid w:val="557A908C"/>
    <w:rsid w:val="558CF950"/>
    <w:rsid w:val="55A85984"/>
    <w:rsid w:val="55BDF259"/>
    <w:rsid w:val="55C140DB"/>
    <w:rsid w:val="55E2B785"/>
    <w:rsid w:val="55EFE7AB"/>
    <w:rsid w:val="55F5AE1C"/>
    <w:rsid w:val="55F9F617"/>
    <w:rsid w:val="561ADADB"/>
    <w:rsid w:val="56612323"/>
    <w:rsid w:val="56612BF8"/>
    <w:rsid w:val="566D5EB3"/>
    <w:rsid w:val="5676EC0D"/>
    <w:rsid w:val="5683B9F9"/>
    <w:rsid w:val="56961010"/>
    <w:rsid w:val="569D4F35"/>
    <w:rsid w:val="56A0F681"/>
    <w:rsid w:val="56B6B173"/>
    <w:rsid w:val="56C34E77"/>
    <w:rsid w:val="56DE6C78"/>
    <w:rsid w:val="56FF72D4"/>
    <w:rsid w:val="5739FBF5"/>
    <w:rsid w:val="574C4B45"/>
    <w:rsid w:val="5778B9A2"/>
    <w:rsid w:val="577E5CA4"/>
    <w:rsid w:val="57946AF3"/>
    <w:rsid w:val="57A85C24"/>
    <w:rsid w:val="57F7A2B0"/>
    <w:rsid w:val="57F8A6C3"/>
    <w:rsid w:val="5804323B"/>
    <w:rsid w:val="58050D55"/>
    <w:rsid w:val="5811D713"/>
    <w:rsid w:val="58422A05"/>
    <w:rsid w:val="5842EEF8"/>
    <w:rsid w:val="5848B65E"/>
    <w:rsid w:val="589EC4F0"/>
    <w:rsid w:val="58CF3974"/>
    <w:rsid w:val="58D2121F"/>
    <w:rsid w:val="58DCB8A0"/>
    <w:rsid w:val="58EAFDA7"/>
    <w:rsid w:val="58FA47A0"/>
    <w:rsid w:val="5914819A"/>
    <w:rsid w:val="591A4E44"/>
    <w:rsid w:val="59A50D58"/>
    <w:rsid w:val="59AB54DE"/>
    <w:rsid w:val="59BAF589"/>
    <w:rsid w:val="59C154A3"/>
    <w:rsid w:val="59DD7D23"/>
    <w:rsid w:val="59FECA5D"/>
    <w:rsid w:val="5A3814F7"/>
    <w:rsid w:val="5A3DA863"/>
    <w:rsid w:val="5A641C6C"/>
    <w:rsid w:val="5A6AAB1A"/>
    <w:rsid w:val="5AAB830F"/>
    <w:rsid w:val="5ADCB8A3"/>
    <w:rsid w:val="5AF432C3"/>
    <w:rsid w:val="5B069942"/>
    <w:rsid w:val="5B0F264A"/>
    <w:rsid w:val="5B362367"/>
    <w:rsid w:val="5B3AF5CF"/>
    <w:rsid w:val="5B460A17"/>
    <w:rsid w:val="5B515B8B"/>
    <w:rsid w:val="5B81831D"/>
    <w:rsid w:val="5B8A370A"/>
    <w:rsid w:val="5B8D971E"/>
    <w:rsid w:val="5B960E96"/>
    <w:rsid w:val="5BE98800"/>
    <w:rsid w:val="5C11D014"/>
    <w:rsid w:val="5C2CEF15"/>
    <w:rsid w:val="5C34BA7E"/>
    <w:rsid w:val="5C37F890"/>
    <w:rsid w:val="5C46A6CD"/>
    <w:rsid w:val="5C4ED5D0"/>
    <w:rsid w:val="5C844675"/>
    <w:rsid w:val="5CA1C985"/>
    <w:rsid w:val="5CA1EE6F"/>
    <w:rsid w:val="5CB3993A"/>
    <w:rsid w:val="5CBD2FD8"/>
    <w:rsid w:val="5CD21EB2"/>
    <w:rsid w:val="5CE8AB48"/>
    <w:rsid w:val="5CFF63B5"/>
    <w:rsid w:val="5D1010D9"/>
    <w:rsid w:val="5D4E6E9B"/>
    <w:rsid w:val="5D87A26A"/>
    <w:rsid w:val="5D88F655"/>
    <w:rsid w:val="5D89823A"/>
    <w:rsid w:val="5D8F2AF3"/>
    <w:rsid w:val="5DCEF0B3"/>
    <w:rsid w:val="5DF4F42E"/>
    <w:rsid w:val="5E08AB16"/>
    <w:rsid w:val="5E0A555D"/>
    <w:rsid w:val="5E27F8BF"/>
    <w:rsid w:val="5E2FFD66"/>
    <w:rsid w:val="5E58BB8E"/>
    <w:rsid w:val="5E5B9CEC"/>
    <w:rsid w:val="5E854A47"/>
    <w:rsid w:val="5E876026"/>
    <w:rsid w:val="5E8C8489"/>
    <w:rsid w:val="5EB6567F"/>
    <w:rsid w:val="5F181DED"/>
    <w:rsid w:val="5F194CD6"/>
    <w:rsid w:val="5F1DD9B9"/>
    <w:rsid w:val="5F220CEB"/>
    <w:rsid w:val="5F274B35"/>
    <w:rsid w:val="5F294875"/>
    <w:rsid w:val="5F43CA57"/>
    <w:rsid w:val="5F52FDB6"/>
    <w:rsid w:val="5F793B92"/>
    <w:rsid w:val="5F9287D1"/>
    <w:rsid w:val="5FA9991F"/>
    <w:rsid w:val="5FAB002E"/>
    <w:rsid w:val="5FB3FFEE"/>
    <w:rsid w:val="5FC2355C"/>
    <w:rsid w:val="5FCBE508"/>
    <w:rsid w:val="5FCCC27D"/>
    <w:rsid w:val="5FD3D98A"/>
    <w:rsid w:val="5FD4AE38"/>
    <w:rsid w:val="5FDCF7D6"/>
    <w:rsid w:val="601C9F77"/>
    <w:rsid w:val="60742A4D"/>
    <w:rsid w:val="6086C270"/>
    <w:rsid w:val="608F6A3E"/>
    <w:rsid w:val="60A6A2B0"/>
    <w:rsid w:val="60BAA238"/>
    <w:rsid w:val="6125D1D7"/>
    <w:rsid w:val="612BB04C"/>
    <w:rsid w:val="612E6124"/>
    <w:rsid w:val="6130689E"/>
    <w:rsid w:val="619669CD"/>
    <w:rsid w:val="61A551A6"/>
    <w:rsid w:val="61CEB58B"/>
    <w:rsid w:val="61FA9C39"/>
    <w:rsid w:val="620071D3"/>
    <w:rsid w:val="621E74B7"/>
    <w:rsid w:val="6228B9F0"/>
    <w:rsid w:val="6253F80C"/>
    <w:rsid w:val="625C1442"/>
    <w:rsid w:val="62AB32B9"/>
    <w:rsid w:val="62B9EF07"/>
    <w:rsid w:val="62D53F1F"/>
    <w:rsid w:val="62E55DAC"/>
    <w:rsid w:val="62EA66E7"/>
    <w:rsid w:val="62EEEAB9"/>
    <w:rsid w:val="6301FE29"/>
    <w:rsid w:val="633594FF"/>
    <w:rsid w:val="6341CAF0"/>
    <w:rsid w:val="6353CB70"/>
    <w:rsid w:val="635E4E40"/>
    <w:rsid w:val="637218C4"/>
    <w:rsid w:val="63A370C4"/>
    <w:rsid w:val="63A4EC88"/>
    <w:rsid w:val="63AA30BD"/>
    <w:rsid w:val="64120BA2"/>
    <w:rsid w:val="6424CCEC"/>
    <w:rsid w:val="644C51C3"/>
    <w:rsid w:val="6463C795"/>
    <w:rsid w:val="646515C1"/>
    <w:rsid w:val="647DFD80"/>
    <w:rsid w:val="6481B7FC"/>
    <w:rsid w:val="648F0328"/>
    <w:rsid w:val="64E0E131"/>
    <w:rsid w:val="64ECE84B"/>
    <w:rsid w:val="64FFBF25"/>
    <w:rsid w:val="652C5368"/>
    <w:rsid w:val="65944541"/>
    <w:rsid w:val="65DCAE8F"/>
    <w:rsid w:val="65E1EFA6"/>
    <w:rsid w:val="65E3DBE1"/>
    <w:rsid w:val="65E679ED"/>
    <w:rsid w:val="65F49AA5"/>
    <w:rsid w:val="6605027E"/>
    <w:rsid w:val="660BE8AE"/>
    <w:rsid w:val="662392CD"/>
    <w:rsid w:val="6642ACE7"/>
    <w:rsid w:val="66614FE5"/>
    <w:rsid w:val="66803D78"/>
    <w:rsid w:val="66C0D1CB"/>
    <w:rsid w:val="66D2A198"/>
    <w:rsid w:val="67067406"/>
    <w:rsid w:val="670FA4AC"/>
    <w:rsid w:val="6718713C"/>
    <w:rsid w:val="67277089"/>
    <w:rsid w:val="677E02EB"/>
    <w:rsid w:val="67975066"/>
    <w:rsid w:val="67B61BDB"/>
    <w:rsid w:val="67B68827"/>
    <w:rsid w:val="67DCF93B"/>
    <w:rsid w:val="682AEA20"/>
    <w:rsid w:val="683E9F25"/>
    <w:rsid w:val="685CACBF"/>
    <w:rsid w:val="686226F8"/>
    <w:rsid w:val="6864CF52"/>
    <w:rsid w:val="68AEAB0B"/>
    <w:rsid w:val="68F9135B"/>
    <w:rsid w:val="693D6158"/>
    <w:rsid w:val="695532B5"/>
    <w:rsid w:val="69781534"/>
    <w:rsid w:val="69964EAC"/>
    <w:rsid w:val="69A58A1B"/>
    <w:rsid w:val="69C5FDD6"/>
    <w:rsid w:val="69DC3403"/>
    <w:rsid w:val="6A5DBB8D"/>
    <w:rsid w:val="6A782CEC"/>
    <w:rsid w:val="6AA00CBF"/>
    <w:rsid w:val="6AA0A854"/>
    <w:rsid w:val="6AE640F4"/>
    <w:rsid w:val="6B0689CA"/>
    <w:rsid w:val="6B2AAD1F"/>
    <w:rsid w:val="6B2E67D1"/>
    <w:rsid w:val="6B382204"/>
    <w:rsid w:val="6B3ED587"/>
    <w:rsid w:val="6B427137"/>
    <w:rsid w:val="6B59A646"/>
    <w:rsid w:val="6B65E3DB"/>
    <w:rsid w:val="6B9D7904"/>
    <w:rsid w:val="6BA29BCE"/>
    <w:rsid w:val="6BAE3B55"/>
    <w:rsid w:val="6BCDC5BD"/>
    <w:rsid w:val="6C0A1A26"/>
    <w:rsid w:val="6C42CF2C"/>
    <w:rsid w:val="6C7CE794"/>
    <w:rsid w:val="6C909D95"/>
    <w:rsid w:val="6C97B2C6"/>
    <w:rsid w:val="6C9E9D75"/>
    <w:rsid w:val="6CA64F08"/>
    <w:rsid w:val="6CBCC03C"/>
    <w:rsid w:val="6CD51EB8"/>
    <w:rsid w:val="6CF2706B"/>
    <w:rsid w:val="6CF9DB98"/>
    <w:rsid w:val="6D08A2A4"/>
    <w:rsid w:val="6D0F9A7D"/>
    <w:rsid w:val="6D232E49"/>
    <w:rsid w:val="6D2CE845"/>
    <w:rsid w:val="6D3E9E53"/>
    <w:rsid w:val="6D448AE7"/>
    <w:rsid w:val="6D4D9063"/>
    <w:rsid w:val="6D88A04F"/>
    <w:rsid w:val="6D8DFD92"/>
    <w:rsid w:val="6DA43F00"/>
    <w:rsid w:val="6DB63723"/>
    <w:rsid w:val="6DB767A4"/>
    <w:rsid w:val="6DB851D2"/>
    <w:rsid w:val="6DC4545C"/>
    <w:rsid w:val="6DD3FBF5"/>
    <w:rsid w:val="6DEACDA3"/>
    <w:rsid w:val="6DEDE70F"/>
    <w:rsid w:val="6E050CC7"/>
    <w:rsid w:val="6E0C88B7"/>
    <w:rsid w:val="6E1C3D1D"/>
    <w:rsid w:val="6E2991F5"/>
    <w:rsid w:val="6E6E9FB4"/>
    <w:rsid w:val="6E7F76D8"/>
    <w:rsid w:val="6E954B64"/>
    <w:rsid w:val="6E9FEFD7"/>
    <w:rsid w:val="6EA23B24"/>
    <w:rsid w:val="6EED780F"/>
    <w:rsid w:val="6EEE7357"/>
    <w:rsid w:val="6EF2D660"/>
    <w:rsid w:val="6F11FB4A"/>
    <w:rsid w:val="6F48A41B"/>
    <w:rsid w:val="6F550E01"/>
    <w:rsid w:val="6F571B87"/>
    <w:rsid w:val="6F9CA43D"/>
    <w:rsid w:val="6FC478A8"/>
    <w:rsid w:val="6FC7CB2B"/>
    <w:rsid w:val="6FDA8313"/>
    <w:rsid w:val="6FDE207B"/>
    <w:rsid w:val="6FFB56CC"/>
    <w:rsid w:val="6FFBEA35"/>
    <w:rsid w:val="7009DDAD"/>
    <w:rsid w:val="700F4B10"/>
    <w:rsid w:val="7011F53C"/>
    <w:rsid w:val="7019AC16"/>
    <w:rsid w:val="70428E9E"/>
    <w:rsid w:val="705532AF"/>
    <w:rsid w:val="706A6D41"/>
    <w:rsid w:val="70779CDD"/>
    <w:rsid w:val="707ABBCB"/>
    <w:rsid w:val="70B59ACF"/>
    <w:rsid w:val="70EE0A96"/>
    <w:rsid w:val="70F6452C"/>
    <w:rsid w:val="70FAED64"/>
    <w:rsid w:val="7100A15F"/>
    <w:rsid w:val="7121CE11"/>
    <w:rsid w:val="715C07C0"/>
    <w:rsid w:val="71A8EE9B"/>
    <w:rsid w:val="71C2D632"/>
    <w:rsid w:val="71DF79EC"/>
    <w:rsid w:val="71F94CD9"/>
    <w:rsid w:val="71FF918D"/>
    <w:rsid w:val="7206FB2C"/>
    <w:rsid w:val="720F0DD9"/>
    <w:rsid w:val="722D0EB4"/>
    <w:rsid w:val="724D3801"/>
    <w:rsid w:val="727C51E9"/>
    <w:rsid w:val="72CB55D7"/>
    <w:rsid w:val="72DEDBE3"/>
    <w:rsid w:val="72FAB0A1"/>
    <w:rsid w:val="7316DB43"/>
    <w:rsid w:val="73201D7E"/>
    <w:rsid w:val="7323FCC2"/>
    <w:rsid w:val="732CB664"/>
    <w:rsid w:val="736017D7"/>
    <w:rsid w:val="736339A8"/>
    <w:rsid w:val="736F33C9"/>
    <w:rsid w:val="73A024DD"/>
    <w:rsid w:val="73A06AA5"/>
    <w:rsid w:val="73A3EC93"/>
    <w:rsid w:val="73AFD988"/>
    <w:rsid w:val="73B982C6"/>
    <w:rsid w:val="73BCE578"/>
    <w:rsid w:val="73F86DEB"/>
    <w:rsid w:val="7457C142"/>
    <w:rsid w:val="748CC7AA"/>
    <w:rsid w:val="749A1986"/>
    <w:rsid w:val="74C4A09C"/>
    <w:rsid w:val="74CEFA94"/>
    <w:rsid w:val="74F8458A"/>
    <w:rsid w:val="750EB142"/>
    <w:rsid w:val="750EFAC8"/>
    <w:rsid w:val="75236554"/>
    <w:rsid w:val="757263B2"/>
    <w:rsid w:val="75B9FB1E"/>
    <w:rsid w:val="75BA5019"/>
    <w:rsid w:val="75CEED78"/>
    <w:rsid w:val="75DDB20E"/>
    <w:rsid w:val="76003B38"/>
    <w:rsid w:val="76045DBE"/>
    <w:rsid w:val="76432C76"/>
    <w:rsid w:val="767947EE"/>
    <w:rsid w:val="76A70002"/>
    <w:rsid w:val="76CBA5A3"/>
    <w:rsid w:val="76CD7C7E"/>
    <w:rsid w:val="76DFAB43"/>
    <w:rsid w:val="76EF1945"/>
    <w:rsid w:val="77287F83"/>
    <w:rsid w:val="772E73D8"/>
    <w:rsid w:val="7737C47F"/>
    <w:rsid w:val="77553626"/>
    <w:rsid w:val="77554B65"/>
    <w:rsid w:val="778739F0"/>
    <w:rsid w:val="779AA4AD"/>
    <w:rsid w:val="779F511E"/>
    <w:rsid w:val="77C7A875"/>
    <w:rsid w:val="77CAA125"/>
    <w:rsid w:val="77DF378E"/>
    <w:rsid w:val="77F7CAA9"/>
    <w:rsid w:val="78033937"/>
    <w:rsid w:val="783FF960"/>
    <w:rsid w:val="7857DF43"/>
    <w:rsid w:val="786FB843"/>
    <w:rsid w:val="7880B658"/>
    <w:rsid w:val="7892E392"/>
    <w:rsid w:val="789D1370"/>
    <w:rsid w:val="78B0F4E7"/>
    <w:rsid w:val="78C9D69E"/>
    <w:rsid w:val="78CCCFA7"/>
    <w:rsid w:val="78CE3C9D"/>
    <w:rsid w:val="78E8F174"/>
    <w:rsid w:val="78ED5B51"/>
    <w:rsid w:val="790DB3CA"/>
    <w:rsid w:val="7928ECE2"/>
    <w:rsid w:val="795972A7"/>
    <w:rsid w:val="798853AE"/>
    <w:rsid w:val="7997F49C"/>
    <w:rsid w:val="79B4F13F"/>
    <w:rsid w:val="79D031E9"/>
    <w:rsid w:val="79E0312C"/>
    <w:rsid w:val="79EB2EEA"/>
    <w:rsid w:val="79F054BD"/>
    <w:rsid w:val="79F5EA6E"/>
    <w:rsid w:val="7A0307FF"/>
    <w:rsid w:val="7A1FB4F0"/>
    <w:rsid w:val="7A2E55A6"/>
    <w:rsid w:val="7A3E798F"/>
    <w:rsid w:val="7A435D60"/>
    <w:rsid w:val="7A631512"/>
    <w:rsid w:val="7A79350F"/>
    <w:rsid w:val="7A91026C"/>
    <w:rsid w:val="7AB151F6"/>
    <w:rsid w:val="7AF12736"/>
    <w:rsid w:val="7AFD5F5B"/>
    <w:rsid w:val="7B2E70FF"/>
    <w:rsid w:val="7B32D067"/>
    <w:rsid w:val="7B3BAB05"/>
    <w:rsid w:val="7B4A5B35"/>
    <w:rsid w:val="7B58C3A2"/>
    <w:rsid w:val="7B7E55B1"/>
    <w:rsid w:val="7BAE94B4"/>
    <w:rsid w:val="7BC7534B"/>
    <w:rsid w:val="7BC9D183"/>
    <w:rsid w:val="7C015512"/>
    <w:rsid w:val="7C467B7D"/>
    <w:rsid w:val="7C4B00EB"/>
    <w:rsid w:val="7C683AFB"/>
    <w:rsid w:val="7C6E892C"/>
    <w:rsid w:val="7C7234FD"/>
    <w:rsid w:val="7C778F31"/>
    <w:rsid w:val="7C7B0E45"/>
    <w:rsid w:val="7C7D0BED"/>
    <w:rsid w:val="7C8E3160"/>
    <w:rsid w:val="7C8E4719"/>
    <w:rsid w:val="7CA73557"/>
    <w:rsid w:val="7CCD44ED"/>
    <w:rsid w:val="7CD50215"/>
    <w:rsid w:val="7CE13559"/>
    <w:rsid w:val="7D02A240"/>
    <w:rsid w:val="7D1F09C4"/>
    <w:rsid w:val="7D25ECF0"/>
    <w:rsid w:val="7D2ED94F"/>
    <w:rsid w:val="7D5F7F60"/>
    <w:rsid w:val="7D70E06D"/>
    <w:rsid w:val="7DB46D48"/>
    <w:rsid w:val="7DC102D0"/>
    <w:rsid w:val="7DD6A9DC"/>
    <w:rsid w:val="7DE90999"/>
    <w:rsid w:val="7DEBF0BC"/>
    <w:rsid w:val="7DFF790A"/>
    <w:rsid w:val="7E6E8F72"/>
    <w:rsid w:val="7E7394FA"/>
    <w:rsid w:val="7EAFE933"/>
    <w:rsid w:val="7EB320E7"/>
    <w:rsid w:val="7ECD0C04"/>
    <w:rsid w:val="7EF24DA4"/>
    <w:rsid w:val="7EFCAD5E"/>
    <w:rsid w:val="7F2BF863"/>
    <w:rsid w:val="7F3EF9EF"/>
    <w:rsid w:val="7F405F58"/>
    <w:rsid w:val="7F48996F"/>
    <w:rsid w:val="7F59CFB6"/>
    <w:rsid w:val="7F765A99"/>
    <w:rsid w:val="7F76B0E2"/>
    <w:rsid w:val="7FBD5553"/>
    <w:rsid w:val="7FC82071"/>
    <w:rsid w:val="7FCDEF90"/>
    <w:rsid w:val="7FD9544F"/>
    <w:rsid w:val="7FE57C42"/>
    <w:rsid w:val="7FF250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E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BD7"/>
    <w:pPr>
      <w:widowControl w:val="0"/>
      <w:spacing w:before="240" w:after="240" w:line="240" w:lineRule="auto"/>
    </w:pPr>
    <w:rPr>
      <w:rFonts w:ascii="Arial" w:eastAsia="Times New Roman" w:hAnsi="Arial" w:cs="Times New Roman"/>
      <w:snapToGrid w:val="0"/>
      <w:sz w:val="24"/>
      <w:szCs w:val="20"/>
    </w:rPr>
  </w:style>
  <w:style w:type="paragraph" w:styleId="Heading1">
    <w:name w:val="heading 1"/>
    <w:basedOn w:val="Normal"/>
    <w:link w:val="Heading1Char"/>
    <w:uiPriority w:val="9"/>
    <w:qFormat/>
    <w:rsid w:val="00C9322B"/>
    <w:pPr>
      <w:widowControl/>
      <w:spacing w:before="100" w:beforeAutospacing="1" w:after="100" w:afterAutospacing="1" w:line="360" w:lineRule="auto"/>
      <w:jc w:val="center"/>
      <w:outlineLvl w:val="0"/>
    </w:pPr>
    <w:rPr>
      <w:b/>
      <w:bCs/>
      <w:snapToGrid/>
      <w:kern w:val="36"/>
      <w:sz w:val="32"/>
      <w:szCs w:val="48"/>
    </w:rPr>
  </w:style>
  <w:style w:type="paragraph" w:styleId="Heading2">
    <w:name w:val="heading 2"/>
    <w:basedOn w:val="Normal"/>
    <w:link w:val="Heading2Char"/>
    <w:uiPriority w:val="9"/>
    <w:qFormat/>
    <w:rsid w:val="00B87D1D"/>
    <w:pPr>
      <w:widowControl/>
      <w:spacing w:before="100" w:beforeAutospacing="1" w:after="100" w:afterAutospacing="1" w:line="360" w:lineRule="auto"/>
      <w:jc w:val="center"/>
      <w:outlineLvl w:val="1"/>
    </w:pPr>
    <w:rPr>
      <w:b/>
      <w:bCs/>
      <w:snapToGrid/>
      <w:sz w:val="32"/>
      <w:szCs w:val="36"/>
    </w:rPr>
  </w:style>
  <w:style w:type="paragraph" w:styleId="Heading3">
    <w:name w:val="heading 3"/>
    <w:basedOn w:val="Normal"/>
    <w:next w:val="Normal"/>
    <w:link w:val="Heading3Char"/>
    <w:unhideWhenUsed/>
    <w:qFormat/>
    <w:rsid w:val="00BE1BB1"/>
    <w:pPr>
      <w:keepNext/>
      <w:keepLines/>
      <w:outlineLvl w:val="2"/>
    </w:pPr>
    <w:rPr>
      <w:rFonts w:eastAsiaTheme="majorEastAsia" w:cstheme="majorBidi"/>
      <w:i/>
      <w:sz w:val="32"/>
      <w:szCs w:val="24"/>
    </w:rPr>
  </w:style>
  <w:style w:type="paragraph" w:styleId="Heading4">
    <w:name w:val="heading 4"/>
    <w:basedOn w:val="Normal"/>
    <w:next w:val="Normal"/>
    <w:link w:val="Heading4Char"/>
    <w:uiPriority w:val="9"/>
    <w:qFormat/>
    <w:rsid w:val="00BE1BB1"/>
    <w:pPr>
      <w:keepNext/>
      <w:tabs>
        <w:tab w:val="right" w:pos="10368"/>
      </w:tabs>
      <w:outlineLvl w:val="3"/>
    </w:pPr>
    <w:rPr>
      <w:b/>
      <w:sz w:val="28"/>
    </w:rPr>
  </w:style>
  <w:style w:type="paragraph" w:styleId="Heading6">
    <w:name w:val="heading 6"/>
    <w:basedOn w:val="Normal"/>
    <w:next w:val="Normal"/>
    <w:link w:val="Heading6Char"/>
    <w:uiPriority w:val="9"/>
    <w:semiHidden/>
    <w:unhideWhenUsed/>
    <w:qFormat/>
    <w:rsid w:val="00020A0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22B"/>
    <w:rPr>
      <w:rFonts w:ascii="Arial" w:eastAsia="Times New Roman" w:hAnsi="Arial" w:cs="Times New Roman"/>
      <w:b/>
      <w:bCs/>
      <w:kern w:val="36"/>
      <w:sz w:val="32"/>
      <w:szCs w:val="48"/>
    </w:rPr>
  </w:style>
  <w:style w:type="character" w:customStyle="1" w:styleId="Heading2Char">
    <w:name w:val="Heading 2 Char"/>
    <w:basedOn w:val="DefaultParagraphFont"/>
    <w:link w:val="Heading2"/>
    <w:uiPriority w:val="9"/>
    <w:rsid w:val="00B87D1D"/>
    <w:rPr>
      <w:rFonts w:ascii="Arial" w:eastAsia="Times New Roman" w:hAnsi="Arial" w:cs="Times New Roman"/>
      <w:b/>
      <w:bCs/>
      <w:sz w:val="32"/>
      <w:szCs w:val="36"/>
    </w:rPr>
  </w:style>
  <w:style w:type="character" w:customStyle="1" w:styleId="Heading3Char">
    <w:name w:val="Heading 3 Char"/>
    <w:basedOn w:val="DefaultParagraphFont"/>
    <w:link w:val="Heading3"/>
    <w:rsid w:val="00BE1BB1"/>
    <w:rPr>
      <w:rFonts w:ascii="Arial" w:eastAsiaTheme="majorEastAsia" w:hAnsi="Arial" w:cstheme="majorBidi"/>
      <w:i/>
      <w:snapToGrid w:val="0"/>
      <w:sz w:val="32"/>
      <w:szCs w:val="24"/>
    </w:rPr>
  </w:style>
  <w:style w:type="character" w:customStyle="1" w:styleId="Heading4Char">
    <w:name w:val="Heading 4 Char"/>
    <w:basedOn w:val="DefaultParagraphFont"/>
    <w:link w:val="Heading4"/>
    <w:uiPriority w:val="9"/>
    <w:rsid w:val="00BE1BB1"/>
    <w:rPr>
      <w:rFonts w:ascii="Arial" w:eastAsia="Times New Roman" w:hAnsi="Arial" w:cs="Times New Roman"/>
      <w:b/>
      <w:snapToGrid w:val="0"/>
      <w:sz w:val="28"/>
      <w:szCs w:val="20"/>
    </w:rPr>
  </w:style>
  <w:style w:type="character" w:styleId="Strong">
    <w:name w:val="Strong"/>
    <w:uiPriority w:val="22"/>
    <w:qFormat/>
    <w:rsid w:val="00BF55BE"/>
    <w:rPr>
      <w:b/>
      <w:bCs/>
    </w:rPr>
  </w:style>
  <w:style w:type="paragraph" w:customStyle="1" w:styleId="Default">
    <w:name w:val="Default"/>
    <w:rsid w:val="00BF55BE"/>
    <w:pPr>
      <w:autoSpaceDE w:val="0"/>
      <w:autoSpaceDN w:val="0"/>
      <w:adjustRightInd w:val="0"/>
      <w:spacing w:after="0" w:line="240" w:lineRule="auto"/>
    </w:pPr>
    <w:rPr>
      <w:rFonts w:ascii="ArialMT" w:eastAsia="Times New Roman" w:hAnsi="ArialMT" w:cs="Times New Roman"/>
      <w:sz w:val="20"/>
      <w:szCs w:val="20"/>
    </w:rPr>
  </w:style>
  <w:style w:type="paragraph" w:styleId="Header">
    <w:name w:val="header"/>
    <w:basedOn w:val="Normal"/>
    <w:link w:val="HeaderChar"/>
    <w:rsid w:val="00BF55BE"/>
    <w:pPr>
      <w:tabs>
        <w:tab w:val="center" w:pos="4320"/>
        <w:tab w:val="right" w:pos="8640"/>
      </w:tabs>
    </w:pPr>
  </w:style>
  <w:style w:type="character" w:customStyle="1" w:styleId="HeaderChar">
    <w:name w:val="Header Char"/>
    <w:basedOn w:val="DefaultParagraphFont"/>
    <w:link w:val="Header"/>
    <w:rsid w:val="00BF55BE"/>
    <w:rPr>
      <w:rFonts w:ascii="Arial" w:eastAsia="Times New Roman" w:hAnsi="Arial" w:cs="Times New Roman"/>
      <w:snapToGrid w:val="0"/>
      <w:sz w:val="24"/>
      <w:szCs w:val="20"/>
    </w:rPr>
  </w:style>
  <w:style w:type="character" w:styleId="Hyperlink">
    <w:name w:val="Hyperlink"/>
    <w:uiPriority w:val="99"/>
    <w:rsid w:val="00BF55BE"/>
    <w:rPr>
      <w:color w:val="0000FF"/>
      <w:u w:val="single"/>
    </w:rPr>
  </w:style>
  <w:style w:type="paragraph" w:styleId="Footer">
    <w:name w:val="footer"/>
    <w:basedOn w:val="Normal"/>
    <w:link w:val="FooterChar"/>
    <w:uiPriority w:val="99"/>
    <w:rsid w:val="00BF55BE"/>
    <w:pPr>
      <w:tabs>
        <w:tab w:val="center" w:pos="4320"/>
        <w:tab w:val="right" w:pos="8640"/>
      </w:tabs>
    </w:pPr>
  </w:style>
  <w:style w:type="character" w:customStyle="1" w:styleId="FooterChar">
    <w:name w:val="Footer Char"/>
    <w:basedOn w:val="DefaultParagraphFont"/>
    <w:link w:val="Footer"/>
    <w:uiPriority w:val="99"/>
    <w:rsid w:val="00BF55BE"/>
    <w:rPr>
      <w:rFonts w:ascii="Arial" w:eastAsia="Times New Roman" w:hAnsi="Arial" w:cs="Times New Roman"/>
      <w:snapToGrid w:val="0"/>
      <w:sz w:val="24"/>
      <w:szCs w:val="20"/>
    </w:rPr>
  </w:style>
  <w:style w:type="paragraph" w:styleId="ListParagraph">
    <w:name w:val="List Paragraph"/>
    <w:aliases w:val="Indented Paragraph,list,List1,List11"/>
    <w:basedOn w:val="Normal"/>
    <w:link w:val="ListParagraphChar"/>
    <w:uiPriority w:val="34"/>
    <w:qFormat/>
    <w:rsid w:val="00BF55BE"/>
    <w:pPr>
      <w:ind w:left="720"/>
    </w:pPr>
  </w:style>
  <w:style w:type="character" w:customStyle="1" w:styleId="ListParagraphChar">
    <w:name w:val="List Paragraph Char"/>
    <w:aliases w:val="Indented Paragraph Char,list Char,List1 Char,List11 Char"/>
    <w:link w:val="ListParagraph"/>
    <w:uiPriority w:val="34"/>
    <w:rsid w:val="00BF55BE"/>
    <w:rPr>
      <w:rFonts w:ascii="Arial" w:eastAsia="Times New Roman" w:hAnsi="Arial" w:cs="Times New Roman"/>
      <w:snapToGrid w:val="0"/>
      <w:sz w:val="24"/>
      <w:szCs w:val="20"/>
    </w:rPr>
  </w:style>
  <w:style w:type="paragraph" w:styleId="FootnoteText">
    <w:name w:val="footnote text"/>
    <w:basedOn w:val="Normal"/>
    <w:link w:val="FootnoteTextChar"/>
    <w:rsid w:val="00BF55BE"/>
    <w:rPr>
      <w:sz w:val="20"/>
    </w:rPr>
  </w:style>
  <w:style w:type="character" w:customStyle="1" w:styleId="FootnoteTextChar">
    <w:name w:val="Footnote Text Char"/>
    <w:basedOn w:val="DefaultParagraphFont"/>
    <w:link w:val="FootnoteText"/>
    <w:rsid w:val="00BF55BE"/>
    <w:rPr>
      <w:rFonts w:ascii="Arial" w:eastAsia="Times New Roman" w:hAnsi="Arial" w:cs="Times New Roman"/>
      <w:snapToGrid w:val="0"/>
      <w:sz w:val="20"/>
      <w:szCs w:val="20"/>
    </w:rPr>
  </w:style>
  <w:style w:type="character" w:styleId="FootnoteReference">
    <w:name w:val="footnote reference"/>
    <w:rsid w:val="00BF55BE"/>
    <w:rPr>
      <w:vertAlign w:val="superscript"/>
    </w:rPr>
  </w:style>
  <w:style w:type="character" w:styleId="CommentReference">
    <w:name w:val="annotation reference"/>
    <w:basedOn w:val="DefaultParagraphFont"/>
    <w:uiPriority w:val="99"/>
    <w:rsid w:val="00BF55BE"/>
    <w:rPr>
      <w:sz w:val="16"/>
      <w:szCs w:val="16"/>
    </w:rPr>
  </w:style>
  <w:style w:type="paragraph" w:styleId="CommentText">
    <w:name w:val="annotation text"/>
    <w:basedOn w:val="Normal"/>
    <w:link w:val="CommentTextChar"/>
    <w:uiPriority w:val="99"/>
    <w:rsid w:val="00BF55BE"/>
    <w:rPr>
      <w:sz w:val="20"/>
    </w:rPr>
  </w:style>
  <w:style w:type="character" w:customStyle="1" w:styleId="CommentTextChar">
    <w:name w:val="Comment Text Char"/>
    <w:basedOn w:val="DefaultParagraphFont"/>
    <w:link w:val="CommentText"/>
    <w:uiPriority w:val="99"/>
    <w:rsid w:val="00BF55BE"/>
    <w:rPr>
      <w:rFonts w:ascii="Arial" w:eastAsia="Times New Roman" w:hAnsi="Arial" w:cs="Times New Roman"/>
      <w:snapToGrid w:val="0"/>
      <w:sz w:val="20"/>
      <w:szCs w:val="20"/>
    </w:rPr>
  </w:style>
  <w:style w:type="character" w:styleId="FollowedHyperlink">
    <w:name w:val="FollowedHyperlink"/>
    <w:basedOn w:val="DefaultParagraphFont"/>
    <w:uiPriority w:val="99"/>
    <w:unhideWhenUsed/>
    <w:rsid w:val="00BF55BE"/>
    <w:rPr>
      <w:color w:val="954F72" w:themeColor="followedHyperlink"/>
      <w:u w:val="single"/>
    </w:rPr>
  </w:style>
  <w:style w:type="paragraph" w:styleId="BalloonText">
    <w:name w:val="Balloon Text"/>
    <w:basedOn w:val="Normal"/>
    <w:link w:val="BalloonTextChar"/>
    <w:uiPriority w:val="99"/>
    <w:unhideWhenUsed/>
    <w:rsid w:val="00BF55BE"/>
    <w:rPr>
      <w:rFonts w:ascii="Segoe UI" w:hAnsi="Segoe UI" w:cs="Segoe UI"/>
      <w:sz w:val="18"/>
      <w:szCs w:val="18"/>
    </w:rPr>
  </w:style>
  <w:style w:type="character" w:customStyle="1" w:styleId="BalloonTextChar">
    <w:name w:val="Balloon Text Char"/>
    <w:basedOn w:val="DefaultParagraphFont"/>
    <w:link w:val="BalloonText"/>
    <w:uiPriority w:val="99"/>
    <w:rsid w:val="00BF55BE"/>
    <w:rPr>
      <w:rFonts w:ascii="Segoe UI" w:eastAsia="Times New Roman" w:hAnsi="Segoe UI" w:cs="Segoe UI"/>
      <w:snapToGrid w:val="0"/>
      <w:sz w:val="18"/>
      <w:szCs w:val="18"/>
    </w:rPr>
  </w:style>
  <w:style w:type="character" w:customStyle="1" w:styleId="A5">
    <w:name w:val="A5"/>
    <w:uiPriority w:val="99"/>
    <w:rsid w:val="0037759A"/>
    <w:rPr>
      <w:i/>
      <w:iCs/>
      <w:color w:val="221E1F"/>
    </w:rPr>
  </w:style>
  <w:style w:type="paragraph" w:styleId="PlainText">
    <w:name w:val="Plain Text"/>
    <w:basedOn w:val="Normal"/>
    <w:link w:val="PlainTextChar"/>
    <w:rsid w:val="0037759A"/>
    <w:pPr>
      <w:widowControl/>
    </w:pPr>
    <w:rPr>
      <w:snapToGrid/>
      <w:sz w:val="21"/>
    </w:rPr>
  </w:style>
  <w:style w:type="character" w:customStyle="1" w:styleId="PlainTextChar">
    <w:name w:val="Plain Text Char"/>
    <w:basedOn w:val="DefaultParagraphFont"/>
    <w:link w:val="PlainText"/>
    <w:rsid w:val="0037759A"/>
    <w:rPr>
      <w:rFonts w:ascii="Arial" w:eastAsia="Times New Roman" w:hAnsi="Arial" w:cs="Times New Roman"/>
      <w:sz w:val="21"/>
      <w:szCs w:val="20"/>
    </w:rPr>
  </w:style>
  <w:style w:type="character" w:styleId="Emphasis">
    <w:name w:val="Emphasis"/>
    <w:uiPriority w:val="20"/>
    <w:qFormat/>
    <w:rsid w:val="0037759A"/>
    <w:rPr>
      <w:i/>
      <w:iCs/>
    </w:rPr>
  </w:style>
  <w:style w:type="character" w:customStyle="1" w:styleId="Heading6Char">
    <w:name w:val="Heading 6 Char"/>
    <w:basedOn w:val="DefaultParagraphFont"/>
    <w:link w:val="Heading6"/>
    <w:uiPriority w:val="9"/>
    <w:semiHidden/>
    <w:rsid w:val="00020A05"/>
    <w:rPr>
      <w:rFonts w:asciiTheme="majorHAnsi" w:eastAsiaTheme="majorEastAsia" w:hAnsiTheme="majorHAnsi" w:cstheme="majorBidi"/>
      <w:snapToGrid w:val="0"/>
      <w:color w:val="1F4D78" w:themeColor="accent1" w:themeShade="7F"/>
      <w:sz w:val="24"/>
      <w:szCs w:val="20"/>
    </w:rPr>
  </w:style>
  <w:style w:type="table" w:styleId="TableGrid">
    <w:name w:val="Table Grid"/>
    <w:basedOn w:val="TableNormal"/>
    <w:uiPriority w:val="39"/>
    <w:rsid w:val="00020A05"/>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rsid w:val="00020A05"/>
    <w:rPr>
      <w:b/>
      <w:bCs/>
    </w:rPr>
  </w:style>
  <w:style w:type="character" w:customStyle="1" w:styleId="CommentSubjectChar">
    <w:name w:val="Comment Subject Char"/>
    <w:basedOn w:val="CommentTextChar"/>
    <w:link w:val="CommentSubject"/>
    <w:uiPriority w:val="99"/>
    <w:rsid w:val="00020A05"/>
    <w:rPr>
      <w:rFonts w:ascii="Arial" w:eastAsia="Times New Roman" w:hAnsi="Arial" w:cs="Times New Roman"/>
      <w:b/>
      <w:bCs/>
      <w:snapToGrid w:val="0"/>
      <w:sz w:val="20"/>
      <w:szCs w:val="20"/>
    </w:rPr>
  </w:style>
  <w:style w:type="paragraph" w:styleId="NormalWeb">
    <w:name w:val="Normal (Web)"/>
    <w:basedOn w:val="Normal"/>
    <w:uiPriority w:val="99"/>
    <w:unhideWhenUsed/>
    <w:rsid w:val="00020A05"/>
    <w:pPr>
      <w:widowControl/>
    </w:pPr>
    <w:rPr>
      <w:rFonts w:ascii="Times New Roman" w:eastAsia="Calibri" w:hAnsi="Times New Roman"/>
      <w:snapToGrid/>
      <w:szCs w:val="24"/>
    </w:rPr>
  </w:style>
  <w:style w:type="paragraph" w:customStyle="1" w:styleId="Normal1">
    <w:name w:val="Normal1"/>
    <w:basedOn w:val="Normal"/>
    <w:rsid w:val="00020A05"/>
    <w:pPr>
      <w:widowControl/>
    </w:pPr>
    <w:rPr>
      <w:rFonts w:cs="Arial"/>
      <w:snapToGrid/>
      <w:szCs w:val="24"/>
    </w:rPr>
  </w:style>
  <w:style w:type="character" w:customStyle="1" w:styleId="normalchar1">
    <w:name w:val="normal__char1"/>
    <w:rsid w:val="00020A05"/>
    <w:rPr>
      <w:rFonts w:ascii="Arial" w:hAnsi="Arial" w:cs="Arial" w:hint="default"/>
      <w:strike w:val="0"/>
      <w:dstrike w:val="0"/>
      <w:sz w:val="24"/>
      <w:szCs w:val="24"/>
      <w:u w:val="none"/>
      <w:effect w:val="none"/>
    </w:rPr>
  </w:style>
  <w:style w:type="paragraph" w:customStyle="1" w:styleId="Normal11">
    <w:name w:val="Normal11"/>
    <w:basedOn w:val="Normal"/>
    <w:rsid w:val="00020A05"/>
    <w:pPr>
      <w:widowControl/>
    </w:pPr>
    <w:rPr>
      <w:rFonts w:cs="Arial"/>
      <w:snapToGrid/>
      <w:szCs w:val="24"/>
    </w:rPr>
  </w:style>
  <w:style w:type="paragraph" w:customStyle="1" w:styleId="Body">
    <w:name w:val="Body"/>
    <w:rsid w:val="00020A05"/>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MediumGrid1-Accent21">
    <w:name w:val="Medium Grid 1 - Accent 21"/>
    <w:basedOn w:val="Normal"/>
    <w:uiPriority w:val="34"/>
    <w:qFormat/>
    <w:rsid w:val="00020A05"/>
    <w:pPr>
      <w:widowControl/>
      <w:ind w:left="720"/>
      <w:contextualSpacing/>
    </w:pPr>
    <w:rPr>
      <w:rFonts w:ascii="Calibri" w:eastAsia="Calibri" w:hAnsi="Calibri"/>
      <w:snapToGrid/>
      <w:sz w:val="22"/>
      <w:szCs w:val="22"/>
    </w:rPr>
  </w:style>
  <w:style w:type="character" w:customStyle="1" w:styleId="indent1">
    <w:name w:val="indent1"/>
    <w:basedOn w:val="DefaultParagraphFont"/>
    <w:rsid w:val="00020A05"/>
    <w:rPr>
      <w:vanish w:val="0"/>
      <w:webHidden w:val="0"/>
      <w:specVanish w:val="0"/>
    </w:rPr>
  </w:style>
  <w:style w:type="paragraph" w:customStyle="1" w:styleId="CoverTitle">
    <w:name w:val="Cover Title"/>
    <w:qFormat/>
    <w:rsid w:val="00020A05"/>
    <w:pPr>
      <w:widowControl w:val="0"/>
      <w:suppressAutoHyphens/>
      <w:autoSpaceDE w:val="0"/>
      <w:autoSpaceDN w:val="0"/>
      <w:adjustRightInd w:val="0"/>
      <w:spacing w:before="1080" w:after="480" w:line="240" w:lineRule="auto"/>
      <w:ind w:left="2160"/>
      <w:textAlignment w:val="center"/>
    </w:pPr>
    <w:rPr>
      <w:rFonts w:ascii="Century Gothic" w:eastAsia="Times New Roman" w:hAnsi="Century Gothic" w:cs="Times New Roman"/>
      <w:color w:val="00467F"/>
      <w:spacing w:val="-8"/>
      <w:sz w:val="60"/>
      <w:szCs w:val="24"/>
    </w:rPr>
  </w:style>
  <w:style w:type="paragraph" w:customStyle="1" w:styleId="Numbered1">
    <w:name w:val="Numbered1"/>
    <w:rsid w:val="00020A05"/>
    <w:pPr>
      <w:numPr>
        <w:numId w:val="15"/>
      </w:numPr>
      <w:spacing w:after="240" w:line="240" w:lineRule="auto"/>
    </w:pPr>
    <w:rPr>
      <w:rFonts w:ascii="Arial" w:eastAsia="Times New Roman" w:hAnsi="Arial" w:cs="Calibri"/>
      <w:sz w:val="24"/>
      <w:szCs w:val="24"/>
    </w:rPr>
  </w:style>
  <w:style w:type="character" w:customStyle="1" w:styleId="st1">
    <w:name w:val="st1"/>
    <w:basedOn w:val="DefaultParagraphFont"/>
    <w:rsid w:val="00020A05"/>
  </w:style>
  <w:style w:type="character" w:customStyle="1" w:styleId="watch-title">
    <w:name w:val="watch-title"/>
    <w:basedOn w:val="DefaultParagraphFont"/>
    <w:rsid w:val="00020A05"/>
    <w:rPr>
      <w:sz w:val="24"/>
      <w:szCs w:val="24"/>
      <w:bdr w:val="none" w:sz="0" w:space="0" w:color="auto" w:frame="1"/>
      <w:shd w:val="clear" w:color="auto" w:fill="auto"/>
    </w:rPr>
  </w:style>
  <w:style w:type="character" w:customStyle="1" w:styleId="EndnoteTextChar">
    <w:name w:val="Endnote Text Char"/>
    <w:basedOn w:val="DefaultParagraphFont"/>
    <w:link w:val="EndnoteText"/>
    <w:semiHidden/>
    <w:rsid w:val="00020A05"/>
    <w:rPr>
      <w:rFonts w:ascii="Arial" w:eastAsia="Times New Roman" w:hAnsi="Arial" w:cs="Times New Roman"/>
      <w:snapToGrid w:val="0"/>
      <w:sz w:val="20"/>
      <w:szCs w:val="20"/>
    </w:rPr>
  </w:style>
  <w:style w:type="paragraph" w:styleId="EndnoteText">
    <w:name w:val="endnote text"/>
    <w:basedOn w:val="Normal"/>
    <w:link w:val="EndnoteTextChar"/>
    <w:semiHidden/>
    <w:unhideWhenUsed/>
    <w:rsid w:val="00020A05"/>
    <w:rPr>
      <w:sz w:val="20"/>
    </w:rPr>
  </w:style>
  <w:style w:type="paragraph" w:customStyle="1" w:styleId="Subbullet4">
    <w:name w:val="Subbullet4"/>
    <w:basedOn w:val="Normal"/>
    <w:rsid w:val="00020A05"/>
    <w:pPr>
      <w:widowControl/>
      <w:numPr>
        <w:numId w:val="16"/>
      </w:numPr>
      <w:spacing w:after="120"/>
    </w:pPr>
    <w:rPr>
      <w:snapToGrid/>
      <w:szCs w:val="24"/>
    </w:rPr>
  </w:style>
  <w:style w:type="paragraph" w:styleId="Revision">
    <w:name w:val="Revision"/>
    <w:hidden/>
    <w:uiPriority w:val="99"/>
    <w:semiHidden/>
    <w:rsid w:val="00815FB8"/>
    <w:pPr>
      <w:spacing w:after="0" w:line="240" w:lineRule="auto"/>
    </w:pPr>
    <w:rPr>
      <w:rFonts w:ascii="Arial" w:eastAsia="Times New Roman" w:hAnsi="Arial" w:cs="Times New Roman"/>
      <w:snapToGrid w:val="0"/>
      <w:sz w:val="24"/>
      <w:szCs w:val="20"/>
    </w:rPr>
  </w:style>
  <w:style w:type="table" w:customStyle="1" w:styleId="TableGrid1">
    <w:name w:val="Table Grid1"/>
    <w:basedOn w:val="TableNormal"/>
    <w:next w:val="TableGrid"/>
    <w:uiPriority w:val="39"/>
    <w:rsid w:val="005F6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rsid w:val="00785F04"/>
    <w:rPr>
      <w:vertAlign w:val="superscript"/>
    </w:rPr>
  </w:style>
  <w:style w:type="paragraph" w:styleId="Caption">
    <w:name w:val="caption"/>
    <w:basedOn w:val="Normal"/>
    <w:next w:val="Normal"/>
    <w:uiPriority w:val="35"/>
    <w:unhideWhenUsed/>
    <w:qFormat/>
    <w:rsid w:val="00BD1B08"/>
    <w:pPr>
      <w:spacing w:after="200"/>
    </w:pPr>
    <w:rPr>
      <w:i/>
      <w:iCs/>
      <w:color w:val="44546A" w:themeColor="text2"/>
      <w:sz w:val="18"/>
      <w:szCs w:val="18"/>
    </w:rPr>
  </w:style>
  <w:style w:type="table" w:customStyle="1" w:styleId="TableGridLight1">
    <w:name w:val="Table Grid Light1"/>
    <w:basedOn w:val="TableNormal"/>
    <w:uiPriority w:val="40"/>
    <w:rsid w:val="001252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1252E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1252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1252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11">
    <w:name w:val="Grid Table 1 Light - Accent 11"/>
    <w:basedOn w:val="TableNormal"/>
    <w:uiPriority w:val="46"/>
    <w:rsid w:val="001252E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1252E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D20149"/>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styleId="TOC1">
    <w:name w:val="toc 1"/>
    <w:basedOn w:val="Normal"/>
    <w:next w:val="Normal"/>
    <w:autoRedefine/>
    <w:uiPriority w:val="39"/>
    <w:unhideWhenUsed/>
    <w:rsid w:val="00CE0150"/>
    <w:pPr>
      <w:tabs>
        <w:tab w:val="left" w:pos="720"/>
        <w:tab w:val="right" w:leader="dot" w:pos="9350"/>
      </w:tabs>
      <w:spacing w:after="100"/>
      <w:ind w:left="-180" w:firstLine="450"/>
    </w:pPr>
  </w:style>
  <w:style w:type="paragraph" w:styleId="TOC2">
    <w:name w:val="toc 2"/>
    <w:basedOn w:val="Normal"/>
    <w:next w:val="Normal"/>
    <w:autoRedefine/>
    <w:uiPriority w:val="39"/>
    <w:unhideWhenUsed/>
    <w:rsid w:val="000E3557"/>
    <w:pPr>
      <w:widowControl/>
      <w:tabs>
        <w:tab w:val="right" w:leader="dot" w:pos="9350"/>
      </w:tabs>
      <w:spacing w:after="100"/>
      <w:ind w:left="240"/>
    </w:pPr>
    <w:rPr>
      <w:noProof/>
    </w:rPr>
  </w:style>
  <w:style w:type="paragraph" w:styleId="TOC3">
    <w:name w:val="toc 3"/>
    <w:basedOn w:val="Normal"/>
    <w:next w:val="Normal"/>
    <w:autoRedefine/>
    <w:uiPriority w:val="39"/>
    <w:unhideWhenUsed/>
    <w:rsid w:val="00705E0E"/>
    <w:pPr>
      <w:tabs>
        <w:tab w:val="left" w:pos="900"/>
        <w:tab w:val="right" w:leader="dot" w:pos="9350"/>
      </w:tabs>
      <w:spacing w:after="100"/>
      <w:ind w:left="480"/>
    </w:pPr>
  </w:style>
  <w:style w:type="paragraph" w:styleId="Title">
    <w:name w:val="Title"/>
    <w:basedOn w:val="Normal"/>
    <w:next w:val="Normal"/>
    <w:link w:val="TitleChar"/>
    <w:uiPriority w:val="10"/>
    <w:qFormat/>
    <w:rsid w:val="00D20149"/>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149"/>
    <w:rPr>
      <w:rFonts w:asciiTheme="majorHAnsi" w:eastAsiaTheme="majorEastAsia" w:hAnsiTheme="majorHAnsi" w:cstheme="majorBidi"/>
      <w:snapToGrid w:val="0"/>
      <w:spacing w:val="-10"/>
      <w:kern w:val="28"/>
      <w:sz w:val="56"/>
      <w:szCs w:val="56"/>
    </w:rPr>
  </w:style>
  <w:style w:type="paragraph" w:customStyle="1" w:styleId="HBodyText">
    <w:name w:val="H_Body Text"/>
    <w:link w:val="HBodyTextChar"/>
    <w:rsid w:val="009A191C"/>
    <w:pPr>
      <w:spacing w:after="240" w:line="240" w:lineRule="auto"/>
    </w:pPr>
    <w:rPr>
      <w:rFonts w:ascii="Arial" w:eastAsia="Times New Roman" w:hAnsi="Arial" w:cs="Times New Roman"/>
      <w:color w:val="060B14" w:themeColor="accent5" w:themeShade="1A"/>
      <w:sz w:val="24"/>
      <w:szCs w:val="20"/>
    </w:rPr>
  </w:style>
  <w:style w:type="character" w:customStyle="1" w:styleId="HBodyTextChar">
    <w:name w:val="H_Body Text Char"/>
    <w:link w:val="HBodyText"/>
    <w:rsid w:val="009A191C"/>
    <w:rPr>
      <w:rFonts w:ascii="Arial" w:eastAsia="Times New Roman" w:hAnsi="Arial" w:cs="Times New Roman"/>
      <w:color w:val="060B14" w:themeColor="accent5" w:themeShade="1A"/>
      <w:sz w:val="24"/>
      <w:szCs w:val="20"/>
    </w:rPr>
  </w:style>
  <w:style w:type="character" w:customStyle="1" w:styleId="linknotation">
    <w:name w:val="linknotation"/>
    <w:basedOn w:val="DefaultParagraphFont"/>
    <w:rsid w:val="00EE6C9A"/>
  </w:style>
  <w:style w:type="character" w:customStyle="1" w:styleId="UnresolvedMention1">
    <w:name w:val="Unresolved Mention1"/>
    <w:basedOn w:val="DefaultParagraphFont"/>
    <w:uiPriority w:val="99"/>
    <w:semiHidden/>
    <w:unhideWhenUsed/>
    <w:rsid w:val="00436321"/>
    <w:rPr>
      <w:color w:val="605E5C"/>
      <w:shd w:val="clear" w:color="auto" w:fill="E1DFDD"/>
    </w:rPr>
  </w:style>
  <w:style w:type="character" w:customStyle="1" w:styleId="UnresolvedMention2">
    <w:name w:val="Unresolved Mention2"/>
    <w:basedOn w:val="DefaultParagraphFont"/>
    <w:uiPriority w:val="99"/>
    <w:semiHidden/>
    <w:unhideWhenUsed/>
    <w:rsid w:val="00ED5A64"/>
    <w:rPr>
      <w:color w:val="605E5C"/>
      <w:shd w:val="clear" w:color="auto" w:fill="E1DFDD"/>
    </w:rPr>
  </w:style>
  <w:style w:type="character" w:styleId="UnresolvedMention">
    <w:name w:val="Unresolved Mention"/>
    <w:basedOn w:val="DefaultParagraphFont"/>
    <w:uiPriority w:val="99"/>
    <w:unhideWhenUsed/>
    <w:rsid w:val="00E21FC5"/>
    <w:rPr>
      <w:color w:val="605E5C"/>
      <w:shd w:val="clear" w:color="auto" w:fill="E1DFDD"/>
    </w:rPr>
  </w:style>
  <w:style w:type="paragraph" w:customStyle="1" w:styleId="paragraph">
    <w:name w:val="paragraph"/>
    <w:basedOn w:val="Normal"/>
    <w:rsid w:val="00B941B2"/>
    <w:pPr>
      <w:widowControl/>
      <w:spacing w:before="100" w:beforeAutospacing="1" w:after="100" w:afterAutospacing="1"/>
    </w:pPr>
    <w:rPr>
      <w:rFonts w:ascii="Times New Roman" w:hAnsi="Times New Roman"/>
      <w:snapToGrid/>
      <w:szCs w:val="24"/>
    </w:rPr>
  </w:style>
  <w:style w:type="character" w:customStyle="1" w:styleId="normaltextrun">
    <w:name w:val="normaltextrun"/>
    <w:basedOn w:val="DefaultParagraphFont"/>
    <w:rsid w:val="00B941B2"/>
  </w:style>
  <w:style w:type="character" w:customStyle="1" w:styleId="eop">
    <w:name w:val="eop"/>
    <w:basedOn w:val="DefaultParagraphFont"/>
    <w:rsid w:val="00B941B2"/>
  </w:style>
  <w:style w:type="paragraph" w:styleId="NoSpacing">
    <w:name w:val="No Spacing"/>
    <w:uiPriority w:val="1"/>
    <w:qFormat/>
    <w:rsid w:val="00292A83"/>
    <w:pPr>
      <w:spacing w:after="0" w:line="240" w:lineRule="auto"/>
    </w:pPr>
    <w:rPr>
      <w:rFonts w:ascii="Arial" w:hAnsi="Arial"/>
      <w:sz w:val="24"/>
    </w:rPr>
  </w:style>
  <w:style w:type="character" w:styleId="Mention">
    <w:name w:val="Mention"/>
    <w:basedOn w:val="DefaultParagraphFont"/>
    <w:uiPriority w:val="99"/>
    <w:unhideWhenUsed/>
    <w:rPr>
      <w:color w:val="2B579A"/>
      <w:shd w:val="clear" w:color="auto" w:fill="E6E6E6"/>
    </w:rPr>
  </w:style>
  <w:style w:type="paragraph" w:styleId="BodyText">
    <w:name w:val="Body Text"/>
    <w:basedOn w:val="Normal"/>
    <w:link w:val="BodyTextChar"/>
    <w:uiPriority w:val="99"/>
    <w:unhideWhenUsed/>
    <w:rsid w:val="00DD64AF"/>
    <w:pPr>
      <w:spacing w:after="120"/>
    </w:pPr>
  </w:style>
  <w:style w:type="character" w:customStyle="1" w:styleId="BodyTextChar">
    <w:name w:val="Body Text Char"/>
    <w:basedOn w:val="DefaultParagraphFont"/>
    <w:link w:val="BodyText"/>
    <w:uiPriority w:val="99"/>
    <w:rsid w:val="00DD64AF"/>
    <w:rPr>
      <w:rFonts w:ascii="Arial" w:eastAsia="Times New Roman" w:hAnsi="Arial"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67187">
      <w:bodyDiv w:val="1"/>
      <w:marLeft w:val="0"/>
      <w:marRight w:val="0"/>
      <w:marTop w:val="0"/>
      <w:marBottom w:val="0"/>
      <w:divBdr>
        <w:top w:val="none" w:sz="0" w:space="0" w:color="auto"/>
        <w:left w:val="none" w:sz="0" w:space="0" w:color="auto"/>
        <w:bottom w:val="none" w:sz="0" w:space="0" w:color="auto"/>
        <w:right w:val="none" w:sz="0" w:space="0" w:color="auto"/>
      </w:divBdr>
      <w:divsChild>
        <w:div w:id="1312710029">
          <w:marLeft w:val="0"/>
          <w:marRight w:val="0"/>
          <w:marTop w:val="0"/>
          <w:marBottom w:val="0"/>
          <w:divBdr>
            <w:top w:val="none" w:sz="0" w:space="0" w:color="auto"/>
            <w:left w:val="none" w:sz="0" w:space="0" w:color="auto"/>
            <w:bottom w:val="none" w:sz="0" w:space="0" w:color="auto"/>
            <w:right w:val="none" w:sz="0" w:space="0" w:color="auto"/>
          </w:divBdr>
          <w:divsChild>
            <w:div w:id="995886496">
              <w:marLeft w:val="0"/>
              <w:marRight w:val="0"/>
              <w:marTop w:val="0"/>
              <w:marBottom w:val="0"/>
              <w:divBdr>
                <w:top w:val="none" w:sz="0" w:space="0" w:color="auto"/>
                <w:left w:val="none" w:sz="0" w:space="0" w:color="auto"/>
                <w:bottom w:val="none" w:sz="0" w:space="0" w:color="auto"/>
                <w:right w:val="none" w:sz="0" w:space="0" w:color="auto"/>
              </w:divBdr>
              <w:divsChild>
                <w:div w:id="1556159214">
                  <w:marLeft w:val="-225"/>
                  <w:marRight w:val="-225"/>
                  <w:marTop w:val="0"/>
                  <w:marBottom w:val="0"/>
                  <w:divBdr>
                    <w:top w:val="none" w:sz="0" w:space="0" w:color="auto"/>
                    <w:left w:val="none" w:sz="0" w:space="0" w:color="auto"/>
                    <w:bottom w:val="none" w:sz="0" w:space="0" w:color="auto"/>
                    <w:right w:val="none" w:sz="0" w:space="0" w:color="auto"/>
                  </w:divBdr>
                  <w:divsChild>
                    <w:div w:id="16531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42998">
      <w:bodyDiv w:val="1"/>
      <w:marLeft w:val="0"/>
      <w:marRight w:val="0"/>
      <w:marTop w:val="0"/>
      <w:marBottom w:val="0"/>
      <w:divBdr>
        <w:top w:val="none" w:sz="0" w:space="0" w:color="auto"/>
        <w:left w:val="none" w:sz="0" w:space="0" w:color="auto"/>
        <w:bottom w:val="none" w:sz="0" w:space="0" w:color="auto"/>
        <w:right w:val="none" w:sz="0" w:space="0" w:color="auto"/>
      </w:divBdr>
      <w:divsChild>
        <w:div w:id="1738554162">
          <w:marLeft w:val="0"/>
          <w:marRight w:val="0"/>
          <w:marTop w:val="0"/>
          <w:marBottom w:val="0"/>
          <w:divBdr>
            <w:top w:val="none" w:sz="0" w:space="0" w:color="auto"/>
            <w:left w:val="none" w:sz="0" w:space="0" w:color="auto"/>
            <w:bottom w:val="none" w:sz="0" w:space="0" w:color="auto"/>
            <w:right w:val="none" w:sz="0" w:space="0" w:color="auto"/>
          </w:divBdr>
          <w:divsChild>
            <w:div w:id="313995747">
              <w:marLeft w:val="0"/>
              <w:marRight w:val="0"/>
              <w:marTop w:val="0"/>
              <w:marBottom w:val="0"/>
              <w:divBdr>
                <w:top w:val="none" w:sz="0" w:space="0" w:color="auto"/>
                <w:left w:val="none" w:sz="0" w:space="0" w:color="auto"/>
                <w:bottom w:val="none" w:sz="0" w:space="0" w:color="auto"/>
                <w:right w:val="none" w:sz="0" w:space="0" w:color="auto"/>
              </w:divBdr>
              <w:divsChild>
                <w:div w:id="2000428415">
                  <w:marLeft w:val="-225"/>
                  <w:marRight w:val="-225"/>
                  <w:marTop w:val="0"/>
                  <w:marBottom w:val="0"/>
                  <w:divBdr>
                    <w:top w:val="none" w:sz="0" w:space="0" w:color="auto"/>
                    <w:left w:val="none" w:sz="0" w:space="0" w:color="auto"/>
                    <w:bottom w:val="none" w:sz="0" w:space="0" w:color="auto"/>
                    <w:right w:val="none" w:sz="0" w:space="0" w:color="auto"/>
                  </w:divBdr>
                  <w:divsChild>
                    <w:div w:id="20128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847375">
      <w:bodyDiv w:val="1"/>
      <w:marLeft w:val="0"/>
      <w:marRight w:val="0"/>
      <w:marTop w:val="0"/>
      <w:marBottom w:val="0"/>
      <w:divBdr>
        <w:top w:val="none" w:sz="0" w:space="0" w:color="auto"/>
        <w:left w:val="none" w:sz="0" w:space="0" w:color="auto"/>
        <w:bottom w:val="none" w:sz="0" w:space="0" w:color="auto"/>
        <w:right w:val="none" w:sz="0" w:space="0" w:color="auto"/>
      </w:divBdr>
    </w:div>
    <w:div w:id="308095091">
      <w:bodyDiv w:val="1"/>
      <w:marLeft w:val="0"/>
      <w:marRight w:val="0"/>
      <w:marTop w:val="0"/>
      <w:marBottom w:val="0"/>
      <w:divBdr>
        <w:top w:val="none" w:sz="0" w:space="0" w:color="auto"/>
        <w:left w:val="none" w:sz="0" w:space="0" w:color="auto"/>
        <w:bottom w:val="none" w:sz="0" w:space="0" w:color="auto"/>
        <w:right w:val="none" w:sz="0" w:space="0" w:color="auto"/>
      </w:divBdr>
      <w:divsChild>
        <w:div w:id="900484300">
          <w:marLeft w:val="0"/>
          <w:marRight w:val="0"/>
          <w:marTop w:val="0"/>
          <w:marBottom w:val="0"/>
          <w:divBdr>
            <w:top w:val="none" w:sz="0" w:space="0" w:color="auto"/>
            <w:left w:val="none" w:sz="0" w:space="0" w:color="auto"/>
            <w:bottom w:val="none" w:sz="0" w:space="0" w:color="auto"/>
            <w:right w:val="none" w:sz="0" w:space="0" w:color="auto"/>
          </w:divBdr>
          <w:divsChild>
            <w:div w:id="1351569767">
              <w:marLeft w:val="0"/>
              <w:marRight w:val="0"/>
              <w:marTop w:val="0"/>
              <w:marBottom w:val="0"/>
              <w:divBdr>
                <w:top w:val="none" w:sz="0" w:space="0" w:color="auto"/>
                <w:left w:val="none" w:sz="0" w:space="0" w:color="auto"/>
                <w:bottom w:val="none" w:sz="0" w:space="0" w:color="auto"/>
                <w:right w:val="none" w:sz="0" w:space="0" w:color="auto"/>
              </w:divBdr>
            </w:div>
            <w:div w:id="1813791356">
              <w:marLeft w:val="0"/>
              <w:marRight w:val="0"/>
              <w:marTop w:val="0"/>
              <w:marBottom w:val="0"/>
              <w:divBdr>
                <w:top w:val="none" w:sz="0" w:space="0" w:color="auto"/>
                <w:left w:val="none" w:sz="0" w:space="0" w:color="auto"/>
                <w:bottom w:val="none" w:sz="0" w:space="0" w:color="auto"/>
                <w:right w:val="none" w:sz="0" w:space="0" w:color="auto"/>
              </w:divBdr>
            </w:div>
            <w:div w:id="2066489339">
              <w:marLeft w:val="0"/>
              <w:marRight w:val="0"/>
              <w:marTop w:val="0"/>
              <w:marBottom w:val="0"/>
              <w:divBdr>
                <w:top w:val="none" w:sz="0" w:space="0" w:color="auto"/>
                <w:left w:val="none" w:sz="0" w:space="0" w:color="auto"/>
                <w:bottom w:val="none" w:sz="0" w:space="0" w:color="auto"/>
                <w:right w:val="none" w:sz="0" w:space="0" w:color="auto"/>
              </w:divBdr>
            </w:div>
          </w:divsChild>
        </w:div>
        <w:div w:id="1283611218">
          <w:marLeft w:val="0"/>
          <w:marRight w:val="0"/>
          <w:marTop w:val="0"/>
          <w:marBottom w:val="0"/>
          <w:divBdr>
            <w:top w:val="none" w:sz="0" w:space="0" w:color="auto"/>
            <w:left w:val="none" w:sz="0" w:space="0" w:color="auto"/>
            <w:bottom w:val="none" w:sz="0" w:space="0" w:color="auto"/>
            <w:right w:val="none" w:sz="0" w:space="0" w:color="auto"/>
          </w:divBdr>
        </w:div>
      </w:divsChild>
    </w:div>
    <w:div w:id="321784505">
      <w:bodyDiv w:val="1"/>
      <w:marLeft w:val="0"/>
      <w:marRight w:val="0"/>
      <w:marTop w:val="0"/>
      <w:marBottom w:val="0"/>
      <w:divBdr>
        <w:top w:val="none" w:sz="0" w:space="0" w:color="auto"/>
        <w:left w:val="none" w:sz="0" w:space="0" w:color="auto"/>
        <w:bottom w:val="none" w:sz="0" w:space="0" w:color="auto"/>
        <w:right w:val="none" w:sz="0" w:space="0" w:color="auto"/>
      </w:divBdr>
    </w:div>
    <w:div w:id="343366379">
      <w:bodyDiv w:val="1"/>
      <w:marLeft w:val="0"/>
      <w:marRight w:val="0"/>
      <w:marTop w:val="0"/>
      <w:marBottom w:val="0"/>
      <w:divBdr>
        <w:top w:val="none" w:sz="0" w:space="0" w:color="auto"/>
        <w:left w:val="none" w:sz="0" w:space="0" w:color="auto"/>
        <w:bottom w:val="none" w:sz="0" w:space="0" w:color="auto"/>
        <w:right w:val="none" w:sz="0" w:space="0" w:color="auto"/>
      </w:divBdr>
      <w:divsChild>
        <w:div w:id="1004624546">
          <w:marLeft w:val="0"/>
          <w:marRight w:val="0"/>
          <w:marTop w:val="0"/>
          <w:marBottom w:val="0"/>
          <w:divBdr>
            <w:top w:val="none" w:sz="0" w:space="0" w:color="auto"/>
            <w:left w:val="none" w:sz="0" w:space="0" w:color="auto"/>
            <w:bottom w:val="none" w:sz="0" w:space="0" w:color="auto"/>
            <w:right w:val="none" w:sz="0" w:space="0" w:color="auto"/>
          </w:divBdr>
          <w:divsChild>
            <w:div w:id="816141556">
              <w:marLeft w:val="0"/>
              <w:marRight w:val="0"/>
              <w:marTop w:val="0"/>
              <w:marBottom w:val="0"/>
              <w:divBdr>
                <w:top w:val="none" w:sz="0" w:space="0" w:color="auto"/>
                <w:left w:val="none" w:sz="0" w:space="0" w:color="auto"/>
                <w:bottom w:val="none" w:sz="0" w:space="0" w:color="auto"/>
                <w:right w:val="none" w:sz="0" w:space="0" w:color="auto"/>
              </w:divBdr>
              <w:divsChild>
                <w:div w:id="678042477">
                  <w:marLeft w:val="-225"/>
                  <w:marRight w:val="-225"/>
                  <w:marTop w:val="0"/>
                  <w:marBottom w:val="0"/>
                  <w:divBdr>
                    <w:top w:val="none" w:sz="0" w:space="0" w:color="auto"/>
                    <w:left w:val="none" w:sz="0" w:space="0" w:color="auto"/>
                    <w:bottom w:val="none" w:sz="0" w:space="0" w:color="auto"/>
                    <w:right w:val="none" w:sz="0" w:space="0" w:color="auto"/>
                  </w:divBdr>
                  <w:divsChild>
                    <w:div w:id="1315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556528">
      <w:bodyDiv w:val="1"/>
      <w:marLeft w:val="0"/>
      <w:marRight w:val="0"/>
      <w:marTop w:val="0"/>
      <w:marBottom w:val="0"/>
      <w:divBdr>
        <w:top w:val="none" w:sz="0" w:space="0" w:color="auto"/>
        <w:left w:val="none" w:sz="0" w:space="0" w:color="auto"/>
        <w:bottom w:val="none" w:sz="0" w:space="0" w:color="auto"/>
        <w:right w:val="none" w:sz="0" w:space="0" w:color="auto"/>
      </w:divBdr>
    </w:div>
    <w:div w:id="388650046">
      <w:bodyDiv w:val="1"/>
      <w:marLeft w:val="0"/>
      <w:marRight w:val="0"/>
      <w:marTop w:val="0"/>
      <w:marBottom w:val="0"/>
      <w:divBdr>
        <w:top w:val="none" w:sz="0" w:space="0" w:color="auto"/>
        <w:left w:val="none" w:sz="0" w:space="0" w:color="auto"/>
        <w:bottom w:val="none" w:sz="0" w:space="0" w:color="auto"/>
        <w:right w:val="none" w:sz="0" w:space="0" w:color="auto"/>
      </w:divBdr>
      <w:divsChild>
        <w:div w:id="629281757">
          <w:marLeft w:val="0"/>
          <w:marRight w:val="0"/>
          <w:marTop w:val="0"/>
          <w:marBottom w:val="0"/>
          <w:divBdr>
            <w:top w:val="none" w:sz="0" w:space="0" w:color="auto"/>
            <w:left w:val="none" w:sz="0" w:space="0" w:color="auto"/>
            <w:bottom w:val="none" w:sz="0" w:space="0" w:color="auto"/>
            <w:right w:val="none" w:sz="0" w:space="0" w:color="auto"/>
          </w:divBdr>
          <w:divsChild>
            <w:div w:id="497310927">
              <w:marLeft w:val="0"/>
              <w:marRight w:val="0"/>
              <w:marTop w:val="0"/>
              <w:marBottom w:val="0"/>
              <w:divBdr>
                <w:top w:val="none" w:sz="0" w:space="0" w:color="auto"/>
                <w:left w:val="none" w:sz="0" w:space="0" w:color="auto"/>
                <w:bottom w:val="none" w:sz="0" w:space="0" w:color="auto"/>
                <w:right w:val="none" w:sz="0" w:space="0" w:color="auto"/>
              </w:divBdr>
              <w:divsChild>
                <w:div w:id="1755856137">
                  <w:marLeft w:val="-225"/>
                  <w:marRight w:val="-225"/>
                  <w:marTop w:val="0"/>
                  <w:marBottom w:val="0"/>
                  <w:divBdr>
                    <w:top w:val="none" w:sz="0" w:space="0" w:color="auto"/>
                    <w:left w:val="none" w:sz="0" w:space="0" w:color="auto"/>
                    <w:bottom w:val="none" w:sz="0" w:space="0" w:color="auto"/>
                    <w:right w:val="none" w:sz="0" w:space="0" w:color="auto"/>
                  </w:divBdr>
                  <w:divsChild>
                    <w:div w:id="18953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828093">
      <w:bodyDiv w:val="1"/>
      <w:marLeft w:val="0"/>
      <w:marRight w:val="0"/>
      <w:marTop w:val="0"/>
      <w:marBottom w:val="0"/>
      <w:divBdr>
        <w:top w:val="none" w:sz="0" w:space="0" w:color="auto"/>
        <w:left w:val="none" w:sz="0" w:space="0" w:color="auto"/>
        <w:bottom w:val="none" w:sz="0" w:space="0" w:color="auto"/>
        <w:right w:val="none" w:sz="0" w:space="0" w:color="auto"/>
      </w:divBdr>
    </w:div>
    <w:div w:id="440802170">
      <w:bodyDiv w:val="1"/>
      <w:marLeft w:val="0"/>
      <w:marRight w:val="0"/>
      <w:marTop w:val="0"/>
      <w:marBottom w:val="0"/>
      <w:divBdr>
        <w:top w:val="none" w:sz="0" w:space="0" w:color="auto"/>
        <w:left w:val="none" w:sz="0" w:space="0" w:color="auto"/>
        <w:bottom w:val="none" w:sz="0" w:space="0" w:color="auto"/>
        <w:right w:val="none" w:sz="0" w:space="0" w:color="auto"/>
      </w:divBdr>
    </w:div>
    <w:div w:id="554977051">
      <w:bodyDiv w:val="1"/>
      <w:marLeft w:val="0"/>
      <w:marRight w:val="0"/>
      <w:marTop w:val="0"/>
      <w:marBottom w:val="0"/>
      <w:divBdr>
        <w:top w:val="none" w:sz="0" w:space="0" w:color="auto"/>
        <w:left w:val="none" w:sz="0" w:space="0" w:color="auto"/>
        <w:bottom w:val="none" w:sz="0" w:space="0" w:color="auto"/>
        <w:right w:val="none" w:sz="0" w:space="0" w:color="auto"/>
      </w:divBdr>
    </w:div>
    <w:div w:id="737165678">
      <w:bodyDiv w:val="1"/>
      <w:marLeft w:val="0"/>
      <w:marRight w:val="0"/>
      <w:marTop w:val="0"/>
      <w:marBottom w:val="0"/>
      <w:divBdr>
        <w:top w:val="none" w:sz="0" w:space="0" w:color="auto"/>
        <w:left w:val="none" w:sz="0" w:space="0" w:color="auto"/>
        <w:bottom w:val="none" w:sz="0" w:space="0" w:color="auto"/>
        <w:right w:val="none" w:sz="0" w:space="0" w:color="auto"/>
      </w:divBdr>
    </w:div>
    <w:div w:id="759259334">
      <w:bodyDiv w:val="1"/>
      <w:marLeft w:val="0"/>
      <w:marRight w:val="0"/>
      <w:marTop w:val="0"/>
      <w:marBottom w:val="0"/>
      <w:divBdr>
        <w:top w:val="none" w:sz="0" w:space="0" w:color="auto"/>
        <w:left w:val="none" w:sz="0" w:space="0" w:color="auto"/>
        <w:bottom w:val="none" w:sz="0" w:space="0" w:color="auto"/>
        <w:right w:val="none" w:sz="0" w:space="0" w:color="auto"/>
      </w:divBdr>
      <w:divsChild>
        <w:div w:id="1127091242">
          <w:marLeft w:val="0"/>
          <w:marRight w:val="0"/>
          <w:marTop w:val="0"/>
          <w:marBottom w:val="0"/>
          <w:divBdr>
            <w:top w:val="none" w:sz="0" w:space="0" w:color="auto"/>
            <w:left w:val="none" w:sz="0" w:space="0" w:color="auto"/>
            <w:bottom w:val="none" w:sz="0" w:space="0" w:color="auto"/>
            <w:right w:val="none" w:sz="0" w:space="0" w:color="auto"/>
          </w:divBdr>
        </w:div>
      </w:divsChild>
    </w:div>
    <w:div w:id="797145505">
      <w:bodyDiv w:val="1"/>
      <w:marLeft w:val="0"/>
      <w:marRight w:val="0"/>
      <w:marTop w:val="0"/>
      <w:marBottom w:val="0"/>
      <w:divBdr>
        <w:top w:val="none" w:sz="0" w:space="0" w:color="auto"/>
        <w:left w:val="none" w:sz="0" w:space="0" w:color="auto"/>
        <w:bottom w:val="none" w:sz="0" w:space="0" w:color="auto"/>
        <w:right w:val="none" w:sz="0" w:space="0" w:color="auto"/>
      </w:divBdr>
      <w:divsChild>
        <w:div w:id="2076538346">
          <w:marLeft w:val="0"/>
          <w:marRight w:val="0"/>
          <w:marTop w:val="0"/>
          <w:marBottom w:val="0"/>
          <w:divBdr>
            <w:top w:val="none" w:sz="0" w:space="0" w:color="auto"/>
            <w:left w:val="none" w:sz="0" w:space="0" w:color="auto"/>
            <w:bottom w:val="none" w:sz="0" w:space="0" w:color="auto"/>
            <w:right w:val="none" w:sz="0" w:space="0" w:color="auto"/>
          </w:divBdr>
          <w:divsChild>
            <w:div w:id="1260069523">
              <w:marLeft w:val="0"/>
              <w:marRight w:val="0"/>
              <w:marTop w:val="0"/>
              <w:marBottom w:val="0"/>
              <w:divBdr>
                <w:top w:val="none" w:sz="0" w:space="0" w:color="auto"/>
                <w:left w:val="none" w:sz="0" w:space="0" w:color="auto"/>
                <w:bottom w:val="none" w:sz="0" w:space="0" w:color="auto"/>
                <w:right w:val="none" w:sz="0" w:space="0" w:color="auto"/>
              </w:divBdr>
              <w:divsChild>
                <w:div w:id="354962022">
                  <w:marLeft w:val="-225"/>
                  <w:marRight w:val="-225"/>
                  <w:marTop w:val="0"/>
                  <w:marBottom w:val="0"/>
                  <w:divBdr>
                    <w:top w:val="none" w:sz="0" w:space="0" w:color="auto"/>
                    <w:left w:val="none" w:sz="0" w:space="0" w:color="auto"/>
                    <w:bottom w:val="none" w:sz="0" w:space="0" w:color="auto"/>
                    <w:right w:val="none" w:sz="0" w:space="0" w:color="auto"/>
                  </w:divBdr>
                  <w:divsChild>
                    <w:div w:id="5019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961908">
      <w:bodyDiv w:val="1"/>
      <w:marLeft w:val="0"/>
      <w:marRight w:val="0"/>
      <w:marTop w:val="0"/>
      <w:marBottom w:val="0"/>
      <w:divBdr>
        <w:top w:val="none" w:sz="0" w:space="0" w:color="auto"/>
        <w:left w:val="none" w:sz="0" w:space="0" w:color="auto"/>
        <w:bottom w:val="none" w:sz="0" w:space="0" w:color="auto"/>
        <w:right w:val="none" w:sz="0" w:space="0" w:color="auto"/>
      </w:divBdr>
    </w:div>
    <w:div w:id="1326208551">
      <w:bodyDiv w:val="1"/>
      <w:marLeft w:val="0"/>
      <w:marRight w:val="0"/>
      <w:marTop w:val="0"/>
      <w:marBottom w:val="0"/>
      <w:divBdr>
        <w:top w:val="none" w:sz="0" w:space="0" w:color="auto"/>
        <w:left w:val="none" w:sz="0" w:space="0" w:color="auto"/>
        <w:bottom w:val="none" w:sz="0" w:space="0" w:color="auto"/>
        <w:right w:val="none" w:sz="0" w:space="0" w:color="auto"/>
      </w:divBdr>
    </w:div>
    <w:div w:id="1476799418">
      <w:bodyDiv w:val="1"/>
      <w:marLeft w:val="0"/>
      <w:marRight w:val="0"/>
      <w:marTop w:val="0"/>
      <w:marBottom w:val="0"/>
      <w:divBdr>
        <w:top w:val="none" w:sz="0" w:space="0" w:color="auto"/>
        <w:left w:val="none" w:sz="0" w:space="0" w:color="auto"/>
        <w:bottom w:val="none" w:sz="0" w:space="0" w:color="auto"/>
        <w:right w:val="none" w:sz="0" w:space="0" w:color="auto"/>
      </w:divBdr>
      <w:divsChild>
        <w:div w:id="13264769">
          <w:marLeft w:val="0"/>
          <w:marRight w:val="0"/>
          <w:marTop w:val="0"/>
          <w:marBottom w:val="0"/>
          <w:divBdr>
            <w:top w:val="none" w:sz="0" w:space="0" w:color="auto"/>
            <w:left w:val="none" w:sz="0" w:space="0" w:color="auto"/>
            <w:bottom w:val="none" w:sz="0" w:space="0" w:color="auto"/>
            <w:right w:val="none" w:sz="0" w:space="0" w:color="auto"/>
          </w:divBdr>
          <w:divsChild>
            <w:div w:id="924146858">
              <w:marLeft w:val="0"/>
              <w:marRight w:val="0"/>
              <w:marTop w:val="0"/>
              <w:marBottom w:val="0"/>
              <w:divBdr>
                <w:top w:val="none" w:sz="0" w:space="0" w:color="auto"/>
                <w:left w:val="none" w:sz="0" w:space="0" w:color="auto"/>
                <w:bottom w:val="none" w:sz="0" w:space="0" w:color="auto"/>
                <w:right w:val="none" w:sz="0" w:space="0" w:color="auto"/>
              </w:divBdr>
              <w:divsChild>
                <w:div w:id="2129813065">
                  <w:marLeft w:val="-225"/>
                  <w:marRight w:val="-225"/>
                  <w:marTop w:val="0"/>
                  <w:marBottom w:val="0"/>
                  <w:divBdr>
                    <w:top w:val="none" w:sz="0" w:space="0" w:color="auto"/>
                    <w:left w:val="none" w:sz="0" w:space="0" w:color="auto"/>
                    <w:bottom w:val="none" w:sz="0" w:space="0" w:color="auto"/>
                    <w:right w:val="none" w:sz="0" w:space="0" w:color="auto"/>
                  </w:divBdr>
                  <w:divsChild>
                    <w:div w:id="3634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15785">
      <w:bodyDiv w:val="1"/>
      <w:marLeft w:val="0"/>
      <w:marRight w:val="0"/>
      <w:marTop w:val="0"/>
      <w:marBottom w:val="0"/>
      <w:divBdr>
        <w:top w:val="none" w:sz="0" w:space="0" w:color="auto"/>
        <w:left w:val="none" w:sz="0" w:space="0" w:color="auto"/>
        <w:bottom w:val="none" w:sz="0" w:space="0" w:color="auto"/>
        <w:right w:val="none" w:sz="0" w:space="0" w:color="auto"/>
      </w:divBdr>
    </w:div>
    <w:div w:id="1535340322">
      <w:bodyDiv w:val="1"/>
      <w:marLeft w:val="0"/>
      <w:marRight w:val="0"/>
      <w:marTop w:val="0"/>
      <w:marBottom w:val="0"/>
      <w:divBdr>
        <w:top w:val="none" w:sz="0" w:space="0" w:color="auto"/>
        <w:left w:val="none" w:sz="0" w:space="0" w:color="auto"/>
        <w:bottom w:val="none" w:sz="0" w:space="0" w:color="auto"/>
        <w:right w:val="none" w:sz="0" w:space="0" w:color="auto"/>
      </w:divBdr>
    </w:div>
    <w:div w:id="1788037240">
      <w:bodyDiv w:val="1"/>
      <w:marLeft w:val="0"/>
      <w:marRight w:val="0"/>
      <w:marTop w:val="0"/>
      <w:marBottom w:val="0"/>
      <w:divBdr>
        <w:top w:val="none" w:sz="0" w:space="0" w:color="auto"/>
        <w:left w:val="none" w:sz="0" w:space="0" w:color="auto"/>
        <w:bottom w:val="none" w:sz="0" w:space="0" w:color="auto"/>
        <w:right w:val="none" w:sz="0" w:space="0" w:color="auto"/>
      </w:divBdr>
    </w:div>
    <w:div w:id="1983539193">
      <w:bodyDiv w:val="1"/>
      <w:marLeft w:val="0"/>
      <w:marRight w:val="0"/>
      <w:marTop w:val="0"/>
      <w:marBottom w:val="0"/>
      <w:divBdr>
        <w:top w:val="none" w:sz="0" w:space="0" w:color="auto"/>
        <w:left w:val="none" w:sz="0" w:space="0" w:color="auto"/>
        <w:bottom w:val="none" w:sz="0" w:space="0" w:color="auto"/>
        <w:right w:val="none" w:sz="0" w:space="0" w:color="auto"/>
      </w:divBdr>
    </w:div>
    <w:div w:id="202343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ta/tg/ca/caasppimplementation.asp" TargetMode="External"/><Relationship Id="rId18" Type="http://schemas.openxmlformats.org/officeDocument/2006/relationships/hyperlink" Target="https://www.cde.ca.gov/be/pn/im/documents/feb20memoadad02a1.pdf" TargetMode="External"/><Relationship Id="rId26" Type="http://schemas.openxmlformats.org/officeDocument/2006/relationships/hyperlink" Target="http://www.caaspp.org/practice-and-training/index.html" TargetMode="External"/><Relationship Id="rId3" Type="http://schemas.openxmlformats.org/officeDocument/2006/relationships/styles" Target="styles.xml"/><Relationship Id="rId21" Type="http://schemas.openxmlformats.org/officeDocument/2006/relationships/hyperlink" Target="https://www.cde.ca.gov/be/pn/im/documents/feb20memoadad03.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vang@cde.ca.gov" TargetMode="External"/><Relationship Id="rId17" Type="http://schemas.openxmlformats.org/officeDocument/2006/relationships/hyperlink" Target="http://www.cde.ca.gov/ta/tg/ca/" TargetMode="External"/><Relationship Id="rId25" Type="http://schemas.openxmlformats.org/officeDocument/2006/relationships/hyperlink" Target="http://sampleitems.smarterbalanced.org/"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cde.ca.gov/ta/tg/ca/caaspprptstudies.asp" TargetMode="External"/><Relationship Id="rId20" Type="http://schemas.openxmlformats.org/officeDocument/2006/relationships/hyperlink" Target="https://www.cde.ca.gov/be/pn/im/documents/feb20memoadad01.docx" TargetMode="External"/><Relationship Id="rId29" Type="http://schemas.openxmlformats.org/officeDocument/2006/relationships/hyperlink" Target="https://smartertoolsforteacher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cde.ca.gov/be/pn/im/documents/aug20adad01.docx"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cde.ca.gov/be/pn/im/documents/apr20memoadad03.docx" TargetMode="External"/><Relationship Id="rId28" Type="http://schemas.openxmlformats.org/officeDocument/2006/relationships/hyperlink" Target="https://remote.smartertoolsforteachers.org/" TargetMode="External"/><Relationship Id="rId10" Type="http://schemas.openxmlformats.org/officeDocument/2006/relationships/header" Target="header1.xml"/><Relationship Id="rId19" Type="http://schemas.openxmlformats.org/officeDocument/2006/relationships/hyperlink" Target="https://www.cde.ca.gov/be/pn/im/documents/feb20memoadad02a2.pdf" TargetMode="External"/><Relationship Id="rId31" Type="http://schemas.openxmlformats.org/officeDocument/2006/relationships/hyperlink" Target="https://reporting-demo.smarterbalanced.org/sandbox-login?sandbox=CA_S00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de.ca.gov/re/es/" TargetMode="External"/><Relationship Id="rId22" Type="http://schemas.openxmlformats.org/officeDocument/2006/relationships/hyperlink" Target="https://www.cde.ca.gov/be/pn/im/documents/apr20memoadad02.docx" TargetMode="External"/><Relationship Id="rId27" Type="http://schemas.openxmlformats.org/officeDocument/2006/relationships/hyperlink" Target="https://www.cde.ca.gov/ta/tg/ca/caaspprptstudies.asp" TargetMode="External"/><Relationship Id="rId30" Type="http://schemas.openxmlformats.org/officeDocument/2006/relationships/hyperlink" Target="https://smartertoolsforteachers.or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C2D74-DF14-4B5C-AC1F-0DDFA7478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9060</Words>
  <Characters>51643</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CAASPP Implementation Plan - CAASPP (CA Dept of Education)</dc:title>
  <dc:subject>Update for the Legislature on the five-year cost projection, implementation plan, and timeline for implementing the California Assessment of Student Performance and Progress (CAASPP) System.</dc:subject>
  <dc:creator/>
  <cp:keywords/>
  <cp:lastModifiedBy/>
  <cp:revision>1</cp:revision>
  <dcterms:created xsi:type="dcterms:W3CDTF">2025-02-10T23:37:00Z</dcterms:created>
  <dcterms:modified xsi:type="dcterms:W3CDTF">2025-02-10T23:37:00Z</dcterms:modified>
</cp:coreProperties>
</file>