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F20B" w14:textId="77777777" w:rsidR="00B70485" w:rsidRPr="00B70485" w:rsidRDefault="00B70485" w:rsidP="00974F7D">
      <w:pPr>
        <w:widowControl/>
        <w:pBdr>
          <w:top w:val="single" w:sz="18" w:space="1" w:color="auto"/>
          <w:left w:val="single" w:sz="18" w:space="4" w:color="auto"/>
          <w:bottom w:val="single" w:sz="18" w:space="1" w:color="auto"/>
          <w:right w:val="single" w:sz="18" w:space="4" w:color="auto"/>
        </w:pBdr>
        <w:jc w:val="both"/>
        <w:rPr>
          <w:rFonts w:cs="Arial"/>
          <w:b/>
          <w:bCs/>
          <w:snapToGrid/>
          <w:szCs w:val="24"/>
        </w:rPr>
      </w:pPr>
    </w:p>
    <w:p w14:paraId="66C288EE" w14:textId="77777777" w:rsidR="00B70485" w:rsidRPr="00B70485" w:rsidRDefault="00B70485" w:rsidP="00974F7D">
      <w:pPr>
        <w:widowControl/>
        <w:pBdr>
          <w:top w:val="single" w:sz="18" w:space="1" w:color="auto"/>
          <w:left w:val="single" w:sz="18" w:space="4" w:color="auto"/>
          <w:bottom w:val="single" w:sz="18" w:space="1" w:color="auto"/>
          <w:right w:val="single" w:sz="18" w:space="4" w:color="auto"/>
        </w:pBdr>
        <w:jc w:val="both"/>
        <w:rPr>
          <w:rFonts w:cs="Arial"/>
          <w:b/>
          <w:bCs/>
          <w:snapToGrid/>
          <w:szCs w:val="24"/>
        </w:rPr>
      </w:pPr>
    </w:p>
    <w:p w14:paraId="500BF2E5" w14:textId="77777777" w:rsidR="00B70485" w:rsidRPr="00B70485" w:rsidRDefault="00B70485" w:rsidP="00974F7D">
      <w:pPr>
        <w:widowControl/>
        <w:pBdr>
          <w:top w:val="single" w:sz="18" w:space="1" w:color="auto"/>
          <w:left w:val="single" w:sz="18" w:space="4" w:color="auto"/>
          <w:bottom w:val="single" w:sz="18" w:space="1" w:color="auto"/>
          <w:right w:val="single" w:sz="18" w:space="4" w:color="auto"/>
        </w:pBdr>
        <w:jc w:val="both"/>
        <w:rPr>
          <w:rFonts w:cs="Arial"/>
          <w:b/>
          <w:bCs/>
          <w:snapToGrid/>
          <w:szCs w:val="24"/>
        </w:rPr>
      </w:pPr>
    </w:p>
    <w:p w14:paraId="75720C43" w14:textId="77777777" w:rsidR="00B70485" w:rsidRPr="00EC3C49" w:rsidRDefault="00B70485" w:rsidP="00974F7D">
      <w:pPr>
        <w:widowControl/>
        <w:pBdr>
          <w:top w:val="single" w:sz="18" w:space="1" w:color="auto"/>
          <w:left w:val="single" w:sz="18" w:space="4" w:color="auto"/>
          <w:bottom w:val="single" w:sz="18" w:space="1" w:color="auto"/>
          <w:right w:val="single" w:sz="18" w:space="4" w:color="auto"/>
        </w:pBdr>
        <w:jc w:val="center"/>
        <w:rPr>
          <w:rFonts w:cs="Arial"/>
          <w:b/>
          <w:bCs/>
          <w:snapToGrid/>
          <w:sz w:val="26"/>
          <w:szCs w:val="28"/>
        </w:rPr>
      </w:pPr>
      <w:r w:rsidRPr="00EC3C49">
        <w:rPr>
          <w:rFonts w:cs="Arial"/>
          <w:b/>
          <w:bCs/>
          <w:snapToGrid/>
          <w:sz w:val="26"/>
          <w:szCs w:val="28"/>
        </w:rPr>
        <w:t>California Department of Education</w:t>
      </w:r>
    </w:p>
    <w:p w14:paraId="334D54B6" w14:textId="77777777" w:rsidR="00B70485" w:rsidRPr="00EC3C49" w:rsidRDefault="00B70485" w:rsidP="00974F7D">
      <w:pPr>
        <w:widowControl/>
        <w:pBdr>
          <w:top w:val="single" w:sz="18" w:space="1" w:color="auto"/>
          <w:left w:val="single" w:sz="18" w:space="4" w:color="auto"/>
          <w:bottom w:val="single" w:sz="18" w:space="1" w:color="auto"/>
          <w:right w:val="single" w:sz="18" w:space="4" w:color="auto"/>
        </w:pBdr>
        <w:rPr>
          <w:rFonts w:cs="Arial"/>
          <w:b/>
          <w:bCs/>
          <w:snapToGrid/>
          <w:sz w:val="26"/>
          <w:szCs w:val="28"/>
        </w:rPr>
      </w:pPr>
    </w:p>
    <w:p w14:paraId="38B79306" w14:textId="77777777" w:rsidR="00B70485" w:rsidRPr="00EC3C49" w:rsidRDefault="00B70485" w:rsidP="00974F7D">
      <w:pPr>
        <w:widowControl/>
        <w:pBdr>
          <w:top w:val="single" w:sz="18" w:space="1" w:color="auto"/>
          <w:left w:val="single" w:sz="18" w:space="4" w:color="auto"/>
          <w:bottom w:val="single" w:sz="18" w:space="1" w:color="auto"/>
          <w:right w:val="single" w:sz="18" w:space="4" w:color="auto"/>
        </w:pBdr>
        <w:jc w:val="center"/>
        <w:rPr>
          <w:rFonts w:cs="Arial"/>
          <w:b/>
          <w:bCs/>
          <w:snapToGrid/>
          <w:sz w:val="26"/>
          <w:szCs w:val="28"/>
        </w:rPr>
      </w:pPr>
    </w:p>
    <w:p w14:paraId="75901CE7" w14:textId="77777777" w:rsidR="00352119" w:rsidRPr="00EC3C49" w:rsidRDefault="00B70485" w:rsidP="00974F7D">
      <w:pPr>
        <w:widowControl/>
        <w:pBdr>
          <w:top w:val="single" w:sz="18" w:space="1" w:color="auto"/>
          <w:left w:val="single" w:sz="18" w:space="4" w:color="auto"/>
          <w:bottom w:val="single" w:sz="18" w:space="1" w:color="auto"/>
          <w:right w:val="single" w:sz="18" w:space="4" w:color="auto"/>
        </w:pBdr>
        <w:spacing w:after="120"/>
        <w:jc w:val="center"/>
        <w:rPr>
          <w:rFonts w:cs="Arial"/>
          <w:b/>
          <w:snapToGrid/>
          <w:sz w:val="26"/>
          <w:szCs w:val="28"/>
        </w:rPr>
      </w:pPr>
      <w:r w:rsidRPr="00EC3C49">
        <w:rPr>
          <w:rFonts w:cs="Arial"/>
          <w:b/>
          <w:snapToGrid/>
          <w:sz w:val="26"/>
          <w:szCs w:val="28"/>
        </w:rPr>
        <w:t xml:space="preserve">Report to the Governor, </w:t>
      </w:r>
      <w:r w:rsidR="005001C1" w:rsidRPr="00EC3C49">
        <w:rPr>
          <w:rFonts w:cs="Arial"/>
          <w:b/>
          <w:snapToGrid/>
          <w:sz w:val="26"/>
          <w:szCs w:val="28"/>
        </w:rPr>
        <w:t xml:space="preserve">the </w:t>
      </w:r>
      <w:r w:rsidR="00352119" w:rsidRPr="00EC3C49">
        <w:rPr>
          <w:rFonts w:cs="Arial"/>
          <w:b/>
          <w:snapToGrid/>
          <w:sz w:val="26"/>
          <w:szCs w:val="28"/>
        </w:rPr>
        <w:t xml:space="preserve">State </w:t>
      </w:r>
      <w:r w:rsidRPr="00EC3C49">
        <w:rPr>
          <w:rFonts w:cs="Arial"/>
          <w:b/>
          <w:snapToGrid/>
          <w:sz w:val="26"/>
          <w:szCs w:val="28"/>
        </w:rPr>
        <w:t xml:space="preserve">Legislature, and the </w:t>
      </w:r>
      <w:r w:rsidR="000649F3" w:rsidRPr="00EC3C49">
        <w:rPr>
          <w:rFonts w:cs="Arial"/>
          <w:b/>
          <w:snapToGrid/>
          <w:sz w:val="26"/>
          <w:szCs w:val="28"/>
        </w:rPr>
        <w:br/>
      </w:r>
      <w:r w:rsidRPr="00EC3C49">
        <w:rPr>
          <w:rFonts w:cs="Arial"/>
          <w:b/>
          <w:snapToGrid/>
          <w:sz w:val="26"/>
          <w:szCs w:val="28"/>
        </w:rPr>
        <w:t xml:space="preserve">Legislative Analyst’s Office: </w:t>
      </w:r>
    </w:p>
    <w:p w14:paraId="34B1ADF3" w14:textId="77777777" w:rsidR="00B70485" w:rsidRDefault="00B956B8" w:rsidP="00974F7D">
      <w:pPr>
        <w:pStyle w:val="Heading1"/>
        <w:pBdr>
          <w:top w:val="single" w:sz="18" w:space="1" w:color="auto"/>
          <w:left w:val="single" w:sz="18" w:space="4" w:color="auto"/>
          <w:bottom w:val="single" w:sz="18" w:space="1" w:color="auto"/>
          <w:right w:val="single" w:sz="18" w:space="4" w:color="auto"/>
        </w:pBdr>
        <w:rPr>
          <w:sz w:val="28"/>
        </w:rPr>
      </w:pPr>
      <w:bookmarkStart w:id="0" w:name="_Toc505780223"/>
      <w:r w:rsidRPr="00EC3C49">
        <w:t>California Assessment of Student Performance and Progress</w:t>
      </w:r>
      <w:r w:rsidR="00974F7D">
        <w:t xml:space="preserve"> </w:t>
      </w:r>
      <w:r w:rsidR="009208D4" w:rsidRPr="00EC3C49">
        <w:t>Annual</w:t>
      </w:r>
      <w:r w:rsidR="00E4256D" w:rsidRPr="00EC3C49">
        <w:t xml:space="preserve"> Implementation Update</w:t>
      </w:r>
      <w:r w:rsidR="00EA3B7B">
        <w:t xml:space="preserve"> and Five-Y</w:t>
      </w:r>
      <w:r w:rsidR="009208D4" w:rsidRPr="00EC3C49">
        <w:t>ear Cost Projection</w:t>
      </w:r>
      <w:bookmarkEnd w:id="0"/>
    </w:p>
    <w:p w14:paraId="1F6B09A3" w14:textId="77777777" w:rsidR="009208D4" w:rsidRPr="00B70485" w:rsidRDefault="009208D4" w:rsidP="00974F7D">
      <w:pPr>
        <w:widowControl/>
        <w:pBdr>
          <w:top w:val="single" w:sz="18" w:space="1" w:color="auto"/>
          <w:left w:val="single" w:sz="18" w:space="4" w:color="auto"/>
          <w:bottom w:val="single" w:sz="18" w:space="1" w:color="auto"/>
          <w:right w:val="single" w:sz="18" w:space="4" w:color="auto"/>
        </w:pBdr>
        <w:jc w:val="center"/>
        <w:rPr>
          <w:rFonts w:cs="Arial"/>
          <w:b/>
          <w:snapToGrid/>
          <w:sz w:val="28"/>
          <w:szCs w:val="28"/>
        </w:rPr>
      </w:pPr>
    </w:p>
    <w:p w14:paraId="685D7B31" w14:textId="77777777" w:rsidR="00B70485" w:rsidRPr="00EC3C49" w:rsidRDefault="00B70485" w:rsidP="00974F7D">
      <w:pPr>
        <w:widowControl/>
        <w:pBdr>
          <w:top w:val="single" w:sz="18" w:space="1" w:color="auto"/>
          <w:left w:val="single" w:sz="18" w:space="4" w:color="auto"/>
          <w:bottom w:val="single" w:sz="18" w:space="1" w:color="auto"/>
          <w:right w:val="single" w:sz="18" w:space="4" w:color="auto"/>
        </w:pBdr>
        <w:jc w:val="center"/>
        <w:rPr>
          <w:rFonts w:cs="Arial"/>
          <w:b/>
          <w:bCs/>
          <w:snapToGrid/>
          <w:sz w:val="28"/>
          <w:szCs w:val="28"/>
        </w:rPr>
      </w:pPr>
    </w:p>
    <w:p w14:paraId="654C03DB" w14:textId="77777777" w:rsidR="00F97727" w:rsidRDefault="0063318A" w:rsidP="00974F7D">
      <w:pPr>
        <w:widowControl/>
        <w:pBdr>
          <w:top w:val="single" w:sz="18" w:space="1" w:color="auto"/>
          <w:left w:val="single" w:sz="18" w:space="4" w:color="auto"/>
          <w:bottom w:val="single" w:sz="18" w:space="1" w:color="auto"/>
          <w:right w:val="single" w:sz="18" w:space="4" w:color="auto"/>
        </w:pBdr>
        <w:jc w:val="center"/>
        <w:rPr>
          <w:rFonts w:cs="Arial"/>
          <w:b/>
          <w:bCs/>
          <w:iCs/>
          <w:snapToGrid/>
          <w:sz w:val="22"/>
          <w:szCs w:val="22"/>
        </w:rPr>
      </w:pPr>
      <w:r>
        <w:rPr>
          <w:rFonts w:cs="Arial"/>
          <w:noProof/>
          <w:snapToGrid/>
          <w:color w:val="C0C0C0"/>
          <w:szCs w:val="24"/>
        </w:rPr>
        <w:drawing>
          <wp:inline distT="0" distB="0" distL="0" distR="0" wp14:anchorId="699B1E94" wp14:editId="7EF10DBF">
            <wp:extent cx="2085975" cy="2085975"/>
            <wp:effectExtent l="0" t="0" r="9525" b="9525"/>
            <wp:docPr id="1"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303CC878" w14:textId="77777777" w:rsidR="00F97727" w:rsidRDefault="00F97727" w:rsidP="00974F7D">
      <w:pPr>
        <w:widowControl/>
        <w:pBdr>
          <w:top w:val="single" w:sz="18" w:space="1" w:color="auto"/>
          <w:left w:val="single" w:sz="18" w:space="4" w:color="auto"/>
          <w:bottom w:val="single" w:sz="18" w:space="1" w:color="auto"/>
          <w:right w:val="single" w:sz="18" w:space="4" w:color="auto"/>
        </w:pBdr>
        <w:jc w:val="center"/>
        <w:rPr>
          <w:rFonts w:cs="Arial"/>
          <w:b/>
          <w:bCs/>
          <w:iCs/>
          <w:snapToGrid/>
          <w:sz w:val="22"/>
          <w:szCs w:val="22"/>
        </w:rPr>
      </w:pPr>
    </w:p>
    <w:p w14:paraId="26E36A41" w14:textId="77777777" w:rsidR="00B70485" w:rsidRPr="00EC3C49" w:rsidRDefault="00B70485" w:rsidP="00974F7D">
      <w:pPr>
        <w:widowControl/>
        <w:pBdr>
          <w:top w:val="single" w:sz="18" w:space="1" w:color="auto"/>
          <w:left w:val="single" w:sz="18" w:space="4" w:color="auto"/>
          <w:bottom w:val="single" w:sz="18" w:space="1" w:color="auto"/>
          <w:right w:val="single" w:sz="18" w:space="4" w:color="auto"/>
        </w:pBdr>
        <w:jc w:val="center"/>
        <w:rPr>
          <w:rFonts w:cs="Arial"/>
          <w:b/>
          <w:bCs/>
          <w:iCs/>
          <w:snapToGrid/>
          <w:sz w:val="22"/>
          <w:szCs w:val="22"/>
        </w:rPr>
      </w:pPr>
      <w:r w:rsidRPr="00EC3C49">
        <w:rPr>
          <w:rFonts w:cs="Arial"/>
          <w:b/>
          <w:bCs/>
          <w:iCs/>
          <w:snapToGrid/>
          <w:sz w:val="22"/>
          <w:szCs w:val="22"/>
        </w:rPr>
        <w:t>Prepared by</w:t>
      </w:r>
      <w:r w:rsidR="00352119" w:rsidRPr="00EC3C49">
        <w:rPr>
          <w:rFonts w:cs="Arial"/>
          <w:b/>
          <w:bCs/>
          <w:iCs/>
          <w:snapToGrid/>
          <w:sz w:val="22"/>
          <w:szCs w:val="22"/>
        </w:rPr>
        <w:t xml:space="preserve"> the</w:t>
      </w:r>
    </w:p>
    <w:p w14:paraId="7D6FFE1A" w14:textId="77777777" w:rsidR="00B70485" w:rsidRPr="00B70485" w:rsidRDefault="00B70485" w:rsidP="00974F7D">
      <w:pPr>
        <w:widowControl/>
        <w:pBdr>
          <w:top w:val="single" w:sz="18" w:space="1" w:color="auto"/>
          <w:left w:val="single" w:sz="18" w:space="4" w:color="auto"/>
          <w:bottom w:val="single" w:sz="18" w:space="1" w:color="auto"/>
          <w:right w:val="single" w:sz="18" w:space="4" w:color="auto"/>
        </w:pBdr>
        <w:jc w:val="center"/>
        <w:rPr>
          <w:rFonts w:cs="Arial"/>
          <w:b/>
          <w:bCs/>
          <w:snapToGrid/>
          <w:szCs w:val="24"/>
        </w:rPr>
      </w:pPr>
    </w:p>
    <w:p w14:paraId="4C741804" w14:textId="77777777" w:rsidR="00B70485" w:rsidRPr="00974F7D" w:rsidRDefault="00B70485" w:rsidP="00974F7D">
      <w:pPr>
        <w:pBdr>
          <w:top w:val="single" w:sz="18" w:space="1" w:color="auto"/>
          <w:left w:val="single" w:sz="18" w:space="4" w:color="auto"/>
          <w:bottom w:val="single" w:sz="18" w:space="1" w:color="auto"/>
          <w:right w:val="single" w:sz="18" w:space="4" w:color="auto"/>
        </w:pBdr>
        <w:jc w:val="center"/>
        <w:rPr>
          <w:b/>
          <w:szCs w:val="24"/>
        </w:rPr>
      </w:pPr>
      <w:r w:rsidRPr="00974F7D">
        <w:rPr>
          <w:b/>
          <w:szCs w:val="24"/>
        </w:rPr>
        <w:t>Assessment Development and Administration Division</w:t>
      </w:r>
    </w:p>
    <w:p w14:paraId="1CCA32F0" w14:textId="77777777" w:rsidR="00B70485" w:rsidRPr="00974F7D" w:rsidRDefault="004D6CB5" w:rsidP="00974F7D">
      <w:pPr>
        <w:pBdr>
          <w:top w:val="single" w:sz="18" w:space="1" w:color="auto"/>
          <w:left w:val="single" w:sz="18" w:space="4" w:color="auto"/>
          <w:bottom w:val="single" w:sz="18" w:space="1" w:color="auto"/>
          <w:right w:val="single" w:sz="18" w:space="4" w:color="auto"/>
        </w:pBdr>
        <w:jc w:val="center"/>
        <w:rPr>
          <w:b/>
          <w:szCs w:val="24"/>
        </w:rPr>
      </w:pPr>
      <w:r w:rsidRPr="00974F7D">
        <w:rPr>
          <w:b/>
          <w:szCs w:val="24"/>
        </w:rPr>
        <w:t>Performance</w:t>
      </w:r>
      <w:r w:rsidR="00B70485" w:rsidRPr="00974F7D">
        <w:rPr>
          <w:b/>
          <w:szCs w:val="24"/>
        </w:rPr>
        <w:t xml:space="preserve">, </w:t>
      </w:r>
      <w:r w:rsidRPr="00974F7D">
        <w:rPr>
          <w:b/>
          <w:szCs w:val="24"/>
        </w:rPr>
        <w:t>Planning</w:t>
      </w:r>
      <w:r w:rsidR="00B70485" w:rsidRPr="00974F7D">
        <w:rPr>
          <w:b/>
          <w:szCs w:val="24"/>
        </w:rPr>
        <w:t xml:space="preserve">, and </w:t>
      </w:r>
      <w:r w:rsidRPr="00974F7D">
        <w:rPr>
          <w:b/>
          <w:szCs w:val="24"/>
        </w:rPr>
        <w:t>Technology</w:t>
      </w:r>
      <w:r w:rsidR="00B70485" w:rsidRPr="00974F7D">
        <w:rPr>
          <w:b/>
          <w:szCs w:val="24"/>
        </w:rPr>
        <w:t xml:space="preserve"> Branch</w:t>
      </w:r>
    </w:p>
    <w:p w14:paraId="1410E0BB" w14:textId="77777777" w:rsidR="00B70485" w:rsidRPr="00BA412F" w:rsidRDefault="00B70485" w:rsidP="00974F7D">
      <w:pPr>
        <w:widowControl/>
        <w:pBdr>
          <w:top w:val="single" w:sz="18" w:space="1" w:color="auto"/>
          <w:left w:val="single" w:sz="18" w:space="4" w:color="auto"/>
          <w:bottom w:val="single" w:sz="18" w:space="1" w:color="auto"/>
          <w:right w:val="single" w:sz="18" w:space="4" w:color="auto"/>
        </w:pBdr>
        <w:jc w:val="center"/>
        <w:rPr>
          <w:rFonts w:cs="Arial"/>
          <w:b/>
          <w:bCs/>
          <w:snapToGrid/>
          <w:szCs w:val="24"/>
        </w:rPr>
      </w:pPr>
    </w:p>
    <w:p w14:paraId="668A1A9B" w14:textId="77777777" w:rsidR="00B70485" w:rsidRPr="00EC3C49" w:rsidRDefault="009C30ED" w:rsidP="00974F7D">
      <w:pPr>
        <w:widowControl/>
        <w:pBdr>
          <w:top w:val="single" w:sz="18" w:space="1" w:color="auto"/>
          <w:left w:val="single" w:sz="18" w:space="4" w:color="auto"/>
          <w:bottom w:val="single" w:sz="18" w:space="1" w:color="auto"/>
          <w:right w:val="single" w:sz="18" w:space="4" w:color="auto"/>
        </w:pBdr>
        <w:jc w:val="center"/>
        <w:rPr>
          <w:rFonts w:cs="Arial"/>
          <w:b/>
          <w:iCs/>
          <w:snapToGrid/>
          <w:sz w:val="22"/>
          <w:szCs w:val="22"/>
        </w:rPr>
      </w:pPr>
      <w:r>
        <w:rPr>
          <w:rFonts w:cs="Arial"/>
          <w:b/>
          <w:iCs/>
          <w:snapToGrid/>
          <w:sz w:val="22"/>
          <w:szCs w:val="22"/>
        </w:rPr>
        <w:t>December</w:t>
      </w:r>
      <w:r w:rsidR="0037631D" w:rsidRPr="00BA412F">
        <w:rPr>
          <w:rFonts w:cs="Arial"/>
          <w:b/>
          <w:iCs/>
          <w:snapToGrid/>
          <w:sz w:val="22"/>
          <w:szCs w:val="22"/>
        </w:rPr>
        <w:t xml:space="preserve"> </w:t>
      </w:r>
      <w:r w:rsidR="008731BE" w:rsidRPr="00BA412F">
        <w:rPr>
          <w:rFonts w:cs="Arial"/>
          <w:b/>
          <w:iCs/>
          <w:snapToGrid/>
          <w:sz w:val="22"/>
          <w:szCs w:val="22"/>
        </w:rPr>
        <w:t>201</w:t>
      </w:r>
      <w:r w:rsidR="00E869CB" w:rsidRPr="00BA412F">
        <w:rPr>
          <w:rFonts w:cs="Arial"/>
          <w:b/>
          <w:iCs/>
          <w:snapToGrid/>
          <w:sz w:val="22"/>
          <w:szCs w:val="22"/>
        </w:rPr>
        <w:t>7</w:t>
      </w:r>
    </w:p>
    <w:p w14:paraId="5B2BA0BF" w14:textId="77777777" w:rsidR="00B70485" w:rsidRDefault="00B70485" w:rsidP="00974F7D">
      <w:pPr>
        <w:widowControl/>
        <w:pBdr>
          <w:top w:val="single" w:sz="18" w:space="1" w:color="auto"/>
          <w:left w:val="single" w:sz="18" w:space="4" w:color="auto"/>
          <w:bottom w:val="single" w:sz="18" w:space="1" w:color="auto"/>
          <w:right w:val="single" w:sz="18" w:space="4" w:color="auto"/>
        </w:pBdr>
        <w:jc w:val="center"/>
        <w:rPr>
          <w:rFonts w:cs="Arial"/>
          <w:iCs/>
          <w:snapToGrid/>
          <w:szCs w:val="24"/>
        </w:rPr>
      </w:pPr>
    </w:p>
    <w:p w14:paraId="33C2A391" w14:textId="77777777" w:rsidR="00727EF9" w:rsidRPr="00727EF9" w:rsidRDefault="00B70485" w:rsidP="00974F7D">
      <w:pPr>
        <w:widowControl/>
        <w:pBdr>
          <w:top w:val="single" w:sz="18" w:space="1" w:color="auto"/>
          <w:left w:val="single" w:sz="18" w:space="4" w:color="auto"/>
          <w:bottom w:val="single" w:sz="18" w:space="1" w:color="auto"/>
          <w:right w:val="single" w:sz="18" w:space="4" w:color="auto"/>
        </w:pBdr>
        <w:tabs>
          <w:tab w:val="left" w:pos="1080"/>
          <w:tab w:val="left" w:pos="1170"/>
        </w:tabs>
        <w:ind w:left="1080" w:hanging="1080"/>
        <w:rPr>
          <w:rFonts w:cs="Arial"/>
          <w:snapToGrid/>
          <w:sz w:val="18"/>
          <w:szCs w:val="18"/>
          <w:lang w:bidi="en-US"/>
        </w:rPr>
      </w:pPr>
      <w:r w:rsidRPr="00B70485">
        <w:rPr>
          <w:rFonts w:cs="Arial"/>
          <w:i/>
          <w:snapToGrid/>
          <w:sz w:val="18"/>
          <w:szCs w:val="18"/>
          <w:lang w:bidi="en-US"/>
        </w:rPr>
        <w:t>Description</w:t>
      </w:r>
      <w:r w:rsidR="003F4305">
        <w:rPr>
          <w:rFonts w:cs="Arial"/>
          <w:snapToGrid/>
          <w:sz w:val="18"/>
          <w:szCs w:val="18"/>
          <w:lang w:bidi="en-US"/>
        </w:rPr>
        <w:t>:</w:t>
      </w:r>
      <w:r w:rsidR="00FE2C24">
        <w:rPr>
          <w:rFonts w:cs="Arial"/>
          <w:snapToGrid/>
          <w:sz w:val="18"/>
          <w:szCs w:val="18"/>
          <w:lang w:bidi="en-US"/>
        </w:rPr>
        <w:tab/>
      </w:r>
      <w:r w:rsidR="00727EF9">
        <w:rPr>
          <w:rFonts w:cs="Arial"/>
          <w:snapToGrid/>
          <w:sz w:val="18"/>
          <w:szCs w:val="18"/>
          <w:lang w:bidi="en-US"/>
        </w:rPr>
        <w:t>California Assessment of Student</w:t>
      </w:r>
      <w:r w:rsidR="009208D4">
        <w:rPr>
          <w:rFonts w:cs="Arial"/>
          <w:snapToGrid/>
          <w:sz w:val="18"/>
          <w:szCs w:val="18"/>
          <w:lang w:bidi="en-US"/>
        </w:rPr>
        <w:t xml:space="preserve"> </w:t>
      </w:r>
      <w:r w:rsidR="00727EF9" w:rsidRPr="00727EF9">
        <w:rPr>
          <w:rFonts w:cs="Arial"/>
          <w:snapToGrid/>
          <w:sz w:val="18"/>
          <w:szCs w:val="18"/>
          <w:lang w:bidi="en-US"/>
        </w:rPr>
        <w:t>Performance and Progress</w:t>
      </w:r>
      <w:r w:rsidR="009208D4">
        <w:rPr>
          <w:rFonts w:cs="Arial"/>
          <w:snapToGrid/>
          <w:sz w:val="18"/>
          <w:szCs w:val="18"/>
          <w:lang w:bidi="en-US"/>
        </w:rPr>
        <w:t xml:space="preserve"> Annual Implementation Update </w:t>
      </w:r>
      <w:r w:rsidR="002545E1">
        <w:rPr>
          <w:rFonts w:cs="Arial"/>
          <w:snapToGrid/>
          <w:sz w:val="18"/>
          <w:szCs w:val="18"/>
          <w:lang w:bidi="en-US"/>
        </w:rPr>
        <w:t xml:space="preserve">(covering </w:t>
      </w:r>
      <w:r w:rsidR="00AF64F1">
        <w:rPr>
          <w:rFonts w:cs="Arial"/>
          <w:snapToGrid/>
          <w:sz w:val="18"/>
          <w:szCs w:val="18"/>
          <w:lang w:bidi="en-US"/>
        </w:rPr>
        <w:t xml:space="preserve">the 2016 </w:t>
      </w:r>
      <w:r w:rsidR="002545E1">
        <w:rPr>
          <w:rFonts w:cs="Arial"/>
          <w:snapToGrid/>
          <w:sz w:val="18"/>
          <w:szCs w:val="18"/>
          <w:lang w:bidi="en-US"/>
        </w:rPr>
        <w:t xml:space="preserve">calendar year) </w:t>
      </w:r>
      <w:r w:rsidR="009208D4">
        <w:rPr>
          <w:rFonts w:cs="Arial"/>
          <w:snapToGrid/>
          <w:sz w:val="18"/>
          <w:szCs w:val="18"/>
          <w:lang w:bidi="en-US"/>
        </w:rPr>
        <w:t xml:space="preserve">and </w:t>
      </w:r>
      <w:r w:rsidR="00EA3B7B">
        <w:rPr>
          <w:rFonts w:cs="Arial"/>
          <w:snapToGrid/>
          <w:sz w:val="18"/>
          <w:szCs w:val="18"/>
          <w:lang w:bidi="en-US"/>
        </w:rPr>
        <w:t>Five-Y</w:t>
      </w:r>
      <w:r w:rsidR="009208D4">
        <w:rPr>
          <w:rFonts w:cs="Arial"/>
          <w:snapToGrid/>
          <w:sz w:val="18"/>
          <w:szCs w:val="18"/>
          <w:lang w:bidi="en-US"/>
        </w:rPr>
        <w:t>ear Cost Projection</w:t>
      </w:r>
      <w:r w:rsidR="00AA72A1">
        <w:rPr>
          <w:rFonts w:cs="Arial"/>
          <w:snapToGrid/>
          <w:sz w:val="18"/>
          <w:szCs w:val="18"/>
          <w:lang w:bidi="en-US"/>
        </w:rPr>
        <w:t xml:space="preserve"> </w:t>
      </w:r>
    </w:p>
    <w:p w14:paraId="4D09C5E5" w14:textId="77777777" w:rsidR="003F4305" w:rsidRDefault="003F4305" w:rsidP="00974F7D">
      <w:pPr>
        <w:widowControl/>
        <w:pBdr>
          <w:top w:val="single" w:sz="18" w:space="1" w:color="auto"/>
          <w:left w:val="single" w:sz="18" w:space="4" w:color="auto"/>
          <w:bottom w:val="single" w:sz="18" w:space="1" w:color="auto"/>
          <w:right w:val="single" w:sz="18" w:space="4" w:color="auto"/>
        </w:pBdr>
        <w:tabs>
          <w:tab w:val="left" w:pos="1080"/>
          <w:tab w:val="left" w:pos="1170"/>
        </w:tabs>
        <w:ind w:left="1170" w:hanging="1170"/>
        <w:jc w:val="both"/>
        <w:rPr>
          <w:rFonts w:cs="Arial"/>
          <w:snapToGrid/>
          <w:sz w:val="18"/>
          <w:szCs w:val="18"/>
          <w:lang w:bidi="en-US"/>
        </w:rPr>
      </w:pPr>
    </w:p>
    <w:p w14:paraId="0AF9C254" w14:textId="77777777" w:rsidR="00B70485" w:rsidRDefault="00B70485" w:rsidP="00974F7D">
      <w:pPr>
        <w:widowControl/>
        <w:pBdr>
          <w:top w:val="single" w:sz="18" w:space="1" w:color="auto"/>
          <w:left w:val="single" w:sz="18" w:space="4" w:color="auto"/>
          <w:bottom w:val="single" w:sz="18" w:space="1" w:color="auto"/>
          <w:right w:val="single" w:sz="18" w:space="4" w:color="auto"/>
        </w:pBdr>
        <w:tabs>
          <w:tab w:val="left" w:pos="1080"/>
        </w:tabs>
        <w:jc w:val="both"/>
        <w:rPr>
          <w:rFonts w:cs="Arial"/>
          <w:sz w:val="18"/>
          <w:szCs w:val="18"/>
        </w:rPr>
      </w:pPr>
      <w:r w:rsidRPr="00B70485">
        <w:rPr>
          <w:rFonts w:cs="Arial"/>
          <w:i/>
          <w:snapToGrid/>
          <w:sz w:val="18"/>
          <w:szCs w:val="18"/>
          <w:lang w:bidi="en-US"/>
        </w:rPr>
        <w:t>Authority</w:t>
      </w:r>
      <w:r w:rsidRPr="00B70485">
        <w:rPr>
          <w:rFonts w:cs="Arial"/>
          <w:snapToGrid/>
          <w:sz w:val="18"/>
          <w:szCs w:val="18"/>
          <w:lang w:bidi="en-US"/>
        </w:rPr>
        <w:t>:</w:t>
      </w:r>
      <w:r w:rsidR="00FE2C24">
        <w:rPr>
          <w:rFonts w:cs="Arial"/>
          <w:snapToGrid/>
          <w:sz w:val="18"/>
          <w:szCs w:val="18"/>
          <w:lang w:bidi="en-US"/>
        </w:rPr>
        <w:tab/>
      </w:r>
      <w:r w:rsidR="00541413">
        <w:rPr>
          <w:rFonts w:cs="Arial"/>
          <w:snapToGrid/>
          <w:sz w:val="18"/>
          <w:szCs w:val="18"/>
          <w:lang w:bidi="en-US"/>
        </w:rPr>
        <w:t xml:space="preserve">California </w:t>
      </w:r>
      <w:r w:rsidR="00541413" w:rsidRPr="005001C1">
        <w:rPr>
          <w:rFonts w:cs="Arial"/>
          <w:i/>
          <w:snapToGrid/>
          <w:sz w:val="18"/>
          <w:szCs w:val="18"/>
          <w:lang w:bidi="en-US"/>
        </w:rPr>
        <w:t>Education Code</w:t>
      </w:r>
      <w:r w:rsidR="00541413">
        <w:rPr>
          <w:rFonts w:cs="Arial"/>
          <w:i/>
          <w:snapToGrid/>
          <w:sz w:val="18"/>
          <w:szCs w:val="18"/>
          <w:lang w:bidi="en-US"/>
        </w:rPr>
        <w:t xml:space="preserve"> </w:t>
      </w:r>
      <w:r w:rsidRPr="00B70485">
        <w:rPr>
          <w:rFonts w:cs="Arial"/>
          <w:snapToGrid/>
          <w:sz w:val="18"/>
          <w:szCs w:val="18"/>
          <w:lang w:bidi="en-US"/>
        </w:rPr>
        <w:t xml:space="preserve">Section </w:t>
      </w:r>
      <w:r w:rsidRPr="00B70485">
        <w:rPr>
          <w:rFonts w:cs="Arial"/>
          <w:sz w:val="18"/>
          <w:szCs w:val="18"/>
        </w:rPr>
        <w:t>60604(b)</w:t>
      </w:r>
    </w:p>
    <w:p w14:paraId="2AA0C5B7" w14:textId="77777777" w:rsidR="00541413" w:rsidRPr="00B70485" w:rsidRDefault="00541413" w:rsidP="00974F7D">
      <w:pPr>
        <w:widowControl/>
        <w:pBdr>
          <w:top w:val="single" w:sz="18" w:space="1" w:color="auto"/>
          <w:left w:val="single" w:sz="18" w:space="4" w:color="auto"/>
          <w:bottom w:val="single" w:sz="18" w:space="1" w:color="auto"/>
          <w:right w:val="single" w:sz="18" w:space="4" w:color="auto"/>
        </w:pBdr>
        <w:tabs>
          <w:tab w:val="left" w:pos="1080"/>
        </w:tabs>
        <w:jc w:val="both"/>
        <w:rPr>
          <w:rFonts w:cs="Arial"/>
          <w:i/>
          <w:snapToGrid/>
          <w:sz w:val="18"/>
          <w:szCs w:val="18"/>
          <w:lang w:bidi="en-US"/>
        </w:rPr>
      </w:pPr>
    </w:p>
    <w:p w14:paraId="74CDD5F8" w14:textId="77777777" w:rsidR="00727EF9" w:rsidRDefault="00B70485" w:rsidP="00974F7D">
      <w:pPr>
        <w:widowControl/>
        <w:pBdr>
          <w:top w:val="single" w:sz="18" w:space="1" w:color="auto"/>
          <w:left w:val="single" w:sz="18" w:space="4" w:color="auto"/>
          <w:bottom w:val="single" w:sz="18" w:space="1" w:color="auto"/>
          <w:right w:val="single" w:sz="18" w:space="4" w:color="auto"/>
        </w:pBdr>
        <w:tabs>
          <w:tab w:val="left" w:pos="1080"/>
        </w:tabs>
        <w:ind w:left="1080" w:hanging="1080"/>
        <w:rPr>
          <w:rFonts w:cs="Arial"/>
          <w:snapToGrid/>
          <w:sz w:val="18"/>
          <w:szCs w:val="18"/>
          <w:lang w:bidi="en-US"/>
        </w:rPr>
      </w:pPr>
      <w:r w:rsidRPr="00B70485">
        <w:rPr>
          <w:rFonts w:cs="Arial"/>
          <w:i/>
          <w:snapToGrid/>
          <w:sz w:val="18"/>
          <w:szCs w:val="18"/>
          <w:lang w:bidi="en-US"/>
        </w:rPr>
        <w:t>Recipient</w:t>
      </w:r>
      <w:r w:rsidRPr="00B70485">
        <w:rPr>
          <w:rFonts w:cs="Arial"/>
          <w:snapToGrid/>
          <w:sz w:val="18"/>
          <w:szCs w:val="18"/>
          <w:lang w:bidi="en-US"/>
        </w:rPr>
        <w:t>:</w:t>
      </w:r>
      <w:r w:rsidR="00FE2C24">
        <w:rPr>
          <w:rFonts w:cs="Arial"/>
          <w:snapToGrid/>
          <w:sz w:val="18"/>
          <w:szCs w:val="18"/>
          <w:lang w:bidi="en-US"/>
        </w:rPr>
        <w:tab/>
      </w:r>
      <w:r w:rsidR="005001C1">
        <w:rPr>
          <w:rFonts w:cs="Arial"/>
          <w:snapToGrid/>
          <w:sz w:val="18"/>
          <w:szCs w:val="18"/>
          <w:lang w:bidi="en-US"/>
        </w:rPr>
        <w:t xml:space="preserve">The </w:t>
      </w:r>
      <w:r w:rsidRPr="00B70485">
        <w:rPr>
          <w:rFonts w:cs="Arial"/>
          <w:snapToGrid/>
          <w:sz w:val="18"/>
          <w:szCs w:val="18"/>
          <w:lang w:bidi="en-US"/>
        </w:rPr>
        <w:t xml:space="preserve">Governor, </w:t>
      </w:r>
      <w:r w:rsidR="005001C1">
        <w:rPr>
          <w:rFonts w:cs="Arial"/>
          <w:snapToGrid/>
          <w:sz w:val="18"/>
          <w:szCs w:val="18"/>
          <w:lang w:bidi="en-US"/>
        </w:rPr>
        <w:t xml:space="preserve">the </w:t>
      </w:r>
      <w:r w:rsidRPr="00B70485">
        <w:rPr>
          <w:rFonts w:cs="Arial"/>
          <w:snapToGrid/>
          <w:sz w:val="18"/>
          <w:szCs w:val="18"/>
          <w:lang w:bidi="en-US"/>
        </w:rPr>
        <w:t>Leg</w:t>
      </w:r>
      <w:r w:rsidR="00727EF9">
        <w:rPr>
          <w:rFonts w:cs="Arial"/>
          <w:snapToGrid/>
          <w:sz w:val="18"/>
          <w:szCs w:val="18"/>
          <w:lang w:bidi="en-US"/>
        </w:rPr>
        <w:t xml:space="preserve">islature, </w:t>
      </w:r>
      <w:r w:rsidRPr="00B70485">
        <w:rPr>
          <w:rFonts w:cs="Arial"/>
          <w:snapToGrid/>
          <w:sz w:val="18"/>
          <w:szCs w:val="18"/>
          <w:lang w:bidi="en-US"/>
        </w:rPr>
        <w:t>the Legislative Analyst’s Office</w:t>
      </w:r>
      <w:r w:rsidR="00727EF9">
        <w:rPr>
          <w:rFonts w:cs="Arial"/>
          <w:snapToGrid/>
          <w:sz w:val="18"/>
          <w:szCs w:val="18"/>
          <w:lang w:bidi="en-US"/>
        </w:rPr>
        <w:t>, the Department of Finance, the State Board of Education, and the respective Chairpersons of the appropriate fiscal subcommittees considering budget appropriations and the appropriate policy committees in each house</w:t>
      </w:r>
    </w:p>
    <w:p w14:paraId="179678CB" w14:textId="77777777" w:rsidR="00B70485" w:rsidRPr="00B70485" w:rsidRDefault="00B70485" w:rsidP="00974F7D">
      <w:pPr>
        <w:widowControl/>
        <w:pBdr>
          <w:top w:val="single" w:sz="18" w:space="1" w:color="auto"/>
          <w:left w:val="single" w:sz="18" w:space="4" w:color="auto"/>
          <w:bottom w:val="single" w:sz="18" w:space="1" w:color="auto"/>
          <w:right w:val="single" w:sz="18" w:space="4" w:color="auto"/>
        </w:pBdr>
        <w:jc w:val="both"/>
        <w:rPr>
          <w:rFonts w:cs="Arial"/>
          <w:i/>
          <w:snapToGrid/>
          <w:sz w:val="18"/>
          <w:szCs w:val="18"/>
          <w:lang w:bidi="en-US"/>
        </w:rPr>
      </w:pPr>
    </w:p>
    <w:p w14:paraId="02A4B43B" w14:textId="77777777" w:rsidR="004D164B" w:rsidRDefault="004D164B" w:rsidP="00974F7D">
      <w:pPr>
        <w:widowControl/>
        <w:pBdr>
          <w:top w:val="single" w:sz="18" w:space="1" w:color="auto"/>
          <w:left w:val="single" w:sz="18" w:space="4" w:color="auto"/>
          <w:bottom w:val="single" w:sz="18" w:space="1" w:color="auto"/>
          <w:right w:val="single" w:sz="18" w:space="4" w:color="auto"/>
        </w:pBdr>
        <w:tabs>
          <w:tab w:val="left" w:pos="1080"/>
        </w:tabs>
        <w:spacing w:after="240"/>
        <w:jc w:val="both"/>
        <w:rPr>
          <w:rFonts w:cs="Arial"/>
          <w:snapToGrid/>
          <w:sz w:val="18"/>
          <w:szCs w:val="18"/>
          <w:lang w:bidi="en-US"/>
        </w:rPr>
      </w:pPr>
      <w:r>
        <w:rPr>
          <w:rFonts w:cs="Arial"/>
          <w:i/>
          <w:snapToGrid/>
          <w:sz w:val="18"/>
          <w:szCs w:val="18"/>
          <w:lang w:bidi="en-US"/>
        </w:rPr>
        <w:t xml:space="preserve">Due </w:t>
      </w:r>
      <w:r w:rsidR="00B70485" w:rsidRPr="00B70485">
        <w:rPr>
          <w:rFonts w:cs="Arial"/>
          <w:i/>
          <w:snapToGrid/>
          <w:sz w:val="18"/>
          <w:szCs w:val="18"/>
          <w:lang w:bidi="en-US"/>
        </w:rPr>
        <w:t>Date</w:t>
      </w:r>
      <w:r w:rsidR="00727EF9">
        <w:rPr>
          <w:rFonts w:cs="Arial"/>
          <w:snapToGrid/>
          <w:sz w:val="18"/>
          <w:szCs w:val="18"/>
          <w:lang w:bidi="en-US"/>
        </w:rPr>
        <w:t xml:space="preserve">: </w:t>
      </w:r>
      <w:r w:rsidR="0089666A">
        <w:rPr>
          <w:rFonts w:cs="Arial"/>
          <w:snapToGrid/>
          <w:sz w:val="18"/>
          <w:szCs w:val="18"/>
          <w:lang w:bidi="en-US"/>
        </w:rPr>
        <w:tab/>
      </w:r>
      <w:r w:rsidR="00DF766C">
        <w:rPr>
          <w:rFonts w:cs="Arial"/>
          <w:snapToGrid/>
          <w:sz w:val="18"/>
          <w:szCs w:val="18"/>
          <w:lang w:bidi="en-US"/>
        </w:rPr>
        <w:t xml:space="preserve">On or before </w:t>
      </w:r>
      <w:r w:rsidR="00590663">
        <w:rPr>
          <w:rFonts w:cs="Arial"/>
          <w:snapToGrid/>
          <w:sz w:val="18"/>
          <w:szCs w:val="18"/>
          <w:lang w:bidi="en-US"/>
        </w:rPr>
        <w:t>March 1 of each year</w:t>
      </w:r>
    </w:p>
    <w:p w14:paraId="03A2DC8E" w14:textId="77777777" w:rsidR="00F92492" w:rsidRDefault="00F92492" w:rsidP="00974F7D">
      <w:pPr>
        <w:widowControl/>
        <w:pBdr>
          <w:top w:val="single" w:sz="18" w:space="1" w:color="auto"/>
          <w:left w:val="single" w:sz="18" w:space="4" w:color="auto"/>
          <w:bottom w:val="single" w:sz="18" w:space="1" w:color="auto"/>
          <w:right w:val="single" w:sz="18" w:space="4" w:color="auto"/>
        </w:pBdr>
        <w:tabs>
          <w:tab w:val="left" w:pos="1080"/>
        </w:tabs>
        <w:spacing w:after="240"/>
        <w:jc w:val="both"/>
        <w:rPr>
          <w:rFonts w:cs="Arial"/>
          <w:snapToGrid/>
          <w:sz w:val="18"/>
          <w:szCs w:val="18"/>
          <w:lang w:bidi="en-US"/>
        </w:rPr>
      </w:pPr>
    </w:p>
    <w:p w14:paraId="19F3F202" w14:textId="77777777" w:rsidR="00F92492" w:rsidRDefault="00F92492" w:rsidP="00974F7D">
      <w:pPr>
        <w:widowControl/>
        <w:pBdr>
          <w:top w:val="single" w:sz="18" w:space="1" w:color="auto"/>
          <w:left w:val="single" w:sz="18" w:space="4" w:color="auto"/>
          <w:bottom w:val="single" w:sz="18" w:space="1" w:color="auto"/>
          <w:right w:val="single" w:sz="18" w:space="4" w:color="auto"/>
        </w:pBdr>
        <w:tabs>
          <w:tab w:val="left" w:pos="1080"/>
        </w:tabs>
        <w:spacing w:after="240"/>
        <w:jc w:val="both"/>
        <w:rPr>
          <w:rFonts w:cs="Arial"/>
          <w:snapToGrid/>
          <w:sz w:val="18"/>
          <w:szCs w:val="18"/>
          <w:lang w:bidi="en-US"/>
        </w:rPr>
      </w:pPr>
    </w:p>
    <w:sdt>
      <w:sdtPr>
        <w:rPr>
          <w:rFonts w:ascii="Arial" w:eastAsia="Times New Roman" w:hAnsi="Arial" w:cs="Times New Roman"/>
          <w:snapToGrid w:val="0"/>
          <w:color w:val="auto"/>
          <w:sz w:val="24"/>
          <w:szCs w:val="20"/>
        </w:rPr>
        <w:id w:val="-1973587915"/>
        <w:docPartObj>
          <w:docPartGallery w:val="Table of Contents"/>
          <w:docPartUnique/>
        </w:docPartObj>
      </w:sdtPr>
      <w:sdtEndPr>
        <w:rPr>
          <w:b/>
          <w:bCs/>
          <w:noProof/>
        </w:rPr>
      </w:sdtEndPr>
      <w:sdtContent>
        <w:p w14:paraId="3E97E699" w14:textId="77777777" w:rsidR="00974F7D" w:rsidRDefault="00974F7D">
          <w:pPr>
            <w:pStyle w:val="TOCHeading"/>
            <w:rPr>
              <w:rFonts w:ascii="Arial" w:hAnsi="Arial" w:cs="Arial"/>
              <w:color w:val="auto"/>
            </w:rPr>
          </w:pPr>
          <w:r w:rsidRPr="00F92492">
            <w:rPr>
              <w:rFonts w:ascii="Arial" w:hAnsi="Arial" w:cs="Arial"/>
              <w:color w:val="auto"/>
            </w:rPr>
            <w:t>Table of Contents</w:t>
          </w:r>
        </w:p>
        <w:p w14:paraId="647648CB" w14:textId="77777777" w:rsidR="00F92492" w:rsidRPr="00F92492" w:rsidRDefault="00F92492" w:rsidP="00F92492"/>
        <w:p w14:paraId="28D387BD" w14:textId="77777777" w:rsidR="00F92492" w:rsidRDefault="00974F7D">
          <w:pPr>
            <w:pStyle w:val="TOC1"/>
            <w:tabs>
              <w:tab w:val="right" w:leader="dot" w:pos="935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505780223" w:history="1">
            <w:r w:rsidR="00F92492" w:rsidRPr="00E03648">
              <w:rPr>
                <w:rStyle w:val="Hyperlink"/>
                <w:noProof/>
              </w:rPr>
              <w:t>California Assessment of Student Performance and Progress Annual Implementation Update and Five-Year Cost Projection</w:t>
            </w:r>
            <w:r w:rsidR="00F92492">
              <w:rPr>
                <w:noProof/>
                <w:webHidden/>
              </w:rPr>
              <w:tab/>
            </w:r>
            <w:r w:rsidR="00F92492">
              <w:rPr>
                <w:noProof/>
                <w:webHidden/>
              </w:rPr>
              <w:fldChar w:fldCharType="begin"/>
            </w:r>
            <w:r w:rsidR="00F92492">
              <w:rPr>
                <w:noProof/>
                <w:webHidden/>
              </w:rPr>
              <w:instrText xml:space="preserve"> PAGEREF _Toc505780223 \h </w:instrText>
            </w:r>
            <w:r w:rsidR="00F92492">
              <w:rPr>
                <w:noProof/>
                <w:webHidden/>
              </w:rPr>
            </w:r>
            <w:r w:rsidR="00F92492">
              <w:rPr>
                <w:noProof/>
                <w:webHidden/>
              </w:rPr>
              <w:fldChar w:fldCharType="separate"/>
            </w:r>
            <w:r w:rsidR="00F92492">
              <w:rPr>
                <w:noProof/>
                <w:webHidden/>
              </w:rPr>
              <w:t>i</w:t>
            </w:r>
            <w:r w:rsidR="00F92492">
              <w:rPr>
                <w:noProof/>
                <w:webHidden/>
              </w:rPr>
              <w:fldChar w:fldCharType="end"/>
            </w:r>
          </w:hyperlink>
        </w:p>
        <w:p w14:paraId="560B1807" w14:textId="77777777" w:rsidR="00F92492" w:rsidRDefault="00000000">
          <w:pPr>
            <w:pStyle w:val="TOC2"/>
            <w:tabs>
              <w:tab w:val="right" w:leader="dot" w:pos="9350"/>
            </w:tabs>
            <w:rPr>
              <w:rFonts w:asciiTheme="minorHAnsi" w:eastAsiaTheme="minorEastAsia" w:hAnsiTheme="minorHAnsi" w:cstheme="minorBidi"/>
              <w:noProof/>
              <w:snapToGrid/>
              <w:sz w:val="22"/>
              <w:szCs w:val="22"/>
            </w:rPr>
          </w:pPr>
          <w:hyperlink w:anchor="_Toc505780224" w:history="1">
            <w:r w:rsidR="00F92492" w:rsidRPr="00E03648">
              <w:rPr>
                <w:rStyle w:val="Hyperlink"/>
                <w:noProof/>
              </w:rPr>
              <w:t>Executive Summary</w:t>
            </w:r>
            <w:r w:rsidR="00F92492">
              <w:rPr>
                <w:noProof/>
                <w:webHidden/>
              </w:rPr>
              <w:tab/>
            </w:r>
            <w:r w:rsidR="00F92492">
              <w:rPr>
                <w:noProof/>
                <w:webHidden/>
              </w:rPr>
              <w:fldChar w:fldCharType="begin"/>
            </w:r>
            <w:r w:rsidR="00F92492">
              <w:rPr>
                <w:noProof/>
                <w:webHidden/>
              </w:rPr>
              <w:instrText xml:space="preserve"> PAGEREF _Toc505780224 \h </w:instrText>
            </w:r>
            <w:r w:rsidR="00F92492">
              <w:rPr>
                <w:noProof/>
                <w:webHidden/>
              </w:rPr>
            </w:r>
            <w:r w:rsidR="00F92492">
              <w:rPr>
                <w:noProof/>
                <w:webHidden/>
              </w:rPr>
              <w:fldChar w:fldCharType="separate"/>
            </w:r>
            <w:r w:rsidR="00F92492">
              <w:rPr>
                <w:noProof/>
                <w:webHidden/>
              </w:rPr>
              <w:t>1</w:t>
            </w:r>
            <w:r w:rsidR="00F92492">
              <w:rPr>
                <w:noProof/>
                <w:webHidden/>
              </w:rPr>
              <w:fldChar w:fldCharType="end"/>
            </w:r>
          </w:hyperlink>
        </w:p>
        <w:p w14:paraId="02A5B17E" w14:textId="77777777" w:rsidR="00F92492" w:rsidRDefault="00000000">
          <w:pPr>
            <w:pStyle w:val="TOC2"/>
            <w:tabs>
              <w:tab w:val="right" w:leader="dot" w:pos="9350"/>
            </w:tabs>
            <w:rPr>
              <w:rFonts w:asciiTheme="minorHAnsi" w:eastAsiaTheme="minorEastAsia" w:hAnsiTheme="minorHAnsi" w:cstheme="minorBidi"/>
              <w:noProof/>
              <w:snapToGrid/>
              <w:sz w:val="22"/>
              <w:szCs w:val="22"/>
            </w:rPr>
          </w:pPr>
          <w:hyperlink w:anchor="_Toc505780225" w:history="1">
            <w:r w:rsidR="00F92492" w:rsidRPr="00E03648">
              <w:rPr>
                <w:rStyle w:val="Hyperlink"/>
                <w:noProof/>
              </w:rPr>
              <w:t>Program Information</w:t>
            </w:r>
            <w:r w:rsidR="00F92492">
              <w:rPr>
                <w:noProof/>
                <w:webHidden/>
              </w:rPr>
              <w:tab/>
            </w:r>
            <w:r w:rsidR="00F92492">
              <w:rPr>
                <w:noProof/>
                <w:webHidden/>
              </w:rPr>
              <w:fldChar w:fldCharType="begin"/>
            </w:r>
            <w:r w:rsidR="00F92492">
              <w:rPr>
                <w:noProof/>
                <w:webHidden/>
              </w:rPr>
              <w:instrText xml:space="preserve"> PAGEREF _Toc505780225 \h </w:instrText>
            </w:r>
            <w:r w:rsidR="00F92492">
              <w:rPr>
                <w:noProof/>
                <w:webHidden/>
              </w:rPr>
            </w:r>
            <w:r w:rsidR="00F92492">
              <w:rPr>
                <w:noProof/>
                <w:webHidden/>
              </w:rPr>
              <w:fldChar w:fldCharType="separate"/>
            </w:r>
            <w:r w:rsidR="00F92492">
              <w:rPr>
                <w:noProof/>
                <w:webHidden/>
              </w:rPr>
              <w:t>2</w:t>
            </w:r>
            <w:r w:rsidR="00F92492">
              <w:rPr>
                <w:noProof/>
                <w:webHidden/>
              </w:rPr>
              <w:fldChar w:fldCharType="end"/>
            </w:r>
          </w:hyperlink>
        </w:p>
        <w:p w14:paraId="2996E64C" w14:textId="77777777" w:rsidR="00F92492" w:rsidRDefault="00000000">
          <w:pPr>
            <w:pStyle w:val="TOC2"/>
            <w:tabs>
              <w:tab w:val="right" w:leader="dot" w:pos="9350"/>
            </w:tabs>
            <w:rPr>
              <w:rFonts w:asciiTheme="minorHAnsi" w:eastAsiaTheme="minorEastAsia" w:hAnsiTheme="minorHAnsi" w:cstheme="minorBidi"/>
              <w:noProof/>
              <w:snapToGrid/>
              <w:sz w:val="22"/>
              <w:szCs w:val="22"/>
            </w:rPr>
          </w:pPr>
          <w:hyperlink w:anchor="_Toc505780226" w:history="1">
            <w:r w:rsidR="00F92492" w:rsidRPr="00E03648">
              <w:rPr>
                <w:rStyle w:val="Hyperlink"/>
                <w:noProof/>
              </w:rPr>
              <w:t>Implementation Update</w:t>
            </w:r>
            <w:r w:rsidR="00F92492">
              <w:rPr>
                <w:noProof/>
                <w:webHidden/>
              </w:rPr>
              <w:tab/>
            </w:r>
            <w:r w:rsidR="00F92492">
              <w:rPr>
                <w:noProof/>
                <w:webHidden/>
              </w:rPr>
              <w:fldChar w:fldCharType="begin"/>
            </w:r>
            <w:r w:rsidR="00F92492">
              <w:rPr>
                <w:noProof/>
                <w:webHidden/>
              </w:rPr>
              <w:instrText xml:space="preserve"> PAGEREF _Toc505780226 \h </w:instrText>
            </w:r>
            <w:r w:rsidR="00F92492">
              <w:rPr>
                <w:noProof/>
                <w:webHidden/>
              </w:rPr>
            </w:r>
            <w:r w:rsidR="00F92492">
              <w:rPr>
                <w:noProof/>
                <w:webHidden/>
              </w:rPr>
              <w:fldChar w:fldCharType="separate"/>
            </w:r>
            <w:r w:rsidR="00F92492">
              <w:rPr>
                <w:noProof/>
                <w:webHidden/>
              </w:rPr>
              <w:t>6</w:t>
            </w:r>
            <w:r w:rsidR="00F92492">
              <w:rPr>
                <w:noProof/>
                <w:webHidden/>
              </w:rPr>
              <w:fldChar w:fldCharType="end"/>
            </w:r>
          </w:hyperlink>
        </w:p>
        <w:p w14:paraId="1D0DBBF1" w14:textId="77777777" w:rsidR="00F92492" w:rsidRDefault="00000000">
          <w:pPr>
            <w:pStyle w:val="TOC2"/>
            <w:tabs>
              <w:tab w:val="right" w:leader="dot" w:pos="9350"/>
            </w:tabs>
            <w:rPr>
              <w:rFonts w:asciiTheme="minorHAnsi" w:eastAsiaTheme="minorEastAsia" w:hAnsiTheme="minorHAnsi" w:cstheme="minorBidi"/>
              <w:noProof/>
              <w:snapToGrid/>
              <w:sz w:val="22"/>
              <w:szCs w:val="22"/>
            </w:rPr>
          </w:pPr>
          <w:hyperlink w:anchor="_Toc505780227" w:history="1">
            <w:r w:rsidR="00F92492" w:rsidRPr="00E03648">
              <w:rPr>
                <w:rStyle w:val="Hyperlink"/>
                <w:noProof/>
              </w:rPr>
              <w:t>Contract Costs</w:t>
            </w:r>
            <w:r w:rsidR="00F92492">
              <w:rPr>
                <w:noProof/>
                <w:webHidden/>
              </w:rPr>
              <w:tab/>
            </w:r>
            <w:r w:rsidR="00F92492">
              <w:rPr>
                <w:noProof/>
                <w:webHidden/>
              </w:rPr>
              <w:fldChar w:fldCharType="begin"/>
            </w:r>
            <w:r w:rsidR="00F92492">
              <w:rPr>
                <w:noProof/>
                <w:webHidden/>
              </w:rPr>
              <w:instrText xml:space="preserve"> PAGEREF _Toc505780227 \h </w:instrText>
            </w:r>
            <w:r w:rsidR="00F92492">
              <w:rPr>
                <w:noProof/>
                <w:webHidden/>
              </w:rPr>
            </w:r>
            <w:r w:rsidR="00F92492">
              <w:rPr>
                <w:noProof/>
                <w:webHidden/>
              </w:rPr>
              <w:fldChar w:fldCharType="separate"/>
            </w:r>
            <w:r w:rsidR="00F92492">
              <w:rPr>
                <w:noProof/>
                <w:webHidden/>
              </w:rPr>
              <w:t>26</w:t>
            </w:r>
            <w:r w:rsidR="00F92492">
              <w:rPr>
                <w:noProof/>
                <w:webHidden/>
              </w:rPr>
              <w:fldChar w:fldCharType="end"/>
            </w:r>
          </w:hyperlink>
        </w:p>
        <w:p w14:paraId="32EFDE39" w14:textId="77777777" w:rsidR="00F92492" w:rsidRDefault="00000000">
          <w:pPr>
            <w:pStyle w:val="TOC3"/>
            <w:tabs>
              <w:tab w:val="right" w:leader="dot" w:pos="9350"/>
            </w:tabs>
            <w:rPr>
              <w:rFonts w:asciiTheme="minorHAnsi" w:eastAsiaTheme="minorEastAsia" w:hAnsiTheme="minorHAnsi" w:cstheme="minorBidi"/>
              <w:noProof/>
              <w:snapToGrid/>
              <w:sz w:val="22"/>
              <w:szCs w:val="22"/>
            </w:rPr>
          </w:pPr>
          <w:hyperlink w:anchor="_Toc505780228" w:history="1">
            <w:r w:rsidR="00F92492" w:rsidRPr="00E03648">
              <w:rPr>
                <w:rStyle w:val="Hyperlink"/>
                <w:noProof/>
              </w:rPr>
              <w:t>Consortium-managed Services Contract</w:t>
            </w:r>
            <w:r w:rsidR="00F92492">
              <w:rPr>
                <w:noProof/>
                <w:webHidden/>
              </w:rPr>
              <w:tab/>
            </w:r>
            <w:r w:rsidR="00F92492">
              <w:rPr>
                <w:noProof/>
                <w:webHidden/>
              </w:rPr>
              <w:fldChar w:fldCharType="begin"/>
            </w:r>
            <w:r w:rsidR="00F92492">
              <w:rPr>
                <w:noProof/>
                <w:webHidden/>
              </w:rPr>
              <w:instrText xml:space="preserve"> PAGEREF _Toc505780228 \h </w:instrText>
            </w:r>
            <w:r w:rsidR="00F92492">
              <w:rPr>
                <w:noProof/>
                <w:webHidden/>
              </w:rPr>
            </w:r>
            <w:r w:rsidR="00F92492">
              <w:rPr>
                <w:noProof/>
                <w:webHidden/>
              </w:rPr>
              <w:fldChar w:fldCharType="separate"/>
            </w:r>
            <w:r w:rsidR="00F92492">
              <w:rPr>
                <w:noProof/>
                <w:webHidden/>
              </w:rPr>
              <w:t>26</w:t>
            </w:r>
            <w:r w:rsidR="00F92492">
              <w:rPr>
                <w:noProof/>
                <w:webHidden/>
              </w:rPr>
              <w:fldChar w:fldCharType="end"/>
            </w:r>
          </w:hyperlink>
        </w:p>
        <w:p w14:paraId="372D0A19" w14:textId="77777777" w:rsidR="00F92492" w:rsidRDefault="00000000">
          <w:pPr>
            <w:pStyle w:val="TOC3"/>
            <w:tabs>
              <w:tab w:val="right" w:leader="dot" w:pos="9350"/>
            </w:tabs>
            <w:rPr>
              <w:rFonts w:asciiTheme="minorHAnsi" w:eastAsiaTheme="minorEastAsia" w:hAnsiTheme="minorHAnsi" w:cstheme="minorBidi"/>
              <w:noProof/>
              <w:snapToGrid/>
              <w:sz w:val="22"/>
              <w:szCs w:val="22"/>
            </w:rPr>
          </w:pPr>
          <w:hyperlink w:anchor="_Toc505780229" w:history="1">
            <w:r w:rsidR="00F92492" w:rsidRPr="00E03648">
              <w:rPr>
                <w:rStyle w:val="Hyperlink"/>
                <w:noProof/>
              </w:rPr>
              <w:t>State-managed Services Contract</w:t>
            </w:r>
            <w:r w:rsidR="00F92492">
              <w:rPr>
                <w:noProof/>
                <w:webHidden/>
              </w:rPr>
              <w:tab/>
            </w:r>
            <w:r w:rsidR="00F92492">
              <w:rPr>
                <w:noProof/>
                <w:webHidden/>
              </w:rPr>
              <w:fldChar w:fldCharType="begin"/>
            </w:r>
            <w:r w:rsidR="00F92492">
              <w:rPr>
                <w:noProof/>
                <w:webHidden/>
              </w:rPr>
              <w:instrText xml:space="preserve"> PAGEREF _Toc505780229 \h </w:instrText>
            </w:r>
            <w:r w:rsidR="00F92492">
              <w:rPr>
                <w:noProof/>
                <w:webHidden/>
              </w:rPr>
            </w:r>
            <w:r w:rsidR="00F92492">
              <w:rPr>
                <w:noProof/>
                <w:webHidden/>
              </w:rPr>
              <w:fldChar w:fldCharType="separate"/>
            </w:r>
            <w:r w:rsidR="00F92492">
              <w:rPr>
                <w:noProof/>
                <w:webHidden/>
              </w:rPr>
              <w:t>27</w:t>
            </w:r>
            <w:r w:rsidR="00F92492">
              <w:rPr>
                <w:noProof/>
                <w:webHidden/>
              </w:rPr>
              <w:fldChar w:fldCharType="end"/>
            </w:r>
          </w:hyperlink>
        </w:p>
        <w:p w14:paraId="55E92F4E" w14:textId="77777777" w:rsidR="00F92492" w:rsidRDefault="00000000">
          <w:pPr>
            <w:pStyle w:val="TOC3"/>
            <w:tabs>
              <w:tab w:val="right" w:leader="dot" w:pos="9350"/>
            </w:tabs>
            <w:rPr>
              <w:rFonts w:asciiTheme="minorHAnsi" w:eastAsiaTheme="minorEastAsia" w:hAnsiTheme="minorHAnsi" w:cstheme="minorBidi"/>
              <w:noProof/>
              <w:snapToGrid/>
              <w:sz w:val="22"/>
              <w:szCs w:val="22"/>
            </w:rPr>
          </w:pPr>
          <w:hyperlink w:anchor="_Toc505780230" w:history="1">
            <w:r w:rsidR="00F92492" w:rsidRPr="00E03648">
              <w:rPr>
                <w:rStyle w:val="Hyperlink"/>
                <w:noProof/>
              </w:rPr>
              <w:t>Independent Evaluation Contract</w:t>
            </w:r>
            <w:r w:rsidR="00F92492">
              <w:rPr>
                <w:noProof/>
                <w:webHidden/>
              </w:rPr>
              <w:tab/>
            </w:r>
            <w:r w:rsidR="00F92492">
              <w:rPr>
                <w:noProof/>
                <w:webHidden/>
              </w:rPr>
              <w:fldChar w:fldCharType="begin"/>
            </w:r>
            <w:r w:rsidR="00F92492">
              <w:rPr>
                <w:noProof/>
                <w:webHidden/>
              </w:rPr>
              <w:instrText xml:space="preserve"> PAGEREF _Toc505780230 \h </w:instrText>
            </w:r>
            <w:r w:rsidR="00F92492">
              <w:rPr>
                <w:noProof/>
                <w:webHidden/>
              </w:rPr>
            </w:r>
            <w:r w:rsidR="00F92492">
              <w:rPr>
                <w:noProof/>
                <w:webHidden/>
              </w:rPr>
              <w:fldChar w:fldCharType="separate"/>
            </w:r>
            <w:r w:rsidR="00F92492">
              <w:rPr>
                <w:noProof/>
                <w:webHidden/>
              </w:rPr>
              <w:t>28</w:t>
            </w:r>
            <w:r w:rsidR="00F92492">
              <w:rPr>
                <w:noProof/>
                <w:webHidden/>
              </w:rPr>
              <w:fldChar w:fldCharType="end"/>
            </w:r>
          </w:hyperlink>
        </w:p>
        <w:p w14:paraId="6DC8B573" w14:textId="77777777" w:rsidR="00F92492" w:rsidRDefault="00000000">
          <w:pPr>
            <w:pStyle w:val="TOC3"/>
            <w:tabs>
              <w:tab w:val="right" w:leader="dot" w:pos="9350"/>
            </w:tabs>
            <w:rPr>
              <w:rFonts w:asciiTheme="minorHAnsi" w:eastAsiaTheme="minorEastAsia" w:hAnsiTheme="minorHAnsi" w:cstheme="minorBidi"/>
              <w:noProof/>
              <w:snapToGrid/>
              <w:sz w:val="22"/>
              <w:szCs w:val="22"/>
            </w:rPr>
          </w:pPr>
          <w:hyperlink w:anchor="_Toc505780231" w:history="1">
            <w:r w:rsidR="00F92492" w:rsidRPr="00E03648">
              <w:rPr>
                <w:rStyle w:val="Hyperlink"/>
                <w:noProof/>
              </w:rPr>
              <w:t>CAASPP Institutes and Senior Assessment Fellows Contract</w:t>
            </w:r>
            <w:r w:rsidR="00F92492">
              <w:rPr>
                <w:noProof/>
                <w:webHidden/>
              </w:rPr>
              <w:tab/>
            </w:r>
            <w:r w:rsidR="00F92492">
              <w:rPr>
                <w:noProof/>
                <w:webHidden/>
              </w:rPr>
              <w:fldChar w:fldCharType="begin"/>
            </w:r>
            <w:r w:rsidR="00F92492">
              <w:rPr>
                <w:noProof/>
                <w:webHidden/>
              </w:rPr>
              <w:instrText xml:space="preserve"> PAGEREF _Toc505780231 \h </w:instrText>
            </w:r>
            <w:r w:rsidR="00F92492">
              <w:rPr>
                <w:noProof/>
                <w:webHidden/>
              </w:rPr>
            </w:r>
            <w:r w:rsidR="00F92492">
              <w:rPr>
                <w:noProof/>
                <w:webHidden/>
              </w:rPr>
              <w:fldChar w:fldCharType="separate"/>
            </w:r>
            <w:r w:rsidR="00F92492">
              <w:rPr>
                <w:noProof/>
                <w:webHidden/>
              </w:rPr>
              <w:t>29</w:t>
            </w:r>
            <w:r w:rsidR="00F92492">
              <w:rPr>
                <w:noProof/>
                <w:webHidden/>
              </w:rPr>
              <w:fldChar w:fldCharType="end"/>
            </w:r>
          </w:hyperlink>
        </w:p>
        <w:p w14:paraId="47E5EF1E" w14:textId="77777777" w:rsidR="00F92492" w:rsidRDefault="00000000">
          <w:pPr>
            <w:pStyle w:val="TOC2"/>
            <w:tabs>
              <w:tab w:val="right" w:leader="dot" w:pos="9350"/>
            </w:tabs>
            <w:rPr>
              <w:rFonts w:asciiTheme="minorHAnsi" w:eastAsiaTheme="minorEastAsia" w:hAnsiTheme="minorHAnsi" w:cstheme="minorBidi"/>
              <w:noProof/>
              <w:snapToGrid/>
              <w:sz w:val="22"/>
              <w:szCs w:val="22"/>
            </w:rPr>
          </w:pPr>
          <w:hyperlink w:anchor="_Toc505780232" w:history="1">
            <w:r w:rsidR="00F92492" w:rsidRPr="00E03648">
              <w:rPr>
                <w:rStyle w:val="Hyperlink"/>
                <w:noProof/>
              </w:rPr>
              <w:t>Apportionment Costs</w:t>
            </w:r>
            <w:r w:rsidR="00F92492">
              <w:rPr>
                <w:noProof/>
                <w:webHidden/>
              </w:rPr>
              <w:tab/>
            </w:r>
            <w:r w:rsidR="00F92492">
              <w:rPr>
                <w:noProof/>
                <w:webHidden/>
              </w:rPr>
              <w:fldChar w:fldCharType="begin"/>
            </w:r>
            <w:r w:rsidR="00F92492">
              <w:rPr>
                <w:noProof/>
                <w:webHidden/>
              </w:rPr>
              <w:instrText xml:space="preserve"> PAGEREF _Toc505780232 \h </w:instrText>
            </w:r>
            <w:r w:rsidR="00F92492">
              <w:rPr>
                <w:noProof/>
                <w:webHidden/>
              </w:rPr>
            </w:r>
            <w:r w:rsidR="00F92492">
              <w:rPr>
                <w:noProof/>
                <w:webHidden/>
              </w:rPr>
              <w:fldChar w:fldCharType="separate"/>
            </w:r>
            <w:r w:rsidR="00F92492">
              <w:rPr>
                <w:noProof/>
                <w:webHidden/>
              </w:rPr>
              <w:t>29</w:t>
            </w:r>
            <w:r w:rsidR="00F92492">
              <w:rPr>
                <w:noProof/>
                <w:webHidden/>
              </w:rPr>
              <w:fldChar w:fldCharType="end"/>
            </w:r>
          </w:hyperlink>
        </w:p>
        <w:p w14:paraId="5B1332EE" w14:textId="77777777" w:rsidR="00F92492" w:rsidRDefault="00000000">
          <w:pPr>
            <w:pStyle w:val="TOC2"/>
            <w:tabs>
              <w:tab w:val="right" w:leader="dot" w:pos="9350"/>
            </w:tabs>
            <w:rPr>
              <w:rFonts w:asciiTheme="minorHAnsi" w:eastAsiaTheme="minorEastAsia" w:hAnsiTheme="minorHAnsi" w:cstheme="minorBidi"/>
              <w:noProof/>
              <w:snapToGrid/>
              <w:sz w:val="22"/>
              <w:szCs w:val="22"/>
            </w:rPr>
          </w:pPr>
          <w:hyperlink w:anchor="_Toc505780233" w:history="1">
            <w:r w:rsidR="00F92492" w:rsidRPr="00E03648">
              <w:rPr>
                <w:rStyle w:val="Hyperlink"/>
                <w:noProof/>
              </w:rPr>
              <w:t>Five-year Cost Projection</w:t>
            </w:r>
            <w:r w:rsidR="00F92492">
              <w:rPr>
                <w:noProof/>
                <w:webHidden/>
              </w:rPr>
              <w:tab/>
            </w:r>
            <w:r w:rsidR="00F92492">
              <w:rPr>
                <w:noProof/>
                <w:webHidden/>
              </w:rPr>
              <w:fldChar w:fldCharType="begin"/>
            </w:r>
            <w:r w:rsidR="00F92492">
              <w:rPr>
                <w:noProof/>
                <w:webHidden/>
              </w:rPr>
              <w:instrText xml:space="preserve"> PAGEREF _Toc505780233 \h </w:instrText>
            </w:r>
            <w:r w:rsidR="00F92492">
              <w:rPr>
                <w:noProof/>
                <w:webHidden/>
              </w:rPr>
            </w:r>
            <w:r w:rsidR="00F92492">
              <w:rPr>
                <w:noProof/>
                <w:webHidden/>
              </w:rPr>
              <w:fldChar w:fldCharType="separate"/>
            </w:r>
            <w:r w:rsidR="00F92492">
              <w:rPr>
                <w:noProof/>
                <w:webHidden/>
              </w:rPr>
              <w:t>30</w:t>
            </w:r>
            <w:r w:rsidR="00F92492">
              <w:rPr>
                <w:noProof/>
                <w:webHidden/>
              </w:rPr>
              <w:fldChar w:fldCharType="end"/>
            </w:r>
          </w:hyperlink>
        </w:p>
        <w:p w14:paraId="0A95B6EC" w14:textId="77777777" w:rsidR="00F92492" w:rsidRDefault="00000000">
          <w:pPr>
            <w:pStyle w:val="TOC3"/>
            <w:tabs>
              <w:tab w:val="right" w:leader="dot" w:pos="9350"/>
            </w:tabs>
            <w:rPr>
              <w:rFonts w:asciiTheme="minorHAnsi" w:eastAsiaTheme="minorEastAsia" w:hAnsiTheme="minorHAnsi" w:cstheme="minorBidi"/>
              <w:noProof/>
              <w:snapToGrid/>
              <w:sz w:val="22"/>
              <w:szCs w:val="22"/>
            </w:rPr>
          </w:pPr>
          <w:hyperlink w:anchor="_Toc505780234" w:history="1">
            <w:r w:rsidR="00F92492" w:rsidRPr="00E03648">
              <w:rPr>
                <w:rStyle w:val="Hyperlink"/>
                <w:noProof/>
              </w:rPr>
              <w:t>Cost Projection Variations from Current Year and/or Proposed Budget</w:t>
            </w:r>
            <w:r w:rsidR="00F92492">
              <w:rPr>
                <w:noProof/>
                <w:webHidden/>
              </w:rPr>
              <w:tab/>
            </w:r>
            <w:r w:rsidR="00F92492">
              <w:rPr>
                <w:noProof/>
                <w:webHidden/>
              </w:rPr>
              <w:fldChar w:fldCharType="begin"/>
            </w:r>
            <w:r w:rsidR="00F92492">
              <w:rPr>
                <w:noProof/>
                <w:webHidden/>
              </w:rPr>
              <w:instrText xml:space="preserve"> PAGEREF _Toc505780234 \h </w:instrText>
            </w:r>
            <w:r w:rsidR="00F92492">
              <w:rPr>
                <w:noProof/>
                <w:webHidden/>
              </w:rPr>
            </w:r>
            <w:r w:rsidR="00F92492">
              <w:rPr>
                <w:noProof/>
                <w:webHidden/>
              </w:rPr>
              <w:fldChar w:fldCharType="separate"/>
            </w:r>
            <w:r w:rsidR="00F92492">
              <w:rPr>
                <w:noProof/>
                <w:webHidden/>
              </w:rPr>
              <w:t>32</w:t>
            </w:r>
            <w:r w:rsidR="00F92492">
              <w:rPr>
                <w:noProof/>
                <w:webHidden/>
              </w:rPr>
              <w:fldChar w:fldCharType="end"/>
            </w:r>
          </w:hyperlink>
        </w:p>
        <w:p w14:paraId="2C9722C6" w14:textId="77777777" w:rsidR="00F92492" w:rsidRDefault="00000000">
          <w:pPr>
            <w:pStyle w:val="TOC3"/>
            <w:tabs>
              <w:tab w:val="right" w:leader="dot" w:pos="9350"/>
            </w:tabs>
            <w:rPr>
              <w:rFonts w:asciiTheme="minorHAnsi" w:eastAsiaTheme="minorEastAsia" w:hAnsiTheme="minorHAnsi" w:cstheme="minorBidi"/>
              <w:noProof/>
              <w:snapToGrid/>
              <w:sz w:val="22"/>
              <w:szCs w:val="22"/>
            </w:rPr>
          </w:pPr>
          <w:hyperlink w:anchor="_Toc505780235" w:history="1">
            <w:r w:rsidR="00F92492" w:rsidRPr="00E03648">
              <w:rPr>
                <w:rStyle w:val="Hyperlink"/>
                <w:noProof/>
              </w:rPr>
              <w:t>CAASPP Timeline</w:t>
            </w:r>
            <w:r w:rsidR="00F92492">
              <w:rPr>
                <w:noProof/>
                <w:webHidden/>
              </w:rPr>
              <w:tab/>
            </w:r>
            <w:r w:rsidR="00F92492">
              <w:rPr>
                <w:noProof/>
                <w:webHidden/>
              </w:rPr>
              <w:fldChar w:fldCharType="begin"/>
            </w:r>
            <w:r w:rsidR="00F92492">
              <w:rPr>
                <w:noProof/>
                <w:webHidden/>
              </w:rPr>
              <w:instrText xml:space="preserve"> PAGEREF _Toc505780235 \h </w:instrText>
            </w:r>
            <w:r w:rsidR="00F92492">
              <w:rPr>
                <w:noProof/>
                <w:webHidden/>
              </w:rPr>
            </w:r>
            <w:r w:rsidR="00F92492">
              <w:rPr>
                <w:noProof/>
                <w:webHidden/>
              </w:rPr>
              <w:fldChar w:fldCharType="separate"/>
            </w:r>
            <w:r w:rsidR="00F92492">
              <w:rPr>
                <w:noProof/>
                <w:webHidden/>
              </w:rPr>
              <w:t>33</w:t>
            </w:r>
            <w:r w:rsidR="00F92492">
              <w:rPr>
                <w:noProof/>
                <w:webHidden/>
              </w:rPr>
              <w:fldChar w:fldCharType="end"/>
            </w:r>
          </w:hyperlink>
        </w:p>
        <w:p w14:paraId="3D1DD1C2" w14:textId="77777777" w:rsidR="00974F7D" w:rsidRDefault="00974F7D">
          <w:r>
            <w:rPr>
              <w:b/>
              <w:bCs/>
              <w:noProof/>
            </w:rPr>
            <w:fldChar w:fldCharType="end"/>
          </w:r>
        </w:p>
      </w:sdtContent>
    </w:sdt>
    <w:p w14:paraId="3C04D26C" w14:textId="77777777" w:rsidR="00F92492" w:rsidRDefault="00F92492" w:rsidP="0071253D">
      <w:pPr>
        <w:pStyle w:val="Heading2"/>
        <w:sectPr w:rsidR="00F92492" w:rsidSect="00974F7D">
          <w:footerReference w:type="default" r:id="rId12"/>
          <w:footerReference w:type="first" r:id="rId13"/>
          <w:pgSz w:w="12240" w:h="15840" w:code="1"/>
          <w:pgMar w:top="1440" w:right="1440" w:bottom="1440" w:left="1440" w:header="576" w:footer="576" w:gutter="0"/>
          <w:pgNumType w:fmt="lowerRoman" w:start="1"/>
          <w:cols w:space="720"/>
          <w:titlePg/>
          <w:docGrid w:linePitch="360"/>
        </w:sectPr>
      </w:pPr>
    </w:p>
    <w:p w14:paraId="200955FF" w14:textId="77777777" w:rsidR="00863CD8" w:rsidRPr="00352119" w:rsidRDefault="00863CD8" w:rsidP="0071253D">
      <w:pPr>
        <w:pStyle w:val="Heading2"/>
      </w:pPr>
      <w:bookmarkStart w:id="1" w:name="_Toc505780224"/>
      <w:r w:rsidRPr="00352119">
        <w:lastRenderedPageBreak/>
        <w:t>Executive Summary</w:t>
      </w:r>
      <w:bookmarkEnd w:id="1"/>
    </w:p>
    <w:p w14:paraId="2134EC88" w14:textId="77777777" w:rsidR="00863CD8" w:rsidRDefault="00863CD8" w:rsidP="00863CD8">
      <w:pPr>
        <w:rPr>
          <w:rFonts w:cs="Arial"/>
          <w:szCs w:val="24"/>
        </w:rPr>
      </w:pPr>
    </w:p>
    <w:p w14:paraId="0662EF88" w14:textId="77777777" w:rsidR="00863CD8" w:rsidRDefault="00863CD8" w:rsidP="00863CD8">
      <w:pPr>
        <w:rPr>
          <w:rFonts w:cs="Arial"/>
          <w:szCs w:val="24"/>
        </w:rPr>
      </w:pPr>
      <w:r>
        <w:rPr>
          <w:rFonts w:cs="Arial"/>
          <w:szCs w:val="24"/>
        </w:rPr>
        <w:t xml:space="preserve">California </w:t>
      </w:r>
      <w:r w:rsidRPr="00CD27E8">
        <w:rPr>
          <w:rFonts w:cs="Arial"/>
          <w:i/>
          <w:szCs w:val="24"/>
        </w:rPr>
        <w:t>Education Code</w:t>
      </w:r>
      <w:r w:rsidR="000804D6">
        <w:rPr>
          <w:rFonts w:cs="Arial"/>
          <w:szCs w:val="24"/>
        </w:rPr>
        <w:t xml:space="preserve"> </w:t>
      </w:r>
      <w:r w:rsidR="005001C1" w:rsidRPr="000804D6">
        <w:rPr>
          <w:rFonts w:cs="Arial"/>
          <w:szCs w:val="24"/>
        </w:rPr>
        <w:t>Section</w:t>
      </w:r>
      <w:r w:rsidR="005001C1">
        <w:rPr>
          <w:rFonts w:cs="Arial"/>
          <w:szCs w:val="24"/>
        </w:rPr>
        <w:t xml:space="preserve"> 60604(b)</w:t>
      </w:r>
      <w:r w:rsidR="006B1616">
        <w:rPr>
          <w:rFonts w:cs="Arial"/>
          <w:szCs w:val="24"/>
        </w:rPr>
        <w:t xml:space="preserve"> requires that</w:t>
      </w:r>
      <w:r>
        <w:rPr>
          <w:rFonts w:cs="Arial"/>
          <w:szCs w:val="24"/>
        </w:rPr>
        <w:t xml:space="preserve"> </w:t>
      </w:r>
      <w:r w:rsidR="00806F5A">
        <w:rPr>
          <w:rFonts w:cs="Arial"/>
          <w:szCs w:val="24"/>
        </w:rPr>
        <w:t xml:space="preserve">the </w:t>
      </w:r>
      <w:r>
        <w:rPr>
          <w:rFonts w:cs="Arial"/>
          <w:szCs w:val="24"/>
        </w:rPr>
        <w:t>State Super</w:t>
      </w:r>
      <w:r w:rsidR="00425656">
        <w:rPr>
          <w:rFonts w:cs="Arial"/>
          <w:szCs w:val="24"/>
        </w:rPr>
        <w:t>intendent of Public Instruction</w:t>
      </w:r>
      <w:r>
        <w:rPr>
          <w:rFonts w:cs="Arial"/>
          <w:szCs w:val="24"/>
        </w:rPr>
        <w:t xml:space="preserve"> </w:t>
      </w:r>
      <w:r w:rsidR="00931A89">
        <w:rPr>
          <w:rFonts w:cs="Arial"/>
          <w:szCs w:val="24"/>
        </w:rPr>
        <w:t xml:space="preserve">to </w:t>
      </w:r>
      <w:r w:rsidRPr="00A00035">
        <w:rPr>
          <w:rFonts w:cs="Arial"/>
          <w:szCs w:val="24"/>
        </w:rPr>
        <w:t>annually update the Legislatu</w:t>
      </w:r>
      <w:r w:rsidR="006040FC">
        <w:rPr>
          <w:rFonts w:cs="Arial"/>
          <w:szCs w:val="24"/>
        </w:rPr>
        <w:t xml:space="preserve">re </w:t>
      </w:r>
      <w:r w:rsidR="00931A89">
        <w:rPr>
          <w:rFonts w:cs="Arial"/>
          <w:szCs w:val="24"/>
        </w:rPr>
        <w:t xml:space="preserve">on </w:t>
      </w:r>
      <w:r w:rsidR="007E0B85">
        <w:rPr>
          <w:rFonts w:cs="Arial"/>
          <w:szCs w:val="24"/>
        </w:rPr>
        <w:t>a five-year cost projection,</w:t>
      </w:r>
      <w:r w:rsidR="006040FC">
        <w:rPr>
          <w:rFonts w:cs="Arial"/>
          <w:szCs w:val="24"/>
        </w:rPr>
        <w:t xml:space="preserve"> </w:t>
      </w:r>
      <w:r w:rsidR="00FC18CE">
        <w:rPr>
          <w:rFonts w:cs="Arial"/>
          <w:szCs w:val="24"/>
        </w:rPr>
        <w:t xml:space="preserve">implementation </w:t>
      </w:r>
      <w:r w:rsidR="006040FC">
        <w:rPr>
          <w:rFonts w:cs="Arial"/>
          <w:szCs w:val="24"/>
        </w:rPr>
        <w:t>plan</w:t>
      </w:r>
      <w:r w:rsidR="00824274">
        <w:rPr>
          <w:rFonts w:cs="Arial"/>
          <w:szCs w:val="24"/>
        </w:rPr>
        <w:t>, and timeline for implementing</w:t>
      </w:r>
      <w:r w:rsidR="006040FC">
        <w:rPr>
          <w:rFonts w:cs="Arial"/>
          <w:szCs w:val="24"/>
        </w:rPr>
        <w:t xml:space="preserve"> </w:t>
      </w:r>
      <w:r>
        <w:rPr>
          <w:rFonts w:cs="Arial"/>
          <w:szCs w:val="24"/>
        </w:rPr>
        <w:t xml:space="preserve">the </w:t>
      </w:r>
      <w:r w:rsidR="005C7D94">
        <w:rPr>
          <w:rFonts w:cs="Arial"/>
          <w:szCs w:val="24"/>
        </w:rPr>
        <w:t>California Assessment of Student Performance and Progress (</w:t>
      </w:r>
      <w:r w:rsidR="000804D6">
        <w:rPr>
          <w:rFonts w:cs="Arial"/>
          <w:szCs w:val="24"/>
        </w:rPr>
        <w:t>CAASPP</w:t>
      </w:r>
      <w:r w:rsidR="005C7D94">
        <w:rPr>
          <w:rFonts w:cs="Arial"/>
          <w:szCs w:val="24"/>
        </w:rPr>
        <w:t>)</w:t>
      </w:r>
      <w:r w:rsidR="006040FC">
        <w:rPr>
          <w:rFonts w:cs="Arial"/>
          <w:szCs w:val="24"/>
        </w:rPr>
        <w:t xml:space="preserve"> </w:t>
      </w:r>
      <w:r w:rsidR="00E3648C">
        <w:rPr>
          <w:rFonts w:cs="Arial"/>
          <w:szCs w:val="24"/>
        </w:rPr>
        <w:t>S</w:t>
      </w:r>
      <w:r w:rsidR="006040FC">
        <w:rPr>
          <w:rFonts w:cs="Arial"/>
          <w:szCs w:val="24"/>
        </w:rPr>
        <w:t>ystem.</w:t>
      </w:r>
    </w:p>
    <w:p w14:paraId="1C8BEAE2" w14:textId="77777777" w:rsidR="00457368" w:rsidRPr="00A00035" w:rsidRDefault="00457368" w:rsidP="00863CD8">
      <w:pPr>
        <w:rPr>
          <w:rFonts w:cs="Arial"/>
          <w:szCs w:val="24"/>
        </w:rPr>
      </w:pPr>
    </w:p>
    <w:p w14:paraId="3EBE959A" w14:textId="77777777" w:rsidR="00A72261" w:rsidRDefault="00863CD8" w:rsidP="00863CD8">
      <w:pPr>
        <w:rPr>
          <w:rFonts w:cs="Arial"/>
          <w:szCs w:val="24"/>
        </w:rPr>
      </w:pPr>
      <w:r>
        <w:rPr>
          <w:rFonts w:cs="Arial"/>
          <w:szCs w:val="24"/>
        </w:rPr>
        <w:t>T</w:t>
      </w:r>
      <w:r w:rsidRPr="00A00035">
        <w:rPr>
          <w:rFonts w:cs="Arial"/>
          <w:szCs w:val="24"/>
        </w:rPr>
        <w:t>he</w:t>
      </w:r>
      <w:r w:rsidRPr="00825C52">
        <w:rPr>
          <w:rFonts w:cs="Arial"/>
          <w:b/>
          <w:szCs w:val="24"/>
        </w:rPr>
        <w:t xml:space="preserve"> </w:t>
      </w:r>
      <w:r w:rsidRPr="00F15B73">
        <w:rPr>
          <w:rFonts w:cs="Arial"/>
          <w:szCs w:val="24"/>
        </w:rPr>
        <w:t>Program Information</w:t>
      </w:r>
      <w:r w:rsidRPr="00A00035">
        <w:rPr>
          <w:rFonts w:cs="Arial"/>
          <w:szCs w:val="24"/>
        </w:rPr>
        <w:t xml:space="preserve"> section </w:t>
      </w:r>
      <w:r>
        <w:rPr>
          <w:rFonts w:cs="Arial"/>
          <w:szCs w:val="24"/>
        </w:rPr>
        <w:t xml:space="preserve">of this report provides </w:t>
      </w:r>
      <w:r w:rsidR="00E62FEA">
        <w:rPr>
          <w:rFonts w:cs="Arial"/>
          <w:szCs w:val="24"/>
        </w:rPr>
        <w:t xml:space="preserve">general </w:t>
      </w:r>
      <w:r>
        <w:rPr>
          <w:rFonts w:cs="Arial"/>
          <w:szCs w:val="24"/>
        </w:rPr>
        <w:t>back</w:t>
      </w:r>
      <w:r w:rsidR="0074183D">
        <w:rPr>
          <w:rFonts w:cs="Arial"/>
          <w:szCs w:val="24"/>
        </w:rPr>
        <w:t xml:space="preserve">ground information regarding </w:t>
      </w:r>
      <w:r>
        <w:rPr>
          <w:rFonts w:cs="Arial"/>
          <w:szCs w:val="24"/>
        </w:rPr>
        <w:t xml:space="preserve">the </w:t>
      </w:r>
      <w:r w:rsidR="006040FC">
        <w:rPr>
          <w:rFonts w:cs="Arial"/>
          <w:szCs w:val="24"/>
        </w:rPr>
        <w:t xml:space="preserve">CAASPP </w:t>
      </w:r>
      <w:r w:rsidR="00E3648C">
        <w:rPr>
          <w:rFonts w:cs="Arial"/>
          <w:szCs w:val="24"/>
        </w:rPr>
        <w:t>S</w:t>
      </w:r>
      <w:r w:rsidR="006040FC">
        <w:rPr>
          <w:rFonts w:cs="Arial"/>
          <w:szCs w:val="24"/>
        </w:rPr>
        <w:t>ystem</w:t>
      </w:r>
      <w:r w:rsidR="00F15B73">
        <w:rPr>
          <w:rFonts w:cs="Arial"/>
          <w:szCs w:val="24"/>
        </w:rPr>
        <w:t>, including its history, purposes, and components.</w:t>
      </w:r>
    </w:p>
    <w:p w14:paraId="307E02F2" w14:textId="77777777" w:rsidR="00F21863" w:rsidRPr="00F21863" w:rsidRDefault="00F21863" w:rsidP="00F21863">
      <w:pPr>
        <w:rPr>
          <w:rFonts w:cs="Arial"/>
          <w:szCs w:val="24"/>
        </w:rPr>
      </w:pPr>
    </w:p>
    <w:p w14:paraId="6D43DB1F" w14:textId="77777777" w:rsidR="003644A0" w:rsidRDefault="00F21863" w:rsidP="00863CD8">
      <w:pPr>
        <w:rPr>
          <w:rFonts w:cs="Arial"/>
          <w:szCs w:val="24"/>
        </w:rPr>
      </w:pPr>
      <w:r w:rsidRPr="00F15B73">
        <w:rPr>
          <w:rFonts w:cs="Arial"/>
          <w:szCs w:val="24"/>
        </w:rPr>
        <w:t xml:space="preserve">The </w:t>
      </w:r>
      <w:r w:rsidR="006B0CD5" w:rsidRPr="00F15B73">
        <w:rPr>
          <w:rFonts w:cs="Arial"/>
          <w:szCs w:val="24"/>
        </w:rPr>
        <w:t xml:space="preserve">Implementation </w:t>
      </w:r>
      <w:r w:rsidRPr="00F15B73">
        <w:rPr>
          <w:rFonts w:cs="Arial"/>
          <w:szCs w:val="24"/>
        </w:rPr>
        <w:t>Update</w:t>
      </w:r>
      <w:r w:rsidRPr="00F21863">
        <w:rPr>
          <w:rFonts w:cs="Arial"/>
          <w:szCs w:val="24"/>
        </w:rPr>
        <w:t xml:space="preserve"> section of this report provides a brief discussion of CAASPP </w:t>
      </w:r>
      <w:r w:rsidR="00486382">
        <w:rPr>
          <w:rFonts w:cs="Arial"/>
          <w:szCs w:val="24"/>
        </w:rPr>
        <w:t xml:space="preserve">implementation </w:t>
      </w:r>
      <w:r w:rsidRPr="00F21863">
        <w:rPr>
          <w:rFonts w:cs="Arial"/>
          <w:szCs w:val="24"/>
        </w:rPr>
        <w:t xml:space="preserve">activities </w:t>
      </w:r>
      <w:r w:rsidR="00F01D40">
        <w:rPr>
          <w:rFonts w:cs="Arial"/>
          <w:szCs w:val="24"/>
        </w:rPr>
        <w:t xml:space="preserve">during the </w:t>
      </w:r>
      <w:r w:rsidR="00AF64F1">
        <w:rPr>
          <w:rFonts w:cs="Arial"/>
          <w:szCs w:val="24"/>
        </w:rPr>
        <w:t>2016</w:t>
      </w:r>
      <w:r w:rsidR="00F01D40">
        <w:rPr>
          <w:rFonts w:cs="Arial"/>
          <w:szCs w:val="24"/>
        </w:rPr>
        <w:t xml:space="preserve"> calendar year</w:t>
      </w:r>
      <w:r w:rsidRPr="00F21863">
        <w:rPr>
          <w:rFonts w:cs="Arial"/>
          <w:szCs w:val="24"/>
        </w:rPr>
        <w:t>.</w:t>
      </w:r>
      <w:r>
        <w:rPr>
          <w:rFonts w:cs="Arial"/>
          <w:szCs w:val="24"/>
        </w:rPr>
        <w:t xml:space="preserve"> </w:t>
      </w:r>
    </w:p>
    <w:p w14:paraId="5F3A32F7" w14:textId="77777777" w:rsidR="0037498C" w:rsidRDefault="0037498C" w:rsidP="00863CD8">
      <w:pPr>
        <w:rPr>
          <w:rFonts w:cs="Arial"/>
          <w:szCs w:val="24"/>
        </w:rPr>
      </w:pPr>
    </w:p>
    <w:p w14:paraId="56C20D90" w14:textId="77777777" w:rsidR="006B114C" w:rsidRDefault="006B114C" w:rsidP="00863CD8">
      <w:pPr>
        <w:rPr>
          <w:rFonts w:cs="Arial"/>
          <w:szCs w:val="24"/>
        </w:rPr>
      </w:pPr>
      <w:r>
        <w:rPr>
          <w:rFonts w:cs="Arial"/>
          <w:szCs w:val="24"/>
        </w:rPr>
        <w:t xml:space="preserve">The </w:t>
      </w:r>
      <w:r w:rsidRPr="00F15B73">
        <w:rPr>
          <w:rFonts w:cs="Arial"/>
          <w:szCs w:val="24"/>
        </w:rPr>
        <w:t>Contract Costs</w:t>
      </w:r>
      <w:r>
        <w:rPr>
          <w:rFonts w:cs="Arial"/>
          <w:szCs w:val="24"/>
        </w:rPr>
        <w:t xml:space="preserve"> sect</w:t>
      </w:r>
      <w:r w:rsidR="00AD0121">
        <w:rPr>
          <w:rFonts w:cs="Arial"/>
          <w:szCs w:val="24"/>
        </w:rPr>
        <w:t>ion provides information and costs re</w:t>
      </w:r>
      <w:r w:rsidR="00486382">
        <w:rPr>
          <w:rFonts w:cs="Arial"/>
          <w:szCs w:val="24"/>
        </w:rPr>
        <w:t>g</w:t>
      </w:r>
      <w:r w:rsidR="00AD0121">
        <w:rPr>
          <w:rFonts w:cs="Arial"/>
          <w:szCs w:val="24"/>
        </w:rPr>
        <w:t>arding</w:t>
      </w:r>
      <w:r w:rsidR="00486382">
        <w:rPr>
          <w:rFonts w:cs="Arial"/>
          <w:szCs w:val="24"/>
        </w:rPr>
        <w:t xml:space="preserve"> the various types of</w:t>
      </w:r>
      <w:r w:rsidR="00F15B73">
        <w:rPr>
          <w:rFonts w:cs="Arial"/>
          <w:szCs w:val="24"/>
        </w:rPr>
        <w:t xml:space="preserve"> CAASPP contracts, including state-managed services contract costs</w:t>
      </w:r>
      <w:r w:rsidR="00EA3B7B">
        <w:rPr>
          <w:rFonts w:cs="Arial"/>
          <w:szCs w:val="24"/>
        </w:rPr>
        <w:t>,</w:t>
      </w:r>
      <w:r w:rsidR="00F15B73">
        <w:rPr>
          <w:rFonts w:cs="Arial"/>
          <w:szCs w:val="24"/>
        </w:rPr>
        <w:t xml:space="preserve"> extending </w:t>
      </w:r>
      <w:r w:rsidR="008E6E01">
        <w:rPr>
          <w:rFonts w:cs="Arial"/>
          <w:szCs w:val="24"/>
        </w:rPr>
        <w:t xml:space="preserve">through </w:t>
      </w:r>
      <w:r w:rsidR="00F15B73">
        <w:rPr>
          <w:rFonts w:cs="Arial"/>
          <w:szCs w:val="24"/>
        </w:rPr>
        <w:t>2018–19.</w:t>
      </w:r>
    </w:p>
    <w:p w14:paraId="6D8F335D" w14:textId="77777777" w:rsidR="006B114C" w:rsidRDefault="006B114C" w:rsidP="00863CD8">
      <w:pPr>
        <w:rPr>
          <w:rFonts w:cs="Arial"/>
          <w:szCs w:val="24"/>
        </w:rPr>
      </w:pPr>
    </w:p>
    <w:p w14:paraId="29B25FC3" w14:textId="77777777" w:rsidR="006B114C" w:rsidRDefault="006B114C" w:rsidP="00863CD8">
      <w:pPr>
        <w:rPr>
          <w:rFonts w:cs="Arial"/>
          <w:szCs w:val="24"/>
        </w:rPr>
      </w:pPr>
      <w:r>
        <w:rPr>
          <w:rFonts w:cs="Arial"/>
          <w:szCs w:val="24"/>
        </w:rPr>
        <w:t xml:space="preserve">The </w:t>
      </w:r>
      <w:r w:rsidR="00F01E12" w:rsidRPr="00F15B73">
        <w:rPr>
          <w:rFonts w:cs="Arial"/>
          <w:szCs w:val="24"/>
        </w:rPr>
        <w:t>Apportionment Costs</w:t>
      </w:r>
      <w:r>
        <w:rPr>
          <w:rFonts w:cs="Arial"/>
          <w:szCs w:val="24"/>
        </w:rPr>
        <w:t xml:space="preserve"> </w:t>
      </w:r>
      <w:r w:rsidR="00F01E12">
        <w:rPr>
          <w:rFonts w:cs="Arial"/>
          <w:szCs w:val="24"/>
        </w:rPr>
        <w:t>section provides information on annual CAASPP apportionment reimbursements to local educational agencies (LEA</w:t>
      </w:r>
      <w:r w:rsidR="00486382">
        <w:rPr>
          <w:rFonts w:cs="Arial"/>
          <w:szCs w:val="24"/>
        </w:rPr>
        <w:t>s</w:t>
      </w:r>
      <w:r w:rsidR="00F01E12">
        <w:rPr>
          <w:rFonts w:cs="Arial"/>
          <w:szCs w:val="24"/>
        </w:rPr>
        <w:t>).</w:t>
      </w:r>
    </w:p>
    <w:p w14:paraId="3B1081C0" w14:textId="77777777" w:rsidR="006B114C" w:rsidRDefault="006B114C" w:rsidP="00863CD8">
      <w:pPr>
        <w:rPr>
          <w:rFonts w:cs="Arial"/>
          <w:szCs w:val="24"/>
        </w:rPr>
      </w:pPr>
    </w:p>
    <w:p w14:paraId="034E684A" w14:textId="77777777" w:rsidR="00D50D41" w:rsidRPr="00352119" w:rsidRDefault="00863CD8" w:rsidP="00863CD8">
      <w:pPr>
        <w:rPr>
          <w:rFonts w:cs="Arial"/>
          <w:szCs w:val="24"/>
        </w:rPr>
      </w:pPr>
      <w:r w:rsidRPr="00A00035">
        <w:rPr>
          <w:rFonts w:cs="Arial"/>
          <w:szCs w:val="24"/>
        </w:rPr>
        <w:t xml:space="preserve">The </w:t>
      </w:r>
      <w:r w:rsidR="00EA3B7B">
        <w:rPr>
          <w:rFonts w:cs="Arial"/>
          <w:szCs w:val="24"/>
        </w:rPr>
        <w:t>Five-Y</w:t>
      </w:r>
      <w:r w:rsidR="00DA788E" w:rsidRPr="00F15B73">
        <w:rPr>
          <w:rFonts w:cs="Arial"/>
          <w:szCs w:val="24"/>
        </w:rPr>
        <w:t xml:space="preserve">ear </w:t>
      </w:r>
      <w:r w:rsidRPr="00F15B73">
        <w:rPr>
          <w:rFonts w:cs="Arial"/>
          <w:szCs w:val="24"/>
        </w:rPr>
        <w:t>Cost Projection</w:t>
      </w:r>
      <w:r w:rsidRPr="00A00035">
        <w:rPr>
          <w:rFonts w:cs="Arial"/>
          <w:szCs w:val="24"/>
        </w:rPr>
        <w:t xml:space="preserve"> section provides information on </w:t>
      </w:r>
      <w:r w:rsidR="00DE0B6B">
        <w:rPr>
          <w:rFonts w:cs="Arial"/>
          <w:szCs w:val="24"/>
        </w:rPr>
        <w:t xml:space="preserve">projected </w:t>
      </w:r>
      <w:r w:rsidR="001527D3">
        <w:rPr>
          <w:rFonts w:cs="Arial"/>
          <w:szCs w:val="24"/>
        </w:rPr>
        <w:t>annual CAASPP</w:t>
      </w:r>
      <w:r w:rsidR="00DD7771">
        <w:rPr>
          <w:rFonts w:cs="Arial"/>
          <w:szCs w:val="24"/>
        </w:rPr>
        <w:t xml:space="preserve"> </w:t>
      </w:r>
      <w:r>
        <w:rPr>
          <w:rFonts w:cs="Arial"/>
          <w:szCs w:val="24"/>
        </w:rPr>
        <w:t xml:space="preserve">contract and </w:t>
      </w:r>
      <w:r w:rsidR="00F01E12">
        <w:rPr>
          <w:rFonts w:cs="Arial"/>
          <w:szCs w:val="24"/>
        </w:rPr>
        <w:t>LEA</w:t>
      </w:r>
      <w:r w:rsidR="008000B6">
        <w:rPr>
          <w:rFonts w:cs="Arial"/>
          <w:szCs w:val="24"/>
        </w:rPr>
        <w:t xml:space="preserve"> </w:t>
      </w:r>
      <w:r>
        <w:rPr>
          <w:rFonts w:cs="Arial"/>
          <w:szCs w:val="24"/>
        </w:rPr>
        <w:t xml:space="preserve">apportionment </w:t>
      </w:r>
      <w:r w:rsidRPr="00A00035">
        <w:rPr>
          <w:rFonts w:cs="Arial"/>
          <w:szCs w:val="24"/>
        </w:rPr>
        <w:t>costs</w:t>
      </w:r>
      <w:r w:rsidR="001527D3">
        <w:rPr>
          <w:rFonts w:cs="Arial"/>
          <w:szCs w:val="24"/>
        </w:rPr>
        <w:t>.</w:t>
      </w:r>
      <w:r w:rsidR="00352119">
        <w:rPr>
          <w:rFonts w:cs="Arial"/>
          <w:szCs w:val="24"/>
        </w:rPr>
        <w:t xml:space="preserve"> It includes a timeline that </w:t>
      </w:r>
      <w:r>
        <w:rPr>
          <w:rFonts w:cs="Arial"/>
          <w:bCs/>
          <w:iCs/>
          <w:szCs w:val="24"/>
        </w:rPr>
        <w:t>provides</w:t>
      </w:r>
      <w:r>
        <w:rPr>
          <w:rFonts w:cs="Arial"/>
          <w:szCs w:val="24"/>
        </w:rPr>
        <w:t xml:space="preserve"> </w:t>
      </w:r>
      <w:r w:rsidR="00486382" w:rsidRPr="00486382">
        <w:rPr>
          <w:rFonts w:cs="Arial"/>
          <w:szCs w:val="24"/>
        </w:rPr>
        <w:t xml:space="preserve">information on the </w:t>
      </w:r>
      <w:r w:rsidR="00486382">
        <w:rPr>
          <w:rFonts w:cs="Arial"/>
          <w:szCs w:val="24"/>
        </w:rPr>
        <w:t>assessments</w:t>
      </w:r>
      <w:r w:rsidR="00486382" w:rsidRPr="00486382">
        <w:rPr>
          <w:rFonts w:cs="Arial"/>
          <w:szCs w:val="24"/>
        </w:rPr>
        <w:t xml:space="preserve"> that are anticipated to be a part of each CAASPP test administration and the projected costs per fiscal year for the overlapping test administration activities</w:t>
      </w:r>
      <w:r>
        <w:rPr>
          <w:rFonts w:cs="Arial"/>
          <w:iCs/>
          <w:szCs w:val="24"/>
        </w:rPr>
        <w:t>.</w:t>
      </w:r>
      <w:r w:rsidR="00016636">
        <w:rPr>
          <w:rFonts w:cs="Arial"/>
          <w:iCs/>
          <w:szCs w:val="24"/>
        </w:rPr>
        <w:t xml:space="preserve"> </w:t>
      </w:r>
    </w:p>
    <w:p w14:paraId="72038192" w14:textId="77777777" w:rsidR="003A15C5" w:rsidRDefault="003A15C5" w:rsidP="00863CD8">
      <w:pPr>
        <w:rPr>
          <w:rFonts w:cs="Arial"/>
          <w:iCs/>
          <w:szCs w:val="24"/>
        </w:rPr>
      </w:pPr>
    </w:p>
    <w:p w14:paraId="0B8EC212" w14:textId="77777777" w:rsidR="00557EB6" w:rsidRDefault="00F15B73" w:rsidP="00863CD8">
      <w:pPr>
        <w:rPr>
          <w:rFonts w:cs="Arial"/>
          <w:iCs/>
          <w:szCs w:val="24"/>
        </w:rPr>
      </w:pPr>
      <w:r>
        <w:rPr>
          <w:rFonts w:cs="Arial"/>
          <w:iCs/>
          <w:szCs w:val="24"/>
        </w:rPr>
        <w:t>A</w:t>
      </w:r>
      <w:r w:rsidR="00557EB6">
        <w:rPr>
          <w:rFonts w:cs="Arial"/>
          <w:iCs/>
          <w:szCs w:val="24"/>
        </w:rPr>
        <w:t>ny questions regarding t</w:t>
      </w:r>
      <w:r w:rsidR="00352119">
        <w:rPr>
          <w:rFonts w:cs="Arial"/>
          <w:iCs/>
          <w:szCs w:val="24"/>
        </w:rPr>
        <w:t>his report</w:t>
      </w:r>
      <w:r w:rsidR="003242A6">
        <w:rPr>
          <w:rFonts w:cs="Arial"/>
          <w:iCs/>
          <w:szCs w:val="24"/>
        </w:rPr>
        <w:t xml:space="preserve"> </w:t>
      </w:r>
      <w:r>
        <w:rPr>
          <w:rFonts w:cs="Arial"/>
          <w:iCs/>
          <w:szCs w:val="24"/>
        </w:rPr>
        <w:t>or request</w:t>
      </w:r>
      <w:r w:rsidR="000649F3">
        <w:rPr>
          <w:rFonts w:cs="Arial"/>
          <w:iCs/>
          <w:szCs w:val="24"/>
        </w:rPr>
        <w:t>s</w:t>
      </w:r>
      <w:r>
        <w:rPr>
          <w:rFonts w:cs="Arial"/>
          <w:iCs/>
          <w:szCs w:val="24"/>
        </w:rPr>
        <w:t xml:space="preserve"> for copies should be directed to</w:t>
      </w:r>
      <w:r w:rsidR="00557EB6">
        <w:rPr>
          <w:rFonts w:cs="Arial"/>
          <w:iCs/>
          <w:szCs w:val="24"/>
        </w:rPr>
        <w:t xml:space="preserve"> </w:t>
      </w:r>
      <w:r w:rsidR="00BC2B90">
        <w:rPr>
          <w:rFonts w:cs="Arial"/>
          <w:iCs/>
          <w:szCs w:val="24"/>
        </w:rPr>
        <w:br/>
      </w:r>
      <w:r w:rsidR="005C7D94">
        <w:rPr>
          <w:rFonts w:cs="Arial"/>
          <w:iCs/>
          <w:szCs w:val="24"/>
        </w:rPr>
        <w:t>Michelle Center</w:t>
      </w:r>
      <w:r>
        <w:rPr>
          <w:rFonts w:cs="Arial"/>
          <w:iCs/>
          <w:szCs w:val="24"/>
        </w:rPr>
        <w:t>,</w:t>
      </w:r>
      <w:r w:rsidR="00457368">
        <w:rPr>
          <w:rFonts w:cs="Arial"/>
          <w:iCs/>
          <w:szCs w:val="24"/>
        </w:rPr>
        <w:t xml:space="preserve"> </w:t>
      </w:r>
      <w:r w:rsidR="001527D3">
        <w:rPr>
          <w:rFonts w:cs="Arial"/>
          <w:iCs/>
          <w:szCs w:val="24"/>
        </w:rPr>
        <w:t>Director</w:t>
      </w:r>
      <w:r w:rsidR="00457368">
        <w:rPr>
          <w:rFonts w:cs="Arial"/>
          <w:iCs/>
          <w:szCs w:val="24"/>
        </w:rPr>
        <w:t>,</w:t>
      </w:r>
      <w:r w:rsidR="001527D3">
        <w:rPr>
          <w:rFonts w:cs="Arial"/>
          <w:iCs/>
          <w:szCs w:val="24"/>
        </w:rPr>
        <w:t xml:space="preserve"> Assessment Development and Administration </w:t>
      </w:r>
      <w:r w:rsidR="00BE7180">
        <w:rPr>
          <w:rFonts w:cs="Arial"/>
          <w:iCs/>
          <w:szCs w:val="24"/>
        </w:rPr>
        <w:t>Division,</w:t>
      </w:r>
      <w:r w:rsidR="001527D3">
        <w:rPr>
          <w:rFonts w:cs="Arial"/>
          <w:iCs/>
          <w:szCs w:val="24"/>
        </w:rPr>
        <w:t xml:space="preserve"> by phone at 916-319-0803</w:t>
      </w:r>
      <w:r w:rsidR="00457368">
        <w:rPr>
          <w:rFonts w:cs="Arial"/>
          <w:iCs/>
          <w:szCs w:val="24"/>
        </w:rPr>
        <w:t xml:space="preserve"> or by e-mail at </w:t>
      </w:r>
      <w:hyperlink r:id="rId14" w:history="1">
        <w:r w:rsidR="005C7D94" w:rsidRPr="001A3A8B">
          <w:rPr>
            <w:rStyle w:val="Hyperlink"/>
            <w:rFonts w:cs="Arial"/>
            <w:iCs/>
            <w:szCs w:val="24"/>
          </w:rPr>
          <w:t>mcenter@cde.ca.gov</w:t>
        </w:r>
      </w:hyperlink>
      <w:r w:rsidR="00457368">
        <w:rPr>
          <w:rFonts w:cs="Arial"/>
          <w:iCs/>
          <w:szCs w:val="24"/>
        </w:rPr>
        <w:t>.</w:t>
      </w:r>
    </w:p>
    <w:p w14:paraId="7EB7D2AD" w14:textId="77777777" w:rsidR="00557EB6" w:rsidRDefault="00557EB6" w:rsidP="00863CD8">
      <w:pPr>
        <w:rPr>
          <w:rFonts w:cs="Arial"/>
          <w:iCs/>
          <w:szCs w:val="24"/>
        </w:rPr>
      </w:pPr>
    </w:p>
    <w:p w14:paraId="6D1A2224" w14:textId="77777777" w:rsidR="00D77BE1" w:rsidRDefault="00FE2C24" w:rsidP="006B30EA">
      <w:pPr>
        <w:rPr>
          <w:rFonts w:cs="Arial"/>
          <w:iCs/>
          <w:szCs w:val="24"/>
        </w:rPr>
        <w:sectPr w:rsidR="00D77BE1" w:rsidSect="00F92492">
          <w:footerReference w:type="first" r:id="rId15"/>
          <w:pgSz w:w="12240" w:h="15840" w:code="1"/>
          <w:pgMar w:top="1440" w:right="1440" w:bottom="1440" w:left="1440" w:header="576" w:footer="576" w:gutter="0"/>
          <w:pgNumType w:start="1"/>
          <w:cols w:space="720"/>
          <w:titlePg/>
          <w:docGrid w:linePitch="360"/>
        </w:sectPr>
      </w:pPr>
      <w:r>
        <w:rPr>
          <w:rFonts w:cs="Arial"/>
          <w:iCs/>
          <w:szCs w:val="24"/>
        </w:rPr>
        <w:t>This</w:t>
      </w:r>
      <w:r w:rsidR="003242A6">
        <w:rPr>
          <w:rFonts w:cs="Arial"/>
          <w:iCs/>
          <w:szCs w:val="24"/>
        </w:rPr>
        <w:t xml:space="preserve"> report </w:t>
      </w:r>
      <w:r>
        <w:rPr>
          <w:rFonts w:cs="Arial"/>
          <w:iCs/>
          <w:szCs w:val="24"/>
        </w:rPr>
        <w:t xml:space="preserve">is available </w:t>
      </w:r>
      <w:r w:rsidR="003242A6">
        <w:rPr>
          <w:rFonts w:cs="Arial"/>
          <w:iCs/>
          <w:szCs w:val="24"/>
        </w:rPr>
        <w:t>on</w:t>
      </w:r>
      <w:r w:rsidR="00D50D41">
        <w:rPr>
          <w:rFonts w:cs="Arial"/>
          <w:iCs/>
          <w:szCs w:val="24"/>
        </w:rPr>
        <w:t xml:space="preserve"> the Calif</w:t>
      </w:r>
      <w:r w:rsidR="008415C1">
        <w:rPr>
          <w:rFonts w:cs="Arial"/>
          <w:iCs/>
          <w:szCs w:val="24"/>
        </w:rPr>
        <w:t>ornia Department of Education</w:t>
      </w:r>
      <w:r w:rsidR="008B3AA2">
        <w:rPr>
          <w:rFonts w:cs="Arial"/>
          <w:iCs/>
          <w:szCs w:val="24"/>
        </w:rPr>
        <w:t xml:space="preserve"> </w:t>
      </w:r>
      <w:r w:rsidR="001527D3">
        <w:rPr>
          <w:rFonts w:cs="Arial"/>
          <w:iCs/>
          <w:szCs w:val="24"/>
        </w:rPr>
        <w:t>CAASPP</w:t>
      </w:r>
      <w:r w:rsidR="008415C1">
        <w:rPr>
          <w:rFonts w:cs="Arial"/>
          <w:iCs/>
          <w:szCs w:val="24"/>
        </w:rPr>
        <w:t xml:space="preserve"> Web page</w:t>
      </w:r>
      <w:r w:rsidR="00D50D41">
        <w:rPr>
          <w:rFonts w:cs="Arial"/>
          <w:iCs/>
          <w:szCs w:val="24"/>
        </w:rPr>
        <w:t xml:space="preserve"> at </w:t>
      </w:r>
      <w:hyperlink r:id="rId16" w:history="1">
        <w:r w:rsidR="00A7393B" w:rsidRPr="003B1CF6">
          <w:rPr>
            <w:rStyle w:val="Hyperlink"/>
            <w:rFonts w:cs="Arial"/>
            <w:iCs/>
            <w:szCs w:val="24"/>
          </w:rPr>
          <w:t>http://www.cde.ca.gov/ta/tg/ca/</w:t>
        </w:r>
      </w:hyperlink>
      <w:r w:rsidR="00A7393B">
        <w:rPr>
          <w:rFonts w:cs="Arial"/>
          <w:iCs/>
          <w:szCs w:val="24"/>
        </w:rPr>
        <w:t>.</w:t>
      </w:r>
    </w:p>
    <w:p w14:paraId="1E9CC37B" w14:textId="77777777" w:rsidR="004C40C7" w:rsidRPr="0071253D" w:rsidRDefault="004C40C7" w:rsidP="0071253D">
      <w:pPr>
        <w:pStyle w:val="Heading2"/>
      </w:pPr>
      <w:bookmarkStart w:id="2" w:name="_Toc505780225"/>
      <w:r w:rsidRPr="0071253D">
        <w:lastRenderedPageBreak/>
        <w:t>Program Information</w:t>
      </w:r>
      <w:bookmarkEnd w:id="2"/>
    </w:p>
    <w:p w14:paraId="7F03F7A8" w14:textId="77777777" w:rsidR="004C40C7" w:rsidRDefault="004C40C7" w:rsidP="004C40C7">
      <w:pPr>
        <w:widowControl/>
        <w:rPr>
          <w:rFonts w:cs="Arial"/>
          <w:szCs w:val="24"/>
        </w:rPr>
      </w:pPr>
    </w:p>
    <w:p w14:paraId="5640EE27" w14:textId="77777777" w:rsidR="006348D4" w:rsidRDefault="00404001" w:rsidP="008A6C23">
      <w:pPr>
        <w:widowControl/>
        <w:rPr>
          <w:rFonts w:eastAsia="Calibri" w:cs="Arial"/>
          <w:snapToGrid/>
          <w:szCs w:val="24"/>
        </w:rPr>
      </w:pPr>
      <w:r>
        <w:rPr>
          <w:rFonts w:eastAsia="Calibri" w:cs="Arial"/>
          <w:snapToGrid/>
          <w:szCs w:val="24"/>
        </w:rPr>
        <w:t xml:space="preserve">The </w:t>
      </w:r>
      <w:r w:rsidR="00F15B73">
        <w:rPr>
          <w:rFonts w:eastAsia="Calibri" w:cs="Arial"/>
          <w:snapToGrid/>
          <w:szCs w:val="24"/>
        </w:rPr>
        <w:t xml:space="preserve">California Assessment </w:t>
      </w:r>
      <w:r w:rsidR="008E6E01">
        <w:rPr>
          <w:rFonts w:eastAsia="Calibri" w:cs="Arial"/>
          <w:snapToGrid/>
          <w:szCs w:val="24"/>
        </w:rPr>
        <w:t>of</w:t>
      </w:r>
      <w:r w:rsidR="00F15B73">
        <w:rPr>
          <w:rFonts w:eastAsia="Calibri" w:cs="Arial"/>
          <w:snapToGrid/>
          <w:szCs w:val="24"/>
        </w:rPr>
        <w:t xml:space="preserve"> Student Performance and Progress (</w:t>
      </w:r>
      <w:r>
        <w:rPr>
          <w:rFonts w:eastAsia="Calibri" w:cs="Arial"/>
          <w:snapToGrid/>
          <w:szCs w:val="24"/>
        </w:rPr>
        <w:t>CAASPP</w:t>
      </w:r>
      <w:r w:rsidR="00F15B73">
        <w:rPr>
          <w:rFonts w:eastAsia="Calibri" w:cs="Arial"/>
          <w:snapToGrid/>
          <w:szCs w:val="24"/>
        </w:rPr>
        <w:t>)</w:t>
      </w:r>
      <w:r>
        <w:rPr>
          <w:rFonts w:eastAsia="Calibri" w:cs="Arial"/>
          <w:snapToGrid/>
          <w:szCs w:val="24"/>
        </w:rPr>
        <w:t xml:space="preserve"> </w:t>
      </w:r>
      <w:r w:rsidR="00E3648C">
        <w:rPr>
          <w:rFonts w:eastAsia="Calibri" w:cs="Arial"/>
          <w:snapToGrid/>
          <w:szCs w:val="24"/>
        </w:rPr>
        <w:t>S</w:t>
      </w:r>
      <w:r>
        <w:rPr>
          <w:rFonts w:eastAsia="Calibri" w:cs="Arial"/>
          <w:snapToGrid/>
          <w:szCs w:val="24"/>
        </w:rPr>
        <w:t xml:space="preserve">ystem </w:t>
      </w:r>
      <w:r w:rsidR="006421BA">
        <w:rPr>
          <w:rFonts w:eastAsia="Calibri" w:cs="Arial"/>
          <w:snapToGrid/>
          <w:szCs w:val="24"/>
        </w:rPr>
        <w:t xml:space="preserve">was established in </w:t>
      </w:r>
      <w:r w:rsidR="00ED5DA1">
        <w:rPr>
          <w:rFonts w:eastAsia="Calibri" w:cs="Arial"/>
          <w:snapToGrid/>
          <w:szCs w:val="24"/>
        </w:rPr>
        <w:t>statute</w:t>
      </w:r>
      <w:r w:rsidR="00E468A5">
        <w:rPr>
          <w:rFonts w:eastAsia="Calibri" w:cs="Arial"/>
          <w:snapToGrid/>
          <w:szCs w:val="24"/>
        </w:rPr>
        <w:t xml:space="preserve"> (</w:t>
      </w:r>
      <w:r w:rsidR="00F15B73">
        <w:rPr>
          <w:rFonts w:eastAsia="Calibri" w:cs="Arial"/>
          <w:snapToGrid/>
          <w:szCs w:val="24"/>
        </w:rPr>
        <w:t xml:space="preserve">California </w:t>
      </w:r>
      <w:r w:rsidR="00F15B73" w:rsidRPr="00F15B73">
        <w:rPr>
          <w:rFonts w:eastAsia="Calibri" w:cs="Arial"/>
          <w:i/>
          <w:snapToGrid/>
          <w:szCs w:val="24"/>
        </w:rPr>
        <w:t>Education Code</w:t>
      </w:r>
      <w:r w:rsidR="00F15B73">
        <w:rPr>
          <w:rFonts w:eastAsia="Calibri" w:cs="Arial"/>
          <w:snapToGrid/>
          <w:szCs w:val="24"/>
        </w:rPr>
        <w:t xml:space="preserve"> [</w:t>
      </w:r>
      <w:r w:rsidR="006421BA" w:rsidRPr="006421BA">
        <w:rPr>
          <w:rFonts w:eastAsia="Calibri" w:cs="Arial"/>
          <w:i/>
          <w:snapToGrid/>
          <w:szCs w:val="24"/>
        </w:rPr>
        <w:t>EC</w:t>
      </w:r>
      <w:r w:rsidR="00F15B73" w:rsidRPr="00F15B73">
        <w:rPr>
          <w:rFonts w:eastAsia="Calibri" w:cs="Arial"/>
          <w:snapToGrid/>
          <w:szCs w:val="24"/>
        </w:rPr>
        <w:t>]</w:t>
      </w:r>
      <w:r w:rsidR="006421BA" w:rsidRPr="00F15B73">
        <w:rPr>
          <w:rFonts w:eastAsia="Calibri" w:cs="Arial"/>
          <w:snapToGrid/>
          <w:szCs w:val="24"/>
        </w:rPr>
        <w:t xml:space="preserve"> </w:t>
      </w:r>
      <w:r w:rsidR="006421BA">
        <w:rPr>
          <w:rFonts w:eastAsia="Calibri" w:cs="Arial"/>
          <w:snapToGrid/>
          <w:szCs w:val="24"/>
        </w:rPr>
        <w:t>sections 60640–</w:t>
      </w:r>
      <w:r w:rsidR="006421BA" w:rsidRPr="00870723">
        <w:rPr>
          <w:rFonts w:eastAsia="Calibri" w:cs="Arial"/>
          <w:snapToGrid/>
          <w:szCs w:val="24"/>
        </w:rPr>
        <w:t>60649</w:t>
      </w:r>
      <w:r w:rsidR="00E468A5">
        <w:rPr>
          <w:rFonts w:eastAsia="Calibri" w:cs="Arial"/>
          <w:snapToGrid/>
          <w:szCs w:val="24"/>
        </w:rPr>
        <w:t>)</w:t>
      </w:r>
      <w:r w:rsidR="006421BA">
        <w:rPr>
          <w:rFonts w:eastAsia="Calibri" w:cs="Arial"/>
          <w:snapToGrid/>
          <w:szCs w:val="24"/>
        </w:rPr>
        <w:t xml:space="preserve"> </w:t>
      </w:r>
      <w:r>
        <w:rPr>
          <w:rFonts w:eastAsia="Calibri" w:cs="Arial"/>
          <w:snapToGrid/>
          <w:szCs w:val="24"/>
        </w:rPr>
        <w:t xml:space="preserve">in 2013 </w:t>
      </w:r>
      <w:r w:rsidR="006421BA">
        <w:rPr>
          <w:rFonts w:eastAsia="Calibri" w:cs="Arial"/>
          <w:snapToGrid/>
          <w:szCs w:val="24"/>
        </w:rPr>
        <w:t>per Chapter 498, Statutes of 2013 (Assembly Bill 484, Bonilla</w:t>
      </w:r>
      <w:r w:rsidR="006421BA" w:rsidRPr="006421BA">
        <w:rPr>
          <w:rFonts w:eastAsia="Calibri" w:cs="Arial"/>
          <w:snapToGrid/>
          <w:szCs w:val="24"/>
        </w:rPr>
        <w:t>)</w:t>
      </w:r>
      <w:r w:rsidR="006421BA">
        <w:rPr>
          <w:rFonts w:eastAsia="Calibri" w:cs="Arial"/>
          <w:snapToGrid/>
          <w:szCs w:val="24"/>
        </w:rPr>
        <w:t xml:space="preserve"> </w:t>
      </w:r>
      <w:r>
        <w:rPr>
          <w:rFonts w:eastAsia="Calibri" w:cs="Arial"/>
          <w:snapToGrid/>
          <w:szCs w:val="24"/>
        </w:rPr>
        <w:t>and became effective on January 1, 2014</w:t>
      </w:r>
      <w:r w:rsidR="00B741C5">
        <w:rPr>
          <w:rFonts w:eastAsia="Calibri" w:cs="Arial"/>
          <w:snapToGrid/>
          <w:szCs w:val="24"/>
        </w:rPr>
        <w:t xml:space="preserve">, </w:t>
      </w:r>
      <w:r w:rsidR="00044A08">
        <w:rPr>
          <w:rFonts w:eastAsia="Calibri" w:cs="Arial"/>
          <w:snapToGrid/>
          <w:szCs w:val="24"/>
        </w:rPr>
        <w:t>with technical amendments</w:t>
      </w:r>
      <w:r w:rsidR="00B741C5">
        <w:rPr>
          <w:rFonts w:eastAsia="Calibri" w:cs="Arial"/>
          <w:snapToGrid/>
          <w:szCs w:val="24"/>
        </w:rPr>
        <w:t xml:space="preserve"> per Chapter 32, Statutes of 2014 (</w:t>
      </w:r>
      <w:r w:rsidR="006421BA">
        <w:rPr>
          <w:rFonts w:eastAsia="Calibri" w:cs="Arial"/>
          <w:snapToGrid/>
          <w:szCs w:val="24"/>
        </w:rPr>
        <w:t xml:space="preserve">Senate Bill </w:t>
      </w:r>
      <w:r w:rsidR="006421BA" w:rsidRPr="007F4ED4">
        <w:rPr>
          <w:rFonts w:eastAsia="Calibri" w:cs="Arial"/>
          <w:snapToGrid/>
          <w:szCs w:val="24"/>
        </w:rPr>
        <w:t xml:space="preserve">858, </w:t>
      </w:r>
      <w:r w:rsidR="00B741C5" w:rsidRPr="007F4ED4">
        <w:rPr>
          <w:rFonts w:cs="Arial"/>
          <w:szCs w:val="24"/>
        </w:rPr>
        <w:t>Committee on Budget and Fiscal Review</w:t>
      </w:r>
      <w:r w:rsidR="006421BA" w:rsidRPr="007F4ED4">
        <w:rPr>
          <w:rFonts w:eastAsia="Calibri" w:cs="Arial"/>
          <w:snapToGrid/>
          <w:szCs w:val="24"/>
        </w:rPr>
        <w:t>)</w:t>
      </w:r>
      <w:r w:rsidRPr="007F4ED4">
        <w:rPr>
          <w:rFonts w:cs="Arial"/>
          <w:i/>
          <w:iCs/>
          <w:snapToGrid/>
          <w:szCs w:val="24"/>
        </w:rPr>
        <w:t>.</w:t>
      </w:r>
      <w:r w:rsidRPr="007F4ED4">
        <w:rPr>
          <w:rFonts w:eastAsia="Calibri" w:cs="Arial"/>
          <w:snapToGrid/>
          <w:szCs w:val="24"/>
        </w:rPr>
        <w:t xml:space="preserve"> </w:t>
      </w:r>
      <w:r w:rsidR="00E3648C">
        <w:rPr>
          <w:rFonts w:eastAsia="Calibri" w:cs="Arial"/>
          <w:snapToGrid/>
          <w:szCs w:val="24"/>
        </w:rPr>
        <w:t>The CAASPP S</w:t>
      </w:r>
      <w:r w:rsidR="00F534AD">
        <w:rPr>
          <w:rFonts w:eastAsia="Calibri" w:cs="Arial"/>
          <w:snapToGrid/>
          <w:szCs w:val="24"/>
        </w:rPr>
        <w:t>ystem</w:t>
      </w:r>
      <w:r w:rsidR="008A49EA">
        <w:rPr>
          <w:rFonts w:eastAsia="Calibri" w:cs="Arial"/>
          <w:snapToGrid/>
          <w:szCs w:val="24"/>
        </w:rPr>
        <w:t>,</w:t>
      </w:r>
      <w:r w:rsidR="00F534AD">
        <w:rPr>
          <w:rFonts w:eastAsia="Calibri" w:cs="Arial"/>
          <w:snapToGrid/>
          <w:szCs w:val="24"/>
        </w:rPr>
        <w:t xml:space="preserve"> </w:t>
      </w:r>
      <w:r w:rsidR="00352119">
        <w:rPr>
          <w:rFonts w:eastAsia="Calibri" w:cs="Arial"/>
          <w:snapToGrid/>
          <w:szCs w:val="24"/>
        </w:rPr>
        <w:t>which replaced the Standardize</w:t>
      </w:r>
      <w:r w:rsidR="00614E25">
        <w:rPr>
          <w:rFonts w:eastAsia="Calibri" w:cs="Arial"/>
          <w:snapToGrid/>
          <w:szCs w:val="24"/>
        </w:rPr>
        <w:t>d Testing and Reporting (STAR) P</w:t>
      </w:r>
      <w:r w:rsidR="00352119">
        <w:rPr>
          <w:rFonts w:eastAsia="Calibri" w:cs="Arial"/>
          <w:snapToGrid/>
          <w:szCs w:val="24"/>
        </w:rPr>
        <w:t>rogram assessments administered from 1998 through 2013</w:t>
      </w:r>
      <w:r w:rsidR="00352119" w:rsidRPr="00342A4B">
        <w:rPr>
          <w:rFonts w:eastAsia="Calibri" w:cs="Arial"/>
          <w:snapToGrid/>
          <w:szCs w:val="24"/>
        </w:rPr>
        <w:t xml:space="preserve">, </w:t>
      </w:r>
      <w:r w:rsidR="00F534AD" w:rsidRPr="00342A4B">
        <w:rPr>
          <w:rFonts w:eastAsia="Calibri" w:cs="Arial"/>
          <w:snapToGrid/>
          <w:szCs w:val="24"/>
        </w:rPr>
        <w:t>be</w:t>
      </w:r>
      <w:r w:rsidR="00352119" w:rsidRPr="00342A4B">
        <w:rPr>
          <w:rFonts w:eastAsia="Calibri" w:cs="Arial"/>
          <w:snapToGrid/>
          <w:szCs w:val="24"/>
        </w:rPr>
        <w:t>comes inoperative July 1, 2020.</w:t>
      </w:r>
    </w:p>
    <w:p w14:paraId="13FD2D68" w14:textId="77777777" w:rsidR="006348D4" w:rsidRDefault="006348D4" w:rsidP="008A6C23">
      <w:pPr>
        <w:widowControl/>
        <w:rPr>
          <w:rFonts w:eastAsia="Calibri" w:cs="Arial"/>
          <w:snapToGrid/>
          <w:szCs w:val="24"/>
        </w:rPr>
      </w:pPr>
    </w:p>
    <w:p w14:paraId="72C39D16" w14:textId="77777777" w:rsidR="006348D4" w:rsidRDefault="006965CD" w:rsidP="008A6C23">
      <w:pPr>
        <w:widowControl/>
        <w:rPr>
          <w:rFonts w:eastAsia="Calibri" w:cs="Arial"/>
          <w:snapToGrid/>
          <w:szCs w:val="24"/>
        </w:rPr>
      </w:pPr>
      <w:r>
        <w:t>The purpose</w:t>
      </w:r>
      <w:r w:rsidR="00352119">
        <w:t>s</w:t>
      </w:r>
      <w:r>
        <w:t xml:space="preserve"> of CAASPP </w:t>
      </w:r>
      <w:r w:rsidR="00352119">
        <w:t>are</w:t>
      </w:r>
      <w:r>
        <w:t xml:space="preserve"> to provide a system of assessments that primarily assist teachers, administrators, and s</w:t>
      </w:r>
      <w:r w:rsidR="0045503A">
        <w:t>tudents</w:t>
      </w:r>
      <w:r>
        <w:t xml:space="preserve"> and their parents/guardians</w:t>
      </w:r>
      <w:r w:rsidR="00E468A5">
        <w:t xml:space="preserve"> </w:t>
      </w:r>
      <w:r w:rsidR="00D15B5E">
        <w:t xml:space="preserve">to </w:t>
      </w:r>
      <w:r>
        <w:t xml:space="preserve">improve teaching and promote high-quality teaching and learning </w:t>
      </w:r>
      <w:r w:rsidR="00D15B5E">
        <w:t>through the use of</w:t>
      </w:r>
      <w:r>
        <w:t xml:space="preserve"> a variety of assessment approaches and item types.</w:t>
      </w:r>
      <w:r w:rsidR="0065384E" w:rsidRPr="0065384E">
        <w:t xml:space="preserve"> </w:t>
      </w:r>
      <w:r w:rsidR="00FE2C24">
        <w:t xml:space="preserve">The legislation also </w:t>
      </w:r>
      <w:r w:rsidR="0065384E" w:rsidRPr="0065384E">
        <w:rPr>
          <w:rFonts w:eastAsia="Calibri" w:cs="Arial"/>
          <w:snapToGrid/>
          <w:szCs w:val="24"/>
        </w:rPr>
        <w:t xml:space="preserve">provides for the designation or development of assessments and the administration of assessments through the use of technology, where feasible. </w:t>
      </w:r>
      <w:r w:rsidR="0078621F" w:rsidRPr="0078621F">
        <w:rPr>
          <w:rFonts w:eastAsia="Calibri" w:cs="Arial"/>
          <w:snapToGrid/>
          <w:szCs w:val="24"/>
        </w:rPr>
        <w:t>This transition will take several years to complete.</w:t>
      </w:r>
      <w:r w:rsidR="00087544">
        <w:rPr>
          <w:rFonts w:eastAsia="Calibri" w:cs="Arial"/>
          <w:snapToGrid/>
          <w:szCs w:val="24"/>
        </w:rPr>
        <w:t xml:space="preserve"> </w:t>
      </w:r>
    </w:p>
    <w:p w14:paraId="556E3892" w14:textId="77777777" w:rsidR="006348D4" w:rsidRDefault="006348D4" w:rsidP="008A6C23">
      <w:pPr>
        <w:widowControl/>
        <w:rPr>
          <w:rFonts w:eastAsia="Calibri" w:cs="Arial"/>
          <w:snapToGrid/>
          <w:szCs w:val="24"/>
        </w:rPr>
      </w:pPr>
    </w:p>
    <w:p w14:paraId="007D2251" w14:textId="77777777" w:rsidR="008E6E01" w:rsidRDefault="00A67F69" w:rsidP="008A6C23">
      <w:pPr>
        <w:widowControl/>
        <w:rPr>
          <w:rFonts w:eastAsia="Calibri" w:cs="Arial"/>
          <w:snapToGrid/>
          <w:szCs w:val="24"/>
        </w:rPr>
      </w:pPr>
      <w:r w:rsidRPr="00A67F69">
        <w:rPr>
          <w:rFonts w:eastAsia="Calibri" w:cs="Arial"/>
          <w:snapToGrid/>
          <w:szCs w:val="24"/>
        </w:rPr>
        <w:t xml:space="preserve">This report provides information about the </w:t>
      </w:r>
      <w:r>
        <w:rPr>
          <w:rFonts w:eastAsia="Calibri" w:cs="Arial"/>
          <w:snapToGrid/>
          <w:szCs w:val="24"/>
        </w:rPr>
        <w:t>CAASPP</w:t>
      </w:r>
      <w:r w:rsidRPr="00A67F69">
        <w:rPr>
          <w:rFonts w:eastAsia="Calibri" w:cs="Arial"/>
          <w:snapToGrid/>
          <w:szCs w:val="24"/>
        </w:rPr>
        <w:t xml:space="preserve"> </w:t>
      </w:r>
      <w:r w:rsidR="00E3648C">
        <w:rPr>
          <w:rFonts w:eastAsia="Calibri" w:cs="Arial"/>
          <w:snapToGrid/>
          <w:szCs w:val="24"/>
        </w:rPr>
        <w:t>System</w:t>
      </w:r>
      <w:r w:rsidR="00D15B5E">
        <w:rPr>
          <w:rFonts w:eastAsia="Calibri" w:cs="Arial"/>
          <w:snapToGrid/>
          <w:szCs w:val="24"/>
        </w:rPr>
        <w:t xml:space="preserve"> as it relates to</w:t>
      </w:r>
      <w:r w:rsidR="000804D6">
        <w:rPr>
          <w:rFonts w:eastAsia="Calibri" w:cs="Arial"/>
          <w:snapToGrid/>
          <w:szCs w:val="24"/>
        </w:rPr>
        <w:t xml:space="preserve"> </w:t>
      </w:r>
    </w:p>
    <w:p w14:paraId="5B9A38C5" w14:textId="77777777" w:rsidR="00863CD8" w:rsidRDefault="00A67F69" w:rsidP="008A6C23">
      <w:pPr>
        <w:widowControl/>
        <w:rPr>
          <w:rFonts w:cs="Arial"/>
          <w:szCs w:val="24"/>
        </w:rPr>
      </w:pPr>
      <w:r w:rsidRPr="00A67F69">
        <w:rPr>
          <w:rFonts w:eastAsia="Calibri" w:cs="Arial"/>
          <w:i/>
          <w:snapToGrid/>
          <w:szCs w:val="24"/>
        </w:rPr>
        <w:t>EC</w:t>
      </w:r>
      <w:r w:rsidRPr="00A67F69">
        <w:rPr>
          <w:rFonts w:eastAsia="Calibri" w:cs="Arial"/>
          <w:snapToGrid/>
          <w:szCs w:val="24"/>
        </w:rPr>
        <w:t xml:space="preserve"> Section 60604(b), which requires the State Superintendent of Public Instruction (SSPI) to develop and annually </w:t>
      </w:r>
      <w:r w:rsidR="00D27194">
        <w:rPr>
          <w:rFonts w:eastAsia="Calibri" w:cs="Arial"/>
          <w:snapToGrid/>
          <w:szCs w:val="24"/>
        </w:rPr>
        <w:t xml:space="preserve">provide </w:t>
      </w:r>
      <w:r w:rsidR="00A45212">
        <w:rPr>
          <w:rFonts w:eastAsia="Calibri" w:cs="Arial"/>
          <w:snapToGrid/>
          <w:szCs w:val="24"/>
        </w:rPr>
        <w:t>for</w:t>
      </w:r>
      <w:r w:rsidR="00D27194">
        <w:rPr>
          <w:rFonts w:eastAsia="Calibri" w:cs="Arial"/>
          <w:snapToGrid/>
          <w:szCs w:val="24"/>
        </w:rPr>
        <w:t xml:space="preserve"> the Legislature an </w:t>
      </w:r>
      <w:r w:rsidRPr="00A67F69">
        <w:rPr>
          <w:rFonts w:eastAsia="Calibri" w:cs="Arial"/>
          <w:snapToGrid/>
          <w:szCs w:val="24"/>
        </w:rPr>
        <w:t xml:space="preserve">update </w:t>
      </w:r>
      <w:r w:rsidR="00D27194">
        <w:rPr>
          <w:rFonts w:eastAsia="Calibri" w:cs="Arial"/>
          <w:snapToGrid/>
          <w:szCs w:val="24"/>
        </w:rPr>
        <w:t>on</w:t>
      </w:r>
      <w:r w:rsidR="006348D4">
        <w:rPr>
          <w:rFonts w:eastAsia="Calibri" w:cs="Arial"/>
          <w:snapToGrid/>
          <w:szCs w:val="24"/>
        </w:rPr>
        <w:t xml:space="preserve"> </w:t>
      </w:r>
      <w:r w:rsidRPr="00A67F69">
        <w:rPr>
          <w:rFonts w:eastAsia="Calibri" w:cs="Arial"/>
          <w:snapToGrid/>
          <w:szCs w:val="24"/>
        </w:rPr>
        <w:t>a five-year cost projection</w:t>
      </w:r>
      <w:r w:rsidR="007E0B85">
        <w:rPr>
          <w:rFonts w:eastAsia="Calibri" w:cs="Arial"/>
          <w:snapToGrid/>
          <w:szCs w:val="24"/>
        </w:rPr>
        <w:t xml:space="preserve">, </w:t>
      </w:r>
      <w:r w:rsidR="00FC18CE">
        <w:rPr>
          <w:rFonts w:eastAsia="Calibri" w:cs="Arial"/>
          <w:snapToGrid/>
          <w:szCs w:val="24"/>
        </w:rPr>
        <w:t xml:space="preserve">implementation </w:t>
      </w:r>
      <w:r w:rsidRPr="00A67F69">
        <w:rPr>
          <w:rFonts w:eastAsia="Calibri" w:cs="Arial"/>
          <w:snapToGrid/>
          <w:szCs w:val="24"/>
        </w:rPr>
        <w:t>plan</w:t>
      </w:r>
      <w:r w:rsidR="00B64D97">
        <w:rPr>
          <w:rFonts w:eastAsia="Calibri" w:cs="Arial"/>
          <w:snapToGrid/>
          <w:szCs w:val="24"/>
        </w:rPr>
        <w:t>, and timeline for implementing</w:t>
      </w:r>
      <w:r w:rsidRPr="00A67F69">
        <w:rPr>
          <w:rFonts w:eastAsia="Calibri" w:cs="Arial"/>
          <w:snapToGrid/>
          <w:szCs w:val="24"/>
        </w:rPr>
        <w:t xml:space="preserve"> </w:t>
      </w:r>
      <w:r w:rsidR="002B6AAC">
        <w:rPr>
          <w:rFonts w:eastAsia="Calibri" w:cs="Arial"/>
          <w:snapToGrid/>
          <w:szCs w:val="24"/>
        </w:rPr>
        <w:t xml:space="preserve">the </w:t>
      </w:r>
      <w:r w:rsidRPr="00A67F69">
        <w:rPr>
          <w:rFonts w:eastAsia="Calibri" w:cs="Arial"/>
          <w:snapToGrid/>
          <w:szCs w:val="24"/>
        </w:rPr>
        <w:t>CAASPP</w:t>
      </w:r>
      <w:r w:rsidR="00D15B5E">
        <w:rPr>
          <w:rFonts w:eastAsia="Calibri" w:cs="Arial"/>
          <w:snapToGrid/>
          <w:szCs w:val="24"/>
        </w:rPr>
        <w:t xml:space="preserve"> </w:t>
      </w:r>
      <w:r w:rsidR="00E3648C">
        <w:rPr>
          <w:rFonts w:eastAsia="Calibri" w:cs="Arial"/>
          <w:snapToGrid/>
          <w:szCs w:val="24"/>
        </w:rPr>
        <w:t>System</w:t>
      </w:r>
      <w:r w:rsidRPr="00A67F69">
        <w:rPr>
          <w:rFonts w:eastAsia="Calibri" w:cs="Arial"/>
          <w:snapToGrid/>
          <w:szCs w:val="24"/>
        </w:rPr>
        <w:t>.</w:t>
      </w:r>
    </w:p>
    <w:p w14:paraId="4680B203" w14:textId="77777777" w:rsidR="002A0F37" w:rsidRDefault="002A0F37" w:rsidP="008A6C23">
      <w:pPr>
        <w:widowControl/>
        <w:ind w:right="720"/>
        <w:rPr>
          <w:rFonts w:cs="Arial"/>
          <w:szCs w:val="24"/>
        </w:rPr>
      </w:pPr>
    </w:p>
    <w:p w14:paraId="5239F73A" w14:textId="77777777" w:rsidR="00451489" w:rsidRDefault="0078621F" w:rsidP="003A0F6B">
      <w:pPr>
        <w:widowControl/>
      </w:pPr>
      <w:r>
        <w:t xml:space="preserve">As </w:t>
      </w:r>
      <w:r w:rsidR="00EA3B7B">
        <w:t xml:space="preserve">addressed in </w:t>
      </w:r>
      <w:r w:rsidR="00ED5DA1">
        <w:t>s</w:t>
      </w:r>
      <w:r w:rsidR="0024688F">
        <w:t>tate</w:t>
      </w:r>
      <w:r w:rsidR="00D27194">
        <w:t xml:space="preserve"> </w:t>
      </w:r>
      <w:r>
        <w:t xml:space="preserve">law, CAASPP </w:t>
      </w:r>
      <w:r w:rsidR="00150F17">
        <w:t xml:space="preserve">summative </w:t>
      </w:r>
      <w:r>
        <w:t xml:space="preserve">assessments include </w:t>
      </w:r>
      <w:r w:rsidR="00150F17">
        <w:t xml:space="preserve">Smarter Balanced </w:t>
      </w:r>
      <w:r>
        <w:t>consortium-developed</w:t>
      </w:r>
      <w:r w:rsidR="00E31395">
        <w:t>,</w:t>
      </w:r>
      <w:r w:rsidR="00E31395">
        <w:rPr>
          <w:rStyle w:val="FootnoteReference"/>
        </w:rPr>
        <w:footnoteReference w:id="2"/>
      </w:r>
      <w:r w:rsidR="00D15B5E">
        <w:t xml:space="preserve"> computer-based assessments</w:t>
      </w:r>
      <w:r w:rsidR="000A3682">
        <w:t xml:space="preserve"> for English language arts/literacy (ELA) and mathematics</w:t>
      </w:r>
      <w:r w:rsidR="00D15B5E">
        <w:t>;</w:t>
      </w:r>
      <w:r w:rsidR="00EA3B7B">
        <w:t xml:space="preserve"> </w:t>
      </w:r>
      <w:r w:rsidR="000A3682">
        <w:t>the California Alternate Assessments (CAAs) for students with the most significant cognitive disabilities, as designated in their individualized education program (IEP)</w:t>
      </w:r>
      <w:r w:rsidR="006F7A8D">
        <w:t>,</w:t>
      </w:r>
      <w:r w:rsidR="000A3682">
        <w:t xml:space="preserve"> </w:t>
      </w:r>
      <w:r w:rsidR="00D760F8">
        <w:t>for ELA and mathematics</w:t>
      </w:r>
      <w:r w:rsidR="008037A7">
        <w:t>;</w:t>
      </w:r>
      <w:r w:rsidR="006262FE">
        <w:t xml:space="preserve"> </w:t>
      </w:r>
      <w:r w:rsidR="000A3682">
        <w:t xml:space="preserve">the California Science Test (CAST); </w:t>
      </w:r>
      <w:r w:rsidR="00D760F8">
        <w:t xml:space="preserve">and </w:t>
      </w:r>
      <w:r w:rsidR="006F7A8D">
        <w:t xml:space="preserve">the </w:t>
      </w:r>
      <w:r w:rsidR="00D760F8">
        <w:t xml:space="preserve">primary language assessments </w:t>
      </w:r>
      <w:r w:rsidR="006F7A8D">
        <w:t xml:space="preserve">which include the </w:t>
      </w:r>
      <w:r w:rsidR="00877B06">
        <w:t xml:space="preserve">Standards-based Tests in Spanish </w:t>
      </w:r>
      <w:r w:rsidR="006F7A8D">
        <w:t>(</w:t>
      </w:r>
      <w:r w:rsidR="00877B06">
        <w:t xml:space="preserve">STS) </w:t>
      </w:r>
      <w:r w:rsidR="00D760F8">
        <w:t>and th</w:t>
      </w:r>
      <w:r w:rsidR="005A12E6">
        <w:t xml:space="preserve">e new California Spanish </w:t>
      </w:r>
      <w:r w:rsidR="00D760F8" w:rsidRPr="00BA412F">
        <w:t>Assessments</w:t>
      </w:r>
      <w:r w:rsidR="005A12E6" w:rsidRPr="00BA412F">
        <w:t xml:space="preserve"> </w:t>
      </w:r>
      <w:r w:rsidR="006F7A8D" w:rsidRPr="00BA412F">
        <w:t>(</w:t>
      </w:r>
      <w:r w:rsidR="005A12E6" w:rsidRPr="00BA412F">
        <w:t>CS</w:t>
      </w:r>
      <w:r w:rsidR="00D760F8" w:rsidRPr="00BA412F">
        <w:t>A</w:t>
      </w:r>
      <w:r w:rsidR="006F7A8D" w:rsidRPr="00BA412F">
        <w:t>)</w:t>
      </w:r>
      <w:r w:rsidR="0015544C">
        <w:t xml:space="preserve"> for </w:t>
      </w:r>
      <w:r w:rsidR="00C214EA">
        <w:t>r</w:t>
      </w:r>
      <w:r w:rsidR="0015544C">
        <w:t>eading language arts (RLA)</w:t>
      </w:r>
      <w:r w:rsidR="006F7A8D">
        <w:t xml:space="preserve">. The CAST was piloted in 2017 and will be field tested in </w:t>
      </w:r>
      <w:r w:rsidR="0015544C">
        <w:t>2018. The CAA for science will be piloted in 2018. The</w:t>
      </w:r>
      <w:r w:rsidR="006F7A8D">
        <w:t xml:space="preserve"> CSA </w:t>
      </w:r>
      <w:r w:rsidR="005A12E6">
        <w:t>will be piloted in fall 2017</w:t>
      </w:r>
      <w:r w:rsidR="0015544C">
        <w:t xml:space="preserve">, replacing the paper-pencil </w:t>
      </w:r>
      <w:r w:rsidR="005A12E6">
        <w:t>STS</w:t>
      </w:r>
      <w:r w:rsidR="00D760F8">
        <w:t>.</w:t>
      </w:r>
      <w:r w:rsidR="005A12E6">
        <w:t xml:space="preserve"> </w:t>
      </w:r>
    </w:p>
    <w:p w14:paraId="14CE599E" w14:textId="77777777" w:rsidR="000A3682" w:rsidRDefault="000A3682" w:rsidP="003A0F6B">
      <w:pPr>
        <w:widowControl/>
      </w:pPr>
    </w:p>
    <w:p w14:paraId="4B50CB4E" w14:textId="77777777" w:rsidR="00746DFD" w:rsidRPr="00746DFD" w:rsidRDefault="00EA3B7B" w:rsidP="00E31395">
      <w:pPr>
        <w:widowControl/>
        <w:tabs>
          <w:tab w:val="left" w:pos="180"/>
        </w:tabs>
      </w:pPr>
      <w:r>
        <w:t xml:space="preserve">In addition, </w:t>
      </w:r>
      <w:r w:rsidR="00ED5DA1">
        <w:t>s</w:t>
      </w:r>
      <w:r w:rsidR="00746DFD" w:rsidRPr="00746DFD">
        <w:t xml:space="preserve">tate law </w:t>
      </w:r>
      <w:r w:rsidR="00242F41">
        <w:t>requir</w:t>
      </w:r>
      <w:r w:rsidR="00746DFD" w:rsidRPr="00746DFD">
        <w:t xml:space="preserve">es that local educational agencies (LEAs) be provided access to the Smarter Balanced formative assessment tools contained in the Smarter </w:t>
      </w:r>
    </w:p>
    <w:p w14:paraId="75943F0F" w14:textId="77777777" w:rsidR="002652BE" w:rsidRDefault="00AA03B7" w:rsidP="003A0F6B">
      <w:pPr>
        <w:widowControl/>
      </w:pPr>
      <w:r>
        <w:t xml:space="preserve">Balanced Digital Library </w:t>
      </w:r>
      <w:r w:rsidR="00806F5A">
        <w:t xml:space="preserve">and interim assessments for </w:t>
      </w:r>
      <w:r w:rsidR="00EA3B7B">
        <w:t>E</w:t>
      </w:r>
      <w:r w:rsidR="00806F5A">
        <w:t>LA</w:t>
      </w:r>
      <w:r w:rsidR="00575BC3">
        <w:t xml:space="preserve"> and ma</w:t>
      </w:r>
      <w:r w:rsidR="00B41A87">
        <w:t xml:space="preserve">thematics. Formative </w:t>
      </w:r>
      <w:r w:rsidR="00D11A52">
        <w:t xml:space="preserve">assessment </w:t>
      </w:r>
      <w:r w:rsidR="00B41A87">
        <w:t>tools are resources</w:t>
      </w:r>
      <w:r w:rsidR="00575BC3">
        <w:t xml:space="preserve"> and processes that are embedded in instruction and used by teachers to provide feedback for </w:t>
      </w:r>
      <w:r w:rsidR="00D15B5E">
        <w:t>the purpose</w:t>
      </w:r>
      <w:r w:rsidR="00575BC3">
        <w:t xml:space="preserve"> of adjusting instruction to improve learning. Interim asse</w:t>
      </w:r>
      <w:r w:rsidR="00352119">
        <w:t xml:space="preserve">ssments are </w:t>
      </w:r>
      <w:r w:rsidR="00B92B8D">
        <w:t xml:space="preserve">computer-based </w:t>
      </w:r>
      <w:r w:rsidR="00352119">
        <w:t>assessments</w:t>
      </w:r>
      <w:r w:rsidR="00575BC3">
        <w:t xml:space="preserve"> designed to be given at regular intervals throughout the school year to evaluate a </w:t>
      </w:r>
      <w:r w:rsidR="00F614EB">
        <w:t>student</w:t>
      </w:r>
      <w:r w:rsidR="00575BC3">
        <w:t xml:space="preserve">’s knowledge and skills relative to a specific set of standards. </w:t>
      </w:r>
    </w:p>
    <w:p w14:paraId="5344067A" w14:textId="77777777" w:rsidR="00C10140" w:rsidRDefault="00087544" w:rsidP="00871205">
      <w:pPr>
        <w:rPr>
          <w:rFonts w:ascii="Calibri" w:hAnsi="Calibri"/>
          <w:snapToGrid/>
          <w:sz w:val="22"/>
        </w:rPr>
      </w:pPr>
      <w:r>
        <w:lastRenderedPageBreak/>
        <w:t xml:space="preserve">The </w:t>
      </w:r>
      <w:r w:rsidR="002652BE">
        <w:t xml:space="preserve">summative </w:t>
      </w:r>
      <w:r>
        <w:t xml:space="preserve">assessments, where applicable and valid, </w:t>
      </w:r>
      <w:r w:rsidRPr="004673FB">
        <w:t>will</w:t>
      </w:r>
      <w:r>
        <w:t xml:space="preserve"> produce scores that can be aggregated and disaggregated for the purpose of holding </w:t>
      </w:r>
      <w:r w:rsidR="007F5BC7">
        <w:t>LEAs</w:t>
      </w:r>
      <w:r>
        <w:t xml:space="preserve"> accountable for th</w:t>
      </w:r>
      <w:r w:rsidR="00F83393">
        <w:t xml:space="preserve">e achievement of </w:t>
      </w:r>
      <w:r w:rsidR="00F614EB">
        <w:t>student</w:t>
      </w:r>
      <w:r>
        <w:t>s in learning the California academic content standards.</w:t>
      </w:r>
      <w:r w:rsidR="007F5BC7">
        <w:t xml:space="preserve"> </w:t>
      </w:r>
      <w:r w:rsidR="008072A2">
        <w:rPr>
          <w:szCs w:val="24"/>
        </w:rPr>
        <w:t>T</w:t>
      </w:r>
      <w:r w:rsidR="006927B6">
        <w:rPr>
          <w:szCs w:val="24"/>
        </w:rPr>
        <w:t xml:space="preserve">he </w:t>
      </w:r>
      <w:r w:rsidR="007F5BC7" w:rsidRPr="006927B6">
        <w:rPr>
          <w:szCs w:val="24"/>
        </w:rPr>
        <w:t xml:space="preserve">CAASPP </w:t>
      </w:r>
      <w:r w:rsidR="006927B6">
        <w:rPr>
          <w:szCs w:val="24"/>
        </w:rPr>
        <w:t xml:space="preserve">summative assessments </w:t>
      </w:r>
      <w:r w:rsidR="007F5BC7" w:rsidRPr="004673FB">
        <w:rPr>
          <w:szCs w:val="24"/>
        </w:rPr>
        <w:t>will</w:t>
      </w:r>
      <w:r w:rsidR="0029011D">
        <w:rPr>
          <w:szCs w:val="24"/>
        </w:rPr>
        <w:t>:</w:t>
      </w:r>
      <w:r w:rsidR="007F5BC7" w:rsidRPr="006927B6">
        <w:rPr>
          <w:szCs w:val="24"/>
        </w:rPr>
        <w:t xml:space="preserve"> </w:t>
      </w:r>
      <w:r w:rsidR="00BB4D3A" w:rsidRPr="006927B6">
        <w:rPr>
          <w:szCs w:val="24"/>
        </w:rPr>
        <w:t xml:space="preserve">(1) provide individual </w:t>
      </w:r>
      <w:r w:rsidR="00F614EB">
        <w:t>student</w:t>
      </w:r>
      <w:r w:rsidR="00BB4D3A" w:rsidRPr="006927B6">
        <w:rPr>
          <w:szCs w:val="24"/>
        </w:rPr>
        <w:t xml:space="preserve"> results to </w:t>
      </w:r>
      <w:r w:rsidR="00F614EB">
        <w:t>student</w:t>
      </w:r>
      <w:r w:rsidR="00BB4D3A" w:rsidRPr="006927B6">
        <w:rPr>
          <w:szCs w:val="24"/>
        </w:rPr>
        <w:t>s, parents/guardians, and teachers; (2) produce school-, district-, and county-level results that allow the monitor</w:t>
      </w:r>
      <w:r w:rsidR="00A97B26">
        <w:rPr>
          <w:szCs w:val="24"/>
        </w:rPr>
        <w:t>ing of</w:t>
      </w:r>
      <w:r w:rsidR="00BB4D3A" w:rsidRPr="006927B6">
        <w:rPr>
          <w:szCs w:val="24"/>
        </w:rPr>
        <w:t xml:space="preserve"> schools’ progress; and (3) produce results </w:t>
      </w:r>
      <w:r w:rsidR="00FD4859">
        <w:rPr>
          <w:szCs w:val="24"/>
        </w:rPr>
        <w:t>to</w:t>
      </w:r>
      <w:r w:rsidR="00FD4859">
        <w:t xml:space="preserve"> meet</w:t>
      </w:r>
      <w:r w:rsidR="00BB4D3A" w:rsidRPr="00E55EDE">
        <w:t xml:space="preserve"> the </w:t>
      </w:r>
      <w:r w:rsidR="00FD4859">
        <w:t>requirements</w:t>
      </w:r>
      <w:r w:rsidR="00BB4D3A" w:rsidRPr="00E55EDE">
        <w:t xml:space="preserve"> of the federal </w:t>
      </w:r>
      <w:r w:rsidR="00ED5DA1" w:rsidRPr="00ED5DA1">
        <w:rPr>
          <w:rFonts w:cs="Arial"/>
          <w:bCs/>
          <w:color w:val="000000"/>
          <w:szCs w:val="24"/>
          <w:lang w:val="en"/>
        </w:rPr>
        <w:t>No Child Left Behind</w:t>
      </w:r>
      <w:r w:rsidR="00ED5DA1" w:rsidRPr="00ED5DA1">
        <w:rPr>
          <w:rFonts w:cs="Arial"/>
          <w:color w:val="000000"/>
          <w:szCs w:val="24"/>
          <w:lang w:val="en"/>
        </w:rPr>
        <w:t xml:space="preserve"> (</w:t>
      </w:r>
      <w:r w:rsidR="00ED5DA1" w:rsidRPr="00ED5DA1">
        <w:rPr>
          <w:rFonts w:cs="Arial"/>
          <w:bCs/>
          <w:color w:val="000000"/>
          <w:szCs w:val="24"/>
          <w:lang w:val="en"/>
        </w:rPr>
        <w:t>NCLB</w:t>
      </w:r>
      <w:r w:rsidR="00ED5DA1" w:rsidRPr="00ED5DA1">
        <w:rPr>
          <w:rFonts w:cs="Arial"/>
          <w:color w:val="000000"/>
          <w:szCs w:val="24"/>
          <w:lang w:val="en"/>
        </w:rPr>
        <w:t>) Act</w:t>
      </w:r>
      <w:r w:rsidR="00ED5DA1">
        <w:rPr>
          <w:rFonts w:ascii="Helvetica" w:hAnsi="Helvetica" w:cs="Helvetica"/>
          <w:color w:val="000000"/>
          <w:sz w:val="21"/>
          <w:szCs w:val="21"/>
          <w:lang w:val="en"/>
        </w:rPr>
        <w:t xml:space="preserve"> </w:t>
      </w:r>
      <w:r w:rsidR="00FD4859">
        <w:t>through 2014–15 and the new Every Student Succeeds Act (ESSA)</w:t>
      </w:r>
      <w:r w:rsidR="008E6E01">
        <w:t>,</w:t>
      </w:r>
      <w:r w:rsidR="00FD4859">
        <w:t xml:space="preserve"> enacted on </w:t>
      </w:r>
      <w:r w:rsidR="007D79D8">
        <w:t>December 10, 2015</w:t>
      </w:r>
      <w:r w:rsidR="00BB4D3A" w:rsidRPr="00E55EDE">
        <w:t xml:space="preserve">. </w:t>
      </w:r>
      <w:r w:rsidR="00FD4859">
        <w:t xml:space="preserve">Under </w:t>
      </w:r>
      <w:r w:rsidR="008E6E01">
        <w:t xml:space="preserve">the </w:t>
      </w:r>
      <w:r w:rsidR="00FD4859">
        <w:t>federal requirements of ESSA</w:t>
      </w:r>
      <w:r w:rsidR="00C10140">
        <w:t xml:space="preserve">, all states accepting Title I federal funds for use by LEAs must assess </w:t>
      </w:r>
      <w:r w:rsidR="00F614EB">
        <w:t>student</w:t>
      </w:r>
      <w:r w:rsidR="00C10140">
        <w:t>s as follows:</w:t>
      </w:r>
    </w:p>
    <w:p w14:paraId="73B9630A" w14:textId="77777777" w:rsidR="00C10140" w:rsidRDefault="00C10140" w:rsidP="00871205"/>
    <w:p w14:paraId="2A1965FA" w14:textId="77777777" w:rsidR="00C10140" w:rsidRDefault="00C10140" w:rsidP="00871205">
      <w:pPr>
        <w:pStyle w:val="ListParagraph"/>
        <w:widowControl/>
        <w:numPr>
          <w:ilvl w:val="0"/>
          <w:numId w:val="15"/>
        </w:numPr>
      </w:pPr>
      <w:r>
        <w:t>Reading/language arts and mathematics—Assess annually in each of grades three through eight and once in grade ten, eleven, or twelve.</w:t>
      </w:r>
    </w:p>
    <w:p w14:paraId="2B69FEAA" w14:textId="77777777" w:rsidR="00C10140" w:rsidRDefault="00C10140" w:rsidP="00871205">
      <w:pPr>
        <w:pStyle w:val="ListParagraph"/>
        <w:widowControl/>
      </w:pPr>
    </w:p>
    <w:p w14:paraId="1C5B873E" w14:textId="77777777" w:rsidR="00C10140" w:rsidRDefault="00C10140" w:rsidP="00871205">
      <w:pPr>
        <w:pStyle w:val="ListParagraph"/>
        <w:widowControl/>
        <w:numPr>
          <w:ilvl w:val="0"/>
          <w:numId w:val="15"/>
        </w:numPr>
      </w:pPr>
      <w:r>
        <w:t>Science—Assess once during each of three specified grade spans: grades three through five, six through nine, and ten through twelve.</w:t>
      </w:r>
    </w:p>
    <w:p w14:paraId="7E6013EF" w14:textId="77777777" w:rsidR="00C10140" w:rsidRDefault="00C10140" w:rsidP="00871205"/>
    <w:p w14:paraId="46E9C3CA" w14:textId="77777777" w:rsidR="00BB4D3A" w:rsidRPr="00E55EDE" w:rsidRDefault="007F5BC7" w:rsidP="00871205">
      <w:pPr>
        <w:widowControl/>
        <w:rPr>
          <w:snapToGrid/>
          <w:szCs w:val="24"/>
        </w:rPr>
      </w:pPr>
      <w:r>
        <w:rPr>
          <w:rFonts w:eastAsia="Calibri"/>
          <w:snapToGrid/>
          <w:szCs w:val="22"/>
        </w:rPr>
        <w:t>CAASPP tests will be</w:t>
      </w:r>
      <w:r w:rsidR="00BB4D3A" w:rsidRPr="00E55EDE">
        <w:rPr>
          <w:rFonts w:eastAsia="Calibri"/>
          <w:snapToGrid/>
          <w:szCs w:val="22"/>
        </w:rPr>
        <w:t xml:space="preserve"> used to meet </w:t>
      </w:r>
      <w:r w:rsidR="00657E5E">
        <w:rPr>
          <w:rFonts w:eastAsia="Calibri"/>
          <w:snapToGrid/>
          <w:szCs w:val="22"/>
        </w:rPr>
        <w:t xml:space="preserve">NCLB </w:t>
      </w:r>
      <w:r w:rsidR="00BB4D3A" w:rsidRPr="00E55EDE">
        <w:rPr>
          <w:rFonts w:eastAsia="Calibri"/>
          <w:snapToGrid/>
          <w:szCs w:val="22"/>
        </w:rPr>
        <w:t>requirements</w:t>
      </w:r>
      <w:r w:rsidR="00322481">
        <w:rPr>
          <w:rFonts w:eastAsia="Calibri"/>
          <w:snapToGrid/>
          <w:szCs w:val="22"/>
        </w:rPr>
        <w:t xml:space="preserve"> through </w:t>
      </w:r>
      <w:r w:rsidR="00A92143">
        <w:rPr>
          <w:rFonts w:eastAsia="Calibri"/>
          <w:snapToGrid/>
          <w:szCs w:val="22"/>
        </w:rPr>
        <w:t>2016–17</w:t>
      </w:r>
      <w:r w:rsidR="00322481">
        <w:rPr>
          <w:rFonts w:eastAsia="Calibri"/>
          <w:snapToGrid/>
          <w:szCs w:val="22"/>
        </w:rPr>
        <w:t xml:space="preserve"> and ESSA</w:t>
      </w:r>
      <w:r w:rsidR="000A4A2E">
        <w:rPr>
          <w:rFonts w:eastAsia="Calibri"/>
          <w:snapToGrid/>
          <w:szCs w:val="22"/>
        </w:rPr>
        <w:t xml:space="preserve"> requirements</w:t>
      </w:r>
      <w:r w:rsidR="00322481">
        <w:rPr>
          <w:rFonts w:eastAsia="Calibri"/>
          <w:snapToGrid/>
          <w:szCs w:val="22"/>
        </w:rPr>
        <w:t xml:space="preserve"> in ongoing years</w:t>
      </w:r>
      <w:r w:rsidR="00BB4D3A" w:rsidRPr="00E55EDE">
        <w:rPr>
          <w:rFonts w:eastAsia="Calibri"/>
          <w:snapToGrid/>
          <w:szCs w:val="22"/>
        </w:rPr>
        <w:t xml:space="preserve">. </w:t>
      </w:r>
    </w:p>
    <w:p w14:paraId="110901EA" w14:textId="77777777" w:rsidR="00871205" w:rsidRDefault="00871205" w:rsidP="00871205">
      <w:pPr>
        <w:widowControl/>
        <w:rPr>
          <w:rFonts w:cs="Arial"/>
          <w:color w:val="000000"/>
          <w:szCs w:val="24"/>
        </w:rPr>
      </w:pPr>
    </w:p>
    <w:p w14:paraId="219B2635" w14:textId="77777777" w:rsidR="00D25EAF" w:rsidRDefault="00A044F3" w:rsidP="00871205">
      <w:pPr>
        <w:widowControl/>
        <w:rPr>
          <w:rFonts w:cs="Arial"/>
          <w:szCs w:val="24"/>
        </w:rPr>
      </w:pPr>
      <w:r>
        <w:rPr>
          <w:rFonts w:cs="Arial"/>
          <w:color w:val="000000"/>
          <w:szCs w:val="24"/>
        </w:rPr>
        <w:t xml:space="preserve">Under </w:t>
      </w:r>
      <w:r w:rsidR="00C72D34">
        <w:rPr>
          <w:rFonts w:cs="Arial"/>
          <w:color w:val="000000"/>
          <w:szCs w:val="24"/>
        </w:rPr>
        <w:t xml:space="preserve">State law, </w:t>
      </w:r>
      <w:r w:rsidR="009C2321" w:rsidRPr="006F77C6">
        <w:rPr>
          <w:rFonts w:cs="Arial"/>
          <w:i/>
          <w:color w:val="000000"/>
          <w:szCs w:val="24"/>
        </w:rPr>
        <w:t>EC</w:t>
      </w:r>
      <w:r w:rsidR="009C2321">
        <w:rPr>
          <w:rFonts w:cs="Arial"/>
          <w:color w:val="000000"/>
          <w:szCs w:val="24"/>
        </w:rPr>
        <w:t xml:space="preserve"> </w:t>
      </w:r>
      <w:r w:rsidR="0029011D">
        <w:rPr>
          <w:rFonts w:cs="Arial"/>
          <w:color w:val="000000"/>
          <w:szCs w:val="24"/>
        </w:rPr>
        <w:t xml:space="preserve">Section </w:t>
      </w:r>
      <w:r w:rsidR="00157B72">
        <w:rPr>
          <w:rFonts w:cs="Arial"/>
          <w:color w:val="000000"/>
          <w:szCs w:val="24"/>
        </w:rPr>
        <w:t>60641</w:t>
      </w:r>
      <w:r w:rsidR="00C72D34">
        <w:rPr>
          <w:rFonts w:cs="Arial"/>
          <w:color w:val="000000"/>
          <w:szCs w:val="24"/>
        </w:rPr>
        <w:t>(</w:t>
      </w:r>
      <w:r w:rsidR="009C2321">
        <w:rPr>
          <w:rFonts w:cs="Arial"/>
          <w:color w:val="000000"/>
          <w:szCs w:val="24"/>
        </w:rPr>
        <w:t>a</w:t>
      </w:r>
      <w:r w:rsidR="00C72D34">
        <w:rPr>
          <w:rFonts w:cs="Arial"/>
          <w:color w:val="000000"/>
          <w:szCs w:val="24"/>
        </w:rPr>
        <w:t>)(2</w:t>
      </w:r>
      <w:r w:rsidR="009C2321">
        <w:rPr>
          <w:rFonts w:cs="Arial"/>
          <w:color w:val="000000"/>
          <w:szCs w:val="24"/>
        </w:rPr>
        <w:t>)</w:t>
      </w:r>
      <w:r w:rsidR="00905C02">
        <w:rPr>
          <w:rFonts w:cs="Arial"/>
          <w:color w:val="000000"/>
          <w:szCs w:val="24"/>
        </w:rPr>
        <w:t>,</w:t>
      </w:r>
      <w:r w:rsidR="009C2321">
        <w:rPr>
          <w:rFonts w:cs="Arial"/>
          <w:color w:val="000000"/>
          <w:szCs w:val="24"/>
        </w:rPr>
        <w:t xml:space="preserve"> </w:t>
      </w:r>
      <w:r>
        <w:rPr>
          <w:rFonts w:cs="Arial"/>
          <w:color w:val="000000"/>
          <w:szCs w:val="24"/>
        </w:rPr>
        <w:t>the requirement to report i</w:t>
      </w:r>
      <w:r w:rsidR="008072A2" w:rsidRPr="009C2321">
        <w:rPr>
          <w:rFonts w:cs="Arial"/>
          <w:color w:val="000000"/>
          <w:szCs w:val="24"/>
        </w:rPr>
        <w:t xml:space="preserve">ndividual </w:t>
      </w:r>
      <w:r w:rsidR="00F614EB">
        <w:rPr>
          <w:color w:val="000000"/>
        </w:rPr>
        <w:t>student</w:t>
      </w:r>
      <w:r w:rsidR="008072A2" w:rsidRPr="009C2321">
        <w:rPr>
          <w:rFonts w:cs="Arial"/>
          <w:color w:val="000000"/>
          <w:szCs w:val="24"/>
        </w:rPr>
        <w:t xml:space="preserve"> scores</w:t>
      </w:r>
      <w:r>
        <w:rPr>
          <w:rFonts w:cs="Arial"/>
          <w:color w:val="000000"/>
          <w:szCs w:val="24"/>
        </w:rPr>
        <w:t xml:space="preserve"> applies only when </w:t>
      </w:r>
      <w:r w:rsidR="004631CC">
        <w:rPr>
          <w:rFonts w:cs="Arial"/>
          <w:color w:val="000000"/>
          <w:szCs w:val="24"/>
        </w:rPr>
        <w:t xml:space="preserve">such scores have been determined to be valid and reliable. </w:t>
      </w:r>
      <w:r w:rsidR="009D2D15" w:rsidRPr="009C2321">
        <w:rPr>
          <w:rFonts w:cs="Arial"/>
          <w:szCs w:val="24"/>
        </w:rPr>
        <w:t xml:space="preserve">For that reason, </w:t>
      </w:r>
      <w:r w:rsidR="00EA3B7B">
        <w:rPr>
          <w:rFonts w:eastAsia="Calibri"/>
          <w:snapToGrid/>
          <w:szCs w:val="22"/>
        </w:rPr>
        <w:t>St</w:t>
      </w:r>
      <w:r w:rsidR="00463F08" w:rsidRPr="009C2321">
        <w:rPr>
          <w:rFonts w:eastAsia="Calibri"/>
          <w:snapToGrid/>
          <w:szCs w:val="22"/>
        </w:rPr>
        <w:t>ate law</w:t>
      </w:r>
      <w:r w:rsidR="00703788" w:rsidRPr="009C2321">
        <w:rPr>
          <w:rFonts w:eastAsia="Calibri"/>
          <w:snapToGrid/>
          <w:szCs w:val="22"/>
        </w:rPr>
        <w:t xml:space="preserve"> </w:t>
      </w:r>
      <w:r w:rsidR="00980332" w:rsidRPr="00355CDA">
        <w:rPr>
          <w:rFonts w:eastAsia="Calibri"/>
          <w:snapToGrid/>
          <w:szCs w:val="22"/>
        </w:rPr>
        <w:t>authorize</w:t>
      </w:r>
      <w:r w:rsidR="006965CD" w:rsidRPr="00355CDA">
        <w:rPr>
          <w:rFonts w:eastAsia="Calibri"/>
          <w:snapToGrid/>
          <w:szCs w:val="22"/>
        </w:rPr>
        <w:t>d</w:t>
      </w:r>
      <w:r w:rsidR="00703788" w:rsidRPr="006B0E7F">
        <w:rPr>
          <w:rFonts w:eastAsia="Calibri"/>
          <w:snapToGrid/>
          <w:szCs w:val="22"/>
        </w:rPr>
        <w:t xml:space="preserve"> the SSPI</w:t>
      </w:r>
      <w:r w:rsidR="00980332" w:rsidRPr="006B0E7F">
        <w:rPr>
          <w:rFonts w:eastAsia="Calibri"/>
          <w:snapToGrid/>
          <w:szCs w:val="22"/>
        </w:rPr>
        <w:t>, with approval of the S</w:t>
      </w:r>
      <w:r w:rsidR="00E31395">
        <w:rPr>
          <w:rFonts w:eastAsia="Calibri"/>
          <w:snapToGrid/>
          <w:szCs w:val="22"/>
        </w:rPr>
        <w:t xml:space="preserve">tate </w:t>
      </w:r>
      <w:r w:rsidR="00980332" w:rsidRPr="006B0E7F">
        <w:rPr>
          <w:rFonts w:eastAsia="Calibri"/>
          <w:snapToGrid/>
          <w:szCs w:val="22"/>
        </w:rPr>
        <w:t>B</w:t>
      </w:r>
      <w:r w:rsidR="00E31395">
        <w:rPr>
          <w:rFonts w:eastAsia="Calibri"/>
          <w:snapToGrid/>
          <w:szCs w:val="22"/>
        </w:rPr>
        <w:t xml:space="preserve">oard of </w:t>
      </w:r>
      <w:r w:rsidR="00980332" w:rsidRPr="006B0E7F">
        <w:rPr>
          <w:rFonts w:eastAsia="Calibri"/>
          <w:snapToGrid/>
          <w:szCs w:val="22"/>
        </w:rPr>
        <w:t>E</w:t>
      </w:r>
      <w:r w:rsidR="00E31395">
        <w:rPr>
          <w:rFonts w:eastAsia="Calibri"/>
          <w:snapToGrid/>
          <w:szCs w:val="22"/>
        </w:rPr>
        <w:t>ducation (SBE)</w:t>
      </w:r>
      <w:r w:rsidR="00703788" w:rsidRPr="006B0E7F">
        <w:rPr>
          <w:rFonts w:eastAsia="Calibri"/>
          <w:snapToGrid/>
          <w:szCs w:val="22"/>
        </w:rPr>
        <w:t xml:space="preserve">, </w:t>
      </w:r>
      <w:r w:rsidR="00980332" w:rsidRPr="006B0E7F">
        <w:rPr>
          <w:rFonts w:eastAsia="Calibri"/>
          <w:snapToGrid/>
          <w:szCs w:val="22"/>
        </w:rPr>
        <w:t xml:space="preserve">to not calculate an </w:t>
      </w:r>
      <w:r w:rsidR="000A4A2E">
        <w:rPr>
          <w:rFonts w:eastAsia="Calibri"/>
          <w:snapToGrid/>
          <w:szCs w:val="22"/>
        </w:rPr>
        <w:t>Academic Performance Index (</w:t>
      </w:r>
      <w:r w:rsidR="00980332" w:rsidRPr="006B0E7F">
        <w:rPr>
          <w:rFonts w:eastAsia="Calibri"/>
          <w:snapToGrid/>
          <w:szCs w:val="22"/>
        </w:rPr>
        <w:t>API</w:t>
      </w:r>
      <w:r w:rsidR="000A4A2E">
        <w:rPr>
          <w:rFonts w:eastAsia="Calibri"/>
          <w:snapToGrid/>
          <w:szCs w:val="22"/>
        </w:rPr>
        <w:t>)</w:t>
      </w:r>
      <w:r w:rsidR="00980332" w:rsidRPr="006B0E7F">
        <w:rPr>
          <w:rFonts w:eastAsia="Calibri"/>
          <w:snapToGrid/>
          <w:szCs w:val="22"/>
        </w:rPr>
        <w:t xml:space="preserve"> for schools </w:t>
      </w:r>
      <w:r w:rsidR="00703788" w:rsidRPr="006B0E7F">
        <w:rPr>
          <w:rFonts w:eastAsia="Calibri"/>
          <w:snapToGrid/>
          <w:szCs w:val="22"/>
        </w:rPr>
        <w:t xml:space="preserve">in the </w:t>
      </w:r>
      <w:r w:rsidR="00ED5DA1">
        <w:rPr>
          <w:rFonts w:eastAsia="Calibri"/>
          <w:snapToGrid/>
          <w:szCs w:val="22"/>
        </w:rPr>
        <w:t xml:space="preserve">2013–14, </w:t>
      </w:r>
      <w:r w:rsidR="00703788" w:rsidRPr="006B0E7F">
        <w:rPr>
          <w:rFonts w:eastAsia="Calibri"/>
          <w:snapToGrid/>
          <w:szCs w:val="22"/>
        </w:rPr>
        <w:t>201</w:t>
      </w:r>
      <w:r w:rsidR="00A92143">
        <w:rPr>
          <w:rFonts w:eastAsia="Calibri"/>
          <w:snapToGrid/>
          <w:szCs w:val="22"/>
        </w:rPr>
        <w:t>4</w:t>
      </w:r>
      <w:r w:rsidR="00703788" w:rsidRPr="006B0E7F">
        <w:rPr>
          <w:rFonts w:eastAsia="Calibri"/>
          <w:snapToGrid/>
          <w:szCs w:val="22"/>
        </w:rPr>
        <w:t>–1</w:t>
      </w:r>
      <w:r w:rsidR="00A92143">
        <w:rPr>
          <w:rFonts w:eastAsia="Calibri"/>
          <w:snapToGrid/>
          <w:szCs w:val="22"/>
        </w:rPr>
        <w:t>5</w:t>
      </w:r>
      <w:r w:rsidR="00703788" w:rsidRPr="006B0E7F">
        <w:rPr>
          <w:rFonts w:eastAsia="Calibri"/>
          <w:snapToGrid/>
          <w:szCs w:val="22"/>
        </w:rPr>
        <w:t xml:space="preserve"> and 201</w:t>
      </w:r>
      <w:r w:rsidR="00A92143">
        <w:rPr>
          <w:rFonts w:eastAsia="Calibri"/>
          <w:snapToGrid/>
          <w:szCs w:val="22"/>
        </w:rPr>
        <w:t>5</w:t>
      </w:r>
      <w:r w:rsidR="00703788" w:rsidRPr="006B0E7F">
        <w:rPr>
          <w:rFonts w:eastAsia="Calibri"/>
          <w:snapToGrid/>
          <w:szCs w:val="22"/>
        </w:rPr>
        <w:t>–1</w:t>
      </w:r>
      <w:r w:rsidR="00A92143">
        <w:rPr>
          <w:rFonts w:eastAsia="Calibri"/>
          <w:snapToGrid/>
          <w:szCs w:val="22"/>
        </w:rPr>
        <w:t>6</w:t>
      </w:r>
      <w:r w:rsidR="00703788" w:rsidRPr="006B0E7F">
        <w:rPr>
          <w:rFonts w:eastAsia="Calibri"/>
          <w:snapToGrid/>
          <w:szCs w:val="22"/>
        </w:rPr>
        <w:t xml:space="preserve"> school years</w:t>
      </w:r>
      <w:r w:rsidR="009D2D15" w:rsidRPr="006B0E7F">
        <w:rPr>
          <w:rFonts w:eastAsia="Calibri"/>
          <w:snapToGrid/>
          <w:szCs w:val="22"/>
        </w:rPr>
        <w:t>.</w:t>
      </w:r>
      <w:r w:rsidR="00703788" w:rsidRPr="006B0E7F">
        <w:rPr>
          <w:rFonts w:eastAsia="Calibri"/>
          <w:snapToGrid/>
          <w:szCs w:val="22"/>
        </w:rPr>
        <w:t xml:space="preserve"> </w:t>
      </w:r>
      <w:r w:rsidR="00D15B5E" w:rsidRPr="006B0E7F">
        <w:rPr>
          <w:rFonts w:eastAsia="Calibri"/>
          <w:snapToGrid/>
          <w:szCs w:val="22"/>
        </w:rPr>
        <w:t>Because</w:t>
      </w:r>
      <w:r w:rsidR="00F53857" w:rsidRPr="006B0E7F">
        <w:rPr>
          <w:rFonts w:eastAsia="Calibri"/>
          <w:snapToGrid/>
          <w:szCs w:val="22"/>
        </w:rPr>
        <w:t xml:space="preserve"> t</w:t>
      </w:r>
      <w:r w:rsidR="009D2D15" w:rsidRPr="006B0E7F">
        <w:rPr>
          <w:rFonts w:eastAsia="Calibri"/>
          <w:snapToGrid/>
          <w:szCs w:val="22"/>
        </w:rPr>
        <w:t xml:space="preserve">he </w:t>
      </w:r>
      <w:r w:rsidR="00703788" w:rsidRPr="006B0E7F">
        <w:rPr>
          <w:rFonts w:eastAsia="Calibri"/>
          <w:snapToGrid/>
          <w:szCs w:val="22"/>
        </w:rPr>
        <w:t xml:space="preserve">transition to new standards-based assessments compromises </w:t>
      </w:r>
      <w:r w:rsidR="00B41A87" w:rsidRPr="006B0E7F">
        <w:rPr>
          <w:rFonts w:eastAsia="Calibri"/>
          <w:snapToGrid/>
          <w:szCs w:val="22"/>
        </w:rPr>
        <w:t xml:space="preserve">the </w:t>
      </w:r>
      <w:r w:rsidR="00703788" w:rsidRPr="006B0E7F">
        <w:rPr>
          <w:rFonts w:eastAsia="Calibri"/>
          <w:snapToGrid/>
          <w:szCs w:val="22"/>
        </w:rPr>
        <w:t xml:space="preserve">comparability of results across </w:t>
      </w:r>
      <w:r w:rsidR="00B41A87" w:rsidRPr="006B0E7F">
        <w:rPr>
          <w:rFonts w:eastAsia="Calibri"/>
          <w:snapToGrid/>
          <w:szCs w:val="22"/>
        </w:rPr>
        <w:t>LEAs</w:t>
      </w:r>
      <w:r w:rsidR="00703788" w:rsidRPr="006B0E7F">
        <w:rPr>
          <w:rFonts w:eastAsia="Calibri"/>
          <w:snapToGrid/>
          <w:szCs w:val="22"/>
        </w:rPr>
        <w:t xml:space="preserve">, any </w:t>
      </w:r>
      <w:r w:rsidR="00B41A87" w:rsidRPr="006B0E7F">
        <w:rPr>
          <w:rFonts w:eastAsia="Calibri"/>
          <w:snapToGrid/>
          <w:szCs w:val="22"/>
        </w:rPr>
        <w:t>LEA</w:t>
      </w:r>
      <w:r w:rsidR="00E85870" w:rsidRPr="006B0E7F">
        <w:rPr>
          <w:rFonts w:eastAsia="Calibri"/>
          <w:snapToGrid/>
          <w:szCs w:val="22"/>
        </w:rPr>
        <w:t xml:space="preserve"> t</w:t>
      </w:r>
      <w:r w:rsidR="00912FA2" w:rsidRPr="006B0E7F">
        <w:rPr>
          <w:rFonts w:eastAsia="Calibri"/>
          <w:snapToGrid/>
          <w:szCs w:val="22"/>
        </w:rPr>
        <w:t xml:space="preserve">hat does not receive an API </w:t>
      </w:r>
      <w:r w:rsidR="00D27194" w:rsidRPr="006B0E7F">
        <w:rPr>
          <w:rFonts w:eastAsia="Calibri"/>
          <w:snapToGrid/>
          <w:szCs w:val="22"/>
        </w:rPr>
        <w:t>score</w:t>
      </w:r>
      <w:r w:rsidR="00703788" w:rsidRPr="006B0E7F">
        <w:rPr>
          <w:rFonts w:eastAsia="Calibri"/>
          <w:snapToGrid/>
          <w:szCs w:val="22"/>
        </w:rPr>
        <w:t xml:space="preserve"> shall not receive an API growth target. </w:t>
      </w:r>
      <w:r w:rsidR="009C2321">
        <w:rPr>
          <w:rFonts w:cs="Arial"/>
          <w:szCs w:val="24"/>
        </w:rPr>
        <w:t>Further</w:t>
      </w:r>
      <w:r w:rsidR="00D25EAF" w:rsidRPr="009C2321">
        <w:rPr>
          <w:rFonts w:cs="Arial"/>
          <w:szCs w:val="24"/>
        </w:rPr>
        <w:t xml:space="preserve">, </w:t>
      </w:r>
      <w:r w:rsidR="00D25EAF" w:rsidRPr="009C2321">
        <w:rPr>
          <w:rFonts w:cs="Arial"/>
          <w:i/>
          <w:szCs w:val="24"/>
        </w:rPr>
        <w:t>EC</w:t>
      </w:r>
      <w:r w:rsidR="00D25EAF" w:rsidRPr="009C2321">
        <w:rPr>
          <w:rFonts w:cs="Arial"/>
          <w:szCs w:val="24"/>
        </w:rPr>
        <w:t xml:space="preserve"> Section 60641</w:t>
      </w:r>
      <w:r w:rsidR="009C2321">
        <w:rPr>
          <w:rFonts w:cs="Arial"/>
          <w:szCs w:val="24"/>
        </w:rPr>
        <w:t>(a)(2)</w:t>
      </w:r>
      <w:r w:rsidR="00980332" w:rsidRPr="009C2321">
        <w:rPr>
          <w:rFonts w:cs="Arial"/>
          <w:szCs w:val="24"/>
        </w:rPr>
        <w:t xml:space="preserve"> </w:t>
      </w:r>
      <w:r w:rsidR="00F53857" w:rsidRPr="009C2321">
        <w:rPr>
          <w:rFonts w:cs="Arial"/>
          <w:szCs w:val="24"/>
        </w:rPr>
        <w:t>prohibits</w:t>
      </w:r>
      <w:r w:rsidR="00D25EAF" w:rsidRPr="009C2321">
        <w:rPr>
          <w:rFonts w:cs="Arial"/>
          <w:szCs w:val="24"/>
        </w:rPr>
        <w:t xml:space="preserve"> state </w:t>
      </w:r>
      <w:r w:rsidR="00D15B5E" w:rsidRPr="009C2321">
        <w:rPr>
          <w:rFonts w:cs="Arial"/>
          <w:szCs w:val="24"/>
        </w:rPr>
        <w:t>agencies and</w:t>
      </w:r>
      <w:r w:rsidR="00D25EAF" w:rsidRPr="009C2321">
        <w:rPr>
          <w:rFonts w:cs="Arial"/>
          <w:szCs w:val="24"/>
        </w:rPr>
        <w:t xml:space="preserve"> LEAs from </w:t>
      </w:r>
      <w:r w:rsidR="00F53857" w:rsidRPr="009C2321">
        <w:rPr>
          <w:rFonts w:cs="Arial"/>
          <w:szCs w:val="24"/>
        </w:rPr>
        <w:t xml:space="preserve">comparing </w:t>
      </w:r>
      <w:r w:rsidR="00D25EAF" w:rsidRPr="009C2321">
        <w:rPr>
          <w:rFonts w:cs="Arial"/>
          <w:szCs w:val="24"/>
        </w:rPr>
        <w:t xml:space="preserve">the scores and results of the </w:t>
      </w:r>
      <w:r w:rsidR="00984C08" w:rsidRPr="009C2321">
        <w:rPr>
          <w:rFonts w:cs="Arial"/>
          <w:szCs w:val="24"/>
        </w:rPr>
        <w:t>CAASPP</w:t>
      </w:r>
      <w:r w:rsidR="00D25EAF" w:rsidRPr="009C2321">
        <w:rPr>
          <w:rFonts w:cs="Arial"/>
          <w:szCs w:val="24"/>
        </w:rPr>
        <w:t xml:space="preserve"> assessments </w:t>
      </w:r>
      <w:r w:rsidR="004631CC">
        <w:rPr>
          <w:rFonts w:cs="Arial"/>
          <w:szCs w:val="24"/>
        </w:rPr>
        <w:t xml:space="preserve">with those </w:t>
      </w:r>
      <w:r w:rsidR="00D25EAF" w:rsidRPr="00355CDA">
        <w:rPr>
          <w:rFonts w:cs="Arial"/>
          <w:szCs w:val="24"/>
        </w:rPr>
        <w:t xml:space="preserve">from </w:t>
      </w:r>
      <w:r w:rsidR="004631CC">
        <w:rPr>
          <w:rFonts w:cs="Arial"/>
          <w:szCs w:val="24"/>
        </w:rPr>
        <w:t xml:space="preserve">previous </w:t>
      </w:r>
      <w:r w:rsidR="00D25EAF" w:rsidRPr="00355CDA">
        <w:rPr>
          <w:rFonts w:cs="Arial"/>
          <w:szCs w:val="24"/>
        </w:rPr>
        <w:t>assessments</w:t>
      </w:r>
      <w:r w:rsidR="004631CC">
        <w:rPr>
          <w:rFonts w:cs="Arial"/>
          <w:szCs w:val="24"/>
        </w:rPr>
        <w:t xml:space="preserve">, which </w:t>
      </w:r>
      <w:r w:rsidR="00D25EAF" w:rsidRPr="00355CDA">
        <w:rPr>
          <w:rFonts w:cs="Arial"/>
          <w:szCs w:val="24"/>
        </w:rPr>
        <w:t xml:space="preserve">measured </w:t>
      </w:r>
      <w:r w:rsidR="004631CC">
        <w:rPr>
          <w:rFonts w:cs="Arial"/>
          <w:szCs w:val="24"/>
        </w:rPr>
        <w:t xml:space="preserve">different </w:t>
      </w:r>
      <w:r w:rsidR="00D25EAF" w:rsidRPr="00355CDA">
        <w:rPr>
          <w:rFonts w:cs="Arial"/>
          <w:szCs w:val="24"/>
        </w:rPr>
        <w:t>content standards.</w:t>
      </w:r>
    </w:p>
    <w:p w14:paraId="58157B92" w14:textId="77777777" w:rsidR="00D25EAF" w:rsidRDefault="00D25EAF" w:rsidP="00871205">
      <w:pPr>
        <w:widowControl/>
        <w:ind w:right="720"/>
        <w:rPr>
          <w:rFonts w:cs="Arial"/>
          <w:szCs w:val="24"/>
        </w:rPr>
      </w:pPr>
    </w:p>
    <w:p w14:paraId="4B327258" w14:textId="77777777" w:rsidR="00703618" w:rsidRDefault="0094656B" w:rsidP="00871205">
      <w:pPr>
        <w:widowControl/>
        <w:rPr>
          <w:rFonts w:cs="Arial"/>
          <w:color w:val="000000"/>
        </w:rPr>
      </w:pPr>
      <w:r w:rsidRPr="004335CC">
        <w:rPr>
          <w:rFonts w:cs="Arial"/>
          <w:color w:val="000000"/>
        </w:rPr>
        <w:t xml:space="preserve">All contracts for the development, purchase, or administration of the </w:t>
      </w:r>
      <w:r>
        <w:rPr>
          <w:rFonts w:cs="Arial"/>
          <w:color w:val="000000"/>
        </w:rPr>
        <w:t>CAASPP</w:t>
      </w:r>
      <w:r w:rsidRPr="004335CC">
        <w:rPr>
          <w:rFonts w:cs="Arial"/>
          <w:color w:val="000000"/>
        </w:rPr>
        <w:t xml:space="preserve"> </w:t>
      </w:r>
      <w:r>
        <w:rPr>
          <w:rFonts w:cs="Arial"/>
          <w:color w:val="000000"/>
        </w:rPr>
        <w:t xml:space="preserve">tests </w:t>
      </w:r>
      <w:r w:rsidRPr="004335CC">
        <w:rPr>
          <w:rFonts w:cs="Arial"/>
          <w:color w:val="000000"/>
        </w:rPr>
        <w:t xml:space="preserve">are subject to approval by the </w:t>
      </w:r>
      <w:r w:rsidR="00EA3B7B">
        <w:rPr>
          <w:rFonts w:cs="Arial"/>
          <w:color w:val="000000"/>
        </w:rPr>
        <w:t>S</w:t>
      </w:r>
      <w:r w:rsidRPr="004335CC">
        <w:rPr>
          <w:rFonts w:cs="Arial"/>
          <w:color w:val="000000"/>
        </w:rPr>
        <w:t>BE.</w:t>
      </w:r>
      <w:r w:rsidR="00703618">
        <w:rPr>
          <w:rFonts w:cs="Arial"/>
          <w:color w:val="000000"/>
        </w:rPr>
        <w:t xml:space="preserve"> SBE </w:t>
      </w:r>
      <w:r w:rsidR="00D15B5E">
        <w:rPr>
          <w:rFonts w:cs="Arial"/>
          <w:color w:val="000000"/>
        </w:rPr>
        <w:t>approval must be obtained for</w:t>
      </w:r>
      <w:r w:rsidR="00703618">
        <w:rPr>
          <w:rFonts w:cs="Arial"/>
          <w:color w:val="000000"/>
        </w:rPr>
        <w:t xml:space="preserve"> the following work components: </w:t>
      </w:r>
    </w:p>
    <w:p w14:paraId="69597FCB" w14:textId="77777777" w:rsidR="00703618" w:rsidRDefault="00703618" w:rsidP="00871205">
      <w:pPr>
        <w:widowControl/>
        <w:rPr>
          <w:rFonts w:cs="Arial"/>
          <w:color w:val="000000"/>
        </w:rPr>
      </w:pPr>
    </w:p>
    <w:p w14:paraId="2988892E" w14:textId="77777777" w:rsidR="00703618" w:rsidRPr="00703618" w:rsidRDefault="00F94818" w:rsidP="001556DE">
      <w:pPr>
        <w:widowControl/>
        <w:numPr>
          <w:ilvl w:val="0"/>
          <w:numId w:val="6"/>
        </w:numPr>
        <w:rPr>
          <w:rFonts w:cs="Arial"/>
          <w:szCs w:val="24"/>
        </w:rPr>
      </w:pPr>
      <w:r>
        <w:rPr>
          <w:rFonts w:cs="Arial"/>
          <w:color w:val="000000"/>
        </w:rPr>
        <w:t>The t</w:t>
      </w:r>
      <w:r w:rsidR="0094656B">
        <w:rPr>
          <w:rFonts w:cs="Arial"/>
          <w:color w:val="000000"/>
        </w:rPr>
        <w:t xml:space="preserve">est blueprints, </w:t>
      </w:r>
      <w:r w:rsidR="0094656B" w:rsidRPr="003E4EBA">
        <w:rPr>
          <w:rFonts w:cs="Arial"/>
          <w:i/>
          <w:color w:val="000000"/>
        </w:rPr>
        <w:t>excluding</w:t>
      </w:r>
      <w:r w:rsidR="0094656B">
        <w:rPr>
          <w:rFonts w:cs="Arial"/>
          <w:color w:val="000000"/>
        </w:rPr>
        <w:t xml:space="preserve"> consortium assessments, specifying </w:t>
      </w:r>
      <w:r w:rsidR="0094656B" w:rsidRPr="00CE1248">
        <w:rPr>
          <w:rFonts w:cs="Arial"/>
          <w:color w:val="000000"/>
        </w:rPr>
        <w:t xml:space="preserve">the standards and number of items to be tested </w:t>
      </w:r>
      <w:r w:rsidR="00B41A87">
        <w:rPr>
          <w:rFonts w:cs="Arial"/>
          <w:color w:val="000000"/>
        </w:rPr>
        <w:t>for</w:t>
      </w:r>
      <w:r w:rsidR="0094656B" w:rsidRPr="00CE1248">
        <w:rPr>
          <w:rFonts w:cs="Arial"/>
          <w:color w:val="000000"/>
        </w:rPr>
        <w:t xml:space="preserve"> each standard included in </w:t>
      </w:r>
      <w:r w:rsidR="0094656B" w:rsidRPr="00CE1248">
        <w:rPr>
          <w:rFonts w:cs="Arial"/>
          <w:color w:val="000000"/>
          <w:szCs w:val="24"/>
        </w:rPr>
        <w:t>the tests</w:t>
      </w:r>
      <w:r w:rsidR="00B41A87">
        <w:rPr>
          <w:rFonts w:cs="Arial"/>
          <w:color w:val="000000"/>
          <w:szCs w:val="24"/>
        </w:rPr>
        <w:t>,</w:t>
      </w:r>
      <w:r w:rsidR="0094656B" w:rsidRPr="00CE1248">
        <w:rPr>
          <w:rFonts w:cs="Arial"/>
          <w:color w:val="000000"/>
          <w:szCs w:val="24"/>
        </w:rPr>
        <w:t xml:space="preserve"> </w:t>
      </w:r>
      <w:r>
        <w:rPr>
          <w:rFonts w:cs="Arial"/>
          <w:color w:val="000000"/>
          <w:szCs w:val="24"/>
        </w:rPr>
        <w:t xml:space="preserve">which </w:t>
      </w:r>
      <w:r w:rsidR="0094656B" w:rsidRPr="00CE1248">
        <w:rPr>
          <w:rFonts w:cs="Arial"/>
          <w:color w:val="000000"/>
          <w:szCs w:val="24"/>
        </w:rPr>
        <w:t>are</w:t>
      </w:r>
      <w:r w:rsidR="0094656B">
        <w:rPr>
          <w:rFonts w:cs="Arial"/>
          <w:color w:val="000000"/>
          <w:szCs w:val="24"/>
        </w:rPr>
        <w:t xml:space="preserve"> to be</w:t>
      </w:r>
      <w:r w:rsidR="0094656B" w:rsidRPr="00CE1248">
        <w:rPr>
          <w:rFonts w:cs="Arial"/>
          <w:color w:val="000000"/>
          <w:szCs w:val="24"/>
        </w:rPr>
        <w:t xml:space="preserve"> developed by testing contractors</w:t>
      </w:r>
      <w:r>
        <w:rPr>
          <w:rFonts w:cs="Arial"/>
          <w:color w:val="000000"/>
          <w:szCs w:val="24"/>
        </w:rPr>
        <w:t xml:space="preserve"> and</w:t>
      </w:r>
      <w:r w:rsidR="0094656B" w:rsidRPr="00CE1248">
        <w:rPr>
          <w:rFonts w:cs="Arial"/>
          <w:color w:val="000000"/>
          <w:szCs w:val="24"/>
        </w:rPr>
        <w:t xml:space="preserve"> reviewed by content experts</w:t>
      </w:r>
    </w:p>
    <w:p w14:paraId="76037BE8" w14:textId="77777777" w:rsidR="00703618" w:rsidRPr="00703618" w:rsidRDefault="00703618" w:rsidP="00703618">
      <w:pPr>
        <w:widowControl/>
        <w:rPr>
          <w:rFonts w:cs="Arial"/>
          <w:szCs w:val="24"/>
        </w:rPr>
      </w:pPr>
    </w:p>
    <w:p w14:paraId="7EB55715" w14:textId="77777777" w:rsidR="00703618" w:rsidRPr="00703618" w:rsidRDefault="0075455E" w:rsidP="001556DE">
      <w:pPr>
        <w:widowControl/>
        <w:numPr>
          <w:ilvl w:val="0"/>
          <w:numId w:val="6"/>
        </w:numPr>
        <w:rPr>
          <w:rFonts w:cs="Arial"/>
          <w:szCs w:val="24"/>
        </w:rPr>
      </w:pPr>
      <w:r>
        <w:t>The performance standard</w:t>
      </w:r>
      <w:r w:rsidR="0094656B" w:rsidRPr="006E016E">
        <w:t>s</w:t>
      </w:r>
      <w:r w:rsidR="0094656B">
        <w:t xml:space="preserve"> </w:t>
      </w:r>
      <w:r w:rsidR="0094656B" w:rsidRPr="004A5E2C">
        <w:t xml:space="preserve">used in CAASPP and the </w:t>
      </w:r>
      <w:r w:rsidR="00A97B26">
        <w:t xml:space="preserve">threshold </w:t>
      </w:r>
      <w:r w:rsidR="0094656B" w:rsidRPr="004A5E2C">
        <w:t>scores</w:t>
      </w:r>
      <w:r w:rsidR="00153759" w:rsidRPr="004A5E2C">
        <w:t xml:space="preserve">, </w:t>
      </w:r>
      <w:r w:rsidR="00153759" w:rsidRPr="003E4EBA">
        <w:rPr>
          <w:i/>
        </w:rPr>
        <w:t>excluding</w:t>
      </w:r>
      <w:r w:rsidR="00153759" w:rsidRPr="004A5E2C">
        <w:t xml:space="preserve"> consortium assessments,</w:t>
      </w:r>
      <w:r w:rsidR="0094656B" w:rsidRPr="004A5E2C">
        <w:t xml:space="preserve"> used to identify </w:t>
      </w:r>
      <w:r w:rsidR="006E6EBC" w:rsidRPr="004A5E2C">
        <w:t>student</w:t>
      </w:r>
      <w:r w:rsidR="0094656B" w:rsidRPr="004A5E2C">
        <w:t xml:space="preserve">s’ performance levels </w:t>
      </w:r>
    </w:p>
    <w:p w14:paraId="0DDABEBD" w14:textId="77777777" w:rsidR="00703618" w:rsidRPr="00703618" w:rsidRDefault="00703618" w:rsidP="00703618">
      <w:pPr>
        <w:widowControl/>
        <w:rPr>
          <w:rFonts w:cs="Arial"/>
          <w:szCs w:val="24"/>
        </w:rPr>
      </w:pPr>
    </w:p>
    <w:p w14:paraId="1BD400C0" w14:textId="77777777" w:rsidR="003E4EBA" w:rsidRPr="003E4EBA" w:rsidRDefault="003E4EBA" w:rsidP="001556DE">
      <w:pPr>
        <w:widowControl/>
        <w:numPr>
          <w:ilvl w:val="0"/>
          <w:numId w:val="6"/>
        </w:numPr>
        <w:rPr>
          <w:rFonts w:cs="Arial"/>
          <w:szCs w:val="24"/>
        </w:rPr>
      </w:pPr>
      <w:r>
        <w:t>The</w:t>
      </w:r>
      <w:r w:rsidR="00D15B5E">
        <w:t xml:space="preserve"> regulations;</w:t>
      </w:r>
      <w:r w:rsidR="005A4528">
        <w:t xml:space="preserve"> testing period</w:t>
      </w:r>
      <w:r w:rsidR="00D15B5E">
        <w:t>;</w:t>
      </w:r>
      <w:r w:rsidR="005A4528">
        <w:t xml:space="preserve"> calendar of when results are to be delivered to </w:t>
      </w:r>
      <w:r w:rsidR="00C27260">
        <w:t xml:space="preserve">the </w:t>
      </w:r>
      <w:r w:rsidR="00E31395">
        <w:t>S</w:t>
      </w:r>
      <w:r w:rsidR="00C27260">
        <w:t xml:space="preserve">tate, </w:t>
      </w:r>
      <w:r w:rsidR="005A4528">
        <w:t xml:space="preserve">LEAs, </w:t>
      </w:r>
      <w:r w:rsidR="00D15B5E">
        <w:t>and parents</w:t>
      </w:r>
      <w:r w:rsidR="007925ED">
        <w:t>/guardian</w:t>
      </w:r>
      <w:r w:rsidR="00D15B5E">
        <w:t>;</w:t>
      </w:r>
      <w:r w:rsidR="005A4528">
        <w:t xml:space="preserve"> </w:t>
      </w:r>
      <w:r w:rsidR="00D15B5E">
        <w:t xml:space="preserve">and </w:t>
      </w:r>
      <w:r w:rsidR="00C30A92">
        <w:t>when results</w:t>
      </w:r>
      <w:r w:rsidR="00772BB2">
        <w:t xml:space="preserve"> are to be </w:t>
      </w:r>
      <w:r w:rsidR="005A4528">
        <w:t>posted for the public</w:t>
      </w:r>
      <w:r w:rsidR="009238D1">
        <w:t xml:space="preserve"> </w:t>
      </w:r>
    </w:p>
    <w:p w14:paraId="2F2D800C" w14:textId="77777777" w:rsidR="009D07ED" w:rsidRDefault="009D07ED" w:rsidP="00E468A5">
      <w:pPr>
        <w:contextualSpacing/>
      </w:pPr>
    </w:p>
    <w:p w14:paraId="7F960BF8" w14:textId="77777777" w:rsidR="00A71252" w:rsidRPr="0056427E" w:rsidRDefault="00E468A5" w:rsidP="00E468A5">
      <w:pPr>
        <w:contextualSpacing/>
        <w:rPr>
          <w:szCs w:val="24"/>
        </w:rPr>
      </w:pPr>
      <w:r>
        <w:lastRenderedPageBreak/>
        <w:t>State law also requires</w:t>
      </w:r>
      <w:r w:rsidR="00885BBB">
        <w:t xml:space="preserve"> the</w:t>
      </w:r>
      <w:r w:rsidR="0029011D">
        <w:t>:</w:t>
      </w:r>
      <w:r w:rsidR="00323A89">
        <w:t xml:space="preserve"> (1)</w:t>
      </w:r>
      <w:r>
        <w:t xml:space="preserve"> d</w:t>
      </w:r>
      <w:r w:rsidR="003D222E" w:rsidRPr="005549E3">
        <w:t>evelopment of a</w:t>
      </w:r>
      <w:r w:rsidR="00F05D58">
        <w:t xml:space="preserve"> three-year plan for </w:t>
      </w:r>
      <w:r w:rsidR="003D222E" w:rsidRPr="005549E3">
        <w:t xml:space="preserve">continuous improvement </w:t>
      </w:r>
      <w:r w:rsidR="00F05D58">
        <w:t xml:space="preserve">of </w:t>
      </w:r>
      <w:r w:rsidR="000A4A2E">
        <w:t xml:space="preserve">the </w:t>
      </w:r>
      <w:r w:rsidR="00A95026">
        <w:t>CAASPP</w:t>
      </w:r>
      <w:r w:rsidR="00323A89">
        <w:t xml:space="preserve"> </w:t>
      </w:r>
      <w:r w:rsidR="00E3648C">
        <w:t>System</w:t>
      </w:r>
      <w:r w:rsidR="00DE455D">
        <w:t>, with approval of the SBE</w:t>
      </w:r>
      <w:r w:rsidR="00323A89">
        <w:t>; and (2)</w:t>
      </w:r>
      <w:r>
        <w:t xml:space="preserve"> </w:t>
      </w:r>
      <w:r w:rsidR="0029011D">
        <w:t>California Department of Education (</w:t>
      </w:r>
      <w:r>
        <w:t>CDE</w:t>
      </w:r>
      <w:r w:rsidR="0029011D">
        <w:t>)</w:t>
      </w:r>
      <w:r>
        <w:t xml:space="preserve"> </w:t>
      </w:r>
      <w:r w:rsidR="00323A89">
        <w:t xml:space="preserve">to </w:t>
      </w:r>
      <w:r>
        <w:t xml:space="preserve">contract for a </w:t>
      </w:r>
      <w:r w:rsidR="008C231F">
        <w:t>three-year in</w:t>
      </w:r>
      <w:r w:rsidR="00323A89">
        <w:t>dependent evaluation of CAASP</w:t>
      </w:r>
      <w:r w:rsidR="00A2497A">
        <w:t>P</w:t>
      </w:r>
      <w:r>
        <w:t xml:space="preserve"> that will provide</w:t>
      </w:r>
      <w:r w:rsidR="008C231F">
        <w:t xml:space="preserve"> interim annual reports</w:t>
      </w:r>
      <w:r w:rsidR="00323A89">
        <w:t>,</w:t>
      </w:r>
      <w:r w:rsidR="003E67C5">
        <w:t xml:space="preserve"> a final report on the activities</w:t>
      </w:r>
      <w:r w:rsidR="00323A89">
        <w:t>,</w:t>
      </w:r>
      <w:r w:rsidR="003E67C5">
        <w:t xml:space="preserve"> and </w:t>
      </w:r>
      <w:r w:rsidR="00323A89">
        <w:t xml:space="preserve">an </w:t>
      </w:r>
      <w:r w:rsidR="003E67C5">
        <w:t xml:space="preserve">analysis of the three-year </w:t>
      </w:r>
      <w:r w:rsidR="004631CC">
        <w:t xml:space="preserve">independent </w:t>
      </w:r>
      <w:r w:rsidR="003E67C5">
        <w:t>evaluation.</w:t>
      </w:r>
      <w:r w:rsidR="0056427E" w:rsidRPr="0056427E">
        <w:rPr>
          <w:rFonts w:cs="Arial"/>
          <w:sz w:val="18"/>
          <w:szCs w:val="18"/>
        </w:rPr>
        <w:t xml:space="preserve"> </w:t>
      </w:r>
      <w:r w:rsidR="0056427E" w:rsidRPr="0056427E">
        <w:rPr>
          <w:rFonts w:cs="Arial"/>
          <w:szCs w:val="24"/>
        </w:rPr>
        <w:t>(See "</w:t>
      </w:r>
      <w:r w:rsidR="0056427E" w:rsidRPr="0056427E">
        <w:rPr>
          <w:rFonts w:cs="Arial"/>
          <w:bCs/>
          <w:szCs w:val="24"/>
        </w:rPr>
        <w:t xml:space="preserve">California Assessment of Student Performance and Progress (CAASPP): 2016 Independent Evaluation Report, Volume 1,” which is posted on the CDE Web site at </w:t>
      </w:r>
      <w:hyperlink r:id="rId17" w:history="1">
        <w:r w:rsidR="0056427E" w:rsidRPr="0056427E">
          <w:rPr>
            <w:rStyle w:val="Hyperlink"/>
            <w:rFonts w:cs="Arial"/>
            <w:bCs/>
            <w:szCs w:val="24"/>
          </w:rPr>
          <w:t>http://www.cde.ca.gov/ta/tg/ca/documents/caaspp16evalrptvol1.pdf</w:t>
        </w:r>
      </w:hyperlink>
      <w:r w:rsidR="0056427E">
        <w:rPr>
          <w:rStyle w:val="Hyperlink"/>
          <w:rFonts w:cs="Arial"/>
          <w:bCs/>
          <w:szCs w:val="24"/>
        </w:rPr>
        <w:t>.</w:t>
      </w:r>
      <w:r w:rsidR="0056427E" w:rsidRPr="0056427E">
        <w:rPr>
          <w:rStyle w:val="Hyperlink"/>
          <w:rFonts w:cs="Arial"/>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563177" w14:textId="77777777" w:rsidR="003C2346" w:rsidRPr="0056427E" w:rsidRDefault="003C2346" w:rsidP="00E468A5">
      <w:pPr>
        <w:contextualSpacing/>
        <w:rPr>
          <w:szCs w:val="24"/>
        </w:rPr>
      </w:pPr>
    </w:p>
    <w:p w14:paraId="17B46C30" w14:textId="77777777" w:rsidR="003C2346" w:rsidRDefault="003C2346" w:rsidP="003C2346">
      <w:pPr>
        <w:widowControl/>
        <w:rPr>
          <w:rFonts w:cs="Arial"/>
          <w:szCs w:val="24"/>
        </w:rPr>
      </w:pPr>
      <w:r>
        <w:rPr>
          <w:rFonts w:cs="Arial"/>
          <w:szCs w:val="24"/>
        </w:rPr>
        <w:t xml:space="preserve">More information regarding CAASPP is available on the CDE CAASPP System Web page at </w:t>
      </w:r>
      <w:hyperlink r:id="rId18" w:history="1">
        <w:r w:rsidRPr="00E47432">
          <w:rPr>
            <w:rStyle w:val="Hyperlink"/>
            <w:rFonts w:cs="Arial"/>
            <w:szCs w:val="24"/>
          </w:rPr>
          <w:t>http://www.cde.ca.gov/ta/tg/ca/</w:t>
        </w:r>
      </w:hyperlink>
      <w:r>
        <w:rPr>
          <w:rFonts w:cs="Arial"/>
          <w:szCs w:val="24"/>
        </w:rPr>
        <w:t xml:space="preserve">. </w:t>
      </w:r>
    </w:p>
    <w:p w14:paraId="7FA72BA0" w14:textId="77777777" w:rsidR="00DC0238" w:rsidRDefault="00DC0238" w:rsidP="003C2346">
      <w:pPr>
        <w:widowControl/>
        <w:rPr>
          <w:rFonts w:cs="Arial"/>
          <w:szCs w:val="24"/>
        </w:rPr>
      </w:pPr>
    </w:p>
    <w:p w14:paraId="4B419030" w14:textId="77777777" w:rsidR="00DC0238" w:rsidRDefault="00DC0238" w:rsidP="003C2346">
      <w:pPr>
        <w:widowControl/>
        <w:rPr>
          <w:rFonts w:cs="Arial"/>
          <w:szCs w:val="24"/>
        </w:rPr>
      </w:pPr>
      <w:r>
        <w:rPr>
          <w:rFonts w:cs="Arial"/>
          <w:szCs w:val="24"/>
        </w:rPr>
        <w:t xml:space="preserve">Tables 1 and 2, below and on the following page, identify the </w:t>
      </w:r>
      <w:r w:rsidR="004631CC">
        <w:rPr>
          <w:rFonts w:cs="Arial"/>
          <w:szCs w:val="24"/>
        </w:rPr>
        <w:t>required a</w:t>
      </w:r>
      <w:r>
        <w:rPr>
          <w:rFonts w:cs="Arial"/>
          <w:szCs w:val="24"/>
        </w:rPr>
        <w:t>nd optional CAASPP assessments that were administered in 2016–17.</w:t>
      </w:r>
    </w:p>
    <w:p w14:paraId="2D454D0B" w14:textId="77777777" w:rsidR="003C2346" w:rsidRPr="000A4A2E" w:rsidRDefault="003C2346">
      <w:pPr>
        <w:widowControl/>
        <w:rPr>
          <w:rFonts w:cs="Arial"/>
          <w:szCs w:val="24"/>
        </w:rPr>
      </w:pPr>
    </w:p>
    <w:p w14:paraId="56A95D09" w14:textId="77777777" w:rsidR="003C2346" w:rsidRDefault="003C2346" w:rsidP="007F27A0">
      <w:pPr>
        <w:widowControl/>
        <w:ind w:right="720"/>
        <w:rPr>
          <w:rFonts w:cs="Arial"/>
          <w:szCs w:val="24"/>
        </w:rPr>
      </w:pPr>
      <w:r w:rsidRPr="004631CC">
        <w:rPr>
          <w:rFonts w:cs="Arial"/>
          <w:b/>
          <w:szCs w:val="24"/>
        </w:rPr>
        <w:t>Table 1</w:t>
      </w:r>
      <w:r w:rsidRPr="007F27A0">
        <w:rPr>
          <w:rFonts w:cs="Arial"/>
          <w:szCs w:val="24"/>
        </w:rPr>
        <w:t xml:space="preserve">. CAASPP Required Assessments </w:t>
      </w:r>
      <w:r w:rsidR="00C81327">
        <w:rPr>
          <w:rFonts w:cs="Arial"/>
          <w:szCs w:val="24"/>
        </w:rPr>
        <w:t>A</w:t>
      </w:r>
      <w:r w:rsidR="00B20092">
        <w:rPr>
          <w:rFonts w:cs="Arial"/>
          <w:szCs w:val="24"/>
        </w:rPr>
        <w:t xml:space="preserve">dministered </w:t>
      </w:r>
      <w:r w:rsidRPr="007F27A0">
        <w:rPr>
          <w:rFonts w:cs="Arial"/>
          <w:szCs w:val="24"/>
        </w:rPr>
        <w:t>in 201</w:t>
      </w:r>
      <w:r w:rsidR="00A92143">
        <w:rPr>
          <w:rFonts w:cs="Arial"/>
          <w:szCs w:val="24"/>
        </w:rPr>
        <w:t>6</w:t>
      </w:r>
      <w:r w:rsidRPr="007F27A0">
        <w:rPr>
          <w:rFonts w:cs="Arial"/>
          <w:szCs w:val="24"/>
        </w:rPr>
        <w:t>–1</w:t>
      </w:r>
      <w:r w:rsidR="00A92143">
        <w:rPr>
          <w:rFonts w:cs="Arial"/>
          <w:szCs w:val="24"/>
        </w:rPr>
        <w:t>7</w:t>
      </w:r>
      <w:r w:rsidR="004631CC">
        <w:rPr>
          <w:rFonts w:cs="Arial"/>
          <w:szCs w:val="24"/>
        </w:rPr>
        <w:t>,</w:t>
      </w:r>
      <w:r w:rsidR="00B20092">
        <w:rPr>
          <w:rFonts w:cs="Arial"/>
          <w:szCs w:val="24"/>
        </w:rPr>
        <w:t xml:space="preserve"> </w:t>
      </w:r>
      <w:r w:rsidR="00C81327">
        <w:rPr>
          <w:rFonts w:cs="Arial"/>
        </w:rPr>
        <w:t>by Grade and C</w:t>
      </w:r>
      <w:r w:rsidR="00B20092" w:rsidRPr="004313B9">
        <w:rPr>
          <w:rFonts w:cs="Arial"/>
        </w:rPr>
        <w:t xml:space="preserve">ontent </w:t>
      </w:r>
      <w:r w:rsidR="00C81327">
        <w:rPr>
          <w:rFonts w:cs="Arial"/>
        </w:rPr>
        <w:t>A</w:t>
      </w:r>
      <w:r w:rsidR="00B20092">
        <w:rPr>
          <w:rFonts w:cs="Arial"/>
        </w:rPr>
        <w:t>rea</w:t>
      </w:r>
      <w:r w:rsidR="00B20092" w:rsidRPr="00F84881">
        <w:rPr>
          <w:rFonts w:cs="Arial"/>
        </w:rPr>
        <w:t>.</w:t>
      </w:r>
    </w:p>
    <w:p w14:paraId="3A630B65" w14:textId="77777777" w:rsidR="000A4A2E" w:rsidRPr="007F27A0" w:rsidRDefault="000A4A2E" w:rsidP="007F27A0">
      <w:pPr>
        <w:widowControl/>
        <w:ind w:right="720"/>
        <w:rPr>
          <w:rFonts w:cs="Arial"/>
          <w:szCs w:val="24"/>
        </w:rPr>
      </w:pPr>
    </w:p>
    <w:tbl>
      <w:tblPr>
        <w:tblW w:w="93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55"/>
        <w:gridCol w:w="720"/>
        <w:gridCol w:w="4050"/>
        <w:gridCol w:w="1260"/>
        <w:gridCol w:w="2070"/>
      </w:tblGrid>
      <w:tr w:rsidR="003C2346" w:rsidRPr="00C64273" w14:paraId="2B69867E" w14:textId="77777777" w:rsidTr="004631CC">
        <w:trPr>
          <w:trHeight w:val="75"/>
          <w:jc w:val="center"/>
        </w:trPr>
        <w:tc>
          <w:tcPr>
            <w:tcW w:w="1255" w:type="dxa"/>
            <w:tcBorders>
              <w:top w:val="single" w:sz="4" w:space="0" w:color="auto"/>
            </w:tcBorders>
            <w:shd w:val="clear" w:color="auto" w:fill="D6E3BC"/>
            <w:vAlign w:val="center"/>
          </w:tcPr>
          <w:p w14:paraId="04B8F577" w14:textId="77777777" w:rsidR="003C2346" w:rsidRPr="00C64273" w:rsidRDefault="003C2346" w:rsidP="008F5D9A">
            <w:pPr>
              <w:widowControl/>
              <w:ind w:right="49"/>
              <w:jc w:val="center"/>
              <w:rPr>
                <w:rFonts w:cs="Arial"/>
                <w:b/>
                <w:sz w:val="20"/>
              </w:rPr>
            </w:pPr>
            <w:r w:rsidRPr="00C64273">
              <w:rPr>
                <w:rFonts w:cs="Arial"/>
                <w:b/>
                <w:sz w:val="20"/>
              </w:rPr>
              <w:t>Test</w:t>
            </w:r>
          </w:p>
        </w:tc>
        <w:tc>
          <w:tcPr>
            <w:tcW w:w="720" w:type="dxa"/>
            <w:tcBorders>
              <w:top w:val="single" w:sz="4" w:space="0" w:color="auto"/>
            </w:tcBorders>
            <w:shd w:val="clear" w:color="auto" w:fill="D6E3BC"/>
            <w:vAlign w:val="center"/>
          </w:tcPr>
          <w:p w14:paraId="46AD8C8E" w14:textId="77777777" w:rsidR="003C2346" w:rsidRPr="00C64273" w:rsidRDefault="003C2346" w:rsidP="008F5D9A">
            <w:pPr>
              <w:widowControl/>
              <w:tabs>
                <w:tab w:val="left" w:pos="545"/>
              </w:tabs>
              <w:ind w:right="-77"/>
              <w:jc w:val="center"/>
              <w:rPr>
                <w:rFonts w:cs="Arial"/>
                <w:b/>
                <w:sz w:val="20"/>
              </w:rPr>
            </w:pPr>
            <w:r w:rsidRPr="00C64273">
              <w:rPr>
                <w:rFonts w:cs="Arial"/>
                <w:b/>
                <w:sz w:val="20"/>
              </w:rPr>
              <w:t>Type</w:t>
            </w:r>
          </w:p>
        </w:tc>
        <w:tc>
          <w:tcPr>
            <w:tcW w:w="4050" w:type="dxa"/>
            <w:tcBorders>
              <w:top w:val="single" w:sz="4" w:space="0" w:color="auto"/>
            </w:tcBorders>
            <w:shd w:val="clear" w:color="auto" w:fill="D6E3BC"/>
            <w:vAlign w:val="center"/>
          </w:tcPr>
          <w:p w14:paraId="0AF5F184" w14:textId="77777777" w:rsidR="003C2346" w:rsidRPr="00C64273" w:rsidRDefault="00F614EB" w:rsidP="008F5D9A">
            <w:pPr>
              <w:widowControl/>
              <w:ind w:right="114"/>
              <w:jc w:val="center"/>
              <w:rPr>
                <w:rFonts w:cs="Arial"/>
                <w:b/>
                <w:sz w:val="20"/>
              </w:rPr>
            </w:pPr>
            <w:r>
              <w:rPr>
                <w:b/>
                <w:sz w:val="20"/>
              </w:rPr>
              <w:t>Student</w:t>
            </w:r>
            <w:r w:rsidR="003C2346" w:rsidRPr="00C64273">
              <w:rPr>
                <w:rFonts w:cs="Arial"/>
                <w:b/>
                <w:sz w:val="20"/>
              </w:rPr>
              <w:t>s</w:t>
            </w:r>
          </w:p>
        </w:tc>
        <w:tc>
          <w:tcPr>
            <w:tcW w:w="1260" w:type="dxa"/>
            <w:tcBorders>
              <w:top w:val="single" w:sz="4" w:space="0" w:color="auto"/>
            </w:tcBorders>
            <w:shd w:val="clear" w:color="auto" w:fill="D6E3BC"/>
            <w:vAlign w:val="center"/>
          </w:tcPr>
          <w:p w14:paraId="183F04D6" w14:textId="77777777" w:rsidR="003C2346" w:rsidRPr="00C64273" w:rsidRDefault="003C2346" w:rsidP="008F5D9A">
            <w:pPr>
              <w:widowControl/>
              <w:ind w:right="40"/>
              <w:jc w:val="center"/>
              <w:rPr>
                <w:rFonts w:cs="Arial"/>
                <w:b/>
                <w:sz w:val="20"/>
              </w:rPr>
            </w:pPr>
            <w:r w:rsidRPr="00C64273">
              <w:rPr>
                <w:rFonts w:cs="Arial"/>
                <w:b/>
                <w:sz w:val="20"/>
              </w:rPr>
              <w:t>Grade</w:t>
            </w:r>
          </w:p>
        </w:tc>
        <w:tc>
          <w:tcPr>
            <w:tcW w:w="2070" w:type="dxa"/>
            <w:tcBorders>
              <w:top w:val="single" w:sz="4" w:space="0" w:color="auto"/>
            </w:tcBorders>
            <w:shd w:val="clear" w:color="auto" w:fill="D6E3BC"/>
            <w:vAlign w:val="center"/>
          </w:tcPr>
          <w:p w14:paraId="44A93BD7" w14:textId="77777777" w:rsidR="003C2346" w:rsidRPr="00C64273" w:rsidRDefault="003C2346" w:rsidP="008F5D9A">
            <w:pPr>
              <w:widowControl/>
              <w:jc w:val="center"/>
              <w:rPr>
                <w:rFonts w:cs="Arial"/>
                <w:b/>
                <w:sz w:val="20"/>
              </w:rPr>
            </w:pPr>
            <w:r w:rsidRPr="00C64273">
              <w:rPr>
                <w:rFonts w:cs="Arial"/>
                <w:b/>
                <w:sz w:val="20"/>
              </w:rPr>
              <w:t>Content Area</w:t>
            </w:r>
          </w:p>
        </w:tc>
      </w:tr>
      <w:tr w:rsidR="003C2346" w:rsidRPr="00C64273" w14:paraId="65EA6B91" w14:textId="77777777" w:rsidTr="004631CC">
        <w:trPr>
          <w:jc w:val="center"/>
        </w:trPr>
        <w:tc>
          <w:tcPr>
            <w:tcW w:w="1255" w:type="dxa"/>
            <w:shd w:val="clear" w:color="auto" w:fill="auto"/>
            <w:vAlign w:val="center"/>
          </w:tcPr>
          <w:p w14:paraId="0A594C05" w14:textId="77777777" w:rsidR="003C2346" w:rsidRPr="004C1EAB" w:rsidRDefault="003C2346" w:rsidP="008F5D9A">
            <w:pPr>
              <w:widowControl/>
              <w:jc w:val="center"/>
              <w:rPr>
                <w:rFonts w:cs="Arial"/>
                <w:snapToGrid/>
                <w:color w:val="000000"/>
                <w:sz w:val="18"/>
                <w:szCs w:val="18"/>
              </w:rPr>
            </w:pPr>
            <w:r w:rsidRPr="004C1EAB">
              <w:rPr>
                <w:rFonts w:cs="Arial"/>
                <w:snapToGrid/>
                <w:color w:val="000000"/>
                <w:sz w:val="18"/>
                <w:szCs w:val="18"/>
              </w:rPr>
              <w:t>Smarter Balanced</w:t>
            </w:r>
          </w:p>
          <w:p w14:paraId="1EC610CB" w14:textId="77777777" w:rsidR="003C2346" w:rsidRPr="004C1EAB" w:rsidRDefault="003C2346" w:rsidP="008F5D9A">
            <w:pPr>
              <w:widowControl/>
              <w:jc w:val="center"/>
              <w:rPr>
                <w:rFonts w:cs="Arial"/>
                <w:snapToGrid/>
                <w:color w:val="000000"/>
                <w:sz w:val="18"/>
                <w:szCs w:val="18"/>
              </w:rPr>
            </w:pPr>
            <w:r>
              <w:rPr>
                <w:rFonts w:cs="Arial"/>
                <w:bCs/>
                <w:snapToGrid/>
                <w:color w:val="000000"/>
                <w:sz w:val="18"/>
                <w:szCs w:val="18"/>
              </w:rPr>
              <w:t>Summative</w:t>
            </w:r>
          </w:p>
        </w:tc>
        <w:tc>
          <w:tcPr>
            <w:tcW w:w="720" w:type="dxa"/>
            <w:shd w:val="clear" w:color="auto" w:fill="auto"/>
            <w:vAlign w:val="center"/>
          </w:tcPr>
          <w:p w14:paraId="2F7EFF55" w14:textId="77777777" w:rsidR="003C2346" w:rsidRPr="004A5E2C" w:rsidRDefault="003C2346" w:rsidP="008F5D9A">
            <w:pPr>
              <w:widowControl/>
              <w:tabs>
                <w:tab w:val="left" w:pos="72"/>
              </w:tabs>
              <w:spacing w:before="100" w:beforeAutospacing="1" w:after="100" w:afterAutospacing="1"/>
              <w:rPr>
                <w:rFonts w:cs="Arial"/>
                <w:snapToGrid/>
                <w:color w:val="000000"/>
                <w:sz w:val="18"/>
                <w:szCs w:val="18"/>
                <w:vertAlign w:val="superscript"/>
              </w:rPr>
            </w:pPr>
            <w:r>
              <w:rPr>
                <w:rFonts w:cs="Arial"/>
                <w:snapToGrid/>
                <w:color w:val="000000"/>
                <w:sz w:val="18"/>
                <w:szCs w:val="18"/>
              </w:rPr>
              <w:tab/>
            </w:r>
            <w:r w:rsidRPr="004C1EAB">
              <w:rPr>
                <w:rFonts w:cs="Arial"/>
                <w:snapToGrid/>
                <w:color w:val="000000"/>
                <w:sz w:val="18"/>
                <w:szCs w:val="18"/>
              </w:rPr>
              <w:t>CBT</w:t>
            </w:r>
            <w:r>
              <w:rPr>
                <w:rFonts w:cs="Arial"/>
                <w:snapToGrid/>
                <w:color w:val="000000"/>
                <w:sz w:val="18"/>
                <w:szCs w:val="18"/>
                <w:vertAlign w:val="superscript"/>
              </w:rPr>
              <w:t>1</w:t>
            </w:r>
          </w:p>
        </w:tc>
        <w:tc>
          <w:tcPr>
            <w:tcW w:w="4050" w:type="dxa"/>
            <w:shd w:val="clear" w:color="auto" w:fill="auto"/>
            <w:tcMar>
              <w:top w:w="29" w:type="dxa"/>
              <w:left w:w="115" w:type="dxa"/>
              <w:bottom w:w="29" w:type="dxa"/>
              <w:right w:w="115" w:type="dxa"/>
            </w:tcMar>
            <w:vAlign w:val="center"/>
          </w:tcPr>
          <w:p w14:paraId="36163393" w14:textId="77777777" w:rsidR="003C2346" w:rsidRPr="004C1EAB" w:rsidRDefault="003C2346" w:rsidP="004631CC">
            <w:pPr>
              <w:widowControl/>
              <w:rPr>
                <w:rFonts w:cs="Arial"/>
                <w:snapToGrid/>
                <w:color w:val="000000"/>
                <w:sz w:val="18"/>
                <w:szCs w:val="18"/>
              </w:rPr>
            </w:pPr>
            <w:r w:rsidRPr="004C1EAB">
              <w:rPr>
                <w:rFonts w:cs="Arial"/>
                <w:snapToGrid/>
                <w:color w:val="000000"/>
                <w:sz w:val="18"/>
                <w:szCs w:val="18"/>
              </w:rPr>
              <w:t xml:space="preserve">All </w:t>
            </w:r>
            <w:r w:rsidR="00F614EB">
              <w:rPr>
                <w:rFonts w:cs="Arial"/>
                <w:snapToGrid/>
                <w:color w:val="000000"/>
                <w:sz w:val="18"/>
                <w:szCs w:val="18"/>
              </w:rPr>
              <w:t>student</w:t>
            </w:r>
            <w:r w:rsidRPr="004C1EAB">
              <w:rPr>
                <w:rFonts w:cs="Arial"/>
                <w:snapToGrid/>
                <w:color w:val="000000"/>
                <w:sz w:val="18"/>
                <w:szCs w:val="18"/>
              </w:rPr>
              <w:t>s</w:t>
            </w:r>
            <w:r>
              <w:rPr>
                <w:rFonts w:cs="Arial"/>
                <w:snapToGrid/>
                <w:color w:val="000000"/>
                <w:sz w:val="18"/>
                <w:szCs w:val="18"/>
              </w:rPr>
              <w:t>,</w:t>
            </w:r>
            <w:r w:rsidRPr="004C1EAB">
              <w:rPr>
                <w:rFonts w:cs="Arial"/>
                <w:snapToGrid/>
                <w:color w:val="000000"/>
                <w:sz w:val="18"/>
                <w:szCs w:val="18"/>
              </w:rPr>
              <w:t xml:space="preserve"> unless </w:t>
            </w:r>
            <w:r>
              <w:rPr>
                <w:rFonts w:cs="Arial"/>
                <w:snapToGrid/>
                <w:color w:val="000000"/>
                <w:sz w:val="18"/>
                <w:szCs w:val="18"/>
              </w:rPr>
              <w:t>they have an</w:t>
            </w:r>
            <w:r w:rsidRPr="004C1EAB">
              <w:rPr>
                <w:rFonts w:cs="Arial"/>
                <w:snapToGrid/>
                <w:color w:val="000000"/>
                <w:sz w:val="18"/>
                <w:szCs w:val="18"/>
              </w:rPr>
              <w:t xml:space="preserve"> </w:t>
            </w:r>
            <w:r>
              <w:rPr>
                <w:rFonts w:cs="Arial"/>
                <w:snapToGrid/>
                <w:color w:val="000000"/>
                <w:sz w:val="18"/>
                <w:szCs w:val="18"/>
              </w:rPr>
              <w:t>IEP</w:t>
            </w:r>
            <w:r w:rsidRPr="004C1EAB">
              <w:rPr>
                <w:rFonts w:cs="Arial"/>
                <w:snapToGrid/>
                <w:color w:val="000000"/>
                <w:sz w:val="18"/>
                <w:szCs w:val="18"/>
              </w:rPr>
              <w:t xml:space="preserve"> indicat</w:t>
            </w:r>
            <w:r>
              <w:rPr>
                <w:rFonts w:cs="Arial"/>
                <w:snapToGrid/>
                <w:color w:val="000000"/>
                <w:sz w:val="18"/>
                <w:szCs w:val="18"/>
              </w:rPr>
              <w:t>ing</w:t>
            </w:r>
            <w:r w:rsidRPr="004C1EAB">
              <w:rPr>
                <w:rFonts w:cs="Arial"/>
                <w:snapToGrid/>
                <w:color w:val="000000"/>
                <w:sz w:val="18"/>
                <w:szCs w:val="18"/>
              </w:rPr>
              <w:t xml:space="preserve"> assessment with </w:t>
            </w:r>
            <w:r>
              <w:rPr>
                <w:rFonts w:cs="Arial"/>
                <w:snapToGrid/>
                <w:color w:val="000000"/>
                <w:sz w:val="18"/>
                <w:szCs w:val="18"/>
              </w:rPr>
              <w:t xml:space="preserve">the </w:t>
            </w:r>
            <w:r w:rsidRPr="004C1EAB">
              <w:rPr>
                <w:rFonts w:cs="Arial"/>
                <w:snapToGrid/>
                <w:color w:val="000000"/>
                <w:sz w:val="18"/>
                <w:szCs w:val="18"/>
              </w:rPr>
              <w:t>CAA. Recently arrived English learner</w:t>
            </w:r>
            <w:r w:rsidR="00A440C7">
              <w:rPr>
                <w:rFonts w:cs="Arial"/>
                <w:snapToGrid/>
                <w:color w:val="000000"/>
                <w:sz w:val="18"/>
                <w:szCs w:val="18"/>
              </w:rPr>
              <w:t xml:space="preserve"> (EL)</w:t>
            </w:r>
            <w:r w:rsidRPr="004C1EAB">
              <w:rPr>
                <w:rFonts w:cs="Arial"/>
                <w:snapToGrid/>
                <w:color w:val="000000"/>
                <w:sz w:val="18"/>
                <w:szCs w:val="18"/>
              </w:rPr>
              <w:t xml:space="preserve"> </w:t>
            </w:r>
            <w:r w:rsidR="00F614EB">
              <w:rPr>
                <w:color w:val="000000"/>
                <w:sz w:val="18"/>
              </w:rPr>
              <w:t>student</w:t>
            </w:r>
            <w:r w:rsidRPr="004C1EAB">
              <w:rPr>
                <w:rFonts w:cs="Arial"/>
                <w:snapToGrid/>
                <w:color w:val="000000"/>
                <w:sz w:val="18"/>
                <w:szCs w:val="18"/>
              </w:rPr>
              <w:t xml:space="preserve">s are exempted from the assessment </w:t>
            </w:r>
            <w:r>
              <w:rPr>
                <w:rFonts w:cs="Arial"/>
                <w:snapToGrid/>
                <w:color w:val="000000"/>
                <w:sz w:val="18"/>
                <w:szCs w:val="18"/>
              </w:rPr>
              <w:t>for</w:t>
            </w:r>
            <w:r w:rsidRPr="004C1EAB">
              <w:rPr>
                <w:rFonts w:cs="Arial"/>
                <w:snapToGrid/>
                <w:color w:val="000000"/>
                <w:sz w:val="18"/>
                <w:szCs w:val="18"/>
              </w:rPr>
              <w:t xml:space="preserve"> </w:t>
            </w:r>
            <w:r>
              <w:rPr>
                <w:rFonts w:cs="Arial"/>
                <w:snapToGrid/>
                <w:color w:val="000000"/>
                <w:sz w:val="18"/>
                <w:szCs w:val="18"/>
              </w:rPr>
              <w:t>ELA.</w:t>
            </w:r>
          </w:p>
        </w:tc>
        <w:tc>
          <w:tcPr>
            <w:tcW w:w="1260" w:type="dxa"/>
            <w:shd w:val="clear" w:color="auto" w:fill="auto"/>
            <w:vAlign w:val="center"/>
          </w:tcPr>
          <w:p w14:paraId="0CC56420" w14:textId="77777777" w:rsidR="003C2346" w:rsidRPr="007A5D93" w:rsidRDefault="003C2346" w:rsidP="008F5D9A">
            <w:pPr>
              <w:widowControl/>
              <w:jc w:val="center"/>
              <w:rPr>
                <w:rFonts w:cs="Arial"/>
                <w:snapToGrid/>
                <w:color w:val="000000"/>
                <w:sz w:val="18"/>
                <w:szCs w:val="18"/>
                <w:vertAlign w:val="superscript"/>
              </w:rPr>
            </w:pPr>
            <w:r w:rsidRPr="004C1EAB">
              <w:rPr>
                <w:rFonts w:cs="Arial"/>
                <w:snapToGrid/>
                <w:color w:val="000000"/>
                <w:sz w:val="18"/>
                <w:szCs w:val="18"/>
              </w:rPr>
              <w:t>3–8 and 11</w:t>
            </w:r>
            <w:r>
              <w:rPr>
                <w:rFonts w:cs="Arial"/>
                <w:snapToGrid/>
                <w:color w:val="000000"/>
                <w:sz w:val="18"/>
                <w:szCs w:val="18"/>
                <w:vertAlign w:val="superscript"/>
              </w:rPr>
              <w:t>2</w:t>
            </w:r>
          </w:p>
        </w:tc>
        <w:tc>
          <w:tcPr>
            <w:tcW w:w="2070" w:type="dxa"/>
            <w:shd w:val="clear" w:color="auto" w:fill="auto"/>
            <w:vAlign w:val="center"/>
          </w:tcPr>
          <w:p w14:paraId="0B9ECB50" w14:textId="77777777" w:rsidR="003C2346" w:rsidRPr="004C1EAB" w:rsidRDefault="003C2346" w:rsidP="008F5D9A">
            <w:pPr>
              <w:widowControl/>
              <w:jc w:val="center"/>
              <w:rPr>
                <w:rFonts w:cs="Arial"/>
                <w:snapToGrid/>
                <w:color w:val="000000"/>
                <w:sz w:val="18"/>
                <w:szCs w:val="18"/>
              </w:rPr>
            </w:pPr>
            <w:r>
              <w:rPr>
                <w:rFonts w:cs="Arial"/>
                <w:snapToGrid/>
                <w:color w:val="000000"/>
                <w:sz w:val="18"/>
                <w:szCs w:val="18"/>
              </w:rPr>
              <w:t xml:space="preserve">ELA and </w:t>
            </w:r>
            <w:r w:rsidR="000A4A2E">
              <w:rPr>
                <w:rFonts w:cs="Arial"/>
                <w:snapToGrid/>
                <w:color w:val="000000"/>
                <w:sz w:val="18"/>
                <w:szCs w:val="18"/>
              </w:rPr>
              <w:t>m</w:t>
            </w:r>
            <w:r w:rsidRPr="004C1EAB">
              <w:rPr>
                <w:rFonts w:cs="Arial"/>
                <w:snapToGrid/>
                <w:color w:val="000000"/>
                <w:sz w:val="18"/>
                <w:szCs w:val="18"/>
              </w:rPr>
              <w:t>athematics</w:t>
            </w:r>
          </w:p>
        </w:tc>
      </w:tr>
      <w:tr w:rsidR="003C2346" w:rsidRPr="00C64273" w14:paraId="09BE449D" w14:textId="77777777" w:rsidTr="004631CC">
        <w:trPr>
          <w:jc w:val="center"/>
        </w:trPr>
        <w:tc>
          <w:tcPr>
            <w:tcW w:w="1255" w:type="dxa"/>
            <w:shd w:val="clear" w:color="auto" w:fill="auto"/>
            <w:vAlign w:val="center"/>
          </w:tcPr>
          <w:p w14:paraId="6D2D79A8" w14:textId="77777777" w:rsidR="003C2346" w:rsidRPr="004C1EAB" w:rsidRDefault="003C2346" w:rsidP="008F5D9A">
            <w:pPr>
              <w:widowControl/>
              <w:jc w:val="center"/>
              <w:rPr>
                <w:rFonts w:cs="Arial"/>
                <w:snapToGrid/>
                <w:color w:val="000000"/>
                <w:sz w:val="18"/>
                <w:szCs w:val="18"/>
              </w:rPr>
            </w:pPr>
            <w:r>
              <w:rPr>
                <w:rFonts w:cs="Arial"/>
                <w:snapToGrid/>
                <w:color w:val="000000"/>
                <w:sz w:val="18"/>
                <w:szCs w:val="18"/>
              </w:rPr>
              <w:t>CAAs</w:t>
            </w:r>
          </w:p>
        </w:tc>
        <w:tc>
          <w:tcPr>
            <w:tcW w:w="720" w:type="dxa"/>
            <w:shd w:val="clear" w:color="auto" w:fill="auto"/>
            <w:vAlign w:val="center"/>
          </w:tcPr>
          <w:p w14:paraId="04A11606" w14:textId="77777777" w:rsidR="003C2346" w:rsidRDefault="003C2346" w:rsidP="008F5D9A">
            <w:pPr>
              <w:widowControl/>
              <w:tabs>
                <w:tab w:val="left" w:pos="72"/>
              </w:tabs>
              <w:rPr>
                <w:rFonts w:cs="Arial"/>
                <w:snapToGrid/>
                <w:color w:val="000000"/>
                <w:sz w:val="18"/>
                <w:szCs w:val="18"/>
              </w:rPr>
            </w:pPr>
            <w:r w:rsidRPr="004C1EAB">
              <w:rPr>
                <w:rFonts w:cs="Arial"/>
                <w:snapToGrid/>
                <w:color w:val="000000"/>
                <w:sz w:val="18"/>
                <w:szCs w:val="18"/>
              </w:rPr>
              <w:t>CBT</w:t>
            </w:r>
          </w:p>
        </w:tc>
        <w:tc>
          <w:tcPr>
            <w:tcW w:w="4050" w:type="dxa"/>
            <w:shd w:val="clear" w:color="auto" w:fill="auto"/>
            <w:tcMar>
              <w:top w:w="29" w:type="dxa"/>
              <w:left w:w="115" w:type="dxa"/>
              <w:bottom w:w="29" w:type="dxa"/>
              <w:right w:w="115" w:type="dxa"/>
            </w:tcMar>
            <w:vAlign w:val="center"/>
          </w:tcPr>
          <w:p w14:paraId="32D69E8D" w14:textId="77777777" w:rsidR="003C2346" w:rsidRPr="004C1EAB" w:rsidRDefault="00F614EB" w:rsidP="008F5D9A">
            <w:pPr>
              <w:widowControl/>
              <w:rPr>
                <w:rFonts w:cs="Arial"/>
                <w:snapToGrid/>
                <w:color w:val="000000"/>
                <w:sz w:val="18"/>
                <w:szCs w:val="18"/>
              </w:rPr>
            </w:pPr>
            <w:r>
              <w:rPr>
                <w:color w:val="000000"/>
                <w:sz w:val="18"/>
              </w:rPr>
              <w:t>Student</w:t>
            </w:r>
            <w:r w:rsidR="003C2346" w:rsidRPr="004F553B">
              <w:rPr>
                <w:color w:val="000000"/>
                <w:sz w:val="18"/>
              </w:rPr>
              <w:t xml:space="preserve">s with significant cognitive disabilities who are unable to take the Smarter Balanced assessments even with accessibility supports and whose </w:t>
            </w:r>
            <w:r w:rsidR="003C2346">
              <w:rPr>
                <w:color w:val="000000"/>
                <w:sz w:val="18"/>
              </w:rPr>
              <w:t>IEP</w:t>
            </w:r>
            <w:r w:rsidR="003C2346" w:rsidRPr="004F553B">
              <w:rPr>
                <w:color w:val="000000"/>
                <w:sz w:val="18"/>
              </w:rPr>
              <w:t xml:space="preserve"> indicates assessment with an alternate test.</w:t>
            </w:r>
          </w:p>
        </w:tc>
        <w:tc>
          <w:tcPr>
            <w:tcW w:w="1260" w:type="dxa"/>
            <w:shd w:val="clear" w:color="auto" w:fill="auto"/>
            <w:vAlign w:val="center"/>
          </w:tcPr>
          <w:p w14:paraId="6E8D4DCD" w14:textId="77777777" w:rsidR="003C2346" w:rsidRPr="004C1EAB" w:rsidRDefault="003C2346" w:rsidP="008F5D9A">
            <w:pPr>
              <w:widowControl/>
              <w:jc w:val="center"/>
              <w:rPr>
                <w:rFonts w:cs="Arial"/>
                <w:snapToGrid/>
                <w:color w:val="000000"/>
                <w:sz w:val="18"/>
                <w:szCs w:val="18"/>
              </w:rPr>
            </w:pPr>
            <w:r w:rsidRPr="004C1EAB">
              <w:rPr>
                <w:rFonts w:cs="Arial"/>
                <w:snapToGrid/>
                <w:color w:val="000000"/>
                <w:sz w:val="18"/>
                <w:szCs w:val="18"/>
              </w:rPr>
              <w:t>3–8 and 11</w:t>
            </w:r>
          </w:p>
        </w:tc>
        <w:tc>
          <w:tcPr>
            <w:tcW w:w="2070" w:type="dxa"/>
            <w:shd w:val="clear" w:color="auto" w:fill="auto"/>
            <w:vAlign w:val="center"/>
          </w:tcPr>
          <w:p w14:paraId="3DEEB5B9" w14:textId="77777777" w:rsidR="003C2346" w:rsidRPr="004C1EAB" w:rsidRDefault="003C2346" w:rsidP="008F5D9A">
            <w:pPr>
              <w:widowControl/>
              <w:spacing w:before="100" w:beforeAutospacing="1" w:after="100" w:afterAutospacing="1"/>
              <w:jc w:val="center"/>
              <w:rPr>
                <w:rFonts w:cs="Arial"/>
                <w:snapToGrid/>
                <w:color w:val="000000"/>
                <w:sz w:val="18"/>
                <w:szCs w:val="18"/>
              </w:rPr>
            </w:pPr>
            <w:r>
              <w:rPr>
                <w:rFonts w:cs="Arial"/>
                <w:snapToGrid/>
                <w:color w:val="000000"/>
                <w:sz w:val="18"/>
                <w:szCs w:val="18"/>
              </w:rPr>
              <w:t xml:space="preserve">ELA and </w:t>
            </w:r>
            <w:r w:rsidR="000A4A2E">
              <w:rPr>
                <w:rFonts w:cs="Arial"/>
                <w:snapToGrid/>
                <w:color w:val="000000"/>
                <w:sz w:val="18"/>
                <w:szCs w:val="18"/>
              </w:rPr>
              <w:t>m</w:t>
            </w:r>
            <w:r w:rsidRPr="004C1EAB">
              <w:rPr>
                <w:rFonts w:cs="Arial"/>
                <w:snapToGrid/>
                <w:color w:val="000000"/>
                <w:sz w:val="18"/>
                <w:szCs w:val="18"/>
              </w:rPr>
              <w:t>athematics</w:t>
            </w:r>
          </w:p>
        </w:tc>
      </w:tr>
      <w:tr w:rsidR="003C2346" w:rsidRPr="00C64273" w14:paraId="733C5D99" w14:textId="77777777" w:rsidTr="004631CC">
        <w:trPr>
          <w:jc w:val="center"/>
        </w:trPr>
        <w:tc>
          <w:tcPr>
            <w:tcW w:w="1255" w:type="dxa"/>
            <w:shd w:val="clear" w:color="auto" w:fill="auto"/>
            <w:vAlign w:val="center"/>
          </w:tcPr>
          <w:p w14:paraId="635AFCAC" w14:textId="77777777" w:rsidR="003C2346" w:rsidRPr="004C1EAB" w:rsidRDefault="003C2346" w:rsidP="008F5D9A">
            <w:pPr>
              <w:widowControl/>
              <w:jc w:val="center"/>
              <w:rPr>
                <w:rFonts w:cs="Arial"/>
                <w:snapToGrid/>
                <w:color w:val="000000"/>
                <w:sz w:val="18"/>
                <w:szCs w:val="18"/>
              </w:rPr>
            </w:pPr>
            <w:r w:rsidRPr="004C1EAB">
              <w:rPr>
                <w:rFonts w:cs="Arial"/>
                <w:snapToGrid/>
                <w:color w:val="000000"/>
                <w:sz w:val="18"/>
                <w:szCs w:val="18"/>
              </w:rPr>
              <w:t>C</w:t>
            </w:r>
            <w:r w:rsidR="00A92143">
              <w:rPr>
                <w:rFonts w:cs="Arial"/>
                <w:snapToGrid/>
                <w:color w:val="000000"/>
                <w:sz w:val="18"/>
                <w:szCs w:val="18"/>
              </w:rPr>
              <w:t>A</w:t>
            </w:r>
            <w:r w:rsidRPr="004C1EAB">
              <w:rPr>
                <w:rFonts w:cs="Arial"/>
                <w:snapToGrid/>
                <w:color w:val="000000"/>
                <w:sz w:val="18"/>
                <w:szCs w:val="18"/>
              </w:rPr>
              <w:t>STs</w:t>
            </w:r>
            <w:r w:rsidR="00A92143">
              <w:rPr>
                <w:rFonts w:cs="Arial"/>
                <w:snapToGrid/>
                <w:color w:val="000000"/>
                <w:sz w:val="18"/>
                <w:szCs w:val="18"/>
              </w:rPr>
              <w:t>—Pilot Test</w:t>
            </w:r>
          </w:p>
        </w:tc>
        <w:tc>
          <w:tcPr>
            <w:tcW w:w="720" w:type="dxa"/>
            <w:shd w:val="clear" w:color="auto" w:fill="auto"/>
            <w:vAlign w:val="center"/>
          </w:tcPr>
          <w:p w14:paraId="349C30D2" w14:textId="77777777" w:rsidR="003C2346" w:rsidRPr="004A5E2C" w:rsidRDefault="00A769ED" w:rsidP="006F2824">
            <w:pPr>
              <w:widowControl/>
              <w:tabs>
                <w:tab w:val="left" w:pos="72"/>
              </w:tabs>
              <w:rPr>
                <w:rFonts w:cs="Arial"/>
                <w:snapToGrid/>
                <w:color w:val="000000"/>
                <w:sz w:val="18"/>
                <w:szCs w:val="18"/>
                <w:vertAlign w:val="superscript"/>
              </w:rPr>
            </w:pPr>
            <w:r>
              <w:rPr>
                <w:rFonts w:cs="Arial"/>
                <w:snapToGrid/>
                <w:color w:val="000000"/>
                <w:sz w:val="18"/>
                <w:szCs w:val="18"/>
              </w:rPr>
              <w:t>CBT</w:t>
            </w:r>
          </w:p>
        </w:tc>
        <w:tc>
          <w:tcPr>
            <w:tcW w:w="4050" w:type="dxa"/>
            <w:shd w:val="clear" w:color="auto" w:fill="auto"/>
            <w:tcMar>
              <w:top w:w="29" w:type="dxa"/>
              <w:left w:w="115" w:type="dxa"/>
              <w:bottom w:w="29" w:type="dxa"/>
              <w:right w:w="115" w:type="dxa"/>
            </w:tcMar>
            <w:vAlign w:val="center"/>
          </w:tcPr>
          <w:p w14:paraId="6709B610" w14:textId="77777777" w:rsidR="003C2346" w:rsidRPr="004C1EAB" w:rsidRDefault="003C2346" w:rsidP="007D7A9D">
            <w:pPr>
              <w:widowControl/>
              <w:rPr>
                <w:rFonts w:cs="Arial"/>
                <w:snapToGrid/>
                <w:color w:val="000000"/>
                <w:sz w:val="18"/>
                <w:szCs w:val="18"/>
              </w:rPr>
            </w:pPr>
            <w:r w:rsidRPr="004C1EAB">
              <w:rPr>
                <w:rFonts w:cs="Arial"/>
                <w:snapToGrid/>
                <w:color w:val="000000"/>
                <w:sz w:val="18"/>
                <w:szCs w:val="18"/>
              </w:rPr>
              <w:t xml:space="preserve">All </w:t>
            </w:r>
            <w:r w:rsidR="00F614EB">
              <w:rPr>
                <w:color w:val="000000"/>
                <w:sz w:val="18"/>
              </w:rPr>
              <w:t>student</w:t>
            </w:r>
            <w:r w:rsidRPr="004C1EAB">
              <w:rPr>
                <w:rFonts w:cs="Arial"/>
                <w:snapToGrid/>
                <w:color w:val="000000"/>
                <w:sz w:val="18"/>
                <w:szCs w:val="18"/>
              </w:rPr>
              <w:t>s</w:t>
            </w:r>
            <w:r w:rsidR="00B20092">
              <w:rPr>
                <w:rFonts w:cs="Arial"/>
                <w:snapToGrid/>
                <w:color w:val="000000"/>
                <w:sz w:val="18"/>
                <w:szCs w:val="18"/>
              </w:rPr>
              <w:t>,</w:t>
            </w:r>
            <w:r w:rsidRPr="004C1EAB">
              <w:rPr>
                <w:rFonts w:cs="Arial"/>
                <w:snapToGrid/>
                <w:color w:val="000000"/>
                <w:sz w:val="18"/>
                <w:szCs w:val="18"/>
              </w:rPr>
              <w:t xml:space="preserve"> unless </w:t>
            </w:r>
            <w:r>
              <w:rPr>
                <w:rFonts w:cs="Arial"/>
                <w:snapToGrid/>
                <w:color w:val="000000"/>
                <w:sz w:val="18"/>
                <w:szCs w:val="18"/>
              </w:rPr>
              <w:t>they have an</w:t>
            </w:r>
            <w:r w:rsidRPr="004C1EAB">
              <w:rPr>
                <w:rFonts w:cs="Arial"/>
                <w:snapToGrid/>
                <w:color w:val="000000"/>
                <w:sz w:val="18"/>
                <w:szCs w:val="18"/>
              </w:rPr>
              <w:t xml:space="preserve"> </w:t>
            </w:r>
            <w:r>
              <w:rPr>
                <w:rFonts w:cs="Arial"/>
                <w:snapToGrid/>
                <w:color w:val="000000"/>
                <w:sz w:val="18"/>
                <w:szCs w:val="18"/>
              </w:rPr>
              <w:t>IEP i</w:t>
            </w:r>
            <w:r w:rsidRPr="004C1EAB">
              <w:rPr>
                <w:rFonts w:cs="Arial"/>
                <w:snapToGrid/>
                <w:color w:val="000000"/>
                <w:sz w:val="18"/>
                <w:szCs w:val="18"/>
              </w:rPr>
              <w:t>ndicat</w:t>
            </w:r>
            <w:r>
              <w:rPr>
                <w:rFonts w:cs="Arial"/>
                <w:snapToGrid/>
                <w:color w:val="000000"/>
                <w:sz w:val="18"/>
                <w:szCs w:val="18"/>
              </w:rPr>
              <w:t>ing</w:t>
            </w:r>
            <w:r w:rsidR="006F2824">
              <w:rPr>
                <w:rFonts w:cs="Arial"/>
                <w:snapToGrid/>
                <w:color w:val="000000"/>
                <w:sz w:val="18"/>
                <w:szCs w:val="18"/>
              </w:rPr>
              <w:t xml:space="preserve"> </w:t>
            </w:r>
            <w:r w:rsidRPr="004C1EAB">
              <w:rPr>
                <w:rFonts w:cs="Arial"/>
                <w:snapToGrid/>
                <w:color w:val="000000"/>
                <w:sz w:val="18"/>
                <w:szCs w:val="18"/>
              </w:rPr>
              <w:t>assessment</w:t>
            </w:r>
            <w:r w:rsidR="007D7A9D">
              <w:rPr>
                <w:rFonts w:cs="Arial"/>
                <w:snapToGrid/>
                <w:color w:val="000000"/>
                <w:sz w:val="18"/>
                <w:szCs w:val="18"/>
              </w:rPr>
              <w:t xml:space="preserve"> with an alternate test </w:t>
            </w:r>
            <w:r w:rsidR="006F2824">
              <w:rPr>
                <w:rFonts w:cs="Arial"/>
                <w:snapToGrid/>
                <w:color w:val="000000"/>
                <w:sz w:val="18"/>
                <w:szCs w:val="18"/>
              </w:rPr>
              <w:t>(i.e., CAA</w:t>
            </w:r>
            <w:r>
              <w:rPr>
                <w:rFonts w:cs="Arial"/>
                <w:snapToGrid/>
                <w:color w:val="000000"/>
                <w:sz w:val="18"/>
                <w:szCs w:val="18"/>
              </w:rPr>
              <w:t xml:space="preserve"> for </w:t>
            </w:r>
            <w:r w:rsidR="006F2824">
              <w:rPr>
                <w:rFonts w:cs="Arial"/>
                <w:snapToGrid/>
                <w:color w:val="000000"/>
                <w:sz w:val="18"/>
                <w:szCs w:val="18"/>
              </w:rPr>
              <w:t>S</w:t>
            </w:r>
            <w:r>
              <w:rPr>
                <w:rFonts w:cs="Arial"/>
                <w:snapToGrid/>
                <w:color w:val="000000"/>
                <w:sz w:val="18"/>
                <w:szCs w:val="18"/>
              </w:rPr>
              <w:t>cience</w:t>
            </w:r>
            <w:r w:rsidR="006F2824">
              <w:rPr>
                <w:rFonts w:cs="Arial"/>
                <w:snapToGrid/>
                <w:color w:val="000000"/>
                <w:sz w:val="18"/>
                <w:szCs w:val="18"/>
              </w:rPr>
              <w:t>)</w:t>
            </w:r>
            <w:r w:rsidRPr="004C1EAB">
              <w:rPr>
                <w:rFonts w:cs="Arial"/>
                <w:snapToGrid/>
                <w:color w:val="000000"/>
                <w:sz w:val="18"/>
                <w:szCs w:val="18"/>
              </w:rPr>
              <w:t>.</w:t>
            </w:r>
          </w:p>
        </w:tc>
        <w:tc>
          <w:tcPr>
            <w:tcW w:w="1260" w:type="dxa"/>
            <w:shd w:val="clear" w:color="auto" w:fill="auto"/>
            <w:vAlign w:val="center"/>
          </w:tcPr>
          <w:p w14:paraId="7A9A727A" w14:textId="77777777" w:rsidR="003C2346" w:rsidRPr="004C1EAB" w:rsidRDefault="003C2346" w:rsidP="00A769ED">
            <w:pPr>
              <w:widowControl/>
              <w:jc w:val="center"/>
              <w:rPr>
                <w:rFonts w:cs="Arial"/>
                <w:snapToGrid/>
                <w:color w:val="000000"/>
                <w:sz w:val="18"/>
                <w:szCs w:val="18"/>
              </w:rPr>
            </w:pPr>
            <w:r w:rsidRPr="00A769ED">
              <w:rPr>
                <w:rFonts w:cs="Arial"/>
                <w:snapToGrid/>
                <w:color w:val="000000"/>
                <w:sz w:val="18"/>
                <w:szCs w:val="18"/>
              </w:rPr>
              <w:t>5</w:t>
            </w:r>
            <w:r w:rsidR="00A92143" w:rsidRPr="00A769ED">
              <w:rPr>
                <w:rFonts w:cs="Arial"/>
                <w:snapToGrid/>
                <w:color w:val="000000"/>
                <w:sz w:val="18"/>
                <w:szCs w:val="18"/>
              </w:rPr>
              <w:t xml:space="preserve"> and</w:t>
            </w:r>
            <w:r w:rsidRPr="00A769ED">
              <w:rPr>
                <w:rFonts w:cs="Arial"/>
                <w:snapToGrid/>
                <w:color w:val="000000"/>
                <w:sz w:val="18"/>
                <w:szCs w:val="18"/>
              </w:rPr>
              <w:t xml:space="preserve"> 8</w:t>
            </w:r>
            <w:r w:rsidR="00A92143" w:rsidRPr="00A769ED">
              <w:rPr>
                <w:rFonts w:cs="Arial"/>
                <w:snapToGrid/>
                <w:color w:val="000000"/>
                <w:sz w:val="18"/>
                <w:szCs w:val="18"/>
              </w:rPr>
              <w:t xml:space="preserve"> and</w:t>
            </w:r>
            <w:r w:rsidR="00A769ED" w:rsidRPr="00A769ED">
              <w:rPr>
                <w:rFonts w:cs="Arial"/>
                <w:snapToGrid/>
                <w:color w:val="000000"/>
                <w:sz w:val="18"/>
                <w:szCs w:val="18"/>
              </w:rPr>
              <w:t xml:space="preserve"> one grade in high school—10, 11, or 12</w:t>
            </w:r>
          </w:p>
        </w:tc>
        <w:tc>
          <w:tcPr>
            <w:tcW w:w="2070" w:type="dxa"/>
            <w:shd w:val="clear" w:color="auto" w:fill="auto"/>
            <w:vAlign w:val="center"/>
          </w:tcPr>
          <w:p w14:paraId="1226BD64" w14:textId="77777777" w:rsidR="003C2346" w:rsidRPr="004C1EAB" w:rsidRDefault="000A4A2E" w:rsidP="008F5D9A">
            <w:pPr>
              <w:widowControl/>
              <w:spacing w:before="100" w:beforeAutospacing="1" w:after="100" w:afterAutospacing="1"/>
              <w:jc w:val="center"/>
              <w:rPr>
                <w:rFonts w:cs="Arial"/>
                <w:snapToGrid/>
                <w:color w:val="000000"/>
                <w:sz w:val="18"/>
                <w:szCs w:val="18"/>
              </w:rPr>
            </w:pPr>
            <w:r>
              <w:rPr>
                <w:rFonts w:cs="Arial"/>
                <w:snapToGrid/>
                <w:color w:val="000000"/>
                <w:sz w:val="18"/>
                <w:szCs w:val="18"/>
              </w:rPr>
              <w:t>s</w:t>
            </w:r>
            <w:r w:rsidR="003C2346" w:rsidRPr="004C1EAB">
              <w:rPr>
                <w:rFonts w:cs="Arial"/>
                <w:snapToGrid/>
                <w:color w:val="000000"/>
                <w:sz w:val="18"/>
                <w:szCs w:val="18"/>
              </w:rPr>
              <w:t>cience</w:t>
            </w:r>
          </w:p>
        </w:tc>
      </w:tr>
      <w:tr w:rsidR="003C2346" w:rsidRPr="00C64273" w14:paraId="2DA3A091" w14:textId="77777777" w:rsidTr="004631CC">
        <w:trPr>
          <w:trHeight w:val="247"/>
          <w:jc w:val="center"/>
        </w:trPr>
        <w:tc>
          <w:tcPr>
            <w:tcW w:w="1255" w:type="dxa"/>
            <w:shd w:val="clear" w:color="auto" w:fill="auto"/>
            <w:vAlign w:val="center"/>
          </w:tcPr>
          <w:p w14:paraId="6DDFA03A" w14:textId="77777777" w:rsidR="003C2346" w:rsidRPr="004C1EAB" w:rsidRDefault="00A92143" w:rsidP="00A92143">
            <w:pPr>
              <w:widowControl/>
              <w:jc w:val="center"/>
              <w:rPr>
                <w:rFonts w:cs="Arial"/>
                <w:snapToGrid/>
                <w:color w:val="000000"/>
                <w:sz w:val="18"/>
                <w:szCs w:val="18"/>
              </w:rPr>
            </w:pPr>
            <w:r>
              <w:rPr>
                <w:rFonts w:cs="Arial"/>
                <w:snapToGrid/>
                <w:color w:val="000000"/>
                <w:sz w:val="18"/>
                <w:szCs w:val="18"/>
              </w:rPr>
              <w:t>CAA for Science—Pilot Test</w:t>
            </w:r>
          </w:p>
        </w:tc>
        <w:tc>
          <w:tcPr>
            <w:tcW w:w="720" w:type="dxa"/>
            <w:shd w:val="clear" w:color="auto" w:fill="auto"/>
            <w:vAlign w:val="center"/>
          </w:tcPr>
          <w:p w14:paraId="3712D5C5" w14:textId="77777777" w:rsidR="00A769ED" w:rsidRDefault="00A769ED" w:rsidP="00A769ED">
            <w:pPr>
              <w:widowControl/>
              <w:tabs>
                <w:tab w:val="left" w:pos="72"/>
              </w:tabs>
              <w:rPr>
                <w:rFonts w:cs="Arial"/>
                <w:snapToGrid/>
                <w:color w:val="000000"/>
                <w:sz w:val="18"/>
                <w:szCs w:val="18"/>
              </w:rPr>
            </w:pPr>
            <w:r>
              <w:rPr>
                <w:rFonts w:cs="Arial"/>
                <w:snapToGrid/>
                <w:color w:val="000000"/>
                <w:sz w:val="18"/>
                <w:szCs w:val="18"/>
              </w:rPr>
              <w:t>CBT</w:t>
            </w:r>
          </w:p>
          <w:p w14:paraId="689FB46A" w14:textId="77777777" w:rsidR="003C2346" w:rsidRPr="004C1EAB" w:rsidRDefault="003C2346" w:rsidP="00DA1BC6">
            <w:pPr>
              <w:widowControl/>
              <w:tabs>
                <w:tab w:val="left" w:pos="72"/>
              </w:tabs>
              <w:rPr>
                <w:rFonts w:cs="Arial"/>
                <w:snapToGrid/>
                <w:color w:val="000000"/>
                <w:sz w:val="18"/>
                <w:szCs w:val="18"/>
              </w:rPr>
            </w:pPr>
          </w:p>
        </w:tc>
        <w:tc>
          <w:tcPr>
            <w:tcW w:w="4050" w:type="dxa"/>
            <w:shd w:val="clear" w:color="auto" w:fill="auto"/>
            <w:tcMar>
              <w:top w:w="29" w:type="dxa"/>
              <w:left w:w="115" w:type="dxa"/>
              <w:bottom w:w="29" w:type="dxa"/>
              <w:right w:w="115" w:type="dxa"/>
            </w:tcMar>
            <w:vAlign w:val="center"/>
          </w:tcPr>
          <w:p w14:paraId="51D93C25" w14:textId="77777777" w:rsidR="003C2346" w:rsidRPr="004C1EAB" w:rsidRDefault="00F614EB" w:rsidP="00BF0304">
            <w:pPr>
              <w:widowControl/>
              <w:rPr>
                <w:rFonts w:cs="Arial"/>
                <w:snapToGrid/>
                <w:color w:val="000000"/>
                <w:sz w:val="18"/>
                <w:szCs w:val="18"/>
              </w:rPr>
            </w:pPr>
            <w:r>
              <w:rPr>
                <w:color w:val="000000"/>
                <w:sz w:val="18"/>
              </w:rPr>
              <w:t>Student</w:t>
            </w:r>
            <w:r w:rsidR="003C2346" w:rsidRPr="004C1EAB">
              <w:rPr>
                <w:rFonts w:cs="Arial"/>
                <w:snapToGrid/>
                <w:color w:val="000000"/>
                <w:sz w:val="18"/>
                <w:szCs w:val="18"/>
              </w:rPr>
              <w:t>s with disabilities</w:t>
            </w:r>
            <w:r w:rsidR="003C2346">
              <w:rPr>
                <w:rFonts w:cs="Arial"/>
                <w:snapToGrid/>
                <w:color w:val="000000"/>
                <w:sz w:val="18"/>
                <w:szCs w:val="18"/>
              </w:rPr>
              <w:t xml:space="preserve"> whose IEP </w:t>
            </w:r>
            <w:r w:rsidR="003C2346" w:rsidRPr="004C1EAB">
              <w:rPr>
                <w:rFonts w:cs="Arial"/>
                <w:snapToGrid/>
                <w:color w:val="000000"/>
                <w:sz w:val="18"/>
                <w:szCs w:val="18"/>
              </w:rPr>
              <w:t>indicates assessment with</w:t>
            </w:r>
            <w:r w:rsidR="00BF0304">
              <w:rPr>
                <w:rFonts w:cs="Arial"/>
                <w:snapToGrid/>
                <w:color w:val="000000"/>
                <w:sz w:val="18"/>
                <w:szCs w:val="18"/>
              </w:rPr>
              <w:t xml:space="preserve"> an alternate test (i.e.,</w:t>
            </w:r>
            <w:r w:rsidR="003C2346">
              <w:rPr>
                <w:rFonts w:cs="Arial"/>
                <w:snapToGrid/>
                <w:color w:val="000000"/>
                <w:sz w:val="18"/>
                <w:szCs w:val="18"/>
              </w:rPr>
              <w:t xml:space="preserve"> </w:t>
            </w:r>
            <w:r w:rsidR="003C2346" w:rsidRPr="004C1EAB">
              <w:rPr>
                <w:rFonts w:cs="Arial"/>
                <w:snapToGrid/>
                <w:color w:val="000000"/>
                <w:sz w:val="18"/>
                <w:szCs w:val="18"/>
              </w:rPr>
              <w:t>C</w:t>
            </w:r>
            <w:r w:rsidR="00A92143">
              <w:rPr>
                <w:rFonts w:cs="Arial"/>
                <w:snapToGrid/>
                <w:color w:val="000000"/>
                <w:sz w:val="18"/>
                <w:szCs w:val="18"/>
              </w:rPr>
              <w:t>AA</w:t>
            </w:r>
            <w:r w:rsidR="003C2346">
              <w:rPr>
                <w:rFonts w:cs="Arial"/>
                <w:snapToGrid/>
                <w:color w:val="000000"/>
                <w:sz w:val="18"/>
                <w:szCs w:val="18"/>
              </w:rPr>
              <w:t xml:space="preserve"> for </w:t>
            </w:r>
            <w:r w:rsidR="00BF0304">
              <w:rPr>
                <w:rFonts w:cs="Arial"/>
                <w:snapToGrid/>
                <w:color w:val="000000"/>
                <w:sz w:val="18"/>
                <w:szCs w:val="18"/>
              </w:rPr>
              <w:t>S</w:t>
            </w:r>
            <w:r w:rsidR="003C2346">
              <w:rPr>
                <w:rFonts w:cs="Arial"/>
                <w:snapToGrid/>
                <w:color w:val="000000"/>
                <w:sz w:val="18"/>
                <w:szCs w:val="18"/>
              </w:rPr>
              <w:t>cience</w:t>
            </w:r>
            <w:r w:rsidR="00BF0304">
              <w:rPr>
                <w:rFonts w:cs="Arial"/>
                <w:snapToGrid/>
                <w:color w:val="000000"/>
                <w:sz w:val="18"/>
                <w:szCs w:val="18"/>
              </w:rPr>
              <w:t>)</w:t>
            </w:r>
            <w:r w:rsidR="003C2346" w:rsidRPr="004C1EAB">
              <w:rPr>
                <w:rFonts w:cs="Arial"/>
                <w:snapToGrid/>
                <w:color w:val="000000"/>
                <w:sz w:val="18"/>
                <w:szCs w:val="18"/>
              </w:rPr>
              <w:t>.</w:t>
            </w:r>
          </w:p>
        </w:tc>
        <w:tc>
          <w:tcPr>
            <w:tcW w:w="1260" w:type="dxa"/>
            <w:shd w:val="clear" w:color="auto" w:fill="auto"/>
            <w:vAlign w:val="center"/>
          </w:tcPr>
          <w:p w14:paraId="15E53807" w14:textId="77777777" w:rsidR="003C2346" w:rsidRPr="00A769ED" w:rsidRDefault="00A769ED" w:rsidP="008F5D9A">
            <w:pPr>
              <w:widowControl/>
              <w:jc w:val="center"/>
              <w:rPr>
                <w:rFonts w:cs="Arial"/>
                <w:snapToGrid/>
                <w:color w:val="000000"/>
                <w:sz w:val="18"/>
                <w:szCs w:val="18"/>
                <w:highlight w:val="yellow"/>
              </w:rPr>
            </w:pPr>
            <w:r w:rsidRPr="00A769ED">
              <w:rPr>
                <w:rFonts w:cs="Arial"/>
                <w:snapToGrid/>
                <w:color w:val="000000"/>
                <w:sz w:val="18"/>
                <w:szCs w:val="18"/>
              </w:rPr>
              <w:t>5 and</w:t>
            </w:r>
            <w:r w:rsidRPr="00405E9D">
              <w:rPr>
                <w:rFonts w:cs="Arial"/>
                <w:snapToGrid/>
                <w:color w:val="000000"/>
                <w:sz w:val="18"/>
                <w:szCs w:val="18"/>
              </w:rPr>
              <w:t xml:space="preserve"> 8 and</w:t>
            </w:r>
            <w:r w:rsidRPr="00A769ED">
              <w:rPr>
                <w:rFonts w:cs="Arial"/>
                <w:snapToGrid/>
                <w:color w:val="000000"/>
                <w:sz w:val="18"/>
                <w:szCs w:val="18"/>
              </w:rPr>
              <w:t xml:space="preserve"> one grade in high school—10, 11, or 12</w:t>
            </w:r>
          </w:p>
        </w:tc>
        <w:tc>
          <w:tcPr>
            <w:tcW w:w="2070" w:type="dxa"/>
            <w:shd w:val="clear" w:color="auto" w:fill="auto"/>
            <w:vAlign w:val="center"/>
          </w:tcPr>
          <w:p w14:paraId="15A31D31" w14:textId="77777777" w:rsidR="003C2346" w:rsidRPr="00A769ED" w:rsidRDefault="000A4A2E" w:rsidP="008F5D9A">
            <w:pPr>
              <w:widowControl/>
              <w:jc w:val="center"/>
              <w:rPr>
                <w:rFonts w:cs="Arial"/>
                <w:snapToGrid/>
                <w:color w:val="000000"/>
                <w:sz w:val="18"/>
                <w:szCs w:val="18"/>
                <w:highlight w:val="yellow"/>
              </w:rPr>
            </w:pPr>
            <w:r w:rsidRPr="00DA1BC6">
              <w:rPr>
                <w:rFonts w:cs="Arial"/>
                <w:snapToGrid/>
                <w:color w:val="000000"/>
                <w:sz w:val="18"/>
                <w:szCs w:val="18"/>
              </w:rPr>
              <w:t>s</w:t>
            </w:r>
            <w:r w:rsidR="003C2346" w:rsidRPr="00DA1BC6">
              <w:rPr>
                <w:rFonts w:cs="Arial"/>
                <w:snapToGrid/>
                <w:color w:val="000000"/>
                <w:sz w:val="18"/>
                <w:szCs w:val="18"/>
              </w:rPr>
              <w:t>cience</w:t>
            </w:r>
          </w:p>
        </w:tc>
      </w:tr>
    </w:tbl>
    <w:p w14:paraId="7953A441" w14:textId="77777777" w:rsidR="003C2346" w:rsidRPr="00C401B1" w:rsidRDefault="003C2346" w:rsidP="003C2346">
      <w:pPr>
        <w:tabs>
          <w:tab w:val="left" w:pos="540"/>
        </w:tabs>
        <w:spacing w:before="120"/>
        <w:ind w:left="360"/>
        <w:rPr>
          <w:rFonts w:cs="Arial"/>
          <w:sz w:val="18"/>
          <w:szCs w:val="18"/>
        </w:rPr>
      </w:pPr>
      <w:r w:rsidRPr="00C401B1">
        <w:rPr>
          <w:sz w:val="18"/>
          <w:szCs w:val="18"/>
          <w:vertAlign w:val="superscript"/>
        </w:rPr>
        <w:t>1</w:t>
      </w:r>
      <w:r>
        <w:rPr>
          <w:sz w:val="18"/>
          <w:szCs w:val="18"/>
          <w:vertAlign w:val="superscript"/>
        </w:rPr>
        <w:tab/>
      </w:r>
      <w:r w:rsidRPr="00C401B1">
        <w:rPr>
          <w:sz w:val="18"/>
          <w:szCs w:val="18"/>
        </w:rPr>
        <w:t xml:space="preserve">CBT = Computer-based </w:t>
      </w:r>
      <w:r w:rsidRPr="00C401B1">
        <w:rPr>
          <w:rFonts w:cs="Arial"/>
          <w:sz w:val="18"/>
          <w:szCs w:val="18"/>
        </w:rPr>
        <w:t>testing</w:t>
      </w:r>
      <w:r>
        <w:rPr>
          <w:rFonts w:cs="Arial"/>
          <w:sz w:val="18"/>
          <w:szCs w:val="18"/>
        </w:rPr>
        <w:t>.</w:t>
      </w:r>
    </w:p>
    <w:p w14:paraId="18D139B1" w14:textId="77777777" w:rsidR="003C2346" w:rsidRDefault="003C2346" w:rsidP="00276CA4">
      <w:pPr>
        <w:tabs>
          <w:tab w:val="left" w:pos="540"/>
        </w:tabs>
        <w:spacing w:before="60"/>
        <w:ind w:left="540" w:hanging="180"/>
        <w:rPr>
          <w:rFonts w:cs="Arial"/>
          <w:sz w:val="18"/>
          <w:szCs w:val="18"/>
        </w:rPr>
      </w:pPr>
      <w:r>
        <w:rPr>
          <w:rFonts w:cs="Arial"/>
          <w:sz w:val="18"/>
          <w:szCs w:val="18"/>
          <w:vertAlign w:val="superscript"/>
        </w:rPr>
        <w:t>2</w:t>
      </w:r>
      <w:r>
        <w:rPr>
          <w:rFonts w:cs="Arial"/>
          <w:sz w:val="18"/>
          <w:szCs w:val="18"/>
        </w:rPr>
        <w:tab/>
        <w:t xml:space="preserve">Grade eleven </w:t>
      </w:r>
      <w:r w:rsidRPr="00C401B1">
        <w:rPr>
          <w:rFonts w:cs="Arial"/>
          <w:sz w:val="18"/>
          <w:szCs w:val="18"/>
        </w:rPr>
        <w:t xml:space="preserve">Smarter </w:t>
      </w:r>
      <w:r>
        <w:rPr>
          <w:rFonts w:cs="Arial"/>
          <w:sz w:val="18"/>
          <w:szCs w:val="18"/>
        </w:rPr>
        <w:t xml:space="preserve">Balanced </w:t>
      </w:r>
      <w:r w:rsidR="00C81327">
        <w:rPr>
          <w:rFonts w:cs="Arial"/>
          <w:sz w:val="18"/>
          <w:szCs w:val="18"/>
        </w:rPr>
        <w:t xml:space="preserve">Summative </w:t>
      </w:r>
      <w:r w:rsidR="00A440C7">
        <w:rPr>
          <w:rFonts w:cs="Arial"/>
          <w:sz w:val="18"/>
          <w:szCs w:val="18"/>
        </w:rPr>
        <w:t xml:space="preserve">Assessment </w:t>
      </w:r>
      <w:r>
        <w:rPr>
          <w:rFonts w:cs="Arial"/>
          <w:sz w:val="18"/>
          <w:szCs w:val="18"/>
        </w:rPr>
        <w:t xml:space="preserve">results will be used for </w:t>
      </w:r>
      <w:r w:rsidRPr="00C401B1">
        <w:rPr>
          <w:rFonts w:cs="Arial"/>
          <w:sz w:val="18"/>
          <w:szCs w:val="18"/>
        </w:rPr>
        <w:t>the Early Assessment</w:t>
      </w:r>
      <w:r>
        <w:rPr>
          <w:rFonts w:cs="Arial"/>
          <w:sz w:val="18"/>
          <w:szCs w:val="18"/>
        </w:rPr>
        <w:t xml:space="preserve"> Progr</w:t>
      </w:r>
      <w:r w:rsidR="00905C02">
        <w:rPr>
          <w:rFonts w:cs="Arial"/>
          <w:sz w:val="18"/>
          <w:szCs w:val="18"/>
        </w:rPr>
        <w:t>am (EAP) in collaboration with t</w:t>
      </w:r>
      <w:r>
        <w:rPr>
          <w:rFonts w:cs="Arial"/>
          <w:sz w:val="18"/>
          <w:szCs w:val="18"/>
        </w:rPr>
        <w:t>he California State University</w:t>
      </w:r>
      <w:r w:rsidR="00614E25">
        <w:rPr>
          <w:rFonts w:cs="Arial"/>
          <w:sz w:val="18"/>
          <w:szCs w:val="18"/>
        </w:rPr>
        <w:t xml:space="preserve"> and participating California Community Colleges</w:t>
      </w:r>
      <w:r w:rsidR="00276CA4">
        <w:rPr>
          <w:rFonts w:cs="Arial"/>
          <w:sz w:val="18"/>
          <w:szCs w:val="18"/>
        </w:rPr>
        <w:t>.</w:t>
      </w:r>
    </w:p>
    <w:p w14:paraId="2D9EFA51" w14:textId="77777777" w:rsidR="003C2346" w:rsidRDefault="00495451" w:rsidP="007F27A0">
      <w:pPr>
        <w:keepNext/>
        <w:keepLines/>
        <w:tabs>
          <w:tab w:val="left" w:pos="360"/>
        </w:tabs>
        <w:jc w:val="both"/>
        <w:rPr>
          <w:rFonts w:cs="Arial"/>
          <w:szCs w:val="24"/>
        </w:rPr>
      </w:pPr>
      <w:r w:rsidRPr="004631CC">
        <w:rPr>
          <w:rFonts w:cs="Arial"/>
          <w:b/>
          <w:szCs w:val="24"/>
        </w:rPr>
        <w:lastRenderedPageBreak/>
        <w:t>T</w:t>
      </w:r>
      <w:r w:rsidR="003C2346" w:rsidRPr="004631CC">
        <w:rPr>
          <w:rFonts w:cs="Arial"/>
          <w:b/>
          <w:szCs w:val="24"/>
        </w:rPr>
        <w:t>able 2.</w:t>
      </w:r>
      <w:r w:rsidR="003C2346" w:rsidRPr="007F27A0">
        <w:rPr>
          <w:rFonts w:cs="Arial"/>
          <w:szCs w:val="24"/>
        </w:rPr>
        <w:t xml:space="preserve"> Optional CAASPP Assessments Available in 201</w:t>
      </w:r>
      <w:r w:rsidR="00A92143">
        <w:rPr>
          <w:rFonts w:cs="Arial"/>
          <w:szCs w:val="24"/>
        </w:rPr>
        <w:t>6</w:t>
      </w:r>
      <w:r w:rsidR="003C2346" w:rsidRPr="007F27A0">
        <w:rPr>
          <w:rFonts w:cs="Arial"/>
          <w:szCs w:val="24"/>
        </w:rPr>
        <w:t>–1</w:t>
      </w:r>
      <w:r w:rsidR="00A92143">
        <w:rPr>
          <w:rFonts w:cs="Arial"/>
          <w:szCs w:val="24"/>
        </w:rPr>
        <w:t>7</w:t>
      </w:r>
      <w:r w:rsidR="00A440C7">
        <w:rPr>
          <w:rFonts w:cs="Arial"/>
          <w:szCs w:val="24"/>
        </w:rPr>
        <w:t xml:space="preserve">, </w:t>
      </w:r>
      <w:r w:rsidR="00F67F0C">
        <w:rPr>
          <w:rFonts w:cs="Arial"/>
        </w:rPr>
        <w:t>by Grade and Content A</w:t>
      </w:r>
      <w:r w:rsidR="00A440C7">
        <w:rPr>
          <w:rFonts w:cs="Arial"/>
        </w:rPr>
        <w:t>rea.</w:t>
      </w:r>
    </w:p>
    <w:p w14:paraId="46F5C60C" w14:textId="77777777" w:rsidR="000A4A2E" w:rsidRPr="000A4A2E" w:rsidRDefault="000A4A2E" w:rsidP="007F27A0">
      <w:pPr>
        <w:keepNext/>
        <w:keepLines/>
        <w:tabs>
          <w:tab w:val="left" w:pos="360"/>
        </w:tabs>
        <w:jc w:val="both"/>
      </w:pPr>
    </w:p>
    <w:p w14:paraId="5DBBA548" w14:textId="77777777" w:rsidR="003C2346" w:rsidRPr="00715476" w:rsidRDefault="003C2346" w:rsidP="003C2346">
      <w:pPr>
        <w:keepNext/>
        <w:keepLines/>
        <w:rPr>
          <w:sz w:val="8"/>
          <w:szCs w:val="8"/>
        </w:rPr>
      </w:pPr>
    </w:p>
    <w:tbl>
      <w:tblPr>
        <w:tblW w:w="94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47"/>
        <w:gridCol w:w="630"/>
        <w:gridCol w:w="4140"/>
        <w:gridCol w:w="1260"/>
        <w:gridCol w:w="2070"/>
      </w:tblGrid>
      <w:tr w:rsidR="003C2346" w:rsidRPr="00C64273" w14:paraId="3AF910F4" w14:textId="77777777" w:rsidTr="008F5D9A">
        <w:trPr>
          <w:trHeight w:val="75"/>
          <w:jc w:val="center"/>
        </w:trPr>
        <w:tc>
          <w:tcPr>
            <w:tcW w:w="1347" w:type="dxa"/>
            <w:shd w:val="clear" w:color="auto" w:fill="B8CCE4"/>
            <w:vAlign w:val="center"/>
          </w:tcPr>
          <w:p w14:paraId="02C09CB8" w14:textId="77777777" w:rsidR="003C2346" w:rsidRPr="00C64273" w:rsidRDefault="003C2346" w:rsidP="008F5D9A">
            <w:pPr>
              <w:keepNext/>
              <w:keepLines/>
              <w:widowControl/>
              <w:ind w:right="49"/>
              <w:jc w:val="center"/>
              <w:rPr>
                <w:rFonts w:cs="Arial"/>
                <w:b/>
                <w:sz w:val="20"/>
              </w:rPr>
            </w:pPr>
            <w:r w:rsidRPr="00C64273">
              <w:rPr>
                <w:rFonts w:cs="Arial"/>
                <w:b/>
                <w:sz w:val="20"/>
              </w:rPr>
              <w:t>Test</w:t>
            </w:r>
            <w:r>
              <w:rPr>
                <w:rFonts w:cs="Arial"/>
                <w:b/>
                <w:sz w:val="20"/>
              </w:rPr>
              <w:t>/Tool</w:t>
            </w:r>
          </w:p>
        </w:tc>
        <w:tc>
          <w:tcPr>
            <w:tcW w:w="630" w:type="dxa"/>
            <w:shd w:val="clear" w:color="auto" w:fill="B8CCE4"/>
            <w:vAlign w:val="center"/>
          </w:tcPr>
          <w:p w14:paraId="3248DEFD" w14:textId="77777777" w:rsidR="003C2346" w:rsidRPr="00C64273" w:rsidRDefault="003C2346" w:rsidP="008F5D9A">
            <w:pPr>
              <w:keepNext/>
              <w:keepLines/>
              <w:widowControl/>
              <w:tabs>
                <w:tab w:val="left" w:pos="545"/>
              </w:tabs>
              <w:ind w:right="-77"/>
              <w:jc w:val="center"/>
              <w:rPr>
                <w:rFonts w:cs="Arial"/>
                <w:b/>
                <w:sz w:val="20"/>
              </w:rPr>
            </w:pPr>
            <w:r w:rsidRPr="00C64273">
              <w:rPr>
                <w:rFonts w:cs="Arial"/>
                <w:b/>
                <w:sz w:val="20"/>
              </w:rPr>
              <w:t>Type</w:t>
            </w:r>
          </w:p>
        </w:tc>
        <w:tc>
          <w:tcPr>
            <w:tcW w:w="4140" w:type="dxa"/>
            <w:shd w:val="clear" w:color="auto" w:fill="B8CCE4"/>
            <w:vAlign w:val="center"/>
          </w:tcPr>
          <w:p w14:paraId="309F66D5" w14:textId="77777777" w:rsidR="003C2346" w:rsidRPr="00C64273" w:rsidRDefault="00F614EB" w:rsidP="008F5D9A">
            <w:pPr>
              <w:keepNext/>
              <w:keepLines/>
              <w:widowControl/>
              <w:ind w:right="114"/>
              <w:jc w:val="center"/>
              <w:rPr>
                <w:rFonts w:cs="Arial"/>
                <w:b/>
                <w:sz w:val="20"/>
              </w:rPr>
            </w:pPr>
            <w:r>
              <w:rPr>
                <w:rFonts w:cs="Arial"/>
                <w:b/>
                <w:sz w:val="20"/>
              </w:rPr>
              <w:t>Student</w:t>
            </w:r>
            <w:r w:rsidR="003C2346" w:rsidRPr="00C64273">
              <w:rPr>
                <w:rFonts w:cs="Arial"/>
                <w:b/>
                <w:sz w:val="20"/>
              </w:rPr>
              <w:t>s</w:t>
            </w:r>
          </w:p>
        </w:tc>
        <w:tc>
          <w:tcPr>
            <w:tcW w:w="1260" w:type="dxa"/>
            <w:shd w:val="clear" w:color="auto" w:fill="B8CCE4"/>
            <w:vAlign w:val="center"/>
          </w:tcPr>
          <w:p w14:paraId="6E38B877" w14:textId="77777777" w:rsidR="003C2346" w:rsidRPr="00C64273" w:rsidRDefault="003C2346" w:rsidP="008F5D9A">
            <w:pPr>
              <w:keepNext/>
              <w:keepLines/>
              <w:widowControl/>
              <w:ind w:right="40"/>
              <w:jc w:val="center"/>
              <w:rPr>
                <w:rFonts w:cs="Arial"/>
                <w:b/>
                <w:sz w:val="20"/>
              </w:rPr>
            </w:pPr>
            <w:r w:rsidRPr="00C64273">
              <w:rPr>
                <w:rFonts w:cs="Arial"/>
                <w:b/>
                <w:sz w:val="20"/>
              </w:rPr>
              <w:t>Grade</w:t>
            </w:r>
          </w:p>
        </w:tc>
        <w:tc>
          <w:tcPr>
            <w:tcW w:w="2070" w:type="dxa"/>
            <w:shd w:val="clear" w:color="auto" w:fill="B8CCE4"/>
            <w:vAlign w:val="center"/>
          </w:tcPr>
          <w:p w14:paraId="1109AB30" w14:textId="77777777" w:rsidR="003C2346" w:rsidRPr="00C64273" w:rsidRDefault="003C2346" w:rsidP="008F5D9A">
            <w:pPr>
              <w:keepNext/>
              <w:keepLines/>
              <w:widowControl/>
              <w:jc w:val="center"/>
              <w:rPr>
                <w:rFonts w:cs="Arial"/>
                <w:b/>
                <w:sz w:val="20"/>
              </w:rPr>
            </w:pPr>
            <w:r w:rsidRPr="00C64273">
              <w:rPr>
                <w:rFonts w:cs="Arial"/>
                <w:b/>
                <w:sz w:val="20"/>
              </w:rPr>
              <w:t>Content Area</w:t>
            </w:r>
          </w:p>
        </w:tc>
      </w:tr>
      <w:tr w:rsidR="003C2346" w:rsidRPr="00C64273" w14:paraId="2C9E20BA" w14:textId="77777777" w:rsidTr="008F5D9A">
        <w:trPr>
          <w:trHeight w:val="85"/>
          <w:jc w:val="center"/>
        </w:trPr>
        <w:tc>
          <w:tcPr>
            <w:tcW w:w="1347" w:type="dxa"/>
            <w:shd w:val="clear" w:color="auto" w:fill="auto"/>
            <w:vAlign w:val="center"/>
          </w:tcPr>
          <w:p w14:paraId="000C232E" w14:textId="77777777" w:rsidR="003C2346" w:rsidRPr="00F73B2C" w:rsidRDefault="003C2346">
            <w:pPr>
              <w:keepNext/>
              <w:keepLines/>
              <w:widowControl/>
              <w:jc w:val="center"/>
              <w:rPr>
                <w:rFonts w:cs="Arial"/>
                <w:snapToGrid/>
                <w:color w:val="000000"/>
                <w:sz w:val="18"/>
                <w:szCs w:val="18"/>
              </w:rPr>
            </w:pPr>
            <w:r w:rsidRPr="00F73B2C">
              <w:rPr>
                <w:rFonts w:cs="Arial"/>
                <w:snapToGrid/>
                <w:color w:val="000000"/>
                <w:sz w:val="18"/>
                <w:szCs w:val="18"/>
              </w:rPr>
              <w:t xml:space="preserve">Smarter Balanced </w:t>
            </w:r>
            <w:r w:rsidR="00B2243F">
              <w:rPr>
                <w:rFonts w:cs="Arial"/>
                <w:snapToGrid/>
                <w:color w:val="000000"/>
                <w:sz w:val="18"/>
                <w:szCs w:val="18"/>
              </w:rPr>
              <w:t>F</w:t>
            </w:r>
            <w:r w:rsidRPr="00F73B2C">
              <w:rPr>
                <w:rFonts w:cs="Arial"/>
                <w:snapToGrid/>
                <w:color w:val="000000"/>
                <w:sz w:val="18"/>
                <w:szCs w:val="18"/>
              </w:rPr>
              <w:t>ormative</w:t>
            </w:r>
            <w:r w:rsidR="00B2243F">
              <w:rPr>
                <w:rFonts w:cs="Arial"/>
                <w:snapToGrid/>
                <w:color w:val="000000"/>
                <w:sz w:val="18"/>
                <w:szCs w:val="18"/>
              </w:rPr>
              <w:t xml:space="preserve"> Assessment</w:t>
            </w:r>
            <w:r>
              <w:rPr>
                <w:rFonts w:cs="Arial"/>
                <w:snapToGrid/>
                <w:color w:val="000000"/>
                <w:sz w:val="18"/>
                <w:szCs w:val="18"/>
              </w:rPr>
              <w:t xml:space="preserve"> </w:t>
            </w:r>
            <w:r w:rsidR="000A4A2E">
              <w:rPr>
                <w:rFonts w:cs="Arial"/>
                <w:snapToGrid/>
                <w:color w:val="000000"/>
                <w:sz w:val="18"/>
                <w:szCs w:val="18"/>
              </w:rPr>
              <w:t>t</w:t>
            </w:r>
            <w:r>
              <w:rPr>
                <w:rFonts w:cs="Arial"/>
                <w:snapToGrid/>
                <w:color w:val="000000"/>
                <w:sz w:val="18"/>
                <w:szCs w:val="18"/>
              </w:rPr>
              <w:t>ools</w:t>
            </w:r>
          </w:p>
        </w:tc>
        <w:tc>
          <w:tcPr>
            <w:tcW w:w="630" w:type="dxa"/>
            <w:shd w:val="clear" w:color="auto" w:fill="auto"/>
            <w:vAlign w:val="center"/>
          </w:tcPr>
          <w:p w14:paraId="6CAE5A93" w14:textId="77777777" w:rsidR="003C2346" w:rsidRPr="00F73B2C" w:rsidRDefault="003C2346" w:rsidP="008F5D9A">
            <w:pPr>
              <w:keepNext/>
              <w:keepLines/>
              <w:widowControl/>
              <w:jc w:val="center"/>
              <w:rPr>
                <w:rFonts w:cs="Arial"/>
                <w:snapToGrid/>
                <w:color w:val="000000"/>
                <w:sz w:val="18"/>
                <w:szCs w:val="18"/>
              </w:rPr>
            </w:pPr>
            <w:r>
              <w:rPr>
                <w:rFonts w:cs="Arial"/>
                <w:snapToGrid/>
                <w:color w:val="000000"/>
                <w:sz w:val="18"/>
                <w:szCs w:val="18"/>
              </w:rPr>
              <w:t>N/A</w:t>
            </w:r>
          </w:p>
        </w:tc>
        <w:tc>
          <w:tcPr>
            <w:tcW w:w="4140" w:type="dxa"/>
            <w:shd w:val="clear" w:color="auto" w:fill="auto"/>
            <w:tcMar>
              <w:top w:w="29" w:type="dxa"/>
              <w:left w:w="115" w:type="dxa"/>
              <w:bottom w:w="29" w:type="dxa"/>
              <w:right w:w="115" w:type="dxa"/>
            </w:tcMar>
            <w:vAlign w:val="center"/>
          </w:tcPr>
          <w:p w14:paraId="77D5A273" w14:textId="77777777" w:rsidR="003C2346" w:rsidRPr="00BA412F" w:rsidRDefault="003C2346" w:rsidP="00BB4350">
            <w:pPr>
              <w:keepNext/>
              <w:keepLines/>
              <w:widowControl/>
              <w:rPr>
                <w:rFonts w:cs="Arial"/>
                <w:snapToGrid/>
                <w:color w:val="000000"/>
                <w:sz w:val="18"/>
                <w:szCs w:val="18"/>
              </w:rPr>
            </w:pPr>
            <w:r w:rsidRPr="00BA412F">
              <w:rPr>
                <w:rFonts w:cs="Arial"/>
                <w:snapToGrid/>
                <w:color w:val="000000"/>
                <w:sz w:val="18"/>
                <w:szCs w:val="18"/>
              </w:rPr>
              <w:t>A</w:t>
            </w:r>
            <w:r w:rsidR="00BB4350" w:rsidRPr="00BA412F">
              <w:rPr>
                <w:rFonts w:cs="Arial"/>
                <w:snapToGrid/>
                <w:color w:val="000000"/>
                <w:sz w:val="18"/>
                <w:szCs w:val="18"/>
              </w:rPr>
              <w:t>ll</w:t>
            </w:r>
            <w:r w:rsidRPr="00BA412F">
              <w:rPr>
                <w:rFonts w:cs="Arial"/>
                <w:snapToGrid/>
                <w:color w:val="000000"/>
                <w:sz w:val="18"/>
                <w:szCs w:val="18"/>
              </w:rPr>
              <w:t xml:space="preserve"> </w:t>
            </w:r>
            <w:r w:rsidR="00F614EB" w:rsidRPr="00BA412F">
              <w:rPr>
                <w:rFonts w:cs="Arial"/>
                <w:snapToGrid/>
                <w:color w:val="000000"/>
                <w:sz w:val="18"/>
                <w:szCs w:val="18"/>
              </w:rPr>
              <w:t>student</w:t>
            </w:r>
            <w:r w:rsidR="00BB4350" w:rsidRPr="00BA412F">
              <w:rPr>
                <w:rFonts w:cs="Arial"/>
                <w:snapToGrid/>
                <w:color w:val="000000"/>
                <w:sz w:val="18"/>
                <w:szCs w:val="18"/>
              </w:rPr>
              <w:t>s</w:t>
            </w:r>
            <w:r w:rsidR="00871205" w:rsidRPr="00BA412F">
              <w:rPr>
                <w:rFonts w:cs="Arial"/>
                <w:snapToGrid/>
                <w:color w:val="000000"/>
                <w:sz w:val="18"/>
                <w:szCs w:val="18"/>
              </w:rPr>
              <w:t>.</w:t>
            </w:r>
          </w:p>
        </w:tc>
        <w:tc>
          <w:tcPr>
            <w:tcW w:w="1260" w:type="dxa"/>
            <w:shd w:val="clear" w:color="auto" w:fill="auto"/>
            <w:vAlign w:val="center"/>
          </w:tcPr>
          <w:p w14:paraId="59C616BA" w14:textId="77777777" w:rsidR="003C2346" w:rsidRPr="00F73B2C" w:rsidRDefault="003C2346" w:rsidP="008F5D9A">
            <w:pPr>
              <w:keepNext/>
              <w:keepLines/>
              <w:widowControl/>
              <w:jc w:val="center"/>
              <w:rPr>
                <w:rFonts w:cs="Arial"/>
                <w:snapToGrid/>
                <w:color w:val="000000"/>
                <w:sz w:val="18"/>
                <w:szCs w:val="18"/>
              </w:rPr>
            </w:pPr>
            <w:r w:rsidRPr="00F73B2C">
              <w:rPr>
                <w:rFonts w:cs="Arial"/>
                <w:snapToGrid/>
                <w:color w:val="000000"/>
                <w:sz w:val="18"/>
                <w:szCs w:val="18"/>
              </w:rPr>
              <w:t>K–12</w:t>
            </w:r>
          </w:p>
        </w:tc>
        <w:tc>
          <w:tcPr>
            <w:tcW w:w="2070" w:type="dxa"/>
            <w:shd w:val="clear" w:color="auto" w:fill="auto"/>
            <w:vAlign w:val="center"/>
          </w:tcPr>
          <w:p w14:paraId="1F62CEA4" w14:textId="77777777" w:rsidR="003C2346" w:rsidRPr="00F73B2C" w:rsidRDefault="003C2346" w:rsidP="008F5D9A">
            <w:pPr>
              <w:keepNext/>
              <w:keepLines/>
              <w:widowControl/>
              <w:jc w:val="center"/>
              <w:rPr>
                <w:rFonts w:cs="Arial"/>
                <w:snapToGrid/>
                <w:color w:val="000000"/>
                <w:sz w:val="18"/>
                <w:szCs w:val="18"/>
              </w:rPr>
            </w:pPr>
            <w:r w:rsidRPr="00F73B2C">
              <w:rPr>
                <w:rFonts w:cs="Arial"/>
                <w:snapToGrid/>
                <w:color w:val="000000"/>
                <w:sz w:val="18"/>
                <w:szCs w:val="18"/>
              </w:rPr>
              <w:t xml:space="preserve">ELA and </w:t>
            </w:r>
            <w:r w:rsidR="000A4A2E">
              <w:rPr>
                <w:rFonts w:cs="Arial"/>
                <w:snapToGrid/>
                <w:color w:val="000000"/>
                <w:sz w:val="18"/>
                <w:szCs w:val="18"/>
              </w:rPr>
              <w:t>m</w:t>
            </w:r>
            <w:r w:rsidRPr="00F73B2C">
              <w:rPr>
                <w:rFonts w:cs="Arial"/>
                <w:snapToGrid/>
                <w:color w:val="000000"/>
                <w:sz w:val="18"/>
                <w:szCs w:val="18"/>
              </w:rPr>
              <w:t>athematics</w:t>
            </w:r>
          </w:p>
        </w:tc>
      </w:tr>
      <w:tr w:rsidR="003C2346" w:rsidRPr="00C64273" w14:paraId="4E1E062E" w14:textId="77777777" w:rsidTr="008F5D9A">
        <w:trPr>
          <w:trHeight w:val="551"/>
          <w:jc w:val="center"/>
        </w:trPr>
        <w:tc>
          <w:tcPr>
            <w:tcW w:w="1347" w:type="dxa"/>
            <w:shd w:val="clear" w:color="auto" w:fill="auto"/>
            <w:vAlign w:val="center"/>
          </w:tcPr>
          <w:p w14:paraId="495A4D6C" w14:textId="77777777" w:rsidR="003C2346" w:rsidRPr="004C1EAB" w:rsidRDefault="003C2346" w:rsidP="008F5D9A">
            <w:pPr>
              <w:keepNext/>
              <w:keepLines/>
              <w:widowControl/>
              <w:jc w:val="center"/>
              <w:rPr>
                <w:rFonts w:cs="Arial"/>
                <w:snapToGrid/>
                <w:color w:val="000000"/>
                <w:sz w:val="18"/>
                <w:szCs w:val="18"/>
              </w:rPr>
            </w:pPr>
            <w:r>
              <w:rPr>
                <w:rFonts w:cs="Arial"/>
                <w:snapToGrid/>
                <w:color w:val="000000"/>
                <w:sz w:val="18"/>
                <w:szCs w:val="18"/>
              </w:rPr>
              <w:t xml:space="preserve">Smarter Balanced </w:t>
            </w:r>
            <w:r w:rsidR="00B2243F">
              <w:rPr>
                <w:rFonts w:cs="Arial"/>
                <w:snapToGrid/>
                <w:color w:val="000000"/>
                <w:sz w:val="18"/>
                <w:szCs w:val="18"/>
              </w:rPr>
              <w:t>I</w:t>
            </w:r>
            <w:r>
              <w:rPr>
                <w:rFonts w:cs="Arial"/>
                <w:snapToGrid/>
                <w:color w:val="000000"/>
                <w:sz w:val="18"/>
                <w:szCs w:val="18"/>
              </w:rPr>
              <w:t>nterim</w:t>
            </w:r>
          </w:p>
        </w:tc>
        <w:tc>
          <w:tcPr>
            <w:tcW w:w="630" w:type="dxa"/>
            <w:shd w:val="clear" w:color="auto" w:fill="auto"/>
            <w:vAlign w:val="center"/>
          </w:tcPr>
          <w:p w14:paraId="2858F783" w14:textId="77777777" w:rsidR="003C2346" w:rsidRPr="004C1EAB" w:rsidRDefault="003C2346" w:rsidP="008F5D9A">
            <w:pPr>
              <w:keepNext/>
              <w:keepLines/>
              <w:widowControl/>
              <w:jc w:val="center"/>
              <w:rPr>
                <w:rFonts w:cs="Arial"/>
                <w:snapToGrid/>
                <w:color w:val="000000"/>
                <w:sz w:val="18"/>
                <w:szCs w:val="18"/>
              </w:rPr>
            </w:pPr>
            <w:r>
              <w:rPr>
                <w:rFonts w:cs="Arial"/>
                <w:snapToGrid/>
                <w:color w:val="000000"/>
                <w:sz w:val="18"/>
                <w:szCs w:val="18"/>
              </w:rPr>
              <w:t>CBT</w:t>
            </w:r>
          </w:p>
        </w:tc>
        <w:tc>
          <w:tcPr>
            <w:tcW w:w="4140" w:type="dxa"/>
            <w:shd w:val="clear" w:color="auto" w:fill="auto"/>
            <w:tcMar>
              <w:top w:w="29" w:type="dxa"/>
              <w:left w:w="115" w:type="dxa"/>
              <w:bottom w:w="29" w:type="dxa"/>
              <w:right w:w="115" w:type="dxa"/>
            </w:tcMar>
            <w:vAlign w:val="center"/>
          </w:tcPr>
          <w:p w14:paraId="781C16CE" w14:textId="77777777" w:rsidR="003C2346" w:rsidRPr="00BA412F" w:rsidRDefault="003C2346" w:rsidP="00BB4350">
            <w:pPr>
              <w:keepNext/>
              <w:keepLines/>
              <w:widowControl/>
              <w:rPr>
                <w:rFonts w:cs="Arial"/>
                <w:snapToGrid/>
                <w:color w:val="000000"/>
                <w:sz w:val="18"/>
                <w:szCs w:val="18"/>
              </w:rPr>
            </w:pPr>
            <w:r w:rsidRPr="00BA412F">
              <w:rPr>
                <w:rFonts w:cs="Arial"/>
                <w:snapToGrid/>
                <w:color w:val="000000"/>
                <w:sz w:val="18"/>
                <w:szCs w:val="18"/>
              </w:rPr>
              <w:t>A</w:t>
            </w:r>
            <w:r w:rsidR="00BB4350" w:rsidRPr="00BA412F">
              <w:rPr>
                <w:rFonts w:cs="Arial"/>
                <w:snapToGrid/>
                <w:color w:val="000000"/>
                <w:sz w:val="18"/>
                <w:szCs w:val="18"/>
              </w:rPr>
              <w:t>ll</w:t>
            </w:r>
            <w:r w:rsidRPr="00BA412F">
              <w:rPr>
                <w:rFonts w:cs="Arial"/>
                <w:snapToGrid/>
                <w:color w:val="000000"/>
                <w:sz w:val="18"/>
                <w:szCs w:val="18"/>
              </w:rPr>
              <w:t xml:space="preserve"> </w:t>
            </w:r>
            <w:r w:rsidR="00F614EB" w:rsidRPr="00BA412F">
              <w:rPr>
                <w:rFonts w:cs="Arial"/>
                <w:snapToGrid/>
                <w:color w:val="000000"/>
                <w:sz w:val="18"/>
                <w:szCs w:val="18"/>
              </w:rPr>
              <w:t>student</w:t>
            </w:r>
            <w:r w:rsidR="00BB4350" w:rsidRPr="00BA412F">
              <w:rPr>
                <w:rFonts w:cs="Arial"/>
                <w:snapToGrid/>
                <w:color w:val="000000"/>
                <w:sz w:val="18"/>
                <w:szCs w:val="18"/>
              </w:rPr>
              <w:t>s</w:t>
            </w:r>
            <w:r w:rsidR="00871205" w:rsidRPr="00BA412F">
              <w:rPr>
                <w:rFonts w:cs="Arial"/>
                <w:snapToGrid/>
                <w:color w:val="000000"/>
                <w:sz w:val="18"/>
                <w:szCs w:val="18"/>
              </w:rPr>
              <w:t>.</w:t>
            </w:r>
            <w:r w:rsidRPr="00BA412F">
              <w:rPr>
                <w:rFonts w:cs="Arial"/>
                <w:snapToGrid/>
                <w:color w:val="000000"/>
                <w:sz w:val="18"/>
                <w:szCs w:val="18"/>
              </w:rPr>
              <w:t xml:space="preserve"> </w:t>
            </w:r>
          </w:p>
        </w:tc>
        <w:tc>
          <w:tcPr>
            <w:tcW w:w="1260" w:type="dxa"/>
            <w:shd w:val="clear" w:color="auto" w:fill="auto"/>
            <w:vAlign w:val="center"/>
          </w:tcPr>
          <w:p w14:paraId="68A3E235" w14:textId="77777777" w:rsidR="003C2346" w:rsidRPr="003935C0" w:rsidRDefault="003C2346" w:rsidP="008F5D9A">
            <w:pPr>
              <w:keepNext/>
              <w:keepLines/>
              <w:widowControl/>
              <w:jc w:val="center"/>
              <w:rPr>
                <w:rFonts w:cs="Arial"/>
                <w:snapToGrid/>
                <w:color w:val="000000"/>
                <w:sz w:val="18"/>
                <w:szCs w:val="18"/>
              </w:rPr>
            </w:pPr>
            <w:r w:rsidRPr="003935C0">
              <w:rPr>
                <w:rFonts w:eastAsia="Calibri" w:cs="Arial"/>
                <w:snapToGrid/>
                <w:sz w:val="18"/>
                <w:szCs w:val="18"/>
              </w:rPr>
              <w:t>K–12</w:t>
            </w:r>
          </w:p>
        </w:tc>
        <w:tc>
          <w:tcPr>
            <w:tcW w:w="2070" w:type="dxa"/>
            <w:shd w:val="clear" w:color="auto" w:fill="auto"/>
            <w:vAlign w:val="center"/>
          </w:tcPr>
          <w:p w14:paraId="7229F161" w14:textId="77777777" w:rsidR="003C2346" w:rsidRPr="004C1EAB" w:rsidRDefault="003C2346" w:rsidP="008F5D9A">
            <w:pPr>
              <w:keepNext/>
              <w:keepLines/>
              <w:widowControl/>
              <w:jc w:val="center"/>
              <w:rPr>
                <w:rFonts w:cs="Arial"/>
                <w:snapToGrid/>
                <w:color w:val="000000"/>
                <w:sz w:val="18"/>
                <w:szCs w:val="18"/>
              </w:rPr>
            </w:pPr>
            <w:r>
              <w:rPr>
                <w:rFonts w:cs="Arial"/>
                <w:snapToGrid/>
                <w:color w:val="000000"/>
                <w:sz w:val="18"/>
                <w:szCs w:val="18"/>
              </w:rPr>
              <w:t xml:space="preserve">ELA and </w:t>
            </w:r>
            <w:r w:rsidR="000A4A2E">
              <w:rPr>
                <w:rFonts w:cs="Arial"/>
                <w:snapToGrid/>
                <w:color w:val="000000"/>
                <w:sz w:val="18"/>
                <w:szCs w:val="18"/>
              </w:rPr>
              <w:t>m</w:t>
            </w:r>
            <w:r w:rsidRPr="004C1EAB">
              <w:rPr>
                <w:rFonts w:cs="Arial"/>
                <w:snapToGrid/>
                <w:color w:val="000000"/>
                <w:sz w:val="18"/>
                <w:szCs w:val="18"/>
              </w:rPr>
              <w:t>athematics</w:t>
            </w:r>
          </w:p>
        </w:tc>
      </w:tr>
      <w:tr w:rsidR="003C2346" w:rsidRPr="00C64273" w14:paraId="6E5C4F05" w14:textId="77777777" w:rsidTr="008F5D9A">
        <w:trPr>
          <w:trHeight w:val="85"/>
          <w:jc w:val="center"/>
        </w:trPr>
        <w:tc>
          <w:tcPr>
            <w:tcW w:w="1347" w:type="dxa"/>
            <w:shd w:val="clear" w:color="auto" w:fill="auto"/>
            <w:vAlign w:val="center"/>
          </w:tcPr>
          <w:p w14:paraId="70DFFAEF" w14:textId="77777777" w:rsidR="003C2346" w:rsidRPr="004C1EAB" w:rsidRDefault="003C2346" w:rsidP="008F5D9A">
            <w:pPr>
              <w:keepNext/>
              <w:keepLines/>
              <w:widowControl/>
              <w:jc w:val="center"/>
              <w:rPr>
                <w:rFonts w:cs="Arial"/>
                <w:snapToGrid/>
                <w:color w:val="000000"/>
                <w:sz w:val="18"/>
                <w:szCs w:val="18"/>
              </w:rPr>
            </w:pPr>
            <w:r w:rsidRPr="004C1EAB">
              <w:rPr>
                <w:rFonts w:cs="Arial"/>
                <w:snapToGrid/>
                <w:color w:val="000000"/>
                <w:sz w:val="18"/>
                <w:szCs w:val="18"/>
              </w:rPr>
              <w:t>STS</w:t>
            </w:r>
          </w:p>
        </w:tc>
        <w:tc>
          <w:tcPr>
            <w:tcW w:w="630" w:type="dxa"/>
            <w:shd w:val="clear" w:color="auto" w:fill="auto"/>
            <w:vAlign w:val="center"/>
          </w:tcPr>
          <w:p w14:paraId="5BAA9610" w14:textId="77777777" w:rsidR="003C2346" w:rsidRPr="004C1EAB" w:rsidRDefault="003C2346" w:rsidP="008F5D9A">
            <w:pPr>
              <w:keepNext/>
              <w:keepLines/>
              <w:widowControl/>
              <w:jc w:val="center"/>
              <w:rPr>
                <w:rFonts w:cs="Arial"/>
                <w:snapToGrid/>
                <w:color w:val="000000"/>
                <w:sz w:val="18"/>
                <w:szCs w:val="18"/>
              </w:rPr>
            </w:pPr>
            <w:r w:rsidRPr="004C1EAB">
              <w:rPr>
                <w:rFonts w:cs="Arial"/>
                <w:snapToGrid/>
                <w:color w:val="000000"/>
                <w:sz w:val="18"/>
                <w:szCs w:val="18"/>
              </w:rPr>
              <w:t>PP</w:t>
            </w:r>
          </w:p>
        </w:tc>
        <w:tc>
          <w:tcPr>
            <w:tcW w:w="4140" w:type="dxa"/>
            <w:shd w:val="clear" w:color="auto" w:fill="auto"/>
            <w:tcMar>
              <w:top w:w="29" w:type="dxa"/>
              <w:left w:w="115" w:type="dxa"/>
              <w:bottom w:w="29" w:type="dxa"/>
              <w:right w:w="115" w:type="dxa"/>
            </w:tcMar>
            <w:vAlign w:val="center"/>
          </w:tcPr>
          <w:p w14:paraId="3A4BCBBD" w14:textId="77777777" w:rsidR="003C2346" w:rsidRDefault="00A440C7" w:rsidP="008F5D9A">
            <w:pPr>
              <w:keepNext/>
              <w:keepLines/>
              <w:widowControl/>
              <w:rPr>
                <w:rFonts w:cs="Arial"/>
                <w:snapToGrid/>
                <w:color w:val="000000"/>
                <w:sz w:val="18"/>
                <w:szCs w:val="18"/>
              </w:rPr>
            </w:pPr>
            <w:r>
              <w:rPr>
                <w:rFonts w:cs="Arial"/>
                <w:snapToGrid/>
                <w:color w:val="000000"/>
                <w:sz w:val="18"/>
                <w:szCs w:val="18"/>
              </w:rPr>
              <w:t>ELs</w:t>
            </w:r>
            <w:r w:rsidR="003C2346" w:rsidRPr="004C1EAB">
              <w:rPr>
                <w:rFonts w:cs="Arial"/>
                <w:snapToGrid/>
                <w:color w:val="000000"/>
                <w:sz w:val="18"/>
                <w:szCs w:val="18"/>
              </w:rPr>
              <w:t xml:space="preserve"> </w:t>
            </w:r>
            <w:r w:rsidR="003C2346">
              <w:rPr>
                <w:rFonts w:cs="Arial"/>
                <w:snapToGrid/>
                <w:color w:val="000000"/>
                <w:sz w:val="18"/>
                <w:szCs w:val="18"/>
              </w:rPr>
              <w:t xml:space="preserve">at no cost to the LEA or </w:t>
            </w:r>
          </w:p>
          <w:p w14:paraId="08D3E908" w14:textId="77777777" w:rsidR="003C2346" w:rsidRPr="004C1EAB" w:rsidRDefault="003C2346">
            <w:pPr>
              <w:keepNext/>
              <w:keepLines/>
              <w:widowControl/>
              <w:rPr>
                <w:rFonts w:cs="Arial"/>
                <w:snapToGrid/>
                <w:color w:val="000000"/>
                <w:sz w:val="18"/>
                <w:szCs w:val="18"/>
              </w:rPr>
            </w:pPr>
            <w:r>
              <w:rPr>
                <w:rFonts w:cs="Arial"/>
                <w:snapToGrid/>
                <w:color w:val="000000"/>
                <w:sz w:val="18"/>
                <w:szCs w:val="18"/>
              </w:rPr>
              <w:t>non-</w:t>
            </w:r>
            <w:r w:rsidR="00A440C7">
              <w:rPr>
                <w:rFonts w:cs="Arial"/>
                <w:snapToGrid/>
                <w:color w:val="000000"/>
                <w:sz w:val="18"/>
                <w:szCs w:val="18"/>
              </w:rPr>
              <w:t>ELs</w:t>
            </w:r>
            <w:r>
              <w:rPr>
                <w:rFonts w:cs="Arial"/>
                <w:snapToGrid/>
                <w:color w:val="000000"/>
                <w:sz w:val="18"/>
                <w:szCs w:val="18"/>
              </w:rPr>
              <w:t xml:space="preserve"> (e.g., </w:t>
            </w:r>
            <w:r w:rsidR="00F614EB">
              <w:rPr>
                <w:color w:val="000000"/>
                <w:sz w:val="18"/>
              </w:rPr>
              <w:t>student</w:t>
            </w:r>
            <w:r>
              <w:rPr>
                <w:rFonts w:cs="Arial"/>
                <w:snapToGrid/>
                <w:color w:val="000000"/>
                <w:sz w:val="18"/>
                <w:szCs w:val="18"/>
              </w:rPr>
              <w:t xml:space="preserve">s in dual immersion classrooms) </w:t>
            </w:r>
            <w:r w:rsidRPr="00BF4B86">
              <w:rPr>
                <w:rFonts w:cs="Arial"/>
                <w:i/>
                <w:snapToGrid/>
                <w:color w:val="000000"/>
                <w:sz w:val="18"/>
                <w:szCs w:val="18"/>
              </w:rPr>
              <w:t>at the cost of the LEA</w:t>
            </w:r>
            <w:r w:rsidR="00B2243F">
              <w:rPr>
                <w:rFonts w:cs="Arial"/>
                <w:i/>
                <w:snapToGrid/>
                <w:color w:val="000000"/>
                <w:sz w:val="18"/>
                <w:szCs w:val="18"/>
              </w:rPr>
              <w:t>.</w:t>
            </w:r>
          </w:p>
        </w:tc>
        <w:tc>
          <w:tcPr>
            <w:tcW w:w="1260" w:type="dxa"/>
            <w:shd w:val="clear" w:color="auto" w:fill="auto"/>
            <w:vAlign w:val="center"/>
          </w:tcPr>
          <w:p w14:paraId="449F8371" w14:textId="77777777" w:rsidR="003C2346" w:rsidRPr="004C1EAB" w:rsidRDefault="003C2346" w:rsidP="008F5D9A">
            <w:pPr>
              <w:keepNext/>
              <w:keepLines/>
              <w:widowControl/>
              <w:jc w:val="center"/>
              <w:rPr>
                <w:rFonts w:cs="Arial"/>
                <w:snapToGrid/>
                <w:color w:val="000000"/>
                <w:sz w:val="18"/>
                <w:szCs w:val="18"/>
              </w:rPr>
            </w:pPr>
            <w:r w:rsidRPr="004C1EAB">
              <w:rPr>
                <w:rFonts w:cs="Arial"/>
                <w:snapToGrid/>
                <w:color w:val="000000"/>
                <w:sz w:val="18"/>
                <w:szCs w:val="18"/>
              </w:rPr>
              <w:t>2–11</w:t>
            </w:r>
          </w:p>
        </w:tc>
        <w:tc>
          <w:tcPr>
            <w:tcW w:w="2070" w:type="dxa"/>
            <w:shd w:val="clear" w:color="auto" w:fill="auto"/>
            <w:vAlign w:val="center"/>
          </w:tcPr>
          <w:p w14:paraId="36824DFC" w14:textId="77777777" w:rsidR="003C2346" w:rsidRDefault="000A4A2E" w:rsidP="008F5D9A">
            <w:pPr>
              <w:keepNext/>
              <w:keepLines/>
              <w:widowControl/>
              <w:jc w:val="center"/>
              <w:rPr>
                <w:rFonts w:cs="Arial"/>
                <w:snapToGrid/>
                <w:color w:val="000000"/>
                <w:sz w:val="18"/>
                <w:szCs w:val="18"/>
              </w:rPr>
            </w:pPr>
            <w:r>
              <w:rPr>
                <w:rFonts w:cs="Arial"/>
                <w:snapToGrid/>
                <w:color w:val="000000"/>
                <w:sz w:val="18"/>
                <w:szCs w:val="18"/>
              </w:rPr>
              <w:t>r</w:t>
            </w:r>
            <w:r w:rsidR="003C2346" w:rsidRPr="004C1EAB">
              <w:rPr>
                <w:rFonts w:cs="Arial"/>
                <w:snapToGrid/>
                <w:color w:val="000000"/>
                <w:sz w:val="18"/>
                <w:szCs w:val="18"/>
              </w:rPr>
              <w:t>eading/</w:t>
            </w:r>
          </w:p>
          <w:p w14:paraId="3FF67E69" w14:textId="77777777" w:rsidR="003C2346" w:rsidRPr="004C1EAB" w:rsidRDefault="000A4A2E" w:rsidP="008F5D9A">
            <w:pPr>
              <w:keepNext/>
              <w:keepLines/>
              <w:widowControl/>
              <w:jc w:val="center"/>
              <w:rPr>
                <w:rFonts w:cs="Arial"/>
                <w:snapToGrid/>
                <w:color w:val="000000"/>
                <w:sz w:val="18"/>
                <w:szCs w:val="18"/>
              </w:rPr>
            </w:pPr>
            <w:r>
              <w:rPr>
                <w:rFonts w:cs="Arial"/>
                <w:snapToGrid/>
                <w:color w:val="000000"/>
                <w:sz w:val="18"/>
                <w:szCs w:val="18"/>
              </w:rPr>
              <w:t>l</w:t>
            </w:r>
            <w:r w:rsidR="003C2346" w:rsidRPr="004C1EAB">
              <w:rPr>
                <w:rFonts w:cs="Arial"/>
                <w:snapToGrid/>
                <w:color w:val="000000"/>
                <w:sz w:val="18"/>
                <w:szCs w:val="18"/>
              </w:rPr>
              <w:t xml:space="preserve">anguage </w:t>
            </w:r>
            <w:r>
              <w:rPr>
                <w:rFonts w:cs="Arial"/>
                <w:snapToGrid/>
                <w:color w:val="000000"/>
                <w:sz w:val="18"/>
                <w:szCs w:val="18"/>
              </w:rPr>
              <w:t>a</w:t>
            </w:r>
            <w:r w:rsidR="003C2346" w:rsidRPr="004C1EAB">
              <w:rPr>
                <w:rFonts w:cs="Arial"/>
                <w:snapToGrid/>
                <w:color w:val="000000"/>
                <w:sz w:val="18"/>
                <w:szCs w:val="18"/>
              </w:rPr>
              <w:t>rts</w:t>
            </w:r>
          </w:p>
        </w:tc>
      </w:tr>
    </w:tbl>
    <w:p w14:paraId="66505A97" w14:textId="77777777" w:rsidR="00495451" w:rsidRDefault="00495451">
      <w:pPr>
        <w:widowControl/>
        <w:rPr>
          <w:rFonts w:cs="Arial"/>
          <w:b/>
          <w:sz w:val="32"/>
          <w:szCs w:val="32"/>
        </w:rPr>
      </w:pPr>
      <w:r>
        <w:rPr>
          <w:rFonts w:cs="Arial"/>
          <w:b/>
          <w:sz w:val="32"/>
          <w:szCs w:val="32"/>
        </w:rPr>
        <w:br w:type="page"/>
      </w:r>
    </w:p>
    <w:p w14:paraId="33B042B9" w14:textId="77777777" w:rsidR="00702D0F" w:rsidRPr="00323A89" w:rsidRDefault="006B0CD5" w:rsidP="0071253D">
      <w:pPr>
        <w:pStyle w:val="Heading2"/>
      </w:pPr>
      <w:bookmarkStart w:id="3" w:name="_Toc505780226"/>
      <w:r w:rsidRPr="00323A89">
        <w:lastRenderedPageBreak/>
        <w:t>Implementation</w:t>
      </w:r>
      <w:r w:rsidR="00947E30" w:rsidRPr="00323A89">
        <w:t xml:space="preserve"> </w:t>
      </w:r>
      <w:r w:rsidR="00702D0F" w:rsidRPr="00323A89">
        <w:t>Update</w:t>
      </w:r>
      <w:bookmarkEnd w:id="3"/>
    </w:p>
    <w:p w14:paraId="0BFC9451" w14:textId="77777777" w:rsidR="00702D0F" w:rsidRDefault="00702D0F" w:rsidP="00702D0F">
      <w:pPr>
        <w:rPr>
          <w:rFonts w:cs="Arial"/>
          <w:szCs w:val="24"/>
        </w:rPr>
      </w:pPr>
    </w:p>
    <w:p w14:paraId="73D2AA7C" w14:textId="77777777" w:rsidR="002068A5" w:rsidRDefault="002068A5" w:rsidP="002068A5">
      <w:r>
        <w:t xml:space="preserve">Activities for the implementation of the CAASPP </w:t>
      </w:r>
      <w:r w:rsidR="00E3648C">
        <w:t>System</w:t>
      </w:r>
      <w:r>
        <w:t xml:space="preserve"> began in </w:t>
      </w:r>
      <w:r w:rsidR="007760F8">
        <w:t xml:space="preserve">2010, </w:t>
      </w:r>
      <w:r>
        <w:t xml:space="preserve">with the </w:t>
      </w:r>
      <w:r w:rsidR="006F29E4">
        <w:t xml:space="preserve">SBE </w:t>
      </w:r>
      <w:r>
        <w:t xml:space="preserve">adoption </w:t>
      </w:r>
      <w:r w:rsidR="00871205">
        <w:t xml:space="preserve">of </w:t>
      </w:r>
      <w:r>
        <w:t xml:space="preserve">the </w:t>
      </w:r>
      <w:r w:rsidR="006F29E4">
        <w:t>Common Core State Standards (</w:t>
      </w:r>
      <w:r>
        <w:t>CCSS</w:t>
      </w:r>
      <w:r w:rsidR="006F29E4">
        <w:t>)</w:t>
      </w:r>
      <w:r>
        <w:t xml:space="preserve"> for ELA and mathematics. Subsequent implementation progress included, among other activities, the development of informational materia</w:t>
      </w:r>
      <w:r w:rsidR="00A4376E">
        <w:t>ls, with input from stakeholders;</w:t>
      </w:r>
      <w:r>
        <w:t xml:space="preserve"> the availability of sample test ite</w:t>
      </w:r>
      <w:r w:rsidR="00A4376E">
        <w:t>ms, performance tasks</w:t>
      </w:r>
      <w:r w:rsidR="001236B5">
        <w:t>,</w:t>
      </w:r>
      <w:r w:rsidR="00A4376E">
        <w:t xml:space="preserve"> and practice tests;</w:t>
      </w:r>
      <w:r>
        <w:t xml:space="preserve"> the drafting of emergency and</w:t>
      </w:r>
      <w:r w:rsidR="00A4376E">
        <w:t xml:space="preserve"> proposed permanent regulations;</w:t>
      </w:r>
      <w:r>
        <w:t xml:space="preserve"> preparation</w:t>
      </w:r>
      <w:r w:rsidR="00A4376E">
        <w:t>s</w:t>
      </w:r>
      <w:r>
        <w:t xml:space="preserve"> for the c</w:t>
      </w:r>
      <w:r w:rsidR="00A4376E">
        <w:t>ontract to be competitively bid;</w:t>
      </w:r>
      <w:r>
        <w:t xml:space="preserve"> the development o</w:t>
      </w:r>
      <w:r w:rsidR="00A4376E">
        <w:t xml:space="preserve">f a technology readiness tool; </w:t>
      </w:r>
      <w:r>
        <w:t xml:space="preserve">and the identification of CCSS-aligned, grade two diagnostic assessments. </w:t>
      </w:r>
    </w:p>
    <w:p w14:paraId="73E346B0" w14:textId="77777777" w:rsidR="00A2497A" w:rsidRDefault="00A2497A" w:rsidP="00702D0F">
      <w:pPr>
        <w:rPr>
          <w:rFonts w:cs="Arial"/>
          <w:szCs w:val="24"/>
        </w:rPr>
      </w:pPr>
    </w:p>
    <w:p w14:paraId="711BC0A6" w14:textId="77777777" w:rsidR="00702D0F" w:rsidRPr="003C1468" w:rsidRDefault="00702D0F" w:rsidP="00702D0F">
      <w:pPr>
        <w:rPr>
          <w:rFonts w:cs="Arial"/>
          <w:szCs w:val="24"/>
        </w:rPr>
      </w:pPr>
      <w:r>
        <w:rPr>
          <w:rFonts w:cs="Arial"/>
          <w:szCs w:val="24"/>
        </w:rPr>
        <w:t xml:space="preserve">Table </w:t>
      </w:r>
      <w:r w:rsidR="007E2CA8">
        <w:rPr>
          <w:rFonts w:cs="Arial"/>
          <w:szCs w:val="24"/>
        </w:rPr>
        <w:t>3</w:t>
      </w:r>
      <w:r w:rsidR="00C7617C">
        <w:rPr>
          <w:rFonts w:cs="Arial"/>
          <w:szCs w:val="24"/>
        </w:rPr>
        <w:t>,</w:t>
      </w:r>
      <w:r w:rsidR="0024669E">
        <w:rPr>
          <w:rFonts w:cs="Arial"/>
          <w:szCs w:val="24"/>
        </w:rPr>
        <w:t xml:space="preserve"> </w:t>
      </w:r>
      <w:r w:rsidR="001236B5">
        <w:rPr>
          <w:rFonts w:cs="Arial"/>
          <w:szCs w:val="24"/>
        </w:rPr>
        <w:t xml:space="preserve">which begins </w:t>
      </w:r>
      <w:r>
        <w:rPr>
          <w:rFonts w:cs="Arial"/>
          <w:szCs w:val="24"/>
        </w:rPr>
        <w:t>on the following page</w:t>
      </w:r>
      <w:r w:rsidR="004F41C0">
        <w:rPr>
          <w:rFonts w:cs="Arial"/>
          <w:szCs w:val="24"/>
        </w:rPr>
        <w:t>,</w:t>
      </w:r>
      <w:r>
        <w:rPr>
          <w:rFonts w:cs="Arial"/>
          <w:szCs w:val="24"/>
        </w:rPr>
        <w:t xml:space="preserve"> provides </w:t>
      </w:r>
      <w:r w:rsidRPr="003C1468">
        <w:rPr>
          <w:rFonts w:cs="Arial"/>
          <w:szCs w:val="24"/>
        </w:rPr>
        <w:t xml:space="preserve">a brief </w:t>
      </w:r>
      <w:r w:rsidR="00F844B9">
        <w:rPr>
          <w:rFonts w:cs="Arial"/>
          <w:szCs w:val="24"/>
        </w:rPr>
        <w:t xml:space="preserve">implementation update of </w:t>
      </w:r>
      <w:r>
        <w:rPr>
          <w:rFonts w:cs="Arial"/>
          <w:szCs w:val="24"/>
        </w:rPr>
        <w:t xml:space="preserve">CAASPP activities </w:t>
      </w:r>
      <w:r w:rsidR="006E13F7">
        <w:rPr>
          <w:rFonts w:cs="Arial"/>
          <w:szCs w:val="24"/>
        </w:rPr>
        <w:t xml:space="preserve">during the </w:t>
      </w:r>
      <w:r w:rsidR="00EF7099">
        <w:rPr>
          <w:rFonts w:cs="Arial"/>
          <w:szCs w:val="24"/>
        </w:rPr>
        <w:t xml:space="preserve">2016 </w:t>
      </w:r>
      <w:r w:rsidR="006E13F7">
        <w:rPr>
          <w:rFonts w:cs="Arial"/>
          <w:szCs w:val="24"/>
        </w:rPr>
        <w:t>calendar year</w:t>
      </w:r>
      <w:r>
        <w:rPr>
          <w:rFonts w:cs="Arial"/>
          <w:szCs w:val="24"/>
        </w:rPr>
        <w:t xml:space="preserve">. </w:t>
      </w:r>
    </w:p>
    <w:p w14:paraId="50BAA41A" w14:textId="77777777" w:rsidR="00EF3668" w:rsidRDefault="00EF3668" w:rsidP="00DF305B">
      <w:pPr>
        <w:widowControl/>
        <w:rPr>
          <w:rFonts w:cs="Arial"/>
          <w:snapToGrid/>
          <w:color w:val="000000"/>
          <w:sz w:val="18"/>
          <w:szCs w:val="18"/>
        </w:rPr>
        <w:sectPr w:rsidR="00EF3668" w:rsidSect="00F92492">
          <w:pgSz w:w="12240" w:h="15840" w:code="1"/>
          <w:pgMar w:top="1440" w:right="1440" w:bottom="1440" w:left="1440" w:header="576" w:footer="576" w:gutter="0"/>
          <w:pgNumType w:start="2"/>
          <w:cols w:space="720"/>
          <w:titlePg/>
          <w:docGrid w:linePitch="360"/>
        </w:sectPr>
      </w:pPr>
    </w:p>
    <w:p w14:paraId="233666C5" w14:textId="77777777" w:rsidR="00DB3F91" w:rsidRPr="007F27A0" w:rsidRDefault="002D6E27" w:rsidP="007F27A0">
      <w:pPr>
        <w:tabs>
          <w:tab w:val="left" w:pos="4920"/>
        </w:tabs>
        <w:jc w:val="both"/>
        <w:rPr>
          <w:rFonts w:cs="Arial"/>
          <w:szCs w:val="24"/>
        </w:rPr>
      </w:pPr>
      <w:r w:rsidRPr="006A5637">
        <w:rPr>
          <w:rFonts w:cs="Arial"/>
          <w:b/>
          <w:szCs w:val="24"/>
        </w:rPr>
        <w:lastRenderedPageBreak/>
        <w:t xml:space="preserve">Table </w:t>
      </w:r>
      <w:r w:rsidR="007E2CA8" w:rsidRPr="006A5637">
        <w:rPr>
          <w:rFonts w:cs="Arial"/>
          <w:b/>
          <w:szCs w:val="24"/>
        </w:rPr>
        <w:t>3</w:t>
      </w:r>
      <w:r w:rsidR="00A2497A" w:rsidRPr="006A5637">
        <w:rPr>
          <w:rFonts w:cs="Arial"/>
          <w:b/>
          <w:szCs w:val="24"/>
        </w:rPr>
        <w:t>.</w:t>
      </w:r>
      <w:r w:rsidRPr="007F27A0">
        <w:rPr>
          <w:rFonts w:cs="Arial"/>
          <w:szCs w:val="24"/>
        </w:rPr>
        <w:t xml:space="preserve"> CAASPP </w:t>
      </w:r>
      <w:r w:rsidR="00F77A4D" w:rsidRPr="007F27A0">
        <w:rPr>
          <w:rFonts w:cs="Arial"/>
          <w:szCs w:val="24"/>
        </w:rPr>
        <w:t xml:space="preserve">Implementation </w:t>
      </w:r>
      <w:r w:rsidRPr="007F27A0">
        <w:rPr>
          <w:rFonts w:cs="Arial"/>
          <w:szCs w:val="24"/>
        </w:rPr>
        <w:t>Update</w:t>
      </w:r>
      <w:r w:rsidR="004C1E45">
        <w:rPr>
          <w:rFonts w:cs="Arial"/>
          <w:szCs w:val="24"/>
        </w:rPr>
        <w:tab/>
      </w:r>
    </w:p>
    <w:p w14:paraId="79114790" w14:textId="77777777" w:rsidR="00DB3F91" w:rsidRDefault="00DB3F91" w:rsidP="007150B0">
      <w:pPr>
        <w:widowControl/>
        <w:rPr>
          <w:rFonts w:cs="Arial"/>
          <w:b/>
          <w:szCs w:val="24"/>
        </w:rPr>
      </w:pPr>
    </w:p>
    <w:tbl>
      <w:tblPr>
        <w:tblW w:w="137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97"/>
        <w:gridCol w:w="5850"/>
        <w:gridCol w:w="6120"/>
      </w:tblGrid>
      <w:tr w:rsidR="00C46B2E" w:rsidRPr="00C64273" w14:paraId="76910926" w14:textId="77777777" w:rsidTr="000A3682">
        <w:trPr>
          <w:cantSplit/>
          <w:trHeight w:hRule="exact" w:val="428"/>
          <w:tblHeader/>
        </w:trPr>
        <w:tc>
          <w:tcPr>
            <w:tcW w:w="1797" w:type="dxa"/>
            <w:shd w:val="clear" w:color="auto" w:fill="C6D9F1"/>
            <w:vAlign w:val="center"/>
          </w:tcPr>
          <w:p w14:paraId="26F361C4" w14:textId="77777777" w:rsidR="00C46B2E" w:rsidRDefault="00C46B2E" w:rsidP="000A3682">
            <w:pPr>
              <w:spacing w:before="120" w:after="120"/>
              <w:jc w:val="center"/>
              <w:rPr>
                <w:rFonts w:cs="Arial"/>
                <w:b/>
                <w:sz w:val="20"/>
              </w:rPr>
            </w:pPr>
            <w:r>
              <w:rPr>
                <w:rFonts w:cs="Arial"/>
                <w:b/>
                <w:sz w:val="20"/>
              </w:rPr>
              <w:t>Element</w:t>
            </w:r>
          </w:p>
        </w:tc>
        <w:tc>
          <w:tcPr>
            <w:tcW w:w="5850" w:type="dxa"/>
            <w:shd w:val="clear" w:color="auto" w:fill="C6D9F1"/>
            <w:vAlign w:val="center"/>
          </w:tcPr>
          <w:p w14:paraId="61FA58D2" w14:textId="77777777" w:rsidR="00C46B2E" w:rsidRDefault="00C46B2E" w:rsidP="000A3682">
            <w:pPr>
              <w:spacing w:before="120" w:after="120"/>
              <w:jc w:val="center"/>
              <w:rPr>
                <w:rFonts w:cs="Arial"/>
                <w:b/>
                <w:sz w:val="20"/>
              </w:rPr>
            </w:pPr>
            <w:r>
              <w:rPr>
                <w:rFonts w:cs="Arial"/>
                <w:b/>
                <w:sz w:val="20"/>
              </w:rPr>
              <w:t xml:space="preserve">2010 Through 2015 </w:t>
            </w:r>
            <w:r w:rsidRPr="00C64273">
              <w:rPr>
                <w:rFonts w:cs="Arial"/>
                <w:b/>
                <w:sz w:val="20"/>
              </w:rPr>
              <w:t>Activit</w:t>
            </w:r>
            <w:r>
              <w:rPr>
                <w:rFonts w:cs="Arial"/>
                <w:b/>
                <w:sz w:val="20"/>
              </w:rPr>
              <w:t>ies</w:t>
            </w:r>
          </w:p>
        </w:tc>
        <w:tc>
          <w:tcPr>
            <w:tcW w:w="6120" w:type="dxa"/>
            <w:shd w:val="clear" w:color="auto" w:fill="C6D9F1"/>
            <w:vAlign w:val="center"/>
          </w:tcPr>
          <w:p w14:paraId="5C2E481B" w14:textId="77777777" w:rsidR="00C46B2E" w:rsidRDefault="00C46B2E" w:rsidP="000A3682">
            <w:pPr>
              <w:spacing w:before="120" w:after="120"/>
              <w:jc w:val="center"/>
              <w:rPr>
                <w:rFonts w:cs="Arial"/>
                <w:b/>
                <w:sz w:val="20"/>
              </w:rPr>
            </w:pPr>
            <w:r>
              <w:rPr>
                <w:rFonts w:cs="Arial"/>
                <w:b/>
                <w:sz w:val="20"/>
              </w:rPr>
              <w:t>2016 Activities</w:t>
            </w:r>
          </w:p>
        </w:tc>
      </w:tr>
      <w:tr w:rsidR="00C46B2E" w:rsidRPr="00C64273" w14:paraId="2370E3B8" w14:textId="77777777" w:rsidTr="000A3682">
        <w:trPr>
          <w:cantSplit/>
        </w:trPr>
        <w:tc>
          <w:tcPr>
            <w:tcW w:w="1797" w:type="dxa"/>
            <w:shd w:val="clear" w:color="auto" w:fill="C6D9F1"/>
            <w:vAlign w:val="center"/>
          </w:tcPr>
          <w:p w14:paraId="3518F2BD" w14:textId="77777777" w:rsidR="00C46B2E" w:rsidRPr="006C265E" w:rsidRDefault="00C46B2E" w:rsidP="000A3682">
            <w:pPr>
              <w:spacing w:before="120" w:after="120"/>
              <w:rPr>
                <w:rFonts w:cs="Arial"/>
                <w:b/>
                <w:sz w:val="20"/>
              </w:rPr>
            </w:pPr>
            <w:r w:rsidRPr="006C265E">
              <w:rPr>
                <w:rFonts w:cs="Arial"/>
                <w:b/>
                <w:sz w:val="20"/>
              </w:rPr>
              <w:t>Content Standards</w:t>
            </w:r>
          </w:p>
          <w:p w14:paraId="192500EC" w14:textId="77777777" w:rsidR="00C46B2E" w:rsidRPr="006C265E" w:rsidRDefault="00C46B2E" w:rsidP="000A3682">
            <w:pPr>
              <w:spacing w:before="120" w:after="120"/>
              <w:rPr>
                <w:rFonts w:cs="Arial"/>
                <w:b/>
                <w:sz w:val="20"/>
              </w:rPr>
            </w:pPr>
            <w:r w:rsidRPr="006C265E">
              <w:rPr>
                <w:rFonts w:cs="Arial"/>
                <w:sz w:val="16"/>
                <w:szCs w:val="16"/>
              </w:rPr>
              <w:t>(</w:t>
            </w:r>
            <w:r w:rsidRPr="006C265E">
              <w:rPr>
                <w:rFonts w:cs="Arial"/>
                <w:i/>
                <w:sz w:val="16"/>
                <w:szCs w:val="16"/>
              </w:rPr>
              <w:t>EC</w:t>
            </w:r>
            <w:r w:rsidRPr="006C265E">
              <w:rPr>
                <w:rFonts w:cs="Arial"/>
                <w:sz w:val="16"/>
                <w:szCs w:val="16"/>
              </w:rPr>
              <w:t xml:space="preserve"> Section 60602.5[a][1])</w:t>
            </w:r>
          </w:p>
        </w:tc>
        <w:tc>
          <w:tcPr>
            <w:tcW w:w="5850" w:type="dxa"/>
            <w:shd w:val="clear" w:color="auto" w:fill="auto"/>
            <w:tcMar>
              <w:top w:w="29" w:type="dxa"/>
              <w:left w:w="115" w:type="dxa"/>
              <w:bottom w:w="29" w:type="dxa"/>
              <w:right w:w="115" w:type="dxa"/>
            </w:tcMar>
          </w:tcPr>
          <w:p w14:paraId="3BA1236B" w14:textId="77777777" w:rsidR="00C46B2E" w:rsidRPr="00F73B2C" w:rsidRDefault="00C46B2E" w:rsidP="000A3682">
            <w:pPr>
              <w:numPr>
                <w:ilvl w:val="0"/>
                <w:numId w:val="7"/>
              </w:numPr>
              <w:spacing w:before="120" w:after="120"/>
              <w:rPr>
                <w:sz w:val="18"/>
                <w:szCs w:val="18"/>
              </w:rPr>
            </w:pPr>
            <w:r w:rsidRPr="00F73B2C">
              <w:rPr>
                <w:sz w:val="18"/>
                <w:szCs w:val="18"/>
              </w:rPr>
              <w:t>In August 2010, the SBE adopted the CCSS for ELA and mathematics.</w:t>
            </w:r>
          </w:p>
          <w:p w14:paraId="2FD896DD" w14:textId="77777777" w:rsidR="00C46B2E" w:rsidRPr="00F73B2C" w:rsidRDefault="00C46B2E" w:rsidP="000A3682">
            <w:pPr>
              <w:numPr>
                <w:ilvl w:val="0"/>
                <w:numId w:val="7"/>
              </w:numPr>
              <w:spacing w:before="120" w:after="120"/>
              <w:rPr>
                <w:sz w:val="18"/>
                <w:szCs w:val="18"/>
              </w:rPr>
            </w:pPr>
            <w:r w:rsidRPr="00F73B2C">
              <w:rPr>
                <w:sz w:val="18"/>
                <w:szCs w:val="18"/>
              </w:rPr>
              <w:t xml:space="preserve">In March 2012, the SBE approved </w:t>
            </w:r>
            <w:r w:rsidRPr="00F73B2C">
              <w:rPr>
                <w:i/>
                <w:sz w:val="18"/>
                <w:szCs w:val="18"/>
              </w:rPr>
              <w:t xml:space="preserve">The Common Core State Standards Systems Implementation Plan for California, </w:t>
            </w:r>
            <w:r w:rsidRPr="00F73B2C">
              <w:rPr>
                <w:sz w:val="18"/>
                <w:szCs w:val="18"/>
              </w:rPr>
              <w:t>which includes the development and transition to CCSS-aligned assessment systems.</w:t>
            </w:r>
          </w:p>
          <w:p w14:paraId="232071B5" w14:textId="77777777" w:rsidR="00C46B2E" w:rsidRPr="007F4557" w:rsidRDefault="00C46B2E" w:rsidP="000A3682">
            <w:pPr>
              <w:pStyle w:val="ListParagraph"/>
              <w:numPr>
                <w:ilvl w:val="0"/>
                <w:numId w:val="7"/>
              </w:numPr>
              <w:spacing w:before="120" w:after="120"/>
              <w:rPr>
                <w:rFonts w:cs="Arial"/>
                <w:sz w:val="18"/>
                <w:szCs w:val="18"/>
              </w:rPr>
            </w:pPr>
            <w:r w:rsidRPr="00871205">
              <w:rPr>
                <w:sz w:val="18"/>
                <w:szCs w:val="18"/>
              </w:rPr>
              <w:t>In</w:t>
            </w:r>
            <w:r w:rsidRPr="00F73B2C">
              <w:t xml:space="preserve"> </w:t>
            </w:r>
            <w:r w:rsidRPr="00871205">
              <w:rPr>
                <w:sz w:val="18"/>
                <w:szCs w:val="18"/>
              </w:rPr>
              <w:t>November 2013, the SBE adopted the California Next Generation Science Standards (CA NGSS).</w:t>
            </w:r>
          </w:p>
          <w:p w14:paraId="2EB6E2EE" w14:textId="77777777" w:rsidR="00C46B2E" w:rsidRPr="007F4557" w:rsidRDefault="00C46B2E" w:rsidP="000A3682">
            <w:pPr>
              <w:pStyle w:val="ListParagraph"/>
              <w:numPr>
                <w:ilvl w:val="0"/>
                <w:numId w:val="7"/>
              </w:numPr>
              <w:spacing w:before="120" w:after="120"/>
              <w:rPr>
                <w:rFonts w:cs="Arial"/>
                <w:sz w:val="18"/>
                <w:szCs w:val="18"/>
              </w:rPr>
            </w:pPr>
            <w:r w:rsidRPr="007F4557">
              <w:rPr>
                <w:rFonts w:cs="Arial"/>
                <w:sz w:val="18"/>
                <w:szCs w:val="18"/>
              </w:rPr>
              <w:t>Regular updates to inform the SBE and public regarding CCSS implementation activities were provided at each regularly scheduled SBE meeting.</w:t>
            </w:r>
          </w:p>
          <w:p w14:paraId="392C8473" w14:textId="77777777" w:rsidR="00C46B2E" w:rsidRPr="00762941" w:rsidRDefault="00C46B2E" w:rsidP="000A3682">
            <w:pPr>
              <w:numPr>
                <w:ilvl w:val="0"/>
                <w:numId w:val="7"/>
              </w:numPr>
              <w:spacing w:before="120" w:after="120"/>
              <w:rPr>
                <w:rFonts w:cs="Arial"/>
                <w:sz w:val="18"/>
                <w:szCs w:val="18"/>
              </w:rPr>
            </w:pPr>
            <w:r w:rsidRPr="007D7A9D">
              <w:rPr>
                <w:rFonts w:cs="Arial"/>
                <w:sz w:val="18"/>
                <w:szCs w:val="18"/>
              </w:rPr>
              <w:t xml:space="preserve">In </w:t>
            </w:r>
            <w:r>
              <w:rPr>
                <w:rFonts w:cs="Arial"/>
                <w:sz w:val="18"/>
                <w:szCs w:val="18"/>
              </w:rPr>
              <w:t xml:space="preserve">June </w:t>
            </w:r>
            <w:r w:rsidRPr="007D7A9D">
              <w:rPr>
                <w:rFonts w:cs="Arial"/>
                <w:sz w:val="18"/>
                <w:szCs w:val="18"/>
              </w:rPr>
              <w:t xml:space="preserve">2015, </w:t>
            </w:r>
            <w:r>
              <w:rPr>
                <w:rFonts w:cs="Arial"/>
                <w:sz w:val="18"/>
                <w:szCs w:val="18"/>
              </w:rPr>
              <w:t>Educational Testing Service (</w:t>
            </w:r>
            <w:r w:rsidRPr="007D7A9D">
              <w:rPr>
                <w:rFonts w:cs="Arial"/>
                <w:sz w:val="18"/>
                <w:szCs w:val="18"/>
              </w:rPr>
              <w:t>ETS</w:t>
            </w:r>
            <w:r>
              <w:rPr>
                <w:rFonts w:cs="Arial"/>
                <w:sz w:val="18"/>
                <w:szCs w:val="18"/>
              </w:rPr>
              <w:t>)</w:t>
            </w:r>
            <w:r w:rsidRPr="007D7A9D">
              <w:rPr>
                <w:rFonts w:cs="Arial"/>
                <w:sz w:val="18"/>
                <w:szCs w:val="18"/>
              </w:rPr>
              <w:t xml:space="preserve"> completed a crosswalk between the California content standards (1998) and the CA NGSS. The results were used to evaluate the alignment of items currently residing in the California-owned item bank and their appropriateness for various </w:t>
            </w:r>
            <w:r w:rsidRPr="00762941">
              <w:rPr>
                <w:rFonts w:cs="Arial"/>
                <w:sz w:val="18"/>
                <w:szCs w:val="18"/>
              </w:rPr>
              <w:t>future use on CA NGSS assessments.</w:t>
            </w:r>
          </w:p>
          <w:p w14:paraId="7BE20E42" w14:textId="77777777" w:rsidR="00C46B2E" w:rsidRPr="00060D1B" w:rsidRDefault="00C46B2E" w:rsidP="000A3682">
            <w:pPr>
              <w:pStyle w:val="ListParagraph"/>
              <w:numPr>
                <w:ilvl w:val="0"/>
                <w:numId w:val="7"/>
              </w:numPr>
              <w:spacing w:before="120" w:after="120"/>
              <w:rPr>
                <w:rFonts w:cs="Arial"/>
                <w:sz w:val="18"/>
                <w:szCs w:val="18"/>
              </w:rPr>
            </w:pPr>
            <w:r w:rsidRPr="00762941">
              <w:rPr>
                <w:rFonts w:cs="Arial"/>
                <w:sz w:val="18"/>
                <w:szCs w:val="18"/>
              </w:rPr>
              <w:t xml:space="preserve">In October 2015, ETS and EdCount </w:t>
            </w:r>
            <w:r>
              <w:rPr>
                <w:rFonts w:cs="Arial"/>
                <w:sz w:val="18"/>
                <w:szCs w:val="18"/>
              </w:rPr>
              <w:t xml:space="preserve">held an initial meeting with </w:t>
            </w:r>
            <w:r w:rsidRPr="00762941">
              <w:rPr>
                <w:sz w:val="18"/>
                <w:szCs w:val="18"/>
              </w:rPr>
              <w:t xml:space="preserve">California educators to solicit feedback on developmental appropriateness of the performance expectations (PEs) for CA NGSS-aligned alternate assessments. </w:t>
            </w:r>
          </w:p>
        </w:tc>
        <w:tc>
          <w:tcPr>
            <w:tcW w:w="6120" w:type="dxa"/>
            <w:shd w:val="clear" w:color="auto" w:fill="auto"/>
            <w:tcMar>
              <w:top w:w="29" w:type="dxa"/>
              <w:left w:w="115" w:type="dxa"/>
              <w:bottom w:w="29" w:type="dxa"/>
              <w:right w:w="115" w:type="dxa"/>
            </w:tcMar>
          </w:tcPr>
          <w:p w14:paraId="2A49FC0E" w14:textId="77777777" w:rsidR="00C46B2E" w:rsidRDefault="00C46B2E" w:rsidP="000A3682">
            <w:pPr>
              <w:numPr>
                <w:ilvl w:val="0"/>
                <w:numId w:val="7"/>
              </w:numPr>
              <w:spacing w:before="120" w:after="120"/>
              <w:rPr>
                <w:rFonts w:cs="Arial"/>
                <w:sz w:val="18"/>
                <w:szCs w:val="18"/>
              </w:rPr>
            </w:pPr>
            <w:r w:rsidRPr="00F73B2C">
              <w:rPr>
                <w:rFonts w:cs="Arial"/>
                <w:sz w:val="18"/>
                <w:szCs w:val="18"/>
              </w:rPr>
              <w:t>Regular updates to inform the SBE and public regarding CCSS implementation activities were provided at each regularly scheduled SBE meeting.</w:t>
            </w:r>
          </w:p>
          <w:p w14:paraId="73576526" w14:textId="77777777" w:rsidR="00C46B2E" w:rsidRPr="008D3FC3" w:rsidRDefault="00C46B2E" w:rsidP="000A3682">
            <w:pPr>
              <w:numPr>
                <w:ilvl w:val="0"/>
                <w:numId w:val="7"/>
              </w:numPr>
              <w:spacing w:before="120" w:after="120"/>
              <w:rPr>
                <w:rFonts w:cs="Arial"/>
                <w:sz w:val="18"/>
                <w:szCs w:val="18"/>
              </w:rPr>
            </w:pPr>
            <w:r w:rsidRPr="009D5616">
              <w:rPr>
                <w:rFonts w:cs="Arial"/>
                <w:sz w:val="18"/>
                <w:szCs w:val="18"/>
              </w:rPr>
              <w:t xml:space="preserve">In March 2016, WestEd presented the results </w:t>
            </w:r>
            <w:r>
              <w:rPr>
                <w:rFonts w:cs="Arial"/>
                <w:sz w:val="18"/>
                <w:szCs w:val="18"/>
              </w:rPr>
              <w:t>of</w:t>
            </w:r>
            <w:r w:rsidRPr="009D5616">
              <w:rPr>
                <w:rFonts w:cs="Arial"/>
                <w:sz w:val="18"/>
                <w:szCs w:val="18"/>
              </w:rPr>
              <w:t xml:space="preserve"> a survey on the current implementation of the California Content Standards</w:t>
            </w:r>
            <w:r>
              <w:rPr>
                <w:rFonts w:cs="Arial"/>
                <w:sz w:val="18"/>
                <w:szCs w:val="18"/>
              </w:rPr>
              <w:t xml:space="preserve">. The results can be found on the </w:t>
            </w:r>
            <w:r w:rsidRPr="00EA3B7B">
              <w:rPr>
                <w:rFonts w:cs="Arial"/>
                <w:sz w:val="18"/>
                <w:szCs w:val="18"/>
              </w:rPr>
              <w:t xml:space="preserve">CDE </w:t>
            </w:r>
            <w:r w:rsidRPr="00EA3B7B">
              <w:rPr>
                <w:sz w:val="18"/>
                <w:szCs w:val="18"/>
                <w:lang w:val="en"/>
              </w:rPr>
              <w:t>CA Standards Implementation: WestEd Insig</w:t>
            </w:r>
            <w:r>
              <w:rPr>
                <w:sz w:val="18"/>
                <w:szCs w:val="18"/>
                <w:lang w:val="en"/>
              </w:rPr>
              <w:t>hts Web page at</w:t>
            </w:r>
            <w:r w:rsidRPr="00EA3B7B">
              <w:rPr>
                <w:rFonts w:cs="Arial"/>
                <w:sz w:val="18"/>
                <w:szCs w:val="18"/>
              </w:rPr>
              <w:t xml:space="preserve"> </w:t>
            </w:r>
            <w:hyperlink r:id="rId19" w:history="1">
              <w:r w:rsidRPr="009D5616">
                <w:rPr>
                  <w:rStyle w:val="Hyperlink"/>
                  <w:rFonts w:cs="Arial"/>
                  <w:sz w:val="18"/>
                  <w:szCs w:val="18"/>
                </w:rPr>
                <w:t>http://www.cde.ca.gov/be/ag/ag/yr16/mar16item19handout.asp</w:t>
              </w:r>
            </w:hyperlink>
            <w:r w:rsidRPr="009D5616">
              <w:rPr>
                <w:rFonts w:cs="Arial"/>
                <w:sz w:val="18"/>
                <w:szCs w:val="18"/>
              </w:rPr>
              <w:t xml:space="preserve">. Implementation activities included several major initiatives, such as the English Language Arts/English Language Development (ELA/ELD) Framework Rollouts, the Standards Steering Committee, and the creation of the CDE Standards Support Office. WestEd reported continuing positive support for the standards amongst practitioners and strong collaboration with active communities of practice around standards implementation, both </w:t>
            </w:r>
            <w:r>
              <w:rPr>
                <w:rFonts w:cs="Arial"/>
                <w:sz w:val="18"/>
                <w:szCs w:val="18"/>
              </w:rPr>
              <w:t>at the S</w:t>
            </w:r>
            <w:r w:rsidRPr="008D3FC3">
              <w:rPr>
                <w:rFonts w:cs="Arial"/>
                <w:sz w:val="18"/>
                <w:szCs w:val="18"/>
              </w:rPr>
              <w:t>tate and local levels.</w:t>
            </w:r>
          </w:p>
          <w:p w14:paraId="7AD04841" w14:textId="77777777" w:rsidR="00C46B2E" w:rsidRPr="00625BEB" w:rsidRDefault="00C46B2E" w:rsidP="000A3682">
            <w:pPr>
              <w:pStyle w:val="ListParagraph"/>
              <w:numPr>
                <w:ilvl w:val="0"/>
                <w:numId w:val="7"/>
              </w:numPr>
              <w:rPr>
                <w:sz w:val="18"/>
                <w:szCs w:val="18"/>
              </w:rPr>
            </w:pPr>
            <w:r w:rsidRPr="008D3FC3">
              <w:rPr>
                <w:rFonts w:cs="Arial"/>
                <w:sz w:val="18"/>
                <w:szCs w:val="18"/>
              </w:rPr>
              <w:t>Throughout 2016</w:t>
            </w:r>
            <w:r>
              <w:rPr>
                <w:rFonts w:cs="Arial"/>
                <w:sz w:val="18"/>
                <w:szCs w:val="18"/>
              </w:rPr>
              <w:t>,</w:t>
            </w:r>
            <w:r w:rsidRPr="008D3FC3">
              <w:rPr>
                <w:rFonts w:cs="Arial"/>
                <w:sz w:val="18"/>
                <w:szCs w:val="18"/>
              </w:rPr>
              <w:t xml:space="preserve"> ETS and EdCount continued work on the CA NGSS </w:t>
            </w:r>
            <w:r w:rsidRPr="008D3FC3">
              <w:rPr>
                <w:sz w:val="18"/>
                <w:szCs w:val="18"/>
              </w:rPr>
              <w:t>Core Content Connectors for alternate assessments, collaborating with national content and measurement experts and California educators.</w:t>
            </w:r>
          </w:p>
        </w:tc>
      </w:tr>
      <w:tr w:rsidR="00C46B2E" w:rsidRPr="00C64273" w14:paraId="75A7D728" w14:textId="77777777" w:rsidTr="000A3682">
        <w:tc>
          <w:tcPr>
            <w:tcW w:w="1797" w:type="dxa"/>
            <w:shd w:val="clear" w:color="auto" w:fill="C6D9F1"/>
            <w:vAlign w:val="center"/>
          </w:tcPr>
          <w:p w14:paraId="3CDCD84B" w14:textId="77777777" w:rsidR="00C46B2E" w:rsidRPr="006C265E" w:rsidRDefault="00C46B2E" w:rsidP="000A3682">
            <w:pPr>
              <w:spacing w:before="120" w:after="120"/>
              <w:rPr>
                <w:rFonts w:cs="Arial"/>
                <w:b/>
                <w:sz w:val="20"/>
              </w:rPr>
            </w:pPr>
            <w:r w:rsidRPr="006C265E">
              <w:rPr>
                <w:rFonts w:cs="Arial"/>
                <w:b/>
                <w:sz w:val="20"/>
              </w:rPr>
              <w:t>Periodic Updates of Assessment Transition</w:t>
            </w:r>
          </w:p>
          <w:p w14:paraId="7F6295E6" w14:textId="77777777" w:rsidR="00C46B2E" w:rsidRPr="006C265E" w:rsidRDefault="00C46B2E" w:rsidP="000A3682">
            <w:pPr>
              <w:spacing w:before="120" w:after="120"/>
              <w:rPr>
                <w:rFonts w:cs="Arial"/>
                <w:b/>
                <w:sz w:val="20"/>
              </w:rPr>
            </w:pPr>
            <w:r w:rsidRPr="006C265E">
              <w:rPr>
                <w:rFonts w:cs="Arial"/>
                <w:sz w:val="16"/>
                <w:szCs w:val="16"/>
              </w:rPr>
              <w:t>(</w:t>
            </w:r>
            <w:r w:rsidRPr="006C265E">
              <w:rPr>
                <w:rFonts w:cs="Arial"/>
                <w:i/>
                <w:sz w:val="16"/>
                <w:szCs w:val="16"/>
              </w:rPr>
              <w:t>EC</w:t>
            </w:r>
            <w:r w:rsidRPr="006C265E">
              <w:rPr>
                <w:rFonts w:cs="Arial"/>
                <w:sz w:val="16"/>
                <w:szCs w:val="16"/>
              </w:rPr>
              <w:t xml:space="preserve"> Section 60630)</w:t>
            </w:r>
          </w:p>
        </w:tc>
        <w:tc>
          <w:tcPr>
            <w:tcW w:w="5850" w:type="dxa"/>
            <w:shd w:val="clear" w:color="auto" w:fill="auto"/>
            <w:tcMar>
              <w:top w:w="29" w:type="dxa"/>
              <w:left w:w="115" w:type="dxa"/>
              <w:bottom w:w="29" w:type="dxa"/>
              <w:right w:w="115" w:type="dxa"/>
            </w:tcMar>
          </w:tcPr>
          <w:p w14:paraId="041DA4E6" w14:textId="77777777" w:rsidR="00C46B2E" w:rsidRPr="00625BEB" w:rsidRDefault="00C46B2E" w:rsidP="000A3682">
            <w:pPr>
              <w:pStyle w:val="ListParagraph"/>
              <w:numPr>
                <w:ilvl w:val="0"/>
                <w:numId w:val="35"/>
              </w:numPr>
              <w:spacing w:before="120" w:after="120"/>
              <w:rPr>
                <w:rFonts w:cs="Arial"/>
                <w:sz w:val="18"/>
                <w:szCs w:val="18"/>
              </w:rPr>
            </w:pPr>
            <w:r w:rsidRPr="002A0889">
              <w:rPr>
                <w:rFonts w:cs="Arial"/>
                <w:sz w:val="18"/>
                <w:szCs w:val="18"/>
              </w:rPr>
              <w:t>Regular updates to inform the SBE and the public regarding statewide assessment transition activities were provided at each regularly scheduled SBE meeting.</w:t>
            </w:r>
          </w:p>
        </w:tc>
        <w:tc>
          <w:tcPr>
            <w:tcW w:w="6120" w:type="dxa"/>
            <w:shd w:val="clear" w:color="auto" w:fill="auto"/>
            <w:tcMar>
              <w:top w:w="29" w:type="dxa"/>
              <w:left w:w="115" w:type="dxa"/>
              <w:bottom w:w="29" w:type="dxa"/>
              <w:right w:w="115" w:type="dxa"/>
            </w:tcMar>
          </w:tcPr>
          <w:p w14:paraId="004BC747" w14:textId="77777777" w:rsidR="00C46B2E" w:rsidRDefault="00C46B2E" w:rsidP="000A3682">
            <w:pPr>
              <w:numPr>
                <w:ilvl w:val="0"/>
                <w:numId w:val="1"/>
              </w:numPr>
              <w:spacing w:before="120" w:after="120"/>
              <w:rPr>
                <w:rFonts w:cs="Arial"/>
                <w:sz w:val="18"/>
                <w:szCs w:val="18"/>
              </w:rPr>
            </w:pPr>
            <w:r>
              <w:rPr>
                <w:rFonts w:cs="Arial"/>
                <w:sz w:val="18"/>
                <w:szCs w:val="18"/>
              </w:rPr>
              <w:t>Re</w:t>
            </w:r>
            <w:r w:rsidRPr="004B420B">
              <w:rPr>
                <w:rFonts w:cs="Arial"/>
                <w:sz w:val="18"/>
                <w:szCs w:val="18"/>
              </w:rPr>
              <w:t xml:space="preserve">gular updates to inform the SBE and </w:t>
            </w:r>
            <w:r>
              <w:rPr>
                <w:rFonts w:cs="Arial"/>
                <w:sz w:val="18"/>
                <w:szCs w:val="18"/>
              </w:rPr>
              <w:t xml:space="preserve">the </w:t>
            </w:r>
            <w:r w:rsidRPr="004B420B">
              <w:rPr>
                <w:rFonts w:cs="Arial"/>
                <w:sz w:val="18"/>
                <w:szCs w:val="18"/>
              </w:rPr>
              <w:t>public regarding statewide assessment transition activities were provided at each regularly scheduled SBE meeting.</w:t>
            </w:r>
          </w:p>
          <w:p w14:paraId="76289959" w14:textId="77777777" w:rsidR="00C46B2E" w:rsidRPr="00625BEB" w:rsidRDefault="00C46B2E" w:rsidP="000A3682">
            <w:pPr>
              <w:pStyle w:val="ListParagraph"/>
              <w:numPr>
                <w:ilvl w:val="0"/>
                <w:numId w:val="22"/>
              </w:numPr>
              <w:spacing w:before="120" w:after="120"/>
              <w:ind w:right="180"/>
              <w:rPr>
                <w:rFonts w:cs="Arial"/>
                <w:sz w:val="18"/>
                <w:szCs w:val="18"/>
              </w:rPr>
            </w:pPr>
            <w:r w:rsidRPr="00F13554">
              <w:rPr>
                <w:rFonts w:cs="Arial"/>
                <w:sz w:val="18"/>
                <w:szCs w:val="18"/>
              </w:rPr>
              <w:t xml:space="preserve">In January 2016, the SBE adopted the general (policy) performance level descriptors (PLDs) for the CAAs. </w:t>
            </w:r>
            <w:r w:rsidRPr="00F13554">
              <w:rPr>
                <w:rFonts w:cs="Arial"/>
                <w:sz w:val="18"/>
                <w:szCs w:val="18"/>
                <w:lang w:val="en"/>
              </w:rPr>
              <w:t>General PLDs are short descriptors</w:t>
            </w:r>
            <w:r w:rsidRPr="00F13554">
              <w:rPr>
                <w:rFonts w:cs="Arial"/>
                <w:sz w:val="18"/>
                <w:szCs w:val="18"/>
              </w:rPr>
              <w:t xml:space="preserve"> that convey the degree of student achievement in a given achievement level</w:t>
            </w:r>
            <w:r>
              <w:rPr>
                <w:rFonts w:cs="Arial"/>
                <w:sz w:val="18"/>
                <w:szCs w:val="18"/>
              </w:rPr>
              <w:t xml:space="preserve">. The PLDs are detailed in Item 7 of the January 2016 SBE meeting agenda, which is posted at </w:t>
            </w:r>
            <w:hyperlink r:id="rId20" w:history="1">
              <w:r w:rsidRPr="00F13554">
                <w:rPr>
                  <w:rStyle w:val="Hyperlink"/>
                  <w:rFonts w:cs="Arial"/>
                  <w:sz w:val="18"/>
                  <w:szCs w:val="18"/>
                  <w:lang w:val="en"/>
                </w:rPr>
                <w:t>http://www.cde.ca.gov/be/ag/ag/yr16/documents/jan16item07.doc</w:t>
              </w:r>
            </w:hyperlink>
            <w:r w:rsidRPr="00F13554">
              <w:rPr>
                <w:rFonts w:cs="Arial"/>
                <w:sz w:val="18"/>
                <w:szCs w:val="18"/>
                <w:lang w:val="en"/>
              </w:rPr>
              <w:t>.</w:t>
            </w:r>
          </w:p>
          <w:p w14:paraId="0E8FF222" w14:textId="77777777" w:rsidR="00C46B2E" w:rsidRDefault="00C46B2E" w:rsidP="000A3682">
            <w:pPr>
              <w:pStyle w:val="ListParagraph"/>
              <w:numPr>
                <w:ilvl w:val="0"/>
                <w:numId w:val="22"/>
              </w:numPr>
              <w:spacing w:before="120" w:after="120"/>
              <w:ind w:right="180"/>
              <w:rPr>
                <w:rFonts w:cs="Arial"/>
                <w:sz w:val="18"/>
                <w:szCs w:val="18"/>
              </w:rPr>
            </w:pPr>
            <w:r w:rsidRPr="00625BEB">
              <w:rPr>
                <w:rFonts w:cs="Arial"/>
                <w:sz w:val="18"/>
                <w:szCs w:val="18"/>
              </w:rPr>
              <w:t xml:space="preserve">In March 2016, the CDE released its </w:t>
            </w:r>
            <w:r w:rsidRPr="00625BEB">
              <w:rPr>
                <w:rFonts w:cs="Arial"/>
                <w:i/>
                <w:sz w:val="18"/>
                <w:szCs w:val="18"/>
              </w:rPr>
              <w:t>Recommendations for Expanding California’s Comprehensive Assessment System</w:t>
            </w:r>
            <w:r w:rsidRPr="00625BEB">
              <w:rPr>
                <w:rFonts w:cs="Arial"/>
                <w:sz w:val="18"/>
                <w:szCs w:val="18"/>
              </w:rPr>
              <w:t xml:space="preserve">. The document is posted on the CDE Implementation of </w:t>
            </w:r>
            <w:r w:rsidRPr="00625BEB">
              <w:rPr>
                <w:rFonts w:cs="Arial"/>
                <w:sz w:val="18"/>
                <w:szCs w:val="18"/>
              </w:rPr>
              <w:lastRenderedPageBreak/>
              <w:t xml:space="preserve">CAASPP Web page at </w:t>
            </w:r>
            <w:hyperlink r:id="rId21" w:history="1">
              <w:r w:rsidRPr="00625BEB">
                <w:rPr>
                  <w:rStyle w:val="Hyperlink"/>
                  <w:rFonts w:cs="Arial"/>
                  <w:sz w:val="18"/>
                  <w:szCs w:val="18"/>
                </w:rPr>
                <w:t>http://www.cde.ca.gov/ta/tg/ca/caasppimplementation.asp</w:t>
              </w:r>
            </w:hyperlink>
            <w:r w:rsidRPr="00625BEB">
              <w:rPr>
                <w:rFonts w:cs="Arial"/>
                <w:sz w:val="18"/>
                <w:szCs w:val="18"/>
              </w:rPr>
              <w:t>.</w:t>
            </w:r>
          </w:p>
          <w:p w14:paraId="4348BB86" w14:textId="77777777" w:rsidR="00C46B2E" w:rsidRPr="008F198D" w:rsidRDefault="00C46B2E" w:rsidP="000A3682">
            <w:pPr>
              <w:pStyle w:val="ListParagraph"/>
              <w:spacing w:before="120" w:after="120"/>
              <w:ind w:right="180"/>
              <w:rPr>
                <w:rFonts w:cs="Arial"/>
                <w:sz w:val="4"/>
                <w:szCs w:val="4"/>
              </w:rPr>
            </w:pPr>
          </w:p>
          <w:p w14:paraId="584ECDDC" w14:textId="77777777" w:rsidR="00C46B2E" w:rsidRPr="00871205" w:rsidRDefault="00C46B2E" w:rsidP="000A3682">
            <w:pPr>
              <w:numPr>
                <w:ilvl w:val="0"/>
                <w:numId w:val="22"/>
              </w:numPr>
              <w:spacing w:before="120" w:after="120"/>
              <w:ind w:right="180"/>
              <w:rPr>
                <w:rFonts w:cs="Arial"/>
                <w:sz w:val="18"/>
                <w:szCs w:val="18"/>
                <w:lang w:val="en"/>
              </w:rPr>
            </w:pPr>
            <w:r w:rsidRPr="00871205">
              <w:rPr>
                <w:rFonts w:cs="Arial"/>
                <w:sz w:val="18"/>
                <w:szCs w:val="18"/>
              </w:rPr>
              <w:t xml:space="preserve">In May 2016, the SBE </w:t>
            </w:r>
            <w:r w:rsidRPr="00871205">
              <w:rPr>
                <w:rFonts w:cs="Arial"/>
                <w:sz w:val="18"/>
                <w:szCs w:val="18"/>
                <w:lang w:val="en"/>
              </w:rPr>
              <w:t xml:space="preserve">adopted the PLDs for the CAAs. These are descriptors of what students at each achievement level know and can do by grade level and content area </w:t>
            </w:r>
            <w:r w:rsidRPr="00871205">
              <w:rPr>
                <w:rFonts w:cs="Arial"/>
                <w:sz w:val="18"/>
                <w:szCs w:val="18"/>
              </w:rPr>
              <w:t>(i.e., limited understanding [Level 1 – Alternate], foundational understanding [Level 2 – Alternate], or an understanding [Level 3 – Alternate])</w:t>
            </w:r>
            <w:r>
              <w:rPr>
                <w:rFonts w:cs="Arial"/>
                <w:sz w:val="18"/>
                <w:szCs w:val="18"/>
              </w:rPr>
              <w:t xml:space="preserve">. The PLDs are detailed in Item 7 of the May 2016 SBE meeting agenda, which is posted at </w:t>
            </w:r>
            <w:hyperlink r:id="rId22" w:history="1">
              <w:r w:rsidRPr="00871205">
                <w:rPr>
                  <w:rStyle w:val="Hyperlink"/>
                  <w:rFonts w:cs="Arial"/>
                  <w:sz w:val="18"/>
                  <w:szCs w:val="18"/>
                  <w:lang w:val="en"/>
                </w:rPr>
                <w:t>http://www.cde.ca.gov/be/ag/ag/yr16/documents/may16item07.doc</w:t>
              </w:r>
            </w:hyperlink>
            <w:r>
              <w:rPr>
                <w:rFonts w:cs="Arial"/>
                <w:sz w:val="18"/>
                <w:szCs w:val="18"/>
                <w:lang w:val="en"/>
              </w:rPr>
              <w:t xml:space="preserve">. In </w:t>
            </w:r>
            <w:r w:rsidRPr="00871205">
              <w:rPr>
                <w:rFonts w:cs="Arial"/>
                <w:sz w:val="18"/>
                <w:szCs w:val="18"/>
                <w:lang w:val="en"/>
              </w:rPr>
              <w:t xml:space="preserve">addition, the SBE adopted the 2015–16 CAASPP CAA Student Score Report (SSR) templates. </w:t>
            </w:r>
          </w:p>
          <w:p w14:paraId="623C4404" w14:textId="77777777" w:rsidR="00C46B2E" w:rsidRDefault="00C46B2E" w:rsidP="000A3682">
            <w:pPr>
              <w:pStyle w:val="ListParagraph"/>
              <w:numPr>
                <w:ilvl w:val="0"/>
                <w:numId w:val="22"/>
              </w:numPr>
              <w:spacing w:after="120"/>
              <w:ind w:right="180"/>
              <w:contextualSpacing/>
              <w:rPr>
                <w:rFonts w:cs="Arial"/>
                <w:sz w:val="18"/>
                <w:szCs w:val="18"/>
                <w:lang w:val="en"/>
              </w:rPr>
            </w:pPr>
            <w:r w:rsidRPr="00F13554">
              <w:rPr>
                <w:rFonts w:eastAsia="Calibri" w:cs="Arial"/>
                <w:sz w:val="18"/>
                <w:szCs w:val="18"/>
              </w:rPr>
              <w:t xml:space="preserve">In July 2016, the SBE approved the test design for the development and administration of the CAA for Science, allowing the CDE to commence work on the development of the pilot plan and the materials for the spring 2017 pilot test </w:t>
            </w:r>
            <w:r w:rsidRPr="00625BEB">
              <w:rPr>
                <w:rFonts w:cs="Arial"/>
                <w:sz w:val="18"/>
                <w:szCs w:val="18"/>
                <w:lang w:val="en"/>
              </w:rPr>
              <w:t xml:space="preserve">administration. </w:t>
            </w:r>
          </w:p>
          <w:p w14:paraId="3D0A3827" w14:textId="77777777" w:rsidR="00C46B2E" w:rsidRPr="00625BEB" w:rsidRDefault="00C46B2E" w:rsidP="000A3682">
            <w:pPr>
              <w:pStyle w:val="ListParagraph"/>
              <w:ind w:right="180"/>
              <w:contextualSpacing/>
              <w:rPr>
                <w:rFonts w:cs="Arial"/>
                <w:sz w:val="12"/>
                <w:szCs w:val="12"/>
                <w:lang w:val="en"/>
              </w:rPr>
            </w:pPr>
          </w:p>
          <w:p w14:paraId="4C18FCD2" w14:textId="77777777" w:rsidR="00C46B2E" w:rsidRPr="00625BEB" w:rsidRDefault="00C46B2E" w:rsidP="000A3682">
            <w:pPr>
              <w:pStyle w:val="ListParagraph"/>
              <w:numPr>
                <w:ilvl w:val="0"/>
                <w:numId w:val="22"/>
              </w:numPr>
              <w:spacing w:after="120"/>
              <w:ind w:right="180"/>
              <w:contextualSpacing/>
              <w:rPr>
                <w:rFonts w:cs="Arial"/>
                <w:sz w:val="18"/>
                <w:szCs w:val="18"/>
              </w:rPr>
            </w:pPr>
            <w:r w:rsidRPr="00F13554">
              <w:rPr>
                <w:rFonts w:cs="Arial"/>
                <w:color w:val="000000"/>
                <w:sz w:val="18"/>
                <w:szCs w:val="18"/>
                <w:lang w:val="en"/>
              </w:rPr>
              <w:t>In September 2016, the SBE</w:t>
            </w:r>
            <w:r w:rsidRPr="00F13554">
              <w:rPr>
                <w:rFonts w:cs="Arial"/>
                <w:b/>
                <w:color w:val="000000"/>
                <w:sz w:val="18"/>
                <w:szCs w:val="18"/>
                <w:lang w:val="en"/>
              </w:rPr>
              <w:t xml:space="preserve"> </w:t>
            </w:r>
            <w:r w:rsidRPr="00F13554">
              <w:rPr>
                <w:rFonts w:cs="Arial"/>
                <w:sz w:val="18"/>
                <w:szCs w:val="18"/>
              </w:rPr>
              <w:t>adopted the CDE’s proposed threshold scores for the CAAs for ELA and mathematics</w:t>
            </w:r>
            <w:r>
              <w:rPr>
                <w:rFonts w:cs="Arial"/>
                <w:sz w:val="18"/>
                <w:szCs w:val="18"/>
              </w:rPr>
              <w:t xml:space="preserve">. </w:t>
            </w:r>
            <w:r w:rsidRPr="00F13554">
              <w:rPr>
                <w:rFonts w:cs="Arial"/>
                <w:sz w:val="18"/>
                <w:szCs w:val="18"/>
              </w:rPr>
              <w:t xml:space="preserve">(Threshold scores determine the “entry” and/or “exit” points between the respective achievement levels that describe three levels of performance on the CAAs). </w:t>
            </w:r>
            <w:r>
              <w:rPr>
                <w:rFonts w:cs="Arial"/>
                <w:sz w:val="18"/>
                <w:szCs w:val="18"/>
              </w:rPr>
              <w:t>The proposed threshold scores appear in the addendum to Item 4 of the September 2016 SBE meeting agenda at</w:t>
            </w:r>
            <w:r w:rsidRPr="00F13554">
              <w:rPr>
                <w:rFonts w:cs="Arial"/>
                <w:sz w:val="18"/>
                <w:szCs w:val="18"/>
              </w:rPr>
              <w:t xml:space="preserve"> </w:t>
            </w:r>
            <w:hyperlink r:id="rId23" w:history="1">
              <w:r w:rsidRPr="00F13554">
                <w:rPr>
                  <w:rStyle w:val="Hyperlink"/>
                  <w:rFonts w:eastAsia="Calibri" w:cs="Arial"/>
                  <w:sz w:val="18"/>
                  <w:szCs w:val="18"/>
                </w:rPr>
                <w:t>http://www.cde.ca.gov/be/ag/ag/yr16/documents/sep16item04addendum.doc</w:t>
              </w:r>
            </w:hyperlink>
            <w:r w:rsidRPr="00871205">
              <w:rPr>
                <w:rStyle w:val="Hyperlink"/>
                <w:rFonts w:eastAsia="Calibri" w:cs="Arial"/>
                <w:sz w:val="18"/>
                <w:szCs w:val="18"/>
                <w:u w:val="none"/>
              </w:rPr>
              <w:t>.</w:t>
            </w:r>
          </w:p>
        </w:tc>
      </w:tr>
      <w:tr w:rsidR="00C46B2E" w:rsidRPr="00F113F1" w14:paraId="77D925F5" w14:textId="77777777" w:rsidTr="000A3682">
        <w:tc>
          <w:tcPr>
            <w:tcW w:w="1797" w:type="dxa"/>
            <w:shd w:val="clear" w:color="auto" w:fill="C6D9F1"/>
            <w:vAlign w:val="center"/>
          </w:tcPr>
          <w:p w14:paraId="42F615B0" w14:textId="77777777" w:rsidR="00C46B2E" w:rsidRPr="00F113F1" w:rsidRDefault="00C46B2E" w:rsidP="000A3682">
            <w:pPr>
              <w:spacing w:before="120" w:after="120"/>
              <w:rPr>
                <w:rFonts w:cs="Arial"/>
                <w:b/>
                <w:sz w:val="18"/>
                <w:szCs w:val="18"/>
              </w:rPr>
            </w:pPr>
            <w:r w:rsidRPr="00F113F1">
              <w:rPr>
                <w:rFonts w:cs="Arial"/>
                <w:b/>
                <w:sz w:val="18"/>
                <w:szCs w:val="18"/>
              </w:rPr>
              <w:lastRenderedPageBreak/>
              <w:t>Informational Materials</w:t>
            </w:r>
          </w:p>
          <w:p w14:paraId="75AADA06" w14:textId="77777777" w:rsidR="00C46B2E" w:rsidRPr="00F113F1" w:rsidRDefault="00C46B2E" w:rsidP="000A3682">
            <w:pPr>
              <w:spacing w:before="120" w:after="120"/>
              <w:rPr>
                <w:rFonts w:cs="Arial"/>
                <w:b/>
                <w:sz w:val="18"/>
                <w:szCs w:val="18"/>
              </w:rPr>
            </w:pPr>
            <w:r w:rsidRPr="00F113F1">
              <w:rPr>
                <w:rFonts w:cs="Arial"/>
                <w:sz w:val="18"/>
                <w:szCs w:val="18"/>
              </w:rPr>
              <w:t>(</w:t>
            </w:r>
            <w:r w:rsidRPr="00F113F1">
              <w:rPr>
                <w:rFonts w:cs="Arial"/>
                <w:i/>
                <w:sz w:val="18"/>
                <w:szCs w:val="18"/>
              </w:rPr>
              <w:t>EC</w:t>
            </w:r>
            <w:r w:rsidRPr="00F113F1">
              <w:rPr>
                <w:rFonts w:cs="Arial"/>
                <w:sz w:val="18"/>
                <w:szCs w:val="18"/>
              </w:rPr>
              <w:t xml:space="preserve"> Section 60604[d])</w:t>
            </w:r>
          </w:p>
        </w:tc>
        <w:tc>
          <w:tcPr>
            <w:tcW w:w="5850" w:type="dxa"/>
            <w:shd w:val="clear" w:color="auto" w:fill="auto"/>
            <w:tcMar>
              <w:top w:w="29" w:type="dxa"/>
              <w:left w:w="115" w:type="dxa"/>
              <w:bottom w:w="29" w:type="dxa"/>
              <w:right w:w="115" w:type="dxa"/>
            </w:tcMar>
          </w:tcPr>
          <w:p w14:paraId="367B1742" w14:textId="77777777" w:rsidR="00C46B2E" w:rsidRPr="002A0889" w:rsidRDefault="00C46B2E" w:rsidP="000A3682">
            <w:pPr>
              <w:pStyle w:val="ListParagraph"/>
              <w:numPr>
                <w:ilvl w:val="0"/>
                <w:numId w:val="1"/>
              </w:numPr>
              <w:spacing w:before="120" w:after="120"/>
              <w:rPr>
                <w:rFonts w:cs="Arial"/>
                <w:color w:val="FF0000"/>
                <w:sz w:val="18"/>
                <w:szCs w:val="18"/>
              </w:rPr>
            </w:pPr>
            <w:r w:rsidRPr="002A0889">
              <w:rPr>
                <w:rFonts w:cs="Arial"/>
                <w:sz w:val="18"/>
                <w:szCs w:val="18"/>
              </w:rPr>
              <w:t xml:space="preserve">In October 2013, the CDE, with the assistance of the San Joaquin County Office of Education (SJCOE), held two Assessment and Accountability Information Meetings for LEA testing and accountability coordinators (one meeting in the northern and one in the southern region of the state). In addition, informational materials were posted on the CDE Assessment Information Web page at </w:t>
            </w:r>
            <w:hyperlink r:id="rId24" w:history="1">
              <w:r w:rsidRPr="002A0889">
                <w:rPr>
                  <w:rStyle w:val="Hyperlink"/>
                  <w:rFonts w:cs="Arial"/>
                  <w:sz w:val="18"/>
                  <w:szCs w:val="18"/>
                </w:rPr>
                <w:t>http://www.cde.ca.gov/ta/tg/ai/</w:t>
              </w:r>
            </w:hyperlink>
            <w:r w:rsidRPr="002A0889">
              <w:rPr>
                <w:rStyle w:val="Hyperlink"/>
                <w:rFonts w:cs="Arial"/>
                <w:sz w:val="18"/>
                <w:szCs w:val="18"/>
              </w:rPr>
              <w:t>.</w:t>
            </w:r>
            <w:r w:rsidRPr="002A0889">
              <w:rPr>
                <w:rFonts w:cs="Arial"/>
                <w:color w:val="FF0000"/>
                <w:sz w:val="18"/>
                <w:szCs w:val="18"/>
              </w:rPr>
              <w:t xml:space="preserve"> </w:t>
            </w:r>
          </w:p>
          <w:p w14:paraId="2B381B37"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The CDE created new public Web pages available to provide information regarding CAASPP. In addition, the CDE created an e-mail listserv and contractor technical assistance center for CAASPP.</w:t>
            </w:r>
          </w:p>
          <w:p w14:paraId="2278D776"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 xml:space="preserve">CAASPP informational materials for LEAs were developed and </w:t>
            </w:r>
            <w:r w:rsidRPr="002A0889">
              <w:rPr>
                <w:rFonts w:cs="Arial"/>
                <w:sz w:val="18"/>
                <w:szCs w:val="18"/>
              </w:rPr>
              <w:lastRenderedPageBreak/>
              <w:t>disseminated for the 2013–14 Smarter Balanced Field Test. Revisions were made specific to the 2014–15 test administration.</w:t>
            </w:r>
          </w:p>
          <w:p w14:paraId="10EE927A"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A CDE CAASPP Web page</w:t>
            </w:r>
            <w:r>
              <w:rPr>
                <w:rFonts w:cs="Arial"/>
                <w:sz w:val="18"/>
                <w:szCs w:val="18"/>
              </w:rPr>
              <w:t>, at</w:t>
            </w:r>
            <w:r w:rsidRPr="002A0889">
              <w:rPr>
                <w:rFonts w:cs="Arial"/>
                <w:sz w:val="18"/>
                <w:szCs w:val="18"/>
              </w:rPr>
              <w:t xml:space="preserve"> </w:t>
            </w:r>
            <w:hyperlink r:id="rId25" w:history="1">
              <w:r w:rsidRPr="002A0889">
                <w:rPr>
                  <w:rStyle w:val="Hyperlink"/>
                  <w:rFonts w:cs="Arial"/>
                  <w:sz w:val="18"/>
                  <w:szCs w:val="18"/>
                </w:rPr>
                <w:t>http://www.cde.ca.gov/ta/tg/ca/</w:t>
              </w:r>
            </w:hyperlink>
            <w:r w:rsidRPr="00006D5A">
              <w:rPr>
                <w:rStyle w:val="Hyperlink"/>
                <w:rFonts w:cs="Arial"/>
                <w:color w:val="auto"/>
                <w:sz w:val="18"/>
                <w:szCs w:val="18"/>
                <w:u w:val="none"/>
              </w:rPr>
              <w:t>,</w:t>
            </w:r>
            <w:r w:rsidRPr="002A0889">
              <w:rPr>
                <w:rFonts w:cs="Arial"/>
                <w:sz w:val="18"/>
                <w:szCs w:val="18"/>
              </w:rPr>
              <w:t xml:space="preserve"> was created in 2014, updated throughout 2014 and 2015, and maintained to provide current information about the CAASPP System. </w:t>
            </w:r>
          </w:p>
          <w:p w14:paraId="2B76062C"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 xml:space="preserve">A </w:t>
            </w:r>
            <w:r>
              <w:rPr>
                <w:rFonts w:cs="Arial"/>
                <w:sz w:val="18"/>
                <w:szCs w:val="18"/>
              </w:rPr>
              <w:t xml:space="preserve">second CAASPP </w:t>
            </w:r>
            <w:r w:rsidRPr="002A0889">
              <w:rPr>
                <w:rFonts w:cs="Arial"/>
                <w:sz w:val="18"/>
                <w:szCs w:val="18"/>
              </w:rPr>
              <w:t xml:space="preserve">Web site, </w:t>
            </w:r>
            <w:r>
              <w:rPr>
                <w:rFonts w:cs="Arial"/>
                <w:sz w:val="18"/>
                <w:szCs w:val="18"/>
              </w:rPr>
              <w:t xml:space="preserve">at </w:t>
            </w:r>
            <w:hyperlink r:id="rId26" w:history="1">
              <w:r w:rsidRPr="002A0889">
                <w:rPr>
                  <w:rStyle w:val="Hyperlink"/>
                  <w:rFonts w:cs="Arial"/>
                  <w:sz w:val="18"/>
                  <w:szCs w:val="18"/>
                </w:rPr>
                <w:t>http://www.caaspp.org</w:t>
              </w:r>
            </w:hyperlink>
            <w:r w:rsidRPr="002A0889">
              <w:rPr>
                <w:rFonts w:cs="Arial"/>
                <w:sz w:val="18"/>
                <w:szCs w:val="18"/>
              </w:rPr>
              <w:t>, became operational in January 2014</w:t>
            </w:r>
            <w:r>
              <w:rPr>
                <w:rFonts w:cs="Arial"/>
                <w:sz w:val="18"/>
                <w:szCs w:val="18"/>
              </w:rPr>
              <w:t xml:space="preserve">. This Web site was developed to support the CAASPP test administration, providing </w:t>
            </w:r>
            <w:r w:rsidRPr="002A0889">
              <w:rPr>
                <w:rFonts w:cs="Arial"/>
                <w:sz w:val="18"/>
                <w:szCs w:val="18"/>
              </w:rPr>
              <w:t>manuals, training videos, forms</w:t>
            </w:r>
            <w:r>
              <w:rPr>
                <w:rFonts w:cs="Arial"/>
                <w:sz w:val="18"/>
                <w:szCs w:val="18"/>
              </w:rPr>
              <w:t>,</w:t>
            </w:r>
            <w:r w:rsidRPr="002A0889">
              <w:rPr>
                <w:rFonts w:cs="Arial"/>
                <w:sz w:val="18"/>
                <w:szCs w:val="18"/>
              </w:rPr>
              <w:t xml:space="preserve"> instruction sheets, calendars, and other information for LEAs regarding the administration of CAASPP.</w:t>
            </w:r>
            <w:r>
              <w:rPr>
                <w:rFonts w:cs="Arial"/>
                <w:sz w:val="18"/>
                <w:szCs w:val="18"/>
              </w:rPr>
              <w:t xml:space="preserve"> The site is </w:t>
            </w:r>
            <w:r w:rsidRPr="002A0889">
              <w:rPr>
                <w:rFonts w:cs="Arial"/>
                <w:sz w:val="18"/>
                <w:szCs w:val="18"/>
              </w:rPr>
              <w:t xml:space="preserve">maintained by </w:t>
            </w:r>
            <w:r>
              <w:rPr>
                <w:rFonts w:cs="Arial"/>
                <w:sz w:val="18"/>
                <w:szCs w:val="18"/>
              </w:rPr>
              <w:t xml:space="preserve">ETS, </w:t>
            </w:r>
            <w:r w:rsidRPr="002A0889">
              <w:rPr>
                <w:rFonts w:cs="Arial"/>
                <w:sz w:val="18"/>
                <w:szCs w:val="18"/>
              </w:rPr>
              <w:t>the CAASPP contractor</w:t>
            </w:r>
            <w:r>
              <w:rPr>
                <w:rFonts w:cs="Arial"/>
                <w:sz w:val="18"/>
                <w:szCs w:val="18"/>
              </w:rPr>
              <w:t>, and</w:t>
            </w:r>
            <w:r w:rsidRPr="002A0889">
              <w:rPr>
                <w:rFonts w:cs="Arial"/>
                <w:sz w:val="18"/>
                <w:szCs w:val="18"/>
              </w:rPr>
              <w:t xml:space="preserve"> has been continually updated to ensure that its information on CAASPP administration processes and protocols is current.</w:t>
            </w:r>
          </w:p>
          <w:p w14:paraId="69D79422"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 xml:space="preserve">Two CDE informational newsletters, </w:t>
            </w:r>
            <w:r w:rsidRPr="002A0889">
              <w:rPr>
                <w:rFonts w:cs="Arial"/>
                <w:i/>
                <w:sz w:val="18"/>
                <w:szCs w:val="18"/>
              </w:rPr>
              <w:t>CAASPP Flash</w:t>
            </w:r>
            <w:r w:rsidRPr="002A0889">
              <w:rPr>
                <w:rFonts w:cs="Arial"/>
                <w:sz w:val="18"/>
                <w:szCs w:val="18"/>
              </w:rPr>
              <w:t xml:space="preserve"> and </w:t>
            </w:r>
            <w:r w:rsidRPr="002A0889">
              <w:rPr>
                <w:rFonts w:cs="Arial"/>
                <w:i/>
                <w:sz w:val="18"/>
                <w:szCs w:val="18"/>
              </w:rPr>
              <w:t>CAASPP Update</w:t>
            </w:r>
            <w:r w:rsidRPr="002A0889">
              <w:rPr>
                <w:rFonts w:cs="Arial"/>
                <w:sz w:val="18"/>
                <w:szCs w:val="18"/>
              </w:rPr>
              <w:t>, were disseminated periodically to all CAASPP coordinators and CAASPP listserv subscribers, alerting them to the latest information about the testing program.</w:t>
            </w:r>
          </w:p>
          <w:p w14:paraId="0E5AC781"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In October 2014, two Assessment and Accountability Information Meetings were held for LEA testing and accountability coordinators (one meeting in the northern region and one in the southern region of the state).</w:t>
            </w:r>
          </w:p>
          <w:p w14:paraId="4BA44999"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In January and February 2015, ETS, on behalf of the CDE, conducted in-person regional workshops at 17 different sites and a live Webcast for LEA CAASPP coordinators and technology coordinators for the Smarter Balanced Summative Assessments. In addition, this training included an overview of the interim assessments and the Digital Library.</w:t>
            </w:r>
          </w:p>
          <w:p w14:paraId="78A85316"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The CDE, with the assistance of the SJCOE, reestablished the RAN bimonthly meetings with regional assessment liaisons to provide information on various assessment topics, including Smarter Balanced assessment activities, and provide regional assessment liaisons an opportunity to share their resources for reaching out to schools, families, and community representatives.</w:t>
            </w:r>
          </w:p>
          <w:p w14:paraId="6C887165"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In August 2015, a parent guide and video were developed in order to assist parents and guardians in understanding the SSRs.</w:t>
            </w:r>
          </w:p>
          <w:p w14:paraId="49731A04"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 xml:space="preserve">In September and November 2015, two Assessment and Accountability Information Meetings were held for LEA testing and accountability coordinators (one meeting in the northern region </w:t>
            </w:r>
            <w:r w:rsidRPr="002A0889">
              <w:rPr>
                <w:rFonts w:cs="Arial"/>
                <w:sz w:val="18"/>
                <w:szCs w:val="18"/>
              </w:rPr>
              <w:lastRenderedPageBreak/>
              <w:t>and one in the southern region of the state).</w:t>
            </w:r>
          </w:p>
          <w:p w14:paraId="5FB9DBB3"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In February through April 2015, Senior Assessment Fellows conducted multiple informational workshops, providing CAASPP updates and supports to LEA administrators and staff.</w:t>
            </w:r>
          </w:p>
          <w:p w14:paraId="782E5078"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In May 2015,</w:t>
            </w:r>
            <w:r w:rsidRPr="002A0889">
              <w:rPr>
                <w:rFonts w:cs="Arial"/>
                <w:snapToGrid/>
                <w:sz w:val="18"/>
                <w:szCs w:val="18"/>
              </w:rPr>
              <w:t xml:space="preserve"> </w:t>
            </w:r>
            <w:r w:rsidRPr="002A0889">
              <w:rPr>
                <w:rFonts w:cs="Arial"/>
                <w:sz w:val="18"/>
                <w:szCs w:val="18"/>
              </w:rPr>
              <w:t xml:space="preserve">five in-person Post-Test Workshops were conducted across the state to inform LEA’s interpretation and use of the 2015 CAASPP assessment student results and reports. The workshops provided high-level information on the scoring of the Smarter Balanced online summative assessments, described the various components of the new reports, and reviewed how to use the Online Reporting System (ORS). </w:t>
            </w:r>
          </w:p>
          <w:p w14:paraId="23D201C2"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In August 2015, Summer Scoring Workshops were conducted that provided support to LEA staff in understanding the hand scoring of the Smarter Balanced assessments. Each of the eight one-day regional workshops trained educators on the use of the Smarter Balanced rubrics to score student responses.</w:t>
            </w:r>
          </w:p>
          <w:p w14:paraId="4A9A342F" w14:textId="77777777" w:rsidR="00C46B2E" w:rsidRPr="002A0889" w:rsidRDefault="00C46B2E" w:rsidP="000A3682">
            <w:pPr>
              <w:pStyle w:val="ListParagraph"/>
              <w:numPr>
                <w:ilvl w:val="0"/>
                <w:numId w:val="1"/>
              </w:numPr>
              <w:spacing w:before="120" w:after="120"/>
              <w:rPr>
                <w:rFonts w:cs="Arial"/>
                <w:sz w:val="18"/>
                <w:szCs w:val="18"/>
              </w:rPr>
            </w:pPr>
            <w:r w:rsidRPr="002A0889">
              <w:rPr>
                <w:rFonts w:cs="Arial"/>
                <w:sz w:val="18"/>
                <w:szCs w:val="18"/>
              </w:rPr>
              <w:t>In October through December 2015, regional in-person CAASPP Institutes were provided to teams of LEA staff. The CAASPP Institutes consisted of a two-part workshop designed to provide professional development for teams at schools and school districts throughout the state on how to best use all components of the CAASPP System, including the summative assessments, the interim assessments, and the Digital Library provided by Smarter Balanced, to improve teaching and learning.</w:t>
            </w:r>
          </w:p>
        </w:tc>
        <w:tc>
          <w:tcPr>
            <w:tcW w:w="6120" w:type="dxa"/>
            <w:shd w:val="clear" w:color="auto" w:fill="auto"/>
            <w:tcMar>
              <w:top w:w="29" w:type="dxa"/>
              <w:left w:w="115" w:type="dxa"/>
              <w:bottom w:w="29" w:type="dxa"/>
              <w:right w:w="115" w:type="dxa"/>
            </w:tcMar>
          </w:tcPr>
          <w:p w14:paraId="18D0DE92" w14:textId="77777777" w:rsidR="00C46B2E" w:rsidRPr="004D7051" w:rsidRDefault="00C46B2E" w:rsidP="000A3682">
            <w:pPr>
              <w:pStyle w:val="ListParagraph"/>
              <w:numPr>
                <w:ilvl w:val="0"/>
                <w:numId w:val="1"/>
              </w:numPr>
              <w:rPr>
                <w:rFonts w:cs="Arial"/>
                <w:snapToGrid/>
                <w:color w:val="0070C0"/>
                <w:sz w:val="18"/>
                <w:szCs w:val="18"/>
              </w:rPr>
            </w:pPr>
            <w:r w:rsidRPr="004D7051">
              <w:rPr>
                <w:sz w:val="18"/>
                <w:szCs w:val="18"/>
              </w:rPr>
              <w:lastRenderedPageBreak/>
              <w:t xml:space="preserve">In spring 2016, 17 one-day CAASPP Institutes were held throughout the state. </w:t>
            </w:r>
            <w:r w:rsidRPr="004D7051">
              <w:rPr>
                <w:color w:val="000000"/>
                <w:sz w:val="18"/>
                <w:szCs w:val="18"/>
              </w:rPr>
              <w:t xml:space="preserve">The spring CAASPP Institutes were designed to provide follow-up support to schools and school districts on how best to utilize the CAASPP System results, resources, and tools. A total of 525 participants attended the spring institutes. Details on the institutes appear in the </w:t>
            </w:r>
            <w:r w:rsidRPr="004D7051">
              <w:rPr>
                <w:sz w:val="18"/>
                <w:szCs w:val="18"/>
              </w:rPr>
              <w:t xml:space="preserve">January 2017 </w:t>
            </w:r>
            <w:r w:rsidRPr="004D7051">
              <w:rPr>
                <w:rFonts w:cs="Arial"/>
                <w:bCs/>
                <w:i/>
                <w:snapToGrid/>
                <w:color w:val="000000"/>
                <w:sz w:val="18"/>
                <w:szCs w:val="18"/>
              </w:rPr>
              <w:t>Report to the Governor, the State Legislature, and the Legislative Analyst’s Office: California Assessment of Student Performance and Progress—Report on Interim and Formative Assessment Tools</w:t>
            </w:r>
            <w:r w:rsidRPr="004D7051">
              <w:rPr>
                <w:rFonts w:cs="Arial"/>
                <w:bCs/>
                <w:snapToGrid/>
                <w:color w:val="000000"/>
                <w:sz w:val="18"/>
                <w:szCs w:val="18"/>
              </w:rPr>
              <w:t>, which is posted</w:t>
            </w:r>
            <w:r w:rsidRPr="004D7051">
              <w:rPr>
                <w:rFonts w:cs="Arial"/>
                <w:bCs/>
                <w:i/>
                <w:color w:val="000000"/>
                <w:sz w:val="18"/>
                <w:szCs w:val="18"/>
              </w:rPr>
              <w:t xml:space="preserve"> </w:t>
            </w:r>
            <w:r w:rsidRPr="004D7051">
              <w:rPr>
                <w:rFonts w:cs="Arial"/>
                <w:bCs/>
                <w:color w:val="000000"/>
                <w:sz w:val="18"/>
                <w:szCs w:val="18"/>
              </w:rPr>
              <w:t>at</w:t>
            </w:r>
            <w:r>
              <w:rPr>
                <w:rFonts w:cs="Arial"/>
                <w:color w:val="0070C0"/>
                <w:szCs w:val="24"/>
              </w:rPr>
              <w:t xml:space="preserve"> </w:t>
            </w:r>
            <w:hyperlink r:id="rId27" w:history="1">
              <w:r w:rsidRPr="008F198D">
                <w:rPr>
                  <w:rStyle w:val="Hyperlink"/>
                  <w:rFonts w:eastAsia="Calibri" w:cs="Arial"/>
                  <w:sz w:val="18"/>
                  <w:szCs w:val="18"/>
                </w:rPr>
                <w:t>http://www.cde.ca.gov/ta/tg/ca/documents/iatoolslegrprt17.pdf</w:t>
              </w:r>
            </w:hyperlink>
            <w:r w:rsidRPr="008F198D">
              <w:rPr>
                <w:rStyle w:val="Hyperlink"/>
                <w:rFonts w:eastAsia="Calibri" w:cs="Arial"/>
                <w:sz w:val="18"/>
                <w:szCs w:val="18"/>
              </w:rPr>
              <w:t>.</w:t>
            </w:r>
            <w:r w:rsidRPr="008F198D">
              <w:rPr>
                <w:rStyle w:val="Hyperlink"/>
                <w:rFonts w:eastAsia="Calibri"/>
              </w:rPr>
              <w:t xml:space="preserve"> </w:t>
            </w:r>
            <w:r w:rsidRPr="004D7051">
              <w:rPr>
                <w:sz w:val="18"/>
                <w:szCs w:val="18"/>
              </w:rPr>
              <w:t>Participants rated the institutes very highly</w:t>
            </w:r>
            <w:r>
              <w:rPr>
                <w:sz w:val="18"/>
                <w:szCs w:val="18"/>
              </w:rPr>
              <w:t>,</w:t>
            </w:r>
            <w:r w:rsidRPr="004D7051">
              <w:rPr>
                <w:sz w:val="18"/>
                <w:szCs w:val="18"/>
              </w:rPr>
              <w:t xml:space="preserve"> as shown in Attachment B of the </w:t>
            </w:r>
            <w:r>
              <w:rPr>
                <w:sz w:val="18"/>
                <w:szCs w:val="18"/>
              </w:rPr>
              <w:t>Report.</w:t>
            </w:r>
          </w:p>
          <w:p w14:paraId="1FF7454F" w14:textId="77777777" w:rsidR="00C46B2E" w:rsidRPr="006F29E4" w:rsidRDefault="00C46B2E" w:rsidP="000A3682">
            <w:pPr>
              <w:pStyle w:val="ListParagraph"/>
              <w:numPr>
                <w:ilvl w:val="0"/>
                <w:numId w:val="1"/>
              </w:numPr>
              <w:spacing w:before="120" w:after="120"/>
              <w:rPr>
                <w:rFonts w:cs="Arial"/>
                <w:sz w:val="18"/>
                <w:szCs w:val="18"/>
              </w:rPr>
            </w:pPr>
            <w:r w:rsidRPr="006F29E4">
              <w:rPr>
                <w:rFonts w:cs="Arial"/>
                <w:sz w:val="18"/>
                <w:szCs w:val="18"/>
              </w:rPr>
              <w:t xml:space="preserve">In September and October 2016, the CDE held two Assessment and </w:t>
            </w:r>
            <w:r w:rsidRPr="006F29E4">
              <w:rPr>
                <w:rFonts w:cs="Arial"/>
                <w:sz w:val="18"/>
                <w:szCs w:val="18"/>
              </w:rPr>
              <w:lastRenderedPageBreak/>
              <w:t xml:space="preserve">Accountability Information Meetings for LEA testing and accountability coordinators (one meeting in the northern and one in the southern region </w:t>
            </w:r>
            <w:r>
              <w:rPr>
                <w:rFonts w:cs="Arial"/>
                <w:sz w:val="18"/>
                <w:szCs w:val="18"/>
              </w:rPr>
              <w:t>o</w:t>
            </w:r>
            <w:r w:rsidRPr="006F29E4">
              <w:rPr>
                <w:rFonts w:cs="Arial"/>
                <w:sz w:val="18"/>
                <w:szCs w:val="18"/>
              </w:rPr>
              <w:t>f the state). Presentation materials and videos are posted on the CDE</w:t>
            </w:r>
            <w:r>
              <w:rPr>
                <w:rFonts w:cs="Arial"/>
                <w:sz w:val="18"/>
                <w:szCs w:val="18"/>
              </w:rPr>
              <w:t xml:space="preserve"> </w:t>
            </w:r>
            <w:r w:rsidRPr="006F29E4">
              <w:rPr>
                <w:rFonts w:cs="Arial"/>
                <w:sz w:val="18"/>
                <w:szCs w:val="18"/>
              </w:rPr>
              <w:t xml:space="preserve">2016 North-South Meeting Web page at </w:t>
            </w:r>
            <w:hyperlink r:id="rId28" w:history="1">
              <w:r w:rsidRPr="006F29E4">
                <w:rPr>
                  <w:rStyle w:val="Hyperlink"/>
                  <w:rFonts w:cs="Arial"/>
                  <w:sz w:val="18"/>
                  <w:szCs w:val="18"/>
                </w:rPr>
                <w:t>http://www.cde.ca.gov/ta/tg/ai/infomeeting.asp</w:t>
              </w:r>
            </w:hyperlink>
            <w:r w:rsidRPr="006F29E4">
              <w:rPr>
                <w:rFonts w:cs="Arial"/>
                <w:sz w:val="18"/>
                <w:szCs w:val="18"/>
              </w:rPr>
              <w:t>.</w:t>
            </w:r>
          </w:p>
          <w:p w14:paraId="6C2A9900" w14:textId="77777777" w:rsidR="00C46B2E" w:rsidRPr="006F29E4" w:rsidRDefault="00C46B2E" w:rsidP="000A3682">
            <w:pPr>
              <w:pStyle w:val="ListParagraph"/>
              <w:numPr>
                <w:ilvl w:val="0"/>
                <w:numId w:val="1"/>
              </w:numPr>
              <w:spacing w:before="120" w:after="120"/>
              <w:rPr>
                <w:rFonts w:cs="Arial"/>
                <w:sz w:val="18"/>
                <w:szCs w:val="18"/>
              </w:rPr>
            </w:pPr>
            <w:r w:rsidRPr="006F29E4">
              <w:rPr>
                <w:rFonts w:cs="Arial"/>
                <w:sz w:val="18"/>
                <w:szCs w:val="18"/>
              </w:rPr>
              <w:t xml:space="preserve">Two CDE informational newsletters, </w:t>
            </w:r>
            <w:r w:rsidRPr="006F29E4">
              <w:rPr>
                <w:rFonts w:cs="Arial"/>
                <w:i/>
                <w:sz w:val="18"/>
                <w:szCs w:val="18"/>
              </w:rPr>
              <w:t>CAASPP Flash</w:t>
            </w:r>
            <w:r w:rsidRPr="006F29E4">
              <w:rPr>
                <w:rFonts w:cs="Arial"/>
                <w:sz w:val="18"/>
                <w:szCs w:val="18"/>
              </w:rPr>
              <w:t xml:space="preserve"> and a weekly </w:t>
            </w:r>
            <w:r w:rsidRPr="006F29E4">
              <w:rPr>
                <w:rFonts w:cs="Arial"/>
                <w:i/>
                <w:sz w:val="18"/>
                <w:szCs w:val="18"/>
              </w:rPr>
              <w:t>CAASPP Update</w:t>
            </w:r>
            <w:r w:rsidRPr="006F29E4">
              <w:rPr>
                <w:rFonts w:cs="Arial"/>
                <w:sz w:val="18"/>
                <w:szCs w:val="18"/>
              </w:rPr>
              <w:t>, were disseminated to all CAASPP coordinators and CAASPP listserv subscribers, alerting them to the latest information about the testing program.</w:t>
            </w:r>
          </w:p>
          <w:p w14:paraId="393C82C5" w14:textId="77777777" w:rsidR="00C46B2E" w:rsidRPr="006F29E4" w:rsidRDefault="00C46B2E" w:rsidP="000A3682">
            <w:pPr>
              <w:pStyle w:val="ListParagraph"/>
              <w:numPr>
                <w:ilvl w:val="0"/>
                <w:numId w:val="1"/>
              </w:numPr>
              <w:spacing w:before="120" w:after="120"/>
              <w:rPr>
                <w:rFonts w:cs="Arial"/>
                <w:sz w:val="18"/>
                <w:szCs w:val="18"/>
              </w:rPr>
            </w:pPr>
            <w:r w:rsidRPr="006F29E4">
              <w:rPr>
                <w:rFonts w:cs="Arial"/>
                <w:sz w:val="18"/>
                <w:szCs w:val="18"/>
              </w:rPr>
              <w:t>The CDE continued to hold bimonthly Regional Assessment Network (RAN) meetings with regional assessment liaisons to provide information on various assessment topics, including Smarter Balanced assessment activities, and provide regional assessment liaisons an opportunity to share their resources for reaching out to schools, families, and community representatives.</w:t>
            </w:r>
          </w:p>
          <w:p w14:paraId="61719D73" w14:textId="77777777" w:rsidR="00C46B2E" w:rsidRPr="006F29E4" w:rsidRDefault="00C46B2E" w:rsidP="000A3682">
            <w:pPr>
              <w:pStyle w:val="ListParagraph"/>
              <w:numPr>
                <w:ilvl w:val="0"/>
                <w:numId w:val="1"/>
              </w:numPr>
              <w:spacing w:before="120" w:after="120"/>
              <w:rPr>
                <w:rFonts w:cs="Arial"/>
                <w:sz w:val="18"/>
                <w:szCs w:val="18"/>
              </w:rPr>
            </w:pPr>
            <w:r w:rsidRPr="006F29E4">
              <w:rPr>
                <w:rFonts w:cs="Arial"/>
                <w:sz w:val="18"/>
                <w:szCs w:val="18"/>
              </w:rPr>
              <w:t>In August 2016, Summer Scoring Workshops were conducted that provided support to LEA staff in understanding the hand scoring of the Smarter Balanced assessments. Each of the eight one-day regional workshops trained educators on the use of the Smarter Balanced rubrics to score student responses.</w:t>
            </w:r>
          </w:p>
          <w:p w14:paraId="5EB23578" w14:textId="77777777" w:rsidR="00C46B2E" w:rsidRPr="006F29E4" w:rsidRDefault="00C46B2E" w:rsidP="000A3682">
            <w:pPr>
              <w:pStyle w:val="ListParagraph"/>
              <w:numPr>
                <w:ilvl w:val="0"/>
                <w:numId w:val="1"/>
              </w:numPr>
              <w:spacing w:before="120" w:after="120"/>
              <w:rPr>
                <w:rFonts w:cs="Arial"/>
                <w:sz w:val="18"/>
                <w:szCs w:val="18"/>
              </w:rPr>
            </w:pPr>
            <w:r w:rsidRPr="006F29E4">
              <w:rPr>
                <w:rFonts w:cs="Arial"/>
                <w:sz w:val="18"/>
                <w:szCs w:val="18"/>
              </w:rPr>
              <w:t>Several new Web-based resources were developed to help parents understand the new SSRs. These include:</w:t>
            </w:r>
          </w:p>
          <w:p w14:paraId="75BA1D9F" w14:textId="77777777" w:rsidR="00C46B2E" w:rsidRPr="00F113F1" w:rsidRDefault="00C46B2E" w:rsidP="000A3682">
            <w:pPr>
              <w:pStyle w:val="ListParagraph"/>
              <w:spacing w:before="120" w:after="120"/>
              <w:ind w:left="820" w:hanging="460"/>
              <w:rPr>
                <w:rFonts w:cs="Arial"/>
                <w:b/>
                <w:sz w:val="18"/>
                <w:szCs w:val="18"/>
              </w:rPr>
            </w:pPr>
            <w:r w:rsidRPr="00F113F1">
              <w:rPr>
                <w:rFonts w:cs="Arial"/>
                <w:b/>
                <w:sz w:val="18"/>
                <w:szCs w:val="18"/>
              </w:rPr>
              <w:t xml:space="preserve">Smarter Balanced </w:t>
            </w:r>
          </w:p>
          <w:p w14:paraId="000F6596" w14:textId="77777777" w:rsidR="00C46B2E" w:rsidRDefault="00C46B2E" w:rsidP="000A3682">
            <w:pPr>
              <w:pStyle w:val="ListParagraph"/>
              <w:numPr>
                <w:ilvl w:val="0"/>
                <w:numId w:val="30"/>
              </w:numPr>
              <w:spacing w:before="120" w:after="120"/>
              <w:rPr>
                <w:rFonts w:cs="Arial"/>
                <w:sz w:val="18"/>
                <w:szCs w:val="18"/>
              </w:rPr>
            </w:pPr>
            <w:r w:rsidRPr="006F29E4">
              <w:rPr>
                <w:rFonts w:cs="Arial"/>
                <w:sz w:val="18"/>
                <w:szCs w:val="18"/>
              </w:rPr>
              <w:t xml:space="preserve">Sample </w:t>
            </w:r>
            <w:r>
              <w:rPr>
                <w:rFonts w:cs="Arial"/>
                <w:sz w:val="18"/>
                <w:szCs w:val="18"/>
              </w:rPr>
              <w:t>SSRs</w:t>
            </w:r>
            <w:r w:rsidRPr="006F29E4">
              <w:rPr>
                <w:rFonts w:cs="Arial"/>
                <w:sz w:val="18"/>
                <w:szCs w:val="18"/>
              </w:rPr>
              <w:t xml:space="preserve"> for the 2015–16 Smarter Balanced Summative Assessments, in English and Spanish. The SSRs were updated to include two years of data. </w:t>
            </w:r>
            <w:r>
              <w:rPr>
                <w:rFonts w:cs="Arial"/>
                <w:sz w:val="18"/>
                <w:szCs w:val="18"/>
              </w:rPr>
              <w:t xml:space="preserve">The 2015–16 Sample SSRs can be viewed on the CDE CAASPP Student Report Information Web page at </w:t>
            </w:r>
            <w:hyperlink r:id="rId29" w:history="1">
              <w:r w:rsidRPr="00E440C4">
                <w:rPr>
                  <w:rStyle w:val="Hyperlink"/>
                  <w:rFonts w:cs="Arial"/>
                  <w:sz w:val="18"/>
                  <w:szCs w:val="18"/>
                </w:rPr>
                <w:t>http://www.cde.ca.gov/ta/tg/ca/caasppssrinfo.asp</w:t>
              </w:r>
            </w:hyperlink>
            <w:r>
              <w:rPr>
                <w:rFonts w:cs="Arial"/>
                <w:sz w:val="18"/>
                <w:szCs w:val="18"/>
              </w:rPr>
              <w:t>.</w:t>
            </w:r>
          </w:p>
          <w:p w14:paraId="69B8D2AD" w14:textId="77777777" w:rsidR="00C46B2E" w:rsidRPr="00EF7155" w:rsidRDefault="00C46B2E" w:rsidP="000A3682">
            <w:pPr>
              <w:pStyle w:val="ListParagraph"/>
              <w:numPr>
                <w:ilvl w:val="0"/>
                <w:numId w:val="30"/>
              </w:numPr>
              <w:spacing w:before="120" w:after="120"/>
              <w:rPr>
                <w:rFonts w:cs="Arial"/>
                <w:sz w:val="18"/>
                <w:szCs w:val="18"/>
              </w:rPr>
            </w:pPr>
            <w:r w:rsidRPr="00EF7155">
              <w:rPr>
                <w:rFonts w:cs="Arial"/>
                <w:sz w:val="18"/>
                <w:szCs w:val="18"/>
              </w:rPr>
              <w:t xml:space="preserve">Guides to understanding the 2015–16 CAASPP Student Score Reports are available for the Smarter Balanced Summative Assessments for ELA and mathematics.  These two page, grade-specific guides are designed for parents and available in </w:t>
            </w:r>
            <w:r w:rsidRPr="00EF7155">
              <w:rPr>
                <w:rFonts w:cs="Arial"/>
                <w:color w:val="000000"/>
                <w:sz w:val="18"/>
                <w:szCs w:val="18"/>
                <w:lang w:val="en"/>
              </w:rPr>
              <w:t>English, Spanish, Armenian (Eastern), Chinese (simplified and traditional), Hmong, Korean, Pilipino (Tagalog), and Vietnamese</w:t>
            </w:r>
            <w:r w:rsidRPr="00EF7155">
              <w:rPr>
                <w:rFonts w:ascii="Helvetica" w:hAnsi="Helvetica" w:cs="Helvetica"/>
                <w:color w:val="000000"/>
                <w:sz w:val="18"/>
                <w:szCs w:val="18"/>
                <w:lang w:val="en"/>
              </w:rPr>
              <w:t xml:space="preserve">. The guides are posted on the </w:t>
            </w:r>
            <w:r w:rsidRPr="00EF7155">
              <w:rPr>
                <w:rFonts w:cs="Arial"/>
                <w:sz w:val="18"/>
                <w:szCs w:val="18"/>
              </w:rPr>
              <w:t xml:space="preserve">CDE Understanding the CAASPP Student Score Reports Web page at </w:t>
            </w:r>
            <w:hyperlink r:id="rId30" w:history="1">
              <w:r w:rsidRPr="00EF7155">
                <w:rPr>
                  <w:rStyle w:val="Hyperlink"/>
                  <w:rFonts w:cs="Arial"/>
                  <w:sz w:val="18"/>
                  <w:szCs w:val="18"/>
                </w:rPr>
                <w:t>http://www.cde.ca.gov/ta/tg/ca/caasppssreports.asp</w:t>
              </w:r>
            </w:hyperlink>
            <w:r w:rsidRPr="00EF7155">
              <w:rPr>
                <w:rFonts w:cs="Arial"/>
                <w:sz w:val="18"/>
                <w:szCs w:val="18"/>
              </w:rPr>
              <w:t xml:space="preserve">. </w:t>
            </w:r>
            <w:r w:rsidRPr="00EF7155">
              <w:rPr>
                <w:rFonts w:cs="Arial"/>
                <w:color w:val="000000"/>
                <w:sz w:val="18"/>
                <w:szCs w:val="18"/>
                <w:lang w:val="en"/>
              </w:rPr>
              <w:t xml:space="preserve"> </w:t>
            </w:r>
          </w:p>
          <w:p w14:paraId="727736F9" w14:textId="77777777" w:rsidR="00C46B2E" w:rsidRPr="006F29E4" w:rsidRDefault="00C46B2E" w:rsidP="000A3682">
            <w:pPr>
              <w:pStyle w:val="ListParagraph"/>
              <w:numPr>
                <w:ilvl w:val="0"/>
                <w:numId w:val="30"/>
              </w:numPr>
              <w:spacing w:before="120" w:after="120"/>
              <w:rPr>
                <w:rFonts w:cs="Arial"/>
                <w:sz w:val="18"/>
                <w:szCs w:val="18"/>
              </w:rPr>
            </w:pPr>
            <w:r w:rsidRPr="006F29E4">
              <w:rPr>
                <w:rFonts w:cs="Arial"/>
                <w:sz w:val="18"/>
                <w:szCs w:val="18"/>
              </w:rPr>
              <w:t xml:space="preserve">The Test Score Guide, at </w:t>
            </w:r>
            <w:hyperlink r:id="rId31" w:history="1">
              <w:r w:rsidRPr="006F29E4">
                <w:rPr>
                  <w:rStyle w:val="Hyperlink"/>
                  <w:rFonts w:cs="Arial"/>
                  <w:sz w:val="18"/>
                  <w:szCs w:val="18"/>
                </w:rPr>
                <w:t>http://www.testscoreguide.org/ca/</w:t>
              </w:r>
            </w:hyperlink>
            <w:r w:rsidRPr="006F29E4">
              <w:rPr>
                <w:rFonts w:cs="Arial"/>
                <w:sz w:val="18"/>
                <w:szCs w:val="18"/>
              </w:rPr>
              <w:t>, explains the S</w:t>
            </w:r>
            <w:r>
              <w:rPr>
                <w:rFonts w:cs="Arial"/>
                <w:sz w:val="18"/>
                <w:szCs w:val="18"/>
              </w:rPr>
              <w:t>SR</w:t>
            </w:r>
            <w:r w:rsidRPr="006F29E4">
              <w:rPr>
                <w:rFonts w:cs="Arial"/>
                <w:sz w:val="18"/>
                <w:szCs w:val="18"/>
              </w:rPr>
              <w:t xml:space="preserve"> and allows parents and guardians to do searches for grade-</w:t>
            </w:r>
            <w:r w:rsidRPr="006F29E4">
              <w:rPr>
                <w:rFonts w:cs="Arial"/>
                <w:sz w:val="18"/>
                <w:szCs w:val="18"/>
              </w:rPr>
              <w:lastRenderedPageBreak/>
              <w:t>level sample test items in ELA and mathematics that match their child’s achievement level on the Smarter Balanced Summative Assessments.</w:t>
            </w:r>
          </w:p>
          <w:p w14:paraId="6284ED29" w14:textId="3BF32A38" w:rsidR="00C46B2E" w:rsidRDefault="00C46B2E" w:rsidP="000A3682">
            <w:pPr>
              <w:pStyle w:val="ListParagraph"/>
              <w:numPr>
                <w:ilvl w:val="0"/>
                <w:numId w:val="30"/>
              </w:numPr>
              <w:spacing w:before="120" w:after="120"/>
              <w:rPr>
                <w:rFonts w:cs="Arial"/>
                <w:sz w:val="18"/>
                <w:szCs w:val="18"/>
              </w:rPr>
            </w:pPr>
            <w:r w:rsidRPr="006F29E4">
              <w:rPr>
                <w:rFonts w:cs="Arial"/>
                <w:sz w:val="18"/>
                <w:szCs w:val="18"/>
              </w:rPr>
              <w:t>A video</w:t>
            </w:r>
            <w:r w:rsidRPr="002C29DF">
              <w:rPr>
                <w:rFonts w:cs="Arial"/>
                <w:sz w:val="18"/>
                <w:szCs w:val="18"/>
              </w:rPr>
              <w:t xml:space="preserve">, </w:t>
            </w:r>
            <w:r>
              <w:rPr>
                <w:rFonts w:cs="Arial"/>
                <w:sz w:val="18"/>
                <w:szCs w:val="18"/>
              </w:rPr>
              <w:t xml:space="preserve">entitled </w:t>
            </w:r>
            <w:r w:rsidRPr="002C29DF">
              <w:rPr>
                <w:rFonts w:cs="Arial"/>
                <w:sz w:val="18"/>
                <w:szCs w:val="18"/>
              </w:rPr>
              <w:t>“</w:t>
            </w:r>
            <w:r w:rsidRPr="002C29DF">
              <w:rPr>
                <w:rStyle w:val="watch-title"/>
                <w:rFonts w:cs="Arial"/>
                <w:kern w:val="36"/>
                <w:sz w:val="18"/>
                <w:szCs w:val="18"/>
                <w:lang w:val="en"/>
              </w:rPr>
              <w:t>Understanding the CAASPP Student Score Report 2015-16</w:t>
            </w:r>
            <w:r>
              <w:rPr>
                <w:rStyle w:val="watch-title"/>
                <w:rFonts w:cs="Arial"/>
                <w:kern w:val="36"/>
                <w:sz w:val="18"/>
                <w:szCs w:val="18"/>
                <w:lang w:val="en"/>
              </w:rPr>
              <w:t xml:space="preserve">,” can be viewed </w:t>
            </w:r>
            <w:r>
              <w:rPr>
                <w:rFonts w:cs="Arial"/>
                <w:sz w:val="18"/>
                <w:szCs w:val="18"/>
              </w:rPr>
              <w:t xml:space="preserve">on the CDE CAASPP Student Report Information Web page at </w:t>
            </w:r>
            <w:r w:rsidRPr="00540BB4">
              <w:rPr>
                <w:rFonts w:cs="Arial"/>
                <w:strike/>
                <w:sz w:val="18"/>
                <w:szCs w:val="18"/>
              </w:rPr>
              <w:t>http://www.cde.ca.gov/ta/tg/ca/caasppssrinfo.asp.</w:t>
            </w:r>
            <w:r>
              <w:rPr>
                <w:rFonts w:cs="Arial"/>
                <w:sz w:val="18"/>
                <w:szCs w:val="18"/>
              </w:rPr>
              <w:t xml:space="preserve"> A Spanish version of the video is also posted on this Web page.</w:t>
            </w:r>
            <w:r w:rsidR="00540BB4">
              <w:rPr>
                <w:rFonts w:cs="Arial"/>
                <w:sz w:val="18"/>
                <w:szCs w:val="18"/>
              </w:rPr>
              <w:t xml:space="preserve"> </w:t>
            </w:r>
            <w:r w:rsidR="00540BB4" w:rsidRPr="00540BB4">
              <w:rPr>
                <w:rFonts w:cs="Arial"/>
                <w:sz w:val="18"/>
                <w:szCs w:val="18"/>
              </w:rPr>
              <w:t>[Note: url no longer valid]</w:t>
            </w:r>
          </w:p>
          <w:p w14:paraId="208B1DBB" w14:textId="2CE0BA32" w:rsidR="00C46B2E" w:rsidRDefault="00C46B2E" w:rsidP="000A3682">
            <w:pPr>
              <w:pStyle w:val="ListParagraph"/>
              <w:numPr>
                <w:ilvl w:val="0"/>
                <w:numId w:val="30"/>
              </w:numPr>
              <w:spacing w:before="120" w:after="120"/>
              <w:rPr>
                <w:rFonts w:cs="Arial"/>
                <w:color w:val="000000"/>
                <w:sz w:val="18"/>
                <w:szCs w:val="18"/>
                <w:lang w:val="en"/>
              </w:rPr>
            </w:pPr>
            <w:r w:rsidRPr="006F29E4">
              <w:rPr>
                <w:rFonts w:cs="Arial"/>
                <w:sz w:val="18"/>
                <w:szCs w:val="18"/>
                <w:lang w:val="en"/>
              </w:rPr>
              <w:t xml:space="preserve">Parent and Guardian </w:t>
            </w:r>
            <w:r>
              <w:rPr>
                <w:rFonts w:cs="Arial"/>
                <w:sz w:val="18"/>
                <w:szCs w:val="18"/>
                <w:lang w:val="en"/>
              </w:rPr>
              <w:t xml:space="preserve">Student </w:t>
            </w:r>
            <w:r w:rsidRPr="006F29E4">
              <w:rPr>
                <w:rFonts w:cs="Arial"/>
                <w:sz w:val="18"/>
                <w:szCs w:val="18"/>
                <w:lang w:val="en"/>
              </w:rPr>
              <w:t xml:space="preserve">Score Report Letter templates, in English and Spanish, </w:t>
            </w:r>
            <w:r w:rsidRPr="006F29E4">
              <w:rPr>
                <w:rFonts w:cs="Arial"/>
                <w:color w:val="000000"/>
                <w:sz w:val="18"/>
                <w:szCs w:val="18"/>
                <w:lang w:val="en"/>
              </w:rPr>
              <w:t xml:space="preserve">address student results on the </w:t>
            </w:r>
            <w:r w:rsidRPr="006F29E4">
              <w:rPr>
                <w:rStyle w:val="Strong"/>
                <w:rFonts w:cs="Arial"/>
                <w:b w:val="0"/>
                <w:color w:val="000000"/>
                <w:sz w:val="18"/>
                <w:szCs w:val="18"/>
                <w:lang w:val="en"/>
              </w:rPr>
              <w:t xml:space="preserve">Smarter Balanced Summative Assessment for </w:t>
            </w:r>
            <w:r>
              <w:rPr>
                <w:rStyle w:val="Strong"/>
                <w:rFonts w:cs="Arial"/>
                <w:b w:val="0"/>
                <w:color w:val="000000"/>
                <w:sz w:val="18"/>
                <w:szCs w:val="18"/>
                <w:lang w:val="en"/>
              </w:rPr>
              <w:t xml:space="preserve">ELA </w:t>
            </w:r>
            <w:r w:rsidRPr="006F29E4">
              <w:rPr>
                <w:rStyle w:val="Strong"/>
                <w:rFonts w:cs="Arial"/>
                <w:b w:val="0"/>
                <w:color w:val="000000"/>
                <w:sz w:val="18"/>
                <w:szCs w:val="18"/>
                <w:lang w:val="en"/>
              </w:rPr>
              <w:t xml:space="preserve">and mathematics and provide </w:t>
            </w:r>
            <w:r w:rsidRPr="006F29E4">
              <w:rPr>
                <w:rFonts w:cs="Arial"/>
                <w:color w:val="000000"/>
                <w:sz w:val="18"/>
                <w:szCs w:val="18"/>
                <w:lang w:val="en"/>
              </w:rPr>
              <w:t xml:space="preserve">optional text on the science assessment (for students in grade five and eight) and on the use of grade eleven results to determine Early Assessment Program status. The letter is designed to be sent to parents with the </w:t>
            </w:r>
            <w:r>
              <w:rPr>
                <w:rFonts w:cs="Arial"/>
                <w:color w:val="000000"/>
                <w:sz w:val="18"/>
                <w:szCs w:val="18"/>
                <w:lang w:val="en"/>
              </w:rPr>
              <w:t>SSR</w:t>
            </w:r>
            <w:r w:rsidRPr="006F29E4">
              <w:rPr>
                <w:rFonts w:cs="Arial"/>
                <w:color w:val="000000"/>
                <w:sz w:val="18"/>
                <w:szCs w:val="18"/>
                <w:lang w:val="en"/>
              </w:rPr>
              <w:t>.</w:t>
            </w:r>
            <w:r>
              <w:rPr>
                <w:rFonts w:cs="Arial"/>
                <w:color w:val="000000"/>
                <w:sz w:val="18"/>
                <w:szCs w:val="18"/>
                <w:lang w:val="en"/>
              </w:rPr>
              <w:t xml:space="preserve"> The templates are posted on the CDE Parent and Guardian Score Report Letter Templates Web page at </w:t>
            </w:r>
            <w:r w:rsidRPr="00540BB4">
              <w:rPr>
                <w:rFonts w:cs="Arial"/>
                <w:strike/>
                <w:sz w:val="18"/>
                <w:szCs w:val="18"/>
                <w:lang w:val="en"/>
              </w:rPr>
              <w:t>http://www.cde.ca.gov/ta/tg/ca/caasppprtscrrptltr.asp</w:t>
            </w:r>
            <w:r>
              <w:rPr>
                <w:rFonts w:cs="Arial"/>
                <w:color w:val="000000"/>
                <w:sz w:val="18"/>
                <w:szCs w:val="18"/>
                <w:lang w:val="en"/>
              </w:rPr>
              <w:t>.</w:t>
            </w:r>
            <w:r w:rsidR="00540BB4">
              <w:t xml:space="preserve"> </w:t>
            </w:r>
            <w:r w:rsidR="00540BB4" w:rsidRPr="00540BB4">
              <w:rPr>
                <w:rFonts w:cs="Arial"/>
                <w:color w:val="000000"/>
                <w:sz w:val="18"/>
                <w:szCs w:val="18"/>
                <w:lang w:val="en"/>
              </w:rPr>
              <w:t>[Note: url no longer valid]</w:t>
            </w:r>
          </w:p>
          <w:p w14:paraId="14004EA0" w14:textId="77777777" w:rsidR="00C46B2E" w:rsidRPr="0060649B" w:rsidRDefault="00C46B2E" w:rsidP="00F92492">
            <w:bookmarkStart w:id="4" w:name="top"/>
            <w:bookmarkEnd w:id="4"/>
            <w:r w:rsidRPr="0060649B">
              <w:t xml:space="preserve">California Alternate Assessments </w:t>
            </w:r>
          </w:p>
          <w:p w14:paraId="6AD512BC" w14:textId="78E2BDDD" w:rsidR="00C46B2E" w:rsidRDefault="00C46B2E" w:rsidP="000A3682">
            <w:pPr>
              <w:pStyle w:val="ListParagraph"/>
              <w:numPr>
                <w:ilvl w:val="0"/>
                <w:numId w:val="30"/>
              </w:numPr>
              <w:spacing w:before="120" w:after="120"/>
              <w:rPr>
                <w:rFonts w:cs="Arial"/>
                <w:sz w:val="18"/>
                <w:szCs w:val="18"/>
              </w:rPr>
            </w:pPr>
            <w:r w:rsidRPr="006F29E4">
              <w:rPr>
                <w:rFonts w:cs="Arial"/>
                <w:sz w:val="18"/>
                <w:szCs w:val="18"/>
              </w:rPr>
              <w:t>Sample S</w:t>
            </w:r>
            <w:r>
              <w:rPr>
                <w:rFonts w:cs="Arial"/>
                <w:sz w:val="18"/>
                <w:szCs w:val="18"/>
              </w:rPr>
              <w:t>SRs</w:t>
            </w:r>
            <w:r w:rsidRPr="006F29E4">
              <w:rPr>
                <w:rFonts w:cs="Arial"/>
                <w:sz w:val="18"/>
                <w:szCs w:val="18"/>
              </w:rPr>
              <w:t xml:space="preserve"> for the 2015–16 CAAs, in English and Spanish</w:t>
            </w:r>
            <w:r>
              <w:rPr>
                <w:rFonts w:cs="Arial"/>
                <w:sz w:val="18"/>
                <w:szCs w:val="18"/>
              </w:rPr>
              <w:t xml:space="preserve">, can be viewed on the CDE CAASPP Student Report Information Web page at </w:t>
            </w:r>
            <w:r w:rsidRPr="00540BB4">
              <w:rPr>
                <w:rFonts w:cs="Arial"/>
                <w:strike/>
                <w:sz w:val="18"/>
                <w:szCs w:val="18"/>
              </w:rPr>
              <w:t>http://www.cde.ca.gov/ta/tg/ca/caasppssrinfo.asp</w:t>
            </w:r>
            <w:r>
              <w:rPr>
                <w:rFonts w:cs="Arial"/>
                <w:sz w:val="18"/>
                <w:szCs w:val="18"/>
              </w:rPr>
              <w:t>.</w:t>
            </w:r>
            <w:r w:rsidR="00540BB4">
              <w:t xml:space="preserve"> </w:t>
            </w:r>
            <w:r w:rsidR="00540BB4" w:rsidRPr="00540BB4">
              <w:rPr>
                <w:rFonts w:cs="Arial"/>
                <w:sz w:val="18"/>
                <w:szCs w:val="18"/>
              </w:rPr>
              <w:t>[Note: url no longer valid]</w:t>
            </w:r>
          </w:p>
          <w:p w14:paraId="0B3CA27F" w14:textId="72609D13" w:rsidR="00C46B2E" w:rsidRDefault="00C46B2E" w:rsidP="000A3682">
            <w:pPr>
              <w:pStyle w:val="ListParagraph"/>
              <w:numPr>
                <w:ilvl w:val="0"/>
                <w:numId w:val="30"/>
              </w:numPr>
              <w:spacing w:before="120" w:after="120"/>
              <w:rPr>
                <w:rFonts w:cs="Arial"/>
                <w:sz w:val="18"/>
                <w:szCs w:val="18"/>
              </w:rPr>
            </w:pPr>
            <w:r w:rsidRPr="006F29E4">
              <w:rPr>
                <w:rFonts w:cs="Arial"/>
                <w:sz w:val="18"/>
                <w:szCs w:val="18"/>
              </w:rPr>
              <w:t xml:space="preserve">A video, </w:t>
            </w:r>
            <w:r>
              <w:rPr>
                <w:rFonts w:cs="Arial"/>
                <w:sz w:val="18"/>
                <w:szCs w:val="18"/>
              </w:rPr>
              <w:t>entitled “</w:t>
            </w:r>
            <w:r w:rsidRPr="006F29E4">
              <w:rPr>
                <w:rFonts w:cs="Arial"/>
                <w:sz w:val="18"/>
                <w:szCs w:val="18"/>
              </w:rPr>
              <w:t xml:space="preserve">Understanding the </w:t>
            </w:r>
            <w:r>
              <w:rPr>
                <w:rFonts w:cs="Arial"/>
                <w:sz w:val="18"/>
                <w:szCs w:val="18"/>
              </w:rPr>
              <w:t xml:space="preserve">CAA </w:t>
            </w:r>
            <w:r w:rsidRPr="006F29E4">
              <w:rPr>
                <w:rFonts w:cs="Arial"/>
                <w:sz w:val="18"/>
                <w:szCs w:val="18"/>
              </w:rPr>
              <w:t>Student Score Report,</w:t>
            </w:r>
            <w:r>
              <w:rPr>
                <w:rFonts w:cs="Arial"/>
                <w:sz w:val="18"/>
                <w:szCs w:val="18"/>
              </w:rPr>
              <w:t xml:space="preserve">” can be viewed on the CDE CAASPP Student Report Information Web page at </w:t>
            </w:r>
            <w:r w:rsidRPr="00540BB4">
              <w:rPr>
                <w:rFonts w:cs="Arial"/>
                <w:strike/>
                <w:sz w:val="18"/>
                <w:szCs w:val="18"/>
              </w:rPr>
              <w:t>http://www.cde.ca.gov/ta/tg/ca/caasppssrinfo.asp</w:t>
            </w:r>
            <w:r>
              <w:rPr>
                <w:rFonts w:cs="Arial"/>
                <w:sz w:val="18"/>
                <w:szCs w:val="18"/>
              </w:rPr>
              <w:t>. A Spanish version of the video is also posted on this Web page.</w:t>
            </w:r>
            <w:r w:rsidR="00540BB4">
              <w:t xml:space="preserve"> </w:t>
            </w:r>
            <w:r w:rsidR="00540BB4" w:rsidRPr="00540BB4">
              <w:rPr>
                <w:rFonts w:cs="Arial"/>
                <w:sz w:val="18"/>
                <w:szCs w:val="18"/>
              </w:rPr>
              <w:t>[Note: url no longer valid]</w:t>
            </w:r>
          </w:p>
          <w:p w14:paraId="3032A0B4" w14:textId="69748DFE" w:rsidR="00C46B2E" w:rsidRPr="00477942" w:rsidRDefault="00C46B2E" w:rsidP="000A3682">
            <w:pPr>
              <w:pStyle w:val="ListParagraph"/>
              <w:numPr>
                <w:ilvl w:val="0"/>
                <w:numId w:val="30"/>
              </w:numPr>
              <w:spacing w:before="120" w:after="120"/>
              <w:rPr>
                <w:rFonts w:cs="Arial"/>
                <w:sz w:val="18"/>
                <w:szCs w:val="18"/>
              </w:rPr>
            </w:pPr>
            <w:r>
              <w:rPr>
                <w:rFonts w:cs="Arial"/>
                <w:color w:val="000000"/>
                <w:sz w:val="18"/>
                <w:szCs w:val="18"/>
                <w:lang w:val="en"/>
              </w:rPr>
              <w:t xml:space="preserve">Guides to understanding </w:t>
            </w:r>
            <w:r w:rsidRPr="00477942">
              <w:rPr>
                <w:rFonts w:cs="Arial"/>
                <w:color w:val="000000"/>
                <w:sz w:val="18"/>
                <w:szCs w:val="18"/>
                <w:lang w:val="en"/>
              </w:rPr>
              <w:t xml:space="preserve">the CAA Student Score Report </w:t>
            </w:r>
            <w:r>
              <w:rPr>
                <w:rFonts w:cs="Arial"/>
                <w:color w:val="000000"/>
                <w:sz w:val="18"/>
                <w:szCs w:val="18"/>
                <w:lang w:val="en"/>
              </w:rPr>
              <w:t>are</w:t>
            </w:r>
            <w:r w:rsidRPr="00477942">
              <w:rPr>
                <w:rFonts w:cs="Arial"/>
                <w:color w:val="000000"/>
                <w:sz w:val="18"/>
                <w:szCs w:val="18"/>
                <w:lang w:val="en"/>
              </w:rPr>
              <w:t xml:space="preserve"> posted on the on the </w:t>
            </w:r>
            <w:r w:rsidRPr="00477942">
              <w:rPr>
                <w:rFonts w:cs="Arial"/>
                <w:sz w:val="18"/>
                <w:szCs w:val="18"/>
              </w:rPr>
              <w:t xml:space="preserve">CDE Understanding the CAASPP Student Score Reports Web page at </w:t>
            </w:r>
            <w:r w:rsidRPr="00540BB4">
              <w:rPr>
                <w:rFonts w:cs="Arial"/>
                <w:strike/>
                <w:sz w:val="18"/>
                <w:szCs w:val="18"/>
              </w:rPr>
              <w:t>http://www.cde.ca.gov/ta/tg/ca/caasppssreports.asp</w:t>
            </w:r>
            <w:r w:rsidRPr="00477942">
              <w:rPr>
                <w:rFonts w:cs="Arial"/>
                <w:sz w:val="18"/>
                <w:szCs w:val="18"/>
              </w:rPr>
              <w:t xml:space="preserve">. </w:t>
            </w:r>
            <w:r w:rsidRPr="00EF7155">
              <w:rPr>
                <w:rFonts w:cs="Arial"/>
                <w:sz w:val="18"/>
                <w:szCs w:val="18"/>
              </w:rPr>
              <w:t xml:space="preserve">These two page, grade-specific guides are designed for parents and available in </w:t>
            </w:r>
            <w:r w:rsidRPr="00EF7155">
              <w:rPr>
                <w:rFonts w:cs="Arial"/>
                <w:color w:val="000000"/>
                <w:sz w:val="18"/>
                <w:szCs w:val="18"/>
                <w:lang w:val="en"/>
              </w:rPr>
              <w:t>English</w:t>
            </w:r>
            <w:r>
              <w:rPr>
                <w:rFonts w:cs="Arial"/>
                <w:color w:val="000000"/>
                <w:sz w:val="18"/>
                <w:szCs w:val="18"/>
                <w:lang w:val="en"/>
              </w:rPr>
              <w:t xml:space="preserve"> and</w:t>
            </w:r>
            <w:r w:rsidRPr="00EF7155">
              <w:rPr>
                <w:rFonts w:cs="Arial"/>
                <w:color w:val="000000"/>
                <w:sz w:val="18"/>
                <w:szCs w:val="18"/>
                <w:lang w:val="en"/>
              </w:rPr>
              <w:t xml:space="preserve"> Spanish</w:t>
            </w:r>
            <w:r w:rsidRPr="00EF7155">
              <w:rPr>
                <w:rFonts w:ascii="Helvetica" w:hAnsi="Helvetica" w:cs="Helvetica"/>
                <w:color w:val="000000"/>
                <w:sz w:val="18"/>
                <w:szCs w:val="18"/>
                <w:lang w:val="en"/>
              </w:rPr>
              <w:t>.</w:t>
            </w:r>
            <w:r w:rsidR="00540BB4">
              <w:t xml:space="preserve"> </w:t>
            </w:r>
            <w:r w:rsidR="00540BB4" w:rsidRPr="00540BB4">
              <w:rPr>
                <w:rFonts w:ascii="Helvetica" w:hAnsi="Helvetica" w:cs="Helvetica"/>
                <w:color w:val="000000"/>
                <w:sz w:val="18"/>
                <w:szCs w:val="18"/>
                <w:lang w:val="en"/>
              </w:rPr>
              <w:t>[Note: url no longer valid]</w:t>
            </w:r>
          </w:p>
          <w:p w14:paraId="214BE692" w14:textId="55AF79C2" w:rsidR="00C46B2E" w:rsidRPr="00E73F9B" w:rsidRDefault="00C46B2E" w:rsidP="000A3682">
            <w:pPr>
              <w:pStyle w:val="ListParagraph"/>
              <w:numPr>
                <w:ilvl w:val="0"/>
                <w:numId w:val="30"/>
              </w:numPr>
              <w:spacing w:before="120" w:after="120"/>
              <w:rPr>
                <w:rFonts w:cs="Arial"/>
                <w:color w:val="000000"/>
                <w:sz w:val="18"/>
                <w:szCs w:val="18"/>
                <w:lang w:val="en"/>
              </w:rPr>
            </w:pPr>
            <w:r w:rsidRPr="006F29E4">
              <w:rPr>
                <w:rFonts w:cs="Arial"/>
                <w:sz w:val="18"/>
                <w:szCs w:val="18"/>
                <w:lang w:val="en"/>
              </w:rPr>
              <w:t xml:space="preserve">Parent and Guardian </w:t>
            </w:r>
            <w:r>
              <w:rPr>
                <w:rFonts w:cs="Arial"/>
                <w:sz w:val="18"/>
                <w:szCs w:val="18"/>
                <w:lang w:val="en"/>
              </w:rPr>
              <w:t xml:space="preserve">Student </w:t>
            </w:r>
            <w:r w:rsidRPr="006F29E4">
              <w:rPr>
                <w:rFonts w:cs="Arial"/>
                <w:sz w:val="18"/>
                <w:szCs w:val="18"/>
                <w:lang w:val="en"/>
              </w:rPr>
              <w:t xml:space="preserve">Score Report Letter templates, in English and Spanish, </w:t>
            </w:r>
            <w:r w:rsidRPr="006F29E4">
              <w:rPr>
                <w:rFonts w:cs="Arial"/>
                <w:color w:val="000000"/>
                <w:sz w:val="18"/>
                <w:szCs w:val="18"/>
                <w:lang w:val="en"/>
              </w:rPr>
              <w:t xml:space="preserve">address student results on the CAA for ELA and mathematics </w:t>
            </w:r>
            <w:r w:rsidRPr="006F29E4">
              <w:rPr>
                <w:rStyle w:val="Strong"/>
                <w:rFonts w:cs="Arial"/>
                <w:b w:val="0"/>
                <w:color w:val="000000"/>
                <w:sz w:val="18"/>
                <w:szCs w:val="18"/>
                <w:lang w:val="en"/>
              </w:rPr>
              <w:t>and provide</w:t>
            </w:r>
            <w:r w:rsidRPr="006F29E4">
              <w:rPr>
                <w:rStyle w:val="Strong"/>
                <w:rFonts w:cs="Arial"/>
                <w:color w:val="000000"/>
                <w:sz w:val="18"/>
                <w:szCs w:val="18"/>
                <w:lang w:val="en"/>
              </w:rPr>
              <w:t xml:space="preserve"> </w:t>
            </w:r>
            <w:r w:rsidRPr="006F29E4">
              <w:rPr>
                <w:rFonts w:cs="Arial"/>
                <w:color w:val="000000"/>
                <w:sz w:val="18"/>
                <w:szCs w:val="18"/>
                <w:lang w:val="en"/>
              </w:rPr>
              <w:t>optional text on the CAA for science</w:t>
            </w:r>
            <w:r w:rsidR="00540BB4">
              <w:rPr>
                <w:rFonts w:cs="Arial"/>
                <w:color w:val="000000"/>
                <w:sz w:val="18"/>
                <w:szCs w:val="18"/>
                <w:lang w:val="en"/>
              </w:rPr>
              <w:t>.</w:t>
            </w:r>
          </w:p>
        </w:tc>
      </w:tr>
      <w:tr w:rsidR="00C46B2E" w:rsidRPr="00C64273" w14:paraId="53CD4CFF" w14:textId="77777777" w:rsidTr="000A3682">
        <w:trPr>
          <w:cantSplit/>
        </w:trPr>
        <w:tc>
          <w:tcPr>
            <w:tcW w:w="1797" w:type="dxa"/>
            <w:tcBorders>
              <w:top w:val="single" w:sz="4" w:space="0" w:color="auto"/>
            </w:tcBorders>
            <w:shd w:val="clear" w:color="auto" w:fill="C6D9F1"/>
            <w:vAlign w:val="center"/>
          </w:tcPr>
          <w:p w14:paraId="60922DAD" w14:textId="77777777" w:rsidR="00C46B2E" w:rsidRPr="006C265E" w:rsidRDefault="00C46B2E" w:rsidP="000A3682">
            <w:pPr>
              <w:spacing w:before="120" w:after="120"/>
              <w:rPr>
                <w:rFonts w:cs="Arial"/>
                <w:b/>
                <w:sz w:val="20"/>
              </w:rPr>
            </w:pPr>
            <w:r>
              <w:rPr>
                <w:rFonts w:cs="Arial"/>
                <w:b/>
                <w:sz w:val="20"/>
              </w:rPr>
              <w:lastRenderedPageBreak/>
              <w:t>S</w:t>
            </w:r>
            <w:r w:rsidRPr="006C265E">
              <w:rPr>
                <w:rFonts w:cs="Arial"/>
                <w:b/>
                <w:sz w:val="20"/>
              </w:rPr>
              <w:t>ample Items/Tasks</w:t>
            </w:r>
          </w:p>
          <w:p w14:paraId="62EF217C" w14:textId="77777777" w:rsidR="00C46B2E" w:rsidRPr="006C265E" w:rsidRDefault="00C46B2E" w:rsidP="000A3682">
            <w:pPr>
              <w:spacing w:before="120" w:after="120"/>
              <w:rPr>
                <w:rFonts w:cs="Arial"/>
                <w:b/>
                <w:sz w:val="20"/>
              </w:rPr>
            </w:pPr>
            <w:r w:rsidRPr="006C265E">
              <w:rPr>
                <w:rFonts w:cs="Arial"/>
                <w:sz w:val="16"/>
                <w:szCs w:val="16"/>
              </w:rPr>
              <w:t>(</w:t>
            </w:r>
            <w:r w:rsidRPr="006C265E">
              <w:rPr>
                <w:rFonts w:cs="Arial"/>
                <w:i/>
                <w:sz w:val="16"/>
                <w:szCs w:val="16"/>
              </w:rPr>
              <w:t>EC</w:t>
            </w:r>
            <w:r w:rsidRPr="006C265E">
              <w:rPr>
                <w:rFonts w:cs="Arial"/>
                <w:sz w:val="16"/>
                <w:szCs w:val="16"/>
              </w:rPr>
              <w:t xml:space="preserve"> Section 60602.5[d])</w:t>
            </w:r>
          </w:p>
        </w:tc>
        <w:tc>
          <w:tcPr>
            <w:tcW w:w="5850" w:type="dxa"/>
            <w:tcBorders>
              <w:top w:val="single" w:sz="4" w:space="0" w:color="auto"/>
            </w:tcBorders>
            <w:shd w:val="clear" w:color="auto" w:fill="auto"/>
            <w:tcMar>
              <w:top w:w="29" w:type="dxa"/>
              <w:left w:w="115" w:type="dxa"/>
              <w:bottom w:w="29" w:type="dxa"/>
              <w:right w:w="115" w:type="dxa"/>
            </w:tcMar>
          </w:tcPr>
          <w:p w14:paraId="6E36A66E" w14:textId="4253D1C5" w:rsidR="009621B1" w:rsidRPr="009621B1" w:rsidRDefault="00C46B2E" w:rsidP="000D2FC8">
            <w:pPr>
              <w:pStyle w:val="ListParagraph"/>
              <w:numPr>
                <w:ilvl w:val="0"/>
                <w:numId w:val="1"/>
              </w:numPr>
              <w:spacing w:before="120" w:after="120"/>
              <w:rPr>
                <w:rFonts w:cs="Arial"/>
                <w:color w:val="FF0000"/>
                <w:sz w:val="18"/>
                <w:szCs w:val="18"/>
              </w:rPr>
            </w:pPr>
            <w:r w:rsidRPr="009621B1">
              <w:rPr>
                <w:rFonts w:cs="Arial"/>
                <w:sz w:val="18"/>
                <w:szCs w:val="18"/>
              </w:rPr>
              <w:t xml:space="preserve">Sample items and tasks for the CSTs, the California Alternate Performance Assessment (CAPA), and STS were made available on the CDE STAR Program Resources Web page at </w:t>
            </w:r>
            <w:r w:rsidR="009621B1" w:rsidRPr="009621B1">
              <w:rPr>
                <w:rFonts w:cs="Arial"/>
                <w:strike/>
                <w:sz w:val="18"/>
                <w:szCs w:val="18"/>
              </w:rPr>
              <w:t>http://www.cde.ca.gov/ta/tg/sr/resources.asp</w:t>
            </w:r>
            <w:r w:rsidR="009621B1" w:rsidRPr="009621B1">
              <w:rPr>
                <w:rFonts w:cs="Arial"/>
                <w:sz w:val="18"/>
                <w:szCs w:val="18"/>
              </w:rPr>
              <w:t xml:space="preserve"> </w:t>
            </w:r>
            <w:r w:rsidRPr="009621B1">
              <w:rPr>
                <w:rFonts w:cs="Arial"/>
                <w:sz w:val="18"/>
                <w:szCs w:val="18"/>
              </w:rPr>
              <w:t xml:space="preserve"> </w:t>
            </w:r>
            <w:r w:rsidR="009621B1" w:rsidRPr="009621B1">
              <w:rPr>
                <w:rFonts w:cs="Arial"/>
                <w:sz w:val="18"/>
                <w:szCs w:val="18"/>
              </w:rPr>
              <w:t>[Note: url no longer valid]</w:t>
            </w:r>
          </w:p>
          <w:p w14:paraId="78E34B6F" w14:textId="5CBA32AB" w:rsidR="00C46B2E" w:rsidRPr="009621B1" w:rsidRDefault="00C46B2E" w:rsidP="000D2FC8">
            <w:pPr>
              <w:pStyle w:val="ListParagraph"/>
              <w:numPr>
                <w:ilvl w:val="0"/>
                <w:numId w:val="1"/>
              </w:numPr>
              <w:spacing w:before="120" w:after="120"/>
              <w:rPr>
                <w:rFonts w:cs="Arial"/>
                <w:color w:val="FF0000"/>
                <w:sz w:val="18"/>
                <w:szCs w:val="18"/>
              </w:rPr>
            </w:pPr>
            <w:r w:rsidRPr="009621B1">
              <w:rPr>
                <w:rFonts w:cs="Arial"/>
                <w:sz w:val="18"/>
                <w:szCs w:val="18"/>
              </w:rPr>
              <w:t xml:space="preserve">Sample items and tasks for the Smarter Balanced assessments were made available on the CDE Smarter Balanced Assessment System Web page at </w:t>
            </w:r>
            <w:hyperlink r:id="rId32" w:history="1">
              <w:r w:rsidRPr="009621B1">
                <w:rPr>
                  <w:rStyle w:val="Hyperlink"/>
                  <w:rFonts w:cs="Arial"/>
                  <w:sz w:val="18"/>
                  <w:szCs w:val="18"/>
                </w:rPr>
                <w:t>http://www.cde.ca.gov/ta/tg/sa/index.asp</w:t>
              </w:r>
            </w:hyperlink>
            <w:r w:rsidRPr="009621B1">
              <w:rPr>
                <w:rFonts w:cs="Arial"/>
                <w:sz w:val="18"/>
                <w:szCs w:val="18"/>
              </w:rPr>
              <w:t>.</w:t>
            </w:r>
          </w:p>
          <w:p w14:paraId="42D1DEE7" w14:textId="77777777" w:rsidR="00C46B2E" w:rsidRPr="00B3254B" w:rsidRDefault="00C46B2E" w:rsidP="000A3682">
            <w:pPr>
              <w:numPr>
                <w:ilvl w:val="0"/>
                <w:numId w:val="1"/>
              </w:numPr>
              <w:spacing w:before="120" w:after="120"/>
              <w:rPr>
                <w:rFonts w:cs="Arial"/>
                <w:color w:val="FF0000"/>
                <w:sz w:val="18"/>
                <w:szCs w:val="18"/>
              </w:rPr>
            </w:pPr>
            <w:r w:rsidRPr="004B420B">
              <w:rPr>
                <w:rFonts w:cs="Arial"/>
                <w:sz w:val="18"/>
                <w:szCs w:val="18"/>
              </w:rPr>
              <w:t>Smarter Balanced Practice Tests also were made available, but did not reflect the full range of content that students may encounter on the actual assessments.</w:t>
            </w:r>
          </w:p>
          <w:p w14:paraId="08612E3F" w14:textId="77777777" w:rsidR="00C46B2E" w:rsidRPr="00CA34A2" w:rsidRDefault="00C46B2E" w:rsidP="000A3682">
            <w:pPr>
              <w:numPr>
                <w:ilvl w:val="0"/>
                <w:numId w:val="1"/>
              </w:numPr>
              <w:spacing w:before="120" w:after="120"/>
              <w:rPr>
                <w:rFonts w:cs="Arial"/>
                <w:color w:val="FF0000"/>
                <w:sz w:val="18"/>
                <w:szCs w:val="18"/>
              </w:rPr>
            </w:pPr>
            <w:r w:rsidRPr="008810EC">
              <w:rPr>
                <w:rFonts w:cs="Arial"/>
                <w:sz w:val="18"/>
                <w:szCs w:val="18"/>
              </w:rPr>
              <w:t>In January 2014, the Smarter Balanced Training Tests became available</w:t>
            </w:r>
            <w:r>
              <w:rPr>
                <w:rFonts w:cs="Arial"/>
                <w:sz w:val="18"/>
                <w:szCs w:val="18"/>
              </w:rPr>
              <w:t>,</w:t>
            </w:r>
            <w:r w:rsidRPr="008810EC">
              <w:rPr>
                <w:rFonts w:cs="Arial"/>
                <w:sz w:val="18"/>
                <w:szCs w:val="18"/>
              </w:rPr>
              <w:t xml:space="preserve"> provid</w:t>
            </w:r>
            <w:r>
              <w:rPr>
                <w:rFonts w:cs="Arial"/>
                <w:sz w:val="18"/>
                <w:szCs w:val="18"/>
              </w:rPr>
              <w:t>ing</w:t>
            </w:r>
            <w:r w:rsidRPr="008810EC">
              <w:rPr>
                <w:rFonts w:cs="Arial"/>
                <w:sz w:val="18"/>
                <w:szCs w:val="18"/>
              </w:rPr>
              <w:t xml:space="preserve"> students with an opportunity to become familiar with the software and interface features of the Smarter Balanced tests. The Training Tests, which are organized by grade span, include new item types and universal tools, designated supports, and accommodations. They do not include a performance task.</w:t>
            </w:r>
          </w:p>
        </w:tc>
        <w:tc>
          <w:tcPr>
            <w:tcW w:w="6120" w:type="dxa"/>
            <w:tcBorders>
              <w:top w:val="single" w:sz="4" w:space="0" w:color="auto"/>
            </w:tcBorders>
            <w:shd w:val="clear" w:color="auto" w:fill="auto"/>
            <w:tcMar>
              <w:top w:w="29" w:type="dxa"/>
              <w:left w:w="115" w:type="dxa"/>
              <w:bottom w:w="29" w:type="dxa"/>
              <w:right w:w="115" w:type="dxa"/>
            </w:tcMar>
          </w:tcPr>
          <w:p w14:paraId="1337D0B3" w14:textId="77777777" w:rsidR="00C46B2E" w:rsidRDefault="00C46B2E" w:rsidP="000A3682">
            <w:pPr>
              <w:numPr>
                <w:ilvl w:val="0"/>
                <w:numId w:val="1"/>
              </w:numPr>
              <w:spacing w:before="120" w:after="120"/>
              <w:rPr>
                <w:rFonts w:cs="Arial"/>
                <w:sz w:val="18"/>
                <w:szCs w:val="18"/>
              </w:rPr>
            </w:pPr>
            <w:r w:rsidRPr="00B4194F">
              <w:rPr>
                <w:rFonts w:cs="Arial"/>
                <w:sz w:val="18"/>
                <w:szCs w:val="18"/>
              </w:rPr>
              <w:t xml:space="preserve">In </w:t>
            </w:r>
            <w:r>
              <w:rPr>
                <w:rFonts w:cs="Arial"/>
                <w:sz w:val="18"/>
                <w:szCs w:val="18"/>
              </w:rPr>
              <w:t>March</w:t>
            </w:r>
            <w:r w:rsidRPr="00B4194F">
              <w:rPr>
                <w:rFonts w:cs="Arial"/>
                <w:sz w:val="18"/>
                <w:szCs w:val="18"/>
              </w:rPr>
              <w:t xml:space="preserve"> 2016, the Smarter Balanced Web</w:t>
            </w:r>
            <w:r>
              <w:rPr>
                <w:rFonts w:cs="Arial"/>
                <w:sz w:val="18"/>
                <w:szCs w:val="18"/>
              </w:rPr>
              <w:t xml:space="preserve"> </w:t>
            </w:r>
            <w:r w:rsidRPr="00B4194F">
              <w:rPr>
                <w:rFonts w:cs="Arial"/>
                <w:sz w:val="18"/>
                <w:szCs w:val="18"/>
              </w:rPr>
              <w:t>site was revamped (</w:t>
            </w:r>
            <w:hyperlink r:id="rId33" w:history="1">
              <w:r w:rsidRPr="00B4194F">
                <w:rPr>
                  <w:rStyle w:val="Hyperlink"/>
                  <w:rFonts w:cs="Arial"/>
                  <w:sz w:val="18"/>
                  <w:szCs w:val="18"/>
                </w:rPr>
                <w:t>http://www.smarterbalanced.org/</w:t>
              </w:r>
            </w:hyperlink>
            <w:r w:rsidRPr="00B4194F">
              <w:rPr>
                <w:rFonts w:cs="Arial"/>
                <w:sz w:val="18"/>
                <w:szCs w:val="18"/>
              </w:rPr>
              <w:t>). New sample test items were posted, and Practice Tests for each grade (i.e., grades three through eight and grade eleven) were updated to include new item types and performance tasks</w:t>
            </w:r>
            <w:r>
              <w:rPr>
                <w:rFonts w:cs="Arial"/>
                <w:sz w:val="18"/>
                <w:szCs w:val="18"/>
              </w:rPr>
              <w:t>.</w:t>
            </w:r>
            <w:r w:rsidRPr="00B4194F">
              <w:rPr>
                <w:rFonts w:cs="Arial"/>
                <w:sz w:val="18"/>
                <w:szCs w:val="18"/>
              </w:rPr>
              <w:t xml:space="preserve"> </w:t>
            </w:r>
          </w:p>
          <w:p w14:paraId="5F4E2423" w14:textId="77777777" w:rsidR="00C46B2E" w:rsidRPr="00287AD6" w:rsidRDefault="00C46B2E" w:rsidP="000A3682">
            <w:pPr>
              <w:numPr>
                <w:ilvl w:val="0"/>
                <w:numId w:val="1"/>
              </w:numPr>
              <w:spacing w:before="120" w:after="120"/>
              <w:rPr>
                <w:rFonts w:cs="Arial"/>
                <w:sz w:val="18"/>
                <w:szCs w:val="18"/>
              </w:rPr>
            </w:pPr>
            <w:r>
              <w:rPr>
                <w:rFonts w:cs="Arial"/>
                <w:sz w:val="18"/>
                <w:szCs w:val="18"/>
              </w:rPr>
              <w:t xml:space="preserve">In </w:t>
            </w:r>
            <w:r w:rsidRPr="00296A6A">
              <w:rPr>
                <w:rFonts w:cs="Arial"/>
                <w:sz w:val="18"/>
                <w:szCs w:val="18"/>
              </w:rPr>
              <w:t xml:space="preserve">March 2016, the </w:t>
            </w:r>
            <w:r>
              <w:rPr>
                <w:rFonts w:cs="Arial"/>
                <w:sz w:val="18"/>
                <w:szCs w:val="18"/>
              </w:rPr>
              <w:t>CAA</w:t>
            </w:r>
            <w:r w:rsidRPr="00296A6A">
              <w:rPr>
                <w:rFonts w:cs="Arial"/>
                <w:sz w:val="18"/>
                <w:szCs w:val="18"/>
              </w:rPr>
              <w:t xml:space="preserve"> Training Test was released. </w:t>
            </w:r>
            <w:r>
              <w:rPr>
                <w:rFonts w:cs="Arial"/>
                <w:sz w:val="18"/>
                <w:szCs w:val="18"/>
              </w:rPr>
              <w:t xml:space="preserve">It can </w:t>
            </w:r>
            <w:r w:rsidRPr="00296A6A">
              <w:rPr>
                <w:rFonts w:cs="Arial"/>
                <w:sz w:val="18"/>
                <w:szCs w:val="18"/>
              </w:rPr>
              <w:t>be found on</w:t>
            </w:r>
            <w:r>
              <w:rPr>
                <w:rFonts w:cs="Arial"/>
                <w:sz w:val="18"/>
                <w:szCs w:val="18"/>
              </w:rPr>
              <w:t xml:space="preserve"> the CAASPP Online Practice and Training Tests Web page at </w:t>
            </w:r>
            <w:hyperlink r:id="rId34" w:history="1">
              <w:r w:rsidRPr="00D612BC">
                <w:rPr>
                  <w:rStyle w:val="Hyperlink"/>
                  <w:rFonts w:cs="Arial"/>
                  <w:sz w:val="18"/>
                  <w:szCs w:val="18"/>
                </w:rPr>
                <w:t>http://www.caaspp.org/practice-and-training/index.html</w:t>
              </w:r>
            </w:hyperlink>
            <w:r>
              <w:rPr>
                <w:rFonts w:cs="Arial"/>
                <w:sz w:val="18"/>
                <w:szCs w:val="18"/>
              </w:rPr>
              <w:t>.</w:t>
            </w:r>
          </w:p>
        </w:tc>
      </w:tr>
      <w:tr w:rsidR="00C46B2E" w:rsidRPr="00C64273" w14:paraId="1D3CBFA8" w14:textId="77777777" w:rsidTr="000A3682">
        <w:tc>
          <w:tcPr>
            <w:tcW w:w="1797" w:type="dxa"/>
            <w:shd w:val="clear" w:color="auto" w:fill="C6D9F1"/>
            <w:vAlign w:val="center"/>
          </w:tcPr>
          <w:p w14:paraId="060FBD43" w14:textId="77777777" w:rsidR="00C46B2E" w:rsidRPr="006C265E" w:rsidRDefault="00C46B2E" w:rsidP="000A3682">
            <w:pPr>
              <w:spacing w:before="120" w:after="120"/>
              <w:rPr>
                <w:rFonts w:cs="Arial"/>
                <w:b/>
                <w:sz w:val="20"/>
              </w:rPr>
            </w:pPr>
            <w:r w:rsidRPr="006C265E">
              <w:rPr>
                <w:rFonts w:cs="Arial"/>
                <w:b/>
                <w:sz w:val="20"/>
              </w:rPr>
              <w:t>Regulations</w:t>
            </w:r>
          </w:p>
          <w:p w14:paraId="24DC7906" w14:textId="77777777" w:rsidR="00C46B2E" w:rsidRPr="006C265E" w:rsidRDefault="00C46B2E" w:rsidP="000A3682">
            <w:pPr>
              <w:spacing w:before="120" w:after="120"/>
              <w:rPr>
                <w:rFonts w:cs="Arial"/>
                <w:sz w:val="16"/>
                <w:szCs w:val="16"/>
              </w:rPr>
            </w:pPr>
            <w:r w:rsidRPr="006C265E">
              <w:rPr>
                <w:rFonts w:cs="Arial"/>
                <w:sz w:val="16"/>
                <w:szCs w:val="16"/>
              </w:rPr>
              <w:t>(</w:t>
            </w:r>
            <w:r w:rsidRPr="006C265E">
              <w:rPr>
                <w:rFonts w:cs="Arial"/>
                <w:i/>
                <w:sz w:val="16"/>
                <w:szCs w:val="16"/>
              </w:rPr>
              <w:t>EC</w:t>
            </w:r>
            <w:r w:rsidRPr="006C265E">
              <w:rPr>
                <w:rFonts w:cs="Arial"/>
                <w:sz w:val="16"/>
                <w:szCs w:val="16"/>
              </w:rPr>
              <w:t xml:space="preserve"> Section 60640[q])</w:t>
            </w:r>
          </w:p>
        </w:tc>
        <w:tc>
          <w:tcPr>
            <w:tcW w:w="5850" w:type="dxa"/>
            <w:shd w:val="clear" w:color="auto" w:fill="auto"/>
            <w:tcMar>
              <w:top w:w="29" w:type="dxa"/>
              <w:bottom w:w="29" w:type="dxa"/>
            </w:tcMar>
          </w:tcPr>
          <w:p w14:paraId="391BB22C" w14:textId="77777777" w:rsidR="00C46B2E" w:rsidRDefault="00C46B2E" w:rsidP="000A3682">
            <w:pPr>
              <w:numPr>
                <w:ilvl w:val="0"/>
                <w:numId w:val="2"/>
              </w:numPr>
              <w:spacing w:before="120" w:after="120"/>
              <w:rPr>
                <w:rFonts w:cs="Arial"/>
                <w:sz w:val="18"/>
                <w:szCs w:val="18"/>
              </w:rPr>
            </w:pPr>
            <w:r w:rsidRPr="00155CF0">
              <w:rPr>
                <w:rFonts w:cs="Arial"/>
                <w:sz w:val="18"/>
                <w:szCs w:val="18"/>
              </w:rPr>
              <w:t>CDE staff drafted CAASPP emergency and proposed permanent regulations.</w:t>
            </w:r>
          </w:p>
          <w:p w14:paraId="768F1766" w14:textId="0E77E8A7" w:rsidR="00C46B2E" w:rsidRDefault="00C46B2E" w:rsidP="000A3682">
            <w:pPr>
              <w:numPr>
                <w:ilvl w:val="0"/>
                <w:numId w:val="2"/>
              </w:numPr>
              <w:spacing w:before="120" w:after="120"/>
              <w:rPr>
                <w:rFonts w:cs="Arial"/>
                <w:sz w:val="18"/>
                <w:szCs w:val="18"/>
              </w:rPr>
            </w:pPr>
            <w:r w:rsidRPr="00CA34A2">
              <w:rPr>
                <w:rFonts w:cs="Arial"/>
                <w:sz w:val="18"/>
                <w:szCs w:val="18"/>
              </w:rPr>
              <w:t>In May 2014, Smarter Balanced Practice Tests for each grade (i.e., grades three through eight and grade eleven) were updated to include new item types</w:t>
            </w:r>
            <w:r>
              <w:rPr>
                <w:rFonts w:cs="Arial"/>
                <w:sz w:val="18"/>
                <w:szCs w:val="18"/>
              </w:rPr>
              <w:t xml:space="preserve"> and performance tasks, as well as</w:t>
            </w:r>
            <w:r w:rsidRPr="00CA34A2">
              <w:rPr>
                <w:rFonts w:cs="Arial"/>
                <w:sz w:val="18"/>
                <w:szCs w:val="18"/>
              </w:rPr>
              <w:t xml:space="preserve"> testing aids (i.e., univ</w:t>
            </w:r>
            <w:r>
              <w:rPr>
                <w:rFonts w:cs="Arial"/>
                <w:sz w:val="18"/>
                <w:szCs w:val="18"/>
              </w:rPr>
              <w:t>ersal tools, designated supports,</w:t>
            </w:r>
            <w:r w:rsidRPr="00CA34A2">
              <w:rPr>
                <w:rFonts w:cs="Arial"/>
                <w:sz w:val="18"/>
                <w:szCs w:val="18"/>
              </w:rPr>
              <w:t xml:space="preserve"> and accommodations)</w:t>
            </w:r>
            <w:r>
              <w:rPr>
                <w:rFonts w:cs="Arial"/>
                <w:sz w:val="18"/>
                <w:szCs w:val="18"/>
              </w:rPr>
              <w:t>, to provide additional exposure to the online assessment process for students, parents/guardians, and educators</w:t>
            </w:r>
            <w:r w:rsidRPr="00CA34A2">
              <w:rPr>
                <w:rFonts w:cs="Arial"/>
                <w:sz w:val="18"/>
                <w:szCs w:val="18"/>
              </w:rPr>
              <w:t>. The Practice Tests are grade specific</w:t>
            </w:r>
            <w:r>
              <w:rPr>
                <w:rFonts w:cs="Arial"/>
                <w:sz w:val="18"/>
                <w:szCs w:val="18"/>
              </w:rPr>
              <w:t>,</w:t>
            </w:r>
            <w:r w:rsidRPr="00CA34A2">
              <w:rPr>
                <w:rFonts w:cs="Arial"/>
                <w:sz w:val="18"/>
                <w:szCs w:val="18"/>
              </w:rPr>
              <w:t xml:space="preserve"> and scoring guides are provided on the Smarter Balanced Resources and Documentation Web page at </w:t>
            </w:r>
            <w:r w:rsidR="009621B1" w:rsidRPr="009621B1">
              <w:rPr>
                <w:rFonts w:cs="Arial"/>
                <w:strike/>
                <w:sz w:val="18"/>
                <w:szCs w:val="18"/>
              </w:rPr>
              <w:t>http://sbac.portal.airast.org/ca/practice-test-ca/resources/</w:t>
            </w:r>
            <w:r w:rsidRPr="00CA34A2">
              <w:rPr>
                <w:rFonts w:cs="Arial"/>
                <w:sz w:val="18"/>
                <w:szCs w:val="18"/>
              </w:rPr>
              <w:t>.</w:t>
            </w:r>
            <w:r w:rsidR="009621B1">
              <w:rPr>
                <w:rFonts w:cs="Arial"/>
                <w:sz w:val="18"/>
                <w:szCs w:val="18"/>
              </w:rPr>
              <w:t xml:space="preserve"> </w:t>
            </w:r>
            <w:r w:rsidR="009621B1" w:rsidRPr="009621B1">
              <w:rPr>
                <w:rFonts w:cs="Arial"/>
                <w:sz w:val="18"/>
                <w:szCs w:val="18"/>
              </w:rPr>
              <w:t>[Note: url no longer valid]</w:t>
            </w:r>
          </w:p>
          <w:p w14:paraId="6A81A6F4" w14:textId="77777777" w:rsidR="00C46B2E" w:rsidRDefault="00C46B2E" w:rsidP="000A3682">
            <w:pPr>
              <w:numPr>
                <w:ilvl w:val="0"/>
                <w:numId w:val="2"/>
              </w:numPr>
              <w:spacing w:before="120" w:after="120"/>
              <w:rPr>
                <w:rFonts w:cs="Arial"/>
                <w:sz w:val="18"/>
                <w:szCs w:val="18"/>
              </w:rPr>
            </w:pPr>
            <w:r w:rsidRPr="00CA34A2">
              <w:rPr>
                <w:rFonts w:cs="Arial"/>
                <w:sz w:val="18"/>
                <w:szCs w:val="18"/>
              </w:rPr>
              <w:t xml:space="preserve">In January 2014, the SBE approved the commencement of the rulemaking process for permanent amendments to the </w:t>
            </w:r>
            <w:r w:rsidRPr="00CA34A2">
              <w:rPr>
                <w:rFonts w:cs="Arial"/>
                <w:i/>
                <w:sz w:val="18"/>
                <w:szCs w:val="18"/>
              </w:rPr>
              <w:t>California Code of Regulations</w:t>
            </w:r>
            <w:r>
              <w:rPr>
                <w:rFonts w:cs="Arial"/>
                <w:sz w:val="18"/>
                <w:szCs w:val="18"/>
              </w:rPr>
              <w:t>, Title 5, s</w:t>
            </w:r>
            <w:r w:rsidRPr="00CA34A2">
              <w:rPr>
                <w:rFonts w:cs="Arial"/>
                <w:sz w:val="18"/>
                <w:szCs w:val="18"/>
              </w:rPr>
              <w:t>ections 85</w:t>
            </w:r>
            <w:r>
              <w:rPr>
                <w:rFonts w:cs="Arial"/>
                <w:sz w:val="18"/>
                <w:szCs w:val="18"/>
              </w:rPr>
              <w:t>0–</w:t>
            </w:r>
            <w:r w:rsidRPr="00CA34A2">
              <w:rPr>
                <w:rFonts w:cs="Arial"/>
                <w:sz w:val="18"/>
                <w:szCs w:val="18"/>
              </w:rPr>
              <w:t>868.</w:t>
            </w:r>
          </w:p>
          <w:p w14:paraId="0AEEC512" w14:textId="77777777" w:rsidR="00C46B2E" w:rsidRPr="00DD6A29" w:rsidRDefault="00C46B2E" w:rsidP="000A3682">
            <w:pPr>
              <w:pStyle w:val="ListParagraph"/>
              <w:numPr>
                <w:ilvl w:val="0"/>
                <w:numId w:val="2"/>
              </w:numPr>
              <w:spacing w:before="120" w:after="120"/>
              <w:rPr>
                <w:rFonts w:cs="Arial"/>
                <w:sz w:val="18"/>
                <w:szCs w:val="18"/>
              </w:rPr>
            </w:pPr>
            <w:r w:rsidRPr="00DD6A29">
              <w:rPr>
                <w:rFonts w:cs="Arial"/>
                <w:sz w:val="18"/>
                <w:szCs w:val="18"/>
              </w:rPr>
              <w:t>In January 2014, the SBE adopted the emergency regulations for the 2013–14 CAASPP administration.</w:t>
            </w:r>
          </w:p>
          <w:p w14:paraId="050B02A2" w14:textId="77777777" w:rsidR="00C46B2E" w:rsidRPr="00CA34A2" w:rsidRDefault="00C46B2E" w:rsidP="000A3682">
            <w:pPr>
              <w:numPr>
                <w:ilvl w:val="0"/>
                <w:numId w:val="2"/>
              </w:numPr>
              <w:spacing w:before="120" w:after="120"/>
              <w:rPr>
                <w:rFonts w:cs="Arial"/>
                <w:sz w:val="18"/>
                <w:szCs w:val="18"/>
              </w:rPr>
            </w:pPr>
            <w:r w:rsidRPr="00CA34A2">
              <w:rPr>
                <w:rFonts w:cs="Arial"/>
                <w:sz w:val="18"/>
                <w:szCs w:val="18"/>
              </w:rPr>
              <w:t xml:space="preserve">On May 7, 2014, the SBE approved the changes to the proposed </w:t>
            </w:r>
            <w:r w:rsidRPr="00CA34A2">
              <w:rPr>
                <w:rFonts w:cs="Arial"/>
                <w:sz w:val="18"/>
                <w:szCs w:val="18"/>
              </w:rPr>
              <w:lastRenderedPageBreak/>
              <w:t xml:space="preserve">permanent regulations and directed that the proposed changes be circulated for a 15-day public comment period in accordance with the Administrative Procedure Act. </w:t>
            </w:r>
          </w:p>
          <w:p w14:paraId="1270B215" w14:textId="77777777" w:rsidR="00C46B2E" w:rsidRPr="00CA34A2" w:rsidRDefault="00C46B2E" w:rsidP="000A3682">
            <w:pPr>
              <w:numPr>
                <w:ilvl w:val="0"/>
                <w:numId w:val="2"/>
              </w:numPr>
              <w:spacing w:before="120" w:after="120"/>
              <w:rPr>
                <w:rFonts w:cs="Arial"/>
                <w:sz w:val="18"/>
                <w:szCs w:val="18"/>
              </w:rPr>
            </w:pPr>
            <w:r w:rsidRPr="00CA34A2">
              <w:rPr>
                <w:rFonts w:cs="Arial"/>
                <w:sz w:val="18"/>
                <w:szCs w:val="18"/>
              </w:rPr>
              <w:t>On July 9, 2014, the SBE readopted the emergency regulations and approved the adoption of the permanent regulations.</w:t>
            </w:r>
          </w:p>
          <w:p w14:paraId="086C9012" w14:textId="77777777" w:rsidR="00C46B2E" w:rsidRDefault="00C46B2E" w:rsidP="000A3682">
            <w:pPr>
              <w:numPr>
                <w:ilvl w:val="0"/>
                <w:numId w:val="2"/>
              </w:numPr>
              <w:spacing w:before="120" w:after="120"/>
              <w:rPr>
                <w:rFonts w:cs="Arial"/>
                <w:sz w:val="18"/>
                <w:szCs w:val="18"/>
              </w:rPr>
            </w:pPr>
            <w:r>
              <w:rPr>
                <w:rFonts w:cs="Arial"/>
                <w:sz w:val="18"/>
                <w:szCs w:val="18"/>
              </w:rPr>
              <w:t>O</w:t>
            </w:r>
            <w:r w:rsidRPr="00CA34A2">
              <w:rPr>
                <w:rFonts w:cs="Arial"/>
                <w:sz w:val="18"/>
                <w:szCs w:val="18"/>
              </w:rPr>
              <w:t>n August 28, 2014</w:t>
            </w:r>
            <w:r>
              <w:rPr>
                <w:rFonts w:cs="Arial"/>
                <w:sz w:val="18"/>
                <w:szCs w:val="18"/>
              </w:rPr>
              <w:t>, the CAASPP r</w:t>
            </w:r>
            <w:r w:rsidRPr="00CA34A2">
              <w:rPr>
                <w:rFonts w:cs="Arial"/>
                <w:sz w:val="18"/>
                <w:szCs w:val="18"/>
              </w:rPr>
              <w:t>egulations became effective.</w:t>
            </w:r>
          </w:p>
          <w:p w14:paraId="47DFBE1B" w14:textId="77777777" w:rsidR="00C46B2E" w:rsidRPr="00CA34A2" w:rsidRDefault="00C46B2E" w:rsidP="000A3682">
            <w:pPr>
              <w:numPr>
                <w:ilvl w:val="0"/>
                <w:numId w:val="2"/>
              </w:numPr>
              <w:spacing w:before="120" w:after="120"/>
              <w:rPr>
                <w:rFonts w:cs="Arial"/>
                <w:color w:val="FF0000"/>
                <w:sz w:val="18"/>
                <w:szCs w:val="18"/>
              </w:rPr>
            </w:pPr>
            <w:r w:rsidRPr="00E94E68">
              <w:rPr>
                <w:rFonts w:cs="Arial"/>
                <w:sz w:val="18"/>
                <w:szCs w:val="18"/>
              </w:rPr>
              <w:t xml:space="preserve">Following the first operational administration of </w:t>
            </w:r>
            <w:r>
              <w:rPr>
                <w:rFonts w:cs="Arial"/>
                <w:sz w:val="18"/>
                <w:szCs w:val="18"/>
              </w:rPr>
              <w:t>the CAASPP, a</w:t>
            </w:r>
            <w:r w:rsidRPr="00E94E68">
              <w:rPr>
                <w:rFonts w:cs="Arial"/>
                <w:sz w:val="18"/>
                <w:szCs w:val="18"/>
              </w:rPr>
              <w:t xml:space="preserve">mendments to the CAASPP regulations were </w:t>
            </w:r>
            <w:r>
              <w:rPr>
                <w:rFonts w:cs="Arial"/>
                <w:sz w:val="18"/>
                <w:szCs w:val="18"/>
              </w:rPr>
              <w:t xml:space="preserve">made and </w:t>
            </w:r>
            <w:r w:rsidRPr="00E94E68">
              <w:rPr>
                <w:rFonts w:cs="Arial"/>
                <w:sz w:val="18"/>
                <w:szCs w:val="18"/>
              </w:rPr>
              <w:t>approved by the O</w:t>
            </w:r>
            <w:r>
              <w:rPr>
                <w:rFonts w:cs="Arial"/>
                <w:sz w:val="18"/>
                <w:szCs w:val="18"/>
              </w:rPr>
              <w:t xml:space="preserve">ffice of Administrative Law </w:t>
            </w:r>
            <w:r w:rsidRPr="00E94E68">
              <w:rPr>
                <w:rFonts w:cs="Arial"/>
                <w:sz w:val="18"/>
                <w:szCs w:val="18"/>
              </w:rPr>
              <w:t>on an emer</w:t>
            </w:r>
            <w:r>
              <w:rPr>
                <w:rFonts w:cs="Arial"/>
                <w:sz w:val="18"/>
                <w:szCs w:val="18"/>
              </w:rPr>
              <w:t>gency basis in the fall of 2015.</w:t>
            </w:r>
          </w:p>
        </w:tc>
        <w:tc>
          <w:tcPr>
            <w:tcW w:w="6120" w:type="dxa"/>
            <w:shd w:val="clear" w:color="auto" w:fill="auto"/>
            <w:tcMar>
              <w:top w:w="29" w:type="dxa"/>
              <w:bottom w:w="29" w:type="dxa"/>
            </w:tcMar>
          </w:tcPr>
          <w:p w14:paraId="6D8CFB28" w14:textId="77777777" w:rsidR="00C46B2E" w:rsidRDefault="00C46B2E" w:rsidP="000A3682">
            <w:pPr>
              <w:numPr>
                <w:ilvl w:val="0"/>
                <w:numId w:val="2"/>
              </w:numPr>
              <w:spacing w:before="120" w:after="120"/>
              <w:rPr>
                <w:rFonts w:cs="Arial"/>
                <w:sz w:val="18"/>
                <w:szCs w:val="18"/>
              </w:rPr>
            </w:pPr>
            <w:r>
              <w:rPr>
                <w:rFonts w:cs="Arial"/>
                <w:sz w:val="18"/>
                <w:szCs w:val="18"/>
              </w:rPr>
              <w:lastRenderedPageBreak/>
              <w:t>On May 18, 2016, p</w:t>
            </w:r>
            <w:r w:rsidRPr="00E94E68">
              <w:rPr>
                <w:rFonts w:cs="Arial"/>
                <w:sz w:val="18"/>
                <w:szCs w:val="18"/>
              </w:rPr>
              <w:t>ermanent amendments to the regulations were approved</w:t>
            </w:r>
            <w:r>
              <w:rPr>
                <w:rFonts w:cs="Arial"/>
                <w:sz w:val="18"/>
                <w:szCs w:val="18"/>
              </w:rPr>
              <w:t xml:space="preserve">. </w:t>
            </w:r>
            <w:r w:rsidRPr="00E94E68">
              <w:rPr>
                <w:rFonts w:cs="Arial"/>
                <w:sz w:val="18"/>
                <w:szCs w:val="18"/>
              </w:rPr>
              <w:t>Under the amended CAASPP regulations, the second operational administration of the CAASPP took place in spring 2016.</w:t>
            </w:r>
          </w:p>
          <w:p w14:paraId="548C1635" w14:textId="77777777" w:rsidR="00C46B2E" w:rsidRPr="00750E54" w:rsidRDefault="00C46B2E" w:rsidP="000A3682">
            <w:pPr>
              <w:pStyle w:val="ListParagraph"/>
              <w:numPr>
                <w:ilvl w:val="0"/>
                <w:numId w:val="2"/>
              </w:numPr>
              <w:spacing w:before="120" w:after="120"/>
              <w:rPr>
                <w:rFonts w:cs="Arial"/>
                <w:sz w:val="18"/>
                <w:szCs w:val="18"/>
              </w:rPr>
            </w:pPr>
            <w:r w:rsidRPr="00750E54">
              <w:rPr>
                <w:rFonts w:cs="Arial"/>
                <w:sz w:val="18"/>
                <w:szCs w:val="18"/>
              </w:rPr>
              <w:t>After the</w:t>
            </w:r>
            <w:r w:rsidRPr="00750E54">
              <w:rPr>
                <w:rFonts w:cs="Arial"/>
                <w:snapToGrid/>
                <w:sz w:val="18"/>
                <w:szCs w:val="18"/>
              </w:rPr>
              <w:t xml:space="preserve"> second operational administration of the CAASPP, a few specific changes were needed to ensure</w:t>
            </w:r>
            <w:r>
              <w:rPr>
                <w:rFonts w:cs="Arial"/>
                <w:snapToGrid/>
                <w:sz w:val="18"/>
                <w:szCs w:val="18"/>
              </w:rPr>
              <w:t xml:space="preserve"> that the</w:t>
            </w:r>
            <w:r w:rsidRPr="00750E54">
              <w:rPr>
                <w:rFonts w:cs="Arial"/>
                <w:snapToGrid/>
                <w:sz w:val="18"/>
                <w:szCs w:val="18"/>
              </w:rPr>
              <w:t xml:space="preserve"> </w:t>
            </w:r>
            <w:r>
              <w:rPr>
                <w:rFonts w:cs="Arial"/>
                <w:snapToGrid/>
                <w:sz w:val="18"/>
                <w:szCs w:val="18"/>
              </w:rPr>
              <w:t xml:space="preserve">results from the </w:t>
            </w:r>
            <w:r w:rsidRPr="00750E54">
              <w:rPr>
                <w:rFonts w:cs="Arial"/>
                <w:snapToGrid/>
                <w:sz w:val="18"/>
                <w:szCs w:val="18"/>
              </w:rPr>
              <w:t>2016–17 school year would be valid and reliable and consistent with state and federal laws. Regulation changes will be brought forth in 2017.</w:t>
            </w:r>
          </w:p>
        </w:tc>
      </w:tr>
      <w:tr w:rsidR="00C46B2E" w:rsidRPr="00C64273" w14:paraId="0EB76E3E" w14:textId="77777777" w:rsidTr="000A3682">
        <w:tc>
          <w:tcPr>
            <w:tcW w:w="1797" w:type="dxa"/>
            <w:shd w:val="clear" w:color="auto" w:fill="C6D9F1"/>
            <w:vAlign w:val="center"/>
          </w:tcPr>
          <w:p w14:paraId="3E913FB0" w14:textId="77777777" w:rsidR="00C46B2E" w:rsidRDefault="00C46B2E" w:rsidP="000A3682">
            <w:pPr>
              <w:spacing w:before="120" w:after="120"/>
              <w:rPr>
                <w:rFonts w:cs="Arial"/>
                <w:b/>
                <w:sz w:val="20"/>
              </w:rPr>
            </w:pPr>
            <w:r>
              <w:rPr>
                <w:rFonts w:cs="Arial"/>
                <w:b/>
                <w:sz w:val="20"/>
              </w:rPr>
              <w:t>C</w:t>
            </w:r>
            <w:r w:rsidRPr="006D2073">
              <w:rPr>
                <w:rFonts w:cs="Arial"/>
                <w:b/>
                <w:sz w:val="20"/>
              </w:rPr>
              <w:t>ontracts</w:t>
            </w:r>
          </w:p>
          <w:p w14:paraId="65450A7E" w14:textId="77777777" w:rsidR="00C46B2E" w:rsidRPr="004B143A" w:rsidRDefault="00C46B2E" w:rsidP="000A3682">
            <w:pPr>
              <w:spacing w:before="120" w:after="120"/>
              <w:rPr>
                <w:rFonts w:cs="Arial"/>
                <w:b/>
                <w:sz w:val="16"/>
                <w:szCs w:val="16"/>
              </w:rPr>
            </w:pPr>
            <w:r w:rsidRPr="004B143A">
              <w:rPr>
                <w:rFonts w:cs="Arial"/>
                <w:i/>
                <w:sz w:val="16"/>
                <w:szCs w:val="16"/>
              </w:rPr>
              <w:t>(EC</w:t>
            </w:r>
            <w:r w:rsidRPr="004B143A">
              <w:rPr>
                <w:rFonts w:cs="Arial"/>
                <w:sz w:val="16"/>
                <w:szCs w:val="16"/>
              </w:rPr>
              <w:t xml:space="preserve"> Section 60643)</w:t>
            </w:r>
          </w:p>
        </w:tc>
        <w:tc>
          <w:tcPr>
            <w:tcW w:w="5850" w:type="dxa"/>
            <w:shd w:val="clear" w:color="auto" w:fill="auto"/>
            <w:tcMar>
              <w:top w:w="29" w:type="dxa"/>
              <w:bottom w:w="29" w:type="dxa"/>
            </w:tcMar>
          </w:tcPr>
          <w:p w14:paraId="24B06F86" w14:textId="77777777" w:rsidR="00C46B2E" w:rsidRPr="00A11B98" w:rsidRDefault="00C46B2E" w:rsidP="000A3682">
            <w:pPr>
              <w:numPr>
                <w:ilvl w:val="0"/>
                <w:numId w:val="3"/>
              </w:numPr>
              <w:spacing w:before="120" w:after="120"/>
              <w:rPr>
                <w:rFonts w:cs="Arial"/>
                <w:sz w:val="18"/>
                <w:szCs w:val="18"/>
              </w:rPr>
            </w:pPr>
            <w:r w:rsidRPr="00A11B98">
              <w:rPr>
                <w:rFonts w:cs="Arial"/>
                <w:sz w:val="18"/>
                <w:szCs w:val="18"/>
              </w:rPr>
              <w:t xml:space="preserve">Per </w:t>
            </w:r>
            <w:r w:rsidRPr="00A11B98">
              <w:rPr>
                <w:rFonts w:cs="Arial"/>
                <w:i/>
                <w:sz w:val="18"/>
                <w:szCs w:val="18"/>
              </w:rPr>
              <w:t>EC</w:t>
            </w:r>
            <w:r w:rsidRPr="00A11B98">
              <w:rPr>
                <w:rFonts w:cs="Arial"/>
                <w:sz w:val="18"/>
                <w:szCs w:val="18"/>
              </w:rPr>
              <w:t xml:space="preserve"> Section 60640(f)(2), the STAR Program contract for the 2013–14 school year was amended to administer CAASPP</w:t>
            </w:r>
            <w:r>
              <w:rPr>
                <w:rFonts w:cs="Arial"/>
                <w:sz w:val="18"/>
                <w:szCs w:val="18"/>
              </w:rPr>
              <w:t>,</w:t>
            </w:r>
            <w:r w:rsidRPr="00A11B98">
              <w:rPr>
                <w:rFonts w:cs="Arial"/>
                <w:sz w:val="18"/>
                <w:szCs w:val="18"/>
              </w:rPr>
              <w:t xml:space="preserve"> and that cost savings from the suspension of certain STAR assessments </w:t>
            </w:r>
            <w:r>
              <w:rPr>
                <w:rFonts w:cs="Arial"/>
                <w:sz w:val="18"/>
                <w:szCs w:val="18"/>
              </w:rPr>
              <w:t xml:space="preserve">was to </w:t>
            </w:r>
            <w:r w:rsidRPr="00A11B98">
              <w:rPr>
                <w:rFonts w:cs="Arial"/>
                <w:sz w:val="18"/>
                <w:szCs w:val="18"/>
              </w:rPr>
              <w:t xml:space="preserve">be used to fund the spring 2013–14 Smarter Balanced Field Test. </w:t>
            </w:r>
          </w:p>
          <w:p w14:paraId="1FB322CD" w14:textId="77777777" w:rsidR="00C46B2E" w:rsidRPr="007F4557" w:rsidRDefault="00C46B2E" w:rsidP="000A3682">
            <w:pPr>
              <w:numPr>
                <w:ilvl w:val="0"/>
                <w:numId w:val="3"/>
              </w:numPr>
              <w:spacing w:before="120" w:after="120"/>
              <w:rPr>
                <w:rFonts w:cs="Arial"/>
                <w:sz w:val="18"/>
                <w:szCs w:val="18"/>
              </w:rPr>
            </w:pPr>
            <w:r>
              <w:rPr>
                <w:rFonts w:cs="Arial"/>
                <w:sz w:val="18"/>
                <w:szCs w:val="18"/>
              </w:rPr>
              <w:t>CDE staff prepared a Budget Change P</w:t>
            </w:r>
            <w:r w:rsidRPr="00A11B98">
              <w:rPr>
                <w:rFonts w:cs="Arial"/>
                <w:sz w:val="18"/>
                <w:szCs w:val="18"/>
              </w:rPr>
              <w:t>roposal (BCP) to request funding to implement CAASPP for fiscal year 2014–15 and beyond</w:t>
            </w:r>
            <w:r w:rsidRPr="007F4557">
              <w:rPr>
                <w:rFonts w:cs="Arial"/>
                <w:sz w:val="18"/>
                <w:szCs w:val="18"/>
              </w:rPr>
              <w:t xml:space="preserve">. </w:t>
            </w:r>
          </w:p>
          <w:p w14:paraId="364AD203" w14:textId="77777777" w:rsidR="00C46B2E" w:rsidRPr="00A11B98" w:rsidRDefault="00C46B2E" w:rsidP="000A3682">
            <w:pPr>
              <w:numPr>
                <w:ilvl w:val="0"/>
                <w:numId w:val="3"/>
              </w:numPr>
              <w:spacing w:before="120" w:after="120"/>
              <w:rPr>
                <w:rFonts w:cs="Arial"/>
                <w:sz w:val="18"/>
                <w:szCs w:val="18"/>
              </w:rPr>
            </w:pPr>
            <w:r w:rsidRPr="00A11B98">
              <w:rPr>
                <w:rFonts w:cs="Arial"/>
                <w:sz w:val="18"/>
                <w:szCs w:val="18"/>
              </w:rPr>
              <w:t>The requested CAASPP BCP funding for the 2014–15 test administration was provided in the 2014 Budget Act.</w:t>
            </w:r>
          </w:p>
          <w:p w14:paraId="6F679820" w14:textId="77777777" w:rsidR="00C46B2E" w:rsidRPr="00CA34A2" w:rsidRDefault="00C46B2E" w:rsidP="000A3682">
            <w:pPr>
              <w:numPr>
                <w:ilvl w:val="0"/>
                <w:numId w:val="3"/>
              </w:numPr>
              <w:spacing w:before="120" w:after="120"/>
              <w:rPr>
                <w:rFonts w:cs="Arial"/>
                <w:sz w:val="18"/>
                <w:szCs w:val="18"/>
              </w:rPr>
            </w:pPr>
            <w:r w:rsidRPr="00A11B98">
              <w:rPr>
                <w:rFonts w:cs="Arial"/>
                <w:sz w:val="18"/>
                <w:szCs w:val="18"/>
              </w:rPr>
              <w:t>In July 2014, t</w:t>
            </w:r>
            <w:r w:rsidRPr="00CA34A2">
              <w:rPr>
                <w:rFonts w:cs="Arial"/>
                <w:sz w:val="18"/>
                <w:szCs w:val="18"/>
              </w:rPr>
              <w:t xml:space="preserve">he SBE approved the CDE’s recommendation to extend the current contract with </w:t>
            </w:r>
            <w:r>
              <w:rPr>
                <w:rFonts w:cs="Arial"/>
                <w:sz w:val="18"/>
                <w:szCs w:val="18"/>
              </w:rPr>
              <w:t>ETS</w:t>
            </w:r>
            <w:r w:rsidRPr="00CA34A2">
              <w:rPr>
                <w:rFonts w:cs="Arial"/>
                <w:sz w:val="18"/>
                <w:szCs w:val="18"/>
              </w:rPr>
              <w:t xml:space="preserve"> and its subcontractors for a period of one year to cover the 2014–15 </w:t>
            </w:r>
            <w:r w:rsidRPr="00A11B98">
              <w:rPr>
                <w:rFonts w:cs="Arial"/>
                <w:sz w:val="18"/>
                <w:szCs w:val="18"/>
              </w:rPr>
              <w:t xml:space="preserve">CAASPP </w:t>
            </w:r>
            <w:r w:rsidRPr="00CA34A2">
              <w:rPr>
                <w:rFonts w:cs="Arial"/>
                <w:sz w:val="18"/>
                <w:szCs w:val="18"/>
              </w:rPr>
              <w:t xml:space="preserve">test administration. </w:t>
            </w:r>
            <w:r w:rsidRPr="00A11B98">
              <w:rPr>
                <w:rFonts w:cs="Arial"/>
                <w:sz w:val="18"/>
                <w:szCs w:val="18"/>
              </w:rPr>
              <w:t>This extension was</w:t>
            </w:r>
            <w:r>
              <w:rPr>
                <w:rFonts w:cs="Arial"/>
                <w:sz w:val="18"/>
                <w:szCs w:val="18"/>
              </w:rPr>
              <w:t>, in part, a</w:t>
            </w:r>
            <w:r w:rsidRPr="00A11B98">
              <w:rPr>
                <w:rFonts w:cs="Arial"/>
                <w:sz w:val="18"/>
                <w:szCs w:val="18"/>
              </w:rPr>
              <w:t xml:space="preserve"> response to the Smarter Balanced </w:t>
            </w:r>
            <w:r>
              <w:rPr>
                <w:rFonts w:cs="Arial"/>
                <w:sz w:val="18"/>
                <w:szCs w:val="18"/>
              </w:rPr>
              <w:t xml:space="preserve">Assessment </w:t>
            </w:r>
            <w:r w:rsidRPr="00A11B98">
              <w:rPr>
                <w:rFonts w:cs="Arial"/>
                <w:sz w:val="18"/>
                <w:szCs w:val="18"/>
              </w:rPr>
              <w:t>Consortium</w:t>
            </w:r>
            <w:r>
              <w:rPr>
                <w:rFonts w:cs="Arial"/>
                <w:sz w:val="18"/>
                <w:szCs w:val="18"/>
              </w:rPr>
              <w:t>’s</w:t>
            </w:r>
            <w:r w:rsidRPr="00A11B98">
              <w:rPr>
                <w:rFonts w:cs="Arial"/>
                <w:sz w:val="18"/>
                <w:szCs w:val="18"/>
              </w:rPr>
              <w:t xml:space="preserve"> announcement to reschedule the</w:t>
            </w:r>
            <w:r>
              <w:rPr>
                <w:rFonts w:cs="Arial"/>
                <w:sz w:val="18"/>
                <w:szCs w:val="18"/>
              </w:rPr>
              <w:t xml:space="preserve"> public</w:t>
            </w:r>
            <w:r w:rsidRPr="00A11B98">
              <w:rPr>
                <w:rFonts w:cs="Arial"/>
                <w:sz w:val="18"/>
                <w:szCs w:val="18"/>
              </w:rPr>
              <w:t xml:space="preserve"> release of the open source code to member states and potential contract bidders. Open source code is part of the software program or system (e.g., </w:t>
            </w:r>
            <w:r>
              <w:rPr>
                <w:rFonts w:cs="Arial"/>
                <w:sz w:val="18"/>
                <w:szCs w:val="18"/>
              </w:rPr>
              <w:t>student</w:t>
            </w:r>
            <w:r w:rsidRPr="00A11B98">
              <w:rPr>
                <w:rFonts w:cs="Arial"/>
                <w:sz w:val="18"/>
                <w:szCs w:val="18"/>
              </w:rPr>
              <w:t xml:space="preserve"> registration, test delivery, teacher registration systems, and adaptive engine for the summative and interim assessments) that computer programmers can manipulate to add features for specific state requirements or improve</w:t>
            </w:r>
            <w:r>
              <w:rPr>
                <w:rFonts w:cs="Arial"/>
                <w:sz w:val="18"/>
                <w:szCs w:val="18"/>
              </w:rPr>
              <w:t xml:space="preserve"> the</w:t>
            </w:r>
            <w:r w:rsidRPr="00A11B98">
              <w:rPr>
                <w:rFonts w:cs="Arial"/>
                <w:sz w:val="18"/>
                <w:szCs w:val="18"/>
              </w:rPr>
              <w:t xml:space="preserve"> functionality </w:t>
            </w:r>
            <w:r>
              <w:rPr>
                <w:rFonts w:cs="Arial"/>
                <w:sz w:val="18"/>
                <w:szCs w:val="18"/>
              </w:rPr>
              <w:t>for</w:t>
            </w:r>
            <w:r w:rsidRPr="00A11B98">
              <w:rPr>
                <w:rFonts w:cs="Arial"/>
                <w:sz w:val="18"/>
                <w:szCs w:val="18"/>
              </w:rPr>
              <w:t xml:space="preserve"> end users.</w:t>
            </w:r>
          </w:p>
          <w:p w14:paraId="7443F810" w14:textId="77777777" w:rsidR="00C46B2E" w:rsidRDefault="00C46B2E" w:rsidP="000A3682">
            <w:pPr>
              <w:numPr>
                <w:ilvl w:val="0"/>
                <w:numId w:val="3"/>
              </w:numPr>
              <w:spacing w:before="120" w:after="120"/>
              <w:rPr>
                <w:rFonts w:cs="Arial"/>
                <w:sz w:val="18"/>
                <w:szCs w:val="18"/>
              </w:rPr>
            </w:pPr>
            <w:r w:rsidRPr="00A11B98">
              <w:rPr>
                <w:rFonts w:cs="Arial"/>
                <w:sz w:val="18"/>
                <w:szCs w:val="18"/>
              </w:rPr>
              <w:t>In September 2014, the SBE approved a three-year contract with the University of California, Los Angeles</w:t>
            </w:r>
            <w:r>
              <w:rPr>
                <w:rFonts w:cs="Arial"/>
                <w:sz w:val="18"/>
                <w:szCs w:val="18"/>
              </w:rPr>
              <w:t xml:space="preserve"> (UCLA),</w:t>
            </w:r>
            <w:r w:rsidRPr="00A11B98">
              <w:rPr>
                <w:rFonts w:cs="Arial"/>
                <w:sz w:val="18"/>
                <w:szCs w:val="18"/>
              </w:rPr>
              <w:t xml:space="preserve"> to provide access to the Smarter Balanced </w:t>
            </w:r>
            <w:r>
              <w:rPr>
                <w:rFonts w:cs="Arial"/>
                <w:sz w:val="18"/>
                <w:szCs w:val="18"/>
              </w:rPr>
              <w:t>Assessment Consortium Summative</w:t>
            </w:r>
            <w:r w:rsidRPr="00A11B98">
              <w:rPr>
                <w:rFonts w:cs="Arial"/>
                <w:sz w:val="18"/>
                <w:szCs w:val="18"/>
              </w:rPr>
              <w:t xml:space="preserve"> </w:t>
            </w:r>
            <w:r>
              <w:rPr>
                <w:rFonts w:cs="Arial"/>
                <w:sz w:val="18"/>
                <w:szCs w:val="18"/>
              </w:rPr>
              <w:t>and I</w:t>
            </w:r>
            <w:r w:rsidRPr="00A11B98">
              <w:rPr>
                <w:rFonts w:cs="Arial"/>
                <w:sz w:val="18"/>
                <w:szCs w:val="18"/>
              </w:rPr>
              <w:t>nterim</w:t>
            </w:r>
            <w:r>
              <w:rPr>
                <w:rFonts w:cs="Arial"/>
                <w:sz w:val="18"/>
                <w:szCs w:val="18"/>
              </w:rPr>
              <w:t xml:space="preserve"> Assessments</w:t>
            </w:r>
            <w:r w:rsidRPr="00A11B98">
              <w:rPr>
                <w:rFonts w:cs="Arial"/>
                <w:sz w:val="18"/>
                <w:szCs w:val="18"/>
              </w:rPr>
              <w:t xml:space="preserve"> and formative</w:t>
            </w:r>
            <w:r>
              <w:rPr>
                <w:rFonts w:cs="Arial"/>
                <w:sz w:val="18"/>
                <w:szCs w:val="18"/>
              </w:rPr>
              <w:t xml:space="preserve"> assessment</w:t>
            </w:r>
            <w:r w:rsidRPr="00A11B98">
              <w:rPr>
                <w:rFonts w:cs="Arial"/>
                <w:sz w:val="18"/>
                <w:szCs w:val="18"/>
              </w:rPr>
              <w:t xml:space="preserve"> </w:t>
            </w:r>
            <w:r>
              <w:rPr>
                <w:rFonts w:cs="Arial"/>
                <w:sz w:val="18"/>
                <w:szCs w:val="18"/>
              </w:rPr>
              <w:t>tools,</w:t>
            </w:r>
            <w:r w:rsidRPr="00A11B98">
              <w:rPr>
                <w:rFonts w:cs="Arial"/>
                <w:sz w:val="18"/>
                <w:szCs w:val="18"/>
              </w:rPr>
              <w:t xml:space="preserve"> </w:t>
            </w:r>
            <w:r>
              <w:rPr>
                <w:rFonts w:cs="Arial"/>
                <w:sz w:val="18"/>
                <w:szCs w:val="18"/>
              </w:rPr>
              <w:t>as well as</w:t>
            </w:r>
            <w:r w:rsidRPr="00A11B98">
              <w:rPr>
                <w:rFonts w:cs="Arial"/>
                <w:sz w:val="18"/>
                <w:szCs w:val="18"/>
              </w:rPr>
              <w:t xml:space="preserve"> to provide Smarter Balanced consortium-</w:t>
            </w:r>
            <w:r w:rsidRPr="00A11B98">
              <w:rPr>
                <w:rFonts w:cs="Arial"/>
                <w:sz w:val="18"/>
                <w:szCs w:val="18"/>
              </w:rPr>
              <w:lastRenderedPageBreak/>
              <w:t>managed services to California.</w:t>
            </w:r>
          </w:p>
          <w:p w14:paraId="6E906224" w14:textId="77777777" w:rsidR="00C46B2E" w:rsidRPr="00A11B98" w:rsidRDefault="00C46B2E" w:rsidP="000A3682">
            <w:pPr>
              <w:numPr>
                <w:ilvl w:val="0"/>
                <w:numId w:val="3"/>
              </w:numPr>
              <w:spacing w:before="120" w:after="120"/>
              <w:rPr>
                <w:rFonts w:cs="Arial"/>
                <w:sz w:val="18"/>
                <w:szCs w:val="18"/>
              </w:rPr>
            </w:pPr>
            <w:r>
              <w:rPr>
                <w:rFonts w:cs="Arial"/>
                <w:sz w:val="18"/>
                <w:szCs w:val="18"/>
              </w:rPr>
              <w:t>In November</w:t>
            </w:r>
            <w:r w:rsidRPr="00CA34A2">
              <w:rPr>
                <w:rFonts w:cs="Arial"/>
                <w:sz w:val="18"/>
                <w:szCs w:val="18"/>
              </w:rPr>
              <w:t xml:space="preserve"> 2014</w:t>
            </w:r>
            <w:r>
              <w:rPr>
                <w:rFonts w:cs="Arial"/>
                <w:sz w:val="18"/>
                <w:szCs w:val="18"/>
              </w:rPr>
              <w:t>, a</w:t>
            </w:r>
            <w:r w:rsidRPr="00CA34A2">
              <w:rPr>
                <w:rFonts w:cs="Arial"/>
                <w:sz w:val="18"/>
                <w:szCs w:val="18"/>
              </w:rPr>
              <w:t xml:space="preserve"> subsequent competitive bid </w:t>
            </w:r>
            <w:r>
              <w:rPr>
                <w:rFonts w:cs="Arial"/>
                <w:sz w:val="18"/>
                <w:szCs w:val="18"/>
              </w:rPr>
              <w:t>R</w:t>
            </w:r>
            <w:r w:rsidRPr="00CA34A2">
              <w:rPr>
                <w:rFonts w:cs="Arial"/>
                <w:sz w:val="18"/>
                <w:szCs w:val="18"/>
              </w:rPr>
              <w:t xml:space="preserve">equest for </w:t>
            </w:r>
            <w:r>
              <w:rPr>
                <w:rFonts w:cs="Arial"/>
                <w:sz w:val="18"/>
                <w:szCs w:val="18"/>
              </w:rPr>
              <w:t>S</w:t>
            </w:r>
            <w:r w:rsidRPr="00CA34A2">
              <w:rPr>
                <w:rFonts w:cs="Arial"/>
                <w:sz w:val="18"/>
                <w:szCs w:val="18"/>
              </w:rPr>
              <w:t>ubmission</w:t>
            </w:r>
            <w:r>
              <w:rPr>
                <w:rFonts w:cs="Arial"/>
                <w:sz w:val="18"/>
                <w:szCs w:val="18"/>
              </w:rPr>
              <w:t>s</w:t>
            </w:r>
            <w:r w:rsidRPr="00CA34A2">
              <w:rPr>
                <w:rFonts w:cs="Arial"/>
                <w:sz w:val="18"/>
                <w:szCs w:val="18"/>
              </w:rPr>
              <w:t xml:space="preserve"> (RFS) was</w:t>
            </w:r>
            <w:r>
              <w:rPr>
                <w:rFonts w:cs="Arial"/>
                <w:sz w:val="18"/>
                <w:szCs w:val="18"/>
              </w:rPr>
              <w:t xml:space="preserve"> released</w:t>
            </w:r>
            <w:r w:rsidRPr="00CA34A2">
              <w:rPr>
                <w:rFonts w:cs="Arial"/>
                <w:sz w:val="18"/>
                <w:szCs w:val="18"/>
              </w:rPr>
              <w:t xml:space="preserve"> to ensure that a contract </w:t>
            </w:r>
            <w:r w:rsidRPr="00A11B98">
              <w:rPr>
                <w:rFonts w:cs="Arial"/>
                <w:sz w:val="18"/>
                <w:szCs w:val="18"/>
              </w:rPr>
              <w:t>would be</w:t>
            </w:r>
            <w:r w:rsidRPr="00CA34A2">
              <w:rPr>
                <w:rFonts w:cs="Arial"/>
                <w:sz w:val="18"/>
                <w:szCs w:val="18"/>
              </w:rPr>
              <w:t xml:space="preserve"> </w:t>
            </w:r>
            <w:r>
              <w:rPr>
                <w:rFonts w:cs="Arial"/>
                <w:sz w:val="18"/>
                <w:szCs w:val="18"/>
              </w:rPr>
              <w:t xml:space="preserve">approved by the SBE and </w:t>
            </w:r>
            <w:r w:rsidRPr="00CA34A2">
              <w:rPr>
                <w:rFonts w:cs="Arial"/>
                <w:sz w:val="18"/>
                <w:szCs w:val="18"/>
              </w:rPr>
              <w:t>in place by July 2015 for the spring 2015–16 operational test and the piloting and field testing of new test items developed as part of the ETS contract.</w:t>
            </w:r>
          </w:p>
          <w:p w14:paraId="3411E14F" w14:textId="77777777" w:rsidR="00C46B2E" w:rsidRPr="00B3254B" w:rsidRDefault="00C46B2E" w:rsidP="000A3682">
            <w:pPr>
              <w:numPr>
                <w:ilvl w:val="0"/>
                <w:numId w:val="3"/>
              </w:numPr>
              <w:spacing w:before="120" w:after="120"/>
              <w:rPr>
                <w:rFonts w:cs="Arial"/>
                <w:sz w:val="18"/>
                <w:szCs w:val="18"/>
              </w:rPr>
            </w:pPr>
            <w:r>
              <w:rPr>
                <w:rFonts w:cs="Arial"/>
                <w:sz w:val="18"/>
                <w:szCs w:val="18"/>
              </w:rPr>
              <w:t xml:space="preserve">During 2014, a Request for Proposals (RFP) was drafted for an independent evaluation of CAASPP in preparation for the contract to be </w:t>
            </w:r>
            <w:r w:rsidRPr="00B3254B">
              <w:rPr>
                <w:rFonts w:cs="Arial"/>
                <w:sz w:val="18"/>
                <w:szCs w:val="18"/>
              </w:rPr>
              <w:t>competitively bid.</w:t>
            </w:r>
          </w:p>
          <w:p w14:paraId="2CFD72A3" w14:textId="77777777" w:rsidR="00C46B2E" w:rsidRPr="00B3254B" w:rsidRDefault="00C46B2E" w:rsidP="000A3682">
            <w:pPr>
              <w:numPr>
                <w:ilvl w:val="0"/>
                <w:numId w:val="3"/>
              </w:numPr>
              <w:spacing w:before="120" w:after="120"/>
              <w:rPr>
                <w:rFonts w:cs="Arial"/>
                <w:sz w:val="18"/>
                <w:szCs w:val="18"/>
              </w:rPr>
            </w:pPr>
            <w:r w:rsidRPr="00B3254B">
              <w:rPr>
                <w:rFonts w:cs="Arial"/>
                <w:sz w:val="18"/>
                <w:szCs w:val="18"/>
              </w:rPr>
              <w:t>In May 2015, the CDE released a</w:t>
            </w:r>
            <w:r>
              <w:rPr>
                <w:rFonts w:cs="Arial"/>
                <w:sz w:val="18"/>
                <w:szCs w:val="18"/>
              </w:rPr>
              <w:t>n RFP</w:t>
            </w:r>
            <w:r w:rsidRPr="00B3254B">
              <w:rPr>
                <w:rFonts w:cs="Arial"/>
                <w:sz w:val="18"/>
                <w:szCs w:val="18"/>
              </w:rPr>
              <w:t xml:space="preserve"> for an independent evaluation of CAASPP</w:t>
            </w:r>
            <w:r>
              <w:rPr>
                <w:rFonts w:cs="Arial"/>
                <w:sz w:val="18"/>
                <w:szCs w:val="18"/>
              </w:rPr>
              <w:t>.</w:t>
            </w:r>
          </w:p>
          <w:p w14:paraId="12239003" w14:textId="77777777" w:rsidR="00C46B2E" w:rsidRPr="00B3254B" w:rsidRDefault="00C46B2E" w:rsidP="000A3682">
            <w:pPr>
              <w:numPr>
                <w:ilvl w:val="0"/>
                <w:numId w:val="3"/>
              </w:numPr>
              <w:spacing w:before="120" w:after="120"/>
              <w:rPr>
                <w:rFonts w:cs="Arial"/>
                <w:sz w:val="18"/>
                <w:szCs w:val="18"/>
              </w:rPr>
            </w:pPr>
            <w:r w:rsidRPr="00B3254B">
              <w:rPr>
                <w:rFonts w:cs="Arial"/>
                <w:sz w:val="18"/>
                <w:szCs w:val="18"/>
              </w:rPr>
              <w:t xml:space="preserve">In May 2015, the SBE designated ETS as the contractor for the development, administration, scoring, and reporting for </w:t>
            </w:r>
            <w:r>
              <w:rPr>
                <w:rFonts w:cs="Arial"/>
                <w:sz w:val="18"/>
                <w:szCs w:val="18"/>
              </w:rPr>
              <w:t xml:space="preserve">the </w:t>
            </w:r>
            <w:r w:rsidRPr="00B3254B">
              <w:rPr>
                <w:rFonts w:cs="Arial"/>
                <w:sz w:val="18"/>
                <w:szCs w:val="18"/>
              </w:rPr>
              <w:t>CAASPP System.</w:t>
            </w:r>
          </w:p>
          <w:p w14:paraId="795890CA" w14:textId="77777777" w:rsidR="00C46B2E" w:rsidRPr="00B3254B" w:rsidRDefault="00C46B2E" w:rsidP="000A3682">
            <w:pPr>
              <w:numPr>
                <w:ilvl w:val="0"/>
                <w:numId w:val="3"/>
              </w:numPr>
              <w:spacing w:before="120" w:after="120"/>
              <w:rPr>
                <w:rFonts w:cs="Arial"/>
                <w:sz w:val="18"/>
                <w:szCs w:val="18"/>
              </w:rPr>
            </w:pPr>
            <w:r w:rsidRPr="00B3254B">
              <w:rPr>
                <w:rFonts w:cs="Arial"/>
                <w:sz w:val="18"/>
                <w:szCs w:val="18"/>
              </w:rPr>
              <w:t xml:space="preserve">In July 2015, the CDE entered into a contract with Human Resources Research Organization (HumRRO) to conduct a three-year independent evaluation of the CAASPP System. </w:t>
            </w:r>
          </w:p>
          <w:p w14:paraId="55B77D15" w14:textId="77777777" w:rsidR="00C46B2E" w:rsidRPr="00CA34A2" w:rsidRDefault="00C46B2E" w:rsidP="000A3682">
            <w:pPr>
              <w:numPr>
                <w:ilvl w:val="0"/>
                <w:numId w:val="3"/>
              </w:numPr>
              <w:spacing w:before="120" w:after="120"/>
              <w:rPr>
                <w:rFonts w:cs="Arial"/>
                <w:color w:val="FF0000"/>
                <w:sz w:val="18"/>
                <w:szCs w:val="18"/>
              </w:rPr>
            </w:pPr>
            <w:r>
              <w:rPr>
                <w:rFonts w:cs="Arial"/>
                <w:sz w:val="18"/>
                <w:szCs w:val="18"/>
              </w:rPr>
              <w:t xml:space="preserve">In July 2015, the CDE entered into </w:t>
            </w:r>
            <w:r w:rsidRPr="008F7C6A">
              <w:rPr>
                <w:rFonts w:cs="Arial"/>
                <w:sz w:val="18"/>
                <w:szCs w:val="18"/>
              </w:rPr>
              <w:t xml:space="preserve">an interagency agreement between the CDE and the </w:t>
            </w:r>
            <w:r>
              <w:rPr>
                <w:rFonts w:cs="Arial"/>
                <w:sz w:val="18"/>
                <w:szCs w:val="18"/>
              </w:rPr>
              <w:t xml:space="preserve">Sacramento County Office of Education (SCOE) to provide CAASPP Institutes and the support of the Senior Assessment Fellows. </w:t>
            </w:r>
            <w:r w:rsidRPr="008F7C6A">
              <w:rPr>
                <w:rFonts w:cs="Arial"/>
                <w:sz w:val="18"/>
                <w:szCs w:val="18"/>
              </w:rPr>
              <w:t xml:space="preserve">The contract </w:t>
            </w:r>
            <w:r>
              <w:rPr>
                <w:rFonts w:cs="Arial"/>
                <w:sz w:val="18"/>
                <w:szCs w:val="18"/>
              </w:rPr>
              <w:t xml:space="preserve">period was from </w:t>
            </w:r>
            <w:r w:rsidRPr="008F7C6A">
              <w:rPr>
                <w:rFonts w:cs="Arial"/>
                <w:sz w:val="18"/>
                <w:szCs w:val="18"/>
              </w:rPr>
              <w:t>July 16, 2015</w:t>
            </w:r>
            <w:r>
              <w:rPr>
                <w:rFonts w:cs="Arial"/>
                <w:sz w:val="18"/>
                <w:szCs w:val="18"/>
              </w:rPr>
              <w:t xml:space="preserve"> through</w:t>
            </w:r>
            <w:r w:rsidRPr="008F7C6A">
              <w:rPr>
                <w:rFonts w:cs="Arial"/>
                <w:sz w:val="18"/>
                <w:szCs w:val="18"/>
              </w:rPr>
              <w:t xml:space="preserve"> June 30, 2016.</w:t>
            </w:r>
          </w:p>
        </w:tc>
        <w:tc>
          <w:tcPr>
            <w:tcW w:w="6120" w:type="dxa"/>
            <w:shd w:val="clear" w:color="auto" w:fill="auto"/>
            <w:tcMar>
              <w:top w:w="29" w:type="dxa"/>
              <w:bottom w:w="29" w:type="dxa"/>
            </w:tcMar>
          </w:tcPr>
          <w:p w14:paraId="7B467773" w14:textId="77777777" w:rsidR="00C46B2E" w:rsidRPr="002A0889" w:rsidRDefault="00C46B2E" w:rsidP="000A3682">
            <w:pPr>
              <w:pStyle w:val="ListParagraph"/>
              <w:numPr>
                <w:ilvl w:val="0"/>
                <w:numId w:val="3"/>
              </w:numPr>
              <w:spacing w:before="120" w:after="120"/>
              <w:rPr>
                <w:rFonts w:cs="Arial"/>
                <w:sz w:val="18"/>
                <w:szCs w:val="18"/>
              </w:rPr>
            </w:pPr>
            <w:r w:rsidRPr="002A0889">
              <w:rPr>
                <w:rFonts w:cs="Arial"/>
                <w:sz w:val="18"/>
                <w:szCs w:val="18"/>
              </w:rPr>
              <w:lastRenderedPageBreak/>
              <w:t xml:space="preserve">In March 2016, the CDE provided the SBE with the </w:t>
            </w:r>
            <w:r w:rsidRPr="002A0889">
              <w:rPr>
                <w:rFonts w:cs="Arial"/>
                <w:bCs/>
                <w:i/>
                <w:sz w:val="18"/>
                <w:szCs w:val="18"/>
              </w:rPr>
              <w:t>Recommendations for Building a Next-Generation, Comprehensive Assessment System in California</w:t>
            </w:r>
            <w:r w:rsidRPr="002A0889">
              <w:rPr>
                <w:rFonts w:cs="Arial"/>
                <w:bCs/>
                <w:sz w:val="18"/>
                <w:szCs w:val="18"/>
              </w:rPr>
              <w:t>, developed jointly with WestEd and the</w:t>
            </w:r>
            <w:r>
              <w:rPr>
                <w:rFonts w:cs="Arial"/>
                <w:bCs/>
                <w:sz w:val="18"/>
                <w:szCs w:val="18"/>
              </w:rPr>
              <w:t xml:space="preserve"> SJCOE</w:t>
            </w:r>
            <w:r w:rsidRPr="002A0889">
              <w:rPr>
                <w:rFonts w:cs="Arial"/>
                <w:bCs/>
                <w:sz w:val="18"/>
                <w:szCs w:val="18"/>
              </w:rPr>
              <w:t xml:space="preserve">. </w:t>
            </w:r>
          </w:p>
          <w:p w14:paraId="59617B66" w14:textId="77777777" w:rsidR="00C46B2E" w:rsidRPr="002A0889" w:rsidRDefault="00C46B2E" w:rsidP="000A3682">
            <w:pPr>
              <w:pStyle w:val="ListParagraph"/>
              <w:numPr>
                <w:ilvl w:val="0"/>
                <w:numId w:val="3"/>
              </w:numPr>
              <w:spacing w:before="120" w:after="120"/>
              <w:rPr>
                <w:rFonts w:cs="Arial"/>
                <w:sz w:val="18"/>
                <w:szCs w:val="18"/>
              </w:rPr>
            </w:pPr>
            <w:r w:rsidRPr="002A0889">
              <w:rPr>
                <w:rFonts w:cs="Arial"/>
                <w:sz w:val="18"/>
                <w:szCs w:val="18"/>
              </w:rPr>
              <w:t>In May 2016, the SBE authorized the CDE to make necessary changes to the current CAASPP contract with ETS, without a change to the total contract amount, to implement the transition to CA NGSS.</w:t>
            </w:r>
          </w:p>
          <w:p w14:paraId="0BC7E561" w14:textId="77777777" w:rsidR="00C46B2E" w:rsidRPr="002A0889" w:rsidRDefault="00C46B2E" w:rsidP="000A3682">
            <w:pPr>
              <w:pStyle w:val="ListParagraph"/>
              <w:numPr>
                <w:ilvl w:val="0"/>
                <w:numId w:val="3"/>
              </w:numPr>
              <w:spacing w:before="120" w:after="120"/>
              <w:rPr>
                <w:rFonts w:cs="Arial"/>
                <w:sz w:val="18"/>
                <w:szCs w:val="18"/>
              </w:rPr>
            </w:pPr>
            <w:r w:rsidRPr="002A0889">
              <w:rPr>
                <w:rFonts w:cs="Arial"/>
                <w:sz w:val="18"/>
                <w:szCs w:val="18"/>
              </w:rPr>
              <w:t>In November 2016, the SBE approved the release of $8,369,960.24</w:t>
            </w:r>
            <w:r w:rsidRPr="002A0889">
              <w:rPr>
                <w:rFonts w:cs="Arial"/>
                <w:bCs/>
                <w:sz w:val="18"/>
                <w:szCs w:val="18"/>
              </w:rPr>
              <w:t xml:space="preserve"> from funds withheld from </w:t>
            </w:r>
            <w:r>
              <w:rPr>
                <w:rFonts w:cs="Arial"/>
                <w:bCs/>
                <w:sz w:val="18"/>
                <w:szCs w:val="18"/>
              </w:rPr>
              <w:t xml:space="preserve">the </w:t>
            </w:r>
            <w:r w:rsidRPr="002A0889">
              <w:rPr>
                <w:rFonts w:cs="Arial"/>
                <w:bCs/>
                <w:sz w:val="18"/>
                <w:szCs w:val="18"/>
              </w:rPr>
              <w:t>ETS contract during the 2015–16 test administration.</w:t>
            </w:r>
          </w:p>
        </w:tc>
      </w:tr>
      <w:tr w:rsidR="00C46B2E" w:rsidRPr="00C64273" w14:paraId="1E6DF15A" w14:textId="77777777" w:rsidTr="000A3682">
        <w:tc>
          <w:tcPr>
            <w:tcW w:w="1797" w:type="dxa"/>
            <w:shd w:val="clear" w:color="auto" w:fill="C6D9F1"/>
            <w:vAlign w:val="center"/>
          </w:tcPr>
          <w:p w14:paraId="2E0CF640" w14:textId="77777777" w:rsidR="00C46B2E" w:rsidRDefault="00C46B2E" w:rsidP="000A3682">
            <w:pPr>
              <w:spacing w:before="120" w:after="120"/>
              <w:rPr>
                <w:rFonts w:cs="Arial"/>
                <w:b/>
                <w:sz w:val="20"/>
              </w:rPr>
            </w:pPr>
            <w:r w:rsidRPr="006D2073">
              <w:rPr>
                <w:rFonts w:cs="Arial"/>
                <w:b/>
                <w:sz w:val="20"/>
              </w:rPr>
              <w:t>Technology Readiness</w:t>
            </w:r>
          </w:p>
          <w:p w14:paraId="424FB1CB" w14:textId="77777777" w:rsidR="00C46B2E" w:rsidRPr="004B143A" w:rsidRDefault="00C46B2E" w:rsidP="000A3682">
            <w:pPr>
              <w:spacing w:before="120" w:after="120"/>
              <w:rPr>
                <w:rFonts w:cs="Arial"/>
                <w:sz w:val="16"/>
                <w:szCs w:val="16"/>
              </w:rPr>
            </w:pPr>
            <w:r w:rsidRPr="004B143A">
              <w:rPr>
                <w:rFonts w:cs="Arial"/>
                <w:sz w:val="16"/>
                <w:szCs w:val="16"/>
              </w:rPr>
              <w:t>(</w:t>
            </w:r>
            <w:r w:rsidRPr="001B18D6">
              <w:rPr>
                <w:rFonts w:cs="Arial"/>
                <w:i/>
                <w:sz w:val="16"/>
                <w:szCs w:val="16"/>
              </w:rPr>
              <w:t>EC</w:t>
            </w:r>
            <w:r w:rsidRPr="004B143A">
              <w:rPr>
                <w:rFonts w:cs="Arial"/>
                <w:sz w:val="16"/>
                <w:szCs w:val="16"/>
              </w:rPr>
              <w:t xml:space="preserve"> Section 60648.5[b])</w:t>
            </w:r>
          </w:p>
        </w:tc>
        <w:tc>
          <w:tcPr>
            <w:tcW w:w="5850" w:type="dxa"/>
            <w:shd w:val="clear" w:color="auto" w:fill="auto"/>
            <w:tcMar>
              <w:top w:w="29" w:type="dxa"/>
              <w:bottom w:w="29" w:type="dxa"/>
            </w:tcMar>
          </w:tcPr>
          <w:p w14:paraId="06648999" w14:textId="77777777" w:rsidR="00C46B2E" w:rsidRPr="00CF4364" w:rsidRDefault="00C46B2E" w:rsidP="000A3682">
            <w:pPr>
              <w:numPr>
                <w:ilvl w:val="0"/>
                <w:numId w:val="1"/>
              </w:numPr>
              <w:spacing w:before="120" w:after="120"/>
              <w:rPr>
                <w:rFonts w:cs="Arial"/>
                <w:sz w:val="18"/>
                <w:szCs w:val="18"/>
              </w:rPr>
            </w:pPr>
            <w:r w:rsidRPr="00CA34A2">
              <w:rPr>
                <w:rFonts w:cs="Arial"/>
                <w:sz w:val="18"/>
                <w:szCs w:val="18"/>
              </w:rPr>
              <w:t xml:space="preserve">In April 2012, a technology readiness tool (TRT) was designed to evaluate and determine the necessary school-level technology and infrastructure needed for computer-based testing. </w:t>
            </w:r>
          </w:p>
          <w:p w14:paraId="59FF65AF" w14:textId="77777777" w:rsidR="00C46B2E" w:rsidRPr="00CA34A2" w:rsidRDefault="00C46B2E" w:rsidP="000A3682">
            <w:pPr>
              <w:numPr>
                <w:ilvl w:val="0"/>
                <w:numId w:val="1"/>
              </w:numPr>
              <w:spacing w:before="120" w:after="120"/>
              <w:rPr>
                <w:rFonts w:cs="Arial"/>
                <w:color w:val="FF0000"/>
                <w:sz w:val="18"/>
                <w:szCs w:val="18"/>
              </w:rPr>
            </w:pPr>
            <w:r w:rsidRPr="00CF4364">
              <w:rPr>
                <w:rFonts w:cs="Arial"/>
                <w:sz w:val="18"/>
                <w:szCs w:val="18"/>
              </w:rPr>
              <w:t>To assist LEAs with completing the TRT</w:t>
            </w:r>
            <w:r>
              <w:rPr>
                <w:rFonts w:cs="Arial"/>
                <w:sz w:val="18"/>
                <w:szCs w:val="18"/>
              </w:rPr>
              <w:t xml:space="preserve"> evaluation</w:t>
            </w:r>
            <w:r w:rsidRPr="00CF4364">
              <w:rPr>
                <w:rFonts w:cs="Arial"/>
                <w:sz w:val="18"/>
                <w:szCs w:val="18"/>
              </w:rPr>
              <w:t>, the CDE developed training videos and Webinars and partnered with the California County Superintendents Education</w:t>
            </w:r>
            <w:r>
              <w:rPr>
                <w:rFonts w:cs="Arial"/>
                <w:sz w:val="18"/>
                <w:szCs w:val="18"/>
              </w:rPr>
              <w:t>al Services Association</w:t>
            </w:r>
            <w:r w:rsidRPr="00CF4364">
              <w:rPr>
                <w:rFonts w:cs="Arial"/>
                <w:sz w:val="18"/>
                <w:szCs w:val="18"/>
              </w:rPr>
              <w:t xml:space="preserve"> </w:t>
            </w:r>
            <w:r>
              <w:rPr>
                <w:rFonts w:cs="Arial"/>
                <w:sz w:val="18"/>
                <w:szCs w:val="18"/>
              </w:rPr>
              <w:t xml:space="preserve">(CCSESA) </w:t>
            </w:r>
            <w:r w:rsidRPr="00CF4364">
              <w:rPr>
                <w:rFonts w:cs="Arial"/>
                <w:sz w:val="18"/>
                <w:szCs w:val="18"/>
              </w:rPr>
              <w:t xml:space="preserve">to encourage LEAs to complete </w:t>
            </w:r>
            <w:r>
              <w:rPr>
                <w:rFonts w:cs="Arial"/>
                <w:sz w:val="18"/>
                <w:szCs w:val="18"/>
              </w:rPr>
              <w:t>it</w:t>
            </w:r>
            <w:r w:rsidRPr="00CF4364">
              <w:rPr>
                <w:rFonts w:cs="Arial"/>
                <w:sz w:val="18"/>
                <w:szCs w:val="18"/>
              </w:rPr>
              <w:t xml:space="preserve">. In addition, the CDE created an e-mail listserv and help desk (accessible by e-mail at </w:t>
            </w:r>
            <w:hyperlink r:id="rId35" w:history="1">
              <w:r w:rsidRPr="00006DA7">
                <w:rPr>
                  <w:rStyle w:val="Hyperlink"/>
                  <w:rFonts w:cs="Arial"/>
                  <w:sz w:val="18"/>
                  <w:szCs w:val="18"/>
                </w:rPr>
                <w:t>sbac-itreadiness@cde.ca.gov</w:t>
              </w:r>
            </w:hyperlink>
            <w:r w:rsidRPr="00006DA7">
              <w:rPr>
                <w:rFonts w:cs="Arial"/>
                <w:color w:val="0000FF"/>
                <w:sz w:val="18"/>
                <w:szCs w:val="18"/>
              </w:rPr>
              <w:t>)</w:t>
            </w:r>
            <w:r w:rsidRPr="00006DA7">
              <w:rPr>
                <w:rFonts w:cs="Arial"/>
                <w:sz w:val="18"/>
                <w:szCs w:val="18"/>
              </w:rPr>
              <w:t>.</w:t>
            </w:r>
          </w:p>
          <w:p w14:paraId="35ECBFC5" w14:textId="77777777" w:rsidR="00C46B2E" w:rsidRPr="002068A5" w:rsidRDefault="00C46B2E" w:rsidP="000A3682">
            <w:pPr>
              <w:numPr>
                <w:ilvl w:val="0"/>
                <w:numId w:val="1"/>
              </w:numPr>
              <w:spacing w:before="120" w:after="120"/>
              <w:rPr>
                <w:rFonts w:cs="Arial"/>
                <w:color w:val="FF0000"/>
                <w:sz w:val="16"/>
                <w:szCs w:val="16"/>
              </w:rPr>
            </w:pPr>
            <w:r>
              <w:rPr>
                <w:rFonts w:cs="Arial"/>
                <w:sz w:val="18"/>
                <w:szCs w:val="18"/>
              </w:rPr>
              <w:t>In</w:t>
            </w:r>
            <w:r w:rsidRPr="00CF4364">
              <w:rPr>
                <w:rFonts w:cs="Arial"/>
                <w:sz w:val="18"/>
                <w:szCs w:val="18"/>
              </w:rPr>
              <w:t xml:space="preserve"> June 2013</w:t>
            </w:r>
            <w:r>
              <w:rPr>
                <w:rFonts w:cs="Arial"/>
                <w:sz w:val="18"/>
                <w:szCs w:val="18"/>
              </w:rPr>
              <w:t>, t</w:t>
            </w:r>
            <w:r w:rsidRPr="00CF4364">
              <w:rPr>
                <w:rFonts w:cs="Arial"/>
                <w:sz w:val="18"/>
                <w:szCs w:val="18"/>
              </w:rPr>
              <w:t>he CDE conducted an LEA technology preparedness survey. The survey results are available on the SBE October 2013 Information Memoranda Web page at</w:t>
            </w:r>
            <w:r>
              <w:rPr>
                <w:rFonts w:cs="Arial"/>
                <w:sz w:val="18"/>
                <w:szCs w:val="18"/>
              </w:rPr>
              <w:t xml:space="preserve"> </w:t>
            </w:r>
            <w:hyperlink r:id="rId36" w:history="1">
              <w:r w:rsidRPr="005E70D3">
                <w:rPr>
                  <w:rStyle w:val="Hyperlink"/>
                  <w:rFonts w:cs="Arial"/>
                  <w:sz w:val="18"/>
                  <w:szCs w:val="18"/>
                </w:rPr>
                <w:t>http://www.cde.ca.gov/be/pn/im/documents/memo-dsib-adad-oct13item01.doc</w:t>
              </w:r>
            </w:hyperlink>
            <w:r>
              <w:rPr>
                <w:rStyle w:val="Hyperlink"/>
                <w:rFonts w:cs="Arial"/>
                <w:sz w:val="18"/>
                <w:szCs w:val="18"/>
              </w:rPr>
              <w:t>.</w:t>
            </w:r>
            <w:r w:rsidRPr="002068A5">
              <w:rPr>
                <w:rFonts w:cs="Arial"/>
                <w:color w:val="FF0000"/>
                <w:sz w:val="17"/>
                <w:szCs w:val="17"/>
              </w:rPr>
              <w:t xml:space="preserve"> </w:t>
            </w:r>
          </w:p>
          <w:p w14:paraId="5685B032" w14:textId="77777777" w:rsidR="00C46B2E" w:rsidRDefault="00C46B2E" w:rsidP="000A3682">
            <w:pPr>
              <w:numPr>
                <w:ilvl w:val="0"/>
                <w:numId w:val="1"/>
              </w:numPr>
              <w:spacing w:before="120" w:after="120"/>
              <w:rPr>
                <w:rFonts w:cs="Arial"/>
                <w:sz w:val="18"/>
                <w:szCs w:val="18"/>
              </w:rPr>
            </w:pPr>
            <w:r>
              <w:rPr>
                <w:rFonts w:cs="Arial"/>
                <w:sz w:val="18"/>
                <w:szCs w:val="18"/>
              </w:rPr>
              <w:lastRenderedPageBreak/>
              <w:t>The California Technical Assistance Center (CalTAC),</w:t>
            </w:r>
            <w:r w:rsidRPr="00CF4364">
              <w:rPr>
                <w:rFonts w:cs="Arial"/>
                <w:sz w:val="18"/>
                <w:szCs w:val="18"/>
              </w:rPr>
              <w:t xml:space="preserve"> provided by the testing contractor</w:t>
            </w:r>
            <w:r>
              <w:rPr>
                <w:rFonts w:cs="Arial"/>
                <w:sz w:val="18"/>
                <w:szCs w:val="18"/>
              </w:rPr>
              <w:t>,</w:t>
            </w:r>
            <w:r w:rsidRPr="00CF4364">
              <w:rPr>
                <w:rFonts w:cs="Arial"/>
                <w:sz w:val="18"/>
                <w:szCs w:val="18"/>
              </w:rPr>
              <w:t xml:space="preserve"> helped LEAs</w:t>
            </w:r>
            <w:r>
              <w:rPr>
                <w:rFonts w:cs="Arial"/>
                <w:sz w:val="18"/>
                <w:szCs w:val="18"/>
              </w:rPr>
              <w:t xml:space="preserve"> prepare and check technology for</w:t>
            </w:r>
            <w:r w:rsidRPr="00CF4364">
              <w:rPr>
                <w:rFonts w:cs="Arial"/>
                <w:sz w:val="18"/>
                <w:szCs w:val="18"/>
              </w:rPr>
              <w:t xml:space="preserve"> administer</w:t>
            </w:r>
            <w:r>
              <w:rPr>
                <w:rFonts w:cs="Arial"/>
                <w:sz w:val="18"/>
                <w:szCs w:val="18"/>
              </w:rPr>
              <w:t>ing</w:t>
            </w:r>
            <w:r w:rsidRPr="00CF4364">
              <w:rPr>
                <w:rFonts w:cs="Arial"/>
                <w:sz w:val="18"/>
                <w:szCs w:val="18"/>
              </w:rPr>
              <w:t xml:space="preserve"> the Smarter Balanced Field Test. CalTAC assisted LEAs over the phone and through e-mails and site visits.</w:t>
            </w:r>
          </w:p>
          <w:p w14:paraId="61C560E1" w14:textId="77777777" w:rsidR="00C46B2E" w:rsidRPr="00CF4364" w:rsidRDefault="00C46B2E" w:rsidP="000A3682">
            <w:pPr>
              <w:numPr>
                <w:ilvl w:val="0"/>
                <w:numId w:val="1"/>
              </w:numPr>
              <w:spacing w:before="120" w:after="120"/>
              <w:rPr>
                <w:rFonts w:cs="Arial"/>
                <w:sz w:val="18"/>
                <w:szCs w:val="18"/>
              </w:rPr>
            </w:pPr>
            <w:r>
              <w:rPr>
                <w:rFonts w:cs="Arial"/>
                <w:sz w:val="18"/>
                <w:szCs w:val="18"/>
              </w:rPr>
              <w:t>In</w:t>
            </w:r>
            <w:r w:rsidRPr="00CF4364">
              <w:rPr>
                <w:rFonts w:cs="Arial"/>
                <w:sz w:val="18"/>
                <w:szCs w:val="18"/>
              </w:rPr>
              <w:t xml:space="preserve"> April 2014</w:t>
            </w:r>
            <w:r>
              <w:rPr>
                <w:rFonts w:cs="Arial"/>
                <w:sz w:val="18"/>
                <w:szCs w:val="18"/>
              </w:rPr>
              <w:t>,</w:t>
            </w:r>
            <w:r w:rsidRPr="00CA34A2">
              <w:rPr>
                <w:rFonts w:cs="Arial"/>
                <w:sz w:val="18"/>
                <w:szCs w:val="18"/>
              </w:rPr>
              <w:t xml:space="preserve"> </w:t>
            </w:r>
            <w:r>
              <w:rPr>
                <w:rFonts w:cs="Arial"/>
                <w:sz w:val="18"/>
                <w:szCs w:val="18"/>
              </w:rPr>
              <w:t xml:space="preserve">a </w:t>
            </w:r>
            <w:r w:rsidRPr="00CA34A2">
              <w:rPr>
                <w:rFonts w:cs="Arial"/>
                <w:sz w:val="18"/>
                <w:szCs w:val="18"/>
              </w:rPr>
              <w:t xml:space="preserve">feasibility study report </w:t>
            </w:r>
            <w:r w:rsidRPr="00CF4364">
              <w:rPr>
                <w:rFonts w:cs="Arial"/>
                <w:sz w:val="18"/>
                <w:szCs w:val="18"/>
              </w:rPr>
              <w:t xml:space="preserve">(FSR) </w:t>
            </w:r>
            <w:r w:rsidRPr="00CA34A2">
              <w:rPr>
                <w:rFonts w:cs="Arial"/>
                <w:sz w:val="18"/>
                <w:szCs w:val="18"/>
              </w:rPr>
              <w:t>of the technology components of computer-based testing was completed and submitted to the California Department of Technology (CalTech) for approval.</w:t>
            </w:r>
            <w:r w:rsidRPr="00CF4364">
              <w:rPr>
                <w:rFonts w:cs="Arial"/>
                <w:sz w:val="18"/>
                <w:szCs w:val="18"/>
              </w:rPr>
              <w:t xml:space="preserve"> In May 2014, CalTech approved the FSR with specific requirements related to the monitoring of technology components in the CAASPP contract. These requirement</w:t>
            </w:r>
            <w:r>
              <w:rPr>
                <w:rFonts w:cs="Arial"/>
                <w:sz w:val="18"/>
                <w:szCs w:val="18"/>
              </w:rPr>
              <w:t>s</w:t>
            </w:r>
            <w:r w:rsidRPr="00CF4364">
              <w:rPr>
                <w:rFonts w:cs="Arial"/>
                <w:sz w:val="18"/>
                <w:szCs w:val="18"/>
              </w:rPr>
              <w:t xml:space="preserve"> were included in the CAASPP RFS for prospective bidders</w:t>
            </w:r>
            <w:r>
              <w:rPr>
                <w:rFonts w:cs="Arial"/>
                <w:sz w:val="18"/>
                <w:szCs w:val="18"/>
              </w:rPr>
              <w:t>.</w:t>
            </w:r>
          </w:p>
          <w:p w14:paraId="6C227519" w14:textId="77777777" w:rsidR="00C46B2E" w:rsidRPr="00CF4364" w:rsidRDefault="00C46B2E" w:rsidP="000A3682">
            <w:pPr>
              <w:numPr>
                <w:ilvl w:val="0"/>
                <w:numId w:val="1"/>
              </w:numPr>
              <w:spacing w:before="120" w:after="120"/>
              <w:rPr>
                <w:rFonts w:cs="Arial"/>
                <w:sz w:val="18"/>
                <w:szCs w:val="18"/>
              </w:rPr>
            </w:pPr>
            <w:r w:rsidRPr="00CF4364">
              <w:rPr>
                <w:rFonts w:cs="Arial"/>
                <w:sz w:val="18"/>
                <w:szCs w:val="18"/>
              </w:rPr>
              <w:t xml:space="preserve">During 2014, the </w:t>
            </w:r>
            <w:r w:rsidRPr="00CA34A2">
              <w:rPr>
                <w:rFonts w:cs="Arial"/>
                <w:sz w:val="18"/>
                <w:szCs w:val="18"/>
              </w:rPr>
              <w:t>CDE and the testing contractor continue</w:t>
            </w:r>
            <w:r w:rsidRPr="00CF4364">
              <w:rPr>
                <w:rFonts w:cs="Arial"/>
                <w:sz w:val="18"/>
                <w:szCs w:val="18"/>
              </w:rPr>
              <w:t>d</w:t>
            </w:r>
            <w:r w:rsidRPr="00CA34A2">
              <w:rPr>
                <w:rFonts w:cs="Arial"/>
                <w:sz w:val="18"/>
                <w:szCs w:val="18"/>
              </w:rPr>
              <w:t xml:space="preserve"> </w:t>
            </w:r>
            <w:r w:rsidRPr="00CF4364">
              <w:rPr>
                <w:rFonts w:cs="Arial"/>
                <w:sz w:val="18"/>
                <w:szCs w:val="18"/>
              </w:rPr>
              <w:t xml:space="preserve">to provide </w:t>
            </w:r>
            <w:r w:rsidRPr="00CA34A2">
              <w:rPr>
                <w:rFonts w:cs="Arial"/>
                <w:sz w:val="18"/>
                <w:szCs w:val="18"/>
              </w:rPr>
              <w:t>outreach to LEAs to assist with technology readiness. A</w:t>
            </w:r>
            <w:r>
              <w:rPr>
                <w:rFonts w:cs="Arial"/>
                <w:sz w:val="18"/>
                <w:szCs w:val="18"/>
              </w:rPr>
              <w:t>s a result, the number of unprepared</w:t>
            </w:r>
            <w:r w:rsidRPr="00CA34A2">
              <w:rPr>
                <w:rFonts w:cs="Arial"/>
                <w:sz w:val="18"/>
                <w:szCs w:val="18"/>
              </w:rPr>
              <w:t xml:space="preserve"> LEAs </w:t>
            </w:r>
            <w:r w:rsidRPr="00CF4364">
              <w:rPr>
                <w:rFonts w:cs="Arial"/>
                <w:sz w:val="18"/>
                <w:szCs w:val="18"/>
              </w:rPr>
              <w:t>w</w:t>
            </w:r>
            <w:r w:rsidRPr="00CA34A2">
              <w:rPr>
                <w:rFonts w:cs="Arial"/>
                <w:sz w:val="18"/>
                <w:szCs w:val="18"/>
              </w:rPr>
              <w:t>a</w:t>
            </w:r>
            <w:r>
              <w:rPr>
                <w:rFonts w:cs="Arial"/>
                <w:sz w:val="18"/>
                <w:szCs w:val="18"/>
              </w:rPr>
              <w:t xml:space="preserve">s greatly reduced </w:t>
            </w:r>
            <w:r w:rsidRPr="00CA34A2">
              <w:rPr>
                <w:rFonts w:cs="Arial"/>
                <w:sz w:val="18"/>
                <w:szCs w:val="18"/>
              </w:rPr>
              <w:t>for the 2014</w:t>
            </w:r>
            <w:r w:rsidRPr="00CF4364">
              <w:rPr>
                <w:rFonts w:cs="Arial"/>
                <w:sz w:val="18"/>
                <w:szCs w:val="18"/>
              </w:rPr>
              <w:t>–</w:t>
            </w:r>
            <w:r w:rsidRPr="00CA34A2">
              <w:rPr>
                <w:rFonts w:cs="Arial"/>
                <w:sz w:val="18"/>
                <w:szCs w:val="18"/>
              </w:rPr>
              <w:t>15 test administration.</w:t>
            </w:r>
          </w:p>
          <w:p w14:paraId="00F3265D" w14:textId="77777777" w:rsidR="00C46B2E" w:rsidRDefault="00C46B2E" w:rsidP="000A3682">
            <w:pPr>
              <w:numPr>
                <w:ilvl w:val="0"/>
                <w:numId w:val="1"/>
              </w:numPr>
              <w:spacing w:before="120" w:after="120"/>
              <w:rPr>
                <w:rFonts w:cs="Arial"/>
                <w:sz w:val="18"/>
                <w:szCs w:val="18"/>
              </w:rPr>
            </w:pPr>
            <w:r>
              <w:rPr>
                <w:rFonts w:cs="Arial"/>
                <w:sz w:val="18"/>
                <w:szCs w:val="18"/>
              </w:rPr>
              <w:t>I</w:t>
            </w:r>
            <w:r w:rsidRPr="00CA34A2">
              <w:rPr>
                <w:rFonts w:cs="Arial"/>
                <w:sz w:val="18"/>
                <w:szCs w:val="18"/>
              </w:rPr>
              <w:t>n August 2014</w:t>
            </w:r>
            <w:r>
              <w:rPr>
                <w:rFonts w:cs="Arial"/>
                <w:sz w:val="18"/>
                <w:szCs w:val="18"/>
              </w:rPr>
              <w:t>, a</w:t>
            </w:r>
            <w:r w:rsidRPr="00CA34A2">
              <w:rPr>
                <w:rFonts w:cs="Arial"/>
                <w:sz w:val="18"/>
                <w:szCs w:val="18"/>
              </w:rPr>
              <w:t>s part of SB 852</w:t>
            </w:r>
            <w:r w:rsidRPr="00CF4364">
              <w:rPr>
                <w:rFonts w:cs="Arial"/>
                <w:sz w:val="18"/>
                <w:szCs w:val="18"/>
              </w:rPr>
              <w:t>,</w:t>
            </w:r>
            <w:r w:rsidRPr="00CA34A2">
              <w:rPr>
                <w:rFonts w:cs="Arial"/>
                <w:sz w:val="18"/>
                <w:szCs w:val="18"/>
              </w:rPr>
              <w:t xml:space="preserve"> the </w:t>
            </w:r>
            <w:r>
              <w:rPr>
                <w:rFonts w:cs="Arial"/>
                <w:sz w:val="18"/>
                <w:szCs w:val="18"/>
              </w:rPr>
              <w:t>BIIG program was</w:t>
            </w:r>
            <w:r w:rsidRPr="00CA34A2">
              <w:rPr>
                <w:rFonts w:cs="Arial"/>
                <w:sz w:val="18"/>
                <w:szCs w:val="18"/>
              </w:rPr>
              <w:t xml:space="preserve"> announced. </w:t>
            </w:r>
            <w:r w:rsidRPr="00CF4364">
              <w:rPr>
                <w:rFonts w:cs="Arial"/>
                <w:sz w:val="18"/>
                <w:szCs w:val="18"/>
              </w:rPr>
              <w:t xml:space="preserve">The 2014–15 Budget Act allocated $26,689,000 to support network connectivity infrastructure grants and the completion of a statewide report of network connectivity by the </w:t>
            </w:r>
            <w:r>
              <w:rPr>
                <w:rFonts w:cs="Arial"/>
                <w:sz w:val="18"/>
                <w:szCs w:val="18"/>
              </w:rPr>
              <w:t>K12HSN</w:t>
            </w:r>
            <w:r w:rsidRPr="00CF4364">
              <w:rPr>
                <w:rFonts w:cs="Arial"/>
                <w:sz w:val="18"/>
                <w:szCs w:val="18"/>
              </w:rPr>
              <w:t xml:space="preserve"> in consultation with the CDE and SBE. The intent of </w:t>
            </w:r>
            <w:r>
              <w:rPr>
                <w:rFonts w:cs="Arial"/>
                <w:sz w:val="18"/>
                <w:szCs w:val="18"/>
              </w:rPr>
              <w:t xml:space="preserve">the use of </w:t>
            </w:r>
            <w:r w:rsidRPr="00CF4364">
              <w:rPr>
                <w:rFonts w:cs="Arial"/>
                <w:sz w:val="18"/>
                <w:szCs w:val="18"/>
              </w:rPr>
              <w:t xml:space="preserve">these funds is to assist schools that do not have sufficient internet connectivity to conduct the CAASPP </w:t>
            </w:r>
            <w:r>
              <w:rPr>
                <w:rFonts w:cs="Arial"/>
                <w:sz w:val="18"/>
                <w:szCs w:val="18"/>
              </w:rPr>
              <w:t>System,</w:t>
            </w:r>
            <w:r w:rsidRPr="00CF4364">
              <w:rPr>
                <w:rFonts w:cs="Arial"/>
                <w:sz w:val="18"/>
                <w:szCs w:val="18"/>
              </w:rPr>
              <w:t xml:space="preserve"> </w:t>
            </w:r>
            <w:r>
              <w:rPr>
                <w:rFonts w:cs="Arial"/>
                <w:sz w:val="18"/>
                <w:szCs w:val="18"/>
              </w:rPr>
              <w:t>which</w:t>
            </w:r>
            <w:r w:rsidRPr="00CF4364">
              <w:rPr>
                <w:rFonts w:cs="Arial"/>
                <w:sz w:val="18"/>
                <w:szCs w:val="18"/>
              </w:rPr>
              <w:t xml:space="preserve"> includes the Smarter Balanced computer-based assessments.</w:t>
            </w:r>
          </w:p>
          <w:p w14:paraId="0B136F04" w14:textId="77777777" w:rsidR="00C46B2E" w:rsidRDefault="00C46B2E" w:rsidP="000A3682">
            <w:pPr>
              <w:numPr>
                <w:ilvl w:val="0"/>
                <w:numId w:val="1"/>
              </w:numPr>
              <w:spacing w:before="120" w:after="120"/>
              <w:rPr>
                <w:rFonts w:cs="Arial"/>
                <w:sz w:val="18"/>
                <w:szCs w:val="18"/>
              </w:rPr>
            </w:pPr>
            <w:r>
              <w:rPr>
                <w:rFonts w:cs="Arial"/>
                <w:sz w:val="18"/>
                <w:szCs w:val="18"/>
              </w:rPr>
              <w:t>From</w:t>
            </w:r>
            <w:r w:rsidRPr="00FE4686">
              <w:rPr>
                <w:rFonts w:cs="Arial"/>
                <w:sz w:val="18"/>
                <w:szCs w:val="18"/>
              </w:rPr>
              <w:t xml:space="preserve"> January </w:t>
            </w:r>
            <w:r>
              <w:rPr>
                <w:rFonts w:cs="Arial"/>
                <w:sz w:val="18"/>
                <w:szCs w:val="18"/>
              </w:rPr>
              <w:t>through March 2015</w:t>
            </w:r>
            <w:r w:rsidRPr="00FE4686">
              <w:rPr>
                <w:rFonts w:cs="Arial"/>
                <w:sz w:val="18"/>
                <w:szCs w:val="18"/>
              </w:rPr>
              <w:t xml:space="preserve">, 227 sites received viable bids from service providers to improve broadband connections in preparation for the </w:t>
            </w:r>
            <w:r>
              <w:rPr>
                <w:rFonts w:cs="Arial"/>
                <w:sz w:val="18"/>
                <w:szCs w:val="18"/>
              </w:rPr>
              <w:t>2014</w:t>
            </w:r>
            <w:r w:rsidRPr="00B72E04">
              <w:rPr>
                <w:rFonts w:cs="Arial"/>
                <w:sz w:val="18"/>
                <w:szCs w:val="18"/>
              </w:rPr>
              <w:t>–</w:t>
            </w:r>
            <w:r>
              <w:rPr>
                <w:rFonts w:cs="Arial"/>
                <w:sz w:val="18"/>
                <w:szCs w:val="18"/>
              </w:rPr>
              <w:t>15 administration</w:t>
            </w:r>
            <w:r w:rsidRPr="00FE4686">
              <w:rPr>
                <w:rFonts w:cs="Arial"/>
                <w:sz w:val="18"/>
                <w:szCs w:val="18"/>
              </w:rPr>
              <w:t xml:space="preserve"> of the </w:t>
            </w:r>
            <w:r>
              <w:rPr>
                <w:rFonts w:cs="Arial"/>
                <w:sz w:val="18"/>
                <w:szCs w:val="18"/>
              </w:rPr>
              <w:t xml:space="preserve">Smarter Balanced Summative Assessments </w:t>
            </w:r>
            <w:r w:rsidRPr="00FE4686">
              <w:rPr>
                <w:rFonts w:cs="Arial"/>
                <w:sz w:val="18"/>
                <w:szCs w:val="18"/>
              </w:rPr>
              <w:t>through the BIIG</w:t>
            </w:r>
            <w:r>
              <w:rPr>
                <w:rFonts w:cs="Arial"/>
                <w:sz w:val="18"/>
                <w:szCs w:val="18"/>
              </w:rPr>
              <w:t xml:space="preserve"> program.</w:t>
            </w:r>
          </w:p>
          <w:p w14:paraId="0396ACE6" w14:textId="77777777" w:rsidR="00C46B2E" w:rsidRDefault="00C46B2E" w:rsidP="000A3682">
            <w:pPr>
              <w:numPr>
                <w:ilvl w:val="0"/>
                <w:numId w:val="1"/>
              </w:numPr>
              <w:spacing w:before="120" w:after="120"/>
              <w:rPr>
                <w:rFonts w:cs="Arial"/>
                <w:sz w:val="18"/>
                <w:szCs w:val="18"/>
              </w:rPr>
            </w:pPr>
            <w:r w:rsidRPr="00B72E04">
              <w:rPr>
                <w:rFonts w:cs="Arial"/>
                <w:sz w:val="18"/>
                <w:szCs w:val="18"/>
              </w:rPr>
              <w:t xml:space="preserve">The 2015–16 Budget Act </w:t>
            </w:r>
            <w:r>
              <w:rPr>
                <w:rFonts w:cs="Arial"/>
                <w:sz w:val="18"/>
                <w:szCs w:val="18"/>
              </w:rPr>
              <w:t>allocated</w:t>
            </w:r>
            <w:r w:rsidRPr="00B72E04">
              <w:rPr>
                <w:rFonts w:cs="Arial"/>
                <w:sz w:val="18"/>
                <w:szCs w:val="18"/>
              </w:rPr>
              <w:t xml:space="preserve"> $50 million to</w:t>
            </w:r>
            <w:r>
              <w:rPr>
                <w:rFonts w:cs="Arial"/>
                <w:sz w:val="18"/>
                <w:szCs w:val="18"/>
              </w:rPr>
              <w:t xml:space="preserve"> the K12HSN for the BIIG program.</w:t>
            </w:r>
          </w:p>
          <w:p w14:paraId="46739443" w14:textId="77777777" w:rsidR="00C46B2E" w:rsidRPr="00CA34A2" w:rsidRDefault="00C46B2E" w:rsidP="000A3682">
            <w:pPr>
              <w:numPr>
                <w:ilvl w:val="0"/>
                <w:numId w:val="1"/>
              </w:numPr>
              <w:spacing w:before="120" w:after="120"/>
              <w:rPr>
                <w:rFonts w:cs="Arial"/>
                <w:sz w:val="18"/>
                <w:szCs w:val="18"/>
              </w:rPr>
            </w:pPr>
            <w:r>
              <w:rPr>
                <w:rFonts w:cs="Arial"/>
                <w:sz w:val="18"/>
                <w:szCs w:val="18"/>
              </w:rPr>
              <w:t xml:space="preserve">In October 2015, </w:t>
            </w:r>
            <w:r w:rsidRPr="00B96B4F">
              <w:rPr>
                <w:rFonts w:cs="Arial"/>
                <w:sz w:val="18"/>
                <w:szCs w:val="18"/>
              </w:rPr>
              <w:t>the CDE</w:t>
            </w:r>
            <w:r>
              <w:rPr>
                <w:rFonts w:cs="Arial"/>
                <w:sz w:val="18"/>
                <w:szCs w:val="18"/>
              </w:rPr>
              <w:t xml:space="preserve"> and the testing contractor</w:t>
            </w:r>
            <w:r w:rsidRPr="00B96B4F">
              <w:rPr>
                <w:rFonts w:cs="Arial"/>
                <w:sz w:val="18"/>
                <w:szCs w:val="18"/>
              </w:rPr>
              <w:t xml:space="preserve"> rolled out new user roles and test delivery system enhancements. </w:t>
            </w:r>
          </w:p>
        </w:tc>
        <w:tc>
          <w:tcPr>
            <w:tcW w:w="6120" w:type="dxa"/>
            <w:shd w:val="clear" w:color="auto" w:fill="auto"/>
            <w:tcMar>
              <w:top w:w="29" w:type="dxa"/>
              <w:bottom w:w="29" w:type="dxa"/>
            </w:tcMar>
          </w:tcPr>
          <w:p w14:paraId="5B0B9FF9" w14:textId="77777777" w:rsidR="00C46B2E" w:rsidRPr="00763313" w:rsidRDefault="00C46B2E" w:rsidP="000A3682">
            <w:pPr>
              <w:numPr>
                <w:ilvl w:val="0"/>
                <w:numId w:val="4"/>
              </w:numPr>
              <w:spacing w:before="120" w:after="120"/>
              <w:rPr>
                <w:rFonts w:cs="Arial"/>
                <w:sz w:val="18"/>
                <w:szCs w:val="18"/>
              </w:rPr>
            </w:pPr>
            <w:r>
              <w:rPr>
                <w:rFonts w:cs="Arial"/>
                <w:sz w:val="18"/>
                <w:szCs w:val="18"/>
              </w:rPr>
              <w:lastRenderedPageBreak/>
              <w:t xml:space="preserve">In </w:t>
            </w:r>
            <w:r w:rsidRPr="00FE4686">
              <w:rPr>
                <w:rFonts w:cs="Arial"/>
                <w:sz w:val="18"/>
                <w:szCs w:val="18"/>
              </w:rPr>
              <w:t xml:space="preserve">January </w:t>
            </w:r>
            <w:r>
              <w:rPr>
                <w:rFonts w:cs="Arial"/>
                <w:sz w:val="18"/>
                <w:szCs w:val="18"/>
              </w:rPr>
              <w:t>2016, over 200</w:t>
            </w:r>
            <w:r w:rsidRPr="00FE4686">
              <w:rPr>
                <w:rFonts w:cs="Arial"/>
                <w:sz w:val="18"/>
                <w:szCs w:val="18"/>
              </w:rPr>
              <w:t xml:space="preserve"> sites received viable bids from service providers to improve broadband con</w:t>
            </w:r>
            <w:r>
              <w:rPr>
                <w:rFonts w:cs="Arial"/>
                <w:sz w:val="18"/>
                <w:szCs w:val="18"/>
              </w:rPr>
              <w:t>nections in preparation for the 2017 administration</w:t>
            </w:r>
            <w:r w:rsidRPr="00FE4686">
              <w:rPr>
                <w:rFonts w:cs="Arial"/>
                <w:sz w:val="18"/>
                <w:szCs w:val="18"/>
              </w:rPr>
              <w:t xml:space="preserve"> of the </w:t>
            </w:r>
            <w:r>
              <w:rPr>
                <w:rFonts w:cs="Arial"/>
                <w:sz w:val="18"/>
                <w:szCs w:val="18"/>
              </w:rPr>
              <w:t xml:space="preserve">Smarter Balanced Summative Assessments </w:t>
            </w:r>
            <w:r w:rsidRPr="00FE4686">
              <w:rPr>
                <w:rFonts w:cs="Arial"/>
                <w:sz w:val="18"/>
                <w:szCs w:val="18"/>
              </w:rPr>
              <w:t xml:space="preserve">through the </w:t>
            </w:r>
            <w:r w:rsidRPr="00E71513">
              <w:rPr>
                <w:rFonts w:cs="Arial"/>
                <w:sz w:val="18"/>
                <w:szCs w:val="18"/>
              </w:rPr>
              <w:t xml:space="preserve">Broadband Infrastructure Improvement Grant </w:t>
            </w:r>
            <w:r>
              <w:rPr>
                <w:rFonts w:cs="Arial"/>
                <w:sz w:val="18"/>
                <w:szCs w:val="18"/>
              </w:rPr>
              <w:t>(</w:t>
            </w:r>
            <w:r w:rsidRPr="00FE4686">
              <w:rPr>
                <w:rFonts w:cs="Arial"/>
                <w:sz w:val="18"/>
                <w:szCs w:val="18"/>
              </w:rPr>
              <w:t>BIIG</w:t>
            </w:r>
            <w:r>
              <w:rPr>
                <w:rFonts w:cs="Arial"/>
                <w:sz w:val="18"/>
                <w:szCs w:val="18"/>
              </w:rPr>
              <w:t>) program.</w:t>
            </w:r>
          </w:p>
          <w:p w14:paraId="6804FC81" w14:textId="77777777" w:rsidR="00C46B2E" w:rsidRDefault="00C46B2E" w:rsidP="000A3682">
            <w:pPr>
              <w:numPr>
                <w:ilvl w:val="0"/>
                <w:numId w:val="4"/>
              </w:numPr>
              <w:spacing w:before="120" w:after="120"/>
              <w:rPr>
                <w:rFonts w:cs="Arial"/>
                <w:sz w:val="18"/>
                <w:szCs w:val="18"/>
              </w:rPr>
            </w:pPr>
            <w:r w:rsidRPr="00E71513">
              <w:rPr>
                <w:rFonts w:cs="Arial"/>
                <w:sz w:val="18"/>
                <w:szCs w:val="18"/>
              </w:rPr>
              <w:t>The CDE continue</w:t>
            </w:r>
            <w:r>
              <w:rPr>
                <w:rFonts w:cs="Arial"/>
                <w:sz w:val="18"/>
                <w:szCs w:val="18"/>
              </w:rPr>
              <w:t>d</w:t>
            </w:r>
            <w:r w:rsidRPr="00E71513">
              <w:rPr>
                <w:rFonts w:cs="Arial"/>
                <w:sz w:val="18"/>
                <w:szCs w:val="18"/>
              </w:rPr>
              <w:t xml:space="preserve"> to assist the K–12 High Speed Network </w:t>
            </w:r>
            <w:r>
              <w:rPr>
                <w:rFonts w:cs="Arial"/>
                <w:sz w:val="18"/>
                <w:szCs w:val="18"/>
              </w:rPr>
              <w:t xml:space="preserve">(K12HSN) </w:t>
            </w:r>
            <w:r w:rsidRPr="00E71513">
              <w:rPr>
                <w:rFonts w:cs="Arial"/>
                <w:sz w:val="18"/>
                <w:szCs w:val="18"/>
              </w:rPr>
              <w:t xml:space="preserve">with the implementation of the </w:t>
            </w:r>
            <w:r>
              <w:rPr>
                <w:rFonts w:cs="Arial"/>
                <w:sz w:val="18"/>
                <w:szCs w:val="18"/>
              </w:rPr>
              <w:t>BIIG programs, which funded 151 more unique sites to improve</w:t>
            </w:r>
            <w:r w:rsidRPr="00E71513">
              <w:rPr>
                <w:rFonts w:cs="Arial"/>
                <w:sz w:val="18"/>
                <w:szCs w:val="18"/>
              </w:rPr>
              <w:t xml:space="preserve"> their connection to the Internet to administer computer-based assessments.</w:t>
            </w:r>
          </w:p>
          <w:p w14:paraId="2257D408" w14:textId="77777777" w:rsidR="00C46B2E" w:rsidRPr="00EB037D" w:rsidRDefault="00C46B2E" w:rsidP="000A3682">
            <w:pPr>
              <w:numPr>
                <w:ilvl w:val="0"/>
                <w:numId w:val="4"/>
              </w:numPr>
              <w:spacing w:before="120" w:after="120"/>
              <w:rPr>
                <w:rFonts w:cs="Arial"/>
                <w:sz w:val="18"/>
                <w:szCs w:val="18"/>
              </w:rPr>
            </w:pPr>
            <w:r>
              <w:rPr>
                <w:rFonts w:cs="Arial"/>
                <w:sz w:val="18"/>
                <w:szCs w:val="18"/>
              </w:rPr>
              <w:t>T</w:t>
            </w:r>
            <w:r w:rsidRPr="00CF4364">
              <w:rPr>
                <w:rFonts w:cs="Arial"/>
                <w:sz w:val="18"/>
                <w:szCs w:val="18"/>
              </w:rPr>
              <w:t xml:space="preserve">he </w:t>
            </w:r>
            <w:r w:rsidRPr="00CA34A2">
              <w:rPr>
                <w:rFonts w:cs="Arial"/>
                <w:sz w:val="18"/>
                <w:szCs w:val="18"/>
              </w:rPr>
              <w:t>CDE and the testing contractor continue</w:t>
            </w:r>
            <w:r w:rsidRPr="00CF4364">
              <w:rPr>
                <w:rFonts w:cs="Arial"/>
                <w:sz w:val="18"/>
                <w:szCs w:val="18"/>
              </w:rPr>
              <w:t>d</w:t>
            </w:r>
            <w:r w:rsidRPr="00CA34A2">
              <w:rPr>
                <w:rFonts w:cs="Arial"/>
                <w:sz w:val="18"/>
                <w:szCs w:val="18"/>
              </w:rPr>
              <w:t xml:space="preserve"> </w:t>
            </w:r>
            <w:r w:rsidRPr="00CF4364">
              <w:rPr>
                <w:rFonts w:cs="Arial"/>
                <w:sz w:val="18"/>
                <w:szCs w:val="18"/>
              </w:rPr>
              <w:t xml:space="preserve">to provide </w:t>
            </w:r>
            <w:r w:rsidRPr="00CA34A2">
              <w:rPr>
                <w:rFonts w:cs="Arial"/>
                <w:sz w:val="18"/>
                <w:szCs w:val="18"/>
              </w:rPr>
              <w:t>outreach to LEAs to assist with technology readiness. A</w:t>
            </w:r>
            <w:r>
              <w:rPr>
                <w:rFonts w:cs="Arial"/>
                <w:sz w:val="18"/>
                <w:szCs w:val="18"/>
              </w:rPr>
              <w:t xml:space="preserve">s a result, the number of LEAs that were unable to administer online summative assessments in 2015–16 was reduced to eight. </w:t>
            </w:r>
          </w:p>
        </w:tc>
      </w:tr>
      <w:tr w:rsidR="00C46B2E" w:rsidRPr="00C64273" w14:paraId="392FE231" w14:textId="77777777" w:rsidTr="000A3682">
        <w:trPr>
          <w:cantSplit/>
        </w:trPr>
        <w:tc>
          <w:tcPr>
            <w:tcW w:w="1797" w:type="dxa"/>
            <w:shd w:val="clear" w:color="auto" w:fill="C6D9F1"/>
            <w:vAlign w:val="center"/>
          </w:tcPr>
          <w:p w14:paraId="7AD0D73E" w14:textId="77777777" w:rsidR="00C46B2E" w:rsidRDefault="00C46B2E" w:rsidP="000A3682">
            <w:pPr>
              <w:spacing w:before="120" w:after="120"/>
              <w:rPr>
                <w:rFonts w:cs="Arial"/>
                <w:b/>
                <w:sz w:val="20"/>
              </w:rPr>
            </w:pPr>
            <w:r w:rsidRPr="006D2073">
              <w:rPr>
                <w:rFonts w:cs="Arial"/>
                <w:b/>
                <w:sz w:val="20"/>
              </w:rPr>
              <w:lastRenderedPageBreak/>
              <w:t>Test Security</w:t>
            </w:r>
          </w:p>
          <w:p w14:paraId="38DE65A7" w14:textId="77777777" w:rsidR="00C46B2E" w:rsidRPr="006D2073"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Section 60604[a][7]</w:t>
            </w:r>
            <w:r w:rsidRPr="004B143A">
              <w:rPr>
                <w:rFonts w:cs="Arial"/>
                <w:sz w:val="16"/>
                <w:szCs w:val="16"/>
              </w:rPr>
              <w:t>)</w:t>
            </w:r>
          </w:p>
        </w:tc>
        <w:tc>
          <w:tcPr>
            <w:tcW w:w="5850" w:type="dxa"/>
            <w:shd w:val="clear" w:color="auto" w:fill="auto"/>
            <w:tcMar>
              <w:top w:w="29" w:type="dxa"/>
              <w:bottom w:w="29" w:type="dxa"/>
            </w:tcMar>
          </w:tcPr>
          <w:p w14:paraId="46EE8285" w14:textId="77777777" w:rsidR="00C46B2E" w:rsidRDefault="00C46B2E" w:rsidP="000A3682">
            <w:pPr>
              <w:pStyle w:val="ListParagraph"/>
              <w:numPr>
                <w:ilvl w:val="0"/>
                <w:numId w:val="18"/>
              </w:numPr>
              <w:spacing w:before="120" w:after="120"/>
              <w:rPr>
                <w:rFonts w:cs="Arial"/>
                <w:sz w:val="18"/>
                <w:szCs w:val="18"/>
              </w:rPr>
            </w:pPr>
            <w:r w:rsidRPr="002A32BF">
              <w:rPr>
                <w:rFonts w:cs="Arial"/>
                <w:sz w:val="18"/>
                <w:szCs w:val="18"/>
              </w:rPr>
              <w:t>Preparations were made to plan on-site security audits before the 2013–14</w:t>
            </w:r>
            <w:r>
              <w:rPr>
                <w:rFonts w:cs="Arial"/>
                <w:sz w:val="18"/>
                <w:szCs w:val="18"/>
              </w:rPr>
              <w:t xml:space="preserve"> Smarter Balanced</w:t>
            </w:r>
            <w:r w:rsidRPr="002A32BF">
              <w:rPr>
                <w:rFonts w:cs="Arial"/>
                <w:sz w:val="18"/>
                <w:szCs w:val="18"/>
              </w:rPr>
              <w:t xml:space="preserve"> Field Test began.</w:t>
            </w:r>
          </w:p>
          <w:p w14:paraId="471213C3" w14:textId="77777777" w:rsidR="00C46B2E" w:rsidRPr="00CA34A2" w:rsidRDefault="00C46B2E" w:rsidP="000A3682">
            <w:pPr>
              <w:numPr>
                <w:ilvl w:val="0"/>
                <w:numId w:val="18"/>
              </w:numPr>
              <w:spacing w:before="120" w:after="120"/>
              <w:rPr>
                <w:rFonts w:cs="Arial"/>
                <w:sz w:val="18"/>
                <w:szCs w:val="18"/>
              </w:rPr>
            </w:pPr>
            <w:r w:rsidRPr="00CA34A2">
              <w:rPr>
                <w:rFonts w:cs="Arial"/>
                <w:sz w:val="18"/>
                <w:szCs w:val="18"/>
              </w:rPr>
              <w:t>Annual security audits were conducted at selected test sites throughout the state by the testing contractor before, during, and after the 2013</w:t>
            </w:r>
            <w:r w:rsidRPr="00CA34A2">
              <w:rPr>
                <w:rFonts w:cs="Arial"/>
                <w:iCs/>
                <w:sz w:val="18"/>
                <w:szCs w:val="18"/>
              </w:rPr>
              <w:t>–</w:t>
            </w:r>
            <w:r w:rsidRPr="00CA34A2">
              <w:rPr>
                <w:rFonts w:cs="Arial"/>
                <w:sz w:val="18"/>
                <w:szCs w:val="18"/>
              </w:rPr>
              <w:t>14</w:t>
            </w:r>
            <w:r>
              <w:rPr>
                <w:rFonts w:cs="Arial"/>
                <w:sz w:val="18"/>
                <w:szCs w:val="18"/>
              </w:rPr>
              <w:t xml:space="preserve"> and 2014–15</w:t>
            </w:r>
            <w:r w:rsidRPr="00CA34A2">
              <w:rPr>
                <w:rFonts w:cs="Arial"/>
                <w:sz w:val="18"/>
                <w:szCs w:val="18"/>
              </w:rPr>
              <w:t xml:space="preserve"> test administration</w:t>
            </w:r>
            <w:r>
              <w:rPr>
                <w:rFonts w:cs="Arial"/>
                <w:sz w:val="18"/>
                <w:szCs w:val="18"/>
              </w:rPr>
              <w:t>s</w:t>
            </w:r>
            <w:r w:rsidRPr="00CA34A2">
              <w:rPr>
                <w:rFonts w:cs="Arial"/>
                <w:sz w:val="18"/>
                <w:szCs w:val="18"/>
              </w:rPr>
              <w:t xml:space="preserve">. </w:t>
            </w:r>
          </w:p>
          <w:p w14:paraId="1B8D0BD0" w14:textId="77777777" w:rsidR="00C46B2E" w:rsidRDefault="00C46B2E" w:rsidP="000A3682">
            <w:pPr>
              <w:numPr>
                <w:ilvl w:val="0"/>
                <w:numId w:val="18"/>
              </w:numPr>
              <w:spacing w:before="120" w:after="120"/>
              <w:rPr>
                <w:rFonts w:cs="Arial"/>
                <w:sz w:val="18"/>
                <w:szCs w:val="18"/>
              </w:rPr>
            </w:pPr>
            <w:r w:rsidRPr="00CA34A2">
              <w:rPr>
                <w:rFonts w:cs="Arial"/>
                <w:sz w:val="18"/>
                <w:szCs w:val="18"/>
              </w:rPr>
              <w:t>The CDE and the testing contractor actively monitored social networking sites to detect the posting of test images tha</w:t>
            </w:r>
            <w:r>
              <w:rPr>
                <w:rFonts w:cs="Arial"/>
                <w:sz w:val="18"/>
                <w:szCs w:val="18"/>
              </w:rPr>
              <w:t>t represented possible</w:t>
            </w:r>
            <w:r w:rsidRPr="00CA34A2">
              <w:rPr>
                <w:rFonts w:cs="Arial"/>
                <w:sz w:val="18"/>
                <w:szCs w:val="18"/>
              </w:rPr>
              <w:t xml:space="preserve"> test security breaches.</w:t>
            </w:r>
          </w:p>
          <w:p w14:paraId="0D0AFA97" w14:textId="77777777" w:rsidR="00C46B2E" w:rsidRPr="00DC0FB8" w:rsidRDefault="00C46B2E" w:rsidP="000A3682">
            <w:pPr>
              <w:pStyle w:val="ListParagraph"/>
              <w:numPr>
                <w:ilvl w:val="0"/>
                <w:numId w:val="18"/>
              </w:numPr>
              <w:tabs>
                <w:tab w:val="left" w:pos="1635"/>
              </w:tabs>
              <w:spacing w:before="120" w:after="120"/>
            </w:pPr>
            <w:r w:rsidRPr="001C4B2F">
              <w:rPr>
                <w:rFonts w:cs="Arial"/>
                <w:sz w:val="18"/>
                <w:szCs w:val="18"/>
              </w:rPr>
              <w:t xml:space="preserve">In August 2015, the CDE and the testing contractor began developing the </w:t>
            </w:r>
            <w:r w:rsidRPr="00567A62">
              <w:rPr>
                <w:rFonts w:cs="Arial"/>
                <w:i/>
                <w:sz w:val="18"/>
                <w:szCs w:val="18"/>
              </w:rPr>
              <w:t>Security and Test Administration Incident Reporting System</w:t>
            </w:r>
            <w:r w:rsidRPr="001C4B2F">
              <w:rPr>
                <w:rFonts w:cs="Arial"/>
                <w:sz w:val="18"/>
                <w:szCs w:val="18"/>
              </w:rPr>
              <w:t xml:space="preserve"> (</w:t>
            </w:r>
            <w:r w:rsidRPr="00567A62">
              <w:rPr>
                <w:rFonts w:cs="Arial"/>
                <w:i/>
                <w:sz w:val="18"/>
                <w:szCs w:val="18"/>
              </w:rPr>
              <w:t>STAIRS</w:t>
            </w:r>
            <w:r w:rsidRPr="001C4B2F">
              <w:rPr>
                <w:rFonts w:cs="Arial"/>
                <w:sz w:val="18"/>
                <w:szCs w:val="18"/>
              </w:rPr>
              <w:t>) to report all testing incidents and appeals for the 2015–16 CAASPP administration.</w:t>
            </w:r>
          </w:p>
        </w:tc>
        <w:tc>
          <w:tcPr>
            <w:tcW w:w="6120" w:type="dxa"/>
            <w:shd w:val="clear" w:color="auto" w:fill="auto"/>
            <w:tcMar>
              <w:top w:w="29" w:type="dxa"/>
              <w:bottom w:w="29" w:type="dxa"/>
            </w:tcMar>
          </w:tcPr>
          <w:p w14:paraId="793C2607" w14:textId="77777777" w:rsidR="00C46B2E" w:rsidRDefault="00C46B2E" w:rsidP="000A3682">
            <w:pPr>
              <w:numPr>
                <w:ilvl w:val="0"/>
                <w:numId w:val="4"/>
              </w:numPr>
              <w:spacing w:before="120" w:after="120"/>
              <w:rPr>
                <w:rFonts w:cs="Arial"/>
                <w:sz w:val="18"/>
                <w:szCs w:val="18"/>
              </w:rPr>
            </w:pPr>
            <w:r>
              <w:rPr>
                <w:rFonts w:cs="Arial"/>
                <w:sz w:val="18"/>
                <w:szCs w:val="18"/>
              </w:rPr>
              <w:t xml:space="preserve">In January </w:t>
            </w:r>
            <w:r w:rsidRPr="00C30381">
              <w:rPr>
                <w:rFonts w:cs="Arial"/>
                <w:sz w:val="18"/>
                <w:szCs w:val="18"/>
              </w:rPr>
              <w:t xml:space="preserve">2016, all test security incident reporting for summative assessments was migrated </w:t>
            </w:r>
            <w:r w:rsidRPr="00567A62">
              <w:rPr>
                <w:rFonts w:cs="Arial"/>
                <w:sz w:val="18"/>
                <w:szCs w:val="18"/>
              </w:rPr>
              <w:t>to</w:t>
            </w:r>
            <w:r w:rsidRPr="00567A62">
              <w:rPr>
                <w:rFonts w:cs="Arial"/>
                <w:i/>
                <w:sz w:val="18"/>
                <w:szCs w:val="18"/>
              </w:rPr>
              <w:t xml:space="preserve"> </w:t>
            </w:r>
            <w:r w:rsidRPr="00567A62">
              <w:rPr>
                <w:rStyle w:val="Emphasis"/>
                <w:rFonts w:cs="Arial"/>
                <w:color w:val="000000"/>
                <w:sz w:val="18"/>
                <w:szCs w:val="18"/>
                <w:lang w:val="en"/>
              </w:rPr>
              <w:t>STAIRS</w:t>
            </w:r>
            <w:r w:rsidRPr="00567A62">
              <w:rPr>
                <w:rFonts w:cs="Arial"/>
                <w:i/>
                <w:sz w:val="18"/>
                <w:szCs w:val="18"/>
              </w:rPr>
              <w:t xml:space="preserve">, </w:t>
            </w:r>
            <w:r w:rsidRPr="00C30381">
              <w:rPr>
                <w:rFonts w:cs="Arial"/>
                <w:sz w:val="18"/>
                <w:szCs w:val="18"/>
              </w:rPr>
              <w:t>which allows LEAs to report security and other administration</w:t>
            </w:r>
            <w:r>
              <w:rPr>
                <w:rFonts w:cs="Arial"/>
                <w:sz w:val="18"/>
                <w:szCs w:val="18"/>
              </w:rPr>
              <w:t xml:space="preserve"> issues online and receive timely responses from the CDE. </w:t>
            </w:r>
          </w:p>
          <w:p w14:paraId="138BDD12" w14:textId="77777777" w:rsidR="00C46B2E" w:rsidRDefault="00C46B2E" w:rsidP="000A3682">
            <w:pPr>
              <w:numPr>
                <w:ilvl w:val="0"/>
                <w:numId w:val="4"/>
              </w:numPr>
              <w:spacing w:before="120" w:after="120"/>
              <w:rPr>
                <w:rFonts w:cs="Arial"/>
                <w:sz w:val="18"/>
                <w:szCs w:val="18"/>
              </w:rPr>
            </w:pPr>
            <w:r w:rsidRPr="00CA34A2">
              <w:rPr>
                <w:rFonts w:cs="Arial"/>
                <w:sz w:val="18"/>
                <w:szCs w:val="18"/>
              </w:rPr>
              <w:t>The CDE</w:t>
            </w:r>
            <w:r>
              <w:rPr>
                <w:rFonts w:cs="Arial"/>
                <w:sz w:val="18"/>
                <w:szCs w:val="18"/>
              </w:rPr>
              <w:t>’s</w:t>
            </w:r>
            <w:r w:rsidRPr="00CA34A2">
              <w:rPr>
                <w:rFonts w:cs="Arial"/>
                <w:sz w:val="18"/>
                <w:szCs w:val="18"/>
              </w:rPr>
              <w:t xml:space="preserve"> testing contractor actively monitored social networking sites to detect the posting of test images tha</w:t>
            </w:r>
            <w:r>
              <w:rPr>
                <w:rFonts w:cs="Arial"/>
                <w:sz w:val="18"/>
                <w:szCs w:val="18"/>
              </w:rPr>
              <w:t>t represented possible</w:t>
            </w:r>
            <w:r w:rsidRPr="00CA34A2">
              <w:rPr>
                <w:rFonts w:cs="Arial"/>
                <w:sz w:val="18"/>
                <w:szCs w:val="18"/>
              </w:rPr>
              <w:t xml:space="preserve"> test security breaches.</w:t>
            </w:r>
          </w:p>
          <w:p w14:paraId="77ACBF32" w14:textId="77777777" w:rsidR="00C46B2E" w:rsidRPr="00CA34A2" w:rsidRDefault="00C46B2E" w:rsidP="000A3682">
            <w:pPr>
              <w:numPr>
                <w:ilvl w:val="0"/>
                <w:numId w:val="4"/>
              </w:numPr>
              <w:spacing w:before="120" w:after="120"/>
              <w:rPr>
                <w:rFonts w:cs="Arial"/>
                <w:sz w:val="18"/>
                <w:szCs w:val="18"/>
              </w:rPr>
            </w:pPr>
            <w:r w:rsidRPr="008810EC">
              <w:rPr>
                <w:rFonts w:cs="Arial"/>
                <w:sz w:val="18"/>
                <w:szCs w:val="18"/>
              </w:rPr>
              <w:t xml:space="preserve">In </w:t>
            </w:r>
            <w:r>
              <w:rPr>
                <w:rFonts w:cs="Arial"/>
                <w:sz w:val="18"/>
                <w:szCs w:val="18"/>
              </w:rPr>
              <w:t>s</w:t>
            </w:r>
            <w:r w:rsidRPr="008810EC">
              <w:rPr>
                <w:rFonts w:cs="Arial"/>
                <w:sz w:val="18"/>
                <w:szCs w:val="18"/>
              </w:rPr>
              <w:t xml:space="preserve">pring 2016, </w:t>
            </w:r>
            <w:r>
              <w:rPr>
                <w:rFonts w:cs="Arial"/>
                <w:sz w:val="18"/>
                <w:szCs w:val="18"/>
              </w:rPr>
              <w:t xml:space="preserve">the </w:t>
            </w:r>
            <w:r w:rsidRPr="008810EC">
              <w:rPr>
                <w:rFonts w:cs="Arial"/>
                <w:sz w:val="18"/>
                <w:szCs w:val="18"/>
              </w:rPr>
              <w:t>CDE’s testing contractor’s Office of Testing Integrity and partner, Intouch Insight Systems, Inc., conducted up to 130 onsite test security site visits. The purpose of these site visits is to audit LEAs on their adherence to the CAASPP test security procedures. Intouch’s team of in-state auditors conduct the test security site visits.</w:t>
            </w:r>
          </w:p>
        </w:tc>
      </w:tr>
      <w:tr w:rsidR="00C46B2E" w:rsidRPr="00C64273" w14:paraId="4C90F6AC" w14:textId="77777777" w:rsidTr="000A3682">
        <w:trPr>
          <w:cantSplit/>
        </w:trPr>
        <w:tc>
          <w:tcPr>
            <w:tcW w:w="1797" w:type="dxa"/>
            <w:shd w:val="clear" w:color="auto" w:fill="C6D9F1"/>
            <w:vAlign w:val="center"/>
          </w:tcPr>
          <w:p w14:paraId="7D05438B" w14:textId="77777777" w:rsidR="00C46B2E" w:rsidRDefault="00C46B2E" w:rsidP="000A3682">
            <w:pPr>
              <w:spacing w:before="120" w:after="120"/>
              <w:rPr>
                <w:rFonts w:cs="Arial"/>
                <w:b/>
                <w:sz w:val="20"/>
              </w:rPr>
            </w:pPr>
            <w:r w:rsidRPr="006D2073">
              <w:rPr>
                <w:rFonts w:cs="Arial"/>
                <w:b/>
                <w:sz w:val="20"/>
              </w:rPr>
              <w:t>Reporting of Results</w:t>
            </w:r>
          </w:p>
          <w:p w14:paraId="4DFD3237" w14:textId="77777777" w:rsidR="00C46B2E" w:rsidRPr="006D2073"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Section 60604[f]</w:t>
            </w:r>
            <w:r w:rsidRPr="004B143A">
              <w:rPr>
                <w:rFonts w:cs="Arial"/>
                <w:sz w:val="16"/>
                <w:szCs w:val="16"/>
              </w:rPr>
              <w:t>)</w:t>
            </w:r>
          </w:p>
        </w:tc>
        <w:tc>
          <w:tcPr>
            <w:tcW w:w="5850" w:type="dxa"/>
            <w:shd w:val="clear" w:color="auto" w:fill="auto"/>
            <w:tcMar>
              <w:top w:w="29" w:type="dxa"/>
              <w:bottom w:w="29" w:type="dxa"/>
            </w:tcMar>
          </w:tcPr>
          <w:p w14:paraId="057C589A" w14:textId="77777777" w:rsidR="00C46B2E" w:rsidRDefault="00C46B2E" w:rsidP="000A3682">
            <w:pPr>
              <w:pStyle w:val="ListParagraph"/>
              <w:numPr>
                <w:ilvl w:val="0"/>
                <w:numId w:val="19"/>
              </w:numPr>
              <w:spacing w:before="120" w:after="120"/>
              <w:rPr>
                <w:rFonts w:cs="Arial"/>
                <w:sz w:val="18"/>
                <w:szCs w:val="18"/>
              </w:rPr>
            </w:pPr>
            <w:r>
              <w:rPr>
                <w:rFonts w:cs="Arial"/>
                <w:sz w:val="18"/>
                <w:szCs w:val="18"/>
              </w:rPr>
              <w:t xml:space="preserve">Reporting specifications for the CSTs, California Modified Assessment (CMA), CAPA, and STS were developed and approved prior to the implementation of CAASPP. </w:t>
            </w:r>
          </w:p>
          <w:p w14:paraId="0E5FBFA6" w14:textId="77777777" w:rsidR="00C46B2E" w:rsidRPr="00CA34A2" w:rsidRDefault="00C46B2E" w:rsidP="000A3682">
            <w:pPr>
              <w:numPr>
                <w:ilvl w:val="0"/>
                <w:numId w:val="19"/>
              </w:numPr>
              <w:spacing w:before="120" w:after="120"/>
              <w:rPr>
                <w:rFonts w:cs="Arial"/>
                <w:sz w:val="18"/>
                <w:szCs w:val="18"/>
              </w:rPr>
            </w:pPr>
            <w:r w:rsidRPr="00CA34A2">
              <w:rPr>
                <w:rFonts w:cs="Arial"/>
                <w:sz w:val="18"/>
                <w:szCs w:val="18"/>
              </w:rPr>
              <w:t>CAASPP legislation specifically prohibi</w:t>
            </w:r>
            <w:r>
              <w:rPr>
                <w:rFonts w:cs="Arial"/>
                <w:sz w:val="18"/>
                <w:szCs w:val="18"/>
              </w:rPr>
              <w:t>t</w:t>
            </w:r>
            <w:r w:rsidRPr="00EB108C">
              <w:rPr>
                <w:rFonts w:cs="Arial"/>
                <w:sz w:val="18"/>
                <w:szCs w:val="18"/>
              </w:rPr>
              <w:t>ed</w:t>
            </w:r>
            <w:r w:rsidRPr="00CA34A2">
              <w:rPr>
                <w:rFonts w:cs="Arial"/>
                <w:sz w:val="18"/>
                <w:szCs w:val="18"/>
              </w:rPr>
              <w:t xml:space="preserve"> the production of individual scores from the 2013–14 Smarter Balanced Field Test.</w:t>
            </w:r>
            <w:r w:rsidRPr="00EB108C">
              <w:rPr>
                <w:rFonts w:cs="Arial"/>
                <w:sz w:val="18"/>
                <w:szCs w:val="18"/>
              </w:rPr>
              <w:t xml:space="preserve"> </w:t>
            </w:r>
          </w:p>
          <w:p w14:paraId="0A480386" w14:textId="77777777" w:rsidR="00C46B2E" w:rsidRPr="00EB108C" w:rsidRDefault="00C46B2E" w:rsidP="000A3682">
            <w:pPr>
              <w:numPr>
                <w:ilvl w:val="0"/>
                <w:numId w:val="19"/>
              </w:numPr>
              <w:spacing w:before="120" w:after="120"/>
              <w:rPr>
                <w:rFonts w:cs="Arial"/>
                <w:sz w:val="18"/>
                <w:szCs w:val="18"/>
              </w:rPr>
            </w:pPr>
            <w:r w:rsidRPr="00EB108C">
              <w:rPr>
                <w:rFonts w:cs="Arial"/>
                <w:sz w:val="18"/>
                <w:szCs w:val="18"/>
              </w:rPr>
              <w:t>T</w:t>
            </w:r>
            <w:r w:rsidRPr="00CA34A2">
              <w:rPr>
                <w:rFonts w:cs="Arial"/>
                <w:sz w:val="18"/>
                <w:szCs w:val="18"/>
              </w:rPr>
              <w:t>he results of operational CSTs, CMA, CAPA</w:t>
            </w:r>
            <w:r>
              <w:rPr>
                <w:rFonts w:cs="Arial"/>
                <w:sz w:val="18"/>
                <w:szCs w:val="18"/>
              </w:rPr>
              <w:t xml:space="preserve"> for science, </w:t>
            </w:r>
            <w:r w:rsidRPr="00CA34A2">
              <w:rPr>
                <w:rFonts w:cs="Arial"/>
                <w:sz w:val="18"/>
                <w:szCs w:val="18"/>
              </w:rPr>
              <w:t xml:space="preserve">and </w:t>
            </w:r>
            <w:r>
              <w:rPr>
                <w:rFonts w:cs="Arial"/>
                <w:sz w:val="18"/>
                <w:szCs w:val="18"/>
              </w:rPr>
              <w:t xml:space="preserve">the </w:t>
            </w:r>
            <w:r w:rsidRPr="00CA34A2">
              <w:rPr>
                <w:rFonts w:cs="Arial"/>
                <w:sz w:val="18"/>
                <w:szCs w:val="18"/>
              </w:rPr>
              <w:t xml:space="preserve">STS assessments taken as part of </w:t>
            </w:r>
            <w:r w:rsidRPr="00EB108C">
              <w:rPr>
                <w:rFonts w:cs="Arial"/>
                <w:sz w:val="18"/>
                <w:szCs w:val="18"/>
              </w:rPr>
              <w:t>2013–14 CAASPP test administration</w:t>
            </w:r>
            <w:r w:rsidRPr="00CA34A2">
              <w:rPr>
                <w:rFonts w:cs="Arial"/>
                <w:sz w:val="18"/>
                <w:szCs w:val="18"/>
              </w:rPr>
              <w:t xml:space="preserve"> were reported to parent</w:t>
            </w:r>
            <w:r>
              <w:rPr>
                <w:rFonts w:cs="Arial"/>
                <w:sz w:val="18"/>
                <w:szCs w:val="18"/>
              </w:rPr>
              <w:t xml:space="preserve">s/guardians </w:t>
            </w:r>
            <w:r w:rsidRPr="00CA34A2">
              <w:rPr>
                <w:rFonts w:cs="Arial"/>
                <w:sz w:val="18"/>
                <w:szCs w:val="18"/>
              </w:rPr>
              <w:t xml:space="preserve">and LEAs. </w:t>
            </w:r>
          </w:p>
          <w:p w14:paraId="07BBD259" w14:textId="69D3FB11" w:rsidR="00C46B2E" w:rsidRDefault="00C46B2E" w:rsidP="000A3682">
            <w:pPr>
              <w:numPr>
                <w:ilvl w:val="0"/>
                <w:numId w:val="19"/>
              </w:numPr>
              <w:spacing w:before="120" w:after="120"/>
              <w:rPr>
                <w:rFonts w:cs="Arial"/>
                <w:sz w:val="18"/>
                <w:szCs w:val="18"/>
              </w:rPr>
            </w:pPr>
            <w:r w:rsidRPr="00EB108C">
              <w:rPr>
                <w:rFonts w:cs="Arial"/>
                <w:sz w:val="18"/>
                <w:szCs w:val="18"/>
              </w:rPr>
              <w:t xml:space="preserve">The results </w:t>
            </w:r>
            <w:r>
              <w:rPr>
                <w:rFonts w:cs="Arial"/>
                <w:sz w:val="18"/>
                <w:szCs w:val="18"/>
              </w:rPr>
              <w:t>of</w:t>
            </w:r>
            <w:r w:rsidRPr="00EB108C">
              <w:rPr>
                <w:rFonts w:cs="Arial"/>
                <w:sz w:val="18"/>
                <w:szCs w:val="18"/>
              </w:rPr>
              <w:t xml:space="preserve"> the CSTs, CMA, CAPA</w:t>
            </w:r>
            <w:r>
              <w:rPr>
                <w:rFonts w:cs="Arial"/>
                <w:sz w:val="18"/>
                <w:szCs w:val="18"/>
              </w:rPr>
              <w:t xml:space="preserve"> for science, </w:t>
            </w:r>
            <w:r w:rsidRPr="00EB108C">
              <w:rPr>
                <w:rFonts w:cs="Arial"/>
                <w:sz w:val="18"/>
                <w:szCs w:val="18"/>
              </w:rPr>
              <w:t xml:space="preserve">and </w:t>
            </w:r>
            <w:r>
              <w:rPr>
                <w:rFonts w:cs="Arial"/>
                <w:sz w:val="18"/>
                <w:szCs w:val="18"/>
              </w:rPr>
              <w:t xml:space="preserve">the </w:t>
            </w:r>
            <w:r w:rsidRPr="00EB108C">
              <w:rPr>
                <w:rFonts w:cs="Arial"/>
                <w:sz w:val="18"/>
                <w:szCs w:val="18"/>
              </w:rPr>
              <w:t xml:space="preserve">STS were posted for public viewing on the </w:t>
            </w:r>
            <w:r>
              <w:rPr>
                <w:rFonts w:cs="Arial"/>
                <w:sz w:val="18"/>
                <w:szCs w:val="18"/>
              </w:rPr>
              <w:t>CDE CAASPP Results Web site</w:t>
            </w:r>
            <w:r w:rsidRPr="00EB108C">
              <w:rPr>
                <w:rFonts w:cs="Arial"/>
                <w:sz w:val="18"/>
                <w:szCs w:val="18"/>
              </w:rPr>
              <w:t xml:space="preserve"> at </w:t>
            </w:r>
            <w:r w:rsidRPr="00F443C8">
              <w:rPr>
                <w:rFonts w:cs="Arial"/>
                <w:strike/>
                <w:sz w:val="18"/>
                <w:szCs w:val="18"/>
              </w:rPr>
              <w:t>http://caaspp.cde.ca.gov/</w:t>
            </w:r>
            <w:r w:rsidRPr="00EB108C">
              <w:rPr>
                <w:rFonts w:cs="Arial"/>
                <w:sz w:val="18"/>
                <w:szCs w:val="18"/>
              </w:rPr>
              <w:t xml:space="preserve">. </w:t>
            </w:r>
            <w:r w:rsidR="00F443C8" w:rsidRPr="00F443C8">
              <w:rPr>
                <w:rFonts w:cs="Arial"/>
                <w:sz w:val="18"/>
                <w:szCs w:val="18"/>
              </w:rPr>
              <w:t>[Note: url no longer valid]</w:t>
            </w:r>
          </w:p>
          <w:p w14:paraId="4B814951" w14:textId="77777777" w:rsidR="00C46B2E" w:rsidRDefault="00C46B2E" w:rsidP="000A3682">
            <w:pPr>
              <w:numPr>
                <w:ilvl w:val="0"/>
                <w:numId w:val="19"/>
              </w:numPr>
              <w:spacing w:before="120" w:after="120"/>
              <w:rPr>
                <w:rFonts w:cs="Arial"/>
                <w:sz w:val="18"/>
                <w:szCs w:val="18"/>
              </w:rPr>
            </w:pPr>
            <w:r w:rsidRPr="00843816">
              <w:rPr>
                <w:rFonts w:cs="Arial"/>
                <w:sz w:val="18"/>
                <w:szCs w:val="18"/>
              </w:rPr>
              <w:t>In March</w:t>
            </w:r>
            <w:r>
              <w:rPr>
                <w:rFonts w:cs="Arial"/>
                <w:sz w:val="18"/>
                <w:szCs w:val="18"/>
              </w:rPr>
              <w:t xml:space="preserve"> 2015</w:t>
            </w:r>
            <w:r w:rsidRPr="00843816">
              <w:rPr>
                <w:rFonts w:cs="Arial"/>
                <w:sz w:val="18"/>
                <w:szCs w:val="18"/>
              </w:rPr>
              <w:t xml:space="preserve">, </w:t>
            </w:r>
            <w:r>
              <w:rPr>
                <w:rFonts w:cs="Arial"/>
                <w:sz w:val="18"/>
                <w:szCs w:val="18"/>
              </w:rPr>
              <w:t>LEAs</w:t>
            </w:r>
            <w:r w:rsidRPr="00843816">
              <w:rPr>
                <w:rFonts w:cs="Arial"/>
                <w:sz w:val="18"/>
                <w:szCs w:val="18"/>
              </w:rPr>
              <w:t xml:space="preserve"> were provided with the </w:t>
            </w:r>
            <w:r>
              <w:rPr>
                <w:rFonts w:cs="Arial"/>
                <w:sz w:val="18"/>
                <w:szCs w:val="18"/>
              </w:rPr>
              <w:t>means</w:t>
            </w:r>
            <w:r w:rsidRPr="00843816">
              <w:rPr>
                <w:rFonts w:cs="Arial"/>
                <w:sz w:val="18"/>
                <w:szCs w:val="18"/>
              </w:rPr>
              <w:t xml:space="preserve"> to retrieve reports of individual student results for administered </w:t>
            </w:r>
            <w:r>
              <w:rPr>
                <w:rFonts w:cs="Arial"/>
                <w:sz w:val="18"/>
                <w:szCs w:val="18"/>
              </w:rPr>
              <w:t>Smarter Balanced Interim Assessments.</w:t>
            </w:r>
          </w:p>
          <w:p w14:paraId="39E68FFA" w14:textId="77777777" w:rsidR="00C46B2E" w:rsidRPr="00DC0FB8" w:rsidRDefault="00C46B2E" w:rsidP="000A3682">
            <w:pPr>
              <w:numPr>
                <w:ilvl w:val="0"/>
                <w:numId w:val="19"/>
              </w:numPr>
              <w:spacing w:before="120" w:after="120"/>
            </w:pPr>
            <w:r w:rsidRPr="00C868E5">
              <w:rPr>
                <w:rFonts w:cs="Arial"/>
                <w:sz w:val="18"/>
                <w:szCs w:val="18"/>
              </w:rPr>
              <w:t xml:space="preserve">In March 2015, the SBE approved the </w:t>
            </w:r>
            <w:r>
              <w:rPr>
                <w:rFonts w:cs="Arial"/>
                <w:sz w:val="18"/>
                <w:szCs w:val="18"/>
              </w:rPr>
              <w:t xml:space="preserve">2015 </w:t>
            </w:r>
            <w:r w:rsidRPr="00C868E5">
              <w:rPr>
                <w:rFonts w:cs="Arial"/>
                <w:sz w:val="18"/>
                <w:szCs w:val="18"/>
              </w:rPr>
              <w:t>CAASPP Individual Student Report (ISR)</w:t>
            </w:r>
            <w:r>
              <w:rPr>
                <w:rFonts w:cs="Arial"/>
                <w:sz w:val="18"/>
                <w:szCs w:val="18"/>
              </w:rPr>
              <w:t>.</w:t>
            </w:r>
          </w:p>
        </w:tc>
        <w:tc>
          <w:tcPr>
            <w:tcW w:w="6120" w:type="dxa"/>
            <w:shd w:val="clear" w:color="auto" w:fill="auto"/>
            <w:tcMar>
              <w:top w:w="29" w:type="dxa"/>
              <w:bottom w:w="29" w:type="dxa"/>
            </w:tcMar>
          </w:tcPr>
          <w:p w14:paraId="5D2E44B5" w14:textId="77777777" w:rsidR="00C46B2E" w:rsidRPr="00B4194F" w:rsidRDefault="00C46B2E" w:rsidP="000A3682">
            <w:pPr>
              <w:numPr>
                <w:ilvl w:val="0"/>
                <w:numId w:val="5"/>
              </w:numPr>
              <w:spacing w:before="120" w:after="120"/>
              <w:rPr>
                <w:rFonts w:cs="Arial"/>
                <w:b/>
                <w:sz w:val="18"/>
                <w:szCs w:val="18"/>
              </w:rPr>
            </w:pPr>
            <w:r w:rsidRPr="00B4194F">
              <w:rPr>
                <w:rFonts w:cs="Arial"/>
                <w:sz w:val="18"/>
                <w:szCs w:val="18"/>
              </w:rPr>
              <w:t xml:space="preserve">In January 2016, </w:t>
            </w:r>
            <w:r>
              <w:rPr>
                <w:rFonts w:cs="Arial"/>
                <w:sz w:val="18"/>
                <w:szCs w:val="18"/>
              </w:rPr>
              <w:t xml:space="preserve">the </w:t>
            </w:r>
            <w:r w:rsidRPr="00B4194F">
              <w:rPr>
                <w:rFonts w:cs="Arial"/>
                <w:sz w:val="18"/>
                <w:szCs w:val="18"/>
              </w:rPr>
              <w:t>SBE adopted the CAASPP SSR templates to communicate student</w:t>
            </w:r>
            <w:r>
              <w:rPr>
                <w:rFonts w:cs="Arial"/>
                <w:sz w:val="18"/>
                <w:szCs w:val="18"/>
              </w:rPr>
              <w:t xml:space="preserve"> progress. The SSR for 2016 </w:t>
            </w:r>
            <w:r w:rsidRPr="00B4194F">
              <w:rPr>
                <w:rFonts w:cs="Arial"/>
                <w:sz w:val="18"/>
                <w:szCs w:val="18"/>
              </w:rPr>
              <w:t>reported two years of data (current and previous year), while the 2017 SSR will report three years of data</w:t>
            </w:r>
            <w:r>
              <w:rPr>
                <w:rFonts w:cs="Arial"/>
                <w:sz w:val="18"/>
                <w:szCs w:val="18"/>
              </w:rPr>
              <w:t xml:space="preserve"> for students in grades five, six, seven, and eight. </w:t>
            </w:r>
          </w:p>
          <w:p w14:paraId="530EBA41" w14:textId="77777777" w:rsidR="00C46B2E" w:rsidRDefault="00C46B2E" w:rsidP="000A3682">
            <w:pPr>
              <w:pStyle w:val="ListParagraph"/>
              <w:numPr>
                <w:ilvl w:val="0"/>
                <w:numId w:val="5"/>
              </w:numPr>
              <w:spacing w:before="120" w:after="120"/>
              <w:rPr>
                <w:rFonts w:cs="Arial"/>
                <w:sz w:val="18"/>
                <w:szCs w:val="18"/>
              </w:rPr>
            </w:pPr>
            <w:r w:rsidRPr="00296A6A">
              <w:rPr>
                <w:rFonts w:cs="Arial"/>
                <w:sz w:val="18"/>
                <w:szCs w:val="18"/>
              </w:rPr>
              <w:t xml:space="preserve">In May 2016, LEAs were granted access to the </w:t>
            </w:r>
            <w:r>
              <w:rPr>
                <w:rFonts w:cs="Arial"/>
                <w:sz w:val="18"/>
                <w:szCs w:val="18"/>
              </w:rPr>
              <w:t xml:space="preserve">ORS, </w:t>
            </w:r>
            <w:r w:rsidRPr="00296A6A">
              <w:rPr>
                <w:rFonts w:cs="Arial"/>
                <w:sz w:val="18"/>
                <w:szCs w:val="18"/>
              </w:rPr>
              <w:t>a secure Web site, for LEAs-only, that</w:t>
            </w:r>
            <w:r w:rsidRPr="00EE422D">
              <w:rPr>
                <w:rFonts w:cs="Arial"/>
                <w:sz w:val="18"/>
                <w:szCs w:val="18"/>
              </w:rPr>
              <w:t xml:space="preserve"> provides </w:t>
            </w:r>
            <w:r w:rsidRPr="00D66198">
              <w:rPr>
                <w:rFonts w:cs="Arial"/>
                <w:sz w:val="18"/>
                <w:szCs w:val="18"/>
              </w:rPr>
              <w:t>partial and</w:t>
            </w:r>
            <w:r w:rsidRPr="008D59C2">
              <w:rPr>
                <w:rFonts w:cs="Arial"/>
                <w:sz w:val="18"/>
                <w:szCs w:val="18"/>
              </w:rPr>
              <w:t xml:space="preserve"> </w:t>
            </w:r>
            <w:r w:rsidRPr="00D66198">
              <w:rPr>
                <w:rFonts w:cs="Arial"/>
                <w:sz w:val="18"/>
                <w:szCs w:val="18"/>
              </w:rPr>
              <w:t>preliminary</w:t>
            </w:r>
            <w:r w:rsidRPr="00EE422D">
              <w:rPr>
                <w:rFonts w:cs="Arial"/>
                <w:sz w:val="18"/>
                <w:szCs w:val="18"/>
              </w:rPr>
              <w:t xml:space="preserve"> individual student summative results and aggregate reports by LEA, school, content area, grade level, and student group</w:t>
            </w:r>
            <w:r>
              <w:rPr>
                <w:rFonts w:cs="Arial"/>
                <w:sz w:val="18"/>
                <w:szCs w:val="18"/>
              </w:rPr>
              <w:t>.</w:t>
            </w:r>
          </w:p>
          <w:p w14:paraId="770C3C08" w14:textId="77777777" w:rsidR="00C46B2E" w:rsidRDefault="00C46B2E" w:rsidP="000A3682">
            <w:pPr>
              <w:pStyle w:val="ListParagraph"/>
              <w:numPr>
                <w:ilvl w:val="0"/>
                <w:numId w:val="5"/>
              </w:numPr>
              <w:spacing w:before="120" w:after="120"/>
              <w:rPr>
                <w:rFonts w:cs="Arial"/>
                <w:sz w:val="18"/>
                <w:szCs w:val="18"/>
              </w:rPr>
            </w:pPr>
            <w:r>
              <w:rPr>
                <w:rFonts w:cs="Arial"/>
                <w:sz w:val="18"/>
                <w:szCs w:val="18"/>
              </w:rPr>
              <w:t>In May 2016, the SBE approved the SSR for the CAA.</w:t>
            </w:r>
          </w:p>
          <w:p w14:paraId="2B67F8BE" w14:textId="5D0B5FED" w:rsidR="00C46B2E" w:rsidRDefault="00C46B2E" w:rsidP="000A3682">
            <w:pPr>
              <w:numPr>
                <w:ilvl w:val="0"/>
                <w:numId w:val="5"/>
              </w:numPr>
              <w:spacing w:before="120" w:after="120"/>
              <w:contextualSpacing/>
              <w:rPr>
                <w:rFonts w:cs="Arial"/>
                <w:sz w:val="18"/>
                <w:szCs w:val="18"/>
              </w:rPr>
            </w:pPr>
            <w:r w:rsidRPr="00B4194F">
              <w:rPr>
                <w:rFonts w:cs="Arial"/>
                <w:sz w:val="18"/>
                <w:szCs w:val="18"/>
              </w:rPr>
              <w:t xml:space="preserve">In August 2016, the CDE released the annual assessment results for the 2015–16 Smarter Balanced Summative Assessments in ELA and mathematics. </w:t>
            </w:r>
          </w:p>
          <w:p w14:paraId="4EBE51FC" w14:textId="77777777" w:rsidR="00C46B2E" w:rsidRDefault="00C46B2E" w:rsidP="000A3682">
            <w:pPr>
              <w:spacing w:before="120" w:after="120"/>
              <w:ind w:left="360"/>
              <w:contextualSpacing/>
              <w:rPr>
                <w:rFonts w:cs="Arial"/>
                <w:sz w:val="18"/>
                <w:szCs w:val="18"/>
              </w:rPr>
            </w:pPr>
          </w:p>
          <w:p w14:paraId="765C1CE4" w14:textId="5648B3E7" w:rsidR="00C46B2E" w:rsidRPr="00490F53" w:rsidRDefault="00C46B2E" w:rsidP="000A3682">
            <w:pPr>
              <w:numPr>
                <w:ilvl w:val="0"/>
                <w:numId w:val="5"/>
              </w:numPr>
              <w:spacing w:before="120" w:after="120"/>
              <w:contextualSpacing/>
              <w:rPr>
                <w:rFonts w:eastAsia="Calibri" w:cs="Arial"/>
                <w:sz w:val="18"/>
                <w:szCs w:val="18"/>
              </w:rPr>
            </w:pPr>
            <w:r w:rsidRPr="00BA412F">
              <w:rPr>
                <w:rFonts w:cs="Arial"/>
                <w:sz w:val="18"/>
                <w:szCs w:val="18"/>
              </w:rPr>
              <w:t xml:space="preserve">In December 2016, the CDE released the annual results for the 2015–16 CAA for ELA and mathematics. </w:t>
            </w:r>
          </w:p>
          <w:p w14:paraId="46CD49B1" w14:textId="77777777" w:rsidR="00C46B2E" w:rsidRPr="00490F53" w:rsidRDefault="00C46B2E" w:rsidP="000A3682">
            <w:pPr>
              <w:spacing w:before="120" w:after="120"/>
              <w:rPr>
                <w:rFonts w:cs="Arial"/>
                <w:sz w:val="18"/>
                <w:szCs w:val="18"/>
              </w:rPr>
            </w:pPr>
          </w:p>
        </w:tc>
      </w:tr>
      <w:tr w:rsidR="00C46B2E" w:rsidRPr="00C64273" w14:paraId="36F17AF7" w14:textId="77777777" w:rsidTr="000A3682">
        <w:trPr>
          <w:cantSplit/>
        </w:trPr>
        <w:tc>
          <w:tcPr>
            <w:tcW w:w="1797" w:type="dxa"/>
            <w:shd w:val="clear" w:color="auto" w:fill="C6D9F1"/>
            <w:vAlign w:val="center"/>
          </w:tcPr>
          <w:p w14:paraId="7054097C" w14:textId="77777777" w:rsidR="00C46B2E" w:rsidRDefault="00C46B2E" w:rsidP="000A3682">
            <w:pPr>
              <w:spacing w:before="120" w:after="120"/>
              <w:rPr>
                <w:rFonts w:cs="Arial"/>
                <w:b/>
                <w:sz w:val="20"/>
              </w:rPr>
            </w:pPr>
            <w:r w:rsidRPr="006D2073">
              <w:rPr>
                <w:rFonts w:cs="Arial"/>
                <w:b/>
                <w:sz w:val="20"/>
              </w:rPr>
              <w:lastRenderedPageBreak/>
              <w:t>Performance Standards</w:t>
            </w:r>
          </w:p>
          <w:p w14:paraId="62FCD48E" w14:textId="77777777" w:rsidR="00C46B2E" w:rsidRPr="006D2073"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Section 60640[c][5]</w:t>
            </w:r>
            <w:r w:rsidRPr="004B143A">
              <w:rPr>
                <w:rFonts w:cs="Arial"/>
                <w:sz w:val="16"/>
                <w:szCs w:val="16"/>
              </w:rPr>
              <w:t>)</w:t>
            </w:r>
          </w:p>
        </w:tc>
        <w:tc>
          <w:tcPr>
            <w:tcW w:w="5850" w:type="dxa"/>
            <w:shd w:val="clear" w:color="auto" w:fill="auto"/>
            <w:tcMar>
              <w:top w:w="29" w:type="dxa"/>
              <w:bottom w:w="29" w:type="dxa"/>
            </w:tcMar>
          </w:tcPr>
          <w:p w14:paraId="187324D4" w14:textId="77777777" w:rsidR="00C46B2E" w:rsidRPr="002A0889" w:rsidRDefault="00C46B2E" w:rsidP="000A3682">
            <w:pPr>
              <w:pStyle w:val="ListParagraph"/>
              <w:numPr>
                <w:ilvl w:val="0"/>
                <w:numId w:val="36"/>
              </w:numPr>
              <w:spacing w:before="120" w:after="120"/>
              <w:rPr>
                <w:rFonts w:cs="Arial"/>
                <w:sz w:val="18"/>
                <w:szCs w:val="18"/>
              </w:rPr>
            </w:pPr>
            <w:r w:rsidRPr="002A0889">
              <w:rPr>
                <w:rFonts w:cs="Arial"/>
                <w:sz w:val="18"/>
                <w:szCs w:val="18"/>
              </w:rPr>
              <w:t>Performance standards for the CSTs, CMA, CAPA for science, and the STS were approved by the SBE prior to their use for CAASPP.</w:t>
            </w:r>
          </w:p>
          <w:p w14:paraId="1458994F" w14:textId="21274F5B" w:rsidR="00C46B2E" w:rsidRPr="002A0889" w:rsidRDefault="00C46B2E" w:rsidP="000A3682">
            <w:pPr>
              <w:pStyle w:val="ListParagraph"/>
              <w:numPr>
                <w:ilvl w:val="0"/>
                <w:numId w:val="36"/>
              </w:numPr>
              <w:spacing w:before="120" w:after="120"/>
              <w:rPr>
                <w:rFonts w:cs="Arial"/>
                <w:sz w:val="18"/>
                <w:szCs w:val="18"/>
              </w:rPr>
            </w:pPr>
            <w:r w:rsidRPr="002A0889">
              <w:rPr>
                <w:rFonts w:cs="Arial"/>
                <w:sz w:val="18"/>
                <w:szCs w:val="18"/>
              </w:rPr>
              <w:t>On November 14, 2014, Smarter Balanced adopted achievement-level standard setting.</w:t>
            </w:r>
          </w:p>
        </w:tc>
        <w:tc>
          <w:tcPr>
            <w:tcW w:w="6120" w:type="dxa"/>
            <w:shd w:val="clear" w:color="auto" w:fill="auto"/>
            <w:tcMar>
              <w:top w:w="29" w:type="dxa"/>
              <w:bottom w:w="29" w:type="dxa"/>
            </w:tcMar>
          </w:tcPr>
          <w:p w14:paraId="25FE1955" w14:textId="77777777" w:rsidR="00C46B2E" w:rsidRPr="00F13554" w:rsidRDefault="00C46B2E" w:rsidP="000A3682">
            <w:pPr>
              <w:pStyle w:val="ListParagraph"/>
              <w:numPr>
                <w:ilvl w:val="0"/>
                <w:numId w:val="1"/>
              </w:numPr>
              <w:spacing w:before="120" w:after="120"/>
              <w:ind w:right="65"/>
              <w:rPr>
                <w:rFonts w:cs="Arial"/>
                <w:sz w:val="18"/>
                <w:szCs w:val="18"/>
              </w:rPr>
            </w:pPr>
            <w:r w:rsidRPr="00F13554">
              <w:rPr>
                <w:rFonts w:cs="Arial"/>
                <w:sz w:val="18"/>
                <w:szCs w:val="18"/>
              </w:rPr>
              <w:t xml:space="preserve">In January 2016, the SBE adopted the general (policy) PLDs for the CAAs. </w:t>
            </w:r>
            <w:r w:rsidRPr="00F13554">
              <w:rPr>
                <w:rFonts w:cs="Arial"/>
                <w:sz w:val="18"/>
                <w:szCs w:val="18"/>
                <w:lang w:val="en"/>
              </w:rPr>
              <w:t>General PLDs are short descriptors</w:t>
            </w:r>
            <w:r w:rsidRPr="00F13554">
              <w:rPr>
                <w:rFonts w:cs="Arial"/>
                <w:sz w:val="18"/>
                <w:szCs w:val="18"/>
              </w:rPr>
              <w:t xml:space="preserve"> that convey the degree of student achieveme</w:t>
            </w:r>
            <w:r>
              <w:rPr>
                <w:rFonts w:cs="Arial"/>
                <w:sz w:val="18"/>
                <w:szCs w:val="18"/>
              </w:rPr>
              <w:t xml:space="preserve">nt in a given achievement level. The adopted General PLDs are listed in Item 7 of the January 16 SBE Meeting Agenda, which is posted at </w:t>
            </w:r>
            <w:hyperlink r:id="rId37" w:history="1">
              <w:r w:rsidRPr="00F13554">
                <w:rPr>
                  <w:rStyle w:val="Hyperlink"/>
                  <w:rFonts w:cs="Arial"/>
                  <w:sz w:val="18"/>
                  <w:szCs w:val="18"/>
                  <w:lang w:val="en"/>
                </w:rPr>
                <w:t>http://www.cde.ca.gov/be/ag/ag/yr16/documents/jan16item07.doc</w:t>
              </w:r>
            </w:hyperlink>
            <w:r w:rsidRPr="00F13554">
              <w:rPr>
                <w:rFonts w:cs="Arial"/>
                <w:sz w:val="18"/>
                <w:szCs w:val="18"/>
                <w:lang w:val="en"/>
              </w:rPr>
              <w:t>.</w:t>
            </w:r>
          </w:p>
          <w:p w14:paraId="201E9D1C" w14:textId="77777777" w:rsidR="00C46B2E" w:rsidRDefault="00C46B2E" w:rsidP="000A3682">
            <w:pPr>
              <w:pStyle w:val="ListParagraph"/>
              <w:numPr>
                <w:ilvl w:val="0"/>
                <w:numId w:val="1"/>
              </w:numPr>
              <w:spacing w:before="120" w:after="120"/>
              <w:ind w:right="65"/>
              <w:rPr>
                <w:rFonts w:cs="Arial"/>
                <w:sz w:val="18"/>
                <w:szCs w:val="18"/>
                <w:lang w:val="en"/>
              </w:rPr>
            </w:pPr>
            <w:r w:rsidRPr="00F13554">
              <w:rPr>
                <w:rFonts w:cs="Arial"/>
                <w:sz w:val="18"/>
                <w:szCs w:val="18"/>
              </w:rPr>
              <w:t xml:space="preserve">In May 2016, the SBE </w:t>
            </w:r>
            <w:r w:rsidRPr="00F13554">
              <w:rPr>
                <w:rFonts w:cs="Arial"/>
                <w:sz w:val="18"/>
                <w:szCs w:val="18"/>
                <w:lang w:val="en"/>
              </w:rPr>
              <w:t xml:space="preserve">adopted the PLDs for the CAAs. These are descriptors of what students at each achievement level know and can do by grade level and content area </w:t>
            </w:r>
            <w:r w:rsidRPr="00F13554">
              <w:rPr>
                <w:rFonts w:cs="Arial"/>
                <w:sz w:val="18"/>
                <w:szCs w:val="18"/>
              </w:rPr>
              <w:t xml:space="preserve">(i.e., </w:t>
            </w:r>
            <w:r w:rsidRPr="000051E3">
              <w:rPr>
                <w:rFonts w:cs="Arial"/>
                <w:sz w:val="18"/>
                <w:szCs w:val="18"/>
              </w:rPr>
              <w:t>limited understanding [Level 1 – Alternate], foundational understanding [Level 2 – Alternate], or an understanding [Level 3 – Alternate])</w:t>
            </w:r>
            <w:r>
              <w:rPr>
                <w:rFonts w:cs="Arial"/>
                <w:sz w:val="18"/>
                <w:szCs w:val="18"/>
              </w:rPr>
              <w:t>. The adopted PLDs</w:t>
            </w:r>
            <w:r w:rsidRPr="00F13554">
              <w:rPr>
                <w:rFonts w:cs="Arial"/>
                <w:sz w:val="18"/>
                <w:szCs w:val="18"/>
              </w:rPr>
              <w:t xml:space="preserve"> </w:t>
            </w:r>
            <w:r>
              <w:rPr>
                <w:rFonts w:cs="Arial"/>
                <w:sz w:val="18"/>
                <w:szCs w:val="18"/>
              </w:rPr>
              <w:t xml:space="preserve">appear in Item 7 of the May 2016 SBE Meeting Agenda, which is posted at </w:t>
            </w:r>
            <w:hyperlink r:id="rId38" w:history="1">
              <w:r w:rsidRPr="00F13554">
                <w:rPr>
                  <w:rStyle w:val="Hyperlink"/>
                  <w:rFonts w:cs="Arial"/>
                  <w:sz w:val="18"/>
                  <w:szCs w:val="18"/>
                  <w:lang w:val="en"/>
                </w:rPr>
                <w:t>http://www.cde.ca.gov/be/ag/ag/yr16/documents/may16item07.doc</w:t>
              </w:r>
            </w:hyperlink>
            <w:r w:rsidRPr="00F13554">
              <w:rPr>
                <w:rFonts w:cs="Arial"/>
                <w:sz w:val="18"/>
                <w:szCs w:val="18"/>
                <w:lang w:val="en"/>
              </w:rPr>
              <w:t xml:space="preserve">. In addition, the SBE adopted the 2015–16 CAASPP CAA SSR templates. </w:t>
            </w:r>
          </w:p>
          <w:p w14:paraId="517DFCBC" w14:textId="77777777" w:rsidR="00C46B2E" w:rsidRDefault="00C46B2E" w:rsidP="000A3682">
            <w:pPr>
              <w:pStyle w:val="ListParagraph"/>
              <w:numPr>
                <w:ilvl w:val="0"/>
                <w:numId w:val="1"/>
              </w:numPr>
              <w:spacing w:after="120"/>
              <w:ind w:right="65"/>
              <w:contextualSpacing/>
              <w:rPr>
                <w:rFonts w:cs="Arial"/>
                <w:sz w:val="18"/>
                <w:szCs w:val="18"/>
              </w:rPr>
            </w:pPr>
            <w:r w:rsidRPr="00CA5BDB">
              <w:rPr>
                <w:rFonts w:cs="Arial"/>
                <w:color w:val="000000"/>
                <w:sz w:val="18"/>
                <w:szCs w:val="18"/>
                <w:lang w:val="en"/>
              </w:rPr>
              <w:t>In September 2016, the SBE</w:t>
            </w:r>
            <w:r w:rsidRPr="00CA5BDB">
              <w:rPr>
                <w:rFonts w:cs="Arial"/>
                <w:b/>
                <w:color w:val="000000"/>
                <w:sz w:val="18"/>
                <w:szCs w:val="18"/>
                <w:lang w:val="en"/>
              </w:rPr>
              <w:t xml:space="preserve"> </w:t>
            </w:r>
            <w:r w:rsidRPr="00CA5BDB">
              <w:rPr>
                <w:rFonts w:cs="Arial"/>
                <w:sz w:val="18"/>
                <w:szCs w:val="18"/>
              </w:rPr>
              <w:t xml:space="preserve">adopted the CDE’s proposed threshold scores for the CAAs for ELA and mathematics. Threshold scores determine the “entry” and/or “exit” points between the respective achievement levels that describe three levels of performance on the CAAs). The </w:t>
            </w:r>
            <w:r>
              <w:rPr>
                <w:rFonts w:cs="Arial"/>
                <w:sz w:val="18"/>
                <w:szCs w:val="18"/>
              </w:rPr>
              <w:t xml:space="preserve">adopted </w:t>
            </w:r>
            <w:r w:rsidRPr="00CA5BDB">
              <w:rPr>
                <w:rFonts w:cs="Arial"/>
                <w:sz w:val="18"/>
                <w:szCs w:val="18"/>
              </w:rPr>
              <w:t xml:space="preserve">threshold scores appear in the addendum to Item 4 of the September 2016 SBE Meeting Agenda, which is posted at </w:t>
            </w:r>
            <w:hyperlink r:id="rId39" w:history="1">
              <w:r w:rsidRPr="00CA5BDB">
                <w:rPr>
                  <w:rStyle w:val="Hyperlink"/>
                  <w:rFonts w:eastAsia="Calibri" w:cs="Arial"/>
                  <w:sz w:val="18"/>
                  <w:szCs w:val="18"/>
                </w:rPr>
                <w:t>http://www.cde.ca.gov/be/ag/ag/yr16/documents/sep16item04addendum.doc</w:t>
              </w:r>
            </w:hyperlink>
            <w:r w:rsidRPr="00CA5BDB">
              <w:rPr>
                <w:rStyle w:val="Hyperlink"/>
                <w:rFonts w:eastAsia="Calibri" w:cs="Arial"/>
                <w:color w:val="auto"/>
                <w:sz w:val="18"/>
                <w:szCs w:val="18"/>
                <w:u w:val="none"/>
              </w:rPr>
              <w:t>.</w:t>
            </w:r>
            <w:r w:rsidRPr="00CA5BDB">
              <w:rPr>
                <w:rFonts w:cs="Arial"/>
                <w:sz w:val="18"/>
                <w:szCs w:val="18"/>
              </w:rPr>
              <w:t xml:space="preserve"> </w:t>
            </w:r>
          </w:p>
          <w:p w14:paraId="69558FA9" w14:textId="77777777" w:rsidR="00C46B2E" w:rsidRPr="00661928" w:rsidRDefault="00C46B2E" w:rsidP="000A3682">
            <w:pPr>
              <w:pStyle w:val="ListParagraph"/>
              <w:spacing w:before="120" w:after="120"/>
              <w:ind w:left="360" w:right="187"/>
              <w:contextualSpacing/>
              <w:rPr>
                <w:rFonts w:cs="Arial"/>
                <w:sz w:val="12"/>
                <w:szCs w:val="12"/>
              </w:rPr>
            </w:pPr>
          </w:p>
          <w:p w14:paraId="12753EA8" w14:textId="77777777" w:rsidR="00C46B2E" w:rsidRPr="005254E3" w:rsidRDefault="00C46B2E" w:rsidP="000A3682">
            <w:pPr>
              <w:pStyle w:val="ListParagraph"/>
              <w:numPr>
                <w:ilvl w:val="0"/>
                <w:numId w:val="1"/>
              </w:numPr>
              <w:spacing w:before="120" w:after="120"/>
              <w:ind w:right="187"/>
              <w:contextualSpacing/>
              <w:rPr>
                <w:rFonts w:cs="Arial"/>
                <w:sz w:val="18"/>
                <w:szCs w:val="18"/>
              </w:rPr>
            </w:pPr>
            <w:r>
              <w:rPr>
                <w:rFonts w:cs="Arial"/>
                <w:sz w:val="18"/>
                <w:szCs w:val="18"/>
              </w:rPr>
              <w:t xml:space="preserve">In November 2016, the SBE adopted the </w:t>
            </w:r>
            <w:r w:rsidRPr="00060D1B">
              <w:rPr>
                <w:rFonts w:cs="Arial"/>
                <w:sz w:val="18"/>
                <w:szCs w:val="18"/>
              </w:rPr>
              <w:t>performance standards for the</w:t>
            </w:r>
            <w:r>
              <w:rPr>
                <w:rFonts w:cs="Arial"/>
                <w:sz w:val="18"/>
                <w:szCs w:val="18"/>
              </w:rPr>
              <w:t xml:space="preserve"> </w:t>
            </w:r>
            <w:r w:rsidRPr="00060D1B">
              <w:rPr>
                <w:rFonts w:cs="Arial"/>
                <w:sz w:val="18"/>
                <w:szCs w:val="18"/>
              </w:rPr>
              <w:t xml:space="preserve">Academic Indicator, based on </w:t>
            </w:r>
            <w:r>
              <w:rPr>
                <w:rFonts w:cs="Arial"/>
                <w:sz w:val="18"/>
                <w:szCs w:val="18"/>
              </w:rPr>
              <w:t>student test scores on ELA and m</w:t>
            </w:r>
            <w:r w:rsidRPr="00060D1B">
              <w:rPr>
                <w:rFonts w:cs="Arial"/>
                <w:sz w:val="18"/>
                <w:szCs w:val="18"/>
              </w:rPr>
              <w:t xml:space="preserve">athematics for grades </w:t>
            </w:r>
            <w:r>
              <w:rPr>
                <w:rFonts w:cs="Arial"/>
                <w:sz w:val="18"/>
                <w:szCs w:val="18"/>
              </w:rPr>
              <w:t>three through eight</w:t>
            </w:r>
            <w:r w:rsidRPr="00060D1B">
              <w:rPr>
                <w:rFonts w:cs="Arial"/>
                <w:sz w:val="18"/>
                <w:szCs w:val="18"/>
              </w:rPr>
              <w:t xml:space="preserve">, </w:t>
            </w:r>
            <w:r>
              <w:rPr>
                <w:rFonts w:cs="Arial"/>
                <w:sz w:val="18"/>
                <w:szCs w:val="18"/>
              </w:rPr>
              <w:t>which</w:t>
            </w:r>
            <w:r w:rsidRPr="00060D1B">
              <w:rPr>
                <w:rFonts w:cs="Arial"/>
                <w:sz w:val="18"/>
                <w:szCs w:val="18"/>
              </w:rPr>
              <w:t xml:space="preserve"> includes </w:t>
            </w:r>
            <w:r w:rsidRPr="00060D1B">
              <w:rPr>
                <w:sz w:val="18"/>
                <w:szCs w:val="18"/>
              </w:rPr>
              <w:t>results from the second year of Smarter Balanced tests</w:t>
            </w:r>
            <w:r>
              <w:rPr>
                <w:sz w:val="18"/>
                <w:szCs w:val="18"/>
              </w:rPr>
              <w:t>, as part of its plan for an integrated local, state, and federal accountability plan.</w:t>
            </w:r>
            <w:r w:rsidRPr="00E75E97">
              <w:rPr>
                <w:rFonts w:cs="Arial"/>
                <w:color w:val="000000"/>
                <w:lang w:val="en"/>
              </w:rPr>
              <w:t xml:space="preserve"> </w:t>
            </w:r>
          </w:p>
        </w:tc>
      </w:tr>
      <w:tr w:rsidR="00C46B2E" w:rsidRPr="00C64273" w14:paraId="52A1F037" w14:textId="77777777" w:rsidTr="000A3682">
        <w:trPr>
          <w:cantSplit/>
        </w:trPr>
        <w:tc>
          <w:tcPr>
            <w:tcW w:w="1797" w:type="dxa"/>
            <w:shd w:val="clear" w:color="auto" w:fill="C6D9F1"/>
            <w:vAlign w:val="center"/>
          </w:tcPr>
          <w:p w14:paraId="69071797" w14:textId="77777777" w:rsidR="00C46B2E" w:rsidRPr="00F73B2C" w:rsidRDefault="00C46B2E" w:rsidP="000A3682">
            <w:pPr>
              <w:spacing w:before="120" w:after="120"/>
              <w:rPr>
                <w:rFonts w:cs="Arial"/>
                <w:b/>
                <w:sz w:val="20"/>
              </w:rPr>
            </w:pPr>
            <w:r w:rsidRPr="00F73B2C">
              <w:rPr>
                <w:rFonts w:cs="Arial"/>
                <w:b/>
                <w:sz w:val="20"/>
              </w:rPr>
              <w:lastRenderedPageBreak/>
              <w:t>Test Results (Growth)</w:t>
            </w:r>
          </w:p>
          <w:p w14:paraId="5020EF18" w14:textId="77777777" w:rsidR="00C46B2E" w:rsidRPr="00F73B2C" w:rsidRDefault="00C46B2E" w:rsidP="000A3682">
            <w:pPr>
              <w:spacing w:before="120" w:after="120"/>
              <w:rPr>
                <w:rFonts w:cs="Arial"/>
                <w:b/>
                <w:sz w:val="20"/>
              </w:rPr>
            </w:pPr>
            <w:r w:rsidRPr="00F73B2C">
              <w:rPr>
                <w:rFonts w:cs="Arial"/>
                <w:sz w:val="16"/>
                <w:szCs w:val="16"/>
              </w:rPr>
              <w:t>(</w:t>
            </w:r>
            <w:r w:rsidRPr="00F73B2C">
              <w:rPr>
                <w:rFonts w:cs="Arial"/>
                <w:i/>
                <w:sz w:val="16"/>
                <w:szCs w:val="16"/>
              </w:rPr>
              <w:t>EC</w:t>
            </w:r>
            <w:r w:rsidRPr="00F73B2C">
              <w:rPr>
                <w:rFonts w:cs="Arial"/>
                <w:sz w:val="16"/>
                <w:szCs w:val="16"/>
              </w:rPr>
              <w:t xml:space="preserve"> Section 60602.5[a][5])</w:t>
            </w:r>
          </w:p>
        </w:tc>
        <w:tc>
          <w:tcPr>
            <w:tcW w:w="5850" w:type="dxa"/>
            <w:shd w:val="clear" w:color="auto" w:fill="auto"/>
            <w:tcMar>
              <w:top w:w="29" w:type="dxa"/>
              <w:bottom w:w="29" w:type="dxa"/>
            </w:tcMar>
          </w:tcPr>
          <w:p w14:paraId="1A81537F" w14:textId="77777777" w:rsidR="00C46B2E" w:rsidRDefault="00C46B2E" w:rsidP="000A3682">
            <w:pPr>
              <w:numPr>
                <w:ilvl w:val="0"/>
                <w:numId w:val="8"/>
              </w:numPr>
              <w:spacing w:before="120" w:after="120"/>
              <w:rPr>
                <w:rFonts w:cs="Arial"/>
                <w:sz w:val="18"/>
                <w:szCs w:val="18"/>
              </w:rPr>
            </w:pPr>
            <w:r w:rsidRPr="00F73B2C">
              <w:rPr>
                <w:rFonts w:cs="Arial"/>
                <w:sz w:val="18"/>
                <w:szCs w:val="18"/>
              </w:rPr>
              <w:t>In November 2013, the CDE recommended</w:t>
            </w:r>
            <w:r>
              <w:rPr>
                <w:rFonts w:cs="Arial"/>
                <w:sz w:val="18"/>
                <w:szCs w:val="18"/>
              </w:rPr>
              <w:t>,</w:t>
            </w:r>
            <w:r w:rsidRPr="00F73B2C">
              <w:rPr>
                <w:rFonts w:cs="Arial"/>
                <w:sz w:val="18"/>
                <w:szCs w:val="18"/>
              </w:rPr>
              <w:t xml:space="preserve"> in a report to the Legislature</w:t>
            </w:r>
            <w:r>
              <w:rPr>
                <w:rFonts w:cs="Arial"/>
                <w:sz w:val="18"/>
                <w:szCs w:val="18"/>
              </w:rPr>
              <w:t>,</w:t>
            </w:r>
            <w:r w:rsidRPr="00F73B2C">
              <w:rPr>
                <w:rFonts w:cs="Arial"/>
                <w:sz w:val="18"/>
                <w:szCs w:val="18"/>
              </w:rPr>
              <w:t xml:space="preserve"> that implementation of a growth model be delayed until the new assessments based on the CCSS were fully implemented. This report is available on the CDE API Web page at </w:t>
            </w:r>
            <w:hyperlink r:id="rId40" w:history="1">
              <w:r w:rsidRPr="00F73B2C">
                <w:rPr>
                  <w:rStyle w:val="Hyperlink"/>
                  <w:rFonts w:cs="Arial"/>
                  <w:sz w:val="18"/>
                  <w:szCs w:val="18"/>
                </w:rPr>
                <w:t>http://www.cde.ca.gov/ta/ac/ap/</w:t>
              </w:r>
            </w:hyperlink>
            <w:r w:rsidRPr="00F73B2C">
              <w:rPr>
                <w:rFonts w:cs="Arial"/>
                <w:sz w:val="18"/>
                <w:szCs w:val="18"/>
              </w:rPr>
              <w:t>.</w:t>
            </w:r>
          </w:p>
          <w:p w14:paraId="4F62442D" w14:textId="77777777" w:rsidR="007464A6" w:rsidRDefault="00C46B2E" w:rsidP="007464A6">
            <w:pPr>
              <w:numPr>
                <w:ilvl w:val="0"/>
                <w:numId w:val="8"/>
              </w:numPr>
              <w:spacing w:before="120" w:after="120"/>
              <w:rPr>
                <w:rFonts w:cs="Arial"/>
                <w:sz w:val="18"/>
                <w:szCs w:val="18"/>
              </w:rPr>
            </w:pPr>
            <w:r>
              <w:rPr>
                <w:rFonts w:cs="Arial"/>
                <w:sz w:val="18"/>
                <w:szCs w:val="18"/>
              </w:rPr>
              <w:t>O</w:t>
            </w:r>
            <w:r w:rsidRPr="00F73B2C">
              <w:rPr>
                <w:rFonts w:cs="Arial"/>
                <w:sz w:val="18"/>
                <w:szCs w:val="18"/>
              </w:rPr>
              <w:t>n November 14, 2014</w:t>
            </w:r>
            <w:r>
              <w:rPr>
                <w:rFonts w:cs="Arial"/>
                <w:sz w:val="18"/>
                <w:szCs w:val="18"/>
              </w:rPr>
              <w:t xml:space="preserve">, </w:t>
            </w:r>
            <w:r w:rsidRPr="00F73B2C">
              <w:rPr>
                <w:rFonts w:cs="Arial"/>
                <w:sz w:val="18"/>
                <w:szCs w:val="18"/>
              </w:rPr>
              <w:t>Smarter Balanced adopted achievement level standard setting.</w:t>
            </w:r>
            <w:r>
              <w:rPr>
                <w:rFonts w:cs="Arial"/>
                <w:sz w:val="18"/>
                <w:szCs w:val="18"/>
              </w:rPr>
              <w:t xml:space="preserve"> </w:t>
            </w:r>
            <w:r w:rsidRPr="0009385B">
              <w:rPr>
                <w:rFonts w:cs="Arial"/>
                <w:sz w:val="18"/>
                <w:szCs w:val="18"/>
              </w:rPr>
              <w:t xml:space="preserve">For grades </w:t>
            </w:r>
            <w:r>
              <w:rPr>
                <w:rFonts w:cs="Arial"/>
                <w:sz w:val="18"/>
                <w:szCs w:val="18"/>
              </w:rPr>
              <w:t>six, seven, and eight</w:t>
            </w:r>
            <w:r w:rsidRPr="0009385B">
              <w:rPr>
                <w:rFonts w:cs="Arial"/>
                <w:sz w:val="18"/>
                <w:szCs w:val="18"/>
              </w:rPr>
              <w:t xml:space="preserve">, a total of 87 participants </w:t>
            </w:r>
            <w:r>
              <w:rPr>
                <w:rFonts w:cs="Arial"/>
                <w:sz w:val="18"/>
                <w:szCs w:val="18"/>
              </w:rPr>
              <w:t>for</w:t>
            </w:r>
            <w:r w:rsidRPr="0009385B">
              <w:rPr>
                <w:rFonts w:cs="Arial"/>
                <w:sz w:val="18"/>
                <w:szCs w:val="18"/>
              </w:rPr>
              <w:t xml:space="preserve"> ELA and 89 participants for mathematics</w:t>
            </w:r>
            <w:r>
              <w:rPr>
                <w:rFonts w:cs="Arial"/>
                <w:sz w:val="18"/>
                <w:szCs w:val="18"/>
              </w:rPr>
              <w:t xml:space="preserve"> were involved. </w:t>
            </w:r>
            <w:r w:rsidRPr="0009385B">
              <w:rPr>
                <w:rFonts w:cs="Arial"/>
                <w:sz w:val="18"/>
                <w:szCs w:val="18"/>
              </w:rPr>
              <w:t xml:space="preserve">For grade </w:t>
            </w:r>
            <w:r>
              <w:rPr>
                <w:rFonts w:cs="Arial"/>
                <w:sz w:val="18"/>
                <w:szCs w:val="18"/>
              </w:rPr>
              <w:t>eleven</w:t>
            </w:r>
            <w:r w:rsidRPr="0009385B">
              <w:rPr>
                <w:rFonts w:cs="Arial"/>
                <w:sz w:val="18"/>
                <w:szCs w:val="18"/>
              </w:rPr>
              <w:t xml:space="preserve">, a total of 68 participants </w:t>
            </w:r>
            <w:r>
              <w:rPr>
                <w:rFonts w:cs="Arial"/>
                <w:sz w:val="18"/>
                <w:szCs w:val="18"/>
              </w:rPr>
              <w:t xml:space="preserve">for </w:t>
            </w:r>
            <w:r w:rsidRPr="0009385B">
              <w:rPr>
                <w:rFonts w:cs="Arial"/>
                <w:sz w:val="18"/>
                <w:szCs w:val="18"/>
              </w:rPr>
              <w:t>ELA and 70 participants for mathematics</w:t>
            </w:r>
            <w:r>
              <w:rPr>
                <w:rFonts w:cs="Arial"/>
                <w:sz w:val="18"/>
                <w:szCs w:val="18"/>
              </w:rPr>
              <w:t xml:space="preserve"> were involved. For grades three, four, and five</w:t>
            </w:r>
            <w:r w:rsidRPr="0009385B">
              <w:rPr>
                <w:rFonts w:cs="Arial"/>
                <w:sz w:val="18"/>
                <w:szCs w:val="18"/>
              </w:rPr>
              <w:t xml:space="preserve">, a total of 80 participants </w:t>
            </w:r>
            <w:r>
              <w:rPr>
                <w:rFonts w:cs="Arial"/>
                <w:sz w:val="18"/>
                <w:szCs w:val="18"/>
              </w:rPr>
              <w:t>for</w:t>
            </w:r>
            <w:r w:rsidRPr="0009385B">
              <w:rPr>
                <w:rFonts w:cs="Arial"/>
                <w:sz w:val="18"/>
                <w:szCs w:val="18"/>
              </w:rPr>
              <w:t xml:space="preserve"> ELA and 88 participants for mathematics</w:t>
            </w:r>
            <w:r>
              <w:rPr>
                <w:rFonts w:cs="Arial"/>
                <w:sz w:val="18"/>
                <w:szCs w:val="18"/>
              </w:rPr>
              <w:t xml:space="preserve"> were involved.</w:t>
            </w:r>
            <w:r w:rsidRPr="00F73B2C">
              <w:rPr>
                <w:rFonts w:cs="Arial"/>
                <w:sz w:val="18"/>
                <w:szCs w:val="18"/>
              </w:rPr>
              <w:t xml:space="preserve"> </w:t>
            </w:r>
          </w:p>
          <w:p w14:paraId="6588ACD0" w14:textId="7FEA022C" w:rsidR="00C46B2E" w:rsidRPr="00F73B2C" w:rsidRDefault="00C46B2E" w:rsidP="007464A6">
            <w:pPr>
              <w:numPr>
                <w:ilvl w:val="0"/>
                <w:numId w:val="8"/>
              </w:numPr>
              <w:spacing w:before="120" w:after="120"/>
              <w:rPr>
                <w:rFonts w:cs="Arial"/>
                <w:sz w:val="18"/>
                <w:szCs w:val="18"/>
              </w:rPr>
            </w:pPr>
            <w:r>
              <w:rPr>
                <w:rFonts w:cs="Arial"/>
                <w:sz w:val="18"/>
                <w:szCs w:val="18"/>
              </w:rPr>
              <w:t>In November of 2015, the CDE, in collaboration with ETS, began the design and development of the 2015–16 SSRs, which showed two years of student performance (growth) and illustrated student progress across the multiple administrations.</w:t>
            </w:r>
          </w:p>
        </w:tc>
        <w:tc>
          <w:tcPr>
            <w:tcW w:w="6120" w:type="dxa"/>
            <w:shd w:val="clear" w:color="auto" w:fill="auto"/>
            <w:tcMar>
              <w:top w:w="29" w:type="dxa"/>
              <w:bottom w:w="29" w:type="dxa"/>
            </w:tcMar>
          </w:tcPr>
          <w:p w14:paraId="475A952F" w14:textId="77777777" w:rsidR="00C46B2E" w:rsidRPr="000051E3" w:rsidRDefault="00C46B2E" w:rsidP="000A3682">
            <w:pPr>
              <w:numPr>
                <w:ilvl w:val="0"/>
                <w:numId w:val="5"/>
              </w:numPr>
              <w:spacing w:before="120" w:after="120"/>
              <w:rPr>
                <w:rFonts w:cs="Arial"/>
                <w:b/>
                <w:sz w:val="18"/>
                <w:szCs w:val="18"/>
              </w:rPr>
            </w:pPr>
            <w:r w:rsidRPr="00B4194F">
              <w:rPr>
                <w:rFonts w:cs="Arial"/>
                <w:sz w:val="18"/>
                <w:szCs w:val="18"/>
              </w:rPr>
              <w:t xml:space="preserve">In January 2016, SBE adopted the CAASPP </w:t>
            </w:r>
            <w:r>
              <w:rPr>
                <w:rFonts w:cs="Arial"/>
                <w:sz w:val="18"/>
                <w:szCs w:val="18"/>
              </w:rPr>
              <w:t>S</w:t>
            </w:r>
            <w:r w:rsidRPr="00B4194F">
              <w:rPr>
                <w:rFonts w:cs="Arial"/>
                <w:sz w:val="18"/>
                <w:szCs w:val="18"/>
              </w:rPr>
              <w:t>SR templates to communicate student progress; the 2016 SSR reported two years of data (current and previous year), while the 2017 SSR will report three years of data.</w:t>
            </w:r>
          </w:p>
          <w:p w14:paraId="7919FBF2" w14:textId="77777777" w:rsidR="00C46B2E" w:rsidRDefault="00C46B2E" w:rsidP="000A3682">
            <w:pPr>
              <w:numPr>
                <w:ilvl w:val="0"/>
                <w:numId w:val="5"/>
              </w:numPr>
              <w:spacing w:before="120" w:after="120"/>
              <w:rPr>
                <w:rFonts w:cs="Arial"/>
                <w:snapToGrid/>
                <w:color w:val="000000"/>
                <w:sz w:val="18"/>
                <w:szCs w:val="18"/>
              </w:rPr>
            </w:pPr>
            <w:r>
              <w:rPr>
                <w:rFonts w:cs="Arial"/>
                <w:snapToGrid/>
                <w:color w:val="000000"/>
                <w:sz w:val="18"/>
                <w:szCs w:val="18"/>
              </w:rPr>
              <w:t xml:space="preserve">In March 2016, the CDE brought together a group of experts from ETS to examine several models for displaying and communicating student progress on the CAASPP over multiple years. </w:t>
            </w:r>
          </w:p>
          <w:p w14:paraId="74E364E1" w14:textId="77777777" w:rsidR="00C46B2E" w:rsidRPr="00CA34A2" w:rsidRDefault="00C46B2E" w:rsidP="000A3682">
            <w:pPr>
              <w:pStyle w:val="ListParagraph"/>
              <w:widowControl/>
              <w:numPr>
                <w:ilvl w:val="0"/>
                <w:numId w:val="5"/>
              </w:numPr>
              <w:spacing w:before="120" w:after="120"/>
              <w:rPr>
                <w:rFonts w:cs="Arial"/>
                <w:snapToGrid/>
                <w:color w:val="000000"/>
                <w:sz w:val="18"/>
                <w:szCs w:val="18"/>
              </w:rPr>
            </w:pPr>
            <w:r w:rsidRPr="00F417F4">
              <w:rPr>
                <w:rFonts w:cs="Arial"/>
                <w:snapToGrid/>
                <w:color w:val="000000"/>
                <w:sz w:val="18"/>
                <w:szCs w:val="18"/>
                <w:lang w:val="en"/>
              </w:rPr>
              <w:t>The C</w:t>
            </w:r>
            <w:r>
              <w:rPr>
                <w:rFonts w:cs="Arial"/>
                <w:snapToGrid/>
                <w:color w:val="000000"/>
                <w:sz w:val="18"/>
                <w:szCs w:val="18"/>
                <w:lang w:val="en"/>
              </w:rPr>
              <w:t>D</w:t>
            </w:r>
            <w:r w:rsidRPr="00F417F4">
              <w:rPr>
                <w:rFonts w:cs="Arial"/>
                <w:snapToGrid/>
                <w:color w:val="000000"/>
                <w:sz w:val="18"/>
                <w:szCs w:val="18"/>
                <w:lang w:val="en"/>
              </w:rPr>
              <w:t>E redesigned its CAASPP Results Web page to allow users to compare results across years (the previous year alongside the current year scores) as well as across entities (e.g., schools, district, county, or state)</w:t>
            </w:r>
            <w:r>
              <w:rPr>
                <w:rFonts w:cs="Arial"/>
                <w:snapToGrid/>
                <w:color w:val="000000"/>
                <w:sz w:val="18"/>
                <w:szCs w:val="18"/>
                <w:lang w:val="en"/>
              </w:rPr>
              <w:t>. In addition, a</w:t>
            </w:r>
            <w:r w:rsidRPr="00F417F4">
              <w:rPr>
                <w:rFonts w:cs="Arial"/>
                <w:snapToGrid/>
                <w:color w:val="000000"/>
                <w:sz w:val="18"/>
                <w:szCs w:val="18"/>
                <w:lang w:val="en"/>
              </w:rPr>
              <w:t xml:space="preserve">chievement level percentages in the same subject can </w:t>
            </w:r>
            <w:r>
              <w:rPr>
                <w:rFonts w:cs="Arial"/>
                <w:snapToGrid/>
                <w:color w:val="000000"/>
                <w:sz w:val="18"/>
                <w:szCs w:val="18"/>
                <w:lang w:val="en"/>
              </w:rPr>
              <w:t xml:space="preserve">now </w:t>
            </w:r>
            <w:r w:rsidRPr="00F417F4">
              <w:rPr>
                <w:rFonts w:cs="Arial"/>
                <w:snapToGrid/>
                <w:color w:val="000000"/>
                <w:sz w:val="18"/>
                <w:szCs w:val="18"/>
                <w:lang w:val="en"/>
              </w:rPr>
              <w:t xml:space="preserve">be compared within grade levels, with adjacent grades, and from one year to another. </w:t>
            </w:r>
          </w:p>
        </w:tc>
      </w:tr>
      <w:tr w:rsidR="00C46B2E" w:rsidRPr="00C64273" w14:paraId="0FC8231B" w14:textId="77777777" w:rsidTr="000A3682">
        <w:trPr>
          <w:cantSplit/>
        </w:trPr>
        <w:tc>
          <w:tcPr>
            <w:tcW w:w="1797" w:type="dxa"/>
            <w:shd w:val="clear" w:color="auto" w:fill="C6D9F1"/>
            <w:vAlign w:val="center"/>
          </w:tcPr>
          <w:p w14:paraId="29895E26" w14:textId="77777777" w:rsidR="00C46B2E" w:rsidRDefault="00C46B2E" w:rsidP="000A3682">
            <w:pPr>
              <w:spacing w:before="120" w:after="120"/>
              <w:rPr>
                <w:rFonts w:cs="Arial"/>
                <w:b/>
                <w:sz w:val="20"/>
              </w:rPr>
            </w:pPr>
            <w:r w:rsidRPr="006D2073">
              <w:rPr>
                <w:rFonts w:cs="Arial"/>
                <w:b/>
                <w:sz w:val="20"/>
              </w:rPr>
              <w:t>Annual Analysis of Results Posting</w:t>
            </w:r>
          </w:p>
          <w:p w14:paraId="15EDAE6D" w14:textId="77777777" w:rsidR="00C46B2E" w:rsidRPr="006D2073"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Section 60630)</w:t>
            </w:r>
          </w:p>
        </w:tc>
        <w:tc>
          <w:tcPr>
            <w:tcW w:w="5850" w:type="dxa"/>
            <w:shd w:val="clear" w:color="auto" w:fill="auto"/>
            <w:tcMar>
              <w:top w:w="29" w:type="dxa"/>
              <w:left w:w="115" w:type="dxa"/>
              <w:bottom w:w="29" w:type="dxa"/>
              <w:right w:w="115" w:type="dxa"/>
            </w:tcMar>
          </w:tcPr>
          <w:p w14:paraId="5A493E2C" w14:textId="77777777" w:rsidR="00C46B2E" w:rsidRPr="008F198D" w:rsidRDefault="00C46B2E" w:rsidP="000A3682">
            <w:pPr>
              <w:pStyle w:val="ListParagraph"/>
              <w:numPr>
                <w:ilvl w:val="0"/>
                <w:numId w:val="38"/>
              </w:numPr>
              <w:spacing w:before="120" w:after="120"/>
              <w:rPr>
                <w:rFonts w:cs="Arial"/>
                <w:sz w:val="18"/>
                <w:szCs w:val="18"/>
              </w:rPr>
            </w:pPr>
            <w:r w:rsidRPr="00567A62">
              <w:rPr>
                <w:rFonts w:cs="Arial"/>
                <w:sz w:val="18"/>
                <w:szCs w:val="18"/>
              </w:rPr>
              <w:t xml:space="preserve">ETS provided the </w:t>
            </w:r>
            <w:r w:rsidRPr="00567A62">
              <w:rPr>
                <w:rFonts w:cs="Arial"/>
                <w:i/>
                <w:sz w:val="18"/>
                <w:szCs w:val="18"/>
              </w:rPr>
              <w:t>Initial Summary of Post-Field Test Survey Results and Analyses from the 2014 CAA</w:t>
            </w:r>
            <w:r w:rsidRPr="00D16E29">
              <w:rPr>
                <w:rFonts w:cs="Arial"/>
                <w:sz w:val="18"/>
                <w:szCs w:val="18"/>
              </w:rPr>
              <w:t>.</w:t>
            </w:r>
            <w:r>
              <w:rPr>
                <w:rFonts w:cs="Arial"/>
                <w:i/>
                <w:sz w:val="18"/>
                <w:szCs w:val="18"/>
              </w:rPr>
              <w:t xml:space="preserve"> </w:t>
            </w:r>
            <w:r>
              <w:rPr>
                <w:rFonts w:cs="Arial"/>
                <w:sz w:val="18"/>
                <w:szCs w:val="18"/>
              </w:rPr>
              <w:t xml:space="preserve">It is </w:t>
            </w:r>
            <w:r w:rsidRPr="00567A62">
              <w:rPr>
                <w:rFonts w:cs="Arial"/>
                <w:sz w:val="18"/>
                <w:szCs w:val="18"/>
              </w:rPr>
              <w:t xml:space="preserve">posted on the SBE Information Memorandum Web site at </w:t>
            </w:r>
            <w:hyperlink r:id="rId41" w:history="1">
              <w:r w:rsidRPr="00567A62">
                <w:rPr>
                  <w:rStyle w:val="Hyperlink"/>
                  <w:rFonts w:cs="Arial"/>
                  <w:sz w:val="18"/>
                  <w:szCs w:val="18"/>
                </w:rPr>
                <w:t>http://www.cde.ca.gov/be/pn/im/documents/memo-dsib-adad-oct14item04a2.pdf</w:t>
              </w:r>
            </w:hyperlink>
            <w:r w:rsidRPr="00567A62">
              <w:rPr>
                <w:rFonts w:cs="Arial"/>
                <w:sz w:val="18"/>
                <w:szCs w:val="18"/>
              </w:rPr>
              <w:t>.</w:t>
            </w:r>
          </w:p>
        </w:tc>
        <w:tc>
          <w:tcPr>
            <w:tcW w:w="6120" w:type="dxa"/>
            <w:shd w:val="clear" w:color="auto" w:fill="auto"/>
            <w:tcMar>
              <w:top w:w="29" w:type="dxa"/>
              <w:left w:w="115" w:type="dxa"/>
              <w:bottom w:w="29" w:type="dxa"/>
              <w:right w:w="115" w:type="dxa"/>
            </w:tcMar>
          </w:tcPr>
          <w:p w14:paraId="46E30F20" w14:textId="2B36BAED" w:rsidR="00C46B2E" w:rsidRPr="00044493" w:rsidRDefault="00C46B2E" w:rsidP="000A3682">
            <w:pPr>
              <w:numPr>
                <w:ilvl w:val="0"/>
                <w:numId w:val="5"/>
              </w:numPr>
              <w:spacing w:before="120" w:after="120"/>
              <w:ind w:left="252" w:hanging="252"/>
              <w:rPr>
                <w:rFonts w:cs="Arial"/>
                <w:sz w:val="18"/>
                <w:szCs w:val="18"/>
              </w:rPr>
            </w:pPr>
            <w:r w:rsidRPr="00E71513">
              <w:rPr>
                <w:rFonts w:cs="Arial"/>
                <w:sz w:val="18"/>
                <w:szCs w:val="18"/>
              </w:rPr>
              <w:t>In August 201</w:t>
            </w:r>
            <w:r>
              <w:rPr>
                <w:rFonts w:cs="Arial"/>
                <w:sz w:val="18"/>
                <w:szCs w:val="18"/>
              </w:rPr>
              <w:t>6</w:t>
            </w:r>
            <w:r w:rsidRPr="00E71513">
              <w:rPr>
                <w:rFonts w:cs="Arial"/>
                <w:sz w:val="18"/>
                <w:szCs w:val="18"/>
              </w:rPr>
              <w:t xml:space="preserve">, the SSPI announced that </w:t>
            </w:r>
            <w:r w:rsidRPr="00E71513">
              <w:rPr>
                <w:rFonts w:cs="Arial"/>
                <w:color w:val="000000"/>
                <w:sz w:val="18"/>
                <w:szCs w:val="18"/>
                <w:lang w:val="en"/>
              </w:rPr>
              <w:t>California students made significant progress in the second year of the CAASPP online tests, with the percentage of students meeting or exceeding standards increasing at every grade and in every student group</w:t>
            </w:r>
            <w:r w:rsidR="007464A6">
              <w:rPr>
                <w:rFonts w:cs="Arial"/>
                <w:color w:val="000000"/>
                <w:sz w:val="18"/>
                <w:szCs w:val="18"/>
                <w:lang w:val="en"/>
              </w:rPr>
              <w:t xml:space="preserve">. </w:t>
            </w:r>
            <w:r w:rsidRPr="00E71513">
              <w:rPr>
                <w:rFonts w:cs="Arial"/>
                <w:color w:val="000000"/>
                <w:sz w:val="18"/>
                <w:szCs w:val="18"/>
                <w:lang w:val="en"/>
              </w:rPr>
              <w:t xml:space="preserve">Statewide in all tested grades, 49 percent of students met or exceeded the ELA standard, an increase of 5 percentage points from last year. In mathematics, 37 percent of students met or exceeded standards, an increase of 4 percentage points from last year; the largest gains were seen among third-graders, with 46 percent meeting or exceeding standards, an increase of 6 </w:t>
            </w:r>
            <w:r>
              <w:rPr>
                <w:rFonts w:cs="Arial"/>
                <w:color w:val="000000"/>
                <w:sz w:val="18"/>
                <w:szCs w:val="18"/>
                <w:lang w:val="en"/>
              </w:rPr>
              <w:t xml:space="preserve">percentage </w:t>
            </w:r>
            <w:r w:rsidRPr="00E71513">
              <w:rPr>
                <w:rFonts w:cs="Arial"/>
                <w:color w:val="000000"/>
                <w:sz w:val="18"/>
                <w:szCs w:val="18"/>
                <w:lang w:val="en"/>
              </w:rPr>
              <w:t>points from last year. In addition, results indicate that 59 percent of grade eleven students were ready or conditionally ready for college work in ELA and 33 percent in mathematics.</w:t>
            </w:r>
          </w:p>
        </w:tc>
      </w:tr>
      <w:tr w:rsidR="00C46B2E" w:rsidRPr="00C64273" w14:paraId="6C2D1BE3" w14:textId="77777777" w:rsidTr="000A3682">
        <w:trPr>
          <w:cantSplit/>
        </w:trPr>
        <w:tc>
          <w:tcPr>
            <w:tcW w:w="1797" w:type="dxa"/>
            <w:shd w:val="clear" w:color="auto" w:fill="C6D9F1"/>
            <w:vAlign w:val="center"/>
          </w:tcPr>
          <w:p w14:paraId="0BF78C8B" w14:textId="77777777" w:rsidR="00C46B2E" w:rsidRDefault="00C46B2E" w:rsidP="000A3682">
            <w:pPr>
              <w:spacing w:before="120" w:after="120"/>
              <w:rPr>
                <w:rFonts w:cs="Arial"/>
                <w:b/>
                <w:sz w:val="20"/>
              </w:rPr>
            </w:pPr>
            <w:r w:rsidRPr="006D2073">
              <w:rPr>
                <w:rFonts w:cs="Arial"/>
                <w:b/>
                <w:sz w:val="20"/>
              </w:rPr>
              <w:t>Continuous Improvement plan</w:t>
            </w:r>
          </w:p>
          <w:p w14:paraId="32D759C8" w14:textId="77777777" w:rsidR="00C46B2E" w:rsidRPr="006D2073"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Section 60649)</w:t>
            </w:r>
          </w:p>
        </w:tc>
        <w:tc>
          <w:tcPr>
            <w:tcW w:w="5850" w:type="dxa"/>
            <w:shd w:val="clear" w:color="auto" w:fill="auto"/>
            <w:tcMar>
              <w:top w:w="29" w:type="dxa"/>
              <w:left w:w="115" w:type="dxa"/>
              <w:bottom w:w="29" w:type="dxa"/>
              <w:right w:w="115" w:type="dxa"/>
            </w:tcMar>
          </w:tcPr>
          <w:p w14:paraId="0A9C2AB9" w14:textId="77777777" w:rsidR="00C46B2E" w:rsidRPr="00D16E29" w:rsidRDefault="00C46B2E" w:rsidP="000A3682">
            <w:pPr>
              <w:pStyle w:val="ListParagraph"/>
              <w:numPr>
                <w:ilvl w:val="0"/>
                <w:numId w:val="5"/>
              </w:numPr>
              <w:spacing w:before="120" w:after="120"/>
              <w:rPr>
                <w:rFonts w:cs="Arial"/>
                <w:sz w:val="18"/>
                <w:szCs w:val="18"/>
              </w:rPr>
            </w:pPr>
            <w:r w:rsidRPr="00D16E29">
              <w:rPr>
                <w:rFonts w:cs="Arial"/>
                <w:sz w:val="18"/>
                <w:szCs w:val="18"/>
              </w:rPr>
              <w:t>RFS, the designated testing contractor for the 2015–16 through 2017–18 test administrations</w:t>
            </w:r>
            <w:r>
              <w:rPr>
                <w:rFonts w:cs="Arial"/>
                <w:sz w:val="18"/>
                <w:szCs w:val="18"/>
              </w:rPr>
              <w:t>,</w:t>
            </w:r>
            <w:r w:rsidRPr="00D16E29">
              <w:rPr>
                <w:rFonts w:cs="Arial"/>
                <w:sz w:val="18"/>
                <w:szCs w:val="18"/>
              </w:rPr>
              <w:t xml:space="preserve"> </w:t>
            </w:r>
            <w:r>
              <w:rPr>
                <w:rFonts w:cs="Arial"/>
                <w:sz w:val="18"/>
                <w:szCs w:val="18"/>
              </w:rPr>
              <w:t>was</w:t>
            </w:r>
            <w:r w:rsidRPr="00D16E29">
              <w:rPr>
                <w:rFonts w:cs="Arial"/>
                <w:sz w:val="18"/>
                <w:szCs w:val="18"/>
              </w:rPr>
              <w:t xml:space="preserve"> required to develop a plan supporting continuous improvement of the CAASPP assessments. ETS submit</w:t>
            </w:r>
            <w:r>
              <w:rPr>
                <w:rFonts w:cs="Arial"/>
                <w:sz w:val="18"/>
                <w:szCs w:val="18"/>
              </w:rPr>
              <w:t>ted</w:t>
            </w:r>
            <w:r w:rsidRPr="00D16E29">
              <w:rPr>
                <w:rFonts w:cs="Arial"/>
                <w:sz w:val="18"/>
                <w:szCs w:val="18"/>
              </w:rPr>
              <w:t xml:space="preserve"> the plan </w:t>
            </w:r>
            <w:r>
              <w:rPr>
                <w:rFonts w:cs="Arial"/>
                <w:sz w:val="18"/>
                <w:szCs w:val="18"/>
              </w:rPr>
              <w:t>an</w:t>
            </w:r>
            <w:r w:rsidRPr="00D16E29">
              <w:rPr>
                <w:rFonts w:cs="Arial"/>
                <w:sz w:val="18"/>
                <w:szCs w:val="18"/>
              </w:rPr>
              <w:t>d refine</w:t>
            </w:r>
            <w:r>
              <w:rPr>
                <w:rFonts w:cs="Arial"/>
                <w:sz w:val="18"/>
                <w:szCs w:val="18"/>
              </w:rPr>
              <w:t>d</w:t>
            </w:r>
            <w:r w:rsidRPr="00D16E29">
              <w:rPr>
                <w:rFonts w:cs="Arial"/>
                <w:sz w:val="18"/>
                <w:szCs w:val="18"/>
              </w:rPr>
              <w:t xml:space="preserve"> it to reflect feedback from the CDE, SBE staff, the SBE, and the CDE’s external evaluator.</w:t>
            </w:r>
          </w:p>
        </w:tc>
        <w:tc>
          <w:tcPr>
            <w:tcW w:w="6120" w:type="dxa"/>
            <w:shd w:val="clear" w:color="auto" w:fill="auto"/>
            <w:tcMar>
              <w:top w:w="29" w:type="dxa"/>
              <w:left w:w="115" w:type="dxa"/>
              <w:bottom w:w="29" w:type="dxa"/>
              <w:right w:w="115" w:type="dxa"/>
            </w:tcMar>
          </w:tcPr>
          <w:p w14:paraId="241F9F40" w14:textId="77777777" w:rsidR="00C46B2E" w:rsidRPr="00D32F73" w:rsidRDefault="00C46B2E" w:rsidP="000A3682">
            <w:pPr>
              <w:pStyle w:val="ListParagraph"/>
              <w:numPr>
                <w:ilvl w:val="0"/>
                <w:numId w:val="5"/>
              </w:numPr>
              <w:spacing w:before="120" w:after="120"/>
              <w:rPr>
                <w:rFonts w:cs="Arial"/>
                <w:sz w:val="18"/>
                <w:szCs w:val="18"/>
              </w:rPr>
            </w:pPr>
            <w:r w:rsidRPr="00D32F73">
              <w:rPr>
                <w:rFonts w:cs="Arial"/>
                <w:sz w:val="18"/>
                <w:szCs w:val="18"/>
              </w:rPr>
              <w:t xml:space="preserve">Included as part of the testing contractor RFS, the designated testing contractor for the 2015–16 through 2017–18 test administrations will be required to develop a plan supporting continuous improvement of the CAASPP assessments. ETS will submit the plan to the CDE in an agreed-upon timeline and refine it to reflect feedback from the CDE, SBE staff, the SBE, and the CDE’s external evaluator. </w:t>
            </w:r>
          </w:p>
        </w:tc>
      </w:tr>
      <w:tr w:rsidR="00C46B2E" w:rsidRPr="00C64273" w14:paraId="6F8481DE" w14:textId="77777777" w:rsidTr="000A3682">
        <w:trPr>
          <w:cantSplit/>
        </w:trPr>
        <w:tc>
          <w:tcPr>
            <w:tcW w:w="1797" w:type="dxa"/>
            <w:shd w:val="clear" w:color="auto" w:fill="C6D9F1"/>
            <w:vAlign w:val="center"/>
          </w:tcPr>
          <w:p w14:paraId="1993B1CD" w14:textId="77777777" w:rsidR="00C46B2E" w:rsidRDefault="00C46B2E" w:rsidP="000A3682">
            <w:pPr>
              <w:spacing w:before="120" w:after="120"/>
              <w:rPr>
                <w:rFonts w:cs="Arial"/>
                <w:b/>
                <w:sz w:val="20"/>
              </w:rPr>
            </w:pPr>
            <w:r w:rsidRPr="006D2073">
              <w:rPr>
                <w:rFonts w:cs="Arial"/>
                <w:b/>
                <w:sz w:val="20"/>
              </w:rPr>
              <w:lastRenderedPageBreak/>
              <w:t>Independent Evaluation</w:t>
            </w:r>
          </w:p>
          <w:p w14:paraId="5218D353" w14:textId="77777777" w:rsidR="00C46B2E" w:rsidRDefault="00C46B2E" w:rsidP="000A3682">
            <w:pPr>
              <w:spacing w:before="120" w:after="120"/>
              <w:rPr>
                <w:rFonts w:cs="Arial"/>
                <w:sz w:val="16"/>
                <w:szCs w:val="16"/>
              </w:rPr>
            </w:pPr>
          </w:p>
          <w:p w14:paraId="1D6FE66E" w14:textId="77777777" w:rsidR="00C46B2E" w:rsidRPr="006D2073"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Section 60649)</w:t>
            </w:r>
          </w:p>
        </w:tc>
        <w:tc>
          <w:tcPr>
            <w:tcW w:w="5850" w:type="dxa"/>
            <w:shd w:val="clear" w:color="auto" w:fill="auto"/>
            <w:tcMar>
              <w:top w:w="29" w:type="dxa"/>
              <w:left w:w="115" w:type="dxa"/>
              <w:bottom w:w="29" w:type="dxa"/>
              <w:right w:w="115" w:type="dxa"/>
            </w:tcMar>
          </w:tcPr>
          <w:p w14:paraId="68E7C42E" w14:textId="77777777" w:rsidR="00C46B2E" w:rsidRDefault="00C46B2E" w:rsidP="000A3682">
            <w:pPr>
              <w:pStyle w:val="ListParagraph"/>
              <w:numPr>
                <w:ilvl w:val="0"/>
                <w:numId w:val="43"/>
              </w:numPr>
              <w:spacing w:before="120" w:after="120"/>
              <w:rPr>
                <w:rFonts w:cs="Arial"/>
                <w:sz w:val="18"/>
                <w:szCs w:val="18"/>
              </w:rPr>
            </w:pPr>
            <w:r w:rsidRPr="00DF204B">
              <w:rPr>
                <w:rFonts w:cs="Arial"/>
                <w:sz w:val="18"/>
                <w:szCs w:val="18"/>
              </w:rPr>
              <w:t xml:space="preserve">The CDE is required to contract with an independent evaluator to conduct a three-year evaluation of </w:t>
            </w:r>
            <w:r>
              <w:rPr>
                <w:rFonts w:cs="Arial"/>
                <w:sz w:val="18"/>
                <w:szCs w:val="18"/>
              </w:rPr>
              <w:t xml:space="preserve">the </w:t>
            </w:r>
            <w:r w:rsidRPr="00DF204B">
              <w:rPr>
                <w:rFonts w:cs="Arial"/>
                <w:sz w:val="18"/>
                <w:szCs w:val="18"/>
              </w:rPr>
              <w:t>CAASPP</w:t>
            </w:r>
            <w:r>
              <w:rPr>
                <w:rFonts w:cs="Arial"/>
                <w:sz w:val="18"/>
                <w:szCs w:val="18"/>
              </w:rPr>
              <w:t xml:space="preserve"> System</w:t>
            </w:r>
            <w:r w:rsidRPr="00DF204B">
              <w:rPr>
                <w:rFonts w:cs="Arial"/>
                <w:sz w:val="18"/>
                <w:szCs w:val="18"/>
              </w:rPr>
              <w:t xml:space="preserve">, beginning with the first year that the Smarter Balanced assessments are fully implemented, and to provide a report to the Governor, the CDE, the SBE, and the chairs of the education policy committees of both houses of the Legislature by October 31 each year. </w:t>
            </w:r>
            <w:r>
              <w:rPr>
                <w:rFonts w:cs="Arial"/>
                <w:sz w:val="18"/>
                <w:szCs w:val="18"/>
              </w:rPr>
              <w:t xml:space="preserve">During 2014, the </w:t>
            </w:r>
            <w:r w:rsidRPr="00DF204B">
              <w:rPr>
                <w:rFonts w:cs="Arial"/>
                <w:sz w:val="18"/>
                <w:szCs w:val="18"/>
              </w:rPr>
              <w:t xml:space="preserve">CDE developed the RFP for </w:t>
            </w:r>
            <w:r>
              <w:rPr>
                <w:rFonts w:cs="Arial"/>
                <w:sz w:val="18"/>
                <w:szCs w:val="18"/>
              </w:rPr>
              <w:t>an independent evaluation of CAASPP.</w:t>
            </w:r>
          </w:p>
          <w:p w14:paraId="1E5DF7B9" w14:textId="77777777" w:rsidR="00C46B2E" w:rsidRPr="00D32F73" w:rsidRDefault="00C46B2E" w:rsidP="000A3682">
            <w:pPr>
              <w:pStyle w:val="ListParagraph"/>
              <w:numPr>
                <w:ilvl w:val="0"/>
                <w:numId w:val="43"/>
              </w:numPr>
              <w:spacing w:before="120" w:after="120"/>
              <w:rPr>
                <w:rFonts w:cs="Arial"/>
                <w:sz w:val="18"/>
                <w:szCs w:val="18"/>
              </w:rPr>
            </w:pPr>
            <w:r w:rsidRPr="00D32F73">
              <w:rPr>
                <w:rFonts w:cs="Arial"/>
                <w:sz w:val="18"/>
                <w:szCs w:val="18"/>
              </w:rPr>
              <w:t xml:space="preserve">In July 2015, the CDE, contracted with HumRRO to conduct a three-year evaluation of the CAASPP System. </w:t>
            </w:r>
          </w:p>
          <w:p w14:paraId="15F533F9" w14:textId="77777777" w:rsidR="00C46B2E" w:rsidRPr="00D32F73" w:rsidRDefault="00C46B2E" w:rsidP="000A3682">
            <w:pPr>
              <w:pStyle w:val="ListParagraph"/>
              <w:numPr>
                <w:ilvl w:val="0"/>
                <w:numId w:val="43"/>
              </w:numPr>
              <w:spacing w:before="120" w:after="120"/>
              <w:rPr>
                <w:rFonts w:cs="Arial"/>
                <w:sz w:val="18"/>
                <w:szCs w:val="18"/>
              </w:rPr>
            </w:pPr>
            <w:r w:rsidRPr="00D32F73">
              <w:rPr>
                <w:rFonts w:cs="Arial"/>
                <w:sz w:val="18"/>
                <w:szCs w:val="18"/>
              </w:rPr>
              <w:t>In 2015, HumRRO activity included the following:</w:t>
            </w:r>
          </w:p>
          <w:p w14:paraId="7AD7A109" w14:textId="77777777" w:rsidR="00C46B2E" w:rsidRPr="00D1422E" w:rsidRDefault="00C46B2E" w:rsidP="000A3682">
            <w:pPr>
              <w:pStyle w:val="ListParagraph"/>
              <w:numPr>
                <w:ilvl w:val="0"/>
                <w:numId w:val="17"/>
              </w:numPr>
              <w:spacing w:before="120" w:after="120"/>
              <w:rPr>
                <w:rFonts w:cs="Arial"/>
                <w:sz w:val="18"/>
                <w:szCs w:val="18"/>
              </w:rPr>
            </w:pPr>
            <w:r w:rsidRPr="00D1422E">
              <w:rPr>
                <w:rFonts w:cs="Arial"/>
                <w:sz w:val="18"/>
                <w:szCs w:val="18"/>
              </w:rPr>
              <w:t>Developed the CAASPP Independent Evaluation Study Plan, which was provided to the SBE in September 2015 (</w:t>
            </w:r>
            <w:r>
              <w:rPr>
                <w:rFonts w:cs="Arial"/>
                <w:sz w:val="18"/>
                <w:szCs w:val="18"/>
              </w:rPr>
              <w:t>s</w:t>
            </w:r>
            <w:r w:rsidRPr="00D1422E">
              <w:rPr>
                <w:rFonts w:cs="Arial"/>
                <w:sz w:val="18"/>
                <w:szCs w:val="18"/>
              </w:rPr>
              <w:t xml:space="preserve">ee Item 3 of the </w:t>
            </w:r>
            <w:r w:rsidRPr="00D1422E">
              <w:rPr>
                <w:sz w:val="18"/>
                <w:szCs w:val="18"/>
                <w:lang w:val="en"/>
              </w:rPr>
              <w:t xml:space="preserve">SBE Agenda for September 2015 at </w:t>
            </w:r>
            <w:hyperlink r:id="rId42" w:history="1">
              <w:r w:rsidRPr="00D1422E">
                <w:rPr>
                  <w:rStyle w:val="Hyperlink"/>
                  <w:sz w:val="18"/>
                  <w:szCs w:val="18"/>
                  <w:lang w:val="en"/>
                </w:rPr>
                <w:t>http://www.cde.ca.gov/be/ag/ag/yr15/agenda201509.asp</w:t>
              </w:r>
            </w:hyperlink>
            <w:r>
              <w:rPr>
                <w:sz w:val="18"/>
                <w:szCs w:val="18"/>
                <w:lang w:val="en"/>
              </w:rPr>
              <w:t>)</w:t>
            </w:r>
          </w:p>
          <w:p w14:paraId="3D49BE58" w14:textId="77777777" w:rsidR="00C46B2E" w:rsidRPr="00770075" w:rsidRDefault="00C46B2E" w:rsidP="000A3682">
            <w:pPr>
              <w:pStyle w:val="ListParagraph"/>
              <w:numPr>
                <w:ilvl w:val="0"/>
                <w:numId w:val="17"/>
              </w:numPr>
              <w:spacing w:before="120" w:after="120"/>
              <w:rPr>
                <w:rFonts w:cs="Arial"/>
                <w:sz w:val="18"/>
                <w:szCs w:val="18"/>
              </w:rPr>
            </w:pPr>
            <w:r w:rsidRPr="00770075">
              <w:rPr>
                <w:rFonts w:cs="Arial"/>
                <w:sz w:val="18"/>
                <w:szCs w:val="18"/>
              </w:rPr>
              <w:t xml:space="preserve">Conducted recruiting activities of </w:t>
            </w:r>
            <w:r>
              <w:rPr>
                <w:rFonts w:cs="Arial"/>
                <w:sz w:val="18"/>
                <w:szCs w:val="18"/>
              </w:rPr>
              <w:t xml:space="preserve">the </w:t>
            </w:r>
            <w:r w:rsidRPr="00770075">
              <w:rPr>
                <w:rFonts w:cs="Arial"/>
                <w:sz w:val="18"/>
                <w:szCs w:val="18"/>
              </w:rPr>
              <w:t>Local Educational Agency Research Network</w:t>
            </w:r>
            <w:r>
              <w:rPr>
                <w:rFonts w:cs="Arial"/>
                <w:sz w:val="18"/>
                <w:szCs w:val="18"/>
              </w:rPr>
              <w:t xml:space="preserve"> (LEARN)</w:t>
            </w:r>
          </w:p>
          <w:p w14:paraId="51181B59" w14:textId="77777777" w:rsidR="00C46B2E" w:rsidRPr="00770075" w:rsidRDefault="00C46B2E" w:rsidP="000A3682">
            <w:pPr>
              <w:pStyle w:val="ListParagraph"/>
              <w:numPr>
                <w:ilvl w:val="0"/>
                <w:numId w:val="17"/>
              </w:numPr>
              <w:spacing w:before="120" w:after="120"/>
              <w:rPr>
                <w:rFonts w:cs="Arial"/>
                <w:sz w:val="18"/>
                <w:szCs w:val="18"/>
              </w:rPr>
            </w:pPr>
            <w:r>
              <w:rPr>
                <w:rFonts w:cs="Arial"/>
                <w:sz w:val="18"/>
                <w:szCs w:val="18"/>
              </w:rPr>
              <w:t>Began</w:t>
            </w:r>
            <w:r w:rsidRPr="00770075">
              <w:rPr>
                <w:rFonts w:cs="Arial"/>
                <w:sz w:val="18"/>
                <w:szCs w:val="18"/>
              </w:rPr>
              <w:t xml:space="preserve"> Interim Assessment study</w:t>
            </w:r>
          </w:p>
          <w:p w14:paraId="24DDF5F5" w14:textId="77777777" w:rsidR="00C46B2E" w:rsidRPr="00CA34A2" w:rsidRDefault="00C46B2E" w:rsidP="000A3682">
            <w:pPr>
              <w:pStyle w:val="ListParagraph"/>
              <w:numPr>
                <w:ilvl w:val="0"/>
                <w:numId w:val="17"/>
              </w:numPr>
              <w:spacing w:before="120" w:after="120"/>
              <w:rPr>
                <w:rFonts w:cs="Arial"/>
                <w:sz w:val="18"/>
                <w:szCs w:val="18"/>
              </w:rPr>
            </w:pPr>
            <w:r>
              <w:rPr>
                <w:rFonts w:cs="Arial"/>
                <w:sz w:val="18"/>
                <w:szCs w:val="18"/>
              </w:rPr>
              <w:t>Began</w:t>
            </w:r>
            <w:r w:rsidRPr="00770075">
              <w:rPr>
                <w:rFonts w:cs="Arial"/>
                <w:sz w:val="18"/>
                <w:szCs w:val="18"/>
              </w:rPr>
              <w:t xml:space="preserve"> </w:t>
            </w:r>
            <w:r>
              <w:rPr>
                <w:rFonts w:cs="Arial"/>
                <w:sz w:val="18"/>
                <w:szCs w:val="18"/>
              </w:rPr>
              <w:t>A</w:t>
            </w:r>
            <w:r w:rsidRPr="00770075">
              <w:rPr>
                <w:rFonts w:cs="Arial"/>
                <w:sz w:val="18"/>
                <w:szCs w:val="18"/>
              </w:rPr>
              <w:t xml:space="preserve">ccommodations and </w:t>
            </w:r>
            <w:r>
              <w:rPr>
                <w:rFonts w:cs="Arial"/>
                <w:sz w:val="18"/>
                <w:szCs w:val="18"/>
              </w:rPr>
              <w:t>S</w:t>
            </w:r>
            <w:r w:rsidRPr="00770075">
              <w:rPr>
                <w:rFonts w:cs="Arial"/>
                <w:sz w:val="18"/>
                <w:szCs w:val="18"/>
              </w:rPr>
              <w:t>upport</w:t>
            </w:r>
            <w:r>
              <w:rPr>
                <w:rFonts w:cs="Arial"/>
                <w:sz w:val="18"/>
                <w:szCs w:val="18"/>
              </w:rPr>
              <w:t xml:space="preserve"> </w:t>
            </w:r>
            <w:r w:rsidRPr="00770075">
              <w:rPr>
                <w:rFonts w:cs="Arial"/>
                <w:sz w:val="18"/>
                <w:szCs w:val="18"/>
              </w:rPr>
              <w:t>study</w:t>
            </w:r>
          </w:p>
        </w:tc>
        <w:tc>
          <w:tcPr>
            <w:tcW w:w="6120" w:type="dxa"/>
            <w:shd w:val="clear" w:color="auto" w:fill="auto"/>
            <w:tcMar>
              <w:top w:w="29" w:type="dxa"/>
              <w:left w:w="115" w:type="dxa"/>
              <w:bottom w:w="29" w:type="dxa"/>
              <w:right w:w="115" w:type="dxa"/>
            </w:tcMar>
          </w:tcPr>
          <w:p w14:paraId="72317C90" w14:textId="77777777" w:rsidR="00C46B2E" w:rsidRPr="00F13554" w:rsidRDefault="00C46B2E" w:rsidP="000A3682">
            <w:pPr>
              <w:pStyle w:val="Default"/>
              <w:numPr>
                <w:ilvl w:val="0"/>
                <w:numId w:val="32"/>
              </w:numPr>
              <w:spacing w:before="120"/>
              <w:rPr>
                <w:rFonts w:cs="Arial"/>
                <w:sz w:val="18"/>
                <w:szCs w:val="18"/>
              </w:rPr>
            </w:pPr>
            <w:r w:rsidRPr="00D574C4">
              <w:rPr>
                <w:rFonts w:cs="Arial"/>
                <w:sz w:val="18"/>
                <w:szCs w:val="18"/>
              </w:rPr>
              <w:t>In November 2016, HumRRO submitted its 2016 Independent Evaluation Report of the CAASPP. See</w:t>
            </w:r>
            <w:r w:rsidRPr="00D574C4">
              <w:rPr>
                <w:rFonts w:ascii="Arial" w:hAnsi="Arial" w:cs="Arial"/>
                <w:sz w:val="18"/>
                <w:szCs w:val="18"/>
              </w:rPr>
              <w:t xml:space="preserve"> "</w:t>
            </w:r>
            <w:r w:rsidRPr="00D574C4">
              <w:rPr>
                <w:rFonts w:ascii="Arial" w:hAnsi="Arial" w:cs="Arial"/>
                <w:bCs/>
                <w:sz w:val="18"/>
                <w:szCs w:val="18"/>
              </w:rPr>
              <w:t xml:space="preserve">California Assessment of Student Performance and Progress (CAASPP): 2016 Independent Evaluation Report, Volume 1,” </w:t>
            </w:r>
            <w:r>
              <w:rPr>
                <w:rFonts w:ascii="Arial" w:hAnsi="Arial" w:cs="Arial"/>
                <w:bCs/>
                <w:sz w:val="18"/>
                <w:szCs w:val="18"/>
              </w:rPr>
              <w:t xml:space="preserve">which is </w:t>
            </w:r>
            <w:r w:rsidRPr="00D574C4">
              <w:rPr>
                <w:rFonts w:ascii="Arial" w:hAnsi="Arial" w:cs="Arial"/>
                <w:bCs/>
                <w:sz w:val="18"/>
                <w:szCs w:val="18"/>
              </w:rPr>
              <w:t xml:space="preserve">posted on the CDE Web site at </w:t>
            </w:r>
            <w:hyperlink r:id="rId43" w:history="1">
              <w:r w:rsidRPr="00D574C4">
                <w:rPr>
                  <w:rStyle w:val="Hyperlink"/>
                  <w:rFonts w:ascii="Arial" w:hAnsi="Arial" w:cs="Arial"/>
                  <w:bCs/>
                  <w:sz w:val="18"/>
                  <w:szCs w:val="18"/>
                </w:rPr>
                <w:t>http://www.cde.ca.gov/ta/tg/ca/documents/caaspp16evalrptvol1.pdf</w:t>
              </w:r>
            </w:hyperlink>
            <w:r>
              <w:rPr>
                <w:rStyle w:val="Hyperlink"/>
                <w:rFonts w:ascii="Arial" w:hAnsi="Arial" w:cs="Arial"/>
                <w:bCs/>
                <w:sz w:val="18"/>
                <w:szCs w:val="18"/>
                <w:u w:val="none"/>
              </w:rPr>
              <w:t>.</w:t>
            </w:r>
          </w:p>
        </w:tc>
      </w:tr>
      <w:tr w:rsidR="00C46B2E" w:rsidRPr="00C64273" w14:paraId="4F55C038" w14:textId="77777777" w:rsidTr="000A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7" w:type="dxa"/>
            <w:shd w:val="clear" w:color="auto" w:fill="C6D9F1"/>
            <w:vAlign w:val="center"/>
          </w:tcPr>
          <w:p w14:paraId="49770EAB" w14:textId="77777777" w:rsidR="00C46B2E" w:rsidRDefault="00C46B2E" w:rsidP="000A3682">
            <w:pPr>
              <w:spacing w:before="120" w:after="120"/>
              <w:rPr>
                <w:rFonts w:cs="Arial"/>
                <w:b/>
                <w:sz w:val="20"/>
              </w:rPr>
            </w:pPr>
            <w:r>
              <w:rPr>
                <w:rFonts w:cs="Arial"/>
                <w:b/>
                <w:sz w:val="20"/>
              </w:rPr>
              <w:lastRenderedPageBreak/>
              <w:t>Smarter Balanced Summative Assessments</w:t>
            </w:r>
          </w:p>
          <w:p w14:paraId="777A9B0C" w14:textId="77777777" w:rsidR="00C46B2E" w:rsidRPr="000B0932" w:rsidRDefault="00C46B2E" w:rsidP="000A3682">
            <w:pPr>
              <w:keepNext/>
              <w:keepLines/>
              <w:widowControl/>
              <w:spacing w:before="120" w:after="120"/>
              <w:rPr>
                <w:rFonts w:cs="Arial"/>
                <w:b/>
                <w:sz w:val="16"/>
                <w:szCs w:val="16"/>
              </w:rPr>
            </w:pPr>
            <w:r w:rsidRPr="000B0932">
              <w:rPr>
                <w:rFonts w:cs="Arial"/>
                <w:sz w:val="16"/>
                <w:szCs w:val="16"/>
              </w:rPr>
              <w:t>(</w:t>
            </w:r>
            <w:r w:rsidRPr="000B0932">
              <w:rPr>
                <w:rFonts w:cs="Arial"/>
                <w:i/>
                <w:sz w:val="16"/>
                <w:szCs w:val="16"/>
              </w:rPr>
              <w:t>EC</w:t>
            </w:r>
            <w:r>
              <w:rPr>
                <w:rFonts w:cs="Arial"/>
                <w:sz w:val="16"/>
                <w:szCs w:val="16"/>
              </w:rPr>
              <w:t xml:space="preserve"> Section 60640</w:t>
            </w:r>
            <w:r w:rsidRPr="000B0932">
              <w:rPr>
                <w:rFonts w:cs="Arial"/>
                <w:sz w:val="16"/>
                <w:szCs w:val="16"/>
              </w:rPr>
              <w:t>[b</w:t>
            </w:r>
            <w:r>
              <w:rPr>
                <w:rFonts w:cs="Arial"/>
                <w:sz w:val="16"/>
                <w:szCs w:val="16"/>
              </w:rPr>
              <w:t>][</w:t>
            </w:r>
            <w:r w:rsidRPr="008B582A">
              <w:rPr>
                <w:rFonts w:cs="Arial"/>
                <w:sz w:val="16"/>
                <w:szCs w:val="16"/>
              </w:rPr>
              <w:t>1])</w:t>
            </w:r>
          </w:p>
        </w:tc>
        <w:tc>
          <w:tcPr>
            <w:tcW w:w="5850" w:type="dxa"/>
            <w:shd w:val="clear" w:color="auto" w:fill="auto"/>
            <w:tcMar>
              <w:top w:w="29" w:type="dxa"/>
              <w:left w:w="115" w:type="dxa"/>
              <w:bottom w:w="29" w:type="dxa"/>
              <w:right w:w="115" w:type="dxa"/>
            </w:tcMar>
          </w:tcPr>
          <w:p w14:paraId="359B0EE6" w14:textId="77777777" w:rsidR="00C46B2E" w:rsidRPr="00E23B5F" w:rsidRDefault="00C46B2E" w:rsidP="000A3682">
            <w:pPr>
              <w:keepNext/>
              <w:keepLines/>
              <w:widowControl/>
              <w:numPr>
                <w:ilvl w:val="0"/>
                <w:numId w:val="1"/>
              </w:numPr>
              <w:spacing w:before="120" w:after="120"/>
              <w:rPr>
                <w:rFonts w:cs="Arial"/>
                <w:sz w:val="18"/>
                <w:szCs w:val="18"/>
              </w:rPr>
            </w:pPr>
            <w:r w:rsidRPr="00CA34A2">
              <w:rPr>
                <w:rFonts w:cs="Arial"/>
                <w:sz w:val="18"/>
                <w:szCs w:val="18"/>
              </w:rPr>
              <w:t>In June 2011, California joined the Smarter Balanced Assessment Consortium as a governing state</w:t>
            </w:r>
            <w:r>
              <w:rPr>
                <w:rFonts w:cs="Arial"/>
                <w:sz w:val="18"/>
                <w:szCs w:val="18"/>
              </w:rPr>
              <w:t xml:space="preserve"> and conducted a pilot test with sample schools and grades.</w:t>
            </w:r>
          </w:p>
          <w:p w14:paraId="18976AFE" w14:textId="77777777" w:rsidR="00C46B2E" w:rsidRPr="00DA1BC6" w:rsidRDefault="00C46B2E" w:rsidP="000A3682">
            <w:pPr>
              <w:keepNext/>
              <w:keepLines/>
              <w:widowControl/>
              <w:numPr>
                <w:ilvl w:val="0"/>
                <w:numId w:val="1"/>
              </w:numPr>
              <w:spacing w:before="120" w:after="120"/>
              <w:rPr>
                <w:rFonts w:cs="Arial"/>
                <w:sz w:val="18"/>
                <w:szCs w:val="18"/>
              </w:rPr>
            </w:pPr>
            <w:r>
              <w:rPr>
                <w:rFonts w:cs="Arial"/>
                <w:snapToGrid/>
                <w:sz w:val="18"/>
                <w:szCs w:val="18"/>
              </w:rPr>
              <w:t>In 2013, the Smarter Balanced Assessment C</w:t>
            </w:r>
            <w:r w:rsidRPr="00E23B5F">
              <w:rPr>
                <w:rFonts w:cs="Arial"/>
                <w:snapToGrid/>
                <w:sz w:val="18"/>
                <w:szCs w:val="18"/>
              </w:rPr>
              <w:t>onsortiu</w:t>
            </w:r>
            <w:r>
              <w:rPr>
                <w:rFonts w:cs="Arial"/>
                <w:snapToGrid/>
                <w:sz w:val="18"/>
                <w:szCs w:val="18"/>
              </w:rPr>
              <w:t>m</w:t>
            </w:r>
            <w:r w:rsidRPr="00E23B5F">
              <w:rPr>
                <w:rFonts w:cs="Arial"/>
                <w:snapToGrid/>
                <w:sz w:val="18"/>
                <w:szCs w:val="18"/>
              </w:rPr>
              <w:t xml:space="preserve"> released a more complete and broadly available "Practice Test</w:t>
            </w:r>
            <w:r>
              <w:rPr>
                <w:rFonts w:cs="Arial"/>
                <w:snapToGrid/>
                <w:sz w:val="18"/>
                <w:szCs w:val="18"/>
              </w:rPr>
              <w:t>.</w:t>
            </w:r>
            <w:r w:rsidRPr="00E23B5F">
              <w:rPr>
                <w:rFonts w:cs="Arial"/>
                <w:snapToGrid/>
                <w:sz w:val="18"/>
                <w:szCs w:val="18"/>
              </w:rPr>
              <w:t>"</w:t>
            </w:r>
            <w:r>
              <w:rPr>
                <w:rFonts w:cs="Arial"/>
                <w:snapToGrid/>
                <w:sz w:val="18"/>
                <w:szCs w:val="18"/>
              </w:rPr>
              <w:t xml:space="preserve"> </w:t>
            </w:r>
            <w:r w:rsidRPr="00E23B5F">
              <w:rPr>
                <w:rFonts w:cs="Arial"/>
                <w:snapToGrid/>
                <w:sz w:val="18"/>
                <w:szCs w:val="18"/>
              </w:rPr>
              <w:t>The Practice Test was m</w:t>
            </w:r>
            <w:r>
              <w:rPr>
                <w:rFonts w:cs="Arial"/>
                <w:snapToGrid/>
                <w:sz w:val="18"/>
                <w:szCs w:val="18"/>
              </w:rPr>
              <w:t>ade publicly available in May</w:t>
            </w:r>
            <w:r w:rsidRPr="00E23B5F">
              <w:rPr>
                <w:rFonts w:cs="Arial"/>
                <w:snapToGrid/>
                <w:sz w:val="18"/>
                <w:szCs w:val="18"/>
              </w:rPr>
              <w:t xml:space="preserve"> 2013.</w:t>
            </w:r>
          </w:p>
          <w:p w14:paraId="03F05929" w14:textId="77777777" w:rsidR="00C46B2E" w:rsidRPr="00CA34A2" w:rsidRDefault="00C46B2E" w:rsidP="000A3682">
            <w:pPr>
              <w:keepNext/>
              <w:keepLines/>
              <w:widowControl/>
              <w:numPr>
                <w:ilvl w:val="0"/>
                <w:numId w:val="1"/>
              </w:numPr>
              <w:spacing w:before="120" w:after="120"/>
              <w:rPr>
                <w:rFonts w:cs="Arial"/>
                <w:sz w:val="18"/>
                <w:szCs w:val="18"/>
              </w:rPr>
            </w:pPr>
            <w:r w:rsidRPr="00CA34A2">
              <w:rPr>
                <w:rFonts w:cs="Arial"/>
                <w:sz w:val="18"/>
                <w:szCs w:val="18"/>
              </w:rPr>
              <w:t xml:space="preserve">The Smarter Balanced Field Test was administered between March 25 and June 13, 2014. </w:t>
            </w:r>
            <w:r w:rsidRPr="00E23B5F">
              <w:rPr>
                <w:rFonts w:cs="Arial"/>
                <w:color w:val="000000"/>
                <w:sz w:val="18"/>
                <w:szCs w:val="18"/>
              </w:rPr>
              <w:t>State law</w:t>
            </w:r>
            <w:r w:rsidRPr="00CA34A2">
              <w:rPr>
                <w:rFonts w:cs="Arial"/>
                <w:color w:val="000000"/>
                <w:sz w:val="18"/>
                <w:szCs w:val="18"/>
              </w:rPr>
              <w:t xml:space="preserve"> require</w:t>
            </w:r>
            <w:r w:rsidRPr="00E23B5F">
              <w:rPr>
                <w:rFonts w:cs="Arial"/>
                <w:color w:val="000000"/>
                <w:sz w:val="18"/>
                <w:szCs w:val="18"/>
              </w:rPr>
              <w:t>d</w:t>
            </w:r>
            <w:r w:rsidRPr="00CA34A2">
              <w:rPr>
                <w:rFonts w:cs="Arial"/>
                <w:color w:val="000000"/>
                <w:sz w:val="18"/>
                <w:szCs w:val="18"/>
              </w:rPr>
              <w:t xml:space="preserve"> all California LE</w:t>
            </w:r>
            <w:r>
              <w:rPr>
                <w:rFonts w:cs="Arial"/>
                <w:color w:val="000000"/>
                <w:sz w:val="18"/>
                <w:szCs w:val="18"/>
              </w:rPr>
              <w:t>As to participate in the field t</w:t>
            </w:r>
            <w:r w:rsidRPr="00CA34A2">
              <w:rPr>
                <w:rFonts w:cs="Arial"/>
                <w:color w:val="000000"/>
                <w:sz w:val="18"/>
                <w:szCs w:val="18"/>
              </w:rPr>
              <w:t>est prior to operational</w:t>
            </w:r>
            <w:r>
              <w:rPr>
                <w:rFonts w:cs="Arial"/>
                <w:color w:val="000000"/>
                <w:sz w:val="18"/>
                <w:szCs w:val="18"/>
              </w:rPr>
              <w:t xml:space="preserve"> testing</w:t>
            </w:r>
            <w:r w:rsidRPr="00CA34A2">
              <w:rPr>
                <w:rFonts w:cs="Arial"/>
                <w:sz w:val="18"/>
                <w:szCs w:val="18"/>
              </w:rPr>
              <w:t xml:space="preserve"> in 2014–15. The CDE and its contractor provided a variety of outreach efforts (e.g.</w:t>
            </w:r>
            <w:r>
              <w:rPr>
                <w:rFonts w:cs="Arial"/>
                <w:sz w:val="18"/>
                <w:szCs w:val="18"/>
              </w:rPr>
              <w:t>,</w:t>
            </w:r>
            <w:r w:rsidRPr="00CA34A2">
              <w:rPr>
                <w:rFonts w:cs="Arial"/>
                <w:sz w:val="18"/>
                <w:szCs w:val="18"/>
              </w:rPr>
              <w:t xml:space="preserve"> field test training workshops, online training modules, and help desk support) to help prepare LEAs for field test implementation.</w:t>
            </w:r>
          </w:p>
          <w:p w14:paraId="369926ED" w14:textId="77777777" w:rsidR="00C46B2E" w:rsidRPr="008F2288" w:rsidRDefault="00C46B2E" w:rsidP="000A3682">
            <w:pPr>
              <w:keepNext/>
              <w:keepLines/>
              <w:widowControl/>
              <w:numPr>
                <w:ilvl w:val="0"/>
                <w:numId w:val="1"/>
              </w:numPr>
              <w:spacing w:before="120" w:after="120"/>
              <w:rPr>
                <w:rFonts w:cs="Arial"/>
                <w:sz w:val="18"/>
                <w:szCs w:val="18"/>
              </w:rPr>
            </w:pPr>
            <w:r w:rsidRPr="008F2288">
              <w:rPr>
                <w:rFonts w:cs="Arial"/>
                <w:sz w:val="18"/>
                <w:szCs w:val="18"/>
              </w:rPr>
              <w:t xml:space="preserve">More than 3.1 million students successfully completed the 2013–14 Smarter Balanced Field Test, which familiarized students, teachers, and administrators with the new item types and computer-based format of the new assessment. </w:t>
            </w:r>
          </w:p>
          <w:p w14:paraId="2C77324F" w14:textId="6DADEFC9" w:rsidR="00C46B2E" w:rsidRPr="004509E1" w:rsidRDefault="00C46B2E" w:rsidP="000A3682">
            <w:pPr>
              <w:keepNext/>
              <w:keepLines/>
              <w:widowControl/>
              <w:numPr>
                <w:ilvl w:val="0"/>
                <w:numId w:val="1"/>
              </w:numPr>
              <w:spacing w:before="120" w:after="120"/>
              <w:rPr>
                <w:rFonts w:cs="Arial"/>
                <w:sz w:val="18"/>
                <w:szCs w:val="18"/>
              </w:rPr>
            </w:pPr>
            <w:r w:rsidRPr="004509E1">
              <w:rPr>
                <w:rFonts w:cs="Arial"/>
                <w:sz w:val="18"/>
                <w:szCs w:val="18"/>
              </w:rPr>
              <w:t xml:space="preserve">In September 2014, the SBE approved that the operational Smarter Balanced Summative Assessments would be administered as part of CAASPP for 2014–15 through July 1, 2020. </w:t>
            </w:r>
          </w:p>
          <w:p w14:paraId="73D1BCDD" w14:textId="77777777" w:rsidR="00C46B2E" w:rsidRPr="00CA34A2" w:rsidRDefault="00C46B2E" w:rsidP="000A3682">
            <w:pPr>
              <w:keepNext/>
              <w:keepLines/>
              <w:widowControl/>
              <w:numPr>
                <w:ilvl w:val="0"/>
                <w:numId w:val="1"/>
              </w:numPr>
              <w:spacing w:before="120" w:after="120"/>
              <w:rPr>
                <w:rFonts w:cs="Arial"/>
                <w:sz w:val="18"/>
                <w:szCs w:val="18"/>
              </w:rPr>
            </w:pPr>
            <w:r>
              <w:rPr>
                <w:rFonts w:cs="Arial"/>
                <w:sz w:val="18"/>
                <w:szCs w:val="18"/>
              </w:rPr>
              <w:t>In April and June 2015, the Smarter Balanced Summative Assessments were administered to approximately 3.2 million students in more than 1,200 LEAs.</w:t>
            </w:r>
          </w:p>
        </w:tc>
        <w:tc>
          <w:tcPr>
            <w:tcW w:w="6120" w:type="dxa"/>
            <w:shd w:val="clear" w:color="auto" w:fill="auto"/>
            <w:tcMar>
              <w:top w:w="29" w:type="dxa"/>
              <w:left w:w="115" w:type="dxa"/>
              <w:bottom w:w="29" w:type="dxa"/>
              <w:right w:w="115" w:type="dxa"/>
            </w:tcMar>
          </w:tcPr>
          <w:p w14:paraId="50476504" w14:textId="77777777" w:rsidR="00C46B2E" w:rsidRPr="000051E3" w:rsidRDefault="00C46B2E" w:rsidP="000A3682">
            <w:pPr>
              <w:keepNext/>
              <w:keepLines/>
              <w:widowControl/>
              <w:numPr>
                <w:ilvl w:val="0"/>
                <w:numId w:val="5"/>
              </w:numPr>
              <w:spacing w:before="120" w:after="120"/>
              <w:rPr>
                <w:rFonts w:cs="Arial"/>
                <w:sz w:val="18"/>
                <w:szCs w:val="18"/>
              </w:rPr>
            </w:pPr>
            <w:r w:rsidRPr="000051E3">
              <w:rPr>
                <w:rFonts w:cs="Arial"/>
                <w:sz w:val="18"/>
                <w:szCs w:val="18"/>
              </w:rPr>
              <w:t xml:space="preserve">More than 3.1 million students successfully completed the 2015–16 Smarter Balanced Summative Assessments for ELA and mathematics. </w:t>
            </w:r>
            <w:r>
              <w:rPr>
                <w:rFonts w:cs="Arial"/>
                <w:color w:val="000000"/>
                <w:sz w:val="18"/>
                <w:szCs w:val="18"/>
                <w:lang w:val="en"/>
              </w:rPr>
              <w:t>L</w:t>
            </w:r>
            <w:r w:rsidRPr="000051E3">
              <w:rPr>
                <w:rFonts w:cs="Arial"/>
                <w:color w:val="000000"/>
                <w:sz w:val="18"/>
                <w:szCs w:val="18"/>
                <w:lang w:val="en"/>
              </w:rPr>
              <w:t>ess than 1 percent of eligible California students did not take part in the assessment due to a parental exemption, a figure far lower than in many other states</w:t>
            </w:r>
            <w:r>
              <w:rPr>
                <w:rFonts w:cs="Arial"/>
                <w:color w:val="000000"/>
                <w:sz w:val="18"/>
                <w:szCs w:val="18"/>
                <w:lang w:val="en"/>
              </w:rPr>
              <w:t>.</w:t>
            </w:r>
          </w:p>
          <w:p w14:paraId="5DFB38AC" w14:textId="77777777" w:rsidR="00C46B2E" w:rsidRPr="00661928" w:rsidRDefault="00C46B2E" w:rsidP="000A3682">
            <w:pPr>
              <w:keepNext/>
              <w:keepLines/>
              <w:widowControl/>
              <w:numPr>
                <w:ilvl w:val="0"/>
                <w:numId w:val="5"/>
              </w:numPr>
              <w:spacing w:before="120" w:after="120"/>
              <w:rPr>
                <w:rFonts w:cs="Arial"/>
                <w:sz w:val="18"/>
                <w:szCs w:val="18"/>
              </w:rPr>
            </w:pPr>
            <w:r w:rsidRPr="00E71513">
              <w:rPr>
                <w:rFonts w:cs="Arial"/>
                <w:sz w:val="18"/>
                <w:szCs w:val="18"/>
              </w:rPr>
              <w:t xml:space="preserve">In May 2016, the SBE authorized the SBE President and the SSPI to request a federal waiver to waive assessment of applicable </w:t>
            </w:r>
            <w:r w:rsidRPr="00E71513">
              <w:rPr>
                <w:rFonts w:cs="Arial"/>
                <w:color w:val="000000"/>
                <w:sz w:val="18"/>
                <w:szCs w:val="18"/>
              </w:rPr>
              <w:t>speaking and listening assessment requirements for the 2015–16 and</w:t>
            </w:r>
            <w:r w:rsidR="00F97727">
              <w:rPr>
                <w:rFonts w:cs="Arial"/>
                <w:color w:val="000000"/>
                <w:sz w:val="18"/>
                <w:szCs w:val="18"/>
              </w:rPr>
              <w:t xml:space="preserve"> </w:t>
            </w:r>
            <w:r w:rsidRPr="00661928">
              <w:rPr>
                <w:rFonts w:cs="Arial"/>
                <w:color w:val="000000"/>
                <w:sz w:val="18"/>
                <w:szCs w:val="18"/>
              </w:rPr>
              <w:t xml:space="preserve">2016–17 school years. </w:t>
            </w:r>
          </w:p>
          <w:p w14:paraId="09B9FFBF" w14:textId="77777777" w:rsidR="00C46B2E" w:rsidRPr="008F2288" w:rsidRDefault="00C46B2E" w:rsidP="000A3682">
            <w:pPr>
              <w:pStyle w:val="ListParagraph"/>
              <w:keepNext/>
              <w:keepLines/>
              <w:widowControl/>
              <w:numPr>
                <w:ilvl w:val="0"/>
                <w:numId w:val="5"/>
              </w:numPr>
              <w:spacing w:before="120" w:after="120"/>
              <w:rPr>
                <w:rFonts w:cs="Arial"/>
                <w:sz w:val="18"/>
                <w:szCs w:val="18"/>
              </w:rPr>
            </w:pPr>
            <w:r w:rsidRPr="008F2288">
              <w:rPr>
                <w:rFonts w:cs="Arial"/>
                <w:sz w:val="18"/>
                <w:szCs w:val="18"/>
              </w:rPr>
              <w:t xml:space="preserve">On June 2, 2016, the </w:t>
            </w:r>
            <w:r w:rsidRPr="008F2288">
              <w:rPr>
                <w:rFonts w:cs="Arial"/>
                <w:color w:val="000000"/>
                <w:sz w:val="18"/>
                <w:szCs w:val="18"/>
              </w:rPr>
              <w:t>U.S. Department of Education (ED)</w:t>
            </w:r>
            <w:r w:rsidRPr="008F2288">
              <w:rPr>
                <w:rFonts w:cs="Arial"/>
                <w:sz w:val="18"/>
                <w:szCs w:val="18"/>
              </w:rPr>
              <w:t xml:space="preserve"> received a waiver request from the CDE and the SBE. </w:t>
            </w:r>
            <w:r w:rsidRPr="008F2288">
              <w:rPr>
                <w:rFonts w:cs="Arial"/>
                <w:color w:val="000000"/>
                <w:sz w:val="18"/>
                <w:szCs w:val="18"/>
              </w:rPr>
              <w:t xml:space="preserve">The request was granted. </w:t>
            </w:r>
          </w:p>
          <w:p w14:paraId="3F94ED05" w14:textId="77777777" w:rsidR="00C46B2E" w:rsidRPr="00044493" w:rsidRDefault="00C46B2E" w:rsidP="000A3682">
            <w:pPr>
              <w:keepNext/>
              <w:keepLines/>
              <w:widowControl/>
              <w:spacing w:before="120" w:after="120"/>
              <w:ind w:left="727"/>
              <w:rPr>
                <w:rFonts w:cs="Arial"/>
                <w:sz w:val="18"/>
                <w:szCs w:val="18"/>
              </w:rPr>
            </w:pPr>
          </w:p>
        </w:tc>
      </w:tr>
      <w:tr w:rsidR="00C46B2E" w:rsidRPr="00C64273" w14:paraId="2F194627" w14:textId="77777777" w:rsidTr="000A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97" w:type="dxa"/>
            <w:shd w:val="clear" w:color="auto" w:fill="C6D9F1"/>
            <w:vAlign w:val="center"/>
          </w:tcPr>
          <w:p w14:paraId="27BBF14C" w14:textId="77777777" w:rsidR="00C46B2E" w:rsidRPr="00F73B2C" w:rsidRDefault="00C46B2E" w:rsidP="000A3682">
            <w:pPr>
              <w:keepNext/>
              <w:keepLines/>
              <w:widowControl/>
              <w:spacing w:before="120" w:after="120"/>
              <w:rPr>
                <w:rFonts w:cs="Arial"/>
                <w:b/>
                <w:sz w:val="20"/>
              </w:rPr>
            </w:pPr>
            <w:r w:rsidRPr="00F73B2C">
              <w:rPr>
                <w:rFonts w:cs="Arial"/>
                <w:b/>
                <w:sz w:val="20"/>
              </w:rPr>
              <w:lastRenderedPageBreak/>
              <w:t>Interim and Formative Assessments</w:t>
            </w:r>
          </w:p>
          <w:p w14:paraId="7024B8FD" w14:textId="77777777" w:rsidR="00C46B2E" w:rsidRPr="00F73B2C" w:rsidRDefault="00C46B2E" w:rsidP="000A3682">
            <w:pPr>
              <w:keepNext/>
              <w:keepLines/>
              <w:widowControl/>
              <w:spacing w:before="120" w:after="120"/>
              <w:rPr>
                <w:rFonts w:cs="Arial"/>
                <w:b/>
                <w:sz w:val="20"/>
              </w:rPr>
            </w:pPr>
            <w:r w:rsidRPr="00F73B2C">
              <w:rPr>
                <w:rFonts w:cs="Arial"/>
                <w:sz w:val="16"/>
                <w:szCs w:val="16"/>
              </w:rPr>
              <w:t>(</w:t>
            </w:r>
            <w:r w:rsidRPr="00F73B2C">
              <w:rPr>
                <w:rFonts w:cs="Arial"/>
                <w:i/>
                <w:sz w:val="16"/>
                <w:szCs w:val="16"/>
              </w:rPr>
              <w:t>EC</w:t>
            </w:r>
            <w:r w:rsidRPr="00F73B2C">
              <w:rPr>
                <w:rFonts w:cs="Arial"/>
                <w:sz w:val="16"/>
                <w:szCs w:val="16"/>
              </w:rPr>
              <w:t xml:space="preserve"> Section 60642.6)</w:t>
            </w:r>
          </w:p>
        </w:tc>
        <w:tc>
          <w:tcPr>
            <w:tcW w:w="5850" w:type="dxa"/>
            <w:shd w:val="clear" w:color="auto" w:fill="auto"/>
            <w:tcMar>
              <w:top w:w="29" w:type="dxa"/>
              <w:left w:w="115" w:type="dxa"/>
              <w:bottom w:w="29" w:type="dxa"/>
              <w:right w:w="115" w:type="dxa"/>
            </w:tcMar>
          </w:tcPr>
          <w:p w14:paraId="4BD9AD95" w14:textId="77777777" w:rsidR="00C46B2E" w:rsidRPr="008F2288" w:rsidRDefault="00C46B2E" w:rsidP="000A3682">
            <w:pPr>
              <w:pStyle w:val="ListParagraph"/>
              <w:numPr>
                <w:ilvl w:val="0"/>
                <w:numId w:val="44"/>
              </w:numPr>
              <w:spacing w:before="120" w:after="120"/>
              <w:rPr>
                <w:rFonts w:cs="Arial"/>
                <w:sz w:val="18"/>
                <w:szCs w:val="18"/>
              </w:rPr>
            </w:pPr>
            <w:r w:rsidRPr="008F2288">
              <w:rPr>
                <w:rFonts w:cs="Arial"/>
                <w:sz w:val="18"/>
                <w:szCs w:val="18"/>
              </w:rPr>
              <w:t>In April 2014, optional Smarter Balanced formative assessment tools (Digital Library) were made available to all California LEAs.</w:t>
            </w:r>
          </w:p>
          <w:p w14:paraId="78E507B7" w14:textId="77777777" w:rsidR="00C46B2E" w:rsidRPr="008F2288" w:rsidRDefault="00C46B2E" w:rsidP="000A3682">
            <w:pPr>
              <w:pStyle w:val="ListParagraph"/>
              <w:numPr>
                <w:ilvl w:val="0"/>
                <w:numId w:val="44"/>
              </w:numPr>
              <w:spacing w:before="120" w:after="120"/>
              <w:rPr>
                <w:rFonts w:cs="Arial"/>
                <w:sz w:val="18"/>
                <w:szCs w:val="18"/>
              </w:rPr>
            </w:pPr>
            <w:r w:rsidRPr="008F2288">
              <w:rPr>
                <w:rFonts w:cs="Arial"/>
                <w:sz w:val="18"/>
                <w:szCs w:val="18"/>
              </w:rPr>
              <w:t>In January 2015, the Smarter Balanced Interim</w:t>
            </w:r>
            <w:r w:rsidRPr="008F2288" w:rsidDel="00EB767A">
              <w:rPr>
                <w:rFonts w:cs="Arial"/>
                <w:sz w:val="18"/>
                <w:szCs w:val="18"/>
              </w:rPr>
              <w:t xml:space="preserve"> </w:t>
            </w:r>
            <w:r w:rsidRPr="008F2288">
              <w:rPr>
                <w:rFonts w:cs="Arial"/>
                <w:sz w:val="18"/>
                <w:szCs w:val="18"/>
              </w:rPr>
              <w:t>Assessments and the Interim Assessment Hand Scoring System were made available to California LEAs.</w:t>
            </w:r>
          </w:p>
          <w:p w14:paraId="0565E87A" w14:textId="77777777" w:rsidR="00C46B2E" w:rsidRPr="008F2288" w:rsidRDefault="00C46B2E" w:rsidP="000A3682">
            <w:pPr>
              <w:pStyle w:val="ListParagraph"/>
              <w:numPr>
                <w:ilvl w:val="0"/>
                <w:numId w:val="44"/>
              </w:numPr>
              <w:spacing w:before="120" w:after="120"/>
              <w:rPr>
                <w:rFonts w:cs="Arial"/>
                <w:sz w:val="18"/>
                <w:szCs w:val="18"/>
              </w:rPr>
            </w:pPr>
            <w:r w:rsidRPr="008F2288">
              <w:rPr>
                <w:rFonts w:cs="Arial"/>
                <w:sz w:val="18"/>
                <w:szCs w:val="18"/>
              </w:rPr>
              <w:t>In August 2015, administration of the K–12 interim assessments for ELA and mathematics became available to LEAs for the 2015–16 school year. This launch included the following enhancements:</w:t>
            </w:r>
          </w:p>
          <w:p w14:paraId="31944080" w14:textId="77777777" w:rsidR="00C46B2E" w:rsidRPr="00CA4CEB" w:rsidRDefault="00C46B2E" w:rsidP="000A3682">
            <w:pPr>
              <w:numPr>
                <w:ilvl w:val="0"/>
                <w:numId w:val="16"/>
              </w:numPr>
              <w:spacing w:before="120" w:after="120"/>
              <w:ind w:left="637" w:hanging="270"/>
              <w:rPr>
                <w:rFonts w:cs="Arial"/>
                <w:sz w:val="18"/>
                <w:szCs w:val="18"/>
              </w:rPr>
            </w:pPr>
            <w:r>
              <w:rPr>
                <w:rFonts w:cs="Arial"/>
                <w:sz w:val="18"/>
                <w:szCs w:val="18"/>
              </w:rPr>
              <w:t>The means to</w:t>
            </w:r>
            <w:r w:rsidRPr="00CA4CEB">
              <w:rPr>
                <w:rFonts w:cs="Arial"/>
                <w:sz w:val="18"/>
                <w:szCs w:val="18"/>
              </w:rPr>
              <w:t xml:space="preserve"> administer the interim comprehensive assessments (ICAs) up to three times per student and the interim assessment blocks (IABs) an unlimited number of times. This </w:t>
            </w:r>
            <w:r>
              <w:rPr>
                <w:rFonts w:cs="Arial"/>
                <w:sz w:val="18"/>
                <w:szCs w:val="18"/>
              </w:rPr>
              <w:t>was</w:t>
            </w:r>
            <w:r w:rsidRPr="00CA4CEB">
              <w:rPr>
                <w:rFonts w:cs="Arial"/>
                <w:sz w:val="18"/>
                <w:szCs w:val="18"/>
              </w:rPr>
              <w:t xml:space="preserve"> an increase from the two opportunities that were in place for the ICAs and IABs during the 2014–15 school year.</w:t>
            </w:r>
          </w:p>
          <w:p w14:paraId="1F7B4079" w14:textId="77777777" w:rsidR="00C46B2E" w:rsidRDefault="00C46B2E" w:rsidP="000A3682">
            <w:pPr>
              <w:pStyle w:val="ListParagraph"/>
              <w:numPr>
                <w:ilvl w:val="0"/>
                <w:numId w:val="16"/>
              </w:numPr>
              <w:spacing w:before="120" w:after="120"/>
              <w:ind w:left="637" w:hanging="270"/>
              <w:rPr>
                <w:rFonts w:cs="Arial"/>
                <w:sz w:val="18"/>
                <w:szCs w:val="18"/>
              </w:rPr>
            </w:pPr>
            <w:r w:rsidRPr="00EE4DDA">
              <w:rPr>
                <w:rFonts w:cs="Arial"/>
                <w:sz w:val="18"/>
                <w:szCs w:val="18"/>
              </w:rPr>
              <w:t xml:space="preserve">The means to administer interim assessments for any grade level to any student. This was a change from </w:t>
            </w:r>
            <w:r>
              <w:rPr>
                <w:rFonts w:cs="Arial"/>
                <w:sz w:val="18"/>
                <w:szCs w:val="18"/>
              </w:rPr>
              <w:t xml:space="preserve">the </w:t>
            </w:r>
            <w:r w:rsidRPr="00EE4DDA">
              <w:rPr>
                <w:rFonts w:cs="Arial"/>
                <w:sz w:val="18"/>
                <w:szCs w:val="18"/>
              </w:rPr>
              <w:t>restricted availability</w:t>
            </w:r>
            <w:r>
              <w:rPr>
                <w:rFonts w:cs="Arial"/>
                <w:sz w:val="18"/>
                <w:szCs w:val="18"/>
              </w:rPr>
              <w:t xml:space="preserve"> of</w:t>
            </w:r>
            <w:r w:rsidRPr="00EE4DDA">
              <w:rPr>
                <w:rFonts w:cs="Arial"/>
                <w:sz w:val="18"/>
                <w:szCs w:val="18"/>
              </w:rPr>
              <w:t xml:space="preserve"> the interim assessments that was in place during the 2014–15 school year (i.e., availability at enrolled grade level, one grade level below enrolled grade, and one grade level above enrolled grade).</w:t>
            </w:r>
          </w:p>
          <w:p w14:paraId="566530DB" w14:textId="77777777" w:rsidR="00C46B2E" w:rsidRPr="008F2288" w:rsidRDefault="00C46B2E" w:rsidP="000A3682">
            <w:pPr>
              <w:numPr>
                <w:ilvl w:val="0"/>
                <w:numId w:val="21"/>
              </w:numPr>
              <w:spacing w:before="120" w:after="120"/>
              <w:ind w:left="277" w:hanging="277"/>
              <w:rPr>
                <w:rFonts w:cs="Arial"/>
                <w:sz w:val="18"/>
                <w:szCs w:val="18"/>
              </w:rPr>
            </w:pPr>
            <w:r w:rsidRPr="00445D54">
              <w:rPr>
                <w:rFonts w:cs="Arial"/>
                <w:sz w:val="18"/>
                <w:szCs w:val="18"/>
              </w:rPr>
              <w:t xml:space="preserve">As of December 29, 2015, a total of </w:t>
            </w:r>
            <w:r w:rsidRPr="00445D54">
              <w:rPr>
                <w:rFonts w:cs="Arial"/>
                <w:sz w:val="18"/>
                <w:szCs w:val="18"/>
              </w:rPr>
              <w:fldChar w:fldCharType="begin"/>
            </w:r>
            <w:r w:rsidRPr="00445D54">
              <w:rPr>
                <w:rFonts w:cs="Arial"/>
                <w:sz w:val="18"/>
                <w:szCs w:val="18"/>
              </w:rPr>
              <w:instrText xml:space="preserve"> MERGEFIELD INT_TESTS_ALL_STARTED_CUMUL_INTERIMS_Tot </w:instrText>
            </w:r>
            <w:r w:rsidRPr="00445D54">
              <w:rPr>
                <w:rFonts w:cs="Arial"/>
                <w:sz w:val="18"/>
                <w:szCs w:val="18"/>
              </w:rPr>
              <w:fldChar w:fldCharType="separate"/>
            </w:r>
            <w:r w:rsidRPr="00445D54">
              <w:rPr>
                <w:rFonts w:cs="Arial"/>
                <w:sz w:val="18"/>
                <w:szCs w:val="18"/>
              </w:rPr>
              <w:t>1,521,069</w:t>
            </w:r>
            <w:r w:rsidRPr="00445D54">
              <w:rPr>
                <w:rFonts w:cs="Arial"/>
                <w:sz w:val="18"/>
                <w:szCs w:val="18"/>
              </w:rPr>
              <w:fldChar w:fldCharType="end"/>
            </w:r>
            <w:r w:rsidRPr="00445D54">
              <w:rPr>
                <w:rFonts w:cs="Arial"/>
                <w:sz w:val="18"/>
                <w:szCs w:val="18"/>
              </w:rPr>
              <w:t xml:space="preserve"> interim assessments had been started and </w:t>
            </w:r>
            <w:r w:rsidRPr="00445D54">
              <w:rPr>
                <w:rFonts w:cs="Arial"/>
                <w:sz w:val="18"/>
                <w:szCs w:val="18"/>
              </w:rPr>
              <w:fldChar w:fldCharType="begin"/>
            </w:r>
            <w:r w:rsidRPr="00445D54">
              <w:rPr>
                <w:rFonts w:cs="Arial"/>
                <w:sz w:val="18"/>
                <w:szCs w:val="18"/>
              </w:rPr>
              <w:instrText xml:space="preserve"> MERGEFIELD "INT_TESTS_ALL_COMPL_CUMUL_INTERIMS_Total" </w:instrText>
            </w:r>
            <w:r w:rsidRPr="00445D54">
              <w:rPr>
                <w:rFonts w:cs="Arial"/>
                <w:sz w:val="18"/>
                <w:szCs w:val="18"/>
              </w:rPr>
              <w:fldChar w:fldCharType="separate"/>
            </w:r>
            <w:r w:rsidRPr="00445D54">
              <w:rPr>
                <w:rFonts w:cs="Arial"/>
                <w:sz w:val="18"/>
                <w:szCs w:val="18"/>
              </w:rPr>
              <w:t>1,394,956</w:t>
            </w:r>
            <w:r w:rsidRPr="00445D54">
              <w:rPr>
                <w:rFonts w:cs="Arial"/>
                <w:sz w:val="18"/>
                <w:szCs w:val="18"/>
              </w:rPr>
              <w:fldChar w:fldCharType="end"/>
            </w:r>
            <w:r w:rsidRPr="00445D54">
              <w:rPr>
                <w:rFonts w:cs="Arial"/>
                <w:sz w:val="18"/>
                <w:szCs w:val="18"/>
              </w:rPr>
              <w:t xml:space="preserve"> had been completed across 674 LEAs.</w:t>
            </w:r>
          </w:p>
        </w:tc>
        <w:tc>
          <w:tcPr>
            <w:tcW w:w="6120" w:type="dxa"/>
            <w:shd w:val="clear" w:color="auto" w:fill="auto"/>
            <w:tcMar>
              <w:top w:w="29" w:type="dxa"/>
              <w:left w:w="115" w:type="dxa"/>
              <w:bottom w:w="29" w:type="dxa"/>
              <w:right w:w="115" w:type="dxa"/>
            </w:tcMar>
          </w:tcPr>
          <w:p w14:paraId="031025AB" w14:textId="77777777" w:rsidR="00C46B2E" w:rsidRDefault="00C46B2E" w:rsidP="000A3682">
            <w:pPr>
              <w:pStyle w:val="ListParagraph"/>
              <w:numPr>
                <w:ilvl w:val="0"/>
                <w:numId w:val="21"/>
              </w:numPr>
              <w:spacing w:before="120" w:after="120"/>
              <w:ind w:left="277" w:hanging="270"/>
              <w:rPr>
                <w:rStyle w:val="A5"/>
                <w:rFonts w:cs="Arial"/>
                <w:i w:val="0"/>
                <w:sz w:val="18"/>
                <w:szCs w:val="18"/>
              </w:rPr>
            </w:pPr>
            <w:r w:rsidRPr="00AC4815">
              <w:rPr>
                <w:rStyle w:val="A5"/>
                <w:rFonts w:cs="Arial"/>
                <w:i w:val="0"/>
                <w:sz w:val="18"/>
                <w:szCs w:val="18"/>
              </w:rPr>
              <w:t>For the 2016</w:t>
            </w:r>
            <w:r w:rsidRPr="00AC4815">
              <w:rPr>
                <w:rFonts w:cs="Arial"/>
                <w:i/>
                <w:sz w:val="18"/>
                <w:szCs w:val="18"/>
              </w:rPr>
              <w:t>–</w:t>
            </w:r>
            <w:r w:rsidRPr="00AC4815">
              <w:rPr>
                <w:rStyle w:val="A5"/>
                <w:rFonts w:cs="Arial"/>
                <w:i w:val="0"/>
                <w:sz w:val="18"/>
                <w:szCs w:val="18"/>
              </w:rPr>
              <w:t>17 school year, 29 new IABs were made available to California LEAs—11 for mathematics and 18 for ELA. In addition, several IABs were revised from the 2015</w:t>
            </w:r>
            <w:r w:rsidRPr="00AC4815">
              <w:rPr>
                <w:rFonts w:cs="Arial"/>
                <w:i/>
                <w:sz w:val="18"/>
                <w:szCs w:val="18"/>
              </w:rPr>
              <w:t>–</w:t>
            </w:r>
            <w:r w:rsidRPr="00AC4815">
              <w:rPr>
                <w:rStyle w:val="A5"/>
                <w:rFonts w:cs="Arial"/>
                <w:i w:val="0"/>
                <w:sz w:val="18"/>
                <w:szCs w:val="18"/>
              </w:rPr>
              <w:t>16 school year. The total number of available ICAs is 14 and the total number of IABs is 100.</w:t>
            </w:r>
          </w:p>
          <w:p w14:paraId="1D81B803" w14:textId="77777777" w:rsidR="00C46B2E" w:rsidRDefault="00C46B2E" w:rsidP="000A3682">
            <w:pPr>
              <w:numPr>
                <w:ilvl w:val="0"/>
                <w:numId w:val="21"/>
              </w:numPr>
              <w:spacing w:before="120" w:after="120"/>
              <w:ind w:left="277" w:hanging="277"/>
              <w:rPr>
                <w:rFonts w:cs="Arial"/>
                <w:sz w:val="18"/>
                <w:szCs w:val="18"/>
              </w:rPr>
            </w:pPr>
            <w:r w:rsidRPr="003C44E4">
              <w:rPr>
                <w:rFonts w:cs="Arial"/>
                <w:sz w:val="18"/>
                <w:szCs w:val="18"/>
              </w:rPr>
              <w:t>As of January 19, 2016</w:t>
            </w:r>
            <w:r>
              <w:rPr>
                <w:rFonts w:cs="Arial"/>
                <w:sz w:val="18"/>
                <w:szCs w:val="18"/>
              </w:rPr>
              <w:t>,</w:t>
            </w:r>
            <w:r w:rsidRPr="003C44E4">
              <w:rPr>
                <w:rFonts w:cs="Arial"/>
                <w:sz w:val="18"/>
                <w:szCs w:val="18"/>
              </w:rPr>
              <w:t xml:space="preserve"> a total of 267,111 California educators were registered users of the Smarter Balanced Digital Library.</w:t>
            </w:r>
          </w:p>
          <w:p w14:paraId="147D08FC" w14:textId="77777777" w:rsidR="00C46B2E" w:rsidRPr="00AC4815" w:rsidRDefault="00C46B2E" w:rsidP="000A3682">
            <w:pPr>
              <w:pStyle w:val="ListParagraph"/>
              <w:numPr>
                <w:ilvl w:val="0"/>
                <w:numId w:val="21"/>
              </w:numPr>
              <w:spacing w:before="120" w:after="120"/>
              <w:ind w:left="277" w:hanging="277"/>
              <w:rPr>
                <w:rStyle w:val="A5"/>
                <w:rFonts w:cs="Arial"/>
                <w:i w:val="0"/>
                <w:iCs w:val="0"/>
                <w:sz w:val="18"/>
                <w:szCs w:val="18"/>
              </w:rPr>
            </w:pPr>
            <w:r>
              <w:rPr>
                <w:rStyle w:val="A5"/>
                <w:rFonts w:cs="Arial"/>
                <w:i w:val="0"/>
                <w:sz w:val="18"/>
                <w:szCs w:val="18"/>
              </w:rPr>
              <w:t>A</w:t>
            </w:r>
            <w:r w:rsidRPr="00AC4815">
              <w:rPr>
                <w:rStyle w:val="A5"/>
                <w:rFonts w:cs="Arial"/>
                <w:i w:val="0"/>
                <w:sz w:val="18"/>
                <w:szCs w:val="18"/>
              </w:rPr>
              <w:t xml:space="preserve"> number of Smarter Balanced Digital Library enhancements were deployed</w:t>
            </w:r>
            <w:r>
              <w:rPr>
                <w:rStyle w:val="A5"/>
                <w:rFonts w:cs="Arial"/>
                <w:i w:val="0"/>
                <w:sz w:val="18"/>
                <w:szCs w:val="18"/>
              </w:rPr>
              <w:t>:</w:t>
            </w:r>
          </w:p>
          <w:p w14:paraId="1BCE7760" w14:textId="77777777" w:rsidR="00C46B2E" w:rsidRPr="00AC4815" w:rsidRDefault="00C46B2E" w:rsidP="000A3682">
            <w:pPr>
              <w:pStyle w:val="ListParagraph"/>
              <w:numPr>
                <w:ilvl w:val="1"/>
                <w:numId w:val="21"/>
              </w:numPr>
              <w:spacing w:before="120" w:after="120"/>
              <w:rPr>
                <w:rStyle w:val="A5"/>
                <w:rFonts w:cs="Arial"/>
                <w:i w:val="0"/>
                <w:iCs w:val="0"/>
                <w:sz w:val="18"/>
                <w:szCs w:val="18"/>
              </w:rPr>
            </w:pPr>
            <w:r w:rsidRPr="00AC4815">
              <w:rPr>
                <w:rStyle w:val="A5"/>
                <w:rFonts w:cs="Arial"/>
                <w:i w:val="0"/>
                <w:sz w:val="18"/>
                <w:szCs w:val="18"/>
              </w:rPr>
              <w:t>A self-registration interface that allows LEA staff to create a Digital Library account without having to work directly through their LEA CAASPP coordinator</w:t>
            </w:r>
            <w:r>
              <w:rPr>
                <w:rStyle w:val="A5"/>
                <w:rFonts w:cs="Arial"/>
                <w:i w:val="0"/>
                <w:sz w:val="18"/>
                <w:szCs w:val="18"/>
              </w:rPr>
              <w:t>.</w:t>
            </w:r>
          </w:p>
          <w:p w14:paraId="5AC670D2" w14:textId="77777777" w:rsidR="00C46B2E" w:rsidRPr="00AC4815" w:rsidRDefault="00C46B2E" w:rsidP="000A3682">
            <w:pPr>
              <w:pStyle w:val="ListParagraph"/>
              <w:numPr>
                <w:ilvl w:val="1"/>
                <w:numId w:val="21"/>
              </w:numPr>
              <w:spacing w:before="120" w:after="120"/>
              <w:rPr>
                <w:rStyle w:val="A5"/>
                <w:rFonts w:cs="Arial"/>
                <w:i w:val="0"/>
                <w:iCs w:val="0"/>
                <w:sz w:val="18"/>
                <w:szCs w:val="18"/>
              </w:rPr>
            </w:pPr>
            <w:r w:rsidRPr="00AC4815">
              <w:rPr>
                <w:rStyle w:val="A5"/>
                <w:rFonts w:cs="Arial"/>
                <w:i w:val="0"/>
                <w:sz w:val="18"/>
                <w:szCs w:val="18"/>
              </w:rPr>
              <w:t>Improved search speed which allows users to locate Digital Library resources in a more efficient manner</w:t>
            </w:r>
          </w:p>
          <w:p w14:paraId="09E3050E" w14:textId="77777777" w:rsidR="00C46B2E" w:rsidRPr="00AC4815" w:rsidRDefault="00C46B2E" w:rsidP="000A3682">
            <w:pPr>
              <w:pStyle w:val="ListParagraph"/>
              <w:numPr>
                <w:ilvl w:val="0"/>
                <w:numId w:val="21"/>
              </w:numPr>
              <w:spacing w:before="120" w:after="120"/>
              <w:rPr>
                <w:rStyle w:val="A5"/>
                <w:rFonts w:cs="Arial"/>
                <w:i w:val="0"/>
                <w:iCs w:val="0"/>
                <w:sz w:val="18"/>
                <w:szCs w:val="18"/>
              </w:rPr>
            </w:pPr>
            <w:r>
              <w:rPr>
                <w:rStyle w:val="A5"/>
                <w:rFonts w:cs="Arial"/>
                <w:i w:val="0"/>
                <w:sz w:val="18"/>
                <w:szCs w:val="18"/>
              </w:rPr>
              <w:t>T</w:t>
            </w:r>
            <w:r w:rsidRPr="00AC4815">
              <w:rPr>
                <w:rStyle w:val="A5"/>
                <w:rFonts w:cs="Arial"/>
                <w:i w:val="0"/>
                <w:sz w:val="18"/>
                <w:szCs w:val="18"/>
              </w:rPr>
              <w:t xml:space="preserve">he CDE and Smarter Balanced launched resources intended to help educators understand how the interim assessments and Digital Library can be used together to support improved teaching and learning. </w:t>
            </w:r>
          </w:p>
          <w:p w14:paraId="6545989D" w14:textId="77777777" w:rsidR="00C46B2E" w:rsidRPr="00AC4815" w:rsidRDefault="00C46B2E" w:rsidP="000A3682">
            <w:pPr>
              <w:pStyle w:val="ListParagraph"/>
              <w:numPr>
                <w:ilvl w:val="1"/>
                <w:numId w:val="21"/>
              </w:numPr>
              <w:spacing w:before="120" w:after="120"/>
              <w:rPr>
                <w:rStyle w:val="A5"/>
                <w:rFonts w:cs="Arial"/>
                <w:i w:val="0"/>
                <w:iCs w:val="0"/>
                <w:sz w:val="18"/>
                <w:szCs w:val="18"/>
              </w:rPr>
            </w:pPr>
            <w:r w:rsidRPr="00AC4815">
              <w:rPr>
                <w:rStyle w:val="A5"/>
                <w:rFonts w:cs="Arial"/>
                <w:i w:val="0"/>
                <w:sz w:val="18"/>
                <w:szCs w:val="18"/>
              </w:rPr>
              <w:t xml:space="preserve">The CDE Instructional Learning Series provides Digital Library resources that can be used to help prepare students for the content assessed in specific IABs. </w:t>
            </w:r>
          </w:p>
          <w:p w14:paraId="39FCB785" w14:textId="77777777" w:rsidR="00C46B2E" w:rsidRPr="00A96193" w:rsidRDefault="00C46B2E" w:rsidP="000A3682">
            <w:pPr>
              <w:pStyle w:val="ListParagraph"/>
              <w:numPr>
                <w:ilvl w:val="1"/>
                <w:numId w:val="21"/>
              </w:numPr>
              <w:spacing w:before="120" w:after="120"/>
              <w:rPr>
                <w:rFonts w:cs="Arial"/>
                <w:sz w:val="18"/>
                <w:szCs w:val="18"/>
              </w:rPr>
            </w:pPr>
            <w:r w:rsidRPr="00AC4815">
              <w:rPr>
                <w:rStyle w:val="A5"/>
                <w:rFonts w:cs="Arial"/>
                <w:i w:val="0"/>
                <w:sz w:val="18"/>
                <w:szCs w:val="18"/>
              </w:rPr>
              <w:t>The Smarter Balanced Connections Playlists provide Digital Library resources based on student performance on IABs to help educators with next steps in instruction.</w:t>
            </w:r>
          </w:p>
        </w:tc>
      </w:tr>
      <w:tr w:rsidR="00C46B2E" w:rsidRPr="00C64273" w14:paraId="141FABD7" w14:textId="77777777" w:rsidTr="000A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7" w:type="dxa"/>
            <w:tcBorders>
              <w:top w:val="single" w:sz="4" w:space="0" w:color="auto"/>
              <w:left w:val="single" w:sz="4" w:space="0" w:color="auto"/>
              <w:bottom w:val="single" w:sz="4" w:space="0" w:color="auto"/>
              <w:right w:val="single" w:sz="4" w:space="0" w:color="auto"/>
            </w:tcBorders>
            <w:shd w:val="clear" w:color="auto" w:fill="C6D9F1"/>
            <w:vAlign w:val="center"/>
          </w:tcPr>
          <w:p w14:paraId="77A52207" w14:textId="77777777" w:rsidR="00C46B2E" w:rsidRDefault="00C46B2E" w:rsidP="000A3682">
            <w:pPr>
              <w:spacing w:before="120" w:after="120"/>
              <w:rPr>
                <w:rFonts w:cs="Arial"/>
                <w:b/>
                <w:sz w:val="20"/>
              </w:rPr>
            </w:pPr>
            <w:r w:rsidRPr="002A1253">
              <w:rPr>
                <w:rFonts w:cs="Arial"/>
                <w:b/>
                <w:sz w:val="20"/>
              </w:rPr>
              <w:t>Stakeholder Input</w:t>
            </w:r>
          </w:p>
          <w:p w14:paraId="15175AE9" w14:textId="77777777" w:rsidR="00C46B2E" w:rsidDel="00FA67B6"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60640)</w:t>
            </w:r>
          </w:p>
        </w:tc>
        <w:tc>
          <w:tcPr>
            <w:tcW w:w="585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C075391" w14:textId="77777777" w:rsidR="00C46B2E" w:rsidRPr="006B1B08" w:rsidRDefault="00C46B2E" w:rsidP="000A3682">
            <w:pPr>
              <w:numPr>
                <w:ilvl w:val="0"/>
                <w:numId w:val="5"/>
              </w:numPr>
              <w:spacing w:before="120" w:after="120"/>
              <w:ind w:left="252" w:hanging="252"/>
              <w:rPr>
                <w:rFonts w:cs="Arial"/>
                <w:sz w:val="18"/>
                <w:szCs w:val="18"/>
              </w:rPr>
            </w:pPr>
            <w:r w:rsidRPr="006B1B08">
              <w:rPr>
                <w:rFonts w:cs="Arial"/>
                <w:sz w:val="18"/>
                <w:szCs w:val="18"/>
              </w:rPr>
              <w:t xml:space="preserve">“Stakeholders,” as identified in </w:t>
            </w:r>
            <w:r w:rsidRPr="006B1B08">
              <w:rPr>
                <w:rFonts w:cs="Arial"/>
                <w:i/>
                <w:sz w:val="18"/>
                <w:szCs w:val="18"/>
              </w:rPr>
              <w:t>EC</w:t>
            </w:r>
            <w:r w:rsidRPr="006B1B08">
              <w:rPr>
                <w:rFonts w:cs="Arial"/>
                <w:sz w:val="18"/>
                <w:szCs w:val="18"/>
              </w:rPr>
              <w:t xml:space="preserve"> Section 60640(b) and (c), included</w:t>
            </w:r>
            <w:r>
              <w:rPr>
                <w:rFonts w:cs="Arial"/>
                <w:sz w:val="18"/>
                <w:szCs w:val="18"/>
              </w:rPr>
              <w:t>,</w:t>
            </w:r>
            <w:r w:rsidRPr="006B1B08">
              <w:rPr>
                <w:rFonts w:cs="Arial"/>
                <w:sz w:val="18"/>
                <w:szCs w:val="18"/>
              </w:rPr>
              <w:t xml:space="preserve"> but were not necessarily limited to, California teachers, individuals with expertise in assessing ELs and students with disabilities, parents/guardians, and measurement experts. Each of the meetings listed below included a mix of stakeholder groups. To ensure fairness, no meeting had more than 50 percent participation from a single represented group.</w:t>
            </w:r>
          </w:p>
          <w:p w14:paraId="001DC0FD" w14:textId="77777777" w:rsidR="00C46B2E" w:rsidRDefault="00C46B2E" w:rsidP="000A3682">
            <w:pPr>
              <w:numPr>
                <w:ilvl w:val="0"/>
                <w:numId w:val="5"/>
              </w:numPr>
              <w:spacing w:before="120" w:after="120"/>
              <w:ind w:left="252" w:hanging="252"/>
              <w:rPr>
                <w:rFonts w:cs="Arial"/>
                <w:sz w:val="18"/>
                <w:szCs w:val="18"/>
              </w:rPr>
            </w:pPr>
            <w:r w:rsidRPr="00CA34A2">
              <w:rPr>
                <w:rFonts w:cs="Arial"/>
                <w:sz w:val="18"/>
                <w:szCs w:val="18"/>
              </w:rPr>
              <w:t xml:space="preserve">Stakeholder meetings </w:t>
            </w:r>
            <w:r w:rsidRPr="004C2966">
              <w:rPr>
                <w:rFonts w:cs="Arial"/>
                <w:sz w:val="18"/>
                <w:szCs w:val="18"/>
              </w:rPr>
              <w:t>were</w:t>
            </w:r>
            <w:r w:rsidRPr="00CA34A2">
              <w:rPr>
                <w:rFonts w:cs="Arial"/>
                <w:sz w:val="18"/>
                <w:szCs w:val="18"/>
              </w:rPr>
              <w:t xml:space="preserve"> held as part of the 2013–14 contract for science</w:t>
            </w:r>
            <w:r>
              <w:rPr>
                <w:rFonts w:cs="Arial"/>
                <w:sz w:val="18"/>
                <w:szCs w:val="18"/>
              </w:rPr>
              <w:t>.</w:t>
            </w:r>
          </w:p>
          <w:p w14:paraId="10815F30" w14:textId="77777777" w:rsidR="00C46B2E" w:rsidRDefault="00C46B2E" w:rsidP="000A3682">
            <w:pPr>
              <w:numPr>
                <w:ilvl w:val="0"/>
                <w:numId w:val="5"/>
              </w:numPr>
              <w:spacing w:before="120" w:after="120"/>
              <w:ind w:left="248" w:right="-115" w:hanging="270"/>
              <w:rPr>
                <w:rFonts w:cs="Arial"/>
                <w:sz w:val="18"/>
                <w:szCs w:val="18"/>
              </w:rPr>
            </w:pPr>
            <w:r w:rsidRPr="00CE4936">
              <w:rPr>
                <w:rFonts w:cs="Arial"/>
                <w:sz w:val="18"/>
                <w:szCs w:val="18"/>
              </w:rPr>
              <w:t>In November 2014, the CDE</w:t>
            </w:r>
            <w:r>
              <w:rPr>
                <w:rFonts w:cs="Arial"/>
                <w:sz w:val="18"/>
                <w:szCs w:val="18"/>
              </w:rPr>
              <w:t xml:space="preserve"> and the testing contractor</w:t>
            </w:r>
            <w:r w:rsidRPr="00CE4936">
              <w:rPr>
                <w:rFonts w:cs="Arial"/>
                <w:sz w:val="18"/>
                <w:szCs w:val="18"/>
              </w:rPr>
              <w:t xml:space="preserve"> presented</w:t>
            </w:r>
            <w:r>
              <w:rPr>
                <w:rFonts w:cs="Arial"/>
                <w:sz w:val="18"/>
                <w:szCs w:val="18"/>
              </w:rPr>
              <w:t xml:space="preserve"> the SBE with</w:t>
            </w:r>
            <w:r w:rsidRPr="00CE4936">
              <w:rPr>
                <w:rFonts w:cs="Arial"/>
                <w:sz w:val="18"/>
                <w:szCs w:val="18"/>
              </w:rPr>
              <w:t xml:space="preserve"> the </w:t>
            </w:r>
            <w:r w:rsidRPr="00C02726">
              <w:rPr>
                <w:rFonts w:cs="Arial"/>
                <w:i/>
                <w:sz w:val="18"/>
                <w:szCs w:val="18"/>
              </w:rPr>
              <w:t>Initial Science Stakeholder Meetings and Online Survey Report</w:t>
            </w:r>
            <w:r>
              <w:rPr>
                <w:rFonts w:cs="Arial"/>
                <w:sz w:val="18"/>
                <w:szCs w:val="18"/>
              </w:rPr>
              <w:t xml:space="preserve">, posted on the SBE Web site at </w:t>
            </w:r>
            <w:hyperlink r:id="rId44" w:history="1">
              <w:r w:rsidRPr="002545B6">
                <w:rPr>
                  <w:rStyle w:val="Hyperlink"/>
                  <w:rFonts w:cs="Arial"/>
                  <w:sz w:val="18"/>
                  <w:szCs w:val="18"/>
                </w:rPr>
                <w:t>http://www.cde.ca.gov/be/ag/ag/yr14/documents/nov14item02a2.pdf</w:t>
              </w:r>
            </w:hyperlink>
            <w:r w:rsidRPr="00CE4936">
              <w:rPr>
                <w:rFonts w:cs="Arial"/>
                <w:sz w:val="18"/>
                <w:szCs w:val="18"/>
              </w:rPr>
              <w:t>.</w:t>
            </w:r>
          </w:p>
          <w:p w14:paraId="4E2D6D89" w14:textId="77777777" w:rsidR="00C46B2E" w:rsidRDefault="00C46B2E" w:rsidP="000A3682">
            <w:pPr>
              <w:pStyle w:val="ListParagraph"/>
              <w:numPr>
                <w:ilvl w:val="0"/>
                <w:numId w:val="5"/>
              </w:numPr>
              <w:spacing w:before="120" w:after="120"/>
              <w:ind w:left="248" w:hanging="248"/>
              <w:rPr>
                <w:rFonts w:cs="Arial"/>
                <w:sz w:val="18"/>
                <w:szCs w:val="18"/>
              </w:rPr>
            </w:pPr>
            <w:r w:rsidRPr="009352BC">
              <w:rPr>
                <w:rFonts w:cs="Arial"/>
                <w:sz w:val="18"/>
                <w:szCs w:val="18"/>
              </w:rPr>
              <w:t>In January 2015, the CDE, in collaboration with the current testing contractor, convened two</w:t>
            </w:r>
            <w:r>
              <w:rPr>
                <w:rFonts w:cs="Arial"/>
                <w:sz w:val="18"/>
                <w:szCs w:val="18"/>
              </w:rPr>
              <w:t xml:space="preserve"> </w:t>
            </w:r>
            <w:r w:rsidRPr="009352BC">
              <w:rPr>
                <w:rFonts w:cs="Arial"/>
                <w:sz w:val="18"/>
                <w:szCs w:val="18"/>
              </w:rPr>
              <w:t>two-day meetings</w:t>
            </w:r>
            <w:r>
              <w:rPr>
                <w:rFonts w:cs="Arial"/>
                <w:sz w:val="18"/>
                <w:szCs w:val="18"/>
              </w:rPr>
              <w:t>, t</w:t>
            </w:r>
            <w:r w:rsidRPr="009352BC">
              <w:rPr>
                <w:rFonts w:cs="Arial"/>
                <w:sz w:val="18"/>
                <w:szCs w:val="18"/>
              </w:rPr>
              <w:t>o obtain input from California primary language education stakeholders regarding the development of new primary language assessments aligned with CCSS</w:t>
            </w:r>
            <w:r>
              <w:rPr>
                <w:rFonts w:cs="Arial"/>
                <w:sz w:val="18"/>
                <w:szCs w:val="18"/>
              </w:rPr>
              <w:t>.</w:t>
            </w:r>
          </w:p>
          <w:p w14:paraId="3FCFF259" w14:textId="77777777" w:rsidR="00C46B2E" w:rsidRDefault="00C46B2E" w:rsidP="000A3682">
            <w:pPr>
              <w:numPr>
                <w:ilvl w:val="0"/>
                <w:numId w:val="5"/>
              </w:numPr>
              <w:spacing w:before="120" w:after="120"/>
              <w:ind w:left="248" w:hanging="270"/>
              <w:rPr>
                <w:rFonts w:cs="Arial"/>
                <w:sz w:val="18"/>
                <w:szCs w:val="18"/>
              </w:rPr>
            </w:pPr>
            <w:r>
              <w:rPr>
                <w:rFonts w:cs="Arial"/>
                <w:sz w:val="18"/>
                <w:szCs w:val="18"/>
              </w:rPr>
              <w:t>In March 2015, four outreach meetings were conducted to gather</w:t>
            </w:r>
            <w:r w:rsidRPr="002C7920">
              <w:rPr>
                <w:rFonts w:cs="Arial"/>
                <w:sz w:val="18"/>
                <w:szCs w:val="18"/>
              </w:rPr>
              <w:t xml:space="preserve"> input from stakeholders regarding </w:t>
            </w:r>
            <w:r>
              <w:rPr>
                <w:rFonts w:cs="Arial"/>
                <w:sz w:val="18"/>
                <w:szCs w:val="18"/>
              </w:rPr>
              <w:t xml:space="preserve">CAASPP expansion in </w:t>
            </w:r>
            <w:r w:rsidRPr="002C7920">
              <w:rPr>
                <w:rFonts w:cs="Arial"/>
                <w:sz w:val="18"/>
                <w:szCs w:val="18"/>
              </w:rPr>
              <w:t>history</w:t>
            </w:r>
            <w:r>
              <w:rPr>
                <w:rFonts w:cs="Arial"/>
                <w:sz w:val="18"/>
                <w:szCs w:val="18"/>
              </w:rPr>
              <w:t>–</w:t>
            </w:r>
            <w:r w:rsidRPr="002C7920">
              <w:rPr>
                <w:rFonts w:cs="Arial"/>
                <w:sz w:val="18"/>
                <w:szCs w:val="18"/>
              </w:rPr>
              <w:t>social science, mathematics</w:t>
            </w:r>
            <w:r>
              <w:rPr>
                <w:rFonts w:cs="Arial"/>
                <w:sz w:val="18"/>
                <w:szCs w:val="18"/>
              </w:rPr>
              <w:t>,</w:t>
            </w:r>
            <w:r w:rsidRPr="002C7920">
              <w:rPr>
                <w:rFonts w:cs="Arial"/>
                <w:sz w:val="18"/>
                <w:szCs w:val="18"/>
              </w:rPr>
              <w:t xml:space="preserve"> end-of-course, technology, and visual and perform</w:t>
            </w:r>
            <w:r>
              <w:rPr>
                <w:rFonts w:cs="Arial"/>
                <w:sz w:val="18"/>
                <w:szCs w:val="18"/>
              </w:rPr>
              <w:t xml:space="preserve">ing </w:t>
            </w:r>
            <w:r w:rsidRPr="002C7920">
              <w:rPr>
                <w:rFonts w:cs="Arial"/>
                <w:sz w:val="18"/>
                <w:szCs w:val="18"/>
              </w:rPr>
              <w:t>arts</w:t>
            </w:r>
            <w:r>
              <w:rPr>
                <w:rFonts w:cs="Arial"/>
                <w:sz w:val="18"/>
                <w:szCs w:val="18"/>
              </w:rPr>
              <w:t>.</w:t>
            </w:r>
          </w:p>
          <w:p w14:paraId="27911A9F" w14:textId="77777777" w:rsidR="00C46B2E" w:rsidRDefault="00C46B2E" w:rsidP="000A3682">
            <w:pPr>
              <w:numPr>
                <w:ilvl w:val="0"/>
                <w:numId w:val="5"/>
              </w:numPr>
              <w:spacing w:before="120" w:after="120"/>
              <w:ind w:left="248" w:hanging="270"/>
              <w:rPr>
                <w:rFonts w:cs="Arial"/>
                <w:sz w:val="18"/>
                <w:szCs w:val="18"/>
              </w:rPr>
            </w:pPr>
            <w:r>
              <w:rPr>
                <w:rFonts w:cs="Arial"/>
                <w:sz w:val="18"/>
                <w:szCs w:val="18"/>
              </w:rPr>
              <w:t xml:space="preserve">In April 2015, two one-day meetings were conducted with California stakeholders </w:t>
            </w:r>
            <w:r w:rsidRPr="007C328F">
              <w:rPr>
                <w:rFonts w:cs="Arial"/>
                <w:sz w:val="18"/>
                <w:szCs w:val="18"/>
              </w:rPr>
              <w:t>regarding the content of a proposed digital center for science assessments</w:t>
            </w:r>
            <w:r>
              <w:rPr>
                <w:rFonts w:cs="Arial"/>
                <w:sz w:val="18"/>
                <w:szCs w:val="18"/>
              </w:rPr>
              <w:t>.</w:t>
            </w:r>
          </w:p>
          <w:p w14:paraId="04B71AE2" w14:textId="77777777" w:rsidR="00C46B2E" w:rsidRDefault="00C46B2E" w:rsidP="000A3682">
            <w:pPr>
              <w:numPr>
                <w:ilvl w:val="0"/>
                <w:numId w:val="5"/>
              </w:numPr>
              <w:spacing w:before="120" w:after="120"/>
              <w:ind w:left="248" w:hanging="270"/>
              <w:rPr>
                <w:rFonts w:cs="Arial"/>
                <w:sz w:val="18"/>
                <w:szCs w:val="18"/>
              </w:rPr>
            </w:pPr>
            <w:r>
              <w:rPr>
                <w:rFonts w:cs="Arial"/>
                <w:sz w:val="18"/>
                <w:szCs w:val="18"/>
              </w:rPr>
              <w:t>In June 2015, two meetings were conducted with California stakeholders to gather feedback on the proposed blueprints for the CAAs.</w:t>
            </w:r>
          </w:p>
          <w:p w14:paraId="7F8F10C3" w14:textId="77777777" w:rsidR="00C46B2E" w:rsidRPr="00CA34A2" w:rsidRDefault="00C46B2E" w:rsidP="000A3682">
            <w:pPr>
              <w:numPr>
                <w:ilvl w:val="0"/>
                <w:numId w:val="5"/>
              </w:numPr>
              <w:spacing w:before="120" w:after="120"/>
              <w:ind w:left="248" w:hanging="270"/>
              <w:rPr>
                <w:rFonts w:cs="Arial"/>
                <w:sz w:val="18"/>
                <w:szCs w:val="18"/>
              </w:rPr>
            </w:pPr>
            <w:r>
              <w:rPr>
                <w:rFonts w:cs="Arial"/>
                <w:sz w:val="18"/>
                <w:szCs w:val="18"/>
              </w:rPr>
              <w:t>In November 2015, the CAASPP Stakeholder group reviewed proposed changes to the SSR.</w:t>
            </w:r>
          </w:p>
        </w:tc>
        <w:tc>
          <w:tcPr>
            <w:tcW w:w="612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E82FFAD" w14:textId="77777777" w:rsidR="00C46B2E" w:rsidRDefault="00C46B2E" w:rsidP="000A3682">
            <w:pPr>
              <w:pStyle w:val="ListParagraph"/>
              <w:numPr>
                <w:ilvl w:val="0"/>
                <w:numId w:val="5"/>
              </w:numPr>
              <w:spacing w:before="120" w:after="120"/>
              <w:rPr>
                <w:rFonts w:cs="Arial"/>
                <w:sz w:val="18"/>
                <w:szCs w:val="18"/>
              </w:rPr>
            </w:pPr>
            <w:r w:rsidRPr="00F13554">
              <w:rPr>
                <w:rFonts w:cs="Arial"/>
                <w:sz w:val="18"/>
                <w:szCs w:val="18"/>
              </w:rPr>
              <w:lastRenderedPageBreak/>
              <w:t>In January 2016, a</w:t>
            </w:r>
            <w:r>
              <w:rPr>
                <w:rFonts w:cs="Arial"/>
                <w:sz w:val="18"/>
                <w:szCs w:val="18"/>
              </w:rPr>
              <w:t>n in-person</w:t>
            </w:r>
            <w:r w:rsidRPr="00F13554">
              <w:rPr>
                <w:rFonts w:cs="Arial"/>
                <w:sz w:val="18"/>
                <w:szCs w:val="18"/>
              </w:rPr>
              <w:t xml:space="preserve"> CAASPP Stakeholder meeting was held in Sacramento. Topics included the proposed ESSA-required CA NGSS assessments and test development plan</w:t>
            </w:r>
            <w:r>
              <w:rPr>
                <w:rFonts w:cs="Arial"/>
                <w:sz w:val="18"/>
                <w:szCs w:val="18"/>
              </w:rPr>
              <w:t>, as well as the revisions to the SSR</w:t>
            </w:r>
            <w:r w:rsidRPr="00F13554">
              <w:rPr>
                <w:rFonts w:cs="Arial"/>
                <w:sz w:val="18"/>
                <w:szCs w:val="18"/>
              </w:rPr>
              <w:t>.</w:t>
            </w:r>
          </w:p>
          <w:p w14:paraId="72976CFB" w14:textId="77777777" w:rsidR="00C46B2E" w:rsidRDefault="00C46B2E" w:rsidP="000A3682">
            <w:pPr>
              <w:pStyle w:val="ListParagraph"/>
              <w:numPr>
                <w:ilvl w:val="0"/>
                <w:numId w:val="5"/>
              </w:numPr>
              <w:spacing w:before="120" w:after="120"/>
              <w:rPr>
                <w:rFonts w:cs="Arial"/>
                <w:sz w:val="18"/>
                <w:szCs w:val="18"/>
              </w:rPr>
            </w:pPr>
            <w:r>
              <w:rPr>
                <w:rFonts w:cs="Arial"/>
                <w:sz w:val="18"/>
                <w:szCs w:val="18"/>
              </w:rPr>
              <w:t>I</w:t>
            </w:r>
            <w:r w:rsidRPr="00F13554">
              <w:rPr>
                <w:rFonts w:cs="Arial"/>
                <w:sz w:val="18"/>
                <w:szCs w:val="18"/>
              </w:rPr>
              <w:t xml:space="preserve">n February 2016, ETS convened a meeting in Sacramento with 42 educators to solicit input on the development of performance level descriptors for the CAA. </w:t>
            </w:r>
            <w:r w:rsidRPr="00F13554">
              <w:rPr>
                <w:rFonts w:cs="Arial"/>
                <w:i/>
                <w:sz w:val="18"/>
                <w:szCs w:val="18"/>
              </w:rPr>
              <w:t>The California Alternate Assessment Content-specific Performance Level Descriptor Development Report</w:t>
            </w:r>
            <w:r w:rsidRPr="00F13554">
              <w:rPr>
                <w:rFonts w:cs="Arial"/>
                <w:sz w:val="18"/>
                <w:szCs w:val="18"/>
              </w:rPr>
              <w:t xml:space="preserve"> </w:t>
            </w:r>
            <w:r>
              <w:rPr>
                <w:rFonts w:cs="Arial"/>
                <w:sz w:val="18"/>
                <w:szCs w:val="18"/>
              </w:rPr>
              <w:t>details</w:t>
            </w:r>
            <w:r w:rsidRPr="00F13554">
              <w:rPr>
                <w:rFonts w:cs="Arial"/>
                <w:sz w:val="18"/>
                <w:szCs w:val="18"/>
              </w:rPr>
              <w:t xml:space="preserve"> the California educators involved, the purpose of this process, the specific activities undertaken, and results of this meeting </w:t>
            </w:r>
            <w:r>
              <w:rPr>
                <w:rFonts w:cs="Arial"/>
                <w:sz w:val="18"/>
                <w:szCs w:val="18"/>
              </w:rPr>
              <w:t>(see attachment to</w:t>
            </w:r>
            <w:r w:rsidRPr="00F13554">
              <w:rPr>
                <w:rFonts w:cs="Arial"/>
                <w:sz w:val="18"/>
                <w:szCs w:val="18"/>
              </w:rPr>
              <w:t xml:space="preserve"> Update </w:t>
            </w:r>
            <w:r>
              <w:rPr>
                <w:rFonts w:cs="Arial"/>
                <w:sz w:val="18"/>
                <w:szCs w:val="18"/>
              </w:rPr>
              <w:t xml:space="preserve">which is </w:t>
            </w:r>
            <w:r w:rsidRPr="00F13554">
              <w:rPr>
                <w:rFonts w:cs="Arial"/>
                <w:sz w:val="18"/>
                <w:szCs w:val="18"/>
              </w:rPr>
              <w:t xml:space="preserve">on the California </w:t>
            </w:r>
            <w:r>
              <w:rPr>
                <w:rFonts w:cs="Arial"/>
                <w:sz w:val="18"/>
                <w:szCs w:val="18"/>
              </w:rPr>
              <w:t xml:space="preserve">Alternate Assessments, posted </w:t>
            </w:r>
            <w:r w:rsidRPr="00F13554">
              <w:rPr>
                <w:rFonts w:cs="Arial"/>
                <w:sz w:val="18"/>
                <w:szCs w:val="18"/>
              </w:rPr>
              <w:t xml:space="preserve">on the </w:t>
            </w:r>
            <w:r>
              <w:rPr>
                <w:rFonts w:cs="Arial"/>
                <w:sz w:val="18"/>
                <w:szCs w:val="18"/>
              </w:rPr>
              <w:t>SBE</w:t>
            </w:r>
            <w:r w:rsidRPr="00F13554">
              <w:rPr>
                <w:rFonts w:cs="Arial"/>
                <w:sz w:val="18"/>
                <w:szCs w:val="18"/>
              </w:rPr>
              <w:t xml:space="preserve"> April 2016 Information Memoranda Web page at </w:t>
            </w:r>
            <w:hyperlink r:id="rId45" w:history="1">
              <w:r w:rsidRPr="00F13554">
                <w:rPr>
                  <w:rStyle w:val="Hyperlink"/>
                  <w:rFonts w:cs="Arial"/>
                  <w:sz w:val="18"/>
                  <w:szCs w:val="18"/>
                </w:rPr>
                <w:t>http://www.cde.ca.gov/be/pn/im/infomemoapr2016.asp</w:t>
              </w:r>
            </w:hyperlink>
            <w:r w:rsidRPr="00006D5A">
              <w:rPr>
                <w:rStyle w:val="Hyperlink"/>
                <w:rFonts w:cs="Arial"/>
                <w:color w:val="auto"/>
                <w:sz w:val="18"/>
                <w:szCs w:val="18"/>
                <w:u w:val="none"/>
              </w:rPr>
              <w:t>)</w:t>
            </w:r>
            <w:r w:rsidRPr="00F13554">
              <w:rPr>
                <w:rFonts w:cs="Arial"/>
                <w:sz w:val="18"/>
                <w:szCs w:val="18"/>
              </w:rPr>
              <w:t>.</w:t>
            </w:r>
          </w:p>
          <w:p w14:paraId="363CD0EC" w14:textId="77777777" w:rsidR="00C46B2E" w:rsidRDefault="00C46B2E" w:rsidP="000A3682">
            <w:pPr>
              <w:pStyle w:val="ListParagraph"/>
              <w:numPr>
                <w:ilvl w:val="0"/>
                <w:numId w:val="5"/>
              </w:numPr>
              <w:spacing w:before="120" w:after="120"/>
              <w:contextualSpacing/>
              <w:rPr>
                <w:rFonts w:eastAsia="Calibri" w:cs="Arial"/>
                <w:sz w:val="18"/>
                <w:szCs w:val="18"/>
              </w:rPr>
            </w:pPr>
            <w:r w:rsidRPr="00F13554">
              <w:rPr>
                <w:rFonts w:eastAsia="Calibri" w:cs="Arial"/>
                <w:sz w:val="18"/>
                <w:szCs w:val="18"/>
              </w:rPr>
              <w:lastRenderedPageBreak/>
              <w:t xml:space="preserve">The Curriculum and Instruction Steering Committee </w:t>
            </w:r>
            <w:r>
              <w:rPr>
                <w:rFonts w:eastAsia="Calibri" w:cs="Arial"/>
                <w:sz w:val="18"/>
                <w:szCs w:val="18"/>
              </w:rPr>
              <w:t xml:space="preserve">(CISC) </w:t>
            </w:r>
            <w:r w:rsidRPr="00F13554">
              <w:rPr>
                <w:rFonts w:eastAsia="Calibri" w:cs="Arial"/>
                <w:sz w:val="18"/>
                <w:szCs w:val="18"/>
              </w:rPr>
              <w:t xml:space="preserve">meets monthly to share information on educational activities, including the CA NGSS. The </w:t>
            </w:r>
            <w:r>
              <w:rPr>
                <w:rFonts w:eastAsia="Calibri" w:cs="Arial"/>
                <w:sz w:val="18"/>
                <w:szCs w:val="18"/>
              </w:rPr>
              <w:t>C</w:t>
            </w:r>
            <w:r w:rsidRPr="00F13554">
              <w:rPr>
                <w:rFonts w:eastAsia="Calibri" w:cs="Arial"/>
                <w:sz w:val="18"/>
                <w:szCs w:val="18"/>
              </w:rPr>
              <w:t>ISC Science Subcommittee also meets monthly to share information and resources specific to the CA NGSS implementation.</w:t>
            </w:r>
          </w:p>
          <w:p w14:paraId="5627AB66" w14:textId="77777777" w:rsidR="00C46B2E" w:rsidRDefault="00C46B2E" w:rsidP="000A3682">
            <w:pPr>
              <w:pStyle w:val="ListParagraph"/>
              <w:spacing w:before="120" w:after="120"/>
              <w:ind w:left="360"/>
              <w:contextualSpacing/>
              <w:rPr>
                <w:rFonts w:eastAsia="Calibri" w:cs="Arial"/>
                <w:sz w:val="18"/>
                <w:szCs w:val="18"/>
              </w:rPr>
            </w:pPr>
          </w:p>
          <w:p w14:paraId="4AE754B3" w14:textId="77777777" w:rsidR="00C46B2E" w:rsidRDefault="00C46B2E" w:rsidP="000A3682">
            <w:pPr>
              <w:pStyle w:val="ListParagraph"/>
              <w:numPr>
                <w:ilvl w:val="0"/>
                <w:numId w:val="5"/>
              </w:numPr>
              <w:spacing w:before="120" w:after="120"/>
              <w:contextualSpacing/>
              <w:rPr>
                <w:rFonts w:eastAsia="Calibri" w:cs="Arial"/>
                <w:sz w:val="18"/>
                <w:szCs w:val="18"/>
              </w:rPr>
            </w:pPr>
            <w:r w:rsidRPr="00F13554">
              <w:rPr>
                <w:rFonts w:eastAsia="Calibri" w:cs="Arial"/>
                <w:sz w:val="18"/>
                <w:szCs w:val="18"/>
              </w:rPr>
              <w:t>The Early Implementer Initiative, facilitated by the K–12 Alliance/WestEd promotes communications about best practices and resources for implementation of the CA NGSS.</w:t>
            </w:r>
          </w:p>
          <w:p w14:paraId="27A93F67" w14:textId="77777777" w:rsidR="00C46B2E" w:rsidRDefault="00C46B2E" w:rsidP="000A3682">
            <w:pPr>
              <w:pStyle w:val="ListParagraph"/>
              <w:spacing w:before="120" w:after="120"/>
              <w:ind w:left="360"/>
              <w:contextualSpacing/>
              <w:rPr>
                <w:rFonts w:eastAsia="Calibri" w:cs="Arial"/>
                <w:sz w:val="18"/>
                <w:szCs w:val="18"/>
              </w:rPr>
            </w:pPr>
          </w:p>
          <w:p w14:paraId="22F22D3C" w14:textId="77777777" w:rsidR="00C46B2E" w:rsidRDefault="00C46B2E" w:rsidP="000A3682">
            <w:pPr>
              <w:pStyle w:val="ListParagraph"/>
              <w:numPr>
                <w:ilvl w:val="0"/>
                <w:numId w:val="5"/>
              </w:numPr>
              <w:spacing w:before="120" w:after="120"/>
              <w:contextualSpacing/>
              <w:rPr>
                <w:rFonts w:eastAsia="Calibri" w:cs="Arial"/>
                <w:sz w:val="18"/>
                <w:szCs w:val="18"/>
              </w:rPr>
            </w:pPr>
            <w:r>
              <w:rPr>
                <w:rFonts w:eastAsia="Calibri" w:cs="Arial"/>
                <w:sz w:val="18"/>
                <w:szCs w:val="18"/>
              </w:rPr>
              <w:t>T</w:t>
            </w:r>
            <w:r w:rsidRPr="00F13554">
              <w:rPr>
                <w:rFonts w:eastAsia="Calibri" w:cs="Arial"/>
                <w:sz w:val="18"/>
                <w:szCs w:val="18"/>
              </w:rPr>
              <w:t>he Standards Implementation Steering Committee (SISC) works to facilitate collaboration and align messages; member organizations include the SBE, CCSESA, and CDE.</w:t>
            </w:r>
          </w:p>
          <w:p w14:paraId="3FBE0FF8" w14:textId="77777777" w:rsidR="00C46B2E" w:rsidRDefault="00C46B2E" w:rsidP="000A3682">
            <w:pPr>
              <w:pStyle w:val="ListParagraph"/>
              <w:spacing w:before="120" w:after="120"/>
              <w:ind w:left="360"/>
              <w:contextualSpacing/>
              <w:rPr>
                <w:rFonts w:eastAsia="Calibri" w:cs="Arial"/>
                <w:sz w:val="18"/>
                <w:szCs w:val="18"/>
              </w:rPr>
            </w:pPr>
          </w:p>
          <w:p w14:paraId="79776745" w14:textId="77777777" w:rsidR="00C46B2E" w:rsidRDefault="00C46B2E" w:rsidP="000A3682">
            <w:pPr>
              <w:pStyle w:val="ListParagraph"/>
              <w:numPr>
                <w:ilvl w:val="0"/>
                <w:numId w:val="5"/>
              </w:numPr>
              <w:spacing w:before="120" w:after="120"/>
              <w:contextualSpacing/>
              <w:rPr>
                <w:rFonts w:eastAsia="Calibri" w:cs="Arial"/>
                <w:sz w:val="18"/>
                <w:szCs w:val="18"/>
              </w:rPr>
            </w:pPr>
            <w:r w:rsidRPr="00F13554">
              <w:rPr>
                <w:rFonts w:eastAsia="Calibri" w:cs="Arial"/>
                <w:sz w:val="18"/>
                <w:szCs w:val="18"/>
              </w:rPr>
              <w:t>The Science Collaboration Committee establishes Communities of Practice related to science education and assists stakeholders with implementation of CA NGSS. Members include: K</w:t>
            </w:r>
            <w:r>
              <w:rPr>
                <w:rFonts w:eastAsia="Calibri" w:cs="Arial"/>
                <w:sz w:val="18"/>
                <w:szCs w:val="18"/>
              </w:rPr>
              <w:t>–</w:t>
            </w:r>
            <w:r w:rsidRPr="00F13554">
              <w:rPr>
                <w:rFonts w:eastAsia="Calibri" w:cs="Arial"/>
                <w:sz w:val="18"/>
                <w:szCs w:val="18"/>
              </w:rPr>
              <w:t xml:space="preserve">12 teachers, school and district administrators, science education leaders, subject matter experts, </w:t>
            </w:r>
            <w:r>
              <w:rPr>
                <w:rFonts w:eastAsia="Calibri" w:cs="Arial"/>
                <w:sz w:val="18"/>
                <w:szCs w:val="18"/>
              </w:rPr>
              <w:t xml:space="preserve">and </w:t>
            </w:r>
            <w:r w:rsidRPr="00F13554">
              <w:rPr>
                <w:rFonts w:eastAsia="Calibri" w:cs="Arial"/>
                <w:sz w:val="18"/>
                <w:szCs w:val="18"/>
              </w:rPr>
              <w:t>state and county employees</w:t>
            </w:r>
            <w:r>
              <w:rPr>
                <w:rFonts w:eastAsia="Calibri" w:cs="Arial"/>
                <w:sz w:val="18"/>
                <w:szCs w:val="18"/>
              </w:rPr>
              <w:t>.</w:t>
            </w:r>
          </w:p>
          <w:p w14:paraId="74C1BB86" w14:textId="77777777" w:rsidR="00C46B2E" w:rsidRDefault="00C46B2E" w:rsidP="000A3682">
            <w:pPr>
              <w:pStyle w:val="ListParagraph"/>
              <w:spacing w:before="120" w:after="120"/>
              <w:ind w:left="360"/>
              <w:contextualSpacing/>
              <w:rPr>
                <w:rFonts w:eastAsia="Calibri" w:cs="Arial"/>
                <w:sz w:val="18"/>
                <w:szCs w:val="18"/>
              </w:rPr>
            </w:pPr>
          </w:p>
          <w:p w14:paraId="4743EE74" w14:textId="77777777" w:rsidR="00C46B2E" w:rsidRPr="009352BC" w:rsidRDefault="00C46B2E" w:rsidP="000A3682">
            <w:pPr>
              <w:pStyle w:val="ListParagraph"/>
              <w:numPr>
                <w:ilvl w:val="0"/>
                <w:numId w:val="33"/>
              </w:numPr>
              <w:spacing w:before="120" w:after="120"/>
              <w:contextualSpacing/>
              <w:rPr>
                <w:rFonts w:cs="Arial"/>
                <w:sz w:val="18"/>
                <w:szCs w:val="18"/>
              </w:rPr>
            </w:pPr>
            <w:r w:rsidRPr="00E71513">
              <w:rPr>
                <w:rFonts w:eastAsia="Calibri" w:cs="Arial"/>
                <w:sz w:val="18"/>
                <w:szCs w:val="18"/>
              </w:rPr>
              <w:t xml:space="preserve">The </w:t>
            </w:r>
            <w:r w:rsidRPr="00E71513">
              <w:rPr>
                <w:rFonts w:cs="Arial"/>
                <w:sz w:val="18"/>
                <w:szCs w:val="18"/>
              </w:rPr>
              <w:t>CA</w:t>
            </w:r>
            <w:r>
              <w:rPr>
                <w:rFonts w:cs="Arial"/>
                <w:sz w:val="18"/>
                <w:szCs w:val="18"/>
              </w:rPr>
              <w:t xml:space="preserve"> </w:t>
            </w:r>
            <w:r w:rsidRPr="00E71513">
              <w:rPr>
                <w:rFonts w:cs="Arial"/>
                <w:sz w:val="18"/>
                <w:szCs w:val="18"/>
              </w:rPr>
              <w:t>NGSS Steering Committee Member Organizations include</w:t>
            </w:r>
            <w:r>
              <w:rPr>
                <w:rFonts w:cs="Arial"/>
                <w:sz w:val="18"/>
                <w:szCs w:val="18"/>
              </w:rPr>
              <w:t>:</w:t>
            </w:r>
            <w:r w:rsidRPr="00E71513">
              <w:rPr>
                <w:rFonts w:cs="Arial"/>
                <w:sz w:val="18"/>
                <w:szCs w:val="18"/>
              </w:rPr>
              <w:t xml:space="preserve"> the Association of California School Administrators, the California Community Colleges Chancellor's Office, CCSESA, the CDE, the SBE, the California Science Project, the California Science Teachers Association, the California State University, the California Teachers Association, Californians Dedicated to Education Foundation, Chevron, Children Now, the K–12 Alliance /WestEd, Lawrence Hall of Science, </w:t>
            </w:r>
            <w:r>
              <w:rPr>
                <w:rFonts w:cs="Arial"/>
                <w:sz w:val="18"/>
                <w:szCs w:val="18"/>
              </w:rPr>
              <w:t>SJCOE</w:t>
            </w:r>
            <w:r w:rsidRPr="00E71513">
              <w:rPr>
                <w:rFonts w:cs="Arial"/>
                <w:sz w:val="18"/>
                <w:szCs w:val="18"/>
              </w:rPr>
              <w:t>, S.D. Bechtel, Jr. Foundation, and the University of California Office of the President.</w:t>
            </w:r>
          </w:p>
        </w:tc>
      </w:tr>
      <w:tr w:rsidR="00C46B2E" w:rsidRPr="00C64273" w14:paraId="49B7CB1D" w14:textId="77777777" w:rsidTr="000A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97" w:type="dxa"/>
            <w:shd w:val="clear" w:color="auto" w:fill="C6D9F1"/>
            <w:vAlign w:val="center"/>
          </w:tcPr>
          <w:p w14:paraId="1E100676" w14:textId="77777777" w:rsidR="00C46B2E" w:rsidRDefault="00C46B2E" w:rsidP="000A3682">
            <w:pPr>
              <w:spacing w:before="120" w:after="120"/>
              <w:rPr>
                <w:rFonts w:cs="Arial"/>
                <w:b/>
                <w:sz w:val="20"/>
              </w:rPr>
            </w:pPr>
            <w:r>
              <w:rPr>
                <w:rFonts w:cs="Arial"/>
                <w:b/>
                <w:sz w:val="20"/>
              </w:rPr>
              <w:lastRenderedPageBreak/>
              <w:t xml:space="preserve">Science Assessments </w:t>
            </w:r>
          </w:p>
          <w:p w14:paraId="67D4AEE9" w14:textId="77777777" w:rsidR="00C46B2E" w:rsidRPr="006D2073"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Section 606409[b][2])</w:t>
            </w:r>
          </w:p>
        </w:tc>
        <w:tc>
          <w:tcPr>
            <w:tcW w:w="5850" w:type="dxa"/>
            <w:shd w:val="clear" w:color="auto" w:fill="auto"/>
            <w:tcMar>
              <w:top w:w="29" w:type="dxa"/>
              <w:left w:w="115" w:type="dxa"/>
              <w:bottom w:w="29" w:type="dxa"/>
              <w:right w:w="115" w:type="dxa"/>
            </w:tcMar>
          </w:tcPr>
          <w:p w14:paraId="65471CE0" w14:textId="77777777" w:rsidR="00C46B2E" w:rsidRDefault="00C46B2E" w:rsidP="000A3682">
            <w:pPr>
              <w:pStyle w:val="ListParagraph"/>
              <w:numPr>
                <w:ilvl w:val="0"/>
                <w:numId w:val="5"/>
              </w:numPr>
              <w:spacing w:before="120" w:after="120"/>
              <w:ind w:left="262" w:hanging="270"/>
              <w:rPr>
                <w:rFonts w:cs="Arial"/>
                <w:sz w:val="18"/>
                <w:szCs w:val="18"/>
              </w:rPr>
            </w:pPr>
            <w:r w:rsidRPr="007E0646">
              <w:rPr>
                <w:rFonts w:cs="Arial"/>
                <w:sz w:val="18"/>
                <w:szCs w:val="18"/>
              </w:rPr>
              <w:t>The 2014 Budget Act</w:t>
            </w:r>
            <w:r>
              <w:rPr>
                <w:rFonts w:cs="Arial"/>
                <w:sz w:val="18"/>
                <w:szCs w:val="18"/>
              </w:rPr>
              <w:t xml:space="preserve"> </w:t>
            </w:r>
            <w:r w:rsidRPr="007E0646">
              <w:rPr>
                <w:rFonts w:cs="Arial"/>
                <w:sz w:val="18"/>
                <w:szCs w:val="18"/>
              </w:rPr>
              <w:t>included $4 million for the development of NGSS-aligned science assessments, including an alternate assessment.</w:t>
            </w:r>
          </w:p>
          <w:p w14:paraId="742B9D5B" w14:textId="77777777" w:rsidR="00C46B2E" w:rsidRPr="007E0646" w:rsidRDefault="00C46B2E" w:rsidP="000A3682">
            <w:pPr>
              <w:numPr>
                <w:ilvl w:val="0"/>
                <w:numId w:val="5"/>
              </w:numPr>
              <w:spacing w:before="120" w:after="120"/>
              <w:ind w:left="252" w:hanging="252"/>
              <w:rPr>
                <w:rFonts w:cs="Arial"/>
                <w:sz w:val="18"/>
                <w:szCs w:val="18"/>
              </w:rPr>
            </w:pPr>
            <w:r>
              <w:rPr>
                <w:rFonts w:cs="Arial"/>
                <w:sz w:val="18"/>
                <w:szCs w:val="18"/>
              </w:rPr>
              <w:t>CSTs, CMAs, and CAPA for s</w:t>
            </w:r>
            <w:r w:rsidRPr="00CA34A2">
              <w:rPr>
                <w:rFonts w:cs="Arial"/>
                <w:sz w:val="18"/>
                <w:szCs w:val="18"/>
              </w:rPr>
              <w:t xml:space="preserve">cience </w:t>
            </w:r>
            <w:r w:rsidRPr="007E0646">
              <w:rPr>
                <w:rFonts w:cs="Arial"/>
                <w:sz w:val="18"/>
                <w:szCs w:val="18"/>
              </w:rPr>
              <w:t>were</w:t>
            </w:r>
            <w:r w:rsidRPr="00CA34A2">
              <w:rPr>
                <w:rFonts w:cs="Arial"/>
                <w:sz w:val="18"/>
                <w:szCs w:val="18"/>
              </w:rPr>
              <w:t xml:space="preserve"> administered to all students in grades </w:t>
            </w:r>
            <w:r>
              <w:rPr>
                <w:rFonts w:cs="Arial"/>
                <w:sz w:val="18"/>
                <w:szCs w:val="18"/>
              </w:rPr>
              <w:t>five, eight, and ten</w:t>
            </w:r>
            <w:r w:rsidRPr="00CA34A2">
              <w:rPr>
                <w:rFonts w:cs="Arial"/>
                <w:sz w:val="18"/>
                <w:szCs w:val="18"/>
              </w:rPr>
              <w:t xml:space="preserve"> </w:t>
            </w:r>
            <w:r w:rsidRPr="007E0646">
              <w:rPr>
                <w:rFonts w:cs="Arial"/>
                <w:sz w:val="18"/>
                <w:szCs w:val="18"/>
              </w:rPr>
              <w:t xml:space="preserve">during the 2013–14 test administration. </w:t>
            </w:r>
          </w:p>
          <w:p w14:paraId="4840A00C" w14:textId="77777777" w:rsidR="00C46B2E" w:rsidRDefault="00C46B2E" w:rsidP="000A3682">
            <w:pPr>
              <w:numPr>
                <w:ilvl w:val="0"/>
                <w:numId w:val="5"/>
              </w:numPr>
              <w:spacing w:before="120" w:after="120"/>
              <w:ind w:left="252" w:hanging="252"/>
              <w:rPr>
                <w:rFonts w:cs="Arial"/>
                <w:sz w:val="18"/>
                <w:szCs w:val="18"/>
              </w:rPr>
            </w:pPr>
            <w:r w:rsidRPr="007E0646">
              <w:rPr>
                <w:rFonts w:cs="Arial"/>
                <w:sz w:val="18"/>
                <w:szCs w:val="18"/>
              </w:rPr>
              <w:t>The development of successor science assessments, including alternate assessment</w:t>
            </w:r>
            <w:r>
              <w:rPr>
                <w:rFonts w:cs="Arial"/>
                <w:sz w:val="18"/>
                <w:szCs w:val="18"/>
              </w:rPr>
              <w:t>s, was included as part of the Scope of W</w:t>
            </w:r>
            <w:r w:rsidRPr="007E0646">
              <w:rPr>
                <w:rFonts w:cs="Arial"/>
                <w:sz w:val="18"/>
                <w:szCs w:val="18"/>
              </w:rPr>
              <w:t>ork for the RFS contract to b</w:t>
            </w:r>
            <w:r>
              <w:rPr>
                <w:rFonts w:cs="Arial"/>
                <w:sz w:val="18"/>
                <w:szCs w:val="18"/>
              </w:rPr>
              <w:t xml:space="preserve">egin in July 2015, contingent </w:t>
            </w:r>
            <w:r w:rsidRPr="007E0646">
              <w:rPr>
                <w:rFonts w:cs="Arial"/>
                <w:sz w:val="18"/>
                <w:szCs w:val="18"/>
              </w:rPr>
              <w:t>on SBE approval of a test development plan.</w:t>
            </w:r>
          </w:p>
          <w:p w14:paraId="7248CD17" w14:textId="77777777" w:rsidR="00C46B2E" w:rsidRDefault="00C46B2E" w:rsidP="000A3682">
            <w:pPr>
              <w:numPr>
                <w:ilvl w:val="0"/>
                <w:numId w:val="5"/>
              </w:numPr>
              <w:spacing w:before="120" w:after="120"/>
              <w:ind w:left="252" w:hanging="252"/>
              <w:rPr>
                <w:rFonts w:cs="Arial"/>
                <w:sz w:val="18"/>
                <w:szCs w:val="18"/>
              </w:rPr>
            </w:pPr>
            <w:r>
              <w:rPr>
                <w:rFonts w:cs="Arial"/>
                <w:sz w:val="18"/>
                <w:szCs w:val="18"/>
              </w:rPr>
              <w:t>T</w:t>
            </w:r>
            <w:r w:rsidRPr="004F4CBC">
              <w:rPr>
                <w:rFonts w:cs="Arial"/>
                <w:sz w:val="18"/>
                <w:szCs w:val="18"/>
              </w:rPr>
              <w:t xml:space="preserve">he CDE participated as a member of the Council of Chief State School Officers Science Assessment Item Collaborative (SAIC)—a collaborative of states established to develop high-quality summative science test items aligned </w:t>
            </w:r>
            <w:r>
              <w:rPr>
                <w:rFonts w:cs="Arial"/>
                <w:sz w:val="18"/>
                <w:szCs w:val="18"/>
              </w:rPr>
              <w:t>with</w:t>
            </w:r>
            <w:r w:rsidRPr="004F4CBC">
              <w:rPr>
                <w:rFonts w:cs="Arial"/>
                <w:sz w:val="18"/>
                <w:szCs w:val="18"/>
              </w:rPr>
              <w:t xml:space="preserve"> the NGSS that could be used by member states as they build state science assessments. The SAIC project ran from fall of 2014 through fall of 2015 and focused on the development of the </w:t>
            </w:r>
            <w:r w:rsidRPr="007F27A0">
              <w:rPr>
                <w:rFonts w:cs="Arial"/>
                <w:i/>
                <w:sz w:val="18"/>
                <w:szCs w:val="18"/>
              </w:rPr>
              <w:t>SAIC Assessment Framework</w:t>
            </w:r>
            <w:r w:rsidRPr="004F4CBC">
              <w:rPr>
                <w:rFonts w:cs="Arial"/>
                <w:sz w:val="18"/>
                <w:szCs w:val="18"/>
              </w:rPr>
              <w:t xml:space="preserve"> </w:t>
            </w:r>
            <w:r w:rsidRPr="007F27A0">
              <w:rPr>
                <w:rFonts w:cs="Arial"/>
                <w:i/>
                <w:sz w:val="18"/>
                <w:szCs w:val="18"/>
              </w:rPr>
              <w:t>(Framework)</w:t>
            </w:r>
            <w:r w:rsidRPr="004F4CBC">
              <w:rPr>
                <w:rFonts w:cs="Arial"/>
                <w:sz w:val="18"/>
                <w:szCs w:val="18"/>
              </w:rPr>
              <w:t xml:space="preserve">, </w:t>
            </w:r>
            <w:r w:rsidRPr="007F27A0">
              <w:rPr>
                <w:rFonts w:cs="Arial"/>
                <w:i/>
                <w:sz w:val="18"/>
                <w:szCs w:val="18"/>
              </w:rPr>
              <w:t>Item Specifications Guidelines</w:t>
            </w:r>
            <w:r w:rsidRPr="004F4CBC">
              <w:rPr>
                <w:rFonts w:cs="Arial"/>
                <w:sz w:val="18"/>
                <w:szCs w:val="18"/>
              </w:rPr>
              <w:t xml:space="preserve">, and science item prototypes. The </w:t>
            </w:r>
            <w:r w:rsidRPr="007F27A0">
              <w:rPr>
                <w:rFonts w:cs="Arial"/>
                <w:i/>
                <w:sz w:val="18"/>
                <w:szCs w:val="18"/>
              </w:rPr>
              <w:t>Framework</w:t>
            </w:r>
            <w:r w:rsidRPr="004F4CBC">
              <w:rPr>
                <w:rFonts w:cs="Arial"/>
                <w:sz w:val="18"/>
                <w:szCs w:val="18"/>
              </w:rPr>
              <w:t xml:space="preserve"> and the </w:t>
            </w:r>
            <w:r w:rsidRPr="007F27A0">
              <w:rPr>
                <w:rFonts w:cs="Arial"/>
                <w:i/>
                <w:sz w:val="18"/>
                <w:szCs w:val="18"/>
              </w:rPr>
              <w:t xml:space="preserve">Item Specifications Guidelines </w:t>
            </w:r>
            <w:r w:rsidRPr="004F4CBC">
              <w:rPr>
                <w:rFonts w:cs="Arial"/>
                <w:sz w:val="18"/>
                <w:szCs w:val="18"/>
              </w:rPr>
              <w:t xml:space="preserve">were released in the summer of 2015, and item prototypes were released in the fall of 2015.  </w:t>
            </w:r>
          </w:p>
          <w:p w14:paraId="6DF0D84C" w14:textId="77777777" w:rsidR="00C46B2E" w:rsidRPr="007E0646" w:rsidRDefault="00C46B2E" w:rsidP="000A3682">
            <w:pPr>
              <w:pStyle w:val="ListParagraph"/>
              <w:numPr>
                <w:ilvl w:val="0"/>
                <w:numId w:val="5"/>
              </w:numPr>
              <w:spacing w:before="120" w:after="120"/>
              <w:ind w:left="262" w:hanging="270"/>
              <w:rPr>
                <w:rFonts w:cs="Arial"/>
                <w:sz w:val="18"/>
                <w:szCs w:val="18"/>
              </w:rPr>
            </w:pPr>
            <w:r w:rsidRPr="00E90230">
              <w:rPr>
                <w:rFonts w:cs="Arial"/>
                <w:sz w:val="18"/>
                <w:szCs w:val="18"/>
              </w:rPr>
              <w:t>In 2015, the CDE and Stanford’s NGSS Assessment Project (SNAP) were actively engaged in discussions regarding collaborative opportunities on CA NGSS assessment development and implementation. SNAP received a grant from the S. D. Bechtel Jr. Foundation to develop a two-year project designed to assist states, including California, in building a coherent system of formative and summative science assessments aligned with the CA NGSS for grades three through five and six through eight.</w:t>
            </w:r>
          </w:p>
        </w:tc>
        <w:tc>
          <w:tcPr>
            <w:tcW w:w="6120" w:type="dxa"/>
            <w:shd w:val="clear" w:color="auto" w:fill="auto"/>
            <w:tcMar>
              <w:top w:w="29" w:type="dxa"/>
              <w:left w:w="115" w:type="dxa"/>
              <w:bottom w:w="29" w:type="dxa"/>
              <w:right w:w="115" w:type="dxa"/>
            </w:tcMar>
          </w:tcPr>
          <w:p w14:paraId="4BA6E002" w14:textId="77777777" w:rsidR="00C46B2E" w:rsidRDefault="00C46B2E" w:rsidP="000A3682">
            <w:pPr>
              <w:pStyle w:val="ListParagraph"/>
              <w:numPr>
                <w:ilvl w:val="0"/>
                <w:numId w:val="5"/>
              </w:numPr>
              <w:spacing w:before="120" w:after="120"/>
              <w:rPr>
                <w:rFonts w:cs="Arial"/>
                <w:sz w:val="18"/>
                <w:szCs w:val="18"/>
                <w:lang w:eastAsia="x-none"/>
              </w:rPr>
            </w:pPr>
            <w:r w:rsidRPr="00F13554">
              <w:rPr>
                <w:rFonts w:cs="Arial"/>
                <w:sz w:val="18"/>
                <w:szCs w:val="18"/>
              </w:rPr>
              <w:t xml:space="preserve">In March 2016, the SBE approved the grades for which the California Science Test (CAST)—the summative assessment aligned with the </w:t>
            </w:r>
            <w:r w:rsidRPr="00F13554">
              <w:rPr>
                <w:rFonts w:cs="Arial"/>
                <w:sz w:val="18"/>
                <w:szCs w:val="18"/>
                <w:lang w:eastAsia="x-none"/>
              </w:rPr>
              <w:t>CA NGSS-—will be administered: grades five</w:t>
            </w:r>
            <w:r>
              <w:rPr>
                <w:rFonts w:cs="Arial"/>
                <w:sz w:val="18"/>
                <w:szCs w:val="18"/>
                <w:lang w:eastAsia="x-none"/>
              </w:rPr>
              <w:t>,</w:t>
            </w:r>
            <w:r w:rsidRPr="00F13554">
              <w:rPr>
                <w:rFonts w:cs="Arial"/>
                <w:sz w:val="18"/>
                <w:szCs w:val="18"/>
                <w:lang w:eastAsia="x-none"/>
              </w:rPr>
              <w:t xml:space="preserve"> eight</w:t>
            </w:r>
            <w:r>
              <w:rPr>
                <w:rFonts w:cs="Arial"/>
                <w:sz w:val="18"/>
                <w:szCs w:val="18"/>
                <w:lang w:eastAsia="x-none"/>
              </w:rPr>
              <w:t>,</w:t>
            </w:r>
            <w:r w:rsidRPr="00F13554">
              <w:rPr>
                <w:rFonts w:cs="Arial"/>
                <w:sz w:val="18"/>
                <w:szCs w:val="18"/>
                <w:lang w:eastAsia="x-none"/>
              </w:rPr>
              <w:t xml:space="preserve"> and</w:t>
            </w:r>
            <w:r>
              <w:rPr>
                <w:rFonts w:cs="Arial"/>
                <w:sz w:val="18"/>
                <w:szCs w:val="18"/>
                <w:lang w:eastAsia="x-none"/>
              </w:rPr>
              <w:t xml:space="preserve"> one assigned grade in</w:t>
            </w:r>
            <w:r w:rsidRPr="00F13554">
              <w:rPr>
                <w:rFonts w:cs="Arial"/>
                <w:sz w:val="18"/>
                <w:szCs w:val="18"/>
                <w:lang w:eastAsia="x-none"/>
              </w:rPr>
              <w:t xml:space="preserve"> high school. In addition, the SBE approved the test design for the assessment. </w:t>
            </w:r>
          </w:p>
          <w:p w14:paraId="5BEC8511" w14:textId="77777777" w:rsidR="00C46B2E" w:rsidRDefault="00C46B2E" w:rsidP="000A3682">
            <w:pPr>
              <w:pStyle w:val="ListParagraph"/>
              <w:numPr>
                <w:ilvl w:val="0"/>
                <w:numId w:val="5"/>
              </w:numPr>
              <w:spacing w:before="120" w:after="120"/>
              <w:rPr>
                <w:rFonts w:cs="Arial"/>
                <w:sz w:val="18"/>
                <w:szCs w:val="18"/>
              </w:rPr>
            </w:pPr>
            <w:r w:rsidRPr="00F13554">
              <w:rPr>
                <w:rFonts w:cs="Arial"/>
                <w:sz w:val="18"/>
                <w:szCs w:val="18"/>
                <w:lang w:eastAsia="x-none"/>
              </w:rPr>
              <w:t xml:space="preserve">In May 2016,  the SBE approved </w:t>
            </w:r>
            <w:r w:rsidRPr="00F13554">
              <w:rPr>
                <w:rFonts w:cs="Arial"/>
                <w:sz w:val="18"/>
                <w:szCs w:val="18"/>
              </w:rPr>
              <w:t xml:space="preserve">the elimination of assessments based on the 1998 Science Content Standards assessments which includes the CSTs, </w:t>
            </w:r>
            <w:r>
              <w:rPr>
                <w:rFonts w:cs="Arial"/>
                <w:sz w:val="18"/>
                <w:szCs w:val="18"/>
              </w:rPr>
              <w:t>C</w:t>
            </w:r>
            <w:r w:rsidRPr="00F13554">
              <w:rPr>
                <w:rFonts w:cs="Arial"/>
                <w:sz w:val="18"/>
                <w:szCs w:val="18"/>
              </w:rPr>
              <w:t>MA, and CAPA and delegated authority to the SBE President, in consultation with the SSPI, to submit a letter to the</w:t>
            </w:r>
            <w:r>
              <w:rPr>
                <w:rFonts w:cs="Arial"/>
                <w:sz w:val="18"/>
                <w:szCs w:val="18"/>
              </w:rPr>
              <w:t xml:space="preserve"> E</w:t>
            </w:r>
            <w:r w:rsidRPr="00F13554">
              <w:rPr>
                <w:rFonts w:cs="Arial"/>
                <w:sz w:val="18"/>
                <w:szCs w:val="18"/>
              </w:rPr>
              <w:t>D requesting federal waiver authority to not double test or report individual student scores for the new CA NGSS summative assessments while conducting pilot testing and field testing (as consistent with previous authority granted to California when implementing the new ELA and mathematics assessments). The CDE received a response from the ED in September 2016, inviting them to resubmit a revised waiver. The CDE revised and re</w:t>
            </w:r>
            <w:r>
              <w:rPr>
                <w:rFonts w:cs="Arial"/>
                <w:sz w:val="18"/>
                <w:szCs w:val="18"/>
              </w:rPr>
              <w:t>submitted the waiver request on November 29, 2016. The ED denied the waiver on December 13, 2016 and provided instructions on requesting a hearing. The CDE submitted a request for a hearing on December 20, 2016. The hearing was conducted on January 6, 2017.</w:t>
            </w:r>
          </w:p>
          <w:p w14:paraId="1BB9BCF0" w14:textId="77777777" w:rsidR="00C46B2E" w:rsidRDefault="00C46B2E" w:rsidP="000A3682">
            <w:pPr>
              <w:pStyle w:val="ListParagraph"/>
              <w:numPr>
                <w:ilvl w:val="0"/>
                <w:numId w:val="5"/>
              </w:numPr>
              <w:spacing w:before="120" w:after="120"/>
              <w:rPr>
                <w:rFonts w:cs="Arial"/>
                <w:sz w:val="18"/>
                <w:szCs w:val="18"/>
              </w:rPr>
            </w:pPr>
            <w:r w:rsidRPr="00F13554">
              <w:rPr>
                <w:rFonts w:cs="Arial"/>
                <w:sz w:val="18"/>
                <w:szCs w:val="18"/>
              </w:rPr>
              <w:t xml:space="preserve">In July 2016, the SBE approved the test design for the development and administration of the CAA for Science and authorized the CDE to commence work on the development of the pilot plan and the materials for the spring 2017 pilot test administration. </w:t>
            </w:r>
          </w:p>
          <w:p w14:paraId="3F91FBE9" w14:textId="77777777" w:rsidR="00C46B2E" w:rsidRDefault="00C46B2E" w:rsidP="000A3682">
            <w:pPr>
              <w:pStyle w:val="ListParagraph"/>
              <w:numPr>
                <w:ilvl w:val="0"/>
                <w:numId w:val="5"/>
              </w:numPr>
              <w:spacing w:before="120" w:after="120"/>
              <w:rPr>
                <w:rFonts w:eastAsia="Calibri" w:cs="Arial"/>
                <w:sz w:val="18"/>
                <w:szCs w:val="18"/>
              </w:rPr>
            </w:pPr>
            <w:r w:rsidRPr="00F13554">
              <w:rPr>
                <w:rFonts w:eastAsia="Calibri" w:cs="Arial"/>
                <w:sz w:val="18"/>
                <w:szCs w:val="18"/>
              </w:rPr>
              <w:t>In September 2016, California science educators convened to review CAST items in Sacramento.</w:t>
            </w:r>
          </w:p>
          <w:p w14:paraId="04A1AEB3" w14:textId="44D4DC1E" w:rsidR="00C46B2E" w:rsidRPr="004F4CBC" w:rsidRDefault="00C46B2E" w:rsidP="007464A6">
            <w:pPr>
              <w:pStyle w:val="ListParagraph"/>
              <w:numPr>
                <w:ilvl w:val="0"/>
                <w:numId w:val="5"/>
              </w:numPr>
              <w:spacing w:before="120" w:after="120"/>
              <w:rPr>
                <w:rFonts w:cs="Arial"/>
                <w:sz w:val="18"/>
                <w:szCs w:val="18"/>
              </w:rPr>
            </w:pPr>
            <w:r w:rsidRPr="00F13554">
              <w:rPr>
                <w:rFonts w:cs="Arial"/>
                <w:sz w:val="18"/>
                <w:szCs w:val="18"/>
              </w:rPr>
              <w:t xml:space="preserve">In November 2016, the SBE approved the CDE recommendations that the SBE hold a public hearing and adopt the draft </w:t>
            </w:r>
            <w:r w:rsidRPr="00F13554">
              <w:rPr>
                <w:rFonts w:cs="Arial"/>
                <w:i/>
                <w:sz w:val="18"/>
                <w:szCs w:val="18"/>
              </w:rPr>
              <w:t xml:space="preserve">CA Science Framework </w:t>
            </w:r>
            <w:r w:rsidRPr="00F13554">
              <w:rPr>
                <w:rFonts w:cs="Arial"/>
                <w:sz w:val="18"/>
                <w:szCs w:val="18"/>
              </w:rPr>
              <w:t xml:space="preserve">with the </w:t>
            </w:r>
            <w:r>
              <w:rPr>
                <w:rFonts w:cs="Arial"/>
                <w:sz w:val="18"/>
                <w:szCs w:val="18"/>
              </w:rPr>
              <w:t xml:space="preserve">Instructional Quality Commission </w:t>
            </w:r>
            <w:r w:rsidRPr="00F13554">
              <w:rPr>
                <w:rFonts w:cs="Arial"/>
                <w:sz w:val="18"/>
                <w:szCs w:val="18"/>
              </w:rPr>
              <w:t xml:space="preserve">recommended edits from the second 60-day public review period. </w:t>
            </w:r>
            <w:r w:rsidRPr="00E71513">
              <w:rPr>
                <w:rFonts w:cs="Arial"/>
                <w:sz w:val="18"/>
                <w:szCs w:val="18"/>
              </w:rPr>
              <w:t>In November 2016, California educators participated in an item writing workshop to develop CAST items and received professional development on the CA NGSS.</w:t>
            </w:r>
          </w:p>
        </w:tc>
      </w:tr>
      <w:tr w:rsidR="00C46B2E" w:rsidRPr="00C64273" w14:paraId="264D6D8D" w14:textId="77777777" w:rsidTr="000A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97" w:type="dxa"/>
            <w:shd w:val="clear" w:color="auto" w:fill="C6D9F1"/>
            <w:vAlign w:val="center"/>
          </w:tcPr>
          <w:p w14:paraId="2AF7F951" w14:textId="77777777" w:rsidR="00C46B2E" w:rsidRDefault="00C46B2E" w:rsidP="000A3682">
            <w:pPr>
              <w:spacing w:before="120" w:after="120"/>
              <w:rPr>
                <w:rFonts w:cs="Arial"/>
                <w:b/>
                <w:sz w:val="20"/>
              </w:rPr>
            </w:pPr>
            <w:r>
              <w:lastRenderedPageBreak/>
              <w:br w:type="page"/>
            </w:r>
            <w:r>
              <w:rPr>
                <w:rFonts w:cs="Arial"/>
                <w:b/>
                <w:sz w:val="20"/>
              </w:rPr>
              <w:t>Alternate Assessments</w:t>
            </w:r>
          </w:p>
          <w:p w14:paraId="062473D8" w14:textId="77777777" w:rsidR="00C46B2E" w:rsidRPr="006D2073"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Section 60640[b][3])</w:t>
            </w:r>
          </w:p>
        </w:tc>
        <w:tc>
          <w:tcPr>
            <w:tcW w:w="5850" w:type="dxa"/>
            <w:shd w:val="clear" w:color="auto" w:fill="auto"/>
            <w:tcMar>
              <w:top w:w="29" w:type="dxa"/>
              <w:left w:w="115" w:type="dxa"/>
              <w:bottom w:w="29" w:type="dxa"/>
              <w:right w:w="115" w:type="dxa"/>
            </w:tcMar>
          </w:tcPr>
          <w:p w14:paraId="3F7CC9A9" w14:textId="77777777" w:rsidR="00C46B2E" w:rsidRPr="00166B94" w:rsidRDefault="00C46B2E" w:rsidP="000A3682">
            <w:pPr>
              <w:pStyle w:val="ListParagraph"/>
              <w:numPr>
                <w:ilvl w:val="0"/>
                <w:numId w:val="4"/>
              </w:numPr>
              <w:spacing w:before="120" w:after="120"/>
              <w:rPr>
                <w:rFonts w:cs="Arial"/>
                <w:snapToGrid/>
                <w:color w:val="000000"/>
                <w:sz w:val="18"/>
                <w:szCs w:val="18"/>
              </w:rPr>
            </w:pPr>
            <w:r w:rsidRPr="007F27A0">
              <w:rPr>
                <w:rFonts w:cs="Arial"/>
                <w:snapToGrid/>
                <w:color w:val="000000"/>
                <w:sz w:val="18"/>
                <w:szCs w:val="18"/>
              </w:rPr>
              <w:t xml:space="preserve">In 2012, the </w:t>
            </w:r>
            <w:r w:rsidRPr="007F27A0">
              <w:rPr>
                <w:rFonts w:cs="Arial"/>
                <w:sz w:val="18"/>
                <w:szCs w:val="18"/>
              </w:rPr>
              <w:t>N</w:t>
            </w:r>
            <w:r>
              <w:rPr>
                <w:rFonts w:cs="Arial"/>
                <w:sz w:val="18"/>
                <w:szCs w:val="18"/>
              </w:rPr>
              <w:t xml:space="preserve">ational Center and State Collaborative (NCSC) consortium </w:t>
            </w:r>
            <w:r w:rsidRPr="00166B94">
              <w:rPr>
                <w:rFonts w:cs="Arial"/>
                <w:snapToGrid/>
                <w:color w:val="000000"/>
                <w:sz w:val="18"/>
                <w:szCs w:val="18"/>
              </w:rPr>
              <w:t xml:space="preserve">developed alternate assessments </w:t>
            </w:r>
            <w:r>
              <w:rPr>
                <w:rFonts w:cs="Arial"/>
                <w:snapToGrid/>
                <w:color w:val="000000"/>
                <w:sz w:val="18"/>
                <w:szCs w:val="18"/>
              </w:rPr>
              <w:t>for</w:t>
            </w:r>
            <w:r w:rsidRPr="00166B94">
              <w:rPr>
                <w:rFonts w:cs="Arial"/>
                <w:snapToGrid/>
                <w:color w:val="000000"/>
                <w:sz w:val="18"/>
                <w:szCs w:val="18"/>
              </w:rPr>
              <w:t xml:space="preserve"> </w:t>
            </w:r>
            <w:r>
              <w:rPr>
                <w:rFonts w:cs="Arial"/>
                <w:snapToGrid/>
                <w:color w:val="000000"/>
                <w:sz w:val="18"/>
                <w:szCs w:val="18"/>
              </w:rPr>
              <w:t xml:space="preserve">ELA </w:t>
            </w:r>
            <w:r w:rsidRPr="00166B94">
              <w:rPr>
                <w:rFonts w:cs="Arial"/>
                <w:snapToGrid/>
                <w:color w:val="000000"/>
                <w:sz w:val="18"/>
                <w:szCs w:val="18"/>
              </w:rPr>
              <w:t>and mathematics linked to the C</w:t>
            </w:r>
            <w:r>
              <w:rPr>
                <w:rFonts w:cs="Arial"/>
                <w:snapToGrid/>
                <w:color w:val="000000"/>
                <w:sz w:val="18"/>
                <w:szCs w:val="18"/>
              </w:rPr>
              <w:t>CSS</w:t>
            </w:r>
            <w:r w:rsidRPr="00166B94">
              <w:rPr>
                <w:rFonts w:cs="Arial"/>
                <w:snapToGrid/>
                <w:color w:val="000000"/>
                <w:sz w:val="18"/>
                <w:szCs w:val="18"/>
              </w:rPr>
              <w:t xml:space="preserve"> and aligned</w:t>
            </w:r>
            <w:r>
              <w:rPr>
                <w:rFonts w:cs="Arial"/>
                <w:snapToGrid/>
                <w:color w:val="000000"/>
                <w:sz w:val="18"/>
                <w:szCs w:val="18"/>
              </w:rPr>
              <w:t xml:space="preserve"> to</w:t>
            </w:r>
            <w:r w:rsidRPr="00166B94">
              <w:rPr>
                <w:rFonts w:cs="Arial"/>
                <w:snapToGrid/>
                <w:color w:val="000000"/>
                <w:sz w:val="18"/>
                <w:szCs w:val="18"/>
              </w:rPr>
              <w:t xml:space="preserve"> the Core Content Connectors.</w:t>
            </w:r>
          </w:p>
          <w:p w14:paraId="315127F8" w14:textId="77777777" w:rsidR="00C46B2E" w:rsidRPr="00DA1BC6" w:rsidRDefault="00C46B2E" w:rsidP="000A3682">
            <w:pPr>
              <w:numPr>
                <w:ilvl w:val="0"/>
                <w:numId w:val="4"/>
              </w:numPr>
              <w:spacing w:before="120" w:after="120"/>
              <w:rPr>
                <w:rFonts w:cs="Arial"/>
                <w:snapToGrid/>
                <w:color w:val="000000"/>
                <w:sz w:val="18"/>
                <w:szCs w:val="18"/>
              </w:rPr>
            </w:pPr>
            <w:r w:rsidRPr="003A017C">
              <w:rPr>
                <w:rFonts w:cs="Arial"/>
                <w:snapToGrid/>
                <w:sz w:val="18"/>
                <w:szCs w:val="18"/>
              </w:rPr>
              <w:t>In October 2013, California agreed to participate in the pilot testing of the NCSC alternate assessments.</w:t>
            </w:r>
          </w:p>
          <w:p w14:paraId="11772B31" w14:textId="77777777" w:rsidR="00C46B2E" w:rsidRDefault="00C46B2E" w:rsidP="000A3682">
            <w:pPr>
              <w:numPr>
                <w:ilvl w:val="0"/>
                <w:numId w:val="4"/>
              </w:numPr>
              <w:spacing w:before="120" w:after="120"/>
              <w:rPr>
                <w:rFonts w:cs="Arial"/>
                <w:sz w:val="18"/>
                <w:szCs w:val="18"/>
              </w:rPr>
            </w:pPr>
            <w:r>
              <w:rPr>
                <w:rFonts w:cs="Arial"/>
                <w:sz w:val="18"/>
                <w:szCs w:val="18"/>
              </w:rPr>
              <w:t>In July 2014</w:t>
            </w:r>
            <w:r w:rsidRPr="00CA34A2">
              <w:rPr>
                <w:rFonts w:cs="Arial"/>
                <w:sz w:val="18"/>
                <w:szCs w:val="18"/>
              </w:rPr>
              <w:t xml:space="preserve">, the SBE approved </w:t>
            </w:r>
            <w:r>
              <w:rPr>
                <w:rFonts w:cs="Arial"/>
                <w:sz w:val="18"/>
                <w:szCs w:val="18"/>
              </w:rPr>
              <w:t xml:space="preserve">a </w:t>
            </w:r>
            <w:r w:rsidRPr="00CA34A2">
              <w:rPr>
                <w:rFonts w:cs="Arial"/>
                <w:sz w:val="18"/>
                <w:szCs w:val="18"/>
              </w:rPr>
              <w:t xml:space="preserve">plan for full participation in </w:t>
            </w:r>
            <w:r>
              <w:rPr>
                <w:rFonts w:cs="Arial"/>
                <w:sz w:val="18"/>
                <w:szCs w:val="18"/>
              </w:rPr>
              <w:t xml:space="preserve">the </w:t>
            </w:r>
            <w:r w:rsidRPr="00CA34A2">
              <w:rPr>
                <w:rFonts w:cs="Arial"/>
                <w:sz w:val="18"/>
                <w:szCs w:val="18"/>
              </w:rPr>
              <w:t xml:space="preserve">spring 2015 </w:t>
            </w:r>
            <w:r>
              <w:rPr>
                <w:rFonts w:cs="Arial"/>
                <w:sz w:val="18"/>
                <w:szCs w:val="18"/>
              </w:rPr>
              <w:t xml:space="preserve">field test using the assessment developed through the NCSC consortium. </w:t>
            </w:r>
            <w:r w:rsidRPr="00CA34A2">
              <w:rPr>
                <w:rFonts w:cs="Arial"/>
                <w:sz w:val="18"/>
                <w:szCs w:val="18"/>
              </w:rPr>
              <w:t xml:space="preserve"> </w:t>
            </w:r>
          </w:p>
          <w:p w14:paraId="23C09EF7" w14:textId="77777777" w:rsidR="00C46B2E" w:rsidRDefault="00C46B2E" w:rsidP="000A3682">
            <w:pPr>
              <w:pStyle w:val="ListParagraph"/>
              <w:numPr>
                <w:ilvl w:val="0"/>
                <w:numId w:val="4"/>
              </w:numPr>
              <w:spacing w:before="120" w:after="120"/>
              <w:rPr>
                <w:rFonts w:cs="Arial"/>
                <w:sz w:val="18"/>
                <w:szCs w:val="18"/>
              </w:rPr>
            </w:pPr>
            <w:r w:rsidRPr="007F27A0">
              <w:rPr>
                <w:rFonts w:cs="Arial"/>
                <w:sz w:val="18"/>
                <w:szCs w:val="18"/>
              </w:rPr>
              <w:t>On July 30, 2014, the C</w:t>
            </w:r>
            <w:r>
              <w:rPr>
                <w:rFonts w:cs="Arial"/>
                <w:sz w:val="18"/>
                <w:szCs w:val="18"/>
              </w:rPr>
              <w:t>DE received notification from NCSC</w:t>
            </w:r>
            <w:r w:rsidRPr="007F27A0">
              <w:rPr>
                <w:rFonts w:cs="Arial"/>
                <w:sz w:val="18"/>
                <w:szCs w:val="18"/>
              </w:rPr>
              <w:t xml:space="preserve"> of the requirements for state participation in the field test. Based on the changes in the criteria, California would not be allowed to participate in the field test. However, California would be able to participate in the NC</w:t>
            </w:r>
            <w:r>
              <w:rPr>
                <w:rFonts w:cs="Arial"/>
                <w:sz w:val="18"/>
                <w:szCs w:val="18"/>
              </w:rPr>
              <w:t xml:space="preserve">SC Phase II Pilot in the spring of </w:t>
            </w:r>
            <w:r w:rsidRPr="007F27A0">
              <w:rPr>
                <w:rFonts w:cs="Arial"/>
                <w:sz w:val="18"/>
                <w:szCs w:val="18"/>
              </w:rPr>
              <w:t>2015.</w:t>
            </w:r>
          </w:p>
          <w:p w14:paraId="2F9F2AFF" w14:textId="77777777" w:rsidR="00C46B2E" w:rsidRPr="007D48EB" w:rsidRDefault="00C46B2E" w:rsidP="000A3682">
            <w:pPr>
              <w:numPr>
                <w:ilvl w:val="0"/>
                <w:numId w:val="4"/>
              </w:numPr>
              <w:spacing w:before="120" w:after="120"/>
              <w:rPr>
                <w:rFonts w:cs="Arial"/>
                <w:sz w:val="18"/>
                <w:szCs w:val="18"/>
              </w:rPr>
            </w:pPr>
            <w:r>
              <w:rPr>
                <w:rFonts w:cs="Arial"/>
                <w:bCs/>
                <w:sz w:val="18"/>
                <w:szCs w:val="18"/>
              </w:rPr>
              <w:t>In</w:t>
            </w:r>
            <w:r w:rsidRPr="006C4D7E">
              <w:rPr>
                <w:rFonts w:cs="Arial"/>
                <w:bCs/>
                <w:sz w:val="18"/>
                <w:szCs w:val="18"/>
              </w:rPr>
              <w:t xml:space="preserve"> October and November</w:t>
            </w:r>
            <w:r>
              <w:rPr>
                <w:rFonts w:cs="Arial"/>
                <w:bCs/>
                <w:sz w:val="18"/>
                <w:szCs w:val="18"/>
              </w:rPr>
              <w:t xml:space="preserve"> </w:t>
            </w:r>
            <w:r w:rsidRPr="006C4D7E">
              <w:rPr>
                <w:rFonts w:cs="Arial"/>
                <w:bCs/>
                <w:sz w:val="18"/>
                <w:szCs w:val="18"/>
              </w:rPr>
              <w:t>2014</w:t>
            </w:r>
            <w:r>
              <w:rPr>
                <w:rFonts w:cs="Arial"/>
                <w:bCs/>
                <w:sz w:val="18"/>
                <w:szCs w:val="18"/>
              </w:rPr>
              <w:t>, t</w:t>
            </w:r>
            <w:r w:rsidRPr="006C4D7E">
              <w:rPr>
                <w:rFonts w:cs="Arial"/>
                <w:bCs/>
                <w:sz w:val="18"/>
                <w:szCs w:val="18"/>
              </w:rPr>
              <w:t xml:space="preserve">he NCSC conducted the Phase II Pilot </w:t>
            </w:r>
            <w:r>
              <w:rPr>
                <w:rFonts w:cs="Arial"/>
                <w:bCs/>
                <w:sz w:val="18"/>
                <w:szCs w:val="18"/>
              </w:rPr>
              <w:t xml:space="preserve">of the alternate </w:t>
            </w:r>
            <w:r w:rsidRPr="007D48EB">
              <w:rPr>
                <w:rFonts w:cs="Arial"/>
                <w:bCs/>
                <w:sz w:val="18"/>
                <w:szCs w:val="18"/>
              </w:rPr>
              <w:t>assessment for ELA and mathematics.</w:t>
            </w:r>
          </w:p>
          <w:p w14:paraId="08413422" w14:textId="77777777" w:rsidR="00C46B2E" w:rsidRDefault="00C46B2E" w:rsidP="000A3682">
            <w:pPr>
              <w:numPr>
                <w:ilvl w:val="0"/>
                <w:numId w:val="4"/>
              </w:numPr>
              <w:spacing w:before="120" w:after="120"/>
              <w:rPr>
                <w:rFonts w:cs="Arial"/>
                <w:sz w:val="18"/>
                <w:szCs w:val="18"/>
              </w:rPr>
            </w:pPr>
            <w:r w:rsidRPr="007D48EB">
              <w:rPr>
                <w:rFonts w:cs="Arial"/>
                <w:sz w:val="18"/>
                <w:szCs w:val="18"/>
              </w:rPr>
              <w:t>In April through June 2015, the CAA Field Test was administered to eligible students. A total of 59,882 tests were completed for ELA and mathematics in 747 LEAs. There was an</w:t>
            </w:r>
            <w:r w:rsidRPr="00680553">
              <w:rPr>
                <w:rFonts w:cs="Arial"/>
                <w:sz w:val="18"/>
                <w:szCs w:val="18"/>
              </w:rPr>
              <w:t xml:space="preserve"> equitable number of participants in the </w:t>
            </w:r>
            <w:r>
              <w:rPr>
                <w:rFonts w:cs="Arial"/>
                <w:sz w:val="18"/>
                <w:szCs w:val="18"/>
              </w:rPr>
              <w:t>f</w:t>
            </w:r>
            <w:r w:rsidRPr="00680553">
              <w:rPr>
                <w:rFonts w:cs="Arial"/>
                <w:sz w:val="18"/>
                <w:szCs w:val="18"/>
              </w:rPr>
              <w:t xml:space="preserve">ield </w:t>
            </w:r>
            <w:r>
              <w:rPr>
                <w:rFonts w:cs="Arial"/>
                <w:sz w:val="18"/>
                <w:szCs w:val="18"/>
              </w:rPr>
              <w:t>tes</w:t>
            </w:r>
            <w:r w:rsidRPr="00680553">
              <w:rPr>
                <w:rFonts w:cs="Arial"/>
                <w:sz w:val="18"/>
                <w:szCs w:val="18"/>
              </w:rPr>
              <w:t>t among the eligible students in grade</w:t>
            </w:r>
            <w:r>
              <w:rPr>
                <w:rFonts w:cs="Arial"/>
                <w:sz w:val="18"/>
                <w:szCs w:val="18"/>
              </w:rPr>
              <w:t>s three through eight and grade eleven</w:t>
            </w:r>
            <w:r w:rsidRPr="00680553">
              <w:rPr>
                <w:rFonts w:cs="Arial"/>
                <w:sz w:val="18"/>
                <w:szCs w:val="18"/>
              </w:rPr>
              <w:t>.</w:t>
            </w:r>
          </w:p>
          <w:p w14:paraId="4879B85E" w14:textId="77777777" w:rsidR="00C46B2E" w:rsidRPr="00AA03EB" w:rsidRDefault="00C46B2E" w:rsidP="000A3682">
            <w:pPr>
              <w:numPr>
                <w:ilvl w:val="0"/>
                <w:numId w:val="4"/>
              </w:numPr>
              <w:spacing w:before="120" w:after="120"/>
              <w:rPr>
                <w:rFonts w:cs="Arial"/>
                <w:sz w:val="18"/>
                <w:szCs w:val="18"/>
              </w:rPr>
            </w:pPr>
            <w:r w:rsidRPr="00AA03EB">
              <w:rPr>
                <w:rFonts w:cs="Arial"/>
                <w:sz w:val="18"/>
                <w:szCs w:val="18"/>
              </w:rPr>
              <w:t xml:space="preserve">In July 2015, the SBE approved the </w:t>
            </w:r>
            <w:r>
              <w:rPr>
                <w:rFonts w:cs="Arial"/>
                <w:sz w:val="18"/>
                <w:szCs w:val="18"/>
              </w:rPr>
              <w:t>CAA</w:t>
            </w:r>
            <w:r w:rsidRPr="00AA03EB">
              <w:rPr>
                <w:rFonts w:cs="Arial"/>
                <w:sz w:val="18"/>
                <w:szCs w:val="18"/>
              </w:rPr>
              <w:t xml:space="preserve"> blueprints</w:t>
            </w:r>
            <w:r>
              <w:rPr>
                <w:rFonts w:cs="Arial"/>
                <w:sz w:val="18"/>
                <w:szCs w:val="18"/>
              </w:rPr>
              <w:t>.</w:t>
            </w:r>
          </w:p>
          <w:p w14:paraId="00A2DAF3" w14:textId="77777777" w:rsidR="00C46B2E" w:rsidRPr="003A017C" w:rsidRDefault="00C46B2E" w:rsidP="000A3682">
            <w:pPr>
              <w:numPr>
                <w:ilvl w:val="0"/>
                <w:numId w:val="4"/>
              </w:numPr>
              <w:spacing w:before="120" w:after="120"/>
              <w:rPr>
                <w:rFonts w:cs="Arial"/>
                <w:snapToGrid/>
                <w:color w:val="000000"/>
                <w:sz w:val="18"/>
                <w:szCs w:val="18"/>
              </w:rPr>
            </w:pPr>
            <w:r w:rsidRPr="00E90230">
              <w:rPr>
                <w:rFonts w:cs="Arial"/>
                <w:sz w:val="18"/>
                <w:szCs w:val="18"/>
              </w:rPr>
              <w:t>In December 2015, the CDE and the testing contractor conducted an item review of approximately 400 ELA and 400 mathematics items to be used in the 2015–16 administration of the CAAs. The item review included 12 California teachers for ELA and 10 California teachers for mathematics.</w:t>
            </w:r>
          </w:p>
        </w:tc>
        <w:tc>
          <w:tcPr>
            <w:tcW w:w="6120" w:type="dxa"/>
            <w:shd w:val="clear" w:color="auto" w:fill="auto"/>
            <w:tcMar>
              <w:top w:w="29" w:type="dxa"/>
              <w:left w:w="115" w:type="dxa"/>
              <w:bottom w:w="29" w:type="dxa"/>
              <w:right w:w="115" w:type="dxa"/>
            </w:tcMar>
          </w:tcPr>
          <w:p w14:paraId="02B645DE" w14:textId="77777777" w:rsidR="00C46B2E" w:rsidRPr="00F13554" w:rsidRDefault="00C46B2E" w:rsidP="000A3682">
            <w:pPr>
              <w:pStyle w:val="ListParagraph"/>
              <w:numPr>
                <w:ilvl w:val="0"/>
                <w:numId w:val="4"/>
              </w:numPr>
              <w:spacing w:before="120" w:after="120"/>
              <w:ind w:right="65"/>
              <w:rPr>
                <w:rFonts w:cs="Arial"/>
                <w:sz w:val="18"/>
                <w:szCs w:val="18"/>
              </w:rPr>
            </w:pPr>
            <w:r w:rsidRPr="00F13554">
              <w:rPr>
                <w:rFonts w:cs="Arial"/>
                <w:sz w:val="18"/>
                <w:szCs w:val="18"/>
              </w:rPr>
              <w:t xml:space="preserve">In January 2016, the SBE adopted the general (policy) PLDs for the CAAs. </w:t>
            </w:r>
            <w:r w:rsidRPr="00F13554">
              <w:rPr>
                <w:rFonts w:cs="Arial"/>
                <w:sz w:val="18"/>
                <w:szCs w:val="18"/>
                <w:lang w:val="en"/>
              </w:rPr>
              <w:t>General PLDs are short descriptors</w:t>
            </w:r>
            <w:r w:rsidRPr="00F13554">
              <w:rPr>
                <w:rFonts w:cs="Arial"/>
                <w:sz w:val="18"/>
                <w:szCs w:val="18"/>
              </w:rPr>
              <w:t xml:space="preserve"> that convey the degree of student achievement in a given achievement level</w:t>
            </w:r>
            <w:r>
              <w:rPr>
                <w:rFonts w:cs="Arial"/>
                <w:sz w:val="18"/>
                <w:szCs w:val="18"/>
              </w:rPr>
              <w:t xml:space="preserve">. The adopted General PLDs appear in Item 7 of the January 2016 SBE Meeting Agenda, which is posted at </w:t>
            </w:r>
            <w:hyperlink r:id="rId46" w:history="1">
              <w:r w:rsidRPr="00404824">
                <w:rPr>
                  <w:rStyle w:val="Hyperlink"/>
                  <w:rFonts w:cs="Arial"/>
                  <w:sz w:val="18"/>
                  <w:szCs w:val="18"/>
                  <w:lang w:val="en"/>
                </w:rPr>
                <w:t>http://www.cde.ca.gov/be/ag/ag/yr16/documents/jan16item07.doc</w:t>
              </w:r>
            </w:hyperlink>
            <w:r>
              <w:rPr>
                <w:rFonts w:cs="Arial"/>
                <w:sz w:val="18"/>
                <w:szCs w:val="18"/>
                <w:lang w:val="en"/>
              </w:rPr>
              <w:t>.</w:t>
            </w:r>
          </w:p>
          <w:p w14:paraId="25A301DC" w14:textId="77777777" w:rsidR="00C46B2E" w:rsidRDefault="00C46B2E" w:rsidP="000A3682">
            <w:pPr>
              <w:pStyle w:val="ListParagraph"/>
              <w:numPr>
                <w:ilvl w:val="0"/>
                <w:numId w:val="4"/>
              </w:numPr>
              <w:spacing w:before="120" w:after="120"/>
              <w:ind w:right="65"/>
              <w:rPr>
                <w:rFonts w:cs="Arial"/>
                <w:sz w:val="18"/>
                <w:szCs w:val="18"/>
                <w:lang w:val="en"/>
              </w:rPr>
            </w:pPr>
            <w:r w:rsidRPr="00F13554">
              <w:rPr>
                <w:rFonts w:cs="Arial"/>
                <w:sz w:val="18"/>
                <w:szCs w:val="18"/>
              </w:rPr>
              <w:t xml:space="preserve">In May 2016, the SBE </w:t>
            </w:r>
            <w:r w:rsidRPr="00F13554">
              <w:rPr>
                <w:rFonts w:cs="Arial"/>
                <w:sz w:val="18"/>
                <w:szCs w:val="18"/>
                <w:lang w:val="en"/>
              </w:rPr>
              <w:t xml:space="preserve">adopted the PLDs for the CAAs. These are descriptors of what students at each achievement level know and can do by grade level and content area </w:t>
            </w:r>
            <w:r w:rsidRPr="00F13554">
              <w:rPr>
                <w:rFonts w:cs="Arial"/>
                <w:sz w:val="18"/>
                <w:szCs w:val="18"/>
              </w:rPr>
              <w:t xml:space="preserve">(i.e., </w:t>
            </w:r>
            <w:r w:rsidRPr="000051E3">
              <w:rPr>
                <w:rFonts w:cs="Arial"/>
                <w:sz w:val="18"/>
                <w:szCs w:val="18"/>
              </w:rPr>
              <w:t>limited understanding [Level 1 – Alternate], foundational understanding [Level 2 – Alternate], or an understanding [Level 3 – Alternate])</w:t>
            </w:r>
            <w:r>
              <w:rPr>
                <w:rFonts w:cs="Arial"/>
                <w:sz w:val="18"/>
                <w:szCs w:val="18"/>
              </w:rPr>
              <w:t xml:space="preserve">. The adopted PLDs appear in Item 7 of the May 2016 SBE Meeting Agenda, which is posted at </w:t>
            </w:r>
            <w:hyperlink r:id="rId47" w:history="1">
              <w:r w:rsidRPr="00F13554">
                <w:rPr>
                  <w:rStyle w:val="Hyperlink"/>
                  <w:rFonts w:cs="Arial"/>
                  <w:sz w:val="18"/>
                  <w:szCs w:val="18"/>
                  <w:lang w:val="en"/>
                </w:rPr>
                <w:t>http://www.cde.ca.gov/be/ag/ag/yr16/documents/may16item07.doc</w:t>
              </w:r>
            </w:hyperlink>
            <w:r w:rsidRPr="00F13554">
              <w:rPr>
                <w:rFonts w:cs="Arial"/>
                <w:sz w:val="18"/>
                <w:szCs w:val="18"/>
                <w:lang w:val="en"/>
              </w:rPr>
              <w:t>. In addition, the SBE adopted the 20</w:t>
            </w:r>
            <w:r>
              <w:rPr>
                <w:rFonts w:cs="Arial"/>
                <w:sz w:val="18"/>
                <w:szCs w:val="18"/>
                <w:lang w:val="en"/>
              </w:rPr>
              <w:t>15–16 CAASPP CAA SSR templates.</w:t>
            </w:r>
          </w:p>
          <w:p w14:paraId="798B1A56" w14:textId="77777777" w:rsidR="00C46B2E" w:rsidRDefault="00C46B2E" w:rsidP="000A3682">
            <w:pPr>
              <w:pStyle w:val="ListParagraph"/>
              <w:numPr>
                <w:ilvl w:val="0"/>
                <w:numId w:val="4"/>
              </w:numPr>
              <w:spacing w:before="120" w:after="120"/>
              <w:ind w:right="187"/>
              <w:contextualSpacing/>
              <w:rPr>
                <w:rFonts w:eastAsia="Calibri" w:cs="Arial"/>
                <w:sz w:val="18"/>
                <w:szCs w:val="18"/>
              </w:rPr>
            </w:pPr>
            <w:r w:rsidRPr="00F13554">
              <w:rPr>
                <w:rFonts w:eastAsia="Calibri" w:cs="Arial"/>
                <w:sz w:val="18"/>
                <w:szCs w:val="18"/>
              </w:rPr>
              <w:t xml:space="preserve">In July 2016, the SBE approved the test design for the development and administration of the CAA for Science, allowing the CDE to commence work on the development of the pilot plan and the materials for the spring 2017 pilot test administration. </w:t>
            </w:r>
          </w:p>
          <w:p w14:paraId="687E5CBF" w14:textId="77777777" w:rsidR="00C46B2E" w:rsidRDefault="00C46B2E" w:rsidP="000A3682">
            <w:pPr>
              <w:pStyle w:val="ListParagraph"/>
              <w:spacing w:before="120" w:after="120"/>
              <w:ind w:left="360" w:right="187"/>
              <w:contextualSpacing/>
              <w:rPr>
                <w:rFonts w:eastAsia="Calibri" w:cs="Arial"/>
                <w:sz w:val="18"/>
                <w:szCs w:val="18"/>
              </w:rPr>
            </w:pPr>
          </w:p>
          <w:p w14:paraId="52B90B97" w14:textId="77777777" w:rsidR="00C46B2E" w:rsidRDefault="00C46B2E" w:rsidP="000A3682">
            <w:pPr>
              <w:pStyle w:val="ListParagraph"/>
              <w:numPr>
                <w:ilvl w:val="0"/>
                <w:numId w:val="4"/>
              </w:numPr>
              <w:spacing w:before="120" w:after="120"/>
              <w:ind w:right="187"/>
              <w:contextualSpacing/>
              <w:rPr>
                <w:rFonts w:cs="Arial"/>
                <w:sz w:val="18"/>
                <w:szCs w:val="18"/>
              </w:rPr>
            </w:pPr>
            <w:r w:rsidRPr="00BC5F2D">
              <w:rPr>
                <w:rFonts w:cs="Arial"/>
                <w:color w:val="000000"/>
                <w:sz w:val="18"/>
                <w:szCs w:val="18"/>
                <w:lang w:val="en"/>
              </w:rPr>
              <w:t>In September 2016, the SBE</w:t>
            </w:r>
            <w:r w:rsidRPr="00BC5F2D">
              <w:rPr>
                <w:rFonts w:cs="Arial"/>
                <w:b/>
                <w:color w:val="000000"/>
                <w:sz w:val="18"/>
                <w:szCs w:val="18"/>
                <w:lang w:val="en"/>
              </w:rPr>
              <w:t xml:space="preserve"> </w:t>
            </w:r>
            <w:r w:rsidRPr="00BC5F2D">
              <w:rPr>
                <w:rFonts w:cs="Arial"/>
                <w:sz w:val="18"/>
                <w:szCs w:val="18"/>
              </w:rPr>
              <w:t>adopted the CDE’s proposed threshold scores for the CAAs for ELA and mathematics (</w:t>
            </w:r>
            <w:r>
              <w:rPr>
                <w:rFonts w:cs="Arial"/>
                <w:sz w:val="18"/>
                <w:szCs w:val="18"/>
              </w:rPr>
              <w:t>t</w:t>
            </w:r>
            <w:r w:rsidRPr="00BC5F2D">
              <w:rPr>
                <w:rFonts w:cs="Arial"/>
                <w:sz w:val="18"/>
                <w:szCs w:val="18"/>
              </w:rPr>
              <w:t xml:space="preserve">hreshold scores determine the “entry” and/or “exit” points between the respective achievement levels that describe three levels of performance on the CAAs). The adopted threshold scores appear in the addendum to Item 4 of the September 2016 SBE Meeting Agenda, which is posted at </w:t>
            </w:r>
            <w:hyperlink r:id="rId48" w:history="1">
              <w:r w:rsidRPr="00BC5F2D">
                <w:rPr>
                  <w:rStyle w:val="Hyperlink"/>
                  <w:rFonts w:eastAsia="Calibri" w:cs="Arial"/>
                  <w:sz w:val="18"/>
                  <w:szCs w:val="18"/>
                </w:rPr>
                <w:t>http://www.cde.ca.gov/be/ag/ag/yr16/documents/sep16item04addendum.doc</w:t>
              </w:r>
            </w:hyperlink>
            <w:r w:rsidRPr="00BC5F2D">
              <w:rPr>
                <w:rStyle w:val="Hyperlink"/>
                <w:rFonts w:eastAsia="Calibri" w:cs="Arial"/>
                <w:color w:val="auto"/>
                <w:sz w:val="18"/>
                <w:szCs w:val="18"/>
                <w:u w:val="none"/>
              </w:rPr>
              <w:t>.</w:t>
            </w:r>
            <w:r w:rsidRPr="00BC5F2D">
              <w:rPr>
                <w:rFonts w:cs="Arial"/>
                <w:sz w:val="18"/>
                <w:szCs w:val="18"/>
              </w:rPr>
              <w:t xml:space="preserve"> </w:t>
            </w:r>
          </w:p>
          <w:p w14:paraId="1FFE7188" w14:textId="77777777" w:rsidR="00C46B2E" w:rsidRPr="00BC5F2D" w:rsidRDefault="00C46B2E" w:rsidP="000A3682">
            <w:pPr>
              <w:pStyle w:val="ListParagraph"/>
              <w:rPr>
                <w:rFonts w:cs="Arial"/>
                <w:sz w:val="18"/>
                <w:szCs w:val="18"/>
              </w:rPr>
            </w:pPr>
          </w:p>
          <w:p w14:paraId="7F56216E" w14:textId="77777777" w:rsidR="00C46B2E" w:rsidRPr="00505512" w:rsidRDefault="00C46B2E" w:rsidP="000A3682">
            <w:pPr>
              <w:pStyle w:val="ListParagraph"/>
              <w:numPr>
                <w:ilvl w:val="0"/>
                <w:numId w:val="4"/>
              </w:numPr>
              <w:spacing w:before="120" w:after="120"/>
              <w:ind w:right="187"/>
              <w:contextualSpacing/>
              <w:rPr>
                <w:rFonts w:cs="Arial"/>
                <w:sz w:val="18"/>
                <w:szCs w:val="18"/>
              </w:rPr>
            </w:pPr>
            <w:r w:rsidRPr="00E71513">
              <w:rPr>
                <w:rFonts w:cs="Arial"/>
                <w:sz w:val="18"/>
                <w:szCs w:val="18"/>
              </w:rPr>
              <w:t>In December 2016, California educators participated in an item writing workshop to develop CAA items for ELA, mathematics, and science.</w:t>
            </w:r>
          </w:p>
        </w:tc>
      </w:tr>
      <w:tr w:rsidR="00C46B2E" w:rsidRPr="00C64273" w14:paraId="36EB2815" w14:textId="77777777" w:rsidTr="000A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97" w:type="dxa"/>
            <w:shd w:val="clear" w:color="auto" w:fill="C6D9F1"/>
            <w:vAlign w:val="center"/>
          </w:tcPr>
          <w:p w14:paraId="037085FB" w14:textId="77777777" w:rsidR="00C46B2E" w:rsidRDefault="00C46B2E" w:rsidP="000A3682">
            <w:pPr>
              <w:spacing w:before="120" w:after="120"/>
              <w:rPr>
                <w:rFonts w:cs="Arial"/>
                <w:b/>
                <w:sz w:val="20"/>
              </w:rPr>
            </w:pPr>
            <w:r>
              <w:rPr>
                <w:rFonts w:cs="Arial"/>
                <w:b/>
                <w:sz w:val="20"/>
              </w:rPr>
              <w:lastRenderedPageBreak/>
              <w:t xml:space="preserve">Primary Language Assessments </w:t>
            </w:r>
          </w:p>
          <w:p w14:paraId="0ED093CD" w14:textId="77777777" w:rsidR="00C46B2E" w:rsidRPr="00404824"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Section 60640[b][5])</w:t>
            </w:r>
          </w:p>
        </w:tc>
        <w:tc>
          <w:tcPr>
            <w:tcW w:w="5850" w:type="dxa"/>
            <w:shd w:val="clear" w:color="auto" w:fill="auto"/>
            <w:tcMar>
              <w:top w:w="29" w:type="dxa"/>
              <w:left w:w="115" w:type="dxa"/>
              <w:bottom w:w="29" w:type="dxa"/>
              <w:right w:w="115" w:type="dxa"/>
            </w:tcMar>
          </w:tcPr>
          <w:p w14:paraId="72C2D9FD" w14:textId="77777777" w:rsidR="00C46B2E" w:rsidRDefault="00C46B2E" w:rsidP="000A3682">
            <w:pPr>
              <w:numPr>
                <w:ilvl w:val="0"/>
                <w:numId w:val="9"/>
              </w:numPr>
              <w:spacing w:before="120" w:after="120"/>
              <w:rPr>
                <w:rFonts w:cs="Arial"/>
                <w:sz w:val="18"/>
                <w:szCs w:val="18"/>
              </w:rPr>
            </w:pPr>
            <w:r w:rsidRPr="00CA34A2">
              <w:rPr>
                <w:rFonts w:cs="Arial"/>
                <w:sz w:val="18"/>
                <w:szCs w:val="18"/>
              </w:rPr>
              <w:t>The proposed 2014 budget include</w:t>
            </w:r>
            <w:r>
              <w:rPr>
                <w:rFonts w:cs="Arial"/>
                <w:sz w:val="18"/>
                <w:szCs w:val="18"/>
              </w:rPr>
              <w:t>d</w:t>
            </w:r>
            <w:r w:rsidRPr="00CA34A2">
              <w:rPr>
                <w:rFonts w:cs="Arial"/>
                <w:sz w:val="18"/>
                <w:szCs w:val="18"/>
              </w:rPr>
              <w:t xml:space="preserve"> $2 million in contract funding for the development of CCSS-aligned primary language assessment in a language other than English.</w:t>
            </w:r>
          </w:p>
          <w:p w14:paraId="3831B9CB" w14:textId="77777777" w:rsidR="00C46B2E" w:rsidRDefault="00C46B2E" w:rsidP="000A3682">
            <w:pPr>
              <w:numPr>
                <w:ilvl w:val="0"/>
                <w:numId w:val="9"/>
              </w:numPr>
              <w:spacing w:before="120" w:after="120"/>
              <w:rPr>
                <w:rFonts w:cs="Arial"/>
                <w:sz w:val="18"/>
                <w:szCs w:val="18"/>
              </w:rPr>
            </w:pPr>
            <w:r>
              <w:rPr>
                <w:rFonts w:cs="Arial"/>
                <w:sz w:val="18"/>
                <w:szCs w:val="18"/>
              </w:rPr>
              <w:t>The STS for reading/language arts was</w:t>
            </w:r>
            <w:r w:rsidRPr="00CA34A2">
              <w:rPr>
                <w:rFonts w:cs="Arial"/>
                <w:sz w:val="18"/>
                <w:szCs w:val="18"/>
              </w:rPr>
              <w:t xml:space="preserve"> made available </w:t>
            </w:r>
            <w:r>
              <w:rPr>
                <w:rFonts w:cs="Arial"/>
                <w:sz w:val="18"/>
                <w:szCs w:val="18"/>
              </w:rPr>
              <w:t xml:space="preserve">and will continue to be available </w:t>
            </w:r>
            <w:r w:rsidRPr="00CA34A2">
              <w:rPr>
                <w:rFonts w:cs="Arial"/>
                <w:sz w:val="18"/>
                <w:szCs w:val="18"/>
              </w:rPr>
              <w:t xml:space="preserve">until replaced with a new </w:t>
            </w:r>
            <w:r w:rsidRPr="001D3B97">
              <w:rPr>
                <w:rFonts w:cs="Arial"/>
                <w:sz w:val="18"/>
                <w:szCs w:val="18"/>
              </w:rPr>
              <w:t xml:space="preserve">CCSS-aligned primary language </w:t>
            </w:r>
            <w:r w:rsidRPr="00CA34A2">
              <w:rPr>
                <w:rFonts w:cs="Arial"/>
                <w:sz w:val="18"/>
                <w:szCs w:val="18"/>
              </w:rPr>
              <w:t>assessment.</w:t>
            </w:r>
            <w:r w:rsidRPr="001D3B97">
              <w:rPr>
                <w:rFonts w:cs="Arial"/>
                <w:sz w:val="18"/>
                <w:szCs w:val="18"/>
              </w:rPr>
              <w:t xml:space="preserve"> The STS is administered at the option of the LEA and is not used for state accountability purposes.</w:t>
            </w:r>
          </w:p>
          <w:p w14:paraId="66B17663" w14:textId="77777777" w:rsidR="00C46B2E" w:rsidRPr="001D3B97" w:rsidRDefault="00C46B2E" w:rsidP="000A3682">
            <w:pPr>
              <w:numPr>
                <w:ilvl w:val="0"/>
                <w:numId w:val="9"/>
              </w:numPr>
              <w:spacing w:before="120" w:after="120"/>
              <w:rPr>
                <w:rFonts w:cs="Arial"/>
                <w:sz w:val="18"/>
                <w:szCs w:val="18"/>
              </w:rPr>
            </w:pPr>
            <w:r w:rsidRPr="00CA34A2">
              <w:rPr>
                <w:rFonts w:cs="Arial"/>
                <w:sz w:val="18"/>
                <w:szCs w:val="18"/>
              </w:rPr>
              <w:t xml:space="preserve">The CDE </w:t>
            </w:r>
            <w:r>
              <w:rPr>
                <w:rFonts w:cs="Arial"/>
                <w:sz w:val="18"/>
                <w:szCs w:val="18"/>
              </w:rPr>
              <w:t>and the testing contractor prepared to</w:t>
            </w:r>
            <w:r w:rsidRPr="00CA34A2">
              <w:rPr>
                <w:rFonts w:cs="Arial"/>
                <w:sz w:val="18"/>
                <w:szCs w:val="18"/>
              </w:rPr>
              <w:t xml:space="preserve"> host the first stakeholder meeting </w:t>
            </w:r>
            <w:r>
              <w:rPr>
                <w:rFonts w:cs="Arial"/>
                <w:sz w:val="18"/>
                <w:szCs w:val="18"/>
              </w:rPr>
              <w:t>scheduled for</w:t>
            </w:r>
            <w:r w:rsidRPr="00CA34A2">
              <w:rPr>
                <w:rFonts w:cs="Arial"/>
                <w:sz w:val="18"/>
                <w:szCs w:val="18"/>
              </w:rPr>
              <w:t xml:space="preserve"> January 2015 to solicit public input </w:t>
            </w:r>
            <w:r>
              <w:rPr>
                <w:rFonts w:cs="Arial"/>
                <w:sz w:val="18"/>
                <w:szCs w:val="18"/>
              </w:rPr>
              <w:t>f</w:t>
            </w:r>
            <w:r w:rsidRPr="00CA34A2">
              <w:rPr>
                <w:rFonts w:cs="Arial"/>
                <w:sz w:val="18"/>
                <w:szCs w:val="18"/>
              </w:rPr>
              <w:t>or the CCSS primary language assessment.</w:t>
            </w:r>
          </w:p>
          <w:p w14:paraId="4117A568" w14:textId="77777777" w:rsidR="00C46B2E" w:rsidRPr="00CA34A2" w:rsidRDefault="00C46B2E" w:rsidP="000A3682">
            <w:pPr>
              <w:numPr>
                <w:ilvl w:val="0"/>
                <w:numId w:val="9"/>
              </w:numPr>
              <w:spacing w:before="120" w:after="120"/>
              <w:rPr>
                <w:rFonts w:cs="Arial"/>
                <w:sz w:val="18"/>
                <w:szCs w:val="18"/>
              </w:rPr>
            </w:pPr>
            <w:r w:rsidRPr="001D3B97">
              <w:rPr>
                <w:rFonts w:cs="Arial"/>
                <w:sz w:val="18"/>
                <w:szCs w:val="18"/>
              </w:rPr>
              <w:t>The development of successor primary language assessments was included a</w:t>
            </w:r>
            <w:r>
              <w:rPr>
                <w:rFonts w:cs="Arial"/>
                <w:sz w:val="18"/>
                <w:szCs w:val="18"/>
              </w:rPr>
              <w:t>s part of the Scope of W</w:t>
            </w:r>
            <w:r w:rsidRPr="001D3B97">
              <w:rPr>
                <w:rFonts w:cs="Arial"/>
                <w:sz w:val="18"/>
                <w:szCs w:val="18"/>
              </w:rPr>
              <w:t>ork for the RFS contract to begin in July 2015, c</w:t>
            </w:r>
            <w:r>
              <w:rPr>
                <w:rFonts w:cs="Arial"/>
                <w:sz w:val="18"/>
                <w:szCs w:val="18"/>
              </w:rPr>
              <w:t xml:space="preserve">ontingent </w:t>
            </w:r>
            <w:r w:rsidRPr="001D3B97">
              <w:rPr>
                <w:rFonts w:cs="Arial"/>
                <w:sz w:val="18"/>
                <w:szCs w:val="18"/>
              </w:rPr>
              <w:t>on SBE approval of a test development plan.</w:t>
            </w:r>
          </w:p>
        </w:tc>
        <w:tc>
          <w:tcPr>
            <w:tcW w:w="6120" w:type="dxa"/>
            <w:shd w:val="clear" w:color="auto" w:fill="auto"/>
            <w:tcMar>
              <w:top w:w="29" w:type="dxa"/>
              <w:left w:w="115" w:type="dxa"/>
              <w:bottom w:w="29" w:type="dxa"/>
              <w:right w:w="115" w:type="dxa"/>
            </w:tcMar>
          </w:tcPr>
          <w:p w14:paraId="433160C5" w14:textId="77777777" w:rsidR="00C46B2E" w:rsidRPr="006C06D8" w:rsidRDefault="00C46B2E" w:rsidP="000A3682">
            <w:pPr>
              <w:pStyle w:val="ListParagraph"/>
              <w:numPr>
                <w:ilvl w:val="0"/>
                <w:numId w:val="9"/>
              </w:numPr>
              <w:spacing w:before="120" w:after="120"/>
              <w:rPr>
                <w:rFonts w:eastAsiaTheme="minorHAnsi" w:cs="Arial"/>
                <w:sz w:val="18"/>
                <w:szCs w:val="18"/>
              </w:rPr>
            </w:pPr>
            <w:r w:rsidRPr="006C06D8">
              <w:rPr>
                <w:rFonts w:eastAsia="Calibri" w:cs="Arial"/>
                <w:sz w:val="18"/>
                <w:szCs w:val="18"/>
              </w:rPr>
              <w:t>In September 2016, the SBE adopted the high level test design for the California Spanish Assessment (CSA)</w:t>
            </w:r>
            <w:r>
              <w:rPr>
                <w:rFonts w:eastAsia="Calibri" w:cs="Arial"/>
                <w:sz w:val="18"/>
                <w:szCs w:val="18"/>
              </w:rPr>
              <w:t>—the primary language assessment—</w:t>
            </w:r>
            <w:r w:rsidRPr="006C06D8">
              <w:rPr>
                <w:rFonts w:eastAsia="Calibri" w:cs="Arial"/>
                <w:sz w:val="18"/>
                <w:szCs w:val="18"/>
              </w:rPr>
              <w:t>allowing for the commencement of test development activities.</w:t>
            </w:r>
          </w:p>
          <w:p w14:paraId="585A452C" w14:textId="77777777" w:rsidR="00C46B2E" w:rsidRPr="006C06D8" w:rsidRDefault="00C46B2E" w:rsidP="000A3682">
            <w:pPr>
              <w:pStyle w:val="ListParagraph"/>
              <w:numPr>
                <w:ilvl w:val="0"/>
                <w:numId w:val="9"/>
              </w:numPr>
              <w:spacing w:before="120" w:after="120"/>
              <w:rPr>
                <w:rFonts w:eastAsiaTheme="minorHAnsi" w:cs="Arial"/>
                <w:sz w:val="18"/>
                <w:szCs w:val="18"/>
              </w:rPr>
            </w:pPr>
            <w:r>
              <w:rPr>
                <w:rFonts w:eastAsia="Calibri" w:cs="Arial"/>
                <w:sz w:val="18"/>
                <w:szCs w:val="18"/>
              </w:rPr>
              <w:t>From</w:t>
            </w:r>
            <w:r w:rsidRPr="006C06D8">
              <w:rPr>
                <w:rFonts w:eastAsia="Calibri" w:cs="Arial"/>
                <w:sz w:val="18"/>
                <w:szCs w:val="18"/>
              </w:rPr>
              <w:t xml:space="preserve"> September 20</w:t>
            </w:r>
            <w:r>
              <w:rPr>
                <w:rFonts w:eastAsia="Calibri" w:cs="Arial"/>
                <w:sz w:val="18"/>
                <w:szCs w:val="18"/>
              </w:rPr>
              <w:t xml:space="preserve"> through </w:t>
            </w:r>
            <w:r w:rsidRPr="006C06D8">
              <w:rPr>
                <w:rFonts w:eastAsia="Calibri" w:cs="Arial"/>
                <w:sz w:val="18"/>
                <w:szCs w:val="18"/>
              </w:rPr>
              <w:t xml:space="preserve">22, 2016, 18 California bilingual educators participated in </w:t>
            </w:r>
            <w:r>
              <w:rPr>
                <w:rFonts w:eastAsia="Calibri" w:cs="Arial"/>
                <w:sz w:val="18"/>
                <w:szCs w:val="18"/>
              </w:rPr>
              <w:t>Item Writer T</w:t>
            </w:r>
            <w:r w:rsidRPr="006C06D8">
              <w:rPr>
                <w:rFonts w:eastAsia="Calibri" w:cs="Arial"/>
                <w:sz w:val="18"/>
                <w:szCs w:val="18"/>
              </w:rPr>
              <w:t>raining for the development of the</w:t>
            </w:r>
            <w:r>
              <w:rPr>
                <w:rFonts w:eastAsia="Calibri" w:cs="Arial"/>
                <w:sz w:val="18"/>
                <w:szCs w:val="18"/>
              </w:rPr>
              <w:t xml:space="preserve"> </w:t>
            </w:r>
            <w:r w:rsidRPr="006C06D8">
              <w:rPr>
                <w:rFonts w:eastAsia="Calibri" w:cs="Arial"/>
                <w:sz w:val="18"/>
                <w:szCs w:val="18"/>
              </w:rPr>
              <w:t xml:space="preserve">test items for the pilot test scheduled for fall 2017. </w:t>
            </w:r>
            <w:r w:rsidRPr="00AD3F98">
              <w:rPr>
                <w:rFonts w:cs="Arial"/>
                <w:sz w:val="18"/>
                <w:szCs w:val="18"/>
              </w:rPr>
              <w:t>The purpose of the training was to lead California educators through the</w:t>
            </w:r>
            <w:r>
              <w:rPr>
                <w:rFonts w:cs="Arial"/>
                <w:sz w:val="18"/>
                <w:szCs w:val="18"/>
              </w:rPr>
              <w:t xml:space="preserve"> CCSS</w:t>
            </w:r>
            <w:r w:rsidRPr="00AD3F98">
              <w:rPr>
                <w:rFonts w:cs="Arial"/>
                <w:sz w:val="18"/>
                <w:szCs w:val="18"/>
              </w:rPr>
              <w:t xml:space="preserve"> en Español and detail how to write items that are appropriate and free of bias and sensitivity issues. Educators learned about various technology-enabled items that will be used for the new CSA.</w:t>
            </w:r>
          </w:p>
          <w:p w14:paraId="1A1CA07F" w14:textId="77777777" w:rsidR="00C46B2E" w:rsidRPr="006C06D8" w:rsidRDefault="00C46B2E" w:rsidP="000A3682">
            <w:pPr>
              <w:pStyle w:val="ListParagraph"/>
              <w:numPr>
                <w:ilvl w:val="0"/>
                <w:numId w:val="9"/>
              </w:numPr>
              <w:spacing w:before="120" w:after="120"/>
              <w:rPr>
                <w:rFonts w:eastAsiaTheme="minorHAnsi" w:cs="Arial"/>
                <w:sz w:val="18"/>
                <w:szCs w:val="18"/>
              </w:rPr>
            </w:pPr>
            <w:r>
              <w:rPr>
                <w:rFonts w:eastAsia="Calibri" w:cs="Arial"/>
                <w:sz w:val="18"/>
                <w:szCs w:val="18"/>
              </w:rPr>
              <w:t>From</w:t>
            </w:r>
            <w:r w:rsidRPr="006C06D8">
              <w:rPr>
                <w:rFonts w:eastAsia="Calibri" w:cs="Arial"/>
                <w:sz w:val="18"/>
                <w:szCs w:val="18"/>
              </w:rPr>
              <w:t xml:space="preserve"> October 11</w:t>
            </w:r>
            <w:r>
              <w:rPr>
                <w:rFonts w:eastAsia="Calibri" w:cs="Arial"/>
                <w:sz w:val="18"/>
                <w:szCs w:val="18"/>
              </w:rPr>
              <w:t xml:space="preserve"> through </w:t>
            </w:r>
            <w:r w:rsidRPr="006C06D8">
              <w:rPr>
                <w:rFonts w:eastAsia="Calibri" w:cs="Arial"/>
                <w:sz w:val="18"/>
                <w:szCs w:val="18"/>
              </w:rPr>
              <w:t>14, 2016, a separate group of</w:t>
            </w:r>
            <w:r>
              <w:rPr>
                <w:rFonts w:eastAsia="Calibri" w:cs="Arial"/>
                <w:sz w:val="18"/>
                <w:szCs w:val="18"/>
              </w:rPr>
              <w:t xml:space="preserve"> 17</w:t>
            </w:r>
            <w:r w:rsidRPr="006C06D8">
              <w:rPr>
                <w:rFonts w:eastAsia="Calibri" w:cs="Arial"/>
                <w:sz w:val="18"/>
                <w:szCs w:val="18"/>
              </w:rPr>
              <w:t xml:space="preserve"> bilingual educators participated in item and passage review meetings. The purpose of th</w:t>
            </w:r>
            <w:r>
              <w:rPr>
                <w:rFonts w:eastAsia="Calibri" w:cs="Arial"/>
                <w:sz w:val="18"/>
                <w:szCs w:val="18"/>
              </w:rPr>
              <w:t>ese</w:t>
            </w:r>
            <w:r w:rsidRPr="006C06D8">
              <w:rPr>
                <w:rFonts w:eastAsia="Calibri" w:cs="Arial"/>
                <w:sz w:val="18"/>
                <w:szCs w:val="18"/>
              </w:rPr>
              <w:t xml:space="preserve"> meeting</w:t>
            </w:r>
            <w:r>
              <w:rPr>
                <w:rFonts w:eastAsia="Calibri" w:cs="Arial"/>
                <w:sz w:val="18"/>
                <w:szCs w:val="18"/>
              </w:rPr>
              <w:t>s</w:t>
            </w:r>
            <w:r w:rsidRPr="006C06D8">
              <w:rPr>
                <w:rFonts w:eastAsia="Calibri" w:cs="Arial"/>
                <w:sz w:val="18"/>
                <w:szCs w:val="18"/>
              </w:rPr>
              <w:t xml:space="preserve"> </w:t>
            </w:r>
            <w:r>
              <w:rPr>
                <w:rFonts w:eastAsia="Calibri" w:cs="Arial"/>
                <w:sz w:val="18"/>
                <w:szCs w:val="18"/>
              </w:rPr>
              <w:t>was</w:t>
            </w:r>
            <w:r w:rsidRPr="006C06D8">
              <w:rPr>
                <w:rFonts w:eastAsia="Calibri" w:cs="Arial"/>
                <w:sz w:val="18"/>
                <w:szCs w:val="18"/>
              </w:rPr>
              <w:t xml:space="preserve"> to review the test items for content and bias and sensitivity concerns. </w:t>
            </w:r>
          </w:p>
          <w:p w14:paraId="5745F71C" w14:textId="77777777" w:rsidR="00C46B2E" w:rsidRPr="006C06D8" w:rsidRDefault="00C46B2E" w:rsidP="000A3682">
            <w:pPr>
              <w:pStyle w:val="ListParagraph"/>
              <w:numPr>
                <w:ilvl w:val="0"/>
                <w:numId w:val="9"/>
              </w:numPr>
              <w:spacing w:before="120" w:after="120"/>
              <w:rPr>
                <w:rFonts w:eastAsiaTheme="minorHAnsi" w:cs="Arial"/>
                <w:sz w:val="18"/>
                <w:szCs w:val="18"/>
              </w:rPr>
            </w:pPr>
            <w:r>
              <w:rPr>
                <w:rFonts w:eastAsiaTheme="minorHAnsi" w:cs="Arial"/>
                <w:sz w:val="18"/>
                <w:szCs w:val="18"/>
              </w:rPr>
              <w:t>In November 2016, the CDE and ETS met with nationally renowned experts in linguistics, Dr. Kenji Hakuta and Dr. Guadalupe Valdés, to receive input on the draft achievement level descriptors (ALDs) and the blueprints for the CSA.</w:t>
            </w:r>
          </w:p>
          <w:p w14:paraId="3225D83F" w14:textId="77777777" w:rsidR="00C46B2E" w:rsidRPr="006C06D8" w:rsidRDefault="00C46B2E" w:rsidP="000A3682">
            <w:pPr>
              <w:pStyle w:val="ListParagraph"/>
              <w:numPr>
                <w:ilvl w:val="0"/>
                <w:numId w:val="9"/>
              </w:numPr>
              <w:spacing w:before="120" w:after="120"/>
              <w:rPr>
                <w:rFonts w:eastAsiaTheme="minorHAnsi" w:cs="Arial"/>
                <w:sz w:val="18"/>
                <w:szCs w:val="18"/>
              </w:rPr>
            </w:pPr>
            <w:r w:rsidRPr="006C06D8">
              <w:rPr>
                <w:rFonts w:cs="Arial"/>
                <w:sz w:val="18"/>
                <w:szCs w:val="18"/>
              </w:rPr>
              <w:t xml:space="preserve">In December 2016, the CDE reviewed the pilot test plan and test forms in preparation for the pilot test. </w:t>
            </w:r>
          </w:p>
          <w:p w14:paraId="70E5B204" w14:textId="77777777" w:rsidR="00C46B2E" w:rsidRPr="00044493" w:rsidRDefault="00C46B2E" w:rsidP="000A3682">
            <w:pPr>
              <w:pStyle w:val="ListParagraph"/>
              <w:numPr>
                <w:ilvl w:val="0"/>
                <w:numId w:val="9"/>
              </w:numPr>
              <w:spacing w:before="120" w:after="120"/>
              <w:rPr>
                <w:rFonts w:cs="Arial"/>
                <w:sz w:val="18"/>
                <w:szCs w:val="18"/>
              </w:rPr>
            </w:pPr>
            <w:r w:rsidRPr="006C06D8">
              <w:rPr>
                <w:rFonts w:eastAsiaTheme="minorHAnsi" w:cs="Arial"/>
                <w:sz w:val="18"/>
                <w:szCs w:val="18"/>
              </w:rPr>
              <w:t>On December 6 and 7, the CDE and ETS met with California educators via WebEx to receive input on the</w:t>
            </w:r>
            <w:r>
              <w:rPr>
                <w:rFonts w:eastAsiaTheme="minorHAnsi" w:cs="Arial"/>
                <w:sz w:val="18"/>
                <w:szCs w:val="18"/>
              </w:rPr>
              <w:t xml:space="preserve"> </w:t>
            </w:r>
            <w:r w:rsidRPr="006C06D8">
              <w:rPr>
                <w:rFonts w:eastAsiaTheme="minorHAnsi" w:cs="Arial"/>
                <w:sz w:val="18"/>
                <w:szCs w:val="18"/>
              </w:rPr>
              <w:t xml:space="preserve">CSA blueprints. </w:t>
            </w:r>
          </w:p>
        </w:tc>
      </w:tr>
      <w:tr w:rsidR="00C46B2E" w:rsidRPr="00C64273" w14:paraId="6F36751D" w14:textId="77777777" w:rsidTr="000A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97" w:type="dxa"/>
            <w:shd w:val="clear" w:color="auto" w:fill="C6D9F1"/>
            <w:vAlign w:val="center"/>
          </w:tcPr>
          <w:p w14:paraId="766D855E" w14:textId="77777777" w:rsidR="00C46B2E" w:rsidRDefault="00C46B2E" w:rsidP="000A3682">
            <w:pPr>
              <w:spacing w:before="120" w:after="120"/>
              <w:rPr>
                <w:rFonts w:cs="Arial"/>
                <w:b/>
                <w:sz w:val="20"/>
              </w:rPr>
            </w:pPr>
            <w:r>
              <w:rPr>
                <w:rFonts w:cs="Arial"/>
                <w:b/>
                <w:sz w:val="20"/>
              </w:rPr>
              <w:t>EAP</w:t>
            </w:r>
          </w:p>
          <w:p w14:paraId="62A25BE3" w14:textId="77777777" w:rsidR="00C46B2E" w:rsidRPr="006D2073"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Section 60640[b][4])</w:t>
            </w:r>
          </w:p>
        </w:tc>
        <w:tc>
          <w:tcPr>
            <w:tcW w:w="5850" w:type="dxa"/>
            <w:shd w:val="clear" w:color="auto" w:fill="auto"/>
            <w:tcMar>
              <w:top w:w="29" w:type="dxa"/>
              <w:left w:w="115" w:type="dxa"/>
              <w:bottom w:w="29" w:type="dxa"/>
              <w:right w:w="115" w:type="dxa"/>
            </w:tcMar>
          </w:tcPr>
          <w:p w14:paraId="09ABED4F" w14:textId="77777777" w:rsidR="00C46B2E" w:rsidRPr="0048557B" w:rsidRDefault="00C46B2E" w:rsidP="000A3682">
            <w:pPr>
              <w:pStyle w:val="ListParagraph"/>
              <w:numPr>
                <w:ilvl w:val="0"/>
                <w:numId w:val="40"/>
              </w:numPr>
              <w:spacing w:before="120" w:after="120"/>
              <w:rPr>
                <w:rFonts w:cs="Arial"/>
                <w:sz w:val="18"/>
                <w:szCs w:val="18"/>
              </w:rPr>
            </w:pPr>
            <w:r w:rsidRPr="0048557B">
              <w:rPr>
                <w:rFonts w:cs="Arial"/>
                <w:sz w:val="18"/>
                <w:szCs w:val="18"/>
              </w:rPr>
              <w:t>The EAP used the Smarter Balanced Summative Assessment achievement level for high school beginning in 2014–15 and is set to continue to do so.</w:t>
            </w:r>
          </w:p>
        </w:tc>
        <w:tc>
          <w:tcPr>
            <w:tcW w:w="6120" w:type="dxa"/>
            <w:shd w:val="clear" w:color="auto" w:fill="auto"/>
            <w:tcMar>
              <w:top w:w="29" w:type="dxa"/>
              <w:left w:w="115" w:type="dxa"/>
              <w:bottom w:w="29" w:type="dxa"/>
              <w:right w:w="115" w:type="dxa"/>
            </w:tcMar>
          </w:tcPr>
          <w:p w14:paraId="23BB9B03" w14:textId="77777777" w:rsidR="00C46B2E" w:rsidRPr="007F27A0" w:rsidRDefault="00C46B2E" w:rsidP="000A3682">
            <w:pPr>
              <w:pStyle w:val="ListParagraph"/>
              <w:numPr>
                <w:ilvl w:val="0"/>
                <w:numId w:val="20"/>
              </w:numPr>
              <w:spacing w:before="120" w:after="120"/>
              <w:ind w:left="277" w:hanging="277"/>
              <w:rPr>
                <w:rFonts w:cs="Arial"/>
                <w:sz w:val="18"/>
                <w:szCs w:val="18"/>
              </w:rPr>
            </w:pPr>
            <w:r>
              <w:rPr>
                <w:rFonts w:cs="Arial"/>
                <w:sz w:val="18"/>
                <w:szCs w:val="18"/>
              </w:rPr>
              <w:t>No changes.</w:t>
            </w:r>
          </w:p>
        </w:tc>
      </w:tr>
      <w:tr w:rsidR="00C46B2E" w:rsidRPr="00C64273" w14:paraId="35761046" w14:textId="77777777" w:rsidTr="000A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7" w:type="dxa"/>
            <w:shd w:val="clear" w:color="auto" w:fill="C6D9F1"/>
            <w:vAlign w:val="center"/>
          </w:tcPr>
          <w:p w14:paraId="1737CE20" w14:textId="77777777" w:rsidR="00C46B2E" w:rsidRDefault="00C46B2E" w:rsidP="000A3682">
            <w:pPr>
              <w:spacing w:before="120" w:after="120"/>
              <w:rPr>
                <w:rFonts w:cs="Arial"/>
                <w:sz w:val="16"/>
                <w:szCs w:val="16"/>
              </w:rPr>
            </w:pPr>
            <w:r>
              <w:rPr>
                <w:rFonts w:cs="Arial"/>
                <w:b/>
                <w:sz w:val="20"/>
              </w:rPr>
              <w:t>CAASPP Expansion</w:t>
            </w:r>
          </w:p>
          <w:p w14:paraId="52EB6D60" w14:textId="77777777" w:rsidR="00C46B2E" w:rsidRPr="00F12124" w:rsidRDefault="00C46B2E" w:rsidP="000A3682">
            <w:pPr>
              <w:spacing w:before="120" w:after="120"/>
              <w:rPr>
                <w:rFonts w:cs="Arial"/>
                <w:sz w:val="16"/>
                <w:szCs w:val="16"/>
              </w:rPr>
            </w:pPr>
            <w:r>
              <w:rPr>
                <w:rFonts w:cs="Arial"/>
                <w:sz w:val="16"/>
                <w:szCs w:val="16"/>
              </w:rPr>
              <w:t>(</w:t>
            </w:r>
            <w:r w:rsidRPr="00BC5F2D">
              <w:rPr>
                <w:rFonts w:cs="Arial"/>
                <w:i/>
                <w:sz w:val="16"/>
                <w:szCs w:val="16"/>
              </w:rPr>
              <w:t>EC</w:t>
            </w:r>
            <w:r>
              <w:rPr>
                <w:rFonts w:cs="Arial"/>
                <w:sz w:val="16"/>
                <w:szCs w:val="16"/>
              </w:rPr>
              <w:t xml:space="preserve"> Section 60649[c])</w:t>
            </w:r>
          </w:p>
        </w:tc>
        <w:tc>
          <w:tcPr>
            <w:tcW w:w="5850" w:type="dxa"/>
            <w:shd w:val="clear" w:color="auto" w:fill="auto"/>
            <w:tcMar>
              <w:top w:w="29" w:type="dxa"/>
              <w:left w:w="115" w:type="dxa"/>
              <w:bottom w:w="29" w:type="dxa"/>
              <w:right w:w="115" w:type="dxa"/>
            </w:tcMar>
          </w:tcPr>
          <w:p w14:paraId="2CCFEE38" w14:textId="77777777" w:rsidR="00C46B2E" w:rsidRPr="009F51EE" w:rsidRDefault="00C46B2E" w:rsidP="000A3682">
            <w:pPr>
              <w:pStyle w:val="ListParagraph"/>
              <w:numPr>
                <w:ilvl w:val="0"/>
                <w:numId w:val="20"/>
              </w:numPr>
              <w:spacing w:before="120" w:after="120"/>
              <w:rPr>
                <w:rFonts w:cs="Arial"/>
                <w:sz w:val="18"/>
                <w:szCs w:val="18"/>
              </w:rPr>
            </w:pPr>
            <w:r w:rsidRPr="009F51EE">
              <w:rPr>
                <w:rFonts w:cs="Arial"/>
                <w:sz w:val="18"/>
                <w:szCs w:val="18"/>
              </w:rPr>
              <w:t xml:space="preserve">The CDE and the testing contractor made preparations for hosting a series of stakeholder meetings in 2015 to solicit input for assessments in other subjects and/or grades specified in </w:t>
            </w:r>
            <w:r w:rsidRPr="009F51EE">
              <w:rPr>
                <w:rFonts w:cs="Arial"/>
                <w:i/>
                <w:sz w:val="18"/>
                <w:szCs w:val="18"/>
              </w:rPr>
              <w:t>EC</w:t>
            </w:r>
            <w:r w:rsidRPr="009F51EE">
              <w:rPr>
                <w:rFonts w:cs="Arial"/>
                <w:sz w:val="18"/>
                <w:szCs w:val="18"/>
              </w:rPr>
              <w:t xml:space="preserve"> Section 60640. </w:t>
            </w:r>
          </w:p>
          <w:p w14:paraId="3FF294DD" w14:textId="77777777" w:rsidR="00C46B2E" w:rsidRPr="009F51EE" w:rsidRDefault="00C46B2E" w:rsidP="000A3682">
            <w:pPr>
              <w:pStyle w:val="ListParagraph"/>
              <w:numPr>
                <w:ilvl w:val="0"/>
                <w:numId w:val="20"/>
              </w:numPr>
              <w:spacing w:before="120" w:after="120"/>
              <w:rPr>
                <w:rFonts w:cs="Arial"/>
                <w:sz w:val="18"/>
                <w:szCs w:val="18"/>
              </w:rPr>
            </w:pPr>
            <w:r w:rsidRPr="009F51EE">
              <w:rPr>
                <w:rFonts w:cs="Arial"/>
                <w:sz w:val="18"/>
                <w:szCs w:val="18"/>
              </w:rPr>
              <w:t xml:space="preserve">In fall 2015, the CDE contracted with WestEd’s Standards, Assessment, and Accountability Services (SAAS) program, to build on this initial work through a series of activities that could further inform the SSPI during his decision-making about recommendations to present to the SBE. </w:t>
            </w:r>
          </w:p>
          <w:p w14:paraId="5845B6CE" w14:textId="77777777" w:rsidR="00C46B2E" w:rsidRPr="009F51EE" w:rsidRDefault="00C46B2E" w:rsidP="000A3682">
            <w:pPr>
              <w:pStyle w:val="ListParagraph"/>
              <w:numPr>
                <w:ilvl w:val="0"/>
                <w:numId w:val="20"/>
              </w:numPr>
              <w:spacing w:before="120" w:after="120"/>
              <w:rPr>
                <w:rFonts w:cs="Arial"/>
                <w:sz w:val="18"/>
                <w:szCs w:val="18"/>
              </w:rPr>
            </w:pPr>
            <w:r w:rsidRPr="009F51EE">
              <w:rPr>
                <w:rFonts w:cs="Arial"/>
                <w:sz w:val="18"/>
                <w:szCs w:val="18"/>
              </w:rPr>
              <w:lastRenderedPageBreak/>
              <w:t xml:space="preserve">In November 2015, (prior to the authorization of ESSA, the CDE conducted three meetings with the assistance of the SJCOE and WestEd. The first two meetings, attended by education policy advisors, provided the attendees an opportunity to examine the landscape of California’s schools and provide suggestions for the role assessments should play in improving teaching and learning. Specifically, these policy stakeholders also provided suggestions on the </w:t>
            </w:r>
            <w:r>
              <w:rPr>
                <w:rFonts w:cs="Arial"/>
                <w:sz w:val="18"/>
                <w:szCs w:val="18"/>
              </w:rPr>
              <w:t>S</w:t>
            </w:r>
            <w:r w:rsidRPr="009F51EE">
              <w:rPr>
                <w:rFonts w:cs="Arial"/>
                <w:sz w:val="18"/>
                <w:szCs w:val="18"/>
              </w:rPr>
              <w:t>tate’s role in a comprehensive assessment system.</w:t>
            </w:r>
          </w:p>
          <w:p w14:paraId="0582D27C" w14:textId="77777777" w:rsidR="00C46B2E" w:rsidRPr="009F51EE" w:rsidRDefault="00C46B2E" w:rsidP="000A3682">
            <w:pPr>
              <w:pStyle w:val="ListParagraph"/>
              <w:numPr>
                <w:ilvl w:val="0"/>
                <w:numId w:val="20"/>
              </w:numPr>
              <w:spacing w:before="120" w:after="120"/>
              <w:rPr>
                <w:rFonts w:cs="Arial"/>
                <w:sz w:val="18"/>
                <w:szCs w:val="18"/>
              </w:rPr>
            </w:pPr>
            <w:r w:rsidRPr="009F51EE">
              <w:rPr>
                <w:rFonts w:cs="Arial"/>
                <w:sz w:val="18"/>
                <w:szCs w:val="18"/>
              </w:rPr>
              <w:t>On December 8, 2015, a third meeting was held to gather information from higher education leaders on what they see as the future of the California assessment system. These policy leaders provided advice on how the K–12 assessment system can be consistent with higher education expectations for entering freshman.</w:t>
            </w:r>
          </w:p>
        </w:tc>
        <w:tc>
          <w:tcPr>
            <w:tcW w:w="6120" w:type="dxa"/>
            <w:shd w:val="clear" w:color="auto" w:fill="auto"/>
            <w:tcMar>
              <w:top w:w="29" w:type="dxa"/>
              <w:left w:w="115" w:type="dxa"/>
              <w:bottom w:w="29" w:type="dxa"/>
              <w:right w:w="115" w:type="dxa"/>
            </w:tcMar>
          </w:tcPr>
          <w:p w14:paraId="06D183C4" w14:textId="77777777" w:rsidR="00C46B2E" w:rsidRDefault="00C46B2E" w:rsidP="000A3682">
            <w:pPr>
              <w:pStyle w:val="ListParagraph"/>
              <w:numPr>
                <w:ilvl w:val="0"/>
                <w:numId w:val="5"/>
              </w:numPr>
              <w:autoSpaceDE w:val="0"/>
              <w:autoSpaceDN w:val="0"/>
              <w:adjustRightInd w:val="0"/>
              <w:spacing w:before="120"/>
              <w:rPr>
                <w:rFonts w:cs="Arial"/>
                <w:color w:val="000000"/>
                <w:sz w:val="18"/>
                <w:szCs w:val="18"/>
              </w:rPr>
            </w:pPr>
            <w:r w:rsidRPr="00917A70">
              <w:rPr>
                <w:sz w:val="18"/>
                <w:szCs w:val="18"/>
              </w:rPr>
              <w:lastRenderedPageBreak/>
              <w:t xml:space="preserve">In January 2016, the CDE provided the SBE with the Framework for the Development of </w:t>
            </w:r>
            <w:r w:rsidRPr="00917A70">
              <w:rPr>
                <w:i/>
                <w:sz w:val="18"/>
                <w:szCs w:val="18"/>
              </w:rPr>
              <w:t>California’s Comprehensive K–12 Assessment System: A Vision for the Future</w:t>
            </w:r>
            <w:r w:rsidRPr="00917A70">
              <w:rPr>
                <w:sz w:val="18"/>
                <w:szCs w:val="18"/>
              </w:rPr>
              <w:t>. This framework was prepared by the CDE</w:t>
            </w:r>
            <w:r w:rsidRPr="00917A70">
              <w:rPr>
                <w:rFonts w:cs="Arial"/>
                <w:sz w:val="18"/>
                <w:szCs w:val="18"/>
                <w:lang w:eastAsia="x-none"/>
              </w:rPr>
              <w:t xml:space="preserve">, in cooperation with </w:t>
            </w:r>
            <w:r>
              <w:rPr>
                <w:rFonts w:cs="Arial"/>
                <w:sz w:val="18"/>
                <w:szCs w:val="18"/>
                <w:lang w:eastAsia="x-none"/>
              </w:rPr>
              <w:t xml:space="preserve">the </w:t>
            </w:r>
            <w:r w:rsidRPr="00917A70">
              <w:rPr>
                <w:rFonts w:cs="Arial"/>
                <w:sz w:val="18"/>
                <w:szCs w:val="18"/>
                <w:lang w:eastAsia="x-none"/>
              </w:rPr>
              <w:t>SJCOE and WestEd.</w:t>
            </w:r>
            <w:r w:rsidRPr="00917A70">
              <w:rPr>
                <w:rFonts w:cs="Arial"/>
                <w:color w:val="000000"/>
                <w:sz w:val="18"/>
                <w:szCs w:val="18"/>
              </w:rPr>
              <w:t xml:space="preserve"> </w:t>
            </w:r>
            <w:r>
              <w:rPr>
                <w:rFonts w:cs="Arial"/>
                <w:color w:val="000000"/>
                <w:sz w:val="18"/>
                <w:szCs w:val="18"/>
              </w:rPr>
              <w:t xml:space="preserve">It appears in Item 5 of the January 2016 SBE Meeting Agenda, which is posted at </w:t>
            </w:r>
            <w:hyperlink r:id="rId49" w:history="1">
              <w:r w:rsidRPr="00917A70">
                <w:rPr>
                  <w:rStyle w:val="Hyperlink"/>
                  <w:rFonts w:cs="Arial"/>
                  <w:sz w:val="18"/>
                  <w:szCs w:val="18"/>
                </w:rPr>
                <w:t>http://www.cde.ca.gov/be/ag/ag/yr16/documents/jan16item05.doc</w:t>
              </w:r>
            </w:hyperlink>
            <w:r w:rsidRPr="00917A70">
              <w:rPr>
                <w:rFonts w:cs="Arial"/>
                <w:color w:val="000000"/>
                <w:sz w:val="18"/>
                <w:szCs w:val="18"/>
              </w:rPr>
              <w:t>.</w:t>
            </w:r>
          </w:p>
          <w:p w14:paraId="2EB8A9D5" w14:textId="77777777" w:rsidR="00C46B2E" w:rsidRPr="00926BB9" w:rsidRDefault="00C46B2E" w:rsidP="000A3682">
            <w:pPr>
              <w:pStyle w:val="ListParagraph"/>
              <w:numPr>
                <w:ilvl w:val="0"/>
                <w:numId w:val="5"/>
              </w:numPr>
              <w:spacing w:before="120" w:after="120"/>
              <w:rPr>
                <w:rFonts w:cs="Arial"/>
                <w:sz w:val="18"/>
                <w:szCs w:val="18"/>
              </w:rPr>
            </w:pPr>
            <w:r w:rsidRPr="00926BB9">
              <w:rPr>
                <w:rFonts w:cs="Arial"/>
                <w:sz w:val="18"/>
                <w:szCs w:val="18"/>
              </w:rPr>
              <w:t xml:space="preserve">In March 2016, the CDE released its </w:t>
            </w:r>
            <w:r w:rsidRPr="00926BB9">
              <w:rPr>
                <w:rFonts w:cs="Arial"/>
                <w:i/>
                <w:sz w:val="18"/>
                <w:szCs w:val="18"/>
              </w:rPr>
              <w:t>Recommendations for Expanding California’s Comprehensive Assessment System</w:t>
            </w:r>
            <w:r w:rsidRPr="00926BB9">
              <w:rPr>
                <w:rFonts w:cs="Arial"/>
                <w:sz w:val="18"/>
                <w:szCs w:val="18"/>
              </w:rPr>
              <w:t xml:space="preserve">. The document is </w:t>
            </w:r>
            <w:r>
              <w:rPr>
                <w:rFonts w:cs="Arial"/>
                <w:sz w:val="18"/>
                <w:szCs w:val="18"/>
              </w:rPr>
              <w:t xml:space="preserve">posted </w:t>
            </w:r>
            <w:r w:rsidRPr="00926BB9">
              <w:rPr>
                <w:rFonts w:cs="Arial"/>
                <w:sz w:val="18"/>
                <w:szCs w:val="18"/>
              </w:rPr>
              <w:t xml:space="preserve">on the CDE Implementation of CAASPP Web </w:t>
            </w:r>
            <w:r w:rsidRPr="00926BB9">
              <w:rPr>
                <w:rFonts w:cs="Arial"/>
                <w:sz w:val="18"/>
                <w:szCs w:val="18"/>
              </w:rPr>
              <w:lastRenderedPageBreak/>
              <w:t xml:space="preserve">page at </w:t>
            </w:r>
            <w:hyperlink r:id="rId50" w:history="1">
              <w:r w:rsidRPr="00926BB9">
                <w:rPr>
                  <w:rStyle w:val="Hyperlink"/>
                  <w:rFonts w:cs="Arial"/>
                  <w:sz w:val="18"/>
                  <w:szCs w:val="18"/>
                </w:rPr>
                <w:t>http://www.cde.ca.gov/ta/tg/ca/caasppimplementation.asp</w:t>
              </w:r>
            </w:hyperlink>
            <w:r w:rsidRPr="00006D5A">
              <w:rPr>
                <w:rStyle w:val="Hyperlink"/>
                <w:rFonts w:cs="Arial"/>
                <w:color w:val="auto"/>
                <w:sz w:val="18"/>
                <w:szCs w:val="18"/>
                <w:u w:val="none"/>
              </w:rPr>
              <w:t>.</w:t>
            </w:r>
          </w:p>
          <w:p w14:paraId="7D58099F" w14:textId="77777777" w:rsidR="00C46B2E" w:rsidRPr="001D3B97" w:rsidRDefault="00C46B2E" w:rsidP="000A3682">
            <w:pPr>
              <w:numPr>
                <w:ilvl w:val="0"/>
                <w:numId w:val="5"/>
              </w:numPr>
              <w:spacing w:before="120" w:after="120"/>
              <w:rPr>
                <w:rFonts w:cs="Arial"/>
                <w:sz w:val="18"/>
                <w:szCs w:val="18"/>
              </w:rPr>
            </w:pPr>
            <w:r w:rsidRPr="00E71513">
              <w:rPr>
                <w:rFonts w:cs="Arial"/>
                <w:sz w:val="18"/>
                <w:szCs w:val="18"/>
              </w:rPr>
              <w:t xml:space="preserve">In July 2016, the SBE approved that a public hearing be held to adopt the draft </w:t>
            </w:r>
            <w:r w:rsidRPr="00E71513">
              <w:rPr>
                <w:rFonts w:cs="Arial"/>
                <w:i/>
                <w:sz w:val="18"/>
                <w:szCs w:val="18"/>
              </w:rPr>
              <w:t>History–Social Science Framework</w:t>
            </w:r>
            <w:r w:rsidRPr="00E71513">
              <w:rPr>
                <w:rFonts w:cs="Arial"/>
                <w:sz w:val="18"/>
                <w:szCs w:val="18"/>
              </w:rPr>
              <w:t xml:space="preserve">, including changes recommended by the IQC on May 19, 2016 and additions submitted during public comment at the July 2016 SBE meeting. </w:t>
            </w:r>
          </w:p>
        </w:tc>
      </w:tr>
      <w:tr w:rsidR="00C46B2E" w:rsidRPr="00C64273" w14:paraId="7D35DBC3" w14:textId="77777777" w:rsidTr="000A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1797" w:type="dxa"/>
            <w:shd w:val="clear" w:color="auto" w:fill="C6D9F1"/>
            <w:tcMar>
              <w:top w:w="29" w:type="dxa"/>
              <w:left w:w="115" w:type="dxa"/>
              <w:bottom w:w="29" w:type="dxa"/>
              <w:right w:w="115" w:type="dxa"/>
            </w:tcMar>
            <w:vAlign w:val="center"/>
          </w:tcPr>
          <w:p w14:paraId="0D5B1C7C" w14:textId="77777777" w:rsidR="00C46B2E" w:rsidRDefault="00C46B2E" w:rsidP="000A3682">
            <w:pPr>
              <w:spacing w:before="120" w:after="120"/>
              <w:rPr>
                <w:rFonts w:cs="Arial"/>
                <w:b/>
                <w:sz w:val="20"/>
              </w:rPr>
            </w:pPr>
            <w:r>
              <w:rPr>
                <w:rFonts w:cs="Arial"/>
                <w:b/>
                <w:sz w:val="20"/>
              </w:rPr>
              <w:lastRenderedPageBreak/>
              <w:t>Grade Two Diagnostic Assessments</w:t>
            </w:r>
          </w:p>
          <w:p w14:paraId="7B60665C" w14:textId="77777777" w:rsidR="00C46B2E" w:rsidRDefault="00C46B2E" w:rsidP="000A3682">
            <w:pPr>
              <w:spacing w:before="120" w:after="120"/>
              <w:rPr>
                <w:rFonts w:cs="Arial"/>
                <w:b/>
                <w:sz w:val="20"/>
              </w:rPr>
            </w:pPr>
            <w:r w:rsidRPr="004B143A">
              <w:rPr>
                <w:rFonts w:cs="Arial"/>
                <w:sz w:val="16"/>
                <w:szCs w:val="16"/>
              </w:rPr>
              <w:t>(</w:t>
            </w:r>
            <w:r w:rsidRPr="001B18D6">
              <w:rPr>
                <w:rFonts w:cs="Arial"/>
                <w:i/>
                <w:sz w:val="16"/>
                <w:szCs w:val="16"/>
              </w:rPr>
              <w:t>EC</w:t>
            </w:r>
            <w:r>
              <w:rPr>
                <w:rFonts w:cs="Arial"/>
                <w:sz w:val="16"/>
                <w:szCs w:val="16"/>
              </w:rPr>
              <w:t xml:space="preserve"> Section 60644)</w:t>
            </w:r>
          </w:p>
        </w:tc>
        <w:tc>
          <w:tcPr>
            <w:tcW w:w="5850" w:type="dxa"/>
            <w:shd w:val="clear" w:color="auto" w:fill="auto"/>
            <w:tcMar>
              <w:top w:w="29" w:type="dxa"/>
              <w:left w:w="115" w:type="dxa"/>
              <w:bottom w:w="29" w:type="dxa"/>
              <w:right w:w="115" w:type="dxa"/>
            </w:tcMar>
          </w:tcPr>
          <w:p w14:paraId="3C43C2CB" w14:textId="77777777" w:rsidR="00C46B2E" w:rsidRPr="0048557B" w:rsidRDefault="00C46B2E" w:rsidP="000A3682">
            <w:pPr>
              <w:pStyle w:val="ListParagraph"/>
              <w:numPr>
                <w:ilvl w:val="0"/>
                <w:numId w:val="41"/>
              </w:numPr>
              <w:spacing w:before="120" w:after="120"/>
              <w:rPr>
                <w:rFonts w:cs="Arial"/>
                <w:color w:val="FF0000"/>
                <w:sz w:val="18"/>
                <w:szCs w:val="18"/>
              </w:rPr>
            </w:pPr>
            <w:r w:rsidRPr="0048557B">
              <w:rPr>
                <w:rFonts w:cs="Arial"/>
                <w:sz w:val="18"/>
                <w:szCs w:val="18"/>
              </w:rPr>
              <w:t xml:space="preserve">On October 30, 2014, </w:t>
            </w:r>
            <w:r>
              <w:rPr>
                <w:rFonts w:cs="Arial"/>
                <w:sz w:val="18"/>
                <w:szCs w:val="18"/>
              </w:rPr>
              <w:t xml:space="preserve">the </w:t>
            </w:r>
            <w:r w:rsidRPr="0048557B">
              <w:rPr>
                <w:rFonts w:cs="Arial"/>
                <w:sz w:val="18"/>
                <w:szCs w:val="18"/>
              </w:rPr>
              <w:t xml:space="preserve">CCSS-aligned grade two diagnostic assessments </w:t>
            </w:r>
            <w:r>
              <w:rPr>
                <w:rFonts w:cs="Arial"/>
                <w:sz w:val="18"/>
                <w:szCs w:val="18"/>
              </w:rPr>
              <w:t>identified for use was released</w:t>
            </w:r>
            <w:r w:rsidRPr="0048557B">
              <w:rPr>
                <w:rFonts w:cs="Arial"/>
                <w:sz w:val="18"/>
                <w:szCs w:val="18"/>
              </w:rPr>
              <w:t xml:space="preserve"> on the CDE Grade Two Diagnostic </w:t>
            </w:r>
            <w:r>
              <w:rPr>
                <w:rFonts w:cs="Arial"/>
                <w:sz w:val="18"/>
                <w:szCs w:val="18"/>
              </w:rPr>
              <w:t xml:space="preserve">Assessments </w:t>
            </w:r>
            <w:r w:rsidRPr="0048557B">
              <w:rPr>
                <w:rFonts w:cs="Arial"/>
                <w:sz w:val="18"/>
                <w:szCs w:val="18"/>
              </w:rPr>
              <w:t xml:space="preserve">Web page at </w:t>
            </w:r>
            <w:hyperlink r:id="rId51" w:history="1">
              <w:r w:rsidRPr="0048557B">
                <w:rPr>
                  <w:rStyle w:val="Hyperlink"/>
                  <w:rFonts w:cs="Arial"/>
                  <w:sz w:val="18"/>
                  <w:szCs w:val="18"/>
                </w:rPr>
                <w:t>http://www.cde.ca.gov/ta/tg/da/</w:t>
              </w:r>
            </w:hyperlink>
            <w:r w:rsidRPr="0048557B">
              <w:rPr>
                <w:rFonts w:cs="Arial"/>
                <w:sz w:val="18"/>
                <w:szCs w:val="18"/>
              </w:rPr>
              <w:t>.</w:t>
            </w:r>
          </w:p>
        </w:tc>
        <w:tc>
          <w:tcPr>
            <w:tcW w:w="6120" w:type="dxa"/>
            <w:shd w:val="clear" w:color="auto" w:fill="auto"/>
            <w:tcMar>
              <w:top w:w="29" w:type="dxa"/>
              <w:left w:w="115" w:type="dxa"/>
              <w:bottom w:w="29" w:type="dxa"/>
              <w:right w:w="115" w:type="dxa"/>
            </w:tcMar>
          </w:tcPr>
          <w:p w14:paraId="0E94CAD4" w14:textId="77777777" w:rsidR="00C46B2E" w:rsidRPr="00CA34A2" w:rsidRDefault="00C46B2E" w:rsidP="000A3682">
            <w:pPr>
              <w:numPr>
                <w:ilvl w:val="0"/>
                <w:numId w:val="5"/>
              </w:numPr>
              <w:spacing w:before="120" w:after="120"/>
              <w:ind w:left="252" w:hanging="252"/>
              <w:rPr>
                <w:rFonts w:cs="Arial"/>
                <w:sz w:val="18"/>
                <w:szCs w:val="18"/>
              </w:rPr>
            </w:pPr>
            <w:r>
              <w:rPr>
                <w:rFonts w:cs="Arial"/>
                <w:sz w:val="18"/>
                <w:szCs w:val="18"/>
              </w:rPr>
              <w:t>No changes.</w:t>
            </w:r>
          </w:p>
        </w:tc>
      </w:tr>
    </w:tbl>
    <w:p w14:paraId="163CC340" w14:textId="77777777" w:rsidR="00BD3917" w:rsidRPr="00886BF4" w:rsidRDefault="00006D5A" w:rsidP="00BD3917">
      <w:pPr>
        <w:spacing w:before="120" w:after="120"/>
        <w:rPr>
          <w:b/>
        </w:rPr>
      </w:pPr>
      <w:r>
        <w:rPr>
          <w:b/>
        </w:rPr>
        <w:br w:type="textWrapping" w:clear="all"/>
      </w:r>
    </w:p>
    <w:p w14:paraId="341B2805" w14:textId="77777777" w:rsidR="00BD3917" w:rsidRDefault="00BD3917" w:rsidP="007150B0">
      <w:pPr>
        <w:widowControl/>
        <w:rPr>
          <w:rFonts w:cs="Arial"/>
          <w:b/>
          <w:szCs w:val="24"/>
        </w:rPr>
        <w:sectPr w:rsidR="00BD3917" w:rsidSect="00974F7D">
          <w:headerReference w:type="default" r:id="rId52"/>
          <w:headerReference w:type="first" r:id="rId53"/>
          <w:pgSz w:w="15840" w:h="12240" w:orient="landscape" w:code="1"/>
          <w:pgMar w:top="1440" w:right="1440" w:bottom="1152" w:left="1440" w:header="720" w:footer="720" w:gutter="0"/>
          <w:cols w:space="720"/>
          <w:titlePg/>
          <w:docGrid w:linePitch="360"/>
        </w:sectPr>
      </w:pPr>
    </w:p>
    <w:p w14:paraId="10DB2362" w14:textId="77777777" w:rsidR="000732BB" w:rsidRPr="00887557" w:rsidRDefault="000732BB" w:rsidP="0071253D">
      <w:pPr>
        <w:pStyle w:val="Heading2"/>
      </w:pPr>
      <w:bookmarkStart w:id="5" w:name="_Toc505780227"/>
      <w:r w:rsidRPr="00887557">
        <w:lastRenderedPageBreak/>
        <w:t>Contract Costs</w:t>
      </w:r>
      <w:bookmarkEnd w:id="5"/>
    </w:p>
    <w:p w14:paraId="41E918BB" w14:textId="77777777" w:rsidR="00E919A0" w:rsidRDefault="00E919A0" w:rsidP="007150B0">
      <w:pPr>
        <w:widowControl/>
        <w:rPr>
          <w:rFonts w:cs="Arial"/>
          <w:iCs/>
          <w:szCs w:val="24"/>
        </w:rPr>
      </w:pPr>
    </w:p>
    <w:p w14:paraId="26668544" w14:textId="77777777" w:rsidR="002C31DF" w:rsidRDefault="00CA6E94" w:rsidP="002C31DF">
      <w:pPr>
        <w:rPr>
          <w:rFonts w:cs="Arial"/>
          <w:szCs w:val="24"/>
        </w:rPr>
      </w:pPr>
      <w:r>
        <w:rPr>
          <w:szCs w:val="24"/>
        </w:rPr>
        <w:t>CAASPP</w:t>
      </w:r>
      <w:r w:rsidRPr="0034365A">
        <w:rPr>
          <w:szCs w:val="24"/>
        </w:rPr>
        <w:t xml:space="preserve"> contract costs are required to be approved by the </w:t>
      </w:r>
      <w:r>
        <w:rPr>
          <w:szCs w:val="24"/>
        </w:rPr>
        <w:t xml:space="preserve">SBE </w:t>
      </w:r>
      <w:r w:rsidR="008A2F2E">
        <w:rPr>
          <w:szCs w:val="24"/>
        </w:rPr>
        <w:t xml:space="preserve">and are contingent </w:t>
      </w:r>
      <w:r w:rsidR="008A2F2E">
        <w:rPr>
          <w:szCs w:val="24"/>
        </w:rPr>
        <w:br/>
      </w:r>
      <w:r w:rsidRPr="0034365A">
        <w:rPr>
          <w:szCs w:val="24"/>
        </w:rPr>
        <w:t xml:space="preserve">on </w:t>
      </w:r>
      <w:r w:rsidR="008A2F2E">
        <w:rPr>
          <w:szCs w:val="24"/>
        </w:rPr>
        <w:t xml:space="preserve">the </w:t>
      </w:r>
      <w:r w:rsidRPr="0034365A">
        <w:rPr>
          <w:szCs w:val="24"/>
        </w:rPr>
        <w:t>Department of Fina</w:t>
      </w:r>
      <w:r>
        <w:rPr>
          <w:szCs w:val="24"/>
        </w:rPr>
        <w:t>nce</w:t>
      </w:r>
      <w:r w:rsidR="008A2F2E">
        <w:rPr>
          <w:szCs w:val="24"/>
        </w:rPr>
        <w:t>’s</w:t>
      </w:r>
      <w:r>
        <w:rPr>
          <w:szCs w:val="24"/>
        </w:rPr>
        <w:t xml:space="preserve"> (DOF</w:t>
      </w:r>
      <w:r w:rsidR="008A2F2E">
        <w:rPr>
          <w:szCs w:val="24"/>
        </w:rPr>
        <w:t>’s</w:t>
      </w:r>
      <w:r>
        <w:rPr>
          <w:szCs w:val="24"/>
        </w:rPr>
        <w:t xml:space="preserve">) </w:t>
      </w:r>
      <w:r w:rsidRPr="003B43A1">
        <w:rPr>
          <w:szCs w:val="24"/>
        </w:rPr>
        <w:t xml:space="preserve">review of the </w:t>
      </w:r>
      <w:r w:rsidR="0091389E" w:rsidRPr="003B43A1">
        <w:rPr>
          <w:szCs w:val="24"/>
        </w:rPr>
        <w:t>contract</w:t>
      </w:r>
      <w:r w:rsidRPr="003B43A1">
        <w:rPr>
          <w:szCs w:val="24"/>
        </w:rPr>
        <w:t xml:space="preserve"> during contract negotiations, </w:t>
      </w:r>
      <w:r w:rsidR="002C43A8" w:rsidRPr="003B43A1">
        <w:rPr>
          <w:szCs w:val="24"/>
        </w:rPr>
        <w:t>before</w:t>
      </w:r>
      <w:r w:rsidRPr="003B43A1">
        <w:rPr>
          <w:szCs w:val="24"/>
        </w:rPr>
        <w:t xml:space="preserve"> its execution</w:t>
      </w:r>
      <w:r w:rsidRPr="0034365A">
        <w:rPr>
          <w:szCs w:val="24"/>
        </w:rPr>
        <w:t>.</w:t>
      </w:r>
      <w:r>
        <w:rPr>
          <w:szCs w:val="24"/>
        </w:rPr>
        <w:t xml:space="preserve"> </w:t>
      </w:r>
      <w:r w:rsidR="00560BBE" w:rsidRPr="00560BBE">
        <w:rPr>
          <w:szCs w:val="24"/>
        </w:rPr>
        <w:t xml:space="preserve">Per </w:t>
      </w:r>
      <w:r w:rsidR="00560BBE" w:rsidRPr="00560BBE">
        <w:rPr>
          <w:i/>
          <w:szCs w:val="24"/>
        </w:rPr>
        <w:t>EC</w:t>
      </w:r>
      <w:r w:rsidR="00560BBE" w:rsidRPr="00560BBE">
        <w:rPr>
          <w:szCs w:val="24"/>
        </w:rPr>
        <w:t xml:space="preserve"> Section 60643, the CDE, in consultation </w:t>
      </w:r>
      <w:r w:rsidR="008A2F2E">
        <w:rPr>
          <w:szCs w:val="24"/>
        </w:rPr>
        <w:br/>
      </w:r>
      <w:r w:rsidR="00560BBE" w:rsidRPr="00560BBE">
        <w:rPr>
          <w:szCs w:val="24"/>
        </w:rPr>
        <w:t>with the SBE, may make material amendments to the contract that do not increase the contract cost. Contract amendments t</w:t>
      </w:r>
      <w:r w:rsidR="005F78BD">
        <w:rPr>
          <w:szCs w:val="24"/>
        </w:rPr>
        <w:t>hat increase contract costs may</w:t>
      </w:r>
      <w:r w:rsidR="00560BBE" w:rsidRPr="00560BBE">
        <w:rPr>
          <w:szCs w:val="24"/>
        </w:rPr>
        <w:t xml:space="preserve"> </w:t>
      </w:r>
      <w:r w:rsidR="00A77022">
        <w:rPr>
          <w:szCs w:val="24"/>
        </w:rPr>
        <w:t>only</w:t>
      </w:r>
      <w:r w:rsidR="00A77022" w:rsidRPr="00560BBE">
        <w:rPr>
          <w:szCs w:val="24"/>
        </w:rPr>
        <w:t xml:space="preserve"> </w:t>
      </w:r>
      <w:r w:rsidR="00560BBE" w:rsidRPr="00560BBE">
        <w:rPr>
          <w:szCs w:val="24"/>
        </w:rPr>
        <w:t xml:space="preserve">be made with the approval of the CDE, the SBE, and the </w:t>
      </w:r>
      <w:r w:rsidR="00560BBE">
        <w:rPr>
          <w:szCs w:val="24"/>
        </w:rPr>
        <w:t>DOF</w:t>
      </w:r>
      <w:r w:rsidR="00560BBE" w:rsidRPr="00560BBE">
        <w:rPr>
          <w:szCs w:val="24"/>
        </w:rPr>
        <w:t>.</w:t>
      </w:r>
      <w:r w:rsidR="00560BBE">
        <w:rPr>
          <w:szCs w:val="24"/>
        </w:rPr>
        <w:t xml:space="preserve"> </w:t>
      </w:r>
      <w:r w:rsidR="00616B32">
        <w:rPr>
          <w:rFonts w:cs="Arial"/>
          <w:iCs/>
          <w:szCs w:val="24"/>
        </w:rPr>
        <w:t xml:space="preserve">As of the date of this report, </w:t>
      </w:r>
      <w:r w:rsidR="008A2F2E">
        <w:rPr>
          <w:rFonts w:cs="Arial"/>
          <w:iCs/>
          <w:szCs w:val="24"/>
        </w:rPr>
        <w:br/>
      </w:r>
      <w:r w:rsidR="00616B32">
        <w:rPr>
          <w:rFonts w:cs="Arial"/>
          <w:iCs/>
          <w:szCs w:val="24"/>
        </w:rPr>
        <w:t>t</w:t>
      </w:r>
      <w:r w:rsidR="005F78BD">
        <w:rPr>
          <w:rFonts w:cs="Arial"/>
          <w:iCs/>
          <w:szCs w:val="24"/>
        </w:rPr>
        <w:t xml:space="preserve">he CAASPP </w:t>
      </w:r>
      <w:r w:rsidR="00E3648C">
        <w:rPr>
          <w:rFonts w:cs="Arial"/>
          <w:iCs/>
          <w:szCs w:val="24"/>
        </w:rPr>
        <w:t>System</w:t>
      </w:r>
      <w:r w:rsidR="00F33262">
        <w:rPr>
          <w:rFonts w:cs="Arial"/>
          <w:iCs/>
          <w:szCs w:val="24"/>
        </w:rPr>
        <w:t xml:space="preserve"> includes the following </w:t>
      </w:r>
      <w:r w:rsidR="00D91B32">
        <w:rPr>
          <w:rFonts w:cs="Arial"/>
          <w:iCs/>
          <w:szCs w:val="24"/>
        </w:rPr>
        <w:t>C</w:t>
      </w:r>
      <w:r w:rsidR="00257722">
        <w:rPr>
          <w:rFonts w:cs="Arial"/>
          <w:iCs/>
          <w:szCs w:val="24"/>
        </w:rPr>
        <w:t xml:space="preserve">AASPP </w:t>
      </w:r>
      <w:r w:rsidR="00616B32">
        <w:rPr>
          <w:rFonts w:cs="Arial"/>
          <w:iCs/>
          <w:szCs w:val="24"/>
        </w:rPr>
        <w:t>c</w:t>
      </w:r>
      <w:r w:rsidR="00F33262">
        <w:rPr>
          <w:rFonts w:cs="Arial"/>
          <w:iCs/>
          <w:szCs w:val="24"/>
        </w:rPr>
        <w:t>ontracts:</w:t>
      </w:r>
      <w:r w:rsidR="00F53DE7">
        <w:rPr>
          <w:rFonts w:cs="Arial"/>
          <w:iCs/>
          <w:szCs w:val="24"/>
        </w:rPr>
        <w:t xml:space="preserve"> </w:t>
      </w:r>
      <w:r w:rsidR="006A5637">
        <w:rPr>
          <w:rFonts w:cs="Arial"/>
          <w:iCs/>
          <w:szCs w:val="24"/>
        </w:rPr>
        <w:t>(</w:t>
      </w:r>
      <w:r w:rsidR="00CE0B65">
        <w:rPr>
          <w:rFonts w:cs="Arial"/>
          <w:iCs/>
          <w:szCs w:val="24"/>
        </w:rPr>
        <w:t xml:space="preserve">1) </w:t>
      </w:r>
      <w:r w:rsidR="00F53DE7">
        <w:rPr>
          <w:rFonts w:cs="Arial"/>
          <w:iCs/>
          <w:szCs w:val="24"/>
        </w:rPr>
        <w:t>consortium-m</w:t>
      </w:r>
      <w:r w:rsidR="00F33262" w:rsidRPr="003305E5">
        <w:rPr>
          <w:rFonts w:cs="Arial"/>
          <w:iCs/>
          <w:szCs w:val="24"/>
        </w:rPr>
        <w:t xml:space="preserve">anaged </w:t>
      </w:r>
      <w:r w:rsidR="00F53DE7">
        <w:rPr>
          <w:rFonts w:cs="Arial"/>
          <w:iCs/>
          <w:szCs w:val="24"/>
        </w:rPr>
        <w:t>s</w:t>
      </w:r>
      <w:r w:rsidR="00F33262" w:rsidRPr="003305E5">
        <w:rPr>
          <w:rFonts w:cs="Arial"/>
          <w:iCs/>
          <w:szCs w:val="24"/>
        </w:rPr>
        <w:t>ervices</w:t>
      </w:r>
      <w:r w:rsidR="006A5637">
        <w:rPr>
          <w:rFonts w:cs="Arial"/>
          <w:iCs/>
          <w:szCs w:val="24"/>
        </w:rPr>
        <w:t>;</w:t>
      </w:r>
      <w:r w:rsidR="00F53DE7">
        <w:rPr>
          <w:rFonts w:cs="Arial"/>
          <w:iCs/>
          <w:szCs w:val="24"/>
        </w:rPr>
        <w:t xml:space="preserve"> </w:t>
      </w:r>
      <w:r w:rsidR="006A5637">
        <w:rPr>
          <w:rFonts w:cs="Arial"/>
          <w:iCs/>
          <w:szCs w:val="24"/>
        </w:rPr>
        <w:t>(</w:t>
      </w:r>
      <w:r w:rsidR="00CE0B65">
        <w:rPr>
          <w:rFonts w:cs="Arial"/>
          <w:iCs/>
          <w:szCs w:val="24"/>
        </w:rPr>
        <w:t xml:space="preserve">2) </w:t>
      </w:r>
      <w:r w:rsidR="00006D5A">
        <w:rPr>
          <w:rFonts w:cs="Arial"/>
          <w:iCs/>
          <w:szCs w:val="24"/>
        </w:rPr>
        <w:t>S</w:t>
      </w:r>
      <w:r w:rsidR="001A0F04">
        <w:rPr>
          <w:rFonts w:cs="Arial"/>
          <w:iCs/>
          <w:szCs w:val="24"/>
        </w:rPr>
        <w:t>tate-</w:t>
      </w:r>
      <w:r w:rsidR="00F53DE7">
        <w:rPr>
          <w:rFonts w:cs="Arial"/>
          <w:iCs/>
          <w:szCs w:val="24"/>
        </w:rPr>
        <w:t>managed s</w:t>
      </w:r>
      <w:r w:rsidR="001A0F04">
        <w:rPr>
          <w:rFonts w:cs="Arial"/>
          <w:iCs/>
          <w:szCs w:val="24"/>
        </w:rPr>
        <w:t>ervices</w:t>
      </w:r>
      <w:r w:rsidR="006A5637">
        <w:rPr>
          <w:rFonts w:cs="Arial"/>
          <w:iCs/>
          <w:szCs w:val="24"/>
        </w:rPr>
        <w:t>;</w:t>
      </w:r>
      <w:r w:rsidR="00F53DE7">
        <w:rPr>
          <w:rFonts w:cs="Arial"/>
          <w:iCs/>
          <w:szCs w:val="24"/>
        </w:rPr>
        <w:t xml:space="preserve"> </w:t>
      </w:r>
      <w:r w:rsidR="006A5637">
        <w:rPr>
          <w:rFonts w:cs="Arial"/>
          <w:iCs/>
          <w:szCs w:val="24"/>
        </w:rPr>
        <w:t>(</w:t>
      </w:r>
      <w:r w:rsidR="00CE0B65">
        <w:rPr>
          <w:rFonts w:cs="Arial"/>
          <w:iCs/>
          <w:szCs w:val="24"/>
        </w:rPr>
        <w:t xml:space="preserve">3) </w:t>
      </w:r>
      <w:r w:rsidR="00F53DE7">
        <w:rPr>
          <w:rFonts w:cs="Arial"/>
          <w:iCs/>
          <w:szCs w:val="24"/>
        </w:rPr>
        <w:t>independent e</w:t>
      </w:r>
      <w:r w:rsidR="001A0F04">
        <w:rPr>
          <w:rFonts w:cs="Arial"/>
          <w:iCs/>
          <w:szCs w:val="24"/>
        </w:rPr>
        <w:t>valuation</w:t>
      </w:r>
      <w:r w:rsidR="00F53DE7">
        <w:rPr>
          <w:rFonts w:cs="Arial"/>
          <w:iCs/>
          <w:szCs w:val="24"/>
        </w:rPr>
        <w:t xml:space="preserve">, and </w:t>
      </w:r>
      <w:r w:rsidR="006A5637">
        <w:rPr>
          <w:rFonts w:cs="Arial"/>
          <w:iCs/>
          <w:szCs w:val="24"/>
        </w:rPr>
        <w:t>(</w:t>
      </w:r>
      <w:r w:rsidR="00CE0B65">
        <w:rPr>
          <w:rFonts w:cs="Arial"/>
          <w:iCs/>
          <w:szCs w:val="24"/>
        </w:rPr>
        <w:t xml:space="preserve">4) </w:t>
      </w:r>
      <w:r w:rsidR="00F53DE7">
        <w:rPr>
          <w:rFonts w:cs="Arial"/>
          <w:iCs/>
          <w:szCs w:val="24"/>
        </w:rPr>
        <w:t>CAASPP</w:t>
      </w:r>
      <w:r w:rsidR="00CE4A2E">
        <w:rPr>
          <w:rFonts w:cs="Arial"/>
          <w:iCs/>
          <w:szCs w:val="24"/>
        </w:rPr>
        <w:t xml:space="preserve"> </w:t>
      </w:r>
      <w:r w:rsidR="005F78BD">
        <w:rPr>
          <w:rFonts w:cs="Arial"/>
          <w:iCs/>
          <w:szCs w:val="24"/>
        </w:rPr>
        <w:t>I</w:t>
      </w:r>
      <w:r w:rsidR="001A0F04">
        <w:rPr>
          <w:rFonts w:cs="Arial"/>
          <w:iCs/>
          <w:szCs w:val="24"/>
        </w:rPr>
        <w:t>nstitutes</w:t>
      </w:r>
      <w:r w:rsidR="00F53DE7">
        <w:rPr>
          <w:rFonts w:cs="Arial"/>
          <w:iCs/>
          <w:szCs w:val="24"/>
        </w:rPr>
        <w:t>.</w:t>
      </w:r>
    </w:p>
    <w:p w14:paraId="4613588C" w14:textId="77777777" w:rsidR="00E60A55" w:rsidRDefault="00E60A55" w:rsidP="00AD47E1">
      <w:pPr>
        <w:spacing w:before="120" w:after="120"/>
        <w:rPr>
          <w:szCs w:val="24"/>
        </w:rPr>
      </w:pPr>
    </w:p>
    <w:p w14:paraId="6F38BA57" w14:textId="77777777" w:rsidR="001A0F04" w:rsidRPr="0071253D" w:rsidRDefault="0009348F" w:rsidP="0071253D">
      <w:pPr>
        <w:pStyle w:val="Heading3"/>
      </w:pPr>
      <w:bookmarkStart w:id="6" w:name="_Toc505780228"/>
      <w:r w:rsidRPr="0071253D">
        <w:t>Consortium-m</w:t>
      </w:r>
      <w:r w:rsidR="00466EF7" w:rsidRPr="0071253D">
        <w:t>ana</w:t>
      </w:r>
      <w:r w:rsidR="00EA64A6" w:rsidRPr="0071253D">
        <w:t>ged S</w:t>
      </w:r>
      <w:r w:rsidR="001A0F04" w:rsidRPr="0071253D">
        <w:t>ervices</w:t>
      </w:r>
      <w:r w:rsidR="00CE0B65" w:rsidRPr="0071253D">
        <w:t xml:space="preserve"> Contract</w:t>
      </w:r>
      <w:bookmarkEnd w:id="6"/>
      <w:r w:rsidR="00AD47E1" w:rsidRPr="0071253D">
        <w:br/>
      </w:r>
    </w:p>
    <w:p w14:paraId="6E518062" w14:textId="77777777" w:rsidR="004164C9" w:rsidRPr="00B242A0" w:rsidRDefault="000732BB" w:rsidP="004164C9">
      <w:pPr>
        <w:widowControl/>
        <w:overflowPunct w:val="0"/>
        <w:autoSpaceDE w:val="0"/>
        <w:autoSpaceDN w:val="0"/>
        <w:adjustRightInd w:val="0"/>
        <w:textAlignment w:val="baseline"/>
        <w:rPr>
          <w:rFonts w:eastAsia="Calibri"/>
          <w:snapToGrid/>
          <w:szCs w:val="24"/>
        </w:rPr>
      </w:pPr>
      <w:r w:rsidRPr="00632201">
        <w:rPr>
          <w:rFonts w:cs="Arial"/>
          <w:iCs/>
          <w:szCs w:val="24"/>
        </w:rPr>
        <w:t xml:space="preserve">The consortium-managed </w:t>
      </w:r>
      <w:r w:rsidR="00E60A55">
        <w:rPr>
          <w:rFonts w:cs="Arial"/>
          <w:iCs/>
          <w:szCs w:val="24"/>
        </w:rPr>
        <w:t xml:space="preserve">services </w:t>
      </w:r>
      <w:r w:rsidR="005F78BD">
        <w:rPr>
          <w:rFonts w:cs="Arial"/>
          <w:iCs/>
          <w:szCs w:val="24"/>
        </w:rPr>
        <w:t>contract is a multi</w:t>
      </w:r>
      <w:r w:rsidR="008C65AC">
        <w:rPr>
          <w:rFonts w:cs="Arial"/>
          <w:iCs/>
          <w:szCs w:val="24"/>
        </w:rPr>
        <w:t>-</w:t>
      </w:r>
      <w:r w:rsidRPr="00632201">
        <w:rPr>
          <w:rFonts w:cs="Arial"/>
          <w:iCs/>
          <w:szCs w:val="24"/>
        </w:rPr>
        <w:t>year</w:t>
      </w:r>
      <w:r w:rsidR="0013218E">
        <w:rPr>
          <w:rFonts w:cs="Arial"/>
          <w:iCs/>
          <w:szCs w:val="24"/>
        </w:rPr>
        <w:t>,</w:t>
      </w:r>
      <w:r w:rsidRPr="00632201">
        <w:rPr>
          <w:rFonts w:cs="Arial"/>
          <w:iCs/>
          <w:szCs w:val="24"/>
        </w:rPr>
        <w:t xml:space="preserve"> </w:t>
      </w:r>
      <w:r w:rsidR="005F78BD">
        <w:rPr>
          <w:rFonts w:cs="Arial"/>
          <w:iCs/>
          <w:szCs w:val="24"/>
        </w:rPr>
        <w:t>sole-</w:t>
      </w:r>
      <w:r>
        <w:rPr>
          <w:rFonts w:cs="Arial"/>
          <w:iCs/>
          <w:szCs w:val="24"/>
        </w:rPr>
        <w:t xml:space="preserve">source </w:t>
      </w:r>
      <w:r w:rsidRPr="00632201">
        <w:rPr>
          <w:rFonts w:cs="Arial"/>
          <w:iCs/>
          <w:szCs w:val="24"/>
        </w:rPr>
        <w:t>contract with costs based on an annual fee structure for Smarter Balanced</w:t>
      </w:r>
      <w:r w:rsidR="00B242A0">
        <w:rPr>
          <w:rFonts w:cs="Arial"/>
          <w:iCs/>
          <w:szCs w:val="24"/>
        </w:rPr>
        <w:t xml:space="preserve"> Assessment Consortium </w:t>
      </w:r>
      <w:r w:rsidR="00D91B32">
        <w:rPr>
          <w:rFonts w:cs="Arial"/>
          <w:iCs/>
          <w:szCs w:val="24"/>
        </w:rPr>
        <w:t>(Consortium)</w:t>
      </w:r>
      <w:r w:rsidR="00B57363">
        <w:rPr>
          <w:rFonts w:cs="Arial"/>
          <w:iCs/>
          <w:szCs w:val="24"/>
        </w:rPr>
        <w:t xml:space="preserve"> </w:t>
      </w:r>
      <w:r w:rsidR="00B242A0">
        <w:rPr>
          <w:rFonts w:cs="Arial"/>
          <w:iCs/>
          <w:szCs w:val="24"/>
        </w:rPr>
        <w:t xml:space="preserve">services provided by </w:t>
      </w:r>
      <w:r w:rsidR="00B57363" w:rsidRPr="00B57363">
        <w:rPr>
          <w:rFonts w:cs="Arial"/>
          <w:iCs/>
          <w:szCs w:val="24"/>
        </w:rPr>
        <w:t xml:space="preserve">a </w:t>
      </w:r>
      <w:r w:rsidR="00D91B32">
        <w:rPr>
          <w:rFonts w:cs="Arial"/>
          <w:iCs/>
          <w:szCs w:val="24"/>
        </w:rPr>
        <w:t>Consortium-</w:t>
      </w:r>
      <w:r w:rsidR="00B57363" w:rsidRPr="00B57363">
        <w:rPr>
          <w:rFonts w:cs="Arial"/>
          <w:iCs/>
          <w:szCs w:val="24"/>
        </w:rPr>
        <w:t xml:space="preserve">selected contractor. For the 2013–14 through 2016–17 test administrations, the </w:t>
      </w:r>
      <w:r w:rsidR="00D91B32">
        <w:rPr>
          <w:rFonts w:cs="Arial"/>
          <w:iCs/>
          <w:szCs w:val="24"/>
        </w:rPr>
        <w:t>Consortium-</w:t>
      </w:r>
      <w:r w:rsidR="00B57363" w:rsidRPr="00B57363">
        <w:rPr>
          <w:rFonts w:cs="Arial"/>
          <w:iCs/>
          <w:szCs w:val="24"/>
        </w:rPr>
        <w:t xml:space="preserve">selected contractor is UCLA. The </w:t>
      </w:r>
      <w:r w:rsidR="00D91B32">
        <w:rPr>
          <w:rFonts w:cs="Arial"/>
          <w:iCs/>
          <w:szCs w:val="24"/>
        </w:rPr>
        <w:t>Consortium</w:t>
      </w:r>
      <w:r w:rsidR="00B57363" w:rsidRPr="00B57363">
        <w:rPr>
          <w:rFonts w:cs="Arial"/>
          <w:iCs/>
          <w:szCs w:val="24"/>
        </w:rPr>
        <w:t xml:space="preserve"> is in the process of selecting their contractor to provide these services for the 2017–18 test administration and beyond</w:t>
      </w:r>
      <w:r w:rsidR="00B242A0" w:rsidRPr="00632201">
        <w:rPr>
          <w:rFonts w:cs="Arial"/>
          <w:iCs/>
          <w:szCs w:val="24"/>
        </w:rPr>
        <w:t>.</w:t>
      </w:r>
      <w:r w:rsidR="00B242A0">
        <w:rPr>
          <w:rFonts w:cs="Arial"/>
          <w:iCs/>
          <w:szCs w:val="24"/>
        </w:rPr>
        <w:t xml:space="preserve"> </w:t>
      </w:r>
      <w:r w:rsidR="00B242A0" w:rsidRPr="00632201">
        <w:rPr>
          <w:rFonts w:cs="Arial"/>
          <w:iCs/>
          <w:szCs w:val="24"/>
        </w:rPr>
        <w:t>The contract provides California a</w:t>
      </w:r>
      <w:r w:rsidR="00B242A0" w:rsidRPr="00632201">
        <w:rPr>
          <w:rFonts w:eastAsia="Calibri"/>
          <w:snapToGrid/>
          <w:szCs w:val="24"/>
        </w:rPr>
        <w:t>cce</w:t>
      </w:r>
      <w:r w:rsidR="00A952E1">
        <w:rPr>
          <w:rFonts w:eastAsia="Calibri"/>
          <w:snapToGrid/>
          <w:szCs w:val="24"/>
        </w:rPr>
        <w:t xml:space="preserve">ss to Smarter Balanced Summative Assessment </w:t>
      </w:r>
      <w:r w:rsidR="00B242A0" w:rsidRPr="00632201">
        <w:rPr>
          <w:rFonts w:eastAsia="Calibri"/>
          <w:snapToGrid/>
          <w:szCs w:val="24"/>
        </w:rPr>
        <w:t xml:space="preserve">items for statewide testing; </w:t>
      </w:r>
      <w:r w:rsidR="002A50F6">
        <w:rPr>
          <w:rFonts w:eastAsia="Calibri"/>
          <w:snapToGrid/>
          <w:szCs w:val="24"/>
        </w:rPr>
        <w:t xml:space="preserve">the </w:t>
      </w:r>
      <w:r w:rsidR="00B242A0" w:rsidRPr="00632201">
        <w:rPr>
          <w:rFonts w:eastAsia="Calibri"/>
          <w:snapToGrid/>
          <w:szCs w:val="24"/>
        </w:rPr>
        <w:t xml:space="preserve">ongoing refreshment of Smarter Balanced test items, validation research, blueprint alignment, accommodations </w:t>
      </w:r>
      <w:r w:rsidR="005F78BD">
        <w:rPr>
          <w:rFonts w:eastAsia="Calibri"/>
          <w:snapToGrid/>
          <w:szCs w:val="24"/>
        </w:rPr>
        <w:t>and accessibility research, and so forth</w:t>
      </w:r>
      <w:r w:rsidR="00B242A0" w:rsidRPr="00632201">
        <w:rPr>
          <w:rFonts w:eastAsia="Calibri"/>
          <w:snapToGrid/>
          <w:szCs w:val="24"/>
        </w:rPr>
        <w:t xml:space="preserve">; access </w:t>
      </w:r>
      <w:r w:rsidR="00A952E1">
        <w:rPr>
          <w:rFonts w:eastAsia="Calibri"/>
          <w:snapToGrid/>
          <w:szCs w:val="24"/>
        </w:rPr>
        <w:t>to Smarter Balanced I</w:t>
      </w:r>
      <w:r w:rsidR="00B242A0" w:rsidRPr="00632201">
        <w:rPr>
          <w:rFonts w:eastAsia="Calibri"/>
          <w:snapToGrid/>
          <w:szCs w:val="24"/>
        </w:rPr>
        <w:t xml:space="preserve">nterim </w:t>
      </w:r>
      <w:r w:rsidR="00A952E1">
        <w:rPr>
          <w:rFonts w:eastAsia="Calibri"/>
          <w:snapToGrid/>
          <w:szCs w:val="24"/>
        </w:rPr>
        <w:t>A</w:t>
      </w:r>
      <w:r w:rsidR="00B242A0" w:rsidRPr="00632201">
        <w:rPr>
          <w:rFonts w:eastAsia="Calibri"/>
          <w:snapToGrid/>
          <w:szCs w:val="24"/>
        </w:rPr>
        <w:t>ssessments (</w:t>
      </w:r>
      <w:r w:rsidR="00570032">
        <w:rPr>
          <w:rFonts w:eastAsia="Calibri"/>
          <w:snapToGrid/>
          <w:szCs w:val="24"/>
        </w:rPr>
        <w:t xml:space="preserve">for </w:t>
      </w:r>
      <w:r w:rsidR="00B242A0" w:rsidRPr="00632201">
        <w:rPr>
          <w:rFonts w:eastAsia="Calibri"/>
          <w:snapToGrid/>
          <w:szCs w:val="24"/>
        </w:rPr>
        <w:t>K–12 teachers) for optional use; and access to formative tools</w:t>
      </w:r>
      <w:r w:rsidR="00B242A0">
        <w:rPr>
          <w:rFonts w:eastAsia="Calibri"/>
          <w:snapToGrid/>
          <w:szCs w:val="24"/>
        </w:rPr>
        <w:t>/Digital Library</w:t>
      </w:r>
      <w:r w:rsidR="00B242A0" w:rsidRPr="00632201">
        <w:rPr>
          <w:rFonts w:eastAsia="Calibri"/>
          <w:snapToGrid/>
          <w:szCs w:val="24"/>
        </w:rPr>
        <w:t xml:space="preserve"> (</w:t>
      </w:r>
      <w:r w:rsidR="00570032">
        <w:rPr>
          <w:rFonts w:eastAsia="Calibri"/>
          <w:snapToGrid/>
          <w:szCs w:val="24"/>
        </w:rPr>
        <w:t xml:space="preserve">also for </w:t>
      </w:r>
      <w:r w:rsidR="00B242A0" w:rsidRPr="00632201">
        <w:rPr>
          <w:rFonts w:eastAsia="Calibri"/>
          <w:snapToGrid/>
          <w:szCs w:val="24"/>
        </w:rPr>
        <w:t xml:space="preserve">K–12 teachers) for optional use. </w:t>
      </w:r>
    </w:p>
    <w:p w14:paraId="47B71547" w14:textId="77777777" w:rsidR="004164C9" w:rsidRPr="000732BB" w:rsidRDefault="004164C9" w:rsidP="004164C9">
      <w:pPr>
        <w:widowControl/>
        <w:overflowPunct w:val="0"/>
        <w:autoSpaceDE w:val="0"/>
        <w:autoSpaceDN w:val="0"/>
        <w:adjustRightInd w:val="0"/>
        <w:textAlignment w:val="baseline"/>
        <w:rPr>
          <w:rFonts w:cs="Arial"/>
          <w:iCs/>
          <w:szCs w:val="24"/>
        </w:rPr>
      </w:pPr>
    </w:p>
    <w:p w14:paraId="55B8315D" w14:textId="77777777" w:rsidR="00F97727" w:rsidRDefault="004164C9" w:rsidP="007B1A1E">
      <w:pPr>
        <w:widowControl/>
        <w:rPr>
          <w:rFonts w:cs="Arial"/>
        </w:rPr>
      </w:pPr>
      <w:r w:rsidRPr="000B5876">
        <w:rPr>
          <w:rFonts w:cs="Arial"/>
          <w:iCs/>
          <w:szCs w:val="24"/>
        </w:rPr>
        <w:t>The CDE contract with UCLA began July 1, 2014</w:t>
      </w:r>
      <w:r w:rsidR="005F78BD">
        <w:rPr>
          <w:rFonts w:cs="Arial"/>
          <w:iCs/>
          <w:szCs w:val="24"/>
        </w:rPr>
        <w:t>,</w:t>
      </w:r>
      <w:r w:rsidRPr="000B5876">
        <w:rPr>
          <w:rFonts w:cs="Arial"/>
          <w:iCs/>
          <w:szCs w:val="24"/>
        </w:rPr>
        <w:t xml:space="preserve"> and ends June 30, 2017.</w:t>
      </w:r>
      <w:r w:rsidR="007B1A1E">
        <w:rPr>
          <w:rFonts w:cs="Arial"/>
          <w:iCs/>
          <w:szCs w:val="24"/>
        </w:rPr>
        <w:t xml:space="preserve"> The total amount of the contract was decreased from $28,650,000 to $27,115,261 in July 2015</w:t>
      </w:r>
      <w:r w:rsidR="00A77022">
        <w:rPr>
          <w:rFonts w:cs="Arial"/>
          <w:iCs/>
          <w:szCs w:val="24"/>
        </w:rPr>
        <w:t>,</w:t>
      </w:r>
      <w:r w:rsidR="007B1A1E">
        <w:rPr>
          <w:rFonts w:cs="Arial"/>
          <w:iCs/>
          <w:szCs w:val="24"/>
        </w:rPr>
        <w:t xml:space="preserve"> </w:t>
      </w:r>
      <w:r w:rsidR="007B1A1E">
        <w:rPr>
          <w:rFonts w:cs="Arial"/>
        </w:rPr>
        <w:t xml:space="preserve">to reflect a </w:t>
      </w:r>
      <w:r w:rsidR="006B2F60">
        <w:rPr>
          <w:rFonts w:cs="Arial"/>
        </w:rPr>
        <w:t xml:space="preserve">one-time </w:t>
      </w:r>
      <w:r w:rsidR="002522D5">
        <w:rPr>
          <w:rFonts w:cs="Arial"/>
        </w:rPr>
        <w:t xml:space="preserve">membership credit of $1,534,739 </w:t>
      </w:r>
      <w:r w:rsidR="007B1A1E">
        <w:rPr>
          <w:rFonts w:cs="Arial"/>
        </w:rPr>
        <w:t xml:space="preserve">received from Smarter Balanced based on a return of 75 percent of the interim test price and 50 percent of the costs for additional field testing for California. </w:t>
      </w:r>
      <w:r w:rsidR="00366F69" w:rsidRPr="00366F69">
        <w:rPr>
          <w:rFonts w:cs="Arial"/>
        </w:rPr>
        <w:t xml:space="preserve">It is anticipated that the annual cost for this contract will </w:t>
      </w:r>
      <w:r w:rsidR="00366F69">
        <w:rPr>
          <w:rFonts w:cs="Arial"/>
        </w:rPr>
        <w:t>not exceed</w:t>
      </w:r>
      <w:r w:rsidR="00366F69" w:rsidRPr="00366F69">
        <w:rPr>
          <w:rFonts w:cs="Arial"/>
        </w:rPr>
        <w:t xml:space="preserve"> th</w:t>
      </w:r>
      <w:r w:rsidR="00366F69">
        <w:rPr>
          <w:rFonts w:cs="Arial"/>
        </w:rPr>
        <w:t>e</w:t>
      </w:r>
      <w:r w:rsidR="00366F69" w:rsidRPr="00366F69">
        <w:rPr>
          <w:rFonts w:cs="Arial"/>
        </w:rPr>
        <w:t xml:space="preserve"> current cap of $9,550,000 annually.</w:t>
      </w:r>
    </w:p>
    <w:p w14:paraId="164A9E32" w14:textId="77777777" w:rsidR="00F97727" w:rsidRDefault="00F97727">
      <w:pPr>
        <w:widowControl/>
        <w:rPr>
          <w:rFonts w:cs="Arial"/>
        </w:rPr>
      </w:pPr>
      <w:r>
        <w:rPr>
          <w:rFonts w:cs="Arial"/>
        </w:rPr>
        <w:br w:type="page"/>
      </w:r>
    </w:p>
    <w:p w14:paraId="47A39CBC" w14:textId="77777777" w:rsidR="007B1A1E" w:rsidRDefault="00801764" w:rsidP="007B1A1E">
      <w:pPr>
        <w:widowControl/>
        <w:rPr>
          <w:rFonts w:cs="Arial"/>
        </w:rPr>
      </w:pPr>
      <w:r>
        <w:rPr>
          <w:rFonts w:cs="Arial"/>
        </w:rPr>
        <w:lastRenderedPageBreak/>
        <w:t xml:space="preserve">Table </w:t>
      </w:r>
      <w:r w:rsidR="00CC1C36">
        <w:rPr>
          <w:rFonts w:cs="Arial"/>
        </w:rPr>
        <w:t>4</w:t>
      </w:r>
      <w:r>
        <w:rPr>
          <w:rFonts w:cs="Arial"/>
        </w:rPr>
        <w:t xml:space="preserve">, </w:t>
      </w:r>
      <w:r w:rsidR="006A5637">
        <w:rPr>
          <w:rFonts w:cs="Arial"/>
        </w:rPr>
        <w:t>below</w:t>
      </w:r>
      <w:r>
        <w:rPr>
          <w:rFonts w:cs="Arial"/>
        </w:rPr>
        <w:t xml:space="preserve">, provides a breakdown of the </w:t>
      </w:r>
      <w:r w:rsidR="00366F69">
        <w:rPr>
          <w:rFonts w:cs="Arial"/>
        </w:rPr>
        <w:t xml:space="preserve">current UCLA </w:t>
      </w:r>
      <w:r w:rsidR="00480690">
        <w:rPr>
          <w:rFonts w:cs="Arial"/>
        </w:rPr>
        <w:t xml:space="preserve">contract </w:t>
      </w:r>
      <w:r>
        <w:rPr>
          <w:rFonts w:cs="Arial"/>
        </w:rPr>
        <w:t>costs per</w:t>
      </w:r>
      <w:r w:rsidR="00AD7153">
        <w:rPr>
          <w:rFonts w:cs="Arial"/>
        </w:rPr>
        <w:t xml:space="preserve"> </w:t>
      </w:r>
      <w:r w:rsidR="007B1A1E">
        <w:rPr>
          <w:rFonts w:cs="Arial"/>
        </w:rPr>
        <w:t xml:space="preserve">fiscal </w:t>
      </w:r>
      <w:r>
        <w:rPr>
          <w:rFonts w:cs="Arial"/>
        </w:rPr>
        <w:t>year.</w:t>
      </w:r>
    </w:p>
    <w:p w14:paraId="6AC0B774" w14:textId="77777777" w:rsidR="00570032" w:rsidRPr="007F27A0" w:rsidRDefault="00570032" w:rsidP="007F27A0">
      <w:pPr>
        <w:widowControl/>
        <w:jc w:val="both"/>
        <w:rPr>
          <w:rFonts w:cs="Arial"/>
          <w:iCs/>
          <w:szCs w:val="24"/>
        </w:rPr>
      </w:pPr>
    </w:p>
    <w:p w14:paraId="7E4AD133" w14:textId="77777777" w:rsidR="00E91884" w:rsidRPr="007F27A0" w:rsidRDefault="001233B6" w:rsidP="007F27A0">
      <w:pPr>
        <w:widowControl/>
        <w:spacing w:after="80"/>
        <w:jc w:val="both"/>
        <w:rPr>
          <w:rFonts w:cs="Arial"/>
          <w:iCs/>
          <w:szCs w:val="24"/>
        </w:rPr>
      </w:pPr>
      <w:r w:rsidRPr="006A5637">
        <w:rPr>
          <w:rFonts w:cs="Arial"/>
          <w:b/>
          <w:iCs/>
          <w:szCs w:val="24"/>
        </w:rPr>
        <w:t xml:space="preserve">Table </w:t>
      </w:r>
      <w:r w:rsidR="00CC1C36" w:rsidRPr="006A5637">
        <w:rPr>
          <w:rFonts w:cs="Arial"/>
          <w:b/>
          <w:iCs/>
          <w:szCs w:val="24"/>
        </w:rPr>
        <w:t>4</w:t>
      </w:r>
      <w:r w:rsidR="00E91884" w:rsidRPr="006A5637">
        <w:rPr>
          <w:rFonts w:cs="Arial"/>
          <w:b/>
          <w:iCs/>
          <w:szCs w:val="24"/>
        </w:rPr>
        <w:t>.</w:t>
      </w:r>
      <w:r w:rsidR="00E91884" w:rsidRPr="007F27A0">
        <w:rPr>
          <w:rFonts w:cs="Arial"/>
          <w:iCs/>
          <w:szCs w:val="24"/>
        </w:rPr>
        <w:t xml:space="preserve"> </w:t>
      </w:r>
      <w:r w:rsidR="00D05F75" w:rsidRPr="007F27A0">
        <w:rPr>
          <w:rFonts w:cs="Arial"/>
          <w:iCs/>
          <w:szCs w:val="24"/>
        </w:rPr>
        <w:t>Consortium-</w:t>
      </w:r>
      <w:r w:rsidR="0009348F" w:rsidRPr="007F27A0">
        <w:rPr>
          <w:rFonts w:cs="Arial"/>
          <w:iCs/>
          <w:szCs w:val="24"/>
        </w:rPr>
        <w:t>m</w:t>
      </w:r>
      <w:r w:rsidR="00D05F75" w:rsidRPr="007F27A0">
        <w:rPr>
          <w:rFonts w:cs="Arial"/>
          <w:iCs/>
          <w:szCs w:val="24"/>
        </w:rPr>
        <w:t>anaged Services</w:t>
      </w:r>
      <w:r w:rsidR="00E91884" w:rsidRPr="007F27A0">
        <w:rPr>
          <w:rFonts w:cs="Arial"/>
          <w:iCs/>
          <w:szCs w:val="24"/>
        </w:rPr>
        <w:t xml:space="preserve"> Contract</w:t>
      </w:r>
      <w:r w:rsidR="006E223F" w:rsidRPr="007F27A0">
        <w:rPr>
          <w:rFonts w:cs="Arial"/>
          <w:iCs/>
          <w:szCs w:val="24"/>
        </w:rPr>
        <w:t xml:space="preserve"> Costs</w:t>
      </w:r>
    </w:p>
    <w:tbl>
      <w:tblPr>
        <w:tblStyle w:val="TableGrid2"/>
        <w:tblW w:w="0" w:type="auto"/>
        <w:jc w:val="center"/>
        <w:tblLook w:val="04A0" w:firstRow="1" w:lastRow="0" w:firstColumn="1" w:lastColumn="0" w:noHBand="0" w:noVBand="1"/>
      </w:tblPr>
      <w:tblGrid>
        <w:gridCol w:w="1345"/>
        <w:gridCol w:w="1290"/>
        <w:gridCol w:w="3120"/>
        <w:gridCol w:w="1620"/>
        <w:gridCol w:w="1635"/>
      </w:tblGrid>
      <w:tr w:rsidR="00C842B5" w:rsidRPr="00527C69" w14:paraId="10908CD2" w14:textId="77777777" w:rsidTr="007F27A0">
        <w:trPr>
          <w:trHeight w:val="287"/>
          <w:jc w:val="center"/>
        </w:trPr>
        <w:tc>
          <w:tcPr>
            <w:tcW w:w="1345" w:type="dxa"/>
            <w:vAlign w:val="center"/>
          </w:tcPr>
          <w:p w14:paraId="17489F98" w14:textId="77777777" w:rsidR="00E91884" w:rsidRDefault="00E91884" w:rsidP="007C3CF8">
            <w:pPr>
              <w:widowControl/>
              <w:jc w:val="center"/>
              <w:rPr>
                <w:rFonts w:cs="Arial"/>
                <w:b/>
                <w:snapToGrid/>
                <w:sz w:val="20"/>
              </w:rPr>
            </w:pPr>
            <w:r>
              <w:rPr>
                <w:rFonts w:cs="Arial"/>
                <w:b/>
                <w:snapToGrid/>
                <w:sz w:val="20"/>
              </w:rPr>
              <w:t>Fiscal Year</w:t>
            </w:r>
          </w:p>
        </w:tc>
        <w:tc>
          <w:tcPr>
            <w:tcW w:w="1290" w:type="dxa"/>
            <w:tcBorders>
              <w:right w:val="single" w:sz="4" w:space="0" w:color="auto"/>
            </w:tcBorders>
            <w:vAlign w:val="center"/>
          </w:tcPr>
          <w:p w14:paraId="581F4CAE" w14:textId="77777777" w:rsidR="00E91884" w:rsidRPr="00FC6B7F" w:rsidRDefault="00E91884" w:rsidP="007C3CF8">
            <w:pPr>
              <w:widowControl/>
              <w:jc w:val="center"/>
              <w:rPr>
                <w:rFonts w:cs="Arial"/>
                <w:b/>
                <w:snapToGrid/>
                <w:sz w:val="20"/>
              </w:rPr>
            </w:pPr>
            <w:r>
              <w:rPr>
                <w:rFonts w:cs="Arial"/>
                <w:b/>
                <w:snapToGrid/>
                <w:sz w:val="20"/>
              </w:rPr>
              <w:t>Total Cost</w:t>
            </w:r>
          </w:p>
        </w:tc>
        <w:tc>
          <w:tcPr>
            <w:tcW w:w="3120" w:type="dxa"/>
            <w:tcBorders>
              <w:left w:val="nil"/>
            </w:tcBorders>
            <w:vAlign w:val="center"/>
          </w:tcPr>
          <w:p w14:paraId="43CD8D79" w14:textId="77777777" w:rsidR="00E91884" w:rsidRPr="00FC6B7F" w:rsidRDefault="00E91884" w:rsidP="007C3CF8">
            <w:pPr>
              <w:widowControl/>
              <w:jc w:val="center"/>
              <w:rPr>
                <w:rFonts w:cs="Arial"/>
                <w:b/>
                <w:snapToGrid/>
                <w:sz w:val="20"/>
              </w:rPr>
            </w:pPr>
            <w:r w:rsidRPr="00FC6B7F">
              <w:rPr>
                <w:rFonts w:cs="Arial"/>
                <w:b/>
                <w:snapToGrid/>
                <w:sz w:val="20"/>
              </w:rPr>
              <w:t>Package</w:t>
            </w:r>
          </w:p>
        </w:tc>
        <w:tc>
          <w:tcPr>
            <w:tcW w:w="1620" w:type="dxa"/>
            <w:vAlign w:val="center"/>
          </w:tcPr>
          <w:p w14:paraId="3FB921C4" w14:textId="77777777" w:rsidR="00E91884" w:rsidRPr="00FC6B7F" w:rsidRDefault="0009348F" w:rsidP="00A952E1">
            <w:pPr>
              <w:widowControl/>
              <w:ind w:left="-108" w:right="-86" w:firstLine="108"/>
              <w:jc w:val="center"/>
              <w:rPr>
                <w:rFonts w:cs="Arial"/>
                <w:b/>
                <w:snapToGrid/>
                <w:sz w:val="20"/>
              </w:rPr>
            </w:pPr>
            <w:r>
              <w:rPr>
                <w:rFonts w:cs="Arial"/>
                <w:b/>
                <w:snapToGrid/>
                <w:sz w:val="20"/>
              </w:rPr>
              <w:t>Per-</w:t>
            </w:r>
            <w:r w:rsidR="00F614EB">
              <w:rPr>
                <w:rFonts w:cs="Arial"/>
                <w:b/>
                <w:snapToGrid/>
                <w:sz w:val="20"/>
              </w:rPr>
              <w:t>student</w:t>
            </w:r>
            <w:r w:rsidR="00E91884" w:rsidRPr="00FC6B7F">
              <w:rPr>
                <w:rFonts w:cs="Arial"/>
                <w:b/>
                <w:snapToGrid/>
                <w:sz w:val="20"/>
              </w:rPr>
              <w:t xml:space="preserve"> </w:t>
            </w:r>
            <w:r w:rsidR="00C842B5">
              <w:rPr>
                <w:rFonts w:cs="Arial"/>
                <w:b/>
                <w:snapToGrid/>
                <w:sz w:val="20"/>
              </w:rPr>
              <w:t>R</w:t>
            </w:r>
            <w:r w:rsidR="00E91884" w:rsidRPr="00FC6B7F">
              <w:rPr>
                <w:rFonts w:cs="Arial"/>
                <w:b/>
                <w:snapToGrid/>
                <w:sz w:val="20"/>
              </w:rPr>
              <w:t>ate</w:t>
            </w:r>
          </w:p>
        </w:tc>
        <w:tc>
          <w:tcPr>
            <w:tcW w:w="1635" w:type="dxa"/>
            <w:vAlign w:val="center"/>
          </w:tcPr>
          <w:p w14:paraId="3C5128A1" w14:textId="77777777" w:rsidR="00E91884" w:rsidRPr="00FC6B7F" w:rsidRDefault="00F614EB" w:rsidP="007C3CF8">
            <w:pPr>
              <w:widowControl/>
              <w:jc w:val="center"/>
              <w:rPr>
                <w:rFonts w:cs="Arial"/>
                <w:b/>
                <w:snapToGrid/>
                <w:sz w:val="20"/>
              </w:rPr>
            </w:pPr>
            <w:r>
              <w:rPr>
                <w:rFonts w:cs="Arial"/>
                <w:b/>
                <w:snapToGrid/>
                <w:sz w:val="20"/>
              </w:rPr>
              <w:t>Student</w:t>
            </w:r>
            <w:r w:rsidR="00C842B5">
              <w:rPr>
                <w:rFonts w:cs="Arial"/>
                <w:b/>
                <w:snapToGrid/>
                <w:sz w:val="20"/>
              </w:rPr>
              <w:t>s</w:t>
            </w:r>
          </w:p>
        </w:tc>
      </w:tr>
      <w:tr w:rsidR="00C842B5" w:rsidRPr="00527C69" w14:paraId="3ADFAA53" w14:textId="77777777" w:rsidTr="007F27A0">
        <w:trPr>
          <w:trHeight w:val="278"/>
          <w:jc w:val="center"/>
        </w:trPr>
        <w:tc>
          <w:tcPr>
            <w:tcW w:w="1345" w:type="dxa"/>
            <w:vAlign w:val="center"/>
          </w:tcPr>
          <w:p w14:paraId="14771016" w14:textId="77777777" w:rsidR="00E91884" w:rsidRPr="00FC6B7F" w:rsidRDefault="00E91884" w:rsidP="004D06E7">
            <w:pPr>
              <w:widowControl/>
              <w:jc w:val="center"/>
              <w:rPr>
                <w:rFonts w:cs="Arial"/>
                <w:snapToGrid/>
                <w:sz w:val="20"/>
              </w:rPr>
            </w:pPr>
            <w:r>
              <w:rPr>
                <w:rFonts w:cs="Arial"/>
                <w:snapToGrid/>
                <w:sz w:val="20"/>
              </w:rPr>
              <w:t>2014–15</w:t>
            </w:r>
          </w:p>
        </w:tc>
        <w:tc>
          <w:tcPr>
            <w:tcW w:w="1290" w:type="dxa"/>
            <w:tcBorders>
              <w:right w:val="single" w:sz="4" w:space="0" w:color="auto"/>
            </w:tcBorders>
            <w:vAlign w:val="center"/>
          </w:tcPr>
          <w:p w14:paraId="36B0CD85" w14:textId="77777777" w:rsidR="00E91884" w:rsidRPr="00FC6B7F" w:rsidRDefault="00E91884" w:rsidP="004D06E7">
            <w:pPr>
              <w:widowControl/>
              <w:jc w:val="center"/>
              <w:rPr>
                <w:rFonts w:cs="Arial"/>
                <w:snapToGrid/>
                <w:sz w:val="20"/>
              </w:rPr>
            </w:pPr>
            <w:r>
              <w:rPr>
                <w:rFonts w:cs="Arial"/>
                <w:snapToGrid/>
                <w:sz w:val="20"/>
              </w:rPr>
              <w:t>$9,550,000</w:t>
            </w:r>
          </w:p>
        </w:tc>
        <w:tc>
          <w:tcPr>
            <w:tcW w:w="3120" w:type="dxa"/>
            <w:tcBorders>
              <w:left w:val="nil"/>
            </w:tcBorders>
            <w:vAlign w:val="center"/>
          </w:tcPr>
          <w:p w14:paraId="37C943A1" w14:textId="77777777" w:rsidR="00E91884" w:rsidRDefault="00E91884" w:rsidP="004D06E7">
            <w:pPr>
              <w:widowControl/>
              <w:rPr>
                <w:rFonts w:cs="Arial"/>
                <w:snapToGrid/>
                <w:sz w:val="20"/>
              </w:rPr>
            </w:pPr>
            <w:r w:rsidRPr="00FC6B7F">
              <w:rPr>
                <w:rFonts w:cs="Arial"/>
                <w:snapToGrid/>
                <w:sz w:val="20"/>
              </w:rPr>
              <w:t xml:space="preserve">Summative </w:t>
            </w:r>
          </w:p>
          <w:p w14:paraId="3F3448F0" w14:textId="77777777" w:rsidR="00E91884" w:rsidRPr="00FC6B7F" w:rsidRDefault="005F78BD" w:rsidP="004D06E7">
            <w:pPr>
              <w:widowControl/>
              <w:rPr>
                <w:rFonts w:cs="Arial"/>
                <w:snapToGrid/>
                <w:sz w:val="20"/>
              </w:rPr>
            </w:pPr>
            <w:r>
              <w:rPr>
                <w:rFonts w:cs="Arial"/>
                <w:snapToGrid/>
                <w:sz w:val="20"/>
              </w:rPr>
              <w:t>Interim/f</w:t>
            </w:r>
            <w:r w:rsidR="00E91884" w:rsidRPr="00FC6B7F">
              <w:rPr>
                <w:rFonts w:cs="Arial"/>
                <w:snapToGrid/>
                <w:sz w:val="20"/>
              </w:rPr>
              <w:t>ormative (Digital Library)</w:t>
            </w:r>
          </w:p>
        </w:tc>
        <w:tc>
          <w:tcPr>
            <w:tcW w:w="1620" w:type="dxa"/>
            <w:vAlign w:val="center"/>
          </w:tcPr>
          <w:p w14:paraId="53DEE3AC" w14:textId="77777777" w:rsidR="00E91884" w:rsidRDefault="00E91884" w:rsidP="004D06E7">
            <w:pPr>
              <w:widowControl/>
              <w:jc w:val="center"/>
              <w:rPr>
                <w:rFonts w:cs="Arial"/>
                <w:snapToGrid/>
                <w:sz w:val="20"/>
              </w:rPr>
            </w:pPr>
            <w:r w:rsidRPr="00FC6B7F">
              <w:rPr>
                <w:rFonts w:cs="Arial"/>
                <w:snapToGrid/>
                <w:sz w:val="20"/>
              </w:rPr>
              <w:t>$</w:t>
            </w:r>
            <w:r>
              <w:rPr>
                <w:rFonts w:cs="Arial"/>
                <w:snapToGrid/>
                <w:sz w:val="20"/>
              </w:rPr>
              <w:t>6.20</w:t>
            </w:r>
          </w:p>
          <w:p w14:paraId="28D11813" w14:textId="77777777" w:rsidR="00E91884" w:rsidRPr="00FC6B7F" w:rsidRDefault="00E91884" w:rsidP="004D06E7">
            <w:pPr>
              <w:widowControl/>
              <w:jc w:val="center"/>
              <w:rPr>
                <w:rFonts w:cs="Arial"/>
                <w:snapToGrid/>
                <w:sz w:val="20"/>
              </w:rPr>
            </w:pPr>
            <w:r>
              <w:rPr>
                <w:rFonts w:cs="Arial"/>
                <w:snapToGrid/>
                <w:sz w:val="20"/>
              </w:rPr>
              <w:t>$3.35</w:t>
            </w:r>
          </w:p>
        </w:tc>
        <w:tc>
          <w:tcPr>
            <w:tcW w:w="1635" w:type="dxa"/>
            <w:vAlign w:val="center"/>
          </w:tcPr>
          <w:p w14:paraId="78955B87" w14:textId="77777777" w:rsidR="00E91884" w:rsidRDefault="0013218E" w:rsidP="004D06E7">
            <w:pPr>
              <w:widowControl/>
              <w:jc w:val="center"/>
              <w:rPr>
                <w:rFonts w:cs="Arial"/>
                <w:snapToGrid/>
                <w:sz w:val="20"/>
                <w:vertAlign w:val="superscript"/>
              </w:rPr>
            </w:pPr>
            <w:r>
              <w:rPr>
                <w:rFonts w:cs="Arial"/>
                <w:snapToGrid/>
                <w:sz w:val="20"/>
              </w:rPr>
              <w:t xml:space="preserve"> </w:t>
            </w:r>
            <w:r w:rsidR="00E91884" w:rsidRPr="00FC6B7F">
              <w:rPr>
                <w:rFonts w:cs="Arial"/>
                <w:snapToGrid/>
                <w:sz w:val="20"/>
              </w:rPr>
              <w:t>1 million (cap)</w:t>
            </w:r>
            <w:r w:rsidRPr="0013218E">
              <w:rPr>
                <w:rFonts w:cs="Arial"/>
                <w:snapToGrid/>
                <w:sz w:val="16"/>
                <w:szCs w:val="16"/>
              </w:rPr>
              <w:t>1</w:t>
            </w:r>
          </w:p>
          <w:p w14:paraId="14E546F4" w14:textId="77777777" w:rsidR="001233B6" w:rsidRPr="00FC6B7F" w:rsidRDefault="001233B6" w:rsidP="004D06E7">
            <w:pPr>
              <w:widowControl/>
              <w:jc w:val="center"/>
              <w:rPr>
                <w:rFonts w:cs="Arial"/>
                <w:snapToGrid/>
                <w:sz w:val="20"/>
              </w:rPr>
            </w:pPr>
            <w:r w:rsidRPr="00FC6B7F">
              <w:rPr>
                <w:rFonts w:cs="Arial"/>
                <w:snapToGrid/>
                <w:sz w:val="20"/>
              </w:rPr>
              <w:t>1 million (cap)</w:t>
            </w:r>
          </w:p>
        </w:tc>
      </w:tr>
      <w:tr w:rsidR="00C842B5" w:rsidRPr="00527C69" w14:paraId="19990BE2" w14:textId="77777777" w:rsidTr="007F27A0">
        <w:trPr>
          <w:trHeight w:val="332"/>
          <w:jc w:val="center"/>
        </w:trPr>
        <w:tc>
          <w:tcPr>
            <w:tcW w:w="1345" w:type="dxa"/>
            <w:vAlign w:val="center"/>
          </w:tcPr>
          <w:p w14:paraId="31960805" w14:textId="77777777" w:rsidR="00E91884" w:rsidRDefault="00E91884" w:rsidP="004D06E7">
            <w:pPr>
              <w:widowControl/>
              <w:jc w:val="center"/>
              <w:rPr>
                <w:rFonts w:cs="Arial"/>
                <w:snapToGrid/>
                <w:sz w:val="20"/>
              </w:rPr>
            </w:pPr>
            <w:r>
              <w:rPr>
                <w:rFonts w:cs="Arial"/>
                <w:snapToGrid/>
                <w:sz w:val="20"/>
              </w:rPr>
              <w:t>2015–16</w:t>
            </w:r>
          </w:p>
        </w:tc>
        <w:tc>
          <w:tcPr>
            <w:tcW w:w="1290" w:type="dxa"/>
            <w:vAlign w:val="center"/>
          </w:tcPr>
          <w:p w14:paraId="63BE87CC" w14:textId="77777777" w:rsidR="00E91884" w:rsidRDefault="00E91884" w:rsidP="004D06E7">
            <w:pPr>
              <w:widowControl/>
              <w:jc w:val="center"/>
              <w:rPr>
                <w:rFonts w:cs="Arial"/>
                <w:snapToGrid/>
                <w:sz w:val="20"/>
              </w:rPr>
            </w:pPr>
            <w:r>
              <w:rPr>
                <w:rFonts w:cs="Arial"/>
                <w:snapToGrid/>
                <w:sz w:val="20"/>
              </w:rPr>
              <w:t>$8,015,261</w:t>
            </w:r>
            <w:r w:rsidR="0013218E">
              <w:rPr>
                <w:rFonts w:cs="Arial"/>
                <w:snapToGrid/>
                <w:sz w:val="20"/>
                <w:vertAlign w:val="superscript"/>
              </w:rPr>
              <w:t>2</w:t>
            </w:r>
          </w:p>
        </w:tc>
        <w:tc>
          <w:tcPr>
            <w:tcW w:w="3120" w:type="dxa"/>
            <w:tcBorders>
              <w:left w:val="nil"/>
            </w:tcBorders>
            <w:vAlign w:val="center"/>
          </w:tcPr>
          <w:p w14:paraId="1F6C911A" w14:textId="77777777" w:rsidR="00E91884" w:rsidRDefault="00E91884" w:rsidP="004D06E7">
            <w:pPr>
              <w:widowControl/>
              <w:rPr>
                <w:rFonts w:cs="Arial"/>
                <w:snapToGrid/>
                <w:sz w:val="20"/>
              </w:rPr>
            </w:pPr>
            <w:r w:rsidRPr="00FC6B7F">
              <w:rPr>
                <w:rFonts w:cs="Arial"/>
                <w:snapToGrid/>
                <w:sz w:val="20"/>
              </w:rPr>
              <w:t xml:space="preserve">Summative </w:t>
            </w:r>
          </w:p>
          <w:p w14:paraId="23074CD1" w14:textId="77777777" w:rsidR="00E91884" w:rsidRPr="00FC6B7F" w:rsidRDefault="005F78BD" w:rsidP="004D06E7">
            <w:pPr>
              <w:widowControl/>
              <w:rPr>
                <w:rFonts w:cs="Arial"/>
                <w:snapToGrid/>
                <w:sz w:val="20"/>
              </w:rPr>
            </w:pPr>
            <w:r>
              <w:rPr>
                <w:rFonts w:cs="Arial"/>
                <w:snapToGrid/>
                <w:sz w:val="20"/>
              </w:rPr>
              <w:t>Interim/f</w:t>
            </w:r>
            <w:r w:rsidR="00E91884" w:rsidRPr="00FC6B7F">
              <w:rPr>
                <w:rFonts w:cs="Arial"/>
                <w:snapToGrid/>
                <w:sz w:val="20"/>
              </w:rPr>
              <w:t>ormative (Digital Library)</w:t>
            </w:r>
          </w:p>
        </w:tc>
        <w:tc>
          <w:tcPr>
            <w:tcW w:w="1620" w:type="dxa"/>
            <w:vAlign w:val="center"/>
          </w:tcPr>
          <w:p w14:paraId="6A1AB482" w14:textId="77777777" w:rsidR="00E91884" w:rsidRDefault="00E91884" w:rsidP="004D06E7">
            <w:pPr>
              <w:widowControl/>
              <w:jc w:val="center"/>
              <w:rPr>
                <w:rFonts w:cs="Arial"/>
                <w:snapToGrid/>
                <w:sz w:val="20"/>
              </w:rPr>
            </w:pPr>
            <w:r w:rsidRPr="00FC6B7F">
              <w:rPr>
                <w:rFonts w:cs="Arial"/>
                <w:snapToGrid/>
                <w:sz w:val="20"/>
              </w:rPr>
              <w:t>$</w:t>
            </w:r>
            <w:r>
              <w:rPr>
                <w:rFonts w:cs="Arial"/>
                <w:snapToGrid/>
                <w:sz w:val="20"/>
              </w:rPr>
              <w:t>6.20</w:t>
            </w:r>
          </w:p>
          <w:p w14:paraId="1D8BBD1D" w14:textId="77777777" w:rsidR="00E91884" w:rsidRDefault="00E91884" w:rsidP="004D06E7">
            <w:pPr>
              <w:widowControl/>
              <w:jc w:val="center"/>
              <w:rPr>
                <w:rFonts w:cs="Arial"/>
                <w:snapToGrid/>
                <w:sz w:val="20"/>
              </w:rPr>
            </w:pPr>
            <w:r>
              <w:rPr>
                <w:rFonts w:cs="Arial"/>
                <w:snapToGrid/>
                <w:sz w:val="20"/>
              </w:rPr>
              <w:t>$3.35</w:t>
            </w:r>
          </w:p>
        </w:tc>
        <w:tc>
          <w:tcPr>
            <w:tcW w:w="1635" w:type="dxa"/>
            <w:vAlign w:val="center"/>
          </w:tcPr>
          <w:p w14:paraId="14E2CBDE" w14:textId="77777777" w:rsidR="00E91884" w:rsidRDefault="00E91884" w:rsidP="004D06E7">
            <w:pPr>
              <w:widowControl/>
              <w:jc w:val="center"/>
              <w:rPr>
                <w:rFonts w:cs="Arial"/>
                <w:snapToGrid/>
                <w:sz w:val="20"/>
              </w:rPr>
            </w:pPr>
            <w:r w:rsidRPr="00FC6B7F">
              <w:rPr>
                <w:rFonts w:cs="Arial"/>
                <w:snapToGrid/>
                <w:sz w:val="20"/>
              </w:rPr>
              <w:t>1 million (cap)</w:t>
            </w:r>
          </w:p>
          <w:p w14:paraId="5BB3BE51" w14:textId="77777777" w:rsidR="001233B6" w:rsidRPr="00FC6B7F" w:rsidRDefault="001233B6" w:rsidP="004D06E7">
            <w:pPr>
              <w:widowControl/>
              <w:jc w:val="center"/>
              <w:rPr>
                <w:rFonts w:cs="Arial"/>
                <w:snapToGrid/>
                <w:sz w:val="20"/>
              </w:rPr>
            </w:pPr>
            <w:r w:rsidRPr="00FC6B7F">
              <w:rPr>
                <w:rFonts w:cs="Arial"/>
                <w:snapToGrid/>
                <w:sz w:val="20"/>
              </w:rPr>
              <w:t>1 million (cap)</w:t>
            </w:r>
          </w:p>
        </w:tc>
      </w:tr>
      <w:tr w:rsidR="00C842B5" w:rsidRPr="00527C69" w14:paraId="5000E1A5" w14:textId="77777777" w:rsidTr="007F27A0">
        <w:trPr>
          <w:trHeight w:val="233"/>
          <w:jc w:val="center"/>
        </w:trPr>
        <w:tc>
          <w:tcPr>
            <w:tcW w:w="1345" w:type="dxa"/>
            <w:vAlign w:val="center"/>
          </w:tcPr>
          <w:p w14:paraId="1F69AA81" w14:textId="77777777" w:rsidR="00E91884" w:rsidRPr="00FD64CC" w:rsidRDefault="00E91884" w:rsidP="004D06E7">
            <w:pPr>
              <w:widowControl/>
              <w:jc w:val="center"/>
              <w:rPr>
                <w:rFonts w:cs="Arial"/>
                <w:snapToGrid/>
                <w:sz w:val="20"/>
              </w:rPr>
            </w:pPr>
            <w:r>
              <w:rPr>
                <w:rFonts w:cs="Arial"/>
                <w:snapToGrid/>
                <w:sz w:val="20"/>
              </w:rPr>
              <w:t>2016–17</w:t>
            </w:r>
          </w:p>
        </w:tc>
        <w:tc>
          <w:tcPr>
            <w:tcW w:w="1290" w:type="dxa"/>
            <w:vAlign w:val="center"/>
          </w:tcPr>
          <w:p w14:paraId="33BEE2B1" w14:textId="77777777" w:rsidR="00E91884" w:rsidRDefault="00E91884" w:rsidP="004D06E7">
            <w:pPr>
              <w:widowControl/>
              <w:jc w:val="center"/>
              <w:rPr>
                <w:rFonts w:cs="Arial"/>
                <w:snapToGrid/>
                <w:sz w:val="20"/>
              </w:rPr>
            </w:pPr>
            <w:r>
              <w:rPr>
                <w:rFonts w:cs="Arial"/>
                <w:snapToGrid/>
                <w:sz w:val="20"/>
              </w:rPr>
              <w:t>$9,550,000</w:t>
            </w:r>
          </w:p>
        </w:tc>
        <w:tc>
          <w:tcPr>
            <w:tcW w:w="3120" w:type="dxa"/>
            <w:tcBorders>
              <w:left w:val="nil"/>
            </w:tcBorders>
            <w:vAlign w:val="center"/>
          </w:tcPr>
          <w:p w14:paraId="3D0B733F" w14:textId="77777777" w:rsidR="00E91884" w:rsidRDefault="00E91884" w:rsidP="004D06E7">
            <w:pPr>
              <w:widowControl/>
              <w:rPr>
                <w:rFonts w:cs="Arial"/>
                <w:snapToGrid/>
                <w:sz w:val="20"/>
              </w:rPr>
            </w:pPr>
            <w:r w:rsidRPr="00FC6B7F">
              <w:rPr>
                <w:rFonts w:cs="Arial"/>
                <w:snapToGrid/>
                <w:sz w:val="20"/>
              </w:rPr>
              <w:t xml:space="preserve">Summative </w:t>
            </w:r>
          </w:p>
          <w:p w14:paraId="7B5114A5" w14:textId="77777777" w:rsidR="00E91884" w:rsidRPr="00C340E9" w:rsidRDefault="005F78BD" w:rsidP="004D06E7">
            <w:pPr>
              <w:widowControl/>
              <w:rPr>
                <w:rFonts w:cs="Arial"/>
                <w:snapToGrid/>
                <w:sz w:val="20"/>
              </w:rPr>
            </w:pPr>
            <w:r>
              <w:rPr>
                <w:rFonts w:cs="Arial"/>
                <w:snapToGrid/>
                <w:sz w:val="20"/>
              </w:rPr>
              <w:t>Interim/f</w:t>
            </w:r>
            <w:r w:rsidR="00E91884" w:rsidRPr="00FC6B7F">
              <w:rPr>
                <w:rFonts w:cs="Arial"/>
                <w:snapToGrid/>
                <w:sz w:val="20"/>
              </w:rPr>
              <w:t>ormative (Digital Library)</w:t>
            </w:r>
          </w:p>
        </w:tc>
        <w:tc>
          <w:tcPr>
            <w:tcW w:w="1620" w:type="dxa"/>
            <w:vAlign w:val="center"/>
          </w:tcPr>
          <w:p w14:paraId="7091F932" w14:textId="77777777" w:rsidR="00E91884" w:rsidRDefault="00E91884" w:rsidP="004D06E7">
            <w:pPr>
              <w:widowControl/>
              <w:jc w:val="center"/>
              <w:rPr>
                <w:rFonts w:cs="Arial"/>
                <w:snapToGrid/>
                <w:sz w:val="20"/>
              </w:rPr>
            </w:pPr>
            <w:r>
              <w:rPr>
                <w:rFonts w:cs="Arial"/>
                <w:snapToGrid/>
                <w:sz w:val="20"/>
              </w:rPr>
              <w:t>$6.20</w:t>
            </w:r>
          </w:p>
          <w:p w14:paraId="2B11EBBA" w14:textId="77777777" w:rsidR="00E91884" w:rsidRPr="00C340E9" w:rsidRDefault="00E91884" w:rsidP="004D06E7">
            <w:pPr>
              <w:widowControl/>
              <w:jc w:val="center"/>
              <w:rPr>
                <w:rFonts w:cs="Arial"/>
                <w:snapToGrid/>
                <w:sz w:val="20"/>
              </w:rPr>
            </w:pPr>
            <w:r>
              <w:rPr>
                <w:rFonts w:cs="Arial"/>
                <w:snapToGrid/>
                <w:sz w:val="20"/>
              </w:rPr>
              <w:t>$3.35</w:t>
            </w:r>
          </w:p>
        </w:tc>
        <w:tc>
          <w:tcPr>
            <w:tcW w:w="1635" w:type="dxa"/>
            <w:vAlign w:val="center"/>
          </w:tcPr>
          <w:p w14:paraId="698CFC16" w14:textId="77777777" w:rsidR="00E91884" w:rsidRDefault="00E91884" w:rsidP="004D06E7">
            <w:pPr>
              <w:widowControl/>
              <w:jc w:val="center"/>
              <w:rPr>
                <w:rFonts w:cs="Arial"/>
                <w:snapToGrid/>
                <w:sz w:val="20"/>
              </w:rPr>
            </w:pPr>
            <w:r w:rsidRPr="00FC6B7F">
              <w:rPr>
                <w:rFonts w:cs="Arial"/>
                <w:snapToGrid/>
                <w:sz w:val="20"/>
              </w:rPr>
              <w:t>1 million (cap)</w:t>
            </w:r>
          </w:p>
          <w:p w14:paraId="60AFB6B3" w14:textId="77777777" w:rsidR="001233B6" w:rsidRPr="00C340E9" w:rsidRDefault="001233B6" w:rsidP="004D06E7">
            <w:pPr>
              <w:widowControl/>
              <w:jc w:val="center"/>
              <w:rPr>
                <w:rFonts w:cs="Arial"/>
                <w:snapToGrid/>
                <w:sz w:val="20"/>
              </w:rPr>
            </w:pPr>
            <w:r w:rsidRPr="00FC6B7F">
              <w:rPr>
                <w:rFonts w:cs="Arial"/>
                <w:snapToGrid/>
                <w:sz w:val="20"/>
              </w:rPr>
              <w:t>1 million (cap)</w:t>
            </w:r>
          </w:p>
        </w:tc>
      </w:tr>
    </w:tbl>
    <w:p w14:paraId="4CDD5101" w14:textId="77777777" w:rsidR="00E91884" w:rsidRPr="007F27A0" w:rsidRDefault="00E91884" w:rsidP="007F27A0">
      <w:pPr>
        <w:widowControl/>
        <w:tabs>
          <w:tab w:val="left" w:pos="270"/>
          <w:tab w:val="left" w:pos="360"/>
          <w:tab w:val="left" w:pos="540"/>
          <w:tab w:val="left" w:pos="810"/>
        </w:tabs>
        <w:spacing w:before="60"/>
        <w:ind w:left="540" w:hanging="270"/>
        <w:rPr>
          <w:rFonts w:cs="Arial"/>
          <w:snapToGrid/>
          <w:sz w:val="18"/>
          <w:szCs w:val="18"/>
        </w:rPr>
      </w:pPr>
      <w:r w:rsidRPr="007F27A0">
        <w:rPr>
          <w:rFonts w:cs="Arial"/>
          <w:snapToGrid/>
          <w:sz w:val="18"/>
          <w:szCs w:val="18"/>
        </w:rPr>
        <w:tab/>
      </w:r>
      <w:r w:rsidRPr="007F27A0">
        <w:rPr>
          <w:rFonts w:cs="Arial"/>
          <w:snapToGrid/>
          <w:sz w:val="18"/>
          <w:szCs w:val="18"/>
        </w:rPr>
        <w:tab/>
      </w:r>
      <w:r w:rsidR="005F78BD" w:rsidRPr="007F27A0">
        <w:rPr>
          <w:rFonts w:cs="Arial"/>
          <w:snapToGrid/>
          <w:sz w:val="18"/>
          <w:szCs w:val="18"/>
          <w:vertAlign w:val="superscript"/>
        </w:rPr>
        <w:t>1</w:t>
      </w:r>
      <w:r w:rsidR="007278A4" w:rsidRPr="007F27A0">
        <w:rPr>
          <w:rFonts w:cs="Arial"/>
          <w:snapToGrid/>
          <w:sz w:val="18"/>
          <w:szCs w:val="18"/>
          <w:vertAlign w:val="superscript"/>
        </w:rPr>
        <w:t xml:space="preserve"> </w:t>
      </w:r>
      <w:r w:rsidRPr="007F27A0">
        <w:rPr>
          <w:rFonts w:cs="Arial"/>
          <w:snapToGrid/>
          <w:sz w:val="18"/>
          <w:szCs w:val="18"/>
        </w:rPr>
        <w:t>California tests approximately 3.2 million students annually with summative assessments.</w:t>
      </w:r>
    </w:p>
    <w:p w14:paraId="617979F0" w14:textId="77777777" w:rsidR="00E91884" w:rsidRDefault="00E91884" w:rsidP="007F27A0">
      <w:pPr>
        <w:widowControl/>
        <w:tabs>
          <w:tab w:val="left" w:pos="270"/>
          <w:tab w:val="left" w:pos="360"/>
          <w:tab w:val="left" w:pos="540"/>
          <w:tab w:val="left" w:pos="810"/>
        </w:tabs>
        <w:ind w:left="540" w:hanging="270"/>
        <w:rPr>
          <w:rFonts w:cs="Arial"/>
          <w:snapToGrid/>
          <w:sz w:val="20"/>
        </w:rPr>
      </w:pPr>
      <w:r w:rsidRPr="007F27A0">
        <w:rPr>
          <w:rFonts w:cs="Arial"/>
          <w:snapToGrid/>
          <w:sz w:val="18"/>
          <w:szCs w:val="18"/>
        </w:rPr>
        <w:tab/>
      </w:r>
      <w:r w:rsidRPr="007F27A0">
        <w:rPr>
          <w:rFonts w:cs="Arial"/>
          <w:snapToGrid/>
          <w:sz w:val="18"/>
          <w:szCs w:val="18"/>
        </w:rPr>
        <w:tab/>
      </w:r>
      <w:r w:rsidR="005F78BD" w:rsidRPr="007F27A0">
        <w:rPr>
          <w:rFonts w:cs="Arial"/>
          <w:snapToGrid/>
          <w:sz w:val="18"/>
          <w:szCs w:val="18"/>
          <w:vertAlign w:val="superscript"/>
        </w:rPr>
        <w:t>2</w:t>
      </w:r>
      <w:r w:rsidR="007278A4" w:rsidRPr="007F27A0">
        <w:rPr>
          <w:rFonts w:cs="Arial"/>
          <w:snapToGrid/>
          <w:sz w:val="18"/>
          <w:szCs w:val="18"/>
          <w:vertAlign w:val="superscript"/>
        </w:rPr>
        <w:t xml:space="preserve"> </w:t>
      </w:r>
      <w:r w:rsidR="00CE7256" w:rsidRPr="007F27A0">
        <w:rPr>
          <w:rFonts w:cs="Arial"/>
          <w:snapToGrid/>
          <w:sz w:val="18"/>
          <w:szCs w:val="18"/>
        </w:rPr>
        <w:t>Total r</w:t>
      </w:r>
      <w:r w:rsidRPr="007F27A0">
        <w:rPr>
          <w:rFonts w:cs="Arial"/>
          <w:snapToGrid/>
          <w:sz w:val="18"/>
          <w:szCs w:val="18"/>
        </w:rPr>
        <w:t>eflects a one-time membership credit of $1,534,739</w:t>
      </w:r>
      <w:r w:rsidR="00CE7256">
        <w:rPr>
          <w:rFonts w:cs="Arial"/>
          <w:snapToGrid/>
          <w:sz w:val="20"/>
        </w:rPr>
        <w:t>.</w:t>
      </w:r>
    </w:p>
    <w:p w14:paraId="0C47DF95" w14:textId="77777777" w:rsidR="00AD47E1" w:rsidRDefault="00AD47E1" w:rsidP="00AD47E1">
      <w:pPr>
        <w:spacing w:before="120" w:after="120"/>
        <w:rPr>
          <w:rFonts w:cs="Arial"/>
          <w:b/>
        </w:rPr>
      </w:pPr>
    </w:p>
    <w:p w14:paraId="3C59001E" w14:textId="77777777" w:rsidR="000F532E" w:rsidRDefault="0009348F" w:rsidP="0071253D">
      <w:pPr>
        <w:pStyle w:val="Heading3"/>
      </w:pPr>
      <w:bookmarkStart w:id="7" w:name="_Toc505780229"/>
      <w:r w:rsidRPr="008C65AC">
        <w:t>State-m</w:t>
      </w:r>
      <w:r w:rsidR="000F532E" w:rsidRPr="008C65AC">
        <w:t>anaged Services</w:t>
      </w:r>
      <w:r w:rsidR="00CE0B65" w:rsidRPr="008C65AC">
        <w:t xml:space="preserve"> Contract</w:t>
      </w:r>
      <w:bookmarkEnd w:id="7"/>
    </w:p>
    <w:p w14:paraId="3D664016" w14:textId="77777777" w:rsidR="00AD47E1" w:rsidRDefault="00AD47E1" w:rsidP="00FC6B7F">
      <w:pPr>
        <w:widowControl/>
        <w:overflowPunct w:val="0"/>
        <w:autoSpaceDE w:val="0"/>
        <w:autoSpaceDN w:val="0"/>
        <w:adjustRightInd w:val="0"/>
        <w:textAlignment w:val="baseline"/>
        <w:rPr>
          <w:rFonts w:cs="Arial"/>
          <w:iCs/>
          <w:szCs w:val="24"/>
        </w:rPr>
      </w:pPr>
    </w:p>
    <w:p w14:paraId="16B566E2" w14:textId="77777777" w:rsidR="00257722" w:rsidRDefault="008C65AC" w:rsidP="00FC6B7F">
      <w:pPr>
        <w:widowControl/>
        <w:overflowPunct w:val="0"/>
        <w:autoSpaceDE w:val="0"/>
        <w:autoSpaceDN w:val="0"/>
        <w:adjustRightInd w:val="0"/>
        <w:textAlignment w:val="baseline"/>
        <w:rPr>
          <w:rFonts w:cs="Arial"/>
          <w:iCs/>
          <w:szCs w:val="24"/>
        </w:rPr>
      </w:pPr>
      <w:r>
        <w:rPr>
          <w:rFonts w:cs="Arial"/>
          <w:iCs/>
          <w:szCs w:val="24"/>
        </w:rPr>
        <w:t>The S</w:t>
      </w:r>
      <w:r w:rsidR="00257722" w:rsidRPr="00FC6B7F">
        <w:rPr>
          <w:rFonts w:cs="Arial"/>
          <w:iCs/>
          <w:szCs w:val="24"/>
        </w:rPr>
        <w:t>tate-manag</w:t>
      </w:r>
      <w:r w:rsidR="005F78BD">
        <w:rPr>
          <w:rFonts w:cs="Arial"/>
          <w:iCs/>
          <w:szCs w:val="24"/>
        </w:rPr>
        <w:t>ed services contract is a multi</w:t>
      </w:r>
      <w:r w:rsidR="00257722" w:rsidRPr="00FC6B7F">
        <w:rPr>
          <w:rFonts w:cs="Arial"/>
          <w:iCs/>
          <w:szCs w:val="24"/>
        </w:rPr>
        <w:t>year contract to conduct an</w:t>
      </w:r>
      <w:r w:rsidR="005F78BD">
        <w:rPr>
          <w:rFonts w:cs="Arial"/>
          <w:iCs/>
          <w:szCs w:val="24"/>
        </w:rPr>
        <w:t>d support the annual</w:t>
      </w:r>
      <w:r w:rsidR="00257722" w:rsidRPr="00FC6B7F">
        <w:rPr>
          <w:rFonts w:cs="Arial"/>
          <w:iCs/>
          <w:szCs w:val="24"/>
        </w:rPr>
        <w:t xml:space="preserve"> administration of all CAASPP assessments, including the Smarter Balanc</w:t>
      </w:r>
      <w:r w:rsidR="0013218E">
        <w:rPr>
          <w:rFonts w:cs="Arial"/>
          <w:iCs/>
          <w:szCs w:val="24"/>
        </w:rPr>
        <w:t>ed assessments. This contract was</w:t>
      </w:r>
      <w:r w:rsidR="00257722" w:rsidRPr="00FC6B7F">
        <w:rPr>
          <w:rFonts w:cs="Arial"/>
          <w:iCs/>
          <w:szCs w:val="24"/>
        </w:rPr>
        <w:t xml:space="preserve"> competitively bid through</w:t>
      </w:r>
      <w:r w:rsidR="005F78BD">
        <w:rPr>
          <w:rFonts w:cs="Arial"/>
          <w:iCs/>
          <w:szCs w:val="24"/>
        </w:rPr>
        <w:t xml:space="preserve"> </w:t>
      </w:r>
      <w:r w:rsidR="000F656A">
        <w:rPr>
          <w:rFonts w:cs="Arial"/>
          <w:iCs/>
          <w:szCs w:val="24"/>
        </w:rPr>
        <w:t>a</w:t>
      </w:r>
      <w:r w:rsidR="009F51EE">
        <w:rPr>
          <w:rFonts w:cs="Arial"/>
          <w:iCs/>
          <w:szCs w:val="24"/>
        </w:rPr>
        <w:t>n</w:t>
      </w:r>
      <w:r w:rsidR="000F656A">
        <w:rPr>
          <w:rFonts w:cs="Arial"/>
          <w:iCs/>
          <w:szCs w:val="24"/>
        </w:rPr>
        <w:t xml:space="preserve"> RFS</w:t>
      </w:r>
      <w:r w:rsidR="00257722" w:rsidRPr="00FC6B7F">
        <w:rPr>
          <w:rFonts w:cs="Arial"/>
          <w:iCs/>
          <w:szCs w:val="24"/>
        </w:rPr>
        <w:t xml:space="preserve"> process with input from CDE and SBE staff. The CDE uses the RFS process to solicit bids and make a recommendation to the SBE. The SBE designates the contractor. As a</w:t>
      </w:r>
      <w:r>
        <w:rPr>
          <w:rFonts w:cs="Arial"/>
          <w:iCs/>
          <w:szCs w:val="24"/>
        </w:rPr>
        <w:t>llowed in S</w:t>
      </w:r>
      <w:r w:rsidR="002D65C5">
        <w:rPr>
          <w:rFonts w:cs="Arial"/>
          <w:iCs/>
          <w:szCs w:val="24"/>
        </w:rPr>
        <w:t>tate law, the final Scope of W</w:t>
      </w:r>
      <w:r w:rsidR="00257722" w:rsidRPr="00FC6B7F">
        <w:rPr>
          <w:rFonts w:cs="Arial"/>
          <w:iCs/>
          <w:szCs w:val="24"/>
        </w:rPr>
        <w:t xml:space="preserve">ork and budget are then negotiated and approved by the CDE, the SBE, and the DOF. </w:t>
      </w:r>
    </w:p>
    <w:p w14:paraId="4838AC3D" w14:textId="77777777" w:rsidR="00FC6B7F" w:rsidRDefault="00FC6B7F" w:rsidP="00FC6B7F">
      <w:pPr>
        <w:widowControl/>
        <w:overflowPunct w:val="0"/>
        <w:autoSpaceDE w:val="0"/>
        <w:autoSpaceDN w:val="0"/>
        <w:adjustRightInd w:val="0"/>
        <w:textAlignment w:val="baseline"/>
        <w:rPr>
          <w:rFonts w:cs="Arial"/>
          <w:iCs/>
          <w:szCs w:val="24"/>
        </w:rPr>
      </w:pPr>
    </w:p>
    <w:p w14:paraId="41348C95" w14:textId="77777777" w:rsidR="00FC6B7F" w:rsidRPr="009C2321" w:rsidRDefault="00FC6B7F" w:rsidP="009C2321">
      <w:pPr>
        <w:widowControl/>
        <w:overflowPunct w:val="0"/>
        <w:autoSpaceDE w:val="0"/>
        <w:autoSpaceDN w:val="0"/>
        <w:adjustRightInd w:val="0"/>
        <w:textAlignment w:val="baseline"/>
        <w:rPr>
          <w:rFonts w:cs="Arial"/>
          <w:iCs/>
          <w:szCs w:val="24"/>
        </w:rPr>
      </w:pPr>
      <w:r w:rsidRPr="009C2321">
        <w:rPr>
          <w:rFonts w:cs="Arial"/>
          <w:iCs/>
          <w:szCs w:val="24"/>
        </w:rPr>
        <w:t>The appropriation from each fiscal year</w:t>
      </w:r>
      <w:r w:rsidR="00F96C46" w:rsidRPr="006F77C6">
        <w:rPr>
          <w:rFonts w:cs="Arial"/>
          <w:iCs/>
          <w:szCs w:val="24"/>
        </w:rPr>
        <w:t xml:space="preserve"> involves</w:t>
      </w:r>
      <w:r w:rsidRPr="009C2321">
        <w:rPr>
          <w:rFonts w:cs="Arial"/>
          <w:iCs/>
          <w:szCs w:val="24"/>
        </w:rPr>
        <w:t xml:space="preserve"> funds </w:t>
      </w:r>
      <w:r w:rsidR="00F96C46" w:rsidRPr="006F77C6">
        <w:rPr>
          <w:rFonts w:cs="Arial"/>
          <w:iCs/>
          <w:szCs w:val="24"/>
        </w:rPr>
        <w:t xml:space="preserve">that </w:t>
      </w:r>
      <w:r w:rsidRPr="009C2321">
        <w:rPr>
          <w:rFonts w:cs="Arial"/>
          <w:iCs/>
          <w:szCs w:val="24"/>
        </w:rPr>
        <w:t xml:space="preserve">overlap contract activities for two separate CAASPP test administrations. </w:t>
      </w:r>
    </w:p>
    <w:p w14:paraId="1802039A" w14:textId="77777777" w:rsidR="00257722" w:rsidRPr="00FC6B7F" w:rsidRDefault="00257722" w:rsidP="00FC6B7F">
      <w:pPr>
        <w:widowControl/>
        <w:overflowPunct w:val="0"/>
        <w:autoSpaceDE w:val="0"/>
        <w:autoSpaceDN w:val="0"/>
        <w:adjustRightInd w:val="0"/>
        <w:textAlignment w:val="baseline"/>
        <w:rPr>
          <w:rFonts w:cs="Arial"/>
          <w:iCs/>
          <w:szCs w:val="24"/>
        </w:rPr>
      </w:pPr>
    </w:p>
    <w:p w14:paraId="2050EBC3" w14:textId="77777777" w:rsidR="00257722" w:rsidRDefault="00257722" w:rsidP="00C3184F">
      <w:pPr>
        <w:widowControl/>
        <w:autoSpaceDE w:val="0"/>
        <w:autoSpaceDN w:val="0"/>
        <w:adjustRightInd w:val="0"/>
        <w:rPr>
          <w:rFonts w:cs="Arial"/>
        </w:rPr>
      </w:pPr>
      <w:r w:rsidRPr="00FC6B7F">
        <w:rPr>
          <w:rFonts w:cs="Arial"/>
          <w:iCs/>
          <w:szCs w:val="24"/>
        </w:rPr>
        <w:t xml:space="preserve">The current </w:t>
      </w:r>
      <w:r w:rsidR="008C65AC">
        <w:rPr>
          <w:rFonts w:cs="Arial"/>
          <w:iCs/>
          <w:szCs w:val="24"/>
        </w:rPr>
        <w:t>S</w:t>
      </w:r>
      <w:r w:rsidR="00E71DE4">
        <w:rPr>
          <w:rFonts w:cs="Arial"/>
          <w:iCs/>
          <w:szCs w:val="24"/>
        </w:rPr>
        <w:t>tate-managed services contractor is ETS</w:t>
      </w:r>
      <w:r w:rsidR="005F78BD">
        <w:rPr>
          <w:rFonts w:cs="Arial"/>
          <w:iCs/>
          <w:szCs w:val="24"/>
        </w:rPr>
        <w:t xml:space="preserve">. </w:t>
      </w:r>
      <w:r w:rsidRPr="00FC6B7F">
        <w:rPr>
          <w:rFonts w:cs="Arial"/>
          <w:iCs/>
          <w:szCs w:val="24"/>
        </w:rPr>
        <w:t xml:space="preserve">The </w:t>
      </w:r>
      <w:r w:rsidR="00366F69">
        <w:rPr>
          <w:rFonts w:cs="Arial"/>
          <w:iCs/>
          <w:szCs w:val="24"/>
        </w:rPr>
        <w:t>contract</w:t>
      </w:r>
      <w:r w:rsidR="00366F69" w:rsidRPr="00FC6B7F">
        <w:rPr>
          <w:rFonts w:cs="Arial"/>
          <w:iCs/>
          <w:szCs w:val="24"/>
        </w:rPr>
        <w:t xml:space="preserve"> </w:t>
      </w:r>
      <w:r w:rsidR="00E71DE4">
        <w:rPr>
          <w:rFonts w:cs="Arial"/>
          <w:iCs/>
          <w:szCs w:val="24"/>
        </w:rPr>
        <w:t xml:space="preserve">was </w:t>
      </w:r>
      <w:r w:rsidR="00FC6B7F">
        <w:rPr>
          <w:rFonts w:cs="Arial"/>
          <w:iCs/>
          <w:szCs w:val="24"/>
        </w:rPr>
        <w:t>awarded to ETS in May 2015 for</w:t>
      </w:r>
      <w:r w:rsidRPr="00FC6B7F">
        <w:rPr>
          <w:rFonts w:cs="Arial"/>
          <w:iCs/>
          <w:szCs w:val="24"/>
        </w:rPr>
        <w:t xml:space="preserve"> the 2015–16 throu</w:t>
      </w:r>
      <w:r w:rsidR="00FC6B7F">
        <w:rPr>
          <w:rFonts w:cs="Arial"/>
          <w:iCs/>
          <w:szCs w:val="24"/>
        </w:rPr>
        <w:t>gh 2017–18 test administrations</w:t>
      </w:r>
      <w:r w:rsidR="005F78BD">
        <w:rPr>
          <w:rFonts w:cs="Arial"/>
          <w:iCs/>
          <w:szCs w:val="24"/>
        </w:rPr>
        <w:t xml:space="preserve">. </w:t>
      </w:r>
      <w:r w:rsidR="00D91B32">
        <w:rPr>
          <w:rFonts w:cs="Arial"/>
          <w:iCs/>
          <w:szCs w:val="24"/>
        </w:rPr>
        <w:t xml:space="preserve">The contract </w:t>
      </w:r>
      <w:r w:rsidRPr="00FC6B7F">
        <w:rPr>
          <w:rFonts w:cs="Arial"/>
          <w:iCs/>
          <w:szCs w:val="24"/>
        </w:rPr>
        <w:t>began July 1, 2015</w:t>
      </w:r>
      <w:r w:rsidR="0013218E">
        <w:rPr>
          <w:rFonts w:cs="Arial"/>
          <w:iCs/>
          <w:szCs w:val="24"/>
        </w:rPr>
        <w:t>,</w:t>
      </w:r>
      <w:r w:rsidRPr="00FC6B7F">
        <w:rPr>
          <w:rFonts w:cs="Arial"/>
          <w:iCs/>
          <w:szCs w:val="24"/>
        </w:rPr>
        <w:t xml:space="preserve"> and ends December 31, 2018.</w:t>
      </w:r>
      <w:r w:rsidR="00FC6B7F">
        <w:rPr>
          <w:rFonts w:cs="Arial"/>
          <w:iCs/>
          <w:szCs w:val="24"/>
        </w:rPr>
        <w:t xml:space="preserve"> </w:t>
      </w:r>
      <w:r w:rsidR="0052256F">
        <w:rPr>
          <w:rFonts w:cs="Arial"/>
        </w:rPr>
        <w:t xml:space="preserve">Table </w:t>
      </w:r>
      <w:r w:rsidR="002E1ACF">
        <w:rPr>
          <w:rFonts w:cs="Arial"/>
        </w:rPr>
        <w:t>5</w:t>
      </w:r>
      <w:r w:rsidR="0013218E">
        <w:rPr>
          <w:rFonts w:cs="Arial"/>
        </w:rPr>
        <w:t xml:space="preserve">, </w:t>
      </w:r>
      <w:r w:rsidR="00DC0238">
        <w:rPr>
          <w:rFonts w:cs="Arial"/>
        </w:rPr>
        <w:t>on the following page,</w:t>
      </w:r>
      <w:r w:rsidR="0052256F" w:rsidRPr="0052256F">
        <w:rPr>
          <w:rFonts w:cs="Arial"/>
        </w:rPr>
        <w:t xml:space="preserve"> provides a breakdown of the contract costs per fiscal year.</w:t>
      </w:r>
    </w:p>
    <w:p w14:paraId="5B714FE3" w14:textId="77777777" w:rsidR="00366F69" w:rsidRDefault="00366F69" w:rsidP="00366F69">
      <w:pPr>
        <w:widowControl/>
        <w:autoSpaceDE w:val="0"/>
        <w:autoSpaceDN w:val="0"/>
        <w:adjustRightInd w:val="0"/>
        <w:rPr>
          <w:rFonts w:cs="Arial"/>
          <w:b/>
          <w:iCs/>
          <w:szCs w:val="24"/>
        </w:rPr>
      </w:pPr>
    </w:p>
    <w:p w14:paraId="25128C36" w14:textId="77777777" w:rsidR="00366F69" w:rsidRPr="00242F41" w:rsidRDefault="00366F69" w:rsidP="00366F69">
      <w:pPr>
        <w:widowControl/>
        <w:autoSpaceDE w:val="0"/>
        <w:autoSpaceDN w:val="0"/>
        <w:adjustRightInd w:val="0"/>
        <w:rPr>
          <w:rFonts w:cs="Arial"/>
          <w:iCs/>
          <w:szCs w:val="24"/>
        </w:rPr>
      </w:pPr>
      <w:r w:rsidRPr="00242F41">
        <w:rPr>
          <w:rFonts w:cs="Arial"/>
          <w:iCs/>
          <w:szCs w:val="24"/>
        </w:rPr>
        <w:t xml:space="preserve">The 2015 Budget Act included a provision </w:t>
      </w:r>
      <w:r>
        <w:rPr>
          <w:rFonts w:cs="Arial"/>
          <w:iCs/>
          <w:szCs w:val="24"/>
        </w:rPr>
        <w:t>requiring</w:t>
      </w:r>
      <w:r w:rsidRPr="00242F41">
        <w:rPr>
          <w:rFonts w:cs="Arial"/>
          <w:iCs/>
          <w:szCs w:val="24"/>
        </w:rPr>
        <w:t xml:space="preserve"> the CDE </w:t>
      </w:r>
      <w:r>
        <w:rPr>
          <w:rFonts w:cs="Arial"/>
          <w:iCs/>
          <w:szCs w:val="24"/>
        </w:rPr>
        <w:t xml:space="preserve">to </w:t>
      </w:r>
      <w:r w:rsidRPr="00242F41">
        <w:rPr>
          <w:rFonts w:cs="Arial"/>
          <w:iCs/>
          <w:szCs w:val="24"/>
        </w:rPr>
        <w:t>develop a plan for the use of any savings from the funds appropriated for the California High School Exit Examination (CAHSEE) contract, and as a condition of expending these fiscal year funds, submit the plan to the Joint Legislative Budget Committee and the DOF. The CDE provided a CAHSEE savings expenditure plan to the DOF and the Joint Legislative Budget Committee in November 2015.</w:t>
      </w:r>
    </w:p>
    <w:p w14:paraId="5399B7CD" w14:textId="77777777" w:rsidR="00366F69" w:rsidRPr="00242F41" w:rsidRDefault="00366F69" w:rsidP="00366F69">
      <w:pPr>
        <w:widowControl/>
        <w:autoSpaceDE w:val="0"/>
        <w:autoSpaceDN w:val="0"/>
        <w:adjustRightInd w:val="0"/>
        <w:rPr>
          <w:rFonts w:cs="Arial"/>
          <w:iCs/>
          <w:szCs w:val="24"/>
        </w:rPr>
      </w:pPr>
    </w:p>
    <w:p w14:paraId="4B2D188D" w14:textId="77777777" w:rsidR="00366F69" w:rsidRPr="00242F41" w:rsidRDefault="00366F69" w:rsidP="00366F69">
      <w:pPr>
        <w:widowControl/>
        <w:autoSpaceDE w:val="0"/>
        <w:autoSpaceDN w:val="0"/>
        <w:adjustRightInd w:val="0"/>
        <w:rPr>
          <w:rFonts w:cs="Arial"/>
          <w:iCs/>
          <w:szCs w:val="24"/>
        </w:rPr>
      </w:pPr>
      <w:r w:rsidRPr="00242F41">
        <w:rPr>
          <w:rFonts w:cs="Arial"/>
          <w:iCs/>
          <w:szCs w:val="24"/>
        </w:rPr>
        <w:t xml:space="preserve">The plan included funding for the licensing of NCSC consortium-developed alternate assessment items for ELA and mathematics for use in the CAAs. </w:t>
      </w:r>
    </w:p>
    <w:p w14:paraId="1C13B457" w14:textId="77777777" w:rsidR="00366F69" w:rsidRPr="00242F41" w:rsidRDefault="00366F69" w:rsidP="00366F69">
      <w:pPr>
        <w:widowControl/>
        <w:autoSpaceDE w:val="0"/>
        <w:autoSpaceDN w:val="0"/>
        <w:adjustRightInd w:val="0"/>
        <w:rPr>
          <w:rFonts w:cs="Arial"/>
          <w:iCs/>
          <w:szCs w:val="24"/>
        </w:rPr>
      </w:pPr>
    </w:p>
    <w:p w14:paraId="3AFA1C49" w14:textId="77777777" w:rsidR="00366F69" w:rsidRPr="00242F41" w:rsidRDefault="00366F69" w:rsidP="00366F69">
      <w:pPr>
        <w:widowControl/>
        <w:autoSpaceDE w:val="0"/>
        <w:autoSpaceDN w:val="0"/>
        <w:adjustRightInd w:val="0"/>
        <w:rPr>
          <w:rFonts w:cs="Arial"/>
          <w:iCs/>
          <w:szCs w:val="24"/>
        </w:rPr>
      </w:pPr>
      <w:r w:rsidRPr="00242F41">
        <w:rPr>
          <w:rFonts w:cs="Arial"/>
          <w:iCs/>
          <w:szCs w:val="24"/>
        </w:rPr>
        <w:t>The CDE entered into a separate licensing contract with edCount for $10,000. edCount is the fiscal agent for the new multistate alternate assessment collaborative that will administer the assessments developed by the NCSC for the use of NCSC items and/or the NCSC assessment.</w:t>
      </w:r>
    </w:p>
    <w:p w14:paraId="281BFC94" w14:textId="77777777" w:rsidR="00366F69" w:rsidRPr="009F51EE" w:rsidRDefault="00366F69" w:rsidP="00366F69">
      <w:pPr>
        <w:widowControl/>
        <w:autoSpaceDE w:val="0"/>
        <w:autoSpaceDN w:val="0"/>
        <w:adjustRightInd w:val="0"/>
        <w:rPr>
          <w:rFonts w:cs="Arial"/>
          <w:iCs/>
          <w:szCs w:val="24"/>
        </w:rPr>
      </w:pPr>
      <w:r w:rsidRPr="00242F41">
        <w:rPr>
          <w:rFonts w:cs="Arial"/>
          <w:iCs/>
          <w:szCs w:val="24"/>
        </w:rPr>
        <w:lastRenderedPageBreak/>
        <w:t xml:space="preserve">In </w:t>
      </w:r>
      <w:r w:rsidRPr="009F51EE">
        <w:rPr>
          <w:rFonts w:cs="Arial"/>
          <w:iCs/>
          <w:szCs w:val="24"/>
        </w:rPr>
        <w:t xml:space="preserve">addition, leased items required additional efforts, by ETS, before the leased items can be incorporated into the California item bank for use in the CAAs. The leased items will need to be electronically edited to render correctly in our online test delivery system. The ETS </w:t>
      </w:r>
      <w:r w:rsidR="00006D5A">
        <w:rPr>
          <w:rFonts w:cs="Arial"/>
          <w:iCs/>
          <w:szCs w:val="24"/>
        </w:rPr>
        <w:t>S</w:t>
      </w:r>
      <w:r w:rsidRPr="009F51EE">
        <w:rPr>
          <w:rFonts w:cs="Arial"/>
          <w:iCs/>
          <w:szCs w:val="24"/>
        </w:rPr>
        <w:t>tate-managed services contract was amended to include the additional CAHSEE funding of $398,164 for this work.</w:t>
      </w:r>
    </w:p>
    <w:p w14:paraId="54B58E5C" w14:textId="77777777" w:rsidR="009F51EE" w:rsidRPr="009F51EE" w:rsidRDefault="009F51EE" w:rsidP="00242F41">
      <w:pPr>
        <w:widowControl/>
        <w:spacing w:after="120"/>
        <w:rPr>
          <w:rFonts w:cs="Arial"/>
          <w:iCs/>
          <w:szCs w:val="24"/>
        </w:rPr>
      </w:pPr>
    </w:p>
    <w:p w14:paraId="54233C08" w14:textId="77777777" w:rsidR="00F97727" w:rsidRDefault="00366F69" w:rsidP="00F97727">
      <w:pPr>
        <w:widowControl/>
        <w:rPr>
          <w:rFonts w:cs="Arial"/>
          <w:iCs/>
          <w:szCs w:val="24"/>
        </w:rPr>
      </w:pPr>
      <w:r w:rsidRPr="009F51EE">
        <w:rPr>
          <w:rFonts w:cs="Arial"/>
          <w:iCs/>
          <w:szCs w:val="24"/>
        </w:rPr>
        <w:t>Table 5, below, provides a breakdown of the current contract costs per fiscal</w:t>
      </w:r>
      <w:r w:rsidRPr="009F51EE">
        <w:rPr>
          <w:rFonts w:cs="Arial"/>
          <w:b/>
          <w:iCs/>
          <w:szCs w:val="24"/>
        </w:rPr>
        <w:t xml:space="preserve"> </w:t>
      </w:r>
      <w:r w:rsidRPr="009F51EE">
        <w:rPr>
          <w:rFonts w:cs="Arial"/>
          <w:iCs/>
          <w:szCs w:val="24"/>
        </w:rPr>
        <w:t>year.</w:t>
      </w:r>
    </w:p>
    <w:p w14:paraId="66C2EC39" w14:textId="77777777" w:rsidR="00F97727" w:rsidRDefault="00F97727" w:rsidP="00F97727">
      <w:pPr>
        <w:widowControl/>
        <w:rPr>
          <w:rFonts w:cs="Arial"/>
          <w:iCs/>
          <w:szCs w:val="24"/>
        </w:rPr>
      </w:pPr>
    </w:p>
    <w:p w14:paraId="5EED476F" w14:textId="77777777" w:rsidR="0052256F" w:rsidRPr="009F51EE" w:rsidRDefault="006A5637" w:rsidP="00F97727">
      <w:pPr>
        <w:widowControl/>
        <w:spacing w:after="120"/>
        <w:ind w:firstLine="180"/>
        <w:rPr>
          <w:rFonts w:cs="Arial"/>
          <w:b/>
          <w:iCs/>
          <w:szCs w:val="24"/>
        </w:rPr>
      </w:pPr>
      <w:r w:rsidRPr="009F51EE">
        <w:rPr>
          <w:rFonts w:cs="Arial"/>
          <w:b/>
          <w:iCs/>
          <w:szCs w:val="24"/>
        </w:rPr>
        <w:t>T</w:t>
      </w:r>
      <w:r w:rsidR="0052256F" w:rsidRPr="009F51EE">
        <w:rPr>
          <w:rFonts w:cs="Arial"/>
          <w:b/>
          <w:iCs/>
          <w:szCs w:val="24"/>
        </w:rPr>
        <w:t xml:space="preserve">able </w:t>
      </w:r>
      <w:r w:rsidR="002E1ACF" w:rsidRPr="009F51EE">
        <w:rPr>
          <w:rFonts w:cs="Arial"/>
          <w:b/>
          <w:iCs/>
          <w:szCs w:val="24"/>
        </w:rPr>
        <w:t>5</w:t>
      </w:r>
      <w:r w:rsidR="0052256F" w:rsidRPr="009F51EE">
        <w:rPr>
          <w:rFonts w:cs="Arial"/>
          <w:b/>
          <w:iCs/>
          <w:szCs w:val="24"/>
        </w:rPr>
        <w:t xml:space="preserve">. </w:t>
      </w:r>
      <w:r w:rsidR="0009348F" w:rsidRPr="009F51EE">
        <w:rPr>
          <w:rFonts w:cs="Arial"/>
          <w:iCs/>
          <w:szCs w:val="24"/>
        </w:rPr>
        <w:t>State-m</w:t>
      </w:r>
      <w:r w:rsidR="00D05F75" w:rsidRPr="009F51EE">
        <w:rPr>
          <w:rFonts w:cs="Arial"/>
          <w:iCs/>
          <w:szCs w:val="24"/>
        </w:rPr>
        <w:t>anaged Services</w:t>
      </w:r>
      <w:r w:rsidR="006E223F" w:rsidRPr="009F51EE">
        <w:rPr>
          <w:rFonts w:cs="Arial"/>
          <w:iCs/>
          <w:szCs w:val="24"/>
        </w:rPr>
        <w:t xml:space="preserve"> Contract Costs</w:t>
      </w:r>
    </w:p>
    <w:tbl>
      <w:tblPr>
        <w:tblStyle w:val="TableGrid"/>
        <w:tblW w:w="0" w:type="auto"/>
        <w:jc w:val="center"/>
        <w:tblLook w:val="04A0" w:firstRow="1" w:lastRow="0" w:firstColumn="1" w:lastColumn="0" w:noHBand="0" w:noVBand="1"/>
      </w:tblPr>
      <w:tblGrid>
        <w:gridCol w:w="1435"/>
        <w:gridCol w:w="1530"/>
        <w:gridCol w:w="5940"/>
      </w:tblGrid>
      <w:tr w:rsidR="004F42D8" w:rsidRPr="009F51EE" w14:paraId="6F98D580" w14:textId="77777777" w:rsidTr="00570032">
        <w:trPr>
          <w:trHeight w:val="332"/>
          <w:jc w:val="center"/>
        </w:trPr>
        <w:tc>
          <w:tcPr>
            <w:tcW w:w="1435" w:type="dxa"/>
            <w:vAlign w:val="center"/>
          </w:tcPr>
          <w:p w14:paraId="4FDA4969" w14:textId="77777777" w:rsidR="004F42D8" w:rsidRPr="009F51EE" w:rsidRDefault="004F42D8" w:rsidP="00CF5EBD">
            <w:pPr>
              <w:widowControl/>
              <w:overflowPunct w:val="0"/>
              <w:autoSpaceDE w:val="0"/>
              <w:autoSpaceDN w:val="0"/>
              <w:adjustRightInd w:val="0"/>
              <w:jc w:val="center"/>
              <w:textAlignment w:val="baseline"/>
              <w:rPr>
                <w:rFonts w:cs="Arial"/>
                <w:b/>
                <w:iCs/>
                <w:szCs w:val="24"/>
              </w:rPr>
            </w:pPr>
            <w:r w:rsidRPr="009F51EE">
              <w:rPr>
                <w:rFonts w:cs="Arial"/>
                <w:b/>
                <w:iCs/>
                <w:szCs w:val="24"/>
              </w:rPr>
              <w:t>Fiscal Year</w:t>
            </w:r>
          </w:p>
        </w:tc>
        <w:tc>
          <w:tcPr>
            <w:tcW w:w="1530" w:type="dxa"/>
            <w:vAlign w:val="center"/>
          </w:tcPr>
          <w:p w14:paraId="043F240E" w14:textId="77777777" w:rsidR="004F42D8" w:rsidRPr="009F51EE" w:rsidRDefault="004F42D8" w:rsidP="00CF5EBD">
            <w:pPr>
              <w:widowControl/>
              <w:overflowPunct w:val="0"/>
              <w:autoSpaceDE w:val="0"/>
              <w:autoSpaceDN w:val="0"/>
              <w:adjustRightInd w:val="0"/>
              <w:jc w:val="center"/>
              <w:textAlignment w:val="baseline"/>
              <w:rPr>
                <w:rFonts w:cs="Arial"/>
                <w:b/>
                <w:iCs/>
                <w:szCs w:val="24"/>
              </w:rPr>
            </w:pPr>
            <w:r w:rsidRPr="009F51EE">
              <w:rPr>
                <w:rFonts w:cs="Arial"/>
                <w:b/>
                <w:iCs/>
                <w:szCs w:val="24"/>
              </w:rPr>
              <w:t>Total Cost</w:t>
            </w:r>
          </w:p>
        </w:tc>
        <w:tc>
          <w:tcPr>
            <w:tcW w:w="5940" w:type="dxa"/>
            <w:vAlign w:val="center"/>
          </w:tcPr>
          <w:p w14:paraId="0556D793" w14:textId="77777777" w:rsidR="004F42D8" w:rsidRPr="009F51EE" w:rsidRDefault="0009348F" w:rsidP="00CF5EBD">
            <w:pPr>
              <w:widowControl/>
              <w:overflowPunct w:val="0"/>
              <w:autoSpaceDE w:val="0"/>
              <w:autoSpaceDN w:val="0"/>
              <w:adjustRightInd w:val="0"/>
              <w:jc w:val="center"/>
              <w:textAlignment w:val="baseline"/>
              <w:rPr>
                <w:rFonts w:cs="Arial"/>
                <w:b/>
                <w:iCs/>
                <w:szCs w:val="24"/>
              </w:rPr>
            </w:pPr>
            <w:r w:rsidRPr="009F51EE">
              <w:rPr>
                <w:rFonts w:cs="Arial"/>
                <w:b/>
                <w:iCs/>
                <w:szCs w:val="24"/>
              </w:rPr>
              <w:t>Cost Breakdown p</w:t>
            </w:r>
            <w:r w:rsidR="004F42D8" w:rsidRPr="009F51EE">
              <w:rPr>
                <w:rFonts w:cs="Arial"/>
                <w:b/>
                <w:iCs/>
                <w:szCs w:val="24"/>
              </w:rPr>
              <w:t>er Test Administration</w:t>
            </w:r>
          </w:p>
        </w:tc>
      </w:tr>
      <w:tr w:rsidR="004F42D8" w14:paraId="042633FB" w14:textId="77777777" w:rsidTr="00570032">
        <w:trPr>
          <w:jc w:val="center"/>
        </w:trPr>
        <w:tc>
          <w:tcPr>
            <w:tcW w:w="1435" w:type="dxa"/>
            <w:vAlign w:val="center"/>
          </w:tcPr>
          <w:p w14:paraId="55438B0E" w14:textId="77777777" w:rsidR="004F42D8" w:rsidRPr="00D13F3A" w:rsidRDefault="004F42D8" w:rsidP="004F42D8">
            <w:pPr>
              <w:widowControl/>
              <w:overflowPunct w:val="0"/>
              <w:autoSpaceDE w:val="0"/>
              <w:autoSpaceDN w:val="0"/>
              <w:adjustRightInd w:val="0"/>
              <w:jc w:val="center"/>
              <w:textAlignment w:val="baseline"/>
              <w:rPr>
                <w:rFonts w:cs="Arial"/>
                <w:iCs/>
                <w:sz w:val="20"/>
              </w:rPr>
            </w:pPr>
            <w:r w:rsidRPr="00D13F3A">
              <w:rPr>
                <w:rFonts w:cs="Arial"/>
                <w:iCs/>
                <w:sz w:val="20"/>
              </w:rPr>
              <w:t>2015–16</w:t>
            </w:r>
          </w:p>
        </w:tc>
        <w:tc>
          <w:tcPr>
            <w:tcW w:w="1530" w:type="dxa"/>
            <w:vAlign w:val="center"/>
          </w:tcPr>
          <w:p w14:paraId="1B3A8628" w14:textId="77777777" w:rsidR="004F42D8" w:rsidRPr="00D13F3A" w:rsidRDefault="004F42D8">
            <w:pPr>
              <w:widowControl/>
              <w:overflowPunct w:val="0"/>
              <w:autoSpaceDE w:val="0"/>
              <w:autoSpaceDN w:val="0"/>
              <w:adjustRightInd w:val="0"/>
              <w:jc w:val="center"/>
              <w:textAlignment w:val="baseline"/>
              <w:rPr>
                <w:rFonts w:cs="Arial"/>
                <w:iCs/>
                <w:sz w:val="20"/>
              </w:rPr>
            </w:pPr>
            <w:r w:rsidRPr="00D13F3A">
              <w:rPr>
                <w:rFonts w:cs="Arial"/>
                <w:iCs/>
                <w:sz w:val="20"/>
              </w:rPr>
              <w:t>$</w:t>
            </w:r>
            <w:r w:rsidR="000F656A">
              <w:rPr>
                <w:rFonts w:cs="Arial"/>
                <w:iCs/>
                <w:sz w:val="20"/>
              </w:rPr>
              <w:t>76,149,935</w:t>
            </w:r>
          </w:p>
        </w:tc>
        <w:tc>
          <w:tcPr>
            <w:tcW w:w="5940" w:type="dxa"/>
          </w:tcPr>
          <w:p w14:paraId="2F397FDA" w14:textId="77777777" w:rsidR="000F656A" w:rsidRDefault="004F42D8" w:rsidP="001556DE">
            <w:pPr>
              <w:pStyle w:val="ListParagraph"/>
              <w:numPr>
                <w:ilvl w:val="0"/>
                <w:numId w:val="10"/>
              </w:numPr>
              <w:ind w:hanging="288"/>
              <w:rPr>
                <w:rFonts w:cs="Arial"/>
                <w:iCs/>
                <w:sz w:val="20"/>
              </w:rPr>
            </w:pPr>
            <w:r w:rsidRPr="00D13F3A">
              <w:rPr>
                <w:rFonts w:cs="Arial"/>
                <w:iCs/>
                <w:sz w:val="20"/>
              </w:rPr>
              <w:t>$75,999,935 for 2015–16 test administration costs</w:t>
            </w:r>
          </w:p>
          <w:p w14:paraId="4BEAA76F" w14:textId="77777777" w:rsidR="004F42D8" w:rsidRPr="00D13F3A" w:rsidRDefault="000F656A" w:rsidP="001556DE">
            <w:pPr>
              <w:pStyle w:val="ListParagraph"/>
              <w:numPr>
                <w:ilvl w:val="0"/>
                <w:numId w:val="10"/>
              </w:numPr>
              <w:ind w:hanging="288"/>
              <w:rPr>
                <w:rFonts w:cs="Arial"/>
                <w:iCs/>
                <w:sz w:val="20"/>
              </w:rPr>
            </w:pPr>
            <w:r w:rsidRPr="000F656A">
              <w:rPr>
                <w:rFonts w:cs="Arial"/>
                <w:iCs/>
                <w:sz w:val="20"/>
              </w:rPr>
              <w:t>$150,000 to fund activities referenced in Task 6.1 of the approved contract to incorporate the NCSC assessment test items, as appropriate, into the CAA test development plan</w:t>
            </w:r>
          </w:p>
        </w:tc>
      </w:tr>
      <w:tr w:rsidR="004F42D8" w14:paraId="0953BFA7" w14:textId="77777777" w:rsidTr="00570032">
        <w:trPr>
          <w:jc w:val="center"/>
        </w:trPr>
        <w:tc>
          <w:tcPr>
            <w:tcW w:w="1435" w:type="dxa"/>
            <w:vAlign w:val="center"/>
          </w:tcPr>
          <w:p w14:paraId="48A4D1D1" w14:textId="77777777" w:rsidR="004F42D8" w:rsidRPr="00D13F3A" w:rsidRDefault="004F42D8" w:rsidP="004F42D8">
            <w:pPr>
              <w:widowControl/>
              <w:overflowPunct w:val="0"/>
              <w:autoSpaceDE w:val="0"/>
              <w:autoSpaceDN w:val="0"/>
              <w:adjustRightInd w:val="0"/>
              <w:jc w:val="center"/>
              <w:textAlignment w:val="baseline"/>
              <w:rPr>
                <w:rFonts w:cs="Arial"/>
                <w:iCs/>
                <w:sz w:val="20"/>
              </w:rPr>
            </w:pPr>
            <w:r w:rsidRPr="00D13F3A">
              <w:rPr>
                <w:rFonts w:cs="Arial"/>
                <w:iCs/>
                <w:sz w:val="20"/>
              </w:rPr>
              <w:t>2016–17</w:t>
            </w:r>
          </w:p>
        </w:tc>
        <w:tc>
          <w:tcPr>
            <w:tcW w:w="1530" w:type="dxa"/>
            <w:vAlign w:val="center"/>
          </w:tcPr>
          <w:p w14:paraId="76120A27" w14:textId="77777777" w:rsidR="004F42D8" w:rsidRPr="00D13F3A" w:rsidRDefault="000F656A" w:rsidP="004F42D8">
            <w:pPr>
              <w:widowControl/>
              <w:overflowPunct w:val="0"/>
              <w:autoSpaceDE w:val="0"/>
              <w:autoSpaceDN w:val="0"/>
              <w:adjustRightInd w:val="0"/>
              <w:jc w:val="center"/>
              <w:textAlignment w:val="baseline"/>
              <w:rPr>
                <w:rFonts w:cs="Arial"/>
                <w:iCs/>
                <w:sz w:val="20"/>
              </w:rPr>
            </w:pPr>
            <w:r>
              <w:rPr>
                <w:rFonts w:cs="Arial"/>
                <w:iCs/>
                <w:sz w:val="20"/>
              </w:rPr>
              <w:t>$</w:t>
            </w:r>
            <w:r w:rsidRPr="000F656A">
              <w:rPr>
                <w:rFonts w:cs="Arial"/>
                <w:iCs/>
                <w:sz w:val="20"/>
              </w:rPr>
              <w:t>83,107,093</w:t>
            </w:r>
          </w:p>
        </w:tc>
        <w:tc>
          <w:tcPr>
            <w:tcW w:w="5940" w:type="dxa"/>
          </w:tcPr>
          <w:p w14:paraId="2D1C6218" w14:textId="77777777" w:rsidR="004F42D8" w:rsidRPr="00D13F3A" w:rsidRDefault="004F42D8" w:rsidP="001556DE">
            <w:pPr>
              <w:pStyle w:val="ListParagraph"/>
              <w:widowControl/>
              <w:numPr>
                <w:ilvl w:val="0"/>
                <w:numId w:val="11"/>
              </w:numPr>
              <w:overflowPunct w:val="0"/>
              <w:autoSpaceDE w:val="0"/>
              <w:autoSpaceDN w:val="0"/>
              <w:adjustRightInd w:val="0"/>
              <w:ind w:hanging="288"/>
              <w:textAlignment w:val="baseline"/>
              <w:rPr>
                <w:rFonts w:cs="Arial"/>
                <w:iCs/>
                <w:sz w:val="20"/>
              </w:rPr>
            </w:pPr>
            <w:r w:rsidRPr="00D13F3A">
              <w:rPr>
                <w:rFonts w:cs="Arial"/>
                <w:iCs/>
                <w:sz w:val="20"/>
              </w:rPr>
              <w:t>$10,021,029 for 2015–16 test administration costs</w:t>
            </w:r>
          </w:p>
          <w:p w14:paraId="34EC0A29" w14:textId="77777777" w:rsidR="004F42D8" w:rsidRDefault="004F42D8" w:rsidP="001556DE">
            <w:pPr>
              <w:pStyle w:val="ListParagraph"/>
              <w:widowControl/>
              <w:numPr>
                <w:ilvl w:val="0"/>
                <w:numId w:val="11"/>
              </w:numPr>
              <w:overflowPunct w:val="0"/>
              <w:autoSpaceDE w:val="0"/>
              <w:autoSpaceDN w:val="0"/>
              <w:adjustRightInd w:val="0"/>
              <w:ind w:hanging="288"/>
              <w:textAlignment w:val="baseline"/>
              <w:rPr>
                <w:rFonts w:cs="Arial"/>
                <w:iCs/>
                <w:sz w:val="20"/>
              </w:rPr>
            </w:pPr>
            <w:r w:rsidRPr="00D13F3A">
              <w:rPr>
                <w:rFonts w:cs="Arial"/>
                <w:iCs/>
                <w:sz w:val="20"/>
              </w:rPr>
              <w:t>$72,837,900 for 2016–17 test administration costs</w:t>
            </w:r>
          </w:p>
          <w:p w14:paraId="5E4E9FC2" w14:textId="77777777" w:rsidR="000F656A" w:rsidRPr="00D13F3A" w:rsidRDefault="000F656A" w:rsidP="001556DE">
            <w:pPr>
              <w:pStyle w:val="ListParagraph"/>
              <w:widowControl/>
              <w:numPr>
                <w:ilvl w:val="0"/>
                <w:numId w:val="11"/>
              </w:numPr>
              <w:overflowPunct w:val="0"/>
              <w:autoSpaceDE w:val="0"/>
              <w:autoSpaceDN w:val="0"/>
              <w:adjustRightInd w:val="0"/>
              <w:ind w:hanging="288"/>
              <w:textAlignment w:val="baseline"/>
              <w:rPr>
                <w:rFonts w:cs="Arial"/>
                <w:iCs/>
                <w:sz w:val="20"/>
              </w:rPr>
            </w:pPr>
            <w:r w:rsidRPr="000F656A">
              <w:rPr>
                <w:rFonts w:cs="Arial"/>
                <w:iCs/>
                <w:sz w:val="20"/>
              </w:rPr>
              <w:t>$248,164 to fund review of NCSC items for use with CAA</w:t>
            </w:r>
          </w:p>
        </w:tc>
      </w:tr>
      <w:tr w:rsidR="004F42D8" w14:paraId="43FE227D" w14:textId="77777777" w:rsidTr="00570032">
        <w:trPr>
          <w:jc w:val="center"/>
        </w:trPr>
        <w:tc>
          <w:tcPr>
            <w:tcW w:w="1435" w:type="dxa"/>
            <w:vAlign w:val="center"/>
          </w:tcPr>
          <w:p w14:paraId="6CEC2BE7" w14:textId="77777777" w:rsidR="004F42D8" w:rsidRPr="00D13F3A" w:rsidRDefault="004F42D8" w:rsidP="004F42D8">
            <w:pPr>
              <w:widowControl/>
              <w:overflowPunct w:val="0"/>
              <w:autoSpaceDE w:val="0"/>
              <w:autoSpaceDN w:val="0"/>
              <w:adjustRightInd w:val="0"/>
              <w:jc w:val="center"/>
              <w:textAlignment w:val="baseline"/>
              <w:rPr>
                <w:rFonts w:cs="Arial"/>
                <w:iCs/>
                <w:sz w:val="20"/>
              </w:rPr>
            </w:pPr>
            <w:r w:rsidRPr="00D13F3A">
              <w:rPr>
                <w:rFonts w:cs="Arial"/>
                <w:iCs/>
                <w:sz w:val="20"/>
              </w:rPr>
              <w:t>2017–18</w:t>
            </w:r>
          </w:p>
        </w:tc>
        <w:tc>
          <w:tcPr>
            <w:tcW w:w="1530" w:type="dxa"/>
            <w:vAlign w:val="center"/>
          </w:tcPr>
          <w:p w14:paraId="3B5D2CA3" w14:textId="77777777" w:rsidR="004F42D8" w:rsidRPr="00D13F3A" w:rsidRDefault="004F42D8" w:rsidP="004F42D8">
            <w:pPr>
              <w:widowControl/>
              <w:overflowPunct w:val="0"/>
              <w:autoSpaceDE w:val="0"/>
              <w:autoSpaceDN w:val="0"/>
              <w:adjustRightInd w:val="0"/>
              <w:jc w:val="center"/>
              <w:textAlignment w:val="baseline"/>
              <w:rPr>
                <w:rFonts w:cs="Arial"/>
                <w:iCs/>
                <w:sz w:val="20"/>
              </w:rPr>
            </w:pPr>
            <w:r w:rsidRPr="00D13F3A">
              <w:rPr>
                <w:rFonts w:cs="Arial"/>
                <w:iCs/>
                <w:sz w:val="20"/>
              </w:rPr>
              <w:t>$75,759,080</w:t>
            </w:r>
          </w:p>
        </w:tc>
        <w:tc>
          <w:tcPr>
            <w:tcW w:w="5940" w:type="dxa"/>
          </w:tcPr>
          <w:p w14:paraId="00863C77" w14:textId="77777777" w:rsidR="004F42D8" w:rsidRPr="00D13F3A" w:rsidRDefault="004F42D8" w:rsidP="001556DE">
            <w:pPr>
              <w:pStyle w:val="ListParagraph"/>
              <w:widowControl/>
              <w:numPr>
                <w:ilvl w:val="0"/>
                <w:numId w:val="12"/>
              </w:numPr>
              <w:overflowPunct w:val="0"/>
              <w:autoSpaceDE w:val="0"/>
              <w:autoSpaceDN w:val="0"/>
              <w:adjustRightInd w:val="0"/>
              <w:ind w:hanging="288"/>
              <w:textAlignment w:val="baseline"/>
              <w:rPr>
                <w:rFonts w:cs="Arial"/>
                <w:iCs/>
                <w:sz w:val="20"/>
              </w:rPr>
            </w:pPr>
            <w:r w:rsidRPr="00D13F3A">
              <w:rPr>
                <w:rFonts w:cs="Arial"/>
                <w:iCs/>
                <w:sz w:val="20"/>
              </w:rPr>
              <w:t>$5,328,600 for 2016–17 test administration costs</w:t>
            </w:r>
          </w:p>
          <w:p w14:paraId="38CA4D24" w14:textId="77777777" w:rsidR="004F42D8" w:rsidRPr="00D13F3A" w:rsidRDefault="004F42D8" w:rsidP="001556DE">
            <w:pPr>
              <w:pStyle w:val="ListParagraph"/>
              <w:widowControl/>
              <w:numPr>
                <w:ilvl w:val="0"/>
                <w:numId w:val="12"/>
              </w:numPr>
              <w:overflowPunct w:val="0"/>
              <w:autoSpaceDE w:val="0"/>
              <w:autoSpaceDN w:val="0"/>
              <w:adjustRightInd w:val="0"/>
              <w:ind w:hanging="288"/>
              <w:textAlignment w:val="baseline"/>
              <w:rPr>
                <w:rFonts w:cs="Arial"/>
                <w:iCs/>
                <w:sz w:val="20"/>
              </w:rPr>
            </w:pPr>
            <w:r w:rsidRPr="00D13F3A">
              <w:rPr>
                <w:rFonts w:cs="Arial"/>
                <w:iCs/>
                <w:sz w:val="20"/>
              </w:rPr>
              <w:t>$70,430,480 for 2017–18 test administration costs</w:t>
            </w:r>
          </w:p>
        </w:tc>
      </w:tr>
      <w:tr w:rsidR="004F42D8" w14:paraId="416245C7" w14:textId="77777777" w:rsidTr="00570032">
        <w:trPr>
          <w:trHeight w:val="485"/>
          <w:jc w:val="center"/>
        </w:trPr>
        <w:tc>
          <w:tcPr>
            <w:tcW w:w="1435" w:type="dxa"/>
            <w:vAlign w:val="center"/>
          </w:tcPr>
          <w:p w14:paraId="077DF47F" w14:textId="77777777" w:rsidR="004F42D8" w:rsidRPr="00D13F3A" w:rsidRDefault="004F42D8" w:rsidP="004F42D8">
            <w:pPr>
              <w:widowControl/>
              <w:overflowPunct w:val="0"/>
              <w:autoSpaceDE w:val="0"/>
              <w:autoSpaceDN w:val="0"/>
              <w:adjustRightInd w:val="0"/>
              <w:jc w:val="center"/>
              <w:textAlignment w:val="baseline"/>
              <w:rPr>
                <w:rFonts w:cs="Arial"/>
                <w:iCs/>
                <w:sz w:val="20"/>
              </w:rPr>
            </w:pPr>
            <w:r w:rsidRPr="00D13F3A">
              <w:rPr>
                <w:rFonts w:cs="Arial"/>
                <w:iCs/>
                <w:sz w:val="20"/>
              </w:rPr>
              <w:t>2018–19</w:t>
            </w:r>
          </w:p>
        </w:tc>
        <w:tc>
          <w:tcPr>
            <w:tcW w:w="1530" w:type="dxa"/>
            <w:vAlign w:val="center"/>
          </w:tcPr>
          <w:p w14:paraId="061972DF" w14:textId="77777777" w:rsidR="004F42D8" w:rsidRPr="00D13F3A" w:rsidRDefault="00B468C4" w:rsidP="004F42D8">
            <w:pPr>
              <w:widowControl/>
              <w:overflowPunct w:val="0"/>
              <w:autoSpaceDE w:val="0"/>
              <w:autoSpaceDN w:val="0"/>
              <w:adjustRightInd w:val="0"/>
              <w:jc w:val="center"/>
              <w:textAlignment w:val="baseline"/>
              <w:rPr>
                <w:rFonts w:cs="Arial"/>
                <w:iCs/>
                <w:sz w:val="20"/>
              </w:rPr>
            </w:pPr>
            <w:r w:rsidRPr="00D13F3A">
              <w:rPr>
                <w:rFonts w:cs="Arial"/>
                <w:iCs/>
                <w:sz w:val="20"/>
              </w:rPr>
              <w:t>$5,328,600</w:t>
            </w:r>
          </w:p>
        </w:tc>
        <w:tc>
          <w:tcPr>
            <w:tcW w:w="5940" w:type="dxa"/>
          </w:tcPr>
          <w:p w14:paraId="19589A79" w14:textId="77777777" w:rsidR="004F42D8" w:rsidRPr="00D13F3A" w:rsidRDefault="00B468C4" w:rsidP="001556DE">
            <w:pPr>
              <w:pStyle w:val="ListParagraph"/>
              <w:widowControl/>
              <w:numPr>
                <w:ilvl w:val="0"/>
                <w:numId w:val="13"/>
              </w:numPr>
              <w:overflowPunct w:val="0"/>
              <w:autoSpaceDE w:val="0"/>
              <w:autoSpaceDN w:val="0"/>
              <w:adjustRightInd w:val="0"/>
              <w:ind w:hanging="288"/>
              <w:textAlignment w:val="baseline"/>
              <w:rPr>
                <w:rFonts w:cs="Arial"/>
                <w:iCs/>
                <w:sz w:val="20"/>
              </w:rPr>
            </w:pPr>
            <w:r w:rsidRPr="00D13F3A">
              <w:rPr>
                <w:rFonts w:cs="Arial"/>
                <w:iCs/>
                <w:sz w:val="20"/>
              </w:rPr>
              <w:t>$5,328,600 for 2017–18 test administration costs</w:t>
            </w:r>
          </w:p>
          <w:p w14:paraId="772AD60A" w14:textId="77777777" w:rsidR="00241CDD" w:rsidRPr="00D13F3A" w:rsidRDefault="00241CDD" w:rsidP="001556DE">
            <w:pPr>
              <w:pStyle w:val="ListParagraph"/>
              <w:widowControl/>
              <w:numPr>
                <w:ilvl w:val="0"/>
                <w:numId w:val="13"/>
              </w:numPr>
              <w:overflowPunct w:val="0"/>
              <w:autoSpaceDE w:val="0"/>
              <w:autoSpaceDN w:val="0"/>
              <w:adjustRightInd w:val="0"/>
              <w:ind w:hanging="288"/>
              <w:textAlignment w:val="baseline"/>
              <w:rPr>
                <w:rFonts w:cs="Arial"/>
                <w:iCs/>
                <w:sz w:val="20"/>
              </w:rPr>
            </w:pPr>
            <w:r w:rsidRPr="00D13F3A">
              <w:rPr>
                <w:rFonts w:cs="Arial"/>
                <w:iCs/>
                <w:sz w:val="20"/>
              </w:rPr>
              <w:t>Costs for 2018–19 test administration to be determined</w:t>
            </w:r>
          </w:p>
        </w:tc>
      </w:tr>
    </w:tbl>
    <w:p w14:paraId="721BBEC7" w14:textId="77777777" w:rsidR="00CF5EBD" w:rsidRDefault="00CF5EBD" w:rsidP="00FC6B7F">
      <w:pPr>
        <w:widowControl/>
        <w:overflowPunct w:val="0"/>
        <w:autoSpaceDE w:val="0"/>
        <w:autoSpaceDN w:val="0"/>
        <w:adjustRightInd w:val="0"/>
        <w:textAlignment w:val="baseline"/>
        <w:rPr>
          <w:rFonts w:cs="Arial"/>
          <w:iCs/>
          <w:szCs w:val="24"/>
        </w:rPr>
      </w:pPr>
    </w:p>
    <w:p w14:paraId="2D72D02E" w14:textId="77777777" w:rsidR="00C3184F" w:rsidRDefault="00C3184F" w:rsidP="007F27A0">
      <w:pPr>
        <w:widowControl/>
        <w:rPr>
          <w:rFonts w:cs="Arial"/>
          <w:iCs/>
          <w:szCs w:val="24"/>
        </w:rPr>
      </w:pPr>
      <w:r>
        <w:rPr>
          <w:rFonts w:cs="Arial"/>
          <w:snapToGrid/>
          <w:color w:val="231F20"/>
          <w:szCs w:val="24"/>
        </w:rPr>
        <w:t>The CDE</w:t>
      </w:r>
      <w:r w:rsidR="005F78BD">
        <w:rPr>
          <w:rFonts w:cs="Arial"/>
          <w:snapToGrid/>
          <w:color w:val="231F20"/>
          <w:szCs w:val="24"/>
        </w:rPr>
        <w:t>,</w:t>
      </w:r>
      <w:r>
        <w:rPr>
          <w:rFonts w:cs="Arial"/>
          <w:snapToGrid/>
          <w:color w:val="231F20"/>
          <w:szCs w:val="24"/>
        </w:rPr>
        <w:t xml:space="preserve"> in collaboration with the SBE</w:t>
      </w:r>
      <w:r w:rsidR="005F78BD">
        <w:rPr>
          <w:rFonts w:cs="Arial"/>
          <w:snapToGrid/>
          <w:color w:val="231F20"/>
          <w:szCs w:val="24"/>
        </w:rPr>
        <w:t>,</w:t>
      </w:r>
      <w:r>
        <w:rPr>
          <w:rFonts w:cs="Arial"/>
          <w:snapToGrid/>
          <w:color w:val="231F20"/>
          <w:szCs w:val="24"/>
        </w:rPr>
        <w:t xml:space="preserve"> may exercise the option to extend the ETS contract for additional test administrations or release a new RFS. </w:t>
      </w:r>
    </w:p>
    <w:p w14:paraId="28A9402A" w14:textId="77777777" w:rsidR="00353C8F" w:rsidRDefault="00353C8F" w:rsidP="00FC6B7F">
      <w:pPr>
        <w:widowControl/>
        <w:overflowPunct w:val="0"/>
        <w:autoSpaceDE w:val="0"/>
        <w:autoSpaceDN w:val="0"/>
        <w:adjustRightInd w:val="0"/>
        <w:textAlignment w:val="baseline"/>
        <w:rPr>
          <w:rFonts w:cs="Arial"/>
          <w:iCs/>
          <w:szCs w:val="24"/>
        </w:rPr>
      </w:pPr>
    </w:p>
    <w:p w14:paraId="000F61BB" w14:textId="77777777" w:rsidR="00DA713C" w:rsidRDefault="00257722" w:rsidP="0071253D">
      <w:pPr>
        <w:pStyle w:val="Heading3"/>
      </w:pPr>
      <w:bookmarkStart w:id="8" w:name="_Toc505780230"/>
      <w:r w:rsidRPr="008C65AC">
        <w:t>Independent E</w:t>
      </w:r>
      <w:r w:rsidR="00DA713C" w:rsidRPr="008C65AC">
        <w:t>valuation</w:t>
      </w:r>
      <w:r w:rsidR="00AE5736" w:rsidRPr="008C65AC">
        <w:t xml:space="preserve"> Contract</w:t>
      </w:r>
      <w:bookmarkEnd w:id="8"/>
    </w:p>
    <w:p w14:paraId="6924E792" w14:textId="77777777" w:rsidR="00AD47E1" w:rsidRDefault="00AD47E1" w:rsidP="00AD47E1">
      <w:pPr>
        <w:widowControl/>
        <w:rPr>
          <w:rFonts w:cs="Arial"/>
          <w:b/>
          <w:iCs/>
          <w:szCs w:val="24"/>
        </w:rPr>
      </w:pPr>
    </w:p>
    <w:p w14:paraId="47D4C56D" w14:textId="77777777" w:rsidR="00D91B32" w:rsidRDefault="00257722" w:rsidP="00AD47E1">
      <w:pPr>
        <w:rPr>
          <w:rFonts w:cs="Arial"/>
          <w:iCs/>
          <w:szCs w:val="24"/>
        </w:rPr>
      </w:pPr>
      <w:r w:rsidRPr="00DA713C">
        <w:rPr>
          <w:rFonts w:cs="Arial"/>
          <w:iCs/>
          <w:szCs w:val="24"/>
        </w:rPr>
        <w:t>The independent</w:t>
      </w:r>
      <w:r w:rsidR="005F78BD">
        <w:rPr>
          <w:rFonts w:cs="Arial"/>
          <w:iCs/>
          <w:szCs w:val="24"/>
        </w:rPr>
        <w:t xml:space="preserve"> evaluation contract is a multi</w:t>
      </w:r>
      <w:r w:rsidRPr="00DA713C">
        <w:rPr>
          <w:rFonts w:cs="Arial"/>
          <w:iCs/>
          <w:szCs w:val="24"/>
        </w:rPr>
        <w:t xml:space="preserve">year contract </w:t>
      </w:r>
      <w:r w:rsidR="00FF6EED" w:rsidRPr="00FF6EED">
        <w:rPr>
          <w:rFonts w:cs="Arial"/>
          <w:iCs/>
          <w:szCs w:val="24"/>
        </w:rPr>
        <w:t xml:space="preserve">to provide independent, objective technical advice and consultation on activities to be undertaken in implementing the </w:t>
      </w:r>
      <w:r w:rsidR="005F78BD">
        <w:rPr>
          <w:rFonts w:cs="Arial"/>
          <w:iCs/>
          <w:szCs w:val="24"/>
        </w:rPr>
        <w:t xml:space="preserve">CAASPP </w:t>
      </w:r>
      <w:r w:rsidR="00E3648C">
        <w:rPr>
          <w:rFonts w:cs="Arial"/>
          <w:iCs/>
          <w:szCs w:val="24"/>
        </w:rPr>
        <w:t>System</w:t>
      </w:r>
      <w:r w:rsidR="00A77022">
        <w:rPr>
          <w:rFonts w:cs="Arial"/>
          <w:iCs/>
          <w:szCs w:val="24"/>
        </w:rPr>
        <w:t>,</w:t>
      </w:r>
      <w:r w:rsidR="00A33F94">
        <w:rPr>
          <w:rFonts w:cs="Arial"/>
          <w:iCs/>
          <w:szCs w:val="24"/>
        </w:rPr>
        <w:t xml:space="preserve"> per </w:t>
      </w:r>
      <w:r w:rsidR="00A33F94" w:rsidRPr="00A33F94">
        <w:rPr>
          <w:rFonts w:cs="Arial"/>
          <w:i/>
          <w:iCs/>
          <w:szCs w:val="24"/>
        </w:rPr>
        <w:t>EC</w:t>
      </w:r>
      <w:r w:rsidR="00A33F94">
        <w:rPr>
          <w:rFonts w:cs="Arial"/>
          <w:iCs/>
          <w:szCs w:val="24"/>
        </w:rPr>
        <w:t xml:space="preserve"> Section 606</w:t>
      </w:r>
      <w:r w:rsidR="00AE5736">
        <w:rPr>
          <w:rFonts w:cs="Arial"/>
          <w:iCs/>
          <w:szCs w:val="24"/>
        </w:rPr>
        <w:t>4</w:t>
      </w:r>
      <w:r w:rsidR="00A33F94">
        <w:rPr>
          <w:rFonts w:cs="Arial"/>
          <w:iCs/>
          <w:szCs w:val="24"/>
        </w:rPr>
        <w:t>9</w:t>
      </w:r>
      <w:r w:rsidR="00FF6EED">
        <w:rPr>
          <w:rFonts w:cs="Arial"/>
          <w:iCs/>
          <w:szCs w:val="24"/>
        </w:rPr>
        <w:t xml:space="preserve">. The contract </w:t>
      </w:r>
      <w:r w:rsidR="00FF6EED" w:rsidRPr="00FF6EED">
        <w:rPr>
          <w:rFonts w:cs="Arial"/>
          <w:iCs/>
          <w:szCs w:val="24"/>
        </w:rPr>
        <w:t>require</w:t>
      </w:r>
      <w:r w:rsidR="00FF6EED">
        <w:rPr>
          <w:rFonts w:cs="Arial"/>
          <w:iCs/>
          <w:szCs w:val="24"/>
        </w:rPr>
        <w:t>s</w:t>
      </w:r>
      <w:r w:rsidR="00FF6EED" w:rsidRPr="00FF6EED">
        <w:rPr>
          <w:rFonts w:cs="Arial"/>
          <w:iCs/>
          <w:szCs w:val="24"/>
        </w:rPr>
        <w:t xml:space="preserve"> </w:t>
      </w:r>
      <w:r w:rsidR="00F67816">
        <w:rPr>
          <w:rFonts w:cs="Arial"/>
          <w:iCs/>
          <w:szCs w:val="24"/>
        </w:rPr>
        <w:br/>
      </w:r>
      <w:r w:rsidR="00FF6EED" w:rsidRPr="00FF6EED">
        <w:rPr>
          <w:rFonts w:cs="Arial"/>
          <w:iCs/>
          <w:szCs w:val="24"/>
        </w:rPr>
        <w:t xml:space="preserve">interim annual evaluation reports and a final report on the activities and analysis of the three-year evaluation, including recommendations to ensure the quality, fairness, validity, and reliability of the assessments. </w:t>
      </w:r>
      <w:r w:rsidR="00FF6EED">
        <w:rPr>
          <w:rFonts w:cs="Arial"/>
          <w:iCs/>
          <w:szCs w:val="24"/>
        </w:rPr>
        <w:t xml:space="preserve">The contract is </w:t>
      </w:r>
      <w:r w:rsidRPr="00DA713C">
        <w:rPr>
          <w:rFonts w:cs="Arial"/>
          <w:iCs/>
          <w:szCs w:val="24"/>
        </w:rPr>
        <w:t>awarded through a com</w:t>
      </w:r>
      <w:r w:rsidR="001B4986">
        <w:rPr>
          <w:rFonts w:cs="Arial"/>
          <w:iCs/>
          <w:szCs w:val="24"/>
        </w:rPr>
        <w:t>petitive RFP</w:t>
      </w:r>
      <w:r w:rsidRPr="00DA713C">
        <w:rPr>
          <w:rFonts w:cs="Arial"/>
          <w:iCs/>
          <w:szCs w:val="24"/>
        </w:rPr>
        <w:t xml:space="preserve"> process</w:t>
      </w:r>
      <w:r w:rsidR="00A467F1">
        <w:rPr>
          <w:rFonts w:cs="Arial"/>
          <w:iCs/>
          <w:szCs w:val="24"/>
        </w:rPr>
        <w:t>,</w:t>
      </w:r>
      <w:r w:rsidRPr="00DA713C">
        <w:rPr>
          <w:rFonts w:cs="Arial"/>
          <w:iCs/>
          <w:szCs w:val="24"/>
        </w:rPr>
        <w:t xml:space="preserve"> with input </w:t>
      </w:r>
      <w:r w:rsidR="00A467F1">
        <w:rPr>
          <w:rFonts w:cs="Arial"/>
          <w:iCs/>
          <w:szCs w:val="24"/>
        </w:rPr>
        <w:t>provided by CDE and SBE staff. Through t</w:t>
      </w:r>
      <w:r w:rsidRPr="00DA713C">
        <w:rPr>
          <w:rFonts w:cs="Arial"/>
          <w:iCs/>
          <w:szCs w:val="24"/>
        </w:rPr>
        <w:t>he RFP process</w:t>
      </w:r>
      <w:r w:rsidR="00A467F1">
        <w:rPr>
          <w:rFonts w:cs="Arial"/>
          <w:iCs/>
          <w:szCs w:val="24"/>
        </w:rPr>
        <w:t>, the contract is awarded to</w:t>
      </w:r>
      <w:r w:rsidRPr="00DA713C">
        <w:rPr>
          <w:rFonts w:cs="Arial"/>
          <w:iCs/>
          <w:szCs w:val="24"/>
        </w:rPr>
        <w:t xml:space="preserve"> the responsible bidder with the lowest cost bid. The</w:t>
      </w:r>
      <w:r w:rsidR="008A2F2E">
        <w:rPr>
          <w:rFonts w:cs="Arial"/>
          <w:iCs/>
          <w:szCs w:val="24"/>
        </w:rPr>
        <w:t xml:space="preserve"> final contract is contingent </w:t>
      </w:r>
      <w:r w:rsidRPr="00DA713C">
        <w:rPr>
          <w:rFonts w:cs="Arial"/>
          <w:iCs/>
          <w:szCs w:val="24"/>
        </w:rPr>
        <w:t>on approval by the Department of General Services</w:t>
      </w:r>
      <w:r w:rsidR="002D65C5">
        <w:rPr>
          <w:rFonts w:cs="Arial"/>
          <w:iCs/>
          <w:szCs w:val="24"/>
        </w:rPr>
        <w:t xml:space="preserve"> (DGS)</w:t>
      </w:r>
      <w:r w:rsidRPr="00DA713C">
        <w:rPr>
          <w:rFonts w:cs="Arial"/>
          <w:iCs/>
          <w:szCs w:val="24"/>
        </w:rPr>
        <w:t>. The current contractor is H</w:t>
      </w:r>
      <w:r w:rsidR="006A5637">
        <w:rPr>
          <w:rFonts w:cs="Arial"/>
          <w:iCs/>
          <w:szCs w:val="24"/>
        </w:rPr>
        <w:t>UMRRO</w:t>
      </w:r>
      <w:r w:rsidRPr="00DA713C">
        <w:rPr>
          <w:rFonts w:cs="Arial"/>
          <w:iCs/>
          <w:szCs w:val="24"/>
        </w:rPr>
        <w:t>. The contract began July 16, 2015</w:t>
      </w:r>
      <w:r w:rsidR="001B4986">
        <w:rPr>
          <w:rFonts w:cs="Arial"/>
          <w:iCs/>
          <w:szCs w:val="24"/>
        </w:rPr>
        <w:t>,</w:t>
      </w:r>
      <w:r w:rsidRPr="00DA713C">
        <w:rPr>
          <w:rFonts w:cs="Arial"/>
          <w:iCs/>
          <w:szCs w:val="24"/>
        </w:rPr>
        <w:t xml:space="preserve"> and end</w:t>
      </w:r>
      <w:r w:rsidR="007E555F">
        <w:rPr>
          <w:rFonts w:cs="Arial"/>
          <w:iCs/>
          <w:szCs w:val="24"/>
        </w:rPr>
        <w:t>s</w:t>
      </w:r>
      <w:r w:rsidRPr="00DA713C">
        <w:rPr>
          <w:rFonts w:cs="Arial"/>
          <w:iCs/>
          <w:szCs w:val="24"/>
        </w:rPr>
        <w:t xml:space="preserve"> December 31, 2017.</w:t>
      </w:r>
      <w:r w:rsidR="00FF6EED">
        <w:rPr>
          <w:rFonts w:cs="Arial"/>
          <w:iCs/>
          <w:szCs w:val="24"/>
        </w:rPr>
        <w:t xml:space="preserve"> </w:t>
      </w:r>
    </w:p>
    <w:p w14:paraId="48A6B19A" w14:textId="77777777" w:rsidR="00D91B32" w:rsidRDefault="00D91B32" w:rsidP="00FF6EED">
      <w:pPr>
        <w:rPr>
          <w:rFonts w:cs="Arial"/>
          <w:iCs/>
          <w:szCs w:val="24"/>
        </w:rPr>
      </w:pPr>
    </w:p>
    <w:p w14:paraId="3DF833F7" w14:textId="77777777" w:rsidR="009F51EE" w:rsidRDefault="009F51EE">
      <w:pPr>
        <w:widowControl/>
        <w:rPr>
          <w:rFonts w:cs="Arial"/>
          <w:iCs/>
          <w:szCs w:val="24"/>
        </w:rPr>
      </w:pPr>
      <w:r>
        <w:rPr>
          <w:rFonts w:cs="Arial"/>
          <w:iCs/>
          <w:szCs w:val="24"/>
        </w:rPr>
        <w:br w:type="page"/>
      </w:r>
    </w:p>
    <w:p w14:paraId="75EE6E75" w14:textId="77777777" w:rsidR="00F97727" w:rsidRDefault="00D91B32" w:rsidP="00F97727">
      <w:pPr>
        <w:rPr>
          <w:rFonts w:cs="Arial"/>
          <w:iCs/>
          <w:szCs w:val="24"/>
        </w:rPr>
      </w:pPr>
      <w:r>
        <w:rPr>
          <w:rFonts w:cs="Arial"/>
          <w:iCs/>
          <w:szCs w:val="24"/>
        </w:rPr>
        <w:lastRenderedPageBreak/>
        <w:t>Table 6</w:t>
      </w:r>
      <w:r w:rsidR="009F51EE">
        <w:rPr>
          <w:rFonts w:cs="Arial"/>
          <w:iCs/>
          <w:szCs w:val="24"/>
        </w:rPr>
        <w:t>, below,</w:t>
      </w:r>
      <w:r>
        <w:rPr>
          <w:rFonts w:cs="Arial"/>
          <w:iCs/>
          <w:szCs w:val="24"/>
        </w:rPr>
        <w:t xml:space="preserve"> </w:t>
      </w:r>
      <w:r w:rsidR="000F656A">
        <w:rPr>
          <w:rFonts w:cs="Arial"/>
          <w:iCs/>
          <w:szCs w:val="24"/>
        </w:rPr>
        <w:t>provides a breakdown of the current contract costs per fiscal year.</w:t>
      </w:r>
    </w:p>
    <w:p w14:paraId="571075A4" w14:textId="77777777" w:rsidR="00F97727" w:rsidRDefault="00F97727" w:rsidP="00F97727">
      <w:pPr>
        <w:rPr>
          <w:rFonts w:cs="Arial"/>
          <w:b/>
          <w:iCs/>
          <w:szCs w:val="24"/>
        </w:rPr>
      </w:pPr>
    </w:p>
    <w:p w14:paraId="2D7DE73A" w14:textId="77777777" w:rsidR="00514C3C" w:rsidRPr="00F42A79" w:rsidRDefault="006A5637">
      <w:pPr>
        <w:widowControl/>
        <w:spacing w:after="120"/>
        <w:jc w:val="center"/>
        <w:rPr>
          <w:rFonts w:cs="Arial"/>
          <w:b/>
          <w:iCs/>
          <w:szCs w:val="24"/>
        </w:rPr>
      </w:pPr>
      <w:r>
        <w:rPr>
          <w:rFonts w:cs="Arial"/>
          <w:b/>
          <w:iCs/>
          <w:szCs w:val="24"/>
        </w:rPr>
        <w:t xml:space="preserve"> </w:t>
      </w:r>
      <w:r w:rsidR="009B7261">
        <w:rPr>
          <w:rFonts w:cs="Arial"/>
          <w:b/>
          <w:iCs/>
          <w:szCs w:val="24"/>
        </w:rPr>
        <w:t xml:space="preserve">Table </w:t>
      </w:r>
      <w:r w:rsidR="002E1ACF">
        <w:rPr>
          <w:rFonts w:cs="Arial"/>
          <w:b/>
          <w:iCs/>
          <w:szCs w:val="24"/>
        </w:rPr>
        <w:t>6</w:t>
      </w:r>
      <w:r w:rsidR="00514C3C" w:rsidRPr="00F42A79">
        <w:rPr>
          <w:rFonts w:cs="Arial"/>
          <w:b/>
          <w:iCs/>
          <w:szCs w:val="24"/>
        </w:rPr>
        <w:t xml:space="preserve">. </w:t>
      </w:r>
      <w:r w:rsidR="009B7261" w:rsidRPr="007F27A0">
        <w:rPr>
          <w:rFonts w:cs="Arial"/>
          <w:iCs/>
          <w:szCs w:val="24"/>
        </w:rPr>
        <w:t>Independent Evaluation</w:t>
      </w:r>
      <w:r w:rsidR="00514C3C" w:rsidRPr="007F27A0">
        <w:rPr>
          <w:rFonts w:cs="Arial"/>
          <w:iCs/>
          <w:szCs w:val="24"/>
        </w:rPr>
        <w:t xml:space="preserve"> Contract Costs</w:t>
      </w:r>
    </w:p>
    <w:tbl>
      <w:tblPr>
        <w:tblStyle w:val="TableGrid"/>
        <w:tblW w:w="0" w:type="auto"/>
        <w:jc w:val="center"/>
        <w:tblLook w:val="04A0" w:firstRow="1" w:lastRow="0" w:firstColumn="1" w:lastColumn="0" w:noHBand="0" w:noVBand="1"/>
      </w:tblPr>
      <w:tblGrid>
        <w:gridCol w:w="2250"/>
        <w:gridCol w:w="2250"/>
      </w:tblGrid>
      <w:tr w:rsidR="009B7261" w14:paraId="65796839" w14:textId="77777777" w:rsidTr="00904533">
        <w:trPr>
          <w:trHeight w:val="260"/>
          <w:jc w:val="center"/>
        </w:trPr>
        <w:tc>
          <w:tcPr>
            <w:tcW w:w="2250" w:type="dxa"/>
            <w:vAlign w:val="center"/>
          </w:tcPr>
          <w:p w14:paraId="521C5CF5" w14:textId="77777777" w:rsidR="009B7261" w:rsidRPr="00D13F3A" w:rsidRDefault="009B7261" w:rsidP="004D06E7">
            <w:pPr>
              <w:widowControl/>
              <w:overflowPunct w:val="0"/>
              <w:autoSpaceDE w:val="0"/>
              <w:autoSpaceDN w:val="0"/>
              <w:adjustRightInd w:val="0"/>
              <w:jc w:val="center"/>
              <w:textAlignment w:val="baseline"/>
              <w:rPr>
                <w:rFonts w:cs="Arial"/>
                <w:b/>
                <w:iCs/>
                <w:sz w:val="20"/>
              </w:rPr>
            </w:pPr>
            <w:r w:rsidRPr="00D13F3A">
              <w:rPr>
                <w:rFonts w:cs="Arial"/>
                <w:b/>
                <w:iCs/>
                <w:sz w:val="20"/>
              </w:rPr>
              <w:t>Fiscal Year</w:t>
            </w:r>
          </w:p>
        </w:tc>
        <w:tc>
          <w:tcPr>
            <w:tcW w:w="2250" w:type="dxa"/>
            <w:vAlign w:val="center"/>
          </w:tcPr>
          <w:p w14:paraId="25270862" w14:textId="77777777" w:rsidR="009B7261" w:rsidRPr="00D13F3A" w:rsidRDefault="009B7261" w:rsidP="004D06E7">
            <w:pPr>
              <w:widowControl/>
              <w:overflowPunct w:val="0"/>
              <w:autoSpaceDE w:val="0"/>
              <w:autoSpaceDN w:val="0"/>
              <w:adjustRightInd w:val="0"/>
              <w:jc w:val="center"/>
              <w:textAlignment w:val="baseline"/>
              <w:rPr>
                <w:rFonts w:cs="Arial"/>
                <w:b/>
                <w:iCs/>
                <w:sz w:val="20"/>
              </w:rPr>
            </w:pPr>
            <w:r w:rsidRPr="00D13F3A">
              <w:rPr>
                <w:rFonts w:cs="Arial"/>
                <w:b/>
                <w:iCs/>
                <w:sz w:val="20"/>
              </w:rPr>
              <w:t>Total Cost</w:t>
            </w:r>
          </w:p>
        </w:tc>
      </w:tr>
      <w:tr w:rsidR="009B7261" w14:paraId="68A53204" w14:textId="77777777" w:rsidTr="00904533">
        <w:trPr>
          <w:trHeight w:val="278"/>
          <w:jc w:val="center"/>
        </w:trPr>
        <w:tc>
          <w:tcPr>
            <w:tcW w:w="2250" w:type="dxa"/>
            <w:vAlign w:val="center"/>
          </w:tcPr>
          <w:p w14:paraId="7DA03DA0" w14:textId="77777777" w:rsidR="009B7261" w:rsidRPr="00D13F3A" w:rsidRDefault="009B7261" w:rsidP="00904533">
            <w:pPr>
              <w:widowControl/>
              <w:overflowPunct w:val="0"/>
              <w:autoSpaceDE w:val="0"/>
              <w:autoSpaceDN w:val="0"/>
              <w:adjustRightInd w:val="0"/>
              <w:jc w:val="center"/>
              <w:textAlignment w:val="baseline"/>
              <w:rPr>
                <w:rFonts w:cs="Arial"/>
                <w:iCs/>
                <w:sz w:val="20"/>
              </w:rPr>
            </w:pPr>
            <w:r>
              <w:rPr>
                <w:rFonts w:cs="Arial"/>
                <w:iCs/>
                <w:sz w:val="20"/>
              </w:rPr>
              <w:t>2014–15</w:t>
            </w:r>
          </w:p>
        </w:tc>
        <w:tc>
          <w:tcPr>
            <w:tcW w:w="2250" w:type="dxa"/>
            <w:vAlign w:val="center"/>
          </w:tcPr>
          <w:p w14:paraId="07692B0C" w14:textId="77777777" w:rsidR="009B7261" w:rsidRPr="00D13F3A" w:rsidRDefault="009B7261" w:rsidP="00904533">
            <w:pPr>
              <w:widowControl/>
              <w:overflowPunct w:val="0"/>
              <w:autoSpaceDE w:val="0"/>
              <w:autoSpaceDN w:val="0"/>
              <w:adjustRightInd w:val="0"/>
              <w:jc w:val="center"/>
              <w:textAlignment w:val="baseline"/>
              <w:rPr>
                <w:rFonts w:cs="Arial"/>
                <w:iCs/>
                <w:sz w:val="20"/>
              </w:rPr>
            </w:pPr>
            <w:r>
              <w:rPr>
                <w:rFonts w:cs="Arial"/>
                <w:iCs/>
                <w:sz w:val="20"/>
              </w:rPr>
              <w:t>$775,000</w:t>
            </w:r>
          </w:p>
        </w:tc>
      </w:tr>
      <w:tr w:rsidR="009B7261" w14:paraId="203039B1" w14:textId="77777777" w:rsidTr="00904533">
        <w:trPr>
          <w:trHeight w:val="260"/>
          <w:jc w:val="center"/>
        </w:trPr>
        <w:tc>
          <w:tcPr>
            <w:tcW w:w="2250" w:type="dxa"/>
            <w:vAlign w:val="center"/>
          </w:tcPr>
          <w:p w14:paraId="247CA84F" w14:textId="77777777" w:rsidR="009B7261" w:rsidRPr="00D13F3A" w:rsidRDefault="009B7261" w:rsidP="00904533">
            <w:pPr>
              <w:widowControl/>
              <w:overflowPunct w:val="0"/>
              <w:autoSpaceDE w:val="0"/>
              <w:autoSpaceDN w:val="0"/>
              <w:adjustRightInd w:val="0"/>
              <w:jc w:val="center"/>
              <w:textAlignment w:val="baseline"/>
              <w:rPr>
                <w:rFonts w:cs="Arial"/>
                <w:iCs/>
                <w:sz w:val="20"/>
              </w:rPr>
            </w:pPr>
            <w:r w:rsidRPr="00D13F3A">
              <w:rPr>
                <w:rFonts w:cs="Arial"/>
                <w:iCs/>
                <w:sz w:val="20"/>
              </w:rPr>
              <w:t>2015–16</w:t>
            </w:r>
          </w:p>
        </w:tc>
        <w:tc>
          <w:tcPr>
            <w:tcW w:w="2250" w:type="dxa"/>
            <w:vAlign w:val="center"/>
          </w:tcPr>
          <w:p w14:paraId="5D51A4E8" w14:textId="77777777" w:rsidR="009B7261" w:rsidRPr="00D13F3A" w:rsidRDefault="009B7261" w:rsidP="00904533">
            <w:pPr>
              <w:widowControl/>
              <w:overflowPunct w:val="0"/>
              <w:autoSpaceDE w:val="0"/>
              <w:autoSpaceDN w:val="0"/>
              <w:adjustRightInd w:val="0"/>
              <w:jc w:val="center"/>
              <w:textAlignment w:val="baseline"/>
              <w:rPr>
                <w:rFonts w:cs="Arial"/>
                <w:iCs/>
                <w:sz w:val="20"/>
              </w:rPr>
            </w:pPr>
            <w:r>
              <w:rPr>
                <w:rFonts w:cs="Arial"/>
                <w:iCs/>
                <w:sz w:val="20"/>
              </w:rPr>
              <w:t>$621,000</w:t>
            </w:r>
          </w:p>
        </w:tc>
      </w:tr>
      <w:tr w:rsidR="009B7261" w14:paraId="2EEF12D6" w14:textId="77777777" w:rsidTr="00904533">
        <w:trPr>
          <w:trHeight w:val="260"/>
          <w:jc w:val="center"/>
        </w:trPr>
        <w:tc>
          <w:tcPr>
            <w:tcW w:w="2250" w:type="dxa"/>
            <w:vAlign w:val="center"/>
          </w:tcPr>
          <w:p w14:paraId="7521F3DE" w14:textId="77777777" w:rsidR="009B7261" w:rsidRPr="00D13F3A" w:rsidRDefault="009B7261" w:rsidP="00904533">
            <w:pPr>
              <w:widowControl/>
              <w:overflowPunct w:val="0"/>
              <w:autoSpaceDE w:val="0"/>
              <w:autoSpaceDN w:val="0"/>
              <w:adjustRightInd w:val="0"/>
              <w:jc w:val="center"/>
              <w:textAlignment w:val="baseline"/>
              <w:rPr>
                <w:rFonts w:cs="Arial"/>
                <w:iCs/>
                <w:sz w:val="20"/>
              </w:rPr>
            </w:pPr>
            <w:r w:rsidRPr="00D13F3A">
              <w:rPr>
                <w:rFonts w:cs="Arial"/>
                <w:iCs/>
                <w:sz w:val="20"/>
              </w:rPr>
              <w:t>2016–17</w:t>
            </w:r>
          </w:p>
        </w:tc>
        <w:tc>
          <w:tcPr>
            <w:tcW w:w="2250" w:type="dxa"/>
            <w:vAlign w:val="center"/>
          </w:tcPr>
          <w:p w14:paraId="3295912C" w14:textId="77777777" w:rsidR="009B7261" w:rsidRPr="00D13F3A" w:rsidRDefault="009B7261" w:rsidP="00904533">
            <w:pPr>
              <w:widowControl/>
              <w:overflowPunct w:val="0"/>
              <w:autoSpaceDE w:val="0"/>
              <w:autoSpaceDN w:val="0"/>
              <w:adjustRightInd w:val="0"/>
              <w:jc w:val="center"/>
              <w:textAlignment w:val="baseline"/>
              <w:rPr>
                <w:rFonts w:cs="Arial"/>
                <w:iCs/>
                <w:sz w:val="20"/>
              </w:rPr>
            </w:pPr>
            <w:r>
              <w:rPr>
                <w:rFonts w:cs="Arial"/>
                <w:iCs/>
                <w:sz w:val="20"/>
              </w:rPr>
              <w:t>$604,000</w:t>
            </w:r>
          </w:p>
        </w:tc>
      </w:tr>
    </w:tbl>
    <w:p w14:paraId="24B26B05" w14:textId="77777777" w:rsidR="00D91B32" w:rsidRDefault="00D91B32" w:rsidP="000F656A">
      <w:pPr>
        <w:widowControl/>
        <w:overflowPunct w:val="0"/>
        <w:autoSpaceDE w:val="0"/>
        <w:autoSpaceDN w:val="0"/>
        <w:adjustRightInd w:val="0"/>
        <w:textAlignment w:val="baseline"/>
        <w:rPr>
          <w:rFonts w:cs="Arial"/>
          <w:iCs/>
          <w:szCs w:val="24"/>
        </w:rPr>
      </w:pPr>
    </w:p>
    <w:p w14:paraId="6BC05909" w14:textId="77777777" w:rsidR="000F656A" w:rsidRPr="00242F41" w:rsidRDefault="000F656A" w:rsidP="000F656A">
      <w:pPr>
        <w:widowControl/>
        <w:overflowPunct w:val="0"/>
        <w:autoSpaceDE w:val="0"/>
        <w:autoSpaceDN w:val="0"/>
        <w:adjustRightInd w:val="0"/>
        <w:textAlignment w:val="baseline"/>
        <w:rPr>
          <w:rFonts w:cs="Arial"/>
          <w:iCs/>
          <w:szCs w:val="24"/>
        </w:rPr>
      </w:pPr>
      <w:r w:rsidRPr="00242F41">
        <w:rPr>
          <w:rFonts w:cs="Arial"/>
          <w:iCs/>
          <w:szCs w:val="24"/>
        </w:rPr>
        <w:t>The current contract includes provisional authority for two one-year options to renew for the periods of January 1, 2018 through December 31, 2018 and January 1, 2019 through December 31, 2019 under the same terms and conditions.</w:t>
      </w:r>
    </w:p>
    <w:p w14:paraId="4D248D47" w14:textId="77777777" w:rsidR="00257722" w:rsidRDefault="00257722" w:rsidP="00AD47E1">
      <w:pPr>
        <w:spacing w:before="120" w:after="120"/>
        <w:rPr>
          <w:rFonts w:cs="Arial"/>
        </w:rPr>
      </w:pPr>
    </w:p>
    <w:p w14:paraId="0E4CC2EC" w14:textId="77777777" w:rsidR="000F167A" w:rsidRPr="008C65AC" w:rsidRDefault="000F167A" w:rsidP="00067EEF">
      <w:pPr>
        <w:pStyle w:val="Heading3"/>
        <w:rPr>
          <w:rFonts w:ascii="Calibri" w:hAnsi="Calibri"/>
          <w:snapToGrid/>
          <w:sz w:val="22"/>
        </w:rPr>
      </w:pPr>
      <w:bookmarkStart w:id="9" w:name="_Toc505780231"/>
      <w:r w:rsidRPr="008C65AC">
        <w:t>CAASPP Institutes and Senior Assessment Fellows Contract</w:t>
      </w:r>
      <w:bookmarkEnd w:id="9"/>
    </w:p>
    <w:p w14:paraId="31DEA151" w14:textId="77777777" w:rsidR="000F167A" w:rsidRDefault="000F167A" w:rsidP="008C65AC"/>
    <w:p w14:paraId="44DF6223" w14:textId="77777777" w:rsidR="000F167A" w:rsidRDefault="000F167A" w:rsidP="008C65AC">
      <w:r>
        <w:t>The 2015 Budget Act authorized the use of up to $1.5 million in one-time savings from the consortium-managed services contract to contract for the following activities:</w:t>
      </w:r>
    </w:p>
    <w:p w14:paraId="48C4BE05" w14:textId="77777777" w:rsidR="000F167A" w:rsidRDefault="000F167A" w:rsidP="008C65AC"/>
    <w:p w14:paraId="3EBA8F79" w14:textId="77777777" w:rsidR="000F167A" w:rsidRDefault="000F167A" w:rsidP="008C65AC">
      <w:pPr>
        <w:widowControl/>
        <w:numPr>
          <w:ilvl w:val="0"/>
          <w:numId w:val="42"/>
        </w:numPr>
      </w:pPr>
      <w:r>
        <w:t>Supporting the cost of the Senior Assessment Fellows to continue to provide services to LEAs regarding the implementation of the CAASPP System</w:t>
      </w:r>
      <w:r w:rsidR="008C65AC">
        <w:t>;</w:t>
      </w:r>
    </w:p>
    <w:p w14:paraId="161EDDA4" w14:textId="77777777" w:rsidR="000F167A" w:rsidRDefault="000F167A" w:rsidP="000F167A">
      <w:pPr>
        <w:rPr>
          <w:rFonts w:eastAsiaTheme="minorHAnsi"/>
        </w:rPr>
      </w:pPr>
    </w:p>
    <w:p w14:paraId="39299766" w14:textId="77777777" w:rsidR="000F167A" w:rsidRDefault="000F167A" w:rsidP="000F167A">
      <w:pPr>
        <w:widowControl/>
        <w:numPr>
          <w:ilvl w:val="0"/>
          <w:numId w:val="42"/>
        </w:numPr>
      </w:pPr>
      <w:r>
        <w:t>Conducting CAASPP Institutes to train LEAs on how to best utilize the CAASPP System results, resources, and tools</w:t>
      </w:r>
      <w:r w:rsidR="008C65AC">
        <w:t>;</w:t>
      </w:r>
    </w:p>
    <w:p w14:paraId="0BA1EE16" w14:textId="77777777" w:rsidR="000F167A" w:rsidRDefault="000F167A" w:rsidP="000F167A">
      <w:pPr>
        <w:rPr>
          <w:rFonts w:eastAsiaTheme="minorHAnsi"/>
        </w:rPr>
      </w:pPr>
    </w:p>
    <w:p w14:paraId="5E378726" w14:textId="77777777" w:rsidR="000F167A" w:rsidRDefault="000F167A" w:rsidP="000F167A">
      <w:pPr>
        <w:widowControl/>
        <w:numPr>
          <w:ilvl w:val="0"/>
          <w:numId w:val="42"/>
        </w:numPr>
      </w:pPr>
      <w:r>
        <w:t>Providing online training modules and training guides to be used by district and school administrators and teacher leaders to communicate and train others on the CAASPP System</w:t>
      </w:r>
      <w:r w:rsidR="008C65AC">
        <w:t>;</w:t>
      </w:r>
    </w:p>
    <w:p w14:paraId="1348AFBF" w14:textId="77777777" w:rsidR="000F167A" w:rsidRDefault="000F167A" w:rsidP="000F167A">
      <w:pPr>
        <w:rPr>
          <w:rFonts w:eastAsiaTheme="minorHAnsi"/>
        </w:rPr>
      </w:pPr>
    </w:p>
    <w:p w14:paraId="668AFE49" w14:textId="77777777" w:rsidR="000F167A" w:rsidRDefault="000F167A" w:rsidP="000F167A">
      <w:pPr>
        <w:widowControl/>
        <w:numPr>
          <w:ilvl w:val="0"/>
          <w:numId w:val="42"/>
        </w:numPr>
      </w:pPr>
      <w:r>
        <w:t>Providing support for California’s State Network of Educators in the development of Digital Library resources, specific to the use of the Smarter Balanced assessments</w:t>
      </w:r>
      <w:r w:rsidR="008C65AC">
        <w:t>.</w:t>
      </w:r>
    </w:p>
    <w:p w14:paraId="7D4A36CB" w14:textId="77777777" w:rsidR="000F167A" w:rsidRDefault="000F167A" w:rsidP="000F167A">
      <w:pPr>
        <w:rPr>
          <w:rFonts w:eastAsiaTheme="minorHAnsi"/>
        </w:rPr>
      </w:pPr>
    </w:p>
    <w:p w14:paraId="232508C0" w14:textId="77777777" w:rsidR="000F167A" w:rsidRDefault="000F167A" w:rsidP="000F167A">
      <w:r>
        <w:t>The DGS approved an interagency agreement between the CDE and the SCOE for these activities. The contract began July 16, 2015, and ended June 30, 2016. The total amount of this one-year contract for fiscal year 2015–16 was $1,499,998.58.</w:t>
      </w:r>
    </w:p>
    <w:p w14:paraId="5ECD8317" w14:textId="77777777" w:rsidR="000F167A" w:rsidRDefault="000F167A" w:rsidP="00AD47E1">
      <w:pPr>
        <w:spacing w:before="120" w:after="120"/>
      </w:pPr>
    </w:p>
    <w:p w14:paraId="0D2B054A" w14:textId="77777777" w:rsidR="008C65AC" w:rsidRDefault="00863CD8" w:rsidP="00067EEF">
      <w:pPr>
        <w:pStyle w:val="Heading2"/>
      </w:pPr>
      <w:bookmarkStart w:id="10" w:name="_Toc505780232"/>
      <w:r w:rsidRPr="001B4986">
        <w:t>Apportionment Costs</w:t>
      </w:r>
      <w:bookmarkEnd w:id="10"/>
    </w:p>
    <w:p w14:paraId="4676ABFE" w14:textId="77777777" w:rsidR="008C65AC" w:rsidRPr="00AD47E1" w:rsidRDefault="008C65AC" w:rsidP="008C65AC">
      <w:pPr>
        <w:pStyle w:val="Header"/>
        <w:widowControl/>
        <w:tabs>
          <w:tab w:val="clear" w:pos="4320"/>
          <w:tab w:val="clear" w:pos="8640"/>
        </w:tabs>
        <w:jc w:val="center"/>
        <w:rPr>
          <w:rFonts w:cs="Arial"/>
          <w:b/>
          <w:iCs/>
          <w:szCs w:val="24"/>
        </w:rPr>
      </w:pPr>
    </w:p>
    <w:p w14:paraId="51B10D62" w14:textId="77777777" w:rsidR="00F72333" w:rsidRDefault="00863CD8" w:rsidP="00006D5A">
      <w:pPr>
        <w:pStyle w:val="Header"/>
        <w:widowControl/>
        <w:tabs>
          <w:tab w:val="clear" w:pos="4320"/>
          <w:tab w:val="clear" w:pos="8640"/>
        </w:tabs>
        <w:rPr>
          <w:szCs w:val="24"/>
        </w:rPr>
      </w:pPr>
      <w:r w:rsidRPr="00ED264A">
        <w:t xml:space="preserve">The </w:t>
      </w:r>
      <w:r w:rsidR="00551E5B">
        <w:t>CAASPP</w:t>
      </w:r>
      <w:r w:rsidRPr="00ED264A">
        <w:t xml:space="preserve"> apportio</w:t>
      </w:r>
      <w:r w:rsidR="00C5188C">
        <w:t xml:space="preserve">nment costs are funded </w:t>
      </w:r>
      <w:r w:rsidR="004952C8">
        <w:t>in the annual Budget A</w:t>
      </w:r>
      <w:r w:rsidR="004952C8" w:rsidRPr="00ED264A">
        <w:t xml:space="preserve">ct </w:t>
      </w:r>
      <w:r w:rsidR="00C5188C">
        <w:t xml:space="preserve">as part of the </w:t>
      </w:r>
      <w:r w:rsidRPr="00ED264A">
        <w:t>Assessment Apporti</w:t>
      </w:r>
      <w:r>
        <w:t xml:space="preserve">onments schedule </w:t>
      </w:r>
      <w:r w:rsidRPr="00ED264A">
        <w:t>that includes funding for apportionments</w:t>
      </w:r>
      <w:r w:rsidR="00551E5B">
        <w:t xml:space="preserve"> to LEAs for the CAASPP</w:t>
      </w:r>
      <w:r w:rsidR="001B4986">
        <w:t xml:space="preserve"> </w:t>
      </w:r>
      <w:r w:rsidR="00E3648C">
        <w:t>System</w:t>
      </w:r>
      <w:r w:rsidRPr="00ED264A">
        <w:t xml:space="preserve">, </w:t>
      </w:r>
      <w:r>
        <w:t xml:space="preserve">the </w:t>
      </w:r>
      <w:r w:rsidR="00C848CF">
        <w:t>CAHSEE</w:t>
      </w:r>
      <w:r w:rsidR="00551E5B">
        <w:t>, a</w:t>
      </w:r>
      <w:r w:rsidRPr="00ED264A">
        <w:t xml:space="preserve">nd </w:t>
      </w:r>
      <w:r>
        <w:t xml:space="preserve">the </w:t>
      </w:r>
      <w:r w:rsidR="00551E5B">
        <w:t>California English Language Development Test</w:t>
      </w:r>
      <w:r w:rsidR="001B33F0">
        <w:t xml:space="preserve"> (CELDT)</w:t>
      </w:r>
      <w:r w:rsidRPr="00ED264A">
        <w:t xml:space="preserve">. </w:t>
      </w:r>
      <w:r w:rsidR="002C44DF" w:rsidRPr="00ED264A">
        <w:t>State testing app</w:t>
      </w:r>
      <w:r w:rsidR="002C44DF">
        <w:t>ortionments are not paid to LEAs</w:t>
      </w:r>
      <w:r w:rsidR="002C44DF" w:rsidRPr="00ED264A">
        <w:t xml:space="preserve"> until the following fiscal year</w:t>
      </w:r>
      <w:r w:rsidR="0013218E">
        <w:t>,</w:t>
      </w:r>
      <w:r w:rsidR="002C44DF" w:rsidRPr="00ED264A">
        <w:t xml:space="preserve"> after all </w:t>
      </w:r>
      <w:r w:rsidR="00551E5B">
        <w:t xml:space="preserve">testing has been completed </w:t>
      </w:r>
      <w:r w:rsidR="00B3278C">
        <w:t>for the school year</w:t>
      </w:r>
      <w:r w:rsidR="00551E5B">
        <w:t xml:space="preserve"> and</w:t>
      </w:r>
      <w:r w:rsidR="002C44DF" w:rsidRPr="00ED264A">
        <w:t xml:space="preserve"> the final number of </w:t>
      </w:r>
      <w:r w:rsidR="00F614EB">
        <w:t>student</w:t>
      </w:r>
      <w:r w:rsidR="002C44DF" w:rsidRPr="00ED264A">
        <w:t>s teste</w:t>
      </w:r>
      <w:r w:rsidR="002C44DF">
        <w:t>d has been certified by the LEAs</w:t>
      </w:r>
      <w:r w:rsidR="002C44DF" w:rsidRPr="00ED264A">
        <w:t>.</w:t>
      </w:r>
      <w:r w:rsidR="00386045">
        <w:t xml:space="preserve"> </w:t>
      </w:r>
      <w:r w:rsidR="004952C8">
        <w:rPr>
          <w:szCs w:val="24"/>
        </w:rPr>
        <w:t>California</w:t>
      </w:r>
      <w:r w:rsidR="00F72333">
        <w:rPr>
          <w:szCs w:val="24"/>
        </w:rPr>
        <w:t xml:space="preserve"> law </w:t>
      </w:r>
      <w:r w:rsidR="00F72333" w:rsidRPr="00F72333">
        <w:rPr>
          <w:szCs w:val="24"/>
        </w:rPr>
        <w:t>states that</w:t>
      </w:r>
      <w:r w:rsidR="00F72333">
        <w:rPr>
          <w:szCs w:val="24"/>
        </w:rPr>
        <w:t xml:space="preserve"> the SBE</w:t>
      </w:r>
      <w:r w:rsidR="00F72333" w:rsidRPr="00F72333">
        <w:rPr>
          <w:szCs w:val="24"/>
        </w:rPr>
        <w:t xml:space="preserve"> shall annually establish the amount of funding to be apportioned to LEAs</w:t>
      </w:r>
      <w:r w:rsidR="00F72333">
        <w:rPr>
          <w:szCs w:val="24"/>
        </w:rPr>
        <w:t xml:space="preserve"> for </w:t>
      </w:r>
      <w:r w:rsidR="00F72333">
        <w:rPr>
          <w:szCs w:val="24"/>
        </w:rPr>
        <w:lastRenderedPageBreak/>
        <w:t>specified CAASPP assessments. S</w:t>
      </w:r>
      <w:r w:rsidR="00F72333">
        <w:rPr>
          <w:rFonts w:eastAsia="Calibri"/>
        </w:rPr>
        <w:t>tate law does not authorize LEA apportionments for the optional Sm</w:t>
      </w:r>
      <w:r w:rsidR="001B33F0">
        <w:rPr>
          <w:rFonts w:eastAsia="Calibri"/>
        </w:rPr>
        <w:t>arter Balanced Interim A</w:t>
      </w:r>
      <w:r w:rsidR="00F72333">
        <w:rPr>
          <w:rFonts w:eastAsia="Calibri"/>
        </w:rPr>
        <w:t>ssessments or formative (Digital Library)</w:t>
      </w:r>
      <w:r w:rsidR="004952C8">
        <w:rPr>
          <w:rFonts w:eastAsia="Calibri"/>
        </w:rPr>
        <w:t xml:space="preserve"> assessment</w:t>
      </w:r>
      <w:r w:rsidR="00F72333">
        <w:rPr>
          <w:rFonts w:eastAsia="Calibri"/>
        </w:rPr>
        <w:t xml:space="preserve"> tools.</w:t>
      </w:r>
    </w:p>
    <w:p w14:paraId="105B47D7" w14:textId="77777777" w:rsidR="00F72333" w:rsidRDefault="00F72333" w:rsidP="007150B0">
      <w:pPr>
        <w:widowControl/>
        <w:rPr>
          <w:szCs w:val="24"/>
        </w:rPr>
      </w:pPr>
    </w:p>
    <w:p w14:paraId="18DFB16A" w14:textId="77777777" w:rsidR="0085569E" w:rsidRPr="001E0BBD" w:rsidRDefault="00F72333" w:rsidP="0085569E">
      <w:pPr>
        <w:rPr>
          <w:rFonts w:cs="Arial"/>
        </w:rPr>
      </w:pPr>
      <w:r>
        <w:rPr>
          <w:rFonts w:cs="Arial"/>
        </w:rPr>
        <w:t>State law (</w:t>
      </w:r>
      <w:r w:rsidR="0085569E" w:rsidRPr="005814DD">
        <w:rPr>
          <w:rFonts w:cs="Arial"/>
          <w:i/>
        </w:rPr>
        <w:t>EC</w:t>
      </w:r>
      <w:r w:rsidR="0085569E">
        <w:rPr>
          <w:rFonts w:cs="Arial"/>
        </w:rPr>
        <w:t xml:space="preserve"> Section 60644</w:t>
      </w:r>
      <w:r>
        <w:rPr>
          <w:rFonts w:cs="Arial"/>
        </w:rPr>
        <w:t>) also</w:t>
      </w:r>
      <w:r w:rsidR="0085569E">
        <w:rPr>
          <w:rFonts w:cs="Arial"/>
        </w:rPr>
        <w:t xml:space="preserve"> specifies that the </w:t>
      </w:r>
      <w:r w:rsidR="0085569E" w:rsidRPr="003827CC">
        <w:rPr>
          <w:rFonts w:cs="Arial"/>
        </w:rPr>
        <w:t>savings realized fro</w:t>
      </w:r>
      <w:r w:rsidR="0085569E">
        <w:rPr>
          <w:rFonts w:cs="Arial"/>
        </w:rPr>
        <w:t>m the elimination of the grade two</w:t>
      </w:r>
      <w:r w:rsidR="0085569E" w:rsidRPr="003827CC">
        <w:rPr>
          <w:rFonts w:cs="Arial"/>
        </w:rPr>
        <w:t xml:space="preserve"> sta</w:t>
      </w:r>
      <w:r w:rsidR="0085569E">
        <w:rPr>
          <w:rFonts w:cs="Arial"/>
        </w:rPr>
        <w:t xml:space="preserve">ndards-based achievement </w:t>
      </w:r>
      <w:r w:rsidR="0085569E" w:rsidRPr="00B0138F">
        <w:rPr>
          <w:rFonts w:cs="Arial"/>
        </w:rPr>
        <w:t>test</w:t>
      </w:r>
      <w:r w:rsidR="0085569E" w:rsidRPr="003827CC">
        <w:rPr>
          <w:rFonts w:cs="Arial"/>
        </w:rPr>
        <w:t xml:space="preserve"> shall be used by</w:t>
      </w:r>
      <w:r w:rsidR="0085569E">
        <w:rPr>
          <w:rFonts w:cs="Arial"/>
        </w:rPr>
        <w:t xml:space="preserve"> LEAs</w:t>
      </w:r>
      <w:r w:rsidR="0085569E" w:rsidRPr="003827CC">
        <w:rPr>
          <w:rFonts w:cs="Arial"/>
        </w:rPr>
        <w:t xml:space="preserve"> to admini</w:t>
      </w:r>
      <w:r w:rsidR="0085569E">
        <w:rPr>
          <w:rFonts w:cs="Arial"/>
        </w:rPr>
        <w:t xml:space="preserve">ster, at the option and cost of the LEA, a grade two diagnostic assessment identified by the CDE as meeting the requirements of </w:t>
      </w:r>
      <w:r w:rsidR="0085569E" w:rsidRPr="003827CC">
        <w:rPr>
          <w:rFonts w:cs="Arial"/>
          <w:i/>
        </w:rPr>
        <w:t>EC</w:t>
      </w:r>
      <w:r w:rsidR="0085569E">
        <w:rPr>
          <w:rFonts w:cs="Arial"/>
        </w:rPr>
        <w:t xml:space="preserve"> Section 60644. State CAASPP regulations authorize the CDE to provide this funding to LEAs through the annual</w:t>
      </w:r>
      <w:r w:rsidR="00971886">
        <w:rPr>
          <w:rFonts w:cs="Arial"/>
        </w:rPr>
        <w:t xml:space="preserve"> CAASPP </w:t>
      </w:r>
      <w:r w:rsidR="0085569E">
        <w:rPr>
          <w:rFonts w:cs="Arial"/>
        </w:rPr>
        <w:t>apportionment process</w:t>
      </w:r>
      <w:r w:rsidR="00971886">
        <w:rPr>
          <w:rFonts w:cs="Arial"/>
        </w:rPr>
        <w:t xml:space="preserve">. </w:t>
      </w:r>
      <w:r w:rsidR="0085569E">
        <w:rPr>
          <w:rFonts w:eastAsia="Calibri"/>
        </w:rPr>
        <w:t xml:space="preserve">The $1.2 million </w:t>
      </w:r>
      <w:r w:rsidR="0085569E" w:rsidRPr="009C2D08">
        <w:rPr>
          <w:rFonts w:eastAsia="Calibri"/>
        </w:rPr>
        <w:t>in savings real</w:t>
      </w:r>
      <w:r w:rsidR="0085569E">
        <w:rPr>
          <w:rFonts w:eastAsia="Calibri"/>
        </w:rPr>
        <w:t>ized from the elimination of</w:t>
      </w:r>
      <w:r w:rsidR="0085569E" w:rsidRPr="009C2D08">
        <w:rPr>
          <w:rFonts w:eastAsia="Calibri"/>
        </w:rPr>
        <w:t xml:space="preserve"> grade two sta</w:t>
      </w:r>
      <w:r w:rsidR="0085569E">
        <w:rPr>
          <w:rFonts w:eastAsia="Calibri"/>
        </w:rPr>
        <w:t>ndards-based achievement tests</w:t>
      </w:r>
      <w:r w:rsidR="00A77022">
        <w:rPr>
          <w:rFonts w:eastAsia="Calibri"/>
        </w:rPr>
        <w:t>,</w:t>
      </w:r>
      <w:r w:rsidR="0085569E" w:rsidRPr="009C2D08">
        <w:rPr>
          <w:rFonts w:eastAsia="Calibri"/>
        </w:rPr>
        <w:t xml:space="preserve"> </w:t>
      </w:r>
      <w:r w:rsidR="0085569E">
        <w:rPr>
          <w:rFonts w:eastAsia="Calibri"/>
        </w:rPr>
        <w:t xml:space="preserve">equally distributed for the approximate 475,000 students enrolled in grade two </w:t>
      </w:r>
      <w:r w:rsidR="0029242B">
        <w:rPr>
          <w:rFonts w:eastAsia="Calibri"/>
        </w:rPr>
        <w:t xml:space="preserve">statewide </w:t>
      </w:r>
      <w:r w:rsidR="0085569E" w:rsidRPr="00046B77">
        <w:rPr>
          <w:rFonts w:eastAsia="Calibri"/>
        </w:rPr>
        <w:t>annually</w:t>
      </w:r>
      <w:r w:rsidR="00A77022">
        <w:rPr>
          <w:rFonts w:eastAsia="Calibri"/>
        </w:rPr>
        <w:t>,</w:t>
      </w:r>
      <w:r w:rsidR="0085569E" w:rsidRPr="00046B77">
        <w:rPr>
          <w:rFonts w:eastAsia="Calibri"/>
        </w:rPr>
        <w:t xml:space="preserve"> </w:t>
      </w:r>
      <w:r w:rsidR="0085569E">
        <w:rPr>
          <w:rFonts w:eastAsia="Calibri"/>
        </w:rPr>
        <w:t xml:space="preserve">equals approximately $2.52 per </w:t>
      </w:r>
      <w:r w:rsidR="0029242B">
        <w:rPr>
          <w:rFonts w:eastAsia="Calibri"/>
        </w:rPr>
        <w:t>student</w:t>
      </w:r>
      <w:r w:rsidR="0085569E">
        <w:rPr>
          <w:rFonts w:eastAsia="Calibri"/>
        </w:rPr>
        <w:t xml:space="preserve">. </w:t>
      </w:r>
    </w:p>
    <w:p w14:paraId="58A5ECB9" w14:textId="77777777" w:rsidR="0085569E" w:rsidRDefault="0085569E" w:rsidP="0085569E">
      <w:pPr>
        <w:autoSpaceDE w:val="0"/>
        <w:autoSpaceDN w:val="0"/>
        <w:adjustRightInd w:val="0"/>
        <w:rPr>
          <w:rFonts w:cs="Arial"/>
        </w:rPr>
      </w:pPr>
    </w:p>
    <w:p w14:paraId="70775E67" w14:textId="77777777" w:rsidR="00D91B32" w:rsidRDefault="00550922" w:rsidP="00550922">
      <w:pPr>
        <w:widowControl/>
        <w:rPr>
          <w:rFonts w:cs="Arial"/>
          <w:snapToGrid/>
          <w:szCs w:val="24"/>
        </w:rPr>
      </w:pPr>
      <w:r>
        <w:rPr>
          <w:rFonts w:cs="Arial"/>
          <w:snapToGrid/>
          <w:szCs w:val="24"/>
        </w:rPr>
        <w:t>In January 201</w:t>
      </w:r>
      <w:r w:rsidR="001D5BF1">
        <w:rPr>
          <w:rFonts w:cs="Arial"/>
          <w:snapToGrid/>
          <w:szCs w:val="24"/>
        </w:rPr>
        <w:t>6</w:t>
      </w:r>
      <w:r w:rsidRPr="00F81131">
        <w:rPr>
          <w:rFonts w:cs="Arial"/>
          <w:snapToGrid/>
          <w:szCs w:val="24"/>
        </w:rPr>
        <w:t>, the</w:t>
      </w:r>
      <w:r>
        <w:rPr>
          <w:rFonts w:cs="Arial"/>
          <w:snapToGrid/>
          <w:szCs w:val="24"/>
        </w:rPr>
        <w:t xml:space="preserve"> SBE approved the LEA apportionment rates for </w:t>
      </w:r>
      <w:r w:rsidRPr="00F81131">
        <w:rPr>
          <w:rFonts w:cs="Arial"/>
          <w:snapToGrid/>
          <w:szCs w:val="24"/>
        </w:rPr>
        <w:t xml:space="preserve">CAASPP </w:t>
      </w:r>
      <w:r>
        <w:rPr>
          <w:rFonts w:cs="Arial"/>
          <w:snapToGrid/>
          <w:szCs w:val="24"/>
        </w:rPr>
        <w:t>for</w:t>
      </w:r>
      <w:r w:rsidRPr="00F81131">
        <w:rPr>
          <w:rFonts w:cs="Arial"/>
          <w:snapToGrid/>
          <w:szCs w:val="24"/>
        </w:rPr>
        <w:t xml:space="preserve"> the 201</w:t>
      </w:r>
      <w:r>
        <w:rPr>
          <w:rFonts w:cs="Arial"/>
          <w:snapToGrid/>
          <w:szCs w:val="24"/>
        </w:rPr>
        <w:t>5</w:t>
      </w:r>
      <w:r w:rsidRPr="00F81131">
        <w:rPr>
          <w:rFonts w:cs="Arial"/>
          <w:snapToGrid/>
          <w:szCs w:val="24"/>
        </w:rPr>
        <w:t>–1</w:t>
      </w:r>
      <w:r>
        <w:rPr>
          <w:rFonts w:cs="Arial"/>
          <w:snapToGrid/>
          <w:szCs w:val="24"/>
        </w:rPr>
        <w:t>6</w:t>
      </w:r>
      <w:r w:rsidRPr="00F81131">
        <w:rPr>
          <w:rFonts w:cs="Arial"/>
          <w:snapToGrid/>
          <w:szCs w:val="24"/>
        </w:rPr>
        <w:t xml:space="preserve"> school year</w:t>
      </w:r>
      <w:r w:rsidR="00D91B32">
        <w:rPr>
          <w:rFonts w:cs="Arial"/>
          <w:snapToGrid/>
          <w:szCs w:val="24"/>
        </w:rPr>
        <w:t xml:space="preserve">. </w:t>
      </w:r>
    </w:p>
    <w:p w14:paraId="2E6D9685" w14:textId="77777777" w:rsidR="00D91B32" w:rsidRDefault="00D91B32" w:rsidP="00550922">
      <w:pPr>
        <w:widowControl/>
        <w:rPr>
          <w:rFonts w:cs="Arial"/>
          <w:snapToGrid/>
          <w:szCs w:val="24"/>
        </w:rPr>
      </w:pPr>
    </w:p>
    <w:p w14:paraId="3D3444F5" w14:textId="77777777" w:rsidR="00D91B32" w:rsidRDefault="00D91B32" w:rsidP="00550922">
      <w:pPr>
        <w:widowControl/>
        <w:rPr>
          <w:rFonts w:cs="Arial"/>
          <w:snapToGrid/>
          <w:szCs w:val="24"/>
        </w:rPr>
      </w:pPr>
      <w:r>
        <w:rPr>
          <w:rFonts w:cs="Arial"/>
          <w:snapToGrid/>
          <w:szCs w:val="24"/>
        </w:rPr>
        <w:t>Table 7</w:t>
      </w:r>
      <w:r w:rsidR="00550922">
        <w:rPr>
          <w:rFonts w:cs="Arial"/>
          <w:snapToGrid/>
          <w:szCs w:val="24"/>
        </w:rPr>
        <w:t xml:space="preserve">, </w:t>
      </w:r>
      <w:r w:rsidR="009F51EE">
        <w:rPr>
          <w:rFonts w:cs="Arial"/>
          <w:snapToGrid/>
          <w:szCs w:val="24"/>
        </w:rPr>
        <w:t xml:space="preserve">below, </w:t>
      </w:r>
      <w:r w:rsidR="00550922">
        <w:rPr>
          <w:rFonts w:cs="Arial"/>
          <w:snapToGrid/>
          <w:szCs w:val="24"/>
        </w:rPr>
        <w:t>provides a breakdown of estimated</w:t>
      </w:r>
      <w:r w:rsidR="00A77022">
        <w:rPr>
          <w:rFonts w:cs="Arial"/>
          <w:snapToGrid/>
          <w:szCs w:val="24"/>
        </w:rPr>
        <w:t xml:space="preserve"> </w:t>
      </w:r>
      <w:r w:rsidR="00550922">
        <w:rPr>
          <w:rFonts w:cs="Arial"/>
          <w:snapToGrid/>
          <w:szCs w:val="24"/>
        </w:rPr>
        <w:t>apportionment costs by assessment.</w:t>
      </w:r>
    </w:p>
    <w:p w14:paraId="19464046" w14:textId="77777777" w:rsidR="000F167A" w:rsidRDefault="000F167A" w:rsidP="00D91B32">
      <w:pPr>
        <w:widowControl/>
        <w:rPr>
          <w:rFonts w:cs="Arial"/>
          <w:b/>
        </w:rPr>
      </w:pPr>
    </w:p>
    <w:p w14:paraId="371C8C08" w14:textId="77777777" w:rsidR="00D74EA9" w:rsidRPr="00B1703C" w:rsidRDefault="00D74EA9" w:rsidP="00D91B32">
      <w:pPr>
        <w:widowControl/>
        <w:rPr>
          <w:rFonts w:cs="Arial"/>
          <w:b/>
        </w:rPr>
      </w:pPr>
      <w:r>
        <w:rPr>
          <w:rFonts w:cs="Arial"/>
          <w:b/>
        </w:rPr>
        <w:t xml:space="preserve">Table </w:t>
      </w:r>
      <w:r w:rsidR="00D91B32">
        <w:rPr>
          <w:rFonts w:cs="Arial"/>
          <w:b/>
        </w:rPr>
        <w:t>7</w:t>
      </w:r>
      <w:r>
        <w:rPr>
          <w:rFonts w:cs="Arial"/>
          <w:b/>
        </w:rPr>
        <w:t xml:space="preserve">. </w:t>
      </w:r>
      <w:r w:rsidRPr="007F27A0">
        <w:rPr>
          <w:rFonts w:cs="Arial"/>
        </w:rPr>
        <w:t>Estimated Apportionment Costs for 2015–16 CAASPP Testing</w:t>
      </w:r>
    </w:p>
    <w:p w14:paraId="5D34D723" w14:textId="77777777" w:rsidR="00D74EA9" w:rsidRPr="00B1703C" w:rsidRDefault="00D74EA9" w:rsidP="00D74EA9">
      <w:pPr>
        <w:rPr>
          <w:rFonts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440"/>
        <w:gridCol w:w="1080"/>
        <w:gridCol w:w="1440"/>
        <w:gridCol w:w="1890"/>
      </w:tblGrid>
      <w:tr w:rsidR="00D74EA9" w:rsidRPr="00B1703C" w14:paraId="66478E99" w14:textId="77777777" w:rsidTr="00910A9A">
        <w:tc>
          <w:tcPr>
            <w:tcW w:w="2947" w:type="dxa"/>
            <w:shd w:val="clear" w:color="auto" w:fill="auto"/>
            <w:vAlign w:val="center"/>
          </w:tcPr>
          <w:p w14:paraId="4F2E3773" w14:textId="77777777" w:rsidR="00D74EA9" w:rsidRPr="005C7F93" w:rsidRDefault="00D74EA9" w:rsidP="00D74EA9">
            <w:pPr>
              <w:jc w:val="center"/>
              <w:rPr>
                <w:rFonts w:cs="Arial"/>
                <w:sz w:val="20"/>
              </w:rPr>
            </w:pPr>
            <w:r w:rsidRPr="005C7F93">
              <w:rPr>
                <w:rFonts w:cs="Arial"/>
                <w:sz w:val="20"/>
              </w:rPr>
              <w:t>Assessment</w:t>
            </w:r>
          </w:p>
        </w:tc>
        <w:tc>
          <w:tcPr>
            <w:tcW w:w="1440" w:type="dxa"/>
            <w:shd w:val="clear" w:color="auto" w:fill="auto"/>
            <w:vAlign w:val="center"/>
          </w:tcPr>
          <w:p w14:paraId="3B121989" w14:textId="77777777" w:rsidR="00D74EA9" w:rsidRPr="005C7F93" w:rsidRDefault="00D74EA9" w:rsidP="00D74EA9">
            <w:pPr>
              <w:jc w:val="center"/>
              <w:rPr>
                <w:rFonts w:cs="Arial"/>
                <w:sz w:val="20"/>
              </w:rPr>
            </w:pPr>
            <w:r w:rsidRPr="005C7F93">
              <w:rPr>
                <w:rFonts w:cs="Arial"/>
                <w:sz w:val="20"/>
              </w:rPr>
              <w:t>Grade</w:t>
            </w:r>
          </w:p>
        </w:tc>
        <w:tc>
          <w:tcPr>
            <w:tcW w:w="1080" w:type="dxa"/>
            <w:shd w:val="clear" w:color="auto" w:fill="auto"/>
            <w:vAlign w:val="center"/>
          </w:tcPr>
          <w:p w14:paraId="406A5FAE" w14:textId="77777777" w:rsidR="00D74EA9" w:rsidRPr="005C7F93" w:rsidRDefault="00D74EA9" w:rsidP="00D74EA9">
            <w:pPr>
              <w:jc w:val="center"/>
              <w:rPr>
                <w:rFonts w:cs="Arial"/>
                <w:sz w:val="20"/>
              </w:rPr>
            </w:pPr>
            <w:r w:rsidRPr="005C7F93">
              <w:rPr>
                <w:rFonts w:cs="Arial"/>
                <w:sz w:val="20"/>
              </w:rPr>
              <w:t>Per</w:t>
            </w:r>
            <w:r w:rsidR="001F46DF">
              <w:rPr>
                <w:rFonts w:cs="Arial"/>
                <w:sz w:val="20"/>
              </w:rPr>
              <w:t>-</w:t>
            </w:r>
            <w:r w:rsidRPr="005C7F93">
              <w:rPr>
                <w:rFonts w:cs="Arial"/>
                <w:sz w:val="20"/>
              </w:rPr>
              <w:t xml:space="preserve"> </w:t>
            </w:r>
            <w:r w:rsidR="00F614EB">
              <w:rPr>
                <w:rFonts w:cs="Arial"/>
                <w:sz w:val="20"/>
              </w:rPr>
              <w:t>Student</w:t>
            </w:r>
            <w:r w:rsidRPr="005C7F93">
              <w:rPr>
                <w:rFonts w:cs="Arial"/>
                <w:sz w:val="20"/>
              </w:rPr>
              <w:t xml:space="preserve"> Rate</w:t>
            </w:r>
          </w:p>
        </w:tc>
        <w:tc>
          <w:tcPr>
            <w:tcW w:w="1440" w:type="dxa"/>
            <w:shd w:val="clear" w:color="auto" w:fill="auto"/>
            <w:vAlign w:val="center"/>
          </w:tcPr>
          <w:p w14:paraId="4BE577EB" w14:textId="77777777" w:rsidR="00D74EA9" w:rsidRPr="005C7F93" w:rsidRDefault="00D74EA9" w:rsidP="00D74EA9">
            <w:pPr>
              <w:jc w:val="center"/>
              <w:rPr>
                <w:rFonts w:cs="Arial"/>
                <w:sz w:val="20"/>
              </w:rPr>
            </w:pPr>
            <w:r w:rsidRPr="005C7F93">
              <w:rPr>
                <w:rFonts w:cs="Arial"/>
                <w:sz w:val="20"/>
              </w:rPr>
              <w:t xml:space="preserve">Estimated </w:t>
            </w:r>
            <w:r w:rsidR="00F614EB">
              <w:rPr>
                <w:rFonts w:cs="Arial"/>
                <w:sz w:val="20"/>
              </w:rPr>
              <w:t>Student</w:t>
            </w:r>
            <w:r w:rsidRPr="005C7F93">
              <w:rPr>
                <w:rFonts w:cs="Arial"/>
                <w:sz w:val="20"/>
              </w:rPr>
              <w:t xml:space="preserve"> Population</w:t>
            </w:r>
          </w:p>
        </w:tc>
        <w:tc>
          <w:tcPr>
            <w:tcW w:w="1890" w:type="dxa"/>
            <w:shd w:val="clear" w:color="auto" w:fill="auto"/>
            <w:vAlign w:val="center"/>
          </w:tcPr>
          <w:p w14:paraId="3D3646D1" w14:textId="77777777" w:rsidR="00D74EA9" w:rsidRPr="005C7F93" w:rsidRDefault="00D74EA9" w:rsidP="00D74EA9">
            <w:pPr>
              <w:jc w:val="center"/>
              <w:rPr>
                <w:rFonts w:cs="Arial"/>
                <w:sz w:val="20"/>
              </w:rPr>
            </w:pPr>
            <w:r w:rsidRPr="005C7F93">
              <w:rPr>
                <w:rFonts w:cs="Arial"/>
                <w:sz w:val="20"/>
              </w:rPr>
              <w:t>Estimated Apportionment for 2015–16 Testing</w:t>
            </w:r>
          </w:p>
        </w:tc>
      </w:tr>
      <w:tr w:rsidR="00D74EA9" w:rsidRPr="00B1703C" w14:paraId="4580755F" w14:textId="77777777" w:rsidTr="00910A9A">
        <w:tc>
          <w:tcPr>
            <w:tcW w:w="2947" w:type="dxa"/>
            <w:shd w:val="clear" w:color="auto" w:fill="auto"/>
          </w:tcPr>
          <w:p w14:paraId="62367925" w14:textId="77777777" w:rsidR="00D74EA9" w:rsidRPr="005C7F93" w:rsidRDefault="001F46DF" w:rsidP="00D74EA9">
            <w:pPr>
              <w:rPr>
                <w:rFonts w:cs="Arial"/>
                <w:sz w:val="20"/>
              </w:rPr>
            </w:pPr>
            <w:r>
              <w:rPr>
                <w:rFonts w:cs="Arial"/>
                <w:sz w:val="20"/>
              </w:rPr>
              <w:t>Smarter Balanced S</w:t>
            </w:r>
            <w:r w:rsidR="00D74EA9" w:rsidRPr="005C7F93">
              <w:rPr>
                <w:rFonts w:cs="Arial"/>
                <w:sz w:val="20"/>
              </w:rPr>
              <w:t>ummative</w:t>
            </w:r>
          </w:p>
        </w:tc>
        <w:tc>
          <w:tcPr>
            <w:tcW w:w="1440" w:type="dxa"/>
            <w:shd w:val="clear" w:color="auto" w:fill="auto"/>
          </w:tcPr>
          <w:p w14:paraId="5ED25A0E" w14:textId="77777777" w:rsidR="00D74EA9" w:rsidRPr="005C7F93" w:rsidRDefault="00D74EA9" w:rsidP="00D74EA9">
            <w:pPr>
              <w:jc w:val="center"/>
              <w:rPr>
                <w:rFonts w:cs="Arial"/>
                <w:sz w:val="20"/>
              </w:rPr>
            </w:pPr>
            <w:r w:rsidRPr="005C7F93">
              <w:rPr>
                <w:rFonts w:cs="Arial"/>
                <w:sz w:val="20"/>
              </w:rPr>
              <w:t>3–8 and 11</w:t>
            </w:r>
          </w:p>
        </w:tc>
        <w:tc>
          <w:tcPr>
            <w:tcW w:w="1080" w:type="dxa"/>
            <w:shd w:val="clear" w:color="auto" w:fill="auto"/>
          </w:tcPr>
          <w:p w14:paraId="46D5AE37" w14:textId="77777777" w:rsidR="00D74EA9" w:rsidRPr="005C7F93" w:rsidRDefault="00D74EA9" w:rsidP="00D74EA9">
            <w:pPr>
              <w:jc w:val="center"/>
              <w:rPr>
                <w:rFonts w:cs="Arial"/>
                <w:sz w:val="20"/>
              </w:rPr>
            </w:pPr>
            <w:r w:rsidRPr="005C7F93">
              <w:rPr>
                <w:rFonts w:cs="Arial"/>
                <w:sz w:val="20"/>
              </w:rPr>
              <w:t>$4.00</w:t>
            </w:r>
          </w:p>
        </w:tc>
        <w:tc>
          <w:tcPr>
            <w:tcW w:w="1440" w:type="dxa"/>
            <w:shd w:val="clear" w:color="auto" w:fill="auto"/>
          </w:tcPr>
          <w:p w14:paraId="0E8959BD" w14:textId="77777777" w:rsidR="00D74EA9" w:rsidRPr="005C7F93" w:rsidRDefault="00D74EA9" w:rsidP="00D74EA9">
            <w:pPr>
              <w:jc w:val="right"/>
              <w:rPr>
                <w:rFonts w:cs="Arial"/>
                <w:sz w:val="20"/>
              </w:rPr>
            </w:pPr>
            <w:r w:rsidRPr="005C7F93">
              <w:rPr>
                <w:rFonts w:cs="Arial"/>
                <w:sz w:val="20"/>
              </w:rPr>
              <w:t>3,200,000</w:t>
            </w:r>
          </w:p>
        </w:tc>
        <w:tc>
          <w:tcPr>
            <w:tcW w:w="1890" w:type="dxa"/>
            <w:shd w:val="clear" w:color="auto" w:fill="auto"/>
          </w:tcPr>
          <w:p w14:paraId="46444E66" w14:textId="77777777" w:rsidR="00D74EA9" w:rsidRPr="005C7F93" w:rsidRDefault="00D74EA9" w:rsidP="00D74EA9">
            <w:pPr>
              <w:jc w:val="right"/>
              <w:rPr>
                <w:rFonts w:cs="Arial"/>
                <w:sz w:val="20"/>
              </w:rPr>
            </w:pPr>
            <w:r w:rsidRPr="005C7F93">
              <w:rPr>
                <w:rFonts w:cs="Arial"/>
                <w:sz w:val="20"/>
              </w:rPr>
              <w:t>$12,800,000</w:t>
            </w:r>
          </w:p>
        </w:tc>
      </w:tr>
      <w:tr w:rsidR="00D74EA9" w:rsidRPr="00B1703C" w14:paraId="105B3FC2" w14:textId="77777777" w:rsidTr="00910A9A">
        <w:tc>
          <w:tcPr>
            <w:tcW w:w="2947" w:type="dxa"/>
            <w:shd w:val="clear" w:color="auto" w:fill="auto"/>
          </w:tcPr>
          <w:p w14:paraId="6C23A0F0" w14:textId="77777777" w:rsidR="00D74EA9" w:rsidRPr="005C7F93" w:rsidRDefault="00D74EA9" w:rsidP="00D74EA9">
            <w:pPr>
              <w:rPr>
                <w:rFonts w:cs="Arial"/>
                <w:sz w:val="20"/>
              </w:rPr>
            </w:pPr>
            <w:r w:rsidRPr="005C7F93">
              <w:rPr>
                <w:rFonts w:cs="Arial"/>
                <w:sz w:val="20"/>
              </w:rPr>
              <w:t>CSTs or CMA in science</w:t>
            </w:r>
            <w:r w:rsidRPr="005C7F93">
              <w:rPr>
                <w:rFonts w:cs="Arial"/>
                <w:sz w:val="20"/>
                <w:vertAlign w:val="superscript"/>
              </w:rPr>
              <w:t>1</w:t>
            </w:r>
          </w:p>
        </w:tc>
        <w:tc>
          <w:tcPr>
            <w:tcW w:w="1440" w:type="dxa"/>
            <w:shd w:val="clear" w:color="auto" w:fill="auto"/>
          </w:tcPr>
          <w:p w14:paraId="2DE218D1" w14:textId="77777777" w:rsidR="00D74EA9" w:rsidRPr="005C7F93" w:rsidRDefault="00D74EA9" w:rsidP="00D74EA9">
            <w:pPr>
              <w:jc w:val="center"/>
              <w:rPr>
                <w:rFonts w:cs="Arial"/>
                <w:sz w:val="20"/>
              </w:rPr>
            </w:pPr>
            <w:r w:rsidRPr="005C7F93">
              <w:rPr>
                <w:rFonts w:cs="Arial"/>
                <w:sz w:val="20"/>
              </w:rPr>
              <w:t>5, 8 and</w:t>
            </w:r>
            <w:r w:rsidR="001E71C9">
              <w:rPr>
                <w:rFonts w:cs="Arial"/>
                <w:sz w:val="20"/>
              </w:rPr>
              <w:t xml:space="preserve"> </w:t>
            </w:r>
            <w:r w:rsidRPr="005C7F93">
              <w:rPr>
                <w:rFonts w:cs="Arial"/>
                <w:sz w:val="20"/>
              </w:rPr>
              <w:t>10</w:t>
            </w:r>
            <w:r w:rsidRPr="005C7F93">
              <w:rPr>
                <w:rFonts w:cs="Arial"/>
                <w:sz w:val="20"/>
                <w:vertAlign w:val="superscript"/>
              </w:rPr>
              <w:t>1</w:t>
            </w:r>
          </w:p>
        </w:tc>
        <w:tc>
          <w:tcPr>
            <w:tcW w:w="1080" w:type="dxa"/>
            <w:shd w:val="clear" w:color="auto" w:fill="auto"/>
          </w:tcPr>
          <w:p w14:paraId="55DEC6B1" w14:textId="77777777" w:rsidR="00D74EA9" w:rsidRPr="005C7F93" w:rsidRDefault="00D74EA9" w:rsidP="00D74EA9">
            <w:pPr>
              <w:jc w:val="center"/>
              <w:rPr>
                <w:rFonts w:cs="Arial"/>
                <w:sz w:val="20"/>
              </w:rPr>
            </w:pPr>
            <w:r w:rsidRPr="005C7F93">
              <w:rPr>
                <w:rFonts w:cs="Arial"/>
                <w:sz w:val="20"/>
              </w:rPr>
              <w:t>$2.52</w:t>
            </w:r>
          </w:p>
        </w:tc>
        <w:tc>
          <w:tcPr>
            <w:tcW w:w="1440" w:type="dxa"/>
            <w:shd w:val="clear" w:color="auto" w:fill="auto"/>
          </w:tcPr>
          <w:p w14:paraId="5E795A0D" w14:textId="77777777" w:rsidR="00D74EA9" w:rsidRPr="005C7F93" w:rsidRDefault="00D74EA9" w:rsidP="00D74EA9">
            <w:pPr>
              <w:jc w:val="right"/>
              <w:rPr>
                <w:rFonts w:cs="Arial"/>
                <w:sz w:val="20"/>
              </w:rPr>
            </w:pPr>
            <w:r w:rsidRPr="005C7F93">
              <w:rPr>
                <w:rFonts w:cs="Arial"/>
                <w:sz w:val="20"/>
              </w:rPr>
              <w:t>445,000</w:t>
            </w:r>
          </w:p>
        </w:tc>
        <w:tc>
          <w:tcPr>
            <w:tcW w:w="1890" w:type="dxa"/>
            <w:shd w:val="clear" w:color="auto" w:fill="auto"/>
          </w:tcPr>
          <w:p w14:paraId="7080982F" w14:textId="77777777" w:rsidR="00D74EA9" w:rsidRPr="005C7F93" w:rsidRDefault="00D74EA9" w:rsidP="00D74EA9">
            <w:pPr>
              <w:jc w:val="right"/>
              <w:rPr>
                <w:rFonts w:cs="Arial"/>
                <w:sz w:val="20"/>
              </w:rPr>
            </w:pPr>
            <w:r w:rsidRPr="005C7F93">
              <w:rPr>
                <w:rFonts w:cs="Arial"/>
                <w:sz w:val="20"/>
              </w:rPr>
              <w:t>$1,121,400</w:t>
            </w:r>
          </w:p>
        </w:tc>
      </w:tr>
      <w:tr w:rsidR="00D74EA9" w:rsidRPr="00B1703C" w14:paraId="5A7A02EB" w14:textId="77777777" w:rsidTr="00910A9A">
        <w:tc>
          <w:tcPr>
            <w:tcW w:w="2947" w:type="dxa"/>
            <w:shd w:val="clear" w:color="auto" w:fill="auto"/>
          </w:tcPr>
          <w:p w14:paraId="17A9B28C" w14:textId="77777777" w:rsidR="00D74EA9" w:rsidRPr="005C7F93" w:rsidRDefault="00D74EA9" w:rsidP="00D74EA9">
            <w:pPr>
              <w:rPr>
                <w:rFonts w:cs="Arial"/>
                <w:sz w:val="20"/>
              </w:rPr>
            </w:pPr>
            <w:r w:rsidRPr="005C7F93">
              <w:rPr>
                <w:rFonts w:cs="Arial"/>
                <w:sz w:val="20"/>
              </w:rPr>
              <w:t>CAA</w:t>
            </w:r>
          </w:p>
        </w:tc>
        <w:tc>
          <w:tcPr>
            <w:tcW w:w="1440" w:type="dxa"/>
            <w:shd w:val="clear" w:color="auto" w:fill="auto"/>
          </w:tcPr>
          <w:p w14:paraId="643359C2" w14:textId="77777777" w:rsidR="00D74EA9" w:rsidRPr="005C7F93" w:rsidRDefault="00D74EA9" w:rsidP="00D74EA9">
            <w:pPr>
              <w:jc w:val="center"/>
              <w:rPr>
                <w:rFonts w:cs="Arial"/>
                <w:sz w:val="20"/>
              </w:rPr>
            </w:pPr>
            <w:r w:rsidRPr="005C7F93">
              <w:rPr>
                <w:rFonts w:cs="Arial"/>
                <w:sz w:val="20"/>
              </w:rPr>
              <w:t>3–8 and 11</w:t>
            </w:r>
          </w:p>
        </w:tc>
        <w:tc>
          <w:tcPr>
            <w:tcW w:w="1080" w:type="dxa"/>
            <w:shd w:val="clear" w:color="auto" w:fill="auto"/>
          </w:tcPr>
          <w:p w14:paraId="21074A76" w14:textId="77777777" w:rsidR="00D74EA9" w:rsidRPr="005C7F93" w:rsidRDefault="00D74EA9" w:rsidP="00D74EA9">
            <w:pPr>
              <w:jc w:val="center"/>
              <w:rPr>
                <w:rFonts w:cs="Arial"/>
                <w:sz w:val="20"/>
              </w:rPr>
            </w:pPr>
            <w:r w:rsidRPr="005C7F93">
              <w:rPr>
                <w:rFonts w:cs="Arial"/>
                <w:sz w:val="20"/>
              </w:rPr>
              <w:t>$5.00</w:t>
            </w:r>
          </w:p>
        </w:tc>
        <w:tc>
          <w:tcPr>
            <w:tcW w:w="1440" w:type="dxa"/>
            <w:shd w:val="clear" w:color="auto" w:fill="auto"/>
          </w:tcPr>
          <w:p w14:paraId="2FC04252" w14:textId="77777777" w:rsidR="00D74EA9" w:rsidRPr="005C7F93" w:rsidRDefault="00D74EA9" w:rsidP="00D74EA9">
            <w:pPr>
              <w:jc w:val="right"/>
              <w:rPr>
                <w:rFonts w:cs="Arial"/>
                <w:sz w:val="20"/>
              </w:rPr>
            </w:pPr>
            <w:r w:rsidRPr="005C7F93">
              <w:rPr>
                <w:rFonts w:cs="Arial"/>
                <w:sz w:val="20"/>
              </w:rPr>
              <w:t>39,000</w:t>
            </w:r>
          </w:p>
        </w:tc>
        <w:tc>
          <w:tcPr>
            <w:tcW w:w="1890" w:type="dxa"/>
            <w:shd w:val="clear" w:color="auto" w:fill="auto"/>
          </w:tcPr>
          <w:p w14:paraId="7DBD1921" w14:textId="77777777" w:rsidR="00D74EA9" w:rsidRPr="005C7F93" w:rsidRDefault="00D74EA9" w:rsidP="00D74EA9">
            <w:pPr>
              <w:jc w:val="right"/>
              <w:rPr>
                <w:rFonts w:cs="Arial"/>
                <w:sz w:val="20"/>
              </w:rPr>
            </w:pPr>
            <w:r w:rsidRPr="005C7F93">
              <w:rPr>
                <w:rFonts w:cs="Arial"/>
                <w:sz w:val="20"/>
              </w:rPr>
              <w:t>$195,000</w:t>
            </w:r>
          </w:p>
        </w:tc>
      </w:tr>
      <w:tr w:rsidR="00D74EA9" w:rsidRPr="00B1703C" w14:paraId="1938490B" w14:textId="77777777" w:rsidTr="00910A9A">
        <w:tc>
          <w:tcPr>
            <w:tcW w:w="2947" w:type="dxa"/>
            <w:shd w:val="clear" w:color="auto" w:fill="auto"/>
          </w:tcPr>
          <w:p w14:paraId="15CEDBFF" w14:textId="77777777" w:rsidR="00D74EA9" w:rsidRPr="005C7F93" w:rsidRDefault="00D74EA9" w:rsidP="00D74EA9">
            <w:pPr>
              <w:rPr>
                <w:rFonts w:cs="Arial"/>
                <w:sz w:val="20"/>
              </w:rPr>
            </w:pPr>
            <w:r w:rsidRPr="005C7F93">
              <w:rPr>
                <w:rFonts w:cs="Arial"/>
                <w:sz w:val="20"/>
              </w:rPr>
              <w:t>CAPA in science</w:t>
            </w:r>
            <w:r w:rsidRPr="005C7F93">
              <w:rPr>
                <w:rFonts w:cs="Arial"/>
                <w:sz w:val="20"/>
                <w:vertAlign w:val="superscript"/>
              </w:rPr>
              <w:t>1</w:t>
            </w:r>
          </w:p>
        </w:tc>
        <w:tc>
          <w:tcPr>
            <w:tcW w:w="1440" w:type="dxa"/>
            <w:shd w:val="clear" w:color="auto" w:fill="auto"/>
          </w:tcPr>
          <w:p w14:paraId="3BDA8B52" w14:textId="77777777" w:rsidR="00D74EA9" w:rsidRPr="005C7F93" w:rsidRDefault="00D74EA9" w:rsidP="00D74EA9">
            <w:pPr>
              <w:jc w:val="center"/>
              <w:rPr>
                <w:rFonts w:cs="Arial"/>
                <w:sz w:val="20"/>
              </w:rPr>
            </w:pPr>
            <w:r w:rsidRPr="005C7F93">
              <w:rPr>
                <w:rFonts w:cs="Arial"/>
                <w:sz w:val="20"/>
              </w:rPr>
              <w:t>5, 8 and 10</w:t>
            </w:r>
            <w:r w:rsidRPr="005C7F93">
              <w:rPr>
                <w:rFonts w:cs="Arial"/>
                <w:sz w:val="20"/>
                <w:vertAlign w:val="superscript"/>
              </w:rPr>
              <w:t>1</w:t>
            </w:r>
          </w:p>
        </w:tc>
        <w:tc>
          <w:tcPr>
            <w:tcW w:w="1080" w:type="dxa"/>
            <w:shd w:val="clear" w:color="auto" w:fill="auto"/>
          </w:tcPr>
          <w:p w14:paraId="4A1F9FC8" w14:textId="77777777" w:rsidR="00D74EA9" w:rsidRPr="005C7F93" w:rsidRDefault="00D74EA9" w:rsidP="00D74EA9">
            <w:pPr>
              <w:jc w:val="center"/>
              <w:rPr>
                <w:rFonts w:cs="Arial"/>
                <w:sz w:val="20"/>
              </w:rPr>
            </w:pPr>
            <w:r w:rsidRPr="005C7F93">
              <w:rPr>
                <w:rFonts w:cs="Arial"/>
                <w:sz w:val="20"/>
              </w:rPr>
              <w:t>$5.00</w:t>
            </w:r>
          </w:p>
        </w:tc>
        <w:tc>
          <w:tcPr>
            <w:tcW w:w="1440" w:type="dxa"/>
            <w:shd w:val="clear" w:color="auto" w:fill="auto"/>
          </w:tcPr>
          <w:p w14:paraId="3A419113" w14:textId="77777777" w:rsidR="00D74EA9" w:rsidRPr="005C7F93" w:rsidRDefault="00D74EA9" w:rsidP="00D74EA9">
            <w:pPr>
              <w:jc w:val="right"/>
              <w:rPr>
                <w:rFonts w:cs="Arial"/>
                <w:sz w:val="20"/>
              </w:rPr>
            </w:pPr>
            <w:r w:rsidRPr="005C7F93">
              <w:rPr>
                <w:rFonts w:cs="Arial"/>
                <w:sz w:val="20"/>
              </w:rPr>
              <w:t>5,000</w:t>
            </w:r>
          </w:p>
        </w:tc>
        <w:tc>
          <w:tcPr>
            <w:tcW w:w="1890" w:type="dxa"/>
            <w:shd w:val="clear" w:color="auto" w:fill="auto"/>
          </w:tcPr>
          <w:p w14:paraId="00676271" w14:textId="77777777" w:rsidR="00D74EA9" w:rsidRPr="005C7F93" w:rsidRDefault="00D74EA9" w:rsidP="00D74EA9">
            <w:pPr>
              <w:jc w:val="right"/>
              <w:rPr>
                <w:rFonts w:cs="Arial"/>
                <w:sz w:val="20"/>
              </w:rPr>
            </w:pPr>
            <w:r w:rsidRPr="005C7F93">
              <w:rPr>
                <w:rFonts w:cs="Arial"/>
                <w:sz w:val="20"/>
              </w:rPr>
              <w:t>$25,000</w:t>
            </w:r>
          </w:p>
        </w:tc>
      </w:tr>
      <w:tr w:rsidR="00D74EA9" w:rsidRPr="00B1703C" w14:paraId="7BF76047" w14:textId="77777777" w:rsidTr="00910A9A">
        <w:tc>
          <w:tcPr>
            <w:tcW w:w="2947" w:type="dxa"/>
            <w:tcBorders>
              <w:bottom w:val="single" w:sz="4" w:space="0" w:color="auto"/>
            </w:tcBorders>
            <w:shd w:val="clear" w:color="auto" w:fill="auto"/>
          </w:tcPr>
          <w:p w14:paraId="1F56E31F" w14:textId="77777777" w:rsidR="00D74EA9" w:rsidRPr="005C7F93" w:rsidRDefault="00D74EA9" w:rsidP="00D74EA9">
            <w:pPr>
              <w:rPr>
                <w:rFonts w:cs="Arial"/>
                <w:sz w:val="20"/>
              </w:rPr>
            </w:pPr>
            <w:r w:rsidRPr="005C7F93">
              <w:rPr>
                <w:rFonts w:cs="Arial"/>
                <w:sz w:val="20"/>
              </w:rPr>
              <w:t>STS</w:t>
            </w:r>
          </w:p>
        </w:tc>
        <w:tc>
          <w:tcPr>
            <w:tcW w:w="1440" w:type="dxa"/>
            <w:tcBorders>
              <w:bottom w:val="single" w:sz="4" w:space="0" w:color="auto"/>
            </w:tcBorders>
            <w:shd w:val="clear" w:color="auto" w:fill="auto"/>
          </w:tcPr>
          <w:p w14:paraId="6353DFFA" w14:textId="77777777" w:rsidR="00D74EA9" w:rsidRPr="005C7F93" w:rsidRDefault="00D74EA9" w:rsidP="00D74EA9">
            <w:pPr>
              <w:jc w:val="center"/>
              <w:rPr>
                <w:rFonts w:cs="Arial"/>
                <w:sz w:val="20"/>
              </w:rPr>
            </w:pPr>
            <w:r w:rsidRPr="005C7F93">
              <w:rPr>
                <w:rFonts w:cs="Arial"/>
                <w:sz w:val="20"/>
              </w:rPr>
              <w:t>2–11</w:t>
            </w:r>
          </w:p>
        </w:tc>
        <w:tc>
          <w:tcPr>
            <w:tcW w:w="1080" w:type="dxa"/>
            <w:tcBorders>
              <w:bottom w:val="single" w:sz="4" w:space="0" w:color="auto"/>
            </w:tcBorders>
            <w:shd w:val="clear" w:color="auto" w:fill="auto"/>
          </w:tcPr>
          <w:p w14:paraId="23C46352" w14:textId="77777777" w:rsidR="00D74EA9" w:rsidRPr="005C7F93" w:rsidRDefault="00D74EA9" w:rsidP="00D74EA9">
            <w:pPr>
              <w:jc w:val="center"/>
              <w:rPr>
                <w:rFonts w:cs="Arial"/>
                <w:sz w:val="20"/>
              </w:rPr>
            </w:pPr>
            <w:r w:rsidRPr="005C7F93">
              <w:rPr>
                <w:rFonts w:cs="Arial"/>
                <w:sz w:val="20"/>
              </w:rPr>
              <w:t>$2.52</w:t>
            </w:r>
          </w:p>
        </w:tc>
        <w:tc>
          <w:tcPr>
            <w:tcW w:w="1440" w:type="dxa"/>
            <w:tcBorders>
              <w:bottom w:val="single" w:sz="4" w:space="0" w:color="auto"/>
            </w:tcBorders>
            <w:shd w:val="clear" w:color="auto" w:fill="auto"/>
          </w:tcPr>
          <w:p w14:paraId="4023110A" w14:textId="77777777" w:rsidR="00D74EA9" w:rsidRPr="005C7F93" w:rsidRDefault="00D74EA9" w:rsidP="00D74EA9">
            <w:pPr>
              <w:jc w:val="right"/>
              <w:rPr>
                <w:rFonts w:cs="Arial"/>
                <w:sz w:val="20"/>
              </w:rPr>
            </w:pPr>
            <w:r w:rsidRPr="005C7F93">
              <w:rPr>
                <w:rFonts w:cs="Arial"/>
                <w:sz w:val="20"/>
              </w:rPr>
              <w:t>9,000</w:t>
            </w:r>
          </w:p>
        </w:tc>
        <w:tc>
          <w:tcPr>
            <w:tcW w:w="1890" w:type="dxa"/>
            <w:shd w:val="clear" w:color="auto" w:fill="auto"/>
          </w:tcPr>
          <w:p w14:paraId="1C5174B7" w14:textId="77777777" w:rsidR="00D74EA9" w:rsidRPr="005C7F93" w:rsidRDefault="00D74EA9" w:rsidP="00D74EA9">
            <w:pPr>
              <w:jc w:val="right"/>
              <w:rPr>
                <w:rFonts w:cs="Arial"/>
                <w:sz w:val="20"/>
              </w:rPr>
            </w:pPr>
            <w:r w:rsidRPr="005C7F93">
              <w:rPr>
                <w:rFonts w:cs="Arial"/>
                <w:sz w:val="20"/>
              </w:rPr>
              <w:t>$22,680</w:t>
            </w:r>
          </w:p>
        </w:tc>
      </w:tr>
      <w:tr w:rsidR="00D74EA9" w:rsidRPr="00B1703C" w14:paraId="751C758E" w14:textId="77777777" w:rsidTr="00910A9A">
        <w:tc>
          <w:tcPr>
            <w:tcW w:w="2947" w:type="dxa"/>
            <w:tcBorders>
              <w:bottom w:val="single" w:sz="4" w:space="0" w:color="auto"/>
            </w:tcBorders>
            <w:shd w:val="clear" w:color="auto" w:fill="auto"/>
          </w:tcPr>
          <w:p w14:paraId="5C356ECA" w14:textId="77777777" w:rsidR="00D74EA9" w:rsidRPr="005C7F93" w:rsidRDefault="00D74EA9" w:rsidP="00D74EA9">
            <w:pPr>
              <w:rPr>
                <w:rFonts w:cs="Arial"/>
                <w:sz w:val="20"/>
              </w:rPr>
            </w:pPr>
            <w:r w:rsidRPr="005C7F93">
              <w:rPr>
                <w:rFonts w:cs="Arial"/>
                <w:i/>
                <w:sz w:val="20"/>
              </w:rPr>
              <w:t>EC</w:t>
            </w:r>
            <w:r w:rsidRPr="005C7F93">
              <w:rPr>
                <w:rFonts w:cs="Arial"/>
                <w:sz w:val="20"/>
              </w:rPr>
              <w:t xml:space="preserve"> 60644 Grade 2 Diagnostic </w:t>
            </w:r>
          </w:p>
        </w:tc>
        <w:tc>
          <w:tcPr>
            <w:tcW w:w="1440" w:type="dxa"/>
            <w:tcBorders>
              <w:bottom w:val="single" w:sz="4" w:space="0" w:color="auto"/>
            </w:tcBorders>
            <w:shd w:val="clear" w:color="auto" w:fill="auto"/>
          </w:tcPr>
          <w:p w14:paraId="08E823E9" w14:textId="77777777" w:rsidR="00D74EA9" w:rsidRPr="005C7F93" w:rsidRDefault="00D74EA9" w:rsidP="00D74EA9">
            <w:pPr>
              <w:jc w:val="center"/>
              <w:rPr>
                <w:rFonts w:cs="Arial"/>
                <w:sz w:val="20"/>
              </w:rPr>
            </w:pPr>
            <w:r w:rsidRPr="005C7F93">
              <w:rPr>
                <w:rFonts w:cs="Arial"/>
                <w:sz w:val="20"/>
              </w:rPr>
              <w:t>2</w:t>
            </w:r>
          </w:p>
        </w:tc>
        <w:tc>
          <w:tcPr>
            <w:tcW w:w="1080" w:type="dxa"/>
            <w:tcBorders>
              <w:bottom w:val="single" w:sz="4" w:space="0" w:color="auto"/>
            </w:tcBorders>
            <w:shd w:val="clear" w:color="auto" w:fill="auto"/>
          </w:tcPr>
          <w:p w14:paraId="4CB66408" w14:textId="77777777" w:rsidR="00D74EA9" w:rsidRPr="005C7F93" w:rsidRDefault="00D74EA9" w:rsidP="00D74EA9">
            <w:pPr>
              <w:jc w:val="center"/>
              <w:rPr>
                <w:rFonts w:cs="Arial"/>
                <w:sz w:val="20"/>
              </w:rPr>
            </w:pPr>
            <w:r w:rsidRPr="005C7F93">
              <w:rPr>
                <w:rFonts w:cs="Arial"/>
                <w:sz w:val="20"/>
              </w:rPr>
              <w:t>$2.52</w:t>
            </w:r>
          </w:p>
        </w:tc>
        <w:tc>
          <w:tcPr>
            <w:tcW w:w="1440" w:type="dxa"/>
            <w:tcBorders>
              <w:bottom w:val="single" w:sz="4" w:space="0" w:color="auto"/>
            </w:tcBorders>
            <w:shd w:val="clear" w:color="auto" w:fill="auto"/>
          </w:tcPr>
          <w:p w14:paraId="0C285E34" w14:textId="77777777" w:rsidR="00D74EA9" w:rsidRPr="005C7F93" w:rsidRDefault="00D74EA9" w:rsidP="00D74EA9">
            <w:pPr>
              <w:jc w:val="right"/>
              <w:rPr>
                <w:rFonts w:cs="Arial"/>
                <w:sz w:val="20"/>
              </w:rPr>
            </w:pPr>
            <w:r w:rsidRPr="005C7F93">
              <w:rPr>
                <w:rFonts w:cs="Arial"/>
                <w:sz w:val="20"/>
              </w:rPr>
              <w:t>420,000</w:t>
            </w:r>
          </w:p>
        </w:tc>
        <w:tc>
          <w:tcPr>
            <w:tcW w:w="1890" w:type="dxa"/>
            <w:tcBorders>
              <w:bottom w:val="single" w:sz="4" w:space="0" w:color="auto"/>
            </w:tcBorders>
            <w:shd w:val="clear" w:color="auto" w:fill="auto"/>
          </w:tcPr>
          <w:p w14:paraId="03B29576" w14:textId="77777777" w:rsidR="00D74EA9" w:rsidRPr="005C7F93" w:rsidRDefault="00D74EA9" w:rsidP="00D74EA9">
            <w:pPr>
              <w:jc w:val="right"/>
              <w:rPr>
                <w:rFonts w:cs="Arial"/>
                <w:sz w:val="20"/>
              </w:rPr>
            </w:pPr>
            <w:r w:rsidRPr="005C7F93">
              <w:rPr>
                <w:rFonts w:cs="Arial"/>
                <w:sz w:val="20"/>
              </w:rPr>
              <w:t>$1,058,400</w:t>
            </w:r>
          </w:p>
        </w:tc>
      </w:tr>
      <w:tr w:rsidR="00D74EA9" w:rsidRPr="00B1703C" w14:paraId="3962EE28" w14:textId="77777777" w:rsidTr="00910A9A">
        <w:trPr>
          <w:trHeight w:val="350"/>
        </w:trPr>
        <w:tc>
          <w:tcPr>
            <w:tcW w:w="2947" w:type="dxa"/>
            <w:tcBorders>
              <w:top w:val="single" w:sz="4" w:space="0" w:color="auto"/>
              <w:left w:val="nil"/>
              <w:bottom w:val="nil"/>
              <w:right w:val="nil"/>
            </w:tcBorders>
            <w:shd w:val="clear" w:color="auto" w:fill="auto"/>
          </w:tcPr>
          <w:p w14:paraId="5FD6B06F" w14:textId="77777777" w:rsidR="00D74EA9" w:rsidRPr="005C7F93" w:rsidRDefault="00D74EA9" w:rsidP="00D74EA9">
            <w:pPr>
              <w:rPr>
                <w:rFonts w:cs="Arial"/>
                <w:sz w:val="20"/>
              </w:rPr>
            </w:pPr>
          </w:p>
        </w:tc>
        <w:tc>
          <w:tcPr>
            <w:tcW w:w="1440" w:type="dxa"/>
            <w:tcBorders>
              <w:top w:val="single" w:sz="4" w:space="0" w:color="auto"/>
              <w:left w:val="nil"/>
              <w:bottom w:val="nil"/>
              <w:right w:val="nil"/>
            </w:tcBorders>
            <w:shd w:val="clear" w:color="auto" w:fill="auto"/>
          </w:tcPr>
          <w:p w14:paraId="4A3B893C" w14:textId="77777777" w:rsidR="00D74EA9" w:rsidRPr="005C7F93" w:rsidRDefault="00D74EA9" w:rsidP="00D74EA9">
            <w:pPr>
              <w:rPr>
                <w:rFonts w:cs="Arial"/>
                <w:sz w:val="20"/>
              </w:rPr>
            </w:pPr>
          </w:p>
        </w:tc>
        <w:tc>
          <w:tcPr>
            <w:tcW w:w="1080" w:type="dxa"/>
            <w:tcBorders>
              <w:top w:val="single" w:sz="4" w:space="0" w:color="auto"/>
              <w:left w:val="nil"/>
              <w:bottom w:val="nil"/>
              <w:right w:val="nil"/>
            </w:tcBorders>
            <w:shd w:val="clear" w:color="auto" w:fill="auto"/>
          </w:tcPr>
          <w:p w14:paraId="690CA6C0" w14:textId="77777777" w:rsidR="00D74EA9" w:rsidRPr="005C7F93" w:rsidRDefault="00D74EA9" w:rsidP="00D74EA9">
            <w:pPr>
              <w:rPr>
                <w:rFonts w:cs="Arial"/>
                <w:sz w:val="20"/>
              </w:rPr>
            </w:pPr>
          </w:p>
        </w:tc>
        <w:tc>
          <w:tcPr>
            <w:tcW w:w="1440" w:type="dxa"/>
            <w:tcBorders>
              <w:top w:val="single" w:sz="4" w:space="0" w:color="auto"/>
              <w:left w:val="nil"/>
              <w:bottom w:val="nil"/>
              <w:right w:val="single" w:sz="4" w:space="0" w:color="auto"/>
            </w:tcBorders>
            <w:shd w:val="clear" w:color="auto" w:fill="auto"/>
            <w:vAlign w:val="bottom"/>
          </w:tcPr>
          <w:p w14:paraId="2565F96E" w14:textId="77777777" w:rsidR="00D74EA9" w:rsidRPr="005C7F93" w:rsidRDefault="00D74EA9" w:rsidP="00D74EA9">
            <w:pPr>
              <w:jc w:val="right"/>
              <w:rPr>
                <w:rFonts w:cs="Arial"/>
                <w:b/>
                <w:sz w:val="20"/>
              </w:rPr>
            </w:pPr>
            <w:r w:rsidRPr="005C7F93">
              <w:rPr>
                <w:rFonts w:cs="Arial"/>
                <w:b/>
                <w:sz w:val="20"/>
              </w:rPr>
              <w:t>Total:</w:t>
            </w:r>
          </w:p>
        </w:tc>
        <w:tc>
          <w:tcPr>
            <w:tcW w:w="1890" w:type="dxa"/>
            <w:tcBorders>
              <w:left w:val="single" w:sz="4" w:space="0" w:color="auto"/>
            </w:tcBorders>
            <w:shd w:val="clear" w:color="auto" w:fill="auto"/>
            <w:vAlign w:val="bottom"/>
          </w:tcPr>
          <w:p w14:paraId="541EB718" w14:textId="77777777" w:rsidR="00D74EA9" w:rsidRPr="005C7F93" w:rsidRDefault="00D74EA9" w:rsidP="00D74EA9">
            <w:pPr>
              <w:jc w:val="right"/>
              <w:rPr>
                <w:rFonts w:cs="Arial"/>
                <w:b/>
                <w:sz w:val="20"/>
              </w:rPr>
            </w:pPr>
            <w:r w:rsidRPr="005C7F93">
              <w:rPr>
                <w:rFonts w:cs="Arial"/>
                <w:b/>
                <w:sz w:val="20"/>
              </w:rPr>
              <w:t>$15,222,480</w:t>
            </w:r>
          </w:p>
        </w:tc>
      </w:tr>
    </w:tbl>
    <w:p w14:paraId="23575797" w14:textId="77777777" w:rsidR="00D74EA9" w:rsidRPr="00D74EA9" w:rsidRDefault="00D74EA9" w:rsidP="00D74EA9">
      <w:pPr>
        <w:tabs>
          <w:tab w:val="left" w:pos="270"/>
          <w:tab w:val="left" w:pos="540"/>
        </w:tabs>
        <w:spacing w:before="120"/>
        <w:ind w:left="270" w:hanging="180"/>
        <w:rPr>
          <w:rFonts w:cs="Arial"/>
          <w:sz w:val="18"/>
          <w:szCs w:val="18"/>
        </w:rPr>
      </w:pPr>
      <w:r w:rsidRPr="00D74EA9">
        <w:rPr>
          <w:rFonts w:cs="Arial"/>
          <w:sz w:val="18"/>
          <w:szCs w:val="18"/>
          <w:vertAlign w:val="superscript"/>
        </w:rPr>
        <w:t>1</w:t>
      </w:r>
      <w:r w:rsidRPr="00D74EA9">
        <w:rPr>
          <w:rFonts w:cs="Arial"/>
          <w:sz w:val="18"/>
          <w:szCs w:val="18"/>
          <w:vertAlign w:val="superscript"/>
        </w:rPr>
        <w:tab/>
      </w:r>
      <w:r w:rsidRPr="00D74EA9">
        <w:rPr>
          <w:rFonts w:cs="Arial"/>
          <w:sz w:val="18"/>
          <w:szCs w:val="18"/>
        </w:rPr>
        <w:t xml:space="preserve">The estimates for CSTs, CMA, or CAPA </w:t>
      </w:r>
      <w:r w:rsidR="001E71C9">
        <w:rPr>
          <w:rFonts w:cs="Arial"/>
          <w:sz w:val="18"/>
          <w:szCs w:val="18"/>
        </w:rPr>
        <w:t>for</w:t>
      </w:r>
      <w:r w:rsidRPr="00D74EA9">
        <w:rPr>
          <w:rFonts w:cs="Arial"/>
          <w:sz w:val="18"/>
          <w:szCs w:val="18"/>
        </w:rPr>
        <w:t xml:space="preserve"> science are based on the number of </w:t>
      </w:r>
      <w:r w:rsidR="00F614EB">
        <w:rPr>
          <w:rFonts w:cs="Arial"/>
          <w:sz w:val="18"/>
          <w:szCs w:val="18"/>
        </w:rPr>
        <w:t>student</w:t>
      </w:r>
      <w:r w:rsidRPr="00D74EA9">
        <w:rPr>
          <w:rFonts w:cs="Arial"/>
          <w:sz w:val="18"/>
          <w:szCs w:val="18"/>
        </w:rPr>
        <w:t xml:space="preserve">s tested annually in grade ten only. LEAs would receive an apportionment for </w:t>
      </w:r>
      <w:r w:rsidR="00F614EB">
        <w:rPr>
          <w:rFonts w:cs="Arial"/>
          <w:sz w:val="18"/>
          <w:szCs w:val="18"/>
        </w:rPr>
        <w:t>student</w:t>
      </w:r>
      <w:r w:rsidRPr="00D74EA9">
        <w:rPr>
          <w:rFonts w:cs="Arial"/>
          <w:sz w:val="18"/>
          <w:szCs w:val="18"/>
        </w:rPr>
        <w:t xml:space="preserve">s in grades five and eight that are tested with the Smarter Balanced </w:t>
      </w:r>
      <w:r w:rsidR="001F46DF">
        <w:rPr>
          <w:rFonts w:cs="Arial"/>
          <w:sz w:val="18"/>
          <w:szCs w:val="18"/>
        </w:rPr>
        <w:t>Summative Assessments or the CAAs</w:t>
      </w:r>
      <w:r w:rsidRPr="00D74EA9">
        <w:rPr>
          <w:rFonts w:cs="Arial"/>
          <w:sz w:val="18"/>
          <w:szCs w:val="18"/>
        </w:rPr>
        <w:t>.</w:t>
      </w:r>
    </w:p>
    <w:p w14:paraId="68C7F446" w14:textId="77777777" w:rsidR="00D74EA9" w:rsidRPr="00B1703C" w:rsidRDefault="00D74EA9" w:rsidP="00AD47E1">
      <w:pPr>
        <w:spacing w:before="120" w:after="120"/>
        <w:rPr>
          <w:rFonts w:cs="Arial"/>
        </w:rPr>
      </w:pPr>
    </w:p>
    <w:p w14:paraId="59F31904" w14:textId="77777777" w:rsidR="002C31DF" w:rsidRPr="001B4986" w:rsidRDefault="0029384A" w:rsidP="00067EEF">
      <w:pPr>
        <w:pStyle w:val="Heading2"/>
      </w:pPr>
      <w:bookmarkStart w:id="11" w:name="_Toc505780233"/>
      <w:r>
        <w:t>Five-y</w:t>
      </w:r>
      <w:r w:rsidR="002C31DF" w:rsidRPr="001B4986">
        <w:t>ear Cost Projection</w:t>
      </w:r>
      <w:bookmarkEnd w:id="11"/>
    </w:p>
    <w:p w14:paraId="5E138465" w14:textId="77777777" w:rsidR="002C31DF" w:rsidRPr="00AD47E1" w:rsidRDefault="002C31DF" w:rsidP="002C31DF">
      <w:pPr>
        <w:widowControl/>
        <w:rPr>
          <w:rFonts w:cs="Arial"/>
          <w:b/>
          <w:bCs/>
          <w:iCs/>
          <w:szCs w:val="24"/>
        </w:rPr>
      </w:pPr>
    </w:p>
    <w:p w14:paraId="2DCAFDA5" w14:textId="77777777" w:rsidR="00D91B32" w:rsidRDefault="00F15B10" w:rsidP="00D91B32">
      <w:pPr>
        <w:rPr>
          <w:rFonts w:cs="Arial"/>
          <w:iCs/>
          <w:szCs w:val="24"/>
        </w:rPr>
      </w:pPr>
      <w:r>
        <w:rPr>
          <w:rFonts w:cs="Arial"/>
          <w:iCs/>
          <w:szCs w:val="24"/>
        </w:rPr>
        <w:t xml:space="preserve">The annual Budget Act provides CAASPP funding for both contract costs and LEA apportionment costs. </w:t>
      </w:r>
      <w:r w:rsidR="00D91B32" w:rsidRPr="00003588">
        <w:rPr>
          <w:rFonts w:cs="Arial"/>
          <w:iCs/>
          <w:szCs w:val="24"/>
        </w:rPr>
        <w:t>Cost projections</w:t>
      </w:r>
      <w:r w:rsidR="00D91B32" w:rsidRPr="005B3713">
        <w:rPr>
          <w:rFonts w:cs="Arial"/>
          <w:iCs/>
          <w:szCs w:val="24"/>
        </w:rPr>
        <w:t xml:space="preserve"> </w:t>
      </w:r>
      <w:r w:rsidR="00D91B32">
        <w:rPr>
          <w:rFonts w:cs="Arial"/>
          <w:iCs/>
          <w:szCs w:val="24"/>
        </w:rPr>
        <w:t>are</w:t>
      </w:r>
      <w:r w:rsidR="00D91B32" w:rsidRPr="005B3713">
        <w:rPr>
          <w:rFonts w:cs="Arial"/>
          <w:iCs/>
          <w:szCs w:val="24"/>
        </w:rPr>
        <w:t xml:space="preserve"> refined </w:t>
      </w:r>
      <w:r w:rsidR="00D91B32">
        <w:rPr>
          <w:rFonts w:cs="Arial"/>
          <w:iCs/>
          <w:szCs w:val="24"/>
        </w:rPr>
        <w:t xml:space="preserve">annually as contracts are negotiated and approved </w:t>
      </w:r>
      <w:r w:rsidR="00D91B32" w:rsidRPr="005B3713">
        <w:rPr>
          <w:rFonts w:cs="Arial"/>
          <w:iCs/>
          <w:szCs w:val="24"/>
        </w:rPr>
        <w:t xml:space="preserve">and activities are completed for each phase of </w:t>
      </w:r>
      <w:r w:rsidR="00D91B32">
        <w:rPr>
          <w:rFonts w:cs="Arial"/>
          <w:iCs/>
          <w:szCs w:val="24"/>
        </w:rPr>
        <w:t>the implementation of the CAASPP System</w:t>
      </w:r>
      <w:r w:rsidR="00D91B32" w:rsidRPr="005B3713">
        <w:rPr>
          <w:rFonts w:cs="Arial"/>
          <w:iCs/>
          <w:szCs w:val="24"/>
        </w:rPr>
        <w:t>.</w:t>
      </w:r>
    </w:p>
    <w:p w14:paraId="5F716C72" w14:textId="77777777" w:rsidR="00AC01AD" w:rsidRDefault="00AC01AD" w:rsidP="002C31DF">
      <w:pPr>
        <w:rPr>
          <w:rFonts w:cs="Arial"/>
          <w:iCs/>
          <w:szCs w:val="24"/>
        </w:rPr>
      </w:pPr>
    </w:p>
    <w:p w14:paraId="1D5A3286" w14:textId="77777777" w:rsidR="009F51EE" w:rsidRDefault="009F51EE">
      <w:pPr>
        <w:widowControl/>
        <w:rPr>
          <w:rFonts w:cs="Arial"/>
          <w:iCs/>
          <w:szCs w:val="24"/>
        </w:rPr>
      </w:pPr>
      <w:r>
        <w:rPr>
          <w:rFonts w:cs="Arial"/>
          <w:iCs/>
          <w:szCs w:val="24"/>
        </w:rPr>
        <w:br w:type="page"/>
      </w:r>
    </w:p>
    <w:p w14:paraId="285101BE" w14:textId="77777777" w:rsidR="002C31DF" w:rsidRDefault="00C72473" w:rsidP="002C31DF">
      <w:pPr>
        <w:rPr>
          <w:rFonts w:cs="Arial"/>
          <w:iCs/>
          <w:szCs w:val="24"/>
        </w:rPr>
      </w:pPr>
      <w:r>
        <w:rPr>
          <w:rFonts w:cs="Arial"/>
          <w:iCs/>
          <w:szCs w:val="24"/>
        </w:rPr>
        <w:lastRenderedPageBreak/>
        <w:t xml:space="preserve">Table </w:t>
      </w:r>
      <w:r w:rsidR="00D91B32">
        <w:rPr>
          <w:rFonts w:cs="Arial"/>
          <w:iCs/>
          <w:szCs w:val="24"/>
        </w:rPr>
        <w:t>8,</w:t>
      </w:r>
      <w:r w:rsidR="002C31DF">
        <w:rPr>
          <w:rFonts w:cs="Arial"/>
          <w:iCs/>
          <w:szCs w:val="24"/>
        </w:rPr>
        <w:t xml:space="preserve"> below, provides an up</w:t>
      </w:r>
      <w:r w:rsidR="00D91B32">
        <w:rPr>
          <w:rFonts w:cs="Arial"/>
          <w:iCs/>
          <w:szCs w:val="24"/>
        </w:rPr>
        <w:t>dated five-year cost projection of</w:t>
      </w:r>
      <w:r w:rsidR="002C31DF">
        <w:rPr>
          <w:rFonts w:cs="Arial"/>
          <w:iCs/>
          <w:szCs w:val="24"/>
        </w:rPr>
        <w:t xml:space="preserve"> </w:t>
      </w:r>
      <w:r w:rsidR="00223C22">
        <w:rPr>
          <w:rFonts w:cs="Arial"/>
          <w:iCs/>
          <w:szCs w:val="24"/>
        </w:rPr>
        <w:t>CAASPP contract costs</w:t>
      </w:r>
      <w:r w:rsidR="002C31DF">
        <w:rPr>
          <w:rFonts w:cs="Arial"/>
          <w:iCs/>
          <w:szCs w:val="24"/>
        </w:rPr>
        <w:t xml:space="preserve">. </w:t>
      </w:r>
    </w:p>
    <w:p w14:paraId="46BC9F4E" w14:textId="77777777" w:rsidR="00614562" w:rsidRPr="00603540" w:rsidRDefault="00614562" w:rsidP="002C31DF">
      <w:pPr>
        <w:rPr>
          <w:rFonts w:cs="Arial"/>
          <w:iCs/>
          <w:szCs w:val="24"/>
        </w:rPr>
      </w:pPr>
    </w:p>
    <w:p w14:paraId="4D383F8A" w14:textId="77777777" w:rsidR="002C31DF" w:rsidRPr="00F42A79" w:rsidRDefault="00165EED" w:rsidP="007F27A0">
      <w:pPr>
        <w:widowControl/>
        <w:spacing w:after="120"/>
        <w:rPr>
          <w:rFonts w:cs="Arial"/>
          <w:b/>
          <w:iCs/>
          <w:szCs w:val="24"/>
        </w:rPr>
      </w:pPr>
      <w:r>
        <w:rPr>
          <w:rFonts w:cs="Arial"/>
          <w:b/>
          <w:iCs/>
          <w:szCs w:val="24"/>
        </w:rPr>
        <w:t>T</w:t>
      </w:r>
      <w:r w:rsidR="00862BFF">
        <w:rPr>
          <w:rFonts w:cs="Arial"/>
          <w:b/>
          <w:iCs/>
          <w:szCs w:val="24"/>
        </w:rPr>
        <w:t xml:space="preserve">able </w:t>
      </w:r>
      <w:r w:rsidR="00D91B32">
        <w:rPr>
          <w:rFonts w:cs="Arial"/>
          <w:b/>
          <w:iCs/>
          <w:szCs w:val="24"/>
        </w:rPr>
        <w:t>8</w:t>
      </w:r>
      <w:r w:rsidR="002C31DF" w:rsidRPr="00F42A79">
        <w:rPr>
          <w:rFonts w:cs="Arial"/>
          <w:b/>
          <w:iCs/>
          <w:szCs w:val="24"/>
        </w:rPr>
        <w:t xml:space="preserve">. </w:t>
      </w:r>
      <w:r w:rsidR="00052962" w:rsidRPr="007F27A0">
        <w:rPr>
          <w:rFonts w:cs="Arial"/>
          <w:iCs/>
          <w:szCs w:val="24"/>
        </w:rPr>
        <w:t>Five-y</w:t>
      </w:r>
      <w:r w:rsidR="002C31DF" w:rsidRPr="007F27A0">
        <w:rPr>
          <w:rFonts w:cs="Arial"/>
          <w:iCs/>
          <w:szCs w:val="24"/>
        </w:rPr>
        <w:t xml:space="preserve">ear Cost Projection of </w:t>
      </w:r>
      <w:r w:rsidR="009F51EE">
        <w:rPr>
          <w:rFonts w:cs="Arial"/>
          <w:iCs/>
          <w:szCs w:val="24"/>
        </w:rPr>
        <w:t xml:space="preserve">CAASPP </w:t>
      </w:r>
      <w:r w:rsidR="002C31DF" w:rsidRPr="007F27A0">
        <w:rPr>
          <w:rFonts w:cs="Arial"/>
          <w:iCs/>
          <w:szCs w:val="24"/>
        </w:rPr>
        <w:t>Contract Costs</w:t>
      </w:r>
    </w:p>
    <w:tbl>
      <w:tblPr>
        <w:tblW w:w="97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7"/>
        <w:gridCol w:w="1350"/>
        <w:gridCol w:w="1260"/>
        <w:gridCol w:w="1710"/>
        <w:gridCol w:w="1260"/>
        <w:gridCol w:w="1530"/>
        <w:gridCol w:w="1530"/>
      </w:tblGrid>
      <w:tr w:rsidR="002C31DF" w:rsidRPr="00410D58" w14:paraId="67D8E12C" w14:textId="77777777" w:rsidTr="000973A1">
        <w:trPr>
          <w:trHeight w:val="742"/>
          <w:tblHeader/>
          <w:jc w:val="center"/>
        </w:trPr>
        <w:tc>
          <w:tcPr>
            <w:tcW w:w="1077" w:type="dxa"/>
            <w:shd w:val="clear" w:color="auto" w:fill="auto"/>
            <w:vAlign w:val="center"/>
          </w:tcPr>
          <w:p w14:paraId="01EA6090" w14:textId="77777777" w:rsidR="002C31DF" w:rsidRPr="003F025C" w:rsidRDefault="002C31DF" w:rsidP="004D06E7">
            <w:pPr>
              <w:widowControl/>
              <w:ind w:left="-52"/>
              <w:jc w:val="center"/>
              <w:rPr>
                <w:rFonts w:cs="Arial"/>
                <w:b/>
                <w:bCs/>
                <w:iCs/>
                <w:sz w:val="19"/>
                <w:szCs w:val="19"/>
              </w:rPr>
            </w:pPr>
            <w:r w:rsidRPr="003F025C">
              <w:rPr>
                <w:rFonts w:cs="Arial"/>
                <w:b/>
                <w:bCs/>
                <w:iCs/>
                <w:sz w:val="19"/>
                <w:szCs w:val="19"/>
              </w:rPr>
              <w:t>Fiscal Year</w:t>
            </w:r>
          </w:p>
        </w:tc>
        <w:tc>
          <w:tcPr>
            <w:tcW w:w="1350" w:type="dxa"/>
            <w:shd w:val="clear" w:color="auto" w:fill="auto"/>
            <w:vAlign w:val="center"/>
          </w:tcPr>
          <w:p w14:paraId="1787161C" w14:textId="77777777" w:rsidR="002C31DF" w:rsidRPr="003F025C" w:rsidRDefault="00B86F97" w:rsidP="004D06E7">
            <w:pPr>
              <w:widowControl/>
              <w:jc w:val="center"/>
              <w:rPr>
                <w:rFonts w:cs="Arial"/>
                <w:b/>
                <w:bCs/>
                <w:iCs/>
                <w:sz w:val="19"/>
                <w:szCs w:val="19"/>
              </w:rPr>
            </w:pPr>
            <w:r>
              <w:rPr>
                <w:rFonts w:cs="Arial"/>
                <w:b/>
                <w:bCs/>
                <w:iCs/>
                <w:sz w:val="19"/>
                <w:szCs w:val="19"/>
              </w:rPr>
              <w:t>Consortium-m</w:t>
            </w:r>
            <w:r w:rsidR="002C31DF" w:rsidRPr="003F025C">
              <w:rPr>
                <w:rFonts w:cs="Arial"/>
                <w:b/>
                <w:bCs/>
                <w:iCs/>
                <w:sz w:val="19"/>
                <w:szCs w:val="19"/>
              </w:rPr>
              <w:t>anaged Services Cost</w:t>
            </w:r>
          </w:p>
        </w:tc>
        <w:tc>
          <w:tcPr>
            <w:tcW w:w="1260" w:type="dxa"/>
            <w:shd w:val="clear" w:color="auto" w:fill="auto"/>
            <w:vAlign w:val="center"/>
          </w:tcPr>
          <w:p w14:paraId="3467E094" w14:textId="77777777" w:rsidR="002C31DF" w:rsidRPr="003F025C" w:rsidRDefault="002C31DF" w:rsidP="004D06E7">
            <w:pPr>
              <w:widowControl/>
              <w:jc w:val="center"/>
              <w:rPr>
                <w:rFonts w:cs="Arial"/>
                <w:b/>
                <w:bCs/>
                <w:iCs/>
                <w:sz w:val="19"/>
                <w:szCs w:val="19"/>
              </w:rPr>
            </w:pPr>
            <w:r w:rsidRPr="003F025C">
              <w:rPr>
                <w:rFonts w:cs="Arial"/>
                <w:b/>
                <w:bCs/>
                <w:iCs/>
                <w:sz w:val="19"/>
                <w:szCs w:val="19"/>
              </w:rPr>
              <w:t>CAASPP</w:t>
            </w:r>
          </w:p>
          <w:p w14:paraId="101F6549" w14:textId="77777777" w:rsidR="002C31DF" w:rsidRPr="003F025C" w:rsidRDefault="002C31DF" w:rsidP="004D06E7">
            <w:pPr>
              <w:widowControl/>
              <w:jc w:val="center"/>
              <w:rPr>
                <w:rFonts w:cs="Arial"/>
                <w:b/>
                <w:bCs/>
                <w:iCs/>
                <w:sz w:val="19"/>
                <w:szCs w:val="19"/>
              </w:rPr>
            </w:pPr>
            <w:r w:rsidRPr="003F025C">
              <w:rPr>
                <w:rFonts w:cs="Arial"/>
                <w:b/>
                <w:bCs/>
                <w:iCs/>
                <w:sz w:val="19"/>
                <w:szCs w:val="19"/>
              </w:rPr>
              <w:t>Institutes</w:t>
            </w:r>
          </w:p>
          <w:p w14:paraId="1F7D5AFE" w14:textId="77777777" w:rsidR="002C31DF" w:rsidRPr="003F025C" w:rsidRDefault="002C31DF" w:rsidP="004D06E7">
            <w:pPr>
              <w:widowControl/>
              <w:jc w:val="center"/>
              <w:rPr>
                <w:rFonts w:cs="Arial"/>
                <w:b/>
                <w:bCs/>
                <w:iCs/>
                <w:sz w:val="19"/>
                <w:szCs w:val="19"/>
              </w:rPr>
            </w:pPr>
            <w:r w:rsidRPr="003F025C">
              <w:rPr>
                <w:rFonts w:cs="Arial"/>
                <w:b/>
                <w:bCs/>
                <w:iCs/>
                <w:sz w:val="19"/>
                <w:szCs w:val="19"/>
              </w:rPr>
              <w:t>Cost</w:t>
            </w:r>
          </w:p>
        </w:tc>
        <w:tc>
          <w:tcPr>
            <w:tcW w:w="1710" w:type="dxa"/>
            <w:shd w:val="clear" w:color="auto" w:fill="auto"/>
            <w:vAlign w:val="center"/>
          </w:tcPr>
          <w:p w14:paraId="271881F7" w14:textId="77777777" w:rsidR="002C31DF" w:rsidRPr="003F025C" w:rsidRDefault="00B86F97" w:rsidP="004D06E7">
            <w:pPr>
              <w:widowControl/>
              <w:jc w:val="center"/>
              <w:rPr>
                <w:rFonts w:cs="Arial"/>
                <w:b/>
                <w:bCs/>
                <w:iCs/>
                <w:sz w:val="19"/>
                <w:szCs w:val="19"/>
              </w:rPr>
            </w:pPr>
            <w:r>
              <w:rPr>
                <w:rFonts w:cs="Arial"/>
                <w:b/>
                <w:bCs/>
                <w:iCs/>
                <w:sz w:val="19"/>
                <w:szCs w:val="19"/>
              </w:rPr>
              <w:t>State-m</w:t>
            </w:r>
            <w:r w:rsidR="002C31DF" w:rsidRPr="003F025C">
              <w:rPr>
                <w:rFonts w:cs="Arial"/>
                <w:b/>
                <w:bCs/>
                <w:iCs/>
                <w:sz w:val="19"/>
                <w:szCs w:val="19"/>
              </w:rPr>
              <w:t xml:space="preserve">anaged Contract </w:t>
            </w:r>
          </w:p>
          <w:p w14:paraId="723EA357" w14:textId="77777777" w:rsidR="002C31DF" w:rsidRPr="003F025C" w:rsidRDefault="002C31DF" w:rsidP="004D06E7">
            <w:pPr>
              <w:widowControl/>
              <w:jc w:val="center"/>
              <w:rPr>
                <w:rFonts w:cs="Arial"/>
                <w:b/>
                <w:bCs/>
                <w:iCs/>
                <w:sz w:val="19"/>
                <w:szCs w:val="19"/>
              </w:rPr>
            </w:pPr>
            <w:r w:rsidRPr="003F025C">
              <w:rPr>
                <w:rFonts w:cs="Arial"/>
                <w:b/>
                <w:bCs/>
                <w:iCs/>
                <w:sz w:val="19"/>
                <w:szCs w:val="19"/>
              </w:rPr>
              <w:t>Cost</w:t>
            </w:r>
          </w:p>
        </w:tc>
        <w:tc>
          <w:tcPr>
            <w:tcW w:w="1260" w:type="dxa"/>
            <w:shd w:val="clear" w:color="auto" w:fill="auto"/>
            <w:vAlign w:val="center"/>
          </w:tcPr>
          <w:p w14:paraId="680D2CCD" w14:textId="77777777" w:rsidR="002C31DF" w:rsidRPr="003F025C" w:rsidRDefault="002C31DF" w:rsidP="004D06E7">
            <w:pPr>
              <w:widowControl/>
              <w:jc w:val="center"/>
              <w:rPr>
                <w:rFonts w:cs="Arial"/>
                <w:b/>
                <w:bCs/>
                <w:iCs/>
                <w:sz w:val="19"/>
                <w:szCs w:val="19"/>
              </w:rPr>
            </w:pPr>
            <w:r w:rsidRPr="003F025C">
              <w:rPr>
                <w:rFonts w:cs="Arial"/>
                <w:b/>
                <w:bCs/>
                <w:iCs/>
                <w:sz w:val="19"/>
                <w:szCs w:val="19"/>
              </w:rPr>
              <w:t>Expansion of CAASPP Cost</w:t>
            </w:r>
          </w:p>
        </w:tc>
        <w:tc>
          <w:tcPr>
            <w:tcW w:w="1530" w:type="dxa"/>
            <w:shd w:val="clear" w:color="auto" w:fill="auto"/>
            <w:vAlign w:val="center"/>
          </w:tcPr>
          <w:p w14:paraId="5C7C9966" w14:textId="77777777" w:rsidR="002C31DF" w:rsidRPr="003F025C" w:rsidRDefault="002C31DF" w:rsidP="004D06E7">
            <w:pPr>
              <w:widowControl/>
              <w:jc w:val="center"/>
              <w:rPr>
                <w:rFonts w:cs="Arial"/>
                <w:b/>
                <w:bCs/>
                <w:iCs/>
                <w:sz w:val="19"/>
                <w:szCs w:val="19"/>
              </w:rPr>
            </w:pPr>
            <w:r w:rsidRPr="003F025C">
              <w:rPr>
                <w:rFonts w:cs="Arial"/>
                <w:b/>
                <w:bCs/>
                <w:iCs/>
                <w:sz w:val="19"/>
                <w:szCs w:val="19"/>
              </w:rPr>
              <w:t>Independent Evaluation Cost</w:t>
            </w:r>
          </w:p>
        </w:tc>
        <w:tc>
          <w:tcPr>
            <w:tcW w:w="1530" w:type="dxa"/>
            <w:shd w:val="clear" w:color="auto" w:fill="auto"/>
            <w:vAlign w:val="center"/>
          </w:tcPr>
          <w:p w14:paraId="3315D198" w14:textId="77777777" w:rsidR="002C31DF" w:rsidRPr="003F025C" w:rsidRDefault="002C31DF" w:rsidP="004D06E7">
            <w:pPr>
              <w:widowControl/>
              <w:jc w:val="center"/>
              <w:rPr>
                <w:rFonts w:cs="Arial"/>
                <w:b/>
                <w:bCs/>
                <w:iCs/>
                <w:sz w:val="19"/>
                <w:szCs w:val="19"/>
              </w:rPr>
            </w:pPr>
            <w:r w:rsidRPr="003F025C">
              <w:rPr>
                <w:rFonts w:cs="Arial"/>
                <w:b/>
                <w:bCs/>
                <w:iCs/>
                <w:sz w:val="19"/>
                <w:szCs w:val="19"/>
              </w:rPr>
              <w:t>Total</w:t>
            </w:r>
          </w:p>
          <w:p w14:paraId="67169181" w14:textId="77777777" w:rsidR="002C31DF" w:rsidRPr="003F025C" w:rsidRDefault="002C31DF" w:rsidP="004D06E7">
            <w:pPr>
              <w:widowControl/>
              <w:jc w:val="center"/>
              <w:rPr>
                <w:rFonts w:cs="Arial"/>
                <w:b/>
                <w:bCs/>
                <w:iCs/>
                <w:sz w:val="19"/>
                <w:szCs w:val="19"/>
              </w:rPr>
            </w:pPr>
            <w:r w:rsidRPr="003F025C">
              <w:rPr>
                <w:rFonts w:cs="Arial"/>
                <w:b/>
                <w:bCs/>
                <w:iCs/>
                <w:sz w:val="19"/>
                <w:szCs w:val="19"/>
              </w:rPr>
              <w:t>CAASPP Contract Cost</w:t>
            </w:r>
          </w:p>
        </w:tc>
      </w:tr>
      <w:tr w:rsidR="002C31DF" w:rsidRPr="00410D58" w14:paraId="56E4179C" w14:textId="77777777" w:rsidTr="000973A1">
        <w:trPr>
          <w:trHeight w:val="265"/>
          <w:jc w:val="center"/>
        </w:trPr>
        <w:tc>
          <w:tcPr>
            <w:tcW w:w="1077" w:type="dxa"/>
            <w:vAlign w:val="center"/>
          </w:tcPr>
          <w:p w14:paraId="064330A0" w14:textId="77777777" w:rsidR="002C31DF" w:rsidRPr="00980A05" w:rsidRDefault="002C31DF" w:rsidP="004D06E7">
            <w:pPr>
              <w:jc w:val="center"/>
              <w:rPr>
                <w:sz w:val="20"/>
              </w:rPr>
            </w:pPr>
            <w:r w:rsidRPr="00980A05">
              <w:rPr>
                <w:sz w:val="20"/>
              </w:rPr>
              <w:t>2015–16</w:t>
            </w:r>
          </w:p>
        </w:tc>
        <w:tc>
          <w:tcPr>
            <w:tcW w:w="1350" w:type="dxa"/>
            <w:vAlign w:val="bottom"/>
          </w:tcPr>
          <w:p w14:paraId="5AAD2338" w14:textId="77777777" w:rsidR="002C31DF" w:rsidRPr="00980A05" w:rsidRDefault="002C31DF" w:rsidP="004D06E7">
            <w:pPr>
              <w:widowControl/>
              <w:jc w:val="center"/>
              <w:rPr>
                <w:rFonts w:cs="Arial"/>
                <w:iCs/>
                <w:sz w:val="20"/>
              </w:rPr>
            </w:pPr>
            <w:r>
              <w:rPr>
                <w:rFonts w:cs="Arial"/>
                <w:iCs/>
                <w:sz w:val="20"/>
              </w:rPr>
              <w:t>$8.0 million</w:t>
            </w:r>
            <w:r w:rsidR="007E5AB5">
              <w:rPr>
                <w:rFonts w:cs="Arial"/>
                <w:iCs/>
                <w:sz w:val="20"/>
                <w:vertAlign w:val="superscript"/>
              </w:rPr>
              <w:t>1</w:t>
            </w:r>
          </w:p>
        </w:tc>
        <w:tc>
          <w:tcPr>
            <w:tcW w:w="1260" w:type="dxa"/>
            <w:vAlign w:val="bottom"/>
          </w:tcPr>
          <w:p w14:paraId="3F2D04EB" w14:textId="77777777" w:rsidR="002C31DF" w:rsidRDefault="002C31DF" w:rsidP="004D06E7">
            <w:pPr>
              <w:widowControl/>
              <w:ind w:right="-108"/>
              <w:rPr>
                <w:rFonts w:cs="Arial"/>
                <w:iCs/>
                <w:sz w:val="20"/>
              </w:rPr>
            </w:pPr>
            <w:r>
              <w:rPr>
                <w:rFonts w:cs="Arial"/>
                <w:iCs/>
                <w:sz w:val="20"/>
              </w:rPr>
              <w:t>$1.5 million</w:t>
            </w:r>
            <w:r w:rsidR="007E5AB5">
              <w:rPr>
                <w:rFonts w:cs="Arial"/>
                <w:iCs/>
                <w:sz w:val="20"/>
                <w:vertAlign w:val="superscript"/>
              </w:rPr>
              <w:t>1</w:t>
            </w:r>
          </w:p>
        </w:tc>
        <w:tc>
          <w:tcPr>
            <w:tcW w:w="1710" w:type="dxa"/>
            <w:vAlign w:val="bottom"/>
          </w:tcPr>
          <w:p w14:paraId="3D228297" w14:textId="77777777" w:rsidR="002C31DF" w:rsidRPr="00980A05" w:rsidRDefault="002C31DF" w:rsidP="004D06E7">
            <w:pPr>
              <w:widowControl/>
              <w:jc w:val="center"/>
              <w:rPr>
                <w:sz w:val="20"/>
              </w:rPr>
            </w:pPr>
            <w:r>
              <w:rPr>
                <w:rFonts w:cs="Arial"/>
                <w:iCs/>
                <w:sz w:val="20"/>
              </w:rPr>
              <w:t>$83.6</w:t>
            </w:r>
            <w:r w:rsidRPr="00980A05">
              <w:rPr>
                <w:rFonts w:cs="Arial"/>
                <w:iCs/>
                <w:sz w:val="20"/>
              </w:rPr>
              <w:t xml:space="preserve"> million</w:t>
            </w:r>
            <w:r w:rsidR="007E5AB5">
              <w:rPr>
                <w:rFonts w:cs="Arial"/>
                <w:iCs/>
                <w:sz w:val="20"/>
                <w:vertAlign w:val="superscript"/>
              </w:rPr>
              <w:t>2</w:t>
            </w:r>
          </w:p>
        </w:tc>
        <w:tc>
          <w:tcPr>
            <w:tcW w:w="1260" w:type="dxa"/>
            <w:vAlign w:val="bottom"/>
          </w:tcPr>
          <w:p w14:paraId="6FF89ED0" w14:textId="77777777" w:rsidR="002C31DF" w:rsidRDefault="002C31DF" w:rsidP="004D06E7">
            <w:pPr>
              <w:widowControl/>
              <w:jc w:val="center"/>
              <w:rPr>
                <w:rFonts w:cs="Arial"/>
                <w:iCs/>
                <w:sz w:val="20"/>
              </w:rPr>
            </w:pPr>
          </w:p>
        </w:tc>
        <w:tc>
          <w:tcPr>
            <w:tcW w:w="1530" w:type="dxa"/>
            <w:vAlign w:val="bottom"/>
          </w:tcPr>
          <w:p w14:paraId="2FF1881A" w14:textId="77777777" w:rsidR="002C31DF" w:rsidRPr="00980A05" w:rsidRDefault="002C31DF" w:rsidP="004D06E7">
            <w:pPr>
              <w:widowControl/>
              <w:jc w:val="center"/>
              <w:rPr>
                <w:rFonts w:cs="Arial"/>
                <w:iCs/>
                <w:sz w:val="20"/>
              </w:rPr>
            </w:pPr>
            <w:r>
              <w:rPr>
                <w:rFonts w:cs="Arial"/>
                <w:iCs/>
                <w:sz w:val="20"/>
              </w:rPr>
              <w:t>$775,000</w:t>
            </w:r>
          </w:p>
        </w:tc>
        <w:tc>
          <w:tcPr>
            <w:tcW w:w="1530" w:type="dxa"/>
            <w:vAlign w:val="bottom"/>
          </w:tcPr>
          <w:p w14:paraId="5FFF0EB5" w14:textId="77777777" w:rsidR="002C31DF" w:rsidRPr="00980A05" w:rsidRDefault="002C31DF" w:rsidP="00AC01AD">
            <w:pPr>
              <w:widowControl/>
              <w:jc w:val="right"/>
              <w:rPr>
                <w:sz w:val="20"/>
              </w:rPr>
            </w:pPr>
            <w:r>
              <w:rPr>
                <w:sz w:val="20"/>
              </w:rPr>
              <w:t>$93.9 million</w:t>
            </w:r>
          </w:p>
        </w:tc>
      </w:tr>
      <w:tr w:rsidR="002C31DF" w:rsidRPr="00410D58" w14:paraId="034CDF64" w14:textId="77777777" w:rsidTr="000973A1">
        <w:trPr>
          <w:trHeight w:val="265"/>
          <w:jc w:val="center"/>
        </w:trPr>
        <w:tc>
          <w:tcPr>
            <w:tcW w:w="1077" w:type="dxa"/>
            <w:vAlign w:val="center"/>
          </w:tcPr>
          <w:p w14:paraId="076A9E0E" w14:textId="77777777" w:rsidR="002C31DF" w:rsidRPr="00980A05" w:rsidRDefault="002C31DF" w:rsidP="004D06E7">
            <w:pPr>
              <w:jc w:val="center"/>
              <w:rPr>
                <w:sz w:val="20"/>
              </w:rPr>
            </w:pPr>
            <w:r w:rsidRPr="00980A05">
              <w:rPr>
                <w:sz w:val="20"/>
              </w:rPr>
              <w:t>2016–17</w:t>
            </w:r>
          </w:p>
        </w:tc>
        <w:tc>
          <w:tcPr>
            <w:tcW w:w="1350" w:type="dxa"/>
            <w:vAlign w:val="bottom"/>
          </w:tcPr>
          <w:p w14:paraId="203E4585" w14:textId="77777777" w:rsidR="002C31DF" w:rsidRPr="00980A05" w:rsidRDefault="002C31DF" w:rsidP="004D06E7">
            <w:pPr>
              <w:widowControl/>
              <w:jc w:val="center"/>
              <w:rPr>
                <w:rFonts w:cs="Arial"/>
                <w:iCs/>
                <w:sz w:val="20"/>
              </w:rPr>
            </w:pPr>
            <w:r>
              <w:rPr>
                <w:rFonts w:cs="Arial"/>
                <w:iCs/>
                <w:sz w:val="20"/>
              </w:rPr>
              <w:t>$9.6 million</w:t>
            </w:r>
          </w:p>
        </w:tc>
        <w:tc>
          <w:tcPr>
            <w:tcW w:w="1260" w:type="dxa"/>
            <w:vAlign w:val="bottom"/>
          </w:tcPr>
          <w:p w14:paraId="0FFDCF45" w14:textId="77777777" w:rsidR="002C31DF" w:rsidRDefault="002C31DF" w:rsidP="004D06E7">
            <w:pPr>
              <w:widowControl/>
              <w:jc w:val="center"/>
              <w:rPr>
                <w:rFonts w:cs="Arial"/>
                <w:iCs/>
                <w:sz w:val="20"/>
              </w:rPr>
            </w:pPr>
          </w:p>
        </w:tc>
        <w:tc>
          <w:tcPr>
            <w:tcW w:w="1710" w:type="dxa"/>
            <w:vAlign w:val="bottom"/>
          </w:tcPr>
          <w:p w14:paraId="17053647" w14:textId="77777777" w:rsidR="002C31DF" w:rsidRPr="00980A05" w:rsidRDefault="002C31DF" w:rsidP="004D06E7">
            <w:pPr>
              <w:widowControl/>
              <w:jc w:val="center"/>
              <w:rPr>
                <w:rFonts w:cs="Arial"/>
                <w:iCs/>
                <w:sz w:val="20"/>
              </w:rPr>
            </w:pPr>
            <w:r>
              <w:rPr>
                <w:rFonts w:cs="Arial"/>
                <w:iCs/>
                <w:sz w:val="20"/>
              </w:rPr>
              <w:t>$82.9</w:t>
            </w:r>
            <w:r w:rsidRPr="00980A05">
              <w:rPr>
                <w:rFonts w:cs="Arial"/>
                <w:iCs/>
                <w:sz w:val="20"/>
              </w:rPr>
              <w:t xml:space="preserve"> million</w:t>
            </w:r>
            <w:r w:rsidR="007E5AB5">
              <w:rPr>
                <w:rFonts w:cs="Arial"/>
                <w:iCs/>
                <w:sz w:val="20"/>
                <w:vertAlign w:val="superscript"/>
              </w:rPr>
              <w:t>2</w:t>
            </w:r>
          </w:p>
        </w:tc>
        <w:tc>
          <w:tcPr>
            <w:tcW w:w="1260" w:type="dxa"/>
            <w:vAlign w:val="bottom"/>
          </w:tcPr>
          <w:p w14:paraId="3DFFFBB7" w14:textId="77777777" w:rsidR="002C31DF" w:rsidRPr="00956D4D" w:rsidRDefault="002C31DF" w:rsidP="003B43A1">
            <w:pPr>
              <w:widowControl/>
              <w:jc w:val="center"/>
              <w:rPr>
                <w:rFonts w:cs="Arial"/>
                <w:iCs/>
                <w:sz w:val="20"/>
                <w:vertAlign w:val="superscript"/>
              </w:rPr>
            </w:pPr>
            <w:r w:rsidRPr="00956D4D">
              <w:rPr>
                <w:rFonts w:cs="Arial"/>
                <w:iCs/>
                <w:sz w:val="20"/>
              </w:rPr>
              <w:t>$10 million</w:t>
            </w:r>
            <w:r w:rsidR="003B43A1" w:rsidRPr="00956D4D">
              <w:rPr>
                <w:rFonts w:cs="Arial"/>
                <w:iCs/>
                <w:sz w:val="20"/>
                <w:vertAlign w:val="superscript"/>
              </w:rPr>
              <w:t>3</w:t>
            </w:r>
          </w:p>
        </w:tc>
        <w:tc>
          <w:tcPr>
            <w:tcW w:w="1530" w:type="dxa"/>
            <w:vAlign w:val="bottom"/>
          </w:tcPr>
          <w:p w14:paraId="20685E9E" w14:textId="77777777" w:rsidR="002C31DF" w:rsidRPr="00980A05" w:rsidRDefault="002C31DF" w:rsidP="004D06E7">
            <w:pPr>
              <w:widowControl/>
              <w:jc w:val="center"/>
              <w:rPr>
                <w:rFonts w:cs="Arial"/>
                <w:iCs/>
                <w:sz w:val="20"/>
              </w:rPr>
            </w:pPr>
            <w:r>
              <w:rPr>
                <w:rFonts w:cs="Arial"/>
                <w:iCs/>
                <w:sz w:val="20"/>
              </w:rPr>
              <w:t>$621,000</w:t>
            </w:r>
          </w:p>
        </w:tc>
        <w:tc>
          <w:tcPr>
            <w:tcW w:w="1530" w:type="dxa"/>
            <w:vAlign w:val="bottom"/>
          </w:tcPr>
          <w:p w14:paraId="5F02A3A5" w14:textId="77777777" w:rsidR="002C31DF" w:rsidRPr="00980A05" w:rsidRDefault="002C31DF" w:rsidP="00AC01AD">
            <w:pPr>
              <w:widowControl/>
              <w:jc w:val="right"/>
              <w:rPr>
                <w:rFonts w:cs="Arial"/>
                <w:iCs/>
                <w:sz w:val="20"/>
              </w:rPr>
            </w:pPr>
            <w:r>
              <w:rPr>
                <w:rFonts w:cs="Arial"/>
                <w:iCs/>
                <w:sz w:val="20"/>
              </w:rPr>
              <w:t>$103.2 million</w:t>
            </w:r>
          </w:p>
        </w:tc>
      </w:tr>
      <w:tr w:rsidR="002C31DF" w:rsidRPr="00410D58" w14:paraId="05B07318" w14:textId="77777777" w:rsidTr="000973A1">
        <w:trPr>
          <w:trHeight w:val="265"/>
          <w:jc w:val="center"/>
        </w:trPr>
        <w:tc>
          <w:tcPr>
            <w:tcW w:w="1077" w:type="dxa"/>
            <w:vAlign w:val="center"/>
          </w:tcPr>
          <w:p w14:paraId="3722A8C4" w14:textId="77777777" w:rsidR="002C31DF" w:rsidRPr="00980A05" w:rsidRDefault="002C31DF" w:rsidP="004D06E7">
            <w:pPr>
              <w:jc w:val="center"/>
              <w:rPr>
                <w:sz w:val="20"/>
              </w:rPr>
            </w:pPr>
            <w:r w:rsidRPr="00980A05">
              <w:rPr>
                <w:sz w:val="20"/>
              </w:rPr>
              <w:t>2017–18</w:t>
            </w:r>
          </w:p>
        </w:tc>
        <w:tc>
          <w:tcPr>
            <w:tcW w:w="1350" w:type="dxa"/>
            <w:vAlign w:val="bottom"/>
          </w:tcPr>
          <w:p w14:paraId="47B12BD7" w14:textId="77777777" w:rsidR="002C31DF" w:rsidRPr="00980A05" w:rsidRDefault="002C31DF" w:rsidP="004D06E7">
            <w:pPr>
              <w:widowControl/>
              <w:jc w:val="center"/>
              <w:rPr>
                <w:rFonts w:cs="Arial"/>
                <w:iCs/>
                <w:sz w:val="20"/>
              </w:rPr>
            </w:pPr>
            <w:r>
              <w:rPr>
                <w:rFonts w:cs="Arial"/>
                <w:iCs/>
                <w:sz w:val="20"/>
              </w:rPr>
              <w:t>$9.6 million</w:t>
            </w:r>
          </w:p>
        </w:tc>
        <w:tc>
          <w:tcPr>
            <w:tcW w:w="1260" w:type="dxa"/>
            <w:vAlign w:val="bottom"/>
          </w:tcPr>
          <w:p w14:paraId="72EBB044" w14:textId="77777777" w:rsidR="002C31DF" w:rsidRDefault="002C31DF" w:rsidP="004D06E7">
            <w:pPr>
              <w:widowControl/>
              <w:jc w:val="center"/>
              <w:rPr>
                <w:rFonts w:cs="Arial"/>
                <w:iCs/>
                <w:sz w:val="20"/>
              </w:rPr>
            </w:pPr>
          </w:p>
        </w:tc>
        <w:tc>
          <w:tcPr>
            <w:tcW w:w="1710" w:type="dxa"/>
            <w:vAlign w:val="bottom"/>
          </w:tcPr>
          <w:p w14:paraId="56D626C0" w14:textId="77777777" w:rsidR="002C31DF" w:rsidRPr="00980A05" w:rsidRDefault="002C31DF" w:rsidP="004D06E7">
            <w:pPr>
              <w:widowControl/>
              <w:jc w:val="center"/>
              <w:rPr>
                <w:rFonts w:cs="Arial"/>
                <w:iCs/>
                <w:sz w:val="20"/>
              </w:rPr>
            </w:pPr>
            <w:r>
              <w:rPr>
                <w:rFonts w:cs="Arial"/>
                <w:iCs/>
                <w:sz w:val="20"/>
              </w:rPr>
              <w:t>$75.8</w:t>
            </w:r>
            <w:r w:rsidRPr="00980A05">
              <w:rPr>
                <w:rFonts w:cs="Arial"/>
                <w:iCs/>
                <w:sz w:val="20"/>
              </w:rPr>
              <w:t xml:space="preserve"> million</w:t>
            </w:r>
            <w:r w:rsidR="00003588">
              <w:rPr>
                <w:rFonts w:cs="Arial"/>
                <w:iCs/>
                <w:sz w:val="20"/>
                <w:vertAlign w:val="superscript"/>
              </w:rPr>
              <w:t>2</w:t>
            </w:r>
          </w:p>
        </w:tc>
        <w:tc>
          <w:tcPr>
            <w:tcW w:w="1260" w:type="dxa"/>
            <w:vAlign w:val="bottom"/>
          </w:tcPr>
          <w:p w14:paraId="70996BF0" w14:textId="77777777" w:rsidR="002C31DF" w:rsidRPr="00956D4D" w:rsidRDefault="002C31DF" w:rsidP="00F25379">
            <w:pPr>
              <w:widowControl/>
              <w:jc w:val="center"/>
              <w:rPr>
                <w:rFonts w:cs="Arial"/>
                <w:iCs/>
                <w:sz w:val="20"/>
              </w:rPr>
            </w:pPr>
            <w:r w:rsidRPr="00956D4D">
              <w:rPr>
                <w:rFonts w:cs="Arial"/>
                <w:iCs/>
                <w:sz w:val="20"/>
              </w:rPr>
              <w:t>$10 million</w:t>
            </w:r>
            <w:r w:rsidR="00F25379" w:rsidRPr="00956D4D">
              <w:rPr>
                <w:rFonts w:cs="Arial"/>
                <w:iCs/>
                <w:sz w:val="20"/>
                <w:vertAlign w:val="superscript"/>
              </w:rPr>
              <w:t>3</w:t>
            </w:r>
          </w:p>
        </w:tc>
        <w:tc>
          <w:tcPr>
            <w:tcW w:w="1530" w:type="dxa"/>
            <w:vAlign w:val="bottom"/>
          </w:tcPr>
          <w:p w14:paraId="48CECE5F" w14:textId="77777777" w:rsidR="002C31DF" w:rsidRPr="00980A05" w:rsidRDefault="002C31DF" w:rsidP="004D06E7">
            <w:pPr>
              <w:widowControl/>
              <w:jc w:val="center"/>
              <w:rPr>
                <w:rFonts w:cs="Arial"/>
                <w:iCs/>
                <w:sz w:val="20"/>
              </w:rPr>
            </w:pPr>
            <w:r>
              <w:rPr>
                <w:rFonts w:cs="Arial"/>
                <w:iCs/>
                <w:sz w:val="20"/>
              </w:rPr>
              <w:t>$604,000</w:t>
            </w:r>
          </w:p>
        </w:tc>
        <w:tc>
          <w:tcPr>
            <w:tcW w:w="1530" w:type="dxa"/>
            <w:vAlign w:val="bottom"/>
          </w:tcPr>
          <w:p w14:paraId="40CFF9D7" w14:textId="77777777" w:rsidR="002C31DF" w:rsidRPr="00980A05" w:rsidRDefault="002C31DF" w:rsidP="00AC01AD">
            <w:pPr>
              <w:widowControl/>
              <w:jc w:val="right"/>
              <w:rPr>
                <w:rFonts w:cs="Arial"/>
                <w:iCs/>
                <w:sz w:val="20"/>
              </w:rPr>
            </w:pPr>
            <w:r>
              <w:rPr>
                <w:rFonts w:cs="Arial"/>
                <w:iCs/>
                <w:sz w:val="20"/>
              </w:rPr>
              <w:t>$96.</w:t>
            </w:r>
            <w:r w:rsidR="00847C7F">
              <w:rPr>
                <w:rFonts w:cs="Arial"/>
                <w:iCs/>
                <w:sz w:val="20"/>
              </w:rPr>
              <w:t>0</w:t>
            </w:r>
            <w:r w:rsidR="007F203F">
              <w:rPr>
                <w:rFonts w:cs="Arial"/>
                <w:iCs/>
                <w:sz w:val="20"/>
              </w:rPr>
              <w:t xml:space="preserve"> </w:t>
            </w:r>
            <w:r>
              <w:rPr>
                <w:rFonts w:cs="Arial"/>
                <w:iCs/>
                <w:sz w:val="20"/>
              </w:rPr>
              <w:t>million</w:t>
            </w:r>
            <w:r w:rsidR="00DE011F" w:rsidRPr="007F27A0">
              <w:rPr>
                <w:rFonts w:cs="Arial"/>
                <w:iCs/>
                <w:sz w:val="20"/>
                <w:vertAlign w:val="superscript"/>
              </w:rPr>
              <w:t>5</w:t>
            </w:r>
          </w:p>
        </w:tc>
      </w:tr>
      <w:tr w:rsidR="002C31DF" w:rsidRPr="00410D58" w14:paraId="7C61F8F2" w14:textId="77777777" w:rsidTr="000973A1">
        <w:trPr>
          <w:trHeight w:val="70"/>
          <w:jc w:val="center"/>
        </w:trPr>
        <w:tc>
          <w:tcPr>
            <w:tcW w:w="1077" w:type="dxa"/>
            <w:vAlign w:val="center"/>
          </w:tcPr>
          <w:p w14:paraId="5D3C05DB" w14:textId="77777777" w:rsidR="002C31DF" w:rsidRPr="00980A05" w:rsidRDefault="002C31DF" w:rsidP="004D06E7">
            <w:pPr>
              <w:jc w:val="center"/>
              <w:rPr>
                <w:sz w:val="20"/>
              </w:rPr>
            </w:pPr>
            <w:r w:rsidRPr="00980A05">
              <w:rPr>
                <w:sz w:val="20"/>
              </w:rPr>
              <w:t>2018–19</w:t>
            </w:r>
          </w:p>
        </w:tc>
        <w:tc>
          <w:tcPr>
            <w:tcW w:w="1350" w:type="dxa"/>
            <w:vAlign w:val="bottom"/>
          </w:tcPr>
          <w:p w14:paraId="62B98DDB" w14:textId="77777777" w:rsidR="002C31DF" w:rsidRPr="00980A05" w:rsidRDefault="002C31DF" w:rsidP="004D06E7">
            <w:pPr>
              <w:widowControl/>
              <w:jc w:val="center"/>
              <w:rPr>
                <w:rFonts w:cs="Arial"/>
                <w:iCs/>
                <w:sz w:val="20"/>
              </w:rPr>
            </w:pPr>
            <w:r>
              <w:rPr>
                <w:rFonts w:cs="Arial"/>
                <w:iCs/>
                <w:sz w:val="20"/>
              </w:rPr>
              <w:t>$9.6 million</w:t>
            </w:r>
          </w:p>
        </w:tc>
        <w:tc>
          <w:tcPr>
            <w:tcW w:w="1260" w:type="dxa"/>
            <w:vAlign w:val="bottom"/>
          </w:tcPr>
          <w:p w14:paraId="0383E899" w14:textId="77777777" w:rsidR="002C31DF" w:rsidRDefault="002C31DF" w:rsidP="004D06E7">
            <w:pPr>
              <w:widowControl/>
              <w:jc w:val="center"/>
              <w:rPr>
                <w:rFonts w:cs="Arial"/>
                <w:iCs/>
                <w:sz w:val="20"/>
              </w:rPr>
            </w:pPr>
          </w:p>
        </w:tc>
        <w:tc>
          <w:tcPr>
            <w:tcW w:w="1710" w:type="dxa"/>
            <w:vAlign w:val="bottom"/>
          </w:tcPr>
          <w:p w14:paraId="767EE77B" w14:textId="77777777" w:rsidR="002C31DF" w:rsidRDefault="00165EED" w:rsidP="004D06E7">
            <w:pPr>
              <w:widowControl/>
              <w:jc w:val="center"/>
              <w:rPr>
                <w:rFonts w:cs="Arial"/>
                <w:iCs/>
                <w:sz w:val="20"/>
              </w:rPr>
            </w:pPr>
            <w:r>
              <w:rPr>
                <w:rFonts w:cs="Arial"/>
                <w:iCs/>
                <w:sz w:val="20"/>
              </w:rPr>
              <w:t xml:space="preserve">   </w:t>
            </w:r>
            <w:r w:rsidR="002C31DF">
              <w:rPr>
                <w:rFonts w:cs="Arial"/>
                <w:iCs/>
                <w:sz w:val="20"/>
              </w:rPr>
              <w:t>$5.4</w:t>
            </w:r>
            <w:r w:rsidR="002C31DF" w:rsidRPr="00980A05">
              <w:rPr>
                <w:rFonts w:cs="Arial"/>
                <w:iCs/>
                <w:sz w:val="20"/>
              </w:rPr>
              <w:t xml:space="preserve"> million</w:t>
            </w:r>
            <w:r w:rsidR="00003588">
              <w:rPr>
                <w:rFonts w:cs="Arial"/>
                <w:iCs/>
                <w:sz w:val="20"/>
                <w:vertAlign w:val="superscript"/>
              </w:rPr>
              <w:t>2</w:t>
            </w:r>
          </w:p>
          <w:p w14:paraId="7D8358D5" w14:textId="77777777" w:rsidR="002C31DF" w:rsidRPr="00980A05" w:rsidRDefault="002C31DF" w:rsidP="00F25379">
            <w:pPr>
              <w:widowControl/>
              <w:jc w:val="center"/>
              <w:rPr>
                <w:rFonts w:cs="Arial"/>
                <w:iCs/>
                <w:sz w:val="20"/>
              </w:rPr>
            </w:pPr>
            <w:r>
              <w:rPr>
                <w:rFonts w:cs="Arial"/>
                <w:iCs/>
                <w:sz w:val="20"/>
              </w:rPr>
              <w:t>$7</w:t>
            </w:r>
            <w:r w:rsidR="00AC01AD">
              <w:rPr>
                <w:rFonts w:cs="Arial"/>
                <w:iCs/>
                <w:sz w:val="20"/>
              </w:rPr>
              <w:t>8</w:t>
            </w:r>
            <w:r>
              <w:rPr>
                <w:rFonts w:cs="Arial"/>
                <w:iCs/>
                <w:sz w:val="20"/>
              </w:rPr>
              <w:t>.6 milion</w:t>
            </w:r>
            <w:r w:rsidR="00F25379">
              <w:rPr>
                <w:rFonts w:cs="Arial"/>
                <w:iCs/>
                <w:sz w:val="20"/>
                <w:vertAlign w:val="superscript"/>
              </w:rPr>
              <w:t>4</w:t>
            </w:r>
          </w:p>
        </w:tc>
        <w:tc>
          <w:tcPr>
            <w:tcW w:w="1260" w:type="dxa"/>
            <w:vAlign w:val="bottom"/>
          </w:tcPr>
          <w:p w14:paraId="32F3ED06" w14:textId="77777777" w:rsidR="002C31DF" w:rsidRPr="00956D4D" w:rsidRDefault="002C31DF" w:rsidP="00F25379">
            <w:pPr>
              <w:widowControl/>
              <w:jc w:val="center"/>
              <w:rPr>
                <w:rFonts w:cs="Arial"/>
                <w:iCs/>
                <w:sz w:val="20"/>
              </w:rPr>
            </w:pPr>
            <w:r w:rsidRPr="00956D4D">
              <w:rPr>
                <w:rFonts w:cs="Arial"/>
                <w:iCs/>
                <w:sz w:val="20"/>
              </w:rPr>
              <w:t>$10 million</w:t>
            </w:r>
            <w:r w:rsidR="00F25379" w:rsidRPr="00956D4D">
              <w:rPr>
                <w:rFonts w:cs="Arial"/>
                <w:iCs/>
                <w:sz w:val="20"/>
                <w:vertAlign w:val="superscript"/>
              </w:rPr>
              <w:t>3</w:t>
            </w:r>
          </w:p>
        </w:tc>
        <w:tc>
          <w:tcPr>
            <w:tcW w:w="1530" w:type="dxa"/>
            <w:vAlign w:val="bottom"/>
          </w:tcPr>
          <w:p w14:paraId="52D8CC94" w14:textId="77777777" w:rsidR="002C31DF" w:rsidRPr="00980A05" w:rsidRDefault="002C31DF" w:rsidP="004D06E7">
            <w:pPr>
              <w:widowControl/>
              <w:jc w:val="center"/>
              <w:rPr>
                <w:rFonts w:cs="Arial"/>
                <w:iCs/>
                <w:sz w:val="20"/>
              </w:rPr>
            </w:pPr>
            <w:r>
              <w:rPr>
                <w:rFonts w:cs="Arial"/>
                <w:iCs/>
                <w:sz w:val="20"/>
              </w:rPr>
              <w:t>$650,000</w:t>
            </w:r>
            <w:r w:rsidR="0013218E">
              <w:rPr>
                <w:rFonts w:cs="Arial"/>
                <w:iCs/>
                <w:sz w:val="20"/>
                <w:vertAlign w:val="superscript"/>
              </w:rPr>
              <w:t>3</w:t>
            </w:r>
          </w:p>
        </w:tc>
        <w:tc>
          <w:tcPr>
            <w:tcW w:w="1530" w:type="dxa"/>
            <w:vAlign w:val="bottom"/>
          </w:tcPr>
          <w:p w14:paraId="622D3BF4" w14:textId="77777777" w:rsidR="002C31DF" w:rsidRPr="00980A05" w:rsidRDefault="002C31DF" w:rsidP="00AC01AD">
            <w:pPr>
              <w:widowControl/>
              <w:jc w:val="right"/>
              <w:rPr>
                <w:rFonts w:cs="Arial"/>
                <w:iCs/>
                <w:sz w:val="20"/>
              </w:rPr>
            </w:pPr>
            <w:r>
              <w:rPr>
                <w:rFonts w:cs="Arial"/>
                <w:iCs/>
                <w:sz w:val="20"/>
              </w:rPr>
              <w:t>$</w:t>
            </w:r>
            <w:r w:rsidR="00AC01AD">
              <w:rPr>
                <w:rFonts w:cs="Arial"/>
                <w:iCs/>
                <w:sz w:val="20"/>
              </w:rPr>
              <w:t>104</w:t>
            </w:r>
            <w:r>
              <w:rPr>
                <w:rFonts w:cs="Arial"/>
                <w:iCs/>
                <w:sz w:val="20"/>
              </w:rPr>
              <w:t>.3 million</w:t>
            </w:r>
          </w:p>
        </w:tc>
      </w:tr>
      <w:tr w:rsidR="002C31DF" w:rsidRPr="00410D58" w14:paraId="2669D62E" w14:textId="77777777" w:rsidTr="000973A1">
        <w:trPr>
          <w:trHeight w:val="70"/>
          <w:jc w:val="center"/>
        </w:trPr>
        <w:tc>
          <w:tcPr>
            <w:tcW w:w="1077" w:type="dxa"/>
            <w:vAlign w:val="center"/>
          </w:tcPr>
          <w:p w14:paraId="55985F0A" w14:textId="77777777" w:rsidR="002C31DF" w:rsidRPr="00980A05" w:rsidRDefault="002C31DF" w:rsidP="004D06E7">
            <w:pPr>
              <w:jc w:val="center"/>
              <w:rPr>
                <w:sz w:val="20"/>
              </w:rPr>
            </w:pPr>
            <w:r>
              <w:rPr>
                <w:sz w:val="20"/>
              </w:rPr>
              <w:t>2019–20</w:t>
            </w:r>
          </w:p>
        </w:tc>
        <w:tc>
          <w:tcPr>
            <w:tcW w:w="1350" w:type="dxa"/>
            <w:vAlign w:val="bottom"/>
          </w:tcPr>
          <w:p w14:paraId="5182D7AD" w14:textId="77777777" w:rsidR="002C31DF" w:rsidRDefault="002C31DF" w:rsidP="004D06E7">
            <w:pPr>
              <w:widowControl/>
              <w:jc w:val="center"/>
              <w:rPr>
                <w:rFonts w:cs="Arial"/>
                <w:iCs/>
                <w:sz w:val="20"/>
              </w:rPr>
            </w:pPr>
            <w:r>
              <w:rPr>
                <w:rFonts w:cs="Arial"/>
                <w:iCs/>
                <w:sz w:val="20"/>
              </w:rPr>
              <w:t>$9.6 million</w:t>
            </w:r>
          </w:p>
        </w:tc>
        <w:tc>
          <w:tcPr>
            <w:tcW w:w="1260" w:type="dxa"/>
            <w:vAlign w:val="bottom"/>
          </w:tcPr>
          <w:p w14:paraId="2398E7E8" w14:textId="77777777" w:rsidR="002C31DF" w:rsidRDefault="002C31DF" w:rsidP="004D06E7">
            <w:pPr>
              <w:widowControl/>
              <w:jc w:val="center"/>
              <w:rPr>
                <w:rFonts w:cs="Arial"/>
                <w:iCs/>
                <w:sz w:val="20"/>
              </w:rPr>
            </w:pPr>
          </w:p>
        </w:tc>
        <w:tc>
          <w:tcPr>
            <w:tcW w:w="1710" w:type="dxa"/>
            <w:vAlign w:val="bottom"/>
          </w:tcPr>
          <w:p w14:paraId="3C0583E0" w14:textId="77777777" w:rsidR="002C31DF" w:rsidRDefault="002C31DF" w:rsidP="00F25379">
            <w:pPr>
              <w:widowControl/>
              <w:jc w:val="center"/>
              <w:rPr>
                <w:rFonts w:cs="Arial"/>
                <w:iCs/>
                <w:sz w:val="20"/>
              </w:rPr>
            </w:pPr>
            <w:r>
              <w:rPr>
                <w:rFonts w:cs="Arial"/>
                <w:iCs/>
                <w:sz w:val="20"/>
              </w:rPr>
              <w:t>$</w:t>
            </w:r>
            <w:r w:rsidR="00AC01AD">
              <w:rPr>
                <w:rFonts w:cs="Arial"/>
                <w:iCs/>
                <w:sz w:val="20"/>
              </w:rPr>
              <w:t>84</w:t>
            </w:r>
            <w:r>
              <w:rPr>
                <w:rFonts w:cs="Arial"/>
                <w:iCs/>
                <w:sz w:val="20"/>
              </w:rPr>
              <w:t>.0 million</w:t>
            </w:r>
            <w:r w:rsidR="00F25379">
              <w:rPr>
                <w:rFonts w:cs="Arial"/>
                <w:iCs/>
                <w:sz w:val="20"/>
                <w:vertAlign w:val="superscript"/>
              </w:rPr>
              <w:t>4</w:t>
            </w:r>
          </w:p>
        </w:tc>
        <w:tc>
          <w:tcPr>
            <w:tcW w:w="1260" w:type="dxa"/>
            <w:vAlign w:val="bottom"/>
          </w:tcPr>
          <w:p w14:paraId="3AA104FD" w14:textId="77777777" w:rsidR="002C31DF" w:rsidRPr="00956D4D" w:rsidRDefault="002C31DF" w:rsidP="00F25379">
            <w:pPr>
              <w:widowControl/>
              <w:jc w:val="center"/>
              <w:rPr>
                <w:rFonts w:cs="Arial"/>
                <w:iCs/>
                <w:sz w:val="20"/>
              </w:rPr>
            </w:pPr>
            <w:r w:rsidRPr="00956D4D">
              <w:rPr>
                <w:rFonts w:cs="Arial"/>
                <w:iCs/>
                <w:sz w:val="20"/>
              </w:rPr>
              <w:t>$10 million</w:t>
            </w:r>
            <w:r w:rsidR="00F25379" w:rsidRPr="00956D4D">
              <w:rPr>
                <w:rFonts w:cs="Arial"/>
                <w:iCs/>
                <w:sz w:val="20"/>
                <w:vertAlign w:val="superscript"/>
              </w:rPr>
              <w:t>3</w:t>
            </w:r>
          </w:p>
        </w:tc>
        <w:tc>
          <w:tcPr>
            <w:tcW w:w="1530" w:type="dxa"/>
            <w:vAlign w:val="bottom"/>
          </w:tcPr>
          <w:p w14:paraId="4E4924DE" w14:textId="77777777" w:rsidR="002C31DF" w:rsidRDefault="002C31DF" w:rsidP="004D06E7">
            <w:pPr>
              <w:widowControl/>
              <w:jc w:val="center"/>
              <w:rPr>
                <w:rFonts w:cs="Arial"/>
                <w:iCs/>
                <w:sz w:val="20"/>
              </w:rPr>
            </w:pPr>
            <w:r>
              <w:rPr>
                <w:rFonts w:cs="Arial"/>
                <w:iCs/>
                <w:sz w:val="20"/>
              </w:rPr>
              <w:t>$650,000</w:t>
            </w:r>
            <w:r w:rsidR="0013218E">
              <w:rPr>
                <w:rFonts w:cs="Arial"/>
                <w:iCs/>
                <w:sz w:val="20"/>
                <w:vertAlign w:val="superscript"/>
              </w:rPr>
              <w:t>3</w:t>
            </w:r>
          </w:p>
        </w:tc>
        <w:tc>
          <w:tcPr>
            <w:tcW w:w="1530" w:type="dxa"/>
            <w:vAlign w:val="bottom"/>
          </w:tcPr>
          <w:p w14:paraId="67183303" w14:textId="77777777" w:rsidR="002C31DF" w:rsidRPr="00980A05" w:rsidRDefault="002C31DF" w:rsidP="00AC01AD">
            <w:pPr>
              <w:widowControl/>
              <w:jc w:val="right"/>
              <w:rPr>
                <w:rFonts w:cs="Arial"/>
                <w:iCs/>
                <w:sz w:val="20"/>
              </w:rPr>
            </w:pPr>
            <w:r>
              <w:rPr>
                <w:rFonts w:cs="Arial"/>
                <w:iCs/>
                <w:sz w:val="20"/>
              </w:rPr>
              <w:t>$</w:t>
            </w:r>
            <w:r w:rsidR="00AC01AD">
              <w:rPr>
                <w:rFonts w:cs="Arial"/>
                <w:iCs/>
                <w:sz w:val="20"/>
              </w:rPr>
              <w:t>104</w:t>
            </w:r>
            <w:r>
              <w:rPr>
                <w:rFonts w:cs="Arial"/>
                <w:iCs/>
                <w:sz w:val="20"/>
              </w:rPr>
              <w:t>.3 million</w:t>
            </w:r>
          </w:p>
        </w:tc>
      </w:tr>
    </w:tbl>
    <w:p w14:paraId="454A5F41" w14:textId="77777777" w:rsidR="001B4986" w:rsidRDefault="001B4986" w:rsidP="002C31DF">
      <w:pPr>
        <w:widowControl/>
        <w:rPr>
          <w:sz w:val="18"/>
          <w:szCs w:val="18"/>
          <w:vertAlign w:val="superscript"/>
        </w:rPr>
      </w:pPr>
    </w:p>
    <w:p w14:paraId="51351176" w14:textId="77777777" w:rsidR="002C31DF" w:rsidRPr="00AF756D" w:rsidRDefault="002C31DF" w:rsidP="001556DE">
      <w:pPr>
        <w:pStyle w:val="ListParagraph"/>
        <w:widowControl/>
        <w:numPr>
          <w:ilvl w:val="0"/>
          <w:numId w:val="14"/>
        </w:numPr>
        <w:tabs>
          <w:tab w:val="left" w:pos="360"/>
        </w:tabs>
        <w:ind w:left="360" w:hanging="180"/>
        <w:rPr>
          <w:sz w:val="18"/>
          <w:szCs w:val="18"/>
        </w:rPr>
      </w:pPr>
      <w:r w:rsidRPr="00AF756D">
        <w:rPr>
          <w:sz w:val="18"/>
          <w:szCs w:val="18"/>
        </w:rPr>
        <w:t>California received a one-time $1.53 million credit</w:t>
      </w:r>
      <w:r w:rsidR="00223C22">
        <w:rPr>
          <w:sz w:val="18"/>
          <w:szCs w:val="18"/>
        </w:rPr>
        <w:t xml:space="preserve"> from UCLA</w:t>
      </w:r>
      <w:r w:rsidRPr="00AF756D">
        <w:rPr>
          <w:sz w:val="18"/>
          <w:szCs w:val="18"/>
        </w:rPr>
        <w:t xml:space="preserve">. </w:t>
      </w:r>
      <w:r w:rsidR="007E5AB5">
        <w:rPr>
          <w:sz w:val="18"/>
          <w:szCs w:val="18"/>
        </w:rPr>
        <w:t xml:space="preserve">The </w:t>
      </w:r>
      <w:r w:rsidRPr="00AF756D">
        <w:rPr>
          <w:sz w:val="18"/>
          <w:szCs w:val="18"/>
        </w:rPr>
        <w:t>2015 Budget Act allowed this savings to be used for activities in the CAASPP Institutes contract.</w:t>
      </w:r>
    </w:p>
    <w:p w14:paraId="7BEBB554" w14:textId="77777777" w:rsidR="002C31DF" w:rsidRPr="00AF756D" w:rsidRDefault="001B4986" w:rsidP="00C72473">
      <w:pPr>
        <w:widowControl/>
        <w:tabs>
          <w:tab w:val="left" w:pos="360"/>
        </w:tabs>
        <w:spacing w:before="80"/>
        <w:ind w:left="360" w:hanging="180"/>
        <w:rPr>
          <w:sz w:val="18"/>
          <w:szCs w:val="18"/>
        </w:rPr>
      </w:pPr>
      <w:r>
        <w:rPr>
          <w:sz w:val="18"/>
          <w:szCs w:val="18"/>
          <w:vertAlign w:val="superscript"/>
        </w:rPr>
        <w:t>2</w:t>
      </w:r>
      <w:r w:rsidR="00AF756D">
        <w:rPr>
          <w:sz w:val="18"/>
          <w:szCs w:val="18"/>
        </w:rPr>
        <w:tab/>
      </w:r>
      <w:r w:rsidR="00003588">
        <w:rPr>
          <w:sz w:val="18"/>
          <w:szCs w:val="18"/>
        </w:rPr>
        <w:t xml:space="preserve">Costs are taken from approved state-managed CAASPP contract services (see Table </w:t>
      </w:r>
      <w:r w:rsidR="009F51EE">
        <w:rPr>
          <w:sz w:val="18"/>
          <w:szCs w:val="18"/>
        </w:rPr>
        <w:t>5</w:t>
      </w:r>
      <w:r w:rsidR="00003588">
        <w:rPr>
          <w:sz w:val="18"/>
          <w:szCs w:val="18"/>
        </w:rPr>
        <w:t>)</w:t>
      </w:r>
      <w:r w:rsidR="004F745C">
        <w:rPr>
          <w:sz w:val="18"/>
          <w:szCs w:val="18"/>
        </w:rPr>
        <w:t xml:space="preserve">. </w:t>
      </w:r>
      <w:r w:rsidR="002C31DF" w:rsidRPr="00AF756D">
        <w:rPr>
          <w:sz w:val="18"/>
          <w:szCs w:val="18"/>
        </w:rPr>
        <w:t xml:space="preserve">Costs include funding for the development of </w:t>
      </w:r>
      <w:r w:rsidR="007E5AB5">
        <w:rPr>
          <w:sz w:val="18"/>
          <w:szCs w:val="18"/>
        </w:rPr>
        <w:t>successor assessments aligned with</w:t>
      </w:r>
      <w:r w:rsidR="002C31DF" w:rsidRPr="00AF756D">
        <w:rPr>
          <w:sz w:val="18"/>
          <w:szCs w:val="18"/>
        </w:rPr>
        <w:t xml:space="preserve"> the new standards to replace the CSTs, CMA, CAPA, and STS assessments </w:t>
      </w:r>
      <w:r w:rsidR="00D128FB">
        <w:rPr>
          <w:sz w:val="18"/>
          <w:szCs w:val="18"/>
        </w:rPr>
        <w:t xml:space="preserve">required as part of the CAASPP </w:t>
      </w:r>
      <w:r w:rsidR="00E3648C">
        <w:rPr>
          <w:sz w:val="18"/>
          <w:szCs w:val="18"/>
        </w:rPr>
        <w:t>System</w:t>
      </w:r>
      <w:r w:rsidR="002C31DF" w:rsidRPr="00AF756D">
        <w:rPr>
          <w:sz w:val="18"/>
          <w:szCs w:val="18"/>
        </w:rPr>
        <w:t>.</w:t>
      </w:r>
    </w:p>
    <w:p w14:paraId="1C985313" w14:textId="77777777" w:rsidR="003B43A1" w:rsidRDefault="003B43A1" w:rsidP="003B43A1">
      <w:pPr>
        <w:widowControl/>
        <w:tabs>
          <w:tab w:val="left" w:pos="360"/>
        </w:tabs>
        <w:spacing w:before="80"/>
        <w:ind w:left="360" w:hanging="180"/>
        <w:rPr>
          <w:rFonts w:cs="Arial"/>
          <w:iCs/>
          <w:sz w:val="18"/>
          <w:szCs w:val="18"/>
        </w:rPr>
      </w:pPr>
      <w:r>
        <w:rPr>
          <w:rFonts w:cs="Arial"/>
          <w:iCs/>
          <w:sz w:val="20"/>
          <w:vertAlign w:val="superscript"/>
        </w:rPr>
        <w:t>3</w:t>
      </w:r>
      <w:r>
        <w:rPr>
          <w:rFonts w:cs="Arial"/>
          <w:iCs/>
          <w:sz w:val="20"/>
          <w:vertAlign w:val="superscript"/>
        </w:rPr>
        <w:tab/>
      </w:r>
      <w:r w:rsidR="004B4F63">
        <w:rPr>
          <w:rFonts w:cs="Arial"/>
          <w:iCs/>
          <w:sz w:val="18"/>
          <w:szCs w:val="18"/>
        </w:rPr>
        <w:t>Revised c</w:t>
      </w:r>
      <w:r>
        <w:rPr>
          <w:rFonts w:cs="Arial"/>
          <w:iCs/>
          <w:sz w:val="18"/>
          <w:szCs w:val="18"/>
        </w:rPr>
        <w:t>ost estimates are to be included in the March 2016 SSPI recommendation</w:t>
      </w:r>
      <w:r w:rsidR="007D70D6">
        <w:rPr>
          <w:rFonts w:cs="Arial"/>
          <w:iCs/>
          <w:sz w:val="18"/>
          <w:szCs w:val="18"/>
        </w:rPr>
        <w:t>s</w:t>
      </w:r>
      <w:r>
        <w:rPr>
          <w:rFonts w:cs="Arial"/>
          <w:iCs/>
          <w:sz w:val="18"/>
          <w:szCs w:val="18"/>
        </w:rPr>
        <w:t xml:space="preserve"> report to the Legislature for the expansion of the CAASPP </w:t>
      </w:r>
      <w:r w:rsidR="00E3648C">
        <w:rPr>
          <w:rFonts w:cs="Arial"/>
          <w:iCs/>
          <w:sz w:val="18"/>
          <w:szCs w:val="18"/>
        </w:rPr>
        <w:t>System</w:t>
      </w:r>
      <w:r>
        <w:rPr>
          <w:rFonts w:cs="Arial"/>
          <w:iCs/>
          <w:sz w:val="18"/>
          <w:szCs w:val="18"/>
        </w:rPr>
        <w:t>.</w:t>
      </w:r>
      <w:r w:rsidR="00C76CCD">
        <w:rPr>
          <w:rFonts w:cs="Arial"/>
          <w:iCs/>
          <w:sz w:val="18"/>
          <w:szCs w:val="18"/>
        </w:rPr>
        <w:t xml:space="preserve"> Actual costs will not </w:t>
      </w:r>
      <w:r w:rsidR="00B81098">
        <w:rPr>
          <w:rFonts w:cs="Arial"/>
          <w:iCs/>
          <w:sz w:val="18"/>
          <w:szCs w:val="18"/>
        </w:rPr>
        <w:t>be known until contract bids are negotiated.</w:t>
      </w:r>
    </w:p>
    <w:p w14:paraId="1AB7C79C" w14:textId="77777777" w:rsidR="002C31DF" w:rsidRDefault="003B43A1" w:rsidP="002C31DF">
      <w:pPr>
        <w:widowControl/>
        <w:tabs>
          <w:tab w:val="left" w:pos="360"/>
        </w:tabs>
        <w:spacing w:before="80"/>
        <w:ind w:left="540" w:hanging="360"/>
        <w:rPr>
          <w:sz w:val="18"/>
          <w:szCs w:val="18"/>
        </w:rPr>
      </w:pPr>
      <w:r>
        <w:rPr>
          <w:sz w:val="18"/>
          <w:szCs w:val="18"/>
          <w:vertAlign w:val="superscript"/>
        </w:rPr>
        <w:t>4</w:t>
      </w:r>
      <w:r w:rsidR="002C31DF">
        <w:rPr>
          <w:sz w:val="18"/>
          <w:szCs w:val="18"/>
          <w:vertAlign w:val="superscript"/>
        </w:rPr>
        <w:t xml:space="preserve"> </w:t>
      </w:r>
      <w:r w:rsidR="00223C22">
        <w:rPr>
          <w:sz w:val="18"/>
          <w:szCs w:val="18"/>
        </w:rPr>
        <w:t xml:space="preserve"> </w:t>
      </w:r>
      <w:r w:rsidR="00223C22">
        <w:rPr>
          <w:sz w:val="18"/>
          <w:szCs w:val="18"/>
        </w:rPr>
        <w:tab/>
        <w:t>Actual costs will</w:t>
      </w:r>
      <w:r w:rsidR="002C31DF">
        <w:rPr>
          <w:sz w:val="18"/>
          <w:szCs w:val="18"/>
        </w:rPr>
        <w:t xml:space="preserve"> be determined through a future competitive bid</w:t>
      </w:r>
      <w:r w:rsidR="00223C22">
        <w:rPr>
          <w:sz w:val="18"/>
          <w:szCs w:val="18"/>
        </w:rPr>
        <w:t xml:space="preserve"> process</w:t>
      </w:r>
      <w:r w:rsidR="002C31DF">
        <w:rPr>
          <w:sz w:val="18"/>
          <w:szCs w:val="18"/>
        </w:rPr>
        <w:t>.</w:t>
      </w:r>
    </w:p>
    <w:p w14:paraId="17717EFF" w14:textId="77777777" w:rsidR="00DE011F" w:rsidRPr="001F081D" w:rsidRDefault="00DE011F" w:rsidP="0024189D">
      <w:pPr>
        <w:widowControl/>
        <w:tabs>
          <w:tab w:val="left" w:pos="360"/>
        </w:tabs>
        <w:spacing w:before="80"/>
        <w:ind w:left="360" w:hanging="180"/>
        <w:rPr>
          <w:sz w:val="18"/>
          <w:szCs w:val="18"/>
        </w:rPr>
      </w:pPr>
      <w:r w:rsidRPr="007F27A0">
        <w:rPr>
          <w:sz w:val="18"/>
          <w:szCs w:val="18"/>
          <w:vertAlign w:val="superscript"/>
        </w:rPr>
        <w:t>5</w:t>
      </w:r>
      <w:r w:rsidRPr="00102BFF">
        <w:rPr>
          <w:sz w:val="18"/>
          <w:szCs w:val="18"/>
        </w:rPr>
        <w:tab/>
        <w:t>Contract costs for 2017–18 are slightly low</w:t>
      </w:r>
      <w:r w:rsidRPr="00274182">
        <w:rPr>
          <w:sz w:val="18"/>
          <w:szCs w:val="18"/>
        </w:rPr>
        <w:t xml:space="preserve">er </w:t>
      </w:r>
      <w:r w:rsidR="00EC0E98">
        <w:rPr>
          <w:sz w:val="18"/>
          <w:szCs w:val="18"/>
        </w:rPr>
        <w:t xml:space="preserve">because of </w:t>
      </w:r>
      <w:r w:rsidRPr="00274182">
        <w:rPr>
          <w:sz w:val="18"/>
          <w:szCs w:val="18"/>
        </w:rPr>
        <w:t xml:space="preserve">the </w:t>
      </w:r>
      <w:r w:rsidR="0024189D">
        <w:rPr>
          <w:sz w:val="18"/>
          <w:szCs w:val="18"/>
        </w:rPr>
        <w:t>scheduled field testing</w:t>
      </w:r>
      <w:r w:rsidRPr="00102BFF">
        <w:rPr>
          <w:sz w:val="18"/>
          <w:szCs w:val="18"/>
        </w:rPr>
        <w:t xml:space="preserve"> of the new science</w:t>
      </w:r>
      <w:r w:rsidR="00D57636">
        <w:rPr>
          <w:sz w:val="18"/>
          <w:szCs w:val="18"/>
        </w:rPr>
        <w:t>, science alternate,</w:t>
      </w:r>
      <w:r w:rsidRPr="00102BFF">
        <w:rPr>
          <w:sz w:val="18"/>
          <w:szCs w:val="18"/>
        </w:rPr>
        <w:t xml:space="preserve"> and primary language successor assessments. </w:t>
      </w:r>
      <w:r w:rsidR="0024189D">
        <w:rPr>
          <w:sz w:val="18"/>
          <w:szCs w:val="18"/>
        </w:rPr>
        <w:t xml:space="preserve">Per </w:t>
      </w:r>
      <w:r w:rsidR="00D91B32">
        <w:rPr>
          <w:sz w:val="18"/>
          <w:szCs w:val="18"/>
        </w:rPr>
        <w:t xml:space="preserve">California </w:t>
      </w:r>
      <w:r w:rsidR="0024189D">
        <w:rPr>
          <w:sz w:val="18"/>
          <w:szCs w:val="18"/>
        </w:rPr>
        <w:t xml:space="preserve">law, </w:t>
      </w:r>
      <w:r w:rsidR="0024189D" w:rsidRPr="0024189D">
        <w:rPr>
          <w:sz w:val="18"/>
          <w:szCs w:val="18"/>
        </w:rPr>
        <w:t xml:space="preserve">CAASPP field tests shall not produce individual </w:t>
      </w:r>
      <w:r w:rsidR="00F614EB">
        <w:rPr>
          <w:sz w:val="18"/>
          <w:szCs w:val="18"/>
        </w:rPr>
        <w:t>student</w:t>
      </w:r>
      <w:r w:rsidR="0024189D" w:rsidRPr="0024189D">
        <w:rPr>
          <w:sz w:val="18"/>
          <w:szCs w:val="18"/>
        </w:rPr>
        <w:t xml:space="preserve"> scores unless it is determined that</w:t>
      </w:r>
      <w:r w:rsidR="0024189D">
        <w:rPr>
          <w:sz w:val="18"/>
          <w:szCs w:val="18"/>
        </w:rPr>
        <w:t xml:space="preserve"> </w:t>
      </w:r>
      <w:r w:rsidR="0024189D" w:rsidRPr="0024189D">
        <w:rPr>
          <w:sz w:val="18"/>
          <w:szCs w:val="18"/>
        </w:rPr>
        <w:t>these scores are valid and reliable.</w:t>
      </w:r>
      <w:r w:rsidR="0024189D">
        <w:rPr>
          <w:sz w:val="18"/>
          <w:szCs w:val="18"/>
        </w:rPr>
        <w:t xml:space="preserve"> </w:t>
      </w:r>
      <w:r w:rsidR="0024189D" w:rsidRPr="00102BFF">
        <w:rPr>
          <w:sz w:val="18"/>
          <w:szCs w:val="18"/>
        </w:rPr>
        <w:t>There are</w:t>
      </w:r>
      <w:r w:rsidRPr="00102BFF">
        <w:rPr>
          <w:sz w:val="18"/>
          <w:szCs w:val="18"/>
        </w:rPr>
        <w:t xml:space="preserve"> no </w:t>
      </w:r>
      <w:r w:rsidR="00D57636">
        <w:rPr>
          <w:sz w:val="18"/>
          <w:szCs w:val="18"/>
        </w:rPr>
        <w:t>costs</w:t>
      </w:r>
      <w:r w:rsidR="0024189D">
        <w:rPr>
          <w:sz w:val="18"/>
          <w:szCs w:val="18"/>
        </w:rPr>
        <w:t xml:space="preserve"> budgeted</w:t>
      </w:r>
      <w:r w:rsidR="00D57636">
        <w:rPr>
          <w:sz w:val="18"/>
          <w:szCs w:val="18"/>
        </w:rPr>
        <w:t xml:space="preserve"> for </w:t>
      </w:r>
      <w:r w:rsidR="00EC0E98">
        <w:rPr>
          <w:sz w:val="18"/>
          <w:szCs w:val="18"/>
        </w:rPr>
        <w:t xml:space="preserve">the </w:t>
      </w:r>
      <w:r w:rsidRPr="00102BFF">
        <w:rPr>
          <w:sz w:val="18"/>
          <w:szCs w:val="18"/>
        </w:rPr>
        <w:t xml:space="preserve">reporting </w:t>
      </w:r>
      <w:r w:rsidR="00EC0E98" w:rsidRPr="00102BFF">
        <w:rPr>
          <w:sz w:val="18"/>
          <w:szCs w:val="18"/>
        </w:rPr>
        <w:t>of these field test results</w:t>
      </w:r>
      <w:r w:rsidR="00EC0E98" w:rsidRPr="00102BFF" w:rsidDel="00EC0E98">
        <w:rPr>
          <w:sz w:val="18"/>
          <w:szCs w:val="18"/>
        </w:rPr>
        <w:t xml:space="preserve"> </w:t>
      </w:r>
      <w:r w:rsidR="00BC7C09">
        <w:rPr>
          <w:sz w:val="18"/>
          <w:szCs w:val="18"/>
        </w:rPr>
        <w:t>to LEAs or parents/</w:t>
      </w:r>
      <w:r w:rsidRPr="00102BFF">
        <w:rPr>
          <w:sz w:val="18"/>
          <w:szCs w:val="18"/>
        </w:rPr>
        <w:t>guardians</w:t>
      </w:r>
      <w:r w:rsidRPr="00274182">
        <w:rPr>
          <w:sz w:val="18"/>
          <w:szCs w:val="18"/>
        </w:rPr>
        <w:t>. The costs for 2018–19 will include</w:t>
      </w:r>
      <w:r w:rsidR="00BC7C09">
        <w:rPr>
          <w:sz w:val="18"/>
          <w:szCs w:val="18"/>
        </w:rPr>
        <w:t xml:space="preserve"> </w:t>
      </w:r>
      <w:r w:rsidR="00D57636" w:rsidRPr="001F081D">
        <w:rPr>
          <w:sz w:val="18"/>
          <w:szCs w:val="18"/>
        </w:rPr>
        <w:t xml:space="preserve">reporting the results of the </w:t>
      </w:r>
      <w:r w:rsidRPr="001F081D">
        <w:rPr>
          <w:sz w:val="18"/>
          <w:szCs w:val="18"/>
        </w:rPr>
        <w:t>new successor assessments.</w:t>
      </w:r>
    </w:p>
    <w:p w14:paraId="7821AF83" w14:textId="77777777" w:rsidR="002C31DF" w:rsidRDefault="002C31DF" w:rsidP="002C31DF">
      <w:pPr>
        <w:widowControl/>
        <w:rPr>
          <w:szCs w:val="24"/>
        </w:rPr>
      </w:pPr>
    </w:p>
    <w:p w14:paraId="3F571B3E" w14:textId="77777777" w:rsidR="00F97727" w:rsidRDefault="00C72473" w:rsidP="00F97727">
      <w:pPr>
        <w:widowControl/>
        <w:rPr>
          <w:rFonts w:cs="Arial"/>
          <w:iCs/>
          <w:szCs w:val="24"/>
        </w:rPr>
      </w:pPr>
      <w:r>
        <w:rPr>
          <w:rFonts w:cs="Arial"/>
          <w:iCs/>
          <w:szCs w:val="24"/>
        </w:rPr>
        <w:t xml:space="preserve">Table </w:t>
      </w:r>
      <w:r w:rsidR="00D91B32">
        <w:rPr>
          <w:rFonts w:cs="Arial"/>
          <w:iCs/>
          <w:szCs w:val="24"/>
        </w:rPr>
        <w:t>9</w:t>
      </w:r>
      <w:r w:rsidR="00F15B10">
        <w:rPr>
          <w:rFonts w:cs="Arial"/>
          <w:iCs/>
          <w:szCs w:val="24"/>
        </w:rPr>
        <w:t>, below, provides an updated five-year cost project</w:t>
      </w:r>
      <w:r w:rsidR="009828E2">
        <w:rPr>
          <w:rFonts w:cs="Arial"/>
          <w:iCs/>
          <w:szCs w:val="24"/>
        </w:rPr>
        <w:t>ion</w:t>
      </w:r>
      <w:r w:rsidR="00F15B10">
        <w:rPr>
          <w:rFonts w:cs="Arial"/>
          <w:iCs/>
          <w:szCs w:val="24"/>
        </w:rPr>
        <w:t xml:space="preserve"> for CAASPP LEA apportionments.</w:t>
      </w:r>
    </w:p>
    <w:p w14:paraId="0BBCEDAC" w14:textId="77777777" w:rsidR="00F97727" w:rsidRDefault="00F97727" w:rsidP="00F97727">
      <w:pPr>
        <w:widowControl/>
        <w:rPr>
          <w:rFonts w:cs="Arial"/>
          <w:b/>
          <w:iCs/>
          <w:szCs w:val="24"/>
        </w:rPr>
      </w:pPr>
    </w:p>
    <w:p w14:paraId="69F69249" w14:textId="77777777" w:rsidR="002C31DF" w:rsidRPr="007F27A0" w:rsidRDefault="00EC0E98" w:rsidP="007F27A0">
      <w:pPr>
        <w:widowControl/>
        <w:spacing w:after="120"/>
        <w:ind w:left="720"/>
        <w:rPr>
          <w:rFonts w:cs="Arial"/>
          <w:iCs/>
          <w:szCs w:val="24"/>
        </w:rPr>
      </w:pPr>
      <w:r>
        <w:rPr>
          <w:rFonts w:cs="Arial"/>
          <w:b/>
          <w:iCs/>
          <w:szCs w:val="24"/>
        </w:rPr>
        <w:t xml:space="preserve"> </w:t>
      </w:r>
      <w:r w:rsidR="002C31DF">
        <w:rPr>
          <w:rFonts w:cs="Arial"/>
          <w:b/>
          <w:iCs/>
          <w:szCs w:val="24"/>
        </w:rPr>
        <w:t xml:space="preserve">Table </w:t>
      </w:r>
      <w:r w:rsidR="00D91B32">
        <w:rPr>
          <w:rFonts w:cs="Arial"/>
          <w:b/>
          <w:iCs/>
          <w:szCs w:val="24"/>
        </w:rPr>
        <w:t>9</w:t>
      </w:r>
      <w:r w:rsidR="002C31DF" w:rsidRPr="00F42A79">
        <w:rPr>
          <w:rFonts w:cs="Arial"/>
          <w:b/>
          <w:iCs/>
          <w:szCs w:val="24"/>
        </w:rPr>
        <w:t xml:space="preserve">. </w:t>
      </w:r>
      <w:r w:rsidR="002C31DF" w:rsidRPr="007F27A0">
        <w:rPr>
          <w:rFonts w:cs="Arial"/>
          <w:iCs/>
          <w:szCs w:val="24"/>
        </w:rPr>
        <w:t>Five-</w:t>
      </w:r>
      <w:r w:rsidR="00052962" w:rsidRPr="007F27A0">
        <w:rPr>
          <w:rFonts w:cs="Arial"/>
          <w:iCs/>
          <w:szCs w:val="24"/>
        </w:rPr>
        <w:t>y</w:t>
      </w:r>
      <w:r w:rsidR="002C31DF" w:rsidRPr="007F27A0">
        <w:rPr>
          <w:rFonts w:cs="Arial"/>
          <w:iCs/>
          <w:szCs w:val="24"/>
        </w:rPr>
        <w:t xml:space="preserve">ear Cost Projection of </w:t>
      </w:r>
      <w:r w:rsidR="009F51EE">
        <w:rPr>
          <w:rFonts w:cs="Arial"/>
          <w:iCs/>
          <w:szCs w:val="24"/>
        </w:rPr>
        <w:t xml:space="preserve">CAASPP LEA </w:t>
      </w:r>
      <w:r w:rsidR="002C31DF" w:rsidRPr="007F27A0">
        <w:rPr>
          <w:rFonts w:cs="Arial"/>
          <w:iCs/>
          <w:szCs w:val="24"/>
        </w:rPr>
        <w:t>Apportionment Costs</w:t>
      </w:r>
    </w:p>
    <w:tbl>
      <w:tblPr>
        <w:tblW w:w="75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3"/>
        <w:gridCol w:w="2424"/>
        <w:gridCol w:w="3420"/>
      </w:tblGrid>
      <w:tr w:rsidR="002C31DF" w:rsidRPr="00410D58" w14:paraId="6A6280E0" w14:textId="77777777" w:rsidTr="004D06E7">
        <w:trPr>
          <w:trHeight w:val="490"/>
          <w:tblHeader/>
          <w:jc w:val="center"/>
        </w:trPr>
        <w:tc>
          <w:tcPr>
            <w:tcW w:w="1713" w:type="dxa"/>
            <w:shd w:val="clear" w:color="auto" w:fill="D6E3BC"/>
            <w:vAlign w:val="center"/>
          </w:tcPr>
          <w:p w14:paraId="3356DA34" w14:textId="77777777" w:rsidR="002C31DF" w:rsidRPr="00980A05" w:rsidRDefault="002C31DF" w:rsidP="004D06E7">
            <w:pPr>
              <w:widowControl/>
              <w:ind w:left="-52"/>
              <w:jc w:val="center"/>
              <w:rPr>
                <w:rFonts w:cs="Arial"/>
                <w:b/>
                <w:bCs/>
                <w:iCs/>
                <w:sz w:val="20"/>
              </w:rPr>
            </w:pPr>
            <w:r w:rsidRPr="00980A05">
              <w:rPr>
                <w:rFonts w:cs="Arial"/>
                <w:b/>
                <w:bCs/>
                <w:iCs/>
                <w:sz w:val="20"/>
              </w:rPr>
              <w:t>Fiscal Year</w:t>
            </w:r>
          </w:p>
        </w:tc>
        <w:tc>
          <w:tcPr>
            <w:tcW w:w="2424" w:type="dxa"/>
            <w:shd w:val="clear" w:color="auto" w:fill="D6E3BC"/>
            <w:vAlign w:val="center"/>
          </w:tcPr>
          <w:p w14:paraId="25FDD502" w14:textId="77777777" w:rsidR="002C31DF" w:rsidRDefault="002C31DF" w:rsidP="004D06E7">
            <w:pPr>
              <w:widowControl/>
              <w:jc w:val="center"/>
              <w:rPr>
                <w:rFonts w:cs="Arial"/>
                <w:b/>
                <w:bCs/>
                <w:iCs/>
                <w:sz w:val="20"/>
              </w:rPr>
            </w:pPr>
            <w:r w:rsidRPr="00980A05">
              <w:rPr>
                <w:rFonts w:cs="Arial"/>
                <w:b/>
                <w:bCs/>
                <w:iCs/>
                <w:sz w:val="20"/>
              </w:rPr>
              <w:t>LEA</w:t>
            </w:r>
            <w:r>
              <w:rPr>
                <w:rFonts w:cs="Arial"/>
                <w:b/>
                <w:bCs/>
                <w:iCs/>
                <w:sz w:val="20"/>
              </w:rPr>
              <w:t xml:space="preserve"> </w:t>
            </w:r>
            <w:r w:rsidRPr="00980A05">
              <w:rPr>
                <w:rFonts w:cs="Arial"/>
                <w:b/>
                <w:bCs/>
                <w:iCs/>
                <w:sz w:val="20"/>
              </w:rPr>
              <w:t>Apportionment</w:t>
            </w:r>
          </w:p>
          <w:p w14:paraId="15E17895" w14:textId="77777777" w:rsidR="002C31DF" w:rsidRPr="00980A05" w:rsidRDefault="002C31DF" w:rsidP="004D06E7">
            <w:pPr>
              <w:widowControl/>
              <w:ind w:left="-52" w:right="-74"/>
              <w:jc w:val="center"/>
              <w:rPr>
                <w:rFonts w:cs="Arial"/>
                <w:b/>
                <w:bCs/>
                <w:iCs/>
                <w:sz w:val="20"/>
              </w:rPr>
            </w:pPr>
            <w:r>
              <w:rPr>
                <w:rFonts w:cs="Arial"/>
                <w:b/>
                <w:bCs/>
                <w:iCs/>
                <w:sz w:val="20"/>
              </w:rPr>
              <w:t>Cost</w:t>
            </w:r>
          </w:p>
        </w:tc>
        <w:tc>
          <w:tcPr>
            <w:tcW w:w="3420" w:type="dxa"/>
            <w:shd w:val="clear" w:color="auto" w:fill="D6E3BC"/>
            <w:vAlign w:val="center"/>
          </w:tcPr>
          <w:p w14:paraId="05DBB137" w14:textId="77777777" w:rsidR="002C31DF" w:rsidRDefault="002C31DF" w:rsidP="004D06E7">
            <w:pPr>
              <w:widowControl/>
              <w:jc w:val="center"/>
              <w:rPr>
                <w:rFonts w:cs="Arial"/>
                <w:b/>
                <w:bCs/>
                <w:iCs/>
                <w:sz w:val="20"/>
              </w:rPr>
            </w:pPr>
            <w:r>
              <w:rPr>
                <w:rFonts w:cs="Arial"/>
                <w:b/>
                <w:bCs/>
                <w:iCs/>
                <w:sz w:val="20"/>
              </w:rPr>
              <w:t>Test Administration</w:t>
            </w:r>
          </w:p>
          <w:p w14:paraId="582A5096" w14:textId="77777777" w:rsidR="002C31DF" w:rsidRPr="00980A05" w:rsidRDefault="002C31DF" w:rsidP="004D06E7">
            <w:pPr>
              <w:widowControl/>
              <w:jc w:val="center"/>
              <w:rPr>
                <w:rFonts w:cs="Arial"/>
                <w:b/>
                <w:bCs/>
                <w:iCs/>
                <w:sz w:val="20"/>
              </w:rPr>
            </w:pPr>
            <w:r>
              <w:rPr>
                <w:rFonts w:cs="Arial"/>
                <w:b/>
                <w:bCs/>
                <w:iCs/>
                <w:sz w:val="20"/>
              </w:rPr>
              <w:t>Reimbursed</w:t>
            </w:r>
          </w:p>
        </w:tc>
      </w:tr>
      <w:tr w:rsidR="002C31DF" w:rsidRPr="00410D58" w14:paraId="1B86F2AF" w14:textId="77777777" w:rsidTr="004D06E7">
        <w:trPr>
          <w:trHeight w:val="70"/>
          <w:jc w:val="center"/>
        </w:trPr>
        <w:tc>
          <w:tcPr>
            <w:tcW w:w="1713" w:type="dxa"/>
            <w:vAlign w:val="bottom"/>
          </w:tcPr>
          <w:p w14:paraId="5FF71147" w14:textId="77777777" w:rsidR="002C31DF" w:rsidRPr="00980A05" w:rsidRDefault="002C31DF" w:rsidP="004D06E7">
            <w:pPr>
              <w:jc w:val="center"/>
              <w:rPr>
                <w:sz w:val="20"/>
              </w:rPr>
            </w:pPr>
            <w:r w:rsidRPr="00980A05">
              <w:rPr>
                <w:sz w:val="20"/>
              </w:rPr>
              <w:t>2015–16</w:t>
            </w:r>
          </w:p>
        </w:tc>
        <w:tc>
          <w:tcPr>
            <w:tcW w:w="2424" w:type="dxa"/>
            <w:vAlign w:val="bottom"/>
          </w:tcPr>
          <w:p w14:paraId="245EACF5" w14:textId="77777777" w:rsidR="002C31DF" w:rsidRPr="00980A05" w:rsidRDefault="002C31DF" w:rsidP="00CD4DE9">
            <w:pPr>
              <w:widowControl/>
              <w:jc w:val="center"/>
              <w:rPr>
                <w:rFonts w:cs="Arial"/>
                <w:iCs/>
                <w:sz w:val="20"/>
              </w:rPr>
            </w:pPr>
            <w:r w:rsidRPr="00980A05">
              <w:rPr>
                <w:rFonts w:cs="Arial"/>
                <w:iCs/>
                <w:sz w:val="20"/>
              </w:rPr>
              <w:t>$12.</w:t>
            </w:r>
            <w:r w:rsidR="00CD4DE9">
              <w:rPr>
                <w:rFonts w:cs="Arial"/>
                <w:iCs/>
                <w:sz w:val="20"/>
              </w:rPr>
              <w:t>3</w:t>
            </w:r>
            <w:r w:rsidRPr="00980A05">
              <w:rPr>
                <w:rFonts w:cs="Arial"/>
                <w:iCs/>
                <w:sz w:val="20"/>
              </w:rPr>
              <w:t xml:space="preserve"> million</w:t>
            </w:r>
          </w:p>
        </w:tc>
        <w:tc>
          <w:tcPr>
            <w:tcW w:w="3420" w:type="dxa"/>
            <w:vAlign w:val="center"/>
          </w:tcPr>
          <w:p w14:paraId="5F1DF683" w14:textId="77777777" w:rsidR="002C31DF" w:rsidRPr="00980A05" w:rsidRDefault="002C31DF" w:rsidP="004D06E7">
            <w:pPr>
              <w:widowControl/>
              <w:jc w:val="center"/>
              <w:rPr>
                <w:sz w:val="20"/>
              </w:rPr>
            </w:pPr>
            <w:r>
              <w:rPr>
                <w:rFonts w:cs="Arial"/>
                <w:iCs/>
                <w:sz w:val="20"/>
              </w:rPr>
              <w:t>2014–15 test administration</w:t>
            </w:r>
          </w:p>
        </w:tc>
      </w:tr>
      <w:tr w:rsidR="002C31DF" w:rsidRPr="00410D58" w14:paraId="496296DB" w14:textId="77777777" w:rsidTr="004D06E7">
        <w:trPr>
          <w:trHeight w:val="70"/>
          <w:jc w:val="center"/>
        </w:trPr>
        <w:tc>
          <w:tcPr>
            <w:tcW w:w="1713" w:type="dxa"/>
          </w:tcPr>
          <w:p w14:paraId="2318D70D" w14:textId="77777777" w:rsidR="002C31DF" w:rsidRPr="00980A05" w:rsidRDefault="002C31DF" w:rsidP="004D06E7">
            <w:pPr>
              <w:jc w:val="center"/>
              <w:rPr>
                <w:sz w:val="20"/>
              </w:rPr>
            </w:pPr>
            <w:r w:rsidRPr="00980A05">
              <w:rPr>
                <w:sz w:val="20"/>
              </w:rPr>
              <w:t>2016–17</w:t>
            </w:r>
          </w:p>
        </w:tc>
        <w:tc>
          <w:tcPr>
            <w:tcW w:w="2424" w:type="dxa"/>
            <w:vAlign w:val="center"/>
          </w:tcPr>
          <w:p w14:paraId="0AFEDF66" w14:textId="77777777" w:rsidR="002C31DF" w:rsidRPr="00980A05" w:rsidRDefault="002C31DF" w:rsidP="00CD4DE9">
            <w:pPr>
              <w:widowControl/>
              <w:jc w:val="center"/>
              <w:rPr>
                <w:rFonts w:cs="Arial"/>
                <w:iCs/>
                <w:sz w:val="20"/>
              </w:rPr>
            </w:pPr>
            <w:r w:rsidRPr="00980A05">
              <w:rPr>
                <w:rFonts w:cs="Arial"/>
                <w:iCs/>
                <w:sz w:val="20"/>
              </w:rPr>
              <w:t>$1</w:t>
            </w:r>
            <w:r w:rsidR="00E25A61">
              <w:rPr>
                <w:rFonts w:cs="Arial"/>
                <w:iCs/>
                <w:sz w:val="20"/>
              </w:rPr>
              <w:t>5</w:t>
            </w:r>
            <w:r w:rsidRPr="00980A05">
              <w:rPr>
                <w:rFonts w:cs="Arial"/>
                <w:iCs/>
                <w:sz w:val="20"/>
              </w:rPr>
              <w:t>.</w:t>
            </w:r>
            <w:r w:rsidR="00CD4DE9">
              <w:rPr>
                <w:rFonts w:cs="Arial"/>
                <w:iCs/>
                <w:sz w:val="20"/>
              </w:rPr>
              <w:t>3</w:t>
            </w:r>
            <w:r w:rsidRPr="00980A05">
              <w:rPr>
                <w:rFonts w:cs="Arial"/>
                <w:iCs/>
                <w:sz w:val="20"/>
              </w:rPr>
              <w:t xml:space="preserve"> million</w:t>
            </w:r>
          </w:p>
        </w:tc>
        <w:tc>
          <w:tcPr>
            <w:tcW w:w="3420" w:type="dxa"/>
            <w:vAlign w:val="center"/>
          </w:tcPr>
          <w:p w14:paraId="6ECCFF14" w14:textId="77777777" w:rsidR="002C31DF" w:rsidRPr="00980A05" w:rsidRDefault="002C31DF" w:rsidP="004D06E7">
            <w:pPr>
              <w:widowControl/>
              <w:jc w:val="center"/>
              <w:rPr>
                <w:rFonts w:cs="Arial"/>
                <w:iCs/>
                <w:sz w:val="20"/>
              </w:rPr>
            </w:pPr>
            <w:r>
              <w:rPr>
                <w:rFonts w:cs="Arial"/>
                <w:iCs/>
                <w:sz w:val="20"/>
              </w:rPr>
              <w:t>2015–16 test administration</w:t>
            </w:r>
          </w:p>
        </w:tc>
      </w:tr>
      <w:tr w:rsidR="002C31DF" w:rsidRPr="00410D58" w14:paraId="00D6D47A" w14:textId="77777777" w:rsidTr="004D06E7">
        <w:trPr>
          <w:trHeight w:val="70"/>
          <w:jc w:val="center"/>
        </w:trPr>
        <w:tc>
          <w:tcPr>
            <w:tcW w:w="1713" w:type="dxa"/>
          </w:tcPr>
          <w:p w14:paraId="66421B4F" w14:textId="77777777" w:rsidR="002C31DF" w:rsidRPr="00980A05" w:rsidRDefault="002C31DF" w:rsidP="004D06E7">
            <w:pPr>
              <w:jc w:val="center"/>
              <w:rPr>
                <w:sz w:val="20"/>
              </w:rPr>
            </w:pPr>
            <w:r w:rsidRPr="00980A05">
              <w:rPr>
                <w:sz w:val="20"/>
              </w:rPr>
              <w:t>2017–18</w:t>
            </w:r>
          </w:p>
        </w:tc>
        <w:tc>
          <w:tcPr>
            <w:tcW w:w="2424" w:type="dxa"/>
            <w:vAlign w:val="center"/>
          </w:tcPr>
          <w:p w14:paraId="111E980B" w14:textId="77777777" w:rsidR="002C31DF" w:rsidRPr="00980A05" w:rsidRDefault="002C31DF" w:rsidP="00CD4DE9">
            <w:pPr>
              <w:widowControl/>
              <w:jc w:val="center"/>
              <w:rPr>
                <w:rFonts w:cs="Arial"/>
                <w:iCs/>
                <w:sz w:val="20"/>
              </w:rPr>
            </w:pPr>
            <w:r w:rsidRPr="00980A05">
              <w:rPr>
                <w:rFonts w:cs="Arial"/>
                <w:iCs/>
                <w:sz w:val="20"/>
              </w:rPr>
              <w:t>$1</w:t>
            </w:r>
            <w:r w:rsidR="00E25A61">
              <w:rPr>
                <w:rFonts w:cs="Arial"/>
                <w:iCs/>
                <w:sz w:val="20"/>
              </w:rPr>
              <w:t>5</w:t>
            </w:r>
            <w:r w:rsidRPr="00980A05">
              <w:rPr>
                <w:rFonts w:cs="Arial"/>
                <w:iCs/>
                <w:sz w:val="20"/>
              </w:rPr>
              <w:t>.</w:t>
            </w:r>
            <w:r w:rsidR="00CD4DE9">
              <w:rPr>
                <w:rFonts w:cs="Arial"/>
                <w:iCs/>
                <w:sz w:val="20"/>
              </w:rPr>
              <w:t>3</w:t>
            </w:r>
            <w:r w:rsidRPr="00980A05">
              <w:rPr>
                <w:rFonts w:cs="Arial"/>
                <w:iCs/>
                <w:sz w:val="20"/>
              </w:rPr>
              <w:t xml:space="preserve"> million</w:t>
            </w:r>
          </w:p>
        </w:tc>
        <w:tc>
          <w:tcPr>
            <w:tcW w:w="3420" w:type="dxa"/>
            <w:vAlign w:val="center"/>
          </w:tcPr>
          <w:p w14:paraId="5DBB9883" w14:textId="77777777" w:rsidR="002C31DF" w:rsidRPr="00980A05" w:rsidRDefault="002C31DF" w:rsidP="004D06E7">
            <w:pPr>
              <w:widowControl/>
              <w:jc w:val="center"/>
              <w:rPr>
                <w:rFonts w:cs="Arial"/>
                <w:iCs/>
                <w:sz w:val="20"/>
              </w:rPr>
            </w:pPr>
            <w:r>
              <w:rPr>
                <w:rFonts w:cs="Arial"/>
                <w:iCs/>
                <w:sz w:val="20"/>
              </w:rPr>
              <w:t>2016–17 test administration</w:t>
            </w:r>
          </w:p>
        </w:tc>
      </w:tr>
      <w:tr w:rsidR="002C31DF" w:rsidRPr="00410D58" w14:paraId="1358DB98" w14:textId="77777777" w:rsidTr="004D06E7">
        <w:trPr>
          <w:trHeight w:val="70"/>
          <w:jc w:val="center"/>
        </w:trPr>
        <w:tc>
          <w:tcPr>
            <w:tcW w:w="1713" w:type="dxa"/>
          </w:tcPr>
          <w:p w14:paraId="4CA1FB9A" w14:textId="77777777" w:rsidR="002C31DF" w:rsidRPr="00980A05" w:rsidRDefault="002C31DF" w:rsidP="004D06E7">
            <w:pPr>
              <w:jc w:val="center"/>
              <w:rPr>
                <w:sz w:val="20"/>
              </w:rPr>
            </w:pPr>
            <w:r w:rsidRPr="00980A05">
              <w:rPr>
                <w:sz w:val="20"/>
              </w:rPr>
              <w:t>2018–19</w:t>
            </w:r>
          </w:p>
        </w:tc>
        <w:tc>
          <w:tcPr>
            <w:tcW w:w="2424" w:type="dxa"/>
          </w:tcPr>
          <w:p w14:paraId="7D3E0E05" w14:textId="77777777" w:rsidR="002C31DF" w:rsidRPr="00980A05" w:rsidRDefault="002C31DF" w:rsidP="00CD4DE9">
            <w:pPr>
              <w:widowControl/>
              <w:jc w:val="center"/>
              <w:rPr>
                <w:rFonts w:cs="Arial"/>
                <w:iCs/>
                <w:sz w:val="20"/>
              </w:rPr>
            </w:pPr>
            <w:r w:rsidRPr="00980A05">
              <w:rPr>
                <w:rFonts w:cs="Arial"/>
                <w:iCs/>
                <w:sz w:val="20"/>
              </w:rPr>
              <w:t>$1</w:t>
            </w:r>
            <w:r w:rsidR="00E25A61">
              <w:rPr>
                <w:rFonts w:cs="Arial"/>
                <w:iCs/>
                <w:sz w:val="20"/>
              </w:rPr>
              <w:t>5</w:t>
            </w:r>
            <w:r w:rsidRPr="00980A05">
              <w:rPr>
                <w:rFonts w:cs="Arial"/>
                <w:iCs/>
                <w:sz w:val="20"/>
              </w:rPr>
              <w:t>.</w:t>
            </w:r>
            <w:r w:rsidR="00CD4DE9">
              <w:rPr>
                <w:rFonts w:cs="Arial"/>
                <w:iCs/>
                <w:sz w:val="20"/>
              </w:rPr>
              <w:t>3</w:t>
            </w:r>
            <w:r w:rsidRPr="00980A05">
              <w:rPr>
                <w:rFonts w:cs="Arial"/>
                <w:iCs/>
                <w:sz w:val="20"/>
              </w:rPr>
              <w:t xml:space="preserve"> million</w:t>
            </w:r>
          </w:p>
        </w:tc>
        <w:tc>
          <w:tcPr>
            <w:tcW w:w="3420" w:type="dxa"/>
          </w:tcPr>
          <w:p w14:paraId="50ACE1A2" w14:textId="77777777" w:rsidR="002C31DF" w:rsidRPr="00980A05" w:rsidRDefault="002C31DF" w:rsidP="004D06E7">
            <w:pPr>
              <w:widowControl/>
              <w:jc w:val="center"/>
              <w:rPr>
                <w:rFonts w:cs="Arial"/>
                <w:iCs/>
                <w:sz w:val="20"/>
              </w:rPr>
            </w:pPr>
            <w:r>
              <w:rPr>
                <w:rFonts w:cs="Arial"/>
                <w:iCs/>
                <w:sz w:val="20"/>
              </w:rPr>
              <w:t>2017–18 test administration</w:t>
            </w:r>
          </w:p>
        </w:tc>
      </w:tr>
      <w:tr w:rsidR="002C31DF" w:rsidRPr="00410D58" w14:paraId="1A1BF4DF" w14:textId="77777777" w:rsidTr="004D06E7">
        <w:trPr>
          <w:trHeight w:val="70"/>
          <w:jc w:val="center"/>
        </w:trPr>
        <w:tc>
          <w:tcPr>
            <w:tcW w:w="1713" w:type="dxa"/>
          </w:tcPr>
          <w:p w14:paraId="52ED2498" w14:textId="77777777" w:rsidR="002C31DF" w:rsidRPr="00980A05" w:rsidRDefault="002C31DF" w:rsidP="004D06E7">
            <w:pPr>
              <w:jc w:val="center"/>
              <w:rPr>
                <w:sz w:val="20"/>
              </w:rPr>
            </w:pPr>
            <w:r>
              <w:rPr>
                <w:sz w:val="20"/>
              </w:rPr>
              <w:t>2019–20</w:t>
            </w:r>
          </w:p>
        </w:tc>
        <w:tc>
          <w:tcPr>
            <w:tcW w:w="2424" w:type="dxa"/>
            <w:vAlign w:val="center"/>
          </w:tcPr>
          <w:p w14:paraId="6EA1B4E8" w14:textId="77777777" w:rsidR="002C31DF" w:rsidRPr="00980A05" w:rsidRDefault="002C31DF" w:rsidP="00CD4DE9">
            <w:pPr>
              <w:widowControl/>
              <w:jc w:val="center"/>
              <w:rPr>
                <w:rFonts w:cs="Arial"/>
                <w:iCs/>
                <w:sz w:val="20"/>
              </w:rPr>
            </w:pPr>
            <w:r w:rsidRPr="00980A05">
              <w:rPr>
                <w:rFonts w:cs="Arial"/>
                <w:iCs/>
                <w:sz w:val="20"/>
              </w:rPr>
              <w:t>$1</w:t>
            </w:r>
            <w:r w:rsidR="00E25A61">
              <w:rPr>
                <w:rFonts w:cs="Arial"/>
                <w:iCs/>
                <w:sz w:val="20"/>
              </w:rPr>
              <w:t>5</w:t>
            </w:r>
            <w:r w:rsidRPr="00980A05">
              <w:rPr>
                <w:rFonts w:cs="Arial"/>
                <w:iCs/>
                <w:sz w:val="20"/>
              </w:rPr>
              <w:t>.</w:t>
            </w:r>
            <w:r w:rsidR="00CD4DE9">
              <w:rPr>
                <w:rFonts w:cs="Arial"/>
                <w:iCs/>
                <w:sz w:val="20"/>
              </w:rPr>
              <w:t>3</w:t>
            </w:r>
            <w:r w:rsidRPr="00980A05">
              <w:rPr>
                <w:rFonts w:cs="Arial"/>
                <w:iCs/>
                <w:sz w:val="20"/>
              </w:rPr>
              <w:t xml:space="preserve"> million</w:t>
            </w:r>
          </w:p>
        </w:tc>
        <w:tc>
          <w:tcPr>
            <w:tcW w:w="3420" w:type="dxa"/>
            <w:vAlign w:val="center"/>
          </w:tcPr>
          <w:p w14:paraId="4CA61261" w14:textId="77777777" w:rsidR="002C31DF" w:rsidRPr="00980A05" w:rsidRDefault="002C31DF" w:rsidP="004D06E7">
            <w:pPr>
              <w:widowControl/>
              <w:jc w:val="center"/>
              <w:rPr>
                <w:rFonts w:cs="Arial"/>
                <w:iCs/>
                <w:sz w:val="20"/>
              </w:rPr>
            </w:pPr>
            <w:r>
              <w:rPr>
                <w:rFonts w:cs="Arial"/>
                <w:iCs/>
                <w:sz w:val="20"/>
              </w:rPr>
              <w:t>2018–19 test administration</w:t>
            </w:r>
          </w:p>
        </w:tc>
      </w:tr>
    </w:tbl>
    <w:p w14:paraId="3D8DDC7D" w14:textId="77777777" w:rsidR="002C31DF" w:rsidRDefault="002C31DF" w:rsidP="002C31DF">
      <w:pPr>
        <w:widowControl/>
        <w:rPr>
          <w:rFonts w:cs="Arial"/>
          <w:b/>
          <w:bCs/>
          <w:iCs/>
          <w:szCs w:val="24"/>
        </w:rPr>
      </w:pPr>
    </w:p>
    <w:p w14:paraId="06507A36" w14:textId="77777777" w:rsidR="00C90ABD" w:rsidRDefault="00492FDA" w:rsidP="00DD4C5E">
      <w:pPr>
        <w:ind w:right="-180"/>
        <w:rPr>
          <w:rFonts w:cs="Arial"/>
        </w:rPr>
      </w:pPr>
      <w:r>
        <w:rPr>
          <w:rFonts w:cs="Arial"/>
        </w:rPr>
        <w:t xml:space="preserve">These </w:t>
      </w:r>
      <w:r w:rsidR="005F287A">
        <w:rPr>
          <w:rFonts w:cs="Arial"/>
        </w:rPr>
        <w:t>projections</w:t>
      </w:r>
      <w:r>
        <w:rPr>
          <w:rFonts w:cs="Arial"/>
        </w:rPr>
        <w:t xml:space="preserve"> are based on the current</w:t>
      </w:r>
      <w:r w:rsidR="00DE082B">
        <w:rPr>
          <w:rFonts w:cs="Arial"/>
        </w:rPr>
        <w:t>,</w:t>
      </w:r>
      <w:r>
        <w:rPr>
          <w:rFonts w:cs="Arial"/>
        </w:rPr>
        <w:t xml:space="preserve"> appro</w:t>
      </w:r>
      <w:r w:rsidR="00DD4C5E">
        <w:rPr>
          <w:rFonts w:cs="Arial"/>
        </w:rPr>
        <w:t>ved CAASPP apportionment rates.</w:t>
      </w:r>
      <w:r w:rsidR="00DD4C5E">
        <w:rPr>
          <w:rFonts w:cs="Arial"/>
        </w:rPr>
        <w:br/>
      </w:r>
      <w:r>
        <w:rPr>
          <w:rFonts w:cs="Arial"/>
        </w:rPr>
        <w:t xml:space="preserve">The SBE may modify the amount to be apportioned in </w:t>
      </w:r>
      <w:r w:rsidR="00603A70">
        <w:rPr>
          <w:rFonts w:cs="Arial"/>
        </w:rPr>
        <w:t>subsequent</w:t>
      </w:r>
      <w:r>
        <w:rPr>
          <w:rFonts w:cs="Arial"/>
        </w:rPr>
        <w:t xml:space="preserve"> years to address</w:t>
      </w:r>
      <w:r w:rsidRPr="00DE7166">
        <w:rPr>
          <w:rFonts w:cs="Arial"/>
        </w:rPr>
        <w:t xml:space="preserve"> changes to LEA test adminis</w:t>
      </w:r>
      <w:r>
        <w:rPr>
          <w:rFonts w:cs="Arial"/>
        </w:rPr>
        <w:t>tration activities</w:t>
      </w:r>
      <w:r w:rsidRPr="00DE7166">
        <w:rPr>
          <w:rFonts w:cs="Arial"/>
        </w:rPr>
        <w:t>, including, but not limited to, the number</w:t>
      </w:r>
      <w:r w:rsidR="0041676B">
        <w:rPr>
          <w:rFonts w:cs="Arial"/>
        </w:rPr>
        <w:t xml:space="preserve"> and</w:t>
      </w:r>
      <w:r w:rsidRPr="00DE7166">
        <w:rPr>
          <w:rFonts w:cs="Arial"/>
        </w:rPr>
        <w:t xml:space="preserve"> type</w:t>
      </w:r>
      <w:r w:rsidR="006876A5" w:rsidRPr="0001213B">
        <w:rPr>
          <w:rFonts w:cs="Arial"/>
        </w:rPr>
        <w:t>s</w:t>
      </w:r>
      <w:r w:rsidRPr="00DE7166">
        <w:rPr>
          <w:rFonts w:cs="Arial"/>
        </w:rPr>
        <w:t xml:space="preserve"> of tests administered</w:t>
      </w:r>
      <w:r w:rsidR="00EC0E98">
        <w:rPr>
          <w:rFonts w:cs="Arial"/>
        </w:rPr>
        <w:t xml:space="preserve"> </w:t>
      </w:r>
      <w:r w:rsidRPr="00DE7166">
        <w:rPr>
          <w:rFonts w:cs="Arial"/>
        </w:rPr>
        <w:t>and changes in computerized test registration and administration proc</w:t>
      </w:r>
      <w:r>
        <w:rPr>
          <w:rFonts w:cs="Arial"/>
        </w:rPr>
        <w:t>edures</w:t>
      </w:r>
      <w:r w:rsidRPr="00DE7166">
        <w:rPr>
          <w:rFonts w:cs="Arial"/>
        </w:rPr>
        <w:t>.</w:t>
      </w:r>
      <w:r>
        <w:rPr>
          <w:rFonts w:cs="Arial"/>
        </w:rPr>
        <w:t xml:space="preserve"> </w:t>
      </w:r>
      <w:r w:rsidRPr="00492FDA">
        <w:rPr>
          <w:rFonts w:cs="Arial"/>
        </w:rPr>
        <w:t>An</w:t>
      </w:r>
      <w:r>
        <w:rPr>
          <w:rFonts w:cs="Arial"/>
        </w:rPr>
        <w:t>y</w:t>
      </w:r>
      <w:r w:rsidRPr="00492FDA">
        <w:rPr>
          <w:rFonts w:cs="Arial"/>
        </w:rPr>
        <w:t xml:space="preserve"> adjustment to </w:t>
      </w:r>
      <w:r>
        <w:rPr>
          <w:rFonts w:cs="Arial"/>
        </w:rPr>
        <w:t xml:space="preserve">the CAASPP apportionment rates that will increase the total amount apportioned annually will require </w:t>
      </w:r>
      <w:r w:rsidRPr="00492FDA">
        <w:rPr>
          <w:rFonts w:cs="Arial"/>
        </w:rPr>
        <w:t xml:space="preserve">approval </w:t>
      </w:r>
      <w:r w:rsidR="00006D5A">
        <w:rPr>
          <w:rFonts w:cs="Arial"/>
        </w:rPr>
        <w:t>by</w:t>
      </w:r>
      <w:r>
        <w:rPr>
          <w:rFonts w:cs="Arial"/>
        </w:rPr>
        <w:t xml:space="preserve"> </w:t>
      </w:r>
      <w:r w:rsidRPr="00492FDA">
        <w:rPr>
          <w:rFonts w:cs="Arial"/>
        </w:rPr>
        <w:t>the D</w:t>
      </w:r>
      <w:r w:rsidR="0041676B">
        <w:rPr>
          <w:rFonts w:cs="Arial"/>
        </w:rPr>
        <w:t>O</w:t>
      </w:r>
      <w:r w:rsidRPr="00492FDA">
        <w:rPr>
          <w:rFonts w:cs="Arial"/>
        </w:rPr>
        <w:t>F.</w:t>
      </w:r>
      <w:r w:rsidR="00DE55E9">
        <w:rPr>
          <w:rFonts w:cs="Arial"/>
        </w:rPr>
        <w:t xml:space="preserve"> </w:t>
      </w:r>
      <w:r w:rsidR="00A74779">
        <w:rPr>
          <w:rFonts w:cs="Arial"/>
        </w:rPr>
        <w:t xml:space="preserve">The CDE </w:t>
      </w:r>
      <w:r w:rsidR="00A74779" w:rsidRPr="00A74779">
        <w:rPr>
          <w:rFonts w:cs="Arial"/>
        </w:rPr>
        <w:t>prov</w:t>
      </w:r>
      <w:r w:rsidR="00A74779">
        <w:rPr>
          <w:rFonts w:cs="Arial"/>
        </w:rPr>
        <w:t>ided the DOF</w:t>
      </w:r>
      <w:r w:rsidR="00A74779" w:rsidRPr="00A74779">
        <w:rPr>
          <w:rFonts w:cs="Arial"/>
        </w:rPr>
        <w:t xml:space="preserve"> estimated costs per each test for statewide assessment apportionments to be administered in 2015–16, including approximately $15.2 million for the CAASPP System and $8 million for CELDT apportionments, totaling approximately </w:t>
      </w:r>
      <w:r w:rsidR="00A74779" w:rsidRPr="00A74779">
        <w:rPr>
          <w:rFonts w:cs="Arial"/>
        </w:rPr>
        <w:lastRenderedPageBreak/>
        <w:t>$23.2 million</w:t>
      </w:r>
      <w:r w:rsidR="0041676B">
        <w:rPr>
          <w:rFonts w:cs="Arial"/>
        </w:rPr>
        <w:t xml:space="preserve"> </w:t>
      </w:r>
      <w:r w:rsidR="00A74779" w:rsidRPr="00A74779">
        <w:rPr>
          <w:rFonts w:cs="Arial"/>
        </w:rPr>
        <w:t xml:space="preserve">for the development of a proposed 2016–17 budget appropriation. </w:t>
      </w:r>
    </w:p>
    <w:p w14:paraId="586D1214" w14:textId="77777777" w:rsidR="00C90ABD" w:rsidRDefault="00C90ABD" w:rsidP="00DD4C5E">
      <w:pPr>
        <w:ind w:right="-180"/>
        <w:rPr>
          <w:rFonts w:cs="Arial"/>
        </w:rPr>
      </w:pPr>
    </w:p>
    <w:p w14:paraId="6B5B6666" w14:textId="77777777" w:rsidR="00492FDA" w:rsidRDefault="00A74779" w:rsidP="00DD4C5E">
      <w:pPr>
        <w:ind w:right="-180"/>
        <w:rPr>
          <w:rFonts w:cs="Arial"/>
        </w:rPr>
      </w:pPr>
      <w:r w:rsidRPr="00A74779">
        <w:rPr>
          <w:rFonts w:cs="Arial"/>
        </w:rPr>
        <w:t>Previously, a total of $23.</w:t>
      </w:r>
      <w:r w:rsidR="00A109CD">
        <w:rPr>
          <w:rFonts w:cs="Arial"/>
        </w:rPr>
        <w:t xml:space="preserve">7 million was appropriated for </w:t>
      </w:r>
      <w:r w:rsidR="00606133">
        <w:rPr>
          <w:rFonts w:cs="Arial"/>
        </w:rPr>
        <w:t>a</w:t>
      </w:r>
      <w:r w:rsidRPr="00A74779">
        <w:rPr>
          <w:rFonts w:cs="Arial"/>
        </w:rPr>
        <w:t>sses</w:t>
      </w:r>
      <w:r w:rsidR="00A109CD">
        <w:rPr>
          <w:rFonts w:cs="Arial"/>
        </w:rPr>
        <w:t xml:space="preserve">sment </w:t>
      </w:r>
      <w:r w:rsidR="00606133">
        <w:rPr>
          <w:rFonts w:cs="Arial"/>
        </w:rPr>
        <w:t>a</w:t>
      </w:r>
      <w:r w:rsidRPr="00A74779">
        <w:rPr>
          <w:rFonts w:cs="Arial"/>
        </w:rPr>
        <w:t>pportionments in the fiscal year 2015–16 for 2014–15 testing.</w:t>
      </w:r>
      <w:r w:rsidR="00595D3A">
        <w:rPr>
          <w:rFonts w:cs="Arial"/>
        </w:rPr>
        <w:t xml:space="preserve"> </w:t>
      </w:r>
      <w:r w:rsidR="00ED1C94">
        <w:rPr>
          <w:rFonts w:cs="Arial"/>
        </w:rPr>
        <w:t>The SBE approved</w:t>
      </w:r>
      <w:r w:rsidR="00831993">
        <w:rPr>
          <w:rFonts w:cs="Arial"/>
        </w:rPr>
        <w:t xml:space="preserve"> increas</w:t>
      </w:r>
      <w:r>
        <w:rPr>
          <w:rFonts w:cs="Arial"/>
        </w:rPr>
        <w:t>ing</w:t>
      </w:r>
      <w:r w:rsidR="00831993">
        <w:rPr>
          <w:rFonts w:cs="Arial"/>
        </w:rPr>
        <w:t xml:space="preserve"> </w:t>
      </w:r>
      <w:r w:rsidR="00831993">
        <w:rPr>
          <w:szCs w:val="24"/>
        </w:rPr>
        <w:t xml:space="preserve">the per </w:t>
      </w:r>
      <w:r w:rsidR="00F614EB">
        <w:rPr>
          <w:szCs w:val="24"/>
        </w:rPr>
        <w:t>student</w:t>
      </w:r>
      <w:r w:rsidR="00831993">
        <w:rPr>
          <w:szCs w:val="24"/>
        </w:rPr>
        <w:t xml:space="preserve"> rate for the Smarter Balanced </w:t>
      </w:r>
      <w:r w:rsidR="00A109CD">
        <w:rPr>
          <w:szCs w:val="24"/>
        </w:rPr>
        <w:t>S</w:t>
      </w:r>
      <w:r w:rsidR="00831993">
        <w:rPr>
          <w:szCs w:val="24"/>
        </w:rPr>
        <w:t xml:space="preserve">ummative </w:t>
      </w:r>
      <w:r w:rsidR="00A109CD">
        <w:rPr>
          <w:szCs w:val="24"/>
        </w:rPr>
        <w:t>A</w:t>
      </w:r>
      <w:r w:rsidR="00831993">
        <w:rPr>
          <w:szCs w:val="24"/>
        </w:rPr>
        <w:t>ssessments from $3 to $4 beginning with the 2015–16 test administration.</w:t>
      </w:r>
      <w:r w:rsidR="00ED1C94">
        <w:rPr>
          <w:szCs w:val="24"/>
        </w:rPr>
        <w:t xml:space="preserve"> The proposed 2016 Budget Act</w:t>
      </w:r>
      <w:r w:rsidR="00274182">
        <w:rPr>
          <w:szCs w:val="24"/>
        </w:rPr>
        <w:t xml:space="preserve"> appropriation of $22.3</w:t>
      </w:r>
      <w:r w:rsidR="00C90ABD">
        <w:rPr>
          <w:szCs w:val="24"/>
        </w:rPr>
        <w:t xml:space="preserve"> million for a</w:t>
      </w:r>
      <w:r w:rsidR="00102BFF">
        <w:rPr>
          <w:szCs w:val="24"/>
        </w:rPr>
        <w:t xml:space="preserve">ssessment </w:t>
      </w:r>
      <w:r w:rsidR="00C90ABD">
        <w:rPr>
          <w:szCs w:val="24"/>
        </w:rPr>
        <w:t>a</w:t>
      </w:r>
      <w:r w:rsidR="00102BFF">
        <w:rPr>
          <w:szCs w:val="24"/>
        </w:rPr>
        <w:t>pportionments</w:t>
      </w:r>
      <w:r w:rsidR="00ED1C94">
        <w:rPr>
          <w:szCs w:val="24"/>
        </w:rPr>
        <w:t xml:space="preserve"> includes sufficient funding for this increase.</w:t>
      </w:r>
    </w:p>
    <w:p w14:paraId="2C744ECB" w14:textId="77777777" w:rsidR="00223C22" w:rsidRDefault="00223C22" w:rsidP="00AD47E1">
      <w:pPr>
        <w:spacing w:before="120" w:after="120"/>
        <w:rPr>
          <w:rFonts w:cs="Arial"/>
          <w:iCs/>
          <w:szCs w:val="24"/>
        </w:rPr>
      </w:pPr>
    </w:p>
    <w:p w14:paraId="04FF7F6A" w14:textId="77777777" w:rsidR="0079462B" w:rsidRPr="008C65AC" w:rsidRDefault="0079462B" w:rsidP="00067EEF">
      <w:pPr>
        <w:pStyle w:val="Heading3"/>
      </w:pPr>
      <w:bookmarkStart w:id="12" w:name="_Toc505780234"/>
      <w:r w:rsidRPr="008C65AC">
        <w:t>Cost Projection Variations from Current Year and</w:t>
      </w:r>
      <w:r w:rsidR="0095247D" w:rsidRPr="008C65AC">
        <w:t>/or</w:t>
      </w:r>
      <w:r w:rsidRPr="008C65AC">
        <w:t xml:space="preserve"> Proposed Budget</w:t>
      </w:r>
      <w:bookmarkEnd w:id="12"/>
    </w:p>
    <w:p w14:paraId="58C7CBCA" w14:textId="77777777" w:rsidR="0079462B" w:rsidRPr="0013218E" w:rsidRDefault="0079462B" w:rsidP="0079462B">
      <w:pPr>
        <w:widowControl/>
        <w:rPr>
          <w:i/>
        </w:rPr>
      </w:pPr>
    </w:p>
    <w:p w14:paraId="03E1ECC3" w14:textId="77777777" w:rsidR="00C165EB" w:rsidRDefault="00C165EB" w:rsidP="00C165EB">
      <w:pPr>
        <w:widowControl/>
      </w:pPr>
      <w:r>
        <w:t>Both the 201</w:t>
      </w:r>
      <w:r w:rsidR="00B24AC2">
        <w:t>5</w:t>
      </w:r>
      <w:r>
        <w:t xml:space="preserve"> Budget Act and the 201</w:t>
      </w:r>
      <w:r w:rsidR="00B24AC2">
        <w:t>6</w:t>
      </w:r>
      <w:r>
        <w:t xml:space="preserve"> Budget Act provided sufficient funding for </w:t>
      </w:r>
      <w:r w:rsidR="00575F4E">
        <w:t>CAASPP contract costs and apportionment costs.</w:t>
      </w:r>
    </w:p>
    <w:p w14:paraId="0D44A94B" w14:textId="77777777" w:rsidR="00C165EB" w:rsidRDefault="00C165EB" w:rsidP="0079462B">
      <w:pPr>
        <w:widowControl/>
      </w:pPr>
    </w:p>
    <w:p w14:paraId="1E1F5B6B" w14:textId="77777777" w:rsidR="00A01A65" w:rsidRDefault="00575F4E" w:rsidP="0079462B">
      <w:pPr>
        <w:widowControl/>
      </w:pPr>
      <w:r>
        <w:t>The 2015 Budget Act provided</w:t>
      </w:r>
      <w:r w:rsidR="00C165EB">
        <w:t xml:space="preserve"> a total of $93,931,000 for CAASPP contract activities. </w:t>
      </w:r>
      <w:r w:rsidR="009F35B7">
        <w:br/>
      </w:r>
      <w:r w:rsidR="00A6754B">
        <w:t>A total of $93,911,413 in contract obligations</w:t>
      </w:r>
      <w:r w:rsidR="00C165EB">
        <w:t xml:space="preserve"> </w:t>
      </w:r>
      <w:r w:rsidR="00052743">
        <w:t xml:space="preserve">for the various CAASPP contracts has </w:t>
      </w:r>
      <w:r w:rsidR="00C165EB">
        <w:t xml:space="preserve">been encumbered </w:t>
      </w:r>
      <w:r w:rsidR="00052743">
        <w:t xml:space="preserve">for </w:t>
      </w:r>
      <w:r w:rsidR="00A6754B">
        <w:t>2015–16 activities.</w:t>
      </w:r>
    </w:p>
    <w:p w14:paraId="3402E20D" w14:textId="77777777" w:rsidR="00FC645B" w:rsidRDefault="00FC645B" w:rsidP="0079462B">
      <w:pPr>
        <w:widowControl/>
      </w:pPr>
    </w:p>
    <w:p w14:paraId="6DA6DFD1" w14:textId="77777777" w:rsidR="00416234" w:rsidRPr="00416234" w:rsidRDefault="00416234" w:rsidP="00416234">
      <w:pPr>
        <w:widowControl/>
      </w:pPr>
      <w:r w:rsidRPr="00416234">
        <w:t>The 201</w:t>
      </w:r>
      <w:r>
        <w:t>6</w:t>
      </w:r>
      <w:r w:rsidRPr="00416234">
        <w:t xml:space="preserve"> Budget Act provided a total of $93</w:t>
      </w:r>
      <w:r>
        <w:t xml:space="preserve">.03 million for CAASPP contract costs. </w:t>
      </w:r>
      <w:r w:rsidR="00B24AC2" w:rsidRPr="00B24AC2">
        <w:t xml:space="preserve">A total of $93,012,929 in contract obligations for the various CAASPP contracts has been encumbered for </w:t>
      </w:r>
      <w:r w:rsidR="00C90ABD">
        <w:t>2016–1</w:t>
      </w:r>
      <w:r w:rsidR="00B24AC2">
        <w:t>7</w:t>
      </w:r>
      <w:r w:rsidR="00B24AC2" w:rsidRPr="00B24AC2">
        <w:t xml:space="preserve"> activities.</w:t>
      </w:r>
    </w:p>
    <w:p w14:paraId="35E53FA0" w14:textId="77777777" w:rsidR="00416234" w:rsidRDefault="00416234" w:rsidP="0079462B">
      <w:pPr>
        <w:widowControl/>
      </w:pPr>
    </w:p>
    <w:p w14:paraId="36C6A9C7" w14:textId="77777777" w:rsidR="004F0D6B" w:rsidRDefault="004F0D6B" w:rsidP="004F0D6B">
      <w:pPr>
        <w:widowControl/>
      </w:pPr>
      <w:r>
        <w:t>The 2017 Budget Act provides a total of $87,727,000 for CAASPP contract costs</w:t>
      </w:r>
      <w:r w:rsidRPr="002A6773">
        <w:t>. A total of $8,427,000 in contract obligations for the various CAASPP contracts has been encumbered for 2017–18 activities.</w:t>
      </w:r>
      <w:r>
        <w:t xml:space="preserve"> </w:t>
      </w:r>
    </w:p>
    <w:p w14:paraId="7E6C0A29" w14:textId="77777777" w:rsidR="00A52875" w:rsidRDefault="00A52875" w:rsidP="0079462B">
      <w:pPr>
        <w:widowControl/>
      </w:pPr>
    </w:p>
    <w:p w14:paraId="11CEC30E" w14:textId="77777777" w:rsidR="00863CD8" w:rsidRPr="00831993" w:rsidRDefault="00274182" w:rsidP="00386045">
      <w:pPr>
        <w:widowControl/>
      </w:pPr>
      <w:r w:rsidRPr="00DC4B23">
        <w:t>Funding for the estimate</w:t>
      </w:r>
      <w:r w:rsidR="00C90ABD">
        <w:t>d</w:t>
      </w:r>
      <w:r w:rsidRPr="00DC4B23">
        <w:t xml:space="preserve"> $10 million</w:t>
      </w:r>
      <w:r w:rsidR="00C90ABD">
        <w:t xml:space="preserve"> to</w:t>
      </w:r>
      <w:r w:rsidRPr="00DC4B23">
        <w:t xml:space="preserve"> expan</w:t>
      </w:r>
      <w:r w:rsidR="00C90ABD">
        <w:t>d the</w:t>
      </w:r>
      <w:r w:rsidRPr="00DC4B23">
        <w:t xml:space="preserve"> CAASPP </w:t>
      </w:r>
      <w:r w:rsidR="00C90ABD">
        <w:t>was</w:t>
      </w:r>
      <w:r w:rsidRPr="00DC4B23">
        <w:t xml:space="preserve"> not included in the 2016 Budget Act</w:t>
      </w:r>
      <w:r w:rsidR="00146713">
        <w:t xml:space="preserve"> and is not included in the proposed 2017 </w:t>
      </w:r>
      <w:r w:rsidR="0056427E">
        <w:t>State b</w:t>
      </w:r>
      <w:r w:rsidR="00146713">
        <w:t>udget</w:t>
      </w:r>
      <w:r w:rsidRPr="00DC4B23">
        <w:t>. Again, cost estimates are to be finalized and included in the March 201</w:t>
      </w:r>
      <w:r w:rsidR="00606133">
        <w:t>7</w:t>
      </w:r>
      <w:r w:rsidRPr="00DC4B23">
        <w:t xml:space="preserve"> SSPI recommendations report to the Legislature for the expansion of the CAASPP System. Actual costs will not be known until contract bids are negotiated.</w:t>
      </w:r>
      <w:r w:rsidR="00F97727" w:rsidRPr="00831993">
        <w:t xml:space="preserve"> </w:t>
      </w:r>
    </w:p>
    <w:p w14:paraId="441DA2D0" w14:textId="77777777" w:rsidR="005F2472" w:rsidRDefault="005F2472" w:rsidP="0017670F">
      <w:pPr>
        <w:tabs>
          <w:tab w:val="right" w:leader="dot" w:pos="9180"/>
        </w:tabs>
        <w:ind w:left="1620" w:right="720" w:hanging="1620"/>
        <w:sectPr w:rsidR="005F2472" w:rsidSect="00974F7D">
          <w:headerReference w:type="default" r:id="rId54"/>
          <w:headerReference w:type="first" r:id="rId55"/>
          <w:pgSz w:w="12240" w:h="15840" w:code="1"/>
          <w:pgMar w:top="1440" w:right="1440" w:bottom="1440" w:left="1440" w:header="720" w:footer="720" w:gutter="0"/>
          <w:cols w:space="720"/>
          <w:titlePg/>
          <w:docGrid w:linePitch="360"/>
        </w:sectPr>
      </w:pPr>
    </w:p>
    <w:p w14:paraId="3FFBDE47" w14:textId="77777777" w:rsidR="00831993" w:rsidRPr="0013218E" w:rsidRDefault="00831993" w:rsidP="00067EEF">
      <w:pPr>
        <w:pStyle w:val="Heading3"/>
      </w:pPr>
      <w:bookmarkStart w:id="13" w:name="_Toc505780235"/>
      <w:r w:rsidRPr="0013218E">
        <w:lastRenderedPageBreak/>
        <w:t>CAASPP Timeline</w:t>
      </w:r>
      <w:bookmarkEnd w:id="13"/>
    </w:p>
    <w:p w14:paraId="3C8B2608" w14:textId="77777777" w:rsidR="00831993" w:rsidRDefault="00831993" w:rsidP="00831993">
      <w:pPr>
        <w:widowControl/>
        <w:rPr>
          <w:rFonts w:cs="Arial"/>
        </w:rPr>
      </w:pPr>
    </w:p>
    <w:p w14:paraId="413ECB63" w14:textId="77777777" w:rsidR="00831993" w:rsidRPr="00BA412F" w:rsidRDefault="00831993" w:rsidP="00831993">
      <w:pPr>
        <w:tabs>
          <w:tab w:val="right" w:leader="dot" w:pos="9180"/>
          <w:tab w:val="left" w:pos="12690"/>
        </w:tabs>
        <w:ind w:right="270"/>
        <w:rPr>
          <w:rFonts w:cs="Arial"/>
          <w:szCs w:val="24"/>
        </w:rPr>
      </w:pPr>
      <w:r w:rsidRPr="00BA412F">
        <w:rPr>
          <w:rFonts w:cs="Arial"/>
          <w:bCs/>
          <w:iCs/>
          <w:szCs w:val="24"/>
        </w:rPr>
        <w:t>Table 1</w:t>
      </w:r>
      <w:r w:rsidR="00FA0046" w:rsidRPr="00BA412F">
        <w:rPr>
          <w:rFonts w:cs="Arial"/>
          <w:bCs/>
          <w:iCs/>
          <w:szCs w:val="24"/>
        </w:rPr>
        <w:t>0</w:t>
      </w:r>
      <w:r w:rsidRPr="00BA412F">
        <w:rPr>
          <w:rFonts w:cs="Arial"/>
          <w:bCs/>
          <w:iCs/>
          <w:szCs w:val="24"/>
        </w:rPr>
        <w:t xml:space="preserve">, below, provides </w:t>
      </w:r>
      <w:r w:rsidRPr="00BA412F">
        <w:rPr>
          <w:rFonts w:cs="Arial"/>
          <w:szCs w:val="24"/>
        </w:rPr>
        <w:t>information on the assessments that are anticipated to be a part of each CAASPP test administration and the projected costs per fiscal year for the overlapping test administration activities.</w:t>
      </w:r>
    </w:p>
    <w:p w14:paraId="210D5D93" w14:textId="77777777" w:rsidR="00831993" w:rsidRPr="00BA412F" w:rsidRDefault="00831993" w:rsidP="00831993">
      <w:pPr>
        <w:tabs>
          <w:tab w:val="right" w:leader="dot" w:pos="9180"/>
          <w:tab w:val="left" w:pos="12690"/>
        </w:tabs>
        <w:ind w:right="270"/>
        <w:rPr>
          <w:szCs w:val="24"/>
        </w:rPr>
      </w:pPr>
    </w:p>
    <w:p w14:paraId="18CB8441" w14:textId="77777777" w:rsidR="0089560F" w:rsidRDefault="0041676B" w:rsidP="007F27A0">
      <w:pPr>
        <w:tabs>
          <w:tab w:val="right" w:leader="dot" w:pos="9180"/>
          <w:tab w:val="left" w:pos="12690"/>
        </w:tabs>
        <w:spacing w:after="120"/>
        <w:ind w:left="1620" w:right="270" w:hanging="1620"/>
      </w:pPr>
      <w:r w:rsidRPr="00BA412F">
        <w:rPr>
          <w:b/>
        </w:rPr>
        <w:t>T</w:t>
      </w:r>
      <w:r w:rsidR="00B3278C" w:rsidRPr="00BA412F">
        <w:rPr>
          <w:b/>
        </w:rPr>
        <w:t xml:space="preserve">able </w:t>
      </w:r>
      <w:r w:rsidR="002E1ACF" w:rsidRPr="00BA412F">
        <w:rPr>
          <w:b/>
        </w:rPr>
        <w:t>1</w:t>
      </w:r>
      <w:r w:rsidR="00FA0046" w:rsidRPr="00BA412F">
        <w:rPr>
          <w:b/>
        </w:rPr>
        <w:t>0</w:t>
      </w:r>
      <w:r w:rsidR="00715D48" w:rsidRPr="00BA412F">
        <w:rPr>
          <w:b/>
        </w:rPr>
        <w:t>.</w:t>
      </w:r>
      <w:r w:rsidR="00715D48" w:rsidRPr="00715D48">
        <w:rPr>
          <w:b/>
        </w:rPr>
        <w:t xml:space="preserve"> </w:t>
      </w:r>
      <w:r w:rsidR="00B76944" w:rsidRPr="007F27A0">
        <w:t>CAASPP</w:t>
      </w:r>
      <w:r w:rsidR="00715D48" w:rsidRPr="007F27A0">
        <w:t xml:space="preserve"> Timeline</w:t>
      </w:r>
      <w:r w:rsidR="003C4542">
        <w:t xml:space="preserve"> </w:t>
      </w:r>
    </w:p>
    <w:tbl>
      <w:tblPr>
        <w:tblStyle w:val="TableGrid"/>
        <w:tblW w:w="0" w:type="auto"/>
        <w:tblLook w:val="04A0" w:firstRow="1" w:lastRow="0" w:firstColumn="1" w:lastColumn="0" w:noHBand="0" w:noVBand="1"/>
      </w:tblPr>
      <w:tblGrid>
        <w:gridCol w:w="1295"/>
        <w:gridCol w:w="1295"/>
        <w:gridCol w:w="1295"/>
        <w:gridCol w:w="1295"/>
        <w:gridCol w:w="1295"/>
        <w:gridCol w:w="1295"/>
        <w:gridCol w:w="1295"/>
        <w:gridCol w:w="1295"/>
        <w:gridCol w:w="1295"/>
        <w:gridCol w:w="1295"/>
      </w:tblGrid>
      <w:tr w:rsidR="00A85BCD" w14:paraId="186CE3E2" w14:textId="77777777" w:rsidTr="00831993">
        <w:trPr>
          <w:trHeight w:val="260"/>
        </w:trPr>
        <w:tc>
          <w:tcPr>
            <w:tcW w:w="2590" w:type="dxa"/>
            <w:gridSpan w:val="2"/>
            <w:tcBorders>
              <w:left w:val="single" w:sz="4" w:space="0" w:color="auto"/>
              <w:bottom w:val="nil"/>
              <w:right w:val="single" w:sz="4" w:space="0" w:color="FFFFFF" w:themeColor="background1"/>
            </w:tcBorders>
            <w:shd w:val="clear" w:color="auto" w:fill="000000" w:themeFill="text1"/>
            <w:vAlign w:val="center"/>
          </w:tcPr>
          <w:p w14:paraId="529D7FC3" w14:textId="77777777" w:rsidR="00A85BCD" w:rsidRPr="00F06557" w:rsidRDefault="00A85BCD" w:rsidP="00223C22">
            <w:pPr>
              <w:jc w:val="center"/>
              <w:rPr>
                <w:b/>
                <w:sz w:val="20"/>
              </w:rPr>
            </w:pPr>
            <w:r w:rsidRPr="00F06557">
              <w:rPr>
                <w:b/>
                <w:sz w:val="20"/>
              </w:rPr>
              <w:t>Fiscal Year 2015–16</w:t>
            </w:r>
          </w:p>
        </w:tc>
        <w:tc>
          <w:tcPr>
            <w:tcW w:w="2590" w:type="dxa"/>
            <w:gridSpan w:val="2"/>
            <w:tcBorders>
              <w:left w:val="single" w:sz="4" w:space="0" w:color="FFFFFF" w:themeColor="background1"/>
              <w:bottom w:val="nil"/>
              <w:right w:val="single" w:sz="4" w:space="0" w:color="FFFFFF" w:themeColor="background1"/>
            </w:tcBorders>
            <w:shd w:val="clear" w:color="auto" w:fill="000000" w:themeFill="text1"/>
            <w:vAlign w:val="center"/>
          </w:tcPr>
          <w:p w14:paraId="7F3B46FC" w14:textId="77777777" w:rsidR="00A85BCD" w:rsidRPr="00F06557" w:rsidRDefault="00A85BCD" w:rsidP="00223C22">
            <w:pPr>
              <w:jc w:val="center"/>
              <w:rPr>
                <w:b/>
                <w:sz w:val="20"/>
              </w:rPr>
            </w:pPr>
            <w:r>
              <w:rPr>
                <w:b/>
                <w:sz w:val="20"/>
              </w:rPr>
              <w:t>Fiscal Year 2016–17</w:t>
            </w:r>
          </w:p>
        </w:tc>
        <w:tc>
          <w:tcPr>
            <w:tcW w:w="2590" w:type="dxa"/>
            <w:gridSpan w:val="2"/>
            <w:tcBorders>
              <w:left w:val="single" w:sz="4" w:space="0" w:color="FFFFFF" w:themeColor="background1"/>
              <w:bottom w:val="nil"/>
              <w:right w:val="single" w:sz="4" w:space="0" w:color="FFFFFF" w:themeColor="background1"/>
            </w:tcBorders>
            <w:shd w:val="clear" w:color="auto" w:fill="000000" w:themeFill="text1"/>
            <w:vAlign w:val="center"/>
          </w:tcPr>
          <w:p w14:paraId="201F2803" w14:textId="77777777" w:rsidR="00A85BCD" w:rsidRPr="00F06557" w:rsidRDefault="00A85BCD" w:rsidP="00223C22">
            <w:pPr>
              <w:jc w:val="center"/>
              <w:rPr>
                <w:b/>
                <w:sz w:val="20"/>
              </w:rPr>
            </w:pPr>
            <w:r>
              <w:rPr>
                <w:b/>
                <w:sz w:val="20"/>
              </w:rPr>
              <w:t>Fiscal Year 2017–18</w:t>
            </w:r>
          </w:p>
        </w:tc>
        <w:tc>
          <w:tcPr>
            <w:tcW w:w="2590" w:type="dxa"/>
            <w:gridSpan w:val="2"/>
            <w:tcBorders>
              <w:left w:val="single" w:sz="4" w:space="0" w:color="FFFFFF" w:themeColor="background1"/>
              <w:bottom w:val="nil"/>
              <w:right w:val="single" w:sz="4" w:space="0" w:color="FFFFFF" w:themeColor="background1"/>
            </w:tcBorders>
            <w:shd w:val="clear" w:color="auto" w:fill="000000" w:themeFill="text1"/>
            <w:vAlign w:val="center"/>
          </w:tcPr>
          <w:p w14:paraId="664EB54F" w14:textId="77777777" w:rsidR="00A85BCD" w:rsidRPr="00F06557" w:rsidRDefault="00A85BCD" w:rsidP="00223C22">
            <w:pPr>
              <w:jc w:val="center"/>
              <w:rPr>
                <w:b/>
                <w:sz w:val="20"/>
              </w:rPr>
            </w:pPr>
            <w:r>
              <w:rPr>
                <w:b/>
                <w:sz w:val="20"/>
              </w:rPr>
              <w:t>Fiscal Year 2018–19</w:t>
            </w:r>
          </w:p>
        </w:tc>
        <w:tc>
          <w:tcPr>
            <w:tcW w:w="2590" w:type="dxa"/>
            <w:gridSpan w:val="2"/>
            <w:tcBorders>
              <w:left w:val="single" w:sz="4" w:space="0" w:color="FFFFFF" w:themeColor="background1"/>
              <w:bottom w:val="nil"/>
            </w:tcBorders>
            <w:shd w:val="clear" w:color="auto" w:fill="000000" w:themeFill="text1"/>
            <w:vAlign w:val="center"/>
          </w:tcPr>
          <w:p w14:paraId="748E76B5" w14:textId="77777777" w:rsidR="00A85BCD" w:rsidRPr="00F06557" w:rsidRDefault="00A85BCD" w:rsidP="00223C22">
            <w:pPr>
              <w:jc w:val="center"/>
              <w:rPr>
                <w:b/>
                <w:sz w:val="20"/>
              </w:rPr>
            </w:pPr>
            <w:r>
              <w:rPr>
                <w:b/>
                <w:sz w:val="20"/>
              </w:rPr>
              <w:t>Fiscal Year 2019–20</w:t>
            </w:r>
          </w:p>
        </w:tc>
      </w:tr>
      <w:tr w:rsidR="004879AE" w14:paraId="4148F254" w14:textId="77777777" w:rsidTr="004879AE">
        <w:trPr>
          <w:trHeight w:val="70"/>
        </w:trPr>
        <w:tc>
          <w:tcPr>
            <w:tcW w:w="2590" w:type="dxa"/>
            <w:gridSpan w:val="2"/>
            <w:tcBorders>
              <w:top w:val="nil"/>
              <w:left w:val="single" w:sz="4" w:space="0" w:color="auto"/>
              <w:bottom w:val="nil"/>
              <w:right w:val="single" w:sz="4" w:space="0" w:color="auto"/>
            </w:tcBorders>
            <w:shd w:val="clear" w:color="auto" w:fill="auto"/>
          </w:tcPr>
          <w:p w14:paraId="246F1EC2" w14:textId="77777777" w:rsidR="004879AE" w:rsidRPr="00FF0F3A" w:rsidRDefault="004879AE" w:rsidP="00223C22">
            <w:pPr>
              <w:rPr>
                <w:rFonts w:ascii="Arial Narrow" w:hAnsi="Arial Narrow"/>
                <w:sz w:val="12"/>
                <w:szCs w:val="12"/>
              </w:rPr>
            </w:pPr>
          </w:p>
        </w:tc>
        <w:tc>
          <w:tcPr>
            <w:tcW w:w="2590" w:type="dxa"/>
            <w:gridSpan w:val="2"/>
            <w:vMerge w:val="restart"/>
            <w:tcBorders>
              <w:top w:val="nil"/>
              <w:left w:val="single" w:sz="4" w:space="0" w:color="auto"/>
              <w:bottom w:val="nil"/>
              <w:right w:val="single" w:sz="4" w:space="0" w:color="auto"/>
            </w:tcBorders>
          </w:tcPr>
          <w:p w14:paraId="55FBC128" w14:textId="77777777" w:rsidR="004879AE" w:rsidRPr="00FF0F3A" w:rsidRDefault="004879AE" w:rsidP="00223C22">
            <w:pPr>
              <w:rPr>
                <w:rFonts w:ascii="Arial Narrow" w:hAnsi="Arial Narrow"/>
                <w:sz w:val="12"/>
                <w:szCs w:val="12"/>
              </w:rPr>
            </w:pPr>
          </w:p>
        </w:tc>
        <w:tc>
          <w:tcPr>
            <w:tcW w:w="2590" w:type="dxa"/>
            <w:gridSpan w:val="2"/>
            <w:vMerge w:val="restart"/>
            <w:tcBorders>
              <w:top w:val="nil"/>
              <w:left w:val="single" w:sz="4" w:space="0" w:color="auto"/>
              <w:bottom w:val="nil"/>
              <w:right w:val="single" w:sz="4" w:space="0" w:color="auto"/>
            </w:tcBorders>
          </w:tcPr>
          <w:p w14:paraId="362DFCB7" w14:textId="77777777" w:rsidR="004879AE" w:rsidRPr="00FF0F3A" w:rsidRDefault="004879AE" w:rsidP="00223C22">
            <w:pPr>
              <w:rPr>
                <w:rFonts w:ascii="Arial Narrow" w:hAnsi="Arial Narrow"/>
                <w:sz w:val="12"/>
                <w:szCs w:val="12"/>
              </w:rPr>
            </w:pPr>
          </w:p>
        </w:tc>
        <w:tc>
          <w:tcPr>
            <w:tcW w:w="2590" w:type="dxa"/>
            <w:gridSpan w:val="2"/>
            <w:vMerge w:val="restart"/>
            <w:tcBorders>
              <w:top w:val="nil"/>
              <w:left w:val="single" w:sz="4" w:space="0" w:color="auto"/>
              <w:bottom w:val="nil"/>
              <w:right w:val="single" w:sz="4" w:space="0" w:color="auto"/>
            </w:tcBorders>
          </w:tcPr>
          <w:p w14:paraId="1D44C283" w14:textId="77777777" w:rsidR="004879AE" w:rsidRPr="00FF0F3A" w:rsidRDefault="004879AE" w:rsidP="00223C22">
            <w:pPr>
              <w:rPr>
                <w:rFonts w:ascii="Arial Narrow" w:hAnsi="Arial Narrow"/>
                <w:sz w:val="12"/>
                <w:szCs w:val="12"/>
              </w:rPr>
            </w:pPr>
          </w:p>
        </w:tc>
        <w:tc>
          <w:tcPr>
            <w:tcW w:w="2590" w:type="dxa"/>
            <w:gridSpan w:val="2"/>
            <w:vMerge w:val="restart"/>
            <w:tcBorders>
              <w:top w:val="nil"/>
              <w:left w:val="single" w:sz="4" w:space="0" w:color="auto"/>
              <w:bottom w:val="nil"/>
              <w:right w:val="single" w:sz="4" w:space="0" w:color="auto"/>
            </w:tcBorders>
          </w:tcPr>
          <w:p w14:paraId="71E6E0BF" w14:textId="77777777" w:rsidR="004879AE" w:rsidRPr="00FF0F3A" w:rsidRDefault="004879AE" w:rsidP="00223C22">
            <w:pPr>
              <w:rPr>
                <w:rFonts w:ascii="Arial Narrow" w:hAnsi="Arial Narrow"/>
                <w:sz w:val="12"/>
                <w:szCs w:val="12"/>
              </w:rPr>
            </w:pPr>
          </w:p>
        </w:tc>
      </w:tr>
      <w:tr w:rsidR="004879AE" w14:paraId="469FAEDD" w14:textId="77777777" w:rsidTr="00831993">
        <w:trPr>
          <w:trHeight w:val="225"/>
        </w:trPr>
        <w:tc>
          <w:tcPr>
            <w:tcW w:w="1295" w:type="dxa"/>
            <w:tcBorders>
              <w:top w:val="nil"/>
              <w:left w:val="single" w:sz="4" w:space="0" w:color="auto"/>
              <w:bottom w:val="nil"/>
              <w:right w:val="nil"/>
            </w:tcBorders>
            <w:shd w:val="clear" w:color="auto" w:fill="000000" w:themeFill="text1"/>
            <w:vAlign w:val="center"/>
          </w:tcPr>
          <w:p w14:paraId="26854C92" w14:textId="77777777" w:rsidR="004879AE" w:rsidRPr="00232698" w:rsidRDefault="004879AE" w:rsidP="004879AE">
            <w:pPr>
              <w:rPr>
                <w:rFonts w:ascii="Arial Narrow" w:hAnsi="Arial Narrow"/>
                <w:sz w:val="20"/>
              </w:rPr>
            </w:pPr>
            <w:r>
              <w:rPr>
                <w:rFonts w:ascii="Arial Narrow" w:hAnsi="Arial Narrow"/>
                <w:sz w:val="20"/>
              </w:rPr>
              <w:t>2014–15 Test</w:t>
            </w:r>
          </w:p>
        </w:tc>
        <w:tc>
          <w:tcPr>
            <w:tcW w:w="1295" w:type="dxa"/>
            <w:tcBorders>
              <w:top w:val="nil"/>
              <w:left w:val="nil"/>
              <w:bottom w:val="nil"/>
              <w:right w:val="single" w:sz="4" w:space="0" w:color="auto"/>
            </w:tcBorders>
          </w:tcPr>
          <w:p w14:paraId="62D73E86"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76869170"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23867212"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77D2E418"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70855877" w14:textId="77777777" w:rsidR="004879AE" w:rsidRPr="00232698" w:rsidRDefault="004879AE" w:rsidP="00223C22">
            <w:pPr>
              <w:rPr>
                <w:rFonts w:ascii="Arial Narrow" w:hAnsi="Arial Narrow"/>
                <w:sz w:val="20"/>
              </w:rPr>
            </w:pPr>
          </w:p>
        </w:tc>
      </w:tr>
      <w:tr w:rsidR="004879AE" w14:paraId="2B365645" w14:textId="77777777" w:rsidTr="00A84E8E">
        <w:trPr>
          <w:trHeight w:val="117"/>
        </w:trPr>
        <w:tc>
          <w:tcPr>
            <w:tcW w:w="2590" w:type="dxa"/>
            <w:gridSpan w:val="2"/>
            <w:tcBorders>
              <w:top w:val="nil"/>
              <w:left w:val="single" w:sz="4" w:space="0" w:color="auto"/>
              <w:bottom w:val="nil"/>
              <w:right w:val="single" w:sz="4" w:space="0" w:color="auto"/>
            </w:tcBorders>
            <w:shd w:val="clear" w:color="auto" w:fill="auto"/>
          </w:tcPr>
          <w:p w14:paraId="770421D5" w14:textId="77777777" w:rsidR="004879AE" w:rsidRPr="00831993" w:rsidRDefault="004879AE" w:rsidP="00223C22">
            <w:pPr>
              <w:rPr>
                <w:rFonts w:ascii="Arial Narrow" w:hAnsi="Arial Narrow"/>
                <w:sz w:val="12"/>
                <w:szCs w:val="12"/>
              </w:rPr>
            </w:pPr>
          </w:p>
        </w:tc>
        <w:tc>
          <w:tcPr>
            <w:tcW w:w="2590" w:type="dxa"/>
            <w:gridSpan w:val="2"/>
            <w:vMerge/>
            <w:tcBorders>
              <w:top w:val="nil"/>
              <w:left w:val="single" w:sz="4" w:space="0" w:color="auto"/>
              <w:bottom w:val="nil"/>
              <w:right w:val="single" w:sz="4" w:space="0" w:color="auto"/>
            </w:tcBorders>
            <w:shd w:val="clear" w:color="auto" w:fill="auto"/>
          </w:tcPr>
          <w:p w14:paraId="7492E881"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42EE8E15"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54CD80C9"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6AD291F5" w14:textId="77777777" w:rsidR="004879AE" w:rsidRPr="00232698" w:rsidRDefault="004879AE" w:rsidP="00223C22">
            <w:pPr>
              <w:rPr>
                <w:rFonts w:ascii="Arial Narrow" w:hAnsi="Arial Narrow"/>
                <w:sz w:val="20"/>
              </w:rPr>
            </w:pPr>
          </w:p>
        </w:tc>
      </w:tr>
      <w:tr w:rsidR="004879AE" w14:paraId="3C698799" w14:textId="77777777" w:rsidTr="004879AE">
        <w:tc>
          <w:tcPr>
            <w:tcW w:w="388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E986F0E" w14:textId="77777777" w:rsidR="004879AE" w:rsidRPr="00232698" w:rsidRDefault="004879AE" w:rsidP="00223C22">
            <w:pPr>
              <w:jc w:val="center"/>
              <w:rPr>
                <w:rFonts w:ascii="Arial Narrow" w:hAnsi="Arial Narrow"/>
                <w:sz w:val="20"/>
              </w:rPr>
            </w:pPr>
            <w:r>
              <w:rPr>
                <w:rFonts w:ascii="Arial Narrow" w:hAnsi="Arial Narrow"/>
                <w:sz w:val="20"/>
              </w:rPr>
              <w:t>2015–16 Test Administration</w:t>
            </w:r>
          </w:p>
        </w:tc>
        <w:tc>
          <w:tcPr>
            <w:tcW w:w="1295" w:type="dxa"/>
            <w:vMerge w:val="restart"/>
            <w:tcBorders>
              <w:top w:val="nil"/>
              <w:left w:val="single" w:sz="4" w:space="0" w:color="auto"/>
              <w:bottom w:val="nil"/>
              <w:right w:val="single" w:sz="4" w:space="0" w:color="auto"/>
            </w:tcBorders>
          </w:tcPr>
          <w:p w14:paraId="18E94BB2"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4909BCD0"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159D468A"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4DA7E0D7" w14:textId="77777777" w:rsidR="004879AE" w:rsidRPr="00232698" w:rsidRDefault="004879AE" w:rsidP="00223C22">
            <w:pPr>
              <w:rPr>
                <w:rFonts w:ascii="Arial Narrow" w:hAnsi="Arial Narrow"/>
                <w:sz w:val="20"/>
              </w:rPr>
            </w:pPr>
          </w:p>
        </w:tc>
      </w:tr>
      <w:tr w:rsidR="004879AE" w14:paraId="3BDAB584" w14:textId="77777777" w:rsidTr="004879AE">
        <w:trPr>
          <w:trHeight w:val="423"/>
        </w:trPr>
        <w:tc>
          <w:tcPr>
            <w:tcW w:w="3885" w:type="dxa"/>
            <w:gridSpan w:val="3"/>
            <w:tcBorders>
              <w:top w:val="single" w:sz="4" w:space="0" w:color="auto"/>
              <w:left w:val="single" w:sz="4" w:space="0" w:color="auto"/>
              <w:bottom w:val="single" w:sz="4" w:space="0" w:color="auto"/>
              <w:right w:val="single" w:sz="4" w:space="0" w:color="auto"/>
            </w:tcBorders>
          </w:tcPr>
          <w:p w14:paraId="3783DD36" w14:textId="77777777" w:rsidR="004879AE" w:rsidRPr="006B2CE0" w:rsidRDefault="004879AE" w:rsidP="00323C5E">
            <w:pPr>
              <w:tabs>
                <w:tab w:val="left" w:pos="787"/>
              </w:tabs>
              <w:ind w:left="787" w:hanging="787"/>
              <w:rPr>
                <w:rFonts w:ascii="Arial Narrow" w:hAnsi="Arial Narrow"/>
                <w:sz w:val="18"/>
                <w:szCs w:val="18"/>
              </w:rPr>
            </w:pPr>
            <w:r>
              <w:rPr>
                <w:rFonts w:ascii="Arial Narrow" w:hAnsi="Arial Narrow"/>
                <w:sz w:val="18"/>
                <w:szCs w:val="18"/>
              </w:rPr>
              <w:t>Administer: Smarter Balanced, CAAs, CS</w:t>
            </w:r>
            <w:r w:rsidR="00323C5E">
              <w:rPr>
                <w:rFonts w:ascii="Arial Narrow" w:hAnsi="Arial Narrow"/>
                <w:sz w:val="18"/>
                <w:szCs w:val="18"/>
              </w:rPr>
              <w:t>T</w:t>
            </w:r>
            <w:r>
              <w:rPr>
                <w:rFonts w:ascii="Arial Narrow" w:hAnsi="Arial Narrow"/>
                <w:sz w:val="18"/>
                <w:szCs w:val="18"/>
              </w:rPr>
              <w:t>s, CMA, CAPA for science, and STS</w:t>
            </w:r>
          </w:p>
        </w:tc>
        <w:tc>
          <w:tcPr>
            <w:tcW w:w="1295" w:type="dxa"/>
            <w:vMerge/>
            <w:tcBorders>
              <w:top w:val="nil"/>
              <w:left w:val="single" w:sz="4" w:space="0" w:color="auto"/>
              <w:bottom w:val="nil"/>
              <w:right w:val="single" w:sz="4" w:space="0" w:color="auto"/>
            </w:tcBorders>
          </w:tcPr>
          <w:p w14:paraId="58CA3848"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60DE0FED"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4215D4E8"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5A95B201" w14:textId="77777777" w:rsidR="004879AE" w:rsidRPr="00232698" w:rsidRDefault="004879AE" w:rsidP="00223C22">
            <w:pPr>
              <w:rPr>
                <w:rFonts w:ascii="Arial Narrow" w:hAnsi="Arial Narrow"/>
                <w:sz w:val="20"/>
              </w:rPr>
            </w:pPr>
          </w:p>
        </w:tc>
      </w:tr>
      <w:tr w:rsidR="004879AE" w:rsidRPr="00CC52AA" w14:paraId="24B94A26" w14:textId="77777777" w:rsidTr="004879AE">
        <w:tc>
          <w:tcPr>
            <w:tcW w:w="2590" w:type="dxa"/>
            <w:gridSpan w:val="2"/>
            <w:vMerge w:val="restart"/>
            <w:tcBorders>
              <w:top w:val="single" w:sz="4" w:space="0" w:color="auto"/>
              <w:left w:val="single" w:sz="4" w:space="0" w:color="auto"/>
              <w:right w:val="single" w:sz="4" w:space="0" w:color="auto"/>
            </w:tcBorders>
          </w:tcPr>
          <w:p w14:paraId="50726B09" w14:textId="77777777" w:rsidR="004879AE" w:rsidRPr="00CC52AA" w:rsidRDefault="004879AE" w:rsidP="00223C22">
            <w:pPr>
              <w:rPr>
                <w:rFonts w:ascii="Arial Narrow" w:hAnsi="Arial Narrow"/>
                <w:sz w:val="20"/>
              </w:rPr>
            </w:pPr>
          </w:p>
        </w:tc>
        <w:tc>
          <w:tcPr>
            <w:tcW w:w="2590" w:type="dxa"/>
            <w:gridSpan w:val="2"/>
            <w:tcBorders>
              <w:top w:val="nil"/>
              <w:left w:val="single" w:sz="4" w:space="0" w:color="auto"/>
              <w:bottom w:val="nil"/>
              <w:right w:val="single" w:sz="4" w:space="0" w:color="auto"/>
            </w:tcBorders>
          </w:tcPr>
          <w:p w14:paraId="50810931" w14:textId="77777777" w:rsidR="004879AE" w:rsidRPr="00831993" w:rsidRDefault="004879AE" w:rsidP="00223C22">
            <w:pPr>
              <w:rPr>
                <w:rFonts w:ascii="Arial Narrow" w:hAnsi="Arial Narrow"/>
                <w:sz w:val="12"/>
                <w:szCs w:val="12"/>
              </w:rPr>
            </w:pPr>
          </w:p>
        </w:tc>
        <w:tc>
          <w:tcPr>
            <w:tcW w:w="2590" w:type="dxa"/>
            <w:gridSpan w:val="2"/>
            <w:vMerge/>
            <w:tcBorders>
              <w:top w:val="nil"/>
              <w:left w:val="single" w:sz="4" w:space="0" w:color="auto"/>
              <w:bottom w:val="nil"/>
              <w:right w:val="single" w:sz="4" w:space="0" w:color="auto"/>
            </w:tcBorders>
          </w:tcPr>
          <w:p w14:paraId="014A7D3D" w14:textId="77777777" w:rsidR="004879AE" w:rsidRPr="00CC52AA"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21B337DF" w14:textId="77777777" w:rsidR="004879AE" w:rsidRPr="00CC52AA"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73732E04" w14:textId="77777777" w:rsidR="004879AE" w:rsidRPr="00CC52AA" w:rsidRDefault="004879AE" w:rsidP="00223C22">
            <w:pPr>
              <w:rPr>
                <w:rFonts w:ascii="Arial Narrow" w:hAnsi="Arial Narrow"/>
                <w:sz w:val="20"/>
              </w:rPr>
            </w:pPr>
          </w:p>
        </w:tc>
      </w:tr>
      <w:tr w:rsidR="004879AE" w14:paraId="6942E628" w14:textId="77777777" w:rsidTr="004879AE">
        <w:tc>
          <w:tcPr>
            <w:tcW w:w="2590" w:type="dxa"/>
            <w:gridSpan w:val="2"/>
            <w:vMerge/>
            <w:tcBorders>
              <w:left w:val="single" w:sz="4" w:space="0" w:color="auto"/>
              <w:right w:val="single" w:sz="4" w:space="0" w:color="auto"/>
            </w:tcBorders>
          </w:tcPr>
          <w:p w14:paraId="735E6B3E" w14:textId="77777777" w:rsidR="004879AE" w:rsidRPr="00232698" w:rsidRDefault="004879AE" w:rsidP="00223C22">
            <w:pPr>
              <w:rPr>
                <w:rFonts w:ascii="Arial Narrow" w:hAnsi="Arial Narrow"/>
                <w:sz w:val="20"/>
              </w:rPr>
            </w:pPr>
          </w:p>
        </w:tc>
        <w:tc>
          <w:tcPr>
            <w:tcW w:w="388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084528C1" w14:textId="77777777" w:rsidR="004879AE" w:rsidRPr="00232698" w:rsidRDefault="004879AE" w:rsidP="00223C22">
            <w:pPr>
              <w:jc w:val="center"/>
              <w:rPr>
                <w:rFonts w:ascii="Arial Narrow" w:hAnsi="Arial Narrow"/>
                <w:sz w:val="20"/>
              </w:rPr>
            </w:pPr>
            <w:r>
              <w:rPr>
                <w:rFonts w:ascii="Arial Narrow" w:hAnsi="Arial Narrow"/>
                <w:sz w:val="20"/>
              </w:rPr>
              <w:t>2016–17 Test Administration</w:t>
            </w:r>
          </w:p>
        </w:tc>
        <w:tc>
          <w:tcPr>
            <w:tcW w:w="1295" w:type="dxa"/>
            <w:vMerge w:val="restart"/>
            <w:tcBorders>
              <w:top w:val="nil"/>
              <w:left w:val="single" w:sz="4" w:space="0" w:color="auto"/>
              <w:bottom w:val="nil"/>
              <w:right w:val="single" w:sz="4" w:space="0" w:color="auto"/>
            </w:tcBorders>
          </w:tcPr>
          <w:p w14:paraId="60393812"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0E290114"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561B1D61" w14:textId="77777777" w:rsidR="004879AE" w:rsidRPr="00232698" w:rsidRDefault="004879AE" w:rsidP="00223C22">
            <w:pPr>
              <w:rPr>
                <w:rFonts w:ascii="Arial Narrow" w:hAnsi="Arial Narrow"/>
                <w:sz w:val="20"/>
              </w:rPr>
            </w:pPr>
          </w:p>
        </w:tc>
      </w:tr>
      <w:tr w:rsidR="004879AE" w14:paraId="6E2909FE" w14:textId="77777777" w:rsidTr="004879AE">
        <w:trPr>
          <w:trHeight w:val="423"/>
        </w:trPr>
        <w:tc>
          <w:tcPr>
            <w:tcW w:w="2590" w:type="dxa"/>
            <w:gridSpan w:val="2"/>
            <w:vMerge/>
            <w:tcBorders>
              <w:left w:val="single" w:sz="4" w:space="0" w:color="auto"/>
              <w:bottom w:val="single" w:sz="4" w:space="0" w:color="auto"/>
              <w:right w:val="single" w:sz="4" w:space="0" w:color="auto"/>
            </w:tcBorders>
          </w:tcPr>
          <w:p w14:paraId="46847727" w14:textId="77777777" w:rsidR="004879AE" w:rsidRPr="00232698" w:rsidRDefault="004879AE" w:rsidP="00223C22">
            <w:pPr>
              <w:rPr>
                <w:rFonts w:ascii="Arial Narrow" w:hAnsi="Arial Narrow"/>
                <w:sz w:val="20"/>
              </w:rPr>
            </w:pPr>
          </w:p>
        </w:tc>
        <w:tc>
          <w:tcPr>
            <w:tcW w:w="3885" w:type="dxa"/>
            <w:gridSpan w:val="3"/>
            <w:tcBorders>
              <w:top w:val="single" w:sz="4" w:space="0" w:color="auto"/>
              <w:left w:val="single" w:sz="4" w:space="0" w:color="auto"/>
              <w:bottom w:val="single" w:sz="4" w:space="0" w:color="auto"/>
              <w:right w:val="single" w:sz="4" w:space="0" w:color="auto"/>
            </w:tcBorders>
          </w:tcPr>
          <w:p w14:paraId="62DBFF36" w14:textId="77777777" w:rsidR="004879AE" w:rsidRPr="006B2CE0" w:rsidRDefault="004879AE" w:rsidP="004D46EC">
            <w:pPr>
              <w:rPr>
                <w:rFonts w:ascii="Arial Narrow" w:hAnsi="Arial Narrow"/>
                <w:sz w:val="20"/>
              </w:rPr>
            </w:pPr>
            <w:r>
              <w:rPr>
                <w:rFonts w:ascii="Arial Narrow" w:hAnsi="Arial Narrow"/>
                <w:sz w:val="18"/>
                <w:szCs w:val="18"/>
              </w:rPr>
              <w:t xml:space="preserve">Administer: </w:t>
            </w:r>
            <w:r w:rsidRPr="006B2CE0">
              <w:rPr>
                <w:rFonts w:ascii="Arial Narrow" w:hAnsi="Arial Narrow"/>
                <w:sz w:val="18"/>
                <w:szCs w:val="18"/>
              </w:rPr>
              <w:t>Smarter Balanced, CAA</w:t>
            </w:r>
            <w:r>
              <w:rPr>
                <w:rFonts w:ascii="Arial Narrow" w:hAnsi="Arial Narrow"/>
                <w:sz w:val="18"/>
                <w:szCs w:val="18"/>
              </w:rPr>
              <w:t>s</w:t>
            </w:r>
            <w:r w:rsidRPr="006B2CE0">
              <w:rPr>
                <w:rFonts w:ascii="Arial Narrow" w:hAnsi="Arial Narrow"/>
                <w:sz w:val="18"/>
                <w:szCs w:val="18"/>
              </w:rPr>
              <w:t xml:space="preserve">, </w:t>
            </w:r>
            <w:r w:rsidR="004D46EC">
              <w:rPr>
                <w:rFonts w:ascii="Arial Narrow" w:hAnsi="Arial Narrow"/>
                <w:sz w:val="18"/>
                <w:szCs w:val="18"/>
              </w:rPr>
              <w:t>and  STS</w:t>
            </w:r>
          </w:p>
        </w:tc>
        <w:tc>
          <w:tcPr>
            <w:tcW w:w="1295" w:type="dxa"/>
            <w:vMerge/>
            <w:tcBorders>
              <w:top w:val="nil"/>
              <w:left w:val="single" w:sz="4" w:space="0" w:color="auto"/>
              <w:bottom w:val="nil"/>
              <w:right w:val="single" w:sz="4" w:space="0" w:color="auto"/>
            </w:tcBorders>
          </w:tcPr>
          <w:p w14:paraId="2CDAB7F9"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5DD0A0E0"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27B88DEA" w14:textId="77777777" w:rsidR="004879AE" w:rsidRPr="00232698" w:rsidRDefault="004879AE" w:rsidP="00223C22">
            <w:pPr>
              <w:rPr>
                <w:rFonts w:ascii="Arial Narrow" w:hAnsi="Arial Narrow"/>
                <w:sz w:val="20"/>
              </w:rPr>
            </w:pPr>
          </w:p>
        </w:tc>
      </w:tr>
      <w:tr w:rsidR="004879AE" w14:paraId="0E5EBA86" w14:textId="77777777" w:rsidTr="004879AE">
        <w:tc>
          <w:tcPr>
            <w:tcW w:w="2590" w:type="dxa"/>
            <w:gridSpan w:val="2"/>
            <w:vMerge/>
            <w:tcBorders>
              <w:left w:val="single" w:sz="4" w:space="0" w:color="auto"/>
              <w:right w:val="single" w:sz="4" w:space="0" w:color="auto"/>
            </w:tcBorders>
          </w:tcPr>
          <w:p w14:paraId="37715A1F" w14:textId="77777777" w:rsidR="004879AE" w:rsidRPr="00232698" w:rsidRDefault="004879AE" w:rsidP="00223C22">
            <w:pPr>
              <w:rPr>
                <w:rFonts w:ascii="Arial Narrow" w:hAnsi="Arial Narrow"/>
                <w:sz w:val="20"/>
              </w:rPr>
            </w:pPr>
          </w:p>
        </w:tc>
        <w:tc>
          <w:tcPr>
            <w:tcW w:w="3885" w:type="dxa"/>
            <w:gridSpan w:val="3"/>
            <w:tcBorders>
              <w:top w:val="single" w:sz="4" w:space="0" w:color="auto"/>
              <w:left w:val="single" w:sz="4" w:space="0" w:color="auto"/>
              <w:bottom w:val="single" w:sz="4" w:space="0" w:color="auto"/>
              <w:right w:val="single" w:sz="4" w:space="0" w:color="auto"/>
            </w:tcBorders>
          </w:tcPr>
          <w:p w14:paraId="129B330D" w14:textId="77777777" w:rsidR="004879AE" w:rsidRPr="00B25626" w:rsidRDefault="004879AE" w:rsidP="00FA0046">
            <w:pPr>
              <w:tabs>
                <w:tab w:val="left" w:pos="717"/>
              </w:tabs>
              <w:ind w:left="717" w:hanging="717"/>
              <w:rPr>
                <w:rFonts w:ascii="Arial Narrow" w:hAnsi="Arial Narrow"/>
                <w:sz w:val="18"/>
                <w:szCs w:val="18"/>
              </w:rPr>
            </w:pPr>
            <w:r w:rsidRPr="00B25626">
              <w:rPr>
                <w:rFonts w:ascii="Arial Narrow" w:hAnsi="Arial Narrow"/>
                <w:sz w:val="18"/>
                <w:szCs w:val="18"/>
              </w:rPr>
              <w:t xml:space="preserve">Pilot </w:t>
            </w:r>
            <w:r w:rsidR="0041676B">
              <w:rPr>
                <w:rFonts w:ascii="Arial Narrow" w:hAnsi="Arial Narrow"/>
                <w:sz w:val="18"/>
                <w:szCs w:val="18"/>
              </w:rPr>
              <w:t>t</w:t>
            </w:r>
            <w:r w:rsidR="0041676B" w:rsidRPr="00B25626">
              <w:rPr>
                <w:rFonts w:ascii="Arial Narrow" w:hAnsi="Arial Narrow"/>
                <w:sz w:val="18"/>
                <w:szCs w:val="18"/>
              </w:rPr>
              <w:t>est</w:t>
            </w:r>
            <w:r w:rsidRPr="00B25626">
              <w:rPr>
                <w:rFonts w:ascii="Arial Narrow" w:hAnsi="Arial Narrow"/>
                <w:sz w:val="18"/>
                <w:szCs w:val="18"/>
              </w:rPr>
              <w:t>:</w:t>
            </w:r>
            <w:r>
              <w:rPr>
                <w:rFonts w:ascii="Arial Narrow" w:hAnsi="Arial Narrow"/>
                <w:sz w:val="18"/>
                <w:szCs w:val="18"/>
              </w:rPr>
              <w:t xml:space="preserve"> </w:t>
            </w:r>
            <w:r w:rsidR="002F08AC">
              <w:rPr>
                <w:rFonts w:ascii="Arial Narrow" w:hAnsi="Arial Narrow"/>
                <w:sz w:val="18"/>
                <w:szCs w:val="18"/>
              </w:rPr>
              <w:tab/>
            </w:r>
            <w:r w:rsidR="004D46EC">
              <w:rPr>
                <w:rFonts w:ascii="Arial Narrow" w:hAnsi="Arial Narrow"/>
                <w:sz w:val="18"/>
                <w:szCs w:val="18"/>
              </w:rPr>
              <w:t>CAST, CAA for Science, and CS</w:t>
            </w:r>
            <w:r w:rsidR="00FA0046">
              <w:rPr>
                <w:rFonts w:ascii="Arial Narrow" w:hAnsi="Arial Narrow"/>
                <w:sz w:val="18"/>
                <w:szCs w:val="18"/>
              </w:rPr>
              <w:t>A</w:t>
            </w:r>
          </w:p>
        </w:tc>
        <w:tc>
          <w:tcPr>
            <w:tcW w:w="1295" w:type="dxa"/>
            <w:vMerge/>
            <w:tcBorders>
              <w:top w:val="nil"/>
              <w:left w:val="single" w:sz="4" w:space="0" w:color="auto"/>
              <w:bottom w:val="nil"/>
              <w:right w:val="single" w:sz="4" w:space="0" w:color="auto"/>
            </w:tcBorders>
          </w:tcPr>
          <w:p w14:paraId="670240C1"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5C7B0D72"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77BFA660" w14:textId="77777777" w:rsidR="004879AE" w:rsidRPr="00232698" w:rsidRDefault="004879AE" w:rsidP="00223C22">
            <w:pPr>
              <w:rPr>
                <w:rFonts w:ascii="Arial Narrow" w:hAnsi="Arial Narrow"/>
                <w:sz w:val="20"/>
              </w:rPr>
            </w:pPr>
          </w:p>
        </w:tc>
      </w:tr>
      <w:tr w:rsidR="004879AE" w:rsidRPr="00CC52AA" w14:paraId="4EF36991" w14:textId="77777777" w:rsidTr="004879AE">
        <w:tc>
          <w:tcPr>
            <w:tcW w:w="2590" w:type="dxa"/>
            <w:gridSpan w:val="2"/>
            <w:vMerge/>
            <w:tcBorders>
              <w:left w:val="single" w:sz="4" w:space="0" w:color="auto"/>
              <w:right w:val="single" w:sz="4" w:space="0" w:color="auto"/>
            </w:tcBorders>
          </w:tcPr>
          <w:p w14:paraId="63264DB7" w14:textId="77777777" w:rsidR="004879AE" w:rsidRPr="00CC52AA" w:rsidRDefault="004879AE" w:rsidP="00223C22">
            <w:pPr>
              <w:rPr>
                <w:rFonts w:ascii="Arial Narrow" w:hAnsi="Arial Narrow"/>
                <w:sz w:val="20"/>
              </w:rPr>
            </w:pPr>
          </w:p>
        </w:tc>
        <w:tc>
          <w:tcPr>
            <w:tcW w:w="2590" w:type="dxa"/>
            <w:gridSpan w:val="2"/>
            <w:vMerge w:val="restart"/>
            <w:tcBorders>
              <w:top w:val="single" w:sz="4" w:space="0" w:color="auto"/>
              <w:left w:val="single" w:sz="4" w:space="0" w:color="auto"/>
              <w:right w:val="single" w:sz="4" w:space="0" w:color="auto"/>
            </w:tcBorders>
          </w:tcPr>
          <w:p w14:paraId="4F8057AC" w14:textId="77777777" w:rsidR="004879AE" w:rsidRPr="00CC52AA" w:rsidRDefault="004879AE" w:rsidP="00223C22">
            <w:pPr>
              <w:rPr>
                <w:rFonts w:ascii="Arial Narrow" w:hAnsi="Arial Narrow"/>
                <w:sz w:val="20"/>
              </w:rPr>
            </w:pPr>
          </w:p>
        </w:tc>
        <w:tc>
          <w:tcPr>
            <w:tcW w:w="2590" w:type="dxa"/>
            <w:gridSpan w:val="2"/>
            <w:tcBorders>
              <w:top w:val="nil"/>
              <w:left w:val="single" w:sz="4" w:space="0" w:color="auto"/>
              <w:bottom w:val="nil"/>
              <w:right w:val="single" w:sz="4" w:space="0" w:color="auto"/>
            </w:tcBorders>
          </w:tcPr>
          <w:p w14:paraId="09B0346F" w14:textId="77777777" w:rsidR="004879AE" w:rsidRPr="00831993" w:rsidRDefault="004879AE" w:rsidP="00223C22">
            <w:pPr>
              <w:rPr>
                <w:rFonts w:ascii="Arial Narrow" w:hAnsi="Arial Narrow"/>
                <w:sz w:val="12"/>
                <w:szCs w:val="12"/>
              </w:rPr>
            </w:pPr>
          </w:p>
        </w:tc>
        <w:tc>
          <w:tcPr>
            <w:tcW w:w="2590" w:type="dxa"/>
            <w:gridSpan w:val="2"/>
            <w:vMerge/>
            <w:tcBorders>
              <w:top w:val="nil"/>
              <w:left w:val="single" w:sz="4" w:space="0" w:color="auto"/>
              <w:bottom w:val="nil"/>
              <w:right w:val="single" w:sz="4" w:space="0" w:color="auto"/>
            </w:tcBorders>
          </w:tcPr>
          <w:p w14:paraId="47D83CB9" w14:textId="77777777" w:rsidR="004879AE" w:rsidRPr="00CC52AA"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4D9E5A1A" w14:textId="77777777" w:rsidR="004879AE" w:rsidRPr="00CC52AA" w:rsidRDefault="004879AE" w:rsidP="00223C22">
            <w:pPr>
              <w:rPr>
                <w:rFonts w:ascii="Arial Narrow" w:hAnsi="Arial Narrow"/>
                <w:sz w:val="20"/>
              </w:rPr>
            </w:pPr>
          </w:p>
        </w:tc>
      </w:tr>
      <w:tr w:rsidR="004879AE" w14:paraId="35D0B8E0" w14:textId="77777777" w:rsidTr="004879AE">
        <w:tc>
          <w:tcPr>
            <w:tcW w:w="2590" w:type="dxa"/>
            <w:gridSpan w:val="2"/>
            <w:vMerge/>
            <w:tcBorders>
              <w:left w:val="single" w:sz="4" w:space="0" w:color="auto"/>
              <w:right w:val="single" w:sz="4" w:space="0" w:color="auto"/>
            </w:tcBorders>
          </w:tcPr>
          <w:p w14:paraId="6B25BC82" w14:textId="77777777" w:rsidR="004879AE" w:rsidRPr="00232698" w:rsidRDefault="004879AE" w:rsidP="00223C22">
            <w:pPr>
              <w:rPr>
                <w:rFonts w:ascii="Arial Narrow" w:hAnsi="Arial Narrow"/>
                <w:sz w:val="20"/>
              </w:rPr>
            </w:pPr>
          </w:p>
        </w:tc>
        <w:tc>
          <w:tcPr>
            <w:tcW w:w="2590" w:type="dxa"/>
            <w:gridSpan w:val="2"/>
            <w:vMerge/>
            <w:tcBorders>
              <w:left w:val="single" w:sz="4" w:space="0" w:color="auto"/>
              <w:right w:val="single" w:sz="4" w:space="0" w:color="auto"/>
            </w:tcBorders>
          </w:tcPr>
          <w:p w14:paraId="21BDC974" w14:textId="77777777" w:rsidR="004879AE" w:rsidRPr="00232698" w:rsidRDefault="004879AE" w:rsidP="00223C22">
            <w:pPr>
              <w:rPr>
                <w:rFonts w:ascii="Arial Narrow" w:hAnsi="Arial Narrow"/>
                <w:sz w:val="20"/>
              </w:rPr>
            </w:pPr>
          </w:p>
        </w:tc>
        <w:tc>
          <w:tcPr>
            <w:tcW w:w="388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08E6354B" w14:textId="77777777" w:rsidR="004879AE" w:rsidRPr="00232698" w:rsidRDefault="004879AE" w:rsidP="00223C22">
            <w:pPr>
              <w:jc w:val="center"/>
              <w:rPr>
                <w:rFonts w:ascii="Arial Narrow" w:hAnsi="Arial Narrow"/>
                <w:sz w:val="20"/>
              </w:rPr>
            </w:pPr>
            <w:r>
              <w:rPr>
                <w:rFonts w:ascii="Arial Narrow" w:hAnsi="Arial Narrow"/>
                <w:sz w:val="20"/>
              </w:rPr>
              <w:t>2017–18 Test Administration</w:t>
            </w:r>
          </w:p>
        </w:tc>
        <w:tc>
          <w:tcPr>
            <w:tcW w:w="1295" w:type="dxa"/>
            <w:vMerge w:val="restart"/>
            <w:tcBorders>
              <w:top w:val="nil"/>
              <w:left w:val="single" w:sz="4" w:space="0" w:color="auto"/>
              <w:bottom w:val="nil"/>
              <w:right w:val="single" w:sz="4" w:space="0" w:color="auto"/>
            </w:tcBorders>
          </w:tcPr>
          <w:p w14:paraId="02974309"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7FF35A00" w14:textId="77777777" w:rsidR="004879AE" w:rsidRPr="00232698" w:rsidRDefault="004879AE" w:rsidP="00223C22">
            <w:pPr>
              <w:rPr>
                <w:rFonts w:ascii="Arial Narrow" w:hAnsi="Arial Narrow"/>
                <w:sz w:val="20"/>
              </w:rPr>
            </w:pPr>
          </w:p>
        </w:tc>
      </w:tr>
      <w:tr w:rsidR="004879AE" w14:paraId="56886625" w14:textId="77777777" w:rsidTr="004879AE">
        <w:trPr>
          <w:trHeight w:val="217"/>
        </w:trPr>
        <w:tc>
          <w:tcPr>
            <w:tcW w:w="2590" w:type="dxa"/>
            <w:gridSpan w:val="2"/>
            <w:vMerge/>
            <w:tcBorders>
              <w:left w:val="single" w:sz="4" w:space="0" w:color="auto"/>
              <w:bottom w:val="single" w:sz="4" w:space="0" w:color="auto"/>
              <w:right w:val="single" w:sz="4" w:space="0" w:color="auto"/>
            </w:tcBorders>
          </w:tcPr>
          <w:p w14:paraId="23513222" w14:textId="77777777" w:rsidR="004879AE" w:rsidRPr="00232698" w:rsidRDefault="004879AE" w:rsidP="00223C22">
            <w:pPr>
              <w:rPr>
                <w:rFonts w:ascii="Arial Narrow" w:hAnsi="Arial Narrow"/>
                <w:sz w:val="20"/>
              </w:rPr>
            </w:pPr>
          </w:p>
        </w:tc>
        <w:tc>
          <w:tcPr>
            <w:tcW w:w="2590" w:type="dxa"/>
            <w:gridSpan w:val="2"/>
            <w:vMerge/>
            <w:tcBorders>
              <w:left w:val="single" w:sz="4" w:space="0" w:color="auto"/>
              <w:bottom w:val="single" w:sz="4" w:space="0" w:color="auto"/>
              <w:right w:val="single" w:sz="4" w:space="0" w:color="auto"/>
            </w:tcBorders>
          </w:tcPr>
          <w:p w14:paraId="7CFD0423" w14:textId="77777777" w:rsidR="004879AE" w:rsidRPr="00232698" w:rsidRDefault="004879AE" w:rsidP="00223C22">
            <w:pPr>
              <w:rPr>
                <w:rFonts w:ascii="Arial Narrow" w:hAnsi="Arial Narrow"/>
                <w:sz w:val="20"/>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14:paraId="11949EFD" w14:textId="77777777" w:rsidR="004879AE" w:rsidRPr="0064782E" w:rsidRDefault="004879AE" w:rsidP="006D3A0C">
            <w:pPr>
              <w:rPr>
                <w:rFonts w:ascii="Arial Narrow" w:hAnsi="Arial Narrow"/>
                <w:sz w:val="18"/>
                <w:szCs w:val="18"/>
              </w:rPr>
            </w:pPr>
            <w:r w:rsidRPr="00F73B2C">
              <w:rPr>
                <w:rFonts w:ascii="Arial Narrow" w:hAnsi="Arial Narrow"/>
                <w:sz w:val="18"/>
                <w:szCs w:val="18"/>
              </w:rPr>
              <w:t xml:space="preserve">Administer: </w:t>
            </w:r>
            <w:r>
              <w:rPr>
                <w:rFonts w:ascii="Arial Narrow" w:hAnsi="Arial Narrow"/>
                <w:sz w:val="18"/>
                <w:szCs w:val="18"/>
              </w:rPr>
              <w:t>Smarter Balanced</w:t>
            </w:r>
            <w:r w:rsidRPr="00F73B2C">
              <w:rPr>
                <w:rFonts w:ascii="Arial Narrow" w:hAnsi="Arial Narrow"/>
                <w:sz w:val="18"/>
                <w:szCs w:val="18"/>
              </w:rPr>
              <w:t xml:space="preserve"> </w:t>
            </w:r>
            <w:r>
              <w:rPr>
                <w:rFonts w:ascii="Arial Narrow" w:hAnsi="Arial Narrow"/>
                <w:sz w:val="18"/>
                <w:szCs w:val="18"/>
              </w:rPr>
              <w:t xml:space="preserve">and </w:t>
            </w:r>
            <w:r w:rsidRPr="00F73B2C">
              <w:rPr>
                <w:rFonts w:ascii="Arial Narrow" w:hAnsi="Arial Narrow"/>
                <w:sz w:val="18"/>
                <w:szCs w:val="18"/>
              </w:rPr>
              <w:t>CAA</w:t>
            </w:r>
          </w:p>
        </w:tc>
        <w:tc>
          <w:tcPr>
            <w:tcW w:w="1295" w:type="dxa"/>
            <w:vMerge/>
            <w:tcBorders>
              <w:top w:val="nil"/>
              <w:left w:val="single" w:sz="4" w:space="0" w:color="auto"/>
              <w:bottom w:val="nil"/>
              <w:right w:val="single" w:sz="4" w:space="0" w:color="auto"/>
            </w:tcBorders>
          </w:tcPr>
          <w:p w14:paraId="0DA41586"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6ADA5F56" w14:textId="77777777" w:rsidR="004879AE" w:rsidRPr="00232698" w:rsidRDefault="004879AE" w:rsidP="00223C22">
            <w:pPr>
              <w:rPr>
                <w:rFonts w:ascii="Arial Narrow" w:hAnsi="Arial Narrow"/>
                <w:sz w:val="20"/>
              </w:rPr>
            </w:pPr>
          </w:p>
        </w:tc>
      </w:tr>
      <w:tr w:rsidR="004879AE" w14:paraId="5FAEEBAA" w14:textId="77777777" w:rsidTr="004879AE">
        <w:tc>
          <w:tcPr>
            <w:tcW w:w="2590" w:type="dxa"/>
            <w:gridSpan w:val="2"/>
            <w:vMerge/>
            <w:tcBorders>
              <w:left w:val="single" w:sz="4" w:space="0" w:color="auto"/>
              <w:right w:val="single" w:sz="4" w:space="0" w:color="auto"/>
            </w:tcBorders>
          </w:tcPr>
          <w:p w14:paraId="49C375AE" w14:textId="77777777" w:rsidR="004879AE" w:rsidRPr="00232698" w:rsidRDefault="004879AE" w:rsidP="00223C22">
            <w:pPr>
              <w:rPr>
                <w:rFonts w:ascii="Arial Narrow" w:hAnsi="Arial Narrow"/>
                <w:sz w:val="20"/>
              </w:rPr>
            </w:pPr>
          </w:p>
        </w:tc>
        <w:tc>
          <w:tcPr>
            <w:tcW w:w="2590" w:type="dxa"/>
            <w:gridSpan w:val="2"/>
            <w:vMerge/>
            <w:tcBorders>
              <w:left w:val="single" w:sz="4" w:space="0" w:color="auto"/>
              <w:right w:val="single" w:sz="4" w:space="0" w:color="auto"/>
            </w:tcBorders>
          </w:tcPr>
          <w:p w14:paraId="6A865EB0" w14:textId="77777777" w:rsidR="004879AE" w:rsidRPr="00232698" w:rsidRDefault="004879AE" w:rsidP="00223C22">
            <w:pPr>
              <w:rPr>
                <w:rFonts w:ascii="Arial Narrow" w:hAnsi="Arial Narrow"/>
                <w:sz w:val="20"/>
              </w:rPr>
            </w:pPr>
          </w:p>
        </w:tc>
        <w:tc>
          <w:tcPr>
            <w:tcW w:w="3885" w:type="dxa"/>
            <w:gridSpan w:val="3"/>
            <w:tcBorders>
              <w:top w:val="single" w:sz="4" w:space="0" w:color="auto"/>
              <w:left w:val="single" w:sz="4" w:space="0" w:color="auto"/>
              <w:bottom w:val="single" w:sz="4" w:space="0" w:color="auto"/>
              <w:right w:val="single" w:sz="4" w:space="0" w:color="auto"/>
            </w:tcBorders>
          </w:tcPr>
          <w:p w14:paraId="3FEB74E8" w14:textId="77777777" w:rsidR="004879AE" w:rsidRPr="0064782E" w:rsidRDefault="004879AE" w:rsidP="00223C22">
            <w:pPr>
              <w:rPr>
                <w:rFonts w:ascii="Arial Narrow" w:hAnsi="Arial Narrow"/>
                <w:sz w:val="18"/>
                <w:szCs w:val="18"/>
              </w:rPr>
            </w:pPr>
            <w:r w:rsidRPr="0064782E">
              <w:rPr>
                <w:rFonts w:ascii="Arial Narrow" w:hAnsi="Arial Narrow"/>
                <w:sz w:val="18"/>
                <w:szCs w:val="18"/>
              </w:rPr>
              <w:t xml:space="preserve">Pilot </w:t>
            </w:r>
            <w:r w:rsidR="0041676B">
              <w:rPr>
                <w:rFonts w:ascii="Arial Narrow" w:hAnsi="Arial Narrow"/>
                <w:sz w:val="18"/>
                <w:szCs w:val="18"/>
              </w:rPr>
              <w:t>t</w:t>
            </w:r>
            <w:r w:rsidRPr="0064782E">
              <w:rPr>
                <w:rFonts w:ascii="Arial Narrow" w:hAnsi="Arial Narrow"/>
                <w:sz w:val="18"/>
                <w:szCs w:val="18"/>
              </w:rPr>
              <w:t>est:</w:t>
            </w:r>
            <w:r>
              <w:rPr>
                <w:rFonts w:ascii="Arial Narrow" w:hAnsi="Arial Narrow"/>
                <w:sz w:val="18"/>
                <w:szCs w:val="18"/>
              </w:rPr>
              <w:t xml:space="preserve"> TBD</w:t>
            </w:r>
          </w:p>
        </w:tc>
        <w:tc>
          <w:tcPr>
            <w:tcW w:w="1295" w:type="dxa"/>
            <w:vMerge/>
            <w:tcBorders>
              <w:top w:val="nil"/>
              <w:left w:val="single" w:sz="4" w:space="0" w:color="auto"/>
              <w:bottom w:val="nil"/>
              <w:right w:val="single" w:sz="4" w:space="0" w:color="auto"/>
            </w:tcBorders>
          </w:tcPr>
          <w:p w14:paraId="46F0C27F"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1D62504A" w14:textId="77777777" w:rsidR="004879AE" w:rsidRPr="00232698" w:rsidRDefault="004879AE" w:rsidP="00223C22">
            <w:pPr>
              <w:rPr>
                <w:rFonts w:ascii="Arial Narrow" w:hAnsi="Arial Narrow"/>
                <w:sz w:val="20"/>
              </w:rPr>
            </w:pPr>
          </w:p>
        </w:tc>
      </w:tr>
      <w:tr w:rsidR="004879AE" w14:paraId="66D67EE8" w14:textId="77777777" w:rsidTr="004879AE">
        <w:tc>
          <w:tcPr>
            <w:tcW w:w="2590" w:type="dxa"/>
            <w:gridSpan w:val="2"/>
            <w:vMerge/>
            <w:tcBorders>
              <w:left w:val="single" w:sz="4" w:space="0" w:color="auto"/>
              <w:right w:val="single" w:sz="4" w:space="0" w:color="auto"/>
            </w:tcBorders>
          </w:tcPr>
          <w:p w14:paraId="5493CF38" w14:textId="77777777" w:rsidR="004879AE" w:rsidRPr="00232698" w:rsidRDefault="004879AE" w:rsidP="00223C22">
            <w:pPr>
              <w:rPr>
                <w:rFonts w:ascii="Arial Narrow" w:hAnsi="Arial Narrow"/>
                <w:sz w:val="20"/>
              </w:rPr>
            </w:pPr>
          </w:p>
        </w:tc>
        <w:tc>
          <w:tcPr>
            <w:tcW w:w="2590" w:type="dxa"/>
            <w:gridSpan w:val="2"/>
            <w:vMerge/>
            <w:tcBorders>
              <w:left w:val="single" w:sz="4" w:space="0" w:color="auto"/>
              <w:right w:val="single" w:sz="4" w:space="0" w:color="auto"/>
            </w:tcBorders>
          </w:tcPr>
          <w:p w14:paraId="458177DA" w14:textId="77777777" w:rsidR="004879AE" w:rsidRPr="00232698" w:rsidRDefault="004879AE" w:rsidP="00223C22">
            <w:pPr>
              <w:rPr>
                <w:rFonts w:ascii="Arial Narrow" w:hAnsi="Arial Narrow"/>
                <w:sz w:val="20"/>
              </w:rPr>
            </w:pPr>
          </w:p>
        </w:tc>
        <w:tc>
          <w:tcPr>
            <w:tcW w:w="3885" w:type="dxa"/>
            <w:gridSpan w:val="3"/>
            <w:tcBorders>
              <w:top w:val="single" w:sz="4" w:space="0" w:color="auto"/>
              <w:left w:val="single" w:sz="4" w:space="0" w:color="auto"/>
              <w:bottom w:val="single" w:sz="4" w:space="0" w:color="auto"/>
              <w:right w:val="single" w:sz="4" w:space="0" w:color="auto"/>
            </w:tcBorders>
          </w:tcPr>
          <w:p w14:paraId="12DFBE3D" w14:textId="77777777" w:rsidR="004879AE" w:rsidRPr="0064782E" w:rsidRDefault="004879AE" w:rsidP="00FA0046">
            <w:pPr>
              <w:ind w:left="737" w:hanging="737"/>
              <w:rPr>
                <w:rFonts w:ascii="Arial Narrow" w:hAnsi="Arial Narrow"/>
                <w:sz w:val="18"/>
                <w:szCs w:val="18"/>
              </w:rPr>
            </w:pPr>
            <w:r w:rsidRPr="00B25626">
              <w:rPr>
                <w:rFonts w:ascii="Arial Narrow" w:hAnsi="Arial Narrow"/>
                <w:sz w:val="18"/>
                <w:szCs w:val="18"/>
              </w:rPr>
              <w:t xml:space="preserve">Field </w:t>
            </w:r>
            <w:r w:rsidR="0041676B">
              <w:rPr>
                <w:rFonts w:ascii="Arial Narrow" w:hAnsi="Arial Narrow"/>
                <w:sz w:val="18"/>
                <w:szCs w:val="18"/>
              </w:rPr>
              <w:t>t</w:t>
            </w:r>
            <w:r w:rsidRPr="00B25626">
              <w:rPr>
                <w:rFonts w:ascii="Arial Narrow" w:hAnsi="Arial Narrow"/>
                <w:sz w:val="18"/>
                <w:szCs w:val="18"/>
              </w:rPr>
              <w:t>est:</w:t>
            </w:r>
            <w:r w:rsidR="003713BB">
              <w:rPr>
                <w:rFonts w:ascii="Arial Narrow" w:hAnsi="Arial Narrow"/>
                <w:sz w:val="18"/>
                <w:szCs w:val="18"/>
              </w:rPr>
              <w:tab/>
            </w:r>
            <w:r w:rsidR="004D46EC">
              <w:rPr>
                <w:rFonts w:ascii="Arial Narrow" w:hAnsi="Arial Narrow"/>
                <w:sz w:val="18"/>
                <w:szCs w:val="18"/>
              </w:rPr>
              <w:t>CAST, CAA for Science and CS</w:t>
            </w:r>
            <w:r w:rsidR="00FA0046">
              <w:rPr>
                <w:rFonts w:ascii="Arial Narrow" w:hAnsi="Arial Narrow"/>
                <w:sz w:val="18"/>
                <w:szCs w:val="18"/>
              </w:rPr>
              <w:t>A</w:t>
            </w:r>
          </w:p>
        </w:tc>
        <w:tc>
          <w:tcPr>
            <w:tcW w:w="1295" w:type="dxa"/>
            <w:vMerge/>
            <w:tcBorders>
              <w:top w:val="nil"/>
              <w:left w:val="single" w:sz="4" w:space="0" w:color="auto"/>
              <w:bottom w:val="nil"/>
              <w:right w:val="single" w:sz="4" w:space="0" w:color="auto"/>
            </w:tcBorders>
          </w:tcPr>
          <w:p w14:paraId="2C91EE0C" w14:textId="77777777" w:rsidR="004879AE" w:rsidRPr="00232698" w:rsidRDefault="004879AE" w:rsidP="00223C22">
            <w:pPr>
              <w:rPr>
                <w:rFonts w:ascii="Arial Narrow" w:hAnsi="Arial Narrow"/>
                <w:sz w:val="20"/>
              </w:rPr>
            </w:pPr>
          </w:p>
        </w:tc>
        <w:tc>
          <w:tcPr>
            <w:tcW w:w="2590" w:type="dxa"/>
            <w:gridSpan w:val="2"/>
            <w:vMerge/>
            <w:tcBorders>
              <w:top w:val="nil"/>
              <w:left w:val="single" w:sz="4" w:space="0" w:color="auto"/>
              <w:bottom w:val="nil"/>
              <w:right w:val="single" w:sz="4" w:space="0" w:color="auto"/>
            </w:tcBorders>
          </w:tcPr>
          <w:p w14:paraId="75660B90" w14:textId="77777777" w:rsidR="004879AE" w:rsidRPr="00232698" w:rsidRDefault="004879AE" w:rsidP="00223C22">
            <w:pPr>
              <w:rPr>
                <w:rFonts w:ascii="Arial Narrow" w:hAnsi="Arial Narrow"/>
                <w:sz w:val="20"/>
              </w:rPr>
            </w:pPr>
          </w:p>
        </w:tc>
      </w:tr>
      <w:tr w:rsidR="004879AE" w:rsidRPr="00CC52AA" w14:paraId="2AEC45A9" w14:textId="77777777" w:rsidTr="004879AE">
        <w:tc>
          <w:tcPr>
            <w:tcW w:w="2590" w:type="dxa"/>
            <w:gridSpan w:val="2"/>
            <w:vMerge/>
            <w:tcBorders>
              <w:left w:val="single" w:sz="4" w:space="0" w:color="auto"/>
              <w:right w:val="single" w:sz="4" w:space="0" w:color="auto"/>
            </w:tcBorders>
          </w:tcPr>
          <w:p w14:paraId="4DCF8430" w14:textId="77777777" w:rsidR="004879AE" w:rsidRPr="00CC52AA" w:rsidRDefault="004879AE" w:rsidP="00223C22">
            <w:pPr>
              <w:rPr>
                <w:rFonts w:ascii="Arial Narrow" w:hAnsi="Arial Narrow"/>
                <w:sz w:val="20"/>
              </w:rPr>
            </w:pPr>
          </w:p>
        </w:tc>
        <w:tc>
          <w:tcPr>
            <w:tcW w:w="2590" w:type="dxa"/>
            <w:gridSpan w:val="2"/>
            <w:vMerge/>
            <w:tcBorders>
              <w:left w:val="single" w:sz="4" w:space="0" w:color="auto"/>
              <w:right w:val="single" w:sz="4" w:space="0" w:color="auto"/>
            </w:tcBorders>
          </w:tcPr>
          <w:p w14:paraId="2D0F1395" w14:textId="77777777" w:rsidR="004879AE" w:rsidRPr="00CC52AA" w:rsidRDefault="004879AE" w:rsidP="00223C22">
            <w:pPr>
              <w:rPr>
                <w:rFonts w:ascii="Arial Narrow" w:hAnsi="Arial Narrow"/>
                <w:sz w:val="20"/>
              </w:rPr>
            </w:pPr>
          </w:p>
        </w:tc>
        <w:tc>
          <w:tcPr>
            <w:tcW w:w="2590" w:type="dxa"/>
            <w:gridSpan w:val="2"/>
            <w:vMerge w:val="restart"/>
            <w:tcBorders>
              <w:top w:val="single" w:sz="4" w:space="0" w:color="auto"/>
              <w:left w:val="single" w:sz="4" w:space="0" w:color="auto"/>
              <w:right w:val="single" w:sz="4" w:space="0" w:color="auto"/>
            </w:tcBorders>
          </w:tcPr>
          <w:p w14:paraId="366F156B" w14:textId="77777777" w:rsidR="004879AE" w:rsidRPr="00CC52AA" w:rsidRDefault="004879AE" w:rsidP="00223C22">
            <w:pPr>
              <w:rPr>
                <w:rFonts w:ascii="Arial Narrow" w:hAnsi="Arial Narrow"/>
                <w:sz w:val="20"/>
              </w:rPr>
            </w:pPr>
          </w:p>
        </w:tc>
        <w:tc>
          <w:tcPr>
            <w:tcW w:w="2590" w:type="dxa"/>
            <w:gridSpan w:val="2"/>
            <w:tcBorders>
              <w:top w:val="nil"/>
              <w:left w:val="single" w:sz="4" w:space="0" w:color="auto"/>
              <w:bottom w:val="nil"/>
              <w:right w:val="single" w:sz="4" w:space="0" w:color="auto"/>
            </w:tcBorders>
          </w:tcPr>
          <w:p w14:paraId="5E957EFD" w14:textId="77777777" w:rsidR="004879AE" w:rsidRPr="00831993" w:rsidRDefault="004879AE" w:rsidP="00223C22">
            <w:pPr>
              <w:rPr>
                <w:rFonts w:ascii="Arial Narrow" w:hAnsi="Arial Narrow"/>
                <w:sz w:val="12"/>
                <w:szCs w:val="12"/>
              </w:rPr>
            </w:pPr>
          </w:p>
        </w:tc>
        <w:tc>
          <w:tcPr>
            <w:tcW w:w="2590" w:type="dxa"/>
            <w:gridSpan w:val="2"/>
            <w:vMerge/>
            <w:tcBorders>
              <w:top w:val="nil"/>
              <w:left w:val="single" w:sz="4" w:space="0" w:color="auto"/>
              <w:bottom w:val="nil"/>
              <w:right w:val="single" w:sz="4" w:space="0" w:color="auto"/>
            </w:tcBorders>
          </w:tcPr>
          <w:p w14:paraId="283596F0" w14:textId="77777777" w:rsidR="004879AE" w:rsidRPr="00CC52AA" w:rsidRDefault="004879AE" w:rsidP="00223C22">
            <w:pPr>
              <w:rPr>
                <w:rFonts w:ascii="Arial Narrow" w:hAnsi="Arial Narrow"/>
                <w:sz w:val="20"/>
              </w:rPr>
            </w:pPr>
          </w:p>
        </w:tc>
      </w:tr>
      <w:tr w:rsidR="004879AE" w14:paraId="669D9C9F" w14:textId="77777777" w:rsidTr="004879AE">
        <w:tc>
          <w:tcPr>
            <w:tcW w:w="2590" w:type="dxa"/>
            <w:gridSpan w:val="2"/>
            <w:vMerge/>
            <w:tcBorders>
              <w:left w:val="single" w:sz="4" w:space="0" w:color="auto"/>
              <w:right w:val="single" w:sz="4" w:space="0" w:color="auto"/>
            </w:tcBorders>
          </w:tcPr>
          <w:p w14:paraId="45394161"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408E100A"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250A1565" w14:textId="77777777" w:rsidR="004879AE" w:rsidRPr="00ED4BBC" w:rsidRDefault="004879AE" w:rsidP="00223C22">
            <w:pPr>
              <w:rPr>
                <w:rFonts w:ascii="Arial Narrow" w:hAnsi="Arial Narrow"/>
                <w:sz w:val="18"/>
                <w:szCs w:val="18"/>
              </w:rPr>
            </w:pPr>
          </w:p>
        </w:tc>
        <w:tc>
          <w:tcPr>
            <w:tcW w:w="388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0EE37B4B" w14:textId="77777777" w:rsidR="004879AE" w:rsidRPr="00232698" w:rsidRDefault="004879AE" w:rsidP="00223C22">
            <w:pPr>
              <w:jc w:val="center"/>
              <w:rPr>
                <w:rFonts w:ascii="Arial Narrow" w:hAnsi="Arial Narrow"/>
                <w:sz w:val="20"/>
              </w:rPr>
            </w:pPr>
            <w:r>
              <w:rPr>
                <w:rFonts w:ascii="Arial Narrow" w:hAnsi="Arial Narrow"/>
                <w:sz w:val="20"/>
              </w:rPr>
              <w:t>2018–19 Test Administration</w:t>
            </w:r>
          </w:p>
        </w:tc>
        <w:tc>
          <w:tcPr>
            <w:tcW w:w="1295" w:type="dxa"/>
            <w:vMerge w:val="restart"/>
            <w:tcBorders>
              <w:top w:val="nil"/>
              <w:left w:val="single" w:sz="4" w:space="0" w:color="auto"/>
              <w:bottom w:val="nil"/>
              <w:right w:val="single" w:sz="4" w:space="0" w:color="auto"/>
            </w:tcBorders>
          </w:tcPr>
          <w:p w14:paraId="47FD972E" w14:textId="77777777" w:rsidR="004879AE" w:rsidRPr="00232698" w:rsidRDefault="004879AE" w:rsidP="00223C22">
            <w:pPr>
              <w:rPr>
                <w:rFonts w:ascii="Arial Narrow" w:hAnsi="Arial Narrow"/>
                <w:sz w:val="20"/>
              </w:rPr>
            </w:pPr>
          </w:p>
        </w:tc>
      </w:tr>
      <w:tr w:rsidR="004879AE" w14:paraId="168D5D5A" w14:textId="77777777" w:rsidTr="004879AE">
        <w:trPr>
          <w:trHeight w:val="423"/>
        </w:trPr>
        <w:tc>
          <w:tcPr>
            <w:tcW w:w="2590" w:type="dxa"/>
            <w:gridSpan w:val="2"/>
            <w:vMerge/>
            <w:tcBorders>
              <w:left w:val="single" w:sz="4" w:space="0" w:color="auto"/>
              <w:bottom w:val="single" w:sz="4" w:space="0" w:color="auto"/>
              <w:right w:val="single" w:sz="4" w:space="0" w:color="auto"/>
            </w:tcBorders>
          </w:tcPr>
          <w:p w14:paraId="478E6298"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bottom w:val="single" w:sz="4" w:space="0" w:color="auto"/>
              <w:right w:val="single" w:sz="4" w:space="0" w:color="auto"/>
            </w:tcBorders>
          </w:tcPr>
          <w:p w14:paraId="3C692B19"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bottom w:val="single" w:sz="4" w:space="0" w:color="auto"/>
              <w:right w:val="single" w:sz="4" w:space="0" w:color="auto"/>
            </w:tcBorders>
          </w:tcPr>
          <w:p w14:paraId="29A73BAB" w14:textId="77777777" w:rsidR="004879AE" w:rsidRPr="00ED4BBC" w:rsidRDefault="004879AE" w:rsidP="00223C22">
            <w:pPr>
              <w:rPr>
                <w:rFonts w:ascii="Arial Narrow" w:hAnsi="Arial Narrow"/>
                <w:sz w:val="18"/>
                <w:szCs w:val="18"/>
              </w:rPr>
            </w:pPr>
          </w:p>
        </w:tc>
        <w:tc>
          <w:tcPr>
            <w:tcW w:w="3885" w:type="dxa"/>
            <w:gridSpan w:val="3"/>
            <w:tcBorders>
              <w:top w:val="single" w:sz="4" w:space="0" w:color="auto"/>
              <w:left w:val="single" w:sz="4" w:space="0" w:color="auto"/>
              <w:bottom w:val="single" w:sz="4" w:space="0" w:color="auto"/>
              <w:right w:val="single" w:sz="4" w:space="0" w:color="auto"/>
            </w:tcBorders>
          </w:tcPr>
          <w:p w14:paraId="0FA8E3F1" w14:textId="77777777" w:rsidR="004879AE" w:rsidRPr="00232698" w:rsidRDefault="004879AE" w:rsidP="004D46EC">
            <w:pPr>
              <w:tabs>
                <w:tab w:val="left" w:pos="757"/>
              </w:tabs>
              <w:ind w:left="757" w:hanging="757"/>
              <w:rPr>
                <w:rFonts w:ascii="Arial Narrow" w:hAnsi="Arial Narrow"/>
                <w:sz w:val="20"/>
              </w:rPr>
            </w:pPr>
            <w:r w:rsidRPr="00A46528">
              <w:rPr>
                <w:rFonts w:ascii="Arial Narrow" w:hAnsi="Arial Narrow"/>
                <w:sz w:val="18"/>
                <w:szCs w:val="18"/>
              </w:rPr>
              <w:t>Administer:</w:t>
            </w:r>
            <w:r w:rsidR="003713BB">
              <w:rPr>
                <w:rFonts w:ascii="Arial Narrow" w:hAnsi="Arial Narrow"/>
                <w:sz w:val="18"/>
                <w:szCs w:val="18"/>
              </w:rPr>
              <w:tab/>
            </w:r>
            <w:r w:rsidRPr="00A46528">
              <w:rPr>
                <w:rFonts w:ascii="Arial Narrow" w:hAnsi="Arial Narrow"/>
                <w:sz w:val="18"/>
                <w:szCs w:val="18"/>
              </w:rPr>
              <w:t>Sm</w:t>
            </w:r>
            <w:r w:rsidR="00CF4FE5">
              <w:rPr>
                <w:rFonts w:ascii="Arial Narrow" w:hAnsi="Arial Narrow"/>
                <w:sz w:val="18"/>
                <w:szCs w:val="18"/>
              </w:rPr>
              <w:t xml:space="preserve">arter Balanced, CAAs, </w:t>
            </w:r>
            <w:r w:rsidR="004D46EC">
              <w:rPr>
                <w:rFonts w:ascii="Arial Narrow" w:hAnsi="Arial Narrow"/>
                <w:sz w:val="18"/>
                <w:szCs w:val="18"/>
              </w:rPr>
              <w:t>CAST, CAA for Science, and CSA</w:t>
            </w:r>
          </w:p>
        </w:tc>
        <w:tc>
          <w:tcPr>
            <w:tcW w:w="1295" w:type="dxa"/>
            <w:vMerge/>
            <w:tcBorders>
              <w:top w:val="nil"/>
              <w:left w:val="single" w:sz="4" w:space="0" w:color="auto"/>
              <w:bottom w:val="nil"/>
              <w:right w:val="single" w:sz="4" w:space="0" w:color="auto"/>
            </w:tcBorders>
          </w:tcPr>
          <w:p w14:paraId="5D3D5FB4" w14:textId="77777777" w:rsidR="004879AE" w:rsidRPr="00232698" w:rsidRDefault="004879AE" w:rsidP="00223C22">
            <w:pPr>
              <w:rPr>
                <w:rFonts w:ascii="Arial Narrow" w:hAnsi="Arial Narrow"/>
                <w:sz w:val="20"/>
              </w:rPr>
            </w:pPr>
          </w:p>
        </w:tc>
      </w:tr>
      <w:tr w:rsidR="004879AE" w14:paraId="330AB2AF" w14:textId="77777777" w:rsidTr="004879AE">
        <w:tc>
          <w:tcPr>
            <w:tcW w:w="2590" w:type="dxa"/>
            <w:gridSpan w:val="2"/>
            <w:vMerge/>
            <w:tcBorders>
              <w:left w:val="single" w:sz="4" w:space="0" w:color="auto"/>
              <w:right w:val="single" w:sz="4" w:space="0" w:color="auto"/>
            </w:tcBorders>
          </w:tcPr>
          <w:p w14:paraId="4842FAD2"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4C9D1BD0"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4240C604" w14:textId="77777777" w:rsidR="004879AE" w:rsidRPr="00ED4BBC" w:rsidRDefault="004879AE" w:rsidP="00223C22">
            <w:pPr>
              <w:rPr>
                <w:rFonts w:ascii="Arial Narrow" w:hAnsi="Arial Narrow"/>
                <w:sz w:val="18"/>
                <w:szCs w:val="18"/>
              </w:rPr>
            </w:pPr>
          </w:p>
        </w:tc>
        <w:tc>
          <w:tcPr>
            <w:tcW w:w="3885" w:type="dxa"/>
            <w:gridSpan w:val="3"/>
            <w:tcBorders>
              <w:top w:val="single" w:sz="4" w:space="0" w:color="auto"/>
              <w:left w:val="single" w:sz="4" w:space="0" w:color="auto"/>
              <w:bottom w:val="single" w:sz="4" w:space="0" w:color="auto"/>
              <w:right w:val="single" w:sz="4" w:space="0" w:color="auto"/>
            </w:tcBorders>
          </w:tcPr>
          <w:p w14:paraId="49F95DEC" w14:textId="77777777" w:rsidR="004879AE" w:rsidRPr="00232698" w:rsidRDefault="004879AE" w:rsidP="00223C22">
            <w:pPr>
              <w:rPr>
                <w:rFonts w:ascii="Arial Narrow" w:hAnsi="Arial Narrow"/>
                <w:sz w:val="20"/>
              </w:rPr>
            </w:pPr>
            <w:r w:rsidRPr="0064782E">
              <w:rPr>
                <w:rFonts w:ascii="Arial Narrow" w:hAnsi="Arial Narrow"/>
                <w:sz w:val="18"/>
                <w:szCs w:val="18"/>
              </w:rPr>
              <w:t>Pilot Test:</w:t>
            </w:r>
            <w:r>
              <w:rPr>
                <w:rFonts w:ascii="Arial Narrow" w:hAnsi="Arial Narrow"/>
                <w:sz w:val="18"/>
                <w:szCs w:val="18"/>
              </w:rPr>
              <w:t xml:space="preserve"> TBD</w:t>
            </w:r>
          </w:p>
        </w:tc>
        <w:tc>
          <w:tcPr>
            <w:tcW w:w="1295" w:type="dxa"/>
            <w:vMerge/>
            <w:tcBorders>
              <w:top w:val="nil"/>
              <w:left w:val="single" w:sz="4" w:space="0" w:color="auto"/>
              <w:bottom w:val="nil"/>
              <w:right w:val="single" w:sz="4" w:space="0" w:color="auto"/>
            </w:tcBorders>
          </w:tcPr>
          <w:p w14:paraId="7E94F1BC" w14:textId="77777777" w:rsidR="004879AE" w:rsidRPr="00232698" w:rsidRDefault="004879AE" w:rsidP="00223C22">
            <w:pPr>
              <w:rPr>
                <w:rFonts w:ascii="Arial Narrow" w:hAnsi="Arial Narrow"/>
                <w:sz w:val="20"/>
              </w:rPr>
            </w:pPr>
          </w:p>
        </w:tc>
      </w:tr>
      <w:tr w:rsidR="004879AE" w14:paraId="7DB6D7B0" w14:textId="77777777" w:rsidTr="004879AE">
        <w:tc>
          <w:tcPr>
            <w:tcW w:w="2590" w:type="dxa"/>
            <w:gridSpan w:val="2"/>
            <w:vMerge/>
            <w:tcBorders>
              <w:left w:val="single" w:sz="4" w:space="0" w:color="auto"/>
              <w:right w:val="single" w:sz="4" w:space="0" w:color="auto"/>
            </w:tcBorders>
          </w:tcPr>
          <w:p w14:paraId="3C75A0F1"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07AC0E54"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6EAE58A5" w14:textId="77777777" w:rsidR="004879AE" w:rsidRPr="00ED4BBC" w:rsidRDefault="004879AE" w:rsidP="00223C22">
            <w:pPr>
              <w:rPr>
                <w:rFonts w:ascii="Arial Narrow" w:hAnsi="Arial Narrow"/>
                <w:sz w:val="18"/>
                <w:szCs w:val="18"/>
              </w:rPr>
            </w:pPr>
          </w:p>
        </w:tc>
        <w:tc>
          <w:tcPr>
            <w:tcW w:w="3885" w:type="dxa"/>
            <w:gridSpan w:val="3"/>
            <w:tcBorders>
              <w:top w:val="single" w:sz="4" w:space="0" w:color="auto"/>
              <w:left w:val="single" w:sz="4" w:space="0" w:color="auto"/>
              <w:bottom w:val="single" w:sz="4" w:space="0" w:color="auto"/>
              <w:right w:val="single" w:sz="4" w:space="0" w:color="auto"/>
            </w:tcBorders>
          </w:tcPr>
          <w:p w14:paraId="318BB19F" w14:textId="77777777" w:rsidR="004879AE" w:rsidRPr="00232698" w:rsidRDefault="004879AE" w:rsidP="00223C22">
            <w:pPr>
              <w:rPr>
                <w:rFonts w:ascii="Arial Narrow" w:hAnsi="Arial Narrow"/>
                <w:sz w:val="20"/>
              </w:rPr>
            </w:pPr>
            <w:r w:rsidRPr="00B25626">
              <w:rPr>
                <w:rFonts w:ascii="Arial Narrow" w:hAnsi="Arial Narrow"/>
                <w:sz w:val="18"/>
                <w:szCs w:val="18"/>
              </w:rPr>
              <w:t>Field Test:</w:t>
            </w:r>
            <w:r>
              <w:rPr>
                <w:rFonts w:ascii="Arial Narrow" w:hAnsi="Arial Narrow"/>
                <w:sz w:val="18"/>
                <w:szCs w:val="18"/>
              </w:rPr>
              <w:t xml:space="preserve"> TBD</w:t>
            </w:r>
          </w:p>
        </w:tc>
        <w:tc>
          <w:tcPr>
            <w:tcW w:w="1295" w:type="dxa"/>
            <w:vMerge/>
            <w:tcBorders>
              <w:top w:val="nil"/>
              <w:left w:val="single" w:sz="4" w:space="0" w:color="auto"/>
              <w:bottom w:val="nil"/>
              <w:right w:val="single" w:sz="4" w:space="0" w:color="auto"/>
            </w:tcBorders>
          </w:tcPr>
          <w:p w14:paraId="5729E804" w14:textId="77777777" w:rsidR="004879AE" w:rsidRPr="00232698" w:rsidRDefault="004879AE" w:rsidP="00223C22">
            <w:pPr>
              <w:rPr>
                <w:rFonts w:ascii="Arial Narrow" w:hAnsi="Arial Narrow"/>
                <w:sz w:val="20"/>
              </w:rPr>
            </w:pPr>
          </w:p>
        </w:tc>
      </w:tr>
      <w:tr w:rsidR="004879AE" w14:paraId="3B28947B" w14:textId="77777777" w:rsidTr="004879AE">
        <w:tc>
          <w:tcPr>
            <w:tcW w:w="2590" w:type="dxa"/>
            <w:gridSpan w:val="2"/>
            <w:vMerge/>
            <w:tcBorders>
              <w:left w:val="single" w:sz="4" w:space="0" w:color="auto"/>
              <w:right w:val="single" w:sz="4" w:space="0" w:color="auto"/>
            </w:tcBorders>
          </w:tcPr>
          <w:p w14:paraId="6A7D6CE7"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68C7BE65"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51E018C9" w14:textId="77777777" w:rsidR="004879AE" w:rsidRPr="00ED4BBC" w:rsidRDefault="004879AE" w:rsidP="00223C22">
            <w:pPr>
              <w:rPr>
                <w:rFonts w:ascii="Arial Narrow" w:hAnsi="Arial Narrow"/>
                <w:sz w:val="18"/>
                <w:szCs w:val="18"/>
              </w:rPr>
            </w:pPr>
          </w:p>
        </w:tc>
        <w:tc>
          <w:tcPr>
            <w:tcW w:w="2590" w:type="dxa"/>
            <w:gridSpan w:val="2"/>
            <w:vMerge w:val="restart"/>
            <w:tcBorders>
              <w:top w:val="single" w:sz="4" w:space="0" w:color="auto"/>
              <w:left w:val="single" w:sz="4" w:space="0" w:color="auto"/>
              <w:right w:val="single" w:sz="4" w:space="0" w:color="auto"/>
            </w:tcBorders>
          </w:tcPr>
          <w:p w14:paraId="1D23A6AC" w14:textId="77777777" w:rsidR="004879AE" w:rsidRPr="00232698" w:rsidRDefault="004879AE" w:rsidP="00223C22">
            <w:pPr>
              <w:rPr>
                <w:rFonts w:ascii="Arial Narrow" w:hAnsi="Arial Narrow"/>
                <w:sz w:val="20"/>
              </w:rPr>
            </w:pPr>
          </w:p>
        </w:tc>
        <w:tc>
          <w:tcPr>
            <w:tcW w:w="2590" w:type="dxa"/>
            <w:gridSpan w:val="2"/>
            <w:tcBorders>
              <w:top w:val="nil"/>
              <w:left w:val="single" w:sz="4" w:space="0" w:color="auto"/>
              <w:bottom w:val="single" w:sz="4" w:space="0" w:color="auto"/>
              <w:right w:val="single" w:sz="4" w:space="0" w:color="auto"/>
            </w:tcBorders>
          </w:tcPr>
          <w:p w14:paraId="7BBDCB2E" w14:textId="77777777" w:rsidR="004879AE" w:rsidRPr="00831993" w:rsidRDefault="004879AE" w:rsidP="00223C22">
            <w:pPr>
              <w:rPr>
                <w:rFonts w:ascii="Arial Narrow" w:hAnsi="Arial Narrow"/>
                <w:sz w:val="12"/>
                <w:szCs w:val="12"/>
              </w:rPr>
            </w:pPr>
          </w:p>
        </w:tc>
      </w:tr>
      <w:tr w:rsidR="004879AE" w14:paraId="563ECD2F" w14:textId="77777777" w:rsidTr="00FD4859">
        <w:tc>
          <w:tcPr>
            <w:tcW w:w="2590" w:type="dxa"/>
            <w:gridSpan w:val="2"/>
            <w:vMerge/>
            <w:tcBorders>
              <w:left w:val="single" w:sz="4" w:space="0" w:color="auto"/>
              <w:right w:val="single" w:sz="4" w:space="0" w:color="auto"/>
            </w:tcBorders>
          </w:tcPr>
          <w:p w14:paraId="1ED4F466"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6AB0ABFE"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16C31F4B" w14:textId="77777777" w:rsidR="004879AE" w:rsidRPr="00ED4BBC" w:rsidRDefault="004879AE"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569448ED" w14:textId="77777777" w:rsidR="004879AE" w:rsidRPr="00232698" w:rsidRDefault="004879AE" w:rsidP="00223C22">
            <w:pPr>
              <w:rPr>
                <w:rFonts w:ascii="Arial Narrow" w:hAnsi="Arial Narrow"/>
                <w:sz w:val="20"/>
              </w:rPr>
            </w:pPr>
          </w:p>
        </w:tc>
        <w:tc>
          <w:tcPr>
            <w:tcW w:w="259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1BE8D48" w14:textId="77777777" w:rsidR="004879AE" w:rsidRPr="00232698" w:rsidRDefault="004879AE" w:rsidP="00223C22">
            <w:pPr>
              <w:jc w:val="center"/>
              <w:rPr>
                <w:rFonts w:ascii="Arial Narrow" w:hAnsi="Arial Narrow"/>
                <w:sz w:val="20"/>
              </w:rPr>
            </w:pPr>
            <w:r>
              <w:rPr>
                <w:rFonts w:ascii="Arial Narrow" w:hAnsi="Arial Narrow"/>
                <w:sz w:val="20"/>
              </w:rPr>
              <w:t>2019–20 Test Administration</w:t>
            </w:r>
          </w:p>
        </w:tc>
      </w:tr>
      <w:tr w:rsidR="00E4516A" w14:paraId="2C2CD673" w14:textId="77777777" w:rsidTr="007F27A0">
        <w:trPr>
          <w:trHeight w:val="287"/>
        </w:trPr>
        <w:tc>
          <w:tcPr>
            <w:tcW w:w="2590" w:type="dxa"/>
            <w:gridSpan w:val="2"/>
            <w:vMerge/>
            <w:tcBorders>
              <w:left w:val="single" w:sz="4" w:space="0" w:color="auto"/>
              <w:bottom w:val="single" w:sz="4" w:space="0" w:color="auto"/>
              <w:right w:val="single" w:sz="4" w:space="0" w:color="auto"/>
            </w:tcBorders>
          </w:tcPr>
          <w:p w14:paraId="42526F99" w14:textId="77777777" w:rsidR="00E4516A" w:rsidRPr="00ED4BBC" w:rsidRDefault="00E4516A" w:rsidP="00223C22">
            <w:pPr>
              <w:rPr>
                <w:rFonts w:ascii="Arial Narrow" w:hAnsi="Arial Narrow"/>
                <w:sz w:val="18"/>
                <w:szCs w:val="18"/>
              </w:rPr>
            </w:pPr>
          </w:p>
        </w:tc>
        <w:tc>
          <w:tcPr>
            <w:tcW w:w="2590" w:type="dxa"/>
            <w:gridSpan w:val="2"/>
            <w:vMerge/>
            <w:tcBorders>
              <w:left w:val="single" w:sz="4" w:space="0" w:color="auto"/>
              <w:bottom w:val="single" w:sz="4" w:space="0" w:color="auto"/>
              <w:right w:val="single" w:sz="4" w:space="0" w:color="auto"/>
            </w:tcBorders>
          </w:tcPr>
          <w:p w14:paraId="6F900D28" w14:textId="77777777" w:rsidR="00E4516A" w:rsidRPr="00ED4BBC" w:rsidRDefault="00E4516A" w:rsidP="00223C22">
            <w:pPr>
              <w:rPr>
                <w:rFonts w:ascii="Arial Narrow" w:hAnsi="Arial Narrow"/>
                <w:sz w:val="18"/>
                <w:szCs w:val="18"/>
              </w:rPr>
            </w:pPr>
          </w:p>
        </w:tc>
        <w:tc>
          <w:tcPr>
            <w:tcW w:w="2590" w:type="dxa"/>
            <w:gridSpan w:val="2"/>
            <w:vMerge/>
            <w:tcBorders>
              <w:left w:val="single" w:sz="4" w:space="0" w:color="auto"/>
              <w:bottom w:val="single" w:sz="4" w:space="0" w:color="auto"/>
              <w:right w:val="single" w:sz="4" w:space="0" w:color="auto"/>
            </w:tcBorders>
          </w:tcPr>
          <w:p w14:paraId="0455A9CD" w14:textId="77777777" w:rsidR="00E4516A" w:rsidRPr="00ED4BBC" w:rsidRDefault="00E4516A" w:rsidP="00223C22">
            <w:pPr>
              <w:rPr>
                <w:rFonts w:ascii="Arial Narrow" w:hAnsi="Arial Narrow"/>
                <w:sz w:val="18"/>
                <w:szCs w:val="18"/>
              </w:rPr>
            </w:pPr>
          </w:p>
        </w:tc>
        <w:tc>
          <w:tcPr>
            <w:tcW w:w="2590" w:type="dxa"/>
            <w:gridSpan w:val="2"/>
            <w:vMerge/>
            <w:tcBorders>
              <w:left w:val="single" w:sz="4" w:space="0" w:color="auto"/>
              <w:right w:val="single" w:sz="4" w:space="0" w:color="auto"/>
            </w:tcBorders>
          </w:tcPr>
          <w:p w14:paraId="655FD119" w14:textId="77777777" w:rsidR="00E4516A" w:rsidRPr="00232698" w:rsidRDefault="00E4516A" w:rsidP="00223C22">
            <w:pPr>
              <w:rPr>
                <w:rFonts w:ascii="Arial Narrow" w:hAnsi="Arial Narrow"/>
                <w:sz w:val="20"/>
              </w:rPr>
            </w:pPr>
          </w:p>
        </w:tc>
        <w:tc>
          <w:tcPr>
            <w:tcW w:w="2590" w:type="dxa"/>
            <w:gridSpan w:val="2"/>
            <w:tcBorders>
              <w:top w:val="single" w:sz="4" w:space="0" w:color="auto"/>
              <w:left w:val="single" w:sz="4" w:space="0" w:color="auto"/>
              <w:right w:val="single" w:sz="4" w:space="0" w:color="auto"/>
            </w:tcBorders>
            <w:vAlign w:val="center"/>
          </w:tcPr>
          <w:p w14:paraId="27E58BB1" w14:textId="77777777" w:rsidR="00E4516A" w:rsidRPr="00232698" w:rsidRDefault="00E4516A" w:rsidP="00223C22">
            <w:pPr>
              <w:rPr>
                <w:rFonts w:ascii="Arial Narrow" w:hAnsi="Arial Narrow"/>
                <w:sz w:val="20"/>
              </w:rPr>
            </w:pPr>
            <w:r>
              <w:rPr>
                <w:rFonts w:ascii="Arial Narrow" w:hAnsi="Arial Narrow"/>
                <w:sz w:val="20"/>
              </w:rPr>
              <w:t>Ongoing ------------------------</w:t>
            </w:r>
            <w:r w:rsidRPr="006D3488">
              <w:rPr>
                <w:rFonts w:ascii="Arial Narrow" w:hAnsi="Arial Narrow"/>
                <w:sz w:val="20"/>
              </w:rPr>
              <w:sym w:font="Wingdings" w:char="F0E0"/>
            </w:r>
          </w:p>
        </w:tc>
      </w:tr>
      <w:tr w:rsidR="00A85BCD" w14:paraId="3F7776DC" w14:textId="77777777" w:rsidTr="006D3A0C">
        <w:tc>
          <w:tcPr>
            <w:tcW w:w="1295" w:type="dxa"/>
            <w:tcBorders>
              <w:top w:val="single" w:sz="4" w:space="0" w:color="auto"/>
              <w:left w:val="single" w:sz="4" w:space="0" w:color="auto"/>
              <w:bottom w:val="single" w:sz="4" w:space="0" w:color="auto"/>
              <w:right w:val="nil"/>
            </w:tcBorders>
            <w:shd w:val="clear" w:color="auto" w:fill="FFFFFF" w:themeFill="background1"/>
          </w:tcPr>
          <w:p w14:paraId="4F2BC8C0" w14:textId="77777777" w:rsidR="00A85BCD" w:rsidRDefault="00A85BCD" w:rsidP="00223C22">
            <w:pPr>
              <w:rPr>
                <w:rFonts w:ascii="Arial Narrow" w:hAnsi="Arial Narrow"/>
                <w:sz w:val="18"/>
                <w:szCs w:val="18"/>
              </w:rPr>
            </w:pPr>
            <w:r w:rsidRPr="001458F3">
              <w:rPr>
                <w:rFonts w:ascii="Arial Narrow" w:hAnsi="Arial Narrow"/>
                <w:sz w:val="18"/>
                <w:szCs w:val="18"/>
              </w:rPr>
              <w:t>Contracts:</w:t>
            </w:r>
          </w:p>
          <w:p w14:paraId="5DC158D2" w14:textId="77777777" w:rsidR="001F081D" w:rsidRPr="001458F3" w:rsidRDefault="001F081D" w:rsidP="00223C22">
            <w:pPr>
              <w:rPr>
                <w:rFonts w:ascii="Arial Narrow" w:hAnsi="Arial Narrow"/>
                <w:sz w:val="18"/>
                <w:szCs w:val="18"/>
              </w:rPr>
            </w:pPr>
          </w:p>
        </w:tc>
        <w:tc>
          <w:tcPr>
            <w:tcW w:w="1295" w:type="dxa"/>
            <w:tcBorders>
              <w:top w:val="single" w:sz="4" w:space="0" w:color="auto"/>
              <w:left w:val="nil"/>
              <w:bottom w:val="single" w:sz="4" w:space="0" w:color="auto"/>
              <w:right w:val="single" w:sz="4" w:space="0" w:color="auto"/>
            </w:tcBorders>
            <w:shd w:val="clear" w:color="auto" w:fill="FFFFFF" w:themeFill="background1"/>
          </w:tcPr>
          <w:p w14:paraId="5D795FC8" w14:textId="77777777" w:rsidR="00A85BCD" w:rsidRPr="00230973" w:rsidRDefault="00A85BCD" w:rsidP="00223C22">
            <w:pPr>
              <w:jc w:val="right"/>
              <w:rPr>
                <w:rFonts w:ascii="Arial Narrow" w:hAnsi="Arial Narrow"/>
                <w:sz w:val="20"/>
              </w:rPr>
            </w:pPr>
            <w:r w:rsidRPr="00230973">
              <w:rPr>
                <w:rFonts w:ascii="Arial Narrow" w:hAnsi="Arial Narrow"/>
                <w:sz w:val="20"/>
              </w:rPr>
              <w:t>$93.9 million</w:t>
            </w:r>
          </w:p>
        </w:tc>
        <w:tc>
          <w:tcPr>
            <w:tcW w:w="1295" w:type="dxa"/>
            <w:tcBorders>
              <w:top w:val="single" w:sz="4" w:space="0" w:color="auto"/>
              <w:left w:val="single" w:sz="4" w:space="0" w:color="auto"/>
              <w:bottom w:val="single" w:sz="4" w:space="0" w:color="auto"/>
              <w:right w:val="nil"/>
            </w:tcBorders>
            <w:shd w:val="clear" w:color="auto" w:fill="FFFFFF" w:themeFill="background1"/>
          </w:tcPr>
          <w:p w14:paraId="145C604A" w14:textId="77777777" w:rsidR="00A85BCD" w:rsidRDefault="00A85BCD" w:rsidP="00223C22">
            <w:pPr>
              <w:rPr>
                <w:rFonts w:ascii="Arial Narrow" w:hAnsi="Arial Narrow"/>
                <w:sz w:val="18"/>
                <w:szCs w:val="18"/>
              </w:rPr>
            </w:pPr>
            <w:r w:rsidRPr="001458F3">
              <w:rPr>
                <w:rFonts w:ascii="Arial Narrow" w:hAnsi="Arial Narrow"/>
                <w:sz w:val="18"/>
                <w:szCs w:val="18"/>
              </w:rPr>
              <w:t>Contracts:</w:t>
            </w:r>
          </w:p>
          <w:p w14:paraId="36E6A830" w14:textId="77777777" w:rsidR="001F081D" w:rsidRPr="001458F3" w:rsidRDefault="001F081D" w:rsidP="00223C22">
            <w:pPr>
              <w:rPr>
                <w:rFonts w:ascii="Arial Narrow" w:hAnsi="Arial Narrow"/>
                <w:sz w:val="18"/>
                <w:szCs w:val="18"/>
              </w:rPr>
            </w:pPr>
            <w:r>
              <w:rPr>
                <w:rFonts w:ascii="Arial Narrow" w:hAnsi="Arial Narrow"/>
                <w:sz w:val="18"/>
                <w:szCs w:val="18"/>
              </w:rPr>
              <w:t>Expansion:</w:t>
            </w:r>
          </w:p>
        </w:tc>
        <w:tc>
          <w:tcPr>
            <w:tcW w:w="1295" w:type="dxa"/>
            <w:tcBorders>
              <w:top w:val="single" w:sz="4" w:space="0" w:color="auto"/>
              <w:left w:val="nil"/>
              <w:bottom w:val="single" w:sz="4" w:space="0" w:color="auto"/>
              <w:right w:val="single" w:sz="4" w:space="0" w:color="auto"/>
            </w:tcBorders>
            <w:shd w:val="clear" w:color="auto" w:fill="FFFFFF" w:themeFill="background1"/>
          </w:tcPr>
          <w:p w14:paraId="49CF00D8" w14:textId="77777777" w:rsidR="00A85BCD" w:rsidRDefault="00A85BCD" w:rsidP="00223C22">
            <w:pPr>
              <w:jc w:val="right"/>
              <w:rPr>
                <w:rFonts w:ascii="Arial Narrow" w:hAnsi="Arial Narrow"/>
                <w:sz w:val="20"/>
              </w:rPr>
            </w:pPr>
            <w:r w:rsidRPr="00230973">
              <w:rPr>
                <w:rFonts w:ascii="Arial Narrow" w:hAnsi="Arial Narrow"/>
                <w:sz w:val="20"/>
              </w:rPr>
              <w:t>$</w:t>
            </w:r>
            <w:r w:rsidR="00BB042B">
              <w:rPr>
                <w:rFonts w:ascii="Arial Narrow" w:hAnsi="Arial Narrow"/>
                <w:sz w:val="20"/>
              </w:rPr>
              <w:t>93.2</w:t>
            </w:r>
            <w:r w:rsidRPr="00230973">
              <w:rPr>
                <w:rFonts w:ascii="Arial Narrow" w:hAnsi="Arial Narrow"/>
                <w:sz w:val="20"/>
              </w:rPr>
              <w:t xml:space="preserve"> million</w:t>
            </w:r>
          </w:p>
          <w:p w14:paraId="25603C48" w14:textId="77777777" w:rsidR="00BB042B" w:rsidRPr="00230973" w:rsidRDefault="00BB042B" w:rsidP="00223C22">
            <w:pPr>
              <w:jc w:val="right"/>
              <w:rPr>
                <w:rFonts w:ascii="Arial Narrow" w:hAnsi="Arial Narrow"/>
                <w:sz w:val="20"/>
              </w:rPr>
            </w:pPr>
            <w:r>
              <w:rPr>
                <w:rFonts w:ascii="Arial Narrow" w:hAnsi="Arial Narrow"/>
                <w:sz w:val="20"/>
              </w:rPr>
              <w:t>$10.0 million</w:t>
            </w:r>
          </w:p>
        </w:tc>
        <w:tc>
          <w:tcPr>
            <w:tcW w:w="1295" w:type="dxa"/>
            <w:tcBorders>
              <w:top w:val="single" w:sz="4" w:space="0" w:color="auto"/>
              <w:left w:val="single" w:sz="4" w:space="0" w:color="auto"/>
              <w:bottom w:val="single" w:sz="4" w:space="0" w:color="auto"/>
              <w:right w:val="nil"/>
            </w:tcBorders>
            <w:shd w:val="clear" w:color="auto" w:fill="FFFFFF" w:themeFill="background1"/>
          </w:tcPr>
          <w:p w14:paraId="77F55984" w14:textId="77777777" w:rsidR="00A85BCD" w:rsidRDefault="00A85BCD" w:rsidP="00223C22">
            <w:pPr>
              <w:rPr>
                <w:rFonts w:ascii="Arial Narrow" w:hAnsi="Arial Narrow"/>
                <w:sz w:val="18"/>
                <w:szCs w:val="18"/>
              </w:rPr>
            </w:pPr>
            <w:r w:rsidRPr="001458F3">
              <w:rPr>
                <w:rFonts w:ascii="Arial Narrow" w:hAnsi="Arial Narrow"/>
                <w:sz w:val="18"/>
                <w:szCs w:val="18"/>
              </w:rPr>
              <w:t>Contracts:</w:t>
            </w:r>
          </w:p>
          <w:p w14:paraId="1A78021C" w14:textId="77777777" w:rsidR="00BB042B" w:rsidRPr="001458F3" w:rsidRDefault="00BB042B" w:rsidP="00223C22">
            <w:pPr>
              <w:rPr>
                <w:rFonts w:ascii="Arial Narrow" w:hAnsi="Arial Narrow"/>
                <w:sz w:val="18"/>
                <w:szCs w:val="18"/>
              </w:rPr>
            </w:pPr>
            <w:r>
              <w:rPr>
                <w:rFonts w:ascii="Arial Narrow" w:hAnsi="Arial Narrow"/>
                <w:sz w:val="18"/>
                <w:szCs w:val="18"/>
              </w:rPr>
              <w:t>Expansion:</w:t>
            </w:r>
          </w:p>
        </w:tc>
        <w:tc>
          <w:tcPr>
            <w:tcW w:w="1295" w:type="dxa"/>
            <w:tcBorders>
              <w:top w:val="single" w:sz="4" w:space="0" w:color="auto"/>
              <w:left w:val="nil"/>
              <w:bottom w:val="single" w:sz="4" w:space="0" w:color="auto"/>
              <w:right w:val="single" w:sz="4" w:space="0" w:color="auto"/>
            </w:tcBorders>
            <w:shd w:val="clear" w:color="auto" w:fill="FFFFFF" w:themeFill="background1"/>
          </w:tcPr>
          <w:p w14:paraId="08F5A80B" w14:textId="77777777" w:rsidR="00A85BCD" w:rsidRDefault="00A85BCD" w:rsidP="00223C22">
            <w:pPr>
              <w:jc w:val="right"/>
              <w:rPr>
                <w:rFonts w:ascii="Arial Narrow" w:hAnsi="Arial Narrow"/>
                <w:sz w:val="20"/>
              </w:rPr>
            </w:pPr>
            <w:r w:rsidRPr="00230973">
              <w:rPr>
                <w:rFonts w:ascii="Arial Narrow" w:hAnsi="Arial Narrow"/>
                <w:sz w:val="20"/>
              </w:rPr>
              <w:t>$</w:t>
            </w:r>
            <w:r w:rsidR="00BB042B">
              <w:rPr>
                <w:rFonts w:ascii="Arial Narrow" w:hAnsi="Arial Narrow"/>
                <w:sz w:val="20"/>
              </w:rPr>
              <w:t>8</w:t>
            </w:r>
            <w:r w:rsidRPr="00230973">
              <w:rPr>
                <w:rFonts w:ascii="Arial Narrow" w:hAnsi="Arial Narrow"/>
                <w:sz w:val="20"/>
              </w:rPr>
              <w:t>6.0 million</w:t>
            </w:r>
          </w:p>
          <w:p w14:paraId="533C667E" w14:textId="77777777" w:rsidR="00BB042B" w:rsidRPr="00230973" w:rsidRDefault="00BB042B" w:rsidP="00223C22">
            <w:pPr>
              <w:jc w:val="right"/>
              <w:rPr>
                <w:rFonts w:ascii="Arial Narrow" w:hAnsi="Arial Narrow"/>
                <w:sz w:val="20"/>
              </w:rPr>
            </w:pPr>
            <w:r>
              <w:rPr>
                <w:rFonts w:ascii="Arial Narrow" w:hAnsi="Arial Narrow"/>
                <w:sz w:val="20"/>
              </w:rPr>
              <w:t>$10.0 million</w:t>
            </w:r>
          </w:p>
        </w:tc>
        <w:tc>
          <w:tcPr>
            <w:tcW w:w="1295" w:type="dxa"/>
            <w:tcBorders>
              <w:top w:val="single" w:sz="4" w:space="0" w:color="auto"/>
              <w:left w:val="single" w:sz="4" w:space="0" w:color="auto"/>
              <w:bottom w:val="single" w:sz="4" w:space="0" w:color="auto"/>
              <w:right w:val="nil"/>
            </w:tcBorders>
            <w:shd w:val="clear" w:color="auto" w:fill="FFFFFF" w:themeFill="background1"/>
          </w:tcPr>
          <w:p w14:paraId="4F34C7F7" w14:textId="77777777" w:rsidR="00A85BCD" w:rsidRDefault="00A85BCD" w:rsidP="00223C22">
            <w:pPr>
              <w:rPr>
                <w:rFonts w:ascii="Arial Narrow" w:hAnsi="Arial Narrow"/>
                <w:sz w:val="18"/>
                <w:szCs w:val="18"/>
              </w:rPr>
            </w:pPr>
            <w:r w:rsidRPr="001458F3">
              <w:rPr>
                <w:rFonts w:ascii="Arial Narrow" w:hAnsi="Arial Narrow"/>
                <w:sz w:val="18"/>
                <w:szCs w:val="18"/>
              </w:rPr>
              <w:t>Contracts:</w:t>
            </w:r>
          </w:p>
          <w:p w14:paraId="36E8208E" w14:textId="77777777" w:rsidR="001F35A3" w:rsidRPr="001458F3" w:rsidRDefault="001F35A3" w:rsidP="00223C22">
            <w:pPr>
              <w:rPr>
                <w:rFonts w:ascii="Arial Narrow" w:hAnsi="Arial Narrow"/>
                <w:sz w:val="18"/>
                <w:szCs w:val="18"/>
              </w:rPr>
            </w:pPr>
            <w:r>
              <w:rPr>
                <w:rFonts w:ascii="Arial Narrow" w:hAnsi="Arial Narrow"/>
                <w:sz w:val="18"/>
                <w:szCs w:val="18"/>
              </w:rPr>
              <w:t>Expansion:</w:t>
            </w:r>
          </w:p>
        </w:tc>
        <w:tc>
          <w:tcPr>
            <w:tcW w:w="1295" w:type="dxa"/>
            <w:tcBorders>
              <w:top w:val="single" w:sz="4" w:space="0" w:color="auto"/>
              <w:left w:val="nil"/>
              <w:bottom w:val="single" w:sz="4" w:space="0" w:color="auto"/>
              <w:right w:val="single" w:sz="4" w:space="0" w:color="auto"/>
            </w:tcBorders>
            <w:shd w:val="clear" w:color="auto" w:fill="FFFFFF" w:themeFill="background1"/>
          </w:tcPr>
          <w:p w14:paraId="0235A88E" w14:textId="77777777" w:rsidR="00A85BCD" w:rsidRDefault="00A85BCD" w:rsidP="00223C22">
            <w:pPr>
              <w:jc w:val="right"/>
              <w:rPr>
                <w:rFonts w:ascii="Arial Narrow" w:hAnsi="Arial Narrow"/>
                <w:sz w:val="20"/>
              </w:rPr>
            </w:pPr>
            <w:r w:rsidRPr="00230973">
              <w:rPr>
                <w:rFonts w:ascii="Arial Narrow" w:hAnsi="Arial Narrow"/>
                <w:sz w:val="20"/>
              </w:rPr>
              <w:t>$</w:t>
            </w:r>
            <w:r w:rsidR="001F35A3">
              <w:rPr>
                <w:rFonts w:ascii="Arial Narrow" w:hAnsi="Arial Narrow"/>
                <w:sz w:val="20"/>
              </w:rPr>
              <w:t>9</w:t>
            </w:r>
            <w:r w:rsidR="003637B3">
              <w:rPr>
                <w:rFonts w:ascii="Arial Narrow" w:hAnsi="Arial Narrow"/>
                <w:sz w:val="20"/>
              </w:rPr>
              <w:t>4</w:t>
            </w:r>
            <w:r w:rsidRPr="00230973">
              <w:rPr>
                <w:rFonts w:ascii="Arial Narrow" w:hAnsi="Arial Narrow"/>
                <w:sz w:val="20"/>
              </w:rPr>
              <w:t>.3 million</w:t>
            </w:r>
          </w:p>
          <w:p w14:paraId="5F8FEF34" w14:textId="77777777" w:rsidR="001F35A3" w:rsidRPr="00230973" w:rsidRDefault="001F35A3" w:rsidP="00223C22">
            <w:pPr>
              <w:jc w:val="right"/>
              <w:rPr>
                <w:rFonts w:ascii="Arial Narrow" w:hAnsi="Arial Narrow"/>
                <w:sz w:val="20"/>
              </w:rPr>
            </w:pPr>
            <w:r>
              <w:rPr>
                <w:rFonts w:ascii="Arial Narrow" w:hAnsi="Arial Narrow"/>
                <w:sz w:val="20"/>
              </w:rPr>
              <w:t>$10.0 million</w:t>
            </w:r>
          </w:p>
        </w:tc>
        <w:tc>
          <w:tcPr>
            <w:tcW w:w="1295" w:type="dxa"/>
            <w:tcBorders>
              <w:top w:val="single" w:sz="4" w:space="0" w:color="auto"/>
              <w:left w:val="single" w:sz="4" w:space="0" w:color="auto"/>
              <w:bottom w:val="single" w:sz="4" w:space="0" w:color="auto"/>
              <w:right w:val="nil"/>
            </w:tcBorders>
            <w:shd w:val="clear" w:color="auto" w:fill="FFFFFF" w:themeFill="background1"/>
          </w:tcPr>
          <w:p w14:paraId="2FD890C2" w14:textId="77777777" w:rsidR="00A85BCD" w:rsidRDefault="00A85BCD" w:rsidP="00223C22">
            <w:pPr>
              <w:rPr>
                <w:rFonts w:ascii="Arial Narrow" w:hAnsi="Arial Narrow"/>
                <w:sz w:val="18"/>
                <w:szCs w:val="18"/>
              </w:rPr>
            </w:pPr>
            <w:r w:rsidRPr="001458F3">
              <w:rPr>
                <w:rFonts w:ascii="Arial Narrow" w:hAnsi="Arial Narrow"/>
                <w:sz w:val="18"/>
                <w:szCs w:val="18"/>
              </w:rPr>
              <w:t>Contracts:</w:t>
            </w:r>
          </w:p>
          <w:p w14:paraId="22363E6A" w14:textId="77777777" w:rsidR="001F35A3" w:rsidRPr="001458F3" w:rsidRDefault="001F35A3" w:rsidP="00223C22">
            <w:pPr>
              <w:rPr>
                <w:rFonts w:ascii="Arial Narrow" w:hAnsi="Arial Narrow"/>
                <w:sz w:val="18"/>
                <w:szCs w:val="18"/>
              </w:rPr>
            </w:pPr>
            <w:r>
              <w:rPr>
                <w:rFonts w:ascii="Arial Narrow" w:hAnsi="Arial Narrow"/>
                <w:sz w:val="18"/>
                <w:szCs w:val="18"/>
              </w:rPr>
              <w:t>Expansion:</w:t>
            </w:r>
          </w:p>
        </w:tc>
        <w:tc>
          <w:tcPr>
            <w:tcW w:w="1295" w:type="dxa"/>
            <w:tcBorders>
              <w:top w:val="single" w:sz="4" w:space="0" w:color="auto"/>
              <w:left w:val="nil"/>
              <w:bottom w:val="single" w:sz="4" w:space="0" w:color="auto"/>
              <w:right w:val="single" w:sz="4" w:space="0" w:color="auto"/>
            </w:tcBorders>
            <w:shd w:val="clear" w:color="auto" w:fill="FFFFFF" w:themeFill="background1"/>
          </w:tcPr>
          <w:p w14:paraId="16053D7B" w14:textId="77777777" w:rsidR="00A85BCD" w:rsidRDefault="00A85BCD" w:rsidP="00223C22">
            <w:pPr>
              <w:jc w:val="right"/>
              <w:rPr>
                <w:rFonts w:ascii="Arial Narrow" w:hAnsi="Arial Narrow"/>
                <w:sz w:val="20"/>
              </w:rPr>
            </w:pPr>
            <w:r w:rsidRPr="00230973">
              <w:rPr>
                <w:rFonts w:ascii="Arial Narrow" w:hAnsi="Arial Narrow"/>
                <w:sz w:val="20"/>
              </w:rPr>
              <w:t>$</w:t>
            </w:r>
            <w:r w:rsidR="001F35A3">
              <w:rPr>
                <w:rFonts w:ascii="Arial Narrow" w:hAnsi="Arial Narrow"/>
                <w:sz w:val="20"/>
              </w:rPr>
              <w:t>9</w:t>
            </w:r>
            <w:r w:rsidR="003637B3">
              <w:rPr>
                <w:rFonts w:ascii="Arial Narrow" w:hAnsi="Arial Narrow"/>
                <w:sz w:val="20"/>
              </w:rPr>
              <w:t>4</w:t>
            </w:r>
            <w:r w:rsidRPr="00230973">
              <w:rPr>
                <w:rFonts w:ascii="Arial Narrow" w:hAnsi="Arial Narrow"/>
                <w:sz w:val="20"/>
              </w:rPr>
              <w:t>.3 million</w:t>
            </w:r>
          </w:p>
          <w:p w14:paraId="62144A69" w14:textId="77777777" w:rsidR="001F35A3" w:rsidRPr="00230973" w:rsidRDefault="001F35A3" w:rsidP="00223C22">
            <w:pPr>
              <w:jc w:val="right"/>
              <w:rPr>
                <w:rFonts w:ascii="Arial Narrow" w:hAnsi="Arial Narrow"/>
                <w:sz w:val="20"/>
              </w:rPr>
            </w:pPr>
            <w:r>
              <w:rPr>
                <w:rFonts w:ascii="Arial Narrow" w:hAnsi="Arial Narrow"/>
                <w:sz w:val="20"/>
              </w:rPr>
              <w:t>$10.0 million</w:t>
            </w:r>
          </w:p>
        </w:tc>
      </w:tr>
      <w:tr w:rsidR="00A85BCD" w14:paraId="76667AE2" w14:textId="77777777" w:rsidTr="00CC52AA">
        <w:tc>
          <w:tcPr>
            <w:tcW w:w="1295" w:type="dxa"/>
            <w:tcBorders>
              <w:top w:val="single" w:sz="4" w:space="0" w:color="auto"/>
              <w:left w:val="single" w:sz="4" w:space="0" w:color="auto"/>
              <w:bottom w:val="single" w:sz="4" w:space="0" w:color="auto"/>
              <w:right w:val="nil"/>
            </w:tcBorders>
            <w:shd w:val="clear" w:color="auto" w:fill="FFFFFF" w:themeFill="background1"/>
          </w:tcPr>
          <w:p w14:paraId="6517B228" w14:textId="77777777" w:rsidR="00A85BCD" w:rsidRPr="001458F3" w:rsidRDefault="00A85BCD" w:rsidP="00223C22">
            <w:pPr>
              <w:rPr>
                <w:rFonts w:ascii="Arial Narrow" w:hAnsi="Arial Narrow"/>
                <w:sz w:val="18"/>
                <w:szCs w:val="18"/>
              </w:rPr>
            </w:pPr>
            <w:r w:rsidRPr="001458F3">
              <w:rPr>
                <w:rFonts w:ascii="Arial Narrow" w:hAnsi="Arial Narrow"/>
                <w:sz w:val="18"/>
                <w:szCs w:val="18"/>
              </w:rPr>
              <w:t>Apportionment</w:t>
            </w:r>
            <w:r>
              <w:rPr>
                <w:rFonts w:ascii="Arial Narrow" w:hAnsi="Arial Narrow"/>
                <w:sz w:val="18"/>
                <w:szCs w:val="18"/>
              </w:rPr>
              <w:t>:</w:t>
            </w:r>
          </w:p>
        </w:tc>
        <w:tc>
          <w:tcPr>
            <w:tcW w:w="1295" w:type="dxa"/>
            <w:tcBorders>
              <w:top w:val="single" w:sz="4" w:space="0" w:color="auto"/>
              <w:left w:val="nil"/>
              <w:bottom w:val="single" w:sz="4" w:space="0" w:color="auto"/>
              <w:right w:val="single" w:sz="4" w:space="0" w:color="auto"/>
            </w:tcBorders>
            <w:shd w:val="clear" w:color="auto" w:fill="FFFFFF" w:themeFill="background1"/>
          </w:tcPr>
          <w:p w14:paraId="591A995F" w14:textId="77777777" w:rsidR="00A85BCD" w:rsidRPr="00230973" w:rsidRDefault="00A85BCD" w:rsidP="00223C22">
            <w:pPr>
              <w:jc w:val="right"/>
              <w:rPr>
                <w:rFonts w:ascii="Arial Narrow" w:hAnsi="Arial Narrow"/>
                <w:sz w:val="20"/>
              </w:rPr>
            </w:pPr>
            <w:r w:rsidRPr="00230973">
              <w:rPr>
                <w:rFonts w:ascii="Arial Narrow" w:hAnsi="Arial Narrow"/>
                <w:sz w:val="20"/>
              </w:rPr>
              <w:t>$12.3 million</w:t>
            </w:r>
          </w:p>
        </w:tc>
        <w:tc>
          <w:tcPr>
            <w:tcW w:w="1295" w:type="dxa"/>
            <w:tcBorders>
              <w:top w:val="single" w:sz="4" w:space="0" w:color="auto"/>
              <w:left w:val="single" w:sz="4" w:space="0" w:color="auto"/>
              <w:bottom w:val="single" w:sz="4" w:space="0" w:color="auto"/>
              <w:right w:val="nil"/>
            </w:tcBorders>
            <w:shd w:val="clear" w:color="auto" w:fill="FFFFFF" w:themeFill="background1"/>
          </w:tcPr>
          <w:p w14:paraId="6C7AC07A" w14:textId="77777777" w:rsidR="00A85BCD" w:rsidRPr="001458F3" w:rsidRDefault="00A85BCD" w:rsidP="00223C22">
            <w:pPr>
              <w:rPr>
                <w:rFonts w:ascii="Arial Narrow" w:hAnsi="Arial Narrow"/>
                <w:sz w:val="18"/>
                <w:szCs w:val="18"/>
              </w:rPr>
            </w:pPr>
            <w:r w:rsidRPr="001458F3">
              <w:rPr>
                <w:rFonts w:ascii="Arial Narrow" w:hAnsi="Arial Narrow"/>
                <w:sz w:val="18"/>
                <w:szCs w:val="18"/>
              </w:rPr>
              <w:t>Apportionment</w:t>
            </w:r>
            <w:r>
              <w:rPr>
                <w:rFonts w:ascii="Arial Narrow" w:hAnsi="Arial Narrow"/>
                <w:sz w:val="18"/>
                <w:szCs w:val="18"/>
              </w:rPr>
              <w:t>:</w:t>
            </w:r>
          </w:p>
        </w:tc>
        <w:tc>
          <w:tcPr>
            <w:tcW w:w="1295" w:type="dxa"/>
            <w:tcBorders>
              <w:top w:val="single" w:sz="4" w:space="0" w:color="auto"/>
              <w:left w:val="nil"/>
              <w:bottom w:val="single" w:sz="4" w:space="0" w:color="auto"/>
              <w:right w:val="single" w:sz="4" w:space="0" w:color="auto"/>
            </w:tcBorders>
            <w:shd w:val="clear" w:color="auto" w:fill="FFFFFF" w:themeFill="background1"/>
          </w:tcPr>
          <w:p w14:paraId="3C3708E6" w14:textId="77777777" w:rsidR="00A85BCD" w:rsidRPr="00230973" w:rsidRDefault="00A85BCD" w:rsidP="00223C22">
            <w:pPr>
              <w:jc w:val="right"/>
              <w:rPr>
                <w:rFonts w:ascii="Arial Narrow" w:hAnsi="Arial Narrow"/>
                <w:sz w:val="20"/>
              </w:rPr>
            </w:pPr>
            <w:r w:rsidRPr="00230973">
              <w:rPr>
                <w:rFonts w:ascii="Arial Narrow" w:hAnsi="Arial Narrow"/>
                <w:sz w:val="20"/>
              </w:rPr>
              <w:t>$1</w:t>
            </w:r>
            <w:r w:rsidR="00663444">
              <w:rPr>
                <w:rFonts w:ascii="Arial Narrow" w:hAnsi="Arial Narrow"/>
                <w:sz w:val="20"/>
              </w:rPr>
              <w:t>5</w:t>
            </w:r>
            <w:r w:rsidRPr="00230973">
              <w:rPr>
                <w:rFonts w:ascii="Arial Narrow" w:hAnsi="Arial Narrow"/>
                <w:sz w:val="20"/>
              </w:rPr>
              <w:t>.3 million</w:t>
            </w:r>
          </w:p>
        </w:tc>
        <w:tc>
          <w:tcPr>
            <w:tcW w:w="1295" w:type="dxa"/>
            <w:tcBorders>
              <w:top w:val="single" w:sz="4" w:space="0" w:color="auto"/>
              <w:left w:val="single" w:sz="4" w:space="0" w:color="auto"/>
              <w:bottom w:val="single" w:sz="4" w:space="0" w:color="auto"/>
              <w:right w:val="nil"/>
            </w:tcBorders>
            <w:shd w:val="clear" w:color="auto" w:fill="FFFFFF" w:themeFill="background1"/>
          </w:tcPr>
          <w:p w14:paraId="265D2DB5" w14:textId="77777777" w:rsidR="00A85BCD" w:rsidRPr="001458F3" w:rsidRDefault="00A85BCD" w:rsidP="00223C22">
            <w:pPr>
              <w:rPr>
                <w:rFonts w:ascii="Arial Narrow" w:hAnsi="Arial Narrow"/>
                <w:sz w:val="18"/>
                <w:szCs w:val="18"/>
              </w:rPr>
            </w:pPr>
            <w:r w:rsidRPr="001458F3">
              <w:rPr>
                <w:rFonts w:ascii="Arial Narrow" w:hAnsi="Arial Narrow"/>
                <w:sz w:val="18"/>
                <w:szCs w:val="18"/>
              </w:rPr>
              <w:t>Apportionment</w:t>
            </w:r>
            <w:r>
              <w:rPr>
                <w:rFonts w:ascii="Arial Narrow" w:hAnsi="Arial Narrow"/>
                <w:sz w:val="18"/>
                <w:szCs w:val="18"/>
              </w:rPr>
              <w:t>:</w:t>
            </w:r>
          </w:p>
        </w:tc>
        <w:tc>
          <w:tcPr>
            <w:tcW w:w="1295" w:type="dxa"/>
            <w:tcBorders>
              <w:top w:val="single" w:sz="4" w:space="0" w:color="auto"/>
              <w:left w:val="nil"/>
              <w:bottom w:val="single" w:sz="4" w:space="0" w:color="auto"/>
              <w:right w:val="single" w:sz="4" w:space="0" w:color="auto"/>
            </w:tcBorders>
            <w:shd w:val="clear" w:color="auto" w:fill="FFFFFF" w:themeFill="background1"/>
          </w:tcPr>
          <w:p w14:paraId="5FAF3D89" w14:textId="77777777" w:rsidR="00A85BCD" w:rsidRPr="00230973" w:rsidRDefault="00A85BCD" w:rsidP="00663444">
            <w:pPr>
              <w:jc w:val="right"/>
              <w:rPr>
                <w:rFonts w:ascii="Arial Narrow" w:hAnsi="Arial Narrow"/>
                <w:sz w:val="20"/>
              </w:rPr>
            </w:pPr>
            <w:r w:rsidRPr="00230973">
              <w:rPr>
                <w:rFonts w:ascii="Arial Narrow" w:hAnsi="Arial Narrow"/>
                <w:sz w:val="20"/>
              </w:rPr>
              <w:t>$1</w:t>
            </w:r>
            <w:r w:rsidR="00663444">
              <w:rPr>
                <w:rFonts w:ascii="Arial Narrow" w:hAnsi="Arial Narrow"/>
                <w:sz w:val="20"/>
              </w:rPr>
              <w:t>5</w:t>
            </w:r>
            <w:r w:rsidRPr="00230973">
              <w:rPr>
                <w:rFonts w:ascii="Arial Narrow" w:hAnsi="Arial Narrow"/>
                <w:sz w:val="20"/>
              </w:rPr>
              <w:t>.3 million</w:t>
            </w:r>
          </w:p>
        </w:tc>
        <w:tc>
          <w:tcPr>
            <w:tcW w:w="1295" w:type="dxa"/>
            <w:tcBorders>
              <w:top w:val="single" w:sz="4" w:space="0" w:color="auto"/>
              <w:left w:val="single" w:sz="4" w:space="0" w:color="auto"/>
              <w:bottom w:val="single" w:sz="4" w:space="0" w:color="auto"/>
              <w:right w:val="nil"/>
            </w:tcBorders>
            <w:shd w:val="clear" w:color="auto" w:fill="FFFFFF" w:themeFill="background1"/>
          </w:tcPr>
          <w:p w14:paraId="60D8A73B" w14:textId="77777777" w:rsidR="00A85BCD" w:rsidRPr="001458F3" w:rsidRDefault="00A85BCD" w:rsidP="00223C22">
            <w:pPr>
              <w:rPr>
                <w:rFonts w:ascii="Arial Narrow" w:hAnsi="Arial Narrow"/>
                <w:sz w:val="18"/>
                <w:szCs w:val="18"/>
              </w:rPr>
            </w:pPr>
            <w:r w:rsidRPr="001458F3">
              <w:rPr>
                <w:rFonts w:ascii="Arial Narrow" w:hAnsi="Arial Narrow"/>
                <w:sz w:val="18"/>
                <w:szCs w:val="18"/>
              </w:rPr>
              <w:t>Apportionment</w:t>
            </w:r>
            <w:r>
              <w:rPr>
                <w:rFonts w:ascii="Arial Narrow" w:hAnsi="Arial Narrow"/>
                <w:sz w:val="18"/>
                <w:szCs w:val="18"/>
              </w:rPr>
              <w:t>:</w:t>
            </w:r>
          </w:p>
        </w:tc>
        <w:tc>
          <w:tcPr>
            <w:tcW w:w="1295" w:type="dxa"/>
            <w:tcBorders>
              <w:top w:val="single" w:sz="4" w:space="0" w:color="auto"/>
              <w:left w:val="nil"/>
              <w:bottom w:val="single" w:sz="4" w:space="0" w:color="auto"/>
              <w:right w:val="single" w:sz="4" w:space="0" w:color="auto"/>
            </w:tcBorders>
            <w:shd w:val="clear" w:color="auto" w:fill="FFFFFF" w:themeFill="background1"/>
          </w:tcPr>
          <w:p w14:paraId="729462F0" w14:textId="77777777" w:rsidR="00A85BCD" w:rsidRPr="00230973" w:rsidRDefault="00A85BCD" w:rsidP="00223C22">
            <w:pPr>
              <w:jc w:val="right"/>
              <w:rPr>
                <w:rFonts w:ascii="Arial Narrow" w:hAnsi="Arial Narrow"/>
                <w:sz w:val="20"/>
              </w:rPr>
            </w:pPr>
            <w:r w:rsidRPr="00230973">
              <w:rPr>
                <w:rFonts w:ascii="Arial Narrow" w:hAnsi="Arial Narrow"/>
                <w:sz w:val="20"/>
              </w:rPr>
              <w:t>$1</w:t>
            </w:r>
            <w:r w:rsidR="00663444">
              <w:rPr>
                <w:rFonts w:ascii="Arial Narrow" w:hAnsi="Arial Narrow"/>
                <w:sz w:val="20"/>
              </w:rPr>
              <w:t>5</w:t>
            </w:r>
            <w:r w:rsidRPr="00230973">
              <w:rPr>
                <w:rFonts w:ascii="Arial Narrow" w:hAnsi="Arial Narrow"/>
                <w:sz w:val="20"/>
              </w:rPr>
              <w:t>.3 million</w:t>
            </w:r>
          </w:p>
        </w:tc>
        <w:tc>
          <w:tcPr>
            <w:tcW w:w="1295" w:type="dxa"/>
            <w:tcBorders>
              <w:top w:val="single" w:sz="4" w:space="0" w:color="auto"/>
              <w:left w:val="single" w:sz="4" w:space="0" w:color="auto"/>
              <w:bottom w:val="single" w:sz="4" w:space="0" w:color="auto"/>
              <w:right w:val="nil"/>
            </w:tcBorders>
            <w:shd w:val="clear" w:color="auto" w:fill="FFFFFF" w:themeFill="background1"/>
          </w:tcPr>
          <w:p w14:paraId="41A48F97" w14:textId="77777777" w:rsidR="00A85BCD" w:rsidRPr="001458F3" w:rsidRDefault="00A85BCD" w:rsidP="00223C22">
            <w:pPr>
              <w:rPr>
                <w:rFonts w:ascii="Arial Narrow" w:hAnsi="Arial Narrow"/>
                <w:sz w:val="18"/>
                <w:szCs w:val="18"/>
              </w:rPr>
            </w:pPr>
            <w:r w:rsidRPr="001458F3">
              <w:rPr>
                <w:rFonts w:ascii="Arial Narrow" w:hAnsi="Arial Narrow"/>
                <w:sz w:val="18"/>
                <w:szCs w:val="18"/>
              </w:rPr>
              <w:t>Apportionment</w:t>
            </w:r>
            <w:r>
              <w:rPr>
                <w:rFonts w:ascii="Arial Narrow" w:hAnsi="Arial Narrow"/>
                <w:sz w:val="18"/>
                <w:szCs w:val="18"/>
              </w:rPr>
              <w:t>:</w:t>
            </w:r>
          </w:p>
        </w:tc>
        <w:tc>
          <w:tcPr>
            <w:tcW w:w="1295" w:type="dxa"/>
            <w:tcBorders>
              <w:top w:val="single" w:sz="4" w:space="0" w:color="auto"/>
              <w:left w:val="nil"/>
              <w:bottom w:val="single" w:sz="4" w:space="0" w:color="auto"/>
              <w:right w:val="single" w:sz="4" w:space="0" w:color="auto"/>
            </w:tcBorders>
            <w:shd w:val="clear" w:color="auto" w:fill="FFFFFF" w:themeFill="background1"/>
          </w:tcPr>
          <w:p w14:paraId="61257E2D" w14:textId="77777777" w:rsidR="00A85BCD" w:rsidRPr="00230973" w:rsidRDefault="00A85BCD" w:rsidP="00223C22">
            <w:pPr>
              <w:jc w:val="right"/>
              <w:rPr>
                <w:rFonts w:ascii="Arial Narrow" w:hAnsi="Arial Narrow"/>
                <w:sz w:val="20"/>
              </w:rPr>
            </w:pPr>
            <w:r w:rsidRPr="00230973">
              <w:rPr>
                <w:rFonts w:ascii="Arial Narrow" w:hAnsi="Arial Narrow"/>
                <w:sz w:val="20"/>
              </w:rPr>
              <w:t>$1</w:t>
            </w:r>
            <w:r w:rsidR="00663444">
              <w:rPr>
                <w:rFonts w:ascii="Arial Narrow" w:hAnsi="Arial Narrow"/>
                <w:sz w:val="20"/>
              </w:rPr>
              <w:t>5</w:t>
            </w:r>
            <w:r w:rsidRPr="00230973">
              <w:rPr>
                <w:rFonts w:ascii="Arial Narrow" w:hAnsi="Arial Narrow"/>
                <w:sz w:val="20"/>
              </w:rPr>
              <w:t>.3 million</w:t>
            </w:r>
          </w:p>
        </w:tc>
      </w:tr>
      <w:tr w:rsidR="00A85BCD" w14:paraId="7B2DF56E" w14:textId="77777777" w:rsidTr="00CC52AA">
        <w:tc>
          <w:tcPr>
            <w:tcW w:w="1295" w:type="dxa"/>
            <w:tcBorders>
              <w:top w:val="single" w:sz="4" w:space="0" w:color="auto"/>
              <w:left w:val="single" w:sz="4" w:space="0" w:color="auto"/>
              <w:bottom w:val="single" w:sz="4" w:space="0" w:color="auto"/>
              <w:right w:val="nil"/>
            </w:tcBorders>
            <w:shd w:val="clear" w:color="auto" w:fill="000000" w:themeFill="text1"/>
          </w:tcPr>
          <w:p w14:paraId="54851794" w14:textId="77777777" w:rsidR="00A85BCD" w:rsidRPr="001458F3" w:rsidRDefault="00A85BCD" w:rsidP="00223C22">
            <w:pPr>
              <w:jc w:val="center"/>
              <w:rPr>
                <w:rFonts w:ascii="Arial Narrow" w:hAnsi="Arial Narrow"/>
                <w:sz w:val="18"/>
                <w:szCs w:val="18"/>
              </w:rPr>
            </w:pPr>
            <w:r>
              <w:rPr>
                <w:rFonts w:ascii="Arial Narrow" w:hAnsi="Arial Narrow"/>
                <w:sz w:val="18"/>
                <w:szCs w:val="18"/>
              </w:rPr>
              <w:t>Total:</w:t>
            </w:r>
          </w:p>
        </w:tc>
        <w:tc>
          <w:tcPr>
            <w:tcW w:w="1295" w:type="dxa"/>
            <w:tcBorders>
              <w:top w:val="single" w:sz="4" w:space="0" w:color="auto"/>
              <w:left w:val="nil"/>
              <w:bottom w:val="single" w:sz="4" w:space="0" w:color="auto"/>
              <w:right w:val="single" w:sz="4" w:space="0" w:color="auto"/>
            </w:tcBorders>
            <w:shd w:val="clear" w:color="auto" w:fill="000000" w:themeFill="text1"/>
          </w:tcPr>
          <w:p w14:paraId="10E65CC3" w14:textId="77777777" w:rsidR="00A85BCD" w:rsidRPr="00230973" w:rsidRDefault="00A85BCD" w:rsidP="00223C22">
            <w:pPr>
              <w:jc w:val="right"/>
              <w:rPr>
                <w:rFonts w:ascii="Arial Narrow" w:hAnsi="Arial Narrow"/>
                <w:sz w:val="20"/>
              </w:rPr>
            </w:pPr>
            <w:r>
              <w:rPr>
                <w:rFonts w:ascii="Arial Narrow" w:hAnsi="Arial Narrow"/>
                <w:sz w:val="20"/>
              </w:rPr>
              <w:t>$106.2 million</w:t>
            </w:r>
          </w:p>
        </w:tc>
        <w:tc>
          <w:tcPr>
            <w:tcW w:w="1295" w:type="dxa"/>
            <w:tcBorders>
              <w:top w:val="single" w:sz="4" w:space="0" w:color="auto"/>
              <w:left w:val="single" w:sz="4" w:space="0" w:color="auto"/>
              <w:bottom w:val="single" w:sz="4" w:space="0" w:color="auto"/>
              <w:right w:val="nil"/>
            </w:tcBorders>
            <w:shd w:val="clear" w:color="auto" w:fill="000000" w:themeFill="text1"/>
          </w:tcPr>
          <w:p w14:paraId="70817011" w14:textId="77777777" w:rsidR="00A85BCD" w:rsidRPr="001458F3" w:rsidRDefault="00A85BCD" w:rsidP="00223C22">
            <w:pPr>
              <w:jc w:val="center"/>
              <w:rPr>
                <w:rFonts w:ascii="Arial Narrow" w:hAnsi="Arial Narrow"/>
                <w:sz w:val="18"/>
                <w:szCs w:val="18"/>
              </w:rPr>
            </w:pPr>
            <w:r>
              <w:rPr>
                <w:rFonts w:ascii="Arial Narrow" w:hAnsi="Arial Narrow"/>
                <w:sz w:val="18"/>
                <w:szCs w:val="18"/>
              </w:rPr>
              <w:t>Total:</w:t>
            </w:r>
          </w:p>
        </w:tc>
        <w:tc>
          <w:tcPr>
            <w:tcW w:w="1295" w:type="dxa"/>
            <w:tcBorders>
              <w:top w:val="single" w:sz="4" w:space="0" w:color="auto"/>
              <w:left w:val="nil"/>
              <w:bottom w:val="single" w:sz="4" w:space="0" w:color="auto"/>
              <w:right w:val="single" w:sz="4" w:space="0" w:color="auto"/>
            </w:tcBorders>
            <w:shd w:val="clear" w:color="auto" w:fill="000000" w:themeFill="text1"/>
          </w:tcPr>
          <w:p w14:paraId="30B5241A" w14:textId="77777777" w:rsidR="00A85BCD" w:rsidRPr="00230973" w:rsidRDefault="00A85BCD" w:rsidP="00223C22">
            <w:pPr>
              <w:jc w:val="right"/>
              <w:rPr>
                <w:rFonts w:ascii="Arial Narrow" w:hAnsi="Arial Narrow"/>
                <w:sz w:val="20"/>
              </w:rPr>
            </w:pPr>
            <w:r>
              <w:rPr>
                <w:rFonts w:ascii="Arial Narrow" w:hAnsi="Arial Narrow"/>
                <w:sz w:val="20"/>
              </w:rPr>
              <w:t>$11</w:t>
            </w:r>
            <w:r w:rsidR="003637B3">
              <w:rPr>
                <w:rFonts w:ascii="Arial Narrow" w:hAnsi="Arial Narrow"/>
                <w:sz w:val="20"/>
              </w:rPr>
              <w:t>8</w:t>
            </w:r>
            <w:r>
              <w:rPr>
                <w:rFonts w:ascii="Arial Narrow" w:hAnsi="Arial Narrow"/>
                <w:sz w:val="20"/>
              </w:rPr>
              <w:t>.5 million</w:t>
            </w:r>
          </w:p>
        </w:tc>
        <w:tc>
          <w:tcPr>
            <w:tcW w:w="1295" w:type="dxa"/>
            <w:tcBorders>
              <w:top w:val="single" w:sz="4" w:space="0" w:color="auto"/>
              <w:left w:val="single" w:sz="4" w:space="0" w:color="auto"/>
              <w:bottom w:val="single" w:sz="4" w:space="0" w:color="auto"/>
              <w:right w:val="nil"/>
            </w:tcBorders>
            <w:shd w:val="clear" w:color="auto" w:fill="000000" w:themeFill="text1"/>
          </w:tcPr>
          <w:p w14:paraId="3036D0E3" w14:textId="77777777" w:rsidR="00A85BCD" w:rsidRPr="001458F3" w:rsidRDefault="00A85BCD" w:rsidP="00223C22">
            <w:pPr>
              <w:jc w:val="center"/>
              <w:rPr>
                <w:rFonts w:ascii="Arial Narrow" w:hAnsi="Arial Narrow"/>
                <w:sz w:val="18"/>
                <w:szCs w:val="18"/>
              </w:rPr>
            </w:pPr>
            <w:r>
              <w:rPr>
                <w:rFonts w:ascii="Arial Narrow" w:hAnsi="Arial Narrow"/>
                <w:sz w:val="18"/>
                <w:szCs w:val="18"/>
              </w:rPr>
              <w:t>Total:</w:t>
            </w:r>
          </w:p>
        </w:tc>
        <w:tc>
          <w:tcPr>
            <w:tcW w:w="1295" w:type="dxa"/>
            <w:tcBorders>
              <w:top w:val="single" w:sz="4" w:space="0" w:color="auto"/>
              <w:left w:val="nil"/>
              <w:bottom w:val="single" w:sz="4" w:space="0" w:color="auto"/>
              <w:right w:val="single" w:sz="4" w:space="0" w:color="auto"/>
            </w:tcBorders>
            <w:shd w:val="clear" w:color="auto" w:fill="000000" w:themeFill="text1"/>
          </w:tcPr>
          <w:p w14:paraId="41F86D54" w14:textId="77777777" w:rsidR="00A85BCD" w:rsidRPr="00230973" w:rsidRDefault="00A85BCD" w:rsidP="00223C22">
            <w:pPr>
              <w:jc w:val="right"/>
              <w:rPr>
                <w:rFonts w:ascii="Arial Narrow" w:hAnsi="Arial Narrow"/>
                <w:sz w:val="20"/>
              </w:rPr>
            </w:pPr>
            <w:r>
              <w:rPr>
                <w:rFonts w:ascii="Arial Narrow" w:hAnsi="Arial Narrow"/>
                <w:sz w:val="20"/>
              </w:rPr>
              <w:t>$1</w:t>
            </w:r>
            <w:r w:rsidR="003637B3">
              <w:rPr>
                <w:rFonts w:ascii="Arial Narrow" w:hAnsi="Arial Narrow"/>
                <w:sz w:val="20"/>
              </w:rPr>
              <w:t>11</w:t>
            </w:r>
            <w:r>
              <w:rPr>
                <w:rFonts w:ascii="Arial Narrow" w:hAnsi="Arial Narrow"/>
                <w:sz w:val="20"/>
              </w:rPr>
              <w:t>.3 million</w:t>
            </w:r>
          </w:p>
        </w:tc>
        <w:tc>
          <w:tcPr>
            <w:tcW w:w="1295" w:type="dxa"/>
            <w:tcBorders>
              <w:top w:val="single" w:sz="4" w:space="0" w:color="auto"/>
              <w:left w:val="single" w:sz="4" w:space="0" w:color="auto"/>
              <w:bottom w:val="single" w:sz="4" w:space="0" w:color="auto"/>
              <w:right w:val="nil"/>
            </w:tcBorders>
            <w:shd w:val="clear" w:color="auto" w:fill="000000" w:themeFill="text1"/>
          </w:tcPr>
          <w:p w14:paraId="728719B0" w14:textId="77777777" w:rsidR="00A85BCD" w:rsidRPr="001458F3" w:rsidRDefault="00A85BCD" w:rsidP="00223C22">
            <w:pPr>
              <w:jc w:val="center"/>
              <w:rPr>
                <w:rFonts w:ascii="Arial Narrow" w:hAnsi="Arial Narrow"/>
                <w:sz w:val="18"/>
                <w:szCs w:val="18"/>
              </w:rPr>
            </w:pPr>
            <w:r>
              <w:rPr>
                <w:rFonts w:ascii="Arial Narrow" w:hAnsi="Arial Narrow"/>
                <w:sz w:val="18"/>
                <w:szCs w:val="18"/>
              </w:rPr>
              <w:t>Total:</w:t>
            </w:r>
          </w:p>
        </w:tc>
        <w:tc>
          <w:tcPr>
            <w:tcW w:w="1295" w:type="dxa"/>
            <w:tcBorders>
              <w:top w:val="single" w:sz="4" w:space="0" w:color="auto"/>
              <w:left w:val="nil"/>
              <w:bottom w:val="single" w:sz="4" w:space="0" w:color="auto"/>
              <w:right w:val="single" w:sz="4" w:space="0" w:color="auto"/>
            </w:tcBorders>
            <w:shd w:val="clear" w:color="auto" w:fill="000000" w:themeFill="text1"/>
          </w:tcPr>
          <w:p w14:paraId="43F15D8A" w14:textId="77777777" w:rsidR="00A85BCD" w:rsidRPr="00230973" w:rsidRDefault="00A85BCD" w:rsidP="00223C22">
            <w:pPr>
              <w:jc w:val="right"/>
              <w:rPr>
                <w:rFonts w:ascii="Arial Narrow" w:hAnsi="Arial Narrow"/>
                <w:sz w:val="20"/>
              </w:rPr>
            </w:pPr>
            <w:r>
              <w:rPr>
                <w:rFonts w:ascii="Arial Narrow" w:hAnsi="Arial Narrow"/>
                <w:sz w:val="20"/>
              </w:rPr>
              <w:t>$1</w:t>
            </w:r>
            <w:r w:rsidR="003637B3">
              <w:rPr>
                <w:rFonts w:ascii="Arial Narrow" w:hAnsi="Arial Narrow"/>
                <w:sz w:val="20"/>
              </w:rPr>
              <w:t>19</w:t>
            </w:r>
            <w:r>
              <w:rPr>
                <w:rFonts w:ascii="Arial Narrow" w:hAnsi="Arial Narrow"/>
                <w:sz w:val="20"/>
              </w:rPr>
              <w:t>.6 million</w:t>
            </w:r>
          </w:p>
        </w:tc>
        <w:tc>
          <w:tcPr>
            <w:tcW w:w="1295" w:type="dxa"/>
            <w:tcBorders>
              <w:top w:val="single" w:sz="4" w:space="0" w:color="auto"/>
              <w:left w:val="single" w:sz="4" w:space="0" w:color="auto"/>
              <w:bottom w:val="single" w:sz="4" w:space="0" w:color="auto"/>
              <w:right w:val="nil"/>
            </w:tcBorders>
            <w:shd w:val="clear" w:color="auto" w:fill="000000" w:themeFill="text1"/>
          </w:tcPr>
          <w:p w14:paraId="1D9E407D" w14:textId="77777777" w:rsidR="00A85BCD" w:rsidRPr="001458F3" w:rsidRDefault="00A85BCD" w:rsidP="00223C22">
            <w:pPr>
              <w:jc w:val="center"/>
              <w:rPr>
                <w:rFonts w:ascii="Arial Narrow" w:hAnsi="Arial Narrow"/>
                <w:sz w:val="18"/>
                <w:szCs w:val="18"/>
              </w:rPr>
            </w:pPr>
            <w:r>
              <w:rPr>
                <w:rFonts w:ascii="Arial Narrow" w:hAnsi="Arial Narrow"/>
                <w:sz w:val="18"/>
                <w:szCs w:val="18"/>
              </w:rPr>
              <w:t>Total:</w:t>
            </w:r>
          </w:p>
        </w:tc>
        <w:tc>
          <w:tcPr>
            <w:tcW w:w="1295" w:type="dxa"/>
            <w:tcBorders>
              <w:top w:val="single" w:sz="4" w:space="0" w:color="auto"/>
              <w:left w:val="nil"/>
              <w:bottom w:val="single" w:sz="4" w:space="0" w:color="auto"/>
              <w:right w:val="single" w:sz="4" w:space="0" w:color="auto"/>
            </w:tcBorders>
            <w:shd w:val="clear" w:color="auto" w:fill="000000" w:themeFill="text1"/>
          </w:tcPr>
          <w:p w14:paraId="5B1CCE94" w14:textId="77777777" w:rsidR="00A85BCD" w:rsidRPr="00230973" w:rsidRDefault="00A85BCD" w:rsidP="00223C22">
            <w:pPr>
              <w:jc w:val="right"/>
              <w:rPr>
                <w:rFonts w:ascii="Arial Narrow" w:hAnsi="Arial Narrow"/>
                <w:sz w:val="20"/>
              </w:rPr>
            </w:pPr>
            <w:r>
              <w:rPr>
                <w:rFonts w:ascii="Arial Narrow" w:hAnsi="Arial Narrow"/>
                <w:sz w:val="20"/>
              </w:rPr>
              <w:t>$1</w:t>
            </w:r>
            <w:r w:rsidR="003637B3">
              <w:rPr>
                <w:rFonts w:ascii="Arial Narrow" w:hAnsi="Arial Narrow"/>
                <w:sz w:val="20"/>
              </w:rPr>
              <w:t>19</w:t>
            </w:r>
            <w:r>
              <w:rPr>
                <w:rFonts w:ascii="Arial Narrow" w:hAnsi="Arial Narrow"/>
                <w:sz w:val="20"/>
              </w:rPr>
              <w:t>.6 million</w:t>
            </w:r>
          </w:p>
        </w:tc>
      </w:tr>
    </w:tbl>
    <w:p w14:paraId="2D2D6BDB" w14:textId="77777777" w:rsidR="0031073D" w:rsidRPr="00831993" w:rsidRDefault="0031073D" w:rsidP="000E4655">
      <w:pPr>
        <w:rPr>
          <w:rFonts w:ascii="Arial Narrow" w:hAnsi="Arial Narrow"/>
          <w:sz w:val="6"/>
          <w:szCs w:val="6"/>
        </w:rPr>
      </w:pPr>
    </w:p>
    <w:p w14:paraId="428F83CE" w14:textId="77777777" w:rsidR="004D46EC" w:rsidRPr="004D46EC" w:rsidRDefault="000E4655" w:rsidP="004D46EC">
      <w:pPr>
        <w:pStyle w:val="Default"/>
        <w:rPr>
          <w:rFonts w:ascii="Arial" w:hAnsi="Arial" w:cs="Arial"/>
          <w:color w:val="000000"/>
          <w:sz w:val="24"/>
          <w:szCs w:val="24"/>
        </w:rPr>
      </w:pPr>
      <w:r w:rsidRPr="00435C41">
        <w:rPr>
          <w:rFonts w:ascii="Arial Narrow" w:hAnsi="Arial Narrow"/>
          <w:b/>
          <w:sz w:val="18"/>
          <w:szCs w:val="18"/>
        </w:rPr>
        <w:t>Legend:</w:t>
      </w:r>
      <w:r w:rsidR="00435C41">
        <w:rPr>
          <w:rFonts w:ascii="Arial Narrow" w:hAnsi="Arial Narrow"/>
          <w:sz w:val="18"/>
          <w:szCs w:val="18"/>
        </w:rPr>
        <w:t xml:space="preserve"> </w:t>
      </w:r>
      <w:r w:rsidR="00F95B47">
        <w:rPr>
          <w:rFonts w:ascii="Arial Narrow" w:hAnsi="Arial Narrow"/>
          <w:sz w:val="18"/>
          <w:szCs w:val="18"/>
        </w:rPr>
        <w:t xml:space="preserve">The </w:t>
      </w:r>
      <w:r w:rsidR="00F95B47" w:rsidRPr="00F95B47">
        <w:rPr>
          <w:rFonts w:ascii="Arial Narrow" w:hAnsi="Arial Narrow"/>
          <w:b/>
          <w:sz w:val="18"/>
          <w:szCs w:val="18"/>
        </w:rPr>
        <w:t xml:space="preserve">Smarter Balanced </w:t>
      </w:r>
      <w:r w:rsidR="006B1128">
        <w:rPr>
          <w:rFonts w:ascii="Arial Narrow" w:hAnsi="Arial Narrow"/>
          <w:b/>
          <w:sz w:val="18"/>
          <w:szCs w:val="18"/>
        </w:rPr>
        <w:t>Summative A</w:t>
      </w:r>
      <w:r w:rsidRPr="00F95B47">
        <w:rPr>
          <w:rFonts w:ascii="Arial Narrow" w:hAnsi="Arial Narrow"/>
          <w:b/>
          <w:sz w:val="18"/>
          <w:szCs w:val="18"/>
        </w:rPr>
        <w:t>ssessments</w:t>
      </w:r>
      <w:r w:rsidRPr="0031073D">
        <w:rPr>
          <w:rFonts w:ascii="Arial Narrow" w:hAnsi="Arial Narrow"/>
          <w:sz w:val="18"/>
          <w:szCs w:val="18"/>
        </w:rPr>
        <w:t xml:space="preserve"> </w:t>
      </w:r>
      <w:r w:rsidR="002D49B5">
        <w:rPr>
          <w:rFonts w:ascii="Arial Narrow" w:hAnsi="Arial Narrow"/>
          <w:sz w:val="18"/>
          <w:szCs w:val="18"/>
        </w:rPr>
        <w:t xml:space="preserve">for </w:t>
      </w:r>
      <w:r w:rsidR="00C853E9">
        <w:rPr>
          <w:rFonts w:ascii="Arial Narrow" w:hAnsi="Arial Narrow"/>
          <w:sz w:val="18"/>
          <w:szCs w:val="18"/>
        </w:rPr>
        <w:t>ELA</w:t>
      </w:r>
      <w:r w:rsidRPr="0031073D">
        <w:rPr>
          <w:rFonts w:ascii="Arial Narrow" w:hAnsi="Arial Narrow"/>
          <w:sz w:val="18"/>
          <w:szCs w:val="18"/>
        </w:rPr>
        <w:t xml:space="preserve"> and mathematics</w:t>
      </w:r>
      <w:r w:rsidR="0041676B">
        <w:rPr>
          <w:rFonts w:ascii="Arial Narrow" w:hAnsi="Arial Narrow"/>
          <w:sz w:val="18"/>
          <w:szCs w:val="18"/>
        </w:rPr>
        <w:t>,</w:t>
      </w:r>
      <w:r w:rsidR="005473B7">
        <w:rPr>
          <w:rFonts w:ascii="Arial Narrow" w:hAnsi="Arial Narrow"/>
          <w:sz w:val="18"/>
          <w:szCs w:val="18"/>
        </w:rPr>
        <w:t xml:space="preserve"> grades 3</w:t>
      </w:r>
      <w:r w:rsidR="00A64F7A">
        <w:rPr>
          <w:rFonts w:cs="Arial"/>
          <w:sz w:val="18"/>
          <w:szCs w:val="18"/>
        </w:rPr>
        <w:t>–</w:t>
      </w:r>
      <w:r w:rsidR="005473B7">
        <w:rPr>
          <w:rFonts w:ascii="Arial Narrow" w:hAnsi="Arial Narrow"/>
          <w:sz w:val="18"/>
          <w:szCs w:val="18"/>
        </w:rPr>
        <w:t>8, 11</w:t>
      </w:r>
      <w:r w:rsidRPr="0031073D">
        <w:rPr>
          <w:rFonts w:ascii="Arial Narrow" w:hAnsi="Arial Narrow"/>
          <w:sz w:val="18"/>
          <w:szCs w:val="18"/>
        </w:rPr>
        <w:t xml:space="preserve">; the </w:t>
      </w:r>
      <w:r w:rsidRPr="00F95B47">
        <w:rPr>
          <w:rFonts w:ascii="Arial Narrow" w:hAnsi="Arial Narrow"/>
          <w:b/>
          <w:sz w:val="18"/>
          <w:szCs w:val="18"/>
        </w:rPr>
        <w:t>CAAs</w:t>
      </w:r>
      <w:r w:rsidRPr="0031073D">
        <w:rPr>
          <w:rFonts w:ascii="Arial Narrow" w:hAnsi="Arial Narrow"/>
          <w:sz w:val="18"/>
          <w:szCs w:val="18"/>
        </w:rPr>
        <w:t xml:space="preserve"> </w:t>
      </w:r>
      <w:r w:rsidR="002D49B5">
        <w:rPr>
          <w:rFonts w:ascii="Arial Narrow" w:hAnsi="Arial Narrow"/>
          <w:sz w:val="18"/>
          <w:szCs w:val="18"/>
        </w:rPr>
        <w:t xml:space="preserve">for </w:t>
      </w:r>
      <w:r w:rsidR="00C853E9">
        <w:rPr>
          <w:rFonts w:ascii="Arial Narrow" w:hAnsi="Arial Narrow"/>
          <w:sz w:val="18"/>
          <w:szCs w:val="18"/>
        </w:rPr>
        <w:t>ELA</w:t>
      </w:r>
      <w:r w:rsidRPr="0031073D">
        <w:rPr>
          <w:rFonts w:ascii="Arial Narrow" w:hAnsi="Arial Narrow"/>
          <w:sz w:val="18"/>
          <w:szCs w:val="18"/>
        </w:rPr>
        <w:t xml:space="preserve"> and mathematics</w:t>
      </w:r>
      <w:r w:rsidR="0041676B">
        <w:rPr>
          <w:rFonts w:ascii="Arial Narrow" w:hAnsi="Arial Narrow"/>
          <w:sz w:val="18"/>
          <w:szCs w:val="18"/>
        </w:rPr>
        <w:t>,</w:t>
      </w:r>
      <w:r w:rsidR="005473B7">
        <w:rPr>
          <w:rFonts w:ascii="Arial Narrow" w:hAnsi="Arial Narrow"/>
          <w:sz w:val="18"/>
          <w:szCs w:val="18"/>
        </w:rPr>
        <w:t xml:space="preserve"> grades 3</w:t>
      </w:r>
      <w:r w:rsidR="00A64F7A">
        <w:rPr>
          <w:rFonts w:cs="Arial"/>
          <w:sz w:val="18"/>
          <w:szCs w:val="18"/>
        </w:rPr>
        <w:t>–</w:t>
      </w:r>
      <w:r w:rsidR="005473B7">
        <w:rPr>
          <w:rFonts w:ascii="Arial Narrow" w:hAnsi="Arial Narrow"/>
          <w:sz w:val="18"/>
          <w:szCs w:val="18"/>
        </w:rPr>
        <w:t>8, 11</w:t>
      </w:r>
      <w:r w:rsidRPr="0031073D">
        <w:rPr>
          <w:rFonts w:ascii="Arial Narrow" w:hAnsi="Arial Narrow"/>
          <w:sz w:val="18"/>
          <w:szCs w:val="18"/>
        </w:rPr>
        <w:t xml:space="preserve">; the </w:t>
      </w:r>
      <w:r w:rsidRPr="00C853E9">
        <w:rPr>
          <w:rFonts w:ascii="Arial Narrow" w:hAnsi="Arial Narrow"/>
          <w:b/>
          <w:sz w:val="18"/>
          <w:szCs w:val="18"/>
        </w:rPr>
        <w:t>C</w:t>
      </w:r>
      <w:r w:rsidR="004D46EC">
        <w:rPr>
          <w:rFonts w:ascii="Arial Narrow" w:hAnsi="Arial Narrow"/>
          <w:b/>
          <w:sz w:val="18"/>
          <w:szCs w:val="18"/>
        </w:rPr>
        <w:t>A</w:t>
      </w:r>
      <w:r w:rsidRPr="00C853E9">
        <w:rPr>
          <w:rFonts w:ascii="Arial Narrow" w:hAnsi="Arial Narrow"/>
          <w:b/>
          <w:sz w:val="18"/>
          <w:szCs w:val="18"/>
        </w:rPr>
        <w:t>ST</w:t>
      </w:r>
      <w:r w:rsidR="0041676B">
        <w:rPr>
          <w:rFonts w:ascii="Arial Narrow" w:hAnsi="Arial Narrow"/>
          <w:b/>
          <w:sz w:val="18"/>
          <w:szCs w:val="18"/>
        </w:rPr>
        <w:t>,</w:t>
      </w:r>
      <w:r w:rsidR="005473B7">
        <w:rPr>
          <w:rFonts w:ascii="Arial Narrow" w:hAnsi="Arial Narrow"/>
          <w:b/>
          <w:sz w:val="18"/>
          <w:szCs w:val="18"/>
        </w:rPr>
        <w:t xml:space="preserve"> </w:t>
      </w:r>
      <w:r w:rsidR="005473B7">
        <w:rPr>
          <w:rFonts w:ascii="Arial Narrow" w:hAnsi="Arial Narrow"/>
          <w:sz w:val="18"/>
          <w:szCs w:val="18"/>
        </w:rPr>
        <w:t xml:space="preserve">grades 5, 8, </w:t>
      </w:r>
      <w:r w:rsidR="004D46EC">
        <w:rPr>
          <w:rFonts w:ascii="Arial Narrow" w:hAnsi="Arial Narrow"/>
          <w:sz w:val="18"/>
          <w:szCs w:val="18"/>
        </w:rPr>
        <w:t>and assigned grade in high school</w:t>
      </w:r>
      <w:r w:rsidR="0041676B">
        <w:rPr>
          <w:rFonts w:ascii="Arial Narrow" w:hAnsi="Arial Narrow"/>
          <w:sz w:val="18"/>
          <w:szCs w:val="18"/>
        </w:rPr>
        <w:t xml:space="preserve">; </w:t>
      </w:r>
      <w:r w:rsidR="004D46EC" w:rsidRPr="004D46EC">
        <w:rPr>
          <w:rFonts w:ascii="Arial Narrow" w:hAnsi="Arial Narrow"/>
          <w:b/>
          <w:sz w:val="18"/>
          <w:szCs w:val="18"/>
        </w:rPr>
        <w:t>CAA for Science</w:t>
      </w:r>
      <w:r w:rsidR="004D46EC">
        <w:rPr>
          <w:rFonts w:ascii="Arial Narrow" w:hAnsi="Arial Narrow"/>
          <w:b/>
          <w:sz w:val="18"/>
          <w:szCs w:val="18"/>
        </w:rPr>
        <w:t xml:space="preserve"> </w:t>
      </w:r>
      <w:r w:rsidR="004D46EC">
        <w:rPr>
          <w:rFonts w:ascii="Arial Narrow" w:hAnsi="Arial Narrow"/>
          <w:sz w:val="18"/>
          <w:szCs w:val="18"/>
        </w:rPr>
        <w:t xml:space="preserve">for  </w:t>
      </w:r>
      <w:r w:rsidR="005473B7">
        <w:rPr>
          <w:rFonts w:ascii="Arial Narrow" w:hAnsi="Arial Narrow"/>
          <w:sz w:val="18"/>
          <w:szCs w:val="18"/>
        </w:rPr>
        <w:t>grades 5, 8,</w:t>
      </w:r>
      <w:r w:rsidR="004D46EC">
        <w:rPr>
          <w:rFonts w:ascii="Arial Narrow" w:hAnsi="Arial Narrow"/>
          <w:sz w:val="18"/>
          <w:szCs w:val="18"/>
        </w:rPr>
        <w:t xml:space="preserve"> and assigned grade in high school</w:t>
      </w:r>
      <w:r w:rsidRPr="0031073D">
        <w:rPr>
          <w:rFonts w:ascii="Arial Narrow" w:hAnsi="Arial Narrow"/>
          <w:sz w:val="18"/>
          <w:szCs w:val="18"/>
        </w:rPr>
        <w:t xml:space="preserve">; the </w:t>
      </w:r>
      <w:r w:rsidRPr="00435C41">
        <w:rPr>
          <w:rFonts w:ascii="Arial Narrow" w:hAnsi="Arial Narrow"/>
          <w:b/>
          <w:sz w:val="18"/>
          <w:szCs w:val="18"/>
        </w:rPr>
        <w:t>STS</w:t>
      </w:r>
      <w:r w:rsidRPr="0031073D">
        <w:rPr>
          <w:rFonts w:ascii="Arial Narrow" w:hAnsi="Arial Narrow"/>
          <w:sz w:val="18"/>
          <w:szCs w:val="18"/>
        </w:rPr>
        <w:t xml:space="preserve"> </w:t>
      </w:r>
      <w:r w:rsidR="004D46EC">
        <w:rPr>
          <w:rFonts w:ascii="Arial Narrow" w:hAnsi="Arial Narrow"/>
          <w:sz w:val="18"/>
          <w:szCs w:val="18"/>
        </w:rPr>
        <w:t xml:space="preserve">for </w:t>
      </w:r>
      <w:r w:rsidR="0031073D">
        <w:rPr>
          <w:rFonts w:ascii="Arial Narrow" w:hAnsi="Arial Narrow"/>
          <w:sz w:val="18"/>
          <w:szCs w:val="18"/>
        </w:rPr>
        <w:t>students in</w:t>
      </w:r>
      <w:r w:rsidRPr="0031073D">
        <w:rPr>
          <w:rFonts w:ascii="Arial Narrow" w:hAnsi="Arial Narrow"/>
          <w:sz w:val="18"/>
          <w:szCs w:val="18"/>
        </w:rPr>
        <w:t xml:space="preserve"> reading/language arts</w:t>
      </w:r>
      <w:r w:rsidR="006B1128">
        <w:rPr>
          <w:rFonts w:ascii="Arial Narrow" w:hAnsi="Arial Narrow"/>
          <w:sz w:val="18"/>
          <w:szCs w:val="18"/>
        </w:rPr>
        <w:t>,</w:t>
      </w:r>
      <w:r w:rsidR="005473B7">
        <w:rPr>
          <w:rFonts w:ascii="Arial Narrow" w:hAnsi="Arial Narrow"/>
          <w:sz w:val="18"/>
          <w:szCs w:val="18"/>
        </w:rPr>
        <w:t xml:space="preserve"> grades </w:t>
      </w:r>
      <w:r w:rsidR="003C6E00">
        <w:rPr>
          <w:rFonts w:ascii="Arial Narrow" w:hAnsi="Arial Narrow"/>
          <w:sz w:val="18"/>
          <w:szCs w:val="18"/>
        </w:rPr>
        <w:t>2</w:t>
      </w:r>
      <w:r w:rsidR="00A64F7A">
        <w:rPr>
          <w:rFonts w:cs="Arial"/>
          <w:sz w:val="18"/>
          <w:szCs w:val="18"/>
        </w:rPr>
        <w:t>–</w:t>
      </w:r>
      <w:r w:rsidR="005473B7">
        <w:rPr>
          <w:rFonts w:ascii="Arial Narrow" w:hAnsi="Arial Narrow"/>
          <w:sz w:val="18"/>
          <w:szCs w:val="18"/>
        </w:rPr>
        <w:t xml:space="preserve">11; </w:t>
      </w:r>
      <w:r w:rsidR="004D46EC">
        <w:rPr>
          <w:rFonts w:ascii="Arial Narrow" w:hAnsi="Arial Narrow"/>
          <w:sz w:val="18"/>
          <w:szCs w:val="18"/>
        </w:rPr>
        <w:t xml:space="preserve">the </w:t>
      </w:r>
      <w:r w:rsidR="004D46EC" w:rsidRPr="004D46EC">
        <w:rPr>
          <w:rFonts w:ascii="Arial Narrow" w:hAnsi="Arial Narrow"/>
          <w:b/>
          <w:sz w:val="18"/>
          <w:szCs w:val="18"/>
        </w:rPr>
        <w:t xml:space="preserve">CSA </w:t>
      </w:r>
      <w:r w:rsidR="004D46EC">
        <w:rPr>
          <w:rFonts w:ascii="Arial Narrow" w:hAnsi="Arial Narrow"/>
          <w:sz w:val="18"/>
          <w:szCs w:val="18"/>
        </w:rPr>
        <w:t>for students receiving instruction in Spanish and/or seeking a measure that recognizes their Spanish-specific reading, writing, and listening skills.</w:t>
      </w:r>
    </w:p>
    <w:p w14:paraId="16C0481C" w14:textId="77777777" w:rsidR="004D46EC" w:rsidRPr="004D46EC" w:rsidRDefault="004D46EC" w:rsidP="004D46EC">
      <w:pPr>
        <w:widowControl/>
        <w:autoSpaceDE w:val="0"/>
        <w:autoSpaceDN w:val="0"/>
        <w:adjustRightInd w:val="0"/>
        <w:rPr>
          <w:rFonts w:cs="Arial"/>
          <w:snapToGrid/>
          <w:szCs w:val="24"/>
        </w:rPr>
      </w:pPr>
    </w:p>
    <w:sectPr w:rsidR="004D46EC" w:rsidRPr="004D46EC" w:rsidSect="00974F7D">
      <w:headerReference w:type="default" r:id="rId5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3F18" w14:textId="77777777" w:rsidR="005A0C6A" w:rsidRDefault="005A0C6A">
      <w:r>
        <w:separator/>
      </w:r>
    </w:p>
  </w:endnote>
  <w:endnote w:type="continuationSeparator" w:id="0">
    <w:p w14:paraId="6BDC5782" w14:textId="77777777" w:rsidR="005A0C6A" w:rsidRDefault="005A0C6A">
      <w:r>
        <w:continuationSeparator/>
      </w:r>
    </w:p>
  </w:endnote>
  <w:endnote w:type="continuationNotice" w:id="1">
    <w:p w14:paraId="0D6A2B82" w14:textId="77777777" w:rsidR="005A0C6A" w:rsidRDefault="005A0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738437"/>
      <w:docPartObj>
        <w:docPartGallery w:val="Page Numbers (Bottom of Page)"/>
        <w:docPartUnique/>
      </w:docPartObj>
    </w:sdtPr>
    <w:sdtEndPr>
      <w:rPr>
        <w:noProof/>
        <w:sz w:val="18"/>
        <w:szCs w:val="18"/>
      </w:rPr>
    </w:sdtEndPr>
    <w:sdtContent>
      <w:p w14:paraId="11D5CBEA" w14:textId="77777777" w:rsidR="00974F7D" w:rsidRPr="00D77BE1" w:rsidRDefault="00974F7D" w:rsidP="00BD7C2C">
        <w:pPr>
          <w:pStyle w:val="Footer"/>
          <w:jc w:val="center"/>
          <w:rPr>
            <w:sz w:val="18"/>
            <w:szCs w:val="18"/>
          </w:rPr>
        </w:pPr>
        <w:r w:rsidRPr="00D77BE1">
          <w:rPr>
            <w:sz w:val="18"/>
            <w:szCs w:val="18"/>
          </w:rPr>
          <w:fldChar w:fldCharType="begin"/>
        </w:r>
        <w:r w:rsidRPr="00D77BE1">
          <w:rPr>
            <w:sz w:val="18"/>
            <w:szCs w:val="18"/>
          </w:rPr>
          <w:instrText xml:space="preserve"> PAGE   \* MERGEFORMAT </w:instrText>
        </w:r>
        <w:r w:rsidRPr="00D77BE1">
          <w:rPr>
            <w:sz w:val="18"/>
            <w:szCs w:val="18"/>
          </w:rPr>
          <w:fldChar w:fldCharType="separate"/>
        </w:r>
        <w:r w:rsidR="003063C7">
          <w:rPr>
            <w:noProof/>
            <w:sz w:val="18"/>
            <w:szCs w:val="18"/>
          </w:rPr>
          <w:t>18</w:t>
        </w:r>
        <w:r w:rsidRPr="00D77BE1">
          <w:rPr>
            <w:noProof/>
            <w:sz w:val="18"/>
            <w:szCs w:val="18"/>
          </w:rPr>
          <w:fldChar w:fldCharType="end"/>
        </w:r>
      </w:p>
    </w:sdtContent>
  </w:sdt>
  <w:p w14:paraId="51FC7A7E" w14:textId="77777777" w:rsidR="00974F7D" w:rsidRPr="00107552" w:rsidRDefault="00974F7D" w:rsidP="00763CC2">
    <w:pPr>
      <w:pStyle w:val="Footer"/>
      <w:tabs>
        <w:tab w:val="clear" w:pos="8640"/>
        <w:tab w:val="right" w:pos="9180"/>
      </w:tabs>
      <w:jc w:val="right"/>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B25A" w14:textId="77777777" w:rsidR="00974F7D" w:rsidRPr="00763CC2" w:rsidRDefault="00974F7D" w:rsidP="00763CC2">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42830"/>
      <w:docPartObj>
        <w:docPartGallery w:val="Page Numbers (Bottom of Page)"/>
        <w:docPartUnique/>
      </w:docPartObj>
    </w:sdtPr>
    <w:sdtEndPr>
      <w:rPr>
        <w:noProof/>
        <w:sz w:val="18"/>
        <w:szCs w:val="18"/>
      </w:rPr>
    </w:sdtEndPr>
    <w:sdtContent>
      <w:p w14:paraId="5A7D96A7" w14:textId="77777777" w:rsidR="00F92492" w:rsidRPr="00D77BE1" w:rsidRDefault="00F92492" w:rsidP="00BD7C2C">
        <w:pPr>
          <w:pStyle w:val="Footer"/>
          <w:jc w:val="center"/>
          <w:rPr>
            <w:sz w:val="18"/>
            <w:szCs w:val="18"/>
          </w:rPr>
        </w:pPr>
        <w:r w:rsidRPr="00D77BE1">
          <w:rPr>
            <w:sz w:val="18"/>
            <w:szCs w:val="18"/>
          </w:rPr>
          <w:fldChar w:fldCharType="begin"/>
        </w:r>
        <w:r w:rsidRPr="00D77BE1">
          <w:rPr>
            <w:sz w:val="18"/>
            <w:szCs w:val="18"/>
          </w:rPr>
          <w:instrText xml:space="preserve"> PAGE   \* MERGEFORMAT </w:instrText>
        </w:r>
        <w:r w:rsidRPr="00D77BE1">
          <w:rPr>
            <w:sz w:val="18"/>
            <w:szCs w:val="18"/>
          </w:rPr>
          <w:fldChar w:fldCharType="separate"/>
        </w:r>
        <w:r w:rsidR="003063C7">
          <w:rPr>
            <w:noProof/>
            <w:sz w:val="18"/>
            <w:szCs w:val="18"/>
          </w:rPr>
          <w:t>7</w:t>
        </w:r>
        <w:r w:rsidRPr="00D77BE1">
          <w:rPr>
            <w:noProof/>
            <w:sz w:val="18"/>
            <w:szCs w:val="18"/>
          </w:rPr>
          <w:fldChar w:fldCharType="end"/>
        </w:r>
      </w:p>
    </w:sdtContent>
  </w:sdt>
  <w:p w14:paraId="1F096208" w14:textId="77777777" w:rsidR="00F92492" w:rsidRPr="00763CC2" w:rsidRDefault="00F92492" w:rsidP="00763CC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5DCC" w14:textId="77777777" w:rsidR="005A0C6A" w:rsidRDefault="005A0C6A">
      <w:r>
        <w:separator/>
      </w:r>
    </w:p>
  </w:footnote>
  <w:footnote w:type="continuationSeparator" w:id="0">
    <w:p w14:paraId="1AF4C3D5" w14:textId="77777777" w:rsidR="005A0C6A" w:rsidRDefault="005A0C6A">
      <w:r>
        <w:continuationSeparator/>
      </w:r>
    </w:p>
  </w:footnote>
  <w:footnote w:type="continuationNotice" w:id="1">
    <w:p w14:paraId="794DD270" w14:textId="77777777" w:rsidR="005A0C6A" w:rsidRDefault="005A0C6A"/>
  </w:footnote>
  <w:footnote w:id="2">
    <w:p w14:paraId="608FD759" w14:textId="77777777" w:rsidR="00974F7D" w:rsidRDefault="00974F7D">
      <w:pPr>
        <w:pStyle w:val="FootnoteText"/>
      </w:pPr>
      <w:r>
        <w:rPr>
          <w:rStyle w:val="FootnoteReference"/>
        </w:rPr>
        <w:footnoteRef/>
      </w:r>
      <w:r>
        <w:t xml:space="preserve"> </w:t>
      </w:r>
      <w:r>
        <w:rPr>
          <w:rFonts w:cs="Arial"/>
          <w:sz w:val="16"/>
          <w:szCs w:val="16"/>
        </w:rPr>
        <w:t xml:space="preserve">Per </w:t>
      </w:r>
      <w:r w:rsidRPr="002B70FE">
        <w:rPr>
          <w:rFonts w:cs="Arial"/>
          <w:i/>
          <w:sz w:val="16"/>
          <w:szCs w:val="16"/>
        </w:rPr>
        <w:t>EC</w:t>
      </w:r>
      <w:r>
        <w:rPr>
          <w:rFonts w:cs="Arial"/>
          <w:sz w:val="16"/>
          <w:szCs w:val="16"/>
        </w:rPr>
        <w:t xml:space="preserve"> Section 60605.7, </w:t>
      </w:r>
      <w:r w:rsidRPr="0067183F">
        <w:rPr>
          <w:rFonts w:cs="Arial"/>
          <w:sz w:val="16"/>
          <w:szCs w:val="16"/>
        </w:rPr>
        <w:t>California joined the Smarter Balanced Assessment Consortium</w:t>
      </w:r>
      <w:r>
        <w:rPr>
          <w:rFonts w:cs="Arial"/>
          <w:sz w:val="16"/>
          <w:szCs w:val="16"/>
        </w:rPr>
        <w:t xml:space="preserve"> in June 2011</w:t>
      </w:r>
      <w:r w:rsidRPr="0067183F">
        <w:rPr>
          <w:rFonts w:cs="Arial"/>
          <w:sz w:val="16"/>
          <w:szCs w:val="16"/>
        </w:rPr>
        <w:t xml:space="preserve"> as a governing state </w:t>
      </w:r>
      <w:r>
        <w:rPr>
          <w:rFonts w:cs="Arial"/>
          <w:sz w:val="16"/>
          <w:szCs w:val="16"/>
        </w:rPr>
        <w:t xml:space="preserve">working on the development of computer-based English language arts/literacy (ELA) and mathematics assessments. As stipulated in </w:t>
      </w:r>
      <w:r w:rsidRPr="002B70FE">
        <w:rPr>
          <w:rFonts w:cs="Arial"/>
          <w:i/>
          <w:sz w:val="16"/>
          <w:szCs w:val="16"/>
        </w:rPr>
        <w:t>EC</w:t>
      </w:r>
      <w:r>
        <w:rPr>
          <w:rFonts w:cs="Arial"/>
          <w:sz w:val="16"/>
          <w:szCs w:val="16"/>
        </w:rPr>
        <w:t xml:space="preserve"> Section 60640(b)(1), the Smarter Balanced assessments measure the current standards adopted by the State Board of Education (SBE).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2BCE" w14:textId="77777777" w:rsidR="00974F7D" w:rsidRPr="001236B5" w:rsidRDefault="00974F7D" w:rsidP="009D1CAC">
    <w:pPr>
      <w:pStyle w:val="Header"/>
    </w:pPr>
    <w:r w:rsidRPr="004600AF">
      <w:rPr>
        <w:rFonts w:cs="Arial"/>
        <w:b/>
        <w:szCs w:val="24"/>
      </w:rPr>
      <w:t>Table 3.</w:t>
    </w:r>
    <w:r w:rsidRPr="004600AF">
      <w:rPr>
        <w:rFonts w:cs="Arial"/>
        <w:szCs w:val="24"/>
      </w:rPr>
      <w:t xml:space="preserve"> CAASPP Implementation Update</w:t>
    </w:r>
    <w:r>
      <w:rPr>
        <w:rFonts w:cs="Arial"/>
        <w:szCs w:val="24"/>
      </w:rPr>
      <w:t xml:space="preserve"> (cont.)</w:t>
    </w:r>
  </w:p>
  <w:p w14:paraId="5B5A5DAB" w14:textId="77777777" w:rsidR="00974F7D" w:rsidRPr="009D1CAC" w:rsidRDefault="00974F7D" w:rsidP="009D1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13D5" w14:textId="77777777" w:rsidR="00974F7D" w:rsidRPr="00F97727" w:rsidRDefault="00974F7D" w:rsidP="00F97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1BA9" w14:textId="77777777" w:rsidR="00974F7D" w:rsidRPr="009D1CAC" w:rsidRDefault="00974F7D" w:rsidP="009D1C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7768" w14:textId="77777777" w:rsidR="00974F7D" w:rsidRPr="00F97727" w:rsidRDefault="00974F7D" w:rsidP="00F977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1CB7" w14:textId="77777777" w:rsidR="00974F7D" w:rsidRPr="00F97727" w:rsidRDefault="00974F7D" w:rsidP="00F97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3in;height:3in" o:bullet="t"/>
    </w:pict>
  </w:numPicBullet>
  <w:numPicBullet w:numPicBulletId="1">
    <w:pict>
      <v:shape id="_x0000_i1208" type="#_x0000_t75" style="width:3in;height:3in" o:bullet="t"/>
    </w:pict>
  </w:numPicBullet>
  <w:numPicBullet w:numPicBulletId="2">
    <w:pict>
      <v:shape id="_x0000_i1209" type="#_x0000_t75" style="width:3in;height:3in" o:bullet="t"/>
    </w:pict>
  </w:numPicBullet>
  <w:numPicBullet w:numPicBulletId="3">
    <w:pict>
      <v:shape id="_x0000_i1210" type="#_x0000_t75" style="width:3in;height:3in" o:bullet="t"/>
    </w:pict>
  </w:numPicBullet>
  <w:numPicBullet w:numPicBulletId="4">
    <w:pict>
      <v:shape id="_x0000_i1211" type="#_x0000_t75" style="width:3in;height:3in" o:bullet="t"/>
    </w:pict>
  </w:numPicBullet>
  <w:numPicBullet w:numPicBulletId="5">
    <w:pict>
      <v:shape id="_x0000_i1212" type="#_x0000_t75" style="width:3in;height:3in" o:bullet="t"/>
    </w:pict>
  </w:numPicBullet>
  <w:abstractNum w:abstractNumId="0" w15:restartNumberingAfterBreak="0">
    <w:nsid w:val="03B577C6"/>
    <w:multiLevelType w:val="hybridMultilevel"/>
    <w:tmpl w:val="9878AA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AF5FB0"/>
    <w:multiLevelType w:val="hybridMultilevel"/>
    <w:tmpl w:val="77A47258"/>
    <w:lvl w:ilvl="0" w:tplc="DB9A49B4">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34330"/>
    <w:multiLevelType w:val="hybridMultilevel"/>
    <w:tmpl w:val="62663C6A"/>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11EAB"/>
    <w:multiLevelType w:val="hybridMultilevel"/>
    <w:tmpl w:val="8AD44CE4"/>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D95AD8"/>
    <w:multiLevelType w:val="hybridMultilevel"/>
    <w:tmpl w:val="A232D848"/>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8037D"/>
    <w:multiLevelType w:val="hybridMultilevel"/>
    <w:tmpl w:val="1B340C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4BF103F"/>
    <w:multiLevelType w:val="hybridMultilevel"/>
    <w:tmpl w:val="DECA6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9096B"/>
    <w:multiLevelType w:val="hybridMultilevel"/>
    <w:tmpl w:val="E8023A32"/>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2775AB"/>
    <w:multiLevelType w:val="hybridMultilevel"/>
    <w:tmpl w:val="3A82E32E"/>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A1693"/>
    <w:multiLevelType w:val="hybridMultilevel"/>
    <w:tmpl w:val="BF06C940"/>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735"/>
    <w:multiLevelType w:val="hybridMultilevel"/>
    <w:tmpl w:val="2B64FF0A"/>
    <w:lvl w:ilvl="0" w:tplc="04090003">
      <w:start w:val="1"/>
      <w:numFmt w:val="bullet"/>
      <w:lvlText w:val="o"/>
      <w:lvlJc w:val="left"/>
      <w:pPr>
        <w:ind w:left="720" w:hanging="360"/>
      </w:pPr>
      <w:rPr>
        <w:rFonts w:ascii="Courier New" w:hAnsi="Courier New" w:cs="Courier New"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77031"/>
    <w:multiLevelType w:val="hybridMultilevel"/>
    <w:tmpl w:val="4A8E9114"/>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622FA"/>
    <w:multiLevelType w:val="hybridMultilevel"/>
    <w:tmpl w:val="BCD60EBC"/>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E7CEA"/>
    <w:multiLevelType w:val="hybridMultilevel"/>
    <w:tmpl w:val="98BA9F96"/>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E34C57"/>
    <w:multiLevelType w:val="hybridMultilevel"/>
    <w:tmpl w:val="DFE05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B435C1"/>
    <w:multiLevelType w:val="hybridMultilevel"/>
    <w:tmpl w:val="CD4A494E"/>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F338F"/>
    <w:multiLevelType w:val="multilevel"/>
    <w:tmpl w:val="8B30304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F83ABD"/>
    <w:multiLevelType w:val="hybridMultilevel"/>
    <w:tmpl w:val="4B10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C71D9"/>
    <w:multiLevelType w:val="hybridMultilevel"/>
    <w:tmpl w:val="26B8E76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DF72892"/>
    <w:multiLevelType w:val="hybridMultilevel"/>
    <w:tmpl w:val="CE007E80"/>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0" w15:restartNumberingAfterBreak="0">
    <w:nsid w:val="35414901"/>
    <w:multiLevelType w:val="hybridMultilevel"/>
    <w:tmpl w:val="CC488D44"/>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5706FA"/>
    <w:multiLevelType w:val="hybridMultilevel"/>
    <w:tmpl w:val="D096ADA4"/>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020AD"/>
    <w:multiLevelType w:val="hybridMultilevel"/>
    <w:tmpl w:val="ABF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D7DC5"/>
    <w:multiLevelType w:val="hybridMultilevel"/>
    <w:tmpl w:val="95021BEE"/>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2142F"/>
    <w:multiLevelType w:val="hybridMultilevel"/>
    <w:tmpl w:val="32BE2282"/>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F151C3"/>
    <w:multiLevelType w:val="hybridMultilevel"/>
    <w:tmpl w:val="170C6BC6"/>
    <w:lvl w:ilvl="0" w:tplc="A4B8C026">
      <w:start w:val="1"/>
      <w:numFmt w:val="bullet"/>
      <w:lvlText w:val=""/>
      <w:lvlJc w:val="left"/>
      <w:pPr>
        <w:ind w:left="360" w:hanging="360"/>
      </w:pPr>
      <w:rPr>
        <w:rFonts w:ascii="Symbol" w:hAnsi="Symbol" w:hint="default"/>
        <w:color w:val="8DB3E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27090C"/>
    <w:multiLevelType w:val="hybridMultilevel"/>
    <w:tmpl w:val="638C6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C105A3"/>
    <w:multiLevelType w:val="hybridMultilevel"/>
    <w:tmpl w:val="1A00D974"/>
    <w:lvl w:ilvl="0" w:tplc="4F562AAA">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476F9"/>
    <w:multiLevelType w:val="hybridMultilevel"/>
    <w:tmpl w:val="7F82FCF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302751E"/>
    <w:multiLevelType w:val="hybridMultilevel"/>
    <w:tmpl w:val="BD724A44"/>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BE0D02"/>
    <w:multiLevelType w:val="hybridMultilevel"/>
    <w:tmpl w:val="8326DEE2"/>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C5D02"/>
    <w:multiLevelType w:val="hybridMultilevel"/>
    <w:tmpl w:val="D538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E6303B"/>
    <w:multiLevelType w:val="hybridMultilevel"/>
    <w:tmpl w:val="2396A48E"/>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E0B3E"/>
    <w:multiLevelType w:val="hybridMultilevel"/>
    <w:tmpl w:val="D90EA522"/>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424AB"/>
    <w:multiLevelType w:val="hybridMultilevel"/>
    <w:tmpl w:val="29AE510A"/>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5D6A83"/>
    <w:multiLevelType w:val="hybridMultilevel"/>
    <w:tmpl w:val="FC7C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2251BA"/>
    <w:multiLevelType w:val="hybridMultilevel"/>
    <w:tmpl w:val="12CC8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DDE2116"/>
    <w:multiLevelType w:val="hybridMultilevel"/>
    <w:tmpl w:val="F87C530E"/>
    <w:lvl w:ilvl="0" w:tplc="04090003">
      <w:start w:val="1"/>
      <w:numFmt w:val="bullet"/>
      <w:lvlText w:val="o"/>
      <w:lvlJc w:val="left"/>
      <w:pPr>
        <w:ind w:left="720" w:hanging="360"/>
      </w:pPr>
      <w:rPr>
        <w:rFonts w:ascii="Courier New" w:hAnsi="Courier New" w:cs="Courier New"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E15AB"/>
    <w:multiLevelType w:val="hybridMultilevel"/>
    <w:tmpl w:val="194003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3317A4C"/>
    <w:multiLevelType w:val="hybridMultilevel"/>
    <w:tmpl w:val="211A2D1A"/>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244E01"/>
    <w:multiLevelType w:val="hybridMultilevel"/>
    <w:tmpl w:val="4244BD2C"/>
    <w:lvl w:ilvl="0" w:tplc="A4B8C026">
      <w:start w:val="1"/>
      <w:numFmt w:val="bullet"/>
      <w:lvlText w:val=""/>
      <w:lvlJc w:val="left"/>
      <w:pPr>
        <w:ind w:left="360" w:hanging="360"/>
      </w:pPr>
      <w:rPr>
        <w:rFonts w:ascii="Symbol" w:hAnsi="Symbol" w:hint="default"/>
        <w:color w:val="8DB3E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2F5C81"/>
    <w:multiLevelType w:val="hybridMultilevel"/>
    <w:tmpl w:val="AB2C4A74"/>
    <w:lvl w:ilvl="0" w:tplc="90B0450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B1D24"/>
    <w:multiLevelType w:val="multilevel"/>
    <w:tmpl w:val="5E2E99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D30F24"/>
    <w:multiLevelType w:val="hybridMultilevel"/>
    <w:tmpl w:val="D9ECF01E"/>
    <w:lvl w:ilvl="0" w:tplc="A4B8C02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72827">
    <w:abstractNumId w:val="11"/>
  </w:num>
  <w:num w:numId="2" w16cid:durableId="2120300126">
    <w:abstractNumId w:val="24"/>
  </w:num>
  <w:num w:numId="3" w16cid:durableId="162596705">
    <w:abstractNumId w:val="8"/>
  </w:num>
  <w:num w:numId="4" w16cid:durableId="785733944">
    <w:abstractNumId w:val="30"/>
  </w:num>
  <w:num w:numId="5" w16cid:durableId="1967422431">
    <w:abstractNumId w:val="40"/>
  </w:num>
  <w:num w:numId="6" w16cid:durableId="578825885">
    <w:abstractNumId w:val="22"/>
  </w:num>
  <w:num w:numId="7" w16cid:durableId="2079790735">
    <w:abstractNumId w:val="19"/>
  </w:num>
  <w:num w:numId="8" w16cid:durableId="1652439950">
    <w:abstractNumId w:val="33"/>
  </w:num>
  <w:num w:numId="9" w16cid:durableId="619149445">
    <w:abstractNumId w:val="29"/>
  </w:num>
  <w:num w:numId="10" w16cid:durableId="1398816504">
    <w:abstractNumId w:val="14"/>
  </w:num>
  <w:num w:numId="11" w16cid:durableId="843712686">
    <w:abstractNumId w:val="26"/>
  </w:num>
  <w:num w:numId="12" w16cid:durableId="376515220">
    <w:abstractNumId w:val="35"/>
  </w:num>
  <w:num w:numId="13" w16cid:durableId="1607811051">
    <w:abstractNumId w:val="17"/>
  </w:num>
  <w:num w:numId="14" w16cid:durableId="1987005112">
    <w:abstractNumId w:val="41"/>
  </w:num>
  <w:num w:numId="15" w16cid:durableId="115372477">
    <w:abstractNumId w:val="36"/>
  </w:num>
  <w:num w:numId="16" w16cid:durableId="2046639779">
    <w:abstractNumId w:val="10"/>
  </w:num>
  <w:num w:numId="17" w16cid:durableId="1346246464">
    <w:abstractNumId w:val="37"/>
  </w:num>
  <w:num w:numId="18" w16cid:durableId="1106118323">
    <w:abstractNumId w:val="13"/>
  </w:num>
  <w:num w:numId="19" w16cid:durableId="1310817296">
    <w:abstractNumId w:val="20"/>
  </w:num>
  <w:num w:numId="20" w16cid:durableId="168722184">
    <w:abstractNumId w:val="12"/>
  </w:num>
  <w:num w:numId="21" w16cid:durableId="790513569">
    <w:abstractNumId w:val="25"/>
  </w:num>
  <w:num w:numId="22" w16cid:durableId="1771898852">
    <w:abstractNumId w:val="6"/>
  </w:num>
  <w:num w:numId="23" w16cid:durableId="405999973">
    <w:abstractNumId w:val="38"/>
  </w:num>
  <w:num w:numId="24" w16cid:durableId="1013652592">
    <w:abstractNumId w:val="5"/>
  </w:num>
  <w:num w:numId="25" w16cid:durableId="1878854649">
    <w:abstractNumId w:val="42"/>
  </w:num>
  <w:num w:numId="26" w16cid:durableId="1114324189">
    <w:abstractNumId w:val="16"/>
  </w:num>
  <w:num w:numId="27" w16cid:durableId="1045451312">
    <w:abstractNumId w:val="27"/>
  </w:num>
  <w:num w:numId="28" w16cid:durableId="1896962233">
    <w:abstractNumId w:val="1"/>
  </w:num>
  <w:num w:numId="29" w16cid:durableId="1391347900">
    <w:abstractNumId w:val="18"/>
  </w:num>
  <w:num w:numId="30" w16cid:durableId="1908567089">
    <w:abstractNumId w:val="34"/>
  </w:num>
  <w:num w:numId="31" w16cid:durableId="574125639">
    <w:abstractNumId w:val="2"/>
  </w:num>
  <w:num w:numId="32" w16cid:durableId="961151267">
    <w:abstractNumId w:val="39"/>
  </w:num>
  <w:num w:numId="33" w16cid:durableId="842084805">
    <w:abstractNumId w:val="28"/>
  </w:num>
  <w:num w:numId="34" w16cid:durableId="820315484">
    <w:abstractNumId w:val="32"/>
  </w:num>
  <w:num w:numId="35" w16cid:durableId="58215928">
    <w:abstractNumId w:val="23"/>
  </w:num>
  <w:num w:numId="36" w16cid:durableId="1970940933">
    <w:abstractNumId w:val="15"/>
  </w:num>
  <w:num w:numId="37" w16cid:durableId="1243830764">
    <w:abstractNumId w:val="21"/>
  </w:num>
  <w:num w:numId="38" w16cid:durableId="1749188402">
    <w:abstractNumId w:val="4"/>
  </w:num>
  <w:num w:numId="39" w16cid:durableId="2130511430">
    <w:abstractNumId w:val="0"/>
  </w:num>
  <w:num w:numId="40" w16cid:durableId="1486705677">
    <w:abstractNumId w:val="7"/>
  </w:num>
  <w:num w:numId="41" w16cid:durableId="1870025953">
    <w:abstractNumId w:val="3"/>
  </w:num>
  <w:num w:numId="42" w16cid:durableId="1817258916">
    <w:abstractNumId w:val="31"/>
  </w:num>
  <w:num w:numId="43" w16cid:durableId="1283734046">
    <w:abstractNumId w:val="43"/>
  </w:num>
  <w:num w:numId="44" w16cid:durableId="74796789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8D"/>
    <w:rsid w:val="000001BC"/>
    <w:rsid w:val="00000348"/>
    <w:rsid w:val="00001C21"/>
    <w:rsid w:val="00002315"/>
    <w:rsid w:val="00003588"/>
    <w:rsid w:val="000035DD"/>
    <w:rsid w:val="000036B9"/>
    <w:rsid w:val="00004A28"/>
    <w:rsid w:val="00004F05"/>
    <w:rsid w:val="00005203"/>
    <w:rsid w:val="000056CE"/>
    <w:rsid w:val="000065C4"/>
    <w:rsid w:val="00006A66"/>
    <w:rsid w:val="00006C07"/>
    <w:rsid w:val="00006D5A"/>
    <w:rsid w:val="00006DA7"/>
    <w:rsid w:val="00006E91"/>
    <w:rsid w:val="00007F59"/>
    <w:rsid w:val="000103D7"/>
    <w:rsid w:val="00010529"/>
    <w:rsid w:val="00010DB2"/>
    <w:rsid w:val="000113FC"/>
    <w:rsid w:val="00011970"/>
    <w:rsid w:val="00011DCC"/>
    <w:rsid w:val="00011E46"/>
    <w:rsid w:val="0001213B"/>
    <w:rsid w:val="00012903"/>
    <w:rsid w:val="0001384F"/>
    <w:rsid w:val="00013A80"/>
    <w:rsid w:val="00015128"/>
    <w:rsid w:val="00015E4C"/>
    <w:rsid w:val="00016636"/>
    <w:rsid w:val="000202D3"/>
    <w:rsid w:val="00020E92"/>
    <w:rsid w:val="00021433"/>
    <w:rsid w:val="00021FCB"/>
    <w:rsid w:val="000223C1"/>
    <w:rsid w:val="0002270E"/>
    <w:rsid w:val="00022B60"/>
    <w:rsid w:val="00022E82"/>
    <w:rsid w:val="00023360"/>
    <w:rsid w:val="00023789"/>
    <w:rsid w:val="00023CE0"/>
    <w:rsid w:val="0002418D"/>
    <w:rsid w:val="00025CBC"/>
    <w:rsid w:val="00025EB8"/>
    <w:rsid w:val="00026255"/>
    <w:rsid w:val="00026855"/>
    <w:rsid w:val="000269F3"/>
    <w:rsid w:val="00026B82"/>
    <w:rsid w:val="00026E77"/>
    <w:rsid w:val="00027023"/>
    <w:rsid w:val="00027198"/>
    <w:rsid w:val="00027487"/>
    <w:rsid w:val="0002756C"/>
    <w:rsid w:val="000279E0"/>
    <w:rsid w:val="00027E28"/>
    <w:rsid w:val="000300A6"/>
    <w:rsid w:val="0003040D"/>
    <w:rsid w:val="0003163C"/>
    <w:rsid w:val="00032857"/>
    <w:rsid w:val="00034941"/>
    <w:rsid w:val="00035016"/>
    <w:rsid w:val="000355DB"/>
    <w:rsid w:val="00035700"/>
    <w:rsid w:val="00035FE7"/>
    <w:rsid w:val="0003629D"/>
    <w:rsid w:val="00036971"/>
    <w:rsid w:val="00040019"/>
    <w:rsid w:val="00040318"/>
    <w:rsid w:val="00040353"/>
    <w:rsid w:val="000405D5"/>
    <w:rsid w:val="00040E8A"/>
    <w:rsid w:val="000418B2"/>
    <w:rsid w:val="00041A89"/>
    <w:rsid w:val="00042B2C"/>
    <w:rsid w:val="00043698"/>
    <w:rsid w:val="00043971"/>
    <w:rsid w:val="00043AA7"/>
    <w:rsid w:val="00043E8A"/>
    <w:rsid w:val="00044493"/>
    <w:rsid w:val="00044A08"/>
    <w:rsid w:val="00045347"/>
    <w:rsid w:val="00046FB7"/>
    <w:rsid w:val="0004786E"/>
    <w:rsid w:val="0005078E"/>
    <w:rsid w:val="0005176F"/>
    <w:rsid w:val="00051A2F"/>
    <w:rsid w:val="00051AA6"/>
    <w:rsid w:val="000522DC"/>
    <w:rsid w:val="00052743"/>
    <w:rsid w:val="00052962"/>
    <w:rsid w:val="00052BDC"/>
    <w:rsid w:val="00052F2A"/>
    <w:rsid w:val="000530CF"/>
    <w:rsid w:val="000530DA"/>
    <w:rsid w:val="0005352B"/>
    <w:rsid w:val="00053655"/>
    <w:rsid w:val="00053767"/>
    <w:rsid w:val="00053A06"/>
    <w:rsid w:val="00054D64"/>
    <w:rsid w:val="00054F44"/>
    <w:rsid w:val="00055AB4"/>
    <w:rsid w:val="00056C4E"/>
    <w:rsid w:val="00057301"/>
    <w:rsid w:val="00057B4E"/>
    <w:rsid w:val="000604B4"/>
    <w:rsid w:val="00060543"/>
    <w:rsid w:val="000605D2"/>
    <w:rsid w:val="00060667"/>
    <w:rsid w:val="00060727"/>
    <w:rsid w:val="000611CD"/>
    <w:rsid w:val="00061CEA"/>
    <w:rsid w:val="00062B71"/>
    <w:rsid w:val="00062CCC"/>
    <w:rsid w:val="000649F3"/>
    <w:rsid w:val="0006514F"/>
    <w:rsid w:val="000651F1"/>
    <w:rsid w:val="00065402"/>
    <w:rsid w:val="00065C05"/>
    <w:rsid w:val="00066FE6"/>
    <w:rsid w:val="00067151"/>
    <w:rsid w:val="0006781E"/>
    <w:rsid w:val="00067CAF"/>
    <w:rsid w:val="00067EEF"/>
    <w:rsid w:val="00070654"/>
    <w:rsid w:val="00072760"/>
    <w:rsid w:val="000728FC"/>
    <w:rsid w:val="00072933"/>
    <w:rsid w:val="000731B8"/>
    <w:rsid w:val="000732BB"/>
    <w:rsid w:val="0007347E"/>
    <w:rsid w:val="00073B47"/>
    <w:rsid w:val="00075BCF"/>
    <w:rsid w:val="00075FDA"/>
    <w:rsid w:val="000761C3"/>
    <w:rsid w:val="000773E6"/>
    <w:rsid w:val="00077EB4"/>
    <w:rsid w:val="000804D6"/>
    <w:rsid w:val="00080783"/>
    <w:rsid w:val="0008148B"/>
    <w:rsid w:val="00081EE7"/>
    <w:rsid w:val="00082547"/>
    <w:rsid w:val="00082F11"/>
    <w:rsid w:val="000830BB"/>
    <w:rsid w:val="00083321"/>
    <w:rsid w:val="00083CC9"/>
    <w:rsid w:val="000848B7"/>
    <w:rsid w:val="000851A8"/>
    <w:rsid w:val="000851D8"/>
    <w:rsid w:val="00085745"/>
    <w:rsid w:val="000859C6"/>
    <w:rsid w:val="00085D34"/>
    <w:rsid w:val="00086F8C"/>
    <w:rsid w:val="00086FC3"/>
    <w:rsid w:val="00087221"/>
    <w:rsid w:val="00087544"/>
    <w:rsid w:val="00087932"/>
    <w:rsid w:val="00087B93"/>
    <w:rsid w:val="00090169"/>
    <w:rsid w:val="00090CB9"/>
    <w:rsid w:val="0009107A"/>
    <w:rsid w:val="00091A87"/>
    <w:rsid w:val="0009240A"/>
    <w:rsid w:val="00092E70"/>
    <w:rsid w:val="0009348F"/>
    <w:rsid w:val="000935CF"/>
    <w:rsid w:val="0009385B"/>
    <w:rsid w:val="0009466A"/>
    <w:rsid w:val="000956E5"/>
    <w:rsid w:val="000972D3"/>
    <w:rsid w:val="000973A1"/>
    <w:rsid w:val="00097B7F"/>
    <w:rsid w:val="000A060D"/>
    <w:rsid w:val="000A0A5C"/>
    <w:rsid w:val="000A0B0B"/>
    <w:rsid w:val="000A130D"/>
    <w:rsid w:val="000A219D"/>
    <w:rsid w:val="000A21B8"/>
    <w:rsid w:val="000A2C10"/>
    <w:rsid w:val="000A2D16"/>
    <w:rsid w:val="000A34AB"/>
    <w:rsid w:val="000A3682"/>
    <w:rsid w:val="000A430F"/>
    <w:rsid w:val="000A4A2E"/>
    <w:rsid w:val="000A4B72"/>
    <w:rsid w:val="000A5F0F"/>
    <w:rsid w:val="000A6152"/>
    <w:rsid w:val="000A6203"/>
    <w:rsid w:val="000A6350"/>
    <w:rsid w:val="000A7027"/>
    <w:rsid w:val="000A7835"/>
    <w:rsid w:val="000A7FC2"/>
    <w:rsid w:val="000B0932"/>
    <w:rsid w:val="000B09D9"/>
    <w:rsid w:val="000B1151"/>
    <w:rsid w:val="000B1B99"/>
    <w:rsid w:val="000B1C0B"/>
    <w:rsid w:val="000B1FA7"/>
    <w:rsid w:val="000B20C8"/>
    <w:rsid w:val="000B2715"/>
    <w:rsid w:val="000B2850"/>
    <w:rsid w:val="000B2BB7"/>
    <w:rsid w:val="000B336C"/>
    <w:rsid w:val="000B3FEA"/>
    <w:rsid w:val="000B47BD"/>
    <w:rsid w:val="000B5876"/>
    <w:rsid w:val="000B5D1F"/>
    <w:rsid w:val="000B6047"/>
    <w:rsid w:val="000B638A"/>
    <w:rsid w:val="000B6391"/>
    <w:rsid w:val="000B654C"/>
    <w:rsid w:val="000B68B9"/>
    <w:rsid w:val="000B6E4A"/>
    <w:rsid w:val="000B6FAB"/>
    <w:rsid w:val="000B7110"/>
    <w:rsid w:val="000B784A"/>
    <w:rsid w:val="000B7B75"/>
    <w:rsid w:val="000B7CBF"/>
    <w:rsid w:val="000B7E36"/>
    <w:rsid w:val="000C003B"/>
    <w:rsid w:val="000C02AD"/>
    <w:rsid w:val="000C05B2"/>
    <w:rsid w:val="000C069A"/>
    <w:rsid w:val="000C0A08"/>
    <w:rsid w:val="000C0AE9"/>
    <w:rsid w:val="000C273C"/>
    <w:rsid w:val="000C2E86"/>
    <w:rsid w:val="000C3B87"/>
    <w:rsid w:val="000C3CC6"/>
    <w:rsid w:val="000C42C9"/>
    <w:rsid w:val="000C45BE"/>
    <w:rsid w:val="000C4853"/>
    <w:rsid w:val="000C5103"/>
    <w:rsid w:val="000C5AAD"/>
    <w:rsid w:val="000C5B0B"/>
    <w:rsid w:val="000C5BF2"/>
    <w:rsid w:val="000C5D9C"/>
    <w:rsid w:val="000C602A"/>
    <w:rsid w:val="000C6189"/>
    <w:rsid w:val="000C6BDD"/>
    <w:rsid w:val="000C7155"/>
    <w:rsid w:val="000C7372"/>
    <w:rsid w:val="000C7C40"/>
    <w:rsid w:val="000D0FAB"/>
    <w:rsid w:val="000D0FD1"/>
    <w:rsid w:val="000D13BA"/>
    <w:rsid w:val="000D15D9"/>
    <w:rsid w:val="000D1968"/>
    <w:rsid w:val="000D1C64"/>
    <w:rsid w:val="000D2041"/>
    <w:rsid w:val="000D21EC"/>
    <w:rsid w:val="000D237F"/>
    <w:rsid w:val="000D248C"/>
    <w:rsid w:val="000D26F4"/>
    <w:rsid w:val="000D29B8"/>
    <w:rsid w:val="000D2D9A"/>
    <w:rsid w:val="000D3013"/>
    <w:rsid w:val="000D3672"/>
    <w:rsid w:val="000D3B11"/>
    <w:rsid w:val="000D400B"/>
    <w:rsid w:val="000D469A"/>
    <w:rsid w:val="000D638E"/>
    <w:rsid w:val="000D7E56"/>
    <w:rsid w:val="000E1F6A"/>
    <w:rsid w:val="000E2085"/>
    <w:rsid w:val="000E21BF"/>
    <w:rsid w:val="000E2861"/>
    <w:rsid w:val="000E36F5"/>
    <w:rsid w:val="000E3A2C"/>
    <w:rsid w:val="000E3A76"/>
    <w:rsid w:val="000E40D5"/>
    <w:rsid w:val="000E4655"/>
    <w:rsid w:val="000E491B"/>
    <w:rsid w:val="000E6887"/>
    <w:rsid w:val="000E6978"/>
    <w:rsid w:val="000E6C7A"/>
    <w:rsid w:val="000E7DCF"/>
    <w:rsid w:val="000E7FFB"/>
    <w:rsid w:val="000F1343"/>
    <w:rsid w:val="000F1568"/>
    <w:rsid w:val="000F167A"/>
    <w:rsid w:val="000F17B5"/>
    <w:rsid w:val="000F1A80"/>
    <w:rsid w:val="000F1B6A"/>
    <w:rsid w:val="000F1CD7"/>
    <w:rsid w:val="000F2C4C"/>
    <w:rsid w:val="000F386B"/>
    <w:rsid w:val="000F3886"/>
    <w:rsid w:val="000F3FC3"/>
    <w:rsid w:val="000F4282"/>
    <w:rsid w:val="000F42C0"/>
    <w:rsid w:val="000F4334"/>
    <w:rsid w:val="000F46F2"/>
    <w:rsid w:val="000F4BF9"/>
    <w:rsid w:val="000F4BFA"/>
    <w:rsid w:val="000F510B"/>
    <w:rsid w:val="000F532E"/>
    <w:rsid w:val="000F656A"/>
    <w:rsid w:val="000F65C1"/>
    <w:rsid w:val="000F66CA"/>
    <w:rsid w:val="000F780C"/>
    <w:rsid w:val="000F7903"/>
    <w:rsid w:val="00100411"/>
    <w:rsid w:val="0010054A"/>
    <w:rsid w:val="00100701"/>
    <w:rsid w:val="00101A9C"/>
    <w:rsid w:val="00101C76"/>
    <w:rsid w:val="00102057"/>
    <w:rsid w:val="00102203"/>
    <w:rsid w:val="00102948"/>
    <w:rsid w:val="00102A09"/>
    <w:rsid w:val="00102A57"/>
    <w:rsid w:val="00102BFF"/>
    <w:rsid w:val="00103161"/>
    <w:rsid w:val="00103314"/>
    <w:rsid w:val="0010379B"/>
    <w:rsid w:val="00103B09"/>
    <w:rsid w:val="00103D26"/>
    <w:rsid w:val="001040CE"/>
    <w:rsid w:val="0010484A"/>
    <w:rsid w:val="00105470"/>
    <w:rsid w:val="00105B9C"/>
    <w:rsid w:val="00105D60"/>
    <w:rsid w:val="001062CA"/>
    <w:rsid w:val="001067E8"/>
    <w:rsid w:val="00106BED"/>
    <w:rsid w:val="0010724C"/>
    <w:rsid w:val="0010754E"/>
    <w:rsid w:val="00107552"/>
    <w:rsid w:val="001075F9"/>
    <w:rsid w:val="0010782B"/>
    <w:rsid w:val="00107923"/>
    <w:rsid w:val="00107B4A"/>
    <w:rsid w:val="00107DFA"/>
    <w:rsid w:val="00110F6F"/>
    <w:rsid w:val="001130B1"/>
    <w:rsid w:val="001130C0"/>
    <w:rsid w:val="001131EB"/>
    <w:rsid w:val="0011334C"/>
    <w:rsid w:val="001134D2"/>
    <w:rsid w:val="00113D89"/>
    <w:rsid w:val="00114A1C"/>
    <w:rsid w:val="00114BE1"/>
    <w:rsid w:val="00115274"/>
    <w:rsid w:val="001156E6"/>
    <w:rsid w:val="00115A0D"/>
    <w:rsid w:val="00115AD2"/>
    <w:rsid w:val="00115B33"/>
    <w:rsid w:val="00115D7E"/>
    <w:rsid w:val="00115F4F"/>
    <w:rsid w:val="00117398"/>
    <w:rsid w:val="0011773B"/>
    <w:rsid w:val="00120953"/>
    <w:rsid w:val="00120E28"/>
    <w:rsid w:val="00121AED"/>
    <w:rsid w:val="00122561"/>
    <w:rsid w:val="001233B6"/>
    <w:rsid w:val="00123694"/>
    <w:rsid w:val="001236B5"/>
    <w:rsid w:val="00123F1C"/>
    <w:rsid w:val="00124B76"/>
    <w:rsid w:val="00124F43"/>
    <w:rsid w:val="00126301"/>
    <w:rsid w:val="0012648E"/>
    <w:rsid w:val="00126566"/>
    <w:rsid w:val="00126574"/>
    <w:rsid w:val="0012675A"/>
    <w:rsid w:val="00126CAA"/>
    <w:rsid w:val="0012728B"/>
    <w:rsid w:val="00127504"/>
    <w:rsid w:val="00127648"/>
    <w:rsid w:val="0013007E"/>
    <w:rsid w:val="00130C1E"/>
    <w:rsid w:val="001311F9"/>
    <w:rsid w:val="00131AB9"/>
    <w:rsid w:val="0013218E"/>
    <w:rsid w:val="00132429"/>
    <w:rsid w:val="0013249C"/>
    <w:rsid w:val="001325A5"/>
    <w:rsid w:val="0013269F"/>
    <w:rsid w:val="001327FB"/>
    <w:rsid w:val="0013323F"/>
    <w:rsid w:val="001332E7"/>
    <w:rsid w:val="001334DF"/>
    <w:rsid w:val="0013371D"/>
    <w:rsid w:val="00133D63"/>
    <w:rsid w:val="001344F2"/>
    <w:rsid w:val="001349AC"/>
    <w:rsid w:val="00135081"/>
    <w:rsid w:val="001363B6"/>
    <w:rsid w:val="0013676B"/>
    <w:rsid w:val="00136A35"/>
    <w:rsid w:val="00136AFE"/>
    <w:rsid w:val="001374F9"/>
    <w:rsid w:val="0014076C"/>
    <w:rsid w:val="00140C9C"/>
    <w:rsid w:val="00141300"/>
    <w:rsid w:val="00141D0B"/>
    <w:rsid w:val="0014254B"/>
    <w:rsid w:val="001427BD"/>
    <w:rsid w:val="00142932"/>
    <w:rsid w:val="00143000"/>
    <w:rsid w:val="001432A3"/>
    <w:rsid w:val="00143D97"/>
    <w:rsid w:val="00143EC2"/>
    <w:rsid w:val="0014455C"/>
    <w:rsid w:val="001452FD"/>
    <w:rsid w:val="001457FB"/>
    <w:rsid w:val="001458D2"/>
    <w:rsid w:val="00146713"/>
    <w:rsid w:val="0014676B"/>
    <w:rsid w:val="0014711B"/>
    <w:rsid w:val="00147236"/>
    <w:rsid w:val="00150057"/>
    <w:rsid w:val="0015080E"/>
    <w:rsid w:val="001508B3"/>
    <w:rsid w:val="00150F17"/>
    <w:rsid w:val="00151B16"/>
    <w:rsid w:val="00151F4C"/>
    <w:rsid w:val="001527D3"/>
    <w:rsid w:val="00152D45"/>
    <w:rsid w:val="00152D5B"/>
    <w:rsid w:val="00153759"/>
    <w:rsid w:val="00154123"/>
    <w:rsid w:val="00154650"/>
    <w:rsid w:val="0015544C"/>
    <w:rsid w:val="001556DE"/>
    <w:rsid w:val="00155B3C"/>
    <w:rsid w:val="00155CF0"/>
    <w:rsid w:val="0015605C"/>
    <w:rsid w:val="001561E4"/>
    <w:rsid w:val="00156FAD"/>
    <w:rsid w:val="001574E0"/>
    <w:rsid w:val="001574FB"/>
    <w:rsid w:val="00157746"/>
    <w:rsid w:val="00157B72"/>
    <w:rsid w:val="0016004E"/>
    <w:rsid w:val="00160687"/>
    <w:rsid w:val="00160D7E"/>
    <w:rsid w:val="00161D11"/>
    <w:rsid w:val="00162001"/>
    <w:rsid w:val="0016480D"/>
    <w:rsid w:val="00165391"/>
    <w:rsid w:val="001656F1"/>
    <w:rsid w:val="00165A23"/>
    <w:rsid w:val="00165D32"/>
    <w:rsid w:val="00165EED"/>
    <w:rsid w:val="00166137"/>
    <w:rsid w:val="001668D6"/>
    <w:rsid w:val="00166A47"/>
    <w:rsid w:val="00166B94"/>
    <w:rsid w:val="00170694"/>
    <w:rsid w:val="0017135F"/>
    <w:rsid w:val="00171B2B"/>
    <w:rsid w:val="00171D5A"/>
    <w:rsid w:val="00172A99"/>
    <w:rsid w:val="00173626"/>
    <w:rsid w:val="00173D6A"/>
    <w:rsid w:val="001742CC"/>
    <w:rsid w:val="00174815"/>
    <w:rsid w:val="001757E8"/>
    <w:rsid w:val="00175C31"/>
    <w:rsid w:val="0017670F"/>
    <w:rsid w:val="00176922"/>
    <w:rsid w:val="00177140"/>
    <w:rsid w:val="001773F0"/>
    <w:rsid w:val="0018008E"/>
    <w:rsid w:val="00180961"/>
    <w:rsid w:val="00180A44"/>
    <w:rsid w:val="00181164"/>
    <w:rsid w:val="00181DAA"/>
    <w:rsid w:val="00181F94"/>
    <w:rsid w:val="00182025"/>
    <w:rsid w:val="00182201"/>
    <w:rsid w:val="00182590"/>
    <w:rsid w:val="00182E7C"/>
    <w:rsid w:val="001830FE"/>
    <w:rsid w:val="00183276"/>
    <w:rsid w:val="001837B4"/>
    <w:rsid w:val="00183949"/>
    <w:rsid w:val="00183C0F"/>
    <w:rsid w:val="00185201"/>
    <w:rsid w:val="0018564B"/>
    <w:rsid w:val="0018614E"/>
    <w:rsid w:val="0018685B"/>
    <w:rsid w:val="00187135"/>
    <w:rsid w:val="001876F6"/>
    <w:rsid w:val="001911E4"/>
    <w:rsid w:val="00191545"/>
    <w:rsid w:val="001921DD"/>
    <w:rsid w:val="00192623"/>
    <w:rsid w:val="001927A8"/>
    <w:rsid w:val="001928E3"/>
    <w:rsid w:val="0019390C"/>
    <w:rsid w:val="001943E0"/>
    <w:rsid w:val="001952C6"/>
    <w:rsid w:val="001964E1"/>
    <w:rsid w:val="001A00EE"/>
    <w:rsid w:val="001A03CE"/>
    <w:rsid w:val="001A09AC"/>
    <w:rsid w:val="001A0F04"/>
    <w:rsid w:val="001A0FD0"/>
    <w:rsid w:val="001A1511"/>
    <w:rsid w:val="001A1CAD"/>
    <w:rsid w:val="001A2AD8"/>
    <w:rsid w:val="001A2B1E"/>
    <w:rsid w:val="001A40A2"/>
    <w:rsid w:val="001A4951"/>
    <w:rsid w:val="001A5410"/>
    <w:rsid w:val="001A549E"/>
    <w:rsid w:val="001A5527"/>
    <w:rsid w:val="001A5E5F"/>
    <w:rsid w:val="001A7488"/>
    <w:rsid w:val="001A7CD4"/>
    <w:rsid w:val="001B0168"/>
    <w:rsid w:val="001B0BCB"/>
    <w:rsid w:val="001B1247"/>
    <w:rsid w:val="001B17C7"/>
    <w:rsid w:val="001B18D6"/>
    <w:rsid w:val="001B18DD"/>
    <w:rsid w:val="001B232E"/>
    <w:rsid w:val="001B304E"/>
    <w:rsid w:val="001B31F1"/>
    <w:rsid w:val="001B33F0"/>
    <w:rsid w:val="001B3476"/>
    <w:rsid w:val="001B35DD"/>
    <w:rsid w:val="001B3C84"/>
    <w:rsid w:val="001B41E4"/>
    <w:rsid w:val="001B4623"/>
    <w:rsid w:val="001B4986"/>
    <w:rsid w:val="001B4B1C"/>
    <w:rsid w:val="001B5356"/>
    <w:rsid w:val="001B5561"/>
    <w:rsid w:val="001B6411"/>
    <w:rsid w:val="001B6EFF"/>
    <w:rsid w:val="001B72D8"/>
    <w:rsid w:val="001B76D4"/>
    <w:rsid w:val="001C0755"/>
    <w:rsid w:val="001C0C61"/>
    <w:rsid w:val="001C1393"/>
    <w:rsid w:val="001C1473"/>
    <w:rsid w:val="001C1822"/>
    <w:rsid w:val="001C1DAB"/>
    <w:rsid w:val="001C226D"/>
    <w:rsid w:val="001C299D"/>
    <w:rsid w:val="001C2DA4"/>
    <w:rsid w:val="001C30D6"/>
    <w:rsid w:val="001C3695"/>
    <w:rsid w:val="001C4B2F"/>
    <w:rsid w:val="001C4E5F"/>
    <w:rsid w:val="001C529A"/>
    <w:rsid w:val="001C69B2"/>
    <w:rsid w:val="001C6F0C"/>
    <w:rsid w:val="001C6F1F"/>
    <w:rsid w:val="001C73D1"/>
    <w:rsid w:val="001C759B"/>
    <w:rsid w:val="001C7698"/>
    <w:rsid w:val="001D06AE"/>
    <w:rsid w:val="001D0BCE"/>
    <w:rsid w:val="001D0D07"/>
    <w:rsid w:val="001D14F2"/>
    <w:rsid w:val="001D2CD0"/>
    <w:rsid w:val="001D2DC8"/>
    <w:rsid w:val="001D392A"/>
    <w:rsid w:val="001D3B68"/>
    <w:rsid w:val="001D3B97"/>
    <w:rsid w:val="001D5BF1"/>
    <w:rsid w:val="001D6B28"/>
    <w:rsid w:val="001D7C93"/>
    <w:rsid w:val="001E0BBD"/>
    <w:rsid w:val="001E10F2"/>
    <w:rsid w:val="001E2414"/>
    <w:rsid w:val="001E33DC"/>
    <w:rsid w:val="001E3C36"/>
    <w:rsid w:val="001E3F1F"/>
    <w:rsid w:val="001E50D6"/>
    <w:rsid w:val="001E5420"/>
    <w:rsid w:val="001E5C84"/>
    <w:rsid w:val="001E6066"/>
    <w:rsid w:val="001E60C5"/>
    <w:rsid w:val="001E6E15"/>
    <w:rsid w:val="001E70CD"/>
    <w:rsid w:val="001E71C9"/>
    <w:rsid w:val="001E7FAA"/>
    <w:rsid w:val="001F07FE"/>
    <w:rsid w:val="001F081D"/>
    <w:rsid w:val="001F0EB9"/>
    <w:rsid w:val="001F1C92"/>
    <w:rsid w:val="001F35A3"/>
    <w:rsid w:val="001F3AD1"/>
    <w:rsid w:val="001F46DF"/>
    <w:rsid w:val="001F50BC"/>
    <w:rsid w:val="001F67FD"/>
    <w:rsid w:val="001F768C"/>
    <w:rsid w:val="00201685"/>
    <w:rsid w:val="002016B1"/>
    <w:rsid w:val="00201C96"/>
    <w:rsid w:val="00201E62"/>
    <w:rsid w:val="00201F88"/>
    <w:rsid w:val="002023DC"/>
    <w:rsid w:val="002025C0"/>
    <w:rsid w:val="00202F12"/>
    <w:rsid w:val="00205178"/>
    <w:rsid w:val="00206886"/>
    <w:rsid w:val="002068A5"/>
    <w:rsid w:val="00206FE1"/>
    <w:rsid w:val="00207523"/>
    <w:rsid w:val="0021041B"/>
    <w:rsid w:val="00210D65"/>
    <w:rsid w:val="00211750"/>
    <w:rsid w:val="002118AC"/>
    <w:rsid w:val="00211AB5"/>
    <w:rsid w:val="00211D60"/>
    <w:rsid w:val="00211FE3"/>
    <w:rsid w:val="00213531"/>
    <w:rsid w:val="00214621"/>
    <w:rsid w:val="0021524E"/>
    <w:rsid w:val="002153FB"/>
    <w:rsid w:val="00215762"/>
    <w:rsid w:val="00215909"/>
    <w:rsid w:val="00215CBA"/>
    <w:rsid w:val="0021731D"/>
    <w:rsid w:val="002175EA"/>
    <w:rsid w:val="002178E5"/>
    <w:rsid w:val="00217C33"/>
    <w:rsid w:val="00220127"/>
    <w:rsid w:val="00220221"/>
    <w:rsid w:val="00220E12"/>
    <w:rsid w:val="00221206"/>
    <w:rsid w:val="0022165C"/>
    <w:rsid w:val="0022182E"/>
    <w:rsid w:val="00221DE8"/>
    <w:rsid w:val="00221E26"/>
    <w:rsid w:val="002230C8"/>
    <w:rsid w:val="00223782"/>
    <w:rsid w:val="002237EC"/>
    <w:rsid w:val="00223C22"/>
    <w:rsid w:val="002242DB"/>
    <w:rsid w:val="0022510F"/>
    <w:rsid w:val="00225147"/>
    <w:rsid w:val="00225B1F"/>
    <w:rsid w:val="00226220"/>
    <w:rsid w:val="0022700B"/>
    <w:rsid w:val="00227965"/>
    <w:rsid w:val="00230270"/>
    <w:rsid w:val="0023070E"/>
    <w:rsid w:val="0023083D"/>
    <w:rsid w:val="00230E46"/>
    <w:rsid w:val="00231EF2"/>
    <w:rsid w:val="0023226D"/>
    <w:rsid w:val="00232D72"/>
    <w:rsid w:val="00232F59"/>
    <w:rsid w:val="00233A1C"/>
    <w:rsid w:val="00233DCC"/>
    <w:rsid w:val="0023410A"/>
    <w:rsid w:val="002344F0"/>
    <w:rsid w:val="00234998"/>
    <w:rsid w:val="00235370"/>
    <w:rsid w:val="00235462"/>
    <w:rsid w:val="002358B6"/>
    <w:rsid w:val="00235B16"/>
    <w:rsid w:val="00236CE8"/>
    <w:rsid w:val="00236DDE"/>
    <w:rsid w:val="00237905"/>
    <w:rsid w:val="00237DCD"/>
    <w:rsid w:val="00240102"/>
    <w:rsid w:val="00240599"/>
    <w:rsid w:val="00240ABF"/>
    <w:rsid w:val="00240C80"/>
    <w:rsid w:val="0024189D"/>
    <w:rsid w:val="00241CDD"/>
    <w:rsid w:val="002421C2"/>
    <w:rsid w:val="002421F6"/>
    <w:rsid w:val="00242985"/>
    <w:rsid w:val="00242A42"/>
    <w:rsid w:val="00242F41"/>
    <w:rsid w:val="00243669"/>
    <w:rsid w:val="00243AB1"/>
    <w:rsid w:val="002446C1"/>
    <w:rsid w:val="00245A45"/>
    <w:rsid w:val="002460F6"/>
    <w:rsid w:val="0024669E"/>
    <w:rsid w:val="0024688F"/>
    <w:rsid w:val="00247DE0"/>
    <w:rsid w:val="0025011D"/>
    <w:rsid w:val="00250293"/>
    <w:rsid w:val="002502A3"/>
    <w:rsid w:val="00250529"/>
    <w:rsid w:val="0025072A"/>
    <w:rsid w:val="00250A5A"/>
    <w:rsid w:val="00251026"/>
    <w:rsid w:val="00251235"/>
    <w:rsid w:val="00251C9B"/>
    <w:rsid w:val="002522D5"/>
    <w:rsid w:val="002525E4"/>
    <w:rsid w:val="00252A1B"/>
    <w:rsid w:val="002537BE"/>
    <w:rsid w:val="0025397C"/>
    <w:rsid w:val="00253BBA"/>
    <w:rsid w:val="002545E1"/>
    <w:rsid w:val="002548EA"/>
    <w:rsid w:val="00255730"/>
    <w:rsid w:val="0025573A"/>
    <w:rsid w:val="002557DA"/>
    <w:rsid w:val="00255CA6"/>
    <w:rsid w:val="002565DB"/>
    <w:rsid w:val="002573AF"/>
    <w:rsid w:val="00257722"/>
    <w:rsid w:val="00260144"/>
    <w:rsid w:val="00260B6A"/>
    <w:rsid w:val="00260FA0"/>
    <w:rsid w:val="00261103"/>
    <w:rsid w:val="00261CE2"/>
    <w:rsid w:val="00262830"/>
    <w:rsid w:val="00262DCD"/>
    <w:rsid w:val="002632B8"/>
    <w:rsid w:val="0026395D"/>
    <w:rsid w:val="00263C48"/>
    <w:rsid w:val="002652BE"/>
    <w:rsid w:val="0027010B"/>
    <w:rsid w:val="00271557"/>
    <w:rsid w:val="002717CD"/>
    <w:rsid w:val="00272220"/>
    <w:rsid w:val="0027233B"/>
    <w:rsid w:val="0027248E"/>
    <w:rsid w:val="0027248F"/>
    <w:rsid w:val="00273126"/>
    <w:rsid w:val="00273249"/>
    <w:rsid w:val="00274182"/>
    <w:rsid w:val="00274D6E"/>
    <w:rsid w:val="00275334"/>
    <w:rsid w:val="00275AC8"/>
    <w:rsid w:val="002767B5"/>
    <w:rsid w:val="00276CA4"/>
    <w:rsid w:val="0027781D"/>
    <w:rsid w:val="00280281"/>
    <w:rsid w:val="00281153"/>
    <w:rsid w:val="00281C38"/>
    <w:rsid w:val="00281D80"/>
    <w:rsid w:val="00282AA4"/>
    <w:rsid w:val="00283938"/>
    <w:rsid w:val="00283D29"/>
    <w:rsid w:val="002842AA"/>
    <w:rsid w:val="00285028"/>
    <w:rsid w:val="00285068"/>
    <w:rsid w:val="00285774"/>
    <w:rsid w:val="0028585B"/>
    <w:rsid w:val="002860C2"/>
    <w:rsid w:val="00286792"/>
    <w:rsid w:val="00287997"/>
    <w:rsid w:val="00287AD6"/>
    <w:rsid w:val="00287B4D"/>
    <w:rsid w:val="0029011D"/>
    <w:rsid w:val="00290D2D"/>
    <w:rsid w:val="002918F7"/>
    <w:rsid w:val="00292085"/>
    <w:rsid w:val="0029242B"/>
    <w:rsid w:val="002927D0"/>
    <w:rsid w:val="00293158"/>
    <w:rsid w:val="0029384A"/>
    <w:rsid w:val="00293ADF"/>
    <w:rsid w:val="00294AC6"/>
    <w:rsid w:val="00294CBB"/>
    <w:rsid w:val="00294E9F"/>
    <w:rsid w:val="00295116"/>
    <w:rsid w:val="00296395"/>
    <w:rsid w:val="00296FBF"/>
    <w:rsid w:val="00297F3C"/>
    <w:rsid w:val="002A0889"/>
    <w:rsid w:val="002A08C0"/>
    <w:rsid w:val="002A0C12"/>
    <w:rsid w:val="002A0F37"/>
    <w:rsid w:val="002A1253"/>
    <w:rsid w:val="002A16CB"/>
    <w:rsid w:val="002A1996"/>
    <w:rsid w:val="002A246B"/>
    <w:rsid w:val="002A2ADA"/>
    <w:rsid w:val="002A2B52"/>
    <w:rsid w:val="002A2CC0"/>
    <w:rsid w:val="002A32BF"/>
    <w:rsid w:val="002A3608"/>
    <w:rsid w:val="002A38A0"/>
    <w:rsid w:val="002A3CBD"/>
    <w:rsid w:val="002A402F"/>
    <w:rsid w:val="002A4555"/>
    <w:rsid w:val="002A49D6"/>
    <w:rsid w:val="002A4E21"/>
    <w:rsid w:val="002A50F6"/>
    <w:rsid w:val="002A5168"/>
    <w:rsid w:val="002A5490"/>
    <w:rsid w:val="002A77EC"/>
    <w:rsid w:val="002A7884"/>
    <w:rsid w:val="002A7BBF"/>
    <w:rsid w:val="002B122C"/>
    <w:rsid w:val="002B1A27"/>
    <w:rsid w:val="002B1E63"/>
    <w:rsid w:val="002B20F1"/>
    <w:rsid w:val="002B2644"/>
    <w:rsid w:val="002B2E74"/>
    <w:rsid w:val="002B38DE"/>
    <w:rsid w:val="002B3AA6"/>
    <w:rsid w:val="002B4539"/>
    <w:rsid w:val="002B45ED"/>
    <w:rsid w:val="002B5020"/>
    <w:rsid w:val="002B5314"/>
    <w:rsid w:val="002B5739"/>
    <w:rsid w:val="002B5B0A"/>
    <w:rsid w:val="002B669E"/>
    <w:rsid w:val="002B6AAC"/>
    <w:rsid w:val="002B70F8"/>
    <w:rsid w:val="002B70FE"/>
    <w:rsid w:val="002B75A8"/>
    <w:rsid w:val="002C0E17"/>
    <w:rsid w:val="002C1587"/>
    <w:rsid w:val="002C219C"/>
    <w:rsid w:val="002C24BC"/>
    <w:rsid w:val="002C26B1"/>
    <w:rsid w:val="002C2901"/>
    <w:rsid w:val="002C29DF"/>
    <w:rsid w:val="002C2C8C"/>
    <w:rsid w:val="002C2DA3"/>
    <w:rsid w:val="002C31DF"/>
    <w:rsid w:val="002C330D"/>
    <w:rsid w:val="002C3AF2"/>
    <w:rsid w:val="002C43A8"/>
    <w:rsid w:val="002C44DF"/>
    <w:rsid w:val="002C4571"/>
    <w:rsid w:val="002C48D4"/>
    <w:rsid w:val="002C4BAD"/>
    <w:rsid w:val="002C4C4F"/>
    <w:rsid w:val="002C4E0C"/>
    <w:rsid w:val="002C4EA2"/>
    <w:rsid w:val="002C4EE4"/>
    <w:rsid w:val="002C638B"/>
    <w:rsid w:val="002C6B77"/>
    <w:rsid w:val="002C7652"/>
    <w:rsid w:val="002C7920"/>
    <w:rsid w:val="002C7ECC"/>
    <w:rsid w:val="002D0D22"/>
    <w:rsid w:val="002D1D67"/>
    <w:rsid w:val="002D1F9E"/>
    <w:rsid w:val="002D1FFE"/>
    <w:rsid w:val="002D2A18"/>
    <w:rsid w:val="002D2B2F"/>
    <w:rsid w:val="002D3211"/>
    <w:rsid w:val="002D3CAC"/>
    <w:rsid w:val="002D4548"/>
    <w:rsid w:val="002D49B5"/>
    <w:rsid w:val="002D4AB7"/>
    <w:rsid w:val="002D65C5"/>
    <w:rsid w:val="002D6B55"/>
    <w:rsid w:val="002D6D52"/>
    <w:rsid w:val="002D6E27"/>
    <w:rsid w:val="002D7059"/>
    <w:rsid w:val="002D73C4"/>
    <w:rsid w:val="002D752B"/>
    <w:rsid w:val="002D762D"/>
    <w:rsid w:val="002D7E22"/>
    <w:rsid w:val="002E0045"/>
    <w:rsid w:val="002E08C2"/>
    <w:rsid w:val="002E11F7"/>
    <w:rsid w:val="002E1ACF"/>
    <w:rsid w:val="002E1CD5"/>
    <w:rsid w:val="002E2133"/>
    <w:rsid w:val="002E22CF"/>
    <w:rsid w:val="002E294E"/>
    <w:rsid w:val="002E2C42"/>
    <w:rsid w:val="002E2D4C"/>
    <w:rsid w:val="002E3ABE"/>
    <w:rsid w:val="002E3B1B"/>
    <w:rsid w:val="002E570A"/>
    <w:rsid w:val="002E5CB6"/>
    <w:rsid w:val="002E612E"/>
    <w:rsid w:val="002E61DE"/>
    <w:rsid w:val="002E7F98"/>
    <w:rsid w:val="002F00B7"/>
    <w:rsid w:val="002F03EF"/>
    <w:rsid w:val="002F0722"/>
    <w:rsid w:val="002F08AC"/>
    <w:rsid w:val="002F1E94"/>
    <w:rsid w:val="002F2B0A"/>
    <w:rsid w:val="002F2CC3"/>
    <w:rsid w:val="002F3C3D"/>
    <w:rsid w:val="002F3D5C"/>
    <w:rsid w:val="002F41F6"/>
    <w:rsid w:val="002F46F2"/>
    <w:rsid w:val="002F4ABB"/>
    <w:rsid w:val="002F4B2E"/>
    <w:rsid w:val="002F4B45"/>
    <w:rsid w:val="002F4DA6"/>
    <w:rsid w:val="002F5414"/>
    <w:rsid w:val="002F5BE9"/>
    <w:rsid w:val="002F6C86"/>
    <w:rsid w:val="002F768F"/>
    <w:rsid w:val="002F7EFC"/>
    <w:rsid w:val="00300295"/>
    <w:rsid w:val="003033CC"/>
    <w:rsid w:val="00303668"/>
    <w:rsid w:val="00304985"/>
    <w:rsid w:val="00304B9D"/>
    <w:rsid w:val="00304C21"/>
    <w:rsid w:val="00305445"/>
    <w:rsid w:val="003056D6"/>
    <w:rsid w:val="00305959"/>
    <w:rsid w:val="003061A4"/>
    <w:rsid w:val="003063C7"/>
    <w:rsid w:val="003065D8"/>
    <w:rsid w:val="00306A82"/>
    <w:rsid w:val="00307751"/>
    <w:rsid w:val="00307B6A"/>
    <w:rsid w:val="0031073D"/>
    <w:rsid w:val="00310C19"/>
    <w:rsid w:val="00311EAF"/>
    <w:rsid w:val="003123AF"/>
    <w:rsid w:val="003126E9"/>
    <w:rsid w:val="003127E0"/>
    <w:rsid w:val="00313318"/>
    <w:rsid w:val="0031384E"/>
    <w:rsid w:val="00313B4C"/>
    <w:rsid w:val="003140C2"/>
    <w:rsid w:val="003140FD"/>
    <w:rsid w:val="00314FF5"/>
    <w:rsid w:val="003154A2"/>
    <w:rsid w:val="00315ACE"/>
    <w:rsid w:val="00315AE0"/>
    <w:rsid w:val="00315B50"/>
    <w:rsid w:val="0031603E"/>
    <w:rsid w:val="0031605F"/>
    <w:rsid w:val="003163C4"/>
    <w:rsid w:val="00316B80"/>
    <w:rsid w:val="00316CB6"/>
    <w:rsid w:val="00317566"/>
    <w:rsid w:val="003177E7"/>
    <w:rsid w:val="0031790C"/>
    <w:rsid w:val="00317F93"/>
    <w:rsid w:val="003201AE"/>
    <w:rsid w:val="0032055E"/>
    <w:rsid w:val="0032173F"/>
    <w:rsid w:val="00322481"/>
    <w:rsid w:val="0032296D"/>
    <w:rsid w:val="00322A77"/>
    <w:rsid w:val="00322C55"/>
    <w:rsid w:val="003237B6"/>
    <w:rsid w:val="003239DB"/>
    <w:rsid w:val="00323A43"/>
    <w:rsid w:val="00323A89"/>
    <w:rsid w:val="00323B45"/>
    <w:rsid w:val="00323C5E"/>
    <w:rsid w:val="00323CC0"/>
    <w:rsid w:val="003242A6"/>
    <w:rsid w:val="0032430F"/>
    <w:rsid w:val="00324CB5"/>
    <w:rsid w:val="00324E65"/>
    <w:rsid w:val="0032511B"/>
    <w:rsid w:val="0032516B"/>
    <w:rsid w:val="00325FFE"/>
    <w:rsid w:val="0032600A"/>
    <w:rsid w:val="00326E20"/>
    <w:rsid w:val="00327824"/>
    <w:rsid w:val="003301A6"/>
    <w:rsid w:val="003305E5"/>
    <w:rsid w:val="00330ADA"/>
    <w:rsid w:val="00331068"/>
    <w:rsid w:val="003315A2"/>
    <w:rsid w:val="00331C44"/>
    <w:rsid w:val="00331FE5"/>
    <w:rsid w:val="0033237B"/>
    <w:rsid w:val="003329F7"/>
    <w:rsid w:val="00332BC3"/>
    <w:rsid w:val="00332D69"/>
    <w:rsid w:val="00332F52"/>
    <w:rsid w:val="003344E9"/>
    <w:rsid w:val="003348D2"/>
    <w:rsid w:val="00334B56"/>
    <w:rsid w:val="00335621"/>
    <w:rsid w:val="00335830"/>
    <w:rsid w:val="0033679F"/>
    <w:rsid w:val="003368E7"/>
    <w:rsid w:val="00337343"/>
    <w:rsid w:val="0033734E"/>
    <w:rsid w:val="0033760C"/>
    <w:rsid w:val="00340034"/>
    <w:rsid w:val="003402B6"/>
    <w:rsid w:val="00340332"/>
    <w:rsid w:val="00340421"/>
    <w:rsid w:val="003407F3"/>
    <w:rsid w:val="00340909"/>
    <w:rsid w:val="00341F26"/>
    <w:rsid w:val="00342205"/>
    <w:rsid w:val="00342268"/>
    <w:rsid w:val="00342841"/>
    <w:rsid w:val="00342A4B"/>
    <w:rsid w:val="0034365A"/>
    <w:rsid w:val="003436E8"/>
    <w:rsid w:val="00343D2A"/>
    <w:rsid w:val="003442BB"/>
    <w:rsid w:val="003444DA"/>
    <w:rsid w:val="00344823"/>
    <w:rsid w:val="003448CE"/>
    <w:rsid w:val="00344CEA"/>
    <w:rsid w:val="003457E6"/>
    <w:rsid w:val="00345ACA"/>
    <w:rsid w:val="00347368"/>
    <w:rsid w:val="00347E8F"/>
    <w:rsid w:val="00350442"/>
    <w:rsid w:val="00351A71"/>
    <w:rsid w:val="00351B4F"/>
    <w:rsid w:val="00352119"/>
    <w:rsid w:val="0035221F"/>
    <w:rsid w:val="00352D3C"/>
    <w:rsid w:val="003535C5"/>
    <w:rsid w:val="00353C8F"/>
    <w:rsid w:val="00354643"/>
    <w:rsid w:val="003555BF"/>
    <w:rsid w:val="00355CDA"/>
    <w:rsid w:val="003564EB"/>
    <w:rsid w:val="00356B81"/>
    <w:rsid w:val="00356C95"/>
    <w:rsid w:val="00357CD9"/>
    <w:rsid w:val="00361492"/>
    <w:rsid w:val="00361F8F"/>
    <w:rsid w:val="003629A3"/>
    <w:rsid w:val="00362A80"/>
    <w:rsid w:val="003637B3"/>
    <w:rsid w:val="00363CBE"/>
    <w:rsid w:val="00364107"/>
    <w:rsid w:val="003642D9"/>
    <w:rsid w:val="003643D3"/>
    <w:rsid w:val="003644A0"/>
    <w:rsid w:val="003645CD"/>
    <w:rsid w:val="003650E0"/>
    <w:rsid w:val="003656DC"/>
    <w:rsid w:val="00366EED"/>
    <w:rsid w:val="00366F69"/>
    <w:rsid w:val="00367728"/>
    <w:rsid w:val="00367823"/>
    <w:rsid w:val="00367A82"/>
    <w:rsid w:val="00367D7E"/>
    <w:rsid w:val="00367FEB"/>
    <w:rsid w:val="00370243"/>
    <w:rsid w:val="00370709"/>
    <w:rsid w:val="003710A9"/>
    <w:rsid w:val="003713BB"/>
    <w:rsid w:val="00371B2D"/>
    <w:rsid w:val="00371EF2"/>
    <w:rsid w:val="00372789"/>
    <w:rsid w:val="00372FD1"/>
    <w:rsid w:val="0037315E"/>
    <w:rsid w:val="00373359"/>
    <w:rsid w:val="00373DDE"/>
    <w:rsid w:val="0037472A"/>
    <w:rsid w:val="00374741"/>
    <w:rsid w:val="00374835"/>
    <w:rsid w:val="0037498C"/>
    <w:rsid w:val="00375156"/>
    <w:rsid w:val="0037631D"/>
    <w:rsid w:val="0037707F"/>
    <w:rsid w:val="003775DC"/>
    <w:rsid w:val="003778E4"/>
    <w:rsid w:val="0037797C"/>
    <w:rsid w:val="003801EA"/>
    <w:rsid w:val="003808B3"/>
    <w:rsid w:val="00381442"/>
    <w:rsid w:val="003815BB"/>
    <w:rsid w:val="0038180A"/>
    <w:rsid w:val="003819A1"/>
    <w:rsid w:val="00382DE0"/>
    <w:rsid w:val="00383600"/>
    <w:rsid w:val="003838F7"/>
    <w:rsid w:val="0038405E"/>
    <w:rsid w:val="0038411A"/>
    <w:rsid w:val="003842E9"/>
    <w:rsid w:val="00384B67"/>
    <w:rsid w:val="0038535D"/>
    <w:rsid w:val="00386045"/>
    <w:rsid w:val="00386565"/>
    <w:rsid w:val="00386E27"/>
    <w:rsid w:val="00387C6E"/>
    <w:rsid w:val="00387CF1"/>
    <w:rsid w:val="00387E2B"/>
    <w:rsid w:val="003903AF"/>
    <w:rsid w:val="003905DC"/>
    <w:rsid w:val="003912B2"/>
    <w:rsid w:val="00391B8A"/>
    <w:rsid w:val="00392842"/>
    <w:rsid w:val="0039316A"/>
    <w:rsid w:val="003935C0"/>
    <w:rsid w:val="003938EE"/>
    <w:rsid w:val="00394F29"/>
    <w:rsid w:val="00395CB4"/>
    <w:rsid w:val="003961FE"/>
    <w:rsid w:val="00396DFD"/>
    <w:rsid w:val="003973D4"/>
    <w:rsid w:val="003978E6"/>
    <w:rsid w:val="003A017C"/>
    <w:rsid w:val="003A06ED"/>
    <w:rsid w:val="003A0C6E"/>
    <w:rsid w:val="003A0CB3"/>
    <w:rsid w:val="003A0F6B"/>
    <w:rsid w:val="003A15C5"/>
    <w:rsid w:val="003A18F1"/>
    <w:rsid w:val="003A1F3E"/>
    <w:rsid w:val="003A21F4"/>
    <w:rsid w:val="003A23F8"/>
    <w:rsid w:val="003A258B"/>
    <w:rsid w:val="003A555E"/>
    <w:rsid w:val="003A5E4D"/>
    <w:rsid w:val="003A6813"/>
    <w:rsid w:val="003A6D95"/>
    <w:rsid w:val="003A6E13"/>
    <w:rsid w:val="003A7E4F"/>
    <w:rsid w:val="003B1376"/>
    <w:rsid w:val="003B2D50"/>
    <w:rsid w:val="003B425C"/>
    <w:rsid w:val="003B43A1"/>
    <w:rsid w:val="003B4431"/>
    <w:rsid w:val="003B4855"/>
    <w:rsid w:val="003B542A"/>
    <w:rsid w:val="003B6186"/>
    <w:rsid w:val="003B6CAD"/>
    <w:rsid w:val="003B793C"/>
    <w:rsid w:val="003B7CEA"/>
    <w:rsid w:val="003B7E4B"/>
    <w:rsid w:val="003C0090"/>
    <w:rsid w:val="003C08F8"/>
    <w:rsid w:val="003C0D6E"/>
    <w:rsid w:val="003C1468"/>
    <w:rsid w:val="003C2346"/>
    <w:rsid w:val="003C2A14"/>
    <w:rsid w:val="003C313F"/>
    <w:rsid w:val="003C3167"/>
    <w:rsid w:val="003C3462"/>
    <w:rsid w:val="003C3C51"/>
    <w:rsid w:val="003C4542"/>
    <w:rsid w:val="003C6BBE"/>
    <w:rsid w:val="003C6E00"/>
    <w:rsid w:val="003D01D8"/>
    <w:rsid w:val="003D07FC"/>
    <w:rsid w:val="003D0B72"/>
    <w:rsid w:val="003D0E39"/>
    <w:rsid w:val="003D10F6"/>
    <w:rsid w:val="003D1CA0"/>
    <w:rsid w:val="003D222E"/>
    <w:rsid w:val="003D27D0"/>
    <w:rsid w:val="003D2CBD"/>
    <w:rsid w:val="003D3D95"/>
    <w:rsid w:val="003D43FD"/>
    <w:rsid w:val="003D4963"/>
    <w:rsid w:val="003D4A7A"/>
    <w:rsid w:val="003D4DAF"/>
    <w:rsid w:val="003D5B44"/>
    <w:rsid w:val="003D5ED6"/>
    <w:rsid w:val="003D6202"/>
    <w:rsid w:val="003D6DC6"/>
    <w:rsid w:val="003D7853"/>
    <w:rsid w:val="003D7FF0"/>
    <w:rsid w:val="003E16CB"/>
    <w:rsid w:val="003E1814"/>
    <w:rsid w:val="003E1DCC"/>
    <w:rsid w:val="003E1DD3"/>
    <w:rsid w:val="003E1F79"/>
    <w:rsid w:val="003E1FA2"/>
    <w:rsid w:val="003E26A8"/>
    <w:rsid w:val="003E29D7"/>
    <w:rsid w:val="003E31E8"/>
    <w:rsid w:val="003E398C"/>
    <w:rsid w:val="003E3FD3"/>
    <w:rsid w:val="003E4D51"/>
    <w:rsid w:val="003E4E05"/>
    <w:rsid w:val="003E4E53"/>
    <w:rsid w:val="003E4EBA"/>
    <w:rsid w:val="003E5164"/>
    <w:rsid w:val="003E519F"/>
    <w:rsid w:val="003E5339"/>
    <w:rsid w:val="003E54D6"/>
    <w:rsid w:val="003E67C5"/>
    <w:rsid w:val="003E68AB"/>
    <w:rsid w:val="003E6B6E"/>
    <w:rsid w:val="003E70FB"/>
    <w:rsid w:val="003E7BD4"/>
    <w:rsid w:val="003F025C"/>
    <w:rsid w:val="003F04D8"/>
    <w:rsid w:val="003F1153"/>
    <w:rsid w:val="003F1573"/>
    <w:rsid w:val="003F1DAF"/>
    <w:rsid w:val="003F1F5A"/>
    <w:rsid w:val="003F3BAC"/>
    <w:rsid w:val="003F3F9E"/>
    <w:rsid w:val="003F419B"/>
    <w:rsid w:val="003F41EF"/>
    <w:rsid w:val="003F4305"/>
    <w:rsid w:val="003F43B2"/>
    <w:rsid w:val="003F557B"/>
    <w:rsid w:val="003F67CA"/>
    <w:rsid w:val="003F7289"/>
    <w:rsid w:val="003F72B4"/>
    <w:rsid w:val="003F73F3"/>
    <w:rsid w:val="004000D4"/>
    <w:rsid w:val="004004F2"/>
    <w:rsid w:val="0040065B"/>
    <w:rsid w:val="00400F0D"/>
    <w:rsid w:val="00401113"/>
    <w:rsid w:val="00402396"/>
    <w:rsid w:val="00402C1A"/>
    <w:rsid w:val="00403787"/>
    <w:rsid w:val="0040391F"/>
    <w:rsid w:val="00404001"/>
    <w:rsid w:val="0040511E"/>
    <w:rsid w:val="00405628"/>
    <w:rsid w:val="00405704"/>
    <w:rsid w:val="00406810"/>
    <w:rsid w:val="00406A6F"/>
    <w:rsid w:val="00406C60"/>
    <w:rsid w:val="00406C65"/>
    <w:rsid w:val="004077E1"/>
    <w:rsid w:val="00410382"/>
    <w:rsid w:val="00410593"/>
    <w:rsid w:val="004110B5"/>
    <w:rsid w:val="0041143B"/>
    <w:rsid w:val="0041149F"/>
    <w:rsid w:val="004118BA"/>
    <w:rsid w:val="00411B3E"/>
    <w:rsid w:val="004128FA"/>
    <w:rsid w:val="004137ED"/>
    <w:rsid w:val="0041405B"/>
    <w:rsid w:val="004160EA"/>
    <w:rsid w:val="00416234"/>
    <w:rsid w:val="00416282"/>
    <w:rsid w:val="004164C9"/>
    <w:rsid w:val="0041676B"/>
    <w:rsid w:val="004169AF"/>
    <w:rsid w:val="00416A77"/>
    <w:rsid w:val="004175FF"/>
    <w:rsid w:val="0041769C"/>
    <w:rsid w:val="00417826"/>
    <w:rsid w:val="004200C1"/>
    <w:rsid w:val="004201C3"/>
    <w:rsid w:val="00420772"/>
    <w:rsid w:val="00420F51"/>
    <w:rsid w:val="00421C69"/>
    <w:rsid w:val="00421FED"/>
    <w:rsid w:val="00422634"/>
    <w:rsid w:val="00422649"/>
    <w:rsid w:val="00422725"/>
    <w:rsid w:val="00422A7B"/>
    <w:rsid w:val="00422C44"/>
    <w:rsid w:val="00422CB1"/>
    <w:rsid w:val="00422DD9"/>
    <w:rsid w:val="0042357D"/>
    <w:rsid w:val="004238CF"/>
    <w:rsid w:val="00424105"/>
    <w:rsid w:val="00424F12"/>
    <w:rsid w:val="00425656"/>
    <w:rsid w:val="00425D28"/>
    <w:rsid w:val="004260C6"/>
    <w:rsid w:val="004265CE"/>
    <w:rsid w:val="00426E4A"/>
    <w:rsid w:val="00427412"/>
    <w:rsid w:val="00427713"/>
    <w:rsid w:val="0043046B"/>
    <w:rsid w:val="00430C14"/>
    <w:rsid w:val="0043117F"/>
    <w:rsid w:val="004313B9"/>
    <w:rsid w:val="0043157B"/>
    <w:rsid w:val="004318ED"/>
    <w:rsid w:val="004324CF"/>
    <w:rsid w:val="00432738"/>
    <w:rsid w:val="00432E4A"/>
    <w:rsid w:val="00433365"/>
    <w:rsid w:val="004335CC"/>
    <w:rsid w:val="004336EF"/>
    <w:rsid w:val="00433A98"/>
    <w:rsid w:val="00433D00"/>
    <w:rsid w:val="00433F21"/>
    <w:rsid w:val="00434BD1"/>
    <w:rsid w:val="00434DC7"/>
    <w:rsid w:val="00435522"/>
    <w:rsid w:val="00435B5F"/>
    <w:rsid w:val="00435BFB"/>
    <w:rsid w:val="00435C41"/>
    <w:rsid w:val="00435D1A"/>
    <w:rsid w:val="004364C4"/>
    <w:rsid w:val="00436A63"/>
    <w:rsid w:val="00437AB2"/>
    <w:rsid w:val="004409E2"/>
    <w:rsid w:val="0044107D"/>
    <w:rsid w:val="0044111F"/>
    <w:rsid w:val="004422F1"/>
    <w:rsid w:val="004423C8"/>
    <w:rsid w:val="00443C6D"/>
    <w:rsid w:val="00443C73"/>
    <w:rsid w:val="00443F83"/>
    <w:rsid w:val="004440E2"/>
    <w:rsid w:val="00444246"/>
    <w:rsid w:val="004445C6"/>
    <w:rsid w:val="004449EF"/>
    <w:rsid w:val="00445298"/>
    <w:rsid w:val="004454AC"/>
    <w:rsid w:val="004455D3"/>
    <w:rsid w:val="00445A5A"/>
    <w:rsid w:val="00445D54"/>
    <w:rsid w:val="004509E1"/>
    <w:rsid w:val="00451489"/>
    <w:rsid w:val="00451583"/>
    <w:rsid w:val="004515B5"/>
    <w:rsid w:val="00451636"/>
    <w:rsid w:val="0045211B"/>
    <w:rsid w:val="00453E88"/>
    <w:rsid w:val="00453F14"/>
    <w:rsid w:val="004540B7"/>
    <w:rsid w:val="004547CE"/>
    <w:rsid w:val="0045503A"/>
    <w:rsid w:val="00455356"/>
    <w:rsid w:val="00456BF6"/>
    <w:rsid w:val="00456EC8"/>
    <w:rsid w:val="0045723E"/>
    <w:rsid w:val="00457368"/>
    <w:rsid w:val="00457B91"/>
    <w:rsid w:val="00457C29"/>
    <w:rsid w:val="00457CA1"/>
    <w:rsid w:val="004600A1"/>
    <w:rsid w:val="0046013E"/>
    <w:rsid w:val="004606FC"/>
    <w:rsid w:val="0046141B"/>
    <w:rsid w:val="00461B6E"/>
    <w:rsid w:val="00463029"/>
    <w:rsid w:val="004631CC"/>
    <w:rsid w:val="00463F08"/>
    <w:rsid w:val="00464DE8"/>
    <w:rsid w:val="00464FB7"/>
    <w:rsid w:val="0046529E"/>
    <w:rsid w:val="004658BC"/>
    <w:rsid w:val="00466192"/>
    <w:rsid w:val="00466A19"/>
    <w:rsid w:val="00466EF7"/>
    <w:rsid w:val="004673FB"/>
    <w:rsid w:val="0046763A"/>
    <w:rsid w:val="004676AF"/>
    <w:rsid w:val="0046770D"/>
    <w:rsid w:val="0047045D"/>
    <w:rsid w:val="00470A80"/>
    <w:rsid w:val="004714FC"/>
    <w:rsid w:val="00471701"/>
    <w:rsid w:val="00471B36"/>
    <w:rsid w:val="00472335"/>
    <w:rsid w:val="00472E24"/>
    <w:rsid w:val="0047534C"/>
    <w:rsid w:val="00475E0F"/>
    <w:rsid w:val="00476B24"/>
    <w:rsid w:val="00477280"/>
    <w:rsid w:val="0047768A"/>
    <w:rsid w:val="00477942"/>
    <w:rsid w:val="00477F29"/>
    <w:rsid w:val="00480178"/>
    <w:rsid w:val="00480690"/>
    <w:rsid w:val="004818DA"/>
    <w:rsid w:val="00482816"/>
    <w:rsid w:val="004829CE"/>
    <w:rsid w:val="00482BE1"/>
    <w:rsid w:val="00482C76"/>
    <w:rsid w:val="00482FDE"/>
    <w:rsid w:val="004837B8"/>
    <w:rsid w:val="00483CA2"/>
    <w:rsid w:val="00483DBB"/>
    <w:rsid w:val="00485140"/>
    <w:rsid w:val="0048557B"/>
    <w:rsid w:val="00485975"/>
    <w:rsid w:val="00485F6F"/>
    <w:rsid w:val="00486382"/>
    <w:rsid w:val="0048696B"/>
    <w:rsid w:val="004879AE"/>
    <w:rsid w:val="00487A60"/>
    <w:rsid w:val="00487E67"/>
    <w:rsid w:val="00490F04"/>
    <w:rsid w:val="004915FE"/>
    <w:rsid w:val="00491F03"/>
    <w:rsid w:val="00492D8B"/>
    <w:rsid w:val="00492FDA"/>
    <w:rsid w:val="00493EAA"/>
    <w:rsid w:val="00494478"/>
    <w:rsid w:val="00494604"/>
    <w:rsid w:val="00494F8B"/>
    <w:rsid w:val="004952C8"/>
    <w:rsid w:val="00495451"/>
    <w:rsid w:val="00495CC3"/>
    <w:rsid w:val="00496334"/>
    <w:rsid w:val="0049646F"/>
    <w:rsid w:val="00496D79"/>
    <w:rsid w:val="004974FE"/>
    <w:rsid w:val="004977B1"/>
    <w:rsid w:val="004A0919"/>
    <w:rsid w:val="004A21AF"/>
    <w:rsid w:val="004A2284"/>
    <w:rsid w:val="004A2D85"/>
    <w:rsid w:val="004A2F1C"/>
    <w:rsid w:val="004A347E"/>
    <w:rsid w:val="004A4291"/>
    <w:rsid w:val="004A43D3"/>
    <w:rsid w:val="004A5256"/>
    <w:rsid w:val="004A57F4"/>
    <w:rsid w:val="004A595D"/>
    <w:rsid w:val="004A5E2C"/>
    <w:rsid w:val="004A60D2"/>
    <w:rsid w:val="004A6C41"/>
    <w:rsid w:val="004A74B2"/>
    <w:rsid w:val="004A7E32"/>
    <w:rsid w:val="004A7F4A"/>
    <w:rsid w:val="004B0BAB"/>
    <w:rsid w:val="004B143A"/>
    <w:rsid w:val="004B19AA"/>
    <w:rsid w:val="004B2C8B"/>
    <w:rsid w:val="004B420B"/>
    <w:rsid w:val="004B4D4B"/>
    <w:rsid w:val="004B4F63"/>
    <w:rsid w:val="004B5235"/>
    <w:rsid w:val="004B5256"/>
    <w:rsid w:val="004B6A34"/>
    <w:rsid w:val="004B6CF1"/>
    <w:rsid w:val="004B6EAB"/>
    <w:rsid w:val="004C00E5"/>
    <w:rsid w:val="004C02FF"/>
    <w:rsid w:val="004C07A7"/>
    <w:rsid w:val="004C0E8C"/>
    <w:rsid w:val="004C128C"/>
    <w:rsid w:val="004C1413"/>
    <w:rsid w:val="004C14DE"/>
    <w:rsid w:val="004C1E45"/>
    <w:rsid w:val="004C1EAB"/>
    <w:rsid w:val="004C20D6"/>
    <w:rsid w:val="004C2B88"/>
    <w:rsid w:val="004C2BCF"/>
    <w:rsid w:val="004C40C7"/>
    <w:rsid w:val="004C44BD"/>
    <w:rsid w:val="004C48BC"/>
    <w:rsid w:val="004C4DC3"/>
    <w:rsid w:val="004C5468"/>
    <w:rsid w:val="004C5EA3"/>
    <w:rsid w:val="004C7035"/>
    <w:rsid w:val="004C727A"/>
    <w:rsid w:val="004C7FBE"/>
    <w:rsid w:val="004D00F3"/>
    <w:rsid w:val="004D0192"/>
    <w:rsid w:val="004D0202"/>
    <w:rsid w:val="004D0236"/>
    <w:rsid w:val="004D06E7"/>
    <w:rsid w:val="004D093B"/>
    <w:rsid w:val="004D10DA"/>
    <w:rsid w:val="004D1439"/>
    <w:rsid w:val="004D164B"/>
    <w:rsid w:val="004D177A"/>
    <w:rsid w:val="004D1842"/>
    <w:rsid w:val="004D1B44"/>
    <w:rsid w:val="004D2BFF"/>
    <w:rsid w:val="004D2F2D"/>
    <w:rsid w:val="004D4147"/>
    <w:rsid w:val="004D41AF"/>
    <w:rsid w:val="004D425F"/>
    <w:rsid w:val="004D4395"/>
    <w:rsid w:val="004D455F"/>
    <w:rsid w:val="004D4628"/>
    <w:rsid w:val="004D46EC"/>
    <w:rsid w:val="004D5930"/>
    <w:rsid w:val="004D5A27"/>
    <w:rsid w:val="004D61BF"/>
    <w:rsid w:val="004D6CB5"/>
    <w:rsid w:val="004D6ED2"/>
    <w:rsid w:val="004D7051"/>
    <w:rsid w:val="004D760D"/>
    <w:rsid w:val="004D77A2"/>
    <w:rsid w:val="004D7FC5"/>
    <w:rsid w:val="004E0770"/>
    <w:rsid w:val="004E1281"/>
    <w:rsid w:val="004E1969"/>
    <w:rsid w:val="004E1D74"/>
    <w:rsid w:val="004E206C"/>
    <w:rsid w:val="004E2455"/>
    <w:rsid w:val="004E24F5"/>
    <w:rsid w:val="004E3DD7"/>
    <w:rsid w:val="004E422F"/>
    <w:rsid w:val="004E588E"/>
    <w:rsid w:val="004E6C7E"/>
    <w:rsid w:val="004E6E9C"/>
    <w:rsid w:val="004E70F2"/>
    <w:rsid w:val="004E7E18"/>
    <w:rsid w:val="004F0BC7"/>
    <w:rsid w:val="004F0D6B"/>
    <w:rsid w:val="004F1DA5"/>
    <w:rsid w:val="004F1E03"/>
    <w:rsid w:val="004F22E0"/>
    <w:rsid w:val="004F26FA"/>
    <w:rsid w:val="004F2C79"/>
    <w:rsid w:val="004F31F1"/>
    <w:rsid w:val="004F3307"/>
    <w:rsid w:val="004F36B1"/>
    <w:rsid w:val="004F3A1D"/>
    <w:rsid w:val="004F41C0"/>
    <w:rsid w:val="004F42D8"/>
    <w:rsid w:val="004F4CBC"/>
    <w:rsid w:val="004F553B"/>
    <w:rsid w:val="004F55E6"/>
    <w:rsid w:val="004F5784"/>
    <w:rsid w:val="004F5934"/>
    <w:rsid w:val="004F5AE2"/>
    <w:rsid w:val="004F6549"/>
    <w:rsid w:val="004F6671"/>
    <w:rsid w:val="004F69C7"/>
    <w:rsid w:val="004F6AD0"/>
    <w:rsid w:val="004F6D84"/>
    <w:rsid w:val="004F6F06"/>
    <w:rsid w:val="004F73E8"/>
    <w:rsid w:val="004F745C"/>
    <w:rsid w:val="005001C1"/>
    <w:rsid w:val="005001DF"/>
    <w:rsid w:val="0050038A"/>
    <w:rsid w:val="00500729"/>
    <w:rsid w:val="00500C41"/>
    <w:rsid w:val="0050150D"/>
    <w:rsid w:val="00501E59"/>
    <w:rsid w:val="00502256"/>
    <w:rsid w:val="005027B4"/>
    <w:rsid w:val="00503004"/>
    <w:rsid w:val="005030B5"/>
    <w:rsid w:val="0050332B"/>
    <w:rsid w:val="005034AD"/>
    <w:rsid w:val="00503845"/>
    <w:rsid w:val="00503960"/>
    <w:rsid w:val="00503A6B"/>
    <w:rsid w:val="005046EB"/>
    <w:rsid w:val="00504A63"/>
    <w:rsid w:val="00504DF2"/>
    <w:rsid w:val="00504FA0"/>
    <w:rsid w:val="005052C0"/>
    <w:rsid w:val="00505512"/>
    <w:rsid w:val="00505525"/>
    <w:rsid w:val="00505CE0"/>
    <w:rsid w:val="00505ED1"/>
    <w:rsid w:val="00506CB4"/>
    <w:rsid w:val="0050767B"/>
    <w:rsid w:val="00510767"/>
    <w:rsid w:val="005112BE"/>
    <w:rsid w:val="005135E2"/>
    <w:rsid w:val="00513C21"/>
    <w:rsid w:val="00514186"/>
    <w:rsid w:val="005146C2"/>
    <w:rsid w:val="00514C3C"/>
    <w:rsid w:val="005152A9"/>
    <w:rsid w:val="005155E9"/>
    <w:rsid w:val="0051573F"/>
    <w:rsid w:val="0051640A"/>
    <w:rsid w:val="0051680F"/>
    <w:rsid w:val="00516F34"/>
    <w:rsid w:val="00516F6A"/>
    <w:rsid w:val="0051715F"/>
    <w:rsid w:val="005172CF"/>
    <w:rsid w:val="00517889"/>
    <w:rsid w:val="00517B8C"/>
    <w:rsid w:val="00517D74"/>
    <w:rsid w:val="00520192"/>
    <w:rsid w:val="0052083E"/>
    <w:rsid w:val="00520AEF"/>
    <w:rsid w:val="00520BB0"/>
    <w:rsid w:val="005211A2"/>
    <w:rsid w:val="00521F4D"/>
    <w:rsid w:val="00522508"/>
    <w:rsid w:val="00522510"/>
    <w:rsid w:val="0052256F"/>
    <w:rsid w:val="00523252"/>
    <w:rsid w:val="00523AD9"/>
    <w:rsid w:val="00523FC5"/>
    <w:rsid w:val="0052409B"/>
    <w:rsid w:val="00524BDB"/>
    <w:rsid w:val="00524EF1"/>
    <w:rsid w:val="005254E3"/>
    <w:rsid w:val="00525AB7"/>
    <w:rsid w:val="00525C3A"/>
    <w:rsid w:val="00526268"/>
    <w:rsid w:val="0052627F"/>
    <w:rsid w:val="00526462"/>
    <w:rsid w:val="00526944"/>
    <w:rsid w:val="00526A12"/>
    <w:rsid w:val="00526F3F"/>
    <w:rsid w:val="0052774E"/>
    <w:rsid w:val="00527C69"/>
    <w:rsid w:val="00527DA6"/>
    <w:rsid w:val="00527DC5"/>
    <w:rsid w:val="00527F2B"/>
    <w:rsid w:val="005304B9"/>
    <w:rsid w:val="0053068B"/>
    <w:rsid w:val="00530808"/>
    <w:rsid w:val="00530CAB"/>
    <w:rsid w:val="0053127F"/>
    <w:rsid w:val="00531B40"/>
    <w:rsid w:val="00531EA6"/>
    <w:rsid w:val="0053216D"/>
    <w:rsid w:val="00532F7E"/>
    <w:rsid w:val="00533134"/>
    <w:rsid w:val="00533A46"/>
    <w:rsid w:val="00533E95"/>
    <w:rsid w:val="00534EC8"/>
    <w:rsid w:val="0053511A"/>
    <w:rsid w:val="005357B4"/>
    <w:rsid w:val="005357CE"/>
    <w:rsid w:val="00535979"/>
    <w:rsid w:val="005365E8"/>
    <w:rsid w:val="00536B0E"/>
    <w:rsid w:val="0053713F"/>
    <w:rsid w:val="00540561"/>
    <w:rsid w:val="00540BB4"/>
    <w:rsid w:val="00540E05"/>
    <w:rsid w:val="00541413"/>
    <w:rsid w:val="00541D25"/>
    <w:rsid w:val="00541F10"/>
    <w:rsid w:val="00542097"/>
    <w:rsid w:val="005427E8"/>
    <w:rsid w:val="00543959"/>
    <w:rsid w:val="00543CB9"/>
    <w:rsid w:val="00543D39"/>
    <w:rsid w:val="005442F2"/>
    <w:rsid w:val="0054476F"/>
    <w:rsid w:val="005473B7"/>
    <w:rsid w:val="00547B55"/>
    <w:rsid w:val="00547C2E"/>
    <w:rsid w:val="00547D8C"/>
    <w:rsid w:val="005502ED"/>
    <w:rsid w:val="005506B9"/>
    <w:rsid w:val="00550806"/>
    <w:rsid w:val="00550922"/>
    <w:rsid w:val="005511CF"/>
    <w:rsid w:val="00551AA4"/>
    <w:rsid w:val="00551C36"/>
    <w:rsid w:val="00551E5B"/>
    <w:rsid w:val="00551EA6"/>
    <w:rsid w:val="0055212C"/>
    <w:rsid w:val="005527D4"/>
    <w:rsid w:val="00552ACB"/>
    <w:rsid w:val="00553AF4"/>
    <w:rsid w:val="00554B1B"/>
    <w:rsid w:val="005553EE"/>
    <w:rsid w:val="0055547F"/>
    <w:rsid w:val="00555636"/>
    <w:rsid w:val="0055596D"/>
    <w:rsid w:val="005560A3"/>
    <w:rsid w:val="0055703B"/>
    <w:rsid w:val="00557CEB"/>
    <w:rsid w:val="00557EB6"/>
    <w:rsid w:val="00560120"/>
    <w:rsid w:val="00560BBE"/>
    <w:rsid w:val="0056309B"/>
    <w:rsid w:val="0056367C"/>
    <w:rsid w:val="00563AF9"/>
    <w:rsid w:val="00563E3B"/>
    <w:rsid w:val="00563F93"/>
    <w:rsid w:val="0056427E"/>
    <w:rsid w:val="0056429A"/>
    <w:rsid w:val="00565AB2"/>
    <w:rsid w:val="0056682F"/>
    <w:rsid w:val="00567A62"/>
    <w:rsid w:val="00570032"/>
    <w:rsid w:val="00570808"/>
    <w:rsid w:val="00570B39"/>
    <w:rsid w:val="00570C58"/>
    <w:rsid w:val="00570F08"/>
    <w:rsid w:val="00570FF4"/>
    <w:rsid w:val="00571164"/>
    <w:rsid w:val="005723BD"/>
    <w:rsid w:val="00572FCF"/>
    <w:rsid w:val="0057308E"/>
    <w:rsid w:val="0057316E"/>
    <w:rsid w:val="005732A2"/>
    <w:rsid w:val="00573373"/>
    <w:rsid w:val="00574124"/>
    <w:rsid w:val="0057474B"/>
    <w:rsid w:val="005749C4"/>
    <w:rsid w:val="005753FB"/>
    <w:rsid w:val="00575BC3"/>
    <w:rsid w:val="00575F4E"/>
    <w:rsid w:val="00576728"/>
    <w:rsid w:val="005767EB"/>
    <w:rsid w:val="005769AD"/>
    <w:rsid w:val="00576A2C"/>
    <w:rsid w:val="005774A2"/>
    <w:rsid w:val="00577CE7"/>
    <w:rsid w:val="005800CA"/>
    <w:rsid w:val="00580F94"/>
    <w:rsid w:val="005812B8"/>
    <w:rsid w:val="00581BEE"/>
    <w:rsid w:val="005823CD"/>
    <w:rsid w:val="005837C9"/>
    <w:rsid w:val="00583A9A"/>
    <w:rsid w:val="0058503C"/>
    <w:rsid w:val="00585D93"/>
    <w:rsid w:val="00586629"/>
    <w:rsid w:val="0058716D"/>
    <w:rsid w:val="00587DA5"/>
    <w:rsid w:val="0059050C"/>
    <w:rsid w:val="00590663"/>
    <w:rsid w:val="00591299"/>
    <w:rsid w:val="0059182E"/>
    <w:rsid w:val="00591C42"/>
    <w:rsid w:val="00592ABF"/>
    <w:rsid w:val="00592FFB"/>
    <w:rsid w:val="00593B84"/>
    <w:rsid w:val="005947AE"/>
    <w:rsid w:val="00594E35"/>
    <w:rsid w:val="005951E6"/>
    <w:rsid w:val="00595B78"/>
    <w:rsid w:val="00595D3A"/>
    <w:rsid w:val="00597C45"/>
    <w:rsid w:val="005A001F"/>
    <w:rsid w:val="005A0A7B"/>
    <w:rsid w:val="005A0C6A"/>
    <w:rsid w:val="005A12E6"/>
    <w:rsid w:val="005A15CF"/>
    <w:rsid w:val="005A18EF"/>
    <w:rsid w:val="005A1CA1"/>
    <w:rsid w:val="005A28E0"/>
    <w:rsid w:val="005A37B3"/>
    <w:rsid w:val="005A3EA9"/>
    <w:rsid w:val="005A4528"/>
    <w:rsid w:val="005A4C04"/>
    <w:rsid w:val="005A4CA1"/>
    <w:rsid w:val="005A4D12"/>
    <w:rsid w:val="005A4D52"/>
    <w:rsid w:val="005A5665"/>
    <w:rsid w:val="005A5785"/>
    <w:rsid w:val="005A6B21"/>
    <w:rsid w:val="005A7518"/>
    <w:rsid w:val="005A78CC"/>
    <w:rsid w:val="005A7B40"/>
    <w:rsid w:val="005B17D6"/>
    <w:rsid w:val="005B1898"/>
    <w:rsid w:val="005B2BB9"/>
    <w:rsid w:val="005B2C48"/>
    <w:rsid w:val="005B3713"/>
    <w:rsid w:val="005B3D7A"/>
    <w:rsid w:val="005B4A47"/>
    <w:rsid w:val="005B4AD9"/>
    <w:rsid w:val="005B4ED0"/>
    <w:rsid w:val="005B50CC"/>
    <w:rsid w:val="005B5815"/>
    <w:rsid w:val="005B62CD"/>
    <w:rsid w:val="005B64FC"/>
    <w:rsid w:val="005B659C"/>
    <w:rsid w:val="005B68E4"/>
    <w:rsid w:val="005B6D46"/>
    <w:rsid w:val="005C1870"/>
    <w:rsid w:val="005C2B2D"/>
    <w:rsid w:val="005C2D52"/>
    <w:rsid w:val="005C3973"/>
    <w:rsid w:val="005C419A"/>
    <w:rsid w:val="005C4F05"/>
    <w:rsid w:val="005C577F"/>
    <w:rsid w:val="005C57C4"/>
    <w:rsid w:val="005C66B7"/>
    <w:rsid w:val="005C66C9"/>
    <w:rsid w:val="005C6D51"/>
    <w:rsid w:val="005C6E96"/>
    <w:rsid w:val="005C742B"/>
    <w:rsid w:val="005C7809"/>
    <w:rsid w:val="005C7D94"/>
    <w:rsid w:val="005C7F93"/>
    <w:rsid w:val="005D0362"/>
    <w:rsid w:val="005D08D0"/>
    <w:rsid w:val="005D1057"/>
    <w:rsid w:val="005D1474"/>
    <w:rsid w:val="005D1AB4"/>
    <w:rsid w:val="005D1B9A"/>
    <w:rsid w:val="005D1D51"/>
    <w:rsid w:val="005D1FFF"/>
    <w:rsid w:val="005D2323"/>
    <w:rsid w:val="005D2A33"/>
    <w:rsid w:val="005D3223"/>
    <w:rsid w:val="005D3F52"/>
    <w:rsid w:val="005D4195"/>
    <w:rsid w:val="005D467D"/>
    <w:rsid w:val="005D4B1E"/>
    <w:rsid w:val="005D5FEE"/>
    <w:rsid w:val="005D6AC1"/>
    <w:rsid w:val="005D7654"/>
    <w:rsid w:val="005D7A9E"/>
    <w:rsid w:val="005D7B07"/>
    <w:rsid w:val="005E0E01"/>
    <w:rsid w:val="005E0FA4"/>
    <w:rsid w:val="005E11F4"/>
    <w:rsid w:val="005E145D"/>
    <w:rsid w:val="005E25B5"/>
    <w:rsid w:val="005E29F2"/>
    <w:rsid w:val="005E2C8B"/>
    <w:rsid w:val="005E305D"/>
    <w:rsid w:val="005E4328"/>
    <w:rsid w:val="005E5754"/>
    <w:rsid w:val="005E5CBD"/>
    <w:rsid w:val="005E5E3E"/>
    <w:rsid w:val="005E65B1"/>
    <w:rsid w:val="005E65D1"/>
    <w:rsid w:val="005E6FE3"/>
    <w:rsid w:val="005E7096"/>
    <w:rsid w:val="005E71D0"/>
    <w:rsid w:val="005E793F"/>
    <w:rsid w:val="005E7AF7"/>
    <w:rsid w:val="005E7BF9"/>
    <w:rsid w:val="005F07BC"/>
    <w:rsid w:val="005F0A00"/>
    <w:rsid w:val="005F1486"/>
    <w:rsid w:val="005F1BB1"/>
    <w:rsid w:val="005F2472"/>
    <w:rsid w:val="005F287A"/>
    <w:rsid w:val="005F2D34"/>
    <w:rsid w:val="005F3446"/>
    <w:rsid w:val="005F3539"/>
    <w:rsid w:val="005F3730"/>
    <w:rsid w:val="005F380C"/>
    <w:rsid w:val="005F3867"/>
    <w:rsid w:val="005F38EA"/>
    <w:rsid w:val="005F3A00"/>
    <w:rsid w:val="005F3CF3"/>
    <w:rsid w:val="005F3D7A"/>
    <w:rsid w:val="005F3F42"/>
    <w:rsid w:val="005F43C1"/>
    <w:rsid w:val="005F5007"/>
    <w:rsid w:val="005F560C"/>
    <w:rsid w:val="005F5E56"/>
    <w:rsid w:val="005F5E6F"/>
    <w:rsid w:val="005F6897"/>
    <w:rsid w:val="005F6DBD"/>
    <w:rsid w:val="005F6E98"/>
    <w:rsid w:val="005F72BA"/>
    <w:rsid w:val="005F74E3"/>
    <w:rsid w:val="005F78BD"/>
    <w:rsid w:val="005F7BE2"/>
    <w:rsid w:val="00600781"/>
    <w:rsid w:val="0060149D"/>
    <w:rsid w:val="00601931"/>
    <w:rsid w:val="00601B10"/>
    <w:rsid w:val="00601E20"/>
    <w:rsid w:val="00602770"/>
    <w:rsid w:val="00602DF1"/>
    <w:rsid w:val="00603366"/>
    <w:rsid w:val="006033C5"/>
    <w:rsid w:val="00603540"/>
    <w:rsid w:val="00603A70"/>
    <w:rsid w:val="00603AA1"/>
    <w:rsid w:val="00603BBD"/>
    <w:rsid w:val="00603DE4"/>
    <w:rsid w:val="006040FC"/>
    <w:rsid w:val="006044C0"/>
    <w:rsid w:val="006046B2"/>
    <w:rsid w:val="00604C58"/>
    <w:rsid w:val="00606133"/>
    <w:rsid w:val="0060649B"/>
    <w:rsid w:val="006064AE"/>
    <w:rsid w:val="006065E1"/>
    <w:rsid w:val="00606782"/>
    <w:rsid w:val="006073BD"/>
    <w:rsid w:val="00607F77"/>
    <w:rsid w:val="00610D82"/>
    <w:rsid w:val="00611313"/>
    <w:rsid w:val="00611366"/>
    <w:rsid w:val="006116EF"/>
    <w:rsid w:val="00612B1A"/>
    <w:rsid w:val="0061315E"/>
    <w:rsid w:val="006131D2"/>
    <w:rsid w:val="0061367C"/>
    <w:rsid w:val="00614562"/>
    <w:rsid w:val="00614693"/>
    <w:rsid w:val="006148D8"/>
    <w:rsid w:val="00614E25"/>
    <w:rsid w:val="00614EBC"/>
    <w:rsid w:val="006154A7"/>
    <w:rsid w:val="00616B32"/>
    <w:rsid w:val="00620129"/>
    <w:rsid w:val="0062030C"/>
    <w:rsid w:val="006203EA"/>
    <w:rsid w:val="006203EC"/>
    <w:rsid w:val="0062077D"/>
    <w:rsid w:val="00620CB8"/>
    <w:rsid w:val="00620D8E"/>
    <w:rsid w:val="006212D9"/>
    <w:rsid w:val="006235B3"/>
    <w:rsid w:val="006237C0"/>
    <w:rsid w:val="00623826"/>
    <w:rsid w:val="00624081"/>
    <w:rsid w:val="0062437F"/>
    <w:rsid w:val="00624AB3"/>
    <w:rsid w:val="006254EC"/>
    <w:rsid w:val="0062561C"/>
    <w:rsid w:val="006262FE"/>
    <w:rsid w:val="00626A43"/>
    <w:rsid w:val="00626DBF"/>
    <w:rsid w:val="00626F81"/>
    <w:rsid w:val="0062733F"/>
    <w:rsid w:val="0062764F"/>
    <w:rsid w:val="00630674"/>
    <w:rsid w:val="0063098A"/>
    <w:rsid w:val="00630B62"/>
    <w:rsid w:val="00630BFF"/>
    <w:rsid w:val="0063104C"/>
    <w:rsid w:val="00631D79"/>
    <w:rsid w:val="00632201"/>
    <w:rsid w:val="0063238E"/>
    <w:rsid w:val="00632D05"/>
    <w:rsid w:val="0063318A"/>
    <w:rsid w:val="006347EC"/>
    <w:rsid w:val="006348D4"/>
    <w:rsid w:val="00634F67"/>
    <w:rsid w:val="00636069"/>
    <w:rsid w:val="00636BD6"/>
    <w:rsid w:val="006378F1"/>
    <w:rsid w:val="006402C7"/>
    <w:rsid w:val="006411A4"/>
    <w:rsid w:val="006412BA"/>
    <w:rsid w:val="00641EDF"/>
    <w:rsid w:val="00642031"/>
    <w:rsid w:val="006420C6"/>
    <w:rsid w:val="006421BA"/>
    <w:rsid w:val="00642857"/>
    <w:rsid w:val="00642B28"/>
    <w:rsid w:val="00642E19"/>
    <w:rsid w:val="00642FA9"/>
    <w:rsid w:val="00643665"/>
    <w:rsid w:val="006439CB"/>
    <w:rsid w:val="00643CB8"/>
    <w:rsid w:val="0064468B"/>
    <w:rsid w:val="00645946"/>
    <w:rsid w:val="00645A03"/>
    <w:rsid w:val="00645A56"/>
    <w:rsid w:val="00645F83"/>
    <w:rsid w:val="006462B1"/>
    <w:rsid w:val="006466E2"/>
    <w:rsid w:val="006468EC"/>
    <w:rsid w:val="00646BB1"/>
    <w:rsid w:val="00647548"/>
    <w:rsid w:val="006477FF"/>
    <w:rsid w:val="0064788B"/>
    <w:rsid w:val="00647C1C"/>
    <w:rsid w:val="00650A3D"/>
    <w:rsid w:val="0065150D"/>
    <w:rsid w:val="00651DB4"/>
    <w:rsid w:val="006524BB"/>
    <w:rsid w:val="0065266B"/>
    <w:rsid w:val="00652B09"/>
    <w:rsid w:val="00653319"/>
    <w:rsid w:val="0065384E"/>
    <w:rsid w:val="00653921"/>
    <w:rsid w:val="00654A4B"/>
    <w:rsid w:val="00654A74"/>
    <w:rsid w:val="00654B69"/>
    <w:rsid w:val="00654DA4"/>
    <w:rsid w:val="00654DDF"/>
    <w:rsid w:val="00655658"/>
    <w:rsid w:val="00655C63"/>
    <w:rsid w:val="00655ED4"/>
    <w:rsid w:val="006560FC"/>
    <w:rsid w:val="0065616C"/>
    <w:rsid w:val="006567B8"/>
    <w:rsid w:val="00656A41"/>
    <w:rsid w:val="00656EE6"/>
    <w:rsid w:val="00657CB9"/>
    <w:rsid w:val="00657E5E"/>
    <w:rsid w:val="00657F74"/>
    <w:rsid w:val="00660F26"/>
    <w:rsid w:val="00660F3E"/>
    <w:rsid w:val="00661A43"/>
    <w:rsid w:val="00662715"/>
    <w:rsid w:val="00662829"/>
    <w:rsid w:val="00663444"/>
    <w:rsid w:val="00663A0C"/>
    <w:rsid w:val="006640AF"/>
    <w:rsid w:val="0066490B"/>
    <w:rsid w:val="00664F5F"/>
    <w:rsid w:val="00665347"/>
    <w:rsid w:val="00665414"/>
    <w:rsid w:val="00665AC0"/>
    <w:rsid w:val="00665D7A"/>
    <w:rsid w:val="00666068"/>
    <w:rsid w:val="00666A4A"/>
    <w:rsid w:val="00666DF9"/>
    <w:rsid w:val="00667903"/>
    <w:rsid w:val="00667941"/>
    <w:rsid w:val="006706AD"/>
    <w:rsid w:val="00670B78"/>
    <w:rsid w:val="00671734"/>
    <w:rsid w:val="0067178B"/>
    <w:rsid w:val="0067183F"/>
    <w:rsid w:val="00672022"/>
    <w:rsid w:val="006730D3"/>
    <w:rsid w:val="00673CEA"/>
    <w:rsid w:val="006740A6"/>
    <w:rsid w:val="0067437B"/>
    <w:rsid w:val="00674C48"/>
    <w:rsid w:val="00675C6F"/>
    <w:rsid w:val="00676278"/>
    <w:rsid w:val="006762BB"/>
    <w:rsid w:val="00676403"/>
    <w:rsid w:val="00676592"/>
    <w:rsid w:val="00676674"/>
    <w:rsid w:val="006778D3"/>
    <w:rsid w:val="00677A7B"/>
    <w:rsid w:val="006804E1"/>
    <w:rsid w:val="00680553"/>
    <w:rsid w:val="0068109A"/>
    <w:rsid w:val="00681559"/>
    <w:rsid w:val="006822D5"/>
    <w:rsid w:val="0068244B"/>
    <w:rsid w:val="006824D3"/>
    <w:rsid w:val="00683A6C"/>
    <w:rsid w:val="00683BD4"/>
    <w:rsid w:val="006840BB"/>
    <w:rsid w:val="006849CE"/>
    <w:rsid w:val="0068538B"/>
    <w:rsid w:val="00685880"/>
    <w:rsid w:val="00685FCA"/>
    <w:rsid w:val="006862DC"/>
    <w:rsid w:val="0068686A"/>
    <w:rsid w:val="006874C1"/>
    <w:rsid w:val="00687594"/>
    <w:rsid w:val="006876A5"/>
    <w:rsid w:val="006877FD"/>
    <w:rsid w:val="00687994"/>
    <w:rsid w:val="0069006C"/>
    <w:rsid w:val="00690B96"/>
    <w:rsid w:val="00690D99"/>
    <w:rsid w:val="006927B6"/>
    <w:rsid w:val="006934BC"/>
    <w:rsid w:val="006947B5"/>
    <w:rsid w:val="0069568A"/>
    <w:rsid w:val="00695913"/>
    <w:rsid w:val="006965CD"/>
    <w:rsid w:val="00696693"/>
    <w:rsid w:val="006968CE"/>
    <w:rsid w:val="00696D13"/>
    <w:rsid w:val="00696F4E"/>
    <w:rsid w:val="006974FD"/>
    <w:rsid w:val="00697AE7"/>
    <w:rsid w:val="00697F93"/>
    <w:rsid w:val="006A0282"/>
    <w:rsid w:val="006A15F5"/>
    <w:rsid w:val="006A1832"/>
    <w:rsid w:val="006A24AB"/>
    <w:rsid w:val="006A298A"/>
    <w:rsid w:val="006A3294"/>
    <w:rsid w:val="006A3C27"/>
    <w:rsid w:val="006A4EB7"/>
    <w:rsid w:val="006A5637"/>
    <w:rsid w:val="006A582B"/>
    <w:rsid w:val="006A6201"/>
    <w:rsid w:val="006A69A3"/>
    <w:rsid w:val="006A6BB1"/>
    <w:rsid w:val="006A7F27"/>
    <w:rsid w:val="006B0161"/>
    <w:rsid w:val="006B0801"/>
    <w:rsid w:val="006B0CD5"/>
    <w:rsid w:val="006B0E7F"/>
    <w:rsid w:val="006B0ED9"/>
    <w:rsid w:val="006B1128"/>
    <w:rsid w:val="006B114C"/>
    <w:rsid w:val="006B1257"/>
    <w:rsid w:val="006B1372"/>
    <w:rsid w:val="006B1616"/>
    <w:rsid w:val="006B1B08"/>
    <w:rsid w:val="006B29F6"/>
    <w:rsid w:val="006B2F60"/>
    <w:rsid w:val="006B30EA"/>
    <w:rsid w:val="006B3571"/>
    <w:rsid w:val="006B4928"/>
    <w:rsid w:val="006B4D86"/>
    <w:rsid w:val="006B5454"/>
    <w:rsid w:val="006B57B2"/>
    <w:rsid w:val="006B5B44"/>
    <w:rsid w:val="006B7E75"/>
    <w:rsid w:val="006C00EB"/>
    <w:rsid w:val="006C1596"/>
    <w:rsid w:val="006C15D3"/>
    <w:rsid w:val="006C2139"/>
    <w:rsid w:val="006C2552"/>
    <w:rsid w:val="006C288E"/>
    <w:rsid w:val="006C2CF8"/>
    <w:rsid w:val="006C300B"/>
    <w:rsid w:val="006C339D"/>
    <w:rsid w:val="006C3875"/>
    <w:rsid w:val="006C4828"/>
    <w:rsid w:val="006C4D7E"/>
    <w:rsid w:val="006C527E"/>
    <w:rsid w:val="006C52E3"/>
    <w:rsid w:val="006C6791"/>
    <w:rsid w:val="006C685F"/>
    <w:rsid w:val="006C7011"/>
    <w:rsid w:val="006C7255"/>
    <w:rsid w:val="006C7809"/>
    <w:rsid w:val="006D0421"/>
    <w:rsid w:val="006D0685"/>
    <w:rsid w:val="006D086C"/>
    <w:rsid w:val="006D0F9F"/>
    <w:rsid w:val="006D194C"/>
    <w:rsid w:val="006D2073"/>
    <w:rsid w:val="006D22ED"/>
    <w:rsid w:val="006D2786"/>
    <w:rsid w:val="006D27BB"/>
    <w:rsid w:val="006D29B7"/>
    <w:rsid w:val="006D2D04"/>
    <w:rsid w:val="006D2FF1"/>
    <w:rsid w:val="006D3A0C"/>
    <w:rsid w:val="006D3D46"/>
    <w:rsid w:val="006D3EA5"/>
    <w:rsid w:val="006D4928"/>
    <w:rsid w:val="006D4FC9"/>
    <w:rsid w:val="006D538E"/>
    <w:rsid w:val="006D5EFF"/>
    <w:rsid w:val="006D5FD4"/>
    <w:rsid w:val="006D62BC"/>
    <w:rsid w:val="006D68EF"/>
    <w:rsid w:val="006D7924"/>
    <w:rsid w:val="006D7D81"/>
    <w:rsid w:val="006D7DAB"/>
    <w:rsid w:val="006E016E"/>
    <w:rsid w:val="006E06A0"/>
    <w:rsid w:val="006E06AF"/>
    <w:rsid w:val="006E0783"/>
    <w:rsid w:val="006E13F7"/>
    <w:rsid w:val="006E1A5D"/>
    <w:rsid w:val="006E223F"/>
    <w:rsid w:val="006E2316"/>
    <w:rsid w:val="006E2A66"/>
    <w:rsid w:val="006E3091"/>
    <w:rsid w:val="006E316D"/>
    <w:rsid w:val="006E33A4"/>
    <w:rsid w:val="006E3DA8"/>
    <w:rsid w:val="006E3E07"/>
    <w:rsid w:val="006E4324"/>
    <w:rsid w:val="006E467A"/>
    <w:rsid w:val="006E49F1"/>
    <w:rsid w:val="006E4A51"/>
    <w:rsid w:val="006E4BE3"/>
    <w:rsid w:val="006E4ECE"/>
    <w:rsid w:val="006E50B1"/>
    <w:rsid w:val="006E59EF"/>
    <w:rsid w:val="006E5D51"/>
    <w:rsid w:val="006E5E6D"/>
    <w:rsid w:val="006E62D3"/>
    <w:rsid w:val="006E633C"/>
    <w:rsid w:val="006E6EBC"/>
    <w:rsid w:val="006E6FC8"/>
    <w:rsid w:val="006E7A9D"/>
    <w:rsid w:val="006F0ABE"/>
    <w:rsid w:val="006F19CA"/>
    <w:rsid w:val="006F1FC8"/>
    <w:rsid w:val="006F22CF"/>
    <w:rsid w:val="006F2464"/>
    <w:rsid w:val="006F24F6"/>
    <w:rsid w:val="006F270C"/>
    <w:rsid w:val="006F2824"/>
    <w:rsid w:val="006F29E4"/>
    <w:rsid w:val="006F308C"/>
    <w:rsid w:val="006F320C"/>
    <w:rsid w:val="006F3782"/>
    <w:rsid w:val="006F3AF4"/>
    <w:rsid w:val="006F3C8D"/>
    <w:rsid w:val="006F4275"/>
    <w:rsid w:val="006F4973"/>
    <w:rsid w:val="006F50CC"/>
    <w:rsid w:val="006F5A56"/>
    <w:rsid w:val="006F5D94"/>
    <w:rsid w:val="006F5EA2"/>
    <w:rsid w:val="006F620E"/>
    <w:rsid w:val="006F6693"/>
    <w:rsid w:val="006F7180"/>
    <w:rsid w:val="006F7324"/>
    <w:rsid w:val="006F75DB"/>
    <w:rsid w:val="006F77C6"/>
    <w:rsid w:val="006F7A8D"/>
    <w:rsid w:val="006F7D1E"/>
    <w:rsid w:val="00700F9A"/>
    <w:rsid w:val="007019AB"/>
    <w:rsid w:val="007022E8"/>
    <w:rsid w:val="00702604"/>
    <w:rsid w:val="00702AD5"/>
    <w:rsid w:val="00702D0F"/>
    <w:rsid w:val="00702FDF"/>
    <w:rsid w:val="00703618"/>
    <w:rsid w:val="00703788"/>
    <w:rsid w:val="007039D4"/>
    <w:rsid w:val="00703B4B"/>
    <w:rsid w:val="00703BCA"/>
    <w:rsid w:val="00703E9A"/>
    <w:rsid w:val="00704470"/>
    <w:rsid w:val="00704CE9"/>
    <w:rsid w:val="0070512A"/>
    <w:rsid w:val="007057DF"/>
    <w:rsid w:val="0071007E"/>
    <w:rsid w:val="00710DC7"/>
    <w:rsid w:val="00710DD7"/>
    <w:rsid w:val="00711045"/>
    <w:rsid w:val="007112C0"/>
    <w:rsid w:val="0071168E"/>
    <w:rsid w:val="00711814"/>
    <w:rsid w:val="00711EBA"/>
    <w:rsid w:val="00711FE8"/>
    <w:rsid w:val="00711FE9"/>
    <w:rsid w:val="00712497"/>
    <w:rsid w:val="007124AA"/>
    <w:rsid w:val="0071253D"/>
    <w:rsid w:val="00712FBA"/>
    <w:rsid w:val="0071300A"/>
    <w:rsid w:val="0071366B"/>
    <w:rsid w:val="00713B07"/>
    <w:rsid w:val="00713CE0"/>
    <w:rsid w:val="00714820"/>
    <w:rsid w:val="007150B0"/>
    <w:rsid w:val="00715476"/>
    <w:rsid w:val="00715C37"/>
    <w:rsid w:val="00715D48"/>
    <w:rsid w:val="00715FFE"/>
    <w:rsid w:val="0071623B"/>
    <w:rsid w:val="00716266"/>
    <w:rsid w:val="00716B81"/>
    <w:rsid w:val="00716BA6"/>
    <w:rsid w:val="00717693"/>
    <w:rsid w:val="0072098F"/>
    <w:rsid w:val="00722FD9"/>
    <w:rsid w:val="00723114"/>
    <w:rsid w:val="0072311A"/>
    <w:rsid w:val="00723D29"/>
    <w:rsid w:val="00723EFA"/>
    <w:rsid w:val="007249A8"/>
    <w:rsid w:val="00725606"/>
    <w:rsid w:val="00725B09"/>
    <w:rsid w:val="00726001"/>
    <w:rsid w:val="007266ED"/>
    <w:rsid w:val="00726E2A"/>
    <w:rsid w:val="00727564"/>
    <w:rsid w:val="007275B0"/>
    <w:rsid w:val="007278A4"/>
    <w:rsid w:val="00727CC9"/>
    <w:rsid w:val="00727EF9"/>
    <w:rsid w:val="00730152"/>
    <w:rsid w:val="007302EA"/>
    <w:rsid w:val="0073066D"/>
    <w:rsid w:val="007323DD"/>
    <w:rsid w:val="00732A79"/>
    <w:rsid w:val="00732A99"/>
    <w:rsid w:val="00733131"/>
    <w:rsid w:val="00733266"/>
    <w:rsid w:val="00733362"/>
    <w:rsid w:val="0073336E"/>
    <w:rsid w:val="007336F3"/>
    <w:rsid w:val="007336F9"/>
    <w:rsid w:val="00733718"/>
    <w:rsid w:val="00733BA3"/>
    <w:rsid w:val="00733BBD"/>
    <w:rsid w:val="00733C7E"/>
    <w:rsid w:val="0073662E"/>
    <w:rsid w:val="0073680F"/>
    <w:rsid w:val="0073752E"/>
    <w:rsid w:val="0073785F"/>
    <w:rsid w:val="00737CB3"/>
    <w:rsid w:val="00737DEC"/>
    <w:rsid w:val="0074024B"/>
    <w:rsid w:val="00740890"/>
    <w:rsid w:val="00740914"/>
    <w:rsid w:val="00740CC6"/>
    <w:rsid w:val="00740D29"/>
    <w:rsid w:val="0074183D"/>
    <w:rsid w:val="00741C97"/>
    <w:rsid w:val="007427FD"/>
    <w:rsid w:val="007429D8"/>
    <w:rsid w:val="00742AB4"/>
    <w:rsid w:val="007444E5"/>
    <w:rsid w:val="00744CCE"/>
    <w:rsid w:val="0074501A"/>
    <w:rsid w:val="007450F7"/>
    <w:rsid w:val="007454A2"/>
    <w:rsid w:val="007455E4"/>
    <w:rsid w:val="00745C9C"/>
    <w:rsid w:val="007464A6"/>
    <w:rsid w:val="007465C0"/>
    <w:rsid w:val="0074670B"/>
    <w:rsid w:val="00746B39"/>
    <w:rsid w:val="00746BB0"/>
    <w:rsid w:val="00746DFD"/>
    <w:rsid w:val="0074772E"/>
    <w:rsid w:val="00747E2E"/>
    <w:rsid w:val="00750444"/>
    <w:rsid w:val="00750D3D"/>
    <w:rsid w:val="00750E54"/>
    <w:rsid w:val="007510F5"/>
    <w:rsid w:val="00751678"/>
    <w:rsid w:val="00751DC3"/>
    <w:rsid w:val="007520C4"/>
    <w:rsid w:val="00752541"/>
    <w:rsid w:val="0075261D"/>
    <w:rsid w:val="00753159"/>
    <w:rsid w:val="0075455E"/>
    <w:rsid w:val="00754B5B"/>
    <w:rsid w:val="0075556A"/>
    <w:rsid w:val="00755AFC"/>
    <w:rsid w:val="00755BD7"/>
    <w:rsid w:val="00755D9B"/>
    <w:rsid w:val="0075633F"/>
    <w:rsid w:val="007565A9"/>
    <w:rsid w:val="0075712E"/>
    <w:rsid w:val="00757A01"/>
    <w:rsid w:val="0076085B"/>
    <w:rsid w:val="00760979"/>
    <w:rsid w:val="00760A15"/>
    <w:rsid w:val="00761183"/>
    <w:rsid w:val="00761A46"/>
    <w:rsid w:val="00762040"/>
    <w:rsid w:val="00762941"/>
    <w:rsid w:val="007629B6"/>
    <w:rsid w:val="00762F21"/>
    <w:rsid w:val="007636D5"/>
    <w:rsid w:val="007638E4"/>
    <w:rsid w:val="00763CC2"/>
    <w:rsid w:val="00763FA3"/>
    <w:rsid w:val="00764F5B"/>
    <w:rsid w:val="00766771"/>
    <w:rsid w:val="007668ED"/>
    <w:rsid w:val="0076695E"/>
    <w:rsid w:val="00766A11"/>
    <w:rsid w:val="00767388"/>
    <w:rsid w:val="00767B24"/>
    <w:rsid w:val="00767BCC"/>
    <w:rsid w:val="00767DC1"/>
    <w:rsid w:val="00767E52"/>
    <w:rsid w:val="00770075"/>
    <w:rsid w:val="007704E8"/>
    <w:rsid w:val="007708A5"/>
    <w:rsid w:val="00770C10"/>
    <w:rsid w:val="007711FB"/>
    <w:rsid w:val="00771305"/>
    <w:rsid w:val="00771F23"/>
    <w:rsid w:val="0077219F"/>
    <w:rsid w:val="00772790"/>
    <w:rsid w:val="00772BB2"/>
    <w:rsid w:val="00772E46"/>
    <w:rsid w:val="007737ED"/>
    <w:rsid w:val="00773EE7"/>
    <w:rsid w:val="00774A42"/>
    <w:rsid w:val="00774BE8"/>
    <w:rsid w:val="00774D7B"/>
    <w:rsid w:val="00774E46"/>
    <w:rsid w:val="00774FA8"/>
    <w:rsid w:val="007750C4"/>
    <w:rsid w:val="007756E0"/>
    <w:rsid w:val="00775869"/>
    <w:rsid w:val="007760F8"/>
    <w:rsid w:val="00777164"/>
    <w:rsid w:val="00777A42"/>
    <w:rsid w:val="007809F3"/>
    <w:rsid w:val="00780F07"/>
    <w:rsid w:val="0078181E"/>
    <w:rsid w:val="007819B1"/>
    <w:rsid w:val="00781D41"/>
    <w:rsid w:val="0078204B"/>
    <w:rsid w:val="00782561"/>
    <w:rsid w:val="00782D21"/>
    <w:rsid w:val="00782D60"/>
    <w:rsid w:val="00782D78"/>
    <w:rsid w:val="0078333C"/>
    <w:rsid w:val="00783AF5"/>
    <w:rsid w:val="00783C59"/>
    <w:rsid w:val="00784970"/>
    <w:rsid w:val="00785348"/>
    <w:rsid w:val="00785484"/>
    <w:rsid w:val="00785636"/>
    <w:rsid w:val="00785DB1"/>
    <w:rsid w:val="0078621F"/>
    <w:rsid w:val="00786593"/>
    <w:rsid w:val="00786FBD"/>
    <w:rsid w:val="0078726F"/>
    <w:rsid w:val="00790CBC"/>
    <w:rsid w:val="007910B1"/>
    <w:rsid w:val="00791112"/>
    <w:rsid w:val="00791784"/>
    <w:rsid w:val="00791C25"/>
    <w:rsid w:val="00792177"/>
    <w:rsid w:val="007925ED"/>
    <w:rsid w:val="007928A0"/>
    <w:rsid w:val="00792CB2"/>
    <w:rsid w:val="00793297"/>
    <w:rsid w:val="0079385F"/>
    <w:rsid w:val="00793D95"/>
    <w:rsid w:val="00793DCC"/>
    <w:rsid w:val="0079462B"/>
    <w:rsid w:val="00794840"/>
    <w:rsid w:val="0079513E"/>
    <w:rsid w:val="0079544B"/>
    <w:rsid w:val="00795493"/>
    <w:rsid w:val="00797545"/>
    <w:rsid w:val="007A0079"/>
    <w:rsid w:val="007A0B8D"/>
    <w:rsid w:val="007A155D"/>
    <w:rsid w:val="007A16DC"/>
    <w:rsid w:val="007A1B0F"/>
    <w:rsid w:val="007A25C2"/>
    <w:rsid w:val="007A2F2B"/>
    <w:rsid w:val="007A391F"/>
    <w:rsid w:val="007A3965"/>
    <w:rsid w:val="007A3D81"/>
    <w:rsid w:val="007A49C6"/>
    <w:rsid w:val="007A4E75"/>
    <w:rsid w:val="007A4F45"/>
    <w:rsid w:val="007A506C"/>
    <w:rsid w:val="007A5900"/>
    <w:rsid w:val="007A5A8B"/>
    <w:rsid w:val="007A5D93"/>
    <w:rsid w:val="007A6167"/>
    <w:rsid w:val="007A6CEF"/>
    <w:rsid w:val="007A7797"/>
    <w:rsid w:val="007B0B0E"/>
    <w:rsid w:val="007B101A"/>
    <w:rsid w:val="007B11FD"/>
    <w:rsid w:val="007B1646"/>
    <w:rsid w:val="007B199F"/>
    <w:rsid w:val="007B1A1E"/>
    <w:rsid w:val="007B1BC4"/>
    <w:rsid w:val="007B3061"/>
    <w:rsid w:val="007B3EDA"/>
    <w:rsid w:val="007B4E7E"/>
    <w:rsid w:val="007B4EF6"/>
    <w:rsid w:val="007B5206"/>
    <w:rsid w:val="007B5EF8"/>
    <w:rsid w:val="007B6690"/>
    <w:rsid w:val="007B6A98"/>
    <w:rsid w:val="007B6AFA"/>
    <w:rsid w:val="007B6E5D"/>
    <w:rsid w:val="007B6FF1"/>
    <w:rsid w:val="007B7083"/>
    <w:rsid w:val="007B752E"/>
    <w:rsid w:val="007C00EC"/>
    <w:rsid w:val="007C0403"/>
    <w:rsid w:val="007C05F2"/>
    <w:rsid w:val="007C1388"/>
    <w:rsid w:val="007C2642"/>
    <w:rsid w:val="007C274F"/>
    <w:rsid w:val="007C28BD"/>
    <w:rsid w:val="007C29CA"/>
    <w:rsid w:val="007C2B20"/>
    <w:rsid w:val="007C2C80"/>
    <w:rsid w:val="007C328F"/>
    <w:rsid w:val="007C3323"/>
    <w:rsid w:val="007C348E"/>
    <w:rsid w:val="007C3CF8"/>
    <w:rsid w:val="007C4C73"/>
    <w:rsid w:val="007C5CD3"/>
    <w:rsid w:val="007C6CBB"/>
    <w:rsid w:val="007C7205"/>
    <w:rsid w:val="007C778D"/>
    <w:rsid w:val="007D117E"/>
    <w:rsid w:val="007D1954"/>
    <w:rsid w:val="007D1CBF"/>
    <w:rsid w:val="007D1DE4"/>
    <w:rsid w:val="007D2237"/>
    <w:rsid w:val="007D2C0B"/>
    <w:rsid w:val="007D3348"/>
    <w:rsid w:val="007D3897"/>
    <w:rsid w:val="007D3A55"/>
    <w:rsid w:val="007D48EB"/>
    <w:rsid w:val="007D4D60"/>
    <w:rsid w:val="007D5D95"/>
    <w:rsid w:val="007D61D4"/>
    <w:rsid w:val="007D69A1"/>
    <w:rsid w:val="007D70D6"/>
    <w:rsid w:val="007D79D8"/>
    <w:rsid w:val="007D7A4D"/>
    <w:rsid w:val="007D7A9D"/>
    <w:rsid w:val="007D7B91"/>
    <w:rsid w:val="007D7C9B"/>
    <w:rsid w:val="007E0646"/>
    <w:rsid w:val="007E0B85"/>
    <w:rsid w:val="007E1332"/>
    <w:rsid w:val="007E135C"/>
    <w:rsid w:val="007E2CA8"/>
    <w:rsid w:val="007E2F1C"/>
    <w:rsid w:val="007E311D"/>
    <w:rsid w:val="007E31A7"/>
    <w:rsid w:val="007E3286"/>
    <w:rsid w:val="007E3BED"/>
    <w:rsid w:val="007E4210"/>
    <w:rsid w:val="007E4764"/>
    <w:rsid w:val="007E48BB"/>
    <w:rsid w:val="007E4F0A"/>
    <w:rsid w:val="007E508F"/>
    <w:rsid w:val="007E555F"/>
    <w:rsid w:val="007E5880"/>
    <w:rsid w:val="007E5AB5"/>
    <w:rsid w:val="007E5C10"/>
    <w:rsid w:val="007E6211"/>
    <w:rsid w:val="007E682B"/>
    <w:rsid w:val="007E71AE"/>
    <w:rsid w:val="007E72AD"/>
    <w:rsid w:val="007F00C7"/>
    <w:rsid w:val="007F0408"/>
    <w:rsid w:val="007F0451"/>
    <w:rsid w:val="007F0ACF"/>
    <w:rsid w:val="007F203F"/>
    <w:rsid w:val="007F2746"/>
    <w:rsid w:val="007F276C"/>
    <w:rsid w:val="007F27A0"/>
    <w:rsid w:val="007F2B02"/>
    <w:rsid w:val="007F39CA"/>
    <w:rsid w:val="007F41B8"/>
    <w:rsid w:val="007F4D01"/>
    <w:rsid w:val="007F4ECB"/>
    <w:rsid w:val="007F4ED4"/>
    <w:rsid w:val="007F5329"/>
    <w:rsid w:val="007F5A61"/>
    <w:rsid w:val="007F5BC7"/>
    <w:rsid w:val="007F6143"/>
    <w:rsid w:val="007F6784"/>
    <w:rsid w:val="007F69EF"/>
    <w:rsid w:val="007F6E25"/>
    <w:rsid w:val="007F7D78"/>
    <w:rsid w:val="008000B6"/>
    <w:rsid w:val="00801764"/>
    <w:rsid w:val="008017FF"/>
    <w:rsid w:val="00802498"/>
    <w:rsid w:val="008037A7"/>
    <w:rsid w:val="008037DF"/>
    <w:rsid w:val="00803932"/>
    <w:rsid w:val="00803E58"/>
    <w:rsid w:val="008043F1"/>
    <w:rsid w:val="008044A9"/>
    <w:rsid w:val="00804E98"/>
    <w:rsid w:val="008053D2"/>
    <w:rsid w:val="00805BBD"/>
    <w:rsid w:val="00805CF5"/>
    <w:rsid w:val="008065B9"/>
    <w:rsid w:val="00806BC0"/>
    <w:rsid w:val="00806F5A"/>
    <w:rsid w:val="008072A2"/>
    <w:rsid w:val="0080735B"/>
    <w:rsid w:val="00807CFA"/>
    <w:rsid w:val="00807D11"/>
    <w:rsid w:val="0081054B"/>
    <w:rsid w:val="00810F22"/>
    <w:rsid w:val="0081112F"/>
    <w:rsid w:val="0081148A"/>
    <w:rsid w:val="008118E7"/>
    <w:rsid w:val="00812CCB"/>
    <w:rsid w:val="008136CE"/>
    <w:rsid w:val="008136ED"/>
    <w:rsid w:val="00813A28"/>
    <w:rsid w:val="0081511C"/>
    <w:rsid w:val="00816023"/>
    <w:rsid w:val="00816954"/>
    <w:rsid w:val="00817173"/>
    <w:rsid w:val="008172B6"/>
    <w:rsid w:val="0081778A"/>
    <w:rsid w:val="00817B1A"/>
    <w:rsid w:val="00817B55"/>
    <w:rsid w:val="00817BEB"/>
    <w:rsid w:val="00817D97"/>
    <w:rsid w:val="008204C6"/>
    <w:rsid w:val="00821203"/>
    <w:rsid w:val="00822279"/>
    <w:rsid w:val="008227B3"/>
    <w:rsid w:val="00822898"/>
    <w:rsid w:val="00823269"/>
    <w:rsid w:val="008232DE"/>
    <w:rsid w:val="0082362B"/>
    <w:rsid w:val="00824274"/>
    <w:rsid w:val="00825897"/>
    <w:rsid w:val="00825B80"/>
    <w:rsid w:val="008260A4"/>
    <w:rsid w:val="008267E9"/>
    <w:rsid w:val="008268F2"/>
    <w:rsid w:val="00827171"/>
    <w:rsid w:val="00827A76"/>
    <w:rsid w:val="00827CBD"/>
    <w:rsid w:val="00830197"/>
    <w:rsid w:val="008305FC"/>
    <w:rsid w:val="00830B8E"/>
    <w:rsid w:val="00831167"/>
    <w:rsid w:val="00831993"/>
    <w:rsid w:val="008319FE"/>
    <w:rsid w:val="00831AA1"/>
    <w:rsid w:val="00831B1A"/>
    <w:rsid w:val="0083262C"/>
    <w:rsid w:val="0083421E"/>
    <w:rsid w:val="0083432B"/>
    <w:rsid w:val="0083440A"/>
    <w:rsid w:val="008362B1"/>
    <w:rsid w:val="00836448"/>
    <w:rsid w:val="00836DBD"/>
    <w:rsid w:val="008372B2"/>
    <w:rsid w:val="00837B77"/>
    <w:rsid w:val="00840927"/>
    <w:rsid w:val="0084123C"/>
    <w:rsid w:val="00841265"/>
    <w:rsid w:val="008415C1"/>
    <w:rsid w:val="00841A94"/>
    <w:rsid w:val="00841F9A"/>
    <w:rsid w:val="00842153"/>
    <w:rsid w:val="00842541"/>
    <w:rsid w:val="008429DA"/>
    <w:rsid w:val="00842B53"/>
    <w:rsid w:val="00842D69"/>
    <w:rsid w:val="00843816"/>
    <w:rsid w:val="00844343"/>
    <w:rsid w:val="008445F9"/>
    <w:rsid w:val="008446A9"/>
    <w:rsid w:val="00844F9F"/>
    <w:rsid w:val="00845514"/>
    <w:rsid w:val="0084639B"/>
    <w:rsid w:val="0084682F"/>
    <w:rsid w:val="00846A20"/>
    <w:rsid w:val="00846F70"/>
    <w:rsid w:val="008471A5"/>
    <w:rsid w:val="0084734A"/>
    <w:rsid w:val="00847C7F"/>
    <w:rsid w:val="008500E9"/>
    <w:rsid w:val="008502FA"/>
    <w:rsid w:val="0085049A"/>
    <w:rsid w:val="00850636"/>
    <w:rsid w:val="00851422"/>
    <w:rsid w:val="00852460"/>
    <w:rsid w:val="00853BD6"/>
    <w:rsid w:val="00854738"/>
    <w:rsid w:val="00854E92"/>
    <w:rsid w:val="00854FB6"/>
    <w:rsid w:val="0085569E"/>
    <w:rsid w:val="0085643B"/>
    <w:rsid w:val="00856A65"/>
    <w:rsid w:val="00856F0F"/>
    <w:rsid w:val="00860710"/>
    <w:rsid w:val="00860874"/>
    <w:rsid w:val="00861289"/>
    <w:rsid w:val="008615A6"/>
    <w:rsid w:val="00861AB7"/>
    <w:rsid w:val="00861C14"/>
    <w:rsid w:val="00862BFF"/>
    <w:rsid w:val="00862FA2"/>
    <w:rsid w:val="00863CD8"/>
    <w:rsid w:val="008643DB"/>
    <w:rsid w:val="00864429"/>
    <w:rsid w:val="00864990"/>
    <w:rsid w:val="00864D92"/>
    <w:rsid w:val="00865046"/>
    <w:rsid w:val="00865923"/>
    <w:rsid w:val="00865A30"/>
    <w:rsid w:val="00865CB1"/>
    <w:rsid w:val="008663E3"/>
    <w:rsid w:val="008667C3"/>
    <w:rsid w:val="00866965"/>
    <w:rsid w:val="00866D73"/>
    <w:rsid w:val="0086731D"/>
    <w:rsid w:val="0087030A"/>
    <w:rsid w:val="00870723"/>
    <w:rsid w:val="00870B5D"/>
    <w:rsid w:val="00871205"/>
    <w:rsid w:val="00871C0B"/>
    <w:rsid w:val="0087218F"/>
    <w:rsid w:val="0087235C"/>
    <w:rsid w:val="00872B2B"/>
    <w:rsid w:val="00873152"/>
    <w:rsid w:val="008731BE"/>
    <w:rsid w:val="00873A3E"/>
    <w:rsid w:val="0087436C"/>
    <w:rsid w:val="00874548"/>
    <w:rsid w:val="00874916"/>
    <w:rsid w:val="00874FFC"/>
    <w:rsid w:val="0087526A"/>
    <w:rsid w:val="00875905"/>
    <w:rsid w:val="00875A2F"/>
    <w:rsid w:val="00875B5C"/>
    <w:rsid w:val="00876516"/>
    <w:rsid w:val="00876E4D"/>
    <w:rsid w:val="00876FCF"/>
    <w:rsid w:val="00877B06"/>
    <w:rsid w:val="008807FC"/>
    <w:rsid w:val="0088159E"/>
    <w:rsid w:val="00882418"/>
    <w:rsid w:val="008826BA"/>
    <w:rsid w:val="00883348"/>
    <w:rsid w:val="00885168"/>
    <w:rsid w:val="00885BA6"/>
    <w:rsid w:val="00885BBB"/>
    <w:rsid w:val="008863CE"/>
    <w:rsid w:val="00886B09"/>
    <w:rsid w:val="00887062"/>
    <w:rsid w:val="00887557"/>
    <w:rsid w:val="00887A4E"/>
    <w:rsid w:val="00887DA7"/>
    <w:rsid w:val="00887EE5"/>
    <w:rsid w:val="00890351"/>
    <w:rsid w:val="00890AEF"/>
    <w:rsid w:val="00892480"/>
    <w:rsid w:val="00892552"/>
    <w:rsid w:val="0089276A"/>
    <w:rsid w:val="00894123"/>
    <w:rsid w:val="00894658"/>
    <w:rsid w:val="00894BE2"/>
    <w:rsid w:val="00895303"/>
    <w:rsid w:val="0089552D"/>
    <w:rsid w:val="0089560F"/>
    <w:rsid w:val="00895936"/>
    <w:rsid w:val="008965E7"/>
    <w:rsid w:val="0089666A"/>
    <w:rsid w:val="008966CA"/>
    <w:rsid w:val="008966FA"/>
    <w:rsid w:val="00896B9E"/>
    <w:rsid w:val="008971FD"/>
    <w:rsid w:val="0089780A"/>
    <w:rsid w:val="00897DAE"/>
    <w:rsid w:val="00897F70"/>
    <w:rsid w:val="008A0172"/>
    <w:rsid w:val="008A0346"/>
    <w:rsid w:val="008A05A2"/>
    <w:rsid w:val="008A0A35"/>
    <w:rsid w:val="008A0AE4"/>
    <w:rsid w:val="008A1000"/>
    <w:rsid w:val="008A281E"/>
    <w:rsid w:val="008A2B21"/>
    <w:rsid w:val="008A2F2E"/>
    <w:rsid w:val="008A3EE0"/>
    <w:rsid w:val="008A404F"/>
    <w:rsid w:val="008A4119"/>
    <w:rsid w:val="008A49EA"/>
    <w:rsid w:val="008A4D58"/>
    <w:rsid w:val="008A4E4E"/>
    <w:rsid w:val="008A60E0"/>
    <w:rsid w:val="008A6A73"/>
    <w:rsid w:val="008A6C23"/>
    <w:rsid w:val="008A7132"/>
    <w:rsid w:val="008B0792"/>
    <w:rsid w:val="008B0BD0"/>
    <w:rsid w:val="008B29FF"/>
    <w:rsid w:val="008B2A44"/>
    <w:rsid w:val="008B2B51"/>
    <w:rsid w:val="008B3AA2"/>
    <w:rsid w:val="008B3B17"/>
    <w:rsid w:val="008B3BFA"/>
    <w:rsid w:val="008B4173"/>
    <w:rsid w:val="008B43FD"/>
    <w:rsid w:val="008B4992"/>
    <w:rsid w:val="008B4CCF"/>
    <w:rsid w:val="008B4DE8"/>
    <w:rsid w:val="008B5222"/>
    <w:rsid w:val="008B582A"/>
    <w:rsid w:val="008B59BC"/>
    <w:rsid w:val="008B5EFA"/>
    <w:rsid w:val="008B616E"/>
    <w:rsid w:val="008B6291"/>
    <w:rsid w:val="008B62FE"/>
    <w:rsid w:val="008B6920"/>
    <w:rsid w:val="008B6E06"/>
    <w:rsid w:val="008C0158"/>
    <w:rsid w:val="008C0412"/>
    <w:rsid w:val="008C0BCE"/>
    <w:rsid w:val="008C12CC"/>
    <w:rsid w:val="008C1DA7"/>
    <w:rsid w:val="008C22CF"/>
    <w:rsid w:val="008C231F"/>
    <w:rsid w:val="008C26CD"/>
    <w:rsid w:val="008C2C7E"/>
    <w:rsid w:val="008C2ECB"/>
    <w:rsid w:val="008C314E"/>
    <w:rsid w:val="008C332A"/>
    <w:rsid w:val="008C3A3D"/>
    <w:rsid w:val="008C427B"/>
    <w:rsid w:val="008C4848"/>
    <w:rsid w:val="008C5158"/>
    <w:rsid w:val="008C523B"/>
    <w:rsid w:val="008C5F61"/>
    <w:rsid w:val="008C62EC"/>
    <w:rsid w:val="008C64F8"/>
    <w:rsid w:val="008C65AC"/>
    <w:rsid w:val="008C6CF0"/>
    <w:rsid w:val="008C728E"/>
    <w:rsid w:val="008D0C8A"/>
    <w:rsid w:val="008D15DA"/>
    <w:rsid w:val="008D19E3"/>
    <w:rsid w:val="008D1A03"/>
    <w:rsid w:val="008D2530"/>
    <w:rsid w:val="008D2C6E"/>
    <w:rsid w:val="008D3114"/>
    <w:rsid w:val="008D33BB"/>
    <w:rsid w:val="008D3C80"/>
    <w:rsid w:val="008D3FC3"/>
    <w:rsid w:val="008D418C"/>
    <w:rsid w:val="008D4571"/>
    <w:rsid w:val="008D4BCB"/>
    <w:rsid w:val="008D5519"/>
    <w:rsid w:val="008D59C2"/>
    <w:rsid w:val="008D5C6B"/>
    <w:rsid w:val="008D5E89"/>
    <w:rsid w:val="008D6A2B"/>
    <w:rsid w:val="008D6E55"/>
    <w:rsid w:val="008D7212"/>
    <w:rsid w:val="008E0AE6"/>
    <w:rsid w:val="008E0EAF"/>
    <w:rsid w:val="008E110A"/>
    <w:rsid w:val="008E1223"/>
    <w:rsid w:val="008E35DD"/>
    <w:rsid w:val="008E3AF6"/>
    <w:rsid w:val="008E3C11"/>
    <w:rsid w:val="008E4292"/>
    <w:rsid w:val="008E563A"/>
    <w:rsid w:val="008E60AA"/>
    <w:rsid w:val="008E630B"/>
    <w:rsid w:val="008E67E6"/>
    <w:rsid w:val="008E6E01"/>
    <w:rsid w:val="008E7AC1"/>
    <w:rsid w:val="008F1501"/>
    <w:rsid w:val="008F17A3"/>
    <w:rsid w:val="008F1F2E"/>
    <w:rsid w:val="008F1F5E"/>
    <w:rsid w:val="008F2288"/>
    <w:rsid w:val="008F263F"/>
    <w:rsid w:val="008F270D"/>
    <w:rsid w:val="008F287A"/>
    <w:rsid w:val="008F3A2F"/>
    <w:rsid w:val="008F3BA5"/>
    <w:rsid w:val="008F3DCF"/>
    <w:rsid w:val="008F4D4D"/>
    <w:rsid w:val="008F509D"/>
    <w:rsid w:val="008F53B5"/>
    <w:rsid w:val="008F5D9A"/>
    <w:rsid w:val="008F6401"/>
    <w:rsid w:val="008F6DFB"/>
    <w:rsid w:val="008F7615"/>
    <w:rsid w:val="008F7C6A"/>
    <w:rsid w:val="009002AA"/>
    <w:rsid w:val="009009C8"/>
    <w:rsid w:val="009012E2"/>
    <w:rsid w:val="009019EC"/>
    <w:rsid w:val="00901A2C"/>
    <w:rsid w:val="00901B8F"/>
    <w:rsid w:val="0090341E"/>
    <w:rsid w:val="00904533"/>
    <w:rsid w:val="00904542"/>
    <w:rsid w:val="00904929"/>
    <w:rsid w:val="0090554F"/>
    <w:rsid w:val="009056D3"/>
    <w:rsid w:val="00905702"/>
    <w:rsid w:val="00905C02"/>
    <w:rsid w:val="00906740"/>
    <w:rsid w:val="0090681D"/>
    <w:rsid w:val="00906BBD"/>
    <w:rsid w:val="00907123"/>
    <w:rsid w:val="0090785A"/>
    <w:rsid w:val="009079BC"/>
    <w:rsid w:val="00907B79"/>
    <w:rsid w:val="0091009F"/>
    <w:rsid w:val="009103B9"/>
    <w:rsid w:val="009105D5"/>
    <w:rsid w:val="00910A9A"/>
    <w:rsid w:val="00910D6E"/>
    <w:rsid w:val="00911A22"/>
    <w:rsid w:val="00911DC9"/>
    <w:rsid w:val="009120AF"/>
    <w:rsid w:val="00912734"/>
    <w:rsid w:val="00912F43"/>
    <w:rsid w:val="00912FA2"/>
    <w:rsid w:val="009131D7"/>
    <w:rsid w:val="00913279"/>
    <w:rsid w:val="0091389E"/>
    <w:rsid w:val="00913F5D"/>
    <w:rsid w:val="00915CDD"/>
    <w:rsid w:val="00915E86"/>
    <w:rsid w:val="0091613A"/>
    <w:rsid w:val="0091745E"/>
    <w:rsid w:val="00917656"/>
    <w:rsid w:val="00917CEB"/>
    <w:rsid w:val="0092036F"/>
    <w:rsid w:val="009208D4"/>
    <w:rsid w:val="00921657"/>
    <w:rsid w:val="00921A25"/>
    <w:rsid w:val="00921F46"/>
    <w:rsid w:val="00922608"/>
    <w:rsid w:val="00922B65"/>
    <w:rsid w:val="00922B85"/>
    <w:rsid w:val="00922E57"/>
    <w:rsid w:val="009238D1"/>
    <w:rsid w:val="00923B40"/>
    <w:rsid w:val="009240FB"/>
    <w:rsid w:val="00924562"/>
    <w:rsid w:val="00925C63"/>
    <w:rsid w:val="00925C68"/>
    <w:rsid w:val="00925D6F"/>
    <w:rsid w:val="00926912"/>
    <w:rsid w:val="009278C1"/>
    <w:rsid w:val="00930044"/>
    <w:rsid w:val="00930412"/>
    <w:rsid w:val="00930871"/>
    <w:rsid w:val="00931519"/>
    <w:rsid w:val="009319DF"/>
    <w:rsid w:val="00931A89"/>
    <w:rsid w:val="00931E71"/>
    <w:rsid w:val="009331BD"/>
    <w:rsid w:val="00933242"/>
    <w:rsid w:val="0093331F"/>
    <w:rsid w:val="009333DE"/>
    <w:rsid w:val="0093387B"/>
    <w:rsid w:val="00933C28"/>
    <w:rsid w:val="00934DC8"/>
    <w:rsid w:val="00934FDC"/>
    <w:rsid w:val="009352BC"/>
    <w:rsid w:val="00935A2C"/>
    <w:rsid w:val="00935BC4"/>
    <w:rsid w:val="009366B6"/>
    <w:rsid w:val="009369C4"/>
    <w:rsid w:val="00937A97"/>
    <w:rsid w:val="009406DF"/>
    <w:rsid w:val="00940C02"/>
    <w:rsid w:val="00941124"/>
    <w:rsid w:val="009411FC"/>
    <w:rsid w:val="00941990"/>
    <w:rsid w:val="009420EB"/>
    <w:rsid w:val="009433D9"/>
    <w:rsid w:val="0094361D"/>
    <w:rsid w:val="00943668"/>
    <w:rsid w:val="00944805"/>
    <w:rsid w:val="00944A47"/>
    <w:rsid w:val="009458CB"/>
    <w:rsid w:val="009463F2"/>
    <w:rsid w:val="0094656B"/>
    <w:rsid w:val="009467F0"/>
    <w:rsid w:val="00946BEB"/>
    <w:rsid w:val="00946C77"/>
    <w:rsid w:val="00946E98"/>
    <w:rsid w:val="00947E30"/>
    <w:rsid w:val="009500B4"/>
    <w:rsid w:val="00950D82"/>
    <w:rsid w:val="00950D9A"/>
    <w:rsid w:val="00950FF1"/>
    <w:rsid w:val="00951072"/>
    <w:rsid w:val="009513C1"/>
    <w:rsid w:val="00951C92"/>
    <w:rsid w:val="0095247D"/>
    <w:rsid w:val="00953272"/>
    <w:rsid w:val="00953A46"/>
    <w:rsid w:val="00953C40"/>
    <w:rsid w:val="00953D85"/>
    <w:rsid w:val="00954BE9"/>
    <w:rsid w:val="00954D16"/>
    <w:rsid w:val="00954ECC"/>
    <w:rsid w:val="00956C7D"/>
    <w:rsid w:val="00956D4D"/>
    <w:rsid w:val="009571CD"/>
    <w:rsid w:val="00960910"/>
    <w:rsid w:val="009614D0"/>
    <w:rsid w:val="00962128"/>
    <w:rsid w:val="009621B1"/>
    <w:rsid w:val="009628AB"/>
    <w:rsid w:val="00962D3C"/>
    <w:rsid w:val="0096365F"/>
    <w:rsid w:val="00964E02"/>
    <w:rsid w:val="0096676D"/>
    <w:rsid w:val="00966E12"/>
    <w:rsid w:val="00966E6E"/>
    <w:rsid w:val="009673D2"/>
    <w:rsid w:val="00967AC5"/>
    <w:rsid w:val="00967B39"/>
    <w:rsid w:val="00967CE6"/>
    <w:rsid w:val="0097142C"/>
    <w:rsid w:val="00971886"/>
    <w:rsid w:val="00972276"/>
    <w:rsid w:val="009722A8"/>
    <w:rsid w:val="0097231B"/>
    <w:rsid w:val="00972756"/>
    <w:rsid w:val="009730D1"/>
    <w:rsid w:val="00973422"/>
    <w:rsid w:val="009738DD"/>
    <w:rsid w:val="00974AE0"/>
    <w:rsid w:val="00974F7D"/>
    <w:rsid w:val="009755E2"/>
    <w:rsid w:val="00975B7A"/>
    <w:rsid w:val="009760E1"/>
    <w:rsid w:val="00976675"/>
    <w:rsid w:val="0098016E"/>
    <w:rsid w:val="00980332"/>
    <w:rsid w:val="00980A05"/>
    <w:rsid w:val="00980AEE"/>
    <w:rsid w:val="00981598"/>
    <w:rsid w:val="0098173A"/>
    <w:rsid w:val="00981CF0"/>
    <w:rsid w:val="00981D64"/>
    <w:rsid w:val="009820E2"/>
    <w:rsid w:val="00982216"/>
    <w:rsid w:val="00982375"/>
    <w:rsid w:val="009828E2"/>
    <w:rsid w:val="009829A9"/>
    <w:rsid w:val="009836F5"/>
    <w:rsid w:val="00983E69"/>
    <w:rsid w:val="00984226"/>
    <w:rsid w:val="009843CA"/>
    <w:rsid w:val="00984C08"/>
    <w:rsid w:val="00984EED"/>
    <w:rsid w:val="0098596F"/>
    <w:rsid w:val="00985DF7"/>
    <w:rsid w:val="00985F97"/>
    <w:rsid w:val="00986556"/>
    <w:rsid w:val="009869FD"/>
    <w:rsid w:val="00986BA3"/>
    <w:rsid w:val="00986D1B"/>
    <w:rsid w:val="00986DF7"/>
    <w:rsid w:val="009905D6"/>
    <w:rsid w:val="009906CF"/>
    <w:rsid w:val="00990781"/>
    <w:rsid w:val="00991018"/>
    <w:rsid w:val="0099180B"/>
    <w:rsid w:val="00991F9F"/>
    <w:rsid w:val="009923F9"/>
    <w:rsid w:val="0099273B"/>
    <w:rsid w:val="00993747"/>
    <w:rsid w:val="009939BD"/>
    <w:rsid w:val="00993F67"/>
    <w:rsid w:val="009947A2"/>
    <w:rsid w:val="00994C4E"/>
    <w:rsid w:val="00995C7D"/>
    <w:rsid w:val="009968E8"/>
    <w:rsid w:val="00996BD5"/>
    <w:rsid w:val="00996E84"/>
    <w:rsid w:val="00996EB2"/>
    <w:rsid w:val="00997379"/>
    <w:rsid w:val="00997423"/>
    <w:rsid w:val="00997CB8"/>
    <w:rsid w:val="009A00DF"/>
    <w:rsid w:val="009A0141"/>
    <w:rsid w:val="009A045D"/>
    <w:rsid w:val="009A0626"/>
    <w:rsid w:val="009A11E9"/>
    <w:rsid w:val="009A12F9"/>
    <w:rsid w:val="009A1CEF"/>
    <w:rsid w:val="009A1EF7"/>
    <w:rsid w:val="009A34FC"/>
    <w:rsid w:val="009A3A5E"/>
    <w:rsid w:val="009A3F15"/>
    <w:rsid w:val="009A4CE7"/>
    <w:rsid w:val="009A50AF"/>
    <w:rsid w:val="009A512E"/>
    <w:rsid w:val="009A53B2"/>
    <w:rsid w:val="009A5479"/>
    <w:rsid w:val="009A60E0"/>
    <w:rsid w:val="009A627B"/>
    <w:rsid w:val="009A65E4"/>
    <w:rsid w:val="009A65F1"/>
    <w:rsid w:val="009A68C7"/>
    <w:rsid w:val="009A69AD"/>
    <w:rsid w:val="009A6B76"/>
    <w:rsid w:val="009A6FAD"/>
    <w:rsid w:val="009A7191"/>
    <w:rsid w:val="009A7E1E"/>
    <w:rsid w:val="009B0100"/>
    <w:rsid w:val="009B14F3"/>
    <w:rsid w:val="009B1F0B"/>
    <w:rsid w:val="009B2209"/>
    <w:rsid w:val="009B32D7"/>
    <w:rsid w:val="009B3FE8"/>
    <w:rsid w:val="009B4051"/>
    <w:rsid w:val="009B4708"/>
    <w:rsid w:val="009B48EF"/>
    <w:rsid w:val="009B49A4"/>
    <w:rsid w:val="009B5448"/>
    <w:rsid w:val="009B6418"/>
    <w:rsid w:val="009B7243"/>
    <w:rsid w:val="009B7261"/>
    <w:rsid w:val="009B72A3"/>
    <w:rsid w:val="009B766A"/>
    <w:rsid w:val="009B7CBC"/>
    <w:rsid w:val="009C02E8"/>
    <w:rsid w:val="009C1291"/>
    <w:rsid w:val="009C2321"/>
    <w:rsid w:val="009C30ED"/>
    <w:rsid w:val="009C414A"/>
    <w:rsid w:val="009C52A9"/>
    <w:rsid w:val="009C7318"/>
    <w:rsid w:val="009C789D"/>
    <w:rsid w:val="009C7D17"/>
    <w:rsid w:val="009C7E9F"/>
    <w:rsid w:val="009D07ED"/>
    <w:rsid w:val="009D1631"/>
    <w:rsid w:val="009D187E"/>
    <w:rsid w:val="009D1CAC"/>
    <w:rsid w:val="009D227B"/>
    <w:rsid w:val="009D25DA"/>
    <w:rsid w:val="009D2A9A"/>
    <w:rsid w:val="009D2D15"/>
    <w:rsid w:val="009D3116"/>
    <w:rsid w:val="009D3470"/>
    <w:rsid w:val="009D376E"/>
    <w:rsid w:val="009D43CB"/>
    <w:rsid w:val="009D4F6D"/>
    <w:rsid w:val="009D4FA4"/>
    <w:rsid w:val="009D532F"/>
    <w:rsid w:val="009D5433"/>
    <w:rsid w:val="009D57CC"/>
    <w:rsid w:val="009D6231"/>
    <w:rsid w:val="009E00E1"/>
    <w:rsid w:val="009E0251"/>
    <w:rsid w:val="009E0612"/>
    <w:rsid w:val="009E12AB"/>
    <w:rsid w:val="009E1372"/>
    <w:rsid w:val="009E149B"/>
    <w:rsid w:val="009E266E"/>
    <w:rsid w:val="009E307D"/>
    <w:rsid w:val="009E42F8"/>
    <w:rsid w:val="009E45D0"/>
    <w:rsid w:val="009E4713"/>
    <w:rsid w:val="009E4B05"/>
    <w:rsid w:val="009E4F12"/>
    <w:rsid w:val="009E5A9C"/>
    <w:rsid w:val="009E61F3"/>
    <w:rsid w:val="009E6232"/>
    <w:rsid w:val="009E683C"/>
    <w:rsid w:val="009E6D25"/>
    <w:rsid w:val="009E71F8"/>
    <w:rsid w:val="009E72C9"/>
    <w:rsid w:val="009E7898"/>
    <w:rsid w:val="009F02E9"/>
    <w:rsid w:val="009F0823"/>
    <w:rsid w:val="009F35B7"/>
    <w:rsid w:val="009F375A"/>
    <w:rsid w:val="009F477A"/>
    <w:rsid w:val="009F4C11"/>
    <w:rsid w:val="009F51EE"/>
    <w:rsid w:val="009F55C8"/>
    <w:rsid w:val="009F5A29"/>
    <w:rsid w:val="009F5A83"/>
    <w:rsid w:val="009F675E"/>
    <w:rsid w:val="009F6982"/>
    <w:rsid w:val="009F6CEF"/>
    <w:rsid w:val="009F6E54"/>
    <w:rsid w:val="009F7A5C"/>
    <w:rsid w:val="009F7ABD"/>
    <w:rsid w:val="00A00401"/>
    <w:rsid w:val="00A0102D"/>
    <w:rsid w:val="00A01540"/>
    <w:rsid w:val="00A019D6"/>
    <w:rsid w:val="00A01A65"/>
    <w:rsid w:val="00A02BEB"/>
    <w:rsid w:val="00A02EDB"/>
    <w:rsid w:val="00A0351E"/>
    <w:rsid w:val="00A0446B"/>
    <w:rsid w:val="00A044F3"/>
    <w:rsid w:val="00A04BBD"/>
    <w:rsid w:val="00A05670"/>
    <w:rsid w:val="00A05729"/>
    <w:rsid w:val="00A05834"/>
    <w:rsid w:val="00A05891"/>
    <w:rsid w:val="00A05F4B"/>
    <w:rsid w:val="00A060EB"/>
    <w:rsid w:val="00A062A0"/>
    <w:rsid w:val="00A0674A"/>
    <w:rsid w:val="00A069A4"/>
    <w:rsid w:val="00A06DEB"/>
    <w:rsid w:val="00A077CC"/>
    <w:rsid w:val="00A07A41"/>
    <w:rsid w:val="00A07F1B"/>
    <w:rsid w:val="00A103BD"/>
    <w:rsid w:val="00A109CD"/>
    <w:rsid w:val="00A10B02"/>
    <w:rsid w:val="00A118AB"/>
    <w:rsid w:val="00A11992"/>
    <w:rsid w:val="00A11B98"/>
    <w:rsid w:val="00A12181"/>
    <w:rsid w:val="00A14898"/>
    <w:rsid w:val="00A1631E"/>
    <w:rsid w:val="00A169D6"/>
    <w:rsid w:val="00A17614"/>
    <w:rsid w:val="00A176E2"/>
    <w:rsid w:val="00A17A59"/>
    <w:rsid w:val="00A17B63"/>
    <w:rsid w:val="00A17DF9"/>
    <w:rsid w:val="00A17FBF"/>
    <w:rsid w:val="00A20D85"/>
    <w:rsid w:val="00A20E92"/>
    <w:rsid w:val="00A227ED"/>
    <w:rsid w:val="00A22A1D"/>
    <w:rsid w:val="00A22A92"/>
    <w:rsid w:val="00A23723"/>
    <w:rsid w:val="00A238CA"/>
    <w:rsid w:val="00A23C34"/>
    <w:rsid w:val="00A23D49"/>
    <w:rsid w:val="00A24150"/>
    <w:rsid w:val="00A2497A"/>
    <w:rsid w:val="00A24EB1"/>
    <w:rsid w:val="00A25112"/>
    <w:rsid w:val="00A25375"/>
    <w:rsid w:val="00A256CF"/>
    <w:rsid w:val="00A259ED"/>
    <w:rsid w:val="00A25AF7"/>
    <w:rsid w:val="00A263B1"/>
    <w:rsid w:val="00A26BCE"/>
    <w:rsid w:val="00A26CF0"/>
    <w:rsid w:val="00A272B9"/>
    <w:rsid w:val="00A2745C"/>
    <w:rsid w:val="00A27693"/>
    <w:rsid w:val="00A302CA"/>
    <w:rsid w:val="00A30514"/>
    <w:rsid w:val="00A305D5"/>
    <w:rsid w:val="00A30B83"/>
    <w:rsid w:val="00A31F96"/>
    <w:rsid w:val="00A32A41"/>
    <w:rsid w:val="00A3356C"/>
    <w:rsid w:val="00A33830"/>
    <w:rsid w:val="00A33ED7"/>
    <w:rsid w:val="00A33F94"/>
    <w:rsid w:val="00A34134"/>
    <w:rsid w:val="00A341A3"/>
    <w:rsid w:val="00A34BAD"/>
    <w:rsid w:val="00A34C09"/>
    <w:rsid w:val="00A36361"/>
    <w:rsid w:val="00A36A32"/>
    <w:rsid w:val="00A36AA0"/>
    <w:rsid w:val="00A37026"/>
    <w:rsid w:val="00A37574"/>
    <w:rsid w:val="00A37929"/>
    <w:rsid w:val="00A405BD"/>
    <w:rsid w:val="00A40934"/>
    <w:rsid w:val="00A40BF8"/>
    <w:rsid w:val="00A4108D"/>
    <w:rsid w:val="00A411A7"/>
    <w:rsid w:val="00A4169D"/>
    <w:rsid w:val="00A42038"/>
    <w:rsid w:val="00A43241"/>
    <w:rsid w:val="00A4342B"/>
    <w:rsid w:val="00A4375A"/>
    <w:rsid w:val="00A4376E"/>
    <w:rsid w:val="00A43849"/>
    <w:rsid w:val="00A440C7"/>
    <w:rsid w:val="00A449C1"/>
    <w:rsid w:val="00A44D39"/>
    <w:rsid w:val="00A45212"/>
    <w:rsid w:val="00A45426"/>
    <w:rsid w:val="00A460A3"/>
    <w:rsid w:val="00A46313"/>
    <w:rsid w:val="00A46513"/>
    <w:rsid w:val="00A46528"/>
    <w:rsid w:val="00A467F1"/>
    <w:rsid w:val="00A470AA"/>
    <w:rsid w:val="00A50582"/>
    <w:rsid w:val="00A516F3"/>
    <w:rsid w:val="00A52875"/>
    <w:rsid w:val="00A53518"/>
    <w:rsid w:val="00A537FB"/>
    <w:rsid w:val="00A53DDA"/>
    <w:rsid w:val="00A541F2"/>
    <w:rsid w:val="00A54CFB"/>
    <w:rsid w:val="00A57C7B"/>
    <w:rsid w:val="00A57D06"/>
    <w:rsid w:val="00A6055E"/>
    <w:rsid w:val="00A6088E"/>
    <w:rsid w:val="00A61C13"/>
    <w:rsid w:val="00A62312"/>
    <w:rsid w:val="00A6244E"/>
    <w:rsid w:val="00A62665"/>
    <w:rsid w:val="00A634DE"/>
    <w:rsid w:val="00A63680"/>
    <w:rsid w:val="00A63AD2"/>
    <w:rsid w:val="00A63B8F"/>
    <w:rsid w:val="00A64F3B"/>
    <w:rsid w:val="00A64F7A"/>
    <w:rsid w:val="00A650BC"/>
    <w:rsid w:val="00A659FC"/>
    <w:rsid w:val="00A661F0"/>
    <w:rsid w:val="00A66430"/>
    <w:rsid w:val="00A668CE"/>
    <w:rsid w:val="00A6715D"/>
    <w:rsid w:val="00A6754B"/>
    <w:rsid w:val="00A67F69"/>
    <w:rsid w:val="00A71252"/>
    <w:rsid w:val="00A72261"/>
    <w:rsid w:val="00A72303"/>
    <w:rsid w:val="00A72AA6"/>
    <w:rsid w:val="00A7334B"/>
    <w:rsid w:val="00A7365A"/>
    <w:rsid w:val="00A73756"/>
    <w:rsid w:val="00A7393B"/>
    <w:rsid w:val="00A74779"/>
    <w:rsid w:val="00A747CF"/>
    <w:rsid w:val="00A750FC"/>
    <w:rsid w:val="00A752DC"/>
    <w:rsid w:val="00A75D7C"/>
    <w:rsid w:val="00A75EF3"/>
    <w:rsid w:val="00A75FED"/>
    <w:rsid w:val="00A767C0"/>
    <w:rsid w:val="00A769ED"/>
    <w:rsid w:val="00A76B05"/>
    <w:rsid w:val="00A76DEA"/>
    <w:rsid w:val="00A77022"/>
    <w:rsid w:val="00A77872"/>
    <w:rsid w:val="00A810AE"/>
    <w:rsid w:val="00A83BB8"/>
    <w:rsid w:val="00A845CE"/>
    <w:rsid w:val="00A84C9E"/>
    <w:rsid w:val="00A84E8E"/>
    <w:rsid w:val="00A85BCD"/>
    <w:rsid w:val="00A85E9C"/>
    <w:rsid w:val="00A85F21"/>
    <w:rsid w:val="00A8612D"/>
    <w:rsid w:val="00A86432"/>
    <w:rsid w:val="00A8671E"/>
    <w:rsid w:val="00A8681F"/>
    <w:rsid w:val="00A86924"/>
    <w:rsid w:val="00A86AE1"/>
    <w:rsid w:val="00A8750E"/>
    <w:rsid w:val="00A87B8B"/>
    <w:rsid w:val="00A90DCD"/>
    <w:rsid w:val="00A91D80"/>
    <w:rsid w:val="00A91E52"/>
    <w:rsid w:val="00A92143"/>
    <w:rsid w:val="00A937CB"/>
    <w:rsid w:val="00A938D1"/>
    <w:rsid w:val="00A9446C"/>
    <w:rsid w:val="00A94A9C"/>
    <w:rsid w:val="00A94ECF"/>
    <w:rsid w:val="00A95026"/>
    <w:rsid w:val="00A9508D"/>
    <w:rsid w:val="00A952E1"/>
    <w:rsid w:val="00A9573F"/>
    <w:rsid w:val="00A96193"/>
    <w:rsid w:val="00A965E0"/>
    <w:rsid w:val="00A96AB6"/>
    <w:rsid w:val="00A97142"/>
    <w:rsid w:val="00A97B26"/>
    <w:rsid w:val="00AA03B7"/>
    <w:rsid w:val="00AA03EB"/>
    <w:rsid w:val="00AA0A60"/>
    <w:rsid w:val="00AA0FDB"/>
    <w:rsid w:val="00AA192B"/>
    <w:rsid w:val="00AA1F76"/>
    <w:rsid w:val="00AA2234"/>
    <w:rsid w:val="00AA35ED"/>
    <w:rsid w:val="00AA384A"/>
    <w:rsid w:val="00AA39C0"/>
    <w:rsid w:val="00AA3AC4"/>
    <w:rsid w:val="00AA4CDA"/>
    <w:rsid w:val="00AA4E6B"/>
    <w:rsid w:val="00AA5A9F"/>
    <w:rsid w:val="00AA5B9B"/>
    <w:rsid w:val="00AA610F"/>
    <w:rsid w:val="00AA72A1"/>
    <w:rsid w:val="00AB0193"/>
    <w:rsid w:val="00AB17B6"/>
    <w:rsid w:val="00AB1991"/>
    <w:rsid w:val="00AB22A6"/>
    <w:rsid w:val="00AB2326"/>
    <w:rsid w:val="00AB2382"/>
    <w:rsid w:val="00AB24FE"/>
    <w:rsid w:val="00AB2B2A"/>
    <w:rsid w:val="00AB339F"/>
    <w:rsid w:val="00AB367E"/>
    <w:rsid w:val="00AB39AB"/>
    <w:rsid w:val="00AB3ED8"/>
    <w:rsid w:val="00AB4494"/>
    <w:rsid w:val="00AB5328"/>
    <w:rsid w:val="00AB565B"/>
    <w:rsid w:val="00AB5F3B"/>
    <w:rsid w:val="00AB63E7"/>
    <w:rsid w:val="00AB65DC"/>
    <w:rsid w:val="00AB6CB9"/>
    <w:rsid w:val="00AB7270"/>
    <w:rsid w:val="00AB763A"/>
    <w:rsid w:val="00AB774F"/>
    <w:rsid w:val="00AC01AD"/>
    <w:rsid w:val="00AC0459"/>
    <w:rsid w:val="00AC1267"/>
    <w:rsid w:val="00AC2493"/>
    <w:rsid w:val="00AC274E"/>
    <w:rsid w:val="00AC27DB"/>
    <w:rsid w:val="00AC334D"/>
    <w:rsid w:val="00AC37D2"/>
    <w:rsid w:val="00AC47FF"/>
    <w:rsid w:val="00AC4815"/>
    <w:rsid w:val="00AC5040"/>
    <w:rsid w:val="00AC50E6"/>
    <w:rsid w:val="00AC5A63"/>
    <w:rsid w:val="00AC5C8C"/>
    <w:rsid w:val="00AC6248"/>
    <w:rsid w:val="00AC7052"/>
    <w:rsid w:val="00AC7C1F"/>
    <w:rsid w:val="00AC7C58"/>
    <w:rsid w:val="00AC7CA3"/>
    <w:rsid w:val="00AD0121"/>
    <w:rsid w:val="00AD0E34"/>
    <w:rsid w:val="00AD2854"/>
    <w:rsid w:val="00AD2A00"/>
    <w:rsid w:val="00AD328E"/>
    <w:rsid w:val="00AD3507"/>
    <w:rsid w:val="00AD36E1"/>
    <w:rsid w:val="00AD3769"/>
    <w:rsid w:val="00AD3C95"/>
    <w:rsid w:val="00AD431F"/>
    <w:rsid w:val="00AD47E1"/>
    <w:rsid w:val="00AD572B"/>
    <w:rsid w:val="00AD577B"/>
    <w:rsid w:val="00AD5B64"/>
    <w:rsid w:val="00AD600E"/>
    <w:rsid w:val="00AD6B51"/>
    <w:rsid w:val="00AD705A"/>
    <w:rsid w:val="00AD7153"/>
    <w:rsid w:val="00AD735D"/>
    <w:rsid w:val="00AD792F"/>
    <w:rsid w:val="00AD7D38"/>
    <w:rsid w:val="00AD7EFA"/>
    <w:rsid w:val="00AD7FD9"/>
    <w:rsid w:val="00AE0DAB"/>
    <w:rsid w:val="00AE152F"/>
    <w:rsid w:val="00AE1C47"/>
    <w:rsid w:val="00AE1FC3"/>
    <w:rsid w:val="00AE2009"/>
    <w:rsid w:val="00AE28CB"/>
    <w:rsid w:val="00AE3C5B"/>
    <w:rsid w:val="00AE41A0"/>
    <w:rsid w:val="00AE49E6"/>
    <w:rsid w:val="00AE4AC4"/>
    <w:rsid w:val="00AE5341"/>
    <w:rsid w:val="00AE53B6"/>
    <w:rsid w:val="00AE5736"/>
    <w:rsid w:val="00AE643A"/>
    <w:rsid w:val="00AE6764"/>
    <w:rsid w:val="00AE7E7D"/>
    <w:rsid w:val="00AF0361"/>
    <w:rsid w:val="00AF0829"/>
    <w:rsid w:val="00AF16A2"/>
    <w:rsid w:val="00AF1CCB"/>
    <w:rsid w:val="00AF289A"/>
    <w:rsid w:val="00AF2D06"/>
    <w:rsid w:val="00AF2DF1"/>
    <w:rsid w:val="00AF318A"/>
    <w:rsid w:val="00AF3B41"/>
    <w:rsid w:val="00AF48D7"/>
    <w:rsid w:val="00AF4CA5"/>
    <w:rsid w:val="00AF635C"/>
    <w:rsid w:val="00AF64F1"/>
    <w:rsid w:val="00AF6782"/>
    <w:rsid w:val="00AF683E"/>
    <w:rsid w:val="00AF6960"/>
    <w:rsid w:val="00AF6996"/>
    <w:rsid w:val="00AF6C90"/>
    <w:rsid w:val="00AF756D"/>
    <w:rsid w:val="00B001A1"/>
    <w:rsid w:val="00B00EF2"/>
    <w:rsid w:val="00B0138F"/>
    <w:rsid w:val="00B02750"/>
    <w:rsid w:val="00B0426B"/>
    <w:rsid w:val="00B04363"/>
    <w:rsid w:val="00B04795"/>
    <w:rsid w:val="00B04887"/>
    <w:rsid w:val="00B055B7"/>
    <w:rsid w:val="00B0582B"/>
    <w:rsid w:val="00B05A67"/>
    <w:rsid w:val="00B06293"/>
    <w:rsid w:val="00B06871"/>
    <w:rsid w:val="00B078A7"/>
    <w:rsid w:val="00B079CB"/>
    <w:rsid w:val="00B07AFA"/>
    <w:rsid w:val="00B103E2"/>
    <w:rsid w:val="00B10AE9"/>
    <w:rsid w:val="00B10D7E"/>
    <w:rsid w:val="00B111DC"/>
    <w:rsid w:val="00B11245"/>
    <w:rsid w:val="00B11632"/>
    <w:rsid w:val="00B11D25"/>
    <w:rsid w:val="00B120E1"/>
    <w:rsid w:val="00B1226B"/>
    <w:rsid w:val="00B12A5A"/>
    <w:rsid w:val="00B12DE0"/>
    <w:rsid w:val="00B13365"/>
    <w:rsid w:val="00B1354B"/>
    <w:rsid w:val="00B13A12"/>
    <w:rsid w:val="00B14662"/>
    <w:rsid w:val="00B153B0"/>
    <w:rsid w:val="00B155AF"/>
    <w:rsid w:val="00B15F84"/>
    <w:rsid w:val="00B162AE"/>
    <w:rsid w:val="00B16A9B"/>
    <w:rsid w:val="00B171B6"/>
    <w:rsid w:val="00B173C6"/>
    <w:rsid w:val="00B17472"/>
    <w:rsid w:val="00B179FE"/>
    <w:rsid w:val="00B17EFA"/>
    <w:rsid w:val="00B20092"/>
    <w:rsid w:val="00B2022E"/>
    <w:rsid w:val="00B2050E"/>
    <w:rsid w:val="00B206B5"/>
    <w:rsid w:val="00B20789"/>
    <w:rsid w:val="00B207CD"/>
    <w:rsid w:val="00B213AF"/>
    <w:rsid w:val="00B2182B"/>
    <w:rsid w:val="00B2243F"/>
    <w:rsid w:val="00B225C8"/>
    <w:rsid w:val="00B22634"/>
    <w:rsid w:val="00B242A0"/>
    <w:rsid w:val="00B24AC2"/>
    <w:rsid w:val="00B24FE9"/>
    <w:rsid w:val="00B25195"/>
    <w:rsid w:val="00B25308"/>
    <w:rsid w:val="00B25401"/>
    <w:rsid w:val="00B2597A"/>
    <w:rsid w:val="00B26267"/>
    <w:rsid w:val="00B26384"/>
    <w:rsid w:val="00B26774"/>
    <w:rsid w:val="00B26F4F"/>
    <w:rsid w:val="00B27B7E"/>
    <w:rsid w:val="00B30584"/>
    <w:rsid w:val="00B30D48"/>
    <w:rsid w:val="00B3213A"/>
    <w:rsid w:val="00B3278C"/>
    <w:rsid w:val="00B336D2"/>
    <w:rsid w:val="00B34099"/>
    <w:rsid w:val="00B348D3"/>
    <w:rsid w:val="00B34F35"/>
    <w:rsid w:val="00B350DE"/>
    <w:rsid w:val="00B354B9"/>
    <w:rsid w:val="00B355FD"/>
    <w:rsid w:val="00B35851"/>
    <w:rsid w:val="00B364F8"/>
    <w:rsid w:val="00B369BD"/>
    <w:rsid w:val="00B37EC8"/>
    <w:rsid w:val="00B40463"/>
    <w:rsid w:val="00B40468"/>
    <w:rsid w:val="00B40AB5"/>
    <w:rsid w:val="00B4105C"/>
    <w:rsid w:val="00B41A87"/>
    <w:rsid w:val="00B42312"/>
    <w:rsid w:val="00B428E6"/>
    <w:rsid w:val="00B43758"/>
    <w:rsid w:val="00B43B75"/>
    <w:rsid w:val="00B44142"/>
    <w:rsid w:val="00B44CF9"/>
    <w:rsid w:val="00B44FBF"/>
    <w:rsid w:val="00B450F4"/>
    <w:rsid w:val="00B4570F"/>
    <w:rsid w:val="00B468C4"/>
    <w:rsid w:val="00B46E1D"/>
    <w:rsid w:val="00B47080"/>
    <w:rsid w:val="00B47937"/>
    <w:rsid w:val="00B47FDE"/>
    <w:rsid w:val="00B50263"/>
    <w:rsid w:val="00B5078E"/>
    <w:rsid w:val="00B508E1"/>
    <w:rsid w:val="00B50F77"/>
    <w:rsid w:val="00B52C7D"/>
    <w:rsid w:val="00B52E08"/>
    <w:rsid w:val="00B52F84"/>
    <w:rsid w:val="00B555A3"/>
    <w:rsid w:val="00B563A4"/>
    <w:rsid w:val="00B56725"/>
    <w:rsid w:val="00B5673E"/>
    <w:rsid w:val="00B56758"/>
    <w:rsid w:val="00B56C3B"/>
    <w:rsid w:val="00B56D93"/>
    <w:rsid w:val="00B56DC0"/>
    <w:rsid w:val="00B57363"/>
    <w:rsid w:val="00B5789F"/>
    <w:rsid w:val="00B578DB"/>
    <w:rsid w:val="00B6135B"/>
    <w:rsid w:val="00B61576"/>
    <w:rsid w:val="00B61ADD"/>
    <w:rsid w:val="00B61C1C"/>
    <w:rsid w:val="00B64621"/>
    <w:rsid w:val="00B646A2"/>
    <w:rsid w:val="00B64C3A"/>
    <w:rsid w:val="00B64D97"/>
    <w:rsid w:val="00B65158"/>
    <w:rsid w:val="00B65813"/>
    <w:rsid w:val="00B65A0A"/>
    <w:rsid w:val="00B66395"/>
    <w:rsid w:val="00B6671C"/>
    <w:rsid w:val="00B67DD0"/>
    <w:rsid w:val="00B70485"/>
    <w:rsid w:val="00B70A0E"/>
    <w:rsid w:val="00B7140D"/>
    <w:rsid w:val="00B716AE"/>
    <w:rsid w:val="00B71A0F"/>
    <w:rsid w:val="00B71E35"/>
    <w:rsid w:val="00B7231C"/>
    <w:rsid w:val="00B72A80"/>
    <w:rsid w:val="00B72C41"/>
    <w:rsid w:val="00B72E04"/>
    <w:rsid w:val="00B73754"/>
    <w:rsid w:val="00B73BC3"/>
    <w:rsid w:val="00B73FDE"/>
    <w:rsid w:val="00B741C5"/>
    <w:rsid w:val="00B74295"/>
    <w:rsid w:val="00B74351"/>
    <w:rsid w:val="00B743C4"/>
    <w:rsid w:val="00B74D5A"/>
    <w:rsid w:val="00B75738"/>
    <w:rsid w:val="00B75872"/>
    <w:rsid w:val="00B75C1F"/>
    <w:rsid w:val="00B76944"/>
    <w:rsid w:val="00B76CEA"/>
    <w:rsid w:val="00B76E25"/>
    <w:rsid w:val="00B80061"/>
    <w:rsid w:val="00B80763"/>
    <w:rsid w:val="00B80993"/>
    <w:rsid w:val="00B81098"/>
    <w:rsid w:val="00B811AE"/>
    <w:rsid w:val="00B817CB"/>
    <w:rsid w:val="00B8242E"/>
    <w:rsid w:val="00B82F22"/>
    <w:rsid w:val="00B85481"/>
    <w:rsid w:val="00B861DE"/>
    <w:rsid w:val="00B86F97"/>
    <w:rsid w:val="00B871A1"/>
    <w:rsid w:val="00B873E7"/>
    <w:rsid w:val="00B8742B"/>
    <w:rsid w:val="00B87A28"/>
    <w:rsid w:val="00B87CF6"/>
    <w:rsid w:val="00B87E2F"/>
    <w:rsid w:val="00B9018A"/>
    <w:rsid w:val="00B90767"/>
    <w:rsid w:val="00B91738"/>
    <w:rsid w:val="00B9231F"/>
    <w:rsid w:val="00B92B8D"/>
    <w:rsid w:val="00B92D92"/>
    <w:rsid w:val="00B94869"/>
    <w:rsid w:val="00B94E54"/>
    <w:rsid w:val="00B956B8"/>
    <w:rsid w:val="00B9570A"/>
    <w:rsid w:val="00B96613"/>
    <w:rsid w:val="00B96B4F"/>
    <w:rsid w:val="00B97160"/>
    <w:rsid w:val="00B97369"/>
    <w:rsid w:val="00B979C9"/>
    <w:rsid w:val="00B97AB0"/>
    <w:rsid w:val="00BA034B"/>
    <w:rsid w:val="00BA0389"/>
    <w:rsid w:val="00BA107F"/>
    <w:rsid w:val="00BA34BF"/>
    <w:rsid w:val="00BA3F73"/>
    <w:rsid w:val="00BA412F"/>
    <w:rsid w:val="00BA4344"/>
    <w:rsid w:val="00BA43B2"/>
    <w:rsid w:val="00BA582B"/>
    <w:rsid w:val="00BA58FA"/>
    <w:rsid w:val="00BA6447"/>
    <w:rsid w:val="00BA690C"/>
    <w:rsid w:val="00BA7643"/>
    <w:rsid w:val="00BA7890"/>
    <w:rsid w:val="00BA7E96"/>
    <w:rsid w:val="00BB042B"/>
    <w:rsid w:val="00BB056F"/>
    <w:rsid w:val="00BB0D81"/>
    <w:rsid w:val="00BB17BE"/>
    <w:rsid w:val="00BB228B"/>
    <w:rsid w:val="00BB236C"/>
    <w:rsid w:val="00BB29DD"/>
    <w:rsid w:val="00BB3173"/>
    <w:rsid w:val="00BB3FDB"/>
    <w:rsid w:val="00BB4125"/>
    <w:rsid w:val="00BB419C"/>
    <w:rsid w:val="00BB4350"/>
    <w:rsid w:val="00BB448E"/>
    <w:rsid w:val="00BB4A1E"/>
    <w:rsid w:val="00BB4D3A"/>
    <w:rsid w:val="00BB4D62"/>
    <w:rsid w:val="00BB62F3"/>
    <w:rsid w:val="00BB71D4"/>
    <w:rsid w:val="00BB7B3C"/>
    <w:rsid w:val="00BB7EE5"/>
    <w:rsid w:val="00BB7F7D"/>
    <w:rsid w:val="00BC0B25"/>
    <w:rsid w:val="00BC1183"/>
    <w:rsid w:val="00BC132C"/>
    <w:rsid w:val="00BC13E2"/>
    <w:rsid w:val="00BC2B90"/>
    <w:rsid w:val="00BC2CDD"/>
    <w:rsid w:val="00BC2D99"/>
    <w:rsid w:val="00BC3045"/>
    <w:rsid w:val="00BC3415"/>
    <w:rsid w:val="00BC3477"/>
    <w:rsid w:val="00BC35FD"/>
    <w:rsid w:val="00BC3646"/>
    <w:rsid w:val="00BC40EE"/>
    <w:rsid w:val="00BC4542"/>
    <w:rsid w:val="00BC46C1"/>
    <w:rsid w:val="00BC4B3F"/>
    <w:rsid w:val="00BC4C74"/>
    <w:rsid w:val="00BC4F83"/>
    <w:rsid w:val="00BC523A"/>
    <w:rsid w:val="00BC5CB9"/>
    <w:rsid w:val="00BC5F2D"/>
    <w:rsid w:val="00BC6A25"/>
    <w:rsid w:val="00BC7100"/>
    <w:rsid w:val="00BC7420"/>
    <w:rsid w:val="00BC7876"/>
    <w:rsid w:val="00BC7C09"/>
    <w:rsid w:val="00BD1243"/>
    <w:rsid w:val="00BD17D9"/>
    <w:rsid w:val="00BD1F5A"/>
    <w:rsid w:val="00BD1F9E"/>
    <w:rsid w:val="00BD2F89"/>
    <w:rsid w:val="00BD3917"/>
    <w:rsid w:val="00BD48A0"/>
    <w:rsid w:val="00BD4F8F"/>
    <w:rsid w:val="00BD56F8"/>
    <w:rsid w:val="00BD5F64"/>
    <w:rsid w:val="00BD6369"/>
    <w:rsid w:val="00BD7372"/>
    <w:rsid w:val="00BD73F2"/>
    <w:rsid w:val="00BD7650"/>
    <w:rsid w:val="00BD7AE4"/>
    <w:rsid w:val="00BD7C2C"/>
    <w:rsid w:val="00BD7C8D"/>
    <w:rsid w:val="00BE0067"/>
    <w:rsid w:val="00BE00C1"/>
    <w:rsid w:val="00BE05D5"/>
    <w:rsid w:val="00BE1DC7"/>
    <w:rsid w:val="00BE28B1"/>
    <w:rsid w:val="00BE2975"/>
    <w:rsid w:val="00BE3018"/>
    <w:rsid w:val="00BE4096"/>
    <w:rsid w:val="00BE591B"/>
    <w:rsid w:val="00BE5A2D"/>
    <w:rsid w:val="00BE622B"/>
    <w:rsid w:val="00BE66E1"/>
    <w:rsid w:val="00BE6C0E"/>
    <w:rsid w:val="00BE7180"/>
    <w:rsid w:val="00BF0304"/>
    <w:rsid w:val="00BF0FE9"/>
    <w:rsid w:val="00BF125E"/>
    <w:rsid w:val="00BF1AA3"/>
    <w:rsid w:val="00BF1C27"/>
    <w:rsid w:val="00BF2245"/>
    <w:rsid w:val="00BF27B8"/>
    <w:rsid w:val="00BF3236"/>
    <w:rsid w:val="00BF3D31"/>
    <w:rsid w:val="00BF42D2"/>
    <w:rsid w:val="00BF4498"/>
    <w:rsid w:val="00BF4B86"/>
    <w:rsid w:val="00BF50BB"/>
    <w:rsid w:val="00BF5684"/>
    <w:rsid w:val="00BF6039"/>
    <w:rsid w:val="00BF61D9"/>
    <w:rsid w:val="00BF6A72"/>
    <w:rsid w:val="00BF7107"/>
    <w:rsid w:val="00BF770F"/>
    <w:rsid w:val="00BF7E8C"/>
    <w:rsid w:val="00C00119"/>
    <w:rsid w:val="00C01832"/>
    <w:rsid w:val="00C02726"/>
    <w:rsid w:val="00C029C6"/>
    <w:rsid w:val="00C038B4"/>
    <w:rsid w:val="00C04A17"/>
    <w:rsid w:val="00C04B44"/>
    <w:rsid w:val="00C076E6"/>
    <w:rsid w:val="00C07803"/>
    <w:rsid w:val="00C07DAC"/>
    <w:rsid w:val="00C10140"/>
    <w:rsid w:val="00C11375"/>
    <w:rsid w:val="00C11BB7"/>
    <w:rsid w:val="00C11D25"/>
    <w:rsid w:val="00C121C4"/>
    <w:rsid w:val="00C13150"/>
    <w:rsid w:val="00C1327C"/>
    <w:rsid w:val="00C13420"/>
    <w:rsid w:val="00C13854"/>
    <w:rsid w:val="00C13F89"/>
    <w:rsid w:val="00C14470"/>
    <w:rsid w:val="00C149E3"/>
    <w:rsid w:val="00C15912"/>
    <w:rsid w:val="00C15CB7"/>
    <w:rsid w:val="00C165EB"/>
    <w:rsid w:val="00C16DB3"/>
    <w:rsid w:val="00C17848"/>
    <w:rsid w:val="00C201FE"/>
    <w:rsid w:val="00C2059A"/>
    <w:rsid w:val="00C21372"/>
    <w:rsid w:val="00C214EA"/>
    <w:rsid w:val="00C21795"/>
    <w:rsid w:val="00C2189A"/>
    <w:rsid w:val="00C21C61"/>
    <w:rsid w:val="00C2218A"/>
    <w:rsid w:val="00C22301"/>
    <w:rsid w:val="00C22564"/>
    <w:rsid w:val="00C22ED5"/>
    <w:rsid w:val="00C23253"/>
    <w:rsid w:val="00C23279"/>
    <w:rsid w:val="00C2348C"/>
    <w:rsid w:val="00C2416A"/>
    <w:rsid w:val="00C24555"/>
    <w:rsid w:val="00C24E63"/>
    <w:rsid w:val="00C24F2E"/>
    <w:rsid w:val="00C24FE7"/>
    <w:rsid w:val="00C26311"/>
    <w:rsid w:val="00C26A61"/>
    <w:rsid w:val="00C26E72"/>
    <w:rsid w:val="00C27260"/>
    <w:rsid w:val="00C2750D"/>
    <w:rsid w:val="00C2786A"/>
    <w:rsid w:val="00C27B83"/>
    <w:rsid w:val="00C27D7A"/>
    <w:rsid w:val="00C27F91"/>
    <w:rsid w:val="00C30293"/>
    <w:rsid w:val="00C30381"/>
    <w:rsid w:val="00C30A92"/>
    <w:rsid w:val="00C30C48"/>
    <w:rsid w:val="00C310CB"/>
    <w:rsid w:val="00C31125"/>
    <w:rsid w:val="00C3184F"/>
    <w:rsid w:val="00C340E9"/>
    <w:rsid w:val="00C34476"/>
    <w:rsid w:val="00C34B57"/>
    <w:rsid w:val="00C35418"/>
    <w:rsid w:val="00C36A8C"/>
    <w:rsid w:val="00C37010"/>
    <w:rsid w:val="00C379D0"/>
    <w:rsid w:val="00C400F4"/>
    <w:rsid w:val="00C401B1"/>
    <w:rsid w:val="00C40C23"/>
    <w:rsid w:val="00C40C7E"/>
    <w:rsid w:val="00C40D05"/>
    <w:rsid w:val="00C41356"/>
    <w:rsid w:val="00C4172D"/>
    <w:rsid w:val="00C41795"/>
    <w:rsid w:val="00C42D12"/>
    <w:rsid w:val="00C43752"/>
    <w:rsid w:val="00C438B7"/>
    <w:rsid w:val="00C43CBD"/>
    <w:rsid w:val="00C44620"/>
    <w:rsid w:val="00C44BEC"/>
    <w:rsid w:val="00C44C9D"/>
    <w:rsid w:val="00C44E05"/>
    <w:rsid w:val="00C44E07"/>
    <w:rsid w:val="00C45882"/>
    <w:rsid w:val="00C459DD"/>
    <w:rsid w:val="00C45A17"/>
    <w:rsid w:val="00C46B2E"/>
    <w:rsid w:val="00C46EF4"/>
    <w:rsid w:val="00C47177"/>
    <w:rsid w:val="00C47866"/>
    <w:rsid w:val="00C47E27"/>
    <w:rsid w:val="00C5001E"/>
    <w:rsid w:val="00C5104F"/>
    <w:rsid w:val="00C515ED"/>
    <w:rsid w:val="00C516A5"/>
    <w:rsid w:val="00C5176E"/>
    <w:rsid w:val="00C5188C"/>
    <w:rsid w:val="00C5224B"/>
    <w:rsid w:val="00C529CC"/>
    <w:rsid w:val="00C535E4"/>
    <w:rsid w:val="00C536A6"/>
    <w:rsid w:val="00C53A0C"/>
    <w:rsid w:val="00C53C28"/>
    <w:rsid w:val="00C55376"/>
    <w:rsid w:val="00C57CB0"/>
    <w:rsid w:val="00C60F27"/>
    <w:rsid w:val="00C6140A"/>
    <w:rsid w:val="00C6149B"/>
    <w:rsid w:val="00C61E72"/>
    <w:rsid w:val="00C61FC2"/>
    <w:rsid w:val="00C622DF"/>
    <w:rsid w:val="00C62A77"/>
    <w:rsid w:val="00C62AAE"/>
    <w:rsid w:val="00C62F53"/>
    <w:rsid w:val="00C630DA"/>
    <w:rsid w:val="00C63204"/>
    <w:rsid w:val="00C6372C"/>
    <w:rsid w:val="00C63C33"/>
    <w:rsid w:val="00C63DA4"/>
    <w:rsid w:val="00C64273"/>
    <w:rsid w:val="00C646E4"/>
    <w:rsid w:val="00C64884"/>
    <w:rsid w:val="00C6544C"/>
    <w:rsid w:val="00C654C3"/>
    <w:rsid w:val="00C6662F"/>
    <w:rsid w:val="00C67CA8"/>
    <w:rsid w:val="00C700EC"/>
    <w:rsid w:val="00C703DE"/>
    <w:rsid w:val="00C7044A"/>
    <w:rsid w:val="00C70B5E"/>
    <w:rsid w:val="00C70E84"/>
    <w:rsid w:val="00C712C0"/>
    <w:rsid w:val="00C7144C"/>
    <w:rsid w:val="00C71B49"/>
    <w:rsid w:val="00C72473"/>
    <w:rsid w:val="00C72D34"/>
    <w:rsid w:val="00C72E19"/>
    <w:rsid w:val="00C74F2B"/>
    <w:rsid w:val="00C7583A"/>
    <w:rsid w:val="00C75AFC"/>
    <w:rsid w:val="00C75B67"/>
    <w:rsid w:val="00C76076"/>
    <w:rsid w:val="00C7617C"/>
    <w:rsid w:val="00C76CCD"/>
    <w:rsid w:val="00C77692"/>
    <w:rsid w:val="00C7775C"/>
    <w:rsid w:val="00C77852"/>
    <w:rsid w:val="00C801CB"/>
    <w:rsid w:val="00C80418"/>
    <w:rsid w:val="00C80CE3"/>
    <w:rsid w:val="00C81327"/>
    <w:rsid w:val="00C81408"/>
    <w:rsid w:val="00C81B61"/>
    <w:rsid w:val="00C830A6"/>
    <w:rsid w:val="00C83DAE"/>
    <w:rsid w:val="00C842B5"/>
    <w:rsid w:val="00C84593"/>
    <w:rsid w:val="00C845B7"/>
    <w:rsid w:val="00C845F0"/>
    <w:rsid w:val="00C8461D"/>
    <w:rsid w:val="00C848CF"/>
    <w:rsid w:val="00C84D7E"/>
    <w:rsid w:val="00C84E72"/>
    <w:rsid w:val="00C84F5E"/>
    <w:rsid w:val="00C850E3"/>
    <w:rsid w:val="00C853E9"/>
    <w:rsid w:val="00C868E5"/>
    <w:rsid w:val="00C86954"/>
    <w:rsid w:val="00C86D98"/>
    <w:rsid w:val="00C86F1D"/>
    <w:rsid w:val="00C870B9"/>
    <w:rsid w:val="00C90A17"/>
    <w:rsid w:val="00C90A44"/>
    <w:rsid w:val="00C90A73"/>
    <w:rsid w:val="00C90ABD"/>
    <w:rsid w:val="00C90C75"/>
    <w:rsid w:val="00C90DC0"/>
    <w:rsid w:val="00C90E1E"/>
    <w:rsid w:val="00C9104B"/>
    <w:rsid w:val="00C912C8"/>
    <w:rsid w:val="00C917A8"/>
    <w:rsid w:val="00C918A3"/>
    <w:rsid w:val="00C9191F"/>
    <w:rsid w:val="00C92EAF"/>
    <w:rsid w:val="00C94964"/>
    <w:rsid w:val="00C94D0A"/>
    <w:rsid w:val="00C94F9C"/>
    <w:rsid w:val="00C95CF2"/>
    <w:rsid w:val="00C960AE"/>
    <w:rsid w:val="00C9658A"/>
    <w:rsid w:val="00C966BE"/>
    <w:rsid w:val="00C96DBF"/>
    <w:rsid w:val="00C96E73"/>
    <w:rsid w:val="00C9704D"/>
    <w:rsid w:val="00C970ED"/>
    <w:rsid w:val="00C974EB"/>
    <w:rsid w:val="00CA0203"/>
    <w:rsid w:val="00CA09E5"/>
    <w:rsid w:val="00CA1392"/>
    <w:rsid w:val="00CA1A4A"/>
    <w:rsid w:val="00CA1A85"/>
    <w:rsid w:val="00CA332D"/>
    <w:rsid w:val="00CA34A2"/>
    <w:rsid w:val="00CA4AE3"/>
    <w:rsid w:val="00CA4CEB"/>
    <w:rsid w:val="00CA537A"/>
    <w:rsid w:val="00CA5734"/>
    <w:rsid w:val="00CA58D4"/>
    <w:rsid w:val="00CA5BDB"/>
    <w:rsid w:val="00CA5C87"/>
    <w:rsid w:val="00CA635E"/>
    <w:rsid w:val="00CA6894"/>
    <w:rsid w:val="00CA6A56"/>
    <w:rsid w:val="00CA6E94"/>
    <w:rsid w:val="00CA735F"/>
    <w:rsid w:val="00CA7C3F"/>
    <w:rsid w:val="00CA7F2D"/>
    <w:rsid w:val="00CB039B"/>
    <w:rsid w:val="00CB09EB"/>
    <w:rsid w:val="00CB1396"/>
    <w:rsid w:val="00CB1538"/>
    <w:rsid w:val="00CB161E"/>
    <w:rsid w:val="00CB19F7"/>
    <w:rsid w:val="00CB28A6"/>
    <w:rsid w:val="00CB297A"/>
    <w:rsid w:val="00CB30E2"/>
    <w:rsid w:val="00CB3352"/>
    <w:rsid w:val="00CB3ADC"/>
    <w:rsid w:val="00CB3F34"/>
    <w:rsid w:val="00CB4D4A"/>
    <w:rsid w:val="00CB5233"/>
    <w:rsid w:val="00CB52BB"/>
    <w:rsid w:val="00CB5678"/>
    <w:rsid w:val="00CB5CE2"/>
    <w:rsid w:val="00CB6C53"/>
    <w:rsid w:val="00CB6CF6"/>
    <w:rsid w:val="00CB6E4D"/>
    <w:rsid w:val="00CB71BF"/>
    <w:rsid w:val="00CB7E0E"/>
    <w:rsid w:val="00CC03C1"/>
    <w:rsid w:val="00CC102E"/>
    <w:rsid w:val="00CC17E3"/>
    <w:rsid w:val="00CC191B"/>
    <w:rsid w:val="00CC1A36"/>
    <w:rsid w:val="00CC1AB5"/>
    <w:rsid w:val="00CC1C36"/>
    <w:rsid w:val="00CC2593"/>
    <w:rsid w:val="00CC3537"/>
    <w:rsid w:val="00CC3860"/>
    <w:rsid w:val="00CC3CF2"/>
    <w:rsid w:val="00CC41D2"/>
    <w:rsid w:val="00CC4345"/>
    <w:rsid w:val="00CC482C"/>
    <w:rsid w:val="00CC4F3F"/>
    <w:rsid w:val="00CC52AA"/>
    <w:rsid w:val="00CC5525"/>
    <w:rsid w:val="00CC5C0F"/>
    <w:rsid w:val="00CC66E4"/>
    <w:rsid w:val="00CC769C"/>
    <w:rsid w:val="00CD1737"/>
    <w:rsid w:val="00CD1C09"/>
    <w:rsid w:val="00CD1F93"/>
    <w:rsid w:val="00CD216C"/>
    <w:rsid w:val="00CD29F9"/>
    <w:rsid w:val="00CD37CC"/>
    <w:rsid w:val="00CD3A54"/>
    <w:rsid w:val="00CD3AB0"/>
    <w:rsid w:val="00CD3B9D"/>
    <w:rsid w:val="00CD4224"/>
    <w:rsid w:val="00CD4392"/>
    <w:rsid w:val="00CD4605"/>
    <w:rsid w:val="00CD4CB0"/>
    <w:rsid w:val="00CD4DE9"/>
    <w:rsid w:val="00CD4DF2"/>
    <w:rsid w:val="00CD5939"/>
    <w:rsid w:val="00CD5CFD"/>
    <w:rsid w:val="00CD5F63"/>
    <w:rsid w:val="00CD5F6C"/>
    <w:rsid w:val="00CD5FFC"/>
    <w:rsid w:val="00CD6439"/>
    <w:rsid w:val="00CD64FA"/>
    <w:rsid w:val="00CD7DAA"/>
    <w:rsid w:val="00CE039A"/>
    <w:rsid w:val="00CE07DC"/>
    <w:rsid w:val="00CE0B49"/>
    <w:rsid w:val="00CE0B65"/>
    <w:rsid w:val="00CE0BE2"/>
    <w:rsid w:val="00CE0D84"/>
    <w:rsid w:val="00CE1447"/>
    <w:rsid w:val="00CE1B62"/>
    <w:rsid w:val="00CE2428"/>
    <w:rsid w:val="00CE2904"/>
    <w:rsid w:val="00CE2E71"/>
    <w:rsid w:val="00CE30AF"/>
    <w:rsid w:val="00CE3709"/>
    <w:rsid w:val="00CE4167"/>
    <w:rsid w:val="00CE47B8"/>
    <w:rsid w:val="00CE47D6"/>
    <w:rsid w:val="00CE4936"/>
    <w:rsid w:val="00CE4A2E"/>
    <w:rsid w:val="00CE4E5E"/>
    <w:rsid w:val="00CE4E91"/>
    <w:rsid w:val="00CE50F0"/>
    <w:rsid w:val="00CE54A5"/>
    <w:rsid w:val="00CE5E05"/>
    <w:rsid w:val="00CE5E35"/>
    <w:rsid w:val="00CE657B"/>
    <w:rsid w:val="00CE6BE8"/>
    <w:rsid w:val="00CE7136"/>
    <w:rsid w:val="00CE7256"/>
    <w:rsid w:val="00CE73A5"/>
    <w:rsid w:val="00CE7577"/>
    <w:rsid w:val="00CE7ADE"/>
    <w:rsid w:val="00CF0A53"/>
    <w:rsid w:val="00CF1328"/>
    <w:rsid w:val="00CF16B7"/>
    <w:rsid w:val="00CF1A4C"/>
    <w:rsid w:val="00CF1B0F"/>
    <w:rsid w:val="00CF2C67"/>
    <w:rsid w:val="00CF3567"/>
    <w:rsid w:val="00CF3F5E"/>
    <w:rsid w:val="00CF4364"/>
    <w:rsid w:val="00CF4FE5"/>
    <w:rsid w:val="00CF545E"/>
    <w:rsid w:val="00CF5580"/>
    <w:rsid w:val="00CF5917"/>
    <w:rsid w:val="00CF5EBD"/>
    <w:rsid w:val="00CF6328"/>
    <w:rsid w:val="00CF7329"/>
    <w:rsid w:val="00D0009C"/>
    <w:rsid w:val="00D000D3"/>
    <w:rsid w:val="00D00AC6"/>
    <w:rsid w:val="00D00B45"/>
    <w:rsid w:val="00D00B4D"/>
    <w:rsid w:val="00D00D78"/>
    <w:rsid w:val="00D00F40"/>
    <w:rsid w:val="00D00FF7"/>
    <w:rsid w:val="00D01349"/>
    <w:rsid w:val="00D01F31"/>
    <w:rsid w:val="00D02A6B"/>
    <w:rsid w:val="00D02F22"/>
    <w:rsid w:val="00D0317C"/>
    <w:rsid w:val="00D03626"/>
    <w:rsid w:val="00D03AF0"/>
    <w:rsid w:val="00D0450F"/>
    <w:rsid w:val="00D04CE8"/>
    <w:rsid w:val="00D0576B"/>
    <w:rsid w:val="00D059E3"/>
    <w:rsid w:val="00D05EA3"/>
    <w:rsid w:val="00D05F75"/>
    <w:rsid w:val="00D06CB5"/>
    <w:rsid w:val="00D06E26"/>
    <w:rsid w:val="00D1091D"/>
    <w:rsid w:val="00D11A52"/>
    <w:rsid w:val="00D11DDF"/>
    <w:rsid w:val="00D11E4B"/>
    <w:rsid w:val="00D128FB"/>
    <w:rsid w:val="00D13DD5"/>
    <w:rsid w:val="00D13F3A"/>
    <w:rsid w:val="00D1422E"/>
    <w:rsid w:val="00D144FA"/>
    <w:rsid w:val="00D14557"/>
    <w:rsid w:val="00D14A09"/>
    <w:rsid w:val="00D1515F"/>
    <w:rsid w:val="00D15217"/>
    <w:rsid w:val="00D1522F"/>
    <w:rsid w:val="00D15B5E"/>
    <w:rsid w:val="00D15CD5"/>
    <w:rsid w:val="00D167FE"/>
    <w:rsid w:val="00D16A6B"/>
    <w:rsid w:val="00D16B89"/>
    <w:rsid w:val="00D16E29"/>
    <w:rsid w:val="00D170FE"/>
    <w:rsid w:val="00D17B0C"/>
    <w:rsid w:val="00D17D51"/>
    <w:rsid w:val="00D20103"/>
    <w:rsid w:val="00D20173"/>
    <w:rsid w:val="00D206A9"/>
    <w:rsid w:val="00D20780"/>
    <w:rsid w:val="00D20C43"/>
    <w:rsid w:val="00D20EDE"/>
    <w:rsid w:val="00D20F30"/>
    <w:rsid w:val="00D242D3"/>
    <w:rsid w:val="00D24D2D"/>
    <w:rsid w:val="00D25EAF"/>
    <w:rsid w:val="00D26602"/>
    <w:rsid w:val="00D27194"/>
    <w:rsid w:val="00D27CB4"/>
    <w:rsid w:val="00D30084"/>
    <w:rsid w:val="00D30D10"/>
    <w:rsid w:val="00D31669"/>
    <w:rsid w:val="00D32498"/>
    <w:rsid w:val="00D32D06"/>
    <w:rsid w:val="00D32F73"/>
    <w:rsid w:val="00D33E4F"/>
    <w:rsid w:val="00D34456"/>
    <w:rsid w:val="00D34EC9"/>
    <w:rsid w:val="00D34FAF"/>
    <w:rsid w:val="00D37078"/>
    <w:rsid w:val="00D40529"/>
    <w:rsid w:val="00D4131C"/>
    <w:rsid w:val="00D417F5"/>
    <w:rsid w:val="00D4196A"/>
    <w:rsid w:val="00D41E9E"/>
    <w:rsid w:val="00D41FAC"/>
    <w:rsid w:val="00D42033"/>
    <w:rsid w:val="00D42087"/>
    <w:rsid w:val="00D42631"/>
    <w:rsid w:val="00D43612"/>
    <w:rsid w:val="00D43B7D"/>
    <w:rsid w:val="00D43D73"/>
    <w:rsid w:val="00D449BE"/>
    <w:rsid w:val="00D450A5"/>
    <w:rsid w:val="00D454B7"/>
    <w:rsid w:val="00D45676"/>
    <w:rsid w:val="00D45B32"/>
    <w:rsid w:val="00D468B4"/>
    <w:rsid w:val="00D46B78"/>
    <w:rsid w:val="00D47AB4"/>
    <w:rsid w:val="00D47EDA"/>
    <w:rsid w:val="00D50193"/>
    <w:rsid w:val="00D50356"/>
    <w:rsid w:val="00D509A4"/>
    <w:rsid w:val="00D50D41"/>
    <w:rsid w:val="00D517A0"/>
    <w:rsid w:val="00D52242"/>
    <w:rsid w:val="00D53796"/>
    <w:rsid w:val="00D547F0"/>
    <w:rsid w:val="00D565F3"/>
    <w:rsid w:val="00D574C4"/>
    <w:rsid w:val="00D57584"/>
    <w:rsid w:val="00D57636"/>
    <w:rsid w:val="00D57E9A"/>
    <w:rsid w:val="00D60439"/>
    <w:rsid w:val="00D62AC6"/>
    <w:rsid w:val="00D640F0"/>
    <w:rsid w:val="00D653CF"/>
    <w:rsid w:val="00D66198"/>
    <w:rsid w:val="00D66943"/>
    <w:rsid w:val="00D669A3"/>
    <w:rsid w:val="00D66E43"/>
    <w:rsid w:val="00D66E83"/>
    <w:rsid w:val="00D72940"/>
    <w:rsid w:val="00D72BED"/>
    <w:rsid w:val="00D737E1"/>
    <w:rsid w:val="00D740A0"/>
    <w:rsid w:val="00D74D87"/>
    <w:rsid w:val="00D74EA9"/>
    <w:rsid w:val="00D74EBD"/>
    <w:rsid w:val="00D754AE"/>
    <w:rsid w:val="00D7571C"/>
    <w:rsid w:val="00D75960"/>
    <w:rsid w:val="00D75A6D"/>
    <w:rsid w:val="00D75E18"/>
    <w:rsid w:val="00D75F60"/>
    <w:rsid w:val="00D760F8"/>
    <w:rsid w:val="00D77540"/>
    <w:rsid w:val="00D77BE1"/>
    <w:rsid w:val="00D80315"/>
    <w:rsid w:val="00D804DE"/>
    <w:rsid w:val="00D81480"/>
    <w:rsid w:val="00D83213"/>
    <w:rsid w:val="00D84E3D"/>
    <w:rsid w:val="00D852C2"/>
    <w:rsid w:val="00D860EE"/>
    <w:rsid w:val="00D865F0"/>
    <w:rsid w:val="00D86692"/>
    <w:rsid w:val="00D87448"/>
    <w:rsid w:val="00D877E3"/>
    <w:rsid w:val="00D87E4E"/>
    <w:rsid w:val="00D87F60"/>
    <w:rsid w:val="00D87F98"/>
    <w:rsid w:val="00D90979"/>
    <w:rsid w:val="00D90D5B"/>
    <w:rsid w:val="00D91B32"/>
    <w:rsid w:val="00D91B60"/>
    <w:rsid w:val="00D9224F"/>
    <w:rsid w:val="00D9253A"/>
    <w:rsid w:val="00D9268C"/>
    <w:rsid w:val="00D92991"/>
    <w:rsid w:val="00D93150"/>
    <w:rsid w:val="00D93B53"/>
    <w:rsid w:val="00D93CE2"/>
    <w:rsid w:val="00D93D6C"/>
    <w:rsid w:val="00D93FA3"/>
    <w:rsid w:val="00D947C3"/>
    <w:rsid w:val="00D94A93"/>
    <w:rsid w:val="00D95232"/>
    <w:rsid w:val="00D95B29"/>
    <w:rsid w:val="00D963E9"/>
    <w:rsid w:val="00D9688B"/>
    <w:rsid w:val="00DA021F"/>
    <w:rsid w:val="00DA04C1"/>
    <w:rsid w:val="00DA0819"/>
    <w:rsid w:val="00DA0A11"/>
    <w:rsid w:val="00DA0A68"/>
    <w:rsid w:val="00DA1BC6"/>
    <w:rsid w:val="00DA221F"/>
    <w:rsid w:val="00DA24AC"/>
    <w:rsid w:val="00DA271C"/>
    <w:rsid w:val="00DA3024"/>
    <w:rsid w:val="00DA305D"/>
    <w:rsid w:val="00DA392E"/>
    <w:rsid w:val="00DA39A7"/>
    <w:rsid w:val="00DA4143"/>
    <w:rsid w:val="00DA428E"/>
    <w:rsid w:val="00DA4AD1"/>
    <w:rsid w:val="00DA550A"/>
    <w:rsid w:val="00DA592D"/>
    <w:rsid w:val="00DA5EC8"/>
    <w:rsid w:val="00DA704D"/>
    <w:rsid w:val="00DA713C"/>
    <w:rsid w:val="00DA7178"/>
    <w:rsid w:val="00DA7739"/>
    <w:rsid w:val="00DA788E"/>
    <w:rsid w:val="00DB0629"/>
    <w:rsid w:val="00DB08A0"/>
    <w:rsid w:val="00DB0A66"/>
    <w:rsid w:val="00DB0EC7"/>
    <w:rsid w:val="00DB1B10"/>
    <w:rsid w:val="00DB2697"/>
    <w:rsid w:val="00DB2F47"/>
    <w:rsid w:val="00DB3642"/>
    <w:rsid w:val="00DB3F91"/>
    <w:rsid w:val="00DB41BC"/>
    <w:rsid w:val="00DB41DC"/>
    <w:rsid w:val="00DB435F"/>
    <w:rsid w:val="00DB4D39"/>
    <w:rsid w:val="00DB4F5F"/>
    <w:rsid w:val="00DB51F3"/>
    <w:rsid w:val="00DB5480"/>
    <w:rsid w:val="00DB5600"/>
    <w:rsid w:val="00DB65D7"/>
    <w:rsid w:val="00DB68B1"/>
    <w:rsid w:val="00DB6F7E"/>
    <w:rsid w:val="00DB719F"/>
    <w:rsid w:val="00DB77A2"/>
    <w:rsid w:val="00DC0238"/>
    <w:rsid w:val="00DC0FB8"/>
    <w:rsid w:val="00DC1040"/>
    <w:rsid w:val="00DC112B"/>
    <w:rsid w:val="00DC13AE"/>
    <w:rsid w:val="00DC1A64"/>
    <w:rsid w:val="00DC1FCC"/>
    <w:rsid w:val="00DC32E4"/>
    <w:rsid w:val="00DC338C"/>
    <w:rsid w:val="00DC395A"/>
    <w:rsid w:val="00DC4603"/>
    <w:rsid w:val="00DC4B23"/>
    <w:rsid w:val="00DC5D97"/>
    <w:rsid w:val="00DC60FB"/>
    <w:rsid w:val="00DC627C"/>
    <w:rsid w:val="00DC646C"/>
    <w:rsid w:val="00DC6B1D"/>
    <w:rsid w:val="00DC7158"/>
    <w:rsid w:val="00DC7280"/>
    <w:rsid w:val="00DC7664"/>
    <w:rsid w:val="00DC789A"/>
    <w:rsid w:val="00DD0413"/>
    <w:rsid w:val="00DD0743"/>
    <w:rsid w:val="00DD1A51"/>
    <w:rsid w:val="00DD38DE"/>
    <w:rsid w:val="00DD4C5E"/>
    <w:rsid w:val="00DD5299"/>
    <w:rsid w:val="00DD6A29"/>
    <w:rsid w:val="00DD7771"/>
    <w:rsid w:val="00DD7F47"/>
    <w:rsid w:val="00DD7FF6"/>
    <w:rsid w:val="00DE011F"/>
    <w:rsid w:val="00DE082B"/>
    <w:rsid w:val="00DE0B6B"/>
    <w:rsid w:val="00DE0E07"/>
    <w:rsid w:val="00DE11A3"/>
    <w:rsid w:val="00DE1C5A"/>
    <w:rsid w:val="00DE2C17"/>
    <w:rsid w:val="00DE41A6"/>
    <w:rsid w:val="00DE455D"/>
    <w:rsid w:val="00DE4784"/>
    <w:rsid w:val="00DE4F10"/>
    <w:rsid w:val="00DE5487"/>
    <w:rsid w:val="00DE55E9"/>
    <w:rsid w:val="00DE68F6"/>
    <w:rsid w:val="00DE6B98"/>
    <w:rsid w:val="00DE7077"/>
    <w:rsid w:val="00DE7331"/>
    <w:rsid w:val="00DE7410"/>
    <w:rsid w:val="00DF0A27"/>
    <w:rsid w:val="00DF0B83"/>
    <w:rsid w:val="00DF0F00"/>
    <w:rsid w:val="00DF17DA"/>
    <w:rsid w:val="00DF204B"/>
    <w:rsid w:val="00DF22AB"/>
    <w:rsid w:val="00DF2C1A"/>
    <w:rsid w:val="00DF2DB9"/>
    <w:rsid w:val="00DF2E6B"/>
    <w:rsid w:val="00DF305B"/>
    <w:rsid w:val="00DF3EED"/>
    <w:rsid w:val="00DF40E2"/>
    <w:rsid w:val="00DF4212"/>
    <w:rsid w:val="00DF430B"/>
    <w:rsid w:val="00DF47D4"/>
    <w:rsid w:val="00DF4DA5"/>
    <w:rsid w:val="00DF51A5"/>
    <w:rsid w:val="00DF5B8F"/>
    <w:rsid w:val="00DF66C0"/>
    <w:rsid w:val="00DF6809"/>
    <w:rsid w:val="00DF6CD7"/>
    <w:rsid w:val="00DF7442"/>
    <w:rsid w:val="00DF766C"/>
    <w:rsid w:val="00DF7854"/>
    <w:rsid w:val="00DF79BF"/>
    <w:rsid w:val="00E001CB"/>
    <w:rsid w:val="00E00385"/>
    <w:rsid w:val="00E0150A"/>
    <w:rsid w:val="00E01738"/>
    <w:rsid w:val="00E01820"/>
    <w:rsid w:val="00E019C4"/>
    <w:rsid w:val="00E01B88"/>
    <w:rsid w:val="00E01F2D"/>
    <w:rsid w:val="00E02572"/>
    <w:rsid w:val="00E02F90"/>
    <w:rsid w:val="00E03E90"/>
    <w:rsid w:val="00E0436F"/>
    <w:rsid w:val="00E04E2C"/>
    <w:rsid w:val="00E05CB6"/>
    <w:rsid w:val="00E06724"/>
    <w:rsid w:val="00E06A57"/>
    <w:rsid w:val="00E06ACB"/>
    <w:rsid w:val="00E06C7F"/>
    <w:rsid w:val="00E0758C"/>
    <w:rsid w:val="00E076D3"/>
    <w:rsid w:val="00E105EE"/>
    <w:rsid w:val="00E1110E"/>
    <w:rsid w:val="00E11FFA"/>
    <w:rsid w:val="00E12002"/>
    <w:rsid w:val="00E12624"/>
    <w:rsid w:val="00E12B46"/>
    <w:rsid w:val="00E12F36"/>
    <w:rsid w:val="00E134E2"/>
    <w:rsid w:val="00E13687"/>
    <w:rsid w:val="00E13917"/>
    <w:rsid w:val="00E13D9D"/>
    <w:rsid w:val="00E14174"/>
    <w:rsid w:val="00E15581"/>
    <w:rsid w:val="00E16B6C"/>
    <w:rsid w:val="00E177ED"/>
    <w:rsid w:val="00E17E9F"/>
    <w:rsid w:val="00E2102A"/>
    <w:rsid w:val="00E21D2D"/>
    <w:rsid w:val="00E221AD"/>
    <w:rsid w:val="00E22B6B"/>
    <w:rsid w:val="00E2306D"/>
    <w:rsid w:val="00E23B5F"/>
    <w:rsid w:val="00E240F3"/>
    <w:rsid w:val="00E25403"/>
    <w:rsid w:val="00E2557A"/>
    <w:rsid w:val="00E25A61"/>
    <w:rsid w:val="00E25E76"/>
    <w:rsid w:val="00E2653D"/>
    <w:rsid w:val="00E26612"/>
    <w:rsid w:val="00E269CF"/>
    <w:rsid w:val="00E26B06"/>
    <w:rsid w:val="00E26E2F"/>
    <w:rsid w:val="00E270F6"/>
    <w:rsid w:val="00E27780"/>
    <w:rsid w:val="00E300B5"/>
    <w:rsid w:val="00E30F6E"/>
    <w:rsid w:val="00E31395"/>
    <w:rsid w:val="00E3168B"/>
    <w:rsid w:val="00E31CD4"/>
    <w:rsid w:val="00E31CF3"/>
    <w:rsid w:val="00E32C45"/>
    <w:rsid w:val="00E33054"/>
    <w:rsid w:val="00E33488"/>
    <w:rsid w:val="00E34C2F"/>
    <w:rsid w:val="00E34E0C"/>
    <w:rsid w:val="00E352CF"/>
    <w:rsid w:val="00E355F1"/>
    <w:rsid w:val="00E35763"/>
    <w:rsid w:val="00E35FEF"/>
    <w:rsid w:val="00E3628D"/>
    <w:rsid w:val="00E3648C"/>
    <w:rsid w:val="00E366CB"/>
    <w:rsid w:val="00E3768C"/>
    <w:rsid w:val="00E37DC6"/>
    <w:rsid w:val="00E403EE"/>
    <w:rsid w:val="00E4049D"/>
    <w:rsid w:val="00E40528"/>
    <w:rsid w:val="00E409F1"/>
    <w:rsid w:val="00E40FEB"/>
    <w:rsid w:val="00E415EF"/>
    <w:rsid w:val="00E41658"/>
    <w:rsid w:val="00E41A00"/>
    <w:rsid w:val="00E41DAC"/>
    <w:rsid w:val="00E4256D"/>
    <w:rsid w:val="00E44299"/>
    <w:rsid w:val="00E45002"/>
    <w:rsid w:val="00E4516A"/>
    <w:rsid w:val="00E45211"/>
    <w:rsid w:val="00E45643"/>
    <w:rsid w:val="00E457F1"/>
    <w:rsid w:val="00E45AEC"/>
    <w:rsid w:val="00E46743"/>
    <w:rsid w:val="00E468A5"/>
    <w:rsid w:val="00E46CD4"/>
    <w:rsid w:val="00E46DEB"/>
    <w:rsid w:val="00E476C7"/>
    <w:rsid w:val="00E47AD1"/>
    <w:rsid w:val="00E47D56"/>
    <w:rsid w:val="00E47E73"/>
    <w:rsid w:val="00E50846"/>
    <w:rsid w:val="00E50F12"/>
    <w:rsid w:val="00E520B4"/>
    <w:rsid w:val="00E5249A"/>
    <w:rsid w:val="00E53639"/>
    <w:rsid w:val="00E54075"/>
    <w:rsid w:val="00E54214"/>
    <w:rsid w:val="00E54B9B"/>
    <w:rsid w:val="00E5544D"/>
    <w:rsid w:val="00E555E0"/>
    <w:rsid w:val="00E55EDE"/>
    <w:rsid w:val="00E575B1"/>
    <w:rsid w:val="00E575F9"/>
    <w:rsid w:val="00E6049F"/>
    <w:rsid w:val="00E60A55"/>
    <w:rsid w:val="00E61C6D"/>
    <w:rsid w:val="00E61C93"/>
    <w:rsid w:val="00E62693"/>
    <w:rsid w:val="00E62890"/>
    <w:rsid w:val="00E62FEA"/>
    <w:rsid w:val="00E638B4"/>
    <w:rsid w:val="00E638CF"/>
    <w:rsid w:val="00E63A8F"/>
    <w:rsid w:val="00E63D93"/>
    <w:rsid w:val="00E65051"/>
    <w:rsid w:val="00E65C59"/>
    <w:rsid w:val="00E6682B"/>
    <w:rsid w:val="00E70C93"/>
    <w:rsid w:val="00E70F2E"/>
    <w:rsid w:val="00E7108F"/>
    <w:rsid w:val="00E71DE4"/>
    <w:rsid w:val="00E723B2"/>
    <w:rsid w:val="00E72D06"/>
    <w:rsid w:val="00E731FA"/>
    <w:rsid w:val="00E743A6"/>
    <w:rsid w:val="00E7457B"/>
    <w:rsid w:val="00E75C20"/>
    <w:rsid w:val="00E761CC"/>
    <w:rsid w:val="00E77136"/>
    <w:rsid w:val="00E81B03"/>
    <w:rsid w:val="00E81EF5"/>
    <w:rsid w:val="00E81F93"/>
    <w:rsid w:val="00E82340"/>
    <w:rsid w:val="00E8295B"/>
    <w:rsid w:val="00E829B2"/>
    <w:rsid w:val="00E82E7F"/>
    <w:rsid w:val="00E839C7"/>
    <w:rsid w:val="00E83DC9"/>
    <w:rsid w:val="00E83E53"/>
    <w:rsid w:val="00E84356"/>
    <w:rsid w:val="00E84531"/>
    <w:rsid w:val="00E84857"/>
    <w:rsid w:val="00E852D6"/>
    <w:rsid w:val="00E8536C"/>
    <w:rsid w:val="00E85870"/>
    <w:rsid w:val="00E85B99"/>
    <w:rsid w:val="00E85B9A"/>
    <w:rsid w:val="00E86036"/>
    <w:rsid w:val="00E869CB"/>
    <w:rsid w:val="00E879EB"/>
    <w:rsid w:val="00E87AFF"/>
    <w:rsid w:val="00E87B2C"/>
    <w:rsid w:val="00E87C81"/>
    <w:rsid w:val="00E87E1A"/>
    <w:rsid w:val="00E87EBE"/>
    <w:rsid w:val="00E9040D"/>
    <w:rsid w:val="00E90744"/>
    <w:rsid w:val="00E91609"/>
    <w:rsid w:val="00E91884"/>
    <w:rsid w:val="00E919A0"/>
    <w:rsid w:val="00E92DAE"/>
    <w:rsid w:val="00E936E9"/>
    <w:rsid w:val="00E948B5"/>
    <w:rsid w:val="00E949CA"/>
    <w:rsid w:val="00E94EA2"/>
    <w:rsid w:val="00E958EE"/>
    <w:rsid w:val="00E95E5D"/>
    <w:rsid w:val="00E96B59"/>
    <w:rsid w:val="00E96C02"/>
    <w:rsid w:val="00E973D2"/>
    <w:rsid w:val="00EA0C23"/>
    <w:rsid w:val="00EA121D"/>
    <w:rsid w:val="00EA1D28"/>
    <w:rsid w:val="00EA2611"/>
    <w:rsid w:val="00EA2DA6"/>
    <w:rsid w:val="00EA33AB"/>
    <w:rsid w:val="00EA3B7B"/>
    <w:rsid w:val="00EA3DE7"/>
    <w:rsid w:val="00EA4106"/>
    <w:rsid w:val="00EA518C"/>
    <w:rsid w:val="00EA524C"/>
    <w:rsid w:val="00EA5CB1"/>
    <w:rsid w:val="00EA6357"/>
    <w:rsid w:val="00EA64A6"/>
    <w:rsid w:val="00EA753E"/>
    <w:rsid w:val="00EA76C7"/>
    <w:rsid w:val="00EA7AAE"/>
    <w:rsid w:val="00EB0378"/>
    <w:rsid w:val="00EB0490"/>
    <w:rsid w:val="00EB108C"/>
    <w:rsid w:val="00EB1BD0"/>
    <w:rsid w:val="00EB1C28"/>
    <w:rsid w:val="00EB291E"/>
    <w:rsid w:val="00EB3635"/>
    <w:rsid w:val="00EB3ECB"/>
    <w:rsid w:val="00EB4665"/>
    <w:rsid w:val="00EB4690"/>
    <w:rsid w:val="00EB4945"/>
    <w:rsid w:val="00EB5968"/>
    <w:rsid w:val="00EB60E4"/>
    <w:rsid w:val="00EB6A4C"/>
    <w:rsid w:val="00EB6E7B"/>
    <w:rsid w:val="00EB7185"/>
    <w:rsid w:val="00EB7DB9"/>
    <w:rsid w:val="00EC0361"/>
    <w:rsid w:val="00EC083E"/>
    <w:rsid w:val="00EC0CAF"/>
    <w:rsid w:val="00EC0E98"/>
    <w:rsid w:val="00EC1540"/>
    <w:rsid w:val="00EC1F19"/>
    <w:rsid w:val="00EC20A6"/>
    <w:rsid w:val="00EC2488"/>
    <w:rsid w:val="00EC3138"/>
    <w:rsid w:val="00EC3C19"/>
    <w:rsid w:val="00EC3C49"/>
    <w:rsid w:val="00EC44A2"/>
    <w:rsid w:val="00EC4EC7"/>
    <w:rsid w:val="00EC4F22"/>
    <w:rsid w:val="00EC4F6A"/>
    <w:rsid w:val="00EC56A5"/>
    <w:rsid w:val="00EC5880"/>
    <w:rsid w:val="00EC5D5A"/>
    <w:rsid w:val="00EC614E"/>
    <w:rsid w:val="00EC6462"/>
    <w:rsid w:val="00EC7DB3"/>
    <w:rsid w:val="00ED0AB4"/>
    <w:rsid w:val="00ED1C94"/>
    <w:rsid w:val="00ED1F3B"/>
    <w:rsid w:val="00ED20DB"/>
    <w:rsid w:val="00ED2179"/>
    <w:rsid w:val="00ED3335"/>
    <w:rsid w:val="00ED46C1"/>
    <w:rsid w:val="00ED4E80"/>
    <w:rsid w:val="00ED505A"/>
    <w:rsid w:val="00ED53AE"/>
    <w:rsid w:val="00ED5DA1"/>
    <w:rsid w:val="00ED6565"/>
    <w:rsid w:val="00ED7787"/>
    <w:rsid w:val="00ED7DA2"/>
    <w:rsid w:val="00EE0AB8"/>
    <w:rsid w:val="00EE0BD1"/>
    <w:rsid w:val="00EE117D"/>
    <w:rsid w:val="00EE1277"/>
    <w:rsid w:val="00EE14DD"/>
    <w:rsid w:val="00EE160E"/>
    <w:rsid w:val="00EE1FD5"/>
    <w:rsid w:val="00EE33C3"/>
    <w:rsid w:val="00EE3458"/>
    <w:rsid w:val="00EE3BD5"/>
    <w:rsid w:val="00EE422D"/>
    <w:rsid w:val="00EE46A5"/>
    <w:rsid w:val="00EE4DDA"/>
    <w:rsid w:val="00EE570B"/>
    <w:rsid w:val="00EE6999"/>
    <w:rsid w:val="00EE6FD3"/>
    <w:rsid w:val="00EE74AA"/>
    <w:rsid w:val="00EF1A29"/>
    <w:rsid w:val="00EF2D8D"/>
    <w:rsid w:val="00EF3312"/>
    <w:rsid w:val="00EF3668"/>
    <w:rsid w:val="00EF4022"/>
    <w:rsid w:val="00EF48D9"/>
    <w:rsid w:val="00EF55DF"/>
    <w:rsid w:val="00EF5905"/>
    <w:rsid w:val="00EF5C86"/>
    <w:rsid w:val="00EF66B8"/>
    <w:rsid w:val="00EF7099"/>
    <w:rsid w:val="00EF7155"/>
    <w:rsid w:val="00EF7351"/>
    <w:rsid w:val="00EF7470"/>
    <w:rsid w:val="00EF77E9"/>
    <w:rsid w:val="00EF7A58"/>
    <w:rsid w:val="00EF7C19"/>
    <w:rsid w:val="00F002BA"/>
    <w:rsid w:val="00F0071F"/>
    <w:rsid w:val="00F007F5"/>
    <w:rsid w:val="00F00831"/>
    <w:rsid w:val="00F00F87"/>
    <w:rsid w:val="00F00FF0"/>
    <w:rsid w:val="00F01D40"/>
    <w:rsid w:val="00F01E12"/>
    <w:rsid w:val="00F02455"/>
    <w:rsid w:val="00F038EB"/>
    <w:rsid w:val="00F03921"/>
    <w:rsid w:val="00F03EF4"/>
    <w:rsid w:val="00F05CBC"/>
    <w:rsid w:val="00F05D58"/>
    <w:rsid w:val="00F062C3"/>
    <w:rsid w:val="00F066F7"/>
    <w:rsid w:val="00F0675D"/>
    <w:rsid w:val="00F069EF"/>
    <w:rsid w:val="00F06AF4"/>
    <w:rsid w:val="00F073D1"/>
    <w:rsid w:val="00F0742C"/>
    <w:rsid w:val="00F074FB"/>
    <w:rsid w:val="00F11301"/>
    <w:rsid w:val="00F113F1"/>
    <w:rsid w:val="00F11698"/>
    <w:rsid w:val="00F1192A"/>
    <w:rsid w:val="00F11DF4"/>
    <w:rsid w:val="00F11E0C"/>
    <w:rsid w:val="00F12124"/>
    <w:rsid w:val="00F121EC"/>
    <w:rsid w:val="00F12602"/>
    <w:rsid w:val="00F127C3"/>
    <w:rsid w:val="00F12EF5"/>
    <w:rsid w:val="00F13217"/>
    <w:rsid w:val="00F13EE7"/>
    <w:rsid w:val="00F14C6F"/>
    <w:rsid w:val="00F15882"/>
    <w:rsid w:val="00F15A30"/>
    <w:rsid w:val="00F15B10"/>
    <w:rsid w:val="00F15B73"/>
    <w:rsid w:val="00F16123"/>
    <w:rsid w:val="00F1732B"/>
    <w:rsid w:val="00F176E4"/>
    <w:rsid w:val="00F17AA2"/>
    <w:rsid w:val="00F21863"/>
    <w:rsid w:val="00F223EA"/>
    <w:rsid w:val="00F224F4"/>
    <w:rsid w:val="00F23A72"/>
    <w:rsid w:val="00F2417D"/>
    <w:rsid w:val="00F25379"/>
    <w:rsid w:val="00F256E0"/>
    <w:rsid w:val="00F257F5"/>
    <w:rsid w:val="00F25865"/>
    <w:rsid w:val="00F25982"/>
    <w:rsid w:val="00F25C89"/>
    <w:rsid w:val="00F2785B"/>
    <w:rsid w:val="00F27A42"/>
    <w:rsid w:val="00F30B7F"/>
    <w:rsid w:val="00F31E48"/>
    <w:rsid w:val="00F31E75"/>
    <w:rsid w:val="00F3255D"/>
    <w:rsid w:val="00F3256C"/>
    <w:rsid w:val="00F329B3"/>
    <w:rsid w:val="00F32D27"/>
    <w:rsid w:val="00F32D53"/>
    <w:rsid w:val="00F331F4"/>
    <w:rsid w:val="00F33262"/>
    <w:rsid w:val="00F33602"/>
    <w:rsid w:val="00F33F86"/>
    <w:rsid w:val="00F343AA"/>
    <w:rsid w:val="00F34C49"/>
    <w:rsid w:val="00F35047"/>
    <w:rsid w:val="00F3520B"/>
    <w:rsid w:val="00F3556B"/>
    <w:rsid w:val="00F356DB"/>
    <w:rsid w:val="00F35FD9"/>
    <w:rsid w:val="00F362DB"/>
    <w:rsid w:val="00F36994"/>
    <w:rsid w:val="00F3725A"/>
    <w:rsid w:val="00F37391"/>
    <w:rsid w:val="00F373C7"/>
    <w:rsid w:val="00F37678"/>
    <w:rsid w:val="00F37DCF"/>
    <w:rsid w:val="00F42339"/>
    <w:rsid w:val="00F42A79"/>
    <w:rsid w:val="00F43125"/>
    <w:rsid w:val="00F433BE"/>
    <w:rsid w:val="00F43490"/>
    <w:rsid w:val="00F43958"/>
    <w:rsid w:val="00F43AE3"/>
    <w:rsid w:val="00F43B73"/>
    <w:rsid w:val="00F4421F"/>
    <w:rsid w:val="00F442E4"/>
    <w:rsid w:val="00F443C8"/>
    <w:rsid w:val="00F447FD"/>
    <w:rsid w:val="00F4514B"/>
    <w:rsid w:val="00F45DD8"/>
    <w:rsid w:val="00F469EA"/>
    <w:rsid w:val="00F46ABD"/>
    <w:rsid w:val="00F46B23"/>
    <w:rsid w:val="00F46C6D"/>
    <w:rsid w:val="00F46E42"/>
    <w:rsid w:val="00F46F87"/>
    <w:rsid w:val="00F47386"/>
    <w:rsid w:val="00F50166"/>
    <w:rsid w:val="00F504D8"/>
    <w:rsid w:val="00F51257"/>
    <w:rsid w:val="00F51427"/>
    <w:rsid w:val="00F51637"/>
    <w:rsid w:val="00F51EA3"/>
    <w:rsid w:val="00F52068"/>
    <w:rsid w:val="00F53012"/>
    <w:rsid w:val="00F534AD"/>
    <w:rsid w:val="00F53857"/>
    <w:rsid w:val="00F53DE7"/>
    <w:rsid w:val="00F53FCC"/>
    <w:rsid w:val="00F5403F"/>
    <w:rsid w:val="00F54165"/>
    <w:rsid w:val="00F54169"/>
    <w:rsid w:val="00F54972"/>
    <w:rsid w:val="00F55CF1"/>
    <w:rsid w:val="00F5609B"/>
    <w:rsid w:val="00F56F8C"/>
    <w:rsid w:val="00F57511"/>
    <w:rsid w:val="00F60B36"/>
    <w:rsid w:val="00F60E44"/>
    <w:rsid w:val="00F60E8F"/>
    <w:rsid w:val="00F614EB"/>
    <w:rsid w:val="00F62125"/>
    <w:rsid w:val="00F6224E"/>
    <w:rsid w:val="00F62A7F"/>
    <w:rsid w:val="00F634B3"/>
    <w:rsid w:val="00F63842"/>
    <w:rsid w:val="00F64CAC"/>
    <w:rsid w:val="00F6550C"/>
    <w:rsid w:val="00F65A24"/>
    <w:rsid w:val="00F66A4E"/>
    <w:rsid w:val="00F6754C"/>
    <w:rsid w:val="00F67816"/>
    <w:rsid w:val="00F67BC3"/>
    <w:rsid w:val="00F67F0C"/>
    <w:rsid w:val="00F67FA7"/>
    <w:rsid w:val="00F705AB"/>
    <w:rsid w:val="00F707CE"/>
    <w:rsid w:val="00F71462"/>
    <w:rsid w:val="00F71AD5"/>
    <w:rsid w:val="00F720AA"/>
    <w:rsid w:val="00F72333"/>
    <w:rsid w:val="00F7254A"/>
    <w:rsid w:val="00F7296B"/>
    <w:rsid w:val="00F734E2"/>
    <w:rsid w:val="00F73769"/>
    <w:rsid w:val="00F73ABB"/>
    <w:rsid w:val="00F73B2C"/>
    <w:rsid w:val="00F7423F"/>
    <w:rsid w:val="00F74718"/>
    <w:rsid w:val="00F75D92"/>
    <w:rsid w:val="00F76EF3"/>
    <w:rsid w:val="00F7791D"/>
    <w:rsid w:val="00F77A4D"/>
    <w:rsid w:val="00F77E48"/>
    <w:rsid w:val="00F800F1"/>
    <w:rsid w:val="00F80EB0"/>
    <w:rsid w:val="00F81131"/>
    <w:rsid w:val="00F8128F"/>
    <w:rsid w:val="00F81332"/>
    <w:rsid w:val="00F81C13"/>
    <w:rsid w:val="00F81C66"/>
    <w:rsid w:val="00F823D5"/>
    <w:rsid w:val="00F82433"/>
    <w:rsid w:val="00F83393"/>
    <w:rsid w:val="00F83CB3"/>
    <w:rsid w:val="00F83F08"/>
    <w:rsid w:val="00F84220"/>
    <w:rsid w:val="00F844B9"/>
    <w:rsid w:val="00F844D6"/>
    <w:rsid w:val="00F84881"/>
    <w:rsid w:val="00F84987"/>
    <w:rsid w:val="00F84F02"/>
    <w:rsid w:val="00F85221"/>
    <w:rsid w:val="00F852BA"/>
    <w:rsid w:val="00F85897"/>
    <w:rsid w:val="00F85BBE"/>
    <w:rsid w:val="00F8600B"/>
    <w:rsid w:val="00F866BA"/>
    <w:rsid w:val="00F8670E"/>
    <w:rsid w:val="00F87798"/>
    <w:rsid w:val="00F90644"/>
    <w:rsid w:val="00F90C07"/>
    <w:rsid w:val="00F91BF6"/>
    <w:rsid w:val="00F92012"/>
    <w:rsid w:val="00F92336"/>
    <w:rsid w:val="00F92492"/>
    <w:rsid w:val="00F92852"/>
    <w:rsid w:val="00F92F7C"/>
    <w:rsid w:val="00F92F8F"/>
    <w:rsid w:val="00F93982"/>
    <w:rsid w:val="00F93B90"/>
    <w:rsid w:val="00F94818"/>
    <w:rsid w:val="00F95B47"/>
    <w:rsid w:val="00F96915"/>
    <w:rsid w:val="00F96C46"/>
    <w:rsid w:val="00F97727"/>
    <w:rsid w:val="00F97C11"/>
    <w:rsid w:val="00FA0046"/>
    <w:rsid w:val="00FA029A"/>
    <w:rsid w:val="00FA098A"/>
    <w:rsid w:val="00FA0C76"/>
    <w:rsid w:val="00FA121D"/>
    <w:rsid w:val="00FA14B1"/>
    <w:rsid w:val="00FA15E6"/>
    <w:rsid w:val="00FA18C8"/>
    <w:rsid w:val="00FA1903"/>
    <w:rsid w:val="00FA1C96"/>
    <w:rsid w:val="00FA3506"/>
    <w:rsid w:val="00FA384D"/>
    <w:rsid w:val="00FA3D5F"/>
    <w:rsid w:val="00FA4D83"/>
    <w:rsid w:val="00FA4F0B"/>
    <w:rsid w:val="00FA53EE"/>
    <w:rsid w:val="00FA54CF"/>
    <w:rsid w:val="00FA55F8"/>
    <w:rsid w:val="00FA5F4A"/>
    <w:rsid w:val="00FA66BF"/>
    <w:rsid w:val="00FA67B6"/>
    <w:rsid w:val="00FA6DCF"/>
    <w:rsid w:val="00FA76EE"/>
    <w:rsid w:val="00FA7ADF"/>
    <w:rsid w:val="00FA7F42"/>
    <w:rsid w:val="00FB1A51"/>
    <w:rsid w:val="00FB2343"/>
    <w:rsid w:val="00FB2483"/>
    <w:rsid w:val="00FB3506"/>
    <w:rsid w:val="00FB3882"/>
    <w:rsid w:val="00FB44C7"/>
    <w:rsid w:val="00FB4758"/>
    <w:rsid w:val="00FB5034"/>
    <w:rsid w:val="00FB507A"/>
    <w:rsid w:val="00FB61F3"/>
    <w:rsid w:val="00FB65AB"/>
    <w:rsid w:val="00FB67C6"/>
    <w:rsid w:val="00FB6B6A"/>
    <w:rsid w:val="00FB733A"/>
    <w:rsid w:val="00FC100A"/>
    <w:rsid w:val="00FC160B"/>
    <w:rsid w:val="00FC18CE"/>
    <w:rsid w:val="00FC2675"/>
    <w:rsid w:val="00FC2EA5"/>
    <w:rsid w:val="00FC3406"/>
    <w:rsid w:val="00FC3D40"/>
    <w:rsid w:val="00FC3E17"/>
    <w:rsid w:val="00FC4C2C"/>
    <w:rsid w:val="00FC59A9"/>
    <w:rsid w:val="00FC5A47"/>
    <w:rsid w:val="00FC5B2F"/>
    <w:rsid w:val="00FC6045"/>
    <w:rsid w:val="00FC61F4"/>
    <w:rsid w:val="00FC645B"/>
    <w:rsid w:val="00FC6548"/>
    <w:rsid w:val="00FC658F"/>
    <w:rsid w:val="00FC6B7F"/>
    <w:rsid w:val="00FC7829"/>
    <w:rsid w:val="00FC7B5D"/>
    <w:rsid w:val="00FC7D78"/>
    <w:rsid w:val="00FD0405"/>
    <w:rsid w:val="00FD1365"/>
    <w:rsid w:val="00FD196B"/>
    <w:rsid w:val="00FD2F30"/>
    <w:rsid w:val="00FD331D"/>
    <w:rsid w:val="00FD3798"/>
    <w:rsid w:val="00FD39A0"/>
    <w:rsid w:val="00FD3A33"/>
    <w:rsid w:val="00FD3B1E"/>
    <w:rsid w:val="00FD3CBC"/>
    <w:rsid w:val="00FD4100"/>
    <w:rsid w:val="00FD4592"/>
    <w:rsid w:val="00FD4859"/>
    <w:rsid w:val="00FD5529"/>
    <w:rsid w:val="00FD57C9"/>
    <w:rsid w:val="00FD5E00"/>
    <w:rsid w:val="00FD5E56"/>
    <w:rsid w:val="00FD5FA7"/>
    <w:rsid w:val="00FD64CC"/>
    <w:rsid w:val="00FD6F5B"/>
    <w:rsid w:val="00FD7505"/>
    <w:rsid w:val="00FE00AA"/>
    <w:rsid w:val="00FE07E9"/>
    <w:rsid w:val="00FE11FF"/>
    <w:rsid w:val="00FE1938"/>
    <w:rsid w:val="00FE2528"/>
    <w:rsid w:val="00FE258D"/>
    <w:rsid w:val="00FE265D"/>
    <w:rsid w:val="00FE2830"/>
    <w:rsid w:val="00FE2C24"/>
    <w:rsid w:val="00FE2CD6"/>
    <w:rsid w:val="00FE31B6"/>
    <w:rsid w:val="00FE347A"/>
    <w:rsid w:val="00FE3C7D"/>
    <w:rsid w:val="00FE4686"/>
    <w:rsid w:val="00FE4919"/>
    <w:rsid w:val="00FE5986"/>
    <w:rsid w:val="00FE5F04"/>
    <w:rsid w:val="00FE7721"/>
    <w:rsid w:val="00FF0EF8"/>
    <w:rsid w:val="00FF0F3A"/>
    <w:rsid w:val="00FF11A2"/>
    <w:rsid w:val="00FF39D6"/>
    <w:rsid w:val="00FF454D"/>
    <w:rsid w:val="00FF4B98"/>
    <w:rsid w:val="00FF5186"/>
    <w:rsid w:val="00FF5EEB"/>
    <w:rsid w:val="00FF60EC"/>
    <w:rsid w:val="00FF6251"/>
    <w:rsid w:val="00FF64FA"/>
    <w:rsid w:val="00FF690C"/>
    <w:rsid w:val="00FF6EED"/>
    <w:rsid w:val="00FF7A85"/>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5C880"/>
  <w15:docId w15:val="{795F629B-4E35-40DB-A6F0-A2094557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A61"/>
    <w:pPr>
      <w:widowControl w:val="0"/>
    </w:pPr>
    <w:rPr>
      <w:rFonts w:ascii="Arial" w:hAnsi="Arial"/>
      <w:snapToGrid w:val="0"/>
      <w:sz w:val="24"/>
    </w:rPr>
  </w:style>
  <w:style w:type="paragraph" w:styleId="Heading1">
    <w:name w:val="heading 1"/>
    <w:basedOn w:val="Normal"/>
    <w:link w:val="Heading1Char"/>
    <w:uiPriority w:val="9"/>
    <w:qFormat/>
    <w:rsid w:val="0071253D"/>
    <w:pPr>
      <w:widowControl/>
      <w:pBdr>
        <w:top w:val="single" w:sz="24" w:space="1" w:color="auto"/>
        <w:left w:val="single" w:sz="24" w:space="4" w:color="auto"/>
        <w:bottom w:val="single" w:sz="24" w:space="9" w:color="auto"/>
        <w:right w:val="single" w:sz="24" w:space="4" w:color="auto"/>
      </w:pBdr>
      <w:jc w:val="center"/>
      <w:outlineLvl w:val="0"/>
    </w:pPr>
    <w:rPr>
      <w:rFonts w:cs="Arial"/>
      <w:b/>
      <w:bCs/>
      <w:snapToGrid/>
      <w:sz w:val="26"/>
      <w:szCs w:val="28"/>
    </w:rPr>
  </w:style>
  <w:style w:type="paragraph" w:styleId="Heading2">
    <w:name w:val="heading 2"/>
    <w:basedOn w:val="Normal"/>
    <w:link w:val="Heading2Char"/>
    <w:uiPriority w:val="9"/>
    <w:qFormat/>
    <w:rsid w:val="0071253D"/>
    <w:pPr>
      <w:widowControl/>
      <w:jc w:val="center"/>
      <w:outlineLvl w:val="1"/>
    </w:pPr>
    <w:rPr>
      <w:rFonts w:cs="Arial"/>
      <w:b/>
      <w:sz w:val="32"/>
      <w:szCs w:val="32"/>
    </w:rPr>
  </w:style>
  <w:style w:type="paragraph" w:styleId="Heading3">
    <w:name w:val="heading 3"/>
    <w:basedOn w:val="Normal"/>
    <w:next w:val="Normal"/>
    <w:link w:val="Heading3Char"/>
    <w:unhideWhenUsed/>
    <w:qFormat/>
    <w:rsid w:val="0071253D"/>
    <w:pPr>
      <w:keepNext/>
      <w:keepLines/>
      <w:spacing w:before="40"/>
      <w:outlineLvl w:val="2"/>
    </w:pPr>
    <w:rPr>
      <w:rFonts w:eastAsiaTheme="majorEastAsia" w:cs="Arial"/>
      <w:b/>
      <w:szCs w:val="24"/>
    </w:rPr>
  </w:style>
  <w:style w:type="paragraph" w:styleId="Heading4">
    <w:name w:val="heading 4"/>
    <w:basedOn w:val="Normal"/>
    <w:next w:val="Normal"/>
    <w:link w:val="Heading4Char"/>
    <w:uiPriority w:val="9"/>
    <w:qFormat/>
    <w:rsid w:val="00FE258D"/>
    <w:pPr>
      <w:keepNext/>
      <w:tabs>
        <w:tab w:val="right" w:pos="10368"/>
      </w:tabs>
      <w:jc w:val="right"/>
      <w:outlineLvl w:val="3"/>
    </w:pPr>
    <w:rPr>
      <w:b/>
      <w:sz w:val="28"/>
    </w:rPr>
  </w:style>
  <w:style w:type="paragraph" w:styleId="Heading6">
    <w:name w:val="heading 6"/>
    <w:basedOn w:val="Normal"/>
    <w:next w:val="Normal"/>
    <w:link w:val="Heading6Char"/>
    <w:uiPriority w:val="9"/>
    <w:semiHidden/>
    <w:unhideWhenUsed/>
    <w:qFormat/>
    <w:rsid w:val="00BD391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E258D"/>
    <w:rPr>
      <w:b/>
      <w:bCs/>
    </w:rPr>
  </w:style>
  <w:style w:type="paragraph" w:customStyle="1" w:styleId="Default">
    <w:name w:val="Default"/>
    <w:rsid w:val="00863CD8"/>
    <w:pPr>
      <w:autoSpaceDE w:val="0"/>
      <w:autoSpaceDN w:val="0"/>
      <w:adjustRightInd w:val="0"/>
    </w:pPr>
    <w:rPr>
      <w:rFonts w:ascii="ArialMT" w:hAnsi="ArialMT"/>
    </w:rPr>
  </w:style>
  <w:style w:type="paragraph" w:styleId="Header">
    <w:name w:val="header"/>
    <w:basedOn w:val="Normal"/>
    <w:link w:val="HeaderChar"/>
    <w:rsid w:val="00863CD8"/>
    <w:pPr>
      <w:tabs>
        <w:tab w:val="center" w:pos="4320"/>
        <w:tab w:val="right" w:pos="8640"/>
      </w:tabs>
    </w:pPr>
  </w:style>
  <w:style w:type="table" w:styleId="TableGrid">
    <w:name w:val="Table Grid"/>
    <w:basedOn w:val="TableNormal"/>
    <w:uiPriority w:val="39"/>
    <w:rsid w:val="00863C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63CD8"/>
    <w:rPr>
      <w:color w:val="0000FF"/>
      <w:u w:val="single"/>
    </w:rPr>
  </w:style>
  <w:style w:type="paragraph" w:styleId="Footer">
    <w:name w:val="footer"/>
    <w:basedOn w:val="Normal"/>
    <w:link w:val="FooterChar"/>
    <w:uiPriority w:val="99"/>
    <w:rsid w:val="00CA537A"/>
    <w:pPr>
      <w:tabs>
        <w:tab w:val="center" w:pos="4320"/>
        <w:tab w:val="right" w:pos="8640"/>
      </w:tabs>
    </w:pPr>
  </w:style>
  <w:style w:type="character" w:styleId="Emphasis">
    <w:name w:val="Emphasis"/>
    <w:uiPriority w:val="20"/>
    <w:qFormat/>
    <w:rsid w:val="00C31125"/>
    <w:rPr>
      <w:i/>
      <w:iCs/>
    </w:rPr>
  </w:style>
  <w:style w:type="paragraph" w:styleId="PlainText">
    <w:name w:val="Plain Text"/>
    <w:basedOn w:val="Normal"/>
    <w:link w:val="PlainTextChar"/>
    <w:rsid w:val="00861AB7"/>
    <w:pPr>
      <w:widowControl/>
    </w:pPr>
    <w:rPr>
      <w:snapToGrid/>
      <w:sz w:val="21"/>
    </w:rPr>
  </w:style>
  <w:style w:type="character" w:customStyle="1" w:styleId="PlainTextChar">
    <w:name w:val="Plain Text Char"/>
    <w:link w:val="PlainText"/>
    <w:locked/>
    <w:rsid w:val="00861AB7"/>
    <w:rPr>
      <w:rFonts w:ascii="Arial" w:hAnsi="Arial"/>
      <w:sz w:val="21"/>
      <w:lang w:val="en-US" w:eastAsia="en-US" w:bidi="ar-SA"/>
    </w:rPr>
  </w:style>
  <w:style w:type="paragraph" w:styleId="ListParagraph">
    <w:name w:val="List Paragraph"/>
    <w:aliases w:val="Indented Paragraph,list"/>
    <w:basedOn w:val="Normal"/>
    <w:link w:val="ListParagraphChar"/>
    <w:uiPriority w:val="34"/>
    <w:qFormat/>
    <w:rsid w:val="00C830A6"/>
    <w:pPr>
      <w:ind w:left="720"/>
    </w:pPr>
  </w:style>
  <w:style w:type="character" w:customStyle="1" w:styleId="HeaderChar">
    <w:name w:val="Header Char"/>
    <w:link w:val="Header"/>
    <w:rsid w:val="00C21795"/>
    <w:rPr>
      <w:rFonts w:ascii="Arial" w:hAnsi="Arial"/>
      <w:snapToGrid w:val="0"/>
      <w:sz w:val="24"/>
    </w:rPr>
  </w:style>
  <w:style w:type="paragraph" w:styleId="BalloonText">
    <w:name w:val="Balloon Text"/>
    <w:basedOn w:val="Normal"/>
    <w:link w:val="BalloonTextChar"/>
    <w:uiPriority w:val="99"/>
    <w:rsid w:val="000E2861"/>
    <w:rPr>
      <w:rFonts w:ascii="Tahoma" w:hAnsi="Tahoma" w:cs="Tahoma"/>
      <w:sz w:val="16"/>
      <w:szCs w:val="16"/>
    </w:rPr>
  </w:style>
  <w:style w:type="character" w:customStyle="1" w:styleId="BalloonTextChar">
    <w:name w:val="Balloon Text Char"/>
    <w:link w:val="BalloonText"/>
    <w:uiPriority w:val="99"/>
    <w:rsid w:val="000E2861"/>
    <w:rPr>
      <w:rFonts w:ascii="Tahoma" w:hAnsi="Tahoma" w:cs="Tahoma"/>
      <w:snapToGrid w:val="0"/>
      <w:sz w:val="16"/>
      <w:szCs w:val="16"/>
    </w:rPr>
  </w:style>
  <w:style w:type="character" w:styleId="FollowedHyperlink">
    <w:name w:val="FollowedHyperlink"/>
    <w:uiPriority w:val="99"/>
    <w:rsid w:val="00BD17D9"/>
    <w:rPr>
      <w:color w:val="800080"/>
      <w:u w:val="single"/>
    </w:rPr>
  </w:style>
  <w:style w:type="table" w:customStyle="1" w:styleId="TableGrid1">
    <w:name w:val="Table Grid1"/>
    <w:basedOn w:val="TableNormal"/>
    <w:next w:val="TableGrid"/>
    <w:uiPriority w:val="59"/>
    <w:rsid w:val="003A5E4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80332"/>
    <w:rPr>
      <w:sz w:val="20"/>
    </w:rPr>
  </w:style>
  <w:style w:type="character" w:customStyle="1" w:styleId="FootnoteTextChar">
    <w:name w:val="Footnote Text Char"/>
    <w:link w:val="FootnoteText"/>
    <w:rsid w:val="00980332"/>
    <w:rPr>
      <w:rFonts w:ascii="Arial" w:hAnsi="Arial"/>
      <w:snapToGrid w:val="0"/>
    </w:rPr>
  </w:style>
  <w:style w:type="character" w:styleId="FootnoteReference">
    <w:name w:val="footnote reference"/>
    <w:rsid w:val="00980332"/>
    <w:rPr>
      <w:vertAlign w:val="superscript"/>
    </w:rPr>
  </w:style>
  <w:style w:type="paragraph" w:styleId="Revision">
    <w:name w:val="Revision"/>
    <w:hidden/>
    <w:uiPriority w:val="99"/>
    <w:semiHidden/>
    <w:rsid w:val="00367FEB"/>
    <w:rPr>
      <w:rFonts w:ascii="Arial" w:hAnsi="Arial"/>
      <w:snapToGrid w:val="0"/>
      <w:sz w:val="24"/>
    </w:rPr>
  </w:style>
  <w:style w:type="character" w:styleId="CommentReference">
    <w:name w:val="annotation reference"/>
    <w:basedOn w:val="DefaultParagraphFont"/>
    <w:uiPriority w:val="99"/>
    <w:rsid w:val="00F94818"/>
    <w:rPr>
      <w:sz w:val="16"/>
      <w:szCs w:val="16"/>
    </w:rPr>
  </w:style>
  <w:style w:type="paragraph" w:styleId="CommentText">
    <w:name w:val="annotation text"/>
    <w:basedOn w:val="Normal"/>
    <w:link w:val="CommentTextChar"/>
    <w:uiPriority w:val="99"/>
    <w:rsid w:val="00F94818"/>
    <w:rPr>
      <w:sz w:val="20"/>
    </w:rPr>
  </w:style>
  <w:style w:type="character" w:customStyle="1" w:styleId="CommentTextChar">
    <w:name w:val="Comment Text Char"/>
    <w:basedOn w:val="DefaultParagraphFont"/>
    <w:link w:val="CommentText"/>
    <w:uiPriority w:val="99"/>
    <w:rsid w:val="00F94818"/>
    <w:rPr>
      <w:rFonts w:ascii="Arial" w:hAnsi="Arial"/>
      <w:snapToGrid w:val="0"/>
    </w:rPr>
  </w:style>
  <w:style w:type="paragraph" w:styleId="CommentSubject">
    <w:name w:val="annotation subject"/>
    <w:basedOn w:val="CommentText"/>
    <w:next w:val="CommentText"/>
    <w:link w:val="CommentSubjectChar"/>
    <w:uiPriority w:val="99"/>
    <w:rsid w:val="00F94818"/>
    <w:rPr>
      <w:b/>
      <w:bCs/>
    </w:rPr>
  </w:style>
  <w:style w:type="character" w:customStyle="1" w:styleId="CommentSubjectChar">
    <w:name w:val="Comment Subject Char"/>
    <w:basedOn w:val="CommentTextChar"/>
    <w:link w:val="CommentSubject"/>
    <w:uiPriority w:val="99"/>
    <w:rsid w:val="00F94818"/>
    <w:rPr>
      <w:rFonts w:ascii="Arial" w:hAnsi="Arial"/>
      <w:b/>
      <w:bCs/>
      <w:snapToGrid w:val="0"/>
    </w:rPr>
  </w:style>
  <w:style w:type="table" w:customStyle="1" w:styleId="TableGrid2">
    <w:name w:val="Table Grid2"/>
    <w:basedOn w:val="TableNormal"/>
    <w:next w:val="TableGrid"/>
    <w:uiPriority w:val="59"/>
    <w:rsid w:val="00527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E16CB"/>
    <w:rPr>
      <w:rFonts w:ascii="Arial" w:hAnsi="Arial"/>
      <w:snapToGrid w:val="0"/>
      <w:sz w:val="24"/>
    </w:rPr>
  </w:style>
  <w:style w:type="paragraph" w:styleId="NormalWeb">
    <w:name w:val="Normal (Web)"/>
    <w:basedOn w:val="Normal"/>
    <w:uiPriority w:val="99"/>
    <w:unhideWhenUsed/>
    <w:rsid w:val="00CA4CEB"/>
    <w:pPr>
      <w:widowControl/>
    </w:pPr>
    <w:rPr>
      <w:rFonts w:ascii="Times New Roman" w:eastAsia="Calibri" w:hAnsi="Times New Roman"/>
      <w:snapToGrid/>
      <w:szCs w:val="24"/>
    </w:rPr>
  </w:style>
  <w:style w:type="character" w:customStyle="1" w:styleId="Heading1Char">
    <w:name w:val="Heading 1 Char"/>
    <w:basedOn w:val="DefaultParagraphFont"/>
    <w:link w:val="Heading1"/>
    <w:uiPriority w:val="9"/>
    <w:rsid w:val="0071253D"/>
    <w:rPr>
      <w:rFonts w:ascii="Arial" w:hAnsi="Arial" w:cs="Arial"/>
      <w:b/>
      <w:bCs/>
      <w:sz w:val="26"/>
      <w:szCs w:val="28"/>
    </w:rPr>
  </w:style>
  <w:style w:type="character" w:customStyle="1" w:styleId="Heading2Char">
    <w:name w:val="Heading 2 Char"/>
    <w:basedOn w:val="DefaultParagraphFont"/>
    <w:link w:val="Heading2"/>
    <w:uiPriority w:val="9"/>
    <w:rsid w:val="0071253D"/>
    <w:rPr>
      <w:rFonts w:ascii="Arial" w:hAnsi="Arial" w:cs="Arial"/>
      <w:b/>
      <w:snapToGrid w:val="0"/>
      <w:sz w:val="32"/>
      <w:szCs w:val="32"/>
    </w:rPr>
  </w:style>
  <w:style w:type="character" w:customStyle="1" w:styleId="Heading6Char">
    <w:name w:val="Heading 6 Char"/>
    <w:basedOn w:val="DefaultParagraphFont"/>
    <w:link w:val="Heading6"/>
    <w:uiPriority w:val="9"/>
    <w:semiHidden/>
    <w:rsid w:val="00BD3917"/>
    <w:rPr>
      <w:rFonts w:asciiTheme="majorHAnsi" w:eastAsiaTheme="majorEastAsia" w:hAnsiTheme="majorHAnsi" w:cstheme="majorBidi"/>
      <w:snapToGrid w:val="0"/>
      <w:color w:val="243F60" w:themeColor="accent1" w:themeShade="7F"/>
      <w:sz w:val="24"/>
    </w:rPr>
  </w:style>
  <w:style w:type="paragraph" w:customStyle="1" w:styleId="Normal1">
    <w:name w:val="Normal1"/>
    <w:basedOn w:val="Normal"/>
    <w:rsid w:val="00BD3917"/>
    <w:pPr>
      <w:widowControl/>
    </w:pPr>
    <w:rPr>
      <w:rFonts w:cs="Arial"/>
      <w:snapToGrid/>
      <w:szCs w:val="24"/>
    </w:rPr>
  </w:style>
  <w:style w:type="character" w:customStyle="1" w:styleId="normalchar1">
    <w:name w:val="normal__char1"/>
    <w:rsid w:val="00BD3917"/>
    <w:rPr>
      <w:rFonts w:ascii="Arial" w:hAnsi="Arial" w:cs="Arial" w:hint="default"/>
      <w:strike w:val="0"/>
      <w:dstrike w:val="0"/>
      <w:sz w:val="24"/>
      <w:szCs w:val="24"/>
      <w:u w:val="none"/>
      <w:effect w:val="none"/>
    </w:rPr>
  </w:style>
  <w:style w:type="paragraph" w:customStyle="1" w:styleId="Normal11">
    <w:name w:val="Normal11"/>
    <w:basedOn w:val="Normal"/>
    <w:rsid w:val="00BD3917"/>
    <w:pPr>
      <w:widowControl/>
    </w:pPr>
    <w:rPr>
      <w:rFonts w:cs="Arial"/>
      <w:snapToGrid/>
      <w:szCs w:val="24"/>
    </w:rPr>
  </w:style>
  <w:style w:type="paragraph" w:customStyle="1" w:styleId="Body">
    <w:name w:val="Body"/>
    <w:rsid w:val="00BD391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MediumGrid1-Accent21">
    <w:name w:val="Medium Grid 1 - Accent 21"/>
    <w:basedOn w:val="Normal"/>
    <w:uiPriority w:val="34"/>
    <w:qFormat/>
    <w:rsid w:val="00BD3917"/>
    <w:pPr>
      <w:widowControl/>
      <w:ind w:left="720"/>
      <w:contextualSpacing/>
    </w:pPr>
    <w:rPr>
      <w:rFonts w:ascii="Calibri" w:eastAsia="Calibri" w:hAnsi="Calibri"/>
      <w:snapToGrid/>
      <w:sz w:val="22"/>
      <w:szCs w:val="22"/>
    </w:rPr>
  </w:style>
  <w:style w:type="character" w:customStyle="1" w:styleId="ListParagraphChar">
    <w:name w:val="List Paragraph Char"/>
    <w:aliases w:val="Indented Paragraph Char,list Char"/>
    <w:link w:val="ListParagraph"/>
    <w:uiPriority w:val="34"/>
    <w:rsid w:val="00BD3917"/>
    <w:rPr>
      <w:rFonts w:ascii="Arial" w:hAnsi="Arial"/>
      <w:snapToGrid w:val="0"/>
      <w:sz w:val="24"/>
    </w:rPr>
  </w:style>
  <w:style w:type="character" w:customStyle="1" w:styleId="A5">
    <w:name w:val="A5"/>
    <w:uiPriority w:val="99"/>
    <w:rsid w:val="00BD3917"/>
    <w:rPr>
      <w:i/>
      <w:iCs/>
      <w:color w:val="221E1F"/>
    </w:rPr>
  </w:style>
  <w:style w:type="character" w:customStyle="1" w:styleId="Heading4Char">
    <w:name w:val="Heading 4 Char"/>
    <w:basedOn w:val="DefaultParagraphFont"/>
    <w:link w:val="Heading4"/>
    <w:uiPriority w:val="9"/>
    <w:rsid w:val="00BD3917"/>
    <w:rPr>
      <w:rFonts w:ascii="Arial" w:hAnsi="Arial"/>
      <w:b/>
      <w:snapToGrid w:val="0"/>
      <w:sz w:val="28"/>
    </w:rPr>
  </w:style>
  <w:style w:type="character" w:customStyle="1" w:styleId="indent1">
    <w:name w:val="indent1"/>
    <w:basedOn w:val="DefaultParagraphFont"/>
    <w:rsid w:val="00BD3917"/>
    <w:rPr>
      <w:vanish w:val="0"/>
      <w:webHidden w:val="0"/>
      <w:specVanish w:val="0"/>
    </w:rPr>
  </w:style>
  <w:style w:type="paragraph" w:customStyle="1" w:styleId="CoverTitle">
    <w:name w:val="Cover Title"/>
    <w:qFormat/>
    <w:rsid w:val="00BD3917"/>
    <w:pPr>
      <w:widowControl w:val="0"/>
      <w:suppressAutoHyphens/>
      <w:autoSpaceDE w:val="0"/>
      <w:autoSpaceDN w:val="0"/>
      <w:adjustRightInd w:val="0"/>
      <w:spacing w:before="1080" w:after="480"/>
      <w:ind w:left="2160"/>
      <w:textAlignment w:val="center"/>
    </w:pPr>
    <w:rPr>
      <w:rFonts w:ascii="Century Gothic" w:hAnsi="Century Gothic"/>
      <w:color w:val="00467F"/>
      <w:spacing w:val="-8"/>
      <w:sz w:val="60"/>
      <w:szCs w:val="24"/>
    </w:rPr>
  </w:style>
  <w:style w:type="character" w:customStyle="1" w:styleId="Heading3Char">
    <w:name w:val="Heading 3 Char"/>
    <w:basedOn w:val="DefaultParagraphFont"/>
    <w:link w:val="Heading3"/>
    <w:rsid w:val="0071253D"/>
    <w:rPr>
      <w:rFonts w:ascii="Arial" w:eastAsiaTheme="majorEastAsia" w:hAnsi="Arial" w:cs="Arial"/>
      <w:b/>
      <w:snapToGrid w:val="0"/>
      <w:sz w:val="24"/>
      <w:szCs w:val="24"/>
    </w:rPr>
  </w:style>
  <w:style w:type="paragraph" w:customStyle="1" w:styleId="Numbered1">
    <w:name w:val="Numbered1"/>
    <w:rsid w:val="001C4B2F"/>
    <w:pPr>
      <w:numPr>
        <w:numId w:val="28"/>
      </w:numPr>
      <w:spacing w:after="240"/>
    </w:pPr>
    <w:rPr>
      <w:rFonts w:ascii="Arial" w:hAnsi="Arial" w:cs="Calibri"/>
      <w:sz w:val="24"/>
      <w:szCs w:val="24"/>
    </w:rPr>
  </w:style>
  <w:style w:type="character" w:customStyle="1" w:styleId="st1">
    <w:name w:val="st1"/>
    <w:basedOn w:val="DefaultParagraphFont"/>
    <w:rsid w:val="00DE4F10"/>
  </w:style>
  <w:style w:type="character" w:customStyle="1" w:styleId="watch-title">
    <w:name w:val="watch-title"/>
    <w:basedOn w:val="DefaultParagraphFont"/>
    <w:rsid w:val="002C29DF"/>
    <w:rPr>
      <w:sz w:val="24"/>
      <w:szCs w:val="24"/>
      <w:bdr w:val="none" w:sz="0" w:space="0" w:color="auto" w:frame="1"/>
      <w:shd w:val="clear" w:color="auto" w:fill="auto"/>
    </w:rPr>
  </w:style>
  <w:style w:type="paragraph" w:styleId="EndnoteText">
    <w:name w:val="endnote text"/>
    <w:basedOn w:val="Normal"/>
    <w:link w:val="EndnoteTextChar"/>
    <w:semiHidden/>
    <w:unhideWhenUsed/>
    <w:rsid w:val="00E31395"/>
    <w:rPr>
      <w:sz w:val="20"/>
    </w:rPr>
  </w:style>
  <w:style w:type="character" w:customStyle="1" w:styleId="EndnoteTextChar">
    <w:name w:val="Endnote Text Char"/>
    <w:basedOn w:val="DefaultParagraphFont"/>
    <w:link w:val="EndnoteText"/>
    <w:semiHidden/>
    <w:rsid w:val="00E31395"/>
    <w:rPr>
      <w:rFonts w:ascii="Arial" w:hAnsi="Arial"/>
      <w:snapToGrid w:val="0"/>
    </w:rPr>
  </w:style>
  <w:style w:type="character" w:styleId="EndnoteReference">
    <w:name w:val="endnote reference"/>
    <w:basedOn w:val="DefaultParagraphFont"/>
    <w:semiHidden/>
    <w:unhideWhenUsed/>
    <w:rsid w:val="00E31395"/>
    <w:rPr>
      <w:vertAlign w:val="superscript"/>
    </w:rPr>
  </w:style>
  <w:style w:type="paragraph" w:styleId="TOCHeading">
    <w:name w:val="TOC Heading"/>
    <w:basedOn w:val="Heading1"/>
    <w:next w:val="Normal"/>
    <w:uiPriority w:val="39"/>
    <w:unhideWhenUsed/>
    <w:qFormat/>
    <w:rsid w:val="00737CB3"/>
    <w:pPr>
      <w:keepNext/>
      <w:keepLines/>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37CB3"/>
    <w:pPr>
      <w:spacing w:after="100"/>
    </w:pPr>
  </w:style>
  <w:style w:type="paragraph" w:styleId="TOC2">
    <w:name w:val="toc 2"/>
    <w:basedOn w:val="Normal"/>
    <w:next w:val="Normal"/>
    <w:autoRedefine/>
    <w:uiPriority w:val="39"/>
    <w:unhideWhenUsed/>
    <w:rsid w:val="00737CB3"/>
    <w:pPr>
      <w:spacing w:after="100"/>
      <w:ind w:left="240"/>
    </w:pPr>
  </w:style>
  <w:style w:type="paragraph" w:styleId="TOC3">
    <w:name w:val="toc 3"/>
    <w:basedOn w:val="Normal"/>
    <w:next w:val="Normal"/>
    <w:autoRedefine/>
    <w:uiPriority w:val="39"/>
    <w:unhideWhenUsed/>
    <w:rsid w:val="00737CB3"/>
    <w:pPr>
      <w:spacing w:after="100"/>
      <w:ind w:left="480"/>
    </w:pPr>
  </w:style>
  <w:style w:type="character" w:styleId="UnresolvedMention">
    <w:name w:val="Unresolved Mention"/>
    <w:basedOn w:val="DefaultParagraphFont"/>
    <w:uiPriority w:val="99"/>
    <w:semiHidden/>
    <w:unhideWhenUsed/>
    <w:rsid w:val="0096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617">
      <w:bodyDiv w:val="1"/>
      <w:marLeft w:val="0"/>
      <w:marRight w:val="0"/>
      <w:marTop w:val="0"/>
      <w:marBottom w:val="0"/>
      <w:divBdr>
        <w:top w:val="none" w:sz="0" w:space="0" w:color="auto"/>
        <w:left w:val="none" w:sz="0" w:space="0" w:color="auto"/>
        <w:bottom w:val="none" w:sz="0" w:space="0" w:color="auto"/>
        <w:right w:val="none" w:sz="0" w:space="0" w:color="auto"/>
      </w:divBdr>
      <w:divsChild>
        <w:div w:id="964624584">
          <w:marLeft w:val="825"/>
          <w:marRight w:val="825"/>
          <w:marTop w:val="285"/>
          <w:marBottom w:val="0"/>
          <w:divBdr>
            <w:top w:val="none" w:sz="0" w:space="0" w:color="auto"/>
            <w:left w:val="none" w:sz="0" w:space="0" w:color="auto"/>
            <w:bottom w:val="none" w:sz="0" w:space="0" w:color="auto"/>
            <w:right w:val="none" w:sz="0" w:space="0" w:color="auto"/>
          </w:divBdr>
        </w:div>
      </w:divsChild>
    </w:div>
    <w:div w:id="156265045">
      <w:bodyDiv w:val="1"/>
      <w:marLeft w:val="0"/>
      <w:marRight w:val="0"/>
      <w:marTop w:val="0"/>
      <w:marBottom w:val="0"/>
      <w:divBdr>
        <w:top w:val="none" w:sz="0" w:space="0" w:color="auto"/>
        <w:left w:val="none" w:sz="0" w:space="0" w:color="auto"/>
        <w:bottom w:val="none" w:sz="0" w:space="0" w:color="auto"/>
        <w:right w:val="none" w:sz="0" w:space="0" w:color="auto"/>
      </w:divBdr>
    </w:div>
    <w:div w:id="168453275">
      <w:bodyDiv w:val="1"/>
      <w:marLeft w:val="0"/>
      <w:marRight w:val="0"/>
      <w:marTop w:val="0"/>
      <w:marBottom w:val="0"/>
      <w:divBdr>
        <w:top w:val="none" w:sz="0" w:space="0" w:color="auto"/>
        <w:left w:val="none" w:sz="0" w:space="0" w:color="auto"/>
        <w:bottom w:val="none" w:sz="0" w:space="0" w:color="auto"/>
        <w:right w:val="none" w:sz="0" w:space="0" w:color="auto"/>
      </w:divBdr>
      <w:divsChild>
        <w:div w:id="767044628">
          <w:marLeft w:val="825"/>
          <w:marRight w:val="825"/>
          <w:marTop w:val="285"/>
          <w:marBottom w:val="0"/>
          <w:divBdr>
            <w:top w:val="none" w:sz="0" w:space="0" w:color="auto"/>
            <w:left w:val="none" w:sz="0" w:space="0" w:color="auto"/>
            <w:bottom w:val="none" w:sz="0" w:space="0" w:color="auto"/>
            <w:right w:val="none" w:sz="0" w:space="0" w:color="auto"/>
          </w:divBdr>
        </w:div>
      </w:divsChild>
    </w:div>
    <w:div w:id="174922566">
      <w:bodyDiv w:val="1"/>
      <w:marLeft w:val="0"/>
      <w:marRight w:val="0"/>
      <w:marTop w:val="0"/>
      <w:marBottom w:val="0"/>
      <w:divBdr>
        <w:top w:val="none" w:sz="0" w:space="0" w:color="auto"/>
        <w:left w:val="none" w:sz="0" w:space="0" w:color="auto"/>
        <w:bottom w:val="none" w:sz="0" w:space="0" w:color="auto"/>
        <w:right w:val="none" w:sz="0" w:space="0" w:color="auto"/>
      </w:divBdr>
      <w:divsChild>
        <w:div w:id="1984695270">
          <w:marLeft w:val="825"/>
          <w:marRight w:val="825"/>
          <w:marTop w:val="285"/>
          <w:marBottom w:val="0"/>
          <w:divBdr>
            <w:top w:val="none" w:sz="0" w:space="0" w:color="auto"/>
            <w:left w:val="none" w:sz="0" w:space="0" w:color="auto"/>
            <w:bottom w:val="none" w:sz="0" w:space="0" w:color="auto"/>
            <w:right w:val="none" w:sz="0" w:space="0" w:color="auto"/>
          </w:divBdr>
        </w:div>
      </w:divsChild>
    </w:div>
    <w:div w:id="212935200">
      <w:bodyDiv w:val="1"/>
      <w:marLeft w:val="0"/>
      <w:marRight w:val="0"/>
      <w:marTop w:val="0"/>
      <w:marBottom w:val="0"/>
      <w:divBdr>
        <w:top w:val="none" w:sz="0" w:space="0" w:color="auto"/>
        <w:left w:val="none" w:sz="0" w:space="0" w:color="auto"/>
        <w:bottom w:val="none" w:sz="0" w:space="0" w:color="auto"/>
        <w:right w:val="none" w:sz="0" w:space="0" w:color="auto"/>
      </w:divBdr>
      <w:divsChild>
        <w:div w:id="2029063763">
          <w:marLeft w:val="0"/>
          <w:marRight w:val="0"/>
          <w:marTop w:val="0"/>
          <w:marBottom w:val="0"/>
          <w:divBdr>
            <w:top w:val="none" w:sz="0" w:space="0" w:color="auto"/>
            <w:left w:val="none" w:sz="0" w:space="0" w:color="auto"/>
            <w:bottom w:val="none" w:sz="0" w:space="0" w:color="auto"/>
            <w:right w:val="none" w:sz="0" w:space="0" w:color="auto"/>
          </w:divBdr>
          <w:divsChild>
            <w:div w:id="1430467464">
              <w:marLeft w:val="0"/>
              <w:marRight w:val="0"/>
              <w:marTop w:val="0"/>
              <w:marBottom w:val="0"/>
              <w:divBdr>
                <w:top w:val="none" w:sz="0" w:space="0" w:color="auto"/>
                <w:left w:val="none" w:sz="0" w:space="0" w:color="auto"/>
                <w:bottom w:val="none" w:sz="0" w:space="0" w:color="auto"/>
                <w:right w:val="none" w:sz="0" w:space="0" w:color="auto"/>
              </w:divBdr>
              <w:divsChild>
                <w:div w:id="886458085">
                  <w:marLeft w:val="-225"/>
                  <w:marRight w:val="-225"/>
                  <w:marTop w:val="0"/>
                  <w:marBottom w:val="0"/>
                  <w:divBdr>
                    <w:top w:val="none" w:sz="0" w:space="0" w:color="auto"/>
                    <w:left w:val="none" w:sz="0" w:space="0" w:color="auto"/>
                    <w:bottom w:val="none" w:sz="0" w:space="0" w:color="auto"/>
                    <w:right w:val="none" w:sz="0" w:space="0" w:color="auto"/>
                  </w:divBdr>
                  <w:divsChild>
                    <w:div w:id="12944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20337">
      <w:bodyDiv w:val="1"/>
      <w:marLeft w:val="0"/>
      <w:marRight w:val="0"/>
      <w:marTop w:val="0"/>
      <w:marBottom w:val="0"/>
      <w:divBdr>
        <w:top w:val="none" w:sz="0" w:space="0" w:color="auto"/>
        <w:left w:val="none" w:sz="0" w:space="0" w:color="auto"/>
        <w:bottom w:val="none" w:sz="0" w:space="0" w:color="auto"/>
        <w:right w:val="none" w:sz="0" w:space="0" w:color="auto"/>
      </w:divBdr>
      <w:divsChild>
        <w:div w:id="1723869170">
          <w:marLeft w:val="825"/>
          <w:marRight w:val="825"/>
          <w:marTop w:val="285"/>
          <w:marBottom w:val="0"/>
          <w:divBdr>
            <w:top w:val="none" w:sz="0" w:space="0" w:color="auto"/>
            <w:left w:val="none" w:sz="0" w:space="0" w:color="auto"/>
            <w:bottom w:val="none" w:sz="0" w:space="0" w:color="auto"/>
            <w:right w:val="none" w:sz="0" w:space="0" w:color="auto"/>
          </w:divBdr>
        </w:div>
      </w:divsChild>
    </w:div>
    <w:div w:id="370375587">
      <w:bodyDiv w:val="1"/>
      <w:marLeft w:val="0"/>
      <w:marRight w:val="0"/>
      <w:marTop w:val="0"/>
      <w:marBottom w:val="0"/>
      <w:divBdr>
        <w:top w:val="none" w:sz="0" w:space="0" w:color="auto"/>
        <w:left w:val="none" w:sz="0" w:space="0" w:color="auto"/>
        <w:bottom w:val="none" w:sz="0" w:space="0" w:color="auto"/>
        <w:right w:val="none" w:sz="0" w:space="0" w:color="auto"/>
      </w:divBdr>
    </w:div>
    <w:div w:id="378745572">
      <w:bodyDiv w:val="1"/>
      <w:marLeft w:val="0"/>
      <w:marRight w:val="0"/>
      <w:marTop w:val="0"/>
      <w:marBottom w:val="0"/>
      <w:divBdr>
        <w:top w:val="none" w:sz="0" w:space="0" w:color="auto"/>
        <w:left w:val="none" w:sz="0" w:space="0" w:color="auto"/>
        <w:bottom w:val="none" w:sz="0" w:space="0" w:color="auto"/>
        <w:right w:val="none" w:sz="0" w:space="0" w:color="auto"/>
      </w:divBdr>
      <w:divsChild>
        <w:div w:id="680594083">
          <w:marLeft w:val="825"/>
          <w:marRight w:val="825"/>
          <w:marTop w:val="285"/>
          <w:marBottom w:val="0"/>
          <w:divBdr>
            <w:top w:val="none" w:sz="0" w:space="0" w:color="auto"/>
            <w:left w:val="none" w:sz="0" w:space="0" w:color="auto"/>
            <w:bottom w:val="none" w:sz="0" w:space="0" w:color="auto"/>
            <w:right w:val="none" w:sz="0" w:space="0" w:color="auto"/>
          </w:divBdr>
        </w:div>
      </w:divsChild>
    </w:div>
    <w:div w:id="408842829">
      <w:bodyDiv w:val="1"/>
      <w:marLeft w:val="0"/>
      <w:marRight w:val="0"/>
      <w:marTop w:val="0"/>
      <w:marBottom w:val="0"/>
      <w:divBdr>
        <w:top w:val="none" w:sz="0" w:space="0" w:color="auto"/>
        <w:left w:val="none" w:sz="0" w:space="0" w:color="auto"/>
        <w:bottom w:val="none" w:sz="0" w:space="0" w:color="auto"/>
        <w:right w:val="none" w:sz="0" w:space="0" w:color="auto"/>
      </w:divBdr>
    </w:div>
    <w:div w:id="501745928">
      <w:bodyDiv w:val="1"/>
      <w:marLeft w:val="0"/>
      <w:marRight w:val="0"/>
      <w:marTop w:val="0"/>
      <w:marBottom w:val="0"/>
      <w:divBdr>
        <w:top w:val="none" w:sz="0" w:space="0" w:color="auto"/>
        <w:left w:val="none" w:sz="0" w:space="0" w:color="auto"/>
        <w:bottom w:val="none" w:sz="0" w:space="0" w:color="auto"/>
        <w:right w:val="none" w:sz="0" w:space="0" w:color="auto"/>
      </w:divBdr>
      <w:divsChild>
        <w:div w:id="827015160">
          <w:marLeft w:val="825"/>
          <w:marRight w:val="825"/>
          <w:marTop w:val="285"/>
          <w:marBottom w:val="0"/>
          <w:divBdr>
            <w:top w:val="none" w:sz="0" w:space="0" w:color="auto"/>
            <w:left w:val="none" w:sz="0" w:space="0" w:color="auto"/>
            <w:bottom w:val="none" w:sz="0" w:space="0" w:color="auto"/>
            <w:right w:val="none" w:sz="0" w:space="0" w:color="auto"/>
          </w:divBdr>
        </w:div>
      </w:divsChild>
    </w:div>
    <w:div w:id="718360849">
      <w:bodyDiv w:val="1"/>
      <w:marLeft w:val="0"/>
      <w:marRight w:val="0"/>
      <w:marTop w:val="0"/>
      <w:marBottom w:val="0"/>
      <w:divBdr>
        <w:top w:val="none" w:sz="0" w:space="0" w:color="auto"/>
        <w:left w:val="none" w:sz="0" w:space="0" w:color="auto"/>
        <w:bottom w:val="none" w:sz="0" w:space="0" w:color="auto"/>
        <w:right w:val="none" w:sz="0" w:space="0" w:color="auto"/>
      </w:divBdr>
    </w:div>
    <w:div w:id="870269261">
      <w:bodyDiv w:val="1"/>
      <w:marLeft w:val="0"/>
      <w:marRight w:val="0"/>
      <w:marTop w:val="0"/>
      <w:marBottom w:val="0"/>
      <w:divBdr>
        <w:top w:val="none" w:sz="0" w:space="0" w:color="auto"/>
        <w:left w:val="none" w:sz="0" w:space="0" w:color="auto"/>
        <w:bottom w:val="none" w:sz="0" w:space="0" w:color="auto"/>
        <w:right w:val="none" w:sz="0" w:space="0" w:color="auto"/>
      </w:divBdr>
    </w:div>
    <w:div w:id="925386952">
      <w:bodyDiv w:val="1"/>
      <w:marLeft w:val="0"/>
      <w:marRight w:val="0"/>
      <w:marTop w:val="0"/>
      <w:marBottom w:val="0"/>
      <w:divBdr>
        <w:top w:val="none" w:sz="0" w:space="0" w:color="auto"/>
        <w:left w:val="none" w:sz="0" w:space="0" w:color="auto"/>
        <w:bottom w:val="none" w:sz="0" w:space="0" w:color="auto"/>
        <w:right w:val="none" w:sz="0" w:space="0" w:color="auto"/>
      </w:divBdr>
      <w:divsChild>
        <w:div w:id="1461604849">
          <w:marLeft w:val="825"/>
          <w:marRight w:val="825"/>
          <w:marTop w:val="285"/>
          <w:marBottom w:val="0"/>
          <w:divBdr>
            <w:top w:val="none" w:sz="0" w:space="0" w:color="auto"/>
            <w:left w:val="none" w:sz="0" w:space="0" w:color="auto"/>
            <w:bottom w:val="none" w:sz="0" w:space="0" w:color="auto"/>
            <w:right w:val="none" w:sz="0" w:space="0" w:color="auto"/>
          </w:divBdr>
        </w:div>
      </w:divsChild>
    </w:div>
    <w:div w:id="1124469625">
      <w:bodyDiv w:val="1"/>
      <w:marLeft w:val="0"/>
      <w:marRight w:val="0"/>
      <w:marTop w:val="0"/>
      <w:marBottom w:val="0"/>
      <w:divBdr>
        <w:top w:val="none" w:sz="0" w:space="0" w:color="auto"/>
        <w:left w:val="none" w:sz="0" w:space="0" w:color="auto"/>
        <w:bottom w:val="none" w:sz="0" w:space="0" w:color="auto"/>
        <w:right w:val="none" w:sz="0" w:space="0" w:color="auto"/>
      </w:divBdr>
      <w:divsChild>
        <w:div w:id="1332220801">
          <w:marLeft w:val="825"/>
          <w:marRight w:val="825"/>
          <w:marTop w:val="285"/>
          <w:marBottom w:val="0"/>
          <w:divBdr>
            <w:top w:val="none" w:sz="0" w:space="0" w:color="auto"/>
            <w:left w:val="none" w:sz="0" w:space="0" w:color="auto"/>
            <w:bottom w:val="none" w:sz="0" w:space="0" w:color="auto"/>
            <w:right w:val="none" w:sz="0" w:space="0" w:color="auto"/>
          </w:divBdr>
        </w:div>
      </w:divsChild>
    </w:div>
    <w:div w:id="1140226617">
      <w:bodyDiv w:val="1"/>
      <w:marLeft w:val="0"/>
      <w:marRight w:val="0"/>
      <w:marTop w:val="0"/>
      <w:marBottom w:val="0"/>
      <w:divBdr>
        <w:top w:val="none" w:sz="0" w:space="0" w:color="auto"/>
        <w:left w:val="none" w:sz="0" w:space="0" w:color="auto"/>
        <w:bottom w:val="none" w:sz="0" w:space="0" w:color="auto"/>
        <w:right w:val="none" w:sz="0" w:space="0" w:color="auto"/>
      </w:divBdr>
      <w:divsChild>
        <w:div w:id="1475247638">
          <w:marLeft w:val="0"/>
          <w:marRight w:val="0"/>
          <w:marTop w:val="0"/>
          <w:marBottom w:val="0"/>
          <w:divBdr>
            <w:top w:val="none" w:sz="0" w:space="0" w:color="auto"/>
            <w:left w:val="none" w:sz="0" w:space="0" w:color="auto"/>
            <w:bottom w:val="none" w:sz="0" w:space="0" w:color="auto"/>
            <w:right w:val="none" w:sz="0" w:space="0" w:color="auto"/>
          </w:divBdr>
          <w:divsChild>
            <w:div w:id="4359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541">
      <w:bodyDiv w:val="1"/>
      <w:marLeft w:val="0"/>
      <w:marRight w:val="0"/>
      <w:marTop w:val="0"/>
      <w:marBottom w:val="0"/>
      <w:divBdr>
        <w:top w:val="none" w:sz="0" w:space="0" w:color="auto"/>
        <w:left w:val="none" w:sz="0" w:space="0" w:color="auto"/>
        <w:bottom w:val="none" w:sz="0" w:space="0" w:color="auto"/>
        <w:right w:val="none" w:sz="0" w:space="0" w:color="auto"/>
      </w:divBdr>
      <w:divsChild>
        <w:div w:id="35666450">
          <w:marLeft w:val="450"/>
          <w:marRight w:val="450"/>
          <w:marTop w:val="0"/>
          <w:marBottom w:val="0"/>
          <w:divBdr>
            <w:top w:val="none" w:sz="0" w:space="0" w:color="auto"/>
            <w:left w:val="none" w:sz="0" w:space="0" w:color="auto"/>
            <w:bottom w:val="none" w:sz="0" w:space="0" w:color="auto"/>
            <w:right w:val="none" w:sz="0" w:space="0" w:color="auto"/>
          </w:divBdr>
        </w:div>
      </w:divsChild>
    </w:div>
    <w:div w:id="1512333963">
      <w:bodyDiv w:val="1"/>
      <w:marLeft w:val="0"/>
      <w:marRight w:val="0"/>
      <w:marTop w:val="0"/>
      <w:marBottom w:val="0"/>
      <w:divBdr>
        <w:top w:val="none" w:sz="0" w:space="0" w:color="auto"/>
        <w:left w:val="none" w:sz="0" w:space="0" w:color="auto"/>
        <w:bottom w:val="none" w:sz="0" w:space="0" w:color="auto"/>
        <w:right w:val="none" w:sz="0" w:space="0" w:color="auto"/>
      </w:divBdr>
    </w:div>
    <w:div w:id="1648584121">
      <w:bodyDiv w:val="1"/>
      <w:marLeft w:val="0"/>
      <w:marRight w:val="0"/>
      <w:marTop w:val="0"/>
      <w:marBottom w:val="0"/>
      <w:divBdr>
        <w:top w:val="none" w:sz="0" w:space="0" w:color="auto"/>
        <w:left w:val="none" w:sz="0" w:space="0" w:color="auto"/>
        <w:bottom w:val="none" w:sz="0" w:space="0" w:color="auto"/>
        <w:right w:val="none" w:sz="0" w:space="0" w:color="auto"/>
      </w:divBdr>
    </w:div>
    <w:div w:id="1808547209">
      <w:bodyDiv w:val="1"/>
      <w:marLeft w:val="0"/>
      <w:marRight w:val="0"/>
      <w:marTop w:val="0"/>
      <w:marBottom w:val="0"/>
      <w:divBdr>
        <w:top w:val="none" w:sz="0" w:space="0" w:color="auto"/>
        <w:left w:val="none" w:sz="0" w:space="0" w:color="auto"/>
        <w:bottom w:val="none" w:sz="0" w:space="0" w:color="auto"/>
        <w:right w:val="none" w:sz="0" w:space="0" w:color="auto"/>
      </w:divBdr>
    </w:div>
    <w:div w:id="1942880785">
      <w:bodyDiv w:val="1"/>
      <w:marLeft w:val="0"/>
      <w:marRight w:val="0"/>
      <w:marTop w:val="0"/>
      <w:marBottom w:val="0"/>
      <w:divBdr>
        <w:top w:val="none" w:sz="0" w:space="0" w:color="auto"/>
        <w:left w:val="none" w:sz="0" w:space="0" w:color="auto"/>
        <w:bottom w:val="none" w:sz="0" w:space="0" w:color="auto"/>
        <w:right w:val="none" w:sz="0" w:space="0" w:color="auto"/>
      </w:divBdr>
      <w:divsChild>
        <w:div w:id="1699577291">
          <w:marLeft w:val="825"/>
          <w:marRight w:val="825"/>
          <w:marTop w:val="285"/>
          <w:marBottom w:val="0"/>
          <w:divBdr>
            <w:top w:val="none" w:sz="0" w:space="0" w:color="auto"/>
            <w:left w:val="none" w:sz="0" w:space="0" w:color="auto"/>
            <w:bottom w:val="none" w:sz="0" w:space="0" w:color="auto"/>
            <w:right w:val="none" w:sz="0" w:space="0" w:color="auto"/>
          </w:divBdr>
        </w:div>
      </w:divsChild>
    </w:div>
    <w:div w:id="20541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de.ca.gov/ta/tg/ca/" TargetMode="External"/><Relationship Id="rId26" Type="http://schemas.openxmlformats.org/officeDocument/2006/relationships/hyperlink" Target="http://www.caaspp.org" TargetMode="External"/><Relationship Id="rId39" Type="http://schemas.openxmlformats.org/officeDocument/2006/relationships/hyperlink" Target="http://www.cde.ca.gov/be/ag/ag/yr16/documents/sep16item04addendum.doc" TargetMode="External"/><Relationship Id="rId21" Type="http://schemas.openxmlformats.org/officeDocument/2006/relationships/hyperlink" Target="http://www.cde.ca.gov/ta/tg/ca/caasppimplementation.asp" TargetMode="External"/><Relationship Id="rId34" Type="http://schemas.openxmlformats.org/officeDocument/2006/relationships/hyperlink" Target="http://www.caaspp.org/practice-and-training/index.html" TargetMode="External"/><Relationship Id="rId42" Type="http://schemas.openxmlformats.org/officeDocument/2006/relationships/hyperlink" Target="http://www.cde.ca.gov/be/ag/ag/yr15/agenda201509.asp" TargetMode="External"/><Relationship Id="rId47" Type="http://schemas.openxmlformats.org/officeDocument/2006/relationships/hyperlink" Target="http://www.cde.ca.gov/be/ag/ag/yr16/documents/may16item07.doc" TargetMode="External"/><Relationship Id="rId50" Type="http://schemas.openxmlformats.org/officeDocument/2006/relationships/hyperlink" Target="http://www.cde.ca.gov/ta/tg/ca/caasppimplementation.asp" TargetMode="External"/><Relationship Id="rId55"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de.ca.gov/ta/tg/ca/documents/caaspp16evalrptvol1.pdf" TargetMode="External"/><Relationship Id="rId25" Type="http://schemas.openxmlformats.org/officeDocument/2006/relationships/hyperlink" Target="http://www.cde.ca.gov/ta/tg/ca/" TargetMode="External"/><Relationship Id="rId33" Type="http://schemas.openxmlformats.org/officeDocument/2006/relationships/hyperlink" Target="http://www.smarterbalanced.org/" TargetMode="External"/><Relationship Id="rId38" Type="http://schemas.openxmlformats.org/officeDocument/2006/relationships/hyperlink" Target="http://www.cde.ca.gov/be/ag/ag/yr16/documents/may16item07.doc" TargetMode="External"/><Relationship Id="rId46" Type="http://schemas.openxmlformats.org/officeDocument/2006/relationships/hyperlink" Target="http://www.cde.ca.gov/be/ag/ag/yr16/documents/jan16item07.doc" TargetMode="External"/><Relationship Id="rId2" Type="http://schemas.openxmlformats.org/officeDocument/2006/relationships/customXml" Target="../customXml/item2.xml"/><Relationship Id="rId16" Type="http://schemas.openxmlformats.org/officeDocument/2006/relationships/hyperlink" Target="http://www.cde.ca.gov/ta/tg/ca/" TargetMode="External"/><Relationship Id="rId20" Type="http://schemas.openxmlformats.org/officeDocument/2006/relationships/hyperlink" Target="http://www.cde.ca.gov/be/ag/ag/yr16/documents/jan16item07.doc" TargetMode="External"/><Relationship Id="rId29" Type="http://schemas.openxmlformats.org/officeDocument/2006/relationships/hyperlink" Target="http://www.cde.ca.gov/ta/tg/ca/caasppssrinfo.asp" TargetMode="External"/><Relationship Id="rId41" Type="http://schemas.openxmlformats.org/officeDocument/2006/relationships/hyperlink" Target="http://www.cde.ca.gov/be/pn/im/documents/memo-dsib-adad-oct14item04a2.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de.ca.gov/ta/tg/ai/" TargetMode="External"/><Relationship Id="rId32" Type="http://schemas.openxmlformats.org/officeDocument/2006/relationships/hyperlink" Target="http://www.cde.ca.gov/ta/tg/sa/index.asp" TargetMode="External"/><Relationship Id="rId37" Type="http://schemas.openxmlformats.org/officeDocument/2006/relationships/hyperlink" Target="http://www.cde.ca.gov/be/ag/ag/yr16/documents/jan16item07.doc" TargetMode="External"/><Relationship Id="rId40" Type="http://schemas.openxmlformats.org/officeDocument/2006/relationships/hyperlink" Target="http://www.cde.ca.gov/ta/ac/ap/" TargetMode="External"/><Relationship Id="rId45" Type="http://schemas.openxmlformats.org/officeDocument/2006/relationships/hyperlink" Target="http://www.cde.ca.gov/be/pn/im/infomemoapr2016.asp"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cde.ca.gov/be/ag/ag/yr16/documents/sep16item04addendum.doc" TargetMode="External"/><Relationship Id="rId28" Type="http://schemas.openxmlformats.org/officeDocument/2006/relationships/hyperlink" Target="http://www.cde.ca.gov/ta/tg/ai/infomeeting.asp" TargetMode="External"/><Relationship Id="rId36" Type="http://schemas.openxmlformats.org/officeDocument/2006/relationships/hyperlink" Target="http://www.cde.ca.gov/be/pn/im/documents/memo-dsib-adad-oct13item01.doc" TargetMode="External"/><Relationship Id="rId49" Type="http://schemas.openxmlformats.org/officeDocument/2006/relationships/hyperlink" Target="http://www.cde.ca.gov/be/ag/ag/yr16/documents/jan16item05.doc"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de.ca.gov/be/ag/ag/yr16/mar16item19handout.asp" TargetMode="External"/><Relationship Id="rId31" Type="http://schemas.openxmlformats.org/officeDocument/2006/relationships/hyperlink" Target="http://www.testscoreguide.org/ca/" TargetMode="External"/><Relationship Id="rId44" Type="http://schemas.openxmlformats.org/officeDocument/2006/relationships/hyperlink" Target="http://www.cde.ca.gov/be/ag/ag/yr14/documents/nov14item02a2.pdf"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enter@cde.ca.gov" TargetMode="External"/><Relationship Id="rId22" Type="http://schemas.openxmlformats.org/officeDocument/2006/relationships/hyperlink" Target="http://www.cde.ca.gov/be/ag/ag/yr16/documents/may16item07.doc" TargetMode="External"/><Relationship Id="rId27" Type="http://schemas.openxmlformats.org/officeDocument/2006/relationships/hyperlink" Target="http://www.cde.ca.gov/ta/tg/ca/documents/iatoolslegrprt17.pdf" TargetMode="External"/><Relationship Id="rId30" Type="http://schemas.openxmlformats.org/officeDocument/2006/relationships/hyperlink" Target="http://www.cde.ca.gov/ta/tg/ca/caasppssreports.asp" TargetMode="External"/><Relationship Id="rId35" Type="http://schemas.openxmlformats.org/officeDocument/2006/relationships/hyperlink" Target="mailto:sbac-itreadiness@cde.ca.gov" TargetMode="External"/><Relationship Id="rId43" Type="http://schemas.openxmlformats.org/officeDocument/2006/relationships/hyperlink" Target="http://www.cde.ca.gov/ta/tg/ca/documents/caaspp16evalrptvol1.pdf" TargetMode="External"/><Relationship Id="rId48" Type="http://schemas.openxmlformats.org/officeDocument/2006/relationships/hyperlink" Target="http://www.cde.ca.gov/be/ag/ag/yr16/documents/sep16item04addendum.doc"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www.cde.ca.gov/ta/tg/da/"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5BC73646F07B42923C88487C5CF8CC" ma:contentTypeVersion="0" ma:contentTypeDescription="Create a new document." ma:contentTypeScope="" ma:versionID="537daab24e065ddd16ae0d16a17d38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90FAA-1B60-4BA7-AF8D-CC9FFE272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7D484-DE17-4651-9AA8-697F43759391}">
  <ds:schemaRefs>
    <ds:schemaRef ds:uri="http://schemas.openxmlformats.org/officeDocument/2006/bibliography"/>
  </ds:schemaRefs>
</ds:datastoreItem>
</file>

<file path=customXml/itemProps3.xml><?xml version="1.0" encoding="utf-8"?>
<ds:datastoreItem xmlns:ds="http://schemas.openxmlformats.org/officeDocument/2006/customXml" ds:itemID="{C0732BEC-A2A7-4068-9EA7-11066B8B0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9493B7-2745-4F43-8540-F55101CC2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35</Pages>
  <Words>13108</Words>
  <Characters>74718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California Department of Education</vt:lpstr>
    </vt:vector>
  </TitlesOfParts>
  <Company>Calif. Dept. of Education</Company>
  <LinksUpToDate>false</LinksUpToDate>
  <CharactersWithSpaces>87651</CharactersWithSpaces>
  <SharedDoc>false</SharedDoc>
  <HLinks>
    <vt:vector size="66" baseType="variant">
      <vt:variant>
        <vt:i4>8323123</vt:i4>
      </vt:variant>
      <vt:variant>
        <vt:i4>33</vt:i4>
      </vt:variant>
      <vt:variant>
        <vt:i4>0</vt:i4>
      </vt:variant>
      <vt:variant>
        <vt:i4>5</vt:i4>
      </vt:variant>
      <vt:variant>
        <vt:lpwstr>http://www.cde.ca.gov/ta/ac/ap/</vt:lpwstr>
      </vt:variant>
      <vt:variant>
        <vt:lpwstr/>
      </vt:variant>
      <vt:variant>
        <vt:i4>7405625</vt:i4>
      </vt:variant>
      <vt:variant>
        <vt:i4>30</vt:i4>
      </vt:variant>
      <vt:variant>
        <vt:i4>0</vt:i4>
      </vt:variant>
      <vt:variant>
        <vt:i4>5</vt:i4>
      </vt:variant>
      <vt:variant>
        <vt:lpwstr>http://www.cde.ca.gov/be/pn/im/infomemooct2013.asp</vt:lpwstr>
      </vt:variant>
      <vt:variant>
        <vt:lpwstr/>
      </vt:variant>
      <vt:variant>
        <vt:i4>2031708</vt:i4>
      </vt:variant>
      <vt:variant>
        <vt:i4>27</vt:i4>
      </vt:variant>
      <vt:variant>
        <vt:i4>0</vt:i4>
      </vt:variant>
      <vt:variant>
        <vt:i4>5</vt:i4>
      </vt:variant>
      <vt:variant>
        <vt:lpwstr>http://www.cde.ca.gov/ta/tg/sa/index.asp</vt:lpwstr>
      </vt:variant>
      <vt:variant>
        <vt:lpwstr/>
      </vt:variant>
      <vt:variant>
        <vt:i4>4128806</vt:i4>
      </vt:variant>
      <vt:variant>
        <vt:i4>24</vt:i4>
      </vt:variant>
      <vt:variant>
        <vt:i4>0</vt:i4>
      </vt:variant>
      <vt:variant>
        <vt:i4>5</vt:i4>
      </vt:variant>
      <vt:variant>
        <vt:lpwstr>http://starsamplequestions.org/</vt:lpwstr>
      </vt:variant>
      <vt:variant>
        <vt:lpwstr/>
      </vt:variant>
      <vt:variant>
        <vt:i4>1900618</vt:i4>
      </vt:variant>
      <vt:variant>
        <vt:i4>21</vt:i4>
      </vt:variant>
      <vt:variant>
        <vt:i4>0</vt:i4>
      </vt:variant>
      <vt:variant>
        <vt:i4>5</vt:i4>
      </vt:variant>
      <vt:variant>
        <vt:lpwstr>http://www.cde.ca.gov/ta/tg/sr/resources.asp</vt:lpwstr>
      </vt:variant>
      <vt:variant>
        <vt:lpwstr/>
      </vt:variant>
      <vt:variant>
        <vt:i4>4587612</vt:i4>
      </vt:variant>
      <vt:variant>
        <vt:i4>18</vt:i4>
      </vt:variant>
      <vt:variant>
        <vt:i4>0</vt:i4>
      </vt:variant>
      <vt:variant>
        <vt:i4>5</vt:i4>
      </vt:variant>
      <vt:variant>
        <vt:lpwstr>http://californiatac.org/</vt:lpwstr>
      </vt:variant>
      <vt:variant>
        <vt:lpwstr/>
      </vt:variant>
      <vt:variant>
        <vt:i4>7536695</vt:i4>
      </vt:variant>
      <vt:variant>
        <vt:i4>15</vt:i4>
      </vt:variant>
      <vt:variant>
        <vt:i4>0</vt:i4>
      </vt:variant>
      <vt:variant>
        <vt:i4>5</vt:i4>
      </vt:variant>
      <vt:variant>
        <vt:lpwstr>http://www.cde.ca.gov/ta/tg/ai/</vt:lpwstr>
      </vt:variant>
      <vt:variant>
        <vt:lpwstr/>
      </vt:variant>
      <vt:variant>
        <vt:i4>4521992</vt:i4>
      </vt:variant>
      <vt:variant>
        <vt:i4>12</vt:i4>
      </vt:variant>
      <vt:variant>
        <vt:i4>0</vt:i4>
      </vt:variant>
      <vt:variant>
        <vt:i4>5</vt:i4>
      </vt:variant>
      <vt:variant>
        <vt:lpwstr>http://www.cde.ca.gov/be/</vt:lpwstr>
      </vt:variant>
      <vt:variant>
        <vt:lpwstr/>
      </vt:variant>
      <vt:variant>
        <vt:i4>8060981</vt:i4>
      </vt:variant>
      <vt:variant>
        <vt:i4>9</vt:i4>
      </vt:variant>
      <vt:variant>
        <vt:i4>0</vt:i4>
      </vt:variant>
      <vt:variant>
        <vt:i4>5</vt:i4>
      </vt:variant>
      <vt:variant>
        <vt:lpwstr>http://www.cde.ca.gov/ta/tg/ca/</vt:lpwstr>
      </vt:variant>
      <vt:variant>
        <vt:lpwstr/>
      </vt:variant>
      <vt:variant>
        <vt:i4>4653151</vt:i4>
      </vt:variant>
      <vt:variant>
        <vt:i4>6</vt:i4>
      </vt:variant>
      <vt:variant>
        <vt:i4>0</vt:i4>
      </vt:variant>
      <vt:variant>
        <vt:i4>5</vt:i4>
      </vt:variant>
      <vt:variant>
        <vt:lpwstr>http://www.cde.ca.gov/ta/tg/ca/documents/caaspp2014legrpt.doc</vt:lpwstr>
      </vt:variant>
      <vt:variant>
        <vt:lpwstr/>
      </vt:variant>
      <vt:variant>
        <vt:i4>1638513</vt:i4>
      </vt:variant>
      <vt:variant>
        <vt:i4>3</vt:i4>
      </vt:variant>
      <vt:variant>
        <vt:i4>0</vt:i4>
      </vt:variant>
      <vt:variant>
        <vt:i4>5</vt:i4>
      </vt:variant>
      <vt:variant>
        <vt:lpwstr>mailto:dhernand@cde.ca.gov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Assessment of Student Performance and Progress 2016 Annual Implementation Update and Five-Year Cost Projection</dc:title>
  <dc:subject>Report to the Governor, the State Legislature, and the Legislative Analyst’s Office: California Assessment of Student Performance and Progress 2016 Annual Implementation Update and Five-Year Cost Projection</dc:subject>
  <dc:creator>JBoivin@cde.ca.gov</dc:creator>
  <cp:lastModifiedBy>Chelsea Manassero</cp:lastModifiedBy>
  <cp:revision>22</cp:revision>
  <cp:lastPrinted>2017-12-13T23:20:00Z</cp:lastPrinted>
  <dcterms:created xsi:type="dcterms:W3CDTF">2018-02-07T00:07:00Z</dcterms:created>
  <dcterms:modified xsi:type="dcterms:W3CDTF">2023-11-01T22:17:00Z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0x010100885BC73646F07B42923C88487C5CF8CC</vt:lpwstr>
  </property>
</Properties>
</file>