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40C3" w14:textId="77777777" w:rsidR="00F61EAF" w:rsidRDefault="00F61EA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B119260" wp14:editId="4D57C0B2">
            <wp:extent cx="1060704" cy="521208"/>
            <wp:effectExtent l="0" t="0" r="6350" b="0"/>
            <wp:docPr id="20" name="Picture 20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5FA4" w14:textId="77777777" w:rsidR="00F61EAF" w:rsidRPr="00B63D23" w:rsidRDefault="00F61EAF" w:rsidP="003C636C">
      <w:pPr>
        <w:pStyle w:val="HeaderName"/>
        <w:pBdr>
          <w:bottom w:val="none" w:sz="0" w:space="0" w:color="auto"/>
        </w:pBdr>
        <w:spacing w:after="0"/>
      </w:pPr>
      <w:r w:rsidRPr="0074034B">
        <w:t>HS-ESS3-3 Earth and Human Activity</w:t>
      </w:r>
    </w:p>
    <w:p w14:paraId="6ED7F882" w14:textId="77777777" w:rsidR="00F61EAF" w:rsidRPr="00BB08C4" w:rsidRDefault="00F61EA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E657C93" w14:textId="77777777" w:rsidR="00F61EAF" w:rsidRPr="005F0B5C" w:rsidRDefault="00F61EAF" w:rsidP="005F0B5C">
      <w:pPr>
        <w:pStyle w:val="Heading1"/>
      </w:pPr>
      <w:r w:rsidRPr="005F0B5C">
        <w:t>HS-ESS3-3 Earth and Human Activity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SS3-3."/>
      </w:tblPr>
      <w:tblGrid>
        <w:gridCol w:w="3325"/>
        <w:gridCol w:w="3510"/>
        <w:gridCol w:w="3245"/>
      </w:tblGrid>
      <w:tr w:rsidR="00F61EAF" w:rsidRPr="00FA10B5" w14:paraId="23916042" w14:textId="77777777" w:rsidTr="005F0B5C">
        <w:trPr>
          <w:cantSplit/>
          <w:trHeight w:val="602"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68FC3A" w14:textId="77777777" w:rsidR="00F61EAF" w:rsidRPr="00FA10B5" w:rsidRDefault="00F61EAF" w:rsidP="00040643">
            <w:pPr>
              <w:pStyle w:val="TableHead"/>
            </w:pPr>
            <w:r w:rsidRPr="00FA10B5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A11B68" w14:textId="77777777" w:rsidR="00F61EAF" w:rsidRPr="00FA10B5" w:rsidRDefault="00F61EAF" w:rsidP="006375D2">
            <w:pPr>
              <w:pStyle w:val="TableHead"/>
            </w:pPr>
            <w:r w:rsidRPr="00FA10B5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A5328E" w14:textId="77777777" w:rsidR="00F61EAF" w:rsidRPr="00FA10B5" w:rsidRDefault="00F61EAF" w:rsidP="00040643">
            <w:pPr>
              <w:pStyle w:val="TableHead"/>
            </w:pPr>
            <w:r w:rsidRPr="00FA10B5">
              <w:t>Essential Understanding</w:t>
            </w:r>
          </w:p>
        </w:tc>
      </w:tr>
      <w:tr w:rsidR="00F61EAF" w:rsidRPr="00510C04" w14:paraId="3161EE79" w14:textId="77777777" w:rsidTr="000060F1">
        <w:trPr>
          <w:cantSplit/>
          <w:trHeight w:val="232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B268265" w14:textId="77777777" w:rsidR="00F61EAF" w:rsidRPr="007C2824" w:rsidRDefault="00F61EAF" w:rsidP="00BA16B9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0C5D29">
              <w:t>Compare models to determine the effects of a conservation strategy to manage natural resources and to sustain human society and plant and animal life.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2F651BEF" w14:textId="77777777" w:rsidR="00F61EAF" w:rsidRPr="000C5D29" w:rsidRDefault="00F61EAF" w:rsidP="00F61EAF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0C5D29">
              <w:t>Ability to identify effects of a conservation strategy to manage natural resources and to sustain human society and pl</w:t>
            </w:r>
            <w:r>
              <w:t>ant and animal life.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4ED5EFD" w14:textId="77777777" w:rsidR="00F61EAF" w:rsidRPr="00311FAD" w:rsidRDefault="00F61EAF" w:rsidP="00BA16B9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0C5D29">
              <w:t>Identify human activities that result in positive or negative impacts on land, ocean, atmosphere, or biosphere resources.</w:t>
            </w:r>
          </w:p>
        </w:tc>
      </w:tr>
    </w:tbl>
    <w:p w14:paraId="15065447" w14:textId="77777777" w:rsidR="00F61EAF" w:rsidRPr="005F0B5C" w:rsidRDefault="00F61EAF" w:rsidP="005F0B5C">
      <w:pPr>
        <w:pStyle w:val="Heading2"/>
        <w:rPr>
          <w:rStyle w:val="Heading2Char"/>
        </w:rPr>
      </w:pPr>
      <w:r w:rsidRPr="005F0B5C">
        <w:rPr>
          <w:rStyle w:val="Heading2Char"/>
          <w:b/>
        </w:rPr>
        <w:t>CA NGSS Performance Expectation</w:t>
      </w:r>
    </w:p>
    <w:p w14:paraId="2EDBE3BD" w14:textId="77777777" w:rsidR="00F61EAF" w:rsidRDefault="00F61EAF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4BC8920" w14:textId="77777777" w:rsidR="00F61EAF" w:rsidRPr="00960960" w:rsidRDefault="00F61EAF" w:rsidP="002E4C6E">
      <w:pPr>
        <w:rPr>
          <w:i/>
        </w:rPr>
      </w:pPr>
      <w:r w:rsidRPr="000C5D29">
        <w:rPr>
          <w:b/>
        </w:rPr>
        <w:t xml:space="preserve">Create a computational simulation to illustrate the relationships among management of natural resources, the sustainability of human populations, and biodiversity. </w:t>
      </w:r>
      <w:r>
        <w:t>[</w:t>
      </w:r>
      <w:r w:rsidRPr="00761558">
        <w:t xml:space="preserve">Clarification Statement: </w:t>
      </w:r>
      <w:r w:rsidRPr="000C5D29">
        <w:t>Examples of factors that affect the management of natural resources include costs of resource extraction and waste management, per-capita consumption, and the development of new technologies. Examples of factors that affect human sustainability include agricultural efficiency, levels of c</w:t>
      </w:r>
      <w:r>
        <w:t>onservation, and urban planning</w:t>
      </w:r>
      <w:r w:rsidRPr="00960960">
        <w:rPr>
          <w:i/>
        </w:rPr>
        <w:t>.] [Assessment Boundary: Assessment for computational simulations is limited to using provided multi-parameter programs or constructing simplified spreadsheet calculations.]</w:t>
      </w:r>
    </w:p>
    <w:p w14:paraId="0FE564B3" w14:textId="77777777" w:rsidR="00F61EAF" w:rsidRDefault="00F61EAF" w:rsidP="005F0B5C">
      <w:pPr>
        <w:pStyle w:val="Heading2"/>
      </w:pPr>
      <w:r>
        <w:t>Mastery Statements</w:t>
      </w:r>
    </w:p>
    <w:p w14:paraId="6E54D2DC" w14:textId="77777777" w:rsidR="00F61EAF" w:rsidRDefault="00F61EAF" w:rsidP="0074034B">
      <w:r w:rsidRPr="000C36C7">
        <w:t>Students will be able to:</w:t>
      </w:r>
    </w:p>
    <w:p w14:paraId="472A25BA" w14:textId="77777777" w:rsidR="00F61EAF" w:rsidRPr="000C5D29" w:rsidRDefault="00F61EAF" w:rsidP="00F61EAF">
      <w:pPr>
        <w:pStyle w:val="bulletsMastery"/>
      </w:pPr>
      <w:r w:rsidRPr="000C5D29">
        <w:t>Identify positive environmental impacts due to human activities</w:t>
      </w:r>
    </w:p>
    <w:p w14:paraId="36F62850" w14:textId="77777777" w:rsidR="00F61EAF" w:rsidRPr="000C5D29" w:rsidRDefault="00F61EAF" w:rsidP="00F61EAF">
      <w:pPr>
        <w:pStyle w:val="bulletsMastery"/>
        <w:rPr>
          <w:b/>
        </w:rPr>
      </w:pPr>
      <w:r w:rsidRPr="000C5D29">
        <w:t>Identify negative environmental impacts due to human activities</w:t>
      </w:r>
    </w:p>
    <w:p w14:paraId="1C755371" w14:textId="77777777" w:rsidR="00F61EAF" w:rsidRPr="000C5D29" w:rsidRDefault="00F61EAF" w:rsidP="00F61EAF">
      <w:pPr>
        <w:pStyle w:val="bulletsMastery"/>
        <w:rPr>
          <w:b/>
        </w:rPr>
      </w:pPr>
      <w:r w:rsidRPr="000C5D29">
        <w:t>Recognize the effects of conservation strategies</w:t>
      </w:r>
    </w:p>
    <w:p w14:paraId="5C0EC960" w14:textId="77777777" w:rsidR="00F61EAF" w:rsidRDefault="00F61EAF" w:rsidP="00F61EAF">
      <w:pPr>
        <w:pStyle w:val="bulletsMastery"/>
        <w:rPr>
          <w:b/>
        </w:rPr>
      </w:pPr>
      <w:r w:rsidRPr="000C5D29">
        <w:t>Identify appropriate conservation strategies for environmental challenges</w:t>
      </w:r>
    </w:p>
    <w:p w14:paraId="3E5051F9" w14:textId="77777777" w:rsidR="00F61EAF" w:rsidRPr="00026B5C" w:rsidRDefault="00F61EAF" w:rsidP="005F0B5C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2A659F17" w14:textId="77777777" w:rsidR="00F61EAF" w:rsidRDefault="00F61EAF" w:rsidP="0074034B">
      <w:pPr>
        <w:rPr>
          <w:rFonts w:ascii="Open Sans" w:eastAsia="Times New Roman" w:hAnsi="Open Sans" w:cs="Times New Roman"/>
          <w:color w:val="1A1A1A"/>
          <w:szCs w:val="24"/>
        </w:rPr>
      </w:pPr>
      <w:r w:rsidRPr="00026B5C">
        <w:rPr>
          <w:rFonts w:cstheme="majorBidi"/>
          <w:color w:val="000000" w:themeColor="text1"/>
          <w:szCs w:val="24"/>
        </w:rPr>
        <w:t>Principle 1—</w:t>
      </w:r>
      <w:r w:rsidRPr="000C5D29">
        <w:rPr>
          <w:rFonts w:cstheme="majorBidi"/>
          <w:color w:val="000000" w:themeColor="text1"/>
          <w:szCs w:val="24"/>
        </w:rPr>
        <w:t>The continuation and health of individual human lives and of human communities and societies depend on the health of the natural systems that provide essential goods and ecosystem services.</w:t>
      </w:r>
      <w:r>
        <w:rPr>
          <w:rFonts w:ascii="Open Sans" w:eastAsia="Times New Roman" w:hAnsi="Open Sans" w:cs="Times New Roman"/>
          <w:color w:val="1A1A1A"/>
          <w:szCs w:val="24"/>
        </w:rPr>
        <w:t xml:space="preserve"> </w:t>
      </w:r>
    </w:p>
    <w:p w14:paraId="179502D6" w14:textId="77777777" w:rsidR="00F61EAF" w:rsidRDefault="00F61EAF" w:rsidP="0074034B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lastRenderedPageBreak/>
        <w:t>Principle 2</w:t>
      </w:r>
      <w:r w:rsidRPr="000C5D29">
        <w:rPr>
          <w:rFonts w:cstheme="majorBidi"/>
          <w:color w:val="000000" w:themeColor="text1"/>
          <w:szCs w:val="24"/>
        </w:rPr>
        <w:t>—The long-term functioning and health of terrestrial, freshwater, coastal, and marine ecosystems are influenced by their relationships with human societies.</w:t>
      </w:r>
    </w:p>
    <w:p w14:paraId="4A9A782D" w14:textId="77777777" w:rsidR="00F61EAF" w:rsidRDefault="00F61EAF" w:rsidP="0074034B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3</w:t>
      </w:r>
      <w:r w:rsidRPr="000C5D29">
        <w:rPr>
          <w:rFonts w:cstheme="majorBidi"/>
          <w:color w:val="000000" w:themeColor="text1"/>
          <w:szCs w:val="24"/>
        </w:rPr>
        <w:t>—Natural systems proceed through cycles that humans depend upon, benefit from, and can alter.</w:t>
      </w:r>
    </w:p>
    <w:p w14:paraId="2301252D" w14:textId="77777777" w:rsidR="00F61EAF" w:rsidRDefault="00F61EAF" w:rsidP="0074034B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4</w:t>
      </w:r>
      <w:r w:rsidRPr="000C5D29">
        <w:rPr>
          <w:rFonts w:cstheme="majorBidi"/>
          <w:color w:val="000000" w:themeColor="text1"/>
          <w:szCs w:val="24"/>
        </w:rPr>
        <w:t>—The exchange of matter between natural systems and human societies affects the long-term functioning of both.</w:t>
      </w:r>
    </w:p>
    <w:p w14:paraId="7DFBE61E" w14:textId="77777777" w:rsidR="00F61EAF" w:rsidRPr="00026B5C" w:rsidRDefault="00F61EAF" w:rsidP="0074034B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5</w:t>
      </w:r>
      <w:r w:rsidRPr="000C5D29">
        <w:rPr>
          <w:rFonts w:cstheme="majorBidi"/>
          <w:color w:val="000000" w:themeColor="text1"/>
          <w:szCs w:val="24"/>
        </w:rPr>
        <w:t>—Decisions affecting resources and natural systems are based on a wide range of considerations and decision-making processes.</w:t>
      </w:r>
    </w:p>
    <w:p w14:paraId="43B804A2" w14:textId="77777777" w:rsidR="00F61EAF" w:rsidRDefault="00F61EAF" w:rsidP="005F0B5C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05969EE2" w14:textId="77777777" w:rsidR="00F61EAF" w:rsidRDefault="00F61EAF" w:rsidP="002C121B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E5A0A61" w14:textId="77777777" w:rsidR="00F61EAF" w:rsidRPr="0074034B" w:rsidRDefault="00F61EAF" w:rsidP="002C121B">
      <w:pPr>
        <w:keepNext/>
        <w:spacing w:after="160" w:line="259" w:lineRule="auto"/>
        <w:rPr>
          <w:i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F4D39FA" w14:textId="77777777" w:rsidR="00F61EAF" w:rsidRPr="000C5D29" w:rsidRDefault="00F61EAF" w:rsidP="00F61EAF">
      <w:pPr>
        <w:pStyle w:val="bulletsPhenomena"/>
        <w:keepNext/>
        <w:numPr>
          <w:ilvl w:val="0"/>
          <w:numId w:val="20"/>
        </w:numPr>
      </w:pPr>
      <w:r>
        <w:t>H</w:t>
      </w:r>
      <w:r w:rsidRPr="000C5D29">
        <w:t>uman population growth and impact on natural systems</w:t>
      </w:r>
    </w:p>
    <w:p w14:paraId="30B606B6" w14:textId="77777777" w:rsidR="00F61EAF" w:rsidRDefault="00F61EAF" w:rsidP="00F61EAF">
      <w:pPr>
        <w:pStyle w:val="bulletsPhenomena"/>
        <w:numPr>
          <w:ilvl w:val="0"/>
          <w:numId w:val="20"/>
        </w:numPr>
      </w:pPr>
      <w:r w:rsidRPr="000C5D29">
        <w:t>Changes in biodiversity due to human impact</w:t>
      </w:r>
    </w:p>
    <w:p w14:paraId="522C3441" w14:textId="77777777" w:rsidR="00F61EAF" w:rsidRDefault="00F61EAF" w:rsidP="00F61EAF">
      <w:pPr>
        <w:pStyle w:val="bulletsPhenomena"/>
        <w:numPr>
          <w:ilvl w:val="0"/>
          <w:numId w:val="20"/>
        </w:numPr>
      </w:pPr>
      <w:r>
        <w:t>Farming practices</w:t>
      </w:r>
    </w:p>
    <w:p w14:paraId="04DD8E0A" w14:textId="77777777" w:rsidR="00F61EAF" w:rsidRDefault="00F61EAF" w:rsidP="00F61EAF">
      <w:pPr>
        <w:pStyle w:val="bulletsPhenomena"/>
        <w:numPr>
          <w:ilvl w:val="0"/>
          <w:numId w:val="20"/>
        </w:numPr>
      </w:pPr>
      <w:r>
        <w:t>Urban development practices</w:t>
      </w:r>
    </w:p>
    <w:p w14:paraId="429EC2BD" w14:textId="77777777" w:rsidR="00F61EAF" w:rsidRDefault="00F61EAF" w:rsidP="00F61EAF">
      <w:pPr>
        <w:pStyle w:val="bulletsPhenomena"/>
        <w:numPr>
          <w:ilvl w:val="0"/>
          <w:numId w:val="20"/>
        </w:numPr>
      </w:pPr>
      <w:r>
        <w:t xml:space="preserve">Strategies to save water </w:t>
      </w:r>
    </w:p>
    <w:p w14:paraId="5FA1B3D6" w14:textId="77777777" w:rsidR="00F61EAF" w:rsidRPr="00F13E4D" w:rsidRDefault="00F61EAF" w:rsidP="00F61EAF">
      <w:pPr>
        <w:pStyle w:val="bulletsPhenomena"/>
        <w:numPr>
          <w:ilvl w:val="0"/>
          <w:numId w:val="20"/>
        </w:numPr>
      </w:pPr>
      <w:r>
        <w:t>Strategies to increase the use of clean energy</w:t>
      </w:r>
    </w:p>
    <w:p w14:paraId="597CF727" w14:textId="77777777" w:rsidR="00F61EAF" w:rsidRDefault="00F61EAF" w:rsidP="005F0B5C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2A2267EA" w14:textId="77777777" w:rsidR="00F61EAF" w:rsidRPr="00BE2242" w:rsidRDefault="00F61EAF" w:rsidP="00F61EAF">
      <w:pPr>
        <w:pStyle w:val="Bullets"/>
        <w:numPr>
          <w:ilvl w:val="0"/>
          <w:numId w:val="13"/>
        </w:numPr>
        <w:contextualSpacing/>
      </w:pPr>
      <w:r>
        <w:t>None listed at this time</w:t>
      </w:r>
    </w:p>
    <w:p w14:paraId="04F94032" w14:textId="77777777" w:rsidR="00F61EAF" w:rsidRPr="00AB7B8F" w:rsidRDefault="00F61EAF" w:rsidP="005F0B5C">
      <w:pPr>
        <w:pStyle w:val="Heading2"/>
      </w:pPr>
      <w:r>
        <w:t>Additional References</w:t>
      </w:r>
    </w:p>
    <w:p w14:paraId="69207CE0" w14:textId="77777777" w:rsidR="00F61EAF" w:rsidRPr="00130DBA" w:rsidRDefault="00F61EAF" w:rsidP="002C121B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74034B">
        <w:t>HS-ESS3-3</w:t>
      </w:r>
    </w:p>
    <w:p w14:paraId="1E639EDA" w14:textId="77777777" w:rsidR="00F61EAF" w:rsidRPr="00EA1D2C" w:rsidRDefault="00F61EAF" w:rsidP="002C121B">
      <w:pPr>
        <w:keepNext/>
        <w:spacing w:before="240"/>
        <w:contextualSpacing/>
        <w:rPr>
          <w:rFonts w:cs="Arial"/>
          <w:szCs w:val="24"/>
        </w:rPr>
      </w:pPr>
      <w:hyperlink r:id="rId9" w:tooltip="California Science Test Item Specification for HS-ESS3-3" w:history="1">
        <w:r w:rsidRPr="002E6B07">
          <w:rPr>
            <w:rStyle w:val="Hyperlink"/>
          </w:rPr>
          <w:t>https://www.cde.ca.gov/ta/tg/ca/documents/itemspecs-hs-ess3-3.docx</w:t>
        </w:r>
      </w:hyperlink>
    </w:p>
    <w:p w14:paraId="6ED1E63D" w14:textId="77777777" w:rsidR="00F61EAF" w:rsidRPr="009258F0" w:rsidRDefault="00F61EAF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57A9239" w14:textId="77777777" w:rsidR="00F61EAF" w:rsidRDefault="00F61EAF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A484316" w14:textId="77777777" w:rsidR="00F61EAF" w:rsidRPr="0022446A" w:rsidRDefault="00F61EAF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1428D8A" w14:textId="77777777" w:rsidR="00F61EAF" w:rsidRDefault="00F61EAF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013CCC37" w14:textId="77777777" w:rsidR="00F61EAF" w:rsidRDefault="00F61EAF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4730EBC" w14:textId="77777777" w:rsidR="00F61EAF" w:rsidRDefault="00F61EAF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9B7E006" w:rsidR="00130DBA" w:rsidRPr="00311FAD" w:rsidRDefault="00F61EAF" w:rsidP="00FA10B5">
      <w:pPr>
        <w:spacing w:before="480" w:after="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lastRenderedPageBreak/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A8CF" w14:textId="77777777" w:rsidR="00B813ED" w:rsidRDefault="00B813ED" w:rsidP="007525D5">
      <w:r>
        <w:separator/>
      </w:r>
    </w:p>
  </w:endnote>
  <w:endnote w:type="continuationSeparator" w:id="0">
    <w:p w14:paraId="241114D2" w14:textId="77777777" w:rsidR="00B813ED" w:rsidRDefault="00B813ED" w:rsidP="007525D5">
      <w:r>
        <w:continuationSeparator/>
      </w:r>
    </w:p>
  </w:endnote>
  <w:endnote w:type="continuationNotice" w:id="1">
    <w:p w14:paraId="671FA62F" w14:textId="77777777" w:rsidR="00B813ED" w:rsidRDefault="00B813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454878" w:rsidRPr="00BB08C4" w:rsidRDefault="00454878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A10B5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454878" w:rsidRDefault="00454878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A10B5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96DF" w14:textId="77777777" w:rsidR="00B813ED" w:rsidRDefault="00B813ED" w:rsidP="007525D5">
      <w:r>
        <w:separator/>
      </w:r>
    </w:p>
  </w:footnote>
  <w:footnote w:type="continuationSeparator" w:id="0">
    <w:p w14:paraId="2CF17966" w14:textId="77777777" w:rsidR="00B813ED" w:rsidRDefault="00B813ED" w:rsidP="007525D5">
      <w:r>
        <w:continuationSeparator/>
      </w:r>
    </w:p>
  </w:footnote>
  <w:footnote w:type="continuationNotice" w:id="1">
    <w:p w14:paraId="767AB3B7" w14:textId="77777777" w:rsidR="00B813ED" w:rsidRDefault="00B813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454878" w:rsidRDefault="00454878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5E33A9E" w:rsidR="00454878" w:rsidRPr="00B63D23" w:rsidRDefault="00454878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F0040">
      <w:rPr>
        <w:noProof/>
      </w:rPr>
      <w:t>HS-ESS3-3 Earth and Human Activity</w:t>
    </w:r>
    <w:r>
      <w:rPr>
        <w:noProof/>
      </w:rPr>
      <w:fldChar w:fldCharType="end"/>
    </w:r>
  </w:p>
  <w:p w14:paraId="6A66E50B" w14:textId="09CD4AAC" w:rsidR="00454878" w:rsidRPr="00BB08C4" w:rsidRDefault="00454878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>
      <w:t xml:space="preserve">Alternate Assessment for </w:t>
    </w:r>
    <w:r w:rsidRPr="00B63D23">
      <w:t>Science—Item</w:t>
    </w:r>
    <w:r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B45D0"/>
    <w:multiLevelType w:val="hybridMultilevel"/>
    <w:tmpl w:val="4358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49E44662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AC4EB752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514AD94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5D990CC5"/>
    <w:multiLevelType w:val="hybridMultilevel"/>
    <w:tmpl w:val="345C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AA5C1628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C0A64E7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1A3"/>
    <w:multiLevelType w:val="hybridMultilevel"/>
    <w:tmpl w:val="DD1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264264">
    <w:abstractNumId w:val="15"/>
  </w:num>
  <w:num w:numId="2" w16cid:durableId="362174651">
    <w:abstractNumId w:val="17"/>
  </w:num>
  <w:num w:numId="3" w16cid:durableId="448478495">
    <w:abstractNumId w:val="20"/>
  </w:num>
  <w:num w:numId="4" w16cid:durableId="1817338014">
    <w:abstractNumId w:val="14"/>
  </w:num>
  <w:num w:numId="5" w16cid:durableId="2080396602">
    <w:abstractNumId w:val="21"/>
  </w:num>
  <w:num w:numId="6" w16cid:durableId="1523669804">
    <w:abstractNumId w:val="23"/>
  </w:num>
  <w:num w:numId="7" w16cid:durableId="899292118">
    <w:abstractNumId w:val="34"/>
  </w:num>
  <w:num w:numId="8" w16cid:durableId="915088956">
    <w:abstractNumId w:val="27"/>
  </w:num>
  <w:num w:numId="9" w16cid:durableId="922954423">
    <w:abstractNumId w:val="25"/>
  </w:num>
  <w:num w:numId="10" w16cid:durableId="1907757965">
    <w:abstractNumId w:val="18"/>
  </w:num>
  <w:num w:numId="11" w16cid:durableId="1198784854">
    <w:abstractNumId w:val="13"/>
  </w:num>
  <w:num w:numId="12" w16cid:durableId="1467698604">
    <w:abstractNumId w:val="19"/>
  </w:num>
  <w:num w:numId="13" w16cid:durableId="1473596408">
    <w:abstractNumId w:val="32"/>
  </w:num>
  <w:num w:numId="14" w16cid:durableId="1150446078">
    <w:abstractNumId w:val="10"/>
  </w:num>
  <w:num w:numId="15" w16cid:durableId="1980987569">
    <w:abstractNumId w:val="15"/>
  </w:num>
  <w:num w:numId="16" w16cid:durableId="44914243">
    <w:abstractNumId w:val="33"/>
  </w:num>
  <w:num w:numId="17" w16cid:durableId="1848785751">
    <w:abstractNumId w:val="12"/>
  </w:num>
  <w:num w:numId="18" w16cid:durableId="1251164091">
    <w:abstractNumId w:val="29"/>
  </w:num>
  <w:num w:numId="19" w16cid:durableId="599602380">
    <w:abstractNumId w:val="30"/>
  </w:num>
  <w:num w:numId="20" w16cid:durableId="1076901216">
    <w:abstractNumId w:val="28"/>
  </w:num>
  <w:num w:numId="21" w16cid:durableId="1914587330">
    <w:abstractNumId w:val="22"/>
  </w:num>
  <w:num w:numId="22" w16cid:durableId="1448504881">
    <w:abstractNumId w:val="9"/>
  </w:num>
  <w:num w:numId="23" w16cid:durableId="823424935">
    <w:abstractNumId w:val="7"/>
  </w:num>
  <w:num w:numId="24" w16cid:durableId="2104256157">
    <w:abstractNumId w:val="6"/>
  </w:num>
  <w:num w:numId="25" w16cid:durableId="1084956098">
    <w:abstractNumId w:val="5"/>
  </w:num>
  <w:num w:numId="26" w16cid:durableId="985670612">
    <w:abstractNumId w:val="4"/>
  </w:num>
  <w:num w:numId="27" w16cid:durableId="1568108099">
    <w:abstractNumId w:val="8"/>
  </w:num>
  <w:num w:numId="28" w16cid:durableId="412775688">
    <w:abstractNumId w:val="3"/>
  </w:num>
  <w:num w:numId="29" w16cid:durableId="135992111">
    <w:abstractNumId w:val="2"/>
  </w:num>
  <w:num w:numId="30" w16cid:durableId="2031446470">
    <w:abstractNumId w:val="1"/>
  </w:num>
  <w:num w:numId="31" w16cid:durableId="743265419">
    <w:abstractNumId w:val="0"/>
  </w:num>
  <w:num w:numId="32" w16cid:durableId="1552182402">
    <w:abstractNumId w:val="31"/>
  </w:num>
  <w:num w:numId="33" w16cid:durableId="204172922">
    <w:abstractNumId w:val="26"/>
  </w:num>
  <w:num w:numId="34" w16cid:durableId="989286570">
    <w:abstractNumId w:val="16"/>
  </w:num>
  <w:num w:numId="35" w16cid:durableId="497698792">
    <w:abstractNumId w:val="32"/>
  </w:num>
  <w:num w:numId="36" w16cid:durableId="1363289422">
    <w:abstractNumId w:val="24"/>
  </w:num>
  <w:num w:numId="37" w16cid:durableId="2063750725">
    <w:abstractNumId w:val="28"/>
  </w:num>
  <w:num w:numId="38" w16cid:durableId="1601451208">
    <w:abstractNumId w:val="27"/>
  </w:num>
  <w:num w:numId="39" w16cid:durableId="916133285">
    <w:abstractNumId w:val="17"/>
  </w:num>
  <w:num w:numId="40" w16cid:durableId="1832788555">
    <w:abstractNumId w:val="20"/>
  </w:num>
  <w:num w:numId="41" w16cid:durableId="727611217">
    <w:abstractNumId w:val="14"/>
  </w:num>
  <w:num w:numId="42" w16cid:durableId="418522502">
    <w:abstractNumId w:val="14"/>
  </w:num>
  <w:num w:numId="43" w16cid:durableId="1198733468">
    <w:abstractNumId w:val="21"/>
  </w:num>
  <w:num w:numId="44" w16cid:durableId="2130971499">
    <w:abstractNumId w:val="21"/>
  </w:num>
  <w:num w:numId="45" w16cid:durableId="1033534534">
    <w:abstractNumId w:val="23"/>
  </w:num>
  <w:num w:numId="46" w16cid:durableId="1767454937">
    <w:abstractNumId w:val="32"/>
  </w:num>
  <w:num w:numId="47" w16cid:durableId="1405252099">
    <w:abstractNumId w:val="34"/>
  </w:num>
  <w:num w:numId="48" w16cid:durableId="1375278053">
    <w:abstractNumId w:val="34"/>
  </w:num>
  <w:num w:numId="49" w16cid:durableId="1174224374">
    <w:abstractNumId w:val="32"/>
  </w:num>
  <w:num w:numId="50" w16cid:durableId="24631246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60F1"/>
    <w:rsid w:val="00007CC7"/>
    <w:rsid w:val="00013466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67AA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C5D29"/>
    <w:rsid w:val="000D3A96"/>
    <w:rsid w:val="000D4772"/>
    <w:rsid w:val="000D537C"/>
    <w:rsid w:val="000E1504"/>
    <w:rsid w:val="000E7CEB"/>
    <w:rsid w:val="000F0040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409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39B2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C121B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03D1"/>
    <w:rsid w:val="0036567B"/>
    <w:rsid w:val="00367DC6"/>
    <w:rsid w:val="00367DC7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4878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0331"/>
    <w:rsid w:val="005303B2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4AF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0B5C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375D2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24B10"/>
    <w:rsid w:val="007363D8"/>
    <w:rsid w:val="0074034B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964AE"/>
    <w:rsid w:val="007A3516"/>
    <w:rsid w:val="007A7155"/>
    <w:rsid w:val="007A7747"/>
    <w:rsid w:val="007B7907"/>
    <w:rsid w:val="007B7CEA"/>
    <w:rsid w:val="007C2824"/>
    <w:rsid w:val="007C3B49"/>
    <w:rsid w:val="007C519F"/>
    <w:rsid w:val="007D580E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0FB3"/>
    <w:rsid w:val="00911299"/>
    <w:rsid w:val="00914743"/>
    <w:rsid w:val="009242B5"/>
    <w:rsid w:val="00924AD5"/>
    <w:rsid w:val="0092682A"/>
    <w:rsid w:val="009322EA"/>
    <w:rsid w:val="00935CE2"/>
    <w:rsid w:val="009365C5"/>
    <w:rsid w:val="009430FA"/>
    <w:rsid w:val="00946615"/>
    <w:rsid w:val="009520D5"/>
    <w:rsid w:val="00960960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E7846"/>
    <w:rsid w:val="009E7B6C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17EF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A519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E4FBA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448E6"/>
    <w:rsid w:val="00B50045"/>
    <w:rsid w:val="00B5140B"/>
    <w:rsid w:val="00B553A8"/>
    <w:rsid w:val="00B63665"/>
    <w:rsid w:val="00B63D23"/>
    <w:rsid w:val="00B6683C"/>
    <w:rsid w:val="00B66D18"/>
    <w:rsid w:val="00B81234"/>
    <w:rsid w:val="00B813ED"/>
    <w:rsid w:val="00B82328"/>
    <w:rsid w:val="00B947FC"/>
    <w:rsid w:val="00BA0496"/>
    <w:rsid w:val="00BA075F"/>
    <w:rsid w:val="00BA16B9"/>
    <w:rsid w:val="00BA25A2"/>
    <w:rsid w:val="00BA4B22"/>
    <w:rsid w:val="00BB08C4"/>
    <w:rsid w:val="00BB1A45"/>
    <w:rsid w:val="00BB24BB"/>
    <w:rsid w:val="00BB4346"/>
    <w:rsid w:val="00BB6CF5"/>
    <w:rsid w:val="00BB7E69"/>
    <w:rsid w:val="00BD39FA"/>
    <w:rsid w:val="00BD6020"/>
    <w:rsid w:val="00BD74FC"/>
    <w:rsid w:val="00BE2242"/>
    <w:rsid w:val="00BE6AD4"/>
    <w:rsid w:val="00BE7CA2"/>
    <w:rsid w:val="00BF563D"/>
    <w:rsid w:val="00BF5DBF"/>
    <w:rsid w:val="00BF6284"/>
    <w:rsid w:val="00BF6971"/>
    <w:rsid w:val="00C00BD8"/>
    <w:rsid w:val="00C034B4"/>
    <w:rsid w:val="00C06D58"/>
    <w:rsid w:val="00C10941"/>
    <w:rsid w:val="00C11DE4"/>
    <w:rsid w:val="00C14CD9"/>
    <w:rsid w:val="00C16436"/>
    <w:rsid w:val="00C21B14"/>
    <w:rsid w:val="00C255DB"/>
    <w:rsid w:val="00C25D84"/>
    <w:rsid w:val="00C26076"/>
    <w:rsid w:val="00C300A6"/>
    <w:rsid w:val="00C310BD"/>
    <w:rsid w:val="00C33F73"/>
    <w:rsid w:val="00C511CF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6402C"/>
    <w:rsid w:val="00D71351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53AF"/>
    <w:rsid w:val="00DC26F5"/>
    <w:rsid w:val="00DD19A5"/>
    <w:rsid w:val="00DE04BA"/>
    <w:rsid w:val="00DE0E48"/>
    <w:rsid w:val="00DE2149"/>
    <w:rsid w:val="00DE2F60"/>
    <w:rsid w:val="00DE32DE"/>
    <w:rsid w:val="00DE67F5"/>
    <w:rsid w:val="00DF3F78"/>
    <w:rsid w:val="00DF72CC"/>
    <w:rsid w:val="00E21193"/>
    <w:rsid w:val="00E37304"/>
    <w:rsid w:val="00E3769E"/>
    <w:rsid w:val="00E42404"/>
    <w:rsid w:val="00E45D68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766"/>
    <w:rsid w:val="00EC7E28"/>
    <w:rsid w:val="00ED0F15"/>
    <w:rsid w:val="00ED1402"/>
    <w:rsid w:val="00ED1C16"/>
    <w:rsid w:val="00ED51A3"/>
    <w:rsid w:val="00ED6FA4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3E4D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1EAF"/>
    <w:rsid w:val="00F63674"/>
    <w:rsid w:val="00F6456C"/>
    <w:rsid w:val="00F65721"/>
    <w:rsid w:val="00F669BA"/>
    <w:rsid w:val="00F70944"/>
    <w:rsid w:val="00F71B38"/>
    <w:rsid w:val="00F722DA"/>
    <w:rsid w:val="00F73108"/>
    <w:rsid w:val="00F74B6C"/>
    <w:rsid w:val="00F75DBD"/>
    <w:rsid w:val="00F8168B"/>
    <w:rsid w:val="00F90899"/>
    <w:rsid w:val="00F94187"/>
    <w:rsid w:val="00F95343"/>
    <w:rsid w:val="00F96442"/>
    <w:rsid w:val="00FA10B5"/>
    <w:rsid w:val="00FA1F82"/>
    <w:rsid w:val="00FC411A"/>
    <w:rsid w:val="00FC568F"/>
    <w:rsid w:val="00FC5A40"/>
    <w:rsid w:val="00FD01DE"/>
    <w:rsid w:val="00FD079B"/>
    <w:rsid w:val="00FD3369"/>
    <w:rsid w:val="00FD6273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C7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F0B5C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F0B5C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DC7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367DC7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67DC7"/>
    <w:pPr>
      <w:ind w:left="720"/>
      <w:contextualSpacing/>
    </w:pPr>
  </w:style>
  <w:style w:type="table" w:styleId="TableGrid">
    <w:name w:val="Table Grid"/>
    <w:basedOn w:val="TableNormal"/>
    <w:uiPriority w:val="39"/>
    <w:rsid w:val="0036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67D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7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7D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DC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C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7DC7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67DC7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367DC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7D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DC7"/>
    <w:rPr>
      <w:color w:val="954F72" w:themeColor="followedHyperlink"/>
      <w:u w:val="single"/>
    </w:rPr>
  </w:style>
  <w:style w:type="table" w:customStyle="1" w:styleId="TableGrid0">
    <w:name w:val="TableGrid"/>
    <w:rsid w:val="00367D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367DC7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367DC7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367DC7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367DC7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367DC7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67DC7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367DC7"/>
    <w:rPr>
      <w:i/>
      <w:iCs/>
    </w:rPr>
  </w:style>
  <w:style w:type="paragraph" w:customStyle="1" w:styleId="Bullets">
    <w:name w:val="Bullets"/>
    <w:basedOn w:val="ListParagraph"/>
    <w:rsid w:val="00367DC7"/>
    <w:pPr>
      <w:numPr>
        <w:numId w:val="46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5F0B5C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5F0B5C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7DC7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367DC7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367DC7"/>
  </w:style>
  <w:style w:type="paragraph" w:customStyle="1" w:styleId="Numbered">
    <w:name w:val="Numbered"/>
    <w:basedOn w:val="ListParagraph"/>
    <w:rsid w:val="00367DC7"/>
    <w:pPr>
      <w:numPr>
        <w:numId w:val="39"/>
      </w:numPr>
      <w:contextualSpacing w:val="0"/>
    </w:pPr>
  </w:style>
  <w:style w:type="paragraph" w:customStyle="1" w:styleId="NumberedSub">
    <w:name w:val="NumberedSub"/>
    <w:basedOn w:val="ListParagraph"/>
    <w:rsid w:val="00367DC7"/>
    <w:pPr>
      <w:numPr>
        <w:numId w:val="40"/>
      </w:numPr>
      <w:contextualSpacing w:val="0"/>
    </w:pPr>
  </w:style>
  <w:style w:type="paragraph" w:customStyle="1" w:styleId="NumberedSubSub">
    <w:name w:val="NumberedSubSub"/>
    <w:basedOn w:val="ListParagraph"/>
    <w:rsid w:val="00367DC7"/>
    <w:pPr>
      <w:numPr>
        <w:numId w:val="42"/>
      </w:numPr>
      <w:contextualSpacing w:val="0"/>
    </w:pPr>
  </w:style>
  <w:style w:type="paragraph" w:customStyle="1" w:styleId="NumberedSubSubOne">
    <w:name w:val="NumberedSubSubOne"/>
    <w:basedOn w:val="NumberedSubSub"/>
    <w:rsid w:val="00367DC7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367DC7"/>
    <w:pPr>
      <w:numPr>
        <w:numId w:val="44"/>
      </w:numPr>
      <w:contextualSpacing w:val="0"/>
    </w:pPr>
  </w:style>
  <w:style w:type="paragraph" w:customStyle="1" w:styleId="NumberedSubSubSubOne">
    <w:name w:val="NumberedSubSubSubOne"/>
    <w:basedOn w:val="NumberedSubSubSub"/>
    <w:rsid w:val="00367DC7"/>
    <w:pPr>
      <w:ind w:left="1800" w:hanging="288"/>
      <w:contextualSpacing/>
    </w:pPr>
  </w:style>
  <w:style w:type="paragraph" w:customStyle="1" w:styleId="References">
    <w:name w:val="References"/>
    <w:basedOn w:val="Normal"/>
    <w:rsid w:val="00367DC7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367DC7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367DC7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367DC7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367DC7"/>
    <w:pPr>
      <w:numPr>
        <w:numId w:val="45"/>
      </w:numPr>
      <w:contextualSpacing w:val="0"/>
    </w:pPr>
  </w:style>
  <w:style w:type="paragraph" w:customStyle="1" w:styleId="PerformanceExpectation">
    <w:name w:val="Performance Expectation"/>
    <w:basedOn w:val="NormalIndent"/>
    <w:rsid w:val="00367DC7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367DC7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367DC7"/>
  </w:style>
  <w:style w:type="table" w:customStyle="1" w:styleId="PEtable">
    <w:name w:val="PE table"/>
    <w:basedOn w:val="TableNormal"/>
    <w:uiPriority w:val="99"/>
    <w:rsid w:val="00367DC7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367DC7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367DC7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367DC7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367DC7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67DC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7DC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67DC7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367DC7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367DC7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367DC7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367DC7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367DC7"/>
    <w:pPr>
      <w:numPr>
        <w:numId w:val="48"/>
      </w:numPr>
    </w:pPr>
  </w:style>
  <w:style w:type="paragraph" w:customStyle="1" w:styleId="CrossCuttingTargets">
    <w:name w:val="CrossCuttingTargets"/>
    <w:basedOn w:val="NormalIndent"/>
    <w:rsid w:val="00367DC7"/>
  </w:style>
  <w:style w:type="paragraph" w:customStyle="1" w:styleId="Paragraph">
    <w:name w:val="Paragraph"/>
    <w:basedOn w:val="Normal"/>
    <w:qFormat/>
    <w:rsid w:val="00367DC7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367DC7"/>
    <w:pPr>
      <w:numPr>
        <w:numId w:val="38"/>
      </w:numPr>
    </w:pPr>
  </w:style>
  <w:style w:type="paragraph" w:customStyle="1" w:styleId="ScienceFrameworkLinks">
    <w:name w:val="ScienceFrameworkLinks"/>
    <w:basedOn w:val="Normal"/>
    <w:qFormat/>
    <w:rsid w:val="00367DC7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367DC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DC7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367DC7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367DC7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367DC7"/>
  </w:style>
  <w:style w:type="paragraph" w:customStyle="1" w:styleId="Default">
    <w:name w:val="Default"/>
    <w:rsid w:val="00367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367DC7"/>
    <w:pPr>
      <w:numPr>
        <w:numId w:val="36"/>
      </w:numPr>
      <w:spacing w:before="240"/>
    </w:pPr>
  </w:style>
  <w:style w:type="paragraph" w:customStyle="1" w:styleId="bulletsPhenomena">
    <w:name w:val="bulletsPhenomena"/>
    <w:basedOn w:val="ListParagraph"/>
    <w:rsid w:val="00367DC7"/>
    <w:pPr>
      <w:numPr>
        <w:numId w:val="3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FD6273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FD6273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ess3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F370ACE-6F39-4D6F-91BA-9C9992EA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Specification—HS-ESS3-3 - CAASPP (CA Dept of Education)</dc:title>
  <dc:subject/>
  <dc:creator/>
  <cp:keywords/>
  <dc:description/>
  <cp:lastModifiedBy/>
  <cp:revision>1</cp:revision>
  <dcterms:created xsi:type="dcterms:W3CDTF">2025-04-03T18:04:00Z</dcterms:created>
  <dcterms:modified xsi:type="dcterms:W3CDTF">2025-04-03T18:04:00Z</dcterms:modified>
</cp:coreProperties>
</file>