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9B987" w14:textId="77777777" w:rsidR="007D5E18" w:rsidRDefault="007D5E18" w:rsidP="003C636C">
      <w:pPr>
        <w:pStyle w:val="Header"/>
        <w:pBdr>
          <w:bottom w:val="none" w:sz="0" w:space="0" w:color="auto"/>
        </w:pBdr>
        <w:tabs>
          <w:tab w:val="clear" w:pos="4680"/>
        </w:tabs>
        <w:spacing w:after="0"/>
        <w:jc w:val="left"/>
      </w:pPr>
      <w:r>
        <w:rPr>
          <w:noProof/>
          <w:lang w:eastAsia="en-US"/>
        </w:rPr>
        <w:drawing>
          <wp:inline distT="0" distB="0" distL="0" distR="0" wp14:anchorId="57B17D15" wp14:editId="4F187282">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06F1609" w14:textId="77777777" w:rsidR="007D5E18" w:rsidRPr="00774858" w:rsidRDefault="007D5E18" w:rsidP="003C636C">
      <w:pPr>
        <w:pStyle w:val="HeaderName"/>
        <w:pBdr>
          <w:bottom w:val="none" w:sz="0" w:space="0" w:color="auto"/>
        </w:pBdr>
        <w:spacing w:after="0"/>
      </w:pPr>
      <w:r w:rsidRPr="00774858">
        <w:t>MS-ESS3-2 Earth and Human Activity</w:t>
      </w:r>
    </w:p>
    <w:p w14:paraId="40AD0E44" w14:textId="77777777" w:rsidR="007D5E18" w:rsidRPr="00BB08C4" w:rsidRDefault="007D5E18"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4A092CFB" w14:textId="77777777" w:rsidR="007D5E18" w:rsidRPr="0073210A" w:rsidRDefault="007D5E18" w:rsidP="0073210A">
      <w:pPr>
        <w:pStyle w:val="Heading1"/>
      </w:pPr>
      <w:r w:rsidRPr="0073210A">
        <w:t>MS-ESS3-2 Earth and Human Activity</w:t>
      </w:r>
    </w:p>
    <w:tbl>
      <w:tblPr>
        <w:tblStyle w:val="TableGrid"/>
        <w:tblW w:w="10080" w:type="dxa"/>
        <w:tblCellMar>
          <w:top w:w="72" w:type="dxa"/>
          <w:left w:w="115" w:type="dxa"/>
          <w:bottom w:w="72" w:type="dxa"/>
          <w:right w:w="115" w:type="dxa"/>
        </w:tblCellMar>
        <w:tblLook w:val="0420" w:firstRow="1" w:lastRow="0" w:firstColumn="0" w:lastColumn="0" w:noHBand="0" w:noVBand="1"/>
        <w:tblDescription w:val="Table describing item specification for MS-ESS3-2."/>
      </w:tblPr>
      <w:tblGrid>
        <w:gridCol w:w="3325"/>
        <w:gridCol w:w="3510"/>
        <w:gridCol w:w="3245"/>
      </w:tblGrid>
      <w:tr w:rsidR="007D5E18" w:rsidRPr="00D30F6B" w14:paraId="61A76374" w14:textId="77777777" w:rsidTr="00D30F6B">
        <w:trPr>
          <w:cantSplit/>
          <w:tblHeader/>
        </w:trPr>
        <w:tc>
          <w:tcPr>
            <w:tcW w:w="3325" w:type="dxa"/>
            <w:tcBorders>
              <w:bottom w:val="single" w:sz="4" w:space="0" w:color="auto"/>
            </w:tcBorders>
            <w:shd w:val="clear" w:color="auto" w:fill="E7E6E6" w:themeFill="background2"/>
            <w:vAlign w:val="center"/>
          </w:tcPr>
          <w:p w14:paraId="5D0F7C2A" w14:textId="77777777" w:rsidR="007D5E18" w:rsidRPr="00D30F6B" w:rsidRDefault="007D5E18" w:rsidP="00040643">
            <w:pPr>
              <w:pStyle w:val="TableHead"/>
            </w:pPr>
            <w:r w:rsidRPr="00D30F6B">
              <w:t>California Science Connector</w:t>
            </w:r>
          </w:p>
        </w:tc>
        <w:tc>
          <w:tcPr>
            <w:tcW w:w="3510" w:type="dxa"/>
            <w:tcBorders>
              <w:bottom w:val="single" w:sz="4" w:space="0" w:color="auto"/>
            </w:tcBorders>
            <w:shd w:val="clear" w:color="auto" w:fill="E7E6E6" w:themeFill="background2"/>
            <w:vAlign w:val="center"/>
          </w:tcPr>
          <w:p w14:paraId="361B2F13" w14:textId="77777777" w:rsidR="007D5E18" w:rsidRPr="00D30F6B" w:rsidRDefault="007D5E18" w:rsidP="00040643">
            <w:pPr>
              <w:pStyle w:val="TableHead"/>
            </w:pPr>
            <w:r w:rsidRPr="00D30F6B">
              <w:t>Focal Knowledge, Skills, and Abilities</w:t>
            </w:r>
          </w:p>
        </w:tc>
        <w:tc>
          <w:tcPr>
            <w:tcW w:w="3245" w:type="dxa"/>
            <w:tcBorders>
              <w:bottom w:val="single" w:sz="4" w:space="0" w:color="auto"/>
            </w:tcBorders>
            <w:shd w:val="clear" w:color="auto" w:fill="E7E6E6" w:themeFill="background2"/>
            <w:vAlign w:val="center"/>
          </w:tcPr>
          <w:p w14:paraId="4BE9C13F" w14:textId="77777777" w:rsidR="007D5E18" w:rsidRPr="00D30F6B" w:rsidRDefault="007D5E18" w:rsidP="00040643">
            <w:pPr>
              <w:pStyle w:val="TableHead"/>
            </w:pPr>
            <w:r w:rsidRPr="00D30F6B">
              <w:t>Essential Understanding</w:t>
            </w:r>
          </w:p>
        </w:tc>
      </w:tr>
      <w:tr w:rsidR="007D5E18" w:rsidRPr="00510C04" w14:paraId="7F2BDF83" w14:textId="77777777" w:rsidTr="00D30F6B">
        <w:trPr>
          <w:cantSplit/>
          <w:trHeight w:val="20"/>
        </w:trPr>
        <w:tc>
          <w:tcPr>
            <w:tcW w:w="3325" w:type="dxa"/>
            <w:shd w:val="clear" w:color="auto" w:fill="auto"/>
          </w:tcPr>
          <w:p w14:paraId="6D9F439C" w14:textId="77777777" w:rsidR="007D5E18" w:rsidRPr="007C2824" w:rsidRDefault="007D5E18" w:rsidP="00D30F6B">
            <w:pPr>
              <w:pStyle w:val="TableBullets"/>
              <w:numPr>
                <w:ilvl w:val="0"/>
                <w:numId w:val="0"/>
              </w:numPr>
              <w:spacing w:before="0" w:after="0"/>
            </w:pPr>
            <w:r w:rsidRPr="003E56C4">
              <w:t>Use resources (e.g., maps, charts, images of natural hazards) to identify patterns in past occurrences of catastrophic events in each of two regions to predict which location may receive a future similar catastrophic event.</w:t>
            </w:r>
          </w:p>
        </w:tc>
        <w:tc>
          <w:tcPr>
            <w:tcW w:w="3510" w:type="dxa"/>
            <w:shd w:val="clear" w:color="auto" w:fill="auto"/>
          </w:tcPr>
          <w:p w14:paraId="11F1BC26" w14:textId="77777777" w:rsidR="007D5E18" w:rsidRPr="003E56C4" w:rsidRDefault="007D5E18" w:rsidP="007D5E18">
            <w:pPr>
              <w:pStyle w:val="TableBullets"/>
              <w:numPr>
                <w:ilvl w:val="0"/>
                <w:numId w:val="2"/>
              </w:numPr>
              <w:spacing w:before="0" w:after="0"/>
            </w:pPr>
            <w:r w:rsidRPr="003E56C4">
              <w:t>Use resources (e.g., maps, charts, images of natural hazards</w:t>
            </w:r>
            <w:bookmarkStart w:id="0" w:name="_GoBack"/>
            <w:bookmarkEnd w:id="0"/>
            <w:r w:rsidRPr="003E56C4">
              <w:t>) to identify patterns in past occurrences of catastrophic events in each of two regions to predict which location may receive a future similar catastrophic event.</w:t>
            </w:r>
          </w:p>
        </w:tc>
        <w:tc>
          <w:tcPr>
            <w:tcW w:w="3245" w:type="dxa"/>
            <w:shd w:val="clear" w:color="auto" w:fill="auto"/>
          </w:tcPr>
          <w:p w14:paraId="01CBB6AE" w14:textId="77777777" w:rsidR="007D5E18" w:rsidRPr="00311FAD" w:rsidRDefault="007D5E18" w:rsidP="00D30F6B">
            <w:pPr>
              <w:pStyle w:val="TableBullets"/>
              <w:numPr>
                <w:ilvl w:val="0"/>
                <w:numId w:val="0"/>
              </w:numPr>
              <w:spacing w:before="0" w:after="0"/>
            </w:pPr>
            <w:r w:rsidRPr="003E56C4">
              <w:t>Recognize that some natural hazards (e.g., volcanic eruptions, severe weather) can be predicted while others are not predictable.</w:t>
            </w:r>
          </w:p>
        </w:tc>
      </w:tr>
    </w:tbl>
    <w:p w14:paraId="512AAE89" w14:textId="77777777" w:rsidR="007D5E18" w:rsidRPr="0073210A" w:rsidRDefault="007D5E18" w:rsidP="0073210A">
      <w:pPr>
        <w:pStyle w:val="Heading2"/>
        <w:rPr>
          <w:rStyle w:val="Heading2Char"/>
        </w:rPr>
      </w:pPr>
      <w:r w:rsidRPr="0073210A">
        <w:rPr>
          <w:rStyle w:val="Heading2Char"/>
          <w:b/>
        </w:rPr>
        <w:t>CA NGSS Performance Expectation</w:t>
      </w:r>
    </w:p>
    <w:p w14:paraId="6D76979B" w14:textId="77777777" w:rsidR="007D5E18" w:rsidRDefault="007D5E18" w:rsidP="5A65751A">
      <w:pPr>
        <w:spacing w:before="240"/>
        <w:rPr>
          <w:rFonts w:cs="Arial"/>
        </w:rPr>
      </w:pPr>
      <w:r w:rsidRPr="5A65751A">
        <w:rPr>
          <w:rFonts w:cs="Arial"/>
        </w:rPr>
        <w:t xml:space="preserve">Students who demonstrate understanding can: </w:t>
      </w:r>
    </w:p>
    <w:p w14:paraId="79A30D57" w14:textId="77777777" w:rsidR="007D5E18" w:rsidRPr="00096B70" w:rsidRDefault="007D5E18" w:rsidP="002E4C6E">
      <w:r w:rsidRPr="003E56C4">
        <w:rPr>
          <w:b/>
        </w:rPr>
        <w:t xml:space="preserve">Analyze and interpret data on natural hazards to forecast future catastrophic events and inform the development of technologies to mitigate their effects. </w:t>
      </w:r>
      <w:r>
        <w:t>[</w:t>
      </w:r>
      <w:r w:rsidRPr="00761558">
        <w:t xml:space="preserve">Clarification Statement: </w:t>
      </w:r>
      <w:r w:rsidRPr="003E56C4">
        <w:t>Emphasis is on how some natural hazards, such as volcanic eruptions and severe weather, are preceded by phenomena that allow for reliable predictions, but others, such as earthquakes, occur suddenly and with no notice, and thus are not yet predictable. Examples of natural hazards can be taken from interior processes (such as earthquakes and volcanic eruptions), surface processes (such as mass wasting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tornado-prone regions or re</w:t>
      </w:r>
      <w:r>
        <w:t>servoirs to mitigate droughts).]</w:t>
      </w:r>
      <w:r w:rsidRPr="00761558">
        <w:t xml:space="preserve"> </w:t>
      </w:r>
    </w:p>
    <w:p w14:paraId="7F43C281" w14:textId="77777777" w:rsidR="007D5E18" w:rsidRDefault="007D5E18" w:rsidP="0073210A">
      <w:pPr>
        <w:pStyle w:val="Heading2"/>
      </w:pPr>
      <w:r>
        <w:t>Mastery Statements</w:t>
      </w:r>
    </w:p>
    <w:p w14:paraId="6589D176" w14:textId="77777777" w:rsidR="007D5E18" w:rsidRDefault="007D5E18" w:rsidP="00984AF2">
      <w:r w:rsidRPr="000C36C7">
        <w:t>Students will be able to:</w:t>
      </w:r>
    </w:p>
    <w:p w14:paraId="73358CC8" w14:textId="77777777" w:rsidR="007D5E18" w:rsidRDefault="007D5E18" w:rsidP="007D5E18">
      <w:pPr>
        <w:pStyle w:val="bulletsMastery"/>
        <w:contextualSpacing w:val="0"/>
      </w:pPr>
      <w:r w:rsidRPr="003E56C4">
        <w:t>Recognize examples of natural hazards that can be predicted</w:t>
      </w:r>
    </w:p>
    <w:p w14:paraId="6866CA97" w14:textId="77777777" w:rsidR="007D5E18" w:rsidRDefault="007D5E18" w:rsidP="007D5E18">
      <w:pPr>
        <w:pStyle w:val="bulletsMastery"/>
        <w:contextualSpacing w:val="0"/>
      </w:pPr>
      <w:r w:rsidRPr="003E56C4">
        <w:t>Recognize examples of natural hazards that cannot be predicted</w:t>
      </w:r>
    </w:p>
    <w:p w14:paraId="4A76FF76" w14:textId="77777777" w:rsidR="007D5E18" w:rsidRPr="008C7ACA" w:rsidRDefault="007D5E18" w:rsidP="007D5E18">
      <w:pPr>
        <w:pStyle w:val="bulletsMastery"/>
        <w:keepNext/>
        <w:contextualSpacing w:val="0"/>
        <w:rPr>
          <w:b/>
        </w:rPr>
      </w:pPr>
      <w:r w:rsidRPr="003E56C4">
        <w:lastRenderedPageBreak/>
        <w:t>Use information in a map, chart, data table, or image of a natural hazard to identify a pattern in past occurrences of catastrophic events</w:t>
      </w:r>
    </w:p>
    <w:p w14:paraId="52332E54" w14:textId="77777777" w:rsidR="007D5E18" w:rsidRDefault="007D5E18" w:rsidP="007D5E18">
      <w:pPr>
        <w:pStyle w:val="bulletsMastery"/>
        <w:contextualSpacing w:val="0"/>
        <w:rPr>
          <w:b/>
        </w:rPr>
      </w:pPr>
      <w:r w:rsidRPr="003E56C4">
        <w:t>Use identified patterns in past occurrences of catastrophic events in each of two regions to predict which location will most likely have a similar catastrophic event</w:t>
      </w:r>
    </w:p>
    <w:p w14:paraId="10852BE7" w14:textId="77777777" w:rsidR="007D5E18" w:rsidRPr="00026B5C" w:rsidRDefault="007D5E18" w:rsidP="0073210A">
      <w:pPr>
        <w:pStyle w:val="Heading2"/>
        <w:rPr>
          <w:lang w:eastAsia="ko-KR"/>
        </w:rPr>
      </w:pPr>
      <w:r w:rsidRPr="00C40235">
        <w:rPr>
          <w:lang w:eastAsia="ko-KR"/>
        </w:rPr>
        <w:t>Environmental Principles and Concepts</w:t>
      </w:r>
    </w:p>
    <w:p w14:paraId="5FF1F929" w14:textId="77777777" w:rsidR="007D5E18" w:rsidRDefault="007D5E18" w:rsidP="008C40B6">
      <w:pPr>
        <w:keepNext/>
        <w:rPr>
          <w:rFonts w:cstheme="majorBidi"/>
          <w:color w:val="000000" w:themeColor="text1"/>
          <w:szCs w:val="24"/>
        </w:rPr>
      </w:pPr>
      <w:r w:rsidRPr="00026B5C">
        <w:rPr>
          <w:rFonts w:cstheme="majorBidi"/>
          <w:color w:val="000000" w:themeColor="text1"/>
          <w:szCs w:val="24"/>
        </w:rPr>
        <w:t>Principle 1—</w:t>
      </w:r>
      <w:r w:rsidRPr="003E56C4">
        <w:rPr>
          <w:rFonts w:cstheme="majorBidi"/>
          <w:color w:val="000000" w:themeColor="text1"/>
          <w:szCs w:val="24"/>
        </w:rPr>
        <w:t>The continuation and health of individual human lives and of human communities and societies depend on the health of the natural systems that provide essential goods and ecosystem services</w:t>
      </w:r>
      <w:r>
        <w:rPr>
          <w:rFonts w:cstheme="majorBidi"/>
          <w:color w:val="000000" w:themeColor="text1"/>
          <w:szCs w:val="24"/>
        </w:rPr>
        <w:t>.</w:t>
      </w:r>
    </w:p>
    <w:p w14:paraId="60F0753B" w14:textId="77777777" w:rsidR="007D5E18" w:rsidRPr="00026B5C" w:rsidRDefault="007D5E18" w:rsidP="00026B5C">
      <w:pPr>
        <w:rPr>
          <w:rFonts w:cstheme="majorBidi"/>
          <w:color w:val="000000" w:themeColor="text1"/>
          <w:szCs w:val="24"/>
        </w:rPr>
      </w:pPr>
      <w:r>
        <w:rPr>
          <w:rFonts w:cstheme="majorBidi"/>
          <w:color w:val="000000" w:themeColor="text1"/>
          <w:szCs w:val="24"/>
        </w:rPr>
        <w:t>Principle 2</w:t>
      </w:r>
      <w:r w:rsidRPr="003E56C4">
        <w:rPr>
          <w:rFonts w:cstheme="majorBidi"/>
          <w:color w:val="000000" w:themeColor="text1"/>
          <w:szCs w:val="24"/>
        </w:rPr>
        <w:t>—The long-term functioning and health of terrestrial, freshwater, coastal, and marine ecosystems are influenced by their relationships with human societies.</w:t>
      </w:r>
    </w:p>
    <w:p w14:paraId="03CE4263" w14:textId="77777777" w:rsidR="007D5E18" w:rsidRDefault="007D5E18" w:rsidP="0073210A">
      <w:pPr>
        <w:pStyle w:val="Heading2"/>
        <w:rPr>
          <w:lang w:eastAsia="ko-KR"/>
        </w:rPr>
      </w:pPr>
      <w:r>
        <w:rPr>
          <w:lang w:eastAsia="ko-KR"/>
        </w:rPr>
        <w:t>Possible Phenomena or Contexts</w:t>
      </w:r>
    </w:p>
    <w:p w14:paraId="1AD57D4D" w14:textId="77777777" w:rsidR="007D5E18" w:rsidRDefault="007D5E18" w:rsidP="00984AF2">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B34A255" w14:textId="77777777" w:rsidR="007D5E18" w:rsidRPr="000C36C7" w:rsidRDefault="007D5E18" w:rsidP="00984AF2">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7D44428F" w14:textId="77777777" w:rsidR="007D5E18" w:rsidRDefault="007D5E18" w:rsidP="007D5E18">
      <w:pPr>
        <w:pStyle w:val="ListParagraph"/>
        <w:numPr>
          <w:ilvl w:val="0"/>
          <w:numId w:val="3"/>
        </w:numPr>
        <w:contextualSpacing w:val="0"/>
      </w:pPr>
      <w:r>
        <w:t>Predicting severe weather and volcanic activity using monitoring technology</w:t>
      </w:r>
    </w:p>
    <w:p w14:paraId="3EBA642E" w14:textId="77777777" w:rsidR="007D5E18" w:rsidRDefault="007D5E18" w:rsidP="007D5E18">
      <w:pPr>
        <w:pStyle w:val="ListParagraph"/>
        <w:numPr>
          <w:ilvl w:val="0"/>
          <w:numId w:val="3"/>
        </w:numPr>
        <w:contextualSpacing w:val="0"/>
      </w:pPr>
      <w:r>
        <w:t>Identifying hazards that are difficult to predict accurately, such as landslides or earthquakes.</w:t>
      </w:r>
    </w:p>
    <w:p w14:paraId="0FA218D9" w14:textId="77777777" w:rsidR="007D5E18" w:rsidRDefault="007D5E18" w:rsidP="007D5E18">
      <w:pPr>
        <w:pStyle w:val="ListParagraph"/>
        <w:numPr>
          <w:ilvl w:val="0"/>
          <w:numId w:val="3"/>
        </w:numPr>
        <w:contextualSpacing w:val="0"/>
      </w:pPr>
      <w:r>
        <w:t>Predicting flooding based on weather information and the history and geography of an area</w:t>
      </w:r>
    </w:p>
    <w:p w14:paraId="589FF208" w14:textId="77777777" w:rsidR="007D5E18" w:rsidRDefault="007D5E18" w:rsidP="007D5E18">
      <w:pPr>
        <w:pStyle w:val="ListParagraph"/>
        <w:numPr>
          <w:ilvl w:val="0"/>
          <w:numId w:val="3"/>
        </w:numPr>
        <w:contextualSpacing w:val="0"/>
      </w:pPr>
      <w:r>
        <w:t>Using historic data to identify regions with a higher risk of natural hazard</w:t>
      </w:r>
    </w:p>
    <w:p w14:paraId="0B14F566" w14:textId="77777777" w:rsidR="007D5E18" w:rsidRDefault="007D5E18" w:rsidP="0073210A">
      <w:pPr>
        <w:pStyle w:val="Heading2"/>
        <w:rPr>
          <w:lang w:eastAsia="ko-KR"/>
        </w:rPr>
      </w:pPr>
      <w:r w:rsidRPr="00510C04">
        <w:rPr>
          <w:lang w:eastAsia="ko-KR"/>
        </w:rPr>
        <w:t>Additional Assessment Boundaries</w:t>
      </w:r>
    </w:p>
    <w:p w14:paraId="3E171163" w14:textId="77777777" w:rsidR="007D5E18" w:rsidRPr="0004240E" w:rsidRDefault="007D5E18" w:rsidP="007D5E18">
      <w:pPr>
        <w:pStyle w:val="Bullets"/>
        <w:numPr>
          <w:ilvl w:val="0"/>
          <w:numId w:val="1"/>
        </w:numPr>
        <w:rPr>
          <w:rFonts w:cs="Arial"/>
          <w:szCs w:val="24"/>
        </w:rPr>
      </w:pPr>
      <w:r>
        <w:rPr>
          <w:lang w:eastAsia="ko-KR"/>
        </w:rPr>
        <w:t xml:space="preserve">Do not include tsunamis in item contexts.  May refer to flooding waves or ocean floods. </w:t>
      </w:r>
    </w:p>
    <w:p w14:paraId="1602D9CF" w14:textId="77777777" w:rsidR="007D5E18" w:rsidRPr="00AB7B8F" w:rsidRDefault="007D5E18" w:rsidP="0073210A">
      <w:pPr>
        <w:pStyle w:val="Heading2"/>
      </w:pPr>
      <w:r>
        <w:t>Additional References</w:t>
      </w:r>
    </w:p>
    <w:p w14:paraId="066AA1AF" w14:textId="77777777" w:rsidR="007D5E18" w:rsidRPr="00130DBA" w:rsidRDefault="007D5E18"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774858">
        <w:t>MS-ESS3-2</w:t>
      </w:r>
    </w:p>
    <w:p w14:paraId="43C974FD" w14:textId="77777777" w:rsidR="007D5E18" w:rsidRPr="00EA1D2C" w:rsidRDefault="00BB6C88" w:rsidP="008F4E45">
      <w:pPr>
        <w:spacing w:before="240"/>
        <w:contextualSpacing/>
        <w:rPr>
          <w:rFonts w:cs="Arial"/>
          <w:szCs w:val="24"/>
        </w:rPr>
      </w:pPr>
      <w:hyperlink r:id="rId12" w:history="1">
        <w:r w:rsidR="007D5E18" w:rsidRPr="00CD0E91">
          <w:rPr>
            <w:rStyle w:val="Hyperlink"/>
          </w:rPr>
          <w:t>https://www.cde.ca.gov/ta/tg/ca/documents/itemspecs-ms-ess3-2.docx</w:t>
        </w:r>
      </w:hyperlink>
    </w:p>
    <w:p w14:paraId="2299F384" w14:textId="77777777" w:rsidR="007D5E18" w:rsidRPr="009258F0" w:rsidRDefault="007D5E18" w:rsidP="008F4E45">
      <w:pPr>
        <w:pStyle w:val="Paragraph"/>
      </w:pPr>
      <w:r w:rsidRPr="009258F0">
        <w:t xml:space="preserve">Environmental Principles and Concepts </w:t>
      </w:r>
      <w:hyperlink r:id="rId13" w:tooltip="Environmental Principles and Concepts web page" w:history="1">
        <w:r w:rsidRPr="003760B9">
          <w:rPr>
            <w:rStyle w:val="Hyperlink"/>
          </w:rPr>
          <w:t>http://californiaeei.org/abouteei/epc/</w:t>
        </w:r>
      </w:hyperlink>
    </w:p>
    <w:p w14:paraId="071FCE1F" w14:textId="77777777" w:rsidR="007D5E18" w:rsidRDefault="007D5E18"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4" w:tooltip="Link to California Science Framework K-12" w:history="1">
        <w:r>
          <w:rPr>
            <w:rStyle w:val="Hyperlink"/>
          </w:rPr>
          <w:t>https://www.cde.ca.gov/ci/sc/cf/cascienceframework2016.asp</w:t>
        </w:r>
      </w:hyperlink>
    </w:p>
    <w:p w14:paraId="6A333375" w14:textId="77777777" w:rsidR="007D5E18" w:rsidRPr="0022446A" w:rsidRDefault="007D5E18" w:rsidP="007E45EA">
      <w:pPr>
        <w:spacing w:before="240"/>
        <w:contextualSpacing/>
        <w:rPr>
          <w:rFonts w:cs="Arial"/>
          <w:color w:val="000000"/>
          <w:szCs w:val="24"/>
        </w:rPr>
      </w:pPr>
      <w:r>
        <w:rPr>
          <w:rFonts w:cs="Arial"/>
          <w:color w:val="000000"/>
          <w:szCs w:val="24"/>
        </w:rPr>
        <w:lastRenderedPageBreak/>
        <w:t>Appendix 1: Progression of the Science and Engineering Practices, Disciplinary Core Ideas, and Crosscutting Concepts in Kindergarten through Grade Twelve</w:t>
      </w:r>
    </w:p>
    <w:p w14:paraId="4949F22F" w14:textId="77777777" w:rsidR="007D5E18" w:rsidRDefault="00BB6C88" w:rsidP="006C695E">
      <w:pPr>
        <w:spacing w:before="240"/>
        <w:rPr>
          <w:color w:val="0000FF"/>
          <w:u w:val="single"/>
        </w:rPr>
      </w:pPr>
      <w:hyperlink r:id="rId15" w:tooltip="Link to Science Framework—Appendix 1: Progression of Three Dimensions SEPs, DCIs, and CCCs " w:history="1">
        <w:r w:rsidR="007D5E18">
          <w:rPr>
            <w:color w:val="0000FF"/>
            <w:u w:val="single"/>
          </w:rPr>
          <w:t>https://www.cde.ca.gov/ci/sc/cf/documents/scifwappendix1.pdf</w:t>
        </w:r>
      </w:hyperlink>
    </w:p>
    <w:p w14:paraId="34DCD762" w14:textId="77777777" w:rsidR="007D5E18" w:rsidRDefault="007D5E18" w:rsidP="007E45EA">
      <w:pPr>
        <w:spacing w:before="240"/>
        <w:contextualSpacing/>
        <w:rPr>
          <w:rFonts w:cs="Arial"/>
          <w:color w:val="000000"/>
          <w:szCs w:val="24"/>
        </w:rPr>
      </w:pPr>
      <w:r>
        <w:t>Appendix 2: Connections to Environmental Principles and Concepts</w:t>
      </w:r>
    </w:p>
    <w:p w14:paraId="173F8A12" w14:textId="77777777" w:rsidR="007D5E18" w:rsidRDefault="00BB6C88" w:rsidP="006C695E">
      <w:pPr>
        <w:spacing w:before="240"/>
        <w:rPr>
          <w:rFonts w:cs="Arial"/>
          <w:i/>
          <w:color w:val="000000"/>
          <w:szCs w:val="24"/>
        </w:rPr>
      </w:pPr>
      <w:hyperlink r:id="rId16" w:tooltip="Link to Science Framework—Appendix 2: Connections to Environmental Principles and Concepts" w:history="1">
        <w:r w:rsidR="007D5E18" w:rsidRPr="0022446A">
          <w:rPr>
            <w:color w:val="0000FF"/>
            <w:u w:val="single"/>
          </w:rPr>
          <w:t>https://www.cde.ca.gov/ci/sc/cf/documents/scifwappendix2.pdf</w:t>
        </w:r>
      </w:hyperlink>
    </w:p>
    <w:p w14:paraId="2CE30A84" w14:textId="159667AB" w:rsidR="00130DBA" w:rsidRPr="00311FAD" w:rsidRDefault="007D5E18"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7"/>
      <w:footerReference w:type="default" r:id="rId18"/>
      <w:footerReference w:type="first" r:id="rId19"/>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C0B24" w14:textId="77777777" w:rsidR="00AF0828" w:rsidRDefault="00AF0828" w:rsidP="007525D5">
      <w:r>
        <w:separator/>
      </w:r>
    </w:p>
  </w:endnote>
  <w:endnote w:type="continuationSeparator" w:id="0">
    <w:p w14:paraId="432F0580" w14:textId="77777777" w:rsidR="00AF0828" w:rsidRDefault="00AF0828" w:rsidP="007525D5">
      <w:r>
        <w:continuationSeparator/>
      </w:r>
    </w:p>
  </w:endnote>
  <w:endnote w:type="continuationNotice" w:id="1">
    <w:p w14:paraId="660D6CDB" w14:textId="77777777" w:rsidR="00AF0828" w:rsidRDefault="00AF08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44798">
      <w:rPr>
        <w:noProof/>
      </w:rPr>
      <w:t>3</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30F6B">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98FC9" w14:textId="77777777" w:rsidR="00AF0828" w:rsidRDefault="00AF0828" w:rsidP="007525D5">
      <w:r>
        <w:separator/>
      </w:r>
    </w:p>
  </w:footnote>
  <w:footnote w:type="continuationSeparator" w:id="0">
    <w:p w14:paraId="7302B569" w14:textId="77777777" w:rsidR="00AF0828" w:rsidRDefault="00AF0828" w:rsidP="007525D5">
      <w:r>
        <w:continuationSeparator/>
      </w:r>
    </w:p>
  </w:footnote>
  <w:footnote w:type="continuationNotice" w:id="1">
    <w:p w14:paraId="0F089E88" w14:textId="77777777" w:rsidR="00AF0828" w:rsidRDefault="00AF08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428329AB"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B6C88">
      <w:rPr>
        <w:noProof/>
      </w:rPr>
      <w:t>MS-ESS3-2 Earth and Human Activity</w:t>
    </w:r>
    <w:r>
      <w:rPr>
        <w:noProof/>
      </w:rPr>
      <w:fldChar w:fldCharType="end"/>
    </w:r>
  </w:p>
  <w:p w14:paraId="6A66E50B" w14:textId="5FCF8859"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984AF2">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6FB5"/>
    <w:multiLevelType w:val="hybridMultilevel"/>
    <w:tmpl w:val="0C58F802"/>
    <w:lvl w:ilvl="0" w:tplc="E6F83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6B1C95B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14BA71DC"/>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2B4CF6"/>
    <w:multiLevelType w:val="hybridMultilevel"/>
    <w:tmpl w:val="2DC8C11E"/>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F74D3"/>
    <w:multiLevelType w:val="hybridMultilevel"/>
    <w:tmpl w:val="2C04E2D4"/>
    <w:lvl w:ilvl="0" w:tplc="5FAA65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A5516"/>
    <w:multiLevelType w:val="hybridMultilevel"/>
    <w:tmpl w:val="4A38A2EA"/>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D1835"/>
    <w:multiLevelType w:val="hybridMultilevel"/>
    <w:tmpl w:val="A5D4409E"/>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8"/>
  </w:num>
  <w:num w:numId="4">
    <w:abstractNumId w:val="9"/>
  </w:num>
  <w:num w:numId="5">
    <w:abstractNumId w:val="11"/>
  </w:num>
  <w:num w:numId="6">
    <w:abstractNumId w:val="10"/>
  </w:num>
  <w:num w:numId="7">
    <w:abstractNumId w:val="3"/>
  </w:num>
  <w:num w:numId="8">
    <w:abstractNumId w:val="4"/>
  </w:num>
  <w:num w:numId="9">
    <w:abstractNumId w:val="1"/>
  </w:num>
  <w:num w:numId="10">
    <w:abstractNumId w:val="5"/>
  </w:num>
  <w:num w:numId="11">
    <w:abstractNumId w:val="7"/>
  </w:num>
  <w:num w:numId="12">
    <w:abstractNumId w:val="12"/>
  </w:num>
  <w:num w:numId="13">
    <w:abstractNumId w:val="13"/>
  </w:num>
  <w:num w:numId="14">
    <w:abstractNumId w:val="2"/>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6B5C"/>
    <w:rsid w:val="000278DD"/>
    <w:rsid w:val="00030100"/>
    <w:rsid w:val="0003389D"/>
    <w:rsid w:val="000340F0"/>
    <w:rsid w:val="0003613C"/>
    <w:rsid w:val="00040643"/>
    <w:rsid w:val="00041460"/>
    <w:rsid w:val="000418D5"/>
    <w:rsid w:val="0004240E"/>
    <w:rsid w:val="000436DD"/>
    <w:rsid w:val="000503DE"/>
    <w:rsid w:val="00051264"/>
    <w:rsid w:val="000542B5"/>
    <w:rsid w:val="00054764"/>
    <w:rsid w:val="00061F50"/>
    <w:rsid w:val="00062272"/>
    <w:rsid w:val="00063ABC"/>
    <w:rsid w:val="00064632"/>
    <w:rsid w:val="00066436"/>
    <w:rsid w:val="0006727D"/>
    <w:rsid w:val="00070C3D"/>
    <w:rsid w:val="00074CA8"/>
    <w:rsid w:val="00077A6D"/>
    <w:rsid w:val="00083C71"/>
    <w:rsid w:val="00084713"/>
    <w:rsid w:val="00086F7C"/>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7CEB"/>
    <w:rsid w:val="000F4227"/>
    <w:rsid w:val="000F45FA"/>
    <w:rsid w:val="000F56E2"/>
    <w:rsid w:val="000F5A60"/>
    <w:rsid w:val="000F7211"/>
    <w:rsid w:val="00101427"/>
    <w:rsid w:val="00102C74"/>
    <w:rsid w:val="0011011F"/>
    <w:rsid w:val="00110730"/>
    <w:rsid w:val="0011736C"/>
    <w:rsid w:val="00117A92"/>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70C6"/>
    <w:rsid w:val="001C42B3"/>
    <w:rsid w:val="001D6620"/>
    <w:rsid w:val="001E085B"/>
    <w:rsid w:val="001E29AA"/>
    <w:rsid w:val="001F170D"/>
    <w:rsid w:val="00200BFF"/>
    <w:rsid w:val="002023A3"/>
    <w:rsid w:val="002035F3"/>
    <w:rsid w:val="00205B4A"/>
    <w:rsid w:val="00205B5E"/>
    <w:rsid w:val="00206AF7"/>
    <w:rsid w:val="00207560"/>
    <w:rsid w:val="00211916"/>
    <w:rsid w:val="00212670"/>
    <w:rsid w:val="00221A7E"/>
    <w:rsid w:val="00222F46"/>
    <w:rsid w:val="00223B06"/>
    <w:rsid w:val="00224293"/>
    <w:rsid w:val="002243CE"/>
    <w:rsid w:val="0022446A"/>
    <w:rsid w:val="00231F4E"/>
    <w:rsid w:val="00234451"/>
    <w:rsid w:val="002347E0"/>
    <w:rsid w:val="00235F69"/>
    <w:rsid w:val="0024569A"/>
    <w:rsid w:val="00246002"/>
    <w:rsid w:val="00246514"/>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C0AD7"/>
    <w:rsid w:val="002E4C6E"/>
    <w:rsid w:val="002F3BF0"/>
    <w:rsid w:val="002F3C11"/>
    <w:rsid w:val="002F4F34"/>
    <w:rsid w:val="002F703D"/>
    <w:rsid w:val="002F7649"/>
    <w:rsid w:val="003023B9"/>
    <w:rsid w:val="003110EF"/>
    <w:rsid w:val="00311FAD"/>
    <w:rsid w:val="003135C6"/>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18ED"/>
    <w:rsid w:val="003E2423"/>
    <w:rsid w:val="003E56C4"/>
    <w:rsid w:val="003E72A4"/>
    <w:rsid w:val="003F046C"/>
    <w:rsid w:val="003F2D3F"/>
    <w:rsid w:val="003F2F75"/>
    <w:rsid w:val="0041407C"/>
    <w:rsid w:val="00433A09"/>
    <w:rsid w:val="00437C65"/>
    <w:rsid w:val="00444798"/>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7B8D"/>
    <w:rsid w:val="00480BA2"/>
    <w:rsid w:val="00487068"/>
    <w:rsid w:val="00490B48"/>
    <w:rsid w:val="004A1315"/>
    <w:rsid w:val="004A32CB"/>
    <w:rsid w:val="004B13B0"/>
    <w:rsid w:val="004B28DF"/>
    <w:rsid w:val="004B61C1"/>
    <w:rsid w:val="004B7CF9"/>
    <w:rsid w:val="004C44AC"/>
    <w:rsid w:val="004C56F7"/>
    <w:rsid w:val="004D0265"/>
    <w:rsid w:val="004E5C17"/>
    <w:rsid w:val="004E6DE8"/>
    <w:rsid w:val="004F51E9"/>
    <w:rsid w:val="00503308"/>
    <w:rsid w:val="00503415"/>
    <w:rsid w:val="005049F2"/>
    <w:rsid w:val="005058EA"/>
    <w:rsid w:val="005105BA"/>
    <w:rsid w:val="00510611"/>
    <w:rsid w:val="0052014F"/>
    <w:rsid w:val="0052040A"/>
    <w:rsid w:val="00520589"/>
    <w:rsid w:val="005235EE"/>
    <w:rsid w:val="0053141C"/>
    <w:rsid w:val="00543833"/>
    <w:rsid w:val="00543F29"/>
    <w:rsid w:val="00544FEB"/>
    <w:rsid w:val="005450EB"/>
    <w:rsid w:val="005467D8"/>
    <w:rsid w:val="005563AE"/>
    <w:rsid w:val="005606EA"/>
    <w:rsid w:val="00561DAB"/>
    <w:rsid w:val="00562081"/>
    <w:rsid w:val="00563123"/>
    <w:rsid w:val="005744A7"/>
    <w:rsid w:val="00583B72"/>
    <w:rsid w:val="00586A0D"/>
    <w:rsid w:val="005A09DA"/>
    <w:rsid w:val="005B1096"/>
    <w:rsid w:val="005B309A"/>
    <w:rsid w:val="005B5700"/>
    <w:rsid w:val="005C5274"/>
    <w:rsid w:val="005D0D85"/>
    <w:rsid w:val="005D7B3B"/>
    <w:rsid w:val="005E546B"/>
    <w:rsid w:val="005F46A7"/>
    <w:rsid w:val="005F7177"/>
    <w:rsid w:val="005F7E12"/>
    <w:rsid w:val="00600F38"/>
    <w:rsid w:val="00602B92"/>
    <w:rsid w:val="00603FE2"/>
    <w:rsid w:val="00604350"/>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C84"/>
    <w:rsid w:val="00660EE2"/>
    <w:rsid w:val="006661DA"/>
    <w:rsid w:val="00666F82"/>
    <w:rsid w:val="0067333C"/>
    <w:rsid w:val="00682EED"/>
    <w:rsid w:val="00682FA3"/>
    <w:rsid w:val="00684CCB"/>
    <w:rsid w:val="00686355"/>
    <w:rsid w:val="006A7AE5"/>
    <w:rsid w:val="006B43F1"/>
    <w:rsid w:val="006B60C4"/>
    <w:rsid w:val="006C1CA0"/>
    <w:rsid w:val="006C2676"/>
    <w:rsid w:val="006C695E"/>
    <w:rsid w:val="006C7787"/>
    <w:rsid w:val="006D15A6"/>
    <w:rsid w:val="006E00C3"/>
    <w:rsid w:val="006E170B"/>
    <w:rsid w:val="006E6884"/>
    <w:rsid w:val="006F2016"/>
    <w:rsid w:val="00702E59"/>
    <w:rsid w:val="00703DAD"/>
    <w:rsid w:val="007047AB"/>
    <w:rsid w:val="0070717A"/>
    <w:rsid w:val="00721A39"/>
    <w:rsid w:val="0073210A"/>
    <w:rsid w:val="007363D8"/>
    <w:rsid w:val="00741E36"/>
    <w:rsid w:val="007424BD"/>
    <w:rsid w:val="00743CCB"/>
    <w:rsid w:val="00745C5F"/>
    <w:rsid w:val="00747947"/>
    <w:rsid w:val="00751BB8"/>
    <w:rsid w:val="007525D5"/>
    <w:rsid w:val="00754F40"/>
    <w:rsid w:val="007605A3"/>
    <w:rsid w:val="00761558"/>
    <w:rsid w:val="00764D2A"/>
    <w:rsid w:val="00765E46"/>
    <w:rsid w:val="00774858"/>
    <w:rsid w:val="00782701"/>
    <w:rsid w:val="0078426C"/>
    <w:rsid w:val="00785768"/>
    <w:rsid w:val="00786826"/>
    <w:rsid w:val="00787EEE"/>
    <w:rsid w:val="0079293C"/>
    <w:rsid w:val="0079566C"/>
    <w:rsid w:val="007A3516"/>
    <w:rsid w:val="007A7155"/>
    <w:rsid w:val="007A7747"/>
    <w:rsid w:val="007B4E48"/>
    <w:rsid w:val="007B7907"/>
    <w:rsid w:val="007C2824"/>
    <w:rsid w:val="007C3B49"/>
    <w:rsid w:val="007C519F"/>
    <w:rsid w:val="007D5E18"/>
    <w:rsid w:val="007E45EA"/>
    <w:rsid w:val="007E46AB"/>
    <w:rsid w:val="007E775A"/>
    <w:rsid w:val="007F0618"/>
    <w:rsid w:val="007F7774"/>
    <w:rsid w:val="00800A96"/>
    <w:rsid w:val="00801038"/>
    <w:rsid w:val="00801596"/>
    <w:rsid w:val="008045E9"/>
    <w:rsid w:val="00806590"/>
    <w:rsid w:val="00811485"/>
    <w:rsid w:val="00813AF3"/>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6EEC"/>
    <w:rsid w:val="00867745"/>
    <w:rsid w:val="00870B3F"/>
    <w:rsid w:val="00872A5E"/>
    <w:rsid w:val="008749F9"/>
    <w:rsid w:val="00885A81"/>
    <w:rsid w:val="00885C96"/>
    <w:rsid w:val="008A6B11"/>
    <w:rsid w:val="008A6BC2"/>
    <w:rsid w:val="008B0F0A"/>
    <w:rsid w:val="008B75B8"/>
    <w:rsid w:val="008C3331"/>
    <w:rsid w:val="008C40B6"/>
    <w:rsid w:val="008C448E"/>
    <w:rsid w:val="008C62BF"/>
    <w:rsid w:val="008C7ACA"/>
    <w:rsid w:val="008C7F74"/>
    <w:rsid w:val="008D343E"/>
    <w:rsid w:val="008D5346"/>
    <w:rsid w:val="008E0A9D"/>
    <w:rsid w:val="008E0CD3"/>
    <w:rsid w:val="008E3932"/>
    <w:rsid w:val="008F2A86"/>
    <w:rsid w:val="008F4E45"/>
    <w:rsid w:val="008F7201"/>
    <w:rsid w:val="009029B2"/>
    <w:rsid w:val="009052CD"/>
    <w:rsid w:val="00906283"/>
    <w:rsid w:val="00911299"/>
    <w:rsid w:val="00914743"/>
    <w:rsid w:val="009234BE"/>
    <w:rsid w:val="00924AD5"/>
    <w:rsid w:val="0092682A"/>
    <w:rsid w:val="009322EA"/>
    <w:rsid w:val="00935CE2"/>
    <w:rsid w:val="009365C5"/>
    <w:rsid w:val="00940C85"/>
    <w:rsid w:val="009430FA"/>
    <w:rsid w:val="00946615"/>
    <w:rsid w:val="009520D5"/>
    <w:rsid w:val="0096109E"/>
    <w:rsid w:val="00961476"/>
    <w:rsid w:val="0097029B"/>
    <w:rsid w:val="00970B7F"/>
    <w:rsid w:val="0097285D"/>
    <w:rsid w:val="00975E36"/>
    <w:rsid w:val="00984AF2"/>
    <w:rsid w:val="009850FD"/>
    <w:rsid w:val="009854D9"/>
    <w:rsid w:val="0098709A"/>
    <w:rsid w:val="009A0EF6"/>
    <w:rsid w:val="009B0342"/>
    <w:rsid w:val="009B1846"/>
    <w:rsid w:val="009B269F"/>
    <w:rsid w:val="009B34EE"/>
    <w:rsid w:val="009B76B3"/>
    <w:rsid w:val="009C4BE7"/>
    <w:rsid w:val="009C6D59"/>
    <w:rsid w:val="009D4446"/>
    <w:rsid w:val="009D58CF"/>
    <w:rsid w:val="009D65EE"/>
    <w:rsid w:val="009E1B98"/>
    <w:rsid w:val="009E25D6"/>
    <w:rsid w:val="009E47AB"/>
    <w:rsid w:val="009E56A4"/>
    <w:rsid w:val="009F014E"/>
    <w:rsid w:val="009F069F"/>
    <w:rsid w:val="009F153C"/>
    <w:rsid w:val="009F45EB"/>
    <w:rsid w:val="009F50CB"/>
    <w:rsid w:val="00A04BFA"/>
    <w:rsid w:val="00A05AB2"/>
    <w:rsid w:val="00A1101A"/>
    <w:rsid w:val="00A115CE"/>
    <w:rsid w:val="00A12689"/>
    <w:rsid w:val="00A133CD"/>
    <w:rsid w:val="00A16C58"/>
    <w:rsid w:val="00A21B9E"/>
    <w:rsid w:val="00A263FB"/>
    <w:rsid w:val="00A2748B"/>
    <w:rsid w:val="00A31361"/>
    <w:rsid w:val="00A33E8C"/>
    <w:rsid w:val="00A43CD9"/>
    <w:rsid w:val="00A44C4F"/>
    <w:rsid w:val="00A4612B"/>
    <w:rsid w:val="00A46DB7"/>
    <w:rsid w:val="00A55ED3"/>
    <w:rsid w:val="00A574A2"/>
    <w:rsid w:val="00A64D08"/>
    <w:rsid w:val="00A65190"/>
    <w:rsid w:val="00A73079"/>
    <w:rsid w:val="00A758CE"/>
    <w:rsid w:val="00A765C1"/>
    <w:rsid w:val="00A97536"/>
    <w:rsid w:val="00AA015C"/>
    <w:rsid w:val="00AA01ED"/>
    <w:rsid w:val="00AA0E48"/>
    <w:rsid w:val="00AB1684"/>
    <w:rsid w:val="00AB4E9E"/>
    <w:rsid w:val="00AB58B1"/>
    <w:rsid w:val="00AB7B8F"/>
    <w:rsid w:val="00AC034C"/>
    <w:rsid w:val="00AC778A"/>
    <w:rsid w:val="00AC7C42"/>
    <w:rsid w:val="00AE09CA"/>
    <w:rsid w:val="00AE115A"/>
    <w:rsid w:val="00AE1251"/>
    <w:rsid w:val="00AF0828"/>
    <w:rsid w:val="00AF146A"/>
    <w:rsid w:val="00AF1646"/>
    <w:rsid w:val="00AF6BE0"/>
    <w:rsid w:val="00AF7452"/>
    <w:rsid w:val="00B02982"/>
    <w:rsid w:val="00B05F41"/>
    <w:rsid w:val="00B13C7D"/>
    <w:rsid w:val="00B179FB"/>
    <w:rsid w:val="00B2671E"/>
    <w:rsid w:val="00B35EA5"/>
    <w:rsid w:val="00B36459"/>
    <w:rsid w:val="00B3701E"/>
    <w:rsid w:val="00B41E1B"/>
    <w:rsid w:val="00B438FC"/>
    <w:rsid w:val="00B50045"/>
    <w:rsid w:val="00B5140B"/>
    <w:rsid w:val="00B553A8"/>
    <w:rsid w:val="00B56561"/>
    <w:rsid w:val="00B63665"/>
    <w:rsid w:val="00B63D23"/>
    <w:rsid w:val="00B6683C"/>
    <w:rsid w:val="00B66D18"/>
    <w:rsid w:val="00B81234"/>
    <w:rsid w:val="00B81307"/>
    <w:rsid w:val="00B82328"/>
    <w:rsid w:val="00B947FC"/>
    <w:rsid w:val="00BA075F"/>
    <w:rsid w:val="00BA25A2"/>
    <w:rsid w:val="00BA4B22"/>
    <w:rsid w:val="00BA62BC"/>
    <w:rsid w:val="00BB08C4"/>
    <w:rsid w:val="00BB1A45"/>
    <w:rsid w:val="00BB24BB"/>
    <w:rsid w:val="00BB4346"/>
    <w:rsid w:val="00BB6C88"/>
    <w:rsid w:val="00BB7E69"/>
    <w:rsid w:val="00BD3678"/>
    <w:rsid w:val="00BD39FA"/>
    <w:rsid w:val="00BD6020"/>
    <w:rsid w:val="00BD74FC"/>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7FB8"/>
    <w:rsid w:val="00C6190C"/>
    <w:rsid w:val="00C61A1E"/>
    <w:rsid w:val="00C63D59"/>
    <w:rsid w:val="00C67026"/>
    <w:rsid w:val="00C677C1"/>
    <w:rsid w:val="00C700F7"/>
    <w:rsid w:val="00C76CDA"/>
    <w:rsid w:val="00C82661"/>
    <w:rsid w:val="00C86BA8"/>
    <w:rsid w:val="00C90F7C"/>
    <w:rsid w:val="00CA3C23"/>
    <w:rsid w:val="00CA427D"/>
    <w:rsid w:val="00CA4C8E"/>
    <w:rsid w:val="00CA785B"/>
    <w:rsid w:val="00CB4615"/>
    <w:rsid w:val="00CB602C"/>
    <w:rsid w:val="00CC0165"/>
    <w:rsid w:val="00CC01BC"/>
    <w:rsid w:val="00CC1465"/>
    <w:rsid w:val="00CC648E"/>
    <w:rsid w:val="00CC6E02"/>
    <w:rsid w:val="00CE54E3"/>
    <w:rsid w:val="00CE5AB8"/>
    <w:rsid w:val="00CF19CE"/>
    <w:rsid w:val="00CF24A3"/>
    <w:rsid w:val="00CF31F3"/>
    <w:rsid w:val="00D00FC4"/>
    <w:rsid w:val="00D01B4E"/>
    <w:rsid w:val="00D041E7"/>
    <w:rsid w:val="00D04BBD"/>
    <w:rsid w:val="00D2394E"/>
    <w:rsid w:val="00D23F73"/>
    <w:rsid w:val="00D247C2"/>
    <w:rsid w:val="00D25A85"/>
    <w:rsid w:val="00D2719D"/>
    <w:rsid w:val="00D277A6"/>
    <w:rsid w:val="00D30F6B"/>
    <w:rsid w:val="00D331E8"/>
    <w:rsid w:val="00D40CBC"/>
    <w:rsid w:val="00D467F8"/>
    <w:rsid w:val="00D47119"/>
    <w:rsid w:val="00D55C71"/>
    <w:rsid w:val="00D56A3B"/>
    <w:rsid w:val="00D61192"/>
    <w:rsid w:val="00D6386C"/>
    <w:rsid w:val="00D738CA"/>
    <w:rsid w:val="00D739AD"/>
    <w:rsid w:val="00D75834"/>
    <w:rsid w:val="00D82B63"/>
    <w:rsid w:val="00D86E31"/>
    <w:rsid w:val="00D91A94"/>
    <w:rsid w:val="00D9258C"/>
    <w:rsid w:val="00DA0D8E"/>
    <w:rsid w:val="00DA5391"/>
    <w:rsid w:val="00DA6C2F"/>
    <w:rsid w:val="00DC26F5"/>
    <w:rsid w:val="00DD19A5"/>
    <w:rsid w:val="00DE04BA"/>
    <w:rsid w:val="00DE0E48"/>
    <w:rsid w:val="00DE67F5"/>
    <w:rsid w:val="00DF3F78"/>
    <w:rsid w:val="00DF72CC"/>
    <w:rsid w:val="00E0030C"/>
    <w:rsid w:val="00E21193"/>
    <w:rsid w:val="00E25F8F"/>
    <w:rsid w:val="00E37304"/>
    <w:rsid w:val="00E3769E"/>
    <w:rsid w:val="00E42404"/>
    <w:rsid w:val="00E63ED9"/>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4B36"/>
    <w:rsid w:val="00EB5B58"/>
    <w:rsid w:val="00EB7CB9"/>
    <w:rsid w:val="00EC4C16"/>
    <w:rsid w:val="00EC5631"/>
    <w:rsid w:val="00EC6186"/>
    <w:rsid w:val="00EC6F86"/>
    <w:rsid w:val="00EC7E28"/>
    <w:rsid w:val="00ED1402"/>
    <w:rsid w:val="00ED1C16"/>
    <w:rsid w:val="00ED51A3"/>
    <w:rsid w:val="00EE4373"/>
    <w:rsid w:val="00EE5025"/>
    <w:rsid w:val="00EE5A1D"/>
    <w:rsid w:val="00F00115"/>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612F"/>
    <w:rsid w:val="00F50662"/>
    <w:rsid w:val="00F52B4B"/>
    <w:rsid w:val="00F63674"/>
    <w:rsid w:val="00F669BA"/>
    <w:rsid w:val="00F722DA"/>
    <w:rsid w:val="00F73108"/>
    <w:rsid w:val="00F74B6C"/>
    <w:rsid w:val="00F75DBD"/>
    <w:rsid w:val="00F90899"/>
    <w:rsid w:val="00F95343"/>
    <w:rsid w:val="00F96442"/>
    <w:rsid w:val="00FA1F82"/>
    <w:rsid w:val="00FC1BFD"/>
    <w:rsid w:val="00FC411A"/>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C16"/>
    <w:pPr>
      <w:spacing w:after="240" w:line="240" w:lineRule="auto"/>
    </w:pPr>
    <w:rPr>
      <w:rFonts w:ascii="Arial" w:hAnsi="Arial"/>
      <w:sz w:val="24"/>
    </w:rPr>
  </w:style>
  <w:style w:type="paragraph" w:styleId="Heading1">
    <w:name w:val="heading 1"/>
    <w:basedOn w:val="Normal"/>
    <w:next w:val="Normal"/>
    <w:link w:val="Heading1Char"/>
    <w:autoRedefine/>
    <w:qFormat/>
    <w:rsid w:val="0073210A"/>
    <w:pPr>
      <w:keepNext/>
      <w:keepLines/>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73210A"/>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EC4C16"/>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EC4C16"/>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C16"/>
    <w:pPr>
      <w:ind w:left="720"/>
      <w:contextualSpacing/>
    </w:pPr>
  </w:style>
  <w:style w:type="table" w:styleId="TableGrid">
    <w:name w:val="Table Grid"/>
    <w:basedOn w:val="TableNormal"/>
    <w:uiPriority w:val="39"/>
    <w:rsid w:val="00EC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C4C16"/>
    <w:rPr>
      <w:sz w:val="16"/>
      <w:szCs w:val="16"/>
    </w:rPr>
  </w:style>
  <w:style w:type="paragraph" w:styleId="CommentText">
    <w:name w:val="annotation text"/>
    <w:basedOn w:val="Normal"/>
    <w:link w:val="CommentTextChar"/>
    <w:semiHidden/>
    <w:unhideWhenUsed/>
    <w:rsid w:val="00EC4C16"/>
    <w:rPr>
      <w:sz w:val="20"/>
      <w:szCs w:val="20"/>
    </w:rPr>
  </w:style>
  <w:style w:type="character" w:customStyle="1" w:styleId="CommentTextChar">
    <w:name w:val="Comment Text Char"/>
    <w:basedOn w:val="DefaultParagraphFont"/>
    <w:link w:val="CommentText"/>
    <w:semiHidden/>
    <w:rsid w:val="00EC4C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4C16"/>
    <w:rPr>
      <w:b/>
      <w:bCs/>
    </w:rPr>
  </w:style>
  <w:style w:type="character" w:customStyle="1" w:styleId="CommentSubjectChar">
    <w:name w:val="Comment Subject Char"/>
    <w:basedOn w:val="CommentTextChar"/>
    <w:link w:val="CommentSubject"/>
    <w:uiPriority w:val="99"/>
    <w:semiHidden/>
    <w:rsid w:val="00EC4C16"/>
    <w:rPr>
      <w:rFonts w:ascii="Arial" w:hAnsi="Arial"/>
      <w:b/>
      <w:bCs/>
      <w:sz w:val="20"/>
      <w:szCs w:val="20"/>
    </w:rPr>
  </w:style>
  <w:style w:type="paragraph" w:styleId="BalloonText">
    <w:name w:val="Balloon Text"/>
    <w:basedOn w:val="Normal"/>
    <w:link w:val="BalloonTextChar"/>
    <w:uiPriority w:val="99"/>
    <w:semiHidden/>
    <w:unhideWhenUsed/>
    <w:rsid w:val="00EC4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C16"/>
    <w:rPr>
      <w:rFonts w:ascii="Segoe UI" w:hAnsi="Segoe UI" w:cs="Segoe UI"/>
      <w:sz w:val="18"/>
      <w:szCs w:val="18"/>
    </w:rPr>
  </w:style>
  <w:style w:type="paragraph" w:styleId="Footer">
    <w:name w:val="footer"/>
    <w:basedOn w:val="Normal"/>
    <w:link w:val="FooterChar"/>
    <w:uiPriority w:val="99"/>
    <w:unhideWhenUsed/>
    <w:rsid w:val="00EC4C16"/>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EC4C16"/>
    <w:rPr>
      <w:rFonts w:ascii="Arial" w:eastAsia="Malgun Gothic" w:hAnsi="Arial" w:cs="Times New Roman"/>
      <w:sz w:val="24"/>
      <w:lang w:eastAsia="ko-KR"/>
    </w:rPr>
  </w:style>
  <w:style w:type="paragraph" w:styleId="NormalWeb">
    <w:name w:val="Normal (Web)"/>
    <w:basedOn w:val="Normal"/>
    <w:uiPriority w:val="99"/>
    <w:unhideWhenUsed/>
    <w:rsid w:val="00EC4C16"/>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EC4C16"/>
    <w:rPr>
      <w:color w:val="0000FF" w:themeColor="hyperlink"/>
      <w:u w:val="single"/>
    </w:rPr>
  </w:style>
  <w:style w:type="character" w:styleId="FollowedHyperlink">
    <w:name w:val="FollowedHyperlink"/>
    <w:basedOn w:val="DefaultParagraphFont"/>
    <w:uiPriority w:val="99"/>
    <w:semiHidden/>
    <w:unhideWhenUsed/>
    <w:rsid w:val="00EC4C16"/>
    <w:rPr>
      <w:color w:val="954F72" w:themeColor="followedHyperlink"/>
      <w:u w:val="single"/>
    </w:rPr>
  </w:style>
  <w:style w:type="table" w:customStyle="1" w:styleId="TableGrid0">
    <w:name w:val="TableGrid"/>
    <w:rsid w:val="00EC4C16"/>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EC4C16"/>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EC4C16"/>
    <w:rPr>
      <w:rFonts w:ascii="Arial" w:eastAsia="Malgun Gothic" w:hAnsi="Arial" w:cs="Times New Roman"/>
      <w:sz w:val="24"/>
      <w:lang w:eastAsia="ko-KR"/>
    </w:rPr>
  </w:style>
  <w:style w:type="paragraph" w:styleId="Title">
    <w:name w:val="Title"/>
    <w:basedOn w:val="Normal"/>
    <w:next w:val="Normal"/>
    <w:link w:val="TitleChar"/>
    <w:uiPriority w:val="10"/>
    <w:rsid w:val="00EC4C16"/>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C16"/>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EC4C16"/>
    <w:pPr>
      <w:ind w:left="720" w:hanging="720"/>
    </w:pPr>
    <w:rPr>
      <w:rFonts w:eastAsia="Batang"/>
    </w:rPr>
  </w:style>
  <w:style w:type="paragraph" w:customStyle="1" w:styleId="EndNoteBibliography">
    <w:name w:val="EndNote Bibliography"/>
    <w:basedOn w:val="Normal"/>
    <w:link w:val="EndNoteBibliographyChar"/>
    <w:rsid w:val="00EC4C16"/>
    <w:pPr>
      <w:spacing w:after="160"/>
    </w:pPr>
    <w:rPr>
      <w:rFonts w:ascii="Calibri" w:hAnsi="Calibri"/>
      <w:noProof/>
    </w:rPr>
  </w:style>
  <w:style w:type="character" w:customStyle="1" w:styleId="EndNoteBibliographyChar">
    <w:name w:val="EndNote Bibliography Char"/>
    <w:basedOn w:val="DefaultParagraphFont"/>
    <w:link w:val="EndNoteBibliography"/>
    <w:rsid w:val="00EC4C16"/>
    <w:rPr>
      <w:rFonts w:ascii="Calibri" w:hAnsi="Calibri"/>
      <w:noProof/>
      <w:sz w:val="24"/>
    </w:rPr>
  </w:style>
  <w:style w:type="character" w:styleId="Emphasis">
    <w:name w:val="Emphasis"/>
    <w:basedOn w:val="DefaultParagraphFont"/>
    <w:uiPriority w:val="20"/>
    <w:rsid w:val="00EC4C16"/>
    <w:rPr>
      <w:i/>
      <w:iCs/>
    </w:rPr>
  </w:style>
  <w:style w:type="paragraph" w:customStyle="1" w:styleId="Bullets">
    <w:name w:val="Bullets"/>
    <w:basedOn w:val="ListParagraph"/>
    <w:rsid w:val="00EC4C16"/>
    <w:pPr>
      <w:numPr>
        <w:numId w:val="12"/>
      </w:numPr>
      <w:spacing w:before="240"/>
      <w:contextualSpacing w:val="0"/>
    </w:pPr>
  </w:style>
  <w:style w:type="character" w:customStyle="1" w:styleId="Heading1Char">
    <w:name w:val="Heading 1 Char"/>
    <w:link w:val="Heading1"/>
    <w:rsid w:val="0073210A"/>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73210A"/>
    <w:rPr>
      <w:rFonts w:ascii="Arial" w:eastAsiaTheme="majorEastAsia" w:hAnsi="Arial" w:cs="Arial"/>
      <w:b/>
      <w:sz w:val="32"/>
      <w:szCs w:val="28"/>
    </w:rPr>
  </w:style>
  <w:style w:type="character" w:customStyle="1" w:styleId="Heading3Char">
    <w:name w:val="Heading 3 Char"/>
    <w:basedOn w:val="DefaultParagraphFont"/>
    <w:link w:val="Heading3"/>
    <w:uiPriority w:val="9"/>
    <w:rsid w:val="00EC4C16"/>
    <w:rPr>
      <w:rFonts w:ascii="Arial" w:eastAsiaTheme="majorEastAsia" w:hAnsi="Arial" w:cstheme="majorBidi"/>
      <w:b/>
      <w:i/>
      <w:color w:val="000000" w:themeColor="text1"/>
      <w:sz w:val="28"/>
      <w:szCs w:val="24"/>
    </w:rPr>
  </w:style>
  <w:style w:type="paragraph" w:customStyle="1" w:styleId="NormalIndent">
    <w:name w:val="NormalIndent"/>
    <w:basedOn w:val="Normal"/>
    <w:rsid w:val="00EC4C16"/>
    <w:pPr>
      <w:spacing w:before="240"/>
      <w:ind w:left="1800" w:hanging="900"/>
    </w:pPr>
  </w:style>
  <w:style w:type="paragraph" w:customStyle="1" w:styleId="NormalTable">
    <w:name w:val="NormalTable"/>
    <w:basedOn w:val="Normal"/>
    <w:rsid w:val="00EC4C16"/>
  </w:style>
  <w:style w:type="paragraph" w:customStyle="1" w:styleId="Numbered">
    <w:name w:val="Numbered"/>
    <w:basedOn w:val="ListParagraph"/>
    <w:rsid w:val="00EC4C16"/>
    <w:pPr>
      <w:numPr>
        <w:numId w:val="7"/>
      </w:numPr>
      <w:contextualSpacing w:val="0"/>
    </w:pPr>
  </w:style>
  <w:style w:type="paragraph" w:customStyle="1" w:styleId="NumberedSub">
    <w:name w:val="NumberedSub"/>
    <w:basedOn w:val="ListParagraph"/>
    <w:rsid w:val="00EC4C16"/>
    <w:pPr>
      <w:numPr>
        <w:numId w:val="8"/>
      </w:numPr>
      <w:contextualSpacing w:val="0"/>
    </w:pPr>
  </w:style>
  <w:style w:type="paragraph" w:customStyle="1" w:styleId="NumberedSubSub">
    <w:name w:val="NumberedSubSub"/>
    <w:basedOn w:val="ListParagraph"/>
    <w:rsid w:val="00EC4C16"/>
    <w:pPr>
      <w:numPr>
        <w:numId w:val="9"/>
      </w:numPr>
      <w:contextualSpacing w:val="0"/>
    </w:pPr>
  </w:style>
  <w:style w:type="paragraph" w:customStyle="1" w:styleId="NumberedSubSubOne">
    <w:name w:val="NumberedSubSubOne"/>
    <w:basedOn w:val="NumberedSubSub"/>
    <w:rsid w:val="00EC4C16"/>
    <w:pPr>
      <w:ind w:left="1296" w:hanging="288"/>
      <w:contextualSpacing/>
    </w:pPr>
  </w:style>
  <w:style w:type="paragraph" w:customStyle="1" w:styleId="NumberedSubSubSub">
    <w:name w:val="NumberedSubSubSub"/>
    <w:basedOn w:val="ListParagraph"/>
    <w:rsid w:val="00EC4C16"/>
    <w:pPr>
      <w:numPr>
        <w:numId w:val="10"/>
      </w:numPr>
      <w:contextualSpacing w:val="0"/>
    </w:pPr>
  </w:style>
  <w:style w:type="paragraph" w:customStyle="1" w:styleId="NumberedSubSubSubOne">
    <w:name w:val="NumberedSubSubSubOne"/>
    <w:basedOn w:val="NumberedSubSubSub"/>
    <w:rsid w:val="00EC4C16"/>
    <w:pPr>
      <w:ind w:left="1800" w:hanging="288"/>
      <w:contextualSpacing/>
    </w:pPr>
  </w:style>
  <w:style w:type="paragraph" w:customStyle="1" w:styleId="References">
    <w:name w:val="References"/>
    <w:basedOn w:val="Normal"/>
    <w:rsid w:val="00EC4C16"/>
    <w:pPr>
      <w:ind w:left="216" w:hanging="216"/>
    </w:pPr>
    <w:rPr>
      <w:rFonts w:eastAsia="SimSun" w:cs="Times New Roman"/>
      <w:color w:val="000000"/>
      <w:szCs w:val="24"/>
    </w:rPr>
  </w:style>
  <w:style w:type="paragraph" w:customStyle="1" w:styleId="Spec">
    <w:name w:val="Spec"/>
    <w:basedOn w:val="ListParagraph"/>
    <w:rsid w:val="00EC4C16"/>
    <w:pPr>
      <w:ind w:left="735" w:hanging="749"/>
      <w:contextualSpacing w:val="0"/>
    </w:pPr>
    <w:rPr>
      <w:rFonts w:eastAsia="Calibri" w:cs="Calibri"/>
    </w:rPr>
  </w:style>
  <w:style w:type="paragraph" w:customStyle="1" w:styleId="TableHead">
    <w:name w:val="TableHead"/>
    <w:basedOn w:val="Normal"/>
    <w:rsid w:val="00EC4C16"/>
    <w:pPr>
      <w:spacing w:before="20" w:after="20"/>
      <w:jc w:val="center"/>
    </w:pPr>
    <w:rPr>
      <w:b/>
    </w:rPr>
  </w:style>
  <w:style w:type="paragraph" w:customStyle="1" w:styleId="TableNote">
    <w:name w:val="TableNote"/>
    <w:basedOn w:val="Normal"/>
    <w:rsid w:val="00EC4C16"/>
    <w:rPr>
      <w:b/>
      <w:bCs/>
      <w:i/>
      <w:iCs/>
    </w:rPr>
  </w:style>
  <w:style w:type="paragraph" w:customStyle="1" w:styleId="NumberedSubSubSubSub">
    <w:name w:val="NumberedSubSubSubSub"/>
    <w:basedOn w:val="ListParagraph"/>
    <w:rsid w:val="00EC4C16"/>
    <w:pPr>
      <w:numPr>
        <w:numId w:val="11"/>
      </w:numPr>
      <w:contextualSpacing w:val="0"/>
    </w:pPr>
  </w:style>
  <w:style w:type="paragraph" w:customStyle="1" w:styleId="PerformanceExpectation">
    <w:name w:val="Performance Expectation"/>
    <w:basedOn w:val="NormalIndent"/>
    <w:rsid w:val="00EC4C16"/>
    <w:pPr>
      <w:ind w:left="630" w:firstLine="0"/>
    </w:pPr>
    <w:rPr>
      <w:b/>
    </w:rPr>
  </w:style>
  <w:style w:type="paragraph" w:customStyle="1" w:styleId="PEClarification">
    <w:name w:val="PEClarification"/>
    <w:basedOn w:val="NormalIndent"/>
    <w:rsid w:val="00EC4C16"/>
    <w:pPr>
      <w:ind w:left="634" w:firstLine="0"/>
    </w:pPr>
    <w:rPr>
      <w:color w:val="595959" w:themeColor="text1" w:themeTint="A6"/>
    </w:rPr>
  </w:style>
  <w:style w:type="paragraph" w:customStyle="1" w:styleId="TableBullets">
    <w:name w:val="TableBullets"/>
    <w:basedOn w:val="Bullets"/>
    <w:rsid w:val="00EC4C16"/>
  </w:style>
  <w:style w:type="table" w:customStyle="1" w:styleId="PEtable">
    <w:name w:val="PE table"/>
    <w:basedOn w:val="TableNormal"/>
    <w:uiPriority w:val="99"/>
    <w:rsid w:val="00EC4C16"/>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EC4C16"/>
    <w:pPr>
      <w:ind w:left="792" w:hanging="792"/>
    </w:pPr>
    <w:rPr>
      <w:rFonts w:cs="Arial"/>
      <w:szCs w:val="24"/>
    </w:rPr>
  </w:style>
  <w:style w:type="paragraph" w:customStyle="1" w:styleId="DCITargets">
    <w:name w:val="DCITargets"/>
    <w:basedOn w:val="Subpractice"/>
    <w:rsid w:val="00EC4C16"/>
    <w:pPr>
      <w:tabs>
        <w:tab w:val="right" w:pos="1440"/>
      </w:tabs>
      <w:spacing w:before="240"/>
      <w:ind w:left="1800" w:hanging="1512"/>
    </w:pPr>
  </w:style>
  <w:style w:type="paragraph" w:customStyle="1" w:styleId="NormalNote">
    <w:name w:val="NormalNote"/>
    <w:basedOn w:val="TableNote"/>
    <w:rsid w:val="00EC4C16"/>
    <w:pPr>
      <w:spacing w:before="120"/>
    </w:pPr>
  </w:style>
  <w:style w:type="character" w:customStyle="1" w:styleId="Heading4Char">
    <w:name w:val="Heading 4 Char"/>
    <w:basedOn w:val="DefaultParagraphFont"/>
    <w:link w:val="Heading4"/>
    <w:uiPriority w:val="9"/>
    <w:rsid w:val="00EC4C1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EC4C16"/>
    <w:pPr>
      <w:spacing w:after="0"/>
    </w:pPr>
    <w:rPr>
      <w:sz w:val="20"/>
      <w:szCs w:val="20"/>
    </w:rPr>
  </w:style>
  <w:style w:type="character" w:customStyle="1" w:styleId="FootnoteTextChar">
    <w:name w:val="Footnote Text Char"/>
    <w:basedOn w:val="DefaultParagraphFont"/>
    <w:link w:val="FootnoteText"/>
    <w:uiPriority w:val="99"/>
    <w:rsid w:val="00EC4C16"/>
    <w:rPr>
      <w:rFonts w:ascii="Arial" w:hAnsi="Arial"/>
      <w:sz w:val="20"/>
      <w:szCs w:val="20"/>
    </w:rPr>
  </w:style>
  <w:style w:type="character" w:styleId="FootnoteReference">
    <w:name w:val="footnote reference"/>
    <w:basedOn w:val="DefaultParagraphFont"/>
    <w:uiPriority w:val="99"/>
    <w:unhideWhenUsed/>
    <w:rsid w:val="00EC4C16"/>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EC4C16"/>
    <w:pPr>
      <w:spacing w:before="240"/>
      <w:ind w:left="1800" w:hanging="720"/>
    </w:pPr>
  </w:style>
  <w:style w:type="paragraph" w:customStyle="1" w:styleId="Subpractice-3">
    <w:name w:val="Subpractice-3"/>
    <w:basedOn w:val="Subpractice"/>
    <w:rsid w:val="00EC4C16"/>
    <w:pPr>
      <w:spacing w:before="240"/>
      <w:ind w:left="1800" w:hanging="900"/>
    </w:pPr>
  </w:style>
  <w:style w:type="paragraph" w:customStyle="1" w:styleId="HeaderName">
    <w:name w:val="Header Name"/>
    <w:basedOn w:val="Header"/>
    <w:qFormat/>
    <w:rsid w:val="00EC4C16"/>
    <w:pPr>
      <w:tabs>
        <w:tab w:val="clear" w:pos="4680"/>
      </w:tabs>
      <w:spacing w:after="240"/>
      <w:contextualSpacing/>
    </w:pPr>
    <w:rPr>
      <w:b/>
    </w:rPr>
  </w:style>
  <w:style w:type="paragraph" w:customStyle="1" w:styleId="TableHeader">
    <w:name w:val="TableHeader"/>
    <w:basedOn w:val="Normal"/>
    <w:link w:val="TableHeaderChar"/>
    <w:qFormat/>
    <w:rsid w:val="00EC4C16"/>
    <w:pPr>
      <w:spacing w:before="240"/>
    </w:pPr>
    <w:rPr>
      <w:rFonts w:cs="Arial"/>
      <w:b/>
      <w:szCs w:val="24"/>
    </w:rPr>
  </w:style>
  <w:style w:type="paragraph" w:customStyle="1" w:styleId="TableNumbers">
    <w:name w:val="TableNumbers"/>
    <w:basedOn w:val="TableBullets"/>
    <w:qFormat/>
    <w:rsid w:val="00EC4C16"/>
    <w:pPr>
      <w:numPr>
        <w:numId w:val="13"/>
      </w:numPr>
    </w:pPr>
  </w:style>
  <w:style w:type="paragraph" w:customStyle="1" w:styleId="CrossCuttingTargets">
    <w:name w:val="CrossCuttingTargets"/>
    <w:basedOn w:val="NormalIndent"/>
    <w:rsid w:val="00EC4C16"/>
  </w:style>
  <w:style w:type="paragraph" w:customStyle="1" w:styleId="Paragraph">
    <w:name w:val="Paragraph"/>
    <w:basedOn w:val="Normal"/>
    <w:qFormat/>
    <w:rsid w:val="00EC4C16"/>
    <w:pPr>
      <w:keepNext/>
      <w:keepLines/>
      <w:spacing w:before="240"/>
    </w:pPr>
    <w:rPr>
      <w:rFonts w:cs="Arial"/>
      <w:szCs w:val="24"/>
    </w:rPr>
  </w:style>
  <w:style w:type="paragraph" w:customStyle="1" w:styleId="DashedBullets">
    <w:name w:val="DashedBullets"/>
    <w:basedOn w:val="Bullets"/>
    <w:qFormat/>
    <w:rsid w:val="00EC4C16"/>
    <w:pPr>
      <w:numPr>
        <w:numId w:val="6"/>
      </w:numPr>
    </w:pPr>
  </w:style>
  <w:style w:type="paragraph" w:customStyle="1" w:styleId="ScienceFrameworkLinks">
    <w:name w:val="ScienceFrameworkLinks"/>
    <w:basedOn w:val="Normal"/>
    <w:qFormat/>
    <w:rsid w:val="00EC4C16"/>
    <w:pPr>
      <w:spacing w:before="240"/>
      <w:ind w:left="450"/>
    </w:pPr>
    <w:rPr>
      <w:rFonts w:cs="Arial"/>
      <w:i/>
      <w:szCs w:val="24"/>
    </w:rPr>
  </w:style>
  <w:style w:type="character" w:styleId="PlaceholderText">
    <w:name w:val="Placeholder Text"/>
    <w:basedOn w:val="DefaultParagraphFont"/>
    <w:uiPriority w:val="99"/>
    <w:semiHidden/>
    <w:rsid w:val="00EC4C16"/>
    <w:rPr>
      <w:color w:val="808080"/>
    </w:rPr>
  </w:style>
  <w:style w:type="character" w:customStyle="1" w:styleId="UnresolvedMention1">
    <w:name w:val="Unresolved Mention1"/>
    <w:basedOn w:val="DefaultParagraphFont"/>
    <w:uiPriority w:val="99"/>
    <w:semiHidden/>
    <w:unhideWhenUsed/>
    <w:rsid w:val="00EC4C16"/>
    <w:rPr>
      <w:color w:val="605E5C"/>
      <w:shd w:val="clear" w:color="auto" w:fill="E1DFDD"/>
    </w:rPr>
  </w:style>
  <w:style w:type="paragraph" w:customStyle="1" w:styleId="ParagraphItalic">
    <w:name w:val="ParagraphItalic"/>
    <w:basedOn w:val="Normal"/>
    <w:qFormat/>
    <w:rsid w:val="00EC4C16"/>
    <w:pPr>
      <w:spacing w:before="240"/>
    </w:pPr>
    <w:rPr>
      <w:rFonts w:cs="Arial"/>
      <w:i/>
      <w:szCs w:val="24"/>
    </w:rPr>
  </w:style>
  <w:style w:type="paragraph" w:customStyle="1" w:styleId="TableConnections">
    <w:name w:val="TableConnections"/>
    <w:basedOn w:val="TableHeader"/>
    <w:qFormat/>
    <w:rsid w:val="00EC4C16"/>
    <w:pPr>
      <w:pBdr>
        <w:top w:val="dashed" w:sz="8" w:space="8" w:color="auto"/>
      </w:pBdr>
      <w:jc w:val="center"/>
    </w:pPr>
    <w:rPr>
      <w:i/>
    </w:rPr>
  </w:style>
  <w:style w:type="paragraph" w:customStyle="1" w:styleId="TableNumbers2">
    <w:name w:val="TableNumbers2"/>
    <w:basedOn w:val="TableNumbers"/>
    <w:qFormat/>
    <w:rsid w:val="00EC4C16"/>
  </w:style>
  <w:style w:type="paragraph" w:customStyle="1" w:styleId="Default">
    <w:name w:val="Default"/>
    <w:rsid w:val="00EC4C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EC4C16"/>
    <w:pPr>
      <w:numPr>
        <w:numId w:val="4"/>
      </w:numPr>
      <w:spacing w:before="240"/>
    </w:pPr>
  </w:style>
  <w:style w:type="paragraph" w:customStyle="1" w:styleId="bulletsPhenomena">
    <w:name w:val="bulletsPhenomena"/>
    <w:basedOn w:val="ListParagraph"/>
    <w:rsid w:val="00EC4C16"/>
    <w:pPr>
      <w:numPr>
        <w:numId w:val="5"/>
      </w:numPr>
      <w:spacing w:before="240"/>
    </w:pPr>
  </w:style>
  <w:style w:type="paragraph" w:customStyle="1" w:styleId="Header4">
    <w:name w:val="Header 4"/>
    <w:basedOn w:val="Heading4"/>
    <w:link w:val="Header4Char"/>
    <w:autoRedefine/>
    <w:qFormat/>
    <w:rsid w:val="00EC4C16"/>
    <w:rPr>
      <w:color w:val="000000" w:themeColor="text1"/>
    </w:rPr>
  </w:style>
  <w:style w:type="character" w:customStyle="1" w:styleId="Header4Char">
    <w:name w:val="Header 4 Char"/>
    <w:basedOn w:val="Heading3Char"/>
    <w:link w:val="Header4"/>
    <w:rsid w:val="00EC4C16"/>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EC4C16"/>
    <w:rPr>
      <w:color w:val="605E5C"/>
      <w:shd w:val="clear" w:color="auto" w:fill="E1DFDD"/>
    </w:rPr>
  </w:style>
  <w:style w:type="character" w:customStyle="1" w:styleId="TableHeaderChar">
    <w:name w:val="TableHeader Char"/>
    <w:basedOn w:val="DefaultParagraphFont"/>
    <w:link w:val="TableHeader"/>
    <w:rsid w:val="007B4E4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iforniaeei.org/abouteei/ep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ca.gov/ta/tg/ca/documents/itemspecs-ms-ess3-2.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ci/sc/cf/documents/scifwappendix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sc/cf/cascienceframework2016.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7" ma:contentTypeDescription="Create a new document." ma:contentTypeScope="" ma:versionID="2c7876dfe5b90de618457337af5811c0">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9e3d778b52dcb33d597dc64278f7345"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2.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2D4E2D-33F4-473C-B8E0-54B787937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60696-96D1-40E4-8A07-EC0B8245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Alternate Science Item Specification—MS-ESS3-2 - CAASPP (CA Dept of Education)</vt:lpstr>
    </vt:vector>
  </TitlesOfParts>
  <Company>ETS</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Specification—MS-ESS3-2 - CAASPP (CA Dept of Education)</dc:title>
  <dc:subject>This CAA for Science item specification describes MS-ESS3-2 Earth and Space Sciences.</dc:subject>
  <dc:creator>CAASPP Program Management Team</dc:creator>
  <cp:keywords/>
  <dc:description/>
  <cp:lastModifiedBy>Charissa Hudson</cp:lastModifiedBy>
  <cp:revision>6</cp:revision>
  <cp:lastPrinted>2019-09-05T16:08:00Z</cp:lastPrinted>
  <dcterms:created xsi:type="dcterms:W3CDTF">2020-04-22T22:12:00Z</dcterms:created>
  <dcterms:modified xsi:type="dcterms:W3CDTF">2020-08-03T19:33:00Z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