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E13D" w14:textId="77777777" w:rsidR="00587EE8" w:rsidRDefault="00587EE8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29B7558" wp14:editId="19C13232">
            <wp:extent cx="1060704" cy="521208"/>
            <wp:effectExtent l="0" t="0" r="6350" b="0"/>
            <wp:docPr id="6" name="Picture 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1C1D1" w14:textId="77777777" w:rsidR="00587EE8" w:rsidRPr="00BE47C0" w:rsidRDefault="00587EE8" w:rsidP="00BE47C0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rPr>
          <w:b/>
        </w:rPr>
      </w:pPr>
      <w:r w:rsidRPr="00BE47C0">
        <w:rPr>
          <w:b/>
        </w:rPr>
        <w:t>4-PS4-2 Waves and Their Applications in Technologies for Information Transfer</w:t>
      </w:r>
    </w:p>
    <w:p w14:paraId="1EE554E8" w14:textId="77777777" w:rsidR="00587EE8" w:rsidRDefault="00587EE8" w:rsidP="004A6110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5EF703EC" w14:textId="77777777" w:rsidR="00587EE8" w:rsidRPr="005F0C21" w:rsidRDefault="00587EE8" w:rsidP="005F0C21">
      <w:pPr>
        <w:pStyle w:val="Heading1"/>
      </w:pPr>
      <w:r w:rsidRPr="005F0C21">
        <w:t>4-PS4-2 Waves and Their Applications in Technologies for Information Transfer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PS4-2."/>
      </w:tblPr>
      <w:tblGrid>
        <w:gridCol w:w="3325"/>
        <w:gridCol w:w="3510"/>
        <w:gridCol w:w="3245"/>
      </w:tblGrid>
      <w:tr w:rsidR="00587EE8" w:rsidRPr="00631B90" w14:paraId="62FE994D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5E650D" w14:textId="77777777" w:rsidR="00587EE8" w:rsidRPr="00631B90" w:rsidRDefault="00587EE8" w:rsidP="00040643">
            <w:pPr>
              <w:pStyle w:val="TableHead3"/>
            </w:pPr>
            <w:r w:rsidRPr="00631B9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578847" w14:textId="77777777" w:rsidR="00587EE8" w:rsidRPr="00631B90" w:rsidRDefault="00587EE8" w:rsidP="00631B90">
            <w:pPr>
              <w:pStyle w:val="TableHead3"/>
            </w:pPr>
            <w:r w:rsidRPr="00631B90">
              <w:t>Foc</w:t>
            </w:r>
            <w:r>
              <w:t xml:space="preserve">al </w:t>
            </w:r>
            <w:r w:rsidRPr="00631B90">
              <w:t>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13DC7E" w14:textId="77777777" w:rsidR="00587EE8" w:rsidRPr="00631B90" w:rsidRDefault="00587EE8" w:rsidP="00040643">
            <w:pPr>
              <w:pStyle w:val="TableHead3"/>
            </w:pPr>
            <w:r w:rsidRPr="00631B90">
              <w:t>Essential Understanding</w:t>
            </w:r>
          </w:p>
        </w:tc>
      </w:tr>
      <w:tr w:rsidR="00587EE8" w:rsidRPr="00510C04" w14:paraId="6FCAA165" w14:textId="77777777" w:rsidTr="00631B90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5C4BFC68" w14:textId="77777777" w:rsidR="00587EE8" w:rsidRPr="007C2824" w:rsidRDefault="00587EE8" w:rsidP="00631B90">
            <w:pPr>
              <w:pStyle w:val="TableBullets3"/>
              <w:numPr>
                <w:ilvl w:val="0"/>
                <w:numId w:val="0"/>
              </w:numPr>
              <w:spacing w:before="0" w:after="0"/>
            </w:pPr>
            <w:r w:rsidRPr="00800B2C">
              <w:t>Recognize that an object can be seen when light reflected from its surface enters the eye.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6A1F0F06" w14:textId="77777777" w:rsidR="00587EE8" w:rsidRPr="0046361F" w:rsidRDefault="00587EE8" w:rsidP="00587EE8">
            <w:pPr>
              <w:pStyle w:val="TableBullets3"/>
              <w:numPr>
                <w:ilvl w:val="0"/>
                <w:numId w:val="12"/>
              </w:numPr>
              <w:spacing w:before="0" w:after="0"/>
              <w:rPr>
                <w:rFonts w:cs="Arial"/>
                <w:szCs w:val="24"/>
              </w:rPr>
            </w:pPr>
            <w:r w:rsidRPr="00800B2C">
              <w:t>Ability to recognize that an object can be seen when light reflected from its surface enters the eye.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449052F0" w14:textId="77777777" w:rsidR="00587EE8" w:rsidRPr="00311FAD" w:rsidRDefault="00587EE8" w:rsidP="00631B90">
            <w:pPr>
              <w:pStyle w:val="TableBullets3"/>
              <w:numPr>
                <w:ilvl w:val="0"/>
                <w:numId w:val="0"/>
              </w:numPr>
              <w:spacing w:before="0" w:after="0"/>
            </w:pPr>
            <w:r w:rsidRPr="00800B2C">
              <w:t>Compare the quality of sight before and after dimming a light source.</w:t>
            </w:r>
          </w:p>
        </w:tc>
      </w:tr>
    </w:tbl>
    <w:p w14:paraId="4B9E8239" w14:textId="77777777" w:rsidR="00587EE8" w:rsidRPr="005F0C21" w:rsidRDefault="00587EE8" w:rsidP="005F0C21">
      <w:pPr>
        <w:pStyle w:val="Heading2"/>
      </w:pPr>
      <w:r w:rsidRPr="005F0C21">
        <w:t>CA NGSS Performance Expectation</w:t>
      </w:r>
    </w:p>
    <w:p w14:paraId="1AF69927" w14:textId="77777777" w:rsidR="00587EE8" w:rsidRDefault="00587EE8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015E3BD9" w14:textId="77777777" w:rsidR="00587EE8" w:rsidRPr="00096B70" w:rsidRDefault="00587EE8" w:rsidP="00FF05BB">
      <w:r w:rsidRPr="00800B2C">
        <w:rPr>
          <w:b/>
          <w:bCs/>
        </w:rPr>
        <w:t>Develop a model to describe that light reflecting from objects and entering the eye allows objects to be seen.</w:t>
      </w:r>
      <w:r>
        <w:rPr>
          <w:b/>
          <w:bCs/>
        </w:rPr>
        <w:t xml:space="preserve"> </w:t>
      </w:r>
      <w:r>
        <w:rPr>
          <w:i/>
        </w:rPr>
        <w:t>[</w:t>
      </w:r>
      <w:r w:rsidRPr="009C63E2">
        <w:rPr>
          <w:i/>
        </w:rPr>
        <w:t>Assessment Boundary</w:t>
      </w:r>
      <w:r w:rsidRPr="009C63E2">
        <w:t xml:space="preserve">: </w:t>
      </w:r>
      <w:r w:rsidRPr="00800B2C">
        <w:rPr>
          <w:i/>
        </w:rPr>
        <w:t>Assessment does not include knowledge of specific colors reflected and seen, the cellular mechanisms of vision, or how the retina works. (Comparisons should be absolute (light vs</w:t>
      </w:r>
      <w:r>
        <w:rPr>
          <w:i/>
        </w:rPr>
        <w:t>.</w:t>
      </w:r>
      <w:r w:rsidRPr="00800B2C">
        <w:rPr>
          <w:i/>
        </w:rPr>
        <w:t xml:space="preserve"> dark) rather than incremental changes in brightness.)</w:t>
      </w:r>
      <w:r>
        <w:rPr>
          <w:i/>
        </w:rPr>
        <w:t>]</w:t>
      </w:r>
    </w:p>
    <w:p w14:paraId="172A9CAC" w14:textId="77777777" w:rsidR="00587EE8" w:rsidRDefault="00587EE8" w:rsidP="005F0C21">
      <w:pPr>
        <w:pStyle w:val="Heading2"/>
      </w:pPr>
      <w:r>
        <w:t>Mastery Statements</w:t>
      </w:r>
    </w:p>
    <w:p w14:paraId="58C925BC" w14:textId="77777777" w:rsidR="00587EE8" w:rsidRPr="000C36C7" w:rsidRDefault="00587EE8" w:rsidP="00BE47C0">
      <w:pPr>
        <w:spacing w:after="240"/>
      </w:pPr>
      <w:r w:rsidRPr="000C36C7">
        <w:t>Students will be able to:</w:t>
      </w:r>
    </w:p>
    <w:p w14:paraId="37B98BEE" w14:textId="77777777" w:rsidR="00587EE8" w:rsidRPr="006C1AC6" w:rsidRDefault="00587EE8" w:rsidP="00587EE8">
      <w:pPr>
        <w:pStyle w:val="bulletsMastery2"/>
        <w:numPr>
          <w:ilvl w:val="0"/>
          <w:numId w:val="9"/>
        </w:numPr>
        <w:ind w:left="720"/>
      </w:pPr>
      <w:r w:rsidRPr="006C1AC6">
        <w:t>Identify light as necessary to see</w:t>
      </w:r>
    </w:p>
    <w:p w14:paraId="6439F789" w14:textId="77777777" w:rsidR="00587EE8" w:rsidRPr="006C1AC6" w:rsidRDefault="00587EE8" w:rsidP="00587EE8">
      <w:pPr>
        <w:pStyle w:val="bulletsMastery2"/>
        <w:numPr>
          <w:ilvl w:val="0"/>
          <w:numId w:val="9"/>
        </w:numPr>
        <w:ind w:left="720"/>
      </w:pPr>
      <w:r w:rsidRPr="006C1AC6">
        <w:t>Identify darkness as a condition that impairs sight</w:t>
      </w:r>
    </w:p>
    <w:p w14:paraId="1EDA26F3" w14:textId="77777777" w:rsidR="00587EE8" w:rsidRPr="006C1AC6" w:rsidRDefault="00587EE8" w:rsidP="00587EE8">
      <w:pPr>
        <w:pStyle w:val="bulletsMastery2"/>
        <w:numPr>
          <w:ilvl w:val="0"/>
          <w:numId w:val="9"/>
        </w:numPr>
        <w:ind w:left="720"/>
      </w:pPr>
      <w:r w:rsidRPr="006C1AC6">
        <w:t>Identify the resulting views when the brightness of light changes</w:t>
      </w:r>
    </w:p>
    <w:p w14:paraId="32150C7F" w14:textId="77777777" w:rsidR="00587EE8" w:rsidRPr="006C1AC6" w:rsidRDefault="00587EE8" w:rsidP="00587EE8">
      <w:pPr>
        <w:pStyle w:val="bulletsMastery2"/>
        <w:numPr>
          <w:ilvl w:val="0"/>
          <w:numId w:val="9"/>
        </w:numPr>
        <w:ind w:left="720"/>
      </w:pPr>
      <w:r w:rsidRPr="006C1AC6">
        <w:t>Identify the correct path of light that enables a person to see</w:t>
      </w:r>
    </w:p>
    <w:p w14:paraId="6C8D4444" w14:textId="77777777" w:rsidR="00587EE8" w:rsidRPr="006C1AC6" w:rsidRDefault="00587EE8" w:rsidP="00587EE8">
      <w:pPr>
        <w:pStyle w:val="bulletsMastery2"/>
        <w:numPr>
          <w:ilvl w:val="0"/>
          <w:numId w:val="9"/>
        </w:numPr>
        <w:ind w:left="720"/>
      </w:pPr>
      <w:r w:rsidRPr="006C1AC6">
        <w:t>Identify that light must enter the eye in order to see</w:t>
      </w:r>
    </w:p>
    <w:p w14:paraId="0280E6A2" w14:textId="77777777" w:rsidR="00587EE8" w:rsidRPr="006C1AC6" w:rsidRDefault="00587EE8" w:rsidP="00587EE8">
      <w:pPr>
        <w:pStyle w:val="bulletsMastery2"/>
        <w:numPr>
          <w:ilvl w:val="0"/>
          <w:numId w:val="9"/>
        </w:numPr>
        <w:ind w:left="720"/>
      </w:pPr>
      <w:r w:rsidRPr="006C1AC6">
        <w:t>Identify that light must reflect off an object in order for the object to be seen</w:t>
      </w:r>
    </w:p>
    <w:p w14:paraId="261C8721" w14:textId="77777777" w:rsidR="00587EE8" w:rsidRPr="006C1AC6" w:rsidRDefault="00587EE8" w:rsidP="00587EE8">
      <w:pPr>
        <w:pStyle w:val="bulletsMastery2"/>
        <w:numPr>
          <w:ilvl w:val="0"/>
          <w:numId w:val="9"/>
        </w:numPr>
        <w:ind w:left="720"/>
      </w:pPr>
      <w:r w:rsidRPr="006C1AC6">
        <w:t>Identify that light must reflect off an object and enter a person’s eye for the person to see the object</w:t>
      </w:r>
    </w:p>
    <w:p w14:paraId="2F78D243" w14:textId="77777777" w:rsidR="00587EE8" w:rsidRPr="006C1AC6" w:rsidRDefault="00587EE8" w:rsidP="00587EE8">
      <w:pPr>
        <w:pStyle w:val="bulletsMastery2"/>
        <w:numPr>
          <w:ilvl w:val="0"/>
          <w:numId w:val="9"/>
        </w:numPr>
        <w:ind w:left="720"/>
      </w:pPr>
      <w:r w:rsidRPr="006C1AC6">
        <w:t>Complete a diagram to create the correct path light must travel in order for an object to be seen</w:t>
      </w:r>
    </w:p>
    <w:p w14:paraId="49271394" w14:textId="77777777" w:rsidR="00587EE8" w:rsidRDefault="00587EE8" w:rsidP="005F0C21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7B26FA4A" w14:textId="77777777" w:rsidR="00587EE8" w:rsidRDefault="00587EE8" w:rsidP="00BE47C0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15CEDCF" w14:textId="77777777" w:rsidR="00587EE8" w:rsidRPr="000C36C7" w:rsidRDefault="00587EE8" w:rsidP="00BE47C0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51BDAAC" w14:textId="77777777" w:rsidR="00587EE8" w:rsidRPr="006C1AC6" w:rsidRDefault="00587EE8" w:rsidP="00587EE8">
      <w:pPr>
        <w:pStyle w:val="bulletsPhenomena3"/>
        <w:numPr>
          <w:ilvl w:val="0"/>
          <w:numId w:val="11"/>
        </w:numPr>
      </w:pPr>
      <w:r w:rsidRPr="006C1AC6">
        <w:t>Removing, turning off, completely blocking, or decreasing the intensity of a light source</w:t>
      </w:r>
    </w:p>
    <w:p w14:paraId="18A09C01" w14:textId="77777777" w:rsidR="00587EE8" w:rsidRPr="006C1AC6" w:rsidRDefault="00587EE8" w:rsidP="00587EE8">
      <w:pPr>
        <w:pStyle w:val="bulletsPhenomena3"/>
        <w:numPr>
          <w:ilvl w:val="0"/>
          <w:numId w:val="11"/>
        </w:numPr>
      </w:pPr>
      <w:r w:rsidRPr="006C1AC6">
        <w:t>Producing shadows by partially blocking a light source</w:t>
      </w:r>
    </w:p>
    <w:p w14:paraId="648D8995" w14:textId="77777777" w:rsidR="00587EE8" w:rsidRPr="006C1AC6" w:rsidRDefault="00587EE8" w:rsidP="00587EE8">
      <w:pPr>
        <w:pStyle w:val="bulletsPhenomena3"/>
        <w:numPr>
          <w:ilvl w:val="0"/>
          <w:numId w:val="11"/>
        </w:numPr>
      </w:pPr>
      <w:r w:rsidRPr="006C1AC6">
        <w:t>Using a translucent/opaque barrier between an object and an eye</w:t>
      </w:r>
    </w:p>
    <w:p w14:paraId="24E41450" w14:textId="77777777" w:rsidR="00587EE8" w:rsidRPr="006C1AC6" w:rsidRDefault="00587EE8" w:rsidP="00587EE8">
      <w:pPr>
        <w:pStyle w:val="bulletsPhenomena3"/>
        <w:numPr>
          <w:ilvl w:val="0"/>
          <w:numId w:val="11"/>
        </w:numPr>
      </w:pPr>
      <w:r w:rsidRPr="006C1AC6">
        <w:t>Using the path of light reflecting off an object to the eye</w:t>
      </w:r>
    </w:p>
    <w:p w14:paraId="5CEC0C37" w14:textId="77777777" w:rsidR="00587EE8" w:rsidRPr="006C1AC6" w:rsidRDefault="00587EE8" w:rsidP="00587EE8">
      <w:pPr>
        <w:pStyle w:val="bulletsPhenomena3"/>
        <w:numPr>
          <w:ilvl w:val="0"/>
          <w:numId w:val="11"/>
        </w:numPr>
      </w:pPr>
      <w:r w:rsidRPr="006C1AC6">
        <w:t>Showing that an object cannot be observed without light reflecting off of its surface</w:t>
      </w:r>
    </w:p>
    <w:p w14:paraId="669D7AF0" w14:textId="77777777" w:rsidR="00587EE8" w:rsidRDefault="00587EE8" w:rsidP="005F0C21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428224AD" w14:textId="77777777" w:rsidR="00587EE8" w:rsidRPr="0004240E" w:rsidRDefault="00587EE8" w:rsidP="00587EE8">
      <w:pPr>
        <w:pStyle w:val="Bullets3"/>
        <w:tabs>
          <w:tab w:val="clear" w:pos="1440"/>
        </w:tabs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15C5D25F" w14:textId="77777777" w:rsidR="00587EE8" w:rsidRPr="00AB7B8F" w:rsidRDefault="00587EE8" w:rsidP="005F0C21">
      <w:pPr>
        <w:pStyle w:val="Heading2"/>
      </w:pPr>
      <w:r>
        <w:t>Additional References</w:t>
      </w:r>
    </w:p>
    <w:p w14:paraId="612451F6" w14:textId="77777777" w:rsidR="00587EE8" w:rsidRPr="00130DBA" w:rsidRDefault="00587EE8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4-P</w:t>
      </w:r>
      <w:r w:rsidRPr="00130DBA">
        <w:rPr>
          <w:rFonts w:cs="Arial"/>
          <w:color w:val="000000"/>
          <w:szCs w:val="24"/>
        </w:rPr>
        <w:t>S4-2</w:t>
      </w:r>
    </w:p>
    <w:p w14:paraId="49694733" w14:textId="77777777" w:rsidR="00587EE8" w:rsidRPr="00EA1D2C" w:rsidRDefault="00587EE8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4-PS4-2" w:history="1">
        <w:r w:rsidRPr="00C71DCE">
          <w:rPr>
            <w:rStyle w:val="Hyperlink"/>
          </w:rPr>
          <w:t>https://www.cde.ca.gov/ta/tg/ca/documents/itemspecs-4-ps4-2.docx</w:t>
        </w:r>
      </w:hyperlink>
    </w:p>
    <w:p w14:paraId="66DD3A87" w14:textId="77777777" w:rsidR="00587EE8" w:rsidRPr="009258F0" w:rsidRDefault="00587EE8" w:rsidP="008F4E45">
      <w:pPr>
        <w:pStyle w:val="Paragraph3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01B466D" w14:textId="77777777" w:rsidR="00587EE8" w:rsidRDefault="00587EE8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169A754" w14:textId="77777777" w:rsidR="00587EE8" w:rsidRPr="0022446A" w:rsidRDefault="00587EE8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D45124B" w14:textId="77777777" w:rsidR="00587EE8" w:rsidRDefault="00587EE8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2DDB7361" w14:textId="77777777" w:rsidR="00587EE8" w:rsidRDefault="00587EE8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6E6298D" w14:textId="77777777" w:rsidR="00587EE8" w:rsidRDefault="00587EE8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6763A1A0" w:rsidR="00130DBA" w:rsidRPr="00311FAD" w:rsidRDefault="00587EE8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F2E74" w14:textId="77777777" w:rsidR="002F4D86" w:rsidRDefault="002F4D86" w:rsidP="007525D5">
      <w:r>
        <w:separator/>
      </w:r>
    </w:p>
  </w:endnote>
  <w:endnote w:type="continuationSeparator" w:id="0">
    <w:p w14:paraId="038B6360" w14:textId="77777777" w:rsidR="002F4D86" w:rsidRDefault="002F4D86" w:rsidP="007525D5">
      <w:r>
        <w:continuationSeparator/>
      </w:r>
    </w:p>
  </w:endnote>
  <w:endnote w:type="continuationNotice" w:id="1">
    <w:p w14:paraId="08FECD60" w14:textId="77777777" w:rsidR="002F4D86" w:rsidRDefault="002F4D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631B90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631B90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728A" w14:textId="77777777" w:rsidR="002F4D86" w:rsidRDefault="002F4D86" w:rsidP="007525D5">
      <w:r>
        <w:separator/>
      </w:r>
    </w:p>
  </w:footnote>
  <w:footnote w:type="continuationSeparator" w:id="0">
    <w:p w14:paraId="65898295" w14:textId="77777777" w:rsidR="002F4D86" w:rsidRDefault="002F4D86" w:rsidP="007525D5">
      <w:r>
        <w:continuationSeparator/>
      </w:r>
    </w:p>
  </w:footnote>
  <w:footnote w:type="continuationNotice" w:id="1">
    <w:p w14:paraId="6EDCE121" w14:textId="77777777" w:rsidR="002F4D86" w:rsidRDefault="002F4D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4D90E65C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707ED">
      <w:rPr>
        <w:noProof/>
      </w:rPr>
      <w:t>4-PS4-2 Waves and Their Applications in Technologies for Information Transfer</w:t>
    </w:r>
    <w:r>
      <w:rPr>
        <w:noProof/>
      </w:rPr>
      <w:fldChar w:fldCharType="end"/>
    </w:r>
  </w:p>
  <w:p w14:paraId="6A66E50B" w14:textId="106103AD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302C3F">
      <w:t xml:space="preserve">Alternate </w:t>
    </w:r>
    <w:r>
      <w:t xml:space="preserve">Assessment for </w:t>
    </w:r>
    <w:r w:rsidRPr="00B63D23">
      <w:t>Science—Item</w:t>
    </w:r>
    <w:r w:rsidR="00BE47C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9D5AB9"/>
    <w:multiLevelType w:val="hybridMultilevel"/>
    <w:tmpl w:val="0A84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5BA"/>
    <w:multiLevelType w:val="hybridMultilevel"/>
    <w:tmpl w:val="BAF8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706E9"/>
    <w:multiLevelType w:val="hybridMultilevel"/>
    <w:tmpl w:val="96B4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6292"/>
    <w:multiLevelType w:val="hybridMultilevel"/>
    <w:tmpl w:val="C7F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F10C7"/>
    <w:multiLevelType w:val="hybridMultilevel"/>
    <w:tmpl w:val="C04A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B17FE"/>
    <w:multiLevelType w:val="hybridMultilevel"/>
    <w:tmpl w:val="3D66024A"/>
    <w:lvl w:ilvl="0" w:tplc="412207FA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90069"/>
    <w:multiLevelType w:val="hybridMultilevel"/>
    <w:tmpl w:val="F686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534445">
    <w:abstractNumId w:val="9"/>
  </w:num>
  <w:num w:numId="2" w16cid:durableId="908727771">
    <w:abstractNumId w:val="10"/>
  </w:num>
  <w:num w:numId="3" w16cid:durableId="664825545">
    <w:abstractNumId w:val="11"/>
  </w:num>
  <w:num w:numId="4" w16cid:durableId="1059787539">
    <w:abstractNumId w:val="8"/>
  </w:num>
  <w:num w:numId="5" w16cid:durableId="947810657">
    <w:abstractNumId w:val="12"/>
  </w:num>
  <w:num w:numId="6" w16cid:durableId="1492521844">
    <w:abstractNumId w:val="14"/>
  </w:num>
  <w:num w:numId="7" w16cid:durableId="857280980">
    <w:abstractNumId w:val="23"/>
  </w:num>
  <w:num w:numId="8" w16cid:durableId="169224796">
    <w:abstractNumId w:val="17"/>
  </w:num>
  <w:num w:numId="9" w16cid:durableId="1821385070">
    <w:abstractNumId w:val="16"/>
  </w:num>
  <w:num w:numId="10" w16cid:durableId="1853495233">
    <w:abstractNumId w:val="21"/>
  </w:num>
  <w:num w:numId="11" w16cid:durableId="824932050">
    <w:abstractNumId w:val="18"/>
  </w:num>
  <w:num w:numId="12" w16cid:durableId="103119607">
    <w:abstractNumId w:val="13"/>
  </w:num>
  <w:num w:numId="13" w16cid:durableId="1489707577">
    <w:abstractNumId w:val="4"/>
  </w:num>
  <w:num w:numId="14" w16cid:durableId="146017985">
    <w:abstractNumId w:val="3"/>
  </w:num>
  <w:num w:numId="15" w16cid:durableId="513956820">
    <w:abstractNumId w:val="20"/>
  </w:num>
  <w:num w:numId="16" w16cid:durableId="731083637">
    <w:abstractNumId w:val="15"/>
  </w:num>
  <w:num w:numId="17" w16cid:durableId="330372982">
    <w:abstractNumId w:val="19"/>
  </w:num>
  <w:num w:numId="18" w16cid:durableId="1197810195">
    <w:abstractNumId w:val="5"/>
  </w:num>
  <w:num w:numId="19" w16cid:durableId="1135561030">
    <w:abstractNumId w:val="2"/>
  </w:num>
  <w:num w:numId="20" w16cid:durableId="619801946">
    <w:abstractNumId w:val="22"/>
  </w:num>
  <w:num w:numId="21" w16cid:durableId="1002046795">
    <w:abstractNumId w:val="6"/>
  </w:num>
  <w:num w:numId="22" w16cid:durableId="813717012">
    <w:abstractNumId w:val="7"/>
  </w:num>
  <w:num w:numId="23" w16cid:durableId="2006545844">
    <w:abstractNumId w:val="1"/>
  </w:num>
  <w:num w:numId="24" w16cid:durableId="19277220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44EF2"/>
    <w:rsid w:val="000503DE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25AF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47E0"/>
    <w:rsid w:val="001A6986"/>
    <w:rsid w:val="001A6AA0"/>
    <w:rsid w:val="001A6DDC"/>
    <w:rsid w:val="001B0AD0"/>
    <w:rsid w:val="001B418F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4F6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7ED"/>
    <w:rsid w:val="002F4D86"/>
    <w:rsid w:val="002F4F34"/>
    <w:rsid w:val="002F7649"/>
    <w:rsid w:val="003023B9"/>
    <w:rsid w:val="00302C3F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2F72"/>
    <w:rsid w:val="0036567B"/>
    <w:rsid w:val="00367DC6"/>
    <w:rsid w:val="003720F2"/>
    <w:rsid w:val="0037623A"/>
    <w:rsid w:val="00383E31"/>
    <w:rsid w:val="00386C80"/>
    <w:rsid w:val="003902B4"/>
    <w:rsid w:val="0039167D"/>
    <w:rsid w:val="00395F79"/>
    <w:rsid w:val="003A3630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D3F"/>
    <w:rsid w:val="003F2F75"/>
    <w:rsid w:val="00401A1E"/>
    <w:rsid w:val="004066DA"/>
    <w:rsid w:val="0041407C"/>
    <w:rsid w:val="00425341"/>
    <w:rsid w:val="00430496"/>
    <w:rsid w:val="00433A09"/>
    <w:rsid w:val="00446598"/>
    <w:rsid w:val="00447560"/>
    <w:rsid w:val="0045248F"/>
    <w:rsid w:val="004536BF"/>
    <w:rsid w:val="00453737"/>
    <w:rsid w:val="00453FDC"/>
    <w:rsid w:val="00454650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96435"/>
    <w:rsid w:val="004A1315"/>
    <w:rsid w:val="004A32CB"/>
    <w:rsid w:val="004A6110"/>
    <w:rsid w:val="004B13B0"/>
    <w:rsid w:val="004B28DF"/>
    <w:rsid w:val="004B61C1"/>
    <w:rsid w:val="004B7CF9"/>
    <w:rsid w:val="004C44AC"/>
    <w:rsid w:val="004C50EA"/>
    <w:rsid w:val="004C56F7"/>
    <w:rsid w:val="004D0265"/>
    <w:rsid w:val="004D0690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87EE8"/>
    <w:rsid w:val="00591378"/>
    <w:rsid w:val="005A09DA"/>
    <w:rsid w:val="005B1096"/>
    <w:rsid w:val="005B5700"/>
    <w:rsid w:val="005C5274"/>
    <w:rsid w:val="005D0D85"/>
    <w:rsid w:val="005D7B3B"/>
    <w:rsid w:val="005E546B"/>
    <w:rsid w:val="005F0C21"/>
    <w:rsid w:val="005F46A7"/>
    <w:rsid w:val="005F7177"/>
    <w:rsid w:val="005F7E12"/>
    <w:rsid w:val="00600F38"/>
    <w:rsid w:val="00602B92"/>
    <w:rsid w:val="00603FE2"/>
    <w:rsid w:val="0061242E"/>
    <w:rsid w:val="00613FF3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B90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75AB4"/>
    <w:rsid w:val="00682EED"/>
    <w:rsid w:val="00682FA3"/>
    <w:rsid w:val="00684BE2"/>
    <w:rsid w:val="00684CCB"/>
    <w:rsid w:val="00686355"/>
    <w:rsid w:val="0069753A"/>
    <w:rsid w:val="006A7AE5"/>
    <w:rsid w:val="006B43F1"/>
    <w:rsid w:val="006B60C4"/>
    <w:rsid w:val="006C019A"/>
    <w:rsid w:val="006C1CA0"/>
    <w:rsid w:val="006C2676"/>
    <w:rsid w:val="006C695E"/>
    <w:rsid w:val="006C6DA8"/>
    <w:rsid w:val="006C7787"/>
    <w:rsid w:val="006D15A6"/>
    <w:rsid w:val="006E00C3"/>
    <w:rsid w:val="006E6884"/>
    <w:rsid w:val="006F2016"/>
    <w:rsid w:val="007004B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95D41"/>
    <w:rsid w:val="007A3516"/>
    <w:rsid w:val="007A7155"/>
    <w:rsid w:val="007A7747"/>
    <w:rsid w:val="007B2C69"/>
    <w:rsid w:val="007B620D"/>
    <w:rsid w:val="007B7907"/>
    <w:rsid w:val="007C0518"/>
    <w:rsid w:val="007C2824"/>
    <w:rsid w:val="007C3B49"/>
    <w:rsid w:val="007C519F"/>
    <w:rsid w:val="007D48D1"/>
    <w:rsid w:val="007E45EA"/>
    <w:rsid w:val="007E46AB"/>
    <w:rsid w:val="007E775A"/>
    <w:rsid w:val="007F0618"/>
    <w:rsid w:val="007F7774"/>
    <w:rsid w:val="00800A96"/>
    <w:rsid w:val="00800B2C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752"/>
    <w:rsid w:val="00872A5E"/>
    <w:rsid w:val="00874986"/>
    <w:rsid w:val="00885A81"/>
    <w:rsid w:val="00885C96"/>
    <w:rsid w:val="00886EEB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06C72"/>
    <w:rsid w:val="00911299"/>
    <w:rsid w:val="00914743"/>
    <w:rsid w:val="0092412A"/>
    <w:rsid w:val="00924AD5"/>
    <w:rsid w:val="0092682A"/>
    <w:rsid w:val="009322EA"/>
    <w:rsid w:val="00935CE2"/>
    <w:rsid w:val="009365C5"/>
    <w:rsid w:val="009430FA"/>
    <w:rsid w:val="00946615"/>
    <w:rsid w:val="009520D5"/>
    <w:rsid w:val="00952FAB"/>
    <w:rsid w:val="0096109E"/>
    <w:rsid w:val="00961476"/>
    <w:rsid w:val="0097029B"/>
    <w:rsid w:val="00970B7F"/>
    <w:rsid w:val="0097285D"/>
    <w:rsid w:val="00975E36"/>
    <w:rsid w:val="009834BC"/>
    <w:rsid w:val="009850FD"/>
    <w:rsid w:val="009854D9"/>
    <w:rsid w:val="0098709A"/>
    <w:rsid w:val="009A0EF6"/>
    <w:rsid w:val="009A5B59"/>
    <w:rsid w:val="009B0342"/>
    <w:rsid w:val="009B0D34"/>
    <w:rsid w:val="009B1846"/>
    <w:rsid w:val="009B269F"/>
    <w:rsid w:val="009B34EE"/>
    <w:rsid w:val="009B76B3"/>
    <w:rsid w:val="009C21B9"/>
    <w:rsid w:val="009C4BE7"/>
    <w:rsid w:val="009C63E2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3F2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2682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A015C"/>
    <w:rsid w:val="00AA01ED"/>
    <w:rsid w:val="00AA0E48"/>
    <w:rsid w:val="00AB1684"/>
    <w:rsid w:val="00AB4E9E"/>
    <w:rsid w:val="00AB58B1"/>
    <w:rsid w:val="00AB7B8F"/>
    <w:rsid w:val="00AC034C"/>
    <w:rsid w:val="00AC64DA"/>
    <w:rsid w:val="00AC778A"/>
    <w:rsid w:val="00AC7C42"/>
    <w:rsid w:val="00AE09CA"/>
    <w:rsid w:val="00AE115A"/>
    <w:rsid w:val="00AE1251"/>
    <w:rsid w:val="00AF146A"/>
    <w:rsid w:val="00AF1646"/>
    <w:rsid w:val="00AF44FE"/>
    <w:rsid w:val="00AF6BE0"/>
    <w:rsid w:val="00AF7452"/>
    <w:rsid w:val="00B02982"/>
    <w:rsid w:val="00B05F41"/>
    <w:rsid w:val="00B176BC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008C"/>
    <w:rsid w:val="00B63665"/>
    <w:rsid w:val="00B63D23"/>
    <w:rsid w:val="00B6683C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47C0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235"/>
    <w:rsid w:val="00C57FB8"/>
    <w:rsid w:val="00C6190C"/>
    <w:rsid w:val="00C61A1E"/>
    <w:rsid w:val="00C63D59"/>
    <w:rsid w:val="00C67026"/>
    <w:rsid w:val="00C677C1"/>
    <w:rsid w:val="00C700F7"/>
    <w:rsid w:val="00C745E8"/>
    <w:rsid w:val="00C801A9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CF62DF"/>
    <w:rsid w:val="00D00FC4"/>
    <w:rsid w:val="00D01B4E"/>
    <w:rsid w:val="00D01DF7"/>
    <w:rsid w:val="00D041E7"/>
    <w:rsid w:val="00D04BBD"/>
    <w:rsid w:val="00D16782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7AA"/>
    <w:rsid w:val="00D6386C"/>
    <w:rsid w:val="00D643C6"/>
    <w:rsid w:val="00D67469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0E28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27F7"/>
    <w:rsid w:val="00E63ED9"/>
    <w:rsid w:val="00E707ED"/>
    <w:rsid w:val="00E7262B"/>
    <w:rsid w:val="00E72980"/>
    <w:rsid w:val="00E75CAE"/>
    <w:rsid w:val="00E82F54"/>
    <w:rsid w:val="00E85B5A"/>
    <w:rsid w:val="00E86459"/>
    <w:rsid w:val="00E87DA0"/>
    <w:rsid w:val="00E900BB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18D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468FD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05BB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F0C21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F0C21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bulletsMastery"/>
    <w:rsid w:val="00F468FD"/>
  </w:style>
  <w:style w:type="character" w:customStyle="1" w:styleId="Heading1Char">
    <w:name w:val="Heading 1 Char"/>
    <w:link w:val="Heading1"/>
    <w:rsid w:val="005F0C21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5F0C21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613FF3"/>
    <w:pPr>
      <w:numPr>
        <w:numId w:val="9"/>
      </w:numPr>
      <w:spacing w:after="240"/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7004B6"/>
    <w:pPr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7004B6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37AA"/>
    <w:rPr>
      <w:color w:val="605E5C"/>
      <w:shd w:val="clear" w:color="auto" w:fill="E1DFDD"/>
    </w:rPr>
  </w:style>
  <w:style w:type="paragraph" w:customStyle="1" w:styleId="Bullets3">
    <w:name w:val="Bullets3"/>
    <w:basedOn w:val="bulletsMastery"/>
    <w:rsid w:val="00587EE8"/>
    <w:pPr>
      <w:tabs>
        <w:tab w:val="num" w:pos="1440"/>
      </w:tabs>
    </w:pPr>
  </w:style>
  <w:style w:type="character" w:customStyle="1" w:styleId="Heading2Char4">
    <w:name w:val="Heading 2 Char4"/>
    <w:basedOn w:val="DefaultParagraphFont"/>
    <w:rsid w:val="00587EE8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Head3">
    <w:name w:val="TableHead3"/>
    <w:basedOn w:val="Normal"/>
    <w:rsid w:val="00587EE8"/>
    <w:pPr>
      <w:spacing w:before="20" w:after="20"/>
      <w:jc w:val="center"/>
    </w:pPr>
    <w:rPr>
      <w:b/>
    </w:rPr>
  </w:style>
  <w:style w:type="paragraph" w:customStyle="1" w:styleId="TableBullets3">
    <w:name w:val="TableBullets3"/>
    <w:basedOn w:val="Bullets"/>
    <w:rsid w:val="00587EE8"/>
    <w:pPr>
      <w:tabs>
        <w:tab w:val="num" w:pos="1440"/>
      </w:tabs>
      <w:spacing w:before="240"/>
    </w:pPr>
  </w:style>
  <w:style w:type="paragraph" w:customStyle="1" w:styleId="HeaderName3">
    <w:name w:val="Header Name3"/>
    <w:basedOn w:val="Header"/>
    <w:qFormat/>
    <w:rsid w:val="00587EE8"/>
    <w:pPr>
      <w:tabs>
        <w:tab w:val="clear" w:pos="4680"/>
      </w:tabs>
      <w:spacing w:after="240"/>
      <w:contextualSpacing/>
    </w:pPr>
    <w:rPr>
      <w:b/>
    </w:rPr>
  </w:style>
  <w:style w:type="paragraph" w:customStyle="1" w:styleId="Paragraph3">
    <w:name w:val="Paragraph3"/>
    <w:basedOn w:val="Normal"/>
    <w:qFormat/>
    <w:rsid w:val="00587EE8"/>
    <w:pPr>
      <w:keepNext/>
      <w:keepLines/>
      <w:spacing w:before="240" w:after="240"/>
    </w:pPr>
    <w:rPr>
      <w:rFonts w:cs="Arial"/>
      <w:szCs w:val="24"/>
    </w:rPr>
  </w:style>
  <w:style w:type="paragraph" w:customStyle="1" w:styleId="bulletsMastery2">
    <w:name w:val="bulletsMastery2"/>
    <w:basedOn w:val="ListParagraph"/>
    <w:rsid w:val="00587EE8"/>
    <w:pPr>
      <w:spacing w:after="240"/>
      <w:ind w:hanging="360"/>
      <w:contextualSpacing w:val="0"/>
    </w:pPr>
  </w:style>
  <w:style w:type="paragraph" w:customStyle="1" w:styleId="bulletsPhenomena3">
    <w:name w:val="bulletsPhenomena3"/>
    <w:basedOn w:val="ListParagraph"/>
    <w:rsid w:val="00587EE8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4-ps4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A59871C-58E7-4A5B-9818-D80D5487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Specification—4-PS4-2 - CAASPP (CA Dept of Education)</dc:title>
  <dc:subject>This CAA for Science item specification describes 4-PS4-2 Physical Sciences.</dc:subject>
  <dc:creator/>
  <cp:keywords/>
  <dc:description/>
  <cp:lastModifiedBy/>
  <cp:revision>1</cp:revision>
  <dcterms:created xsi:type="dcterms:W3CDTF">2025-03-19T18:39:00Z</dcterms:created>
  <dcterms:modified xsi:type="dcterms:W3CDTF">2025-03-19T18:40:00Z</dcterms:modified>
</cp:coreProperties>
</file>