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4E3A2" w14:textId="77777777" w:rsidR="00E9008D" w:rsidRDefault="00E9008D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7A7C142C" wp14:editId="7716D7C4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DAF38" w14:textId="77777777" w:rsidR="00E9008D" w:rsidRPr="00B63D23" w:rsidRDefault="00E9008D" w:rsidP="003C636C">
      <w:pPr>
        <w:pStyle w:val="HeaderName"/>
        <w:pBdr>
          <w:bottom w:val="none" w:sz="0" w:space="0" w:color="auto"/>
        </w:pBdr>
        <w:spacing w:after="0"/>
      </w:pPr>
      <w:r w:rsidRPr="003B382F">
        <w:t>HS-PS1-1 Matter and Its Interactions</w:t>
      </w:r>
    </w:p>
    <w:p w14:paraId="1257D5D5" w14:textId="77777777" w:rsidR="00E9008D" w:rsidRPr="00BB08C4" w:rsidRDefault="00E9008D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4EB301BA" w14:textId="77777777" w:rsidR="00E9008D" w:rsidRPr="00230ED7" w:rsidRDefault="00E9008D" w:rsidP="00230ED7">
      <w:pPr>
        <w:pStyle w:val="Heading1"/>
      </w:pPr>
      <w:r w:rsidRPr="00230ED7">
        <w:t>HS-PS1-1</w:t>
      </w:r>
      <w:r w:rsidRPr="00230ED7">
        <w:rPr>
          <w:rFonts w:eastAsiaTheme="minorHAnsi" w:cstheme="minorBidi"/>
          <w:sz w:val="24"/>
          <w:szCs w:val="22"/>
        </w:rPr>
        <w:t xml:space="preserve"> </w:t>
      </w:r>
      <w:r w:rsidRPr="00230ED7">
        <w:t>Matter and Its Interactions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PS1-1."/>
      </w:tblPr>
      <w:tblGrid>
        <w:gridCol w:w="3325"/>
        <w:gridCol w:w="3510"/>
        <w:gridCol w:w="3245"/>
      </w:tblGrid>
      <w:tr w:rsidR="00E9008D" w:rsidRPr="009808E6" w14:paraId="7BFD55B6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5622FF" w14:textId="77777777" w:rsidR="00E9008D" w:rsidRPr="009808E6" w:rsidRDefault="00E9008D" w:rsidP="00040643">
            <w:pPr>
              <w:pStyle w:val="TableHead"/>
            </w:pPr>
            <w:r w:rsidRPr="009808E6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897617" w14:textId="77777777" w:rsidR="00E9008D" w:rsidRPr="009808E6" w:rsidRDefault="00E9008D" w:rsidP="005706E5">
            <w:pPr>
              <w:pStyle w:val="TableHead"/>
            </w:pPr>
            <w:r w:rsidRPr="009808E6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F8427F3" w14:textId="77777777" w:rsidR="00E9008D" w:rsidRPr="009808E6" w:rsidRDefault="00E9008D" w:rsidP="00040643">
            <w:pPr>
              <w:pStyle w:val="TableHead"/>
            </w:pPr>
            <w:r w:rsidRPr="009808E6">
              <w:t>Essential Understanding</w:t>
            </w:r>
          </w:p>
        </w:tc>
      </w:tr>
      <w:tr w:rsidR="00E9008D" w:rsidRPr="00510C04" w14:paraId="3BFA4FFE" w14:textId="77777777" w:rsidTr="009808E6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40CE2F69" w14:textId="77777777" w:rsidR="00E9008D" w:rsidRPr="007C2824" w:rsidRDefault="00E9008D" w:rsidP="004D61B3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CF5CF6">
              <w:t>Organize different materials based on properties of elements.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40FDB892" w14:textId="77777777" w:rsidR="00E9008D" w:rsidRPr="00CF5CF6" w:rsidRDefault="00E9008D" w:rsidP="00E9008D">
            <w:pPr>
              <w:pStyle w:val="TableBullets"/>
              <w:numPr>
                <w:ilvl w:val="0"/>
                <w:numId w:val="21"/>
              </w:numPr>
              <w:spacing w:before="0" w:after="0"/>
            </w:pPr>
            <w:r w:rsidRPr="00CF5CF6">
              <w:t>Recognize that types of materials (e.g., el</w:t>
            </w:r>
            <w:r>
              <w:t>ements) can be grouped together.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609E8251" w14:textId="77777777" w:rsidR="00E9008D" w:rsidRPr="00311FAD" w:rsidRDefault="00E9008D" w:rsidP="004D61B3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CF5CF6">
              <w:t>Recognize that materials have different properties.</w:t>
            </w:r>
          </w:p>
        </w:tc>
      </w:tr>
    </w:tbl>
    <w:p w14:paraId="0CDB92B3" w14:textId="77777777" w:rsidR="00E9008D" w:rsidRPr="00230ED7" w:rsidRDefault="00E9008D" w:rsidP="00230ED7">
      <w:pPr>
        <w:pStyle w:val="Heading2"/>
        <w:rPr>
          <w:rStyle w:val="Heading2Char"/>
        </w:rPr>
      </w:pPr>
      <w:r w:rsidRPr="00230ED7">
        <w:rPr>
          <w:rStyle w:val="Heading2Char"/>
          <w:b/>
        </w:rPr>
        <w:t>CA NGSS Performance Expectation</w:t>
      </w:r>
    </w:p>
    <w:p w14:paraId="5E97A52F" w14:textId="77777777" w:rsidR="00E9008D" w:rsidRDefault="00E9008D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7AA8D2D7" w14:textId="77777777" w:rsidR="00E9008D" w:rsidRPr="00235478" w:rsidRDefault="00E9008D" w:rsidP="00C92BE1">
      <w:pPr>
        <w:rPr>
          <w:b/>
          <w:i/>
        </w:rPr>
      </w:pPr>
      <w:r w:rsidRPr="00CF5CF6">
        <w:rPr>
          <w:b/>
        </w:rPr>
        <w:t xml:space="preserve">Use the periodic table as a model to predict the relative properties of elements based on the patterns of electrons in the outermost energy level of atoms. </w:t>
      </w:r>
      <w:r>
        <w:t>[</w:t>
      </w:r>
      <w:r w:rsidRPr="00761558">
        <w:t>Clarification Statement:</w:t>
      </w:r>
      <w:r w:rsidRPr="00CF5CF6">
        <w:t xml:space="preserve"> Examples of properties that could be predicted from patterns could include reactivity of metals, types of bonds formed, numbers of bonds fo</w:t>
      </w:r>
      <w:r>
        <w:t>rmed, and reactions with oxygen.]</w:t>
      </w:r>
      <w:r w:rsidRPr="00761558">
        <w:t xml:space="preserve"> </w:t>
      </w:r>
      <w:r w:rsidRPr="00235478">
        <w:rPr>
          <w:i/>
        </w:rPr>
        <w:t>[Assessment Boundary: Assessment is limited to main group elements. Assessment does not include quantitative understanding of ionization energy beyond relative trends.]</w:t>
      </w:r>
    </w:p>
    <w:p w14:paraId="39AD68FC" w14:textId="77777777" w:rsidR="00E9008D" w:rsidRDefault="00E9008D" w:rsidP="00230ED7">
      <w:pPr>
        <w:pStyle w:val="Heading2"/>
      </w:pPr>
      <w:r>
        <w:t>Mastery Statements</w:t>
      </w:r>
    </w:p>
    <w:p w14:paraId="4CA14E28" w14:textId="77777777" w:rsidR="00E9008D" w:rsidRPr="000C36C7" w:rsidRDefault="00E9008D" w:rsidP="003B382F">
      <w:r w:rsidRPr="000C36C7">
        <w:t>Students will be able to:</w:t>
      </w:r>
    </w:p>
    <w:p w14:paraId="634040BA" w14:textId="77777777" w:rsidR="00E9008D" w:rsidRPr="003B382F" w:rsidRDefault="00E9008D" w:rsidP="00E9008D">
      <w:pPr>
        <w:pStyle w:val="bulletsMastery"/>
      </w:pPr>
      <w:r w:rsidRPr="003B382F">
        <w:t>Recognize that materials have different properties</w:t>
      </w:r>
    </w:p>
    <w:p w14:paraId="33000480" w14:textId="77777777" w:rsidR="00E9008D" w:rsidRPr="003B382F" w:rsidRDefault="00E9008D" w:rsidP="00E9008D">
      <w:pPr>
        <w:pStyle w:val="bulletsMastery"/>
        <w:rPr>
          <w:b/>
        </w:rPr>
      </w:pPr>
      <w:r w:rsidRPr="003B382F">
        <w:t>Identify basic properties of materials</w:t>
      </w:r>
    </w:p>
    <w:p w14:paraId="22B96FAE" w14:textId="77777777" w:rsidR="00E9008D" w:rsidRPr="003B382F" w:rsidRDefault="00E9008D" w:rsidP="00E9008D">
      <w:pPr>
        <w:pStyle w:val="bulletsMastery"/>
        <w:rPr>
          <w:b/>
        </w:rPr>
      </w:pPr>
      <w:r w:rsidRPr="003B382F">
        <w:t>Group objects together based on shared properties</w:t>
      </w:r>
    </w:p>
    <w:p w14:paraId="3EFE1D22" w14:textId="77777777" w:rsidR="00E9008D" w:rsidRDefault="00E9008D" w:rsidP="00230ED7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35B080A9" w14:textId="77777777" w:rsidR="00E9008D" w:rsidRDefault="00E9008D" w:rsidP="003B382F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4F44AF08" w14:textId="77777777" w:rsidR="00E9008D" w:rsidRDefault="00E9008D" w:rsidP="003B382F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18FBA55E" w14:textId="77777777" w:rsidR="00E9008D" w:rsidRPr="003B382F" w:rsidRDefault="00E9008D" w:rsidP="00E9008D">
      <w:pPr>
        <w:pStyle w:val="bulletsPhenomena"/>
        <w:numPr>
          <w:ilvl w:val="0"/>
          <w:numId w:val="20"/>
        </w:numPr>
        <w:contextualSpacing w:val="0"/>
        <w:rPr>
          <w:b/>
        </w:rPr>
      </w:pPr>
      <w:r w:rsidRPr="003B382F">
        <w:t>Familiar household materials, e.g., a fuzzy robe and a stuffed animal (soft), a spoon and a metal jar lid (hard metal), a rubber band and a spring (flexible)</w:t>
      </w:r>
    </w:p>
    <w:p w14:paraId="0903CA5D" w14:textId="77777777" w:rsidR="00E9008D" w:rsidRDefault="00E9008D" w:rsidP="00E9008D">
      <w:pPr>
        <w:pStyle w:val="bulletsPhenomena"/>
        <w:numPr>
          <w:ilvl w:val="0"/>
          <w:numId w:val="20"/>
        </w:numPr>
        <w:contextualSpacing w:val="0"/>
        <w:rPr>
          <w:b/>
        </w:rPr>
      </w:pPr>
      <w:r w:rsidRPr="003B382F">
        <w:t>Familiar classroom materials can be used for hands-on items, e.g., a chair and a bookcase (hard), a playground ball and a golf ball (round) or a pencil and wooden ruler (inflexible)</w:t>
      </w:r>
    </w:p>
    <w:p w14:paraId="717702A3" w14:textId="77777777" w:rsidR="00E9008D" w:rsidRDefault="00E9008D" w:rsidP="00230ED7">
      <w:pPr>
        <w:pStyle w:val="Heading2"/>
        <w:rPr>
          <w:lang w:eastAsia="ko-KR"/>
        </w:rPr>
      </w:pPr>
      <w:r w:rsidRPr="00510C04">
        <w:rPr>
          <w:lang w:eastAsia="ko-KR"/>
        </w:rPr>
        <w:lastRenderedPageBreak/>
        <w:t>Additional Assessment Boundaries</w:t>
      </w:r>
    </w:p>
    <w:p w14:paraId="7DAD1189" w14:textId="77777777" w:rsidR="00E9008D" w:rsidRPr="00905912" w:rsidRDefault="00E9008D" w:rsidP="00E9008D">
      <w:pPr>
        <w:pStyle w:val="Bullets"/>
        <w:numPr>
          <w:ilvl w:val="0"/>
          <w:numId w:val="13"/>
        </w:numPr>
      </w:pPr>
      <w:r>
        <w:t>None listed at this time</w:t>
      </w:r>
    </w:p>
    <w:p w14:paraId="7386AB61" w14:textId="77777777" w:rsidR="00E9008D" w:rsidRPr="00AB7B8F" w:rsidRDefault="00E9008D" w:rsidP="00230ED7">
      <w:pPr>
        <w:pStyle w:val="Heading2"/>
      </w:pPr>
      <w:r>
        <w:t>Additional References</w:t>
      </w:r>
    </w:p>
    <w:p w14:paraId="106996C3" w14:textId="77777777" w:rsidR="00E9008D" w:rsidRPr="00130DBA" w:rsidRDefault="00E9008D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3B382F">
        <w:t>HS-PS1-1</w:t>
      </w:r>
    </w:p>
    <w:p w14:paraId="3DC96752" w14:textId="77777777" w:rsidR="00E9008D" w:rsidRPr="00EA1D2C" w:rsidRDefault="00E9008D" w:rsidP="008F4E45">
      <w:pPr>
        <w:spacing w:before="240"/>
        <w:contextualSpacing/>
        <w:rPr>
          <w:rFonts w:cs="Arial"/>
          <w:szCs w:val="24"/>
        </w:rPr>
      </w:pPr>
      <w:hyperlink r:id="rId9" w:tooltip="California Science Test Item Specification for HS-PS1-1" w:history="1">
        <w:r w:rsidRPr="00807914">
          <w:rPr>
            <w:rStyle w:val="Hyperlink"/>
          </w:rPr>
          <w:t>https://www.cde.ca.gov/ta/tg/ca/documents/itemspecs-hs-ps1-1.docx</w:t>
        </w:r>
      </w:hyperlink>
    </w:p>
    <w:p w14:paraId="728D7C45" w14:textId="77777777" w:rsidR="00E9008D" w:rsidRPr="009258F0" w:rsidRDefault="00E9008D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38E547D9" w14:textId="77777777" w:rsidR="00E9008D" w:rsidRDefault="00E9008D" w:rsidP="00B01331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4F020F25" w14:textId="77777777" w:rsidR="00E9008D" w:rsidRPr="0022446A" w:rsidRDefault="00E9008D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1D0BEAF1" w14:textId="77777777" w:rsidR="00E9008D" w:rsidRDefault="00E9008D" w:rsidP="00B01331">
      <w:pPr>
        <w:spacing w:before="12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6D40D3A0" w14:textId="77777777" w:rsidR="00E9008D" w:rsidRDefault="00E9008D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6B03842E" w14:textId="77777777" w:rsidR="00E9008D" w:rsidRPr="00B01331" w:rsidRDefault="00E9008D" w:rsidP="00B01331">
      <w:pPr>
        <w:spacing w:before="120"/>
        <w:rPr>
          <w:color w:val="0000FF"/>
          <w:u w:val="single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365261E2" w:rsidR="00130DBA" w:rsidRPr="00311FAD" w:rsidRDefault="00E9008D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2E325" w14:textId="77777777" w:rsidR="00342C94" w:rsidRDefault="00342C94" w:rsidP="007525D5">
      <w:r>
        <w:separator/>
      </w:r>
    </w:p>
  </w:endnote>
  <w:endnote w:type="continuationSeparator" w:id="0">
    <w:p w14:paraId="598DA0B7" w14:textId="77777777" w:rsidR="00342C94" w:rsidRDefault="00342C94" w:rsidP="007525D5">
      <w:r>
        <w:continuationSeparator/>
      </w:r>
    </w:p>
  </w:endnote>
  <w:endnote w:type="continuationNotice" w:id="1">
    <w:p w14:paraId="32E71B2A" w14:textId="77777777" w:rsidR="00342C94" w:rsidRDefault="00342C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9808E6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9808E6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7A464" w14:textId="77777777" w:rsidR="00342C94" w:rsidRDefault="00342C94" w:rsidP="007525D5">
      <w:r>
        <w:separator/>
      </w:r>
    </w:p>
  </w:footnote>
  <w:footnote w:type="continuationSeparator" w:id="0">
    <w:p w14:paraId="4E0209E1" w14:textId="77777777" w:rsidR="00342C94" w:rsidRDefault="00342C94" w:rsidP="007525D5">
      <w:r>
        <w:continuationSeparator/>
      </w:r>
    </w:p>
  </w:footnote>
  <w:footnote w:type="continuationNotice" w:id="1">
    <w:p w14:paraId="5A6A6D9A" w14:textId="77777777" w:rsidR="00342C94" w:rsidRDefault="00342C9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7C0B8B1F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083801">
      <w:rPr>
        <w:noProof/>
      </w:rPr>
      <w:t>HS-PS1-1 Matter and Its Interactions</w:t>
    </w:r>
    <w:r>
      <w:rPr>
        <w:noProof/>
      </w:rPr>
      <w:fldChar w:fldCharType="end"/>
    </w:r>
  </w:p>
  <w:p w14:paraId="6A66E50B" w14:textId="13E6E79E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3B382F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52920"/>
    <w:multiLevelType w:val="hybridMultilevel"/>
    <w:tmpl w:val="C6CA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03BA"/>
    <w:multiLevelType w:val="multilevel"/>
    <w:tmpl w:val="C2888B8C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52B14"/>
    <w:multiLevelType w:val="hybridMultilevel"/>
    <w:tmpl w:val="E3585E44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2B4CF6"/>
    <w:multiLevelType w:val="hybridMultilevel"/>
    <w:tmpl w:val="CF104684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6" w15:restartNumberingAfterBreak="0">
    <w:nsid w:val="612A5516"/>
    <w:multiLevelType w:val="hybridMultilevel"/>
    <w:tmpl w:val="BBB6EC16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D1835"/>
    <w:multiLevelType w:val="hybridMultilevel"/>
    <w:tmpl w:val="1D50C9AE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52E6989"/>
    <w:multiLevelType w:val="hybridMultilevel"/>
    <w:tmpl w:val="F4DC2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55A58"/>
    <w:multiLevelType w:val="hybridMultilevel"/>
    <w:tmpl w:val="578C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143A7"/>
    <w:multiLevelType w:val="hybridMultilevel"/>
    <w:tmpl w:val="2116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953262">
    <w:abstractNumId w:val="16"/>
  </w:num>
  <w:num w:numId="2" w16cid:durableId="125248111">
    <w:abstractNumId w:val="17"/>
  </w:num>
  <w:num w:numId="3" w16cid:durableId="893274574">
    <w:abstractNumId w:val="20"/>
  </w:num>
  <w:num w:numId="4" w16cid:durableId="165752983">
    <w:abstractNumId w:val="15"/>
  </w:num>
  <w:num w:numId="5" w16cid:durableId="519467364">
    <w:abstractNumId w:val="21"/>
  </w:num>
  <w:num w:numId="6" w16cid:durableId="440998818">
    <w:abstractNumId w:val="23"/>
  </w:num>
  <w:num w:numId="7" w16cid:durableId="149635915">
    <w:abstractNumId w:val="36"/>
  </w:num>
  <w:num w:numId="8" w16cid:durableId="593826575">
    <w:abstractNumId w:val="26"/>
  </w:num>
  <w:num w:numId="9" w16cid:durableId="995840541">
    <w:abstractNumId w:val="25"/>
  </w:num>
  <w:num w:numId="10" w16cid:durableId="866531058">
    <w:abstractNumId w:val="18"/>
  </w:num>
  <w:num w:numId="11" w16cid:durableId="395396300">
    <w:abstractNumId w:val="14"/>
  </w:num>
  <w:num w:numId="12" w16cid:durableId="1545797668">
    <w:abstractNumId w:val="19"/>
  </w:num>
  <w:num w:numId="13" w16cid:durableId="1134642287">
    <w:abstractNumId w:val="34"/>
  </w:num>
  <w:num w:numId="14" w16cid:durableId="1534922013">
    <w:abstractNumId w:val="10"/>
  </w:num>
  <w:num w:numId="15" w16cid:durableId="2028870804">
    <w:abstractNumId w:val="16"/>
  </w:num>
  <w:num w:numId="16" w16cid:durableId="1389525926">
    <w:abstractNumId w:val="35"/>
  </w:num>
  <w:num w:numId="17" w16cid:durableId="411968848">
    <w:abstractNumId w:val="12"/>
  </w:num>
  <w:num w:numId="18" w16cid:durableId="1706058337">
    <w:abstractNumId w:val="30"/>
  </w:num>
  <w:num w:numId="19" w16cid:durableId="341056022">
    <w:abstractNumId w:val="31"/>
  </w:num>
  <w:num w:numId="20" w16cid:durableId="1940092531">
    <w:abstractNumId w:val="27"/>
  </w:num>
  <w:num w:numId="21" w16cid:durableId="1764454884">
    <w:abstractNumId w:val="22"/>
  </w:num>
  <w:num w:numId="22" w16cid:durableId="593513560">
    <w:abstractNumId w:val="9"/>
  </w:num>
  <w:num w:numId="23" w16cid:durableId="374503263">
    <w:abstractNumId w:val="7"/>
  </w:num>
  <w:num w:numId="24" w16cid:durableId="2024235098">
    <w:abstractNumId w:val="6"/>
  </w:num>
  <w:num w:numId="25" w16cid:durableId="172963827">
    <w:abstractNumId w:val="5"/>
  </w:num>
  <w:num w:numId="26" w16cid:durableId="1012874988">
    <w:abstractNumId w:val="4"/>
  </w:num>
  <w:num w:numId="27" w16cid:durableId="149106665">
    <w:abstractNumId w:val="8"/>
  </w:num>
  <w:num w:numId="28" w16cid:durableId="1833063893">
    <w:abstractNumId w:val="3"/>
  </w:num>
  <w:num w:numId="29" w16cid:durableId="366567477">
    <w:abstractNumId w:val="2"/>
  </w:num>
  <w:num w:numId="30" w16cid:durableId="1628318095">
    <w:abstractNumId w:val="1"/>
  </w:num>
  <w:num w:numId="31" w16cid:durableId="383139916">
    <w:abstractNumId w:val="0"/>
  </w:num>
  <w:num w:numId="32" w16cid:durableId="1389644951">
    <w:abstractNumId w:val="33"/>
  </w:num>
  <w:num w:numId="33" w16cid:durableId="1758164112">
    <w:abstractNumId w:val="29"/>
  </w:num>
  <w:num w:numId="34" w16cid:durableId="341321378">
    <w:abstractNumId w:val="28"/>
  </w:num>
  <w:num w:numId="35" w16cid:durableId="1725833874">
    <w:abstractNumId w:val="13"/>
  </w:num>
  <w:num w:numId="36" w16cid:durableId="1390420979">
    <w:abstractNumId w:val="32"/>
  </w:num>
  <w:num w:numId="37" w16cid:durableId="50807458">
    <w:abstractNumId w:val="34"/>
  </w:num>
  <w:num w:numId="38" w16cid:durableId="111441327">
    <w:abstractNumId w:val="24"/>
  </w:num>
  <w:num w:numId="39" w16cid:durableId="833496745">
    <w:abstractNumId w:val="27"/>
  </w:num>
  <w:num w:numId="40" w16cid:durableId="1360812165">
    <w:abstractNumId w:val="26"/>
  </w:num>
  <w:num w:numId="41" w16cid:durableId="520781380">
    <w:abstractNumId w:val="17"/>
  </w:num>
  <w:num w:numId="42" w16cid:durableId="1931960116">
    <w:abstractNumId w:val="20"/>
  </w:num>
  <w:num w:numId="43" w16cid:durableId="1372732839">
    <w:abstractNumId w:val="15"/>
  </w:num>
  <w:num w:numId="44" w16cid:durableId="1078677383">
    <w:abstractNumId w:val="15"/>
  </w:num>
  <w:num w:numId="45" w16cid:durableId="2051758106">
    <w:abstractNumId w:val="21"/>
  </w:num>
  <w:num w:numId="46" w16cid:durableId="2075547214">
    <w:abstractNumId w:val="21"/>
  </w:num>
  <w:num w:numId="47" w16cid:durableId="11348134">
    <w:abstractNumId w:val="23"/>
  </w:num>
  <w:num w:numId="48" w16cid:durableId="139687927">
    <w:abstractNumId w:val="34"/>
  </w:num>
  <w:num w:numId="49" w16cid:durableId="1314067229">
    <w:abstractNumId w:val="36"/>
  </w:num>
  <w:num w:numId="50" w16cid:durableId="760877386">
    <w:abstractNumId w:val="36"/>
  </w:num>
  <w:num w:numId="51" w16cid:durableId="849373546">
    <w:abstractNumId w:val="34"/>
  </w:num>
  <w:num w:numId="52" w16cid:durableId="879972857">
    <w:abstractNumId w:val="34"/>
  </w:num>
  <w:num w:numId="53" w16cid:durableId="614290206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801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3EA"/>
    <w:rsid w:val="000D3A96"/>
    <w:rsid w:val="000D4772"/>
    <w:rsid w:val="000D537C"/>
    <w:rsid w:val="000E1504"/>
    <w:rsid w:val="000E622B"/>
    <w:rsid w:val="000E7CEB"/>
    <w:rsid w:val="000F0538"/>
    <w:rsid w:val="000F3FA3"/>
    <w:rsid w:val="000F4227"/>
    <w:rsid w:val="000F45FA"/>
    <w:rsid w:val="000F56E2"/>
    <w:rsid w:val="000F5A60"/>
    <w:rsid w:val="00101427"/>
    <w:rsid w:val="00102C74"/>
    <w:rsid w:val="00104F81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470C4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6E9"/>
    <w:rsid w:val="00222F46"/>
    <w:rsid w:val="00223B06"/>
    <w:rsid w:val="002243CE"/>
    <w:rsid w:val="0022446A"/>
    <w:rsid w:val="00230ED7"/>
    <w:rsid w:val="00231F4E"/>
    <w:rsid w:val="00234451"/>
    <w:rsid w:val="002347E0"/>
    <w:rsid w:val="00235478"/>
    <w:rsid w:val="00235F69"/>
    <w:rsid w:val="0024569A"/>
    <w:rsid w:val="00257679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2C94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382F"/>
    <w:rsid w:val="003B5487"/>
    <w:rsid w:val="003B5FD4"/>
    <w:rsid w:val="003B6084"/>
    <w:rsid w:val="003C09DB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5FFC"/>
    <w:rsid w:val="00477B8D"/>
    <w:rsid w:val="00480BA2"/>
    <w:rsid w:val="0048659F"/>
    <w:rsid w:val="00487068"/>
    <w:rsid w:val="00490B48"/>
    <w:rsid w:val="004A1315"/>
    <w:rsid w:val="004A32CB"/>
    <w:rsid w:val="004B13B0"/>
    <w:rsid w:val="004B28DF"/>
    <w:rsid w:val="004B61C1"/>
    <w:rsid w:val="004B7CF9"/>
    <w:rsid w:val="004C39D4"/>
    <w:rsid w:val="004C44AC"/>
    <w:rsid w:val="004C56F7"/>
    <w:rsid w:val="004D0265"/>
    <w:rsid w:val="004E5C17"/>
    <w:rsid w:val="004E6DE8"/>
    <w:rsid w:val="004F51E9"/>
    <w:rsid w:val="004F72CF"/>
    <w:rsid w:val="00503308"/>
    <w:rsid w:val="005049F2"/>
    <w:rsid w:val="00504EF0"/>
    <w:rsid w:val="005105BA"/>
    <w:rsid w:val="00510611"/>
    <w:rsid w:val="0052014F"/>
    <w:rsid w:val="0052040A"/>
    <w:rsid w:val="00520589"/>
    <w:rsid w:val="005235EE"/>
    <w:rsid w:val="005300D8"/>
    <w:rsid w:val="0053141C"/>
    <w:rsid w:val="00543833"/>
    <w:rsid w:val="00543F29"/>
    <w:rsid w:val="00544A42"/>
    <w:rsid w:val="005450EB"/>
    <w:rsid w:val="005467D8"/>
    <w:rsid w:val="005563AE"/>
    <w:rsid w:val="005606EA"/>
    <w:rsid w:val="00561DAB"/>
    <w:rsid w:val="00562081"/>
    <w:rsid w:val="00563123"/>
    <w:rsid w:val="005706E5"/>
    <w:rsid w:val="005744A7"/>
    <w:rsid w:val="005829E7"/>
    <w:rsid w:val="00583B72"/>
    <w:rsid w:val="00586A0D"/>
    <w:rsid w:val="005909E9"/>
    <w:rsid w:val="005A09DA"/>
    <w:rsid w:val="005B1096"/>
    <w:rsid w:val="005B5700"/>
    <w:rsid w:val="005B5987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29A2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D32A9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55CA1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93A8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2CB"/>
    <w:rsid w:val="008E3932"/>
    <w:rsid w:val="008F2A86"/>
    <w:rsid w:val="008F4E45"/>
    <w:rsid w:val="008F7201"/>
    <w:rsid w:val="009029B2"/>
    <w:rsid w:val="009052CD"/>
    <w:rsid w:val="00905912"/>
    <w:rsid w:val="00906283"/>
    <w:rsid w:val="00911299"/>
    <w:rsid w:val="00914743"/>
    <w:rsid w:val="00924AD5"/>
    <w:rsid w:val="0092682A"/>
    <w:rsid w:val="0093062E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7740E"/>
    <w:rsid w:val="009808E6"/>
    <w:rsid w:val="009850FD"/>
    <w:rsid w:val="009854D9"/>
    <w:rsid w:val="0098709A"/>
    <w:rsid w:val="00990E63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3F13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37E92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3D38"/>
    <w:rsid w:val="00BD6020"/>
    <w:rsid w:val="00BD74FC"/>
    <w:rsid w:val="00BE6AD4"/>
    <w:rsid w:val="00BE7CA2"/>
    <w:rsid w:val="00BF563D"/>
    <w:rsid w:val="00BF5DBF"/>
    <w:rsid w:val="00BF6284"/>
    <w:rsid w:val="00BF6971"/>
    <w:rsid w:val="00C033DF"/>
    <w:rsid w:val="00C034B4"/>
    <w:rsid w:val="00C06D58"/>
    <w:rsid w:val="00C10941"/>
    <w:rsid w:val="00C14C54"/>
    <w:rsid w:val="00C14CD9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A2E"/>
    <w:rsid w:val="00C90F7C"/>
    <w:rsid w:val="00C92BE1"/>
    <w:rsid w:val="00CA3C23"/>
    <w:rsid w:val="00CA427D"/>
    <w:rsid w:val="00CA4C8E"/>
    <w:rsid w:val="00CA785B"/>
    <w:rsid w:val="00CB4615"/>
    <w:rsid w:val="00CC00A9"/>
    <w:rsid w:val="00CC0165"/>
    <w:rsid w:val="00CC01BC"/>
    <w:rsid w:val="00CC648E"/>
    <w:rsid w:val="00CC6E02"/>
    <w:rsid w:val="00CE5AB8"/>
    <w:rsid w:val="00CF19CE"/>
    <w:rsid w:val="00CF24A3"/>
    <w:rsid w:val="00CF31F3"/>
    <w:rsid w:val="00CF5CF6"/>
    <w:rsid w:val="00D00FC4"/>
    <w:rsid w:val="00D01B4E"/>
    <w:rsid w:val="00D041E7"/>
    <w:rsid w:val="00D04BBD"/>
    <w:rsid w:val="00D21845"/>
    <w:rsid w:val="00D2394E"/>
    <w:rsid w:val="00D23F73"/>
    <w:rsid w:val="00D247C2"/>
    <w:rsid w:val="00D2719D"/>
    <w:rsid w:val="00D277A6"/>
    <w:rsid w:val="00D331E8"/>
    <w:rsid w:val="00D4055E"/>
    <w:rsid w:val="00D40CBC"/>
    <w:rsid w:val="00D464A7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72CC"/>
    <w:rsid w:val="00E02223"/>
    <w:rsid w:val="00E21193"/>
    <w:rsid w:val="00E37304"/>
    <w:rsid w:val="00E3769E"/>
    <w:rsid w:val="00E42404"/>
    <w:rsid w:val="00E57ED0"/>
    <w:rsid w:val="00E63ED9"/>
    <w:rsid w:val="00E7262B"/>
    <w:rsid w:val="00E75CAE"/>
    <w:rsid w:val="00E82F54"/>
    <w:rsid w:val="00E82FA8"/>
    <w:rsid w:val="00E85B5A"/>
    <w:rsid w:val="00E86459"/>
    <w:rsid w:val="00E87DA0"/>
    <w:rsid w:val="00E9008D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1B4E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411A"/>
    <w:rsid w:val="00FC568F"/>
    <w:rsid w:val="00FC5A40"/>
    <w:rsid w:val="00FD01DE"/>
    <w:rsid w:val="00FD079B"/>
    <w:rsid w:val="00FD3369"/>
    <w:rsid w:val="00FD4C74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E63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30ED7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30ED7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E63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990E63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990E63"/>
    <w:pPr>
      <w:ind w:left="720"/>
      <w:contextualSpacing/>
    </w:pPr>
  </w:style>
  <w:style w:type="table" w:styleId="TableGrid">
    <w:name w:val="Table Grid"/>
    <w:basedOn w:val="TableNormal"/>
    <w:uiPriority w:val="39"/>
    <w:rsid w:val="0099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90E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0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0E6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E6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E6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0E63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90E63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990E6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90E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E63"/>
    <w:rPr>
      <w:color w:val="954F72" w:themeColor="followedHyperlink"/>
      <w:u w:val="single"/>
    </w:rPr>
  </w:style>
  <w:style w:type="table" w:customStyle="1" w:styleId="TableGrid0">
    <w:name w:val="TableGrid"/>
    <w:rsid w:val="00990E6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990E63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990E63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990E63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990E63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990E63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90E63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990E63"/>
    <w:rPr>
      <w:i/>
      <w:iCs/>
    </w:rPr>
  </w:style>
  <w:style w:type="paragraph" w:customStyle="1" w:styleId="Bullets">
    <w:name w:val="Bullets"/>
    <w:basedOn w:val="ListParagraph"/>
    <w:rsid w:val="00990E63"/>
    <w:pPr>
      <w:numPr>
        <w:numId w:val="48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230ED7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230ED7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0E63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990E63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990E63"/>
  </w:style>
  <w:style w:type="paragraph" w:customStyle="1" w:styleId="Numbered">
    <w:name w:val="Numbered"/>
    <w:basedOn w:val="ListParagraph"/>
    <w:rsid w:val="00990E63"/>
    <w:pPr>
      <w:numPr>
        <w:numId w:val="41"/>
      </w:numPr>
      <w:contextualSpacing w:val="0"/>
    </w:pPr>
  </w:style>
  <w:style w:type="paragraph" w:customStyle="1" w:styleId="NumberedSub">
    <w:name w:val="NumberedSub"/>
    <w:basedOn w:val="ListParagraph"/>
    <w:rsid w:val="00990E63"/>
    <w:pPr>
      <w:numPr>
        <w:numId w:val="42"/>
      </w:numPr>
      <w:contextualSpacing w:val="0"/>
    </w:pPr>
  </w:style>
  <w:style w:type="paragraph" w:customStyle="1" w:styleId="NumberedSubSub">
    <w:name w:val="NumberedSubSub"/>
    <w:basedOn w:val="ListParagraph"/>
    <w:rsid w:val="00990E63"/>
    <w:pPr>
      <w:numPr>
        <w:numId w:val="44"/>
      </w:numPr>
      <w:contextualSpacing w:val="0"/>
    </w:pPr>
  </w:style>
  <w:style w:type="paragraph" w:customStyle="1" w:styleId="NumberedSubSubOne">
    <w:name w:val="NumberedSubSubOne"/>
    <w:basedOn w:val="NumberedSubSub"/>
    <w:rsid w:val="00990E63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990E63"/>
    <w:pPr>
      <w:numPr>
        <w:numId w:val="46"/>
      </w:numPr>
      <w:contextualSpacing w:val="0"/>
    </w:pPr>
  </w:style>
  <w:style w:type="paragraph" w:customStyle="1" w:styleId="NumberedSubSubSubOne">
    <w:name w:val="NumberedSubSubSubOne"/>
    <w:basedOn w:val="NumberedSubSubSub"/>
    <w:rsid w:val="00990E63"/>
    <w:pPr>
      <w:ind w:left="1800" w:hanging="288"/>
      <w:contextualSpacing/>
    </w:pPr>
  </w:style>
  <w:style w:type="paragraph" w:customStyle="1" w:styleId="References">
    <w:name w:val="References"/>
    <w:basedOn w:val="Normal"/>
    <w:rsid w:val="00990E63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990E63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990E63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990E63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990E63"/>
    <w:pPr>
      <w:numPr>
        <w:numId w:val="47"/>
      </w:numPr>
      <w:contextualSpacing w:val="0"/>
    </w:pPr>
  </w:style>
  <w:style w:type="paragraph" w:customStyle="1" w:styleId="PerformanceExpectation">
    <w:name w:val="Performance Expectation"/>
    <w:basedOn w:val="NormalIndent"/>
    <w:rsid w:val="00990E63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990E63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990E63"/>
  </w:style>
  <w:style w:type="table" w:customStyle="1" w:styleId="PEtable">
    <w:name w:val="PE table"/>
    <w:basedOn w:val="TableNormal"/>
    <w:uiPriority w:val="99"/>
    <w:rsid w:val="00990E63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990E63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990E63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990E63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990E63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90E6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0E6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90E63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990E63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990E63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990E63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990E63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990E63"/>
    <w:pPr>
      <w:numPr>
        <w:numId w:val="50"/>
      </w:numPr>
    </w:pPr>
  </w:style>
  <w:style w:type="paragraph" w:customStyle="1" w:styleId="CrossCuttingTargets">
    <w:name w:val="CrossCuttingTargets"/>
    <w:basedOn w:val="NormalIndent"/>
    <w:rsid w:val="00990E63"/>
  </w:style>
  <w:style w:type="paragraph" w:customStyle="1" w:styleId="Paragraph">
    <w:name w:val="Paragraph"/>
    <w:basedOn w:val="Normal"/>
    <w:qFormat/>
    <w:rsid w:val="00990E63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990E63"/>
    <w:pPr>
      <w:numPr>
        <w:numId w:val="40"/>
      </w:numPr>
    </w:pPr>
  </w:style>
  <w:style w:type="paragraph" w:customStyle="1" w:styleId="ScienceFrameworkLinks">
    <w:name w:val="ScienceFrameworkLinks"/>
    <w:basedOn w:val="Normal"/>
    <w:qFormat/>
    <w:rsid w:val="00990E63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990E6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0E63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990E63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990E6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990E63"/>
  </w:style>
  <w:style w:type="paragraph" w:customStyle="1" w:styleId="Default">
    <w:name w:val="Default"/>
    <w:rsid w:val="00990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990E63"/>
    <w:pPr>
      <w:numPr>
        <w:numId w:val="38"/>
      </w:numPr>
      <w:spacing w:before="240"/>
    </w:pPr>
  </w:style>
  <w:style w:type="paragraph" w:customStyle="1" w:styleId="bulletsPhenomena">
    <w:name w:val="bulletsPhenomena"/>
    <w:basedOn w:val="ListParagraph"/>
    <w:rsid w:val="00990E63"/>
    <w:pPr>
      <w:numPr>
        <w:numId w:val="39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990E63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990E63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0E63"/>
    <w:rPr>
      <w:color w:val="605E5C"/>
      <w:shd w:val="clear" w:color="auto" w:fill="E1DFDD"/>
    </w:rPr>
  </w:style>
  <w:style w:type="paragraph" w:customStyle="1" w:styleId="Bullets7">
    <w:name w:val="Bullets7"/>
    <w:basedOn w:val="ListParagraph"/>
    <w:rsid w:val="00E02223"/>
    <w:pPr>
      <w:spacing w:before="240"/>
      <w:ind w:hanging="360"/>
      <w:contextualSpacing w:val="0"/>
    </w:pPr>
  </w:style>
  <w:style w:type="paragraph" w:customStyle="1" w:styleId="bulletsMastery4">
    <w:name w:val="bulletsMastery4"/>
    <w:basedOn w:val="ListParagraph"/>
    <w:rsid w:val="00E02223"/>
    <w:pPr>
      <w:spacing w:before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hs-ps1-1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620AF9D-62B2-4C53-8BD9-D3F9E435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Specification—HS-PS1-1 - CAASPP (CA Dept of Education)</dc:title>
  <dc:subject>This CAA for Science item specification describes HS-PS1-1 Physical Sciences.</dc:subject>
  <dc:creator/>
  <cp:keywords/>
  <dc:description/>
  <cp:lastModifiedBy/>
  <cp:revision>1</cp:revision>
  <dcterms:created xsi:type="dcterms:W3CDTF">2025-03-20T19:05:00Z</dcterms:created>
  <dcterms:modified xsi:type="dcterms:W3CDTF">2025-04-11T17:44:00Z</dcterms:modified>
</cp:coreProperties>
</file>