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594B" w14:textId="77777777" w:rsidR="00142857" w:rsidRDefault="00142857" w:rsidP="00142857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7DCE695" wp14:editId="4C4C6EA8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9778" w14:textId="77777777" w:rsidR="00142857" w:rsidRPr="00B63D23" w:rsidRDefault="00142857" w:rsidP="00142857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5-PS1-2 Matter and Its Interactions</w:t>
      </w:r>
      <w:r>
        <w:rPr>
          <w:noProof/>
        </w:rPr>
        <w:fldChar w:fldCharType="end"/>
      </w:r>
    </w:p>
    <w:p w14:paraId="4613A045" w14:textId="3C4F78C6" w:rsidR="00142857" w:rsidRDefault="00142857" w:rsidP="00142857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ED4938">
        <w:t xml:space="preserve">Content </w:t>
      </w:r>
      <w:r w:rsidRPr="00B63D23">
        <w:t>Specifications</w:t>
      </w:r>
    </w:p>
    <w:p w14:paraId="4900A581" w14:textId="27B809FF" w:rsidR="007A7155" w:rsidRPr="00487068" w:rsidRDefault="001E1723" w:rsidP="00142857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1E1723">
        <w:rPr>
          <w:lang w:val="en-US"/>
        </w:rPr>
        <w:t>5-PS1-2 Matter and Its Interactions</w:t>
      </w:r>
    </w:p>
    <w:p w14:paraId="38DA21F3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23554A2F" w14:textId="45E32093" w:rsidR="008B0F0A" w:rsidRDefault="001E1723" w:rsidP="008B75B8">
      <w:pPr>
        <w:pStyle w:val="PerformanceExpectation"/>
      </w:pPr>
      <w:r w:rsidRPr="001E1723">
        <w:t>Measure and graph quantities to provide evidence that regardless of the type of change that occurs when heating, cooling, or mixing substances, the total weight of matter is conserved.</w:t>
      </w:r>
    </w:p>
    <w:p w14:paraId="1A0BBDED" w14:textId="799538F0" w:rsidR="00EB18EF" w:rsidRPr="008C0B8E" w:rsidRDefault="001E1723" w:rsidP="00EB18EF">
      <w:pPr>
        <w:pStyle w:val="PEClarification"/>
        <w:rPr>
          <w:color w:val="auto"/>
        </w:rPr>
      </w:pPr>
      <w:r w:rsidRPr="008C0B8E">
        <w:rPr>
          <w:color w:val="auto"/>
        </w:rPr>
        <w:t>[Clarification Statement: Examples of reactions or changes could include phase changes, dissolving, and mixing that form new substances</w:t>
      </w:r>
      <w:r w:rsidRPr="0037473D">
        <w:rPr>
          <w:color w:val="auto"/>
        </w:rPr>
        <w:t>.] [</w:t>
      </w:r>
      <w:r w:rsidRPr="008C0B8E">
        <w:rPr>
          <w:i/>
          <w:color w:val="auto"/>
        </w:rPr>
        <w:t>Assessment Boundary: Assessment does not include distinguishing mass and weight.</w:t>
      </w:r>
      <w:r w:rsidRPr="0037473D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PS1-2"/>
      </w:tblPr>
      <w:tblGrid>
        <w:gridCol w:w="3505"/>
        <w:gridCol w:w="3510"/>
        <w:gridCol w:w="3065"/>
      </w:tblGrid>
      <w:tr w:rsidR="00A758CE" w:rsidRPr="00510C04" w14:paraId="47D4E575" w14:textId="77777777" w:rsidTr="008240F2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F81E033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4482D9B9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6AE755D6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2D478A05" w14:textId="77777777" w:rsidTr="008240F2">
        <w:tc>
          <w:tcPr>
            <w:tcW w:w="3505" w:type="dxa"/>
            <w:shd w:val="clear" w:color="auto" w:fill="auto"/>
          </w:tcPr>
          <w:p w14:paraId="4D7396F0" w14:textId="3DA498F4" w:rsidR="00A758CE" w:rsidRDefault="001E1723" w:rsidP="00142857">
            <w:pPr>
              <w:pStyle w:val="Header6"/>
            </w:pPr>
            <w:r w:rsidRPr="001E1723">
              <w:t>Using Mathematics and Computational Thinking</w:t>
            </w:r>
          </w:p>
          <w:p w14:paraId="6672626E" w14:textId="39B4D1CC" w:rsidR="002035F3" w:rsidRPr="005A09DA" w:rsidRDefault="001E1723" w:rsidP="002035F3">
            <w:pPr>
              <w:pStyle w:val="Paragraph"/>
            </w:pPr>
            <w:r w:rsidRPr="001E1723">
              <w:t>Mathematical and computational thinking in 3–5 builds on K–2 experiences and progresses to extending quantitative measurements to a variety of physical properties and using computation and mathematics to analyze data</w:t>
            </w:r>
            <w:r>
              <w:t xml:space="preserve"> </w:t>
            </w:r>
            <w:r w:rsidRPr="001E1723">
              <w:t>and compare alternative design solutions.</w:t>
            </w:r>
          </w:p>
          <w:p w14:paraId="028C88FD" w14:textId="656A1224" w:rsidR="009F069F" w:rsidRPr="009F069F" w:rsidRDefault="001E1723" w:rsidP="001E1723">
            <w:pPr>
              <w:pStyle w:val="TableBullets"/>
            </w:pPr>
            <w:r w:rsidRPr="001E1723">
              <w:t>Measure and graph quantities such as weight to address scientific and engineering questions and problems.</w:t>
            </w:r>
          </w:p>
        </w:tc>
        <w:tc>
          <w:tcPr>
            <w:tcW w:w="3510" w:type="dxa"/>
            <w:shd w:val="clear" w:color="auto" w:fill="auto"/>
          </w:tcPr>
          <w:p w14:paraId="646FF367" w14:textId="2CB034FA" w:rsidR="00A758CE" w:rsidRPr="005A09DA" w:rsidRDefault="001E1723" w:rsidP="00142857">
            <w:pPr>
              <w:pStyle w:val="Header6"/>
            </w:pPr>
            <w:r w:rsidRPr="001E1723">
              <w:t>PS1.A: Structure and Properties of Matter</w:t>
            </w:r>
          </w:p>
          <w:p w14:paraId="35D997AE" w14:textId="73B18FE0" w:rsidR="00A758CE" w:rsidRDefault="001E1723" w:rsidP="001E1723">
            <w:pPr>
              <w:pStyle w:val="TableNumbers"/>
              <w:ind w:left="421"/>
              <w:rPr>
                <w:rFonts w:cs="Arial"/>
                <w:szCs w:val="24"/>
              </w:rPr>
            </w:pPr>
            <w:r w:rsidRPr="001E1723">
              <w:t>The amount (weight) of matter is conserved when it changes form, even in transitions in which it seems to vanish.</w:t>
            </w:r>
          </w:p>
          <w:p w14:paraId="779CAFD8" w14:textId="71E22A51" w:rsidR="00A758CE" w:rsidRPr="005A09DA" w:rsidRDefault="001E1723" w:rsidP="00142857">
            <w:pPr>
              <w:pStyle w:val="Header6"/>
            </w:pPr>
            <w:r w:rsidRPr="001E1723">
              <w:t>PS1.B: Chemical Reactions</w:t>
            </w:r>
          </w:p>
          <w:p w14:paraId="5112F62B" w14:textId="67698797" w:rsidR="00A758CE" w:rsidRPr="00510C04" w:rsidRDefault="001E1723" w:rsidP="001E1723">
            <w:pPr>
              <w:pStyle w:val="TableNumbers"/>
              <w:numPr>
                <w:ilvl w:val="0"/>
                <w:numId w:val="75"/>
              </w:numPr>
              <w:ind w:left="421"/>
            </w:pPr>
            <w:r w:rsidRPr="001E1723">
              <w:t>No matter what reaction or change in properties occurs, the total weight of the substances does not change. (Boundary: Mass and weight are not distinguished at this grade level.)</w:t>
            </w:r>
          </w:p>
        </w:tc>
        <w:tc>
          <w:tcPr>
            <w:tcW w:w="3065" w:type="dxa"/>
            <w:shd w:val="clear" w:color="auto" w:fill="auto"/>
          </w:tcPr>
          <w:p w14:paraId="5F7A9D78" w14:textId="4FD47706" w:rsidR="00A758CE" w:rsidRPr="00AF1646" w:rsidRDefault="001E1723" w:rsidP="00142857">
            <w:pPr>
              <w:pStyle w:val="Header6"/>
            </w:pPr>
            <w:r w:rsidRPr="001E1723">
              <w:t>Scale, Proportion, and Quantity</w:t>
            </w:r>
          </w:p>
          <w:p w14:paraId="36324F1D" w14:textId="018F71D4" w:rsidR="00A758CE" w:rsidRDefault="001E1723" w:rsidP="00923851">
            <w:pPr>
              <w:pStyle w:val="TableBullets"/>
            </w:pPr>
            <w:r w:rsidRPr="001E1723">
              <w:t>Standard units are used to measure and describe physical quantities such as weight, time, temperature, and volume.</w:t>
            </w:r>
          </w:p>
          <w:p w14:paraId="3F7543F9" w14:textId="77777777" w:rsidR="0001205F" w:rsidRDefault="0001205F" w:rsidP="0001205F">
            <w:pPr>
              <w:pStyle w:val="TableConnections"/>
            </w:pPr>
            <w:r>
              <w:t>Connections to Nature of Science</w:t>
            </w:r>
          </w:p>
          <w:p w14:paraId="4581A1C1" w14:textId="7FA51A3B" w:rsidR="001E1723" w:rsidRPr="005A09DA" w:rsidRDefault="001E1723" w:rsidP="00923851">
            <w:pPr>
              <w:pStyle w:val="Header6"/>
            </w:pPr>
            <w:r w:rsidRPr="001E1723">
              <w:t>Scientific Knowledge Assumes an Order and Consistency in Natural Systems</w:t>
            </w:r>
          </w:p>
          <w:p w14:paraId="7DF7FA3A" w14:textId="72464B0E" w:rsidR="001E1723" w:rsidRPr="009F069F" w:rsidRDefault="001E1723" w:rsidP="001E1723">
            <w:pPr>
              <w:pStyle w:val="TableBullets"/>
            </w:pPr>
            <w:r w:rsidRPr="001E1723">
              <w:t>Science assumes consistent patterns in natural systems.</w:t>
            </w:r>
          </w:p>
        </w:tc>
      </w:tr>
    </w:tbl>
    <w:p w14:paraId="2C869A8A" w14:textId="77777777" w:rsidR="00283757" w:rsidRPr="00E40FEE" w:rsidRDefault="00283757" w:rsidP="0095195B">
      <w:pPr>
        <w:pStyle w:val="Heading2"/>
        <w:rPr>
          <w:color w:val="1F4E79"/>
        </w:rPr>
      </w:pPr>
      <w:r w:rsidRPr="00E40FEE">
        <w:rPr>
          <w:color w:val="1F4E79"/>
        </w:rPr>
        <w:lastRenderedPageBreak/>
        <w:t>Assessment Targets</w:t>
      </w:r>
    </w:p>
    <w:p w14:paraId="42E366DE" w14:textId="589CB4FA" w:rsidR="0061242E" w:rsidRPr="0061242E" w:rsidRDefault="00211916" w:rsidP="0095195B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28EE181C" w14:textId="77777777" w:rsidR="00283757" w:rsidRDefault="00283757" w:rsidP="0095195B">
      <w:pPr>
        <w:pStyle w:val="Heading3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511FAC42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012B37A3" w14:textId="0C74B069" w:rsidR="001E1723" w:rsidRDefault="001E1723" w:rsidP="001E1723">
      <w:pPr>
        <w:pStyle w:val="Subpractice-2"/>
      </w:pPr>
      <w:r>
        <w:t>5.1</w:t>
      </w:r>
      <w:r>
        <w:tab/>
        <w:t>Ability to develop mathematical and/or computational models</w:t>
      </w:r>
      <w:r w:rsidR="00E363F2">
        <w:t xml:space="preserve"> </w:t>
      </w:r>
      <w:r w:rsidR="00E363F2" w:rsidRPr="008109FD">
        <w:t>(e.g., graphical representation in a simulation)</w:t>
      </w:r>
    </w:p>
    <w:p w14:paraId="472041C2" w14:textId="6D8FD1CB" w:rsidR="00283757" w:rsidRPr="00C10941" w:rsidRDefault="001E1723" w:rsidP="001E1723">
      <w:pPr>
        <w:pStyle w:val="Subpractice-2"/>
      </w:pPr>
      <w:r>
        <w:t>5.2</w:t>
      </w:r>
      <w:r>
        <w:tab/>
        <w:t>Ability to conduct mathematical and/or computational analyses</w:t>
      </w:r>
    </w:p>
    <w:p w14:paraId="3B878AE4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59E81761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234079B3" w14:textId="02F3F5D5" w:rsidR="001E1723" w:rsidRDefault="001E1723" w:rsidP="001E1723">
      <w:pPr>
        <w:pStyle w:val="Subpractice-3"/>
      </w:pPr>
      <w:r>
        <w:t>5.1.1</w:t>
      </w:r>
      <w:r>
        <w:tab/>
        <w:t>Ability to generate mathematical representations to describe characteristics and patterns of a scientific phenomenon and/or a design solution</w:t>
      </w:r>
    </w:p>
    <w:p w14:paraId="7B89847E" w14:textId="506BFB71" w:rsidR="001E1723" w:rsidRDefault="001E1723" w:rsidP="001E1723">
      <w:pPr>
        <w:pStyle w:val="Subpractice-3"/>
      </w:pPr>
      <w:r>
        <w:t>5.1.2</w:t>
      </w:r>
      <w:r>
        <w:tab/>
      </w:r>
      <w:r w:rsidR="00532B87">
        <w:t xml:space="preserve">Ability to use units of measurement, diagrams, and graphs to record and organize data gathered directly or provided </w:t>
      </w:r>
      <w:proofErr w:type="gramStart"/>
      <w:r w:rsidR="00532B87">
        <w:t>from</w:t>
      </w:r>
      <w:proofErr w:type="gramEnd"/>
      <w:r w:rsidR="00532B87">
        <w:t xml:space="preserve"> scientific investigations</w:t>
      </w:r>
    </w:p>
    <w:p w14:paraId="37D5DA2D" w14:textId="7DB8F168" w:rsidR="00283757" w:rsidRPr="00C10941" w:rsidRDefault="001E1723" w:rsidP="001E1723">
      <w:pPr>
        <w:pStyle w:val="Subpractice-3"/>
      </w:pPr>
      <w:r>
        <w:t>5.2.</w:t>
      </w:r>
      <w:r w:rsidR="004B13DA">
        <w:t>2</w:t>
      </w:r>
      <w:r>
        <w:tab/>
        <w:t xml:space="preserve">Ability to use the results of computational models to identify the mathematical and/or computational representations </w:t>
      </w:r>
      <w:r w:rsidR="004B3AE5">
        <w:t xml:space="preserve">that </w:t>
      </w:r>
      <w:r>
        <w:t>support a scientific explanation or a design solution</w:t>
      </w:r>
    </w:p>
    <w:p w14:paraId="221FC671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2F030AB2" w14:textId="77F1B8BC" w:rsidR="00ED4938" w:rsidRPr="0039428E" w:rsidRDefault="001E1723" w:rsidP="0039428E">
      <w:pPr>
        <w:pStyle w:val="Heading4"/>
        <w:ind w:left="562"/>
        <w:rPr>
          <w:b w:val="0"/>
        </w:rPr>
      </w:pPr>
      <w:r w:rsidRPr="0039428E">
        <w:rPr>
          <w:b w:val="0"/>
        </w:rPr>
        <w:t>PS</w:t>
      </w:r>
      <w:proofErr w:type="gramStart"/>
      <w:r w:rsidRPr="0039428E">
        <w:rPr>
          <w:b w:val="0"/>
        </w:rPr>
        <w:t>1.A.</w:t>
      </w:r>
      <w:proofErr w:type="gramEnd"/>
      <w:r w:rsidRPr="0039428E">
        <w:rPr>
          <w:b w:val="0"/>
        </w:rPr>
        <w:t>5</w:t>
      </w:r>
      <w:r w:rsidRPr="0039428E">
        <w:rPr>
          <w:b w:val="0"/>
        </w:rPr>
        <w:tab/>
      </w:r>
    </w:p>
    <w:p w14:paraId="78288C11" w14:textId="6FEE9625" w:rsidR="001E1723" w:rsidRDefault="001E1723" w:rsidP="00C90001">
      <w:pPr>
        <w:pStyle w:val="DashedBullets"/>
        <w:ind w:left="1800"/>
      </w:pPr>
      <w:r>
        <w:t>Identify the standard units used to measure and describe physical quantities, such as mass/weight and volume</w:t>
      </w:r>
    </w:p>
    <w:p w14:paraId="46927112" w14:textId="2A59B159" w:rsidR="001E1723" w:rsidRDefault="001E1723" w:rsidP="00C90001">
      <w:pPr>
        <w:pStyle w:val="DashedBullets"/>
        <w:ind w:left="1800"/>
      </w:pPr>
      <w:r>
        <w:t>Understand that solids, liquids, and gases are forms of matter and have mass/weight</w:t>
      </w:r>
    </w:p>
    <w:p w14:paraId="7B0893FB" w14:textId="10288ACE" w:rsidR="001E1723" w:rsidRDefault="001E1723" w:rsidP="00C90001">
      <w:pPr>
        <w:pStyle w:val="DashedBullets"/>
        <w:ind w:left="1800"/>
      </w:pPr>
      <w:r>
        <w:t>Describe that the amount of matter (mass/weight) is conserved during physical changes</w:t>
      </w:r>
    </w:p>
    <w:p w14:paraId="382601DC" w14:textId="70288C88" w:rsidR="00ED4938" w:rsidRPr="0039428E" w:rsidRDefault="001E1723" w:rsidP="0039428E">
      <w:pPr>
        <w:pStyle w:val="Heading4"/>
        <w:ind w:left="562"/>
        <w:rPr>
          <w:b w:val="0"/>
        </w:rPr>
      </w:pPr>
      <w:r w:rsidRPr="0039428E">
        <w:rPr>
          <w:b w:val="0"/>
        </w:rPr>
        <w:lastRenderedPageBreak/>
        <w:t>PS</w:t>
      </w:r>
      <w:proofErr w:type="gramStart"/>
      <w:r w:rsidRPr="0039428E">
        <w:rPr>
          <w:b w:val="0"/>
        </w:rPr>
        <w:t>1.B.</w:t>
      </w:r>
      <w:proofErr w:type="gramEnd"/>
      <w:r w:rsidRPr="0039428E">
        <w:rPr>
          <w:b w:val="0"/>
        </w:rPr>
        <w:t>3</w:t>
      </w:r>
      <w:r w:rsidRPr="0039428E">
        <w:rPr>
          <w:b w:val="0"/>
        </w:rPr>
        <w:tab/>
      </w:r>
    </w:p>
    <w:p w14:paraId="380CAB94" w14:textId="4C496EA1" w:rsidR="00283757" w:rsidRPr="00C10941" w:rsidRDefault="001E1723" w:rsidP="00C90001">
      <w:pPr>
        <w:pStyle w:val="DashedBullets"/>
        <w:ind w:left="1800"/>
      </w:pPr>
      <w:r>
        <w:t>Describe that the amount of matter (mass/weight) is conserved during chemical changes</w:t>
      </w:r>
    </w:p>
    <w:p w14:paraId="591F0E07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176A0467" w14:textId="59D0DA50" w:rsidR="000A196B" w:rsidRDefault="001E1723" w:rsidP="00C10941">
      <w:pPr>
        <w:pStyle w:val="CrossCuttingTargets"/>
        <w:rPr>
          <w:lang w:eastAsia="ko-KR"/>
        </w:rPr>
      </w:pPr>
      <w:r w:rsidRPr="001E1723">
        <w:t>CCC3</w:t>
      </w:r>
      <w:r>
        <w:tab/>
      </w:r>
      <w:r w:rsidRPr="001E1723">
        <w:t>Use standard units to measure and describe physical quantities such as weight, time, temperature, and volume</w:t>
      </w:r>
    </w:p>
    <w:p w14:paraId="59379F6F" w14:textId="77777777" w:rsidR="000A196B" w:rsidRPr="00E40FEE" w:rsidRDefault="000A196B" w:rsidP="0097285D">
      <w:pPr>
        <w:pStyle w:val="Heading2"/>
        <w:rPr>
          <w:i/>
          <w:color w:val="1F4E79"/>
          <w:szCs w:val="24"/>
        </w:rPr>
      </w:pPr>
      <w:r w:rsidRPr="00E40FEE">
        <w:rPr>
          <w:color w:val="1F4E79"/>
          <w:lang w:eastAsia="ko-KR"/>
        </w:rPr>
        <w:t>Examples of Integration of Assessment Targets and Evidence</w:t>
      </w:r>
    </w:p>
    <w:p w14:paraId="45EC521F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06114938" w14:textId="39AD1D0F" w:rsidR="001E1723" w:rsidRDefault="001E1723" w:rsidP="001E1723">
      <w:pPr>
        <w:pStyle w:val="Paragraph"/>
      </w:pPr>
      <w:r>
        <w:t>Task provides a scenario involving a physical change or chemical change:</w:t>
      </w:r>
    </w:p>
    <w:p w14:paraId="6032AAFB" w14:textId="08602E34" w:rsidR="001E1723" w:rsidRDefault="001E1723" w:rsidP="001E1723">
      <w:pPr>
        <w:pStyle w:val="DashedBullets"/>
      </w:pPr>
      <w:r>
        <w:t>Describes what quantities to measure and include in a graphical representation to illustrate the conservation of matter (5.1.1, PS</w:t>
      </w:r>
      <w:proofErr w:type="gramStart"/>
      <w:r>
        <w:t>1.A.</w:t>
      </w:r>
      <w:proofErr w:type="gramEnd"/>
      <w:r>
        <w:t>5</w:t>
      </w:r>
      <w:r w:rsidR="00E5260B">
        <w:t xml:space="preserve">, </w:t>
      </w:r>
      <w:r>
        <w:t>PS</w:t>
      </w:r>
      <w:proofErr w:type="gramStart"/>
      <w:r>
        <w:t>1.B.</w:t>
      </w:r>
      <w:proofErr w:type="gramEnd"/>
      <w:r>
        <w:t>3, and CCC3)</w:t>
      </w:r>
    </w:p>
    <w:p w14:paraId="12D63D85" w14:textId="77777777" w:rsidR="001E1723" w:rsidRDefault="001E1723" w:rsidP="001E1723">
      <w:pPr>
        <w:pStyle w:val="Paragraph"/>
      </w:pPr>
      <w:r>
        <w:t>Task provides a scenario involving a physical change or chemical change and a graphical representation of the masses/weights of the substances before and after the change:</w:t>
      </w:r>
    </w:p>
    <w:p w14:paraId="4002E518" w14:textId="13872F2D" w:rsidR="001E1723" w:rsidRDefault="001E1723" w:rsidP="001E1723">
      <w:pPr>
        <w:pStyle w:val="DashedBullets"/>
      </w:pPr>
      <w:proofErr w:type="gramStart"/>
      <w:r>
        <w:t>Graphs</w:t>
      </w:r>
      <w:proofErr w:type="gramEnd"/>
      <w:r>
        <w:t xml:space="preserve"> the data to show that the total amount of matter was conserved during the change (5.1.2, PS</w:t>
      </w:r>
      <w:proofErr w:type="gramStart"/>
      <w:r>
        <w:t>1.A.</w:t>
      </w:r>
      <w:proofErr w:type="gramEnd"/>
      <w:r>
        <w:t>5</w:t>
      </w:r>
      <w:r w:rsidR="00E5260B">
        <w:t xml:space="preserve">, </w:t>
      </w:r>
      <w:r>
        <w:t>PS</w:t>
      </w:r>
      <w:proofErr w:type="gramStart"/>
      <w:r>
        <w:t>1.B.</w:t>
      </w:r>
      <w:proofErr w:type="gramEnd"/>
      <w:r>
        <w:t>3, and CCC3)</w:t>
      </w:r>
    </w:p>
    <w:p w14:paraId="4A1B9206" w14:textId="431042B1" w:rsidR="001E1723" w:rsidRDefault="001E1723" w:rsidP="001E1723">
      <w:pPr>
        <w:pStyle w:val="DashedBullets"/>
      </w:pPr>
      <w:r>
        <w:t>Selects the graph that best represents the data and shows that matter was conserved during the change (5.1.2, PS</w:t>
      </w:r>
      <w:proofErr w:type="gramStart"/>
      <w:r>
        <w:t>1.A.</w:t>
      </w:r>
      <w:proofErr w:type="gramEnd"/>
      <w:r>
        <w:t>5</w:t>
      </w:r>
      <w:r w:rsidR="00E5260B">
        <w:t xml:space="preserve">, </w:t>
      </w:r>
      <w:r>
        <w:t>PS</w:t>
      </w:r>
      <w:proofErr w:type="gramStart"/>
      <w:r>
        <w:t>1.B.</w:t>
      </w:r>
      <w:proofErr w:type="gramEnd"/>
      <w:r>
        <w:t>3, and CCC3)</w:t>
      </w:r>
    </w:p>
    <w:p w14:paraId="739CC0BC" w14:textId="6329534A" w:rsidR="001E1723" w:rsidRDefault="001E1723" w:rsidP="001E1723">
      <w:pPr>
        <w:pStyle w:val="DashedBullets"/>
      </w:pPr>
      <w:r>
        <w:t>Uses the graphical representations to describe or explain that matter was conserved (5.2.1, PS</w:t>
      </w:r>
      <w:proofErr w:type="gramStart"/>
      <w:r>
        <w:t>1.A.</w:t>
      </w:r>
      <w:proofErr w:type="gramEnd"/>
      <w:r>
        <w:t>5</w:t>
      </w:r>
      <w:r w:rsidR="00E5260B">
        <w:t xml:space="preserve">, </w:t>
      </w:r>
      <w:r>
        <w:t>PS</w:t>
      </w:r>
      <w:proofErr w:type="gramStart"/>
      <w:r>
        <w:t>1.B.</w:t>
      </w:r>
      <w:proofErr w:type="gramEnd"/>
      <w:r>
        <w:t>3, and CCC3)</w:t>
      </w:r>
    </w:p>
    <w:p w14:paraId="16173F37" w14:textId="6EF1FD71" w:rsidR="00FE4E50" w:rsidRPr="009246C4" w:rsidRDefault="001E1723" w:rsidP="001E1723">
      <w:pPr>
        <w:pStyle w:val="DashedBullets"/>
      </w:pPr>
      <w:r>
        <w:t>Uses the data, the principle of conservation of matter, and mathematical calculation to determine the amount of a substance consumed or produced during the change (5.2.1, PS</w:t>
      </w:r>
      <w:proofErr w:type="gramStart"/>
      <w:r>
        <w:t>1.A.</w:t>
      </w:r>
      <w:proofErr w:type="gramEnd"/>
      <w:r>
        <w:t>5</w:t>
      </w:r>
      <w:r w:rsidR="00E5260B">
        <w:t xml:space="preserve">, </w:t>
      </w:r>
      <w:r>
        <w:t>PS</w:t>
      </w:r>
      <w:proofErr w:type="gramStart"/>
      <w:r>
        <w:t>1.B.</w:t>
      </w:r>
      <w:proofErr w:type="gramEnd"/>
      <w:r>
        <w:t>3, and CCC3)</w:t>
      </w:r>
    </w:p>
    <w:p w14:paraId="5F8B3A6C" w14:textId="77777777" w:rsidR="00CE5AB8" w:rsidRPr="00E40FEE" w:rsidRDefault="00FE4E50" w:rsidP="0097285D">
      <w:pPr>
        <w:pStyle w:val="Heading2"/>
        <w:rPr>
          <w:color w:val="1F4E79"/>
        </w:rPr>
      </w:pPr>
      <w:r w:rsidRPr="00E40FEE">
        <w:rPr>
          <w:color w:val="1F4E79"/>
        </w:rPr>
        <w:t>Possible Phenomena or Contexts</w:t>
      </w:r>
    </w:p>
    <w:p w14:paraId="7B4D3765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74228237" w14:textId="77777777" w:rsidR="001E1723" w:rsidRDefault="001E1723" w:rsidP="001E1723">
      <w:pPr>
        <w:pStyle w:val="DashedBullets"/>
      </w:pPr>
      <w:r>
        <w:t>Physical changes include phase changes and dissolving to form solutions.</w:t>
      </w:r>
    </w:p>
    <w:p w14:paraId="6AEA7C60" w14:textId="77777777" w:rsidR="001E1723" w:rsidRDefault="001E1723" w:rsidP="001E1723">
      <w:pPr>
        <w:pStyle w:val="DashedBullets"/>
      </w:pPr>
      <w:r>
        <w:t xml:space="preserve">Chemical changes include precipitation reactions or simple reactions involving the consumption or production of </w:t>
      </w:r>
      <w:proofErr w:type="gramStart"/>
      <w:r>
        <w:t>a gas</w:t>
      </w:r>
      <w:proofErr w:type="gramEnd"/>
      <w:r>
        <w:t>.</w:t>
      </w:r>
    </w:p>
    <w:p w14:paraId="5C5308B0" w14:textId="40B26D94" w:rsidR="00FE4E50" w:rsidRPr="00A04BFA" w:rsidRDefault="001E1723" w:rsidP="001E1723">
      <w:pPr>
        <w:pStyle w:val="DashedBullets"/>
      </w:pPr>
      <w:r>
        <w:t>Mathematical representations may include the weights of the substances before and after a change as well as the containers that hold the substances.</w:t>
      </w:r>
    </w:p>
    <w:p w14:paraId="78813076" w14:textId="77777777" w:rsidR="00CE5AB8" w:rsidRPr="00E40FEE" w:rsidRDefault="00FE4E50" w:rsidP="0095195B">
      <w:pPr>
        <w:pStyle w:val="Heading2"/>
        <w:rPr>
          <w:color w:val="1F4E79"/>
        </w:rPr>
      </w:pPr>
      <w:r w:rsidRPr="00E40FEE">
        <w:rPr>
          <w:color w:val="1F4E79"/>
        </w:rPr>
        <w:lastRenderedPageBreak/>
        <w:t>Common Misconceptions</w:t>
      </w:r>
    </w:p>
    <w:p w14:paraId="0F2D079F" w14:textId="77777777" w:rsidR="00FE4E50" w:rsidRPr="00B63D23" w:rsidRDefault="00CE5AB8" w:rsidP="0095195B">
      <w:pPr>
        <w:pStyle w:val="ParagraphItalic"/>
        <w:keepNext/>
      </w:pPr>
      <w:r>
        <w:t>Note that the list in this section is not exhaustive.</w:t>
      </w:r>
    </w:p>
    <w:p w14:paraId="3C8F2CD8" w14:textId="77777777" w:rsidR="001E1723" w:rsidRDefault="001E1723" w:rsidP="0095195B">
      <w:pPr>
        <w:pStyle w:val="DashedBullets"/>
        <w:keepNext/>
      </w:pPr>
      <w:r>
        <w:t>Solids are always heavier than liquids.</w:t>
      </w:r>
    </w:p>
    <w:p w14:paraId="5BB82997" w14:textId="77777777" w:rsidR="001E1723" w:rsidRDefault="001E1723" w:rsidP="001E1723">
      <w:pPr>
        <w:pStyle w:val="DashedBullets"/>
      </w:pPr>
      <w:r>
        <w:t>Gases are weightless.</w:t>
      </w:r>
    </w:p>
    <w:p w14:paraId="4D8A0FD7" w14:textId="43207EDD" w:rsidR="00FE4E50" w:rsidRPr="00B05F41" w:rsidRDefault="001E1723" w:rsidP="001E1723">
      <w:pPr>
        <w:pStyle w:val="DashedBullets"/>
      </w:pPr>
      <w:r>
        <w:t>An increase or decrease in weight during a physical or chemical change indicates that matter is not conserved.</w:t>
      </w:r>
    </w:p>
    <w:p w14:paraId="448E83F8" w14:textId="77777777" w:rsidR="00FE4E50" w:rsidRPr="00E40FEE" w:rsidRDefault="00FE4E50" w:rsidP="0097285D">
      <w:pPr>
        <w:pStyle w:val="Heading2"/>
        <w:rPr>
          <w:color w:val="1F4E79"/>
        </w:rPr>
      </w:pPr>
      <w:r w:rsidRPr="00E40FEE">
        <w:rPr>
          <w:color w:val="1F4E79"/>
        </w:rPr>
        <w:t>Additional Assessment Boundaries</w:t>
      </w:r>
    </w:p>
    <w:p w14:paraId="2A69AB45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2DC384E" w14:textId="77777777" w:rsidR="00FE4E50" w:rsidRPr="00E40FEE" w:rsidRDefault="00FE4E50" w:rsidP="0097285D">
      <w:pPr>
        <w:pStyle w:val="Heading2"/>
        <w:rPr>
          <w:color w:val="1F4E79"/>
        </w:rPr>
      </w:pPr>
      <w:r w:rsidRPr="00E40FEE">
        <w:rPr>
          <w:color w:val="1F4E79"/>
        </w:rPr>
        <w:t>Additional References</w:t>
      </w:r>
    </w:p>
    <w:p w14:paraId="61414678" w14:textId="5841DB3D" w:rsidR="00286AB9" w:rsidRPr="0092682A" w:rsidRDefault="001E1723" w:rsidP="0092682A">
      <w:pPr>
        <w:pStyle w:val="Paragraph"/>
        <w:rPr>
          <w:rStyle w:val="Hyperlink"/>
        </w:rPr>
      </w:pPr>
      <w:r w:rsidRPr="00A14E49">
        <w:t>5-PS1-2 Evidence Statement</w:t>
      </w:r>
      <w:r w:rsidR="007E0CD2" w:rsidRPr="007E0CD2">
        <w:rPr>
          <w:rStyle w:val="Hyperlink"/>
          <w:bCs/>
          <w:color w:val="auto"/>
        </w:rPr>
        <w:t xml:space="preserve"> </w:t>
      </w:r>
      <w:hyperlink r:id="rId9" w:tooltip="5-PS1-2 Evidence Statement web document" w:history="1">
        <w:r w:rsidR="007E0CD2" w:rsidRPr="007E0CD2">
          <w:rPr>
            <w:rStyle w:val="Hyperlink"/>
            <w:bCs/>
          </w:rPr>
          <w:t>https://www.nextgenscience.org/sites/default/files/evidence_statement/black_white/5-PS1-2 Evidence Statements June 2015 asterisks.pdf</w:t>
        </w:r>
      </w:hyperlink>
    </w:p>
    <w:p w14:paraId="20395B43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536EE1DF" w14:textId="659CA7F9" w:rsidR="00AB7B8F" w:rsidRDefault="009F069F" w:rsidP="00E5260B">
      <w:pPr>
        <w:pStyle w:val="ScienceFrameworkLinks"/>
        <w:ind w:left="0"/>
        <w:rPr>
          <w:rStyle w:val="Hyperlink"/>
          <w:i w:val="0"/>
        </w:rPr>
      </w:pPr>
      <w:r w:rsidRPr="00A14E49">
        <w:t>Appendix 1: Progression of the Science and Engineering Practices, Disciplinary Core Ideas, and Crosscutting Concepts in Kindergarten through Grade 12</w:t>
      </w:r>
      <w:r w:rsidR="007E0CD2">
        <w:rPr>
          <w:rStyle w:val="Hyperlink"/>
          <w:color w:val="auto"/>
          <w:u w:val="none"/>
        </w:rP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="007E0CD2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2442D618" w14:textId="7CDBEB06" w:rsidR="003D4831" w:rsidRDefault="003D4831" w:rsidP="003D4831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2A2CEA">
        <w:rPr>
          <w:lang w:eastAsia="ko-KR"/>
        </w:rPr>
        <w:t xml:space="preserve"> </w:t>
      </w:r>
      <w:r w:rsidR="002A2CEA" w:rsidRPr="002A2CEA">
        <w:rPr>
          <w:lang w:eastAsia="ko-KR"/>
        </w:rPr>
        <w:t>(updated February 2024)</w:t>
      </w:r>
    </w:p>
    <w:p w14:paraId="3F195317" w14:textId="37CF3C23" w:rsidR="00EA0C79" w:rsidRPr="007E0CD2" w:rsidRDefault="00EA0C79" w:rsidP="003D4831">
      <w:pPr>
        <w:pStyle w:val="ScienceFrameworkLinks"/>
        <w:spacing w:before="600"/>
        <w:ind w:left="446" w:hanging="446"/>
        <w:rPr>
          <w:lang w:eastAsia="ko-KR"/>
        </w:rPr>
      </w:pPr>
    </w:p>
    <w:sectPr w:rsidR="00EA0C79" w:rsidRPr="007E0CD2" w:rsidSect="00D131BB">
      <w:headerReference w:type="default" r:id="rId11"/>
      <w:footerReference w:type="default" r:id="rId12"/>
      <w:headerReference w:type="first" r:id="rId13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7E1F" w14:textId="77777777" w:rsidR="00FC331C" w:rsidRDefault="00FC331C" w:rsidP="007525D5">
      <w:r>
        <w:separator/>
      </w:r>
    </w:p>
  </w:endnote>
  <w:endnote w:type="continuationSeparator" w:id="0">
    <w:p w14:paraId="042698BC" w14:textId="77777777" w:rsidR="00FC331C" w:rsidRDefault="00FC331C" w:rsidP="007525D5">
      <w:r>
        <w:continuationSeparator/>
      </w:r>
    </w:p>
  </w:endnote>
  <w:endnote w:type="continuationNotice" w:id="1">
    <w:p w14:paraId="34496597" w14:textId="77777777" w:rsidR="00FC331C" w:rsidRDefault="00FC33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11D5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923851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427BB" w14:textId="77777777" w:rsidR="00FC331C" w:rsidRDefault="00FC331C" w:rsidP="007525D5">
      <w:r>
        <w:separator/>
      </w:r>
    </w:p>
  </w:footnote>
  <w:footnote w:type="continuationSeparator" w:id="0">
    <w:p w14:paraId="61DF6E88" w14:textId="77777777" w:rsidR="00FC331C" w:rsidRDefault="00FC331C" w:rsidP="007525D5">
      <w:r>
        <w:continuationSeparator/>
      </w:r>
    </w:p>
  </w:footnote>
  <w:footnote w:type="continuationNotice" w:id="1">
    <w:p w14:paraId="45909869" w14:textId="77777777" w:rsidR="00FC331C" w:rsidRDefault="00FC33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2B84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257BCD08" wp14:editId="197572A4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32CEF" w14:textId="64EF889F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FB3DB4">
      <w:rPr>
        <w:noProof/>
      </w:rPr>
      <w:t>5-PS1-2 Matter and Its Interactions</w:t>
    </w:r>
    <w:r>
      <w:rPr>
        <w:noProof/>
      </w:rPr>
      <w:fldChar w:fldCharType="end"/>
    </w:r>
  </w:p>
  <w:p w14:paraId="3E0FBFB1" w14:textId="6D5FC9E8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ED4938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922D" w14:textId="77777777" w:rsidR="00142857" w:rsidRDefault="00142857" w:rsidP="0014285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D250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EC91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CD8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4AB9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D4A8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2BEF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1EAD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2EAC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22F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D881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BF8E24A0"/>
    <w:lvl w:ilvl="0" w:tplc="C876E9B8">
      <w:start w:val="5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87857240">
    <w:abstractNumId w:val="14"/>
  </w:num>
  <w:num w:numId="2" w16cid:durableId="1601139566">
    <w:abstractNumId w:val="16"/>
  </w:num>
  <w:num w:numId="3" w16cid:durableId="1687781078">
    <w:abstractNumId w:val="20"/>
  </w:num>
  <w:num w:numId="4" w16cid:durableId="977035880">
    <w:abstractNumId w:val="30"/>
  </w:num>
  <w:num w:numId="5" w16cid:durableId="731848827">
    <w:abstractNumId w:val="13"/>
  </w:num>
  <w:num w:numId="6" w16cid:durableId="1180699316">
    <w:abstractNumId w:val="11"/>
  </w:num>
  <w:num w:numId="7" w16cid:durableId="1116868773">
    <w:abstractNumId w:val="24"/>
  </w:num>
  <w:num w:numId="8" w16cid:durableId="663247133">
    <w:abstractNumId w:val="25"/>
  </w:num>
  <w:num w:numId="9" w16cid:durableId="1286816731">
    <w:abstractNumId w:val="29"/>
  </w:num>
  <w:num w:numId="10" w16cid:durableId="1313414253">
    <w:abstractNumId w:val="22"/>
  </w:num>
  <w:num w:numId="11" w16cid:durableId="1856267141">
    <w:abstractNumId w:val="31"/>
  </w:num>
  <w:num w:numId="12" w16cid:durableId="602617416">
    <w:abstractNumId w:val="29"/>
    <w:lvlOverride w:ilvl="0">
      <w:startOverride w:val="1"/>
    </w:lvlOverride>
  </w:num>
  <w:num w:numId="13" w16cid:durableId="1623464474">
    <w:abstractNumId w:val="29"/>
    <w:lvlOverride w:ilvl="0">
      <w:startOverride w:val="1"/>
    </w:lvlOverride>
  </w:num>
  <w:num w:numId="14" w16cid:durableId="12592943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9998971">
    <w:abstractNumId w:val="29"/>
    <w:lvlOverride w:ilvl="0">
      <w:startOverride w:val="1"/>
    </w:lvlOverride>
  </w:num>
  <w:num w:numId="16" w16cid:durableId="245071264">
    <w:abstractNumId w:val="29"/>
    <w:lvlOverride w:ilvl="0">
      <w:startOverride w:val="1"/>
    </w:lvlOverride>
  </w:num>
  <w:num w:numId="17" w16cid:durableId="1519781792">
    <w:abstractNumId w:val="22"/>
    <w:lvlOverride w:ilvl="0">
      <w:startOverride w:val="1"/>
    </w:lvlOverride>
  </w:num>
  <w:num w:numId="18" w16cid:durableId="1088885247">
    <w:abstractNumId w:val="29"/>
    <w:lvlOverride w:ilvl="0">
      <w:startOverride w:val="1"/>
    </w:lvlOverride>
  </w:num>
  <w:num w:numId="19" w16cid:durableId="7486942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9341982">
    <w:abstractNumId w:val="29"/>
    <w:lvlOverride w:ilvl="0">
      <w:startOverride w:val="1"/>
    </w:lvlOverride>
  </w:num>
  <w:num w:numId="21" w16cid:durableId="867718940">
    <w:abstractNumId w:val="22"/>
    <w:lvlOverride w:ilvl="0">
      <w:startOverride w:val="1"/>
    </w:lvlOverride>
  </w:num>
  <w:num w:numId="22" w16cid:durableId="770442053">
    <w:abstractNumId w:val="29"/>
    <w:lvlOverride w:ilvl="0">
      <w:startOverride w:val="1"/>
    </w:lvlOverride>
  </w:num>
  <w:num w:numId="23" w16cid:durableId="27921045">
    <w:abstractNumId w:val="22"/>
    <w:lvlOverride w:ilvl="0">
      <w:startOverride w:val="1"/>
    </w:lvlOverride>
  </w:num>
  <w:num w:numId="24" w16cid:durableId="1137603422">
    <w:abstractNumId w:val="29"/>
    <w:lvlOverride w:ilvl="0">
      <w:startOverride w:val="1"/>
    </w:lvlOverride>
  </w:num>
  <w:num w:numId="25" w16cid:durableId="1467969513">
    <w:abstractNumId w:val="22"/>
    <w:lvlOverride w:ilvl="0">
      <w:startOverride w:val="1"/>
    </w:lvlOverride>
  </w:num>
  <w:num w:numId="26" w16cid:durableId="1715345125">
    <w:abstractNumId w:val="31"/>
    <w:lvlOverride w:ilvl="0">
      <w:startOverride w:val="1"/>
    </w:lvlOverride>
  </w:num>
  <w:num w:numId="27" w16cid:durableId="1473601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7870798">
    <w:abstractNumId w:val="29"/>
    <w:lvlOverride w:ilvl="0">
      <w:startOverride w:val="1"/>
    </w:lvlOverride>
  </w:num>
  <w:num w:numId="29" w16cid:durableId="1716194909">
    <w:abstractNumId w:val="22"/>
    <w:lvlOverride w:ilvl="0">
      <w:startOverride w:val="1"/>
    </w:lvlOverride>
  </w:num>
  <w:num w:numId="30" w16cid:durableId="130639016">
    <w:abstractNumId w:val="29"/>
    <w:lvlOverride w:ilvl="0">
      <w:startOverride w:val="1"/>
    </w:lvlOverride>
  </w:num>
  <w:num w:numId="31" w16cid:durableId="202717276">
    <w:abstractNumId w:val="29"/>
    <w:lvlOverride w:ilvl="0">
      <w:startOverride w:val="1"/>
    </w:lvlOverride>
  </w:num>
  <w:num w:numId="32" w16cid:durableId="1231885522">
    <w:abstractNumId w:val="22"/>
    <w:lvlOverride w:ilvl="0">
      <w:startOverride w:val="1"/>
    </w:lvlOverride>
  </w:num>
  <w:num w:numId="33" w16cid:durableId="6940410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7258235">
    <w:abstractNumId w:val="29"/>
    <w:lvlOverride w:ilvl="0">
      <w:startOverride w:val="1"/>
    </w:lvlOverride>
  </w:num>
  <w:num w:numId="35" w16cid:durableId="275260812">
    <w:abstractNumId w:val="22"/>
    <w:lvlOverride w:ilvl="0">
      <w:startOverride w:val="1"/>
    </w:lvlOverride>
  </w:num>
  <w:num w:numId="36" w16cid:durableId="1678995829">
    <w:abstractNumId w:val="29"/>
    <w:lvlOverride w:ilvl="0">
      <w:startOverride w:val="1"/>
    </w:lvlOverride>
  </w:num>
  <w:num w:numId="37" w16cid:durableId="1741361899">
    <w:abstractNumId w:val="22"/>
    <w:lvlOverride w:ilvl="0">
      <w:startOverride w:val="1"/>
    </w:lvlOverride>
  </w:num>
  <w:num w:numId="38" w16cid:durableId="788621965">
    <w:abstractNumId w:val="31"/>
    <w:lvlOverride w:ilvl="0">
      <w:startOverride w:val="1"/>
    </w:lvlOverride>
  </w:num>
  <w:num w:numId="39" w16cid:durableId="821778940">
    <w:abstractNumId w:val="31"/>
    <w:lvlOverride w:ilvl="0">
      <w:startOverride w:val="1"/>
    </w:lvlOverride>
  </w:num>
  <w:num w:numId="40" w16cid:durableId="1845628024">
    <w:abstractNumId w:val="29"/>
    <w:lvlOverride w:ilvl="0">
      <w:startOverride w:val="1"/>
    </w:lvlOverride>
  </w:num>
  <w:num w:numId="41" w16cid:durableId="90703495">
    <w:abstractNumId w:val="22"/>
    <w:lvlOverride w:ilvl="0">
      <w:startOverride w:val="1"/>
    </w:lvlOverride>
  </w:num>
  <w:num w:numId="42" w16cid:durableId="793793939">
    <w:abstractNumId w:val="31"/>
    <w:lvlOverride w:ilvl="0">
      <w:startOverride w:val="1"/>
    </w:lvlOverride>
  </w:num>
  <w:num w:numId="43" w16cid:durableId="6756700">
    <w:abstractNumId w:val="31"/>
    <w:lvlOverride w:ilvl="0">
      <w:startOverride w:val="1"/>
    </w:lvlOverride>
  </w:num>
  <w:num w:numId="44" w16cid:durableId="1548177240">
    <w:abstractNumId w:val="31"/>
    <w:lvlOverride w:ilvl="0">
      <w:startOverride w:val="1"/>
    </w:lvlOverride>
  </w:num>
  <w:num w:numId="45" w16cid:durableId="1578708324">
    <w:abstractNumId w:val="34"/>
  </w:num>
  <w:num w:numId="46" w16cid:durableId="584338335">
    <w:abstractNumId w:val="22"/>
    <w:lvlOverride w:ilvl="0">
      <w:startOverride w:val="1"/>
    </w:lvlOverride>
  </w:num>
  <w:num w:numId="47" w16cid:durableId="169877083">
    <w:abstractNumId w:val="15"/>
  </w:num>
  <w:num w:numId="48" w16cid:durableId="460000172">
    <w:abstractNumId w:val="28"/>
  </w:num>
  <w:num w:numId="49" w16cid:durableId="779373441">
    <w:abstractNumId w:val="27"/>
  </w:num>
  <w:num w:numId="50" w16cid:durableId="2049715453">
    <w:abstractNumId w:val="33"/>
  </w:num>
  <w:num w:numId="51" w16cid:durableId="1298604757">
    <w:abstractNumId w:val="35"/>
  </w:num>
  <w:num w:numId="52" w16cid:durableId="1578785208">
    <w:abstractNumId w:val="17"/>
  </w:num>
  <w:num w:numId="53" w16cid:durableId="1622229729">
    <w:abstractNumId w:val="9"/>
  </w:num>
  <w:num w:numId="54" w16cid:durableId="54088898">
    <w:abstractNumId w:val="7"/>
  </w:num>
  <w:num w:numId="55" w16cid:durableId="1243761671">
    <w:abstractNumId w:val="6"/>
  </w:num>
  <w:num w:numId="56" w16cid:durableId="236939888">
    <w:abstractNumId w:val="5"/>
  </w:num>
  <w:num w:numId="57" w16cid:durableId="613294755">
    <w:abstractNumId w:val="4"/>
  </w:num>
  <w:num w:numId="58" w16cid:durableId="1627661980">
    <w:abstractNumId w:val="8"/>
  </w:num>
  <w:num w:numId="59" w16cid:durableId="1331325790">
    <w:abstractNumId w:val="3"/>
  </w:num>
  <w:num w:numId="60" w16cid:durableId="242839647">
    <w:abstractNumId w:val="2"/>
  </w:num>
  <w:num w:numId="61" w16cid:durableId="1205098009">
    <w:abstractNumId w:val="1"/>
  </w:num>
  <w:num w:numId="62" w16cid:durableId="1145901349">
    <w:abstractNumId w:val="0"/>
  </w:num>
  <w:num w:numId="63" w16cid:durableId="354044001">
    <w:abstractNumId w:val="18"/>
  </w:num>
  <w:num w:numId="64" w16cid:durableId="1206989265">
    <w:abstractNumId w:val="19"/>
  </w:num>
  <w:num w:numId="65" w16cid:durableId="778989671">
    <w:abstractNumId w:val="32"/>
  </w:num>
  <w:num w:numId="66" w16cid:durableId="886599071">
    <w:abstractNumId w:val="39"/>
  </w:num>
  <w:num w:numId="67" w16cid:durableId="1870951375">
    <w:abstractNumId w:val="38"/>
  </w:num>
  <w:num w:numId="68" w16cid:durableId="1692100045">
    <w:abstractNumId w:val="10"/>
  </w:num>
  <w:num w:numId="69" w16cid:durableId="228003071">
    <w:abstractNumId w:val="26"/>
  </w:num>
  <w:num w:numId="70" w16cid:durableId="728847860">
    <w:abstractNumId w:val="36"/>
  </w:num>
  <w:num w:numId="71" w16cid:durableId="1859195408">
    <w:abstractNumId w:val="37"/>
  </w:num>
  <w:num w:numId="72" w16cid:durableId="1224097984">
    <w:abstractNumId w:val="12"/>
  </w:num>
  <w:num w:numId="73" w16cid:durableId="1209488481">
    <w:abstractNumId w:val="23"/>
  </w:num>
  <w:num w:numId="74" w16cid:durableId="1865897655">
    <w:abstractNumId w:val="21"/>
  </w:num>
  <w:num w:numId="75" w16cid:durableId="1257668435">
    <w:abstractNumId w:val="38"/>
    <w:lvlOverride w:ilvl="0">
      <w:startOverride w:val="3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53"/>
    <w:rsid w:val="0000426C"/>
    <w:rsid w:val="00007CC7"/>
    <w:rsid w:val="00011FCD"/>
    <w:rsid w:val="0001205F"/>
    <w:rsid w:val="0001622A"/>
    <w:rsid w:val="0001669B"/>
    <w:rsid w:val="000205F6"/>
    <w:rsid w:val="000221B6"/>
    <w:rsid w:val="00031AE2"/>
    <w:rsid w:val="000340F0"/>
    <w:rsid w:val="0003613C"/>
    <w:rsid w:val="000418D5"/>
    <w:rsid w:val="000436DD"/>
    <w:rsid w:val="00043B3C"/>
    <w:rsid w:val="0005518A"/>
    <w:rsid w:val="00061F50"/>
    <w:rsid w:val="00062272"/>
    <w:rsid w:val="00064632"/>
    <w:rsid w:val="00066436"/>
    <w:rsid w:val="0006727D"/>
    <w:rsid w:val="00080931"/>
    <w:rsid w:val="00084713"/>
    <w:rsid w:val="00091AE1"/>
    <w:rsid w:val="000A196B"/>
    <w:rsid w:val="000A2BCD"/>
    <w:rsid w:val="000B1027"/>
    <w:rsid w:val="000B3AC9"/>
    <w:rsid w:val="000B4E2E"/>
    <w:rsid w:val="000B68A0"/>
    <w:rsid w:val="000C2963"/>
    <w:rsid w:val="000C3750"/>
    <w:rsid w:val="000C4000"/>
    <w:rsid w:val="000D4772"/>
    <w:rsid w:val="000D537C"/>
    <w:rsid w:val="000E1504"/>
    <w:rsid w:val="000E1960"/>
    <w:rsid w:val="000E7CEB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2857"/>
    <w:rsid w:val="001446B5"/>
    <w:rsid w:val="00145A67"/>
    <w:rsid w:val="00157B14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2846"/>
    <w:rsid w:val="001A3EDF"/>
    <w:rsid w:val="001A6986"/>
    <w:rsid w:val="001B0AD0"/>
    <w:rsid w:val="001B70C6"/>
    <w:rsid w:val="001C42B3"/>
    <w:rsid w:val="001D6620"/>
    <w:rsid w:val="001E1723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2CEA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7473D"/>
    <w:rsid w:val="0037623A"/>
    <w:rsid w:val="00386C80"/>
    <w:rsid w:val="003902B4"/>
    <w:rsid w:val="0039428E"/>
    <w:rsid w:val="003B5FD4"/>
    <w:rsid w:val="003B6084"/>
    <w:rsid w:val="003C6678"/>
    <w:rsid w:val="003D4831"/>
    <w:rsid w:val="003D74A5"/>
    <w:rsid w:val="0041407C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13DA"/>
    <w:rsid w:val="004B3AE5"/>
    <w:rsid w:val="004B61C1"/>
    <w:rsid w:val="004E5C17"/>
    <w:rsid w:val="004F51E9"/>
    <w:rsid w:val="005105BA"/>
    <w:rsid w:val="00510611"/>
    <w:rsid w:val="00532B87"/>
    <w:rsid w:val="00543833"/>
    <w:rsid w:val="00543F29"/>
    <w:rsid w:val="00550753"/>
    <w:rsid w:val="005563AE"/>
    <w:rsid w:val="005606EA"/>
    <w:rsid w:val="00561DAB"/>
    <w:rsid w:val="00562081"/>
    <w:rsid w:val="00563123"/>
    <w:rsid w:val="0056512A"/>
    <w:rsid w:val="005744A7"/>
    <w:rsid w:val="00583B72"/>
    <w:rsid w:val="00586A0D"/>
    <w:rsid w:val="00593CF5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10AF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418E"/>
    <w:rsid w:val="007A7155"/>
    <w:rsid w:val="007A7747"/>
    <w:rsid w:val="007C3B49"/>
    <w:rsid w:val="007C519F"/>
    <w:rsid w:val="007E0CD2"/>
    <w:rsid w:val="007E2419"/>
    <w:rsid w:val="007F0618"/>
    <w:rsid w:val="00800A96"/>
    <w:rsid w:val="00801596"/>
    <w:rsid w:val="008045E9"/>
    <w:rsid w:val="008075CA"/>
    <w:rsid w:val="00811485"/>
    <w:rsid w:val="00815618"/>
    <w:rsid w:val="008240F2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0B8E"/>
    <w:rsid w:val="008C3331"/>
    <w:rsid w:val="008C448E"/>
    <w:rsid w:val="008C62BF"/>
    <w:rsid w:val="008C7F74"/>
    <w:rsid w:val="008D5346"/>
    <w:rsid w:val="008E0A9D"/>
    <w:rsid w:val="008F2A86"/>
    <w:rsid w:val="00901307"/>
    <w:rsid w:val="009029B2"/>
    <w:rsid w:val="009052CD"/>
    <w:rsid w:val="00906283"/>
    <w:rsid w:val="00914743"/>
    <w:rsid w:val="009226E0"/>
    <w:rsid w:val="00923851"/>
    <w:rsid w:val="0092682A"/>
    <w:rsid w:val="009322EA"/>
    <w:rsid w:val="00935CE2"/>
    <w:rsid w:val="009365C5"/>
    <w:rsid w:val="009430FA"/>
    <w:rsid w:val="00946615"/>
    <w:rsid w:val="0095195B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D393B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4E49"/>
    <w:rsid w:val="00A16C58"/>
    <w:rsid w:val="00A21B9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25C5"/>
    <w:rsid w:val="00AB4E9E"/>
    <w:rsid w:val="00AB58B1"/>
    <w:rsid w:val="00AB7B8F"/>
    <w:rsid w:val="00AC778A"/>
    <w:rsid w:val="00AE1251"/>
    <w:rsid w:val="00AE33ED"/>
    <w:rsid w:val="00AF1646"/>
    <w:rsid w:val="00AF4E13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86BA8"/>
    <w:rsid w:val="00C90001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131BB"/>
    <w:rsid w:val="00D2394E"/>
    <w:rsid w:val="00D247C2"/>
    <w:rsid w:val="00D2719D"/>
    <w:rsid w:val="00D40CBC"/>
    <w:rsid w:val="00D467F8"/>
    <w:rsid w:val="00D47119"/>
    <w:rsid w:val="00D61192"/>
    <w:rsid w:val="00D62753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D1A07"/>
    <w:rsid w:val="00DE04BA"/>
    <w:rsid w:val="00DE0E48"/>
    <w:rsid w:val="00DE67F5"/>
    <w:rsid w:val="00DF3F78"/>
    <w:rsid w:val="00DF72CC"/>
    <w:rsid w:val="00E21193"/>
    <w:rsid w:val="00E363F2"/>
    <w:rsid w:val="00E3769E"/>
    <w:rsid w:val="00E40FEE"/>
    <w:rsid w:val="00E42404"/>
    <w:rsid w:val="00E5260B"/>
    <w:rsid w:val="00E63ED9"/>
    <w:rsid w:val="00E7262B"/>
    <w:rsid w:val="00E82F54"/>
    <w:rsid w:val="00E85B5A"/>
    <w:rsid w:val="00E86459"/>
    <w:rsid w:val="00E87DA0"/>
    <w:rsid w:val="00EA0C79"/>
    <w:rsid w:val="00EA0CA7"/>
    <w:rsid w:val="00EA0D68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D4938"/>
    <w:rsid w:val="00EE4373"/>
    <w:rsid w:val="00F0713B"/>
    <w:rsid w:val="00F10357"/>
    <w:rsid w:val="00F110BD"/>
    <w:rsid w:val="00F12393"/>
    <w:rsid w:val="00F15CD6"/>
    <w:rsid w:val="00F16F2D"/>
    <w:rsid w:val="00F21D67"/>
    <w:rsid w:val="00F24B8F"/>
    <w:rsid w:val="00F30B46"/>
    <w:rsid w:val="00F30EB2"/>
    <w:rsid w:val="00F4536C"/>
    <w:rsid w:val="00F50662"/>
    <w:rsid w:val="00F63674"/>
    <w:rsid w:val="00F73108"/>
    <w:rsid w:val="00F75DBD"/>
    <w:rsid w:val="00F95343"/>
    <w:rsid w:val="00FA1F82"/>
    <w:rsid w:val="00FB3DB4"/>
    <w:rsid w:val="00FC331C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37D3EE55"/>
    <w:rsid w:val="3E637228"/>
    <w:rsid w:val="502CAF4F"/>
    <w:rsid w:val="5395FC44"/>
    <w:rsid w:val="6B1E39B9"/>
    <w:rsid w:val="7200FF9B"/>
    <w:rsid w:val="761B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61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142857"/>
  </w:style>
  <w:style w:type="character" w:customStyle="1" w:styleId="TableHeaderChar">
    <w:name w:val="TableHeader Char"/>
    <w:basedOn w:val="DefaultParagraphFont"/>
    <w:link w:val="TableHeader"/>
    <w:rsid w:val="00142857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142857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19284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2846"/>
  </w:style>
  <w:style w:type="character" w:customStyle="1" w:styleId="BodyTextChar">
    <w:name w:val="Body Text Char"/>
    <w:basedOn w:val="DefaultParagraphFont"/>
    <w:link w:val="BodyText"/>
    <w:uiPriority w:val="99"/>
    <w:semiHidden/>
    <w:rsid w:val="00192846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284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2846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284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2846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284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2846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284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2846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2846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2846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2846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2846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2846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2846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284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2846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2846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2846"/>
  </w:style>
  <w:style w:type="character" w:customStyle="1" w:styleId="DateChar">
    <w:name w:val="Date Char"/>
    <w:basedOn w:val="DefaultParagraphFont"/>
    <w:link w:val="Date"/>
    <w:uiPriority w:val="99"/>
    <w:semiHidden/>
    <w:rsid w:val="00192846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284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284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284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2846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284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846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284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2846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4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284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2846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84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84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2846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2846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2846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2846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2846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2846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2846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2846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2846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284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46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19284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9284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9284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9284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9284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92846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92846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2846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2846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2846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2846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2846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2846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2846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2846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92846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2846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2846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2846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2846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928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284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2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284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92846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19284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284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2846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284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84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928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46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284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2846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2846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2846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4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9284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284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284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9284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284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284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284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284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284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284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284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284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284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846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5-PS1-2%20Evidence%20Statements%20June%202015%20asterisk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A83E421-A458-4D3D-B404-48F25DFD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Specifications—5-PS1-2 - CAASPP (CA Dept of Education)</dc:title>
  <dc:subject>This CAST item specification describes 5-PS1-2 Matter and Its Interactions.</dc:subject>
  <dc:creator/>
  <cp:keywords/>
  <dc:description/>
  <cp:lastModifiedBy/>
  <cp:revision>1</cp:revision>
  <dcterms:created xsi:type="dcterms:W3CDTF">2025-04-01T22:54:00Z</dcterms:created>
  <dcterms:modified xsi:type="dcterms:W3CDTF">2025-04-01T22:54:00Z</dcterms:modified>
</cp:coreProperties>
</file>