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C6" w:rsidRPr="008C07BF" w:rsidRDefault="00D5115F" w:rsidP="00483B3D">
      <w:pPr>
        <w:spacing w:after="480"/>
      </w:pPr>
      <w:r w:rsidRPr="008C07B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Pr="008C07BF" w:rsidRDefault="00FC1FCE" w:rsidP="00B723BE">
      <w:pPr>
        <w:jc w:val="right"/>
      </w:pPr>
      <w:r w:rsidRPr="008C07BF">
        <w:t>California Department of Education</w:t>
      </w:r>
    </w:p>
    <w:p w:rsidR="00B723BE" w:rsidRPr="008C07BF" w:rsidRDefault="00FC1FCE" w:rsidP="00B723BE">
      <w:pPr>
        <w:jc w:val="right"/>
      </w:pPr>
      <w:r w:rsidRPr="008C07BF">
        <w:t>Executive Office</w:t>
      </w:r>
    </w:p>
    <w:p w:rsidR="002B4B14" w:rsidRPr="008C07BF" w:rsidRDefault="00692300" w:rsidP="00B723BE">
      <w:pPr>
        <w:jc w:val="right"/>
      </w:pPr>
      <w:r w:rsidRPr="008C07BF">
        <w:t>SBE-00</w:t>
      </w:r>
      <w:r w:rsidR="000324AD" w:rsidRPr="008C07BF">
        <w:t>3</w:t>
      </w:r>
      <w:r w:rsidRPr="008C07BF">
        <w:t xml:space="preserve"> (REV. 1</w:t>
      </w:r>
      <w:r w:rsidR="00C27D57" w:rsidRPr="008C07BF">
        <w:t>1</w:t>
      </w:r>
      <w:r w:rsidRPr="008C07BF">
        <w:t>/2017</w:t>
      </w:r>
      <w:r w:rsidR="00FC1FCE" w:rsidRPr="008C07BF">
        <w:t>)</w:t>
      </w:r>
    </w:p>
    <w:p w:rsidR="00B723BE" w:rsidRPr="008C07BF" w:rsidRDefault="002C27CB" w:rsidP="00B723BE">
      <w:pPr>
        <w:jc w:val="right"/>
      </w:pPr>
      <w:proofErr w:type="gramStart"/>
      <w:r w:rsidRPr="008C07BF">
        <w:t>pptb-adad-may18item01</w:t>
      </w:r>
      <w:proofErr w:type="gramEnd"/>
    </w:p>
    <w:p w:rsidR="00B723BE" w:rsidRPr="008C07BF" w:rsidRDefault="00B723BE" w:rsidP="00FC1FCE">
      <w:pPr>
        <w:pStyle w:val="Heading1"/>
        <w:jc w:val="center"/>
        <w:rPr>
          <w:sz w:val="40"/>
          <w:szCs w:val="40"/>
        </w:rPr>
        <w:sectPr w:rsidR="00B723BE" w:rsidRPr="008C07BF" w:rsidSect="00C82CBA">
          <w:headerReference w:type="default" r:id="rId9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FC1FCE" w:rsidRPr="008C07BF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8C07BF">
        <w:rPr>
          <w:sz w:val="40"/>
          <w:szCs w:val="40"/>
        </w:rPr>
        <w:t>Californ</w:t>
      </w:r>
      <w:r w:rsidR="00693951" w:rsidRPr="008C07BF">
        <w:rPr>
          <w:sz w:val="40"/>
          <w:szCs w:val="40"/>
        </w:rPr>
        <w:t>ia State Board of Education</w:t>
      </w:r>
      <w:r w:rsidR="00693951" w:rsidRPr="008C07BF">
        <w:rPr>
          <w:sz w:val="40"/>
          <w:szCs w:val="40"/>
        </w:rPr>
        <w:br/>
      </w:r>
      <w:r w:rsidR="002C27CB" w:rsidRPr="008C07BF">
        <w:rPr>
          <w:sz w:val="40"/>
          <w:szCs w:val="40"/>
        </w:rPr>
        <w:t xml:space="preserve">May </w:t>
      </w:r>
      <w:r w:rsidR="00ED18FD" w:rsidRPr="008C07BF">
        <w:rPr>
          <w:sz w:val="40"/>
          <w:szCs w:val="40"/>
        </w:rPr>
        <w:t>2018</w:t>
      </w:r>
      <w:r w:rsidRPr="008C07BF">
        <w:rPr>
          <w:sz w:val="40"/>
          <w:szCs w:val="40"/>
        </w:rPr>
        <w:t xml:space="preserve"> Agenda</w:t>
      </w:r>
      <w:r w:rsidR="00FC1FCE" w:rsidRPr="008C07BF">
        <w:rPr>
          <w:sz w:val="40"/>
          <w:szCs w:val="40"/>
        </w:rPr>
        <w:br/>
        <w:t>Item</w:t>
      </w:r>
      <w:r w:rsidR="00692300" w:rsidRPr="008C07BF">
        <w:rPr>
          <w:sz w:val="40"/>
          <w:szCs w:val="40"/>
        </w:rPr>
        <w:t xml:space="preserve"> </w:t>
      </w:r>
      <w:r w:rsidR="008C07BF">
        <w:rPr>
          <w:sz w:val="40"/>
          <w:szCs w:val="40"/>
        </w:rPr>
        <w:t>#</w:t>
      </w:r>
      <w:r w:rsidR="008C07BF" w:rsidRPr="00107595">
        <w:rPr>
          <w:sz w:val="40"/>
          <w:szCs w:val="40"/>
        </w:rPr>
        <w:t>04</w:t>
      </w:r>
    </w:p>
    <w:p w:rsidR="00FC1FCE" w:rsidRPr="008C07BF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8C07BF">
        <w:rPr>
          <w:sz w:val="36"/>
          <w:szCs w:val="36"/>
        </w:rPr>
        <w:t>Subject</w:t>
      </w:r>
    </w:p>
    <w:p w:rsidR="002C27CB" w:rsidRPr="008C07BF" w:rsidRDefault="002C27CB" w:rsidP="0085376B">
      <w:pPr>
        <w:spacing w:after="480"/>
        <w:rPr>
          <w:b/>
        </w:rPr>
      </w:pPr>
      <w:r w:rsidRPr="008C07BF">
        <w:t>English Language Proficiency Ass</w:t>
      </w:r>
      <w:r w:rsidR="00945352" w:rsidRPr="008C07BF">
        <w:t>essments for California: Approval of</w:t>
      </w:r>
      <w:r w:rsidRPr="008C07BF">
        <w:t xml:space="preserve"> the Operational Initial Assessment </w:t>
      </w:r>
      <w:r w:rsidR="00945352" w:rsidRPr="008C07BF">
        <w:t xml:space="preserve">Preliminary </w:t>
      </w:r>
      <w:r w:rsidRPr="008C07BF">
        <w:t>Threshold Scores and Composite Weights for the English Language Proficiency Assessments for California.</w:t>
      </w:r>
    </w:p>
    <w:p w:rsidR="0091117B" w:rsidRPr="008C07BF" w:rsidRDefault="00FC1FCE" w:rsidP="002C27CB">
      <w:pPr>
        <w:pStyle w:val="Heading2"/>
        <w:spacing w:before="240" w:after="240"/>
        <w:rPr>
          <w:sz w:val="36"/>
          <w:szCs w:val="36"/>
        </w:rPr>
      </w:pPr>
      <w:r w:rsidRPr="008C07BF">
        <w:rPr>
          <w:sz w:val="36"/>
          <w:szCs w:val="36"/>
        </w:rPr>
        <w:t>Type of Action</w:t>
      </w:r>
    </w:p>
    <w:p w:rsidR="002C27CB" w:rsidRPr="008C07BF" w:rsidRDefault="000E51A1" w:rsidP="0085376B">
      <w:pPr>
        <w:spacing w:after="480"/>
      </w:pPr>
      <w:r w:rsidRPr="008C07BF">
        <w:t>Action, I</w:t>
      </w:r>
      <w:r w:rsidR="002C27CB" w:rsidRPr="008C07BF">
        <w:t>nformation</w:t>
      </w:r>
    </w:p>
    <w:p w:rsidR="00FC1FCE" w:rsidRPr="008C07BF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8C07BF">
        <w:rPr>
          <w:sz w:val="36"/>
          <w:szCs w:val="36"/>
        </w:rPr>
        <w:t>Summary of the Issue(s)</w:t>
      </w:r>
    </w:p>
    <w:p w:rsidR="00761814" w:rsidRPr="008C07BF" w:rsidRDefault="000E51A1" w:rsidP="00E81BE3">
      <w:pPr>
        <w:spacing w:after="480"/>
      </w:pPr>
      <w:r w:rsidRPr="008C07BF">
        <w:rPr>
          <w:rFonts w:cs="Arial"/>
        </w:rPr>
        <w:t>Approval of the I</w:t>
      </w:r>
      <w:r w:rsidR="00761814" w:rsidRPr="008C07BF">
        <w:rPr>
          <w:rFonts w:cs="Arial"/>
        </w:rPr>
        <w:t xml:space="preserve">nitial </w:t>
      </w:r>
      <w:r w:rsidRPr="008C07BF">
        <w:t>English Language Proficiency Assessments for California</w:t>
      </w:r>
      <w:r w:rsidRPr="008C07BF">
        <w:rPr>
          <w:rFonts w:cs="Arial"/>
        </w:rPr>
        <w:t xml:space="preserve"> (</w:t>
      </w:r>
      <w:r w:rsidR="00761814" w:rsidRPr="008C07BF">
        <w:rPr>
          <w:rFonts w:cs="Arial"/>
        </w:rPr>
        <w:t>ELPAC</w:t>
      </w:r>
      <w:r w:rsidRPr="008C07BF">
        <w:rPr>
          <w:rFonts w:cs="Arial"/>
        </w:rPr>
        <w:t>)</w:t>
      </w:r>
      <w:r w:rsidR="00761814" w:rsidRPr="008C07BF">
        <w:rPr>
          <w:rFonts w:cs="Arial"/>
        </w:rPr>
        <w:t xml:space="preserve"> recommended </w:t>
      </w:r>
      <w:r w:rsidR="00E77433" w:rsidRPr="008C07BF">
        <w:rPr>
          <w:rFonts w:cs="Arial"/>
        </w:rPr>
        <w:t xml:space="preserve">threshold </w:t>
      </w:r>
      <w:r w:rsidR="00761814" w:rsidRPr="008C07BF">
        <w:rPr>
          <w:rFonts w:cs="Arial"/>
        </w:rPr>
        <w:t xml:space="preserve">scores and composite weights will allow the </w:t>
      </w:r>
      <w:r w:rsidRPr="008C07BF">
        <w:rPr>
          <w:rFonts w:cs="Arial"/>
        </w:rPr>
        <w:t xml:space="preserve">California Department of Education (CDE) to </w:t>
      </w:r>
      <w:r w:rsidR="00730996" w:rsidRPr="008C07BF">
        <w:rPr>
          <w:rFonts w:cs="Arial"/>
        </w:rPr>
        <w:t>prepare</w:t>
      </w:r>
      <w:r w:rsidR="00761814" w:rsidRPr="008C07BF">
        <w:rPr>
          <w:rFonts w:cs="Arial"/>
        </w:rPr>
        <w:t xml:space="preserve"> for the operational administration of the </w:t>
      </w:r>
      <w:r w:rsidR="00221541" w:rsidRPr="008C07BF">
        <w:rPr>
          <w:rFonts w:cs="Arial"/>
        </w:rPr>
        <w:t>I</w:t>
      </w:r>
      <w:r w:rsidR="00761814" w:rsidRPr="008C07BF">
        <w:rPr>
          <w:rFonts w:cs="Arial"/>
        </w:rPr>
        <w:t>nitial ELPAC starting in July 2018.</w:t>
      </w:r>
      <w:r w:rsidR="00066F69" w:rsidRPr="008C07BF">
        <w:rPr>
          <w:rFonts w:cs="Arial"/>
        </w:rPr>
        <w:t xml:space="preserve"> </w:t>
      </w:r>
      <w:r w:rsidR="00A61AA9" w:rsidRPr="008C07BF">
        <w:t xml:space="preserve">Threshold scores determine the “entry” and/or “exit” points between the respective performance levels that describe three levels of performance on the ELPAC. </w:t>
      </w:r>
      <w:r w:rsidR="00A61AA9" w:rsidRPr="008C07BF">
        <w:rPr>
          <w:rFonts w:cs="Arial"/>
        </w:rPr>
        <w:t xml:space="preserve">Composite weights define the proportion of the overall score that consists of oral and written language skills. Reporting will occur only on the overall score. </w:t>
      </w:r>
      <w:r w:rsidR="00066F69" w:rsidRPr="008C07BF">
        <w:t xml:space="preserve">Assuming the </w:t>
      </w:r>
      <w:r w:rsidR="00DE2894" w:rsidRPr="008C07BF">
        <w:t>State Board of Education (</w:t>
      </w:r>
      <w:r w:rsidR="00066F69" w:rsidRPr="008C07BF">
        <w:t>SBE</w:t>
      </w:r>
      <w:r w:rsidR="00DE2894" w:rsidRPr="008C07BF">
        <w:t>)</w:t>
      </w:r>
      <w:r w:rsidR="00066F69" w:rsidRPr="008C07BF">
        <w:t xml:space="preserve"> takes action on the</w:t>
      </w:r>
      <w:r w:rsidRPr="008C07BF">
        <w:t xml:space="preserve"> proposed threshold scores, the scores</w:t>
      </w:r>
      <w:r w:rsidR="00066F69" w:rsidRPr="008C07BF">
        <w:t xml:space="preserve"> should be considered preliminary threshold scores until after a review process that is sc</w:t>
      </w:r>
      <w:r w:rsidR="003121B0" w:rsidRPr="008C07BF">
        <w:t>heduled to be completed by June 20</w:t>
      </w:r>
      <w:r w:rsidR="00066F69" w:rsidRPr="008C07BF">
        <w:t>19</w:t>
      </w:r>
      <w:r w:rsidR="00482612" w:rsidRPr="008C07BF">
        <w:t>.</w:t>
      </w:r>
    </w:p>
    <w:p w:rsidR="003E4DF7" w:rsidRPr="008C07BF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8C07BF">
        <w:rPr>
          <w:sz w:val="36"/>
          <w:szCs w:val="36"/>
        </w:rPr>
        <w:t>Recommendation</w:t>
      </w:r>
    </w:p>
    <w:p w:rsidR="003E4DF7" w:rsidRPr="008C07BF" w:rsidRDefault="000E51A1" w:rsidP="002B4B14">
      <w:pPr>
        <w:spacing w:after="480"/>
      </w:pPr>
      <w:r w:rsidRPr="008C07BF">
        <w:rPr>
          <w:rFonts w:cs="Arial"/>
        </w:rPr>
        <w:t>The CDE</w:t>
      </w:r>
      <w:r w:rsidR="00853D7E" w:rsidRPr="008C07BF">
        <w:rPr>
          <w:rFonts w:cs="Arial"/>
        </w:rPr>
        <w:t xml:space="preserve"> recommends that the SBE approve the </w:t>
      </w:r>
      <w:r w:rsidR="00853D7E" w:rsidRPr="008C07BF">
        <w:rPr>
          <w:color w:val="000000"/>
        </w:rPr>
        <w:t>State Superintendent of Public Instruction’s (SSPI</w:t>
      </w:r>
      <w:r w:rsidRPr="008C07BF">
        <w:rPr>
          <w:color w:val="000000"/>
        </w:rPr>
        <w:t>’s</w:t>
      </w:r>
      <w:r w:rsidR="00853D7E" w:rsidRPr="008C07BF">
        <w:rPr>
          <w:color w:val="000000"/>
        </w:rPr>
        <w:t>) recomm</w:t>
      </w:r>
      <w:r w:rsidRPr="008C07BF">
        <w:rPr>
          <w:color w:val="000000"/>
        </w:rPr>
        <w:t xml:space="preserve">ended </w:t>
      </w:r>
      <w:r w:rsidR="00945352" w:rsidRPr="008C07BF">
        <w:rPr>
          <w:color w:val="000000"/>
        </w:rPr>
        <w:t xml:space="preserve">preliminary </w:t>
      </w:r>
      <w:r w:rsidRPr="008C07BF">
        <w:rPr>
          <w:color w:val="000000"/>
        </w:rPr>
        <w:t>threshold scores for the I</w:t>
      </w:r>
      <w:r w:rsidR="00853D7E" w:rsidRPr="008C07BF">
        <w:rPr>
          <w:color w:val="000000"/>
        </w:rPr>
        <w:t xml:space="preserve">nitial </w:t>
      </w:r>
      <w:r w:rsidRPr="008C07BF">
        <w:rPr>
          <w:color w:val="000000"/>
        </w:rPr>
        <w:t>ELPAC</w:t>
      </w:r>
      <w:r w:rsidR="00730996" w:rsidRPr="008C07BF">
        <w:rPr>
          <w:color w:val="000000"/>
        </w:rPr>
        <w:t xml:space="preserve"> (Attachment </w:t>
      </w:r>
      <w:r w:rsidR="00FC1CA0" w:rsidRPr="008C07BF">
        <w:rPr>
          <w:color w:val="000000"/>
        </w:rPr>
        <w:t>1</w:t>
      </w:r>
      <w:r w:rsidR="00730996" w:rsidRPr="008C07BF">
        <w:rPr>
          <w:color w:val="000000"/>
        </w:rPr>
        <w:t>)</w:t>
      </w:r>
      <w:r w:rsidR="00853D7E" w:rsidRPr="008C07BF">
        <w:rPr>
          <w:color w:val="000000"/>
        </w:rPr>
        <w:t xml:space="preserve">. This item also presents for approval the </w:t>
      </w:r>
      <w:r w:rsidR="009A4AC4" w:rsidRPr="008C07BF">
        <w:rPr>
          <w:color w:val="000000"/>
        </w:rPr>
        <w:t xml:space="preserve">recommended </w:t>
      </w:r>
      <w:r w:rsidR="00DA070F" w:rsidRPr="008C07BF">
        <w:rPr>
          <w:color w:val="000000"/>
        </w:rPr>
        <w:t xml:space="preserve">composite weights for the </w:t>
      </w:r>
      <w:r w:rsidR="00221541" w:rsidRPr="008C07BF">
        <w:rPr>
          <w:color w:val="000000"/>
        </w:rPr>
        <w:t>I</w:t>
      </w:r>
      <w:r w:rsidR="00F7139A" w:rsidRPr="008C07BF">
        <w:rPr>
          <w:color w:val="000000"/>
        </w:rPr>
        <w:t xml:space="preserve">nitial ELPAC </w:t>
      </w:r>
      <w:r w:rsidR="00730996" w:rsidRPr="008C07BF">
        <w:rPr>
          <w:color w:val="000000"/>
        </w:rPr>
        <w:t xml:space="preserve">(Attachment </w:t>
      </w:r>
      <w:r w:rsidR="00FC1CA0" w:rsidRPr="008C07BF">
        <w:rPr>
          <w:color w:val="000000"/>
        </w:rPr>
        <w:t>1</w:t>
      </w:r>
      <w:r w:rsidR="00730996" w:rsidRPr="008C07BF">
        <w:rPr>
          <w:color w:val="000000"/>
        </w:rPr>
        <w:t>)</w:t>
      </w:r>
      <w:r w:rsidR="00853D7E" w:rsidRPr="008C07BF">
        <w:rPr>
          <w:color w:val="000000"/>
        </w:rPr>
        <w:t>.</w:t>
      </w:r>
    </w:p>
    <w:p w:rsidR="00F40510" w:rsidRPr="008C07BF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8C07BF">
        <w:rPr>
          <w:sz w:val="36"/>
          <w:szCs w:val="36"/>
        </w:rPr>
        <w:lastRenderedPageBreak/>
        <w:t>Brief History of Key Issues</w:t>
      </w:r>
    </w:p>
    <w:p w:rsidR="00853D7E" w:rsidRPr="008C07BF" w:rsidRDefault="00853D7E" w:rsidP="0085376B">
      <w:pPr>
        <w:spacing w:after="240"/>
        <w:rPr>
          <w:rFonts w:cs="Arial"/>
        </w:rPr>
      </w:pPr>
      <w:r w:rsidRPr="008C07BF">
        <w:rPr>
          <w:rFonts w:cs="Arial"/>
        </w:rPr>
        <w:t>In April 2018, the CDE provided an Information Memorandum to the SBE for a preliminary review of</w:t>
      </w:r>
      <w:r w:rsidR="00140296" w:rsidRPr="008C07BF">
        <w:rPr>
          <w:rFonts w:cs="Arial"/>
        </w:rPr>
        <w:t xml:space="preserve"> proposed</w:t>
      </w:r>
      <w:r w:rsidR="003121B0" w:rsidRPr="008C07BF">
        <w:rPr>
          <w:rFonts w:cs="Arial"/>
        </w:rPr>
        <w:t xml:space="preserve"> I</w:t>
      </w:r>
      <w:r w:rsidRPr="008C07BF">
        <w:rPr>
          <w:rFonts w:cs="Arial"/>
        </w:rPr>
        <w:t xml:space="preserve">nitial </w:t>
      </w:r>
      <w:r w:rsidR="00140296" w:rsidRPr="008C07BF">
        <w:rPr>
          <w:rFonts w:cs="Arial"/>
        </w:rPr>
        <w:t>ELPAC threshold scores</w:t>
      </w:r>
      <w:r w:rsidR="003121B0" w:rsidRPr="008C07BF">
        <w:rPr>
          <w:rFonts w:cs="Arial"/>
        </w:rPr>
        <w:t xml:space="preserve"> and composite weights based </w:t>
      </w:r>
      <w:r w:rsidR="00140296" w:rsidRPr="008C07BF">
        <w:rPr>
          <w:rFonts w:cs="Arial"/>
        </w:rPr>
        <w:t xml:space="preserve">on a </w:t>
      </w:r>
      <w:r w:rsidRPr="008C07BF">
        <w:rPr>
          <w:rFonts w:cs="Arial"/>
        </w:rPr>
        <w:t xml:space="preserve">standard setting workshop </w:t>
      </w:r>
      <w:r w:rsidR="00140296" w:rsidRPr="008C07BF">
        <w:rPr>
          <w:rFonts w:cs="Arial"/>
        </w:rPr>
        <w:t xml:space="preserve">that </w:t>
      </w:r>
      <w:r w:rsidRPr="008C07BF">
        <w:rPr>
          <w:rFonts w:cs="Arial"/>
        </w:rPr>
        <w:t xml:space="preserve">took place </w:t>
      </w:r>
      <w:r w:rsidR="00140296" w:rsidRPr="008C07BF">
        <w:rPr>
          <w:rFonts w:cs="Arial"/>
        </w:rPr>
        <w:t>in February 2018.</w:t>
      </w:r>
      <w:r w:rsidR="00512974" w:rsidRPr="008C07BF">
        <w:rPr>
          <w:rFonts w:cs="Arial"/>
        </w:rPr>
        <w:t xml:space="preserve"> </w:t>
      </w:r>
      <w:r w:rsidR="0082578B" w:rsidRPr="008C07BF">
        <w:rPr>
          <w:rFonts w:cs="Arial"/>
        </w:rPr>
        <w:t xml:space="preserve">Links to the April and February </w:t>
      </w:r>
      <w:r w:rsidR="00BD5D5D" w:rsidRPr="008C07BF">
        <w:rPr>
          <w:rFonts w:cs="Arial"/>
        </w:rPr>
        <w:t xml:space="preserve">Information </w:t>
      </w:r>
      <w:r w:rsidR="00140296" w:rsidRPr="008C07BF">
        <w:rPr>
          <w:rFonts w:cs="Arial"/>
        </w:rPr>
        <w:t>Memorand</w:t>
      </w:r>
      <w:r w:rsidR="00BD5D5D" w:rsidRPr="008C07BF">
        <w:rPr>
          <w:rFonts w:cs="Arial"/>
        </w:rPr>
        <w:t>a</w:t>
      </w:r>
      <w:r w:rsidR="00140296" w:rsidRPr="008C07BF">
        <w:rPr>
          <w:rFonts w:cs="Arial"/>
        </w:rPr>
        <w:t xml:space="preserve"> </w:t>
      </w:r>
      <w:r w:rsidR="00E77433" w:rsidRPr="008C07BF">
        <w:rPr>
          <w:rFonts w:cs="Arial"/>
        </w:rPr>
        <w:t xml:space="preserve">are provided in the </w:t>
      </w:r>
      <w:r w:rsidR="00D2798A" w:rsidRPr="008C07BF">
        <w:rPr>
          <w:rFonts w:cs="Arial"/>
        </w:rPr>
        <w:t xml:space="preserve">Summary of </w:t>
      </w:r>
      <w:r w:rsidR="006C0720" w:rsidRPr="008C07BF">
        <w:rPr>
          <w:rFonts w:cs="Arial"/>
        </w:rPr>
        <w:t>Previous SBE Discussion</w:t>
      </w:r>
      <w:r w:rsidR="00D2798A" w:rsidRPr="008C07BF">
        <w:rPr>
          <w:rFonts w:cs="Arial"/>
        </w:rPr>
        <w:t xml:space="preserve"> and Action</w:t>
      </w:r>
      <w:r w:rsidR="0082578B" w:rsidRPr="008C07BF">
        <w:rPr>
          <w:rFonts w:cs="Arial"/>
        </w:rPr>
        <w:t xml:space="preserve"> section of this item.</w:t>
      </w:r>
    </w:p>
    <w:p w:rsidR="0082578B" w:rsidRPr="008C07BF" w:rsidRDefault="0082578B" w:rsidP="0082578B">
      <w:pPr>
        <w:spacing w:after="240"/>
        <w:rPr>
          <w:rFonts w:cs="Arial"/>
        </w:rPr>
      </w:pPr>
      <w:r w:rsidRPr="008C07BF">
        <w:rPr>
          <w:rFonts w:cs="Arial"/>
        </w:rPr>
        <w:t xml:space="preserve">As described in the April 2018 Information Memorandum, the proposed </w:t>
      </w:r>
      <w:r w:rsidR="00E77433" w:rsidRPr="008C07BF">
        <w:rPr>
          <w:rFonts w:cs="Arial"/>
        </w:rPr>
        <w:t xml:space="preserve">composite </w:t>
      </w:r>
      <w:r w:rsidRPr="008C07BF">
        <w:rPr>
          <w:rFonts w:cs="Arial"/>
        </w:rPr>
        <w:t xml:space="preserve">weight calculations in Table 1 are examples of what was considered to determine a student’s overall scale score. Attachment 3 </w:t>
      </w:r>
      <w:r w:rsidR="00E77433" w:rsidRPr="008C07BF">
        <w:rPr>
          <w:rFonts w:cs="Arial"/>
        </w:rPr>
        <w:t>provid</w:t>
      </w:r>
      <w:r w:rsidRPr="008C07BF">
        <w:rPr>
          <w:rFonts w:cs="Arial"/>
        </w:rPr>
        <w:t xml:space="preserve">es the </w:t>
      </w:r>
      <w:r w:rsidR="00D2798A" w:rsidRPr="008C07BF">
        <w:rPr>
          <w:rFonts w:cs="Arial"/>
        </w:rPr>
        <w:t xml:space="preserve">field test </w:t>
      </w:r>
      <w:r w:rsidRPr="008C07BF">
        <w:rPr>
          <w:rFonts w:cs="Arial"/>
        </w:rPr>
        <w:t xml:space="preserve">impact data that was used for the SSPI’s recommended weight calculations. </w:t>
      </w:r>
      <w:r w:rsidR="001751DF" w:rsidRPr="008C07BF">
        <w:rPr>
          <w:rFonts w:cs="Arial"/>
        </w:rPr>
        <w:t>These data represent only a sampling of students and may not precisely represent the data that will result from the operational administration.</w:t>
      </w:r>
    </w:p>
    <w:p w:rsidR="0082578B" w:rsidRPr="008C07BF" w:rsidRDefault="0082578B" w:rsidP="0006198F">
      <w:pPr>
        <w:spacing w:after="240"/>
        <w:rPr>
          <w:rFonts w:cs="Arial"/>
          <w:b/>
        </w:rPr>
      </w:pPr>
      <w:r w:rsidRPr="008C07BF">
        <w:rPr>
          <w:rFonts w:cs="Arial"/>
          <w:b/>
        </w:rPr>
        <w:t>Table 1. Proposed Composite Weight Calculation (by Percent) for the ELPAC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  <w:tblDescription w:val="Proposed Composite Weight Calculation (by Percent) for the ELPAC"/>
      </w:tblPr>
      <w:tblGrid>
        <w:gridCol w:w="3101"/>
        <w:gridCol w:w="3073"/>
        <w:gridCol w:w="3176"/>
      </w:tblGrid>
      <w:tr w:rsidR="00D009B2" w:rsidRPr="008C07BF" w:rsidTr="008D1871">
        <w:trPr>
          <w:cantSplit/>
          <w:tblHeader/>
          <w:jc w:val="center"/>
        </w:trPr>
        <w:tc>
          <w:tcPr>
            <w:tcW w:w="3101" w:type="dxa"/>
            <w:shd w:val="clear" w:color="auto" w:fill="D9D9D9" w:themeFill="background1" w:themeFillShade="D9"/>
            <w:vAlign w:val="center"/>
          </w:tcPr>
          <w:p w:rsidR="00D009B2" w:rsidRPr="008C07BF" w:rsidRDefault="00D009B2" w:rsidP="008D1871">
            <w:pPr>
              <w:spacing w:before="120" w:after="120"/>
              <w:jc w:val="center"/>
              <w:rPr>
                <w:rFonts w:cs="Arial"/>
                <w:b/>
              </w:rPr>
            </w:pPr>
            <w:r w:rsidRPr="008C07BF">
              <w:rPr>
                <w:rFonts w:cs="Arial"/>
                <w:b/>
              </w:rPr>
              <w:t>Option/Grade</w:t>
            </w:r>
          </w:p>
        </w:tc>
        <w:tc>
          <w:tcPr>
            <w:tcW w:w="3073" w:type="dxa"/>
            <w:shd w:val="clear" w:color="auto" w:fill="D9D9D9" w:themeFill="background1" w:themeFillShade="D9"/>
            <w:vAlign w:val="center"/>
          </w:tcPr>
          <w:p w:rsidR="00D009B2" w:rsidRPr="008C07BF" w:rsidRDefault="00D009B2" w:rsidP="008D1871">
            <w:pPr>
              <w:spacing w:before="120" w:after="120"/>
              <w:jc w:val="center"/>
              <w:rPr>
                <w:rFonts w:cs="Arial"/>
                <w:b/>
              </w:rPr>
            </w:pPr>
            <w:r w:rsidRPr="008C07BF">
              <w:rPr>
                <w:rFonts w:cs="Arial"/>
                <w:b/>
              </w:rPr>
              <w:t>Oral Language Composite</w:t>
            </w:r>
          </w:p>
          <w:p w:rsidR="00D009B2" w:rsidRPr="008C07BF" w:rsidRDefault="00D009B2" w:rsidP="008D1871">
            <w:pPr>
              <w:spacing w:before="120" w:after="120"/>
              <w:jc w:val="center"/>
              <w:rPr>
                <w:rFonts w:cs="Arial"/>
                <w:b/>
              </w:rPr>
            </w:pPr>
            <w:r w:rsidRPr="008C07BF">
              <w:rPr>
                <w:rFonts w:cs="Arial"/>
                <w:b/>
              </w:rPr>
              <w:t>(Listening and Speaking)</w:t>
            </w:r>
          </w:p>
        </w:tc>
        <w:tc>
          <w:tcPr>
            <w:tcW w:w="3176" w:type="dxa"/>
            <w:shd w:val="clear" w:color="auto" w:fill="D9D9D9" w:themeFill="background1" w:themeFillShade="D9"/>
            <w:vAlign w:val="center"/>
          </w:tcPr>
          <w:p w:rsidR="00D009B2" w:rsidRPr="008C07BF" w:rsidRDefault="00D009B2" w:rsidP="008D1871">
            <w:pPr>
              <w:spacing w:before="120" w:after="120"/>
              <w:jc w:val="center"/>
              <w:rPr>
                <w:rFonts w:cs="Arial"/>
                <w:b/>
              </w:rPr>
            </w:pPr>
            <w:r w:rsidRPr="008C07BF">
              <w:rPr>
                <w:rFonts w:cs="Arial"/>
                <w:b/>
              </w:rPr>
              <w:t>Written Language Composite</w:t>
            </w:r>
          </w:p>
          <w:p w:rsidR="00D009B2" w:rsidRPr="008C07BF" w:rsidRDefault="00D009B2" w:rsidP="008D1871">
            <w:pPr>
              <w:spacing w:before="120" w:after="120"/>
              <w:jc w:val="center"/>
              <w:rPr>
                <w:rFonts w:cs="Arial"/>
                <w:b/>
              </w:rPr>
            </w:pPr>
            <w:r w:rsidRPr="008C07BF">
              <w:rPr>
                <w:rFonts w:cs="Arial"/>
                <w:b/>
              </w:rPr>
              <w:t>(Reading and Writing)</w:t>
            </w:r>
          </w:p>
        </w:tc>
      </w:tr>
      <w:tr w:rsidR="00D009B2" w:rsidRPr="008C07BF" w:rsidTr="008D1871">
        <w:trPr>
          <w:jc w:val="center"/>
        </w:trPr>
        <w:tc>
          <w:tcPr>
            <w:tcW w:w="3101" w:type="dxa"/>
          </w:tcPr>
          <w:p w:rsidR="00D009B2" w:rsidRPr="008C07BF" w:rsidRDefault="00D009B2" w:rsidP="008D1871">
            <w:pPr>
              <w:spacing w:before="120" w:after="120"/>
              <w:rPr>
                <w:rFonts w:cs="Arial"/>
                <w:b/>
              </w:rPr>
            </w:pPr>
            <w:r w:rsidRPr="008C07BF">
              <w:rPr>
                <w:rFonts w:cs="Arial"/>
                <w:b/>
              </w:rPr>
              <w:t>Option 1: Kindergarten</w:t>
            </w:r>
          </w:p>
        </w:tc>
        <w:tc>
          <w:tcPr>
            <w:tcW w:w="3073" w:type="dxa"/>
          </w:tcPr>
          <w:p w:rsidR="00D009B2" w:rsidRPr="008C07BF" w:rsidRDefault="00D009B2" w:rsidP="008D187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90</w:t>
            </w:r>
          </w:p>
        </w:tc>
        <w:tc>
          <w:tcPr>
            <w:tcW w:w="3176" w:type="dxa"/>
          </w:tcPr>
          <w:p w:rsidR="00D009B2" w:rsidRPr="008C07BF" w:rsidRDefault="00D009B2" w:rsidP="008D187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10</w:t>
            </w:r>
          </w:p>
        </w:tc>
      </w:tr>
      <w:tr w:rsidR="00D009B2" w:rsidRPr="008C07BF" w:rsidTr="008D1871">
        <w:trPr>
          <w:jc w:val="center"/>
        </w:trPr>
        <w:tc>
          <w:tcPr>
            <w:tcW w:w="3101" w:type="dxa"/>
          </w:tcPr>
          <w:p w:rsidR="00D009B2" w:rsidRPr="008C07BF" w:rsidRDefault="00D009B2" w:rsidP="008D1871">
            <w:pPr>
              <w:spacing w:before="120" w:after="120"/>
              <w:rPr>
                <w:rFonts w:cs="Arial"/>
                <w:b/>
              </w:rPr>
            </w:pPr>
            <w:r w:rsidRPr="008C07BF">
              <w:rPr>
                <w:rFonts w:cs="Arial"/>
                <w:b/>
              </w:rPr>
              <w:t>Option 1: Grade 1</w:t>
            </w:r>
          </w:p>
        </w:tc>
        <w:tc>
          <w:tcPr>
            <w:tcW w:w="3073" w:type="dxa"/>
          </w:tcPr>
          <w:p w:rsidR="00D009B2" w:rsidRPr="008C07BF" w:rsidRDefault="00D009B2" w:rsidP="008D187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70</w:t>
            </w:r>
          </w:p>
        </w:tc>
        <w:tc>
          <w:tcPr>
            <w:tcW w:w="3176" w:type="dxa"/>
          </w:tcPr>
          <w:p w:rsidR="00D009B2" w:rsidRPr="008C07BF" w:rsidRDefault="00D009B2" w:rsidP="008D187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30</w:t>
            </w:r>
          </w:p>
        </w:tc>
      </w:tr>
      <w:tr w:rsidR="00D009B2" w:rsidRPr="008C07BF" w:rsidTr="007C1129">
        <w:trPr>
          <w:jc w:val="center"/>
        </w:trPr>
        <w:tc>
          <w:tcPr>
            <w:tcW w:w="3101" w:type="dxa"/>
            <w:tcBorders>
              <w:bottom w:val="single" w:sz="12" w:space="0" w:color="auto"/>
            </w:tcBorders>
          </w:tcPr>
          <w:p w:rsidR="00D009B2" w:rsidRPr="008C07BF" w:rsidRDefault="00D009B2" w:rsidP="008D1871">
            <w:pPr>
              <w:spacing w:before="120" w:after="120"/>
              <w:rPr>
                <w:rFonts w:cs="Arial"/>
                <w:b/>
              </w:rPr>
            </w:pPr>
            <w:r w:rsidRPr="008C07BF">
              <w:rPr>
                <w:rFonts w:cs="Arial"/>
                <w:b/>
              </w:rPr>
              <w:t>Option 1: Grades 2–12</w:t>
            </w:r>
          </w:p>
        </w:tc>
        <w:tc>
          <w:tcPr>
            <w:tcW w:w="3073" w:type="dxa"/>
            <w:tcBorders>
              <w:bottom w:val="single" w:sz="12" w:space="0" w:color="auto"/>
            </w:tcBorders>
          </w:tcPr>
          <w:p w:rsidR="00D009B2" w:rsidRPr="008C07BF" w:rsidRDefault="00D009B2" w:rsidP="008D187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50</w:t>
            </w:r>
          </w:p>
        </w:tc>
        <w:tc>
          <w:tcPr>
            <w:tcW w:w="3176" w:type="dxa"/>
            <w:tcBorders>
              <w:bottom w:val="single" w:sz="12" w:space="0" w:color="auto"/>
            </w:tcBorders>
          </w:tcPr>
          <w:p w:rsidR="00D009B2" w:rsidRPr="008C07BF" w:rsidRDefault="00D009B2" w:rsidP="008D187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50</w:t>
            </w:r>
          </w:p>
        </w:tc>
      </w:tr>
      <w:tr w:rsidR="00D009B2" w:rsidRPr="008C07BF" w:rsidTr="007C1129">
        <w:trPr>
          <w:jc w:val="center"/>
        </w:trPr>
        <w:tc>
          <w:tcPr>
            <w:tcW w:w="3101" w:type="dxa"/>
            <w:tcBorders>
              <w:top w:val="single" w:sz="12" w:space="0" w:color="auto"/>
            </w:tcBorders>
          </w:tcPr>
          <w:p w:rsidR="00D009B2" w:rsidRPr="008C07BF" w:rsidRDefault="00D009B2" w:rsidP="008D1871">
            <w:pPr>
              <w:spacing w:before="120" w:after="120"/>
              <w:rPr>
                <w:rFonts w:cs="Arial"/>
                <w:b/>
              </w:rPr>
            </w:pPr>
            <w:r w:rsidRPr="008C07BF">
              <w:rPr>
                <w:rFonts w:cs="Arial"/>
                <w:b/>
              </w:rPr>
              <w:t xml:space="preserve">Option 2: Kindergarten </w:t>
            </w:r>
          </w:p>
        </w:tc>
        <w:tc>
          <w:tcPr>
            <w:tcW w:w="3073" w:type="dxa"/>
            <w:tcBorders>
              <w:top w:val="single" w:sz="12" w:space="0" w:color="auto"/>
            </w:tcBorders>
          </w:tcPr>
          <w:p w:rsidR="00D009B2" w:rsidRPr="008C07BF" w:rsidRDefault="00D009B2" w:rsidP="008D187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70</w:t>
            </w:r>
          </w:p>
        </w:tc>
        <w:tc>
          <w:tcPr>
            <w:tcW w:w="3176" w:type="dxa"/>
            <w:tcBorders>
              <w:top w:val="single" w:sz="12" w:space="0" w:color="auto"/>
            </w:tcBorders>
          </w:tcPr>
          <w:p w:rsidR="00D009B2" w:rsidRPr="008C07BF" w:rsidRDefault="00D009B2" w:rsidP="008D187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30</w:t>
            </w:r>
          </w:p>
        </w:tc>
      </w:tr>
      <w:tr w:rsidR="00D009B2" w:rsidRPr="008C07BF" w:rsidTr="008D1871">
        <w:trPr>
          <w:jc w:val="center"/>
        </w:trPr>
        <w:tc>
          <w:tcPr>
            <w:tcW w:w="3101" w:type="dxa"/>
          </w:tcPr>
          <w:p w:rsidR="00D009B2" w:rsidRPr="008C07BF" w:rsidRDefault="00D009B2" w:rsidP="008D1871">
            <w:pPr>
              <w:spacing w:before="120" w:after="120"/>
              <w:rPr>
                <w:rFonts w:cs="Arial"/>
                <w:b/>
              </w:rPr>
            </w:pPr>
            <w:r w:rsidRPr="008C07BF">
              <w:rPr>
                <w:rFonts w:cs="Arial"/>
                <w:b/>
              </w:rPr>
              <w:t>Option 2: Grades 1–12</w:t>
            </w:r>
          </w:p>
        </w:tc>
        <w:tc>
          <w:tcPr>
            <w:tcW w:w="3073" w:type="dxa"/>
          </w:tcPr>
          <w:p w:rsidR="00D009B2" w:rsidRPr="008C07BF" w:rsidRDefault="00D009B2" w:rsidP="008D187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50</w:t>
            </w:r>
          </w:p>
        </w:tc>
        <w:tc>
          <w:tcPr>
            <w:tcW w:w="3176" w:type="dxa"/>
          </w:tcPr>
          <w:p w:rsidR="00D009B2" w:rsidRPr="008C07BF" w:rsidRDefault="00D009B2" w:rsidP="008D187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50</w:t>
            </w:r>
          </w:p>
        </w:tc>
      </w:tr>
    </w:tbl>
    <w:p w:rsidR="0082578B" w:rsidRPr="008C07BF" w:rsidRDefault="0082578B" w:rsidP="0082578B">
      <w:pPr>
        <w:spacing w:before="240" w:after="240"/>
        <w:rPr>
          <w:rFonts w:cs="Arial"/>
        </w:rPr>
      </w:pPr>
      <w:r w:rsidRPr="008C07BF">
        <w:rPr>
          <w:rFonts w:cs="Arial"/>
        </w:rPr>
        <w:t xml:space="preserve">The CDE is recommending the option 1 proposed weightings in </w:t>
      </w:r>
      <w:r w:rsidR="00CF0270" w:rsidRPr="008C07BF">
        <w:rPr>
          <w:rFonts w:cs="Arial"/>
        </w:rPr>
        <w:t>Table</w:t>
      </w:r>
      <w:r w:rsidRPr="008C07BF">
        <w:rPr>
          <w:rFonts w:cs="Arial"/>
        </w:rPr>
        <w:t xml:space="preserve"> 1 to calculate the overall score for students in each grade and grade span</w:t>
      </w:r>
      <w:r w:rsidR="00CF0270" w:rsidRPr="008C07BF">
        <w:rPr>
          <w:rFonts w:cs="Arial"/>
        </w:rPr>
        <w:t xml:space="preserve"> (the options above are also provided in Attachment 1)</w:t>
      </w:r>
      <w:r w:rsidRPr="008C07BF">
        <w:rPr>
          <w:rFonts w:cs="Arial"/>
        </w:rPr>
        <w:t>. The different weighting calculations in kindergarten, grade one, and grades two through twelve are based on the following rationale: (1) keeping the kindergarten weighting consistent with the current C</w:t>
      </w:r>
      <w:r w:rsidR="00E77433" w:rsidRPr="008C07BF">
        <w:rPr>
          <w:rFonts w:cs="Arial"/>
        </w:rPr>
        <w:t xml:space="preserve">alifornia </w:t>
      </w:r>
      <w:r w:rsidRPr="008C07BF">
        <w:rPr>
          <w:rFonts w:cs="Arial"/>
        </w:rPr>
        <w:t>E</w:t>
      </w:r>
      <w:r w:rsidR="00E77433" w:rsidRPr="008C07BF">
        <w:rPr>
          <w:rFonts w:cs="Arial"/>
        </w:rPr>
        <w:t xml:space="preserve">nglish </w:t>
      </w:r>
      <w:r w:rsidRPr="008C07BF">
        <w:rPr>
          <w:rFonts w:cs="Arial"/>
        </w:rPr>
        <w:t>L</w:t>
      </w:r>
      <w:r w:rsidR="00E77433" w:rsidRPr="008C07BF">
        <w:rPr>
          <w:rFonts w:cs="Arial"/>
        </w:rPr>
        <w:t xml:space="preserve">anguage </w:t>
      </w:r>
      <w:r w:rsidRPr="008C07BF">
        <w:rPr>
          <w:rFonts w:cs="Arial"/>
        </w:rPr>
        <w:t>D</w:t>
      </w:r>
      <w:r w:rsidR="00E77433" w:rsidRPr="008C07BF">
        <w:rPr>
          <w:rFonts w:cs="Arial"/>
        </w:rPr>
        <w:t xml:space="preserve">evelopment </w:t>
      </w:r>
      <w:r w:rsidRPr="008C07BF">
        <w:rPr>
          <w:rFonts w:cs="Arial"/>
        </w:rPr>
        <w:t>T</w:t>
      </w:r>
      <w:r w:rsidR="00E77433" w:rsidRPr="008C07BF">
        <w:rPr>
          <w:rFonts w:cs="Arial"/>
        </w:rPr>
        <w:t>est (CELDT)</w:t>
      </w:r>
      <w:r w:rsidRPr="008C07BF">
        <w:rPr>
          <w:rFonts w:cs="Arial"/>
        </w:rPr>
        <w:t>; (2) putting more emphasis on grade one written language, as it is a separate test from kindergarten; and (3) keeping grades two through twelve consistent with the current CELDT, giving equal weighting to each domain.</w:t>
      </w:r>
    </w:p>
    <w:p w:rsidR="0075063B" w:rsidRPr="008C07BF" w:rsidRDefault="00512974" w:rsidP="0089131A">
      <w:pPr>
        <w:spacing w:after="240"/>
        <w:rPr>
          <w:rFonts w:cs="Arial"/>
        </w:rPr>
      </w:pPr>
      <w:r w:rsidRPr="008C07BF">
        <w:rPr>
          <w:rFonts w:cs="Arial"/>
        </w:rPr>
        <w:t>“Educator Panels’ Proposed Threshold and Composite Weight Recommendations” (</w:t>
      </w:r>
      <w:r w:rsidR="00730996" w:rsidRPr="008C07BF">
        <w:rPr>
          <w:rFonts w:cs="Arial"/>
        </w:rPr>
        <w:t>Attachment 2</w:t>
      </w:r>
      <w:r w:rsidRPr="008C07BF">
        <w:rPr>
          <w:rFonts w:cs="Arial"/>
        </w:rPr>
        <w:t>)</w:t>
      </w:r>
      <w:r w:rsidR="00853D7E" w:rsidRPr="008C07BF">
        <w:rPr>
          <w:rFonts w:cs="Arial"/>
        </w:rPr>
        <w:t xml:space="preserve"> provides</w:t>
      </w:r>
      <w:r w:rsidR="00140296" w:rsidRPr="008C07BF">
        <w:rPr>
          <w:rFonts w:cs="Arial"/>
        </w:rPr>
        <w:t xml:space="preserve"> educator panel</w:t>
      </w:r>
      <w:r w:rsidR="00853D7E" w:rsidRPr="008C07BF">
        <w:rPr>
          <w:rFonts w:cs="Arial"/>
        </w:rPr>
        <w:t>s</w:t>
      </w:r>
      <w:r w:rsidR="00140296" w:rsidRPr="008C07BF">
        <w:rPr>
          <w:rFonts w:cs="Arial"/>
        </w:rPr>
        <w:t>’</w:t>
      </w:r>
      <w:r w:rsidR="00853D7E" w:rsidRPr="008C07BF">
        <w:rPr>
          <w:rFonts w:cs="Arial"/>
        </w:rPr>
        <w:t xml:space="preserve"> recommended threshold </w:t>
      </w:r>
      <w:r w:rsidR="00140296" w:rsidRPr="008C07BF">
        <w:rPr>
          <w:rFonts w:cs="Arial"/>
        </w:rPr>
        <w:t xml:space="preserve">scores </w:t>
      </w:r>
      <w:r w:rsidR="00AA3AA1" w:rsidRPr="008C07BF">
        <w:rPr>
          <w:rFonts w:cs="Arial"/>
        </w:rPr>
        <w:t xml:space="preserve">and composite weights </w:t>
      </w:r>
      <w:r w:rsidR="00140296" w:rsidRPr="008C07BF">
        <w:rPr>
          <w:rFonts w:cs="Arial"/>
        </w:rPr>
        <w:t xml:space="preserve">across </w:t>
      </w:r>
      <w:r w:rsidR="00527F60" w:rsidRPr="008C07BF">
        <w:rPr>
          <w:rFonts w:cs="Arial"/>
        </w:rPr>
        <w:t xml:space="preserve">the </w:t>
      </w:r>
      <w:r w:rsidR="00140296" w:rsidRPr="008C07BF">
        <w:rPr>
          <w:rFonts w:cs="Arial"/>
        </w:rPr>
        <w:t>six</w:t>
      </w:r>
      <w:r w:rsidR="00853D7E" w:rsidRPr="008C07BF">
        <w:rPr>
          <w:rFonts w:cs="Arial"/>
        </w:rPr>
        <w:t xml:space="preserve"> </w:t>
      </w:r>
      <w:r w:rsidR="00140296" w:rsidRPr="008C07BF">
        <w:rPr>
          <w:rFonts w:cs="Arial"/>
        </w:rPr>
        <w:t xml:space="preserve">ELPAC </w:t>
      </w:r>
      <w:r w:rsidR="00853D7E" w:rsidRPr="008C07BF">
        <w:rPr>
          <w:rFonts w:cs="Arial"/>
        </w:rPr>
        <w:t>grade</w:t>
      </w:r>
      <w:r w:rsidR="00140296" w:rsidRPr="008C07BF">
        <w:rPr>
          <w:rFonts w:cs="Arial"/>
        </w:rPr>
        <w:t>s</w:t>
      </w:r>
      <w:r w:rsidR="00853D7E" w:rsidRPr="008C07BF">
        <w:rPr>
          <w:rFonts w:cs="Arial"/>
        </w:rPr>
        <w:t xml:space="preserve">/grade spans. </w:t>
      </w:r>
      <w:r w:rsidR="00761814" w:rsidRPr="008C07BF">
        <w:rPr>
          <w:rFonts w:cs="Arial"/>
        </w:rPr>
        <w:t>Threshold scores determine the “entry” and/or “exit” points between respective performance levels of an assessment</w:t>
      </w:r>
      <w:r w:rsidR="00761814" w:rsidRPr="008C07BF">
        <w:rPr>
          <w:color w:val="000000"/>
        </w:rPr>
        <w:t xml:space="preserve">. </w:t>
      </w:r>
      <w:r w:rsidR="00527F60" w:rsidRPr="008C07BF">
        <w:rPr>
          <w:color w:val="000000"/>
        </w:rPr>
        <w:t>“</w:t>
      </w:r>
      <w:r w:rsidR="00527F60" w:rsidRPr="008C07BF">
        <w:rPr>
          <w:rFonts w:cs="Arial"/>
        </w:rPr>
        <w:t xml:space="preserve">State Superintendent of Public Instruction’s Proposed </w:t>
      </w:r>
      <w:r w:rsidR="00C31403" w:rsidRPr="008C07BF">
        <w:rPr>
          <w:rFonts w:cs="Arial"/>
        </w:rPr>
        <w:t>Initial ELPAC</w:t>
      </w:r>
      <w:r w:rsidR="00561D5C" w:rsidRPr="008C07BF">
        <w:rPr>
          <w:rFonts w:cs="Arial"/>
        </w:rPr>
        <w:t xml:space="preserve"> </w:t>
      </w:r>
      <w:r w:rsidR="00527F60" w:rsidRPr="008C07BF">
        <w:rPr>
          <w:rFonts w:cs="Arial"/>
        </w:rPr>
        <w:lastRenderedPageBreak/>
        <w:t>Threshold and Composite Weight Recommendations” (</w:t>
      </w:r>
      <w:r w:rsidR="00853D7E" w:rsidRPr="008C07BF">
        <w:rPr>
          <w:rFonts w:cs="Arial"/>
        </w:rPr>
        <w:t>Attachment</w:t>
      </w:r>
      <w:r w:rsidR="00730996" w:rsidRPr="008C07BF">
        <w:rPr>
          <w:rFonts w:cs="Arial"/>
        </w:rPr>
        <w:t xml:space="preserve"> 1</w:t>
      </w:r>
      <w:r w:rsidR="00527F60" w:rsidRPr="008C07BF">
        <w:rPr>
          <w:rFonts w:cs="Arial"/>
        </w:rPr>
        <w:t>)</w:t>
      </w:r>
      <w:r w:rsidR="00140296" w:rsidRPr="008C07BF">
        <w:rPr>
          <w:rFonts w:cs="Arial"/>
        </w:rPr>
        <w:t xml:space="preserve"> provides SSPI-</w:t>
      </w:r>
      <w:r w:rsidR="00853D7E" w:rsidRPr="008C07BF">
        <w:rPr>
          <w:rFonts w:cs="Arial"/>
        </w:rPr>
        <w:t xml:space="preserve">recommended threshold scores </w:t>
      </w:r>
      <w:r w:rsidR="001A36C7" w:rsidRPr="008C07BF">
        <w:rPr>
          <w:rFonts w:cs="Arial"/>
        </w:rPr>
        <w:t xml:space="preserve">and composite weights </w:t>
      </w:r>
      <w:r w:rsidR="00853D7E" w:rsidRPr="008C07BF">
        <w:rPr>
          <w:rFonts w:cs="Arial"/>
        </w:rPr>
        <w:t xml:space="preserve">across the </w:t>
      </w:r>
      <w:r w:rsidR="00140296" w:rsidRPr="008C07BF">
        <w:rPr>
          <w:rFonts w:cs="Arial"/>
        </w:rPr>
        <w:t>six</w:t>
      </w:r>
      <w:r w:rsidR="00853D7E" w:rsidRPr="008C07BF">
        <w:rPr>
          <w:rFonts w:cs="Arial"/>
        </w:rPr>
        <w:t xml:space="preserve"> </w:t>
      </w:r>
      <w:r w:rsidR="00527F60" w:rsidRPr="008C07BF">
        <w:rPr>
          <w:rFonts w:cs="Arial"/>
        </w:rPr>
        <w:t xml:space="preserve">assessed </w:t>
      </w:r>
      <w:r w:rsidR="00570C22" w:rsidRPr="008C07BF">
        <w:rPr>
          <w:rFonts w:cs="Arial"/>
        </w:rPr>
        <w:t xml:space="preserve">grade/grade spans. The SSPI recommendation reflects minor adjustments (one score point or less at the composite level) from the panel’s judgments to encourage adequate distribution across the possible score points. </w:t>
      </w:r>
      <w:r w:rsidR="00853D7E" w:rsidRPr="008C07BF">
        <w:rPr>
          <w:rFonts w:cs="Arial"/>
        </w:rPr>
        <w:t>The</w:t>
      </w:r>
      <w:r w:rsidR="00730996" w:rsidRPr="008C07BF">
        <w:rPr>
          <w:rFonts w:cs="Arial"/>
        </w:rPr>
        <w:t xml:space="preserve"> recommendations </w:t>
      </w:r>
      <w:r w:rsidR="00221541" w:rsidRPr="008C07BF">
        <w:rPr>
          <w:rFonts w:cs="Arial"/>
        </w:rPr>
        <w:t>were then reviewed</w:t>
      </w:r>
      <w:r w:rsidR="00140296" w:rsidRPr="008C07BF">
        <w:rPr>
          <w:rFonts w:cs="Arial"/>
        </w:rPr>
        <w:t xml:space="preserve"> by the ELPAC Technical Advisory Group</w:t>
      </w:r>
      <w:r w:rsidR="00853D7E" w:rsidRPr="008C07BF">
        <w:rPr>
          <w:rFonts w:cs="Arial"/>
        </w:rPr>
        <w:t xml:space="preserve">. </w:t>
      </w:r>
      <w:r w:rsidR="00527F60" w:rsidRPr="008C07BF">
        <w:rPr>
          <w:rFonts w:cs="Arial"/>
        </w:rPr>
        <w:t>The CDE</w:t>
      </w:r>
      <w:r w:rsidR="00402B0D" w:rsidRPr="008C07BF">
        <w:rPr>
          <w:rFonts w:cs="Arial"/>
        </w:rPr>
        <w:t xml:space="preserve"> recommends that the SBE adopt the proposed threshold scores and composite weights </w:t>
      </w:r>
      <w:r w:rsidR="00221541" w:rsidRPr="008C07BF">
        <w:rPr>
          <w:rFonts w:cs="Arial"/>
        </w:rPr>
        <w:t>in Attachment 1</w:t>
      </w:r>
      <w:r w:rsidR="00402B0D" w:rsidRPr="008C07BF">
        <w:rPr>
          <w:rFonts w:cs="Arial"/>
        </w:rPr>
        <w:t>.</w:t>
      </w:r>
    </w:p>
    <w:p w:rsidR="0089131A" w:rsidRPr="008C07BF" w:rsidRDefault="0089131A" w:rsidP="0075063B">
      <w:pPr>
        <w:pStyle w:val="Heading3"/>
        <w:spacing w:before="240" w:after="240"/>
        <w:rPr>
          <w:sz w:val="32"/>
          <w:szCs w:val="32"/>
        </w:rPr>
      </w:pPr>
      <w:r w:rsidRPr="008C07BF">
        <w:rPr>
          <w:sz w:val="32"/>
          <w:szCs w:val="32"/>
        </w:rPr>
        <w:t>Next Steps</w:t>
      </w:r>
    </w:p>
    <w:p w:rsidR="0089131A" w:rsidRPr="008C07BF" w:rsidRDefault="0089131A" w:rsidP="0089131A">
      <w:pPr>
        <w:spacing w:after="480"/>
        <w:rPr>
          <w:rFonts w:cs="Arial"/>
        </w:rPr>
      </w:pPr>
      <w:r w:rsidRPr="008C07BF">
        <w:rPr>
          <w:rFonts w:cs="Arial"/>
        </w:rPr>
        <w:t>In fall 2018, a threshold score review process will be con</w:t>
      </w:r>
      <w:r w:rsidR="00527F60" w:rsidRPr="008C07BF">
        <w:rPr>
          <w:rFonts w:cs="Arial"/>
        </w:rPr>
        <w:t>ducted. More information on that</w:t>
      </w:r>
      <w:r w:rsidRPr="008C07BF">
        <w:rPr>
          <w:rFonts w:cs="Arial"/>
        </w:rPr>
        <w:t xml:space="preserve"> process will be provided to the SBE in a future Information Memorandum.</w:t>
      </w:r>
    </w:p>
    <w:p w:rsidR="003E4DF7" w:rsidRPr="008C07BF" w:rsidRDefault="003E4DF7" w:rsidP="00227BBD">
      <w:pPr>
        <w:spacing w:before="240" w:after="240" w:line="259" w:lineRule="auto"/>
        <w:rPr>
          <w:rFonts w:eastAsiaTheme="majorEastAsia" w:cstheme="majorBidi"/>
          <w:b/>
          <w:sz w:val="36"/>
          <w:szCs w:val="36"/>
        </w:rPr>
      </w:pPr>
      <w:r w:rsidRPr="008C07BF">
        <w:rPr>
          <w:b/>
          <w:sz w:val="36"/>
          <w:szCs w:val="36"/>
        </w:rPr>
        <w:t>Summary of Previous State Board of Education Discussion and Action</w:t>
      </w:r>
    </w:p>
    <w:p w:rsidR="00600D03" w:rsidRPr="008C07BF" w:rsidRDefault="00CA6B5A" w:rsidP="0085376B">
      <w:pPr>
        <w:spacing w:before="240" w:after="240"/>
        <w:rPr>
          <w:rFonts w:cs="Arial"/>
          <w:szCs w:val="22"/>
        </w:rPr>
      </w:pPr>
      <w:r w:rsidRPr="008C07BF">
        <w:rPr>
          <w:rFonts w:cs="Arial"/>
          <w:szCs w:val="22"/>
        </w:rPr>
        <w:t>In April 2018, an Information Memorandum was provided to the SBE f</w:t>
      </w:r>
      <w:r w:rsidR="00527F60" w:rsidRPr="008C07BF">
        <w:rPr>
          <w:rFonts w:cs="Arial"/>
          <w:szCs w:val="22"/>
        </w:rPr>
        <w:t>or a preliminary review of the</w:t>
      </w:r>
      <w:r w:rsidR="00C75CA4" w:rsidRPr="008C07BF">
        <w:rPr>
          <w:rFonts w:cs="Arial"/>
          <w:szCs w:val="22"/>
        </w:rPr>
        <w:t xml:space="preserve"> proposed</w:t>
      </w:r>
      <w:r w:rsidR="00527F60" w:rsidRPr="008C07BF">
        <w:rPr>
          <w:rFonts w:cs="Arial"/>
          <w:szCs w:val="22"/>
        </w:rPr>
        <w:t xml:space="preserve"> I</w:t>
      </w:r>
      <w:r w:rsidRPr="008C07BF">
        <w:rPr>
          <w:rFonts w:cs="Arial"/>
          <w:szCs w:val="22"/>
        </w:rPr>
        <w:t xml:space="preserve">nitial ELPAC threshold scores and composite weights </w:t>
      </w:r>
      <w:r w:rsidR="005B7AA0" w:rsidRPr="008C07BF">
        <w:rPr>
          <w:rFonts w:cs="Arial"/>
          <w:szCs w:val="22"/>
        </w:rPr>
        <w:t>(</w:t>
      </w:r>
      <w:hyperlink r:id="rId10" w:tooltip="Link to April 2018 Information Memorandum" w:history="1">
        <w:r w:rsidR="00600D03" w:rsidRPr="008C07BF">
          <w:rPr>
            <w:rStyle w:val="Hyperlink"/>
            <w:rFonts w:cs="Arial"/>
            <w:szCs w:val="22"/>
          </w:rPr>
          <w:t>https://www.cde.ca.gov/be/pn/im/infomemoapr2018.asp</w:t>
        </w:r>
      </w:hyperlink>
      <w:r w:rsidR="005B7AA0" w:rsidRPr="008C07BF">
        <w:rPr>
          <w:rStyle w:val="Hyperlink"/>
          <w:rFonts w:cs="Arial"/>
          <w:color w:val="auto"/>
          <w:szCs w:val="22"/>
          <w:u w:val="none"/>
        </w:rPr>
        <w:t>)</w:t>
      </w:r>
      <w:r w:rsidR="00600D03" w:rsidRPr="008C07BF">
        <w:rPr>
          <w:rFonts w:cs="Arial"/>
          <w:szCs w:val="22"/>
        </w:rPr>
        <w:t>.</w:t>
      </w:r>
    </w:p>
    <w:p w:rsidR="00256756" w:rsidRPr="008C07BF" w:rsidRDefault="00256756" w:rsidP="00256756">
      <w:pPr>
        <w:spacing w:before="240" w:after="240"/>
        <w:rPr>
          <w:rFonts w:cs="Arial"/>
          <w:szCs w:val="22"/>
        </w:rPr>
      </w:pPr>
      <w:r w:rsidRPr="008C07BF">
        <w:rPr>
          <w:rFonts w:cs="Arial"/>
          <w:szCs w:val="22"/>
        </w:rPr>
        <w:t xml:space="preserve">In March 2018, </w:t>
      </w:r>
      <w:r w:rsidRPr="008C07BF">
        <w:rPr>
          <w:rFonts w:cs="Arial"/>
        </w:rPr>
        <w:t xml:space="preserve">the SBE approved revisions to the </w:t>
      </w:r>
      <w:r w:rsidR="00221541" w:rsidRPr="008C07BF">
        <w:rPr>
          <w:rFonts w:cs="Arial"/>
        </w:rPr>
        <w:t>I</w:t>
      </w:r>
      <w:r w:rsidRPr="008C07BF">
        <w:rPr>
          <w:rFonts w:cs="Arial"/>
        </w:rPr>
        <w:t>nitial ELPAC blueprints (</w:t>
      </w:r>
      <w:hyperlink r:id="rId11" w:tooltip="Link to March 2018 SBE Item" w:history="1">
        <w:r w:rsidR="003034B2" w:rsidRPr="008C07BF">
          <w:rPr>
            <w:rStyle w:val="Hyperlink"/>
          </w:rPr>
          <w:t>https://www.cde.ca.gov/be/ag/ag/yr18/agenda201803.asp</w:t>
        </w:r>
      </w:hyperlink>
      <w:r w:rsidR="003034B2" w:rsidRPr="008C07BF">
        <w:t>)</w:t>
      </w:r>
      <w:r w:rsidRPr="008C07BF">
        <w:rPr>
          <w:rFonts w:cs="Arial"/>
        </w:rPr>
        <w:t>.</w:t>
      </w:r>
    </w:p>
    <w:p w:rsidR="00CA6B5A" w:rsidRPr="008C07BF" w:rsidRDefault="00CA6B5A" w:rsidP="00CA6B5A">
      <w:pPr>
        <w:spacing w:before="240" w:after="240"/>
        <w:rPr>
          <w:rFonts w:cs="Arial"/>
          <w:b/>
        </w:rPr>
      </w:pPr>
      <w:r w:rsidRPr="008C07BF">
        <w:rPr>
          <w:rFonts w:cs="Arial"/>
          <w:szCs w:val="22"/>
        </w:rPr>
        <w:t xml:space="preserve">In February 2018, an Information Memorandum was provided to the SBE to give an update on the </w:t>
      </w:r>
      <w:r w:rsidR="00DA6F43" w:rsidRPr="008C07BF">
        <w:rPr>
          <w:rFonts w:cs="Arial"/>
          <w:szCs w:val="22"/>
        </w:rPr>
        <w:t xml:space="preserve">Initial ELPAC standard </w:t>
      </w:r>
      <w:r w:rsidRPr="008C07BF">
        <w:rPr>
          <w:rFonts w:cs="Arial"/>
          <w:szCs w:val="22"/>
        </w:rPr>
        <w:t>setting process and provide a preliminary r</w:t>
      </w:r>
      <w:r w:rsidR="00527F60" w:rsidRPr="008C07BF">
        <w:rPr>
          <w:rFonts w:cs="Arial"/>
          <w:szCs w:val="22"/>
        </w:rPr>
        <w:t>eview of the revisions to the Initial ELPAC</w:t>
      </w:r>
      <w:r w:rsidRPr="008C07BF">
        <w:rPr>
          <w:rFonts w:cs="Arial"/>
          <w:szCs w:val="22"/>
        </w:rPr>
        <w:t xml:space="preserve"> blueprints </w:t>
      </w:r>
      <w:r w:rsidR="005B7AA0" w:rsidRPr="008C07BF">
        <w:rPr>
          <w:rFonts w:cs="Arial"/>
          <w:szCs w:val="22"/>
        </w:rPr>
        <w:t>(</w:t>
      </w:r>
      <w:hyperlink r:id="rId12" w:tooltip="Link to February 2018 Information Memorandum" w:history="1">
        <w:r w:rsidRPr="008C07BF">
          <w:rPr>
            <w:rStyle w:val="Hyperlink"/>
            <w:rFonts w:cs="Arial"/>
            <w:szCs w:val="22"/>
          </w:rPr>
          <w:t>https://www.cde.ca.gov/be/pn/im/infomemofeb2018.asp</w:t>
        </w:r>
      </w:hyperlink>
      <w:r w:rsidR="005B7AA0" w:rsidRPr="008C07BF">
        <w:rPr>
          <w:rStyle w:val="Hyperlink"/>
          <w:rFonts w:cs="Arial"/>
          <w:color w:val="auto"/>
          <w:szCs w:val="22"/>
          <w:u w:val="none"/>
        </w:rPr>
        <w:t>)</w:t>
      </w:r>
      <w:r w:rsidR="001B4746" w:rsidRPr="008C07BF">
        <w:rPr>
          <w:rFonts w:cs="Arial"/>
          <w:szCs w:val="22"/>
        </w:rPr>
        <w:t>.</w:t>
      </w:r>
    </w:p>
    <w:p w:rsidR="00CA6B5A" w:rsidRPr="008C07BF" w:rsidRDefault="00CA6B5A" w:rsidP="0085376B">
      <w:pPr>
        <w:spacing w:before="240" w:after="240"/>
        <w:rPr>
          <w:rFonts w:cs="Arial"/>
          <w:szCs w:val="22"/>
        </w:rPr>
      </w:pPr>
      <w:r w:rsidRPr="008C07BF">
        <w:rPr>
          <w:rFonts w:cs="Arial"/>
          <w:szCs w:val="22"/>
        </w:rPr>
        <w:t xml:space="preserve">In January 2018, the SBE approved general performance level descriptors (PLDs) for the </w:t>
      </w:r>
      <w:r w:rsidR="00527F60" w:rsidRPr="008C07BF">
        <w:rPr>
          <w:rFonts w:cs="Arial"/>
          <w:szCs w:val="22"/>
        </w:rPr>
        <w:t xml:space="preserve">Initial ELPAC </w:t>
      </w:r>
      <w:r w:rsidRPr="008C07BF">
        <w:rPr>
          <w:rFonts w:cs="Arial"/>
          <w:szCs w:val="22"/>
        </w:rPr>
        <w:t>(</w:t>
      </w:r>
      <w:hyperlink r:id="rId13" w:tooltip="Link to January 2018 SBE item general performance level descriptors (PLDs)" w:history="1">
        <w:r w:rsidRPr="008C07BF">
          <w:rPr>
            <w:rStyle w:val="Hyperlink"/>
            <w:rFonts w:cs="Arial"/>
            <w:szCs w:val="22"/>
          </w:rPr>
          <w:t>https://www.cde.ca.gov/be/ag/ag/yr18/agenda201801.asp</w:t>
        </w:r>
      </w:hyperlink>
      <w:r w:rsidR="001B4746" w:rsidRPr="008C07BF">
        <w:rPr>
          <w:rFonts w:cs="Arial"/>
          <w:szCs w:val="22"/>
        </w:rPr>
        <w:t>).</w:t>
      </w:r>
    </w:p>
    <w:p w:rsidR="00CA6B5A" w:rsidRPr="008C07BF" w:rsidRDefault="00CA6B5A" w:rsidP="00CA6B5A">
      <w:pPr>
        <w:spacing w:after="240"/>
        <w:rPr>
          <w:rFonts w:cs="Arial"/>
          <w:szCs w:val="22"/>
        </w:rPr>
      </w:pPr>
      <w:r w:rsidRPr="008C07BF">
        <w:rPr>
          <w:rFonts w:cs="Arial"/>
          <w:szCs w:val="22"/>
        </w:rPr>
        <w:t>In December 2017, an Information Memorandum was provided to the SBE, giving an update on the development of the ELPAC</w:t>
      </w:r>
      <w:r w:rsidR="00527F60" w:rsidRPr="008C07BF">
        <w:rPr>
          <w:rFonts w:cs="Arial"/>
          <w:szCs w:val="22"/>
        </w:rPr>
        <w:t>,</w:t>
      </w:r>
      <w:r w:rsidRPr="008C07BF">
        <w:rPr>
          <w:rFonts w:cs="Arial"/>
          <w:szCs w:val="22"/>
        </w:rPr>
        <w:t xml:space="preserve"> including a detailed timeline (</w:t>
      </w:r>
      <w:hyperlink r:id="rId14" w:tooltip="Link to December 2017 Information Memorandum on ELPAC Development" w:history="1">
        <w:r w:rsidRPr="008C07BF">
          <w:rPr>
            <w:rStyle w:val="Hyperlink"/>
            <w:rFonts w:cs="Arial"/>
            <w:szCs w:val="22"/>
          </w:rPr>
          <w:t>https://www.cde.ca.gov/be/pn/im/documents/memo-pptb-adad-dec17item03.docx</w:t>
        </w:r>
      </w:hyperlink>
      <w:r w:rsidRPr="008C07BF">
        <w:rPr>
          <w:rFonts w:cs="Arial"/>
          <w:szCs w:val="22"/>
        </w:rPr>
        <w:t>).</w:t>
      </w:r>
    </w:p>
    <w:p w:rsidR="00CA6B5A" w:rsidRPr="008C07BF" w:rsidRDefault="00CA6B5A" w:rsidP="00CA6B5A">
      <w:pPr>
        <w:spacing w:after="240"/>
        <w:rPr>
          <w:rFonts w:cs="Arial"/>
          <w:szCs w:val="22"/>
        </w:rPr>
      </w:pPr>
      <w:r w:rsidRPr="008C07BF">
        <w:rPr>
          <w:rFonts w:cs="Arial"/>
          <w:szCs w:val="22"/>
        </w:rPr>
        <w:t xml:space="preserve">In November 2017, the SBE approved the </w:t>
      </w:r>
      <w:r w:rsidRPr="008C07BF">
        <w:rPr>
          <w:rFonts w:cs="Arial"/>
        </w:rPr>
        <w:t xml:space="preserve">operational </w:t>
      </w:r>
      <w:r w:rsidR="00527F60" w:rsidRPr="008C07BF">
        <w:rPr>
          <w:rFonts w:cs="Arial"/>
        </w:rPr>
        <w:t>Summative ELPAC</w:t>
      </w:r>
      <w:r w:rsidRPr="008C07BF">
        <w:rPr>
          <w:rFonts w:cs="Arial"/>
        </w:rPr>
        <w:t xml:space="preserve"> threshold scores, composite weights, and </w:t>
      </w:r>
      <w:r w:rsidR="00527F60" w:rsidRPr="008C07BF">
        <w:rPr>
          <w:rFonts w:cs="Arial"/>
        </w:rPr>
        <w:t>local educational agency</w:t>
      </w:r>
      <w:r w:rsidRPr="008C07BF">
        <w:rPr>
          <w:rFonts w:cs="Arial"/>
        </w:rPr>
        <w:t xml:space="preserve"> apportionment rates </w:t>
      </w:r>
      <w:r w:rsidRPr="008C07BF">
        <w:rPr>
          <w:rFonts w:cs="Arial"/>
          <w:szCs w:val="22"/>
        </w:rPr>
        <w:t>(</w:t>
      </w:r>
      <w:hyperlink r:id="rId15" w:tooltip="Link to September 2017 summative ELPAC threshold scores, composite weights, and apportionment rates" w:history="1">
        <w:r w:rsidRPr="008C07BF">
          <w:rPr>
            <w:rStyle w:val="Hyperlink"/>
            <w:rFonts w:cs="Arial"/>
            <w:szCs w:val="22"/>
          </w:rPr>
          <w:t>https://www.cde.ca.gov/be/ag/ag/yr17/documents/nov17item08.doc</w:t>
        </w:r>
      </w:hyperlink>
      <w:r w:rsidRPr="008C07BF">
        <w:rPr>
          <w:rFonts w:cs="Arial"/>
          <w:szCs w:val="22"/>
        </w:rPr>
        <w:t>).</w:t>
      </w:r>
    </w:p>
    <w:p w:rsidR="00CA6B5A" w:rsidRPr="008C07BF" w:rsidRDefault="00CA6B5A" w:rsidP="00CA6B5A">
      <w:pPr>
        <w:spacing w:after="240"/>
        <w:rPr>
          <w:rFonts w:cs="Arial"/>
        </w:rPr>
      </w:pPr>
      <w:r w:rsidRPr="008C07BF">
        <w:rPr>
          <w:rFonts w:cs="Arial"/>
        </w:rPr>
        <w:t>In October 2017, an Information Memorandum was provided to the SBE on the standard setting and domain weighting process (</w:t>
      </w:r>
      <w:hyperlink r:id="rId16" w:tooltip="Link to October 2017 ELPAC Standard Setting and Domain Weighting" w:history="1">
        <w:r w:rsidRPr="008C07BF">
          <w:rPr>
            <w:rStyle w:val="Hyperlink"/>
            <w:rFonts w:cs="Arial"/>
          </w:rPr>
          <w:t>https://www.cde.ca.gov/be/pn/im/documents/memo-pptb-adad-oct17item01.doc</w:t>
        </w:r>
      </w:hyperlink>
      <w:r w:rsidRPr="008C07BF">
        <w:rPr>
          <w:rFonts w:cs="Arial"/>
        </w:rPr>
        <w:t>).</w:t>
      </w:r>
    </w:p>
    <w:p w:rsidR="00CA6B5A" w:rsidRPr="008C07BF" w:rsidRDefault="00CA6B5A" w:rsidP="0085376B">
      <w:pPr>
        <w:spacing w:after="480"/>
        <w:rPr>
          <w:rFonts w:cs="Arial"/>
        </w:rPr>
      </w:pPr>
      <w:r w:rsidRPr="008C07BF">
        <w:rPr>
          <w:rFonts w:cs="Arial"/>
        </w:rPr>
        <w:lastRenderedPageBreak/>
        <w:t>In September 2017, the SBE approved revis</w:t>
      </w:r>
      <w:r w:rsidR="00527F60" w:rsidRPr="008C07BF">
        <w:rPr>
          <w:rFonts w:cs="Arial"/>
        </w:rPr>
        <w:t>ions to the S</w:t>
      </w:r>
      <w:r w:rsidRPr="008C07BF">
        <w:rPr>
          <w:rFonts w:cs="Arial"/>
        </w:rPr>
        <w:t xml:space="preserve">ummative ELPAC blueprints, the revised general PLDs, and </w:t>
      </w:r>
      <w:r w:rsidR="00527F60" w:rsidRPr="008C07BF">
        <w:rPr>
          <w:rFonts w:cs="Arial"/>
        </w:rPr>
        <w:t>the reporting hierarchy of the Summative and I</w:t>
      </w:r>
      <w:r w:rsidRPr="008C07BF">
        <w:rPr>
          <w:rFonts w:cs="Arial"/>
        </w:rPr>
        <w:t>nitial ELPAC score reports (</w:t>
      </w:r>
      <w:hyperlink r:id="rId17" w:tooltip="Link to September 2017 revisions to summative ELPAC test blueprints and the general performance level descriptors, and the reporitng hierarchy" w:history="1">
        <w:r w:rsidRPr="008C07BF">
          <w:rPr>
            <w:rStyle w:val="Hyperlink"/>
            <w:rFonts w:cs="Arial"/>
          </w:rPr>
          <w:t>https://www.cde.ca.gov/be/ag/ag/yr17/documents/sep17item18.doc</w:t>
        </w:r>
      </w:hyperlink>
      <w:r w:rsidRPr="008C07BF">
        <w:rPr>
          <w:rFonts w:cs="Arial"/>
        </w:rPr>
        <w:t>).</w:t>
      </w:r>
    </w:p>
    <w:p w:rsidR="00003711" w:rsidRPr="008C07BF" w:rsidRDefault="003E4DF7" w:rsidP="00003711">
      <w:pPr>
        <w:pStyle w:val="Heading2"/>
        <w:spacing w:before="240" w:after="240"/>
        <w:rPr>
          <w:sz w:val="36"/>
          <w:szCs w:val="36"/>
        </w:rPr>
      </w:pPr>
      <w:r w:rsidRPr="008C07BF">
        <w:rPr>
          <w:sz w:val="36"/>
          <w:szCs w:val="36"/>
        </w:rPr>
        <w:t>Fiscal Analysis (as appropriate)</w:t>
      </w:r>
    </w:p>
    <w:p w:rsidR="00003711" w:rsidRPr="008C07BF" w:rsidRDefault="00003711" w:rsidP="0085376B">
      <w:pPr>
        <w:spacing w:after="480"/>
        <w:rPr>
          <w:rFonts w:cs="Arial"/>
        </w:rPr>
      </w:pPr>
      <w:r w:rsidRPr="008C07BF">
        <w:rPr>
          <w:rFonts w:cs="Arial"/>
        </w:rPr>
        <w:t xml:space="preserve">The 2017–18 Budget Act includes $13.8 million for </w:t>
      </w:r>
      <w:r w:rsidR="00527F60" w:rsidRPr="008C07BF">
        <w:rPr>
          <w:rFonts w:cs="Arial"/>
        </w:rPr>
        <w:t>Educational Testing Service</w:t>
      </w:r>
      <w:r w:rsidRPr="008C07BF">
        <w:rPr>
          <w:rFonts w:cs="Arial"/>
        </w:rPr>
        <w:t xml:space="preserve"> contract activities, which includes standard setting.</w:t>
      </w:r>
    </w:p>
    <w:p w:rsidR="00406F50" w:rsidRPr="008C07BF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8C07BF">
        <w:rPr>
          <w:sz w:val="36"/>
          <w:szCs w:val="36"/>
        </w:rPr>
        <w:t>Attachment(s)</w:t>
      </w:r>
    </w:p>
    <w:p w:rsidR="00730996" w:rsidRPr="008C07BF" w:rsidRDefault="00730996" w:rsidP="00730996">
      <w:pPr>
        <w:pStyle w:val="ListParagraph"/>
        <w:numPr>
          <w:ilvl w:val="0"/>
          <w:numId w:val="8"/>
        </w:numPr>
        <w:spacing w:after="240"/>
        <w:contextualSpacing w:val="0"/>
        <w:rPr>
          <w:rFonts w:cs="Arial"/>
        </w:rPr>
      </w:pPr>
      <w:r w:rsidRPr="008C07BF">
        <w:rPr>
          <w:rFonts w:cs="Arial"/>
        </w:rPr>
        <w:t xml:space="preserve">Attachment 1: State Superintendent of Public Instruction’s Proposed </w:t>
      </w:r>
      <w:r w:rsidR="00DF1F6F" w:rsidRPr="008C07BF">
        <w:rPr>
          <w:rFonts w:cs="Arial"/>
        </w:rPr>
        <w:t xml:space="preserve">Initial ELPAC </w:t>
      </w:r>
      <w:r w:rsidRPr="008C07BF">
        <w:rPr>
          <w:rFonts w:cs="Arial"/>
        </w:rPr>
        <w:t xml:space="preserve">Threshold and Composite Weight Recommendations </w:t>
      </w:r>
      <w:r w:rsidR="00D2798A" w:rsidRPr="008C07BF">
        <w:rPr>
          <w:rFonts w:cs="Arial"/>
        </w:rPr>
        <w:t>(1 page</w:t>
      </w:r>
      <w:r w:rsidR="001B4746" w:rsidRPr="008C07BF">
        <w:rPr>
          <w:rFonts w:cs="Arial"/>
        </w:rPr>
        <w:t>)</w:t>
      </w:r>
    </w:p>
    <w:p w:rsidR="00161861" w:rsidRPr="008C07BF" w:rsidRDefault="00161861" w:rsidP="00483B3D">
      <w:pPr>
        <w:pStyle w:val="ListParagraph"/>
        <w:numPr>
          <w:ilvl w:val="0"/>
          <w:numId w:val="8"/>
        </w:numPr>
        <w:spacing w:after="240"/>
        <w:contextualSpacing w:val="0"/>
        <w:rPr>
          <w:rFonts w:cs="Arial"/>
        </w:rPr>
      </w:pPr>
      <w:r w:rsidRPr="008C07BF">
        <w:rPr>
          <w:rFonts w:cs="Arial"/>
        </w:rPr>
        <w:t>A</w:t>
      </w:r>
      <w:r w:rsidR="00730996" w:rsidRPr="008C07BF">
        <w:rPr>
          <w:rFonts w:cs="Arial"/>
        </w:rPr>
        <w:t>ttachment 2</w:t>
      </w:r>
      <w:r w:rsidRPr="008C07BF">
        <w:rPr>
          <w:rFonts w:cs="Arial"/>
        </w:rPr>
        <w:t>: Educator Panel</w:t>
      </w:r>
      <w:r w:rsidR="00512974" w:rsidRPr="008C07BF">
        <w:rPr>
          <w:rFonts w:cs="Arial"/>
        </w:rPr>
        <w:t>s’</w:t>
      </w:r>
      <w:r w:rsidRPr="008C07BF">
        <w:rPr>
          <w:rFonts w:cs="Arial"/>
        </w:rPr>
        <w:t xml:space="preserve"> Proposed </w:t>
      </w:r>
      <w:r w:rsidR="00DF1F6F" w:rsidRPr="008C07BF">
        <w:rPr>
          <w:rFonts w:cs="Arial"/>
        </w:rPr>
        <w:t xml:space="preserve">Initial ELPAC </w:t>
      </w:r>
      <w:r w:rsidRPr="008C07BF">
        <w:rPr>
          <w:rFonts w:cs="Arial"/>
        </w:rPr>
        <w:t>Threshold and Compo</w:t>
      </w:r>
      <w:r w:rsidR="00C17EEB" w:rsidRPr="008C07BF">
        <w:rPr>
          <w:rFonts w:cs="Arial"/>
        </w:rPr>
        <w:t xml:space="preserve">site Weight Recommendations </w:t>
      </w:r>
      <w:r w:rsidR="00D2798A" w:rsidRPr="008C07BF">
        <w:rPr>
          <w:rFonts w:cs="Arial"/>
        </w:rPr>
        <w:t>(1 page</w:t>
      </w:r>
      <w:r w:rsidR="00D068AB" w:rsidRPr="008C07BF">
        <w:rPr>
          <w:rFonts w:cs="Arial"/>
        </w:rPr>
        <w:t>)</w:t>
      </w:r>
    </w:p>
    <w:p w:rsidR="000E21D6" w:rsidRPr="008C07BF" w:rsidRDefault="00F7139A" w:rsidP="00F7139A">
      <w:pPr>
        <w:pStyle w:val="ListParagraph"/>
        <w:numPr>
          <w:ilvl w:val="0"/>
          <w:numId w:val="8"/>
        </w:numPr>
        <w:spacing w:after="240"/>
        <w:contextualSpacing w:val="0"/>
        <w:sectPr w:rsidR="000E21D6" w:rsidRPr="008C07BF" w:rsidSect="00407E9B">
          <w:headerReference w:type="default" r:id="rId18"/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  <w:r w:rsidRPr="008C07BF">
        <w:rPr>
          <w:rFonts w:cs="Arial"/>
        </w:rPr>
        <w:t xml:space="preserve">Attachment 3: </w:t>
      </w:r>
      <w:r w:rsidRPr="008C07BF">
        <w:t xml:space="preserve">Impact Data for the Composite Weight Recommendations </w:t>
      </w:r>
      <w:r w:rsidR="00D2798A" w:rsidRPr="008C07BF">
        <w:t>(1 page</w:t>
      </w:r>
      <w:r w:rsidR="00D068AB" w:rsidRPr="008C07BF">
        <w:t>)</w:t>
      </w:r>
    </w:p>
    <w:p w:rsidR="000E21D6" w:rsidRPr="008C07BF" w:rsidRDefault="000E21D6" w:rsidP="00D009B2">
      <w:pPr>
        <w:pStyle w:val="Heading1"/>
        <w:spacing w:before="240" w:after="240"/>
        <w:jc w:val="center"/>
        <w:rPr>
          <w:rFonts w:eastAsia="SimSun"/>
          <w:sz w:val="40"/>
          <w:szCs w:val="40"/>
          <w:lang w:eastAsia="zh-CN"/>
        </w:rPr>
      </w:pPr>
      <w:r w:rsidRPr="008C07BF">
        <w:rPr>
          <w:rFonts w:eastAsia="SimSun"/>
          <w:sz w:val="40"/>
          <w:szCs w:val="40"/>
          <w:lang w:eastAsia="zh-CN"/>
        </w:rPr>
        <w:lastRenderedPageBreak/>
        <w:t xml:space="preserve">Attachment 1: State Superintendent of Public Instruction’s Proposed </w:t>
      </w:r>
      <w:r w:rsidR="00DF1F6F" w:rsidRPr="008C07BF">
        <w:rPr>
          <w:rFonts w:eastAsia="SimSun"/>
          <w:sz w:val="40"/>
          <w:szCs w:val="40"/>
          <w:lang w:eastAsia="zh-CN"/>
        </w:rPr>
        <w:t xml:space="preserve">Initial ELPAC </w:t>
      </w:r>
      <w:r w:rsidRPr="008C07BF">
        <w:rPr>
          <w:rFonts w:eastAsia="SimSun"/>
          <w:sz w:val="40"/>
          <w:szCs w:val="40"/>
          <w:lang w:eastAsia="zh-CN"/>
        </w:rPr>
        <w:t>Threshold and Composite Weight Recommendations</w:t>
      </w:r>
    </w:p>
    <w:p w:rsidR="000E21D6" w:rsidRPr="008C07BF" w:rsidRDefault="000E21D6" w:rsidP="009804C2">
      <w:pPr>
        <w:spacing w:before="240" w:after="240"/>
        <w:jc w:val="center"/>
        <w:rPr>
          <w:rFonts w:eastAsia="SimSun" w:cs="Arial"/>
          <w:b/>
          <w:sz w:val="36"/>
          <w:szCs w:val="36"/>
          <w:lang w:eastAsia="zh-CN"/>
        </w:rPr>
      </w:pPr>
      <w:r w:rsidRPr="008C07BF">
        <w:rPr>
          <w:rFonts w:eastAsia="SimSun" w:cs="Arial"/>
          <w:b/>
          <w:sz w:val="36"/>
          <w:szCs w:val="36"/>
          <w:lang w:eastAsia="zh-CN"/>
        </w:rPr>
        <w:t>Overall Score Kindergarten through Grade Twelve</w:t>
      </w:r>
    </w:p>
    <w:p w:rsidR="000E21D6" w:rsidRPr="008C07BF" w:rsidRDefault="000E21D6" w:rsidP="009804C2">
      <w:pPr>
        <w:pStyle w:val="ListParagraph"/>
        <w:spacing w:after="240"/>
        <w:ind w:left="0"/>
        <w:rPr>
          <w:rFonts w:eastAsia="SimSun" w:cs="Arial"/>
          <w:lang w:eastAsia="zh-CN"/>
        </w:rPr>
      </w:pPr>
      <w:r w:rsidRPr="008C07BF">
        <w:rPr>
          <w:rFonts w:eastAsia="SimSun" w:cs="Arial"/>
          <w:lang w:eastAsia="zh-CN"/>
        </w:rPr>
        <w:t>Table 1. State Superintendent of Public Instruction</w:t>
      </w:r>
      <w:r w:rsidR="00FA2F2D" w:rsidRPr="008C07BF">
        <w:rPr>
          <w:rFonts w:eastAsia="SimSun" w:cs="Arial"/>
          <w:lang w:eastAsia="zh-CN"/>
        </w:rPr>
        <w:t>’s</w:t>
      </w:r>
      <w:r w:rsidRPr="008C07BF">
        <w:rPr>
          <w:rFonts w:eastAsia="SimSun" w:cs="Arial"/>
          <w:lang w:eastAsia="zh-CN"/>
        </w:rPr>
        <w:t xml:space="preserve"> Recommendatio</w:t>
      </w:r>
      <w:r w:rsidR="00A24233" w:rsidRPr="008C07BF">
        <w:rPr>
          <w:rFonts w:eastAsia="SimSun" w:cs="Arial"/>
          <w:lang w:eastAsia="zh-CN"/>
        </w:rPr>
        <w:t xml:space="preserve">ns for the Proposed </w:t>
      </w:r>
      <w:r w:rsidR="00561D5C" w:rsidRPr="008C07BF">
        <w:rPr>
          <w:rFonts w:eastAsia="SimSun" w:cs="Arial"/>
          <w:lang w:eastAsia="zh-CN"/>
        </w:rPr>
        <w:t xml:space="preserve">Preliminary </w:t>
      </w:r>
      <w:r w:rsidRPr="008C07BF">
        <w:rPr>
          <w:rFonts w:eastAsia="SimSun" w:cs="Arial"/>
          <w:lang w:eastAsia="zh-CN"/>
        </w:rPr>
        <w:t>Thresholds for Performance Levels on the Initial English Language Profici</w:t>
      </w:r>
      <w:r w:rsidR="00A9416D" w:rsidRPr="008C07BF">
        <w:rPr>
          <w:rFonts w:eastAsia="SimSun" w:cs="Arial"/>
          <w:lang w:eastAsia="zh-CN"/>
        </w:rPr>
        <w:t xml:space="preserve">ency Assessments for California, </w:t>
      </w:r>
      <w:r w:rsidRPr="008C07BF">
        <w:rPr>
          <w:rFonts w:eastAsia="SimSun" w:cs="Arial"/>
          <w:lang w:eastAsia="zh-CN"/>
        </w:rPr>
        <w:t>Overall Score</w:t>
      </w:r>
    </w:p>
    <w:tbl>
      <w:tblPr>
        <w:tblStyle w:val="TableGrid"/>
        <w:tblW w:w="5010" w:type="pct"/>
        <w:tblLayout w:type="fixed"/>
        <w:tblCellMar>
          <w:left w:w="14" w:type="dxa"/>
          <w:right w:w="14" w:type="dxa"/>
        </w:tblCellMar>
        <w:tblLook w:val="04A0" w:firstRow="1" w:lastRow="0" w:firstColumn="1" w:lastColumn="0" w:noHBand="0" w:noVBand="1"/>
        <w:tblCaption w:val="Table 1. State Superintendent of Public Instruction (SSPI) Recommendations for the Proposed Preliminary Thresholds for Performance Levels on the Initial English Language Proficiency Assessments for California (ELPAC), Overall Score"/>
      </w:tblPr>
      <w:tblGrid>
        <w:gridCol w:w="627"/>
        <w:gridCol w:w="808"/>
        <w:gridCol w:w="1171"/>
        <w:gridCol w:w="809"/>
        <w:gridCol w:w="1080"/>
        <w:gridCol w:w="1261"/>
        <w:gridCol w:w="809"/>
        <w:gridCol w:w="1080"/>
        <w:gridCol w:w="1261"/>
        <w:gridCol w:w="823"/>
      </w:tblGrid>
      <w:tr w:rsidR="00653E5D" w:rsidRPr="008C07BF" w:rsidTr="00D51041">
        <w:trPr>
          <w:cantSplit/>
          <w:trHeight w:val="1542"/>
          <w:tblHeader/>
        </w:trPr>
        <w:tc>
          <w:tcPr>
            <w:tcW w:w="322" w:type="pct"/>
            <w:shd w:val="clear" w:color="auto" w:fill="D9D9D9" w:themeFill="background1" w:themeFillShade="D9"/>
            <w:textDirection w:val="btLr"/>
            <w:vAlign w:val="center"/>
          </w:tcPr>
          <w:p w:rsidR="00653E5D" w:rsidRPr="008C07BF" w:rsidRDefault="00653E5D" w:rsidP="00D51041">
            <w:pPr>
              <w:spacing w:before="120" w:after="120"/>
              <w:ind w:left="113" w:right="113"/>
              <w:contextualSpacing/>
              <w:jc w:val="center"/>
              <w:rPr>
                <w:rFonts w:cs="Arial"/>
                <w:b/>
                <w:bCs/>
                <w:color w:val="000000"/>
              </w:rPr>
            </w:pPr>
            <w:r w:rsidRPr="008C07BF">
              <w:rPr>
                <w:rFonts w:cs="Arial"/>
                <w:b/>
                <w:bCs/>
                <w:color w:val="000000"/>
              </w:rPr>
              <w:t>Grade</w:t>
            </w:r>
          </w:p>
        </w:tc>
        <w:tc>
          <w:tcPr>
            <w:tcW w:w="415" w:type="pct"/>
            <w:shd w:val="clear" w:color="auto" w:fill="D9D9D9" w:themeFill="background1" w:themeFillShade="D9"/>
            <w:textDirection w:val="btLr"/>
            <w:vAlign w:val="center"/>
            <w:hideMark/>
          </w:tcPr>
          <w:p w:rsidR="00653E5D" w:rsidRPr="008C07BF" w:rsidRDefault="00653E5D" w:rsidP="00D51041">
            <w:pPr>
              <w:spacing w:before="120" w:after="120"/>
              <w:ind w:left="113" w:right="113"/>
              <w:contextualSpacing/>
              <w:jc w:val="center"/>
              <w:rPr>
                <w:rFonts w:cs="Arial"/>
                <w:b/>
                <w:color w:val="000000"/>
                <w:lang w:eastAsia="ko-KR"/>
              </w:rPr>
            </w:pPr>
            <w:r w:rsidRPr="008C07BF">
              <w:rPr>
                <w:rFonts w:cs="Arial"/>
                <w:b/>
                <w:color w:val="000000"/>
                <w:lang w:eastAsia="ko-KR"/>
              </w:rPr>
              <w:t>Oral/Written</w:t>
            </w:r>
          </w:p>
          <w:p w:rsidR="00653E5D" w:rsidRPr="008C07BF" w:rsidRDefault="00653E5D" w:rsidP="00D51041">
            <w:pPr>
              <w:spacing w:before="120" w:after="120"/>
              <w:ind w:left="113" w:right="113"/>
              <w:jc w:val="center"/>
              <w:rPr>
                <w:rFonts w:cs="Arial"/>
                <w:b/>
                <w:bCs/>
                <w:color w:val="000000"/>
              </w:rPr>
            </w:pPr>
            <w:r w:rsidRPr="008C07BF">
              <w:rPr>
                <w:rFonts w:cs="Arial"/>
                <w:b/>
                <w:color w:val="000000"/>
                <w:lang w:eastAsia="ko-KR"/>
              </w:rPr>
              <w:t>Weight</w:t>
            </w:r>
          </w:p>
        </w:tc>
        <w:tc>
          <w:tcPr>
            <w:tcW w:w="602" w:type="pct"/>
            <w:shd w:val="clear" w:color="auto" w:fill="D9D9D9" w:themeFill="background1" w:themeFillShade="D9"/>
            <w:vAlign w:val="center"/>
            <w:hideMark/>
          </w:tcPr>
          <w:p w:rsidR="00653E5D" w:rsidRPr="008C07BF" w:rsidRDefault="00653E5D" w:rsidP="00D51041">
            <w:pPr>
              <w:spacing w:before="120" w:after="120"/>
              <w:contextualSpacing/>
              <w:jc w:val="center"/>
              <w:rPr>
                <w:rFonts w:cs="Arial"/>
                <w:b/>
                <w:bCs/>
                <w:color w:val="000000"/>
              </w:rPr>
            </w:pPr>
            <w:r w:rsidRPr="008C07BF">
              <w:rPr>
                <w:rFonts w:cs="Arial"/>
                <w:b/>
                <w:bCs/>
                <w:color w:val="000000"/>
              </w:rPr>
              <w:t xml:space="preserve">Level 1 </w:t>
            </w:r>
          </w:p>
          <w:p w:rsidR="00653E5D" w:rsidRPr="008C07BF" w:rsidRDefault="00653E5D" w:rsidP="00D51041">
            <w:pPr>
              <w:spacing w:before="120" w:after="120"/>
              <w:contextualSpacing/>
              <w:jc w:val="center"/>
              <w:rPr>
                <w:rFonts w:cs="Arial"/>
                <w:b/>
                <w:bCs/>
                <w:color w:val="000000"/>
              </w:rPr>
            </w:pPr>
            <w:r w:rsidRPr="008C07BF">
              <w:rPr>
                <w:rFonts w:cs="Arial"/>
                <w:b/>
                <w:bCs/>
                <w:color w:val="000000"/>
              </w:rPr>
              <w:t xml:space="preserve">% of Students </w:t>
            </w:r>
            <w:r w:rsidRPr="008C07BF">
              <w:rPr>
                <w:rStyle w:val="FootnoteReference"/>
                <w:rFonts w:cs="Arial"/>
                <w:b/>
                <w:bCs/>
                <w:color w:val="000000"/>
              </w:rPr>
              <w:footnoteReference w:id="1"/>
            </w:r>
          </w:p>
        </w:tc>
        <w:tc>
          <w:tcPr>
            <w:tcW w:w="416" w:type="pct"/>
            <w:shd w:val="clear" w:color="auto" w:fill="D9D9D9" w:themeFill="background1" w:themeFillShade="D9"/>
            <w:vAlign w:val="center"/>
            <w:hideMark/>
          </w:tcPr>
          <w:p w:rsidR="00653E5D" w:rsidRPr="008C07BF" w:rsidRDefault="00653E5D" w:rsidP="00D51041">
            <w:pPr>
              <w:spacing w:before="120" w:after="120"/>
              <w:contextualSpacing/>
              <w:jc w:val="center"/>
              <w:rPr>
                <w:rFonts w:cs="Arial"/>
                <w:b/>
                <w:bCs/>
                <w:color w:val="000000"/>
              </w:rPr>
            </w:pPr>
            <w:r w:rsidRPr="008C07BF">
              <w:rPr>
                <w:rFonts w:cs="Arial"/>
                <w:b/>
                <w:bCs/>
                <w:color w:val="000000"/>
              </w:rPr>
              <w:t>Level 1</w:t>
            </w:r>
          </w:p>
          <w:p w:rsidR="00653E5D" w:rsidRPr="008C07BF" w:rsidRDefault="00653E5D" w:rsidP="00D51041">
            <w:pPr>
              <w:spacing w:before="120" w:after="120"/>
              <w:contextualSpacing/>
              <w:jc w:val="center"/>
              <w:rPr>
                <w:rFonts w:cs="Arial"/>
                <w:b/>
                <w:bCs/>
                <w:color w:val="000000"/>
              </w:rPr>
            </w:pPr>
            <w:r w:rsidRPr="008C07BF">
              <w:rPr>
                <w:rFonts w:cs="Arial"/>
                <w:b/>
                <w:bCs/>
                <w:color w:val="000000"/>
              </w:rPr>
              <w:t xml:space="preserve">% at or above </w:t>
            </w:r>
            <w:r w:rsidRPr="008C07BF">
              <w:rPr>
                <w:rStyle w:val="FootnoteReference"/>
                <w:rFonts w:cs="Arial"/>
                <w:b/>
                <w:bCs/>
                <w:color w:val="000000"/>
              </w:rPr>
              <w:footnoteReference w:id="2"/>
            </w:r>
          </w:p>
        </w:tc>
        <w:tc>
          <w:tcPr>
            <w:tcW w:w="555" w:type="pct"/>
            <w:shd w:val="clear" w:color="auto" w:fill="D9D9D9" w:themeFill="background1" w:themeFillShade="D9"/>
            <w:vAlign w:val="center"/>
            <w:hideMark/>
          </w:tcPr>
          <w:p w:rsidR="00653E5D" w:rsidRPr="008C07BF" w:rsidRDefault="00653E5D" w:rsidP="00D51041">
            <w:pPr>
              <w:spacing w:before="120" w:after="120"/>
              <w:contextualSpacing/>
              <w:jc w:val="center"/>
              <w:rPr>
                <w:rFonts w:cs="Arial"/>
                <w:b/>
                <w:bCs/>
                <w:color w:val="000000"/>
              </w:rPr>
            </w:pPr>
            <w:r w:rsidRPr="008C07BF">
              <w:rPr>
                <w:rFonts w:cs="Arial"/>
                <w:b/>
                <w:bCs/>
                <w:color w:val="000000"/>
              </w:rPr>
              <w:t>Level 2</w:t>
            </w:r>
          </w:p>
          <w:p w:rsidR="00653E5D" w:rsidRPr="008C07BF" w:rsidRDefault="00653E5D" w:rsidP="00D51041">
            <w:pPr>
              <w:spacing w:before="120" w:after="120"/>
              <w:contextualSpacing/>
              <w:jc w:val="center"/>
              <w:rPr>
                <w:rFonts w:cs="Arial"/>
                <w:b/>
                <w:bCs/>
                <w:color w:val="000000"/>
              </w:rPr>
            </w:pPr>
            <w:r w:rsidRPr="008C07BF">
              <w:rPr>
                <w:rFonts w:cs="Arial"/>
                <w:b/>
                <w:bCs/>
                <w:color w:val="000000"/>
              </w:rPr>
              <w:t>% of Students</w:t>
            </w:r>
          </w:p>
        </w:tc>
        <w:tc>
          <w:tcPr>
            <w:tcW w:w="648" w:type="pct"/>
            <w:shd w:val="clear" w:color="auto" w:fill="D9D9D9" w:themeFill="background1" w:themeFillShade="D9"/>
            <w:vAlign w:val="center"/>
            <w:hideMark/>
          </w:tcPr>
          <w:p w:rsidR="00653E5D" w:rsidRPr="008C07BF" w:rsidRDefault="00653E5D" w:rsidP="00D51041">
            <w:pPr>
              <w:spacing w:before="120" w:after="120"/>
              <w:contextualSpacing/>
              <w:jc w:val="center"/>
              <w:rPr>
                <w:rFonts w:cs="Arial"/>
                <w:b/>
                <w:bCs/>
                <w:color w:val="000000"/>
              </w:rPr>
            </w:pPr>
            <w:r w:rsidRPr="008C07BF">
              <w:rPr>
                <w:rFonts w:cs="Arial"/>
                <w:b/>
                <w:bCs/>
                <w:color w:val="000000"/>
              </w:rPr>
              <w:t>Level 2</w:t>
            </w:r>
          </w:p>
          <w:p w:rsidR="00653E5D" w:rsidRPr="008C07BF" w:rsidRDefault="00653E5D" w:rsidP="00D51041">
            <w:pPr>
              <w:spacing w:before="120" w:after="120"/>
              <w:contextualSpacing/>
              <w:jc w:val="center"/>
              <w:rPr>
                <w:rFonts w:cs="Arial"/>
                <w:b/>
                <w:bCs/>
                <w:color w:val="000000"/>
              </w:rPr>
            </w:pPr>
            <w:r w:rsidRPr="008C07BF">
              <w:rPr>
                <w:rFonts w:cs="Arial"/>
                <w:b/>
                <w:bCs/>
                <w:color w:val="000000"/>
              </w:rPr>
              <w:t xml:space="preserve">Standard-Setting Scale Threshold Score </w:t>
            </w:r>
            <w:r w:rsidRPr="008C07BF">
              <w:rPr>
                <w:rFonts w:cs="Arial"/>
                <w:b/>
                <w:bCs/>
                <w:color w:val="000000"/>
              </w:rPr>
              <w:br/>
            </w:r>
            <w:r w:rsidRPr="008C07BF">
              <w:rPr>
                <w:rStyle w:val="FootnoteReference"/>
                <w:rFonts w:cs="Arial"/>
                <w:b/>
                <w:bCs/>
                <w:color w:val="000000"/>
              </w:rPr>
              <w:footnoteReference w:id="3"/>
            </w:r>
          </w:p>
        </w:tc>
        <w:tc>
          <w:tcPr>
            <w:tcW w:w="416" w:type="pct"/>
            <w:shd w:val="clear" w:color="auto" w:fill="D9D9D9" w:themeFill="background1" w:themeFillShade="D9"/>
            <w:vAlign w:val="center"/>
            <w:hideMark/>
          </w:tcPr>
          <w:p w:rsidR="00653E5D" w:rsidRPr="008C07BF" w:rsidRDefault="00653E5D" w:rsidP="00D51041">
            <w:pPr>
              <w:spacing w:before="120" w:after="120"/>
              <w:contextualSpacing/>
              <w:jc w:val="center"/>
              <w:rPr>
                <w:rFonts w:cs="Arial"/>
                <w:b/>
                <w:bCs/>
                <w:color w:val="000000"/>
              </w:rPr>
            </w:pPr>
            <w:r w:rsidRPr="008C07BF">
              <w:rPr>
                <w:rFonts w:cs="Arial"/>
                <w:b/>
                <w:bCs/>
                <w:color w:val="000000"/>
              </w:rPr>
              <w:t xml:space="preserve">Level 2 </w:t>
            </w:r>
          </w:p>
          <w:p w:rsidR="00653E5D" w:rsidRPr="008C07BF" w:rsidRDefault="00653E5D" w:rsidP="00D51041">
            <w:pPr>
              <w:spacing w:before="120" w:after="120"/>
              <w:contextualSpacing/>
              <w:jc w:val="center"/>
              <w:rPr>
                <w:rFonts w:cs="Arial"/>
                <w:b/>
                <w:bCs/>
                <w:color w:val="000000"/>
              </w:rPr>
            </w:pPr>
            <w:r w:rsidRPr="008C07BF">
              <w:rPr>
                <w:rFonts w:cs="Arial"/>
                <w:b/>
                <w:bCs/>
                <w:color w:val="000000"/>
              </w:rPr>
              <w:t>% at or above</w:t>
            </w:r>
          </w:p>
        </w:tc>
        <w:tc>
          <w:tcPr>
            <w:tcW w:w="555" w:type="pct"/>
            <w:shd w:val="clear" w:color="auto" w:fill="D9D9D9" w:themeFill="background1" w:themeFillShade="D9"/>
            <w:vAlign w:val="center"/>
            <w:hideMark/>
          </w:tcPr>
          <w:p w:rsidR="00653E5D" w:rsidRPr="008C07BF" w:rsidRDefault="00653E5D" w:rsidP="00D51041">
            <w:pPr>
              <w:spacing w:before="120" w:after="120"/>
              <w:contextualSpacing/>
              <w:jc w:val="center"/>
              <w:rPr>
                <w:rFonts w:cs="Arial"/>
                <w:b/>
                <w:bCs/>
                <w:color w:val="000000"/>
              </w:rPr>
            </w:pPr>
            <w:r w:rsidRPr="008C07BF">
              <w:rPr>
                <w:rFonts w:cs="Arial"/>
                <w:b/>
                <w:bCs/>
                <w:color w:val="000000"/>
              </w:rPr>
              <w:t>Level 3</w:t>
            </w:r>
          </w:p>
          <w:p w:rsidR="00653E5D" w:rsidRPr="008C07BF" w:rsidRDefault="00653E5D" w:rsidP="00D51041">
            <w:pPr>
              <w:spacing w:before="120" w:after="120"/>
              <w:contextualSpacing/>
              <w:jc w:val="center"/>
              <w:rPr>
                <w:rFonts w:cs="Arial"/>
                <w:b/>
                <w:bCs/>
                <w:color w:val="000000"/>
              </w:rPr>
            </w:pPr>
            <w:r w:rsidRPr="008C07BF">
              <w:rPr>
                <w:rFonts w:cs="Arial"/>
                <w:b/>
                <w:bCs/>
                <w:color w:val="000000"/>
              </w:rPr>
              <w:t>% of Students</w:t>
            </w:r>
          </w:p>
        </w:tc>
        <w:tc>
          <w:tcPr>
            <w:tcW w:w="648" w:type="pct"/>
            <w:shd w:val="clear" w:color="auto" w:fill="D9D9D9" w:themeFill="background1" w:themeFillShade="D9"/>
            <w:vAlign w:val="center"/>
            <w:hideMark/>
          </w:tcPr>
          <w:p w:rsidR="00653E5D" w:rsidRPr="008C07BF" w:rsidRDefault="00653E5D" w:rsidP="00D51041">
            <w:pPr>
              <w:spacing w:before="120" w:after="120"/>
              <w:contextualSpacing/>
              <w:jc w:val="center"/>
              <w:rPr>
                <w:rFonts w:cs="Arial"/>
                <w:b/>
                <w:bCs/>
                <w:color w:val="000000"/>
              </w:rPr>
            </w:pPr>
            <w:r w:rsidRPr="008C07BF">
              <w:rPr>
                <w:rFonts w:cs="Arial"/>
                <w:b/>
                <w:bCs/>
                <w:color w:val="000000"/>
              </w:rPr>
              <w:t>Level 3</w:t>
            </w:r>
          </w:p>
          <w:p w:rsidR="00653E5D" w:rsidRPr="008C07BF" w:rsidRDefault="00653E5D" w:rsidP="00D51041">
            <w:pPr>
              <w:spacing w:before="120" w:after="120"/>
              <w:contextualSpacing/>
              <w:jc w:val="center"/>
              <w:rPr>
                <w:rFonts w:cs="Arial"/>
                <w:b/>
                <w:bCs/>
                <w:color w:val="000000"/>
              </w:rPr>
            </w:pPr>
            <w:r w:rsidRPr="008C07BF">
              <w:rPr>
                <w:rFonts w:cs="Arial"/>
                <w:b/>
                <w:bCs/>
                <w:color w:val="000000"/>
              </w:rPr>
              <w:t>Standard-Setting Scale Threshold Score</w:t>
            </w:r>
          </w:p>
        </w:tc>
        <w:tc>
          <w:tcPr>
            <w:tcW w:w="423" w:type="pct"/>
            <w:shd w:val="clear" w:color="auto" w:fill="D9D9D9" w:themeFill="background1" w:themeFillShade="D9"/>
            <w:vAlign w:val="center"/>
            <w:hideMark/>
          </w:tcPr>
          <w:p w:rsidR="00653E5D" w:rsidRPr="008C07BF" w:rsidRDefault="00653E5D" w:rsidP="00D51041">
            <w:pPr>
              <w:spacing w:before="120" w:after="120"/>
              <w:contextualSpacing/>
              <w:jc w:val="center"/>
              <w:rPr>
                <w:rFonts w:cs="Arial"/>
                <w:b/>
                <w:bCs/>
                <w:color w:val="000000"/>
              </w:rPr>
            </w:pPr>
            <w:r w:rsidRPr="008C07BF">
              <w:rPr>
                <w:rFonts w:cs="Arial"/>
                <w:b/>
                <w:bCs/>
                <w:color w:val="000000"/>
              </w:rPr>
              <w:t xml:space="preserve">Level 3 </w:t>
            </w:r>
          </w:p>
          <w:p w:rsidR="00653E5D" w:rsidRPr="008C07BF" w:rsidRDefault="00653E5D" w:rsidP="00D51041">
            <w:pPr>
              <w:spacing w:before="120" w:after="120"/>
              <w:contextualSpacing/>
              <w:jc w:val="center"/>
              <w:rPr>
                <w:rFonts w:cs="Arial"/>
                <w:b/>
                <w:bCs/>
                <w:color w:val="000000"/>
              </w:rPr>
            </w:pPr>
            <w:r w:rsidRPr="008C07BF">
              <w:rPr>
                <w:rFonts w:cs="Arial"/>
                <w:b/>
                <w:bCs/>
                <w:color w:val="000000"/>
              </w:rPr>
              <w:t>% at or above</w:t>
            </w:r>
          </w:p>
        </w:tc>
      </w:tr>
      <w:tr w:rsidR="00653E5D" w:rsidRPr="008C07BF" w:rsidTr="00D51041">
        <w:trPr>
          <w:trHeight w:val="305"/>
          <w:tblHeader/>
        </w:trPr>
        <w:tc>
          <w:tcPr>
            <w:tcW w:w="322" w:type="pct"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  <w:color w:val="000000"/>
                <w:lang w:eastAsia="ko-KR"/>
              </w:rPr>
            </w:pPr>
            <w:r w:rsidRPr="008C07BF">
              <w:rPr>
                <w:rFonts w:cs="Arial"/>
                <w:color w:val="000000"/>
                <w:lang w:eastAsia="ko-KR"/>
              </w:rPr>
              <w:t>K</w:t>
            </w:r>
          </w:p>
        </w:tc>
        <w:tc>
          <w:tcPr>
            <w:tcW w:w="415" w:type="pct"/>
            <w:hideMark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8C07BF">
              <w:rPr>
                <w:rFonts w:cs="Arial"/>
                <w:color w:val="000000"/>
                <w:lang w:eastAsia="ko-KR"/>
              </w:rPr>
              <w:t>90/10</w:t>
            </w:r>
          </w:p>
        </w:tc>
        <w:tc>
          <w:tcPr>
            <w:tcW w:w="602" w:type="pct"/>
            <w:hideMark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54.7</w:t>
            </w:r>
          </w:p>
        </w:tc>
        <w:tc>
          <w:tcPr>
            <w:tcW w:w="416" w:type="pct"/>
            <w:hideMark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100</w:t>
            </w:r>
          </w:p>
        </w:tc>
        <w:tc>
          <w:tcPr>
            <w:tcW w:w="555" w:type="pct"/>
            <w:hideMark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28.0</w:t>
            </w:r>
          </w:p>
        </w:tc>
        <w:tc>
          <w:tcPr>
            <w:tcW w:w="648" w:type="pct"/>
            <w:hideMark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455</w:t>
            </w:r>
          </w:p>
        </w:tc>
        <w:tc>
          <w:tcPr>
            <w:tcW w:w="416" w:type="pct"/>
            <w:hideMark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45.3</w:t>
            </w:r>
          </w:p>
        </w:tc>
        <w:tc>
          <w:tcPr>
            <w:tcW w:w="555" w:type="pct"/>
            <w:hideMark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17.2</w:t>
            </w:r>
          </w:p>
        </w:tc>
        <w:tc>
          <w:tcPr>
            <w:tcW w:w="648" w:type="pct"/>
            <w:hideMark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553</w:t>
            </w:r>
          </w:p>
        </w:tc>
        <w:tc>
          <w:tcPr>
            <w:tcW w:w="423" w:type="pct"/>
            <w:hideMark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17.2</w:t>
            </w:r>
          </w:p>
        </w:tc>
      </w:tr>
      <w:tr w:rsidR="00653E5D" w:rsidRPr="008C07BF" w:rsidTr="00D51041">
        <w:trPr>
          <w:trHeight w:val="305"/>
          <w:tblHeader/>
        </w:trPr>
        <w:tc>
          <w:tcPr>
            <w:tcW w:w="322" w:type="pct"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  <w:color w:val="000000"/>
                <w:lang w:eastAsia="ko-KR"/>
              </w:rPr>
            </w:pPr>
            <w:r w:rsidRPr="008C07BF">
              <w:rPr>
                <w:rFonts w:cs="Arial"/>
                <w:color w:val="000000"/>
                <w:lang w:eastAsia="ko-KR"/>
              </w:rPr>
              <w:t>1</w:t>
            </w:r>
          </w:p>
        </w:tc>
        <w:tc>
          <w:tcPr>
            <w:tcW w:w="415" w:type="pct"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8C07BF">
              <w:rPr>
                <w:rFonts w:cs="Arial"/>
                <w:color w:val="000000"/>
                <w:lang w:eastAsia="ko-KR"/>
              </w:rPr>
              <w:t>70/30</w:t>
            </w:r>
          </w:p>
        </w:tc>
        <w:tc>
          <w:tcPr>
            <w:tcW w:w="602" w:type="pct"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38.8</w:t>
            </w:r>
          </w:p>
        </w:tc>
        <w:tc>
          <w:tcPr>
            <w:tcW w:w="416" w:type="pct"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100</w:t>
            </w:r>
          </w:p>
        </w:tc>
        <w:tc>
          <w:tcPr>
            <w:tcW w:w="555" w:type="pct"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34.9</w:t>
            </w:r>
          </w:p>
        </w:tc>
        <w:tc>
          <w:tcPr>
            <w:tcW w:w="648" w:type="pct"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406</w:t>
            </w:r>
          </w:p>
        </w:tc>
        <w:tc>
          <w:tcPr>
            <w:tcW w:w="416" w:type="pct"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61.2</w:t>
            </w:r>
          </w:p>
        </w:tc>
        <w:tc>
          <w:tcPr>
            <w:tcW w:w="555" w:type="pct"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26.3</w:t>
            </w:r>
          </w:p>
        </w:tc>
        <w:tc>
          <w:tcPr>
            <w:tcW w:w="648" w:type="pct"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526</w:t>
            </w:r>
          </w:p>
        </w:tc>
        <w:tc>
          <w:tcPr>
            <w:tcW w:w="423" w:type="pct"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26.3</w:t>
            </w:r>
          </w:p>
        </w:tc>
      </w:tr>
      <w:tr w:rsidR="00653E5D" w:rsidRPr="008C07BF" w:rsidTr="00D51041">
        <w:trPr>
          <w:trHeight w:val="305"/>
          <w:tblHeader/>
        </w:trPr>
        <w:tc>
          <w:tcPr>
            <w:tcW w:w="322" w:type="pct"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  <w:color w:val="000000"/>
                <w:lang w:eastAsia="ko-KR"/>
              </w:rPr>
            </w:pPr>
            <w:r w:rsidRPr="008C07BF">
              <w:rPr>
                <w:rFonts w:cs="Arial"/>
                <w:color w:val="000000"/>
                <w:lang w:eastAsia="ko-KR"/>
              </w:rPr>
              <w:t>2</w:t>
            </w:r>
          </w:p>
        </w:tc>
        <w:tc>
          <w:tcPr>
            <w:tcW w:w="415" w:type="pct"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8C07BF">
              <w:rPr>
                <w:rFonts w:cs="Arial"/>
                <w:color w:val="000000"/>
                <w:lang w:eastAsia="ko-KR"/>
              </w:rPr>
              <w:t>50/50</w:t>
            </w:r>
          </w:p>
        </w:tc>
        <w:tc>
          <w:tcPr>
            <w:tcW w:w="602" w:type="pct"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34.7</w:t>
            </w:r>
          </w:p>
        </w:tc>
        <w:tc>
          <w:tcPr>
            <w:tcW w:w="416" w:type="pct"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100</w:t>
            </w:r>
          </w:p>
        </w:tc>
        <w:tc>
          <w:tcPr>
            <w:tcW w:w="555" w:type="pct"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42.8</w:t>
            </w:r>
          </w:p>
        </w:tc>
        <w:tc>
          <w:tcPr>
            <w:tcW w:w="648" w:type="pct"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366</w:t>
            </w:r>
          </w:p>
        </w:tc>
        <w:tc>
          <w:tcPr>
            <w:tcW w:w="416" w:type="pct"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65.3</w:t>
            </w:r>
          </w:p>
        </w:tc>
        <w:tc>
          <w:tcPr>
            <w:tcW w:w="555" w:type="pct"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22.5</w:t>
            </w:r>
          </w:p>
        </w:tc>
        <w:tc>
          <w:tcPr>
            <w:tcW w:w="648" w:type="pct"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542</w:t>
            </w:r>
          </w:p>
        </w:tc>
        <w:tc>
          <w:tcPr>
            <w:tcW w:w="423" w:type="pct"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22.5</w:t>
            </w:r>
          </w:p>
        </w:tc>
      </w:tr>
      <w:tr w:rsidR="00653E5D" w:rsidRPr="008C07BF" w:rsidTr="00D51041">
        <w:trPr>
          <w:trHeight w:val="305"/>
          <w:tblHeader/>
        </w:trPr>
        <w:tc>
          <w:tcPr>
            <w:tcW w:w="322" w:type="pct"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  <w:color w:val="000000"/>
                <w:lang w:eastAsia="ko-KR"/>
              </w:rPr>
            </w:pPr>
            <w:r w:rsidRPr="008C07BF">
              <w:rPr>
                <w:rFonts w:cs="Arial"/>
                <w:color w:val="000000"/>
              </w:rPr>
              <w:t>3–5</w:t>
            </w:r>
          </w:p>
        </w:tc>
        <w:tc>
          <w:tcPr>
            <w:tcW w:w="415" w:type="pct"/>
            <w:hideMark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8C07BF">
              <w:rPr>
                <w:rFonts w:cs="Arial"/>
                <w:color w:val="000000"/>
                <w:lang w:eastAsia="ko-KR"/>
              </w:rPr>
              <w:t>50/50</w:t>
            </w:r>
          </w:p>
        </w:tc>
        <w:tc>
          <w:tcPr>
            <w:tcW w:w="602" w:type="pct"/>
            <w:hideMark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39.9</w:t>
            </w:r>
          </w:p>
        </w:tc>
        <w:tc>
          <w:tcPr>
            <w:tcW w:w="416" w:type="pct"/>
            <w:hideMark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100</w:t>
            </w:r>
          </w:p>
        </w:tc>
        <w:tc>
          <w:tcPr>
            <w:tcW w:w="555" w:type="pct"/>
            <w:hideMark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35.5</w:t>
            </w:r>
          </w:p>
        </w:tc>
        <w:tc>
          <w:tcPr>
            <w:tcW w:w="648" w:type="pct"/>
            <w:hideMark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451</w:t>
            </w:r>
          </w:p>
        </w:tc>
        <w:tc>
          <w:tcPr>
            <w:tcW w:w="416" w:type="pct"/>
            <w:hideMark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60.1</w:t>
            </w:r>
          </w:p>
        </w:tc>
        <w:tc>
          <w:tcPr>
            <w:tcW w:w="555" w:type="pct"/>
            <w:hideMark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24.7</w:t>
            </w:r>
          </w:p>
        </w:tc>
        <w:tc>
          <w:tcPr>
            <w:tcW w:w="648" w:type="pct"/>
            <w:hideMark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541</w:t>
            </w:r>
          </w:p>
        </w:tc>
        <w:tc>
          <w:tcPr>
            <w:tcW w:w="423" w:type="pct"/>
            <w:hideMark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24.7</w:t>
            </w:r>
          </w:p>
        </w:tc>
      </w:tr>
      <w:tr w:rsidR="00653E5D" w:rsidRPr="008C07BF" w:rsidTr="00D51041">
        <w:trPr>
          <w:trHeight w:val="305"/>
          <w:tblHeader/>
        </w:trPr>
        <w:tc>
          <w:tcPr>
            <w:tcW w:w="322" w:type="pct"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  <w:color w:val="000000"/>
                <w:lang w:eastAsia="ko-KR"/>
              </w:rPr>
            </w:pPr>
            <w:r w:rsidRPr="008C07BF">
              <w:rPr>
                <w:rFonts w:cs="Arial"/>
                <w:color w:val="000000"/>
              </w:rPr>
              <w:t>6–8</w:t>
            </w:r>
          </w:p>
        </w:tc>
        <w:tc>
          <w:tcPr>
            <w:tcW w:w="415" w:type="pct"/>
            <w:hideMark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8C07BF">
              <w:rPr>
                <w:rFonts w:cs="Arial"/>
                <w:color w:val="000000"/>
                <w:lang w:eastAsia="ko-KR"/>
              </w:rPr>
              <w:t>50/50</w:t>
            </w:r>
          </w:p>
        </w:tc>
        <w:tc>
          <w:tcPr>
            <w:tcW w:w="602" w:type="pct"/>
            <w:hideMark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38.4</w:t>
            </w:r>
          </w:p>
        </w:tc>
        <w:tc>
          <w:tcPr>
            <w:tcW w:w="416" w:type="pct"/>
            <w:hideMark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100</w:t>
            </w:r>
          </w:p>
        </w:tc>
        <w:tc>
          <w:tcPr>
            <w:tcW w:w="555" w:type="pct"/>
            <w:hideMark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41.9</w:t>
            </w:r>
          </w:p>
        </w:tc>
        <w:tc>
          <w:tcPr>
            <w:tcW w:w="648" w:type="pct"/>
            <w:hideMark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443</w:t>
            </w:r>
          </w:p>
        </w:tc>
        <w:tc>
          <w:tcPr>
            <w:tcW w:w="416" w:type="pct"/>
            <w:hideMark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61.7</w:t>
            </w:r>
          </w:p>
        </w:tc>
        <w:tc>
          <w:tcPr>
            <w:tcW w:w="555" w:type="pct"/>
            <w:hideMark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19.8</w:t>
            </w:r>
          </w:p>
        </w:tc>
        <w:tc>
          <w:tcPr>
            <w:tcW w:w="648" w:type="pct"/>
            <w:hideMark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552</w:t>
            </w:r>
          </w:p>
        </w:tc>
        <w:tc>
          <w:tcPr>
            <w:tcW w:w="423" w:type="pct"/>
            <w:hideMark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19.8</w:t>
            </w:r>
          </w:p>
        </w:tc>
      </w:tr>
      <w:tr w:rsidR="00653E5D" w:rsidRPr="008C07BF" w:rsidTr="00D51041">
        <w:trPr>
          <w:trHeight w:val="305"/>
          <w:tblHeader/>
        </w:trPr>
        <w:tc>
          <w:tcPr>
            <w:tcW w:w="322" w:type="pct"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  <w:color w:val="000000"/>
                <w:lang w:eastAsia="ko-KR"/>
              </w:rPr>
            </w:pPr>
            <w:r w:rsidRPr="008C07BF">
              <w:rPr>
                <w:rFonts w:cs="Arial"/>
                <w:color w:val="000000"/>
              </w:rPr>
              <w:t>9–12</w:t>
            </w:r>
          </w:p>
        </w:tc>
        <w:tc>
          <w:tcPr>
            <w:tcW w:w="415" w:type="pct"/>
            <w:hideMark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8C07BF">
              <w:rPr>
                <w:rFonts w:cs="Arial"/>
                <w:color w:val="000000"/>
                <w:lang w:eastAsia="ko-KR"/>
              </w:rPr>
              <w:t>50/50</w:t>
            </w:r>
          </w:p>
        </w:tc>
        <w:tc>
          <w:tcPr>
            <w:tcW w:w="602" w:type="pct"/>
            <w:hideMark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48.5</w:t>
            </w:r>
          </w:p>
        </w:tc>
        <w:tc>
          <w:tcPr>
            <w:tcW w:w="416" w:type="pct"/>
            <w:hideMark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100</w:t>
            </w:r>
          </w:p>
        </w:tc>
        <w:tc>
          <w:tcPr>
            <w:tcW w:w="555" w:type="pct"/>
            <w:hideMark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31.3</w:t>
            </w:r>
          </w:p>
        </w:tc>
        <w:tc>
          <w:tcPr>
            <w:tcW w:w="648" w:type="pct"/>
            <w:hideMark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462</w:t>
            </w:r>
          </w:p>
        </w:tc>
        <w:tc>
          <w:tcPr>
            <w:tcW w:w="416" w:type="pct"/>
            <w:hideMark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51.5</w:t>
            </w:r>
          </w:p>
        </w:tc>
        <w:tc>
          <w:tcPr>
            <w:tcW w:w="555" w:type="pct"/>
            <w:hideMark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20.3</w:t>
            </w:r>
          </w:p>
        </w:tc>
        <w:tc>
          <w:tcPr>
            <w:tcW w:w="648" w:type="pct"/>
            <w:hideMark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556</w:t>
            </w:r>
          </w:p>
        </w:tc>
        <w:tc>
          <w:tcPr>
            <w:tcW w:w="423" w:type="pct"/>
            <w:hideMark/>
          </w:tcPr>
          <w:p w:rsidR="00653E5D" w:rsidRPr="008C07BF" w:rsidRDefault="00653E5D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20.3</w:t>
            </w:r>
          </w:p>
        </w:tc>
      </w:tr>
    </w:tbl>
    <w:p w:rsidR="00D068AB" w:rsidRPr="008C07BF" w:rsidRDefault="00D068AB" w:rsidP="00BA7FF6">
      <w:pPr>
        <w:spacing w:after="240"/>
        <w:rPr>
          <w:rFonts w:cs="Arial"/>
        </w:rPr>
        <w:sectPr w:rsidR="00D068AB" w:rsidRPr="008C07BF" w:rsidSect="00151F78">
          <w:headerReference w:type="default" r:id="rId19"/>
          <w:footnotePr>
            <w:numRestart w:val="eachPage"/>
          </w:footnotePr>
          <w:pgSz w:w="12240" w:h="15840"/>
          <w:pgMar w:top="720" w:right="1080" w:bottom="765" w:left="1440" w:header="720" w:footer="720" w:gutter="0"/>
          <w:pgNumType w:start="1"/>
          <w:cols w:space="720"/>
          <w:docGrid w:linePitch="360"/>
        </w:sectPr>
      </w:pPr>
    </w:p>
    <w:p w:rsidR="00BA7FF6" w:rsidRPr="008C07BF" w:rsidRDefault="00BA7FF6" w:rsidP="00D009B2">
      <w:pPr>
        <w:pStyle w:val="Heading1"/>
        <w:spacing w:before="240" w:after="240"/>
        <w:jc w:val="center"/>
        <w:rPr>
          <w:rFonts w:eastAsia="SimSun"/>
          <w:sz w:val="40"/>
          <w:szCs w:val="40"/>
          <w:lang w:eastAsia="zh-CN"/>
        </w:rPr>
      </w:pPr>
      <w:bookmarkStart w:id="0" w:name="_GoBack"/>
      <w:r w:rsidRPr="008C07BF">
        <w:rPr>
          <w:rFonts w:eastAsia="SimSun"/>
          <w:sz w:val="40"/>
          <w:szCs w:val="40"/>
          <w:lang w:eastAsia="zh-CN"/>
        </w:rPr>
        <w:lastRenderedPageBreak/>
        <w:t>Attachment 2: Educator Panel</w:t>
      </w:r>
      <w:r w:rsidR="00D50606" w:rsidRPr="008C07BF">
        <w:rPr>
          <w:rFonts w:eastAsia="SimSun"/>
          <w:sz w:val="40"/>
          <w:szCs w:val="40"/>
          <w:lang w:eastAsia="zh-CN"/>
        </w:rPr>
        <w:t>s’</w:t>
      </w:r>
      <w:r w:rsidRPr="008C07BF">
        <w:rPr>
          <w:rFonts w:eastAsia="SimSun"/>
          <w:sz w:val="40"/>
          <w:szCs w:val="40"/>
          <w:lang w:eastAsia="zh-CN"/>
        </w:rPr>
        <w:t xml:space="preserve"> Proposed </w:t>
      </w:r>
      <w:r w:rsidR="008B3B80" w:rsidRPr="008C07BF">
        <w:rPr>
          <w:rFonts w:eastAsia="SimSun"/>
          <w:sz w:val="40"/>
          <w:szCs w:val="40"/>
          <w:lang w:eastAsia="zh-CN"/>
        </w:rPr>
        <w:t xml:space="preserve">Initial ELPAC </w:t>
      </w:r>
      <w:r w:rsidRPr="008C07BF">
        <w:rPr>
          <w:rFonts w:eastAsia="SimSun"/>
          <w:sz w:val="40"/>
          <w:szCs w:val="40"/>
          <w:lang w:eastAsia="zh-CN"/>
        </w:rPr>
        <w:t>Threshold and Composite Weight Recommendations</w:t>
      </w:r>
    </w:p>
    <w:bookmarkEnd w:id="0"/>
    <w:p w:rsidR="00BA7FF6" w:rsidRPr="008C07BF" w:rsidRDefault="00BA7FF6" w:rsidP="009229A0">
      <w:pPr>
        <w:spacing w:before="240" w:after="240"/>
        <w:ind w:firstLine="446"/>
        <w:jc w:val="center"/>
        <w:rPr>
          <w:rFonts w:eastAsia="SimSun" w:cs="Arial"/>
          <w:b/>
          <w:sz w:val="36"/>
          <w:szCs w:val="36"/>
          <w:lang w:eastAsia="zh-CN"/>
        </w:rPr>
      </w:pPr>
      <w:r w:rsidRPr="008C07BF">
        <w:rPr>
          <w:rFonts w:eastAsia="SimSun" w:cs="Arial"/>
          <w:b/>
          <w:sz w:val="36"/>
          <w:szCs w:val="36"/>
          <w:lang w:eastAsia="zh-CN"/>
        </w:rPr>
        <w:t>Overall Score Kindergarten through Grade Twelve</w:t>
      </w:r>
    </w:p>
    <w:p w:rsidR="002A6EBD" w:rsidRPr="008C07BF" w:rsidRDefault="00F758B3" w:rsidP="009229A0">
      <w:pPr>
        <w:spacing w:after="240"/>
        <w:rPr>
          <w:rFonts w:eastAsia="SimSun" w:cs="Arial"/>
          <w:lang w:eastAsia="zh-CN"/>
        </w:rPr>
      </w:pPr>
      <w:r w:rsidRPr="008C07BF">
        <w:rPr>
          <w:rFonts w:eastAsia="SimSun" w:cs="Arial"/>
          <w:lang w:eastAsia="zh-CN"/>
        </w:rPr>
        <w:t>Table 1. Standard-Setting Panel</w:t>
      </w:r>
      <w:r w:rsidR="00BA7FF6" w:rsidRPr="008C07BF">
        <w:rPr>
          <w:rFonts w:eastAsia="SimSun" w:cs="Arial"/>
          <w:lang w:eastAsia="zh-CN"/>
        </w:rPr>
        <w:t>s</w:t>
      </w:r>
      <w:r w:rsidRPr="008C07BF">
        <w:rPr>
          <w:rFonts w:eastAsia="SimSun" w:cs="Arial"/>
          <w:lang w:eastAsia="zh-CN"/>
        </w:rPr>
        <w:t>’</w:t>
      </w:r>
      <w:r w:rsidR="00BA7FF6" w:rsidRPr="008C07BF">
        <w:rPr>
          <w:rFonts w:eastAsia="SimSun" w:cs="Arial"/>
          <w:lang w:eastAsia="zh-CN"/>
        </w:rPr>
        <w:t xml:space="preserve"> Judgments for the Thresholds for the Performance Levels on the Initial English Language Profici</w:t>
      </w:r>
      <w:r w:rsidR="00A9416D" w:rsidRPr="008C07BF">
        <w:rPr>
          <w:rFonts w:eastAsia="SimSun" w:cs="Arial"/>
          <w:lang w:eastAsia="zh-CN"/>
        </w:rPr>
        <w:t>ency Assessments for California</w:t>
      </w:r>
      <w:r w:rsidR="00111E70" w:rsidRPr="008C07BF">
        <w:rPr>
          <w:rFonts w:eastAsia="SimSun" w:cs="Arial"/>
          <w:lang w:eastAsia="zh-CN"/>
        </w:rPr>
        <w:t xml:space="preserve"> (ELPAC)</w:t>
      </w:r>
      <w:r w:rsidR="00A9416D" w:rsidRPr="008C07BF">
        <w:rPr>
          <w:rFonts w:eastAsia="SimSun" w:cs="Arial"/>
          <w:lang w:eastAsia="zh-CN"/>
        </w:rPr>
        <w:t xml:space="preserve">, </w:t>
      </w:r>
      <w:r w:rsidR="00BA7FF6" w:rsidRPr="008C07BF">
        <w:rPr>
          <w:rFonts w:eastAsia="SimSun" w:cs="Arial"/>
          <w:lang w:eastAsia="zh-CN"/>
        </w:rPr>
        <w:t>Overall Score</w:t>
      </w:r>
    </w:p>
    <w:tbl>
      <w:tblPr>
        <w:tblStyle w:val="TableGrid"/>
        <w:tblW w:w="5000" w:type="pct"/>
        <w:tblLayout w:type="fixed"/>
        <w:tblCellMar>
          <w:left w:w="14" w:type="dxa"/>
          <w:right w:w="14" w:type="dxa"/>
        </w:tblCellMar>
        <w:tblLook w:val="04A0" w:firstRow="1" w:lastRow="0" w:firstColumn="1" w:lastColumn="0" w:noHBand="0" w:noVBand="1"/>
        <w:tblCaption w:val="Table 1. Standard-Setting Panel’s Judgments for the Thresholds for the Performance Levels on the Initial English Language Proficiency Assessments for California (ELPAC), Overall Score"/>
      </w:tblPr>
      <w:tblGrid>
        <w:gridCol w:w="625"/>
        <w:gridCol w:w="810"/>
        <w:gridCol w:w="1169"/>
        <w:gridCol w:w="810"/>
        <w:gridCol w:w="1084"/>
        <w:gridCol w:w="1256"/>
        <w:gridCol w:w="812"/>
        <w:gridCol w:w="1080"/>
        <w:gridCol w:w="1260"/>
        <w:gridCol w:w="804"/>
      </w:tblGrid>
      <w:tr w:rsidR="006C1E1F" w:rsidRPr="008C07BF" w:rsidTr="00D51041">
        <w:trPr>
          <w:cantSplit/>
          <w:trHeight w:val="1624"/>
          <w:tblHeader/>
        </w:trPr>
        <w:tc>
          <w:tcPr>
            <w:tcW w:w="322" w:type="pct"/>
            <w:shd w:val="clear" w:color="auto" w:fill="D9D9D9" w:themeFill="background1" w:themeFillShade="D9"/>
            <w:textDirection w:val="btLr"/>
            <w:vAlign w:val="center"/>
            <w:hideMark/>
          </w:tcPr>
          <w:p w:rsidR="006C1E1F" w:rsidRPr="008C07BF" w:rsidRDefault="006C1E1F" w:rsidP="00D51041">
            <w:pPr>
              <w:spacing w:before="120" w:after="120"/>
              <w:ind w:left="113" w:right="113"/>
              <w:jc w:val="center"/>
              <w:rPr>
                <w:rFonts w:cs="Arial"/>
                <w:b/>
                <w:color w:val="000000"/>
                <w:lang w:eastAsia="ko-KR"/>
              </w:rPr>
            </w:pPr>
            <w:r w:rsidRPr="008C07BF">
              <w:rPr>
                <w:rFonts w:cs="Arial"/>
                <w:b/>
                <w:color w:val="000000"/>
                <w:lang w:eastAsia="ko-KR"/>
              </w:rPr>
              <w:t>Grade</w:t>
            </w:r>
          </w:p>
        </w:tc>
        <w:tc>
          <w:tcPr>
            <w:tcW w:w="417" w:type="pct"/>
            <w:shd w:val="clear" w:color="auto" w:fill="D9D9D9" w:themeFill="background1" w:themeFillShade="D9"/>
            <w:textDirection w:val="btLr"/>
            <w:vAlign w:val="center"/>
            <w:hideMark/>
          </w:tcPr>
          <w:p w:rsidR="006C1E1F" w:rsidRPr="008C07BF" w:rsidRDefault="006C1E1F" w:rsidP="00D51041">
            <w:pPr>
              <w:spacing w:before="120" w:after="120"/>
              <w:ind w:left="113" w:right="113"/>
              <w:contextualSpacing/>
              <w:jc w:val="center"/>
              <w:rPr>
                <w:rFonts w:cs="Arial"/>
                <w:b/>
                <w:color w:val="000000"/>
                <w:lang w:eastAsia="ko-KR"/>
              </w:rPr>
            </w:pPr>
            <w:r w:rsidRPr="008C07BF">
              <w:rPr>
                <w:rFonts w:cs="Arial"/>
                <w:b/>
                <w:color w:val="000000"/>
                <w:lang w:eastAsia="ko-KR"/>
              </w:rPr>
              <w:t>Oral/Written</w:t>
            </w:r>
          </w:p>
          <w:p w:rsidR="006C1E1F" w:rsidRPr="008C07BF" w:rsidRDefault="006C1E1F" w:rsidP="00D51041">
            <w:pPr>
              <w:spacing w:before="120" w:after="120"/>
              <w:ind w:left="113" w:right="113"/>
              <w:jc w:val="center"/>
              <w:rPr>
                <w:rFonts w:cs="Arial"/>
                <w:b/>
                <w:color w:val="000000"/>
                <w:lang w:eastAsia="ko-KR"/>
              </w:rPr>
            </w:pPr>
            <w:r w:rsidRPr="008C07BF">
              <w:rPr>
                <w:rFonts w:cs="Arial"/>
                <w:b/>
                <w:color w:val="000000"/>
                <w:lang w:eastAsia="ko-KR"/>
              </w:rPr>
              <w:t>Weight</w:t>
            </w:r>
          </w:p>
        </w:tc>
        <w:tc>
          <w:tcPr>
            <w:tcW w:w="602" w:type="pct"/>
            <w:shd w:val="clear" w:color="auto" w:fill="D9D9D9" w:themeFill="background1" w:themeFillShade="D9"/>
            <w:vAlign w:val="center"/>
            <w:hideMark/>
          </w:tcPr>
          <w:p w:rsidR="006C1E1F" w:rsidRPr="008C07BF" w:rsidRDefault="006C1E1F" w:rsidP="00D51041">
            <w:pPr>
              <w:spacing w:before="120" w:after="120"/>
              <w:contextualSpacing/>
              <w:jc w:val="center"/>
              <w:rPr>
                <w:rFonts w:cs="Arial"/>
                <w:b/>
                <w:color w:val="000000"/>
                <w:lang w:eastAsia="ko-KR"/>
              </w:rPr>
            </w:pPr>
            <w:r w:rsidRPr="008C07BF">
              <w:rPr>
                <w:rFonts w:cs="Arial"/>
                <w:b/>
                <w:color w:val="000000"/>
                <w:lang w:eastAsia="ko-KR"/>
              </w:rPr>
              <w:t>Level 1</w:t>
            </w:r>
          </w:p>
          <w:p w:rsidR="006C1E1F" w:rsidRPr="008C07BF" w:rsidRDefault="006C1E1F" w:rsidP="00D51041">
            <w:pPr>
              <w:spacing w:before="120" w:after="120"/>
              <w:contextualSpacing/>
              <w:jc w:val="center"/>
              <w:rPr>
                <w:rFonts w:cs="Arial"/>
                <w:b/>
                <w:color w:val="000000"/>
                <w:lang w:eastAsia="ko-KR"/>
              </w:rPr>
            </w:pPr>
            <w:r w:rsidRPr="008C07BF">
              <w:rPr>
                <w:rFonts w:cs="Arial"/>
                <w:b/>
                <w:color w:val="000000"/>
                <w:lang w:eastAsia="ko-KR"/>
              </w:rPr>
              <w:t xml:space="preserve">% of Students </w:t>
            </w:r>
            <w:r w:rsidRPr="008C07BF">
              <w:rPr>
                <w:rStyle w:val="FootnoteReference"/>
                <w:rFonts w:cs="Arial"/>
                <w:b/>
                <w:color w:val="000000"/>
                <w:lang w:eastAsia="ko-KR"/>
              </w:rPr>
              <w:footnoteReference w:id="4"/>
            </w:r>
          </w:p>
        </w:tc>
        <w:tc>
          <w:tcPr>
            <w:tcW w:w="417" w:type="pct"/>
            <w:shd w:val="clear" w:color="auto" w:fill="D9D9D9" w:themeFill="background1" w:themeFillShade="D9"/>
            <w:vAlign w:val="center"/>
            <w:hideMark/>
          </w:tcPr>
          <w:p w:rsidR="006C1E1F" w:rsidRPr="008C07BF" w:rsidRDefault="006C1E1F" w:rsidP="00D51041">
            <w:pPr>
              <w:spacing w:before="120" w:after="120"/>
              <w:contextualSpacing/>
              <w:jc w:val="center"/>
              <w:rPr>
                <w:rFonts w:cs="Arial"/>
                <w:b/>
                <w:color w:val="000000"/>
                <w:lang w:eastAsia="ko-KR"/>
              </w:rPr>
            </w:pPr>
            <w:r w:rsidRPr="008C07BF">
              <w:rPr>
                <w:rFonts w:cs="Arial"/>
                <w:b/>
                <w:color w:val="000000"/>
                <w:lang w:eastAsia="ko-KR"/>
              </w:rPr>
              <w:t>Level 1</w:t>
            </w:r>
          </w:p>
          <w:p w:rsidR="006C1E1F" w:rsidRPr="008C07BF" w:rsidRDefault="006C1E1F" w:rsidP="00D51041">
            <w:pPr>
              <w:spacing w:before="120" w:after="120"/>
              <w:contextualSpacing/>
              <w:jc w:val="center"/>
              <w:rPr>
                <w:rFonts w:cs="Arial"/>
                <w:b/>
                <w:color w:val="000000"/>
                <w:lang w:eastAsia="ko-KR"/>
              </w:rPr>
            </w:pPr>
            <w:r w:rsidRPr="008C07BF">
              <w:rPr>
                <w:rFonts w:cs="Arial"/>
                <w:b/>
                <w:color w:val="000000"/>
                <w:lang w:eastAsia="ko-KR"/>
              </w:rPr>
              <w:t xml:space="preserve">% at or above </w:t>
            </w:r>
            <w:r w:rsidRPr="008C07BF">
              <w:rPr>
                <w:rStyle w:val="FootnoteReference"/>
                <w:rFonts w:cs="Arial"/>
                <w:b/>
                <w:color w:val="000000"/>
                <w:lang w:eastAsia="ko-KR"/>
              </w:rPr>
              <w:footnoteReference w:id="5"/>
            </w:r>
          </w:p>
        </w:tc>
        <w:tc>
          <w:tcPr>
            <w:tcW w:w="558" w:type="pct"/>
            <w:shd w:val="clear" w:color="auto" w:fill="D9D9D9" w:themeFill="background1" w:themeFillShade="D9"/>
            <w:vAlign w:val="center"/>
            <w:hideMark/>
          </w:tcPr>
          <w:p w:rsidR="006C1E1F" w:rsidRPr="008C07BF" w:rsidRDefault="006C1E1F" w:rsidP="00D51041">
            <w:pPr>
              <w:spacing w:before="120" w:after="120"/>
              <w:contextualSpacing/>
              <w:jc w:val="center"/>
              <w:rPr>
                <w:rFonts w:cs="Arial"/>
                <w:b/>
                <w:color w:val="000000"/>
                <w:lang w:eastAsia="ko-KR"/>
              </w:rPr>
            </w:pPr>
            <w:r w:rsidRPr="008C07BF">
              <w:rPr>
                <w:rFonts w:cs="Arial"/>
                <w:b/>
                <w:color w:val="000000"/>
                <w:lang w:eastAsia="ko-KR"/>
              </w:rPr>
              <w:t>Level 2</w:t>
            </w:r>
          </w:p>
          <w:p w:rsidR="006C1E1F" w:rsidRPr="008C07BF" w:rsidRDefault="006C1E1F" w:rsidP="00D51041">
            <w:pPr>
              <w:spacing w:before="120" w:after="120"/>
              <w:contextualSpacing/>
              <w:jc w:val="center"/>
              <w:rPr>
                <w:rFonts w:cs="Arial"/>
                <w:b/>
                <w:color w:val="000000"/>
                <w:lang w:eastAsia="ko-KR"/>
              </w:rPr>
            </w:pPr>
            <w:r w:rsidRPr="008C07BF">
              <w:rPr>
                <w:rFonts w:cs="Arial"/>
                <w:b/>
                <w:color w:val="000000"/>
                <w:lang w:eastAsia="ko-KR"/>
              </w:rPr>
              <w:t>% of Students</w:t>
            </w:r>
          </w:p>
        </w:tc>
        <w:tc>
          <w:tcPr>
            <w:tcW w:w="647" w:type="pct"/>
            <w:shd w:val="clear" w:color="auto" w:fill="D9D9D9" w:themeFill="background1" w:themeFillShade="D9"/>
            <w:vAlign w:val="center"/>
            <w:hideMark/>
          </w:tcPr>
          <w:p w:rsidR="006C1E1F" w:rsidRPr="008C07BF" w:rsidRDefault="006C1E1F" w:rsidP="00D51041">
            <w:pPr>
              <w:spacing w:before="120" w:after="120"/>
              <w:contextualSpacing/>
              <w:jc w:val="center"/>
              <w:rPr>
                <w:rFonts w:cs="Arial"/>
                <w:b/>
                <w:color w:val="000000"/>
                <w:lang w:eastAsia="ko-KR"/>
              </w:rPr>
            </w:pPr>
            <w:r w:rsidRPr="008C07BF">
              <w:rPr>
                <w:rFonts w:cs="Arial"/>
                <w:b/>
                <w:color w:val="000000"/>
                <w:lang w:eastAsia="ko-KR"/>
              </w:rPr>
              <w:t xml:space="preserve">Level 2 Standard-Setting Scale Threshold Score </w:t>
            </w:r>
          </w:p>
          <w:p w:rsidR="006C1E1F" w:rsidRPr="008C07BF" w:rsidRDefault="006C1E1F" w:rsidP="00D51041">
            <w:pPr>
              <w:spacing w:before="120" w:after="120"/>
              <w:contextualSpacing/>
              <w:jc w:val="center"/>
              <w:rPr>
                <w:rFonts w:cs="Arial"/>
                <w:b/>
                <w:color w:val="000000"/>
                <w:lang w:eastAsia="ko-KR"/>
              </w:rPr>
            </w:pPr>
            <w:r w:rsidRPr="008C07BF">
              <w:rPr>
                <w:rStyle w:val="FootnoteReference"/>
                <w:rFonts w:cs="Arial"/>
                <w:b/>
                <w:color w:val="000000"/>
                <w:lang w:eastAsia="ko-KR"/>
              </w:rPr>
              <w:footnoteReference w:id="6"/>
            </w:r>
          </w:p>
        </w:tc>
        <w:tc>
          <w:tcPr>
            <w:tcW w:w="418" w:type="pct"/>
            <w:shd w:val="clear" w:color="auto" w:fill="D9D9D9" w:themeFill="background1" w:themeFillShade="D9"/>
            <w:vAlign w:val="center"/>
            <w:hideMark/>
          </w:tcPr>
          <w:p w:rsidR="006C1E1F" w:rsidRPr="008C07BF" w:rsidRDefault="006C1E1F" w:rsidP="00D51041">
            <w:pPr>
              <w:spacing w:before="120" w:after="120"/>
              <w:contextualSpacing/>
              <w:jc w:val="center"/>
              <w:rPr>
                <w:rFonts w:cs="Arial"/>
                <w:b/>
                <w:color w:val="000000"/>
                <w:lang w:eastAsia="ko-KR"/>
              </w:rPr>
            </w:pPr>
            <w:r w:rsidRPr="008C07BF">
              <w:rPr>
                <w:rFonts w:cs="Arial"/>
                <w:b/>
                <w:color w:val="000000"/>
                <w:lang w:eastAsia="ko-KR"/>
              </w:rPr>
              <w:t>Level 2</w:t>
            </w:r>
          </w:p>
          <w:p w:rsidR="006C1E1F" w:rsidRPr="008C07BF" w:rsidRDefault="006C1E1F" w:rsidP="00D51041">
            <w:pPr>
              <w:spacing w:before="120" w:after="120"/>
              <w:contextualSpacing/>
              <w:jc w:val="center"/>
              <w:rPr>
                <w:rFonts w:cs="Arial"/>
                <w:b/>
                <w:color w:val="000000"/>
                <w:lang w:eastAsia="ko-KR"/>
              </w:rPr>
            </w:pPr>
            <w:r w:rsidRPr="008C07BF">
              <w:rPr>
                <w:rFonts w:cs="Arial"/>
                <w:b/>
                <w:color w:val="000000"/>
                <w:lang w:eastAsia="ko-KR"/>
              </w:rPr>
              <w:t>% at or above</w:t>
            </w:r>
          </w:p>
        </w:tc>
        <w:tc>
          <w:tcPr>
            <w:tcW w:w="556" w:type="pct"/>
            <w:shd w:val="clear" w:color="auto" w:fill="D9D9D9" w:themeFill="background1" w:themeFillShade="D9"/>
            <w:vAlign w:val="center"/>
            <w:hideMark/>
          </w:tcPr>
          <w:p w:rsidR="006C1E1F" w:rsidRPr="008C07BF" w:rsidRDefault="006C1E1F" w:rsidP="00D51041">
            <w:pPr>
              <w:spacing w:before="120" w:after="120"/>
              <w:contextualSpacing/>
              <w:jc w:val="center"/>
              <w:rPr>
                <w:rFonts w:cs="Arial"/>
                <w:b/>
                <w:color w:val="000000"/>
                <w:lang w:eastAsia="ko-KR"/>
              </w:rPr>
            </w:pPr>
            <w:r w:rsidRPr="008C07BF">
              <w:rPr>
                <w:rFonts w:cs="Arial"/>
                <w:b/>
                <w:color w:val="000000"/>
                <w:lang w:eastAsia="ko-KR"/>
              </w:rPr>
              <w:t>Level 3</w:t>
            </w:r>
          </w:p>
          <w:p w:rsidR="006C1E1F" w:rsidRPr="008C07BF" w:rsidRDefault="006C1E1F" w:rsidP="00D51041">
            <w:pPr>
              <w:spacing w:before="120" w:after="120"/>
              <w:contextualSpacing/>
              <w:jc w:val="center"/>
              <w:rPr>
                <w:rFonts w:cs="Arial"/>
                <w:b/>
                <w:color w:val="000000"/>
                <w:lang w:eastAsia="ko-KR"/>
              </w:rPr>
            </w:pPr>
            <w:r w:rsidRPr="008C07BF">
              <w:rPr>
                <w:rFonts w:cs="Arial"/>
                <w:b/>
                <w:color w:val="000000"/>
                <w:lang w:eastAsia="ko-KR"/>
              </w:rPr>
              <w:t>% of Students</w:t>
            </w:r>
          </w:p>
        </w:tc>
        <w:tc>
          <w:tcPr>
            <w:tcW w:w="649" w:type="pct"/>
            <w:shd w:val="clear" w:color="auto" w:fill="D9D9D9" w:themeFill="background1" w:themeFillShade="D9"/>
            <w:vAlign w:val="center"/>
            <w:hideMark/>
          </w:tcPr>
          <w:p w:rsidR="006C1E1F" w:rsidRPr="008C07BF" w:rsidRDefault="006C1E1F" w:rsidP="00D51041">
            <w:pPr>
              <w:spacing w:before="120" w:after="120"/>
              <w:contextualSpacing/>
              <w:jc w:val="center"/>
              <w:rPr>
                <w:rFonts w:cs="Arial"/>
                <w:b/>
                <w:color w:val="000000"/>
                <w:lang w:eastAsia="ko-KR"/>
              </w:rPr>
            </w:pPr>
            <w:r w:rsidRPr="008C07BF">
              <w:rPr>
                <w:rFonts w:cs="Arial"/>
                <w:b/>
                <w:color w:val="000000"/>
                <w:lang w:eastAsia="ko-KR"/>
              </w:rPr>
              <w:t>Level 3 Standard-Setting Scale Threshold Score</w:t>
            </w:r>
          </w:p>
        </w:tc>
        <w:tc>
          <w:tcPr>
            <w:tcW w:w="414" w:type="pct"/>
            <w:shd w:val="clear" w:color="auto" w:fill="D9D9D9" w:themeFill="background1" w:themeFillShade="D9"/>
            <w:vAlign w:val="center"/>
            <w:hideMark/>
          </w:tcPr>
          <w:p w:rsidR="006C1E1F" w:rsidRPr="008C07BF" w:rsidRDefault="006C1E1F" w:rsidP="00D51041">
            <w:pPr>
              <w:spacing w:before="120" w:after="120"/>
              <w:contextualSpacing/>
              <w:jc w:val="center"/>
              <w:rPr>
                <w:rFonts w:cs="Arial"/>
                <w:b/>
                <w:color w:val="000000"/>
                <w:lang w:eastAsia="ko-KR"/>
              </w:rPr>
            </w:pPr>
            <w:r w:rsidRPr="008C07BF">
              <w:rPr>
                <w:rFonts w:cs="Arial"/>
                <w:b/>
                <w:color w:val="000000"/>
                <w:lang w:eastAsia="ko-KR"/>
              </w:rPr>
              <w:t>Level 3</w:t>
            </w:r>
          </w:p>
          <w:p w:rsidR="006C1E1F" w:rsidRPr="008C07BF" w:rsidRDefault="006C1E1F" w:rsidP="00D51041">
            <w:pPr>
              <w:spacing w:before="120" w:after="120"/>
              <w:contextualSpacing/>
              <w:jc w:val="center"/>
              <w:rPr>
                <w:rFonts w:cs="Arial"/>
                <w:b/>
                <w:color w:val="000000"/>
                <w:lang w:eastAsia="ko-KR"/>
              </w:rPr>
            </w:pPr>
            <w:r w:rsidRPr="008C07BF">
              <w:rPr>
                <w:rFonts w:cs="Arial"/>
                <w:b/>
                <w:color w:val="000000"/>
                <w:lang w:eastAsia="ko-KR"/>
              </w:rPr>
              <w:t>% at or above</w:t>
            </w:r>
          </w:p>
        </w:tc>
      </w:tr>
      <w:tr w:rsidR="006C1E1F" w:rsidRPr="008C07BF" w:rsidTr="00D51041">
        <w:trPr>
          <w:trHeight w:val="261"/>
        </w:trPr>
        <w:tc>
          <w:tcPr>
            <w:tcW w:w="322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  <w:color w:val="000000"/>
                <w:lang w:eastAsia="ko-KR"/>
              </w:rPr>
            </w:pPr>
            <w:r w:rsidRPr="008C07BF">
              <w:rPr>
                <w:rFonts w:cs="Arial"/>
              </w:rPr>
              <w:t>K</w:t>
            </w:r>
          </w:p>
        </w:tc>
        <w:tc>
          <w:tcPr>
            <w:tcW w:w="417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90/10</w:t>
            </w:r>
          </w:p>
        </w:tc>
        <w:tc>
          <w:tcPr>
            <w:tcW w:w="602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54.7</w:t>
            </w:r>
          </w:p>
        </w:tc>
        <w:tc>
          <w:tcPr>
            <w:tcW w:w="417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100</w:t>
            </w:r>
          </w:p>
        </w:tc>
        <w:tc>
          <w:tcPr>
            <w:tcW w:w="558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27.3</w:t>
            </w:r>
          </w:p>
        </w:tc>
        <w:tc>
          <w:tcPr>
            <w:tcW w:w="647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455</w:t>
            </w:r>
          </w:p>
        </w:tc>
        <w:tc>
          <w:tcPr>
            <w:tcW w:w="418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45.3</w:t>
            </w:r>
          </w:p>
        </w:tc>
        <w:tc>
          <w:tcPr>
            <w:tcW w:w="556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18.0</w:t>
            </w:r>
          </w:p>
        </w:tc>
        <w:tc>
          <w:tcPr>
            <w:tcW w:w="649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551</w:t>
            </w:r>
          </w:p>
        </w:tc>
        <w:tc>
          <w:tcPr>
            <w:tcW w:w="414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18.0</w:t>
            </w:r>
          </w:p>
        </w:tc>
      </w:tr>
      <w:tr w:rsidR="006C1E1F" w:rsidRPr="008C07BF" w:rsidTr="00D51041">
        <w:trPr>
          <w:trHeight w:val="261"/>
        </w:trPr>
        <w:tc>
          <w:tcPr>
            <w:tcW w:w="322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  <w:color w:val="000000"/>
                <w:lang w:eastAsia="ko-KR"/>
              </w:rPr>
            </w:pPr>
            <w:r w:rsidRPr="008C07BF">
              <w:rPr>
                <w:rFonts w:cs="Arial"/>
                <w:color w:val="000000"/>
                <w:lang w:eastAsia="ko-KR"/>
              </w:rPr>
              <w:t>1</w:t>
            </w:r>
          </w:p>
        </w:tc>
        <w:tc>
          <w:tcPr>
            <w:tcW w:w="417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70/30</w:t>
            </w:r>
          </w:p>
        </w:tc>
        <w:tc>
          <w:tcPr>
            <w:tcW w:w="602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38.8</w:t>
            </w:r>
          </w:p>
        </w:tc>
        <w:tc>
          <w:tcPr>
            <w:tcW w:w="417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100</w:t>
            </w:r>
          </w:p>
        </w:tc>
        <w:tc>
          <w:tcPr>
            <w:tcW w:w="558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34.9</w:t>
            </w:r>
          </w:p>
        </w:tc>
        <w:tc>
          <w:tcPr>
            <w:tcW w:w="647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406</w:t>
            </w:r>
          </w:p>
        </w:tc>
        <w:tc>
          <w:tcPr>
            <w:tcW w:w="418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61.2</w:t>
            </w:r>
          </w:p>
        </w:tc>
        <w:tc>
          <w:tcPr>
            <w:tcW w:w="556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26.3</w:t>
            </w:r>
          </w:p>
        </w:tc>
        <w:tc>
          <w:tcPr>
            <w:tcW w:w="649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526</w:t>
            </w:r>
          </w:p>
        </w:tc>
        <w:tc>
          <w:tcPr>
            <w:tcW w:w="414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26.3</w:t>
            </w:r>
          </w:p>
        </w:tc>
      </w:tr>
      <w:tr w:rsidR="006C1E1F" w:rsidRPr="008C07BF" w:rsidTr="00D51041">
        <w:trPr>
          <w:trHeight w:val="261"/>
        </w:trPr>
        <w:tc>
          <w:tcPr>
            <w:tcW w:w="322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  <w:color w:val="000000"/>
                <w:lang w:eastAsia="ko-KR"/>
              </w:rPr>
            </w:pPr>
            <w:r w:rsidRPr="008C07BF">
              <w:rPr>
                <w:rFonts w:cs="Arial"/>
                <w:color w:val="000000"/>
                <w:lang w:eastAsia="ko-KR"/>
              </w:rPr>
              <w:t>2</w:t>
            </w:r>
          </w:p>
        </w:tc>
        <w:tc>
          <w:tcPr>
            <w:tcW w:w="417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50/50</w:t>
            </w:r>
          </w:p>
        </w:tc>
        <w:tc>
          <w:tcPr>
            <w:tcW w:w="602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34.7</w:t>
            </w:r>
          </w:p>
        </w:tc>
        <w:tc>
          <w:tcPr>
            <w:tcW w:w="417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100</w:t>
            </w:r>
          </w:p>
        </w:tc>
        <w:tc>
          <w:tcPr>
            <w:tcW w:w="558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37.2</w:t>
            </w:r>
          </w:p>
        </w:tc>
        <w:tc>
          <w:tcPr>
            <w:tcW w:w="647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366</w:t>
            </w:r>
          </w:p>
        </w:tc>
        <w:tc>
          <w:tcPr>
            <w:tcW w:w="418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65.3</w:t>
            </w:r>
          </w:p>
        </w:tc>
        <w:tc>
          <w:tcPr>
            <w:tcW w:w="556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28.1</w:t>
            </w:r>
          </w:p>
        </w:tc>
        <w:tc>
          <w:tcPr>
            <w:tcW w:w="649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517</w:t>
            </w:r>
          </w:p>
        </w:tc>
        <w:tc>
          <w:tcPr>
            <w:tcW w:w="414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28.1</w:t>
            </w:r>
          </w:p>
        </w:tc>
      </w:tr>
      <w:tr w:rsidR="006C1E1F" w:rsidRPr="008C07BF" w:rsidTr="00D51041">
        <w:trPr>
          <w:trHeight w:val="261"/>
        </w:trPr>
        <w:tc>
          <w:tcPr>
            <w:tcW w:w="322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  <w:color w:val="000000"/>
                <w:lang w:eastAsia="ko-KR"/>
              </w:rPr>
            </w:pPr>
            <w:r w:rsidRPr="008C07BF">
              <w:rPr>
                <w:rFonts w:cs="Arial"/>
              </w:rPr>
              <w:t>3–5</w:t>
            </w:r>
          </w:p>
        </w:tc>
        <w:tc>
          <w:tcPr>
            <w:tcW w:w="417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50/50</w:t>
            </w:r>
          </w:p>
        </w:tc>
        <w:tc>
          <w:tcPr>
            <w:tcW w:w="602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39.9</w:t>
            </w:r>
          </w:p>
        </w:tc>
        <w:tc>
          <w:tcPr>
            <w:tcW w:w="417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100</w:t>
            </w:r>
          </w:p>
        </w:tc>
        <w:tc>
          <w:tcPr>
            <w:tcW w:w="558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35.5</w:t>
            </w:r>
          </w:p>
        </w:tc>
        <w:tc>
          <w:tcPr>
            <w:tcW w:w="647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451</w:t>
            </w:r>
          </w:p>
        </w:tc>
        <w:tc>
          <w:tcPr>
            <w:tcW w:w="418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60.1</w:t>
            </w:r>
          </w:p>
        </w:tc>
        <w:tc>
          <w:tcPr>
            <w:tcW w:w="556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24.7</w:t>
            </w:r>
          </w:p>
        </w:tc>
        <w:tc>
          <w:tcPr>
            <w:tcW w:w="649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541</w:t>
            </w:r>
          </w:p>
        </w:tc>
        <w:tc>
          <w:tcPr>
            <w:tcW w:w="414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24.7</w:t>
            </w:r>
          </w:p>
        </w:tc>
      </w:tr>
      <w:tr w:rsidR="006C1E1F" w:rsidRPr="008C07BF" w:rsidTr="00D51041">
        <w:trPr>
          <w:trHeight w:val="261"/>
        </w:trPr>
        <w:tc>
          <w:tcPr>
            <w:tcW w:w="322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  <w:color w:val="000000"/>
                <w:lang w:eastAsia="ko-KR"/>
              </w:rPr>
            </w:pPr>
            <w:r w:rsidRPr="008C07BF">
              <w:rPr>
                <w:rFonts w:cs="Arial"/>
              </w:rPr>
              <w:t>6–8</w:t>
            </w:r>
          </w:p>
        </w:tc>
        <w:tc>
          <w:tcPr>
            <w:tcW w:w="417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50/50</w:t>
            </w:r>
          </w:p>
        </w:tc>
        <w:tc>
          <w:tcPr>
            <w:tcW w:w="602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38.4</w:t>
            </w:r>
          </w:p>
        </w:tc>
        <w:tc>
          <w:tcPr>
            <w:tcW w:w="417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100</w:t>
            </w:r>
          </w:p>
        </w:tc>
        <w:tc>
          <w:tcPr>
            <w:tcW w:w="558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41.9</w:t>
            </w:r>
          </w:p>
        </w:tc>
        <w:tc>
          <w:tcPr>
            <w:tcW w:w="647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443</w:t>
            </w:r>
          </w:p>
        </w:tc>
        <w:tc>
          <w:tcPr>
            <w:tcW w:w="418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61.7</w:t>
            </w:r>
          </w:p>
        </w:tc>
        <w:tc>
          <w:tcPr>
            <w:tcW w:w="556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19.8</w:t>
            </w:r>
          </w:p>
        </w:tc>
        <w:tc>
          <w:tcPr>
            <w:tcW w:w="649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552</w:t>
            </w:r>
          </w:p>
        </w:tc>
        <w:tc>
          <w:tcPr>
            <w:tcW w:w="414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19.8</w:t>
            </w:r>
          </w:p>
        </w:tc>
      </w:tr>
      <w:tr w:rsidR="006C1E1F" w:rsidRPr="008C07BF" w:rsidTr="00D51041">
        <w:trPr>
          <w:trHeight w:val="261"/>
        </w:trPr>
        <w:tc>
          <w:tcPr>
            <w:tcW w:w="322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  <w:color w:val="000000"/>
                <w:lang w:eastAsia="ko-KR"/>
              </w:rPr>
            </w:pPr>
            <w:r w:rsidRPr="008C07BF">
              <w:rPr>
                <w:rFonts w:cs="Arial"/>
              </w:rPr>
              <w:t>9–12</w:t>
            </w:r>
          </w:p>
        </w:tc>
        <w:tc>
          <w:tcPr>
            <w:tcW w:w="417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50/50</w:t>
            </w:r>
          </w:p>
        </w:tc>
        <w:tc>
          <w:tcPr>
            <w:tcW w:w="602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48.5</w:t>
            </w:r>
          </w:p>
        </w:tc>
        <w:tc>
          <w:tcPr>
            <w:tcW w:w="417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100</w:t>
            </w:r>
          </w:p>
        </w:tc>
        <w:tc>
          <w:tcPr>
            <w:tcW w:w="558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31.3</w:t>
            </w:r>
          </w:p>
        </w:tc>
        <w:tc>
          <w:tcPr>
            <w:tcW w:w="647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462</w:t>
            </w:r>
          </w:p>
        </w:tc>
        <w:tc>
          <w:tcPr>
            <w:tcW w:w="418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51.5</w:t>
            </w:r>
          </w:p>
        </w:tc>
        <w:tc>
          <w:tcPr>
            <w:tcW w:w="556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20.3</w:t>
            </w:r>
          </w:p>
        </w:tc>
        <w:tc>
          <w:tcPr>
            <w:tcW w:w="649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556</w:t>
            </w:r>
          </w:p>
        </w:tc>
        <w:tc>
          <w:tcPr>
            <w:tcW w:w="414" w:type="pct"/>
            <w:hideMark/>
          </w:tcPr>
          <w:p w:rsidR="006C1E1F" w:rsidRPr="008C07BF" w:rsidRDefault="006C1E1F" w:rsidP="00D51041">
            <w:pPr>
              <w:spacing w:before="120" w:after="120"/>
              <w:jc w:val="center"/>
              <w:rPr>
                <w:rFonts w:cs="Arial"/>
              </w:rPr>
            </w:pPr>
            <w:r w:rsidRPr="008C07BF">
              <w:rPr>
                <w:rFonts w:cs="Arial"/>
              </w:rPr>
              <w:t>20.3</w:t>
            </w:r>
          </w:p>
        </w:tc>
      </w:tr>
    </w:tbl>
    <w:p w:rsidR="007A709E" w:rsidRPr="008C07BF" w:rsidRDefault="007A709E" w:rsidP="009229A0">
      <w:pPr>
        <w:spacing w:after="240"/>
        <w:rPr>
          <w:rFonts w:cs="Arial"/>
        </w:rPr>
        <w:sectPr w:rsidR="007A709E" w:rsidRPr="008C07BF" w:rsidSect="00151F78">
          <w:headerReference w:type="default" r:id="rId20"/>
          <w:footnotePr>
            <w:numRestart w:val="eachPage"/>
          </w:footnotePr>
          <w:pgSz w:w="12240" w:h="15840"/>
          <w:pgMar w:top="720" w:right="1080" w:bottom="765" w:left="1440" w:header="720" w:footer="720" w:gutter="0"/>
          <w:pgNumType w:start="1"/>
          <w:cols w:space="720"/>
          <w:docGrid w:linePitch="360"/>
        </w:sectPr>
      </w:pPr>
    </w:p>
    <w:p w:rsidR="002A6EBD" w:rsidRPr="008C07BF" w:rsidRDefault="002A6EBD" w:rsidP="001B4746">
      <w:pPr>
        <w:pStyle w:val="Heading1"/>
        <w:jc w:val="center"/>
        <w:rPr>
          <w:sz w:val="40"/>
          <w:szCs w:val="40"/>
        </w:rPr>
      </w:pPr>
      <w:r w:rsidRPr="008C07BF">
        <w:rPr>
          <w:sz w:val="40"/>
          <w:szCs w:val="40"/>
        </w:rPr>
        <w:lastRenderedPageBreak/>
        <w:t>Attachment 3: Impact Data for the Composite Weight Recommendations</w:t>
      </w:r>
    </w:p>
    <w:p w:rsidR="002A6EBD" w:rsidRPr="008C07BF" w:rsidRDefault="00C31710" w:rsidP="002A6EBD">
      <w:pPr>
        <w:spacing w:after="240"/>
        <w:ind w:right="547"/>
        <w:rPr>
          <w:rFonts w:cs="Arial"/>
        </w:rPr>
      </w:pPr>
      <w:r w:rsidRPr="008C07BF">
        <w:rPr>
          <w:rFonts w:cs="Arial"/>
        </w:rPr>
        <w:t xml:space="preserve">Table 1 provides </w:t>
      </w:r>
      <w:r w:rsidR="008057BD" w:rsidRPr="008C07BF">
        <w:rPr>
          <w:rFonts w:cs="Arial"/>
        </w:rPr>
        <w:t xml:space="preserve">initial assessment </w:t>
      </w:r>
      <w:r w:rsidR="004A182B" w:rsidRPr="008C07BF">
        <w:rPr>
          <w:rFonts w:cs="Arial"/>
        </w:rPr>
        <w:t xml:space="preserve">field test </w:t>
      </w:r>
      <w:r w:rsidRPr="008C07BF">
        <w:rPr>
          <w:rFonts w:cs="Arial"/>
        </w:rPr>
        <w:t>impact data for the two options recommended in this item.</w:t>
      </w:r>
    </w:p>
    <w:p w:rsidR="002A6EBD" w:rsidRPr="008C07BF" w:rsidRDefault="002A6EBD" w:rsidP="002A6EBD">
      <w:pPr>
        <w:spacing w:after="240"/>
        <w:rPr>
          <w:rFonts w:eastAsia="SimSun" w:cs="Arial"/>
          <w:lang w:eastAsia="zh-CN"/>
        </w:rPr>
      </w:pPr>
      <w:r w:rsidRPr="008C07BF">
        <w:rPr>
          <w:rFonts w:eastAsia="SimSun" w:cs="Arial"/>
          <w:lang w:eastAsia="zh-CN"/>
        </w:rPr>
        <w:t xml:space="preserve">Table 1. </w:t>
      </w:r>
      <w:r w:rsidR="004A182B" w:rsidRPr="008C07BF">
        <w:rPr>
          <w:rFonts w:eastAsia="SimSun" w:cs="Arial"/>
          <w:lang w:eastAsia="zh-CN"/>
        </w:rPr>
        <w:t xml:space="preserve">Field Test </w:t>
      </w:r>
      <w:r w:rsidRPr="008C07BF">
        <w:rPr>
          <w:rFonts w:eastAsia="SimSun" w:cs="Arial"/>
          <w:lang w:eastAsia="zh-CN"/>
        </w:rPr>
        <w:t>Impact Data for Kindergarten</w:t>
      </w:r>
      <w:r w:rsidR="009B46C5" w:rsidRPr="008C07BF">
        <w:rPr>
          <w:rFonts w:eastAsia="SimSun" w:cs="Arial"/>
          <w:lang w:eastAsia="zh-CN"/>
        </w:rPr>
        <w:t xml:space="preserve"> (K)</w:t>
      </w:r>
      <w:r w:rsidRPr="008C07BF">
        <w:rPr>
          <w:rFonts w:eastAsia="SimSun" w:cs="Arial"/>
          <w:lang w:eastAsia="zh-CN"/>
        </w:rPr>
        <w:t xml:space="preserve"> and Grade 1 </w:t>
      </w:r>
      <w:r w:rsidR="009B46C5" w:rsidRPr="008C07BF">
        <w:rPr>
          <w:rFonts w:eastAsia="SimSun" w:cs="Arial"/>
          <w:lang w:eastAsia="zh-CN"/>
        </w:rPr>
        <w:t xml:space="preserve">(Gr1) </w:t>
      </w:r>
      <w:r w:rsidRPr="008C07BF">
        <w:rPr>
          <w:rFonts w:eastAsia="SimSun" w:cs="Arial"/>
          <w:lang w:eastAsia="zh-CN"/>
        </w:rPr>
        <w:t>Weighting Options on the Initial English Language Proficiency Assessments for California, based on the State Superintendent of Public Instruction’s Recommended Threshold Scores</w:t>
      </w:r>
    </w:p>
    <w:tbl>
      <w:tblPr>
        <w:tblStyle w:val="TableGrid"/>
        <w:tblW w:w="5003" w:type="pct"/>
        <w:jc w:val="center"/>
        <w:tblLayout w:type="fixed"/>
        <w:tblCellMar>
          <w:left w:w="14" w:type="dxa"/>
          <w:right w:w="14" w:type="dxa"/>
        </w:tblCellMar>
        <w:tblLook w:val="04A0" w:firstRow="1" w:lastRow="0" w:firstColumn="1" w:lastColumn="0" w:noHBand="0" w:noVBand="1"/>
        <w:tblCaption w:val="Table 1 displays impact data for kindergarten and grade 1 weighting options on the Initial English Language Proficiency Assessments for California based on the State Superintendent of Public Instruction’s Recommended Threshold Scores."/>
      </w:tblPr>
      <w:tblGrid>
        <w:gridCol w:w="1706"/>
        <w:gridCol w:w="905"/>
        <w:gridCol w:w="1260"/>
        <w:gridCol w:w="1171"/>
        <w:gridCol w:w="1260"/>
        <w:gridCol w:w="2248"/>
        <w:gridCol w:w="1171"/>
        <w:gridCol w:w="1263"/>
        <w:gridCol w:w="2159"/>
        <w:gridCol w:w="1211"/>
      </w:tblGrid>
      <w:tr w:rsidR="00C52590" w:rsidRPr="008C07BF" w:rsidTr="00D51041">
        <w:trPr>
          <w:cantSplit/>
          <w:trHeight w:val="1560"/>
          <w:tblHeader/>
          <w:jc w:val="center"/>
        </w:trPr>
        <w:tc>
          <w:tcPr>
            <w:tcW w:w="594" w:type="pct"/>
            <w:shd w:val="clear" w:color="auto" w:fill="D9D9D9" w:themeFill="background1" w:themeFillShade="D9"/>
            <w:textDirection w:val="btLr"/>
            <w:vAlign w:val="center"/>
            <w:hideMark/>
          </w:tcPr>
          <w:p w:rsidR="00C52590" w:rsidRPr="008C07BF" w:rsidRDefault="00C52590" w:rsidP="00D51041">
            <w:pPr>
              <w:spacing w:before="120" w:after="120"/>
              <w:ind w:left="113" w:right="113"/>
              <w:jc w:val="center"/>
              <w:rPr>
                <w:rFonts w:cs="Arial"/>
                <w:b/>
                <w:bCs/>
                <w:color w:val="000000"/>
              </w:rPr>
            </w:pPr>
            <w:r w:rsidRPr="008C07BF">
              <w:rPr>
                <w:rFonts w:cs="Arial"/>
                <w:b/>
                <w:bCs/>
                <w:color w:val="000000"/>
              </w:rPr>
              <w:t>Grade</w:t>
            </w:r>
          </w:p>
        </w:tc>
        <w:tc>
          <w:tcPr>
            <w:tcW w:w="315" w:type="pct"/>
            <w:shd w:val="clear" w:color="auto" w:fill="D9D9D9" w:themeFill="background1" w:themeFillShade="D9"/>
            <w:textDirection w:val="btLr"/>
            <w:vAlign w:val="center"/>
            <w:hideMark/>
          </w:tcPr>
          <w:p w:rsidR="00C52590" w:rsidRPr="008C07BF" w:rsidRDefault="00C52590" w:rsidP="00D51041">
            <w:pPr>
              <w:spacing w:before="120" w:after="120"/>
              <w:ind w:left="113" w:right="113"/>
              <w:contextualSpacing/>
              <w:jc w:val="center"/>
              <w:rPr>
                <w:rFonts w:cs="Arial"/>
                <w:b/>
                <w:color w:val="000000"/>
                <w:lang w:eastAsia="ko-KR"/>
              </w:rPr>
            </w:pPr>
            <w:r w:rsidRPr="008C07BF">
              <w:rPr>
                <w:rFonts w:cs="Arial"/>
                <w:b/>
                <w:color w:val="000000"/>
                <w:lang w:eastAsia="ko-KR"/>
              </w:rPr>
              <w:t>Oral/ Written</w:t>
            </w:r>
          </w:p>
          <w:p w:rsidR="00C52590" w:rsidRPr="008C07BF" w:rsidRDefault="00C52590" w:rsidP="00D51041">
            <w:pPr>
              <w:spacing w:before="120" w:after="120"/>
              <w:ind w:left="113" w:right="113"/>
              <w:jc w:val="center"/>
              <w:rPr>
                <w:rFonts w:cs="Arial"/>
                <w:b/>
                <w:bCs/>
                <w:color w:val="000000"/>
              </w:rPr>
            </w:pPr>
            <w:r w:rsidRPr="008C07BF">
              <w:rPr>
                <w:rFonts w:cs="Arial"/>
                <w:b/>
                <w:color w:val="000000"/>
                <w:lang w:eastAsia="ko-KR"/>
              </w:rPr>
              <w:t>Weight</w:t>
            </w:r>
          </w:p>
        </w:tc>
        <w:tc>
          <w:tcPr>
            <w:tcW w:w="439" w:type="pct"/>
            <w:shd w:val="clear" w:color="auto" w:fill="D9D9D9" w:themeFill="background1" w:themeFillShade="D9"/>
            <w:vAlign w:val="center"/>
            <w:hideMark/>
          </w:tcPr>
          <w:p w:rsidR="002C103D" w:rsidRPr="008C07BF" w:rsidRDefault="00C52590" w:rsidP="00D51041">
            <w:pPr>
              <w:spacing w:before="120" w:after="120"/>
              <w:contextualSpacing/>
              <w:jc w:val="center"/>
              <w:rPr>
                <w:rFonts w:cs="Arial"/>
                <w:b/>
                <w:bCs/>
                <w:color w:val="000000"/>
              </w:rPr>
            </w:pPr>
            <w:r w:rsidRPr="008C07BF">
              <w:rPr>
                <w:rFonts w:cs="Arial"/>
                <w:b/>
                <w:bCs/>
                <w:color w:val="000000"/>
              </w:rPr>
              <w:t>Level 1</w:t>
            </w:r>
          </w:p>
          <w:p w:rsidR="00C52590" w:rsidRPr="008C07BF" w:rsidRDefault="00C52590" w:rsidP="00D51041">
            <w:pPr>
              <w:spacing w:before="120" w:after="120"/>
              <w:contextualSpacing/>
              <w:jc w:val="center"/>
              <w:rPr>
                <w:rFonts w:cs="Arial"/>
                <w:b/>
                <w:bCs/>
                <w:color w:val="000000"/>
              </w:rPr>
            </w:pPr>
            <w:r w:rsidRPr="008C07BF">
              <w:rPr>
                <w:rFonts w:cs="Arial"/>
                <w:b/>
                <w:bCs/>
                <w:color w:val="000000"/>
              </w:rPr>
              <w:t xml:space="preserve">% of Students </w:t>
            </w:r>
            <w:r w:rsidRPr="008C07BF">
              <w:rPr>
                <w:rStyle w:val="FootnoteReference"/>
                <w:rFonts w:cs="Arial"/>
                <w:b/>
                <w:bCs/>
                <w:color w:val="000000"/>
              </w:rPr>
              <w:footnoteReference w:id="7"/>
            </w:r>
          </w:p>
        </w:tc>
        <w:tc>
          <w:tcPr>
            <w:tcW w:w="408" w:type="pct"/>
            <w:shd w:val="clear" w:color="auto" w:fill="D9D9D9" w:themeFill="background1" w:themeFillShade="D9"/>
            <w:vAlign w:val="center"/>
            <w:hideMark/>
          </w:tcPr>
          <w:p w:rsidR="002C103D" w:rsidRPr="008C07BF" w:rsidRDefault="00C52590" w:rsidP="00D51041">
            <w:pPr>
              <w:spacing w:before="120" w:after="120"/>
              <w:contextualSpacing/>
              <w:jc w:val="center"/>
              <w:rPr>
                <w:rFonts w:cs="Arial"/>
                <w:b/>
                <w:bCs/>
                <w:color w:val="000000"/>
              </w:rPr>
            </w:pPr>
            <w:r w:rsidRPr="008C07BF">
              <w:rPr>
                <w:rFonts w:cs="Arial"/>
                <w:b/>
                <w:bCs/>
                <w:color w:val="000000"/>
              </w:rPr>
              <w:t xml:space="preserve">Level 1 </w:t>
            </w:r>
          </w:p>
          <w:p w:rsidR="00C52590" w:rsidRPr="008C07BF" w:rsidRDefault="00C52590" w:rsidP="00D51041">
            <w:pPr>
              <w:spacing w:before="120" w:after="120"/>
              <w:contextualSpacing/>
              <w:jc w:val="center"/>
              <w:rPr>
                <w:rFonts w:cs="Arial"/>
                <w:b/>
                <w:bCs/>
                <w:color w:val="000000"/>
              </w:rPr>
            </w:pPr>
            <w:r w:rsidRPr="008C07BF">
              <w:rPr>
                <w:rFonts w:cs="Arial"/>
                <w:b/>
                <w:bCs/>
                <w:color w:val="000000"/>
              </w:rPr>
              <w:t xml:space="preserve">% at or above </w:t>
            </w:r>
            <w:r w:rsidRPr="008C07BF">
              <w:rPr>
                <w:rStyle w:val="FootnoteReference"/>
                <w:rFonts w:cs="Arial"/>
                <w:b/>
                <w:bCs/>
                <w:color w:val="000000"/>
              </w:rPr>
              <w:footnoteReference w:id="8"/>
            </w:r>
          </w:p>
        </w:tc>
        <w:tc>
          <w:tcPr>
            <w:tcW w:w="439" w:type="pct"/>
            <w:shd w:val="clear" w:color="auto" w:fill="D9D9D9" w:themeFill="background1" w:themeFillShade="D9"/>
            <w:vAlign w:val="center"/>
            <w:hideMark/>
          </w:tcPr>
          <w:p w:rsidR="002C103D" w:rsidRPr="008C07BF" w:rsidRDefault="00C52590" w:rsidP="00D51041">
            <w:pPr>
              <w:spacing w:before="120" w:after="120"/>
              <w:contextualSpacing/>
              <w:jc w:val="center"/>
              <w:rPr>
                <w:rFonts w:cs="Arial"/>
                <w:b/>
                <w:bCs/>
                <w:color w:val="000000"/>
              </w:rPr>
            </w:pPr>
            <w:r w:rsidRPr="008C07BF">
              <w:rPr>
                <w:rFonts w:cs="Arial"/>
                <w:b/>
                <w:bCs/>
                <w:color w:val="000000"/>
              </w:rPr>
              <w:t xml:space="preserve">Level 2 </w:t>
            </w:r>
          </w:p>
          <w:p w:rsidR="00C52590" w:rsidRPr="008C07BF" w:rsidRDefault="00C52590" w:rsidP="00D51041">
            <w:pPr>
              <w:spacing w:before="120" w:after="120"/>
              <w:contextualSpacing/>
              <w:jc w:val="center"/>
              <w:rPr>
                <w:rFonts w:cs="Arial"/>
                <w:b/>
                <w:bCs/>
                <w:color w:val="000000"/>
              </w:rPr>
            </w:pPr>
            <w:r w:rsidRPr="008C07BF">
              <w:rPr>
                <w:rFonts w:cs="Arial"/>
                <w:b/>
                <w:bCs/>
                <w:color w:val="000000"/>
              </w:rPr>
              <w:t>% of Students</w:t>
            </w:r>
          </w:p>
        </w:tc>
        <w:tc>
          <w:tcPr>
            <w:tcW w:w="783" w:type="pct"/>
            <w:shd w:val="clear" w:color="auto" w:fill="D9D9D9" w:themeFill="background1" w:themeFillShade="D9"/>
            <w:vAlign w:val="center"/>
            <w:hideMark/>
          </w:tcPr>
          <w:p w:rsidR="002C103D" w:rsidRPr="008C07BF" w:rsidRDefault="00C52590" w:rsidP="00D51041">
            <w:pPr>
              <w:spacing w:before="120" w:after="120"/>
              <w:contextualSpacing/>
              <w:jc w:val="center"/>
              <w:rPr>
                <w:rFonts w:cs="Arial"/>
                <w:b/>
                <w:bCs/>
                <w:color w:val="000000"/>
              </w:rPr>
            </w:pPr>
            <w:r w:rsidRPr="008C07BF">
              <w:rPr>
                <w:rFonts w:cs="Arial"/>
                <w:b/>
                <w:bCs/>
                <w:color w:val="000000"/>
              </w:rPr>
              <w:t xml:space="preserve">Level 2 </w:t>
            </w:r>
          </w:p>
          <w:p w:rsidR="00C52590" w:rsidRPr="008C07BF" w:rsidRDefault="00C52590" w:rsidP="00D51041">
            <w:pPr>
              <w:spacing w:before="120" w:after="120"/>
              <w:contextualSpacing/>
              <w:jc w:val="center"/>
              <w:rPr>
                <w:rFonts w:cs="Arial"/>
                <w:b/>
                <w:bCs/>
                <w:color w:val="000000"/>
              </w:rPr>
            </w:pPr>
            <w:r w:rsidRPr="008C07BF">
              <w:rPr>
                <w:rFonts w:cs="Arial"/>
                <w:b/>
                <w:bCs/>
                <w:color w:val="000000"/>
              </w:rPr>
              <w:t xml:space="preserve">Standard-Setting Scale Threshold Score </w:t>
            </w:r>
            <w:r w:rsidRPr="008C07BF">
              <w:rPr>
                <w:rStyle w:val="FootnoteReference"/>
                <w:rFonts w:cs="Arial"/>
                <w:b/>
                <w:bCs/>
                <w:color w:val="000000"/>
              </w:rPr>
              <w:footnoteReference w:id="9"/>
            </w:r>
          </w:p>
        </w:tc>
        <w:tc>
          <w:tcPr>
            <w:tcW w:w="408" w:type="pct"/>
            <w:shd w:val="clear" w:color="auto" w:fill="D9D9D9" w:themeFill="background1" w:themeFillShade="D9"/>
            <w:vAlign w:val="center"/>
            <w:hideMark/>
          </w:tcPr>
          <w:p w:rsidR="002C103D" w:rsidRPr="008C07BF" w:rsidRDefault="00C52590" w:rsidP="00D51041">
            <w:pPr>
              <w:spacing w:before="120" w:after="120"/>
              <w:contextualSpacing/>
              <w:jc w:val="center"/>
              <w:rPr>
                <w:rFonts w:cs="Arial"/>
                <w:b/>
                <w:bCs/>
                <w:color w:val="000000"/>
              </w:rPr>
            </w:pPr>
            <w:r w:rsidRPr="008C07BF">
              <w:rPr>
                <w:rFonts w:cs="Arial"/>
                <w:b/>
                <w:bCs/>
                <w:color w:val="000000"/>
              </w:rPr>
              <w:t xml:space="preserve">Level 2 </w:t>
            </w:r>
          </w:p>
          <w:p w:rsidR="00C52590" w:rsidRPr="008C07BF" w:rsidRDefault="00C52590" w:rsidP="00D51041">
            <w:pPr>
              <w:spacing w:before="120" w:after="120"/>
              <w:contextualSpacing/>
              <w:jc w:val="center"/>
              <w:rPr>
                <w:rFonts w:cs="Arial"/>
                <w:b/>
                <w:bCs/>
                <w:color w:val="000000"/>
              </w:rPr>
            </w:pPr>
            <w:r w:rsidRPr="008C07BF">
              <w:rPr>
                <w:rFonts w:cs="Arial"/>
                <w:b/>
                <w:bCs/>
                <w:color w:val="000000"/>
              </w:rPr>
              <w:t>% at or above</w:t>
            </w:r>
          </w:p>
        </w:tc>
        <w:tc>
          <w:tcPr>
            <w:tcW w:w="440" w:type="pct"/>
            <w:shd w:val="clear" w:color="auto" w:fill="D9D9D9" w:themeFill="background1" w:themeFillShade="D9"/>
            <w:vAlign w:val="center"/>
            <w:hideMark/>
          </w:tcPr>
          <w:p w:rsidR="002C103D" w:rsidRPr="008C07BF" w:rsidRDefault="00C52590" w:rsidP="00D51041">
            <w:pPr>
              <w:spacing w:before="120" w:after="120"/>
              <w:contextualSpacing/>
              <w:jc w:val="center"/>
              <w:rPr>
                <w:rFonts w:cs="Arial"/>
                <w:b/>
                <w:bCs/>
                <w:color w:val="000000"/>
              </w:rPr>
            </w:pPr>
            <w:r w:rsidRPr="008C07BF">
              <w:rPr>
                <w:rFonts w:cs="Arial"/>
                <w:b/>
                <w:bCs/>
                <w:color w:val="000000"/>
              </w:rPr>
              <w:t xml:space="preserve">Level 3 </w:t>
            </w:r>
          </w:p>
          <w:p w:rsidR="00C52590" w:rsidRPr="008C07BF" w:rsidRDefault="00C52590" w:rsidP="00D51041">
            <w:pPr>
              <w:spacing w:before="120" w:after="120"/>
              <w:contextualSpacing/>
              <w:jc w:val="center"/>
              <w:rPr>
                <w:rFonts w:cs="Arial"/>
                <w:b/>
                <w:bCs/>
                <w:color w:val="000000"/>
              </w:rPr>
            </w:pPr>
            <w:r w:rsidRPr="008C07BF">
              <w:rPr>
                <w:rFonts w:cs="Arial"/>
                <w:b/>
                <w:bCs/>
                <w:color w:val="000000"/>
              </w:rPr>
              <w:t>% of Students</w:t>
            </w:r>
          </w:p>
        </w:tc>
        <w:tc>
          <w:tcPr>
            <w:tcW w:w="752" w:type="pct"/>
            <w:shd w:val="clear" w:color="auto" w:fill="D9D9D9" w:themeFill="background1" w:themeFillShade="D9"/>
            <w:vAlign w:val="center"/>
            <w:hideMark/>
          </w:tcPr>
          <w:p w:rsidR="002C103D" w:rsidRPr="008C07BF" w:rsidRDefault="00C52590" w:rsidP="00D51041">
            <w:pPr>
              <w:spacing w:before="120" w:after="120"/>
              <w:contextualSpacing/>
              <w:jc w:val="center"/>
              <w:rPr>
                <w:rFonts w:cs="Arial"/>
                <w:b/>
                <w:bCs/>
                <w:color w:val="000000"/>
              </w:rPr>
            </w:pPr>
            <w:r w:rsidRPr="008C07BF">
              <w:rPr>
                <w:rFonts w:cs="Arial"/>
                <w:b/>
                <w:bCs/>
                <w:color w:val="000000"/>
              </w:rPr>
              <w:t xml:space="preserve">Level 3 </w:t>
            </w:r>
          </w:p>
          <w:p w:rsidR="00C52590" w:rsidRPr="008C07BF" w:rsidRDefault="00C52590" w:rsidP="00D51041">
            <w:pPr>
              <w:spacing w:before="120" w:after="120"/>
              <w:contextualSpacing/>
              <w:jc w:val="center"/>
              <w:rPr>
                <w:rFonts w:cs="Arial"/>
                <w:b/>
                <w:bCs/>
                <w:color w:val="000000"/>
              </w:rPr>
            </w:pPr>
            <w:r w:rsidRPr="008C07BF">
              <w:rPr>
                <w:rFonts w:cs="Arial"/>
                <w:b/>
                <w:bCs/>
                <w:color w:val="000000"/>
              </w:rPr>
              <w:t>Standard-Setting Scale Threshold Score</w:t>
            </w:r>
          </w:p>
        </w:tc>
        <w:tc>
          <w:tcPr>
            <w:tcW w:w="423" w:type="pct"/>
            <w:shd w:val="clear" w:color="auto" w:fill="D9D9D9" w:themeFill="background1" w:themeFillShade="D9"/>
            <w:vAlign w:val="center"/>
            <w:hideMark/>
          </w:tcPr>
          <w:p w:rsidR="002C103D" w:rsidRPr="008C07BF" w:rsidRDefault="00C52590" w:rsidP="00D51041">
            <w:pPr>
              <w:spacing w:before="120" w:after="120"/>
              <w:contextualSpacing/>
              <w:jc w:val="center"/>
              <w:rPr>
                <w:rFonts w:cs="Arial"/>
                <w:b/>
                <w:bCs/>
                <w:color w:val="000000"/>
              </w:rPr>
            </w:pPr>
            <w:r w:rsidRPr="008C07BF">
              <w:rPr>
                <w:rFonts w:cs="Arial"/>
                <w:b/>
                <w:bCs/>
                <w:color w:val="000000"/>
              </w:rPr>
              <w:t xml:space="preserve">Level 3 </w:t>
            </w:r>
          </w:p>
          <w:p w:rsidR="00C52590" w:rsidRPr="008C07BF" w:rsidRDefault="00C52590" w:rsidP="00D51041">
            <w:pPr>
              <w:spacing w:before="120" w:after="120"/>
              <w:contextualSpacing/>
              <w:jc w:val="center"/>
              <w:rPr>
                <w:rFonts w:cs="Arial"/>
                <w:b/>
                <w:bCs/>
                <w:color w:val="000000"/>
              </w:rPr>
            </w:pPr>
            <w:r w:rsidRPr="008C07BF">
              <w:rPr>
                <w:rFonts w:cs="Arial"/>
                <w:b/>
                <w:bCs/>
                <w:color w:val="000000"/>
              </w:rPr>
              <w:t>% at or above</w:t>
            </w:r>
          </w:p>
        </w:tc>
      </w:tr>
      <w:tr w:rsidR="00C52590" w:rsidRPr="008C07BF" w:rsidTr="00D51041">
        <w:trPr>
          <w:trHeight w:val="270"/>
          <w:jc w:val="center"/>
        </w:trPr>
        <w:tc>
          <w:tcPr>
            <w:tcW w:w="594" w:type="pct"/>
            <w:hideMark/>
          </w:tcPr>
          <w:p w:rsidR="00C52590" w:rsidRPr="008C07BF" w:rsidRDefault="00C52590" w:rsidP="00D51041">
            <w:pPr>
              <w:spacing w:before="120" w:after="120"/>
              <w:jc w:val="center"/>
              <w:rPr>
                <w:rFonts w:cs="Arial"/>
                <w:b/>
                <w:bCs/>
                <w:color w:val="000000"/>
              </w:rPr>
            </w:pPr>
            <w:r w:rsidRPr="008C07BF">
              <w:rPr>
                <w:rFonts w:cs="Arial"/>
                <w:b/>
                <w:bCs/>
                <w:color w:val="000000"/>
              </w:rPr>
              <w:t xml:space="preserve">Option 1* </w:t>
            </w:r>
            <w:r w:rsidRPr="008C07BF">
              <w:rPr>
                <w:rFonts w:cs="Arial"/>
                <w:bCs/>
                <w:color w:val="000000"/>
              </w:rPr>
              <w:t>K</w:t>
            </w:r>
          </w:p>
        </w:tc>
        <w:tc>
          <w:tcPr>
            <w:tcW w:w="315" w:type="pct"/>
            <w:noWrap/>
            <w:hideMark/>
          </w:tcPr>
          <w:p w:rsidR="00C52590" w:rsidRPr="008C07BF" w:rsidRDefault="00C52590" w:rsidP="00D51041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8C07BF">
              <w:rPr>
                <w:rFonts w:cs="Arial"/>
                <w:color w:val="000000"/>
              </w:rPr>
              <w:t>90/10</w:t>
            </w:r>
          </w:p>
        </w:tc>
        <w:tc>
          <w:tcPr>
            <w:tcW w:w="439" w:type="pct"/>
          </w:tcPr>
          <w:p w:rsidR="00C52590" w:rsidRPr="008C07BF" w:rsidRDefault="00C52590" w:rsidP="00D51041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8C07BF">
              <w:rPr>
                <w:rFonts w:cs="Arial"/>
                <w:color w:val="000000"/>
              </w:rPr>
              <w:t>54.7</w:t>
            </w:r>
          </w:p>
        </w:tc>
        <w:tc>
          <w:tcPr>
            <w:tcW w:w="408" w:type="pct"/>
          </w:tcPr>
          <w:p w:rsidR="00C52590" w:rsidRPr="008C07BF" w:rsidRDefault="00C52590" w:rsidP="00D51041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8C07BF">
              <w:rPr>
                <w:rFonts w:cs="Arial"/>
                <w:color w:val="000000"/>
              </w:rPr>
              <w:t>100</w:t>
            </w:r>
          </w:p>
        </w:tc>
        <w:tc>
          <w:tcPr>
            <w:tcW w:w="439" w:type="pct"/>
          </w:tcPr>
          <w:p w:rsidR="00C52590" w:rsidRPr="008C07BF" w:rsidRDefault="00C52590" w:rsidP="00D51041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8C07BF">
              <w:rPr>
                <w:rFonts w:cs="Arial"/>
                <w:color w:val="000000"/>
              </w:rPr>
              <w:t>28.0</w:t>
            </w:r>
          </w:p>
        </w:tc>
        <w:tc>
          <w:tcPr>
            <w:tcW w:w="783" w:type="pct"/>
          </w:tcPr>
          <w:p w:rsidR="00C52590" w:rsidRPr="008C07BF" w:rsidRDefault="00C52590" w:rsidP="00D51041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8C07BF">
              <w:rPr>
                <w:rFonts w:cs="Arial"/>
                <w:color w:val="000000"/>
              </w:rPr>
              <w:t>455</w:t>
            </w:r>
          </w:p>
        </w:tc>
        <w:tc>
          <w:tcPr>
            <w:tcW w:w="408" w:type="pct"/>
          </w:tcPr>
          <w:p w:rsidR="00C52590" w:rsidRPr="008C07BF" w:rsidRDefault="00C52590" w:rsidP="00D51041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8C07BF">
              <w:rPr>
                <w:rFonts w:cs="Arial"/>
                <w:color w:val="000000"/>
              </w:rPr>
              <w:t>45.3</w:t>
            </w:r>
          </w:p>
        </w:tc>
        <w:tc>
          <w:tcPr>
            <w:tcW w:w="440" w:type="pct"/>
          </w:tcPr>
          <w:p w:rsidR="00C52590" w:rsidRPr="008C07BF" w:rsidRDefault="00C52590" w:rsidP="00D51041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8C07BF">
              <w:rPr>
                <w:rFonts w:cs="Arial"/>
                <w:color w:val="000000"/>
              </w:rPr>
              <w:t>17.2</w:t>
            </w:r>
          </w:p>
        </w:tc>
        <w:tc>
          <w:tcPr>
            <w:tcW w:w="752" w:type="pct"/>
          </w:tcPr>
          <w:p w:rsidR="00C52590" w:rsidRPr="008C07BF" w:rsidRDefault="00C52590" w:rsidP="00D51041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8C07BF">
              <w:rPr>
                <w:rFonts w:cs="Arial"/>
                <w:color w:val="000000"/>
              </w:rPr>
              <w:t>553</w:t>
            </w:r>
          </w:p>
        </w:tc>
        <w:tc>
          <w:tcPr>
            <w:tcW w:w="423" w:type="pct"/>
          </w:tcPr>
          <w:p w:rsidR="00C52590" w:rsidRPr="008C07BF" w:rsidRDefault="00C52590" w:rsidP="00D51041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8C07BF">
              <w:rPr>
                <w:rFonts w:cs="Arial"/>
                <w:color w:val="000000"/>
              </w:rPr>
              <w:t>17.2</w:t>
            </w:r>
          </w:p>
        </w:tc>
      </w:tr>
      <w:tr w:rsidR="00C52590" w:rsidRPr="008C07BF" w:rsidTr="00D51041">
        <w:trPr>
          <w:trHeight w:val="270"/>
          <w:jc w:val="center"/>
        </w:trPr>
        <w:tc>
          <w:tcPr>
            <w:tcW w:w="594" w:type="pct"/>
            <w:hideMark/>
          </w:tcPr>
          <w:p w:rsidR="00C52590" w:rsidRPr="008C07BF" w:rsidRDefault="00C52590" w:rsidP="00D51041">
            <w:pPr>
              <w:spacing w:before="120" w:after="120"/>
              <w:jc w:val="center"/>
              <w:rPr>
                <w:rFonts w:cs="Arial"/>
                <w:b/>
                <w:bCs/>
                <w:color w:val="000000"/>
              </w:rPr>
            </w:pPr>
            <w:r w:rsidRPr="008C07BF">
              <w:rPr>
                <w:rFonts w:cs="Arial"/>
                <w:b/>
                <w:bCs/>
                <w:color w:val="000000"/>
              </w:rPr>
              <w:t xml:space="preserve">Option 1* </w:t>
            </w:r>
            <w:r w:rsidRPr="008C07BF">
              <w:rPr>
                <w:rFonts w:cs="Arial"/>
                <w:bCs/>
                <w:color w:val="000000"/>
              </w:rPr>
              <w:t>Gr</w:t>
            </w:r>
            <w:r w:rsidRPr="008C07BF">
              <w:rPr>
                <w:rFonts w:cs="Arial"/>
                <w:color w:val="000000"/>
              </w:rPr>
              <w:t>1</w:t>
            </w:r>
          </w:p>
        </w:tc>
        <w:tc>
          <w:tcPr>
            <w:tcW w:w="315" w:type="pct"/>
            <w:noWrap/>
            <w:hideMark/>
          </w:tcPr>
          <w:p w:rsidR="00C52590" w:rsidRPr="008C07BF" w:rsidRDefault="00C52590" w:rsidP="00D51041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8C07BF">
              <w:rPr>
                <w:rFonts w:cs="Arial"/>
                <w:color w:val="000000"/>
              </w:rPr>
              <w:t>70/30</w:t>
            </w:r>
          </w:p>
        </w:tc>
        <w:tc>
          <w:tcPr>
            <w:tcW w:w="439" w:type="pct"/>
          </w:tcPr>
          <w:p w:rsidR="00C52590" w:rsidRPr="008C07BF" w:rsidRDefault="00C52590" w:rsidP="00D51041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8C07BF">
              <w:rPr>
                <w:rFonts w:cs="Arial"/>
                <w:color w:val="000000"/>
              </w:rPr>
              <w:t>38.8</w:t>
            </w:r>
          </w:p>
        </w:tc>
        <w:tc>
          <w:tcPr>
            <w:tcW w:w="408" w:type="pct"/>
          </w:tcPr>
          <w:p w:rsidR="00C52590" w:rsidRPr="008C07BF" w:rsidRDefault="00C52590" w:rsidP="00D51041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8C07BF">
              <w:rPr>
                <w:rFonts w:cs="Arial"/>
                <w:color w:val="000000"/>
              </w:rPr>
              <w:t>100</w:t>
            </w:r>
          </w:p>
        </w:tc>
        <w:tc>
          <w:tcPr>
            <w:tcW w:w="439" w:type="pct"/>
          </w:tcPr>
          <w:p w:rsidR="00C52590" w:rsidRPr="008C07BF" w:rsidRDefault="00C52590" w:rsidP="00D51041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8C07BF">
              <w:rPr>
                <w:rFonts w:cs="Arial"/>
                <w:color w:val="000000"/>
              </w:rPr>
              <w:t>34.9</w:t>
            </w:r>
          </w:p>
        </w:tc>
        <w:tc>
          <w:tcPr>
            <w:tcW w:w="783" w:type="pct"/>
          </w:tcPr>
          <w:p w:rsidR="00C52590" w:rsidRPr="008C07BF" w:rsidRDefault="00C52590" w:rsidP="00D51041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8C07BF">
              <w:rPr>
                <w:rFonts w:cs="Arial"/>
                <w:color w:val="000000"/>
              </w:rPr>
              <w:t>406</w:t>
            </w:r>
          </w:p>
        </w:tc>
        <w:tc>
          <w:tcPr>
            <w:tcW w:w="408" w:type="pct"/>
          </w:tcPr>
          <w:p w:rsidR="00C52590" w:rsidRPr="008C07BF" w:rsidRDefault="00C52590" w:rsidP="00D51041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8C07BF">
              <w:rPr>
                <w:rFonts w:cs="Arial"/>
                <w:color w:val="000000"/>
              </w:rPr>
              <w:t>61.2</w:t>
            </w:r>
          </w:p>
        </w:tc>
        <w:tc>
          <w:tcPr>
            <w:tcW w:w="440" w:type="pct"/>
          </w:tcPr>
          <w:p w:rsidR="00C52590" w:rsidRPr="008C07BF" w:rsidRDefault="00C52590" w:rsidP="00D51041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8C07BF">
              <w:rPr>
                <w:rFonts w:cs="Arial"/>
                <w:color w:val="000000"/>
              </w:rPr>
              <w:t>26.3</w:t>
            </w:r>
          </w:p>
        </w:tc>
        <w:tc>
          <w:tcPr>
            <w:tcW w:w="752" w:type="pct"/>
          </w:tcPr>
          <w:p w:rsidR="00C52590" w:rsidRPr="008C07BF" w:rsidRDefault="00C52590" w:rsidP="00D51041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8C07BF">
              <w:rPr>
                <w:rFonts w:cs="Arial"/>
                <w:color w:val="000000"/>
              </w:rPr>
              <w:t>526</w:t>
            </w:r>
          </w:p>
        </w:tc>
        <w:tc>
          <w:tcPr>
            <w:tcW w:w="423" w:type="pct"/>
          </w:tcPr>
          <w:p w:rsidR="00C52590" w:rsidRPr="008C07BF" w:rsidRDefault="00C52590" w:rsidP="00D51041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8C07BF">
              <w:rPr>
                <w:rFonts w:cs="Arial"/>
                <w:color w:val="000000"/>
              </w:rPr>
              <w:t>26.3</w:t>
            </w:r>
          </w:p>
        </w:tc>
      </w:tr>
      <w:tr w:rsidR="00C52590" w:rsidRPr="008C07BF" w:rsidTr="00D51041">
        <w:trPr>
          <w:trHeight w:val="270"/>
          <w:jc w:val="center"/>
        </w:trPr>
        <w:tc>
          <w:tcPr>
            <w:tcW w:w="594" w:type="pct"/>
            <w:hideMark/>
          </w:tcPr>
          <w:p w:rsidR="00C52590" w:rsidRPr="008C07BF" w:rsidRDefault="00C52590" w:rsidP="00D51041">
            <w:pPr>
              <w:spacing w:before="120" w:after="120"/>
              <w:jc w:val="center"/>
              <w:rPr>
                <w:rFonts w:cs="Arial"/>
                <w:b/>
                <w:bCs/>
                <w:color w:val="000000"/>
              </w:rPr>
            </w:pPr>
            <w:r w:rsidRPr="008C07BF">
              <w:rPr>
                <w:rFonts w:cs="Arial"/>
                <w:b/>
                <w:bCs/>
                <w:color w:val="000000"/>
              </w:rPr>
              <w:t xml:space="preserve">Option 2 </w:t>
            </w:r>
            <w:r w:rsidRPr="008C07BF">
              <w:rPr>
                <w:rFonts w:cs="Arial"/>
                <w:color w:val="000000"/>
              </w:rPr>
              <w:t>K</w:t>
            </w:r>
          </w:p>
        </w:tc>
        <w:tc>
          <w:tcPr>
            <w:tcW w:w="315" w:type="pct"/>
            <w:noWrap/>
            <w:hideMark/>
          </w:tcPr>
          <w:p w:rsidR="00C52590" w:rsidRPr="008C07BF" w:rsidRDefault="00C52590" w:rsidP="00D51041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8C07BF">
              <w:rPr>
                <w:rFonts w:cs="Arial"/>
                <w:color w:val="000000"/>
              </w:rPr>
              <w:t>70/30</w:t>
            </w:r>
          </w:p>
        </w:tc>
        <w:tc>
          <w:tcPr>
            <w:tcW w:w="439" w:type="pct"/>
          </w:tcPr>
          <w:p w:rsidR="00C52590" w:rsidRPr="008C07BF" w:rsidRDefault="00C52590" w:rsidP="00D51041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8C07BF">
              <w:rPr>
                <w:rFonts w:cs="Arial"/>
                <w:color w:val="000000"/>
              </w:rPr>
              <w:t>63.7</w:t>
            </w:r>
          </w:p>
        </w:tc>
        <w:tc>
          <w:tcPr>
            <w:tcW w:w="408" w:type="pct"/>
          </w:tcPr>
          <w:p w:rsidR="00C52590" w:rsidRPr="008C07BF" w:rsidRDefault="00C52590" w:rsidP="00D51041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8C07BF">
              <w:rPr>
                <w:rFonts w:cs="Arial"/>
                <w:color w:val="000000"/>
              </w:rPr>
              <w:t>100</w:t>
            </w:r>
          </w:p>
        </w:tc>
        <w:tc>
          <w:tcPr>
            <w:tcW w:w="439" w:type="pct"/>
          </w:tcPr>
          <w:p w:rsidR="00C52590" w:rsidRPr="008C07BF" w:rsidRDefault="00C52590" w:rsidP="00D51041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8C07BF">
              <w:rPr>
                <w:rFonts w:cs="Arial"/>
                <w:color w:val="000000"/>
              </w:rPr>
              <w:t>26.9</w:t>
            </w:r>
          </w:p>
        </w:tc>
        <w:tc>
          <w:tcPr>
            <w:tcW w:w="783" w:type="pct"/>
          </w:tcPr>
          <w:p w:rsidR="00C52590" w:rsidRPr="008C07BF" w:rsidRDefault="00C52590" w:rsidP="00D51041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8C07BF">
              <w:rPr>
                <w:rFonts w:cs="Arial"/>
                <w:color w:val="000000"/>
              </w:rPr>
              <w:t>483</w:t>
            </w:r>
          </w:p>
        </w:tc>
        <w:tc>
          <w:tcPr>
            <w:tcW w:w="408" w:type="pct"/>
          </w:tcPr>
          <w:p w:rsidR="00C52590" w:rsidRPr="008C07BF" w:rsidRDefault="00C52590" w:rsidP="00D51041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8C07BF">
              <w:rPr>
                <w:rFonts w:cs="Arial"/>
                <w:color w:val="000000"/>
              </w:rPr>
              <w:t>36.3</w:t>
            </w:r>
          </w:p>
        </w:tc>
        <w:tc>
          <w:tcPr>
            <w:tcW w:w="440" w:type="pct"/>
          </w:tcPr>
          <w:p w:rsidR="00C52590" w:rsidRPr="008C07BF" w:rsidRDefault="00C52590" w:rsidP="00D51041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8C07BF">
              <w:rPr>
                <w:rFonts w:cs="Arial"/>
                <w:color w:val="000000"/>
              </w:rPr>
              <w:t>9.5</w:t>
            </w:r>
          </w:p>
        </w:tc>
        <w:tc>
          <w:tcPr>
            <w:tcW w:w="752" w:type="pct"/>
          </w:tcPr>
          <w:p w:rsidR="00C52590" w:rsidRPr="008C07BF" w:rsidRDefault="00C52590" w:rsidP="00D51041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8C07BF">
              <w:rPr>
                <w:rFonts w:cs="Arial"/>
                <w:color w:val="000000"/>
              </w:rPr>
              <w:t>594</w:t>
            </w:r>
          </w:p>
        </w:tc>
        <w:tc>
          <w:tcPr>
            <w:tcW w:w="423" w:type="pct"/>
          </w:tcPr>
          <w:p w:rsidR="00C52590" w:rsidRPr="008C07BF" w:rsidRDefault="00C52590" w:rsidP="00D51041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8C07BF">
              <w:rPr>
                <w:rFonts w:cs="Arial"/>
                <w:color w:val="000000"/>
              </w:rPr>
              <w:t>9.5</w:t>
            </w:r>
          </w:p>
        </w:tc>
      </w:tr>
      <w:tr w:rsidR="00C52590" w:rsidRPr="008C07BF" w:rsidTr="00D51041">
        <w:trPr>
          <w:trHeight w:val="270"/>
          <w:jc w:val="center"/>
        </w:trPr>
        <w:tc>
          <w:tcPr>
            <w:tcW w:w="594" w:type="pct"/>
            <w:hideMark/>
          </w:tcPr>
          <w:p w:rsidR="00C52590" w:rsidRPr="008C07BF" w:rsidRDefault="00C52590" w:rsidP="00D51041">
            <w:pPr>
              <w:spacing w:before="120" w:after="120"/>
              <w:jc w:val="center"/>
              <w:rPr>
                <w:rFonts w:cs="Arial"/>
                <w:b/>
                <w:bCs/>
                <w:color w:val="000000"/>
              </w:rPr>
            </w:pPr>
            <w:r w:rsidRPr="008C07BF">
              <w:rPr>
                <w:rFonts w:cs="Arial"/>
                <w:b/>
                <w:bCs/>
                <w:color w:val="000000"/>
              </w:rPr>
              <w:t xml:space="preserve">Option 2 </w:t>
            </w:r>
            <w:r w:rsidRPr="008C07BF">
              <w:rPr>
                <w:rFonts w:cs="Arial"/>
                <w:bCs/>
                <w:color w:val="000000"/>
              </w:rPr>
              <w:t>Gr</w:t>
            </w:r>
            <w:r w:rsidRPr="008C07BF">
              <w:rPr>
                <w:rFonts w:cs="Arial"/>
                <w:color w:val="000000"/>
              </w:rPr>
              <w:t>1</w:t>
            </w:r>
          </w:p>
        </w:tc>
        <w:tc>
          <w:tcPr>
            <w:tcW w:w="315" w:type="pct"/>
            <w:noWrap/>
            <w:hideMark/>
          </w:tcPr>
          <w:p w:rsidR="00C52590" w:rsidRPr="008C07BF" w:rsidRDefault="00C52590" w:rsidP="00D51041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8C07BF">
              <w:rPr>
                <w:rFonts w:cs="Arial"/>
                <w:color w:val="000000"/>
              </w:rPr>
              <w:t>50/50</w:t>
            </w:r>
          </w:p>
        </w:tc>
        <w:tc>
          <w:tcPr>
            <w:tcW w:w="439" w:type="pct"/>
          </w:tcPr>
          <w:p w:rsidR="00C52590" w:rsidRPr="008C07BF" w:rsidRDefault="00C52590" w:rsidP="00D51041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8C07BF">
              <w:rPr>
                <w:rFonts w:cs="Arial"/>
                <w:color w:val="000000"/>
              </w:rPr>
              <w:t>38.8</w:t>
            </w:r>
          </w:p>
        </w:tc>
        <w:tc>
          <w:tcPr>
            <w:tcW w:w="408" w:type="pct"/>
          </w:tcPr>
          <w:p w:rsidR="00C52590" w:rsidRPr="008C07BF" w:rsidRDefault="00C52590" w:rsidP="00D51041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8C07BF">
              <w:rPr>
                <w:rFonts w:cs="Arial"/>
                <w:color w:val="000000"/>
              </w:rPr>
              <w:t>100</w:t>
            </w:r>
          </w:p>
        </w:tc>
        <w:tc>
          <w:tcPr>
            <w:tcW w:w="439" w:type="pct"/>
          </w:tcPr>
          <w:p w:rsidR="00C52590" w:rsidRPr="008C07BF" w:rsidRDefault="00C52590" w:rsidP="00D51041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8C07BF">
              <w:rPr>
                <w:rFonts w:cs="Arial"/>
                <w:color w:val="000000"/>
              </w:rPr>
              <w:t>37.3</w:t>
            </w:r>
          </w:p>
        </w:tc>
        <w:tc>
          <w:tcPr>
            <w:tcW w:w="783" w:type="pct"/>
          </w:tcPr>
          <w:p w:rsidR="00C52590" w:rsidRPr="008C07BF" w:rsidRDefault="00C52590" w:rsidP="00D51041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8C07BF">
              <w:rPr>
                <w:rFonts w:cs="Arial"/>
                <w:color w:val="000000"/>
              </w:rPr>
              <w:t>407</w:t>
            </w:r>
          </w:p>
        </w:tc>
        <w:tc>
          <w:tcPr>
            <w:tcW w:w="408" w:type="pct"/>
          </w:tcPr>
          <w:p w:rsidR="00C52590" w:rsidRPr="008C07BF" w:rsidRDefault="00C52590" w:rsidP="00D51041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8C07BF">
              <w:rPr>
                <w:rFonts w:cs="Arial"/>
                <w:color w:val="000000"/>
              </w:rPr>
              <w:t>61.2</w:t>
            </w:r>
          </w:p>
        </w:tc>
        <w:tc>
          <w:tcPr>
            <w:tcW w:w="440" w:type="pct"/>
          </w:tcPr>
          <w:p w:rsidR="00C52590" w:rsidRPr="008C07BF" w:rsidRDefault="00C52590" w:rsidP="00D51041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8C07BF">
              <w:rPr>
                <w:rFonts w:cs="Arial"/>
                <w:color w:val="000000"/>
              </w:rPr>
              <w:t>24.0</w:t>
            </w:r>
          </w:p>
        </w:tc>
        <w:tc>
          <w:tcPr>
            <w:tcW w:w="752" w:type="pct"/>
          </w:tcPr>
          <w:p w:rsidR="00C52590" w:rsidRPr="008C07BF" w:rsidRDefault="00C52590" w:rsidP="00D51041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8C07BF">
              <w:rPr>
                <w:rFonts w:cs="Arial"/>
                <w:color w:val="000000"/>
              </w:rPr>
              <w:t>540</w:t>
            </w:r>
          </w:p>
        </w:tc>
        <w:tc>
          <w:tcPr>
            <w:tcW w:w="423" w:type="pct"/>
          </w:tcPr>
          <w:p w:rsidR="00C52590" w:rsidRPr="008C07BF" w:rsidRDefault="00C52590" w:rsidP="00D51041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8C07BF">
              <w:rPr>
                <w:rFonts w:cs="Arial"/>
                <w:color w:val="000000"/>
              </w:rPr>
              <w:t>24.0</w:t>
            </w:r>
          </w:p>
        </w:tc>
      </w:tr>
    </w:tbl>
    <w:p w:rsidR="00F7139A" w:rsidRPr="00422FDF" w:rsidRDefault="00C31710" w:rsidP="00C31710">
      <w:pPr>
        <w:rPr>
          <w:rFonts w:cs="Arial"/>
          <w:iCs/>
          <w:color w:val="000000"/>
          <w:lang w:eastAsia="ko-KR"/>
        </w:rPr>
      </w:pPr>
      <w:r w:rsidRPr="008C07BF">
        <w:rPr>
          <w:rFonts w:cs="Arial"/>
          <w:iCs/>
          <w:color w:val="000000"/>
          <w:lang w:eastAsia="ko-KR"/>
        </w:rPr>
        <w:t>*SSPI</w:t>
      </w:r>
      <w:r w:rsidR="00397997" w:rsidRPr="008C07BF">
        <w:rPr>
          <w:rFonts w:cs="Arial"/>
          <w:iCs/>
          <w:color w:val="000000"/>
          <w:lang w:eastAsia="ko-KR"/>
        </w:rPr>
        <w:t>’s</w:t>
      </w:r>
      <w:r w:rsidRPr="008C07BF">
        <w:rPr>
          <w:rFonts w:cs="Arial"/>
          <w:iCs/>
          <w:color w:val="000000"/>
          <w:lang w:eastAsia="ko-KR"/>
        </w:rPr>
        <w:t xml:space="preserve"> recommended</w:t>
      </w:r>
      <w:r w:rsidR="00397997" w:rsidRPr="008C07BF">
        <w:rPr>
          <w:rFonts w:cs="Arial"/>
          <w:iCs/>
          <w:color w:val="000000"/>
          <w:lang w:eastAsia="ko-KR"/>
        </w:rPr>
        <w:t xml:space="preserve"> option</w:t>
      </w:r>
    </w:p>
    <w:sectPr w:rsidR="00F7139A" w:rsidRPr="00422FDF" w:rsidSect="009B46C5">
      <w:headerReference w:type="default" r:id="rId21"/>
      <w:footnotePr>
        <w:numRestart w:val="eachPage"/>
      </w:footnotePr>
      <w:pgSz w:w="15840" w:h="12240" w:orient="landscape"/>
      <w:pgMar w:top="1440" w:right="720" w:bottom="1080" w:left="765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3182" w:rsidRDefault="002C3182" w:rsidP="000E09DC">
      <w:r>
        <w:separator/>
      </w:r>
    </w:p>
  </w:endnote>
  <w:endnote w:type="continuationSeparator" w:id="0">
    <w:p w:rsidR="002C3182" w:rsidRDefault="002C3182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3182" w:rsidRDefault="002C3182" w:rsidP="000E09DC">
      <w:r>
        <w:separator/>
      </w:r>
    </w:p>
  </w:footnote>
  <w:footnote w:type="continuationSeparator" w:id="0">
    <w:p w:rsidR="002C3182" w:rsidRDefault="002C3182" w:rsidP="000E09DC">
      <w:r>
        <w:continuationSeparator/>
      </w:r>
    </w:p>
  </w:footnote>
  <w:footnote w:id="1">
    <w:p w:rsidR="00653E5D" w:rsidRDefault="00653E5D" w:rsidP="00653E5D">
      <w:pPr>
        <w:spacing w:after="240"/>
      </w:pPr>
      <w:r>
        <w:rPr>
          <w:rStyle w:val="FootnoteReference"/>
        </w:rPr>
        <w:footnoteRef/>
      </w:r>
      <w:r>
        <w:t xml:space="preserve"> </w:t>
      </w:r>
      <w:r w:rsidRPr="00D068AB">
        <w:rPr>
          <w:rFonts w:eastAsia="SimSun" w:cs="Calibri"/>
        </w:rPr>
        <w:t>Estimated percent</w:t>
      </w:r>
      <w:r w:rsidR="00DA25F0">
        <w:rPr>
          <w:rFonts w:eastAsia="SimSun" w:cs="Calibri"/>
        </w:rPr>
        <w:t>age</w:t>
      </w:r>
      <w:r w:rsidRPr="00D068AB">
        <w:rPr>
          <w:rFonts w:eastAsia="SimSun" w:cs="Calibri"/>
        </w:rPr>
        <w:t xml:space="preserve"> of students</w:t>
      </w:r>
      <w:r w:rsidR="00DA25F0">
        <w:rPr>
          <w:rFonts w:eastAsia="SimSun" w:cs="Calibri"/>
        </w:rPr>
        <w:t>,</w:t>
      </w:r>
      <w:r w:rsidRPr="00D068AB">
        <w:rPr>
          <w:rFonts w:eastAsia="SimSun" w:cs="Calibri"/>
        </w:rPr>
        <w:t xml:space="preserve"> statewide</w:t>
      </w:r>
      <w:r w:rsidR="00DA25F0">
        <w:rPr>
          <w:rFonts w:eastAsia="SimSun" w:cs="Calibri"/>
        </w:rPr>
        <w:t>,</w:t>
      </w:r>
      <w:r w:rsidRPr="00D068AB">
        <w:rPr>
          <w:rFonts w:eastAsia="SimSun" w:cs="Calibri"/>
        </w:rPr>
        <w:t xml:space="preserve"> who would be placed at this performance level </w:t>
      </w:r>
      <w:r w:rsidRPr="00D068AB">
        <w:rPr>
          <w:rFonts w:eastAsia="SimSun" w:cs="Calibri"/>
          <w:noProof/>
        </w:rPr>
        <w:t>on the basis of</w:t>
      </w:r>
      <w:r w:rsidRPr="00D068AB">
        <w:rPr>
          <w:rFonts w:eastAsia="SimSun" w:cs="Calibri"/>
        </w:rPr>
        <w:t xml:space="preserve"> the results of the 2017–18 field test administration. P</w:t>
      </w:r>
      <w:r w:rsidRPr="00D068AB">
        <w:t>ercentages may not sum to 100 due to rounding.</w:t>
      </w:r>
    </w:p>
  </w:footnote>
  <w:footnote w:id="2">
    <w:p w:rsidR="00653E5D" w:rsidRPr="005736C3" w:rsidRDefault="00653E5D" w:rsidP="00653E5D">
      <w:pPr>
        <w:spacing w:after="240"/>
        <w:rPr>
          <w:rFonts w:eastAsia="SimSun" w:cs="Calibri"/>
        </w:rPr>
      </w:pPr>
      <w:r>
        <w:rPr>
          <w:rStyle w:val="FootnoteReference"/>
        </w:rPr>
        <w:footnoteRef/>
      </w:r>
      <w:r>
        <w:t xml:space="preserve"> </w:t>
      </w:r>
      <w:r w:rsidRPr="00D068AB">
        <w:rPr>
          <w:rFonts w:eastAsia="SimSun" w:cs="Calibri"/>
        </w:rPr>
        <w:t xml:space="preserve">Estimated </w:t>
      </w:r>
      <w:r w:rsidR="00DA25F0" w:rsidRPr="00D068AB">
        <w:rPr>
          <w:rFonts w:eastAsia="SimSun" w:cs="Calibri"/>
        </w:rPr>
        <w:t>percent</w:t>
      </w:r>
      <w:r w:rsidR="00DA25F0">
        <w:rPr>
          <w:rFonts w:eastAsia="SimSun" w:cs="Calibri"/>
        </w:rPr>
        <w:t>age</w:t>
      </w:r>
      <w:r w:rsidR="00DA25F0" w:rsidRPr="00D068AB">
        <w:rPr>
          <w:rFonts w:eastAsia="SimSun" w:cs="Calibri"/>
        </w:rPr>
        <w:t xml:space="preserve"> of students</w:t>
      </w:r>
      <w:r w:rsidR="00DA25F0">
        <w:rPr>
          <w:rFonts w:eastAsia="SimSun" w:cs="Calibri"/>
        </w:rPr>
        <w:t>,</w:t>
      </w:r>
      <w:r w:rsidR="00DA25F0" w:rsidRPr="00D068AB">
        <w:rPr>
          <w:rFonts w:eastAsia="SimSun" w:cs="Calibri"/>
        </w:rPr>
        <w:t xml:space="preserve"> statewide</w:t>
      </w:r>
      <w:r w:rsidR="00DA25F0">
        <w:rPr>
          <w:rFonts w:eastAsia="SimSun" w:cs="Calibri"/>
        </w:rPr>
        <w:t>,</w:t>
      </w:r>
      <w:r w:rsidR="00DA25F0" w:rsidRPr="00D068AB">
        <w:rPr>
          <w:rFonts w:eastAsia="SimSun" w:cs="Calibri"/>
        </w:rPr>
        <w:t xml:space="preserve"> </w:t>
      </w:r>
      <w:r w:rsidRPr="00D068AB">
        <w:rPr>
          <w:rFonts w:eastAsia="SimSun" w:cs="Calibri"/>
        </w:rPr>
        <w:t xml:space="preserve">who would </w:t>
      </w:r>
      <w:r>
        <w:rPr>
          <w:rFonts w:eastAsia="SimSun" w:cs="Calibri"/>
        </w:rPr>
        <w:t>be at or</w:t>
      </w:r>
      <w:r w:rsidRPr="00D068AB">
        <w:rPr>
          <w:rFonts w:eastAsia="SimSun" w:cs="Calibri"/>
        </w:rPr>
        <w:t xml:space="preserve"> above this performance level </w:t>
      </w:r>
      <w:r w:rsidRPr="00D068AB">
        <w:rPr>
          <w:rFonts w:eastAsia="SimSun" w:cs="Calibri"/>
          <w:noProof/>
        </w:rPr>
        <w:t>on the basis of</w:t>
      </w:r>
      <w:r w:rsidRPr="00D068AB">
        <w:rPr>
          <w:rFonts w:eastAsia="SimSun" w:cs="Calibri"/>
        </w:rPr>
        <w:t xml:space="preserve"> the results of the 2017–18 field test administration</w:t>
      </w:r>
      <w:r>
        <w:rPr>
          <w:rFonts w:eastAsia="SimSun" w:cs="Calibri"/>
        </w:rPr>
        <w:t>.</w:t>
      </w:r>
    </w:p>
  </w:footnote>
  <w:footnote w:id="3">
    <w:p w:rsidR="00653E5D" w:rsidRDefault="00653E5D" w:rsidP="00653E5D">
      <w:pPr>
        <w:spacing w:after="240"/>
      </w:pPr>
      <w:r>
        <w:rPr>
          <w:rStyle w:val="FootnoteReference"/>
        </w:rPr>
        <w:footnoteRef/>
      </w:r>
      <w:r>
        <w:t xml:space="preserve"> </w:t>
      </w:r>
      <w:r w:rsidRPr="00D068AB">
        <w:rPr>
          <w:rFonts w:eastAsia="SimSun" w:cs="Calibri"/>
        </w:rPr>
        <w:t xml:space="preserve">Minimum standard-setting scale score needed to achieve this performance level </w:t>
      </w:r>
      <w:r w:rsidRPr="00D068AB">
        <w:rPr>
          <w:rFonts w:eastAsia="SimSun" w:cs="Calibri"/>
          <w:noProof/>
        </w:rPr>
        <w:t>on the basis of</w:t>
      </w:r>
      <w:r w:rsidRPr="00D068AB">
        <w:rPr>
          <w:rFonts w:eastAsia="SimSun" w:cs="Calibri"/>
        </w:rPr>
        <w:t xml:space="preserve"> the results of the 2017–18 field test administration. The standard-setting scale and t</w:t>
      </w:r>
      <w:r w:rsidRPr="00D068AB">
        <w:t>hreshold scores were generated solely for the standard-setting process. Reporting scales will be developed to report scores on the Student Score Report and publi</w:t>
      </w:r>
      <w:r>
        <w:t>c reporting.</w:t>
      </w:r>
    </w:p>
  </w:footnote>
  <w:footnote w:id="4">
    <w:p w:rsidR="006C1E1F" w:rsidRDefault="006C1E1F" w:rsidP="006C1E1F">
      <w:pPr>
        <w:spacing w:after="240"/>
      </w:pPr>
      <w:r>
        <w:rPr>
          <w:rStyle w:val="FootnoteReference"/>
        </w:rPr>
        <w:footnoteRef/>
      </w:r>
      <w:r>
        <w:t xml:space="preserve"> </w:t>
      </w:r>
      <w:r w:rsidRPr="00D068AB">
        <w:rPr>
          <w:rFonts w:eastAsia="SimSun" w:cs="Calibri"/>
        </w:rPr>
        <w:t xml:space="preserve">Estimated </w:t>
      </w:r>
      <w:r w:rsidR="00DA25F0" w:rsidRPr="00D068AB">
        <w:rPr>
          <w:rFonts w:eastAsia="SimSun" w:cs="Calibri"/>
        </w:rPr>
        <w:t>percent</w:t>
      </w:r>
      <w:r w:rsidR="00DA25F0">
        <w:rPr>
          <w:rFonts w:eastAsia="SimSun" w:cs="Calibri"/>
        </w:rPr>
        <w:t>age</w:t>
      </w:r>
      <w:r w:rsidR="00DA25F0" w:rsidRPr="00D068AB">
        <w:rPr>
          <w:rFonts w:eastAsia="SimSun" w:cs="Calibri"/>
        </w:rPr>
        <w:t xml:space="preserve"> of students</w:t>
      </w:r>
      <w:r w:rsidR="00DA25F0">
        <w:rPr>
          <w:rFonts w:eastAsia="SimSun" w:cs="Calibri"/>
        </w:rPr>
        <w:t>,</w:t>
      </w:r>
      <w:r w:rsidR="00DA25F0" w:rsidRPr="00D068AB">
        <w:rPr>
          <w:rFonts w:eastAsia="SimSun" w:cs="Calibri"/>
        </w:rPr>
        <w:t xml:space="preserve"> statewide</w:t>
      </w:r>
      <w:r w:rsidR="00DA25F0">
        <w:rPr>
          <w:rFonts w:eastAsia="SimSun" w:cs="Calibri"/>
        </w:rPr>
        <w:t>,</w:t>
      </w:r>
      <w:r w:rsidR="00DA25F0" w:rsidRPr="00D068AB">
        <w:rPr>
          <w:rFonts w:eastAsia="SimSun" w:cs="Calibri"/>
        </w:rPr>
        <w:t xml:space="preserve"> </w:t>
      </w:r>
      <w:r w:rsidRPr="00D068AB">
        <w:rPr>
          <w:rFonts w:eastAsia="SimSun" w:cs="Calibri"/>
        </w:rPr>
        <w:t xml:space="preserve">who would be placed at this performance level </w:t>
      </w:r>
      <w:r w:rsidRPr="00D068AB">
        <w:rPr>
          <w:rFonts w:eastAsia="SimSun" w:cs="Calibri"/>
          <w:noProof/>
        </w:rPr>
        <w:t>on the basis of</w:t>
      </w:r>
      <w:r w:rsidRPr="00D068AB">
        <w:rPr>
          <w:rFonts w:eastAsia="SimSun" w:cs="Calibri"/>
        </w:rPr>
        <w:t xml:space="preserve"> the results of the 2017–18 field test administration. P</w:t>
      </w:r>
      <w:r w:rsidRPr="00D068AB">
        <w:t>ercentages may not sum to 100 due to rounding.</w:t>
      </w:r>
    </w:p>
  </w:footnote>
  <w:footnote w:id="5">
    <w:p w:rsidR="006C1E1F" w:rsidRPr="005736C3" w:rsidRDefault="006C1E1F" w:rsidP="006C1E1F">
      <w:pPr>
        <w:spacing w:after="240"/>
        <w:rPr>
          <w:rFonts w:eastAsia="SimSun" w:cs="Calibri"/>
        </w:rPr>
      </w:pPr>
      <w:r>
        <w:rPr>
          <w:rStyle w:val="FootnoteReference"/>
        </w:rPr>
        <w:footnoteRef/>
      </w:r>
      <w:r>
        <w:t xml:space="preserve"> </w:t>
      </w:r>
      <w:r w:rsidRPr="00D068AB">
        <w:rPr>
          <w:rFonts w:eastAsia="SimSun" w:cs="Calibri"/>
        </w:rPr>
        <w:t xml:space="preserve">Estimated </w:t>
      </w:r>
      <w:r w:rsidR="00DA25F0" w:rsidRPr="00D068AB">
        <w:rPr>
          <w:rFonts w:eastAsia="SimSun" w:cs="Calibri"/>
        </w:rPr>
        <w:t>percent</w:t>
      </w:r>
      <w:r w:rsidR="00DA25F0">
        <w:rPr>
          <w:rFonts w:eastAsia="SimSun" w:cs="Calibri"/>
        </w:rPr>
        <w:t>age</w:t>
      </w:r>
      <w:r w:rsidR="00DA25F0" w:rsidRPr="00D068AB">
        <w:rPr>
          <w:rFonts w:eastAsia="SimSun" w:cs="Calibri"/>
        </w:rPr>
        <w:t xml:space="preserve"> of students</w:t>
      </w:r>
      <w:r w:rsidR="00DA25F0">
        <w:rPr>
          <w:rFonts w:eastAsia="SimSun" w:cs="Calibri"/>
        </w:rPr>
        <w:t>,</w:t>
      </w:r>
      <w:r w:rsidR="00DA25F0" w:rsidRPr="00D068AB">
        <w:rPr>
          <w:rFonts w:eastAsia="SimSun" w:cs="Calibri"/>
        </w:rPr>
        <w:t xml:space="preserve"> statewide</w:t>
      </w:r>
      <w:r w:rsidR="00DA25F0">
        <w:rPr>
          <w:rFonts w:eastAsia="SimSun" w:cs="Calibri"/>
        </w:rPr>
        <w:t>,</w:t>
      </w:r>
      <w:r w:rsidR="00DA25F0" w:rsidRPr="00D068AB">
        <w:rPr>
          <w:rFonts w:eastAsia="SimSun" w:cs="Calibri"/>
        </w:rPr>
        <w:t xml:space="preserve"> </w:t>
      </w:r>
      <w:r w:rsidRPr="00D068AB">
        <w:rPr>
          <w:rFonts w:eastAsia="SimSun" w:cs="Calibri"/>
        </w:rPr>
        <w:t xml:space="preserve">who would be at </w:t>
      </w:r>
      <w:r>
        <w:rPr>
          <w:rFonts w:eastAsia="SimSun" w:cs="Calibri"/>
        </w:rPr>
        <w:t>or</w:t>
      </w:r>
      <w:r w:rsidRPr="00D068AB">
        <w:rPr>
          <w:rFonts w:eastAsia="SimSun" w:cs="Calibri"/>
        </w:rPr>
        <w:t xml:space="preserve"> above this performance level </w:t>
      </w:r>
      <w:r w:rsidRPr="00D068AB">
        <w:rPr>
          <w:rFonts w:eastAsia="SimSun" w:cs="Calibri"/>
          <w:noProof/>
        </w:rPr>
        <w:t>on the basis of</w:t>
      </w:r>
      <w:r w:rsidRPr="00D068AB">
        <w:rPr>
          <w:rFonts w:eastAsia="SimSun" w:cs="Calibri"/>
        </w:rPr>
        <w:t xml:space="preserve"> the results of the 2017–18 field test administration.</w:t>
      </w:r>
    </w:p>
  </w:footnote>
  <w:footnote w:id="6">
    <w:p w:rsidR="006C1E1F" w:rsidRDefault="006C1E1F" w:rsidP="006C1E1F">
      <w:pPr>
        <w:spacing w:after="240"/>
      </w:pPr>
      <w:r>
        <w:rPr>
          <w:rStyle w:val="FootnoteReference"/>
        </w:rPr>
        <w:footnoteRef/>
      </w:r>
      <w:r>
        <w:t xml:space="preserve"> </w:t>
      </w:r>
      <w:r w:rsidRPr="00D068AB">
        <w:rPr>
          <w:rFonts w:eastAsia="SimSun" w:cs="Calibri"/>
        </w:rPr>
        <w:t xml:space="preserve">Minimum standard-setting scale score needed to achieve this performance level </w:t>
      </w:r>
      <w:r w:rsidRPr="00D068AB">
        <w:rPr>
          <w:rFonts w:eastAsia="SimSun" w:cs="Calibri"/>
          <w:noProof/>
        </w:rPr>
        <w:t>on the basis of</w:t>
      </w:r>
      <w:r w:rsidRPr="00D068AB">
        <w:rPr>
          <w:rFonts w:eastAsia="SimSun" w:cs="Calibri"/>
        </w:rPr>
        <w:t xml:space="preserve"> the results of the 2017–18 field test administration. The standard-setting scale and t</w:t>
      </w:r>
      <w:r w:rsidRPr="00D068AB">
        <w:t>hreshold scores were generated solely for the standard-setting process. Reporting scales will be developed to report scores on the Student Score Report and public reporting.</w:t>
      </w:r>
    </w:p>
  </w:footnote>
  <w:footnote w:id="7">
    <w:p w:rsidR="00C52590" w:rsidRDefault="00C52590" w:rsidP="00C52590">
      <w:pPr>
        <w:spacing w:after="240"/>
      </w:pPr>
      <w:r>
        <w:rPr>
          <w:rStyle w:val="FootnoteReference"/>
        </w:rPr>
        <w:footnoteRef/>
      </w:r>
      <w:r>
        <w:t xml:space="preserve"> </w:t>
      </w:r>
      <w:r w:rsidRPr="005B0465">
        <w:rPr>
          <w:rFonts w:eastAsia="SimSun" w:cs="Calibri"/>
        </w:rPr>
        <w:t xml:space="preserve">Estimated </w:t>
      </w:r>
      <w:r w:rsidR="00DA25F0" w:rsidRPr="00D068AB">
        <w:rPr>
          <w:rFonts w:eastAsia="SimSun" w:cs="Calibri"/>
        </w:rPr>
        <w:t>percent</w:t>
      </w:r>
      <w:r w:rsidR="00DA25F0">
        <w:rPr>
          <w:rFonts w:eastAsia="SimSun" w:cs="Calibri"/>
        </w:rPr>
        <w:t>age</w:t>
      </w:r>
      <w:r w:rsidR="00DA25F0" w:rsidRPr="00D068AB">
        <w:rPr>
          <w:rFonts w:eastAsia="SimSun" w:cs="Calibri"/>
        </w:rPr>
        <w:t xml:space="preserve"> of students</w:t>
      </w:r>
      <w:r w:rsidR="00DA25F0">
        <w:rPr>
          <w:rFonts w:eastAsia="SimSun" w:cs="Calibri"/>
        </w:rPr>
        <w:t>,</w:t>
      </w:r>
      <w:r w:rsidR="00DA25F0" w:rsidRPr="00D068AB">
        <w:rPr>
          <w:rFonts w:eastAsia="SimSun" w:cs="Calibri"/>
        </w:rPr>
        <w:t xml:space="preserve"> statewide</w:t>
      </w:r>
      <w:r w:rsidR="00DA25F0">
        <w:rPr>
          <w:rFonts w:eastAsia="SimSun" w:cs="Calibri"/>
        </w:rPr>
        <w:t>,</w:t>
      </w:r>
      <w:r w:rsidR="00DA25F0" w:rsidRPr="00D068AB">
        <w:rPr>
          <w:rFonts w:eastAsia="SimSun" w:cs="Calibri"/>
        </w:rPr>
        <w:t xml:space="preserve"> </w:t>
      </w:r>
      <w:r w:rsidRPr="005B0465">
        <w:rPr>
          <w:rFonts w:eastAsia="SimSun" w:cs="Calibri"/>
        </w:rPr>
        <w:t xml:space="preserve">who would be placed at this performance level </w:t>
      </w:r>
      <w:r w:rsidRPr="005B0465">
        <w:rPr>
          <w:rFonts w:eastAsia="SimSun" w:cs="Calibri"/>
          <w:noProof/>
        </w:rPr>
        <w:t>on the basis of</w:t>
      </w:r>
      <w:r w:rsidRPr="005B0465">
        <w:rPr>
          <w:rFonts w:eastAsia="SimSun" w:cs="Calibri"/>
        </w:rPr>
        <w:t xml:space="preserve"> the results of the 2017–18 field test administration. </w:t>
      </w:r>
      <w:r w:rsidRPr="005B0465">
        <w:t>Percentages may not sum to 100 due to rounding.</w:t>
      </w:r>
    </w:p>
  </w:footnote>
  <w:footnote w:id="8">
    <w:p w:rsidR="00C52590" w:rsidRPr="001D177F" w:rsidRDefault="00C52590" w:rsidP="00C52590">
      <w:pPr>
        <w:spacing w:after="240"/>
        <w:rPr>
          <w:rFonts w:eastAsia="SimSun" w:cs="Calibri"/>
        </w:rPr>
      </w:pPr>
      <w:r>
        <w:rPr>
          <w:rStyle w:val="FootnoteReference"/>
        </w:rPr>
        <w:footnoteRef/>
      </w:r>
      <w:r>
        <w:t xml:space="preserve"> </w:t>
      </w:r>
      <w:r w:rsidRPr="005B0465">
        <w:rPr>
          <w:rFonts w:eastAsia="SimSun" w:cs="Calibri"/>
        </w:rPr>
        <w:t xml:space="preserve">Estimated </w:t>
      </w:r>
      <w:r w:rsidR="00DA25F0" w:rsidRPr="00D068AB">
        <w:rPr>
          <w:rFonts w:eastAsia="SimSun" w:cs="Calibri"/>
        </w:rPr>
        <w:t>percent</w:t>
      </w:r>
      <w:r w:rsidR="00DA25F0">
        <w:rPr>
          <w:rFonts w:eastAsia="SimSun" w:cs="Calibri"/>
        </w:rPr>
        <w:t>age</w:t>
      </w:r>
      <w:r w:rsidR="00DA25F0" w:rsidRPr="00D068AB">
        <w:rPr>
          <w:rFonts w:eastAsia="SimSun" w:cs="Calibri"/>
        </w:rPr>
        <w:t xml:space="preserve"> of students</w:t>
      </w:r>
      <w:r w:rsidR="00DA25F0">
        <w:rPr>
          <w:rFonts w:eastAsia="SimSun" w:cs="Calibri"/>
        </w:rPr>
        <w:t>,</w:t>
      </w:r>
      <w:r w:rsidR="00DA25F0" w:rsidRPr="00D068AB">
        <w:rPr>
          <w:rFonts w:eastAsia="SimSun" w:cs="Calibri"/>
        </w:rPr>
        <w:t xml:space="preserve"> statewide</w:t>
      </w:r>
      <w:r w:rsidR="00DA25F0">
        <w:rPr>
          <w:rFonts w:eastAsia="SimSun" w:cs="Calibri"/>
        </w:rPr>
        <w:t>,</w:t>
      </w:r>
      <w:r w:rsidR="00DA25F0" w:rsidRPr="00D068AB">
        <w:rPr>
          <w:rFonts w:eastAsia="SimSun" w:cs="Calibri"/>
        </w:rPr>
        <w:t xml:space="preserve"> </w:t>
      </w:r>
      <w:r w:rsidRPr="005B0465">
        <w:rPr>
          <w:rFonts w:eastAsia="SimSun" w:cs="Calibri"/>
        </w:rPr>
        <w:t xml:space="preserve">who would be at </w:t>
      </w:r>
      <w:r>
        <w:rPr>
          <w:rFonts w:eastAsia="SimSun" w:cs="Calibri"/>
        </w:rPr>
        <w:t>or</w:t>
      </w:r>
      <w:r w:rsidRPr="005B0465">
        <w:rPr>
          <w:rFonts w:eastAsia="SimSun" w:cs="Calibri"/>
        </w:rPr>
        <w:t xml:space="preserve"> above this performance level </w:t>
      </w:r>
      <w:r w:rsidRPr="005B0465">
        <w:rPr>
          <w:rFonts w:eastAsia="SimSun" w:cs="Calibri"/>
          <w:noProof/>
        </w:rPr>
        <w:t>on the basis of</w:t>
      </w:r>
      <w:r w:rsidRPr="005B0465">
        <w:rPr>
          <w:rFonts w:eastAsia="SimSun" w:cs="Calibri"/>
        </w:rPr>
        <w:t xml:space="preserve"> the results of the 2017–18 field test administration.</w:t>
      </w:r>
    </w:p>
  </w:footnote>
  <w:footnote w:id="9">
    <w:p w:rsidR="00C52590" w:rsidRDefault="00C52590" w:rsidP="00C52590">
      <w:pPr>
        <w:spacing w:after="240"/>
      </w:pPr>
      <w:r>
        <w:rPr>
          <w:rStyle w:val="FootnoteReference"/>
        </w:rPr>
        <w:footnoteRef/>
      </w:r>
      <w:r>
        <w:t xml:space="preserve"> </w:t>
      </w:r>
      <w:r w:rsidRPr="005B0465">
        <w:rPr>
          <w:rFonts w:eastAsia="SimSun" w:cs="Calibri"/>
        </w:rPr>
        <w:t xml:space="preserve">Minimum standard-setting scale score needed to achieve this performance level </w:t>
      </w:r>
      <w:r w:rsidRPr="005B0465">
        <w:rPr>
          <w:rFonts w:eastAsia="SimSun" w:cs="Calibri"/>
          <w:noProof/>
        </w:rPr>
        <w:t>on the basis of</w:t>
      </w:r>
      <w:r w:rsidRPr="005B0465">
        <w:rPr>
          <w:rFonts w:eastAsia="SimSun" w:cs="Calibri"/>
        </w:rPr>
        <w:t xml:space="preserve"> the results of the 2017–18 field test administration. The standard-setting scale and </w:t>
      </w:r>
      <w:r w:rsidRPr="005B0465">
        <w:t>threshold scores were generated solely for the standard-setting process. Reporting scales will be developed to report scores on the Student Score Report and public reporting.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1861" w:rsidRDefault="00161861" w:rsidP="00161861">
    <w:pPr>
      <w:jc w:val="right"/>
    </w:pPr>
    <w:proofErr w:type="gramStart"/>
    <w:r>
      <w:t>pptb-adad-may18item01</w:t>
    </w:r>
    <w:proofErr w:type="gramEnd"/>
  </w:p>
  <w:p w:rsidR="00223112" w:rsidRPr="00483B3D" w:rsidRDefault="00483B3D" w:rsidP="00483B3D">
    <w:pPr>
      <w:pStyle w:val="Header"/>
      <w:spacing w:after="480"/>
      <w:jc w:val="right"/>
      <w:rPr>
        <w:rFonts w:cs="Arial"/>
      </w:rPr>
    </w:pPr>
    <w:r w:rsidRPr="00483B3D">
      <w:rPr>
        <w:rFonts w:eastAsiaTheme="majorEastAsia" w:cs="Arial"/>
        <w:noProof/>
      </w:rPr>
      <w:t xml:space="preserve">Page </w:t>
    </w:r>
    <w:r w:rsidRPr="00483B3D">
      <w:rPr>
        <w:rFonts w:eastAsiaTheme="majorEastAsia" w:cs="Arial"/>
        <w:bCs/>
        <w:noProof/>
      </w:rPr>
      <w:fldChar w:fldCharType="begin"/>
    </w:r>
    <w:r w:rsidRPr="00483B3D">
      <w:rPr>
        <w:rFonts w:eastAsiaTheme="majorEastAsia" w:cs="Arial"/>
        <w:bCs/>
        <w:noProof/>
      </w:rPr>
      <w:instrText xml:space="preserve"> PAGE  \* Arabic  \* MERGEFORMAT </w:instrText>
    </w:r>
    <w:r w:rsidRPr="00483B3D">
      <w:rPr>
        <w:rFonts w:eastAsiaTheme="majorEastAsia" w:cs="Arial"/>
        <w:bCs/>
        <w:noProof/>
      </w:rPr>
      <w:fldChar w:fldCharType="separate"/>
    </w:r>
    <w:r w:rsidR="00107595">
      <w:rPr>
        <w:rFonts w:eastAsiaTheme="majorEastAsia" w:cs="Arial"/>
        <w:bCs/>
        <w:noProof/>
      </w:rPr>
      <w:t>2</w:t>
    </w:r>
    <w:r w:rsidRPr="00483B3D">
      <w:rPr>
        <w:rFonts w:eastAsiaTheme="majorEastAsia" w:cs="Arial"/>
        <w:bCs/>
        <w:noProof/>
      </w:rPr>
      <w:fldChar w:fldCharType="end"/>
    </w:r>
    <w:r w:rsidRPr="00483B3D">
      <w:rPr>
        <w:rFonts w:eastAsiaTheme="majorEastAsia" w:cs="Arial"/>
        <w:noProof/>
      </w:rPr>
      <w:t xml:space="preserve"> of </w:t>
    </w:r>
    <w:r w:rsidR="00124868">
      <w:rPr>
        <w:rFonts w:eastAsiaTheme="majorEastAsia" w:cs="Arial"/>
        <w:bCs/>
        <w:noProof/>
      </w:rPr>
      <w:t>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B3A" w:rsidRDefault="000E21D6" w:rsidP="000E21D6">
    <w:pPr>
      <w:jc w:val="right"/>
    </w:pPr>
    <w:proofErr w:type="gramStart"/>
    <w:r>
      <w:t>pptb-adad-may18item01</w:t>
    </w:r>
    <w:proofErr w:type="gramEnd"/>
  </w:p>
  <w:p w:rsidR="000E21D6" w:rsidRDefault="00BA7FF6" w:rsidP="000E21D6">
    <w:pPr>
      <w:jc w:val="right"/>
    </w:pPr>
    <w:r>
      <w:t>Attachment 1</w:t>
    </w:r>
  </w:p>
  <w:p w:rsidR="00013B3A" w:rsidRPr="00CA2378" w:rsidRDefault="000E21D6" w:rsidP="00CA2378">
    <w:pPr>
      <w:spacing w:after="480"/>
      <w:jc w:val="right"/>
    </w:pPr>
    <w:r w:rsidRPr="000E21D6">
      <w:t xml:space="preserve">Page </w:t>
    </w:r>
    <w:r w:rsidRPr="000E21D6">
      <w:rPr>
        <w:bCs/>
      </w:rPr>
      <w:fldChar w:fldCharType="begin"/>
    </w:r>
    <w:r w:rsidRPr="000E21D6">
      <w:rPr>
        <w:bCs/>
      </w:rPr>
      <w:instrText xml:space="preserve"> PAGE  \* Arabic  \* MERGEFORMAT </w:instrText>
    </w:r>
    <w:r w:rsidRPr="000E21D6">
      <w:rPr>
        <w:bCs/>
      </w:rPr>
      <w:fldChar w:fldCharType="separate"/>
    </w:r>
    <w:r w:rsidR="00107595">
      <w:rPr>
        <w:bCs/>
        <w:noProof/>
      </w:rPr>
      <w:t>1</w:t>
    </w:r>
    <w:r w:rsidRPr="000E21D6">
      <w:rPr>
        <w:bCs/>
      </w:rPr>
      <w:fldChar w:fldCharType="end"/>
    </w:r>
    <w:r w:rsidRPr="000E21D6">
      <w:t xml:space="preserve"> of </w:t>
    </w:r>
    <w:r w:rsidR="00151F78">
      <w:rPr>
        <w:bCs/>
      </w:rPr>
      <w:t>1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9A0" w:rsidRDefault="009229A0" w:rsidP="009229A0">
    <w:pPr>
      <w:jc w:val="right"/>
    </w:pPr>
    <w:proofErr w:type="gramStart"/>
    <w:r>
      <w:t>pptb-adad-may18item01</w:t>
    </w:r>
    <w:proofErr w:type="gramEnd"/>
  </w:p>
  <w:p w:rsidR="009229A0" w:rsidRDefault="009229A0" w:rsidP="009229A0">
    <w:pPr>
      <w:jc w:val="right"/>
    </w:pPr>
    <w:r>
      <w:t>Attachment 2</w:t>
    </w:r>
  </w:p>
  <w:p w:rsidR="00013B3A" w:rsidRPr="009229A0" w:rsidRDefault="009229A0" w:rsidP="009229A0">
    <w:pPr>
      <w:pStyle w:val="Header"/>
      <w:spacing w:after="480"/>
      <w:jc w:val="right"/>
      <w:rPr>
        <w:sz w:val="18"/>
        <w:szCs w:val="18"/>
      </w:rPr>
    </w:pPr>
    <w:r w:rsidRPr="009229A0">
      <w:t xml:space="preserve">Page </w:t>
    </w:r>
    <w:r w:rsidRPr="009229A0">
      <w:rPr>
        <w:bCs/>
      </w:rPr>
      <w:fldChar w:fldCharType="begin"/>
    </w:r>
    <w:r w:rsidRPr="009229A0">
      <w:rPr>
        <w:bCs/>
      </w:rPr>
      <w:instrText xml:space="preserve"> PAGE  \* Arabic  \* MERGEFORMAT </w:instrText>
    </w:r>
    <w:r w:rsidRPr="009229A0">
      <w:rPr>
        <w:bCs/>
      </w:rPr>
      <w:fldChar w:fldCharType="separate"/>
    </w:r>
    <w:r w:rsidR="00107595">
      <w:rPr>
        <w:bCs/>
        <w:noProof/>
      </w:rPr>
      <w:t>1</w:t>
    </w:r>
    <w:r w:rsidRPr="009229A0">
      <w:rPr>
        <w:bCs/>
      </w:rPr>
      <w:fldChar w:fldCharType="end"/>
    </w:r>
    <w:r w:rsidRPr="009229A0">
      <w:t xml:space="preserve"> of </w:t>
    </w:r>
    <w:r w:rsidR="00151F78">
      <w:rPr>
        <w:bCs/>
      </w:rPr>
      <w:t>1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6EBD" w:rsidRDefault="002A6EBD" w:rsidP="002A6EBD">
    <w:pPr>
      <w:jc w:val="right"/>
    </w:pPr>
    <w:proofErr w:type="gramStart"/>
    <w:r>
      <w:t>pptb-adad-may18item01</w:t>
    </w:r>
    <w:proofErr w:type="gramEnd"/>
  </w:p>
  <w:p w:rsidR="002A6EBD" w:rsidRDefault="00422FDF" w:rsidP="00422FDF">
    <w:pPr>
      <w:jc w:val="right"/>
    </w:pPr>
    <w:r>
      <w:t>Attachment 3</w:t>
    </w:r>
  </w:p>
  <w:p w:rsidR="00422FDF" w:rsidRPr="00422FDF" w:rsidRDefault="00422FDF" w:rsidP="00422FDF">
    <w:pPr>
      <w:spacing w:after="480"/>
      <w:jc w:val="right"/>
    </w:pPr>
    <w:r w:rsidRPr="00422FDF">
      <w:t xml:space="preserve">Page </w:t>
    </w:r>
    <w:r w:rsidRPr="00422FDF">
      <w:rPr>
        <w:bCs/>
      </w:rPr>
      <w:fldChar w:fldCharType="begin"/>
    </w:r>
    <w:r w:rsidRPr="00422FDF">
      <w:rPr>
        <w:bCs/>
      </w:rPr>
      <w:instrText xml:space="preserve"> PAGE  \* Arabic  \* MERGEFORMAT </w:instrText>
    </w:r>
    <w:r w:rsidRPr="00422FDF">
      <w:rPr>
        <w:bCs/>
      </w:rPr>
      <w:fldChar w:fldCharType="separate"/>
    </w:r>
    <w:r w:rsidR="00107595">
      <w:rPr>
        <w:bCs/>
        <w:noProof/>
      </w:rPr>
      <w:t>1</w:t>
    </w:r>
    <w:r w:rsidRPr="00422FDF">
      <w:rPr>
        <w:bCs/>
      </w:rPr>
      <w:fldChar w:fldCharType="end"/>
    </w:r>
    <w:r w:rsidRPr="00422FDF">
      <w:t xml:space="preserve"> of </w:t>
    </w:r>
    <w:r w:rsidR="00151F78"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01970"/>
    <w:multiLevelType w:val="hybridMultilevel"/>
    <w:tmpl w:val="D598C27E"/>
    <w:lvl w:ilvl="0" w:tplc="FE56DB62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651AFD"/>
    <w:multiLevelType w:val="hybridMultilevel"/>
    <w:tmpl w:val="A67C8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47607C"/>
    <w:multiLevelType w:val="hybridMultilevel"/>
    <w:tmpl w:val="56E4C806"/>
    <w:lvl w:ilvl="0" w:tplc="A296F234">
      <w:start w:val="1"/>
      <w:numFmt w:val="decimal"/>
      <w:lvlText w:val="(%1)"/>
      <w:lvlJc w:val="left"/>
      <w:pPr>
        <w:ind w:left="720" w:hanging="360"/>
      </w:pPr>
      <w:rPr>
        <w:rFonts w:eastAsia="SimSun" w:cs="Calibr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410E2"/>
    <w:multiLevelType w:val="hybridMultilevel"/>
    <w:tmpl w:val="4C9425E8"/>
    <w:lvl w:ilvl="0" w:tplc="97922C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7815BD"/>
    <w:multiLevelType w:val="hybridMultilevel"/>
    <w:tmpl w:val="AF668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E29425E"/>
    <w:multiLevelType w:val="hybridMultilevel"/>
    <w:tmpl w:val="D7300498"/>
    <w:lvl w:ilvl="0" w:tplc="62CA58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6"/>
  </w:num>
  <w:num w:numId="5">
    <w:abstractNumId w:val="8"/>
  </w:num>
  <w:num w:numId="6">
    <w:abstractNumId w:val="0"/>
  </w:num>
  <w:num w:numId="7">
    <w:abstractNumId w:val="3"/>
  </w:num>
  <w:num w:numId="8">
    <w:abstractNumId w:val="10"/>
  </w:num>
  <w:num w:numId="9">
    <w:abstractNumId w:val="5"/>
  </w:num>
  <w:num w:numId="10">
    <w:abstractNumId w:val="12"/>
  </w:num>
  <w:num w:numId="11">
    <w:abstractNumId w:val="1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7B"/>
    <w:rsid w:val="00003711"/>
    <w:rsid w:val="000040D5"/>
    <w:rsid w:val="000324AD"/>
    <w:rsid w:val="00057C32"/>
    <w:rsid w:val="000601CF"/>
    <w:rsid w:val="0006198F"/>
    <w:rsid w:val="00066F69"/>
    <w:rsid w:val="000E09DC"/>
    <w:rsid w:val="000E21D6"/>
    <w:rsid w:val="000E51A1"/>
    <w:rsid w:val="001048F3"/>
    <w:rsid w:val="00107595"/>
    <w:rsid w:val="00111E70"/>
    <w:rsid w:val="00124868"/>
    <w:rsid w:val="00130059"/>
    <w:rsid w:val="00140296"/>
    <w:rsid w:val="00151F78"/>
    <w:rsid w:val="00161861"/>
    <w:rsid w:val="001751DF"/>
    <w:rsid w:val="001810D1"/>
    <w:rsid w:val="0018148D"/>
    <w:rsid w:val="001A0CA5"/>
    <w:rsid w:val="001A1987"/>
    <w:rsid w:val="001A36C7"/>
    <w:rsid w:val="001B3958"/>
    <w:rsid w:val="001B4746"/>
    <w:rsid w:val="001C304A"/>
    <w:rsid w:val="001E1929"/>
    <w:rsid w:val="00206BC6"/>
    <w:rsid w:val="00221541"/>
    <w:rsid w:val="00223112"/>
    <w:rsid w:val="00227BBD"/>
    <w:rsid w:val="00240B26"/>
    <w:rsid w:val="00256756"/>
    <w:rsid w:val="00272419"/>
    <w:rsid w:val="002A67CC"/>
    <w:rsid w:val="002A6EBD"/>
    <w:rsid w:val="002B4B14"/>
    <w:rsid w:val="002B51B1"/>
    <w:rsid w:val="002B535B"/>
    <w:rsid w:val="002C103D"/>
    <w:rsid w:val="002C27CB"/>
    <w:rsid w:val="002C3182"/>
    <w:rsid w:val="002D1A82"/>
    <w:rsid w:val="002E4CB5"/>
    <w:rsid w:val="002E6FCA"/>
    <w:rsid w:val="002F279B"/>
    <w:rsid w:val="003034B2"/>
    <w:rsid w:val="003121B0"/>
    <w:rsid w:val="00315131"/>
    <w:rsid w:val="00325B21"/>
    <w:rsid w:val="00363520"/>
    <w:rsid w:val="003705FC"/>
    <w:rsid w:val="00384ACF"/>
    <w:rsid w:val="00397997"/>
    <w:rsid w:val="003D1ECD"/>
    <w:rsid w:val="003E1E8D"/>
    <w:rsid w:val="003E4DF7"/>
    <w:rsid w:val="00400FDF"/>
    <w:rsid w:val="00402B0D"/>
    <w:rsid w:val="00406F50"/>
    <w:rsid w:val="00407E9B"/>
    <w:rsid w:val="00412343"/>
    <w:rsid w:val="004203BC"/>
    <w:rsid w:val="00422FDF"/>
    <w:rsid w:val="00423EA1"/>
    <w:rsid w:val="00437555"/>
    <w:rsid w:val="0044670C"/>
    <w:rsid w:val="0047534A"/>
    <w:rsid w:val="00482612"/>
    <w:rsid w:val="00483B3D"/>
    <w:rsid w:val="004A182B"/>
    <w:rsid w:val="004A4A38"/>
    <w:rsid w:val="004B6069"/>
    <w:rsid w:val="004C2991"/>
    <w:rsid w:val="004E029B"/>
    <w:rsid w:val="00512974"/>
    <w:rsid w:val="00517C00"/>
    <w:rsid w:val="00527B0E"/>
    <w:rsid w:val="00527F60"/>
    <w:rsid w:val="00561D5C"/>
    <w:rsid w:val="00570C22"/>
    <w:rsid w:val="00580589"/>
    <w:rsid w:val="005912E3"/>
    <w:rsid w:val="005A690B"/>
    <w:rsid w:val="005B0465"/>
    <w:rsid w:val="005B7AA0"/>
    <w:rsid w:val="005C488A"/>
    <w:rsid w:val="005F7CA9"/>
    <w:rsid w:val="00600D03"/>
    <w:rsid w:val="0061121E"/>
    <w:rsid w:val="00653E5D"/>
    <w:rsid w:val="00665BCC"/>
    <w:rsid w:val="00692300"/>
    <w:rsid w:val="00693951"/>
    <w:rsid w:val="006A519A"/>
    <w:rsid w:val="006B2111"/>
    <w:rsid w:val="006C0720"/>
    <w:rsid w:val="006C1E1F"/>
    <w:rsid w:val="006D0223"/>
    <w:rsid w:val="006E06C6"/>
    <w:rsid w:val="00726EDA"/>
    <w:rsid w:val="00730996"/>
    <w:rsid w:val="007313A3"/>
    <w:rsid w:val="007428B8"/>
    <w:rsid w:val="00746164"/>
    <w:rsid w:val="0075063B"/>
    <w:rsid w:val="00761814"/>
    <w:rsid w:val="00780BB6"/>
    <w:rsid w:val="007A709E"/>
    <w:rsid w:val="007C1129"/>
    <w:rsid w:val="007C5697"/>
    <w:rsid w:val="007D6A8F"/>
    <w:rsid w:val="008057BD"/>
    <w:rsid w:val="0082578B"/>
    <w:rsid w:val="008275E7"/>
    <w:rsid w:val="0083446D"/>
    <w:rsid w:val="0085376B"/>
    <w:rsid w:val="00853D7E"/>
    <w:rsid w:val="008909EE"/>
    <w:rsid w:val="0089131A"/>
    <w:rsid w:val="008A334C"/>
    <w:rsid w:val="008B3B80"/>
    <w:rsid w:val="008C07BF"/>
    <w:rsid w:val="008C2F26"/>
    <w:rsid w:val="0091117B"/>
    <w:rsid w:val="009229A0"/>
    <w:rsid w:val="00945352"/>
    <w:rsid w:val="00962A25"/>
    <w:rsid w:val="00966B04"/>
    <w:rsid w:val="00974B5C"/>
    <w:rsid w:val="009804C2"/>
    <w:rsid w:val="009A4AC4"/>
    <w:rsid w:val="009B04E1"/>
    <w:rsid w:val="009B46C5"/>
    <w:rsid w:val="009C5F44"/>
    <w:rsid w:val="009D5028"/>
    <w:rsid w:val="009E0833"/>
    <w:rsid w:val="00A07F42"/>
    <w:rsid w:val="00A16315"/>
    <w:rsid w:val="00A23C62"/>
    <w:rsid w:val="00A24233"/>
    <w:rsid w:val="00A30B3C"/>
    <w:rsid w:val="00A61AA9"/>
    <w:rsid w:val="00A7582A"/>
    <w:rsid w:val="00A86B0E"/>
    <w:rsid w:val="00A9416D"/>
    <w:rsid w:val="00AA303D"/>
    <w:rsid w:val="00AA353C"/>
    <w:rsid w:val="00AA3AA1"/>
    <w:rsid w:val="00B224CA"/>
    <w:rsid w:val="00B723BE"/>
    <w:rsid w:val="00B82705"/>
    <w:rsid w:val="00BA7FF6"/>
    <w:rsid w:val="00BC1DF4"/>
    <w:rsid w:val="00BD5D5D"/>
    <w:rsid w:val="00C05A0F"/>
    <w:rsid w:val="00C17EEB"/>
    <w:rsid w:val="00C25057"/>
    <w:rsid w:val="00C27D57"/>
    <w:rsid w:val="00C31403"/>
    <w:rsid w:val="00C31710"/>
    <w:rsid w:val="00C52590"/>
    <w:rsid w:val="00C600A3"/>
    <w:rsid w:val="00C75CA4"/>
    <w:rsid w:val="00C82CBA"/>
    <w:rsid w:val="00CA2378"/>
    <w:rsid w:val="00CA6B5A"/>
    <w:rsid w:val="00CE1C84"/>
    <w:rsid w:val="00CF0270"/>
    <w:rsid w:val="00D009B2"/>
    <w:rsid w:val="00D068AB"/>
    <w:rsid w:val="00D2798A"/>
    <w:rsid w:val="00D47088"/>
    <w:rsid w:val="00D47DAB"/>
    <w:rsid w:val="00D50606"/>
    <w:rsid w:val="00D5115F"/>
    <w:rsid w:val="00D5551C"/>
    <w:rsid w:val="00D8667C"/>
    <w:rsid w:val="00D86AB9"/>
    <w:rsid w:val="00DA070F"/>
    <w:rsid w:val="00DA25F0"/>
    <w:rsid w:val="00DA6F43"/>
    <w:rsid w:val="00DB40D2"/>
    <w:rsid w:val="00DE2894"/>
    <w:rsid w:val="00DF1F6F"/>
    <w:rsid w:val="00E30FB8"/>
    <w:rsid w:val="00E67AC1"/>
    <w:rsid w:val="00E77433"/>
    <w:rsid w:val="00E81BE3"/>
    <w:rsid w:val="00EA6408"/>
    <w:rsid w:val="00EA7D4F"/>
    <w:rsid w:val="00EB16F7"/>
    <w:rsid w:val="00EC504C"/>
    <w:rsid w:val="00ED18FD"/>
    <w:rsid w:val="00F40510"/>
    <w:rsid w:val="00F45DC7"/>
    <w:rsid w:val="00F5470C"/>
    <w:rsid w:val="00F7139A"/>
    <w:rsid w:val="00F758B3"/>
    <w:rsid w:val="00F8583B"/>
    <w:rsid w:val="00FA2F2D"/>
    <w:rsid w:val="00FC1CA0"/>
    <w:rsid w:val="00FC1FCE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|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uiPriority w:val="99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506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51F7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51F78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51F78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600D0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de.ca.gov/be/ag/ag/yr18/agenda201801.asp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hyperlink" Target="https://www.cde.ca.gov/be/pn/im/infomemofeb2018.asp" TargetMode="External"/><Relationship Id="rId17" Type="http://schemas.openxmlformats.org/officeDocument/2006/relationships/hyperlink" Target="https://www.cde.ca.gov/be/ag/ag/yr17/documents/sep17item18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de.ca.gov/be/pn/im/documents/memo-pptb-adad-oct17item01.doc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be/ag/ag/yr18/agenda201803.as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de.ca.gov/be/ag/ag/yr17/documents/nov17item08.doc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cde.ca.gov/be/pn/im/infomemoapr2018.asp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cde.ca.gov/be/pn/im/documents/memo-pptb-adad-dec17item03.doc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4751C-A36B-4C76-8110-DBD161B77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635</TotalTime>
  <Pages>1</Pages>
  <Words>1604</Words>
  <Characters>9147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May 2018 Agenda Item 04 - Meeting Agendas (CA State Board of Education)</vt:lpstr>
    </vt:vector>
  </TitlesOfParts>
  <Company>California State Board of Education</Company>
  <LinksUpToDate>false</LinksUpToDate>
  <CharactersWithSpaces>10730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 2018 Agenda Item 04 - Meeting Agendas (CA State Board of Education)</dc:title>
  <dc:subject>English Language Proficiency Assessments for California: Approve the Operational Initial Assessment Threshold Scores and Composite Weights for the English Language Proficiency Assessments for California.</dc:subject>
  <dc:creator>Kathleen Souza</dc:creator>
  <cp:keywords/>
  <dc:description/>
  <cp:revision>112</cp:revision>
  <cp:lastPrinted>2018-04-24T20:13:00Z</cp:lastPrinted>
  <dcterms:created xsi:type="dcterms:W3CDTF">2018-03-01T19:35:00Z</dcterms:created>
  <dcterms:modified xsi:type="dcterms:W3CDTF">2018-04-27T18:11:00Z</dcterms:modified>
  <cp:category/>
</cp:coreProperties>
</file>