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2C45F" w14:textId="77777777" w:rsidR="00057A96" w:rsidRPr="005D1DE0" w:rsidRDefault="00057A96" w:rsidP="005600D4">
      <w:bookmarkStart w:id="0" w:name="_GoBack"/>
      <w:bookmarkEnd w:id="0"/>
      <w:r w:rsidRPr="005D1DE0">
        <w:t>California Department of Education</w:t>
      </w:r>
    </w:p>
    <w:p w14:paraId="1BE44841" w14:textId="77777777" w:rsidR="005600D4" w:rsidRPr="005D1DE0" w:rsidRDefault="00057A96" w:rsidP="005600D4">
      <w:r w:rsidRPr="005D1DE0">
        <w:t>Executive Office</w:t>
      </w:r>
    </w:p>
    <w:p w14:paraId="1FB4B3FE" w14:textId="77777777" w:rsidR="00057A96" w:rsidRPr="005D1DE0" w:rsidRDefault="005600D4" w:rsidP="005600D4">
      <w:r w:rsidRPr="005D1DE0">
        <w:t>SBE-004 (REV. 1</w:t>
      </w:r>
      <w:r w:rsidR="00116201" w:rsidRPr="005D1DE0">
        <w:t>1</w:t>
      </w:r>
      <w:r w:rsidRPr="005D1DE0">
        <w:t>/2017)</w:t>
      </w:r>
    </w:p>
    <w:p w14:paraId="7269CA99" w14:textId="77777777" w:rsidR="00F077D1" w:rsidRPr="005D1DE0" w:rsidRDefault="005600D4" w:rsidP="00F077D1">
      <w:pPr>
        <w:jc w:val="right"/>
      </w:pPr>
      <w:r w:rsidRPr="005D1DE0">
        <w:br w:type="column"/>
      </w:r>
      <w:r w:rsidR="00F077D1" w:rsidRPr="005D1DE0">
        <w:t>addendum01-</w:t>
      </w:r>
      <w:r w:rsidR="0043619E">
        <w:t>jan20</w:t>
      </w:r>
      <w:r w:rsidR="00F00043" w:rsidRPr="005D1DE0">
        <w:t>item</w:t>
      </w:r>
      <w:r w:rsidR="0043619E">
        <w:t>10</w:t>
      </w:r>
    </w:p>
    <w:p w14:paraId="5F8E39AE" w14:textId="77777777" w:rsidR="00057A96" w:rsidRPr="005D1DE0" w:rsidRDefault="00057A96" w:rsidP="005600D4"/>
    <w:p w14:paraId="6E47A9D7" w14:textId="77777777"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BA5D2F">
          <w:headerReference w:type="default" r:id="rId8"/>
          <w:type w:val="continuous"/>
          <w:pgSz w:w="12240" w:h="15840"/>
          <w:pgMar w:top="720" w:right="1440" w:bottom="1440" w:left="1440" w:header="720" w:footer="720" w:gutter="0"/>
          <w:cols w:num="2" w:space="144" w:equalWidth="0">
            <w:col w:w="5760" w:space="144"/>
            <w:col w:w="3456"/>
          </w:cols>
          <w:titlePg/>
          <w:docGrid w:linePitch="326"/>
        </w:sectPr>
      </w:pPr>
    </w:p>
    <w:p w14:paraId="4E4B90F2" w14:textId="77777777"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14:paraId="440466DC" w14:textId="77777777" w:rsidR="004C31A0" w:rsidRDefault="00005FFA" w:rsidP="0019017B">
      <w:pPr>
        <w:pStyle w:val="MessageHeader"/>
      </w:pPr>
      <w:r w:rsidRPr="005D1DE0">
        <w:rPr>
          <w:b/>
        </w:rPr>
        <w:t>DATE:</w:t>
      </w:r>
      <w:r w:rsidRPr="005D1DE0">
        <w:tab/>
      </w:r>
      <w:r w:rsidR="004C31A0">
        <w:t>January 7, 2020</w:t>
      </w:r>
    </w:p>
    <w:p w14:paraId="77EAE2AE" w14:textId="77777777" w:rsidR="00057A96" w:rsidRPr="005D1DE0" w:rsidRDefault="00005FFA" w:rsidP="0019017B">
      <w:pPr>
        <w:pStyle w:val="MessageHeader"/>
      </w:pPr>
      <w:r w:rsidRPr="005D1DE0">
        <w:rPr>
          <w:b/>
        </w:rPr>
        <w:t>TO:</w:t>
      </w:r>
      <w:r w:rsidRPr="005D1DE0">
        <w:rPr>
          <w:b/>
        </w:rPr>
        <w:tab/>
      </w:r>
      <w:r w:rsidR="00057A96" w:rsidRPr="005D1DE0">
        <w:t>MEMBERS, State Board of Education</w:t>
      </w:r>
    </w:p>
    <w:p w14:paraId="09072879" w14:textId="77777777" w:rsidR="0043619E" w:rsidRPr="00005FFA" w:rsidRDefault="0043619E" w:rsidP="0019017B">
      <w:pPr>
        <w:pStyle w:val="MessageHeader"/>
      </w:pPr>
      <w:r w:rsidRPr="00005FFA">
        <w:rPr>
          <w:b/>
        </w:rPr>
        <w:t>FROM:</w:t>
      </w:r>
      <w:r w:rsidRPr="00005FFA">
        <w:rPr>
          <w:b/>
        </w:rPr>
        <w:tab/>
      </w:r>
      <w:r>
        <w:t>TONY THURMOND</w:t>
      </w:r>
      <w:r w:rsidRPr="00005FFA">
        <w:t>, State Superintendent of Public Instruction</w:t>
      </w:r>
    </w:p>
    <w:p w14:paraId="72A855CA" w14:textId="77777777" w:rsidR="0043619E" w:rsidRPr="00005FFA" w:rsidRDefault="0043619E" w:rsidP="0019017B">
      <w:pPr>
        <w:pStyle w:val="MessageHeader"/>
      </w:pPr>
      <w:r w:rsidRPr="00005FFA">
        <w:rPr>
          <w:b/>
        </w:rPr>
        <w:t>SUBJECT:</w:t>
      </w:r>
      <w:r w:rsidRPr="00005FFA">
        <w:rPr>
          <w:b/>
        </w:rPr>
        <w:tab/>
      </w:r>
      <w:r w:rsidRPr="00536728">
        <w:t xml:space="preserve">Item 10 — </w:t>
      </w:r>
      <w:r w:rsidRPr="00016794">
        <w:rPr>
          <w:rFonts w:cs="Arial"/>
          <w:color w:val="000000"/>
          <w:lang w:val="en"/>
        </w:rPr>
        <w:t>Development of the Draft Federal Perkins V State Plan for Career Technical Education</w:t>
      </w:r>
      <w:r w:rsidR="0063136A">
        <w:rPr>
          <w:rFonts w:cs="Arial"/>
          <w:color w:val="000000"/>
          <w:lang w:val="en"/>
        </w:rPr>
        <w:t>.</w:t>
      </w:r>
    </w:p>
    <w:p w14:paraId="3EF00A30" w14:textId="77777777" w:rsidR="0043619E" w:rsidRPr="00005FFA" w:rsidRDefault="0043619E" w:rsidP="0043619E">
      <w:pPr>
        <w:pStyle w:val="Heading2"/>
        <w:spacing w:before="240" w:line="360" w:lineRule="auto"/>
        <w:rPr>
          <w:sz w:val="36"/>
        </w:rPr>
      </w:pPr>
      <w:r w:rsidRPr="00005FFA">
        <w:rPr>
          <w:sz w:val="36"/>
        </w:rPr>
        <w:t>Summary of Key Issues</w:t>
      </w:r>
    </w:p>
    <w:p w14:paraId="2B6DCC13" w14:textId="4282948D" w:rsidR="008F7153" w:rsidRDefault="00811C09" w:rsidP="00603767">
      <w:pPr>
        <w:spacing w:after="100" w:afterAutospacing="1"/>
        <w:rPr>
          <w:rFonts w:cs="Arial"/>
        </w:rPr>
      </w:pPr>
      <w:r>
        <w:rPr>
          <w:rFonts w:cs="Arial"/>
        </w:rPr>
        <w:t>In</w:t>
      </w:r>
      <w:r w:rsidR="0043619E">
        <w:rPr>
          <w:rFonts w:cs="Arial"/>
        </w:rPr>
        <w:t xml:space="preserve"> response to </w:t>
      </w:r>
      <w:r>
        <w:rPr>
          <w:rFonts w:cs="Arial"/>
        </w:rPr>
        <w:t xml:space="preserve">federal </w:t>
      </w:r>
      <w:r w:rsidR="0043619E">
        <w:rPr>
          <w:rFonts w:cs="Arial"/>
        </w:rPr>
        <w:t xml:space="preserve">prompts under the major strand, Accountability of Results (pp. 132–145 of the Draft Federal Perkins V State Plan for Career Technical Education), </w:t>
      </w:r>
      <w:r>
        <w:rPr>
          <w:rFonts w:cs="Arial"/>
        </w:rPr>
        <w:t xml:space="preserve">each </w:t>
      </w:r>
      <w:r w:rsidR="0043619E">
        <w:rPr>
          <w:rFonts w:cs="Arial"/>
        </w:rPr>
        <w:t xml:space="preserve">state </w:t>
      </w:r>
      <w:r>
        <w:rPr>
          <w:rFonts w:cs="Arial"/>
        </w:rPr>
        <w:t xml:space="preserve">applying for federal Perkins funds </w:t>
      </w:r>
      <w:r w:rsidR="0043619E">
        <w:rPr>
          <w:rFonts w:cs="Arial"/>
        </w:rPr>
        <w:t>is expected to complete the State-Developed Performance Levels (SDPLs) form</w:t>
      </w:r>
      <w:r>
        <w:rPr>
          <w:rFonts w:cs="Arial"/>
        </w:rPr>
        <w:t xml:space="preserve">, which includes information on the following </w:t>
      </w:r>
      <w:r w:rsidR="00506B42">
        <w:rPr>
          <w:rFonts w:cs="Arial"/>
        </w:rPr>
        <w:t xml:space="preserve">ten </w:t>
      </w:r>
      <w:r>
        <w:rPr>
          <w:rFonts w:cs="Arial"/>
        </w:rPr>
        <w:t>indicators:</w:t>
      </w:r>
    </w:p>
    <w:p w14:paraId="19C3AB2E" w14:textId="3C03ABCA" w:rsidR="00811C09" w:rsidRPr="000D3A9C" w:rsidRDefault="008F7153" w:rsidP="0043619E">
      <w:pPr>
        <w:rPr>
          <w:rFonts w:cs="Arial"/>
          <w:u w:val="single"/>
        </w:rPr>
      </w:pPr>
      <w:r w:rsidRPr="000D3A9C">
        <w:rPr>
          <w:rFonts w:cs="Arial"/>
          <w:u w:val="single"/>
        </w:rPr>
        <w:t xml:space="preserve">Secondary Indicators </w:t>
      </w:r>
    </w:p>
    <w:p w14:paraId="028AD217" w14:textId="7DAA27B5" w:rsidR="00811C09" w:rsidRDefault="008F7153" w:rsidP="000D3A9C">
      <w:pPr>
        <w:pStyle w:val="ListParagraph"/>
        <w:numPr>
          <w:ilvl w:val="0"/>
          <w:numId w:val="13"/>
        </w:numPr>
        <w:rPr>
          <w:rFonts w:cs="Arial"/>
        </w:rPr>
      </w:pPr>
      <w:r>
        <w:rPr>
          <w:rFonts w:cs="Arial"/>
        </w:rPr>
        <w:t>1S1: Four Year Graduation Rate</w:t>
      </w:r>
    </w:p>
    <w:p w14:paraId="22AA6FAF" w14:textId="739AC620" w:rsidR="00811C09" w:rsidRDefault="008F7153" w:rsidP="000D3A9C">
      <w:pPr>
        <w:pStyle w:val="ListParagraph"/>
        <w:numPr>
          <w:ilvl w:val="0"/>
          <w:numId w:val="13"/>
        </w:numPr>
        <w:rPr>
          <w:rFonts w:cs="Arial"/>
        </w:rPr>
      </w:pPr>
      <w:r>
        <w:rPr>
          <w:rFonts w:cs="Arial"/>
        </w:rPr>
        <w:t>1S2: Extended Graduation Rate (Optional)</w:t>
      </w:r>
    </w:p>
    <w:p w14:paraId="7F8B504F" w14:textId="0DE12F9E" w:rsidR="00811C09" w:rsidRDefault="008F7153">
      <w:pPr>
        <w:pStyle w:val="ListParagraph"/>
        <w:numPr>
          <w:ilvl w:val="0"/>
          <w:numId w:val="13"/>
        </w:numPr>
        <w:rPr>
          <w:rFonts w:cs="Arial"/>
        </w:rPr>
      </w:pPr>
      <w:r>
        <w:rPr>
          <w:rFonts w:cs="Arial"/>
        </w:rPr>
        <w:t>2S1: Academic Proficiency in Reading Language Arts</w:t>
      </w:r>
    </w:p>
    <w:p w14:paraId="12EC6664" w14:textId="3DF5D78B" w:rsidR="008F7153" w:rsidRDefault="00506B42">
      <w:pPr>
        <w:pStyle w:val="ListParagraph"/>
        <w:numPr>
          <w:ilvl w:val="0"/>
          <w:numId w:val="13"/>
        </w:numPr>
        <w:rPr>
          <w:rFonts w:cs="Arial"/>
        </w:rPr>
      </w:pPr>
      <w:r>
        <w:rPr>
          <w:rFonts w:cs="Arial"/>
        </w:rPr>
        <w:t xml:space="preserve">2S2: </w:t>
      </w:r>
      <w:r w:rsidR="008F7153">
        <w:rPr>
          <w:rFonts w:cs="Arial"/>
        </w:rPr>
        <w:t>Academic Proficiency in Mathematics</w:t>
      </w:r>
    </w:p>
    <w:p w14:paraId="0D185B39" w14:textId="49502305" w:rsidR="008F7153" w:rsidRDefault="00506B42" w:rsidP="000D3A9C">
      <w:pPr>
        <w:pStyle w:val="ListParagraph"/>
        <w:numPr>
          <w:ilvl w:val="0"/>
          <w:numId w:val="13"/>
        </w:numPr>
        <w:rPr>
          <w:rFonts w:cs="Arial"/>
        </w:rPr>
      </w:pPr>
      <w:r>
        <w:rPr>
          <w:rFonts w:cs="Arial"/>
        </w:rPr>
        <w:t xml:space="preserve">2S3: </w:t>
      </w:r>
      <w:r w:rsidR="008F7153">
        <w:rPr>
          <w:rFonts w:cs="Arial"/>
        </w:rPr>
        <w:t xml:space="preserve">Academic Proficiency in Science </w:t>
      </w:r>
    </w:p>
    <w:p w14:paraId="1E94DF56" w14:textId="46259BAE" w:rsidR="00811C09" w:rsidRDefault="008F7153">
      <w:pPr>
        <w:pStyle w:val="ListParagraph"/>
        <w:numPr>
          <w:ilvl w:val="0"/>
          <w:numId w:val="13"/>
        </w:numPr>
        <w:rPr>
          <w:rFonts w:cs="Arial"/>
        </w:rPr>
      </w:pPr>
      <w:r>
        <w:rPr>
          <w:rFonts w:cs="Arial"/>
        </w:rPr>
        <w:t>3S1: Post-Program Placement</w:t>
      </w:r>
    </w:p>
    <w:p w14:paraId="2BD24EDC" w14:textId="64DB5B2C" w:rsidR="008F7153" w:rsidRDefault="008F7153">
      <w:pPr>
        <w:pStyle w:val="ListParagraph"/>
        <w:numPr>
          <w:ilvl w:val="0"/>
          <w:numId w:val="13"/>
        </w:numPr>
        <w:rPr>
          <w:rFonts w:cs="Arial"/>
        </w:rPr>
      </w:pPr>
      <w:r>
        <w:rPr>
          <w:rFonts w:cs="Arial"/>
        </w:rPr>
        <w:t>4S1: Non-</w:t>
      </w:r>
      <w:r w:rsidR="00506B42">
        <w:rPr>
          <w:rFonts w:cs="Arial"/>
        </w:rPr>
        <w:t>t</w:t>
      </w:r>
      <w:r>
        <w:rPr>
          <w:rFonts w:cs="Arial"/>
        </w:rPr>
        <w:t>raditional Program Concentration</w:t>
      </w:r>
    </w:p>
    <w:p w14:paraId="5A114F6B" w14:textId="6520969B" w:rsidR="008F7153" w:rsidRDefault="008F7153" w:rsidP="008F7153">
      <w:pPr>
        <w:pStyle w:val="ListParagraph"/>
        <w:rPr>
          <w:rFonts w:cs="Arial"/>
        </w:rPr>
      </w:pPr>
    </w:p>
    <w:p w14:paraId="2E3EB73D" w14:textId="703B1673" w:rsidR="008F7153" w:rsidRDefault="008F7153" w:rsidP="000D3A9C">
      <w:pPr>
        <w:pStyle w:val="ListParagraph"/>
        <w:ind w:left="360"/>
        <w:rPr>
          <w:rFonts w:cs="Arial"/>
        </w:rPr>
      </w:pPr>
      <w:r>
        <w:rPr>
          <w:rFonts w:cs="Arial"/>
        </w:rPr>
        <w:t xml:space="preserve">State has to choose one of the following: </w:t>
      </w:r>
    </w:p>
    <w:p w14:paraId="206C7044" w14:textId="32574575" w:rsidR="008F7153" w:rsidRDefault="008F7153" w:rsidP="000D3A9C">
      <w:pPr>
        <w:pStyle w:val="ListParagraph"/>
        <w:numPr>
          <w:ilvl w:val="0"/>
          <w:numId w:val="13"/>
        </w:numPr>
        <w:rPr>
          <w:rFonts w:cs="Arial"/>
        </w:rPr>
      </w:pPr>
      <w:r>
        <w:rPr>
          <w:rFonts w:cs="Arial"/>
        </w:rPr>
        <w:t>5S1: Program Quality – Attained Recognized Postsecondary Credential</w:t>
      </w:r>
    </w:p>
    <w:p w14:paraId="05182C07" w14:textId="42B17380" w:rsidR="008F7153" w:rsidRDefault="008F7153" w:rsidP="008F7153">
      <w:pPr>
        <w:pStyle w:val="ListParagraph"/>
        <w:numPr>
          <w:ilvl w:val="0"/>
          <w:numId w:val="13"/>
        </w:numPr>
        <w:rPr>
          <w:rFonts w:cs="Arial"/>
        </w:rPr>
      </w:pPr>
      <w:r>
        <w:rPr>
          <w:rFonts w:cs="Arial"/>
        </w:rPr>
        <w:t>5S2: Program Quality – Attained Postsecondary Credits</w:t>
      </w:r>
    </w:p>
    <w:p w14:paraId="0FC8849D" w14:textId="4B63C522" w:rsidR="008F7153" w:rsidRDefault="008F7153" w:rsidP="008F7153">
      <w:pPr>
        <w:pStyle w:val="ListParagraph"/>
        <w:numPr>
          <w:ilvl w:val="0"/>
          <w:numId w:val="13"/>
        </w:numPr>
        <w:rPr>
          <w:rFonts w:cs="Arial"/>
        </w:rPr>
      </w:pPr>
      <w:r>
        <w:rPr>
          <w:rFonts w:cs="Arial"/>
        </w:rPr>
        <w:t xml:space="preserve">5S3: Program Quality – Participated in </w:t>
      </w:r>
      <w:r w:rsidR="00506B42">
        <w:rPr>
          <w:rFonts w:cs="Arial"/>
        </w:rPr>
        <w:t>W</w:t>
      </w:r>
      <w:r>
        <w:rPr>
          <w:rFonts w:cs="Arial"/>
        </w:rPr>
        <w:t>ork-Based Learning</w:t>
      </w:r>
    </w:p>
    <w:p w14:paraId="5048AACD" w14:textId="4D8E84B0" w:rsidR="00811C09" w:rsidRDefault="00811C09" w:rsidP="00506B42">
      <w:pPr>
        <w:pStyle w:val="ListParagraph"/>
        <w:rPr>
          <w:rFonts w:cs="Arial"/>
        </w:rPr>
      </w:pPr>
    </w:p>
    <w:p w14:paraId="6CBB9C2C" w14:textId="0A5D1E0D" w:rsidR="00506B42" w:rsidRDefault="00506B42" w:rsidP="00603767">
      <w:pPr>
        <w:spacing w:after="100" w:afterAutospacing="1"/>
        <w:rPr>
          <w:rFonts w:cs="Arial"/>
        </w:rPr>
      </w:pPr>
      <w:r w:rsidRPr="000D3A9C">
        <w:rPr>
          <w:rFonts w:cs="Arial"/>
        </w:rPr>
        <w:t>California has decided to choose the 5S2: Program Quality – Attained Postsecondary Credits</w:t>
      </w:r>
    </w:p>
    <w:p w14:paraId="759ADF29" w14:textId="2689AA75" w:rsidR="00506B42" w:rsidRPr="000F62B2" w:rsidRDefault="00506B42" w:rsidP="00603767">
      <w:pPr>
        <w:spacing w:after="100" w:afterAutospacing="1"/>
        <w:rPr>
          <w:rFonts w:cs="Arial"/>
          <w:u w:val="single"/>
        </w:rPr>
      </w:pPr>
      <w:r>
        <w:rPr>
          <w:rFonts w:cs="Arial"/>
          <w:u w:val="single"/>
        </w:rPr>
        <w:t>Post-</w:t>
      </w:r>
      <w:r w:rsidRPr="000F62B2">
        <w:rPr>
          <w:rFonts w:cs="Arial"/>
          <w:u w:val="single"/>
        </w:rPr>
        <w:t>Secondary Indicators</w:t>
      </w:r>
    </w:p>
    <w:p w14:paraId="0ECD5C08" w14:textId="3A36DAC4" w:rsidR="00811C09" w:rsidRDefault="00506B42" w:rsidP="000D3A9C">
      <w:pPr>
        <w:pStyle w:val="ListParagraph"/>
        <w:numPr>
          <w:ilvl w:val="0"/>
          <w:numId w:val="13"/>
        </w:numPr>
        <w:rPr>
          <w:rFonts w:cs="Arial"/>
        </w:rPr>
      </w:pPr>
      <w:r>
        <w:rPr>
          <w:rFonts w:cs="Arial"/>
        </w:rPr>
        <w:t>1P1: Post-Program Placement</w:t>
      </w:r>
    </w:p>
    <w:p w14:paraId="77506569" w14:textId="3A665560" w:rsidR="00811C09" w:rsidRDefault="00506B42">
      <w:pPr>
        <w:pStyle w:val="ListParagraph"/>
        <w:numPr>
          <w:ilvl w:val="0"/>
          <w:numId w:val="13"/>
        </w:numPr>
        <w:rPr>
          <w:rFonts w:cs="Arial"/>
        </w:rPr>
      </w:pPr>
      <w:r>
        <w:rPr>
          <w:rFonts w:cs="Arial"/>
        </w:rPr>
        <w:t>2P1: Earned Recognized Post-Secondary Credential</w:t>
      </w:r>
    </w:p>
    <w:p w14:paraId="02E61C85" w14:textId="4081656D" w:rsidR="00506B42" w:rsidRDefault="00506B42" w:rsidP="000D3A9C">
      <w:pPr>
        <w:pStyle w:val="ListParagraph"/>
        <w:numPr>
          <w:ilvl w:val="0"/>
          <w:numId w:val="13"/>
        </w:numPr>
        <w:rPr>
          <w:rFonts w:cs="Arial"/>
        </w:rPr>
      </w:pPr>
      <w:r>
        <w:rPr>
          <w:rFonts w:cs="Arial"/>
        </w:rPr>
        <w:t>3P1: Non-traditional Program Concentration</w:t>
      </w:r>
    </w:p>
    <w:p w14:paraId="2F98FB05" w14:textId="3156A081" w:rsidR="00A84DED" w:rsidRDefault="0043619E" w:rsidP="00603767">
      <w:pPr>
        <w:spacing w:after="100" w:afterAutospacing="1"/>
        <w:rPr>
          <w:rFonts w:cs="Arial"/>
        </w:rPr>
      </w:pPr>
      <w:r w:rsidRPr="00811C09">
        <w:rPr>
          <w:rFonts w:cs="Arial"/>
        </w:rPr>
        <w:lastRenderedPageBreak/>
        <w:t xml:space="preserve">For each of the </w:t>
      </w:r>
      <w:r w:rsidR="00506B42">
        <w:rPr>
          <w:rFonts w:cs="Arial"/>
        </w:rPr>
        <w:t>ten</w:t>
      </w:r>
      <w:r w:rsidR="00506B42" w:rsidRPr="00811C09">
        <w:rPr>
          <w:rFonts w:cs="Arial"/>
        </w:rPr>
        <w:t xml:space="preserve"> </w:t>
      </w:r>
      <w:r w:rsidRPr="00811C09">
        <w:rPr>
          <w:rFonts w:cs="Arial"/>
        </w:rPr>
        <w:t>Perkins V Accountability Indicators, (</w:t>
      </w:r>
      <w:r w:rsidR="00811C09">
        <w:rPr>
          <w:rFonts w:cs="Arial"/>
        </w:rPr>
        <w:t xml:space="preserve">as reported on </w:t>
      </w:r>
      <w:r w:rsidRPr="00811C09">
        <w:rPr>
          <w:rFonts w:cs="Arial"/>
        </w:rPr>
        <w:t xml:space="preserve">pp. 150–151 of the Draft Federal Perkins V State Plan for Career Technical Education), the </w:t>
      </w:r>
      <w:r w:rsidR="00811C09">
        <w:rPr>
          <w:rFonts w:cs="Arial"/>
        </w:rPr>
        <w:t xml:space="preserve">federal Department of Education (ED) requires states to complete </w:t>
      </w:r>
      <w:r w:rsidR="0068770A">
        <w:rPr>
          <w:rFonts w:cs="Arial"/>
        </w:rPr>
        <w:t>a</w:t>
      </w:r>
      <w:r w:rsidR="00811C09">
        <w:rPr>
          <w:rFonts w:cs="Arial"/>
        </w:rPr>
        <w:t xml:space="preserve"> </w:t>
      </w:r>
      <w:r w:rsidRPr="00811C09">
        <w:rPr>
          <w:rFonts w:cs="Arial"/>
        </w:rPr>
        <w:t>SDPL form for the baseline year Fiscal Year (FY) 2019 and for each of the following four years, FY 2020, FY 2021, FY 2022, and FY 2023.</w:t>
      </w:r>
    </w:p>
    <w:p w14:paraId="054A93F9" w14:textId="121D8F87" w:rsidR="0068770A" w:rsidRDefault="00A84DED" w:rsidP="00603767">
      <w:pPr>
        <w:spacing w:after="100" w:afterAutospacing="1"/>
        <w:rPr>
          <w:rFonts w:cs="Arial"/>
        </w:rPr>
      </w:pPr>
      <w:r>
        <w:rPr>
          <w:rFonts w:cs="Arial"/>
        </w:rPr>
        <w:t xml:space="preserve">After consultation with the following California Department of Education (CDE) Divisions, </w:t>
      </w:r>
      <w:r w:rsidRPr="00811C09">
        <w:rPr>
          <w:rFonts w:cs="Arial"/>
        </w:rPr>
        <w:t>Analysis, Measurement, and Accountability Reporting (AMARD); Assessment Development and Administration (ADAD); and Educational Data Management (EDMD)</w:t>
      </w:r>
      <w:r>
        <w:rPr>
          <w:rFonts w:cs="Arial"/>
        </w:rPr>
        <w:t xml:space="preserve">, </w:t>
      </w:r>
      <w:r w:rsidR="0043619E" w:rsidRPr="00811C09">
        <w:rPr>
          <w:rFonts w:cs="Arial"/>
        </w:rPr>
        <w:t xml:space="preserve"> </w:t>
      </w:r>
      <w:r>
        <w:rPr>
          <w:rFonts w:cs="Arial"/>
        </w:rPr>
        <w:t xml:space="preserve">the College and Career Transition Division of CDE updated the SDPL form </w:t>
      </w:r>
      <w:r w:rsidR="00D43DF0">
        <w:rPr>
          <w:rFonts w:cs="Arial"/>
        </w:rPr>
        <w:t>that was included the Draft Federal Perkins V State Plan (</w:t>
      </w:r>
      <w:hyperlink r:id="rId9" w:tooltip="Draft Federal Perkins V State Plan" w:history="1">
        <w:r w:rsidR="00D43DF0">
          <w:rPr>
            <w:rStyle w:val="Hyperlink"/>
            <w:rFonts w:eastAsiaTheme="majorEastAsia"/>
          </w:rPr>
          <w:t>https://www.cde.ca.gov/be/ag/ag/yr20/agenda202001.asp</w:t>
        </w:r>
      </w:hyperlink>
      <w:r>
        <w:rPr>
          <w:rFonts w:cs="Arial"/>
        </w:rPr>
        <w:t>)</w:t>
      </w:r>
      <w:r w:rsidR="00D43DF0">
        <w:rPr>
          <w:rFonts w:cs="Arial"/>
        </w:rPr>
        <w:t>,</w:t>
      </w:r>
      <w:r>
        <w:rPr>
          <w:rFonts w:cs="Arial"/>
        </w:rPr>
        <w:t xml:space="preserve"> and presented </w:t>
      </w:r>
      <w:r w:rsidR="0068770A">
        <w:rPr>
          <w:rFonts w:cs="Arial"/>
        </w:rPr>
        <w:t xml:space="preserve"> it </w:t>
      </w:r>
      <w:r w:rsidR="0043619E" w:rsidRPr="00811C09">
        <w:rPr>
          <w:rFonts w:cs="Arial"/>
        </w:rPr>
        <w:t xml:space="preserve">to a stakeholder/key informant group </w:t>
      </w:r>
      <w:r w:rsidR="0068770A">
        <w:rPr>
          <w:rFonts w:cs="Arial"/>
        </w:rPr>
        <w:t xml:space="preserve">through a webinar </w:t>
      </w:r>
      <w:r w:rsidR="0043619E" w:rsidRPr="00811C09">
        <w:rPr>
          <w:rFonts w:cs="Arial"/>
        </w:rPr>
        <w:t>on January 6, 2020</w:t>
      </w:r>
      <w:r>
        <w:rPr>
          <w:rFonts w:cs="Arial"/>
        </w:rPr>
        <w:t xml:space="preserve">. </w:t>
      </w:r>
      <w:r w:rsidR="0043619E" w:rsidRPr="00811C09">
        <w:rPr>
          <w:rFonts w:cs="Arial"/>
        </w:rPr>
        <w:t xml:space="preserve"> </w:t>
      </w:r>
      <w:r>
        <w:rPr>
          <w:rFonts w:cs="Arial"/>
        </w:rPr>
        <w:t>T</w:t>
      </w:r>
      <w:r w:rsidR="0043619E" w:rsidRPr="00811C09">
        <w:rPr>
          <w:rFonts w:cs="Arial"/>
        </w:rPr>
        <w:t xml:space="preserve">he feedback received during this </w:t>
      </w:r>
      <w:r w:rsidR="0068770A">
        <w:rPr>
          <w:rFonts w:cs="Arial"/>
        </w:rPr>
        <w:t xml:space="preserve">stakeholder webinar </w:t>
      </w:r>
      <w:r w:rsidR="0043619E" w:rsidRPr="00811C09">
        <w:rPr>
          <w:rFonts w:cs="Arial"/>
        </w:rPr>
        <w:t>is currently being curated</w:t>
      </w:r>
      <w:r>
        <w:rPr>
          <w:rFonts w:cs="Arial"/>
        </w:rPr>
        <w:t xml:space="preserve">, and </w:t>
      </w:r>
      <w:r w:rsidR="0068770A">
        <w:rPr>
          <w:rFonts w:cs="Arial"/>
        </w:rPr>
        <w:t xml:space="preserve">any additional changes </w:t>
      </w:r>
      <w:r>
        <w:rPr>
          <w:rFonts w:cs="Arial"/>
        </w:rPr>
        <w:t>will be incorporated into the updated Dra</w:t>
      </w:r>
      <w:r w:rsidR="0068770A">
        <w:rPr>
          <w:rFonts w:cs="Arial"/>
        </w:rPr>
        <w:t>ft Federal Perkins V State Plan, along with other public comment received through January 3, 2020, and will be presented to the California Workforce Pathways Joint Advisory Committee at its January 31, 2020 meeting</w:t>
      </w:r>
      <w:r w:rsidR="0043619E" w:rsidRPr="00811C09">
        <w:rPr>
          <w:rFonts w:cs="Arial"/>
        </w:rPr>
        <w:t>.</w:t>
      </w:r>
    </w:p>
    <w:p w14:paraId="4980BFEA" w14:textId="16B15D9D" w:rsidR="0043619E" w:rsidRPr="00811C09" w:rsidRDefault="0043619E" w:rsidP="00811C09">
      <w:pPr>
        <w:rPr>
          <w:rFonts w:cs="Arial"/>
        </w:rPr>
      </w:pPr>
      <w:r w:rsidRPr="00811C09">
        <w:rPr>
          <w:rFonts w:cs="Arial"/>
        </w:rPr>
        <w:t xml:space="preserve">Attachment 1 </w:t>
      </w:r>
      <w:r w:rsidR="0068770A">
        <w:rPr>
          <w:rFonts w:cs="Arial"/>
        </w:rPr>
        <w:t>provides</w:t>
      </w:r>
      <w:r w:rsidR="0068770A" w:rsidRPr="00811C09">
        <w:rPr>
          <w:rFonts w:cs="Arial"/>
        </w:rPr>
        <w:t xml:space="preserve"> </w:t>
      </w:r>
      <w:r w:rsidRPr="00811C09">
        <w:rPr>
          <w:rFonts w:cs="Arial"/>
        </w:rPr>
        <w:t>the SDPL form</w:t>
      </w:r>
      <w:r w:rsidR="0068770A">
        <w:rPr>
          <w:rFonts w:cs="Arial"/>
        </w:rPr>
        <w:t xml:space="preserve"> with the updated proposed performance targets for each of the </w:t>
      </w:r>
      <w:r w:rsidR="00D43DF0">
        <w:rPr>
          <w:rFonts w:cs="Arial"/>
        </w:rPr>
        <w:t xml:space="preserve">ten </w:t>
      </w:r>
      <w:r w:rsidR="0068770A">
        <w:rPr>
          <w:rFonts w:cs="Arial"/>
        </w:rPr>
        <w:t>indicators</w:t>
      </w:r>
      <w:r w:rsidRPr="00811C09">
        <w:rPr>
          <w:rFonts w:cs="Arial"/>
        </w:rPr>
        <w:t>.</w:t>
      </w:r>
    </w:p>
    <w:p w14:paraId="6B4F44B4" w14:textId="77777777" w:rsidR="0043619E" w:rsidRPr="00005FFA" w:rsidRDefault="0043619E" w:rsidP="0043619E">
      <w:pPr>
        <w:pStyle w:val="Heading2"/>
        <w:spacing w:before="240" w:line="360" w:lineRule="auto"/>
        <w:rPr>
          <w:sz w:val="36"/>
        </w:rPr>
      </w:pPr>
      <w:r w:rsidRPr="00005FFA">
        <w:rPr>
          <w:sz w:val="36"/>
        </w:rPr>
        <w:t>Attachment(s)</w:t>
      </w:r>
    </w:p>
    <w:p w14:paraId="03F989CD" w14:textId="77777777" w:rsidR="00BA5D2F" w:rsidRDefault="0043619E" w:rsidP="0043619E">
      <w:pPr>
        <w:ind w:left="1620" w:hanging="1620"/>
        <w:rPr>
          <w:rFonts w:cs="Arial"/>
        </w:rPr>
        <w:sectPr w:rsidR="00BA5D2F"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Pr>
          <w:rFonts w:cs="Arial"/>
        </w:rPr>
        <w:t>Updated S</w:t>
      </w:r>
      <w:r w:rsidR="001E4F35">
        <w:rPr>
          <w:rFonts w:cs="Arial"/>
        </w:rPr>
        <w:t>tate-</w:t>
      </w:r>
      <w:r>
        <w:rPr>
          <w:rFonts w:cs="Arial"/>
        </w:rPr>
        <w:t>D</w:t>
      </w:r>
      <w:r w:rsidR="001E4F35">
        <w:rPr>
          <w:rFonts w:cs="Arial"/>
        </w:rPr>
        <w:t xml:space="preserve">eveloped </w:t>
      </w:r>
      <w:r>
        <w:rPr>
          <w:rFonts w:cs="Arial"/>
        </w:rPr>
        <w:t>P</w:t>
      </w:r>
      <w:r w:rsidR="001E4F35">
        <w:rPr>
          <w:rFonts w:cs="Arial"/>
        </w:rPr>
        <w:t xml:space="preserve">erformance </w:t>
      </w:r>
      <w:r>
        <w:rPr>
          <w:rFonts w:cs="Arial"/>
        </w:rPr>
        <w:t>L</w:t>
      </w:r>
      <w:r w:rsidR="001E4F35">
        <w:rPr>
          <w:rFonts w:cs="Arial"/>
        </w:rPr>
        <w:t>evel</w:t>
      </w:r>
      <w:r>
        <w:rPr>
          <w:rFonts w:cs="Arial"/>
        </w:rPr>
        <w:t xml:space="preserve"> </w:t>
      </w:r>
      <w:r w:rsidR="0068770A">
        <w:rPr>
          <w:rFonts w:cs="Arial"/>
        </w:rPr>
        <w:t>F</w:t>
      </w:r>
      <w:r>
        <w:rPr>
          <w:rFonts w:cs="Arial"/>
        </w:rPr>
        <w:t>orm</w:t>
      </w:r>
      <w:r w:rsidRPr="005D1DE0">
        <w:rPr>
          <w:rFonts w:cs="Arial"/>
        </w:rPr>
        <w:t xml:space="preserve"> (2 Pages)</w:t>
      </w:r>
    </w:p>
    <w:p w14:paraId="1FE21F25" w14:textId="77777777" w:rsidR="00BA5D2F" w:rsidRDefault="00BA5D2F">
      <w:pPr>
        <w:spacing w:after="160" w:line="259" w:lineRule="auto"/>
        <w:rPr>
          <w:rFonts w:cs="Arial"/>
        </w:rPr>
        <w:sectPr w:rsidR="00BA5D2F" w:rsidSect="0043619E">
          <w:headerReference w:type="even" r:id="rId10"/>
          <w:headerReference w:type="default" r:id="rId11"/>
          <w:headerReference w:type="first" r:id="rId12"/>
          <w:footerReference w:type="first" r:id="rId13"/>
          <w:type w:val="continuous"/>
          <w:pgSz w:w="12240" w:h="15840"/>
          <w:pgMar w:top="590" w:right="1152" w:bottom="1296" w:left="1152" w:header="720" w:footer="720" w:gutter="0"/>
          <w:pgNumType w:start="1"/>
          <w:cols w:space="720"/>
          <w:docGrid w:linePitch="360"/>
        </w:sectPr>
      </w:pPr>
    </w:p>
    <w:p w14:paraId="7B5E88D6" w14:textId="77777777" w:rsidR="0043619E" w:rsidRDefault="0043619E" w:rsidP="0043619E">
      <w:pPr>
        <w:keepNext/>
        <w:keepLines/>
        <w:spacing w:after="120"/>
        <w:jc w:val="center"/>
        <w:outlineLvl w:val="0"/>
        <w:rPr>
          <w:rFonts w:eastAsiaTheme="majorEastAsia" w:cstheme="majorBidi"/>
          <w:b/>
          <w:caps/>
          <w:sz w:val="36"/>
          <w:szCs w:val="36"/>
        </w:rPr>
      </w:pPr>
      <w:r w:rsidRPr="0043619E">
        <w:rPr>
          <w:rFonts w:eastAsiaTheme="majorEastAsia" w:cstheme="majorBidi"/>
          <w:b/>
          <w:caps/>
          <w:sz w:val="36"/>
          <w:szCs w:val="36"/>
        </w:rPr>
        <w:t xml:space="preserve">Attachment 1: </w:t>
      </w:r>
      <w:r>
        <w:rPr>
          <w:rFonts w:eastAsiaTheme="majorEastAsia" w:cstheme="majorBidi"/>
          <w:b/>
          <w:caps/>
          <w:sz w:val="36"/>
          <w:szCs w:val="36"/>
        </w:rPr>
        <w:t xml:space="preserve">Updated </w:t>
      </w:r>
      <w:r w:rsidR="002533BD">
        <w:rPr>
          <w:rFonts w:eastAsiaTheme="majorEastAsia" w:cstheme="majorBidi"/>
          <w:b/>
          <w:caps/>
          <w:sz w:val="36"/>
          <w:szCs w:val="36"/>
        </w:rPr>
        <w:t>State-Developed PEformance LEvels form</w:t>
      </w:r>
    </w:p>
    <w:p w14:paraId="74B4804F" w14:textId="77777777" w:rsidR="00994BD1" w:rsidRPr="00994BD1" w:rsidRDefault="00994BD1" w:rsidP="00994BD1">
      <w:pPr>
        <w:spacing w:before="60" w:after="120"/>
      </w:pPr>
      <w:r w:rsidRPr="00AC31D6">
        <w:t xml:space="preserve">*The </w:t>
      </w:r>
      <w:r>
        <w:t xml:space="preserve">following </w:t>
      </w:r>
      <w:r w:rsidRPr="00AC31D6">
        <w:t>table</w:t>
      </w:r>
      <w:r>
        <w:t>s</w:t>
      </w:r>
      <w:r w:rsidRPr="00AC31D6">
        <w:t xml:space="preserve"> </w:t>
      </w:r>
      <w:r>
        <w:t>were</w:t>
      </w:r>
      <w:r w:rsidRPr="00AC31D6">
        <w:t xml:space="preserve"> provided by the federal government.</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Description w:val="Column 1 lists Indicators/Secondary Indicators, Column 2 lists baseline level, Column 3 lists FY 2020 Performance Levels, Column 4 lists FY 2021 Performance Levels, Column 5 lists FY 2022 Performance Levels, and Column 6 lists FY 2023 Performance Levels."/>
      </w:tblPr>
      <w:tblGrid>
        <w:gridCol w:w="3870"/>
        <w:gridCol w:w="1166"/>
        <w:gridCol w:w="1174"/>
        <w:gridCol w:w="1166"/>
        <w:gridCol w:w="1166"/>
        <w:gridCol w:w="1178"/>
      </w:tblGrid>
      <w:tr w:rsidR="002533BD" w:rsidRPr="00D519AA" w14:paraId="0DFA89A2" w14:textId="77777777" w:rsidTr="002533BD">
        <w:trPr>
          <w:cantSplit/>
          <w:trHeight w:val="709"/>
          <w:tblHeader/>
        </w:trPr>
        <w:tc>
          <w:tcPr>
            <w:tcW w:w="3870" w:type="dxa"/>
            <w:shd w:val="clear" w:color="auto" w:fill="D9D9D9"/>
            <w:vAlign w:val="center"/>
          </w:tcPr>
          <w:p w14:paraId="4BAB5F98" w14:textId="77777777" w:rsidR="002533BD" w:rsidRPr="00441293" w:rsidRDefault="002533BD" w:rsidP="006975FA">
            <w:pPr>
              <w:pStyle w:val="TableParagraph"/>
              <w:spacing w:before="60" w:after="60" w:line="240" w:lineRule="auto"/>
              <w:ind w:left="0" w:firstLine="0"/>
              <w:jc w:val="center"/>
              <w:rPr>
                <w:b/>
                <w:sz w:val="24"/>
              </w:rPr>
            </w:pPr>
            <w:r w:rsidRPr="00441293">
              <w:rPr>
                <w:b/>
                <w:sz w:val="24"/>
              </w:rPr>
              <w:t>Column</w:t>
            </w:r>
            <w:r>
              <w:rPr>
                <w:b/>
                <w:sz w:val="24"/>
              </w:rPr>
              <w:br/>
            </w:r>
            <w:r w:rsidRPr="00441293">
              <w:rPr>
                <w:b/>
                <w:sz w:val="24"/>
              </w:rPr>
              <w:t>1</w:t>
            </w:r>
          </w:p>
        </w:tc>
        <w:tc>
          <w:tcPr>
            <w:tcW w:w="1166" w:type="dxa"/>
            <w:shd w:val="clear" w:color="auto" w:fill="D9D9D9"/>
            <w:vAlign w:val="center"/>
          </w:tcPr>
          <w:p w14:paraId="087F1EAB" w14:textId="77777777" w:rsidR="002533BD" w:rsidRPr="00441293" w:rsidRDefault="002533BD" w:rsidP="006975FA">
            <w:pPr>
              <w:pStyle w:val="TableParagraph"/>
              <w:spacing w:before="60" w:after="60" w:line="240" w:lineRule="auto"/>
              <w:ind w:left="16" w:firstLine="0"/>
              <w:jc w:val="center"/>
              <w:rPr>
                <w:b/>
                <w:sz w:val="24"/>
              </w:rPr>
            </w:pPr>
            <w:r w:rsidRPr="00441293">
              <w:rPr>
                <w:b/>
                <w:sz w:val="24"/>
              </w:rPr>
              <w:t>Column</w:t>
            </w:r>
            <w:r>
              <w:rPr>
                <w:b/>
                <w:sz w:val="24"/>
              </w:rPr>
              <w:br/>
            </w:r>
            <w:r w:rsidRPr="00441293">
              <w:rPr>
                <w:b/>
                <w:sz w:val="24"/>
              </w:rPr>
              <w:t>2</w:t>
            </w:r>
          </w:p>
        </w:tc>
        <w:tc>
          <w:tcPr>
            <w:tcW w:w="1174" w:type="dxa"/>
            <w:shd w:val="clear" w:color="auto" w:fill="D9D9D9"/>
            <w:vAlign w:val="center"/>
          </w:tcPr>
          <w:p w14:paraId="0FC82E70" w14:textId="77777777" w:rsidR="002533BD" w:rsidRPr="00441293" w:rsidRDefault="002533BD" w:rsidP="006975FA">
            <w:pPr>
              <w:pStyle w:val="TableParagraph"/>
              <w:spacing w:before="60" w:after="60" w:line="240" w:lineRule="auto"/>
              <w:ind w:left="46" w:firstLine="12"/>
              <w:jc w:val="center"/>
              <w:rPr>
                <w:b/>
                <w:sz w:val="24"/>
              </w:rPr>
            </w:pPr>
            <w:r w:rsidRPr="00441293">
              <w:rPr>
                <w:b/>
                <w:sz w:val="24"/>
              </w:rPr>
              <w:t>Column</w:t>
            </w:r>
            <w:r>
              <w:rPr>
                <w:b/>
                <w:sz w:val="24"/>
              </w:rPr>
              <w:br/>
            </w:r>
            <w:r w:rsidRPr="00441293">
              <w:rPr>
                <w:b/>
                <w:sz w:val="24"/>
              </w:rPr>
              <w:t>3</w:t>
            </w:r>
          </w:p>
        </w:tc>
        <w:tc>
          <w:tcPr>
            <w:tcW w:w="1166" w:type="dxa"/>
            <w:shd w:val="clear" w:color="auto" w:fill="D9D9D9"/>
            <w:vAlign w:val="center"/>
          </w:tcPr>
          <w:p w14:paraId="0DAA2787" w14:textId="77777777" w:rsidR="002533BD" w:rsidRPr="00441293" w:rsidRDefault="002533BD" w:rsidP="006975FA">
            <w:pPr>
              <w:pStyle w:val="TableParagraph"/>
              <w:spacing w:before="60" w:after="60" w:line="240" w:lineRule="auto"/>
              <w:ind w:left="46" w:firstLine="12"/>
              <w:jc w:val="center"/>
              <w:rPr>
                <w:b/>
                <w:sz w:val="24"/>
              </w:rPr>
            </w:pPr>
            <w:r w:rsidRPr="00441293">
              <w:rPr>
                <w:b/>
                <w:sz w:val="24"/>
              </w:rPr>
              <w:t>Column</w:t>
            </w:r>
            <w:r>
              <w:rPr>
                <w:b/>
                <w:sz w:val="24"/>
              </w:rPr>
              <w:br/>
            </w:r>
            <w:r w:rsidRPr="00441293">
              <w:rPr>
                <w:b/>
                <w:sz w:val="24"/>
              </w:rPr>
              <w:t>4</w:t>
            </w:r>
          </w:p>
        </w:tc>
        <w:tc>
          <w:tcPr>
            <w:tcW w:w="1166" w:type="dxa"/>
            <w:shd w:val="clear" w:color="auto" w:fill="D9D9D9"/>
            <w:vAlign w:val="center"/>
          </w:tcPr>
          <w:p w14:paraId="53BB194B" w14:textId="77777777" w:rsidR="002533BD" w:rsidRPr="00441293" w:rsidRDefault="002533BD" w:rsidP="006975FA">
            <w:pPr>
              <w:pStyle w:val="TableParagraph"/>
              <w:spacing w:before="60" w:after="60" w:line="240" w:lineRule="auto"/>
              <w:ind w:left="46" w:firstLine="0"/>
              <w:jc w:val="center"/>
              <w:rPr>
                <w:b/>
                <w:sz w:val="24"/>
              </w:rPr>
            </w:pPr>
            <w:r w:rsidRPr="00441293">
              <w:rPr>
                <w:b/>
                <w:sz w:val="24"/>
              </w:rPr>
              <w:t>Column</w:t>
            </w:r>
            <w:r>
              <w:rPr>
                <w:b/>
                <w:sz w:val="24"/>
              </w:rPr>
              <w:br/>
            </w:r>
            <w:r w:rsidRPr="00441293">
              <w:rPr>
                <w:b/>
                <w:sz w:val="24"/>
              </w:rPr>
              <w:t>5</w:t>
            </w:r>
          </w:p>
        </w:tc>
        <w:tc>
          <w:tcPr>
            <w:tcW w:w="1178" w:type="dxa"/>
            <w:shd w:val="clear" w:color="auto" w:fill="D9D9D9"/>
            <w:vAlign w:val="center"/>
          </w:tcPr>
          <w:p w14:paraId="4BC63560" w14:textId="77777777" w:rsidR="002533BD" w:rsidRPr="00441293" w:rsidRDefault="002533BD" w:rsidP="006975FA">
            <w:pPr>
              <w:pStyle w:val="TableParagraph"/>
              <w:spacing w:before="60" w:after="60" w:line="240" w:lineRule="auto"/>
              <w:ind w:left="46" w:firstLine="12"/>
              <w:jc w:val="center"/>
              <w:rPr>
                <w:b/>
                <w:sz w:val="24"/>
              </w:rPr>
            </w:pPr>
            <w:r w:rsidRPr="00441293">
              <w:rPr>
                <w:b/>
                <w:sz w:val="24"/>
              </w:rPr>
              <w:t>Column</w:t>
            </w:r>
            <w:r>
              <w:rPr>
                <w:b/>
                <w:sz w:val="24"/>
              </w:rPr>
              <w:br/>
            </w:r>
            <w:r w:rsidRPr="00441293">
              <w:rPr>
                <w:b/>
                <w:sz w:val="24"/>
              </w:rPr>
              <w:t>6</w:t>
            </w:r>
          </w:p>
        </w:tc>
      </w:tr>
      <w:tr w:rsidR="002533BD" w:rsidRPr="00D519AA" w14:paraId="2AAF55C6" w14:textId="77777777" w:rsidTr="002533BD">
        <w:trPr>
          <w:cantSplit/>
          <w:trHeight w:val="448"/>
          <w:tblHeader/>
        </w:trPr>
        <w:tc>
          <w:tcPr>
            <w:tcW w:w="3870" w:type="dxa"/>
            <w:vMerge w:val="restart"/>
            <w:shd w:val="clear" w:color="auto" w:fill="D9D9D9"/>
            <w:vAlign w:val="center"/>
          </w:tcPr>
          <w:p w14:paraId="5F7EB297"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Indicators</w:t>
            </w:r>
          </w:p>
        </w:tc>
        <w:tc>
          <w:tcPr>
            <w:tcW w:w="1166" w:type="dxa"/>
            <w:vMerge w:val="restart"/>
            <w:shd w:val="clear" w:color="auto" w:fill="D9D9D9"/>
            <w:vAlign w:val="center"/>
          </w:tcPr>
          <w:p w14:paraId="1A96212D"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Baseline Level</w:t>
            </w:r>
          </w:p>
        </w:tc>
        <w:tc>
          <w:tcPr>
            <w:tcW w:w="4684" w:type="dxa"/>
            <w:gridSpan w:val="4"/>
            <w:shd w:val="clear" w:color="auto" w:fill="D9D9D9"/>
            <w:vAlign w:val="center"/>
          </w:tcPr>
          <w:p w14:paraId="0C83786B"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Performance Levels</w:t>
            </w:r>
          </w:p>
        </w:tc>
      </w:tr>
      <w:tr w:rsidR="002533BD" w:rsidRPr="00D519AA" w14:paraId="7503653E" w14:textId="77777777" w:rsidTr="002533BD">
        <w:trPr>
          <w:cantSplit/>
          <w:trHeight w:val="439"/>
          <w:tblHeader/>
        </w:trPr>
        <w:tc>
          <w:tcPr>
            <w:tcW w:w="3870" w:type="dxa"/>
            <w:vMerge/>
            <w:tcBorders>
              <w:top w:val="nil"/>
            </w:tcBorders>
            <w:shd w:val="clear" w:color="auto" w:fill="D9D9D9"/>
            <w:vAlign w:val="center"/>
          </w:tcPr>
          <w:p w14:paraId="237A498C" w14:textId="77777777" w:rsidR="002533BD" w:rsidRPr="00441293" w:rsidRDefault="002533BD" w:rsidP="006975FA">
            <w:pPr>
              <w:spacing w:before="60" w:after="60"/>
              <w:jc w:val="center"/>
              <w:rPr>
                <w:rFonts w:cs="Arial"/>
                <w:szCs w:val="20"/>
              </w:rPr>
            </w:pPr>
          </w:p>
        </w:tc>
        <w:tc>
          <w:tcPr>
            <w:tcW w:w="1166" w:type="dxa"/>
            <w:vMerge/>
            <w:tcBorders>
              <w:top w:val="nil"/>
            </w:tcBorders>
            <w:shd w:val="clear" w:color="auto" w:fill="D9D9D9"/>
            <w:vAlign w:val="center"/>
          </w:tcPr>
          <w:p w14:paraId="256457AD" w14:textId="77777777" w:rsidR="002533BD" w:rsidRPr="00441293" w:rsidRDefault="002533BD" w:rsidP="006975FA">
            <w:pPr>
              <w:spacing w:before="60" w:after="60"/>
              <w:jc w:val="center"/>
              <w:rPr>
                <w:rFonts w:cs="Arial"/>
                <w:szCs w:val="20"/>
              </w:rPr>
            </w:pPr>
          </w:p>
        </w:tc>
        <w:tc>
          <w:tcPr>
            <w:tcW w:w="1174" w:type="dxa"/>
            <w:shd w:val="clear" w:color="auto" w:fill="D9D9D9"/>
            <w:vAlign w:val="center"/>
          </w:tcPr>
          <w:p w14:paraId="15845D32"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FY 2020</w:t>
            </w:r>
          </w:p>
        </w:tc>
        <w:tc>
          <w:tcPr>
            <w:tcW w:w="1166" w:type="dxa"/>
            <w:shd w:val="clear" w:color="auto" w:fill="D9D9D9"/>
            <w:vAlign w:val="center"/>
          </w:tcPr>
          <w:p w14:paraId="11F7F65F"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FY 2021</w:t>
            </w:r>
          </w:p>
        </w:tc>
        <w:tc>
          <w:tcPr>
            <w:tcW w:w="1166" w:type="dxa"/>
            <w:shd w:val="clear" w:color="auto" w:fill="D9D9D9"/>
            <w:vAlign w:val="center"/>
          </w:tcPr>
          <w:p w14:paraId="70B35E9E"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FY 2022</w:t>
            </w:r>
          </w:p>
        </w:tc>
        <w:tc>
          <w:tcPr>
            <w:tcW w:w="1178" w:type="dxa"/>
            <w:shd w:val="clear" w:color="auto" w:fill="D9D9D9"/>
            <w:vAlign w:val="center"/>
          </w:tcPr>
          <w:p w14:paraId="2C41D7E0" w14:textId="77777777" w:rsidR="002533BD" w:rsidRPr="00441293" w:rsidRDefault="002533BD" w:rsidP="006975FA">
            <w:pPr>
              <w:pStyle w:val="TableParagraph"/>
              <w:spacing w:before="60" w:after="60" w:line="240" w:lineRule="auto"/>
              <w:ind w:left="0" w:right="0" w:firstLine="0"/>
              <w:jc w:val="center"/>
              <w:rPr>
                <w:b/>
                <w:sz w:val="24"/>
              </w:rPr>
            </w:pPr>
            <w:r w:rsidRPr="00441293">
              <w:rPr>
                <w:b/>
                <w:sz w:val="24"/>
              </w:rPr>
              <w:t>FY 2023</w:t>
            </w:r>
          </w:p>
        </w:tc>
      </w:tr>
      <w:tr w:rsidR="002533BD" w:rsidRPr="00AC31D6" w14:paraId="7CB28950" w14:textId="77777777" w:rsidTr="002533BD">
        <w:trPr>
          <w:cantSplit/>
          <w:trHeight w:val="361"/>
          <w:tblHeader/>
        </w:trPr>
        <w:tc>
          <w:tcPr>
            <w:tcW w:w="9720" w:type="dxa"/>
            <w:gridSpan w:val="6"/>
          </w:tcPr>
          <w:p w14:paraId="1E4FF68F" w14:textId="77777777" w:rsidR="002533BD" w:rsidRPr="00AC31D6" w:rsidRDefault="002533BD" w:rsidP="006975FA">
            <w:pPr>
              <w:pStyle w:val="TableParagraph"/>
              <w:spacing w:before="60" w:after="60" w:line="240" w:lineRule="auto"/>
              <w:ind w:left="270" w:right="0" w:firstLine="0"/>
              <w:rPr>
                <w:b/>
                <w:sz w:val="24"/>
                <w:szCs w:val="24"/>
              </w:rPr>
            </w:pPr>
            <w:r w:rsidRPr="00AC31D6">
              <w:rPr>
                <w:b/>
                <w:sz w:val="24"/>
                <w:szCs w:val="24"/>
              </w:rPr>
              <w:t>Secondary Indicators</w:t>
            </w:r>
          </w:p>
        </w:tc>
      </w:tr>
      <w:tr w:rsidR="002533BD" w:rsidRPr="00AC31D6" w14:paraId="1A48F403" w14:textId="77777777" w:rsidTr="002533BD">
        <w:trPr>
          <w:cantSplit/>
          <w:trHeight w:val="671"/>
          <w:tblHeader/>
        </w:trPr>
        <w:tc>
          <w:tcPr>
            <w:tcW w:w="3870" w:type="dxa"/>
          </w:tcPr>
          <w:p w14:paraId="684AB932" w14:textId="77777777" w:rsidR="002533BD" w:rsidRPr="00AC31D6" w:rsidRDefault="002533BD" w:rsidP="006975FA">
            <w:pPr>
              <w:pStyle w:val="TableParagraph"/>
              <w:spacing w:before="60" w:after="60" w:line="240" w:lineRule="auto"/>
              <w:ind w:left="684" w:right="321"/>
              <w:rPr>
                <w:sz w:val="24"/>
                <w:szCs w:val="24"/>
              </w:rPr>
            </w:pPr>
            <w:r w:rsidRPr="00AC31D6">
              <w:rPr>
                <w:sz w:val="24"/>
                <w:szCs w:val="24"/>
              </w:rPr>
              <w:t>1S1: Four-Year Graduation Rate</w:t>
            </w:r>
          </w:p>
        </w:tc>
        <w:tc>
          <w:tcPr>
            <w:tcW w:w="1166" w:type="dxa"/>
            <w:vAlign w:val="center"/>
          </w:tcPr>
          <w:p w14:paraId="15AFAC2D"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85.40%</w:t>
            </w:r>
          </w:p>
        </w:tc>
        <w:tc>
          <w:tcPr>
            <w:tcW w:w="1174" w:type="dxa"/>
            <w:vAlign w:val="center"/>
          </w:tcPr>
          <w:p w14:paraId="0F6CFB3D"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86.60%</w:t>
            </w:r>
          </w:p>
        </w:tc>
        <w:tc>
          <w:tcPr>
            <w:tcW w:w="1166" w:type="dxa"/>
            <w:vAlign w:val="center"/>
          </w:tcPr>
          <w:p w14:paraId="62EF122C"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86.60%</w:t>
            </w:r>
          </w:p>
        </w:tc>
        <w:tc>
          <w:tcPr>
            <w:tcW w:w="1166" w:type="dxa"/>
            <w:vAlign w:val="center"/>
          </w:tcPr>
          <w:p w14:paraId="089918F9"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88.50%</w:t>
            </w:r>
          </w:p>
        </w:tc>
        <w:tc>
          <w:tcPr>
            <w:tcW w:w="1178" w:type="dxa"/>
            <w:vAlign w:val="center"/>
          </w:tcPr>
          <w:p w14:paraId="745FCD03"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88.50%</w:t>
            </w:r>
          </w:p>
        </w:tc>
      </w:tr>
      <w:tr w:rsidR="002533BD" w:rsidRPr="00AC31D6" w14:paraId="655CC6F6" w14:textId="77777777" w:rsidTr="002533BD">
        <w:trPr>
          <w:cantSplit/>
          <w:trHeight w:val="476"/>
          <w:tblHeader/>
        </w:trPr>
        <w:tc>
          <w:tcPr>
            <w:tcW w:w="3870" w:type="dxa"/>
          </w:tcPr>
          <w:p w14:paraId="7BC5DDBE" w14:textId="77777777" w:rsidR="002533BD" w:rsidRPr="00AC31D6" w:rsidRDefault="002533BD" w:rsidP="006975FA">
            <w:pPr>
              <w:pStyle w:val="TableParagraph"/>
              <w:spacing w:before="60" w:after="60" w:line="240" w:lineRule="auto"/>
              <w:ind w:left="684" w:right="321"/>
              <w:rPr>
                <w:sz w:val="24"/>
                <w:szCs w:val="24"/>
              </w:rPr>
            </w:pPr>
            <w:r w:rsidRPr="00AC31D6">
              <w:rPr>
                <w:sz w:val="24"/>
                <w:szCs w:val="24"/>
              </w:rPr>
              <w:t>1S2: Extended Graduation Rate</w:t>
            </w:r>
          </w:p>
        </w:tc>
        <w:tc>
          <w:tcPr>
            <w:tcW w:w="1166" w:type="dxa"/>
            <w:vAlign w:val="center"/>
          </w:tcPr>
          <w:p w14:paraId="70D8CD3D"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Blank</w:t>
            </w:r>
          </w:p>
        </w:tc>
        <w:tc>
          <w:tcPr>
            <w:tcW w:w="1174" w:type="dxa"/>
            <w:vAlign w:val="center"/>
          </w:tcPr>
          <w:p w14:paraId="484689E2"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Blank</w:t>
            </w:r>
          </w:p>
        </w:tc>
        <w:tc>
          <w:tcPr>
            <w:tcW w:w="1166" w:type="dxa"/>
            <w:vAlign w:val="center"/>
          </w:tcPr>
          <w:p w14:paraId="55246C28"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Blank</w:t>
            </w:r>
          </w:p>
        </w:tc>
        <w:tc>
          <w:tcPr>
            <w:tcW w:w="1166" w:type="dxa"/>
            <w:vAlign w:val="center"/>
          </w:tcPr>
          <w:p w14:paraId="71561830"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Blank</w:t>
            </w:r>
          </w:p>
        </w:tc>
        <w:tc>
          <w:tcPr>
            <w:tcW w:w="1178" w:type="dxa"/>
            <w:vAlign w:val="center"/>
          </w:tcPr>
          <w:p w14:paraId="0EEAEB97"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Blank</w:t>
            </w:r>
          </w:p>
        </w:tc>
      </w:tr>
      <w:tr w:rsidR="002533BD" w:rsidRPr="00AC31D6" w14:paraId="5F6D2F3C" w14:textId="77777777" w:rsidTr="002533BD">
        <w:trPr>
          <w:cantSplit/>
          <w:trHeight w:val="671"/>
          <w:tblHeader/>
        </w:trPr>
        <w:tc>
          <w:tcPr>
            <w:tcW w:w="3870" w:type="dxa"/>
          </w:tcPr>
          <w:p w14:paraId="3349B3AB" w14:textId="77777777" w:rsidR="002533BD" w:rsidRPr="00AC31D6" w:rsidRDefault="002533BD" w:rsidP="006975FA">
            <w:pPr>
              <w:pStyle w:val="TableParagraph"/>
              <w:spacing w:before="60" w:after="60" w:line="240" w:lineRule="auto"/>
              <w:ind w:left="684"/>
              <w:rPr>
                <w:sz w:val="24"/>
                <w:szCs w:val="24"/>
              </w:rPr>
            </w:pPr>
            <w:r w:rsidRPr="00AC31D6">
              <w:rPr>
                <w:sz w:val="24"/>
                <w:szCs w:val="24"/>
              </w:rPr>
              <w:t>2S1: Academic Proficiency in Reading Language Arts</w:t>
            </w:r>
          </w:p>
        </w:tc>
        <w:tc>
          <w:tcPr>
            <w:tcW w:w="1166" w:type="dxa"/>
            <w:vAlign w:val="center"/>
          </w:tcPr>
          <w:p w14:paraId="2D7E7AF8" w14:textId="77777777" w:rsidR="002533BD" w:rsidRPr="00AC31D6" w:rsidRDefault="002533BD" w:rsidP="006975FA">
            <w:pPr>
              <w:pStyle w:val="TableParagraph"/>
              <w:spacing w:before="60" w:after="60" w:line="240" w:lineRule="auto"/>
              <w:jc w:val="center"/>
              <w:rPr>
                <w:sz w:val="24"/>
                <w:szCs w:val="24"/>
              </w:rPr>
            </w:pPr>
            <w:r>
              <w:rPr>
                <w:sz w:val="24"/>
                <w:szCs w:val="24"/>
              </w:rPr>
              <w:t>56.0%</w:t>
            </w:r>
          </w:p>
        </w:tc>
        <w:tc>
          <w:tcPr>
            <w:tcW w:w="1174" w:type="dxa"/>
            <w:vAlign w:val="center"/>
          </w:tcPr>
          <w:p w14:paraId="68403962" w14:textId="77777777" w:rsidR="002533BD" w:rsidRPr="00AC31D6" w:rsidRDefault="002533BD" w:rsidP="006975FA">
            <w:pPr>
              <w:pStyle w:val="TableParagraph"/>
              <w:spacing w:before="60" w:after="60" w:line="240" w:lineRule="auto"/>
              <w:jc w:val="center"/>
              <w:rPr>
                <w:sz w:val="24"/>
                <w:szCs w:val="24"/>
              </w:rPr>
            </w:pPr>
            <w:r>
              <w:rPr>
                <w:sz w:val="24"/>
                <w:szCs w:val="24"/>
              </w:rPr>
              <w:t>57.41</w:t>
            </w:r>
            <w:r w:rsidRPr="00AC31D6">
              <w:rPr>
                <w:sz w:val="24"/>
                <w:szCs w:val="24"/>
              </w:rPr>
              <w:t>%</w:t>
            </w:r>
          </w:p>
        </w:tc>
        <w:tc>
          <w:tcPr>
            <w:tcW w:w="1166" w:type="dxa"/>
            <w:vAlign w:val="center"/>
          </w:tcPr>
          <w:p w14:paraId="02E654C6" w14:textId="77777777" w:rsidR="002533BD" w:rsidRPr="00AC31D6" w:rsidRDefault="002533BD" w:rsidP="006975FA">
            <w:pPr>
              <w:pStyle w:val="TableParagraph"/>
              <w:spacing w:before="60" w:after="60" w:line="240" w:lineRule="auto"/>
              <w:jc w:val="center"/>
              <w:rPr>
                <w:sz w:val="24"/>
                <w:szCs w:val="24"/>
              </w:rPr>
            </w:pPr>
            <w:r>
              <w:rPr>
                <w:sz w:val="24"/>
                <w:szCs w:val="24"/>
              </w:rPr>
              <w:t>57.41</w:t>
            </w:r>
            <w:r w:rsidRPr="00AC31D6">
              <w:rPr>
                <w:sz w:val="24"/>
                <w:szCs w:val="24"/>
              </w:rPr>
              <w:t>%</w:t>
            </w:r>
          </w:p>
        </w:tc>
        <w:tc>
          <w:tcPr>
            <w:tcW w:w="1166" w:type="dxa"/>
            <w:vAlign w:val="center"/>
          </w:tcPr>
          <w:p w14:paraId="594EE02F" w14:textId="77777777" w:rsidR="002533BD" w:rsidRPr="00AC31D6" w:rsidRDefault="002533BD" w:rsidP="006975FA">
            <w:pPr>
              <w:pStyle w:val="TableParagraph"/>
              <w:spacing w:before="60" w:after="60" w:line="240" w:lineRule="auto"/>
              <w:jc w:val="center"/>
              <w:rPr>
                <w:sz w:val="24"/>
                <w:szCs w:val="24"/>
              </w:rPr>
            </w:pPr>
            <w:r>
              <w:rPr>
                <w:sz w:val="24"/>
                <w:szCs w:val="24"/>
              </w:rPr>
              <w:t>59.29</w:t>
            </w:r>
            <w:r w:rsidRPr="00AC31D6">
              <w:rPr>
                <w:sz w:val="24"/>
                <w:szCs w:val="24"/>
              </w:rPr>
              <w:t>%</w:t>
            </w:r>
          </w:p>
        </w:tc>
        <w:tc>
          <w:tcPr>
            <w:tcW w:w="1178" w:type="dxa"/>
            <w:vAlign w:val="center"/>
          </w:tcPr>
          <w:p w14:paraId="41FB4404" w14:textId="77777777" w:rsidR="002533BD" w:rsidRPr="00AC31D6" w:rsidRDefault="002533BD" w:rsidP="006975FA">
            <w:pPr>
              <w:pStyle w:val="TableParagraph"/>
              <w:spacing w:before="60" w:after="60" w:line="240" w:lineRule="auto"/>
              <w:jc w:val="center"/>
              <w:rPr>
                <w:sz w:val="24"/>
                <w:szCs w:val="24"/>
              </w:rPr>
            </w:pPr>
            <w:r>
              <w:rPr>
                <w:sz w:val="24"/>
                <w:szCs w:val="24"/>
              </w:rPr>
              <w:t>59.29</w:t>
            </w:r>
            <w:r w:rsidRPr="00AC31D6">
              <w:rPr>
                <w:sz w:val="24"/>
                <w:szCs w:val="24"/>
              </w:rPr>
              <w:t>%</w:t>
            </w:r>
          </w:p>
        </w:tc>
      </w:tr>
      <w:tr w:rsidR="002533BD" w:rsidRPr="00AC31D6" w14:paraId="20A2FCC7" w14:textId="77777777" w:rsidTr="002533BD">
        <w:trPr>
          <w:cantSplit/>
          <w:trHeight w:val="672"/>
          <w:tblHeader/>
        </w:trPr>
        <w:tc>
          <w:tcPr>
            <w:tcW w:w="3870" w:type="dxa"/>
          </w:tcPr>
          <w:p w14:paraId="7AB9EC35" w14:textId="77777777" w:rsidR="002533BD" w:rsidRPr="00AC31D6" w:rsidRDefault="002533BD" w:rsidP="006975FA">
            <w:pPr>
              <w:pStyle w:val="TableParagraph"/>
              <w:spacing w:before="60" w:after="60" w:line="240" w:lineRule="auto"/>
              <w:ind w:left="684"/>
              <w:rPr>
                <w:sz w:val="24"/>
                <w:szCs w:val="24"/>
              </w:rPr>
            </w:pPr>
            <w:r w:rsidRPr="00AC31D6">
              <w:rPr>
                <w:sz w:val="24"/>
                <w:szCs w:val="24"/>
              </w:rPr>
              <w:t>2S2: Academic Proficiency in Mathematics</w:t>
            </w:r>
          </w:p>
        </w:tc>
        <w:tc>
          <w:tcPr>
            <w:tcW w:w="1166" w:type="dxa"/>
            <w:vAlign w:val="center"/>
          </w:tcPr>
          <w:p w14:paraId="49A79E2C" w14:textId="77777777" w:rsidR="002533BD" w:rsidRPr="00AC31D6" w:rsidRDefault="002533BD" w:rsidP="006975FA">
            <w:pPr>
              <w:pStyle w:val="TableParagraph"/>
              <w:spacing w:before="60" w:after="60" w:line="240" w:lineRule="auto"/>
              <w:jc w:val="center"/>
              <w:rPr>
                <w:sz w:val="24"/>
                <w:szCs w:val="24"/>
              </w:rPr>
            </w:pPr>
            <w:r>
              <w:rPr>
                <w:sz w:val="24"/>
                <w:szCs w:val="24"/>
              </w:rPr>
              <w:t>29.0</w:t>
            </w:r>
            <w:r w:rsidRPr="00AC31D6">
              <w:rPr>
                <w:sz w:val="24"/>
                <w:szCs w:val="24"/>
              </w:rPr>
              <w:t>%</w:t>
            </w:r>
          </w:p>
        </w:tc>
        <w:tc>
          <w:tcPr>
            <w:tcW w:w="1174" w:type="dxa"/>
            <w:vAlign w:val="center"/>
          </w:tcPr>
          <w:p w14:paraId="3E6BCDA2" w14:textId="77777777" w:rsidR="002533BD" w:rsidRPr="00AC31D6" w:rsidRDefault="002533BD" w:rsidP="006975FA">
            <w:pPr>
              <w:pStyle w:val="TableParagraph"/>
              <w:spacing w:before="60" w:after="60" w:line="240" w:lineRule="auto"/>
              <w:jc w:val="center"/>
              <w:rPr>
                <w:sz w:val="24"/>
                <w:szCs w:val="24"/>
              </w:rPr>
            </w:pPr>
            <w:r>
              <w:rPr>
                <w:sz w:val="24"/>
                <w:szCs w:val="24"/>
              </w:rPr>
              <w:t>30.5</w:t>
            </w:r>
            <w:r w:rsidRPr="00AC31D6">
              <w:rPr>
                <w:sz w:val="24"/>
                <w:szCs w:val="24"/>
              </w:rPr>
              <w:t>%</w:t>
            </w:r>
          </w:p>
        </w:tc>
        <w:tc>
          <w:tcPr>
            <w:tcW w:w="1166" w:type="dxa"/>
            <w:vAlign w:val="center"/>
          </w:tcPr>
          <w:p w14:paraId="48BC9CEA" w14:textId="77777777" w:rsidR="002533BD" w:rsidRPr="00AC31D6" w:rsidRDefault="002533BD" w:rsidP="006975FA">
            <w:pPr>
              <w:pStyle w:val="TableParagraph"/>
              <w:spacing w:before="60" w:after="60" w:line="240" w:lineRule="auto"/>
              <w:jc w:val="center"/>
              <w:rPr>
                <w:sz w:val="24"/>
                <w:szCs w:val="24"/>
              </w:rPr>
            </w:pPr>
            <w:r>
              <w:rPr>
                <w:sz w:val="24"/>
                <w:szCs w:val="24"/>
              </w:rPr>
              <w:t>30.5</w:t>
            </w:r>
            <w:r w:rsidRPr="00AC31D6">
              <w:rPr>
                <w:sz w:val="24"/>
                <w:szCs w:val="24"/>
              </w:rPr>
              <w:t>%</w:t>
            </w:r>
          </w:p>
        </w:tc>
        <w:tc>
          <w:tcPr>
            <w:tcW w:w="1166" w:type="dxa"/>
            <w:vAlign w:val="center"/>
          </w:tcPr>
          <w:p w14:paraId="06DC876A" w14:textId="77777777" w:rsidR="002533BD" w:rsidRPr="00AC31D6" w:rsidRDefault="002533BD" w:rsidP="006975FA">
            <w:pPr>
              <w:pStyle w:val="TableParagraph"/>
              <w:spacing w:before="60" w:after="60" w:line="240" w:lineRule="auto"/>
              <w:jc w:val="center"/>
              <w:rPr>
                <w:sz w:val="24"/>
                <w:szCs w:val="24"/>
              </w:rPr>
            </w:pPr>
            <w:r>
              <w:rPr>
                <w:sz w:val="24"/>
                <w:szCs w:val="24"/>
              </w:rPr>
              <w:t>32.5</w:t>
            </w:r>
            <w:r w:rsidRPr="00AC31D6">
              <w:rPr>
                <w:sz w:val="24"/>
                <w:szCs w:val="24"/>
              </w:rPr>
              <w:t>%</w:t>
            </w:r>
          </w:p>
        </w:tc>
        <w:tc>
          <w:tcPr>
            <w:tcW w:w="1178" w:type="dxa"/>
            <w:vAlign w:val="center"/>
          </w:tcPr>
          <w:p w14:paraId="5543AF25" w14:textId="77777777" w:rsidR="002533BD" w:rsidRPr="00AC31D6" w:rsidRDefault="002533BD" w:rsidP="006975FA">
            <w:pPr>
              <w:pStyle w:val="TableParagraph"/>
              <w:spacing w:before="60" w:after="60" w:line="240" w:lineRule="auto"/>
              <w:jc w:val="center"/>
              <w:rPr>
                <w:sz w:val="24"/>
                <w:szCs w:val="24"/>
              </w:rPr>
            </w:pPr>
            <w:r>
              <w:rPr>
                <w:sz w:val="24"/>
                <w:szCs w:val="24"/>
              </w:rPr>
              <w:t>32.5</w:t>
            </w:r>
            <w:r w:rsidRPr="00AC31D6">
              <w:rPr>
                <w:sz w:val="24"/>
                <w:szCs w:val="24"/>
              </w:rPr>
              <w:t>%</w:t>
            </w:r>
          </w:p>
        </w:tc>
      </w:tr>
      <w:tr w:rsidR="002533BD" w:rsidRPr="00AC31D6" w14:paraId="15994AB4" w14:textId="77777777" w:rsidTr="002533BD">
        <w:trPr>
          <w:cantSplit/>
          <w:trHeight w:val="671"/>
          <w:tblHeader/>
        </w:trPr>
        <w:tc>
          <w:tcPr>
            <w:tcW w:w="3870" w:type="dxa"/>
          </w:tcPr>
          <w:p w14:paraId="27C82C12" w14:textId="77777777" w:rsidR="002533BD" w:rsidRPr="00AC31D6" w:rsidRDefault="002533BD" w:rsidP="006975FA">
            <w:pPr>
              <w:pStyle w:val="TableParagraph"/>
              <w:spacing w:before="60" w:after="60" w:line="240" w:lineRule="auto"/>
              <w:ind w:left="684"/>
              <w:rPr>
                <w:sz w:val="24"/>
                <w:szCs w:val="24"/>
              </w:rPr>
            </w:pPr>
            <w:r w:rsidRPr="00AC31D6">
              <w:rPr>
                <w:sz w:val="24"/>
                <w:szCs w:val="24"/>
              </w:rPr>
              <w:t>2S3: Academic Proficiency in Science</w:t>
            </w:r>
          </w:p>
        </w:tc>
        <w:tc>
          <w:tcPr>
            <w:tcW w:w="1166" w:type="dxa"/>
            <w:vAlign w:val="center"/>
          </w:tcPr>
          <w:p w14:paraId="454F76D8" w14:textId="77777777" w:rsidR="002533BD" w:rsidRPr="00AC31D6" w:rsidRDefault="002533BD" w:rsidP="006975FA">
            <w:pPr>
              <w:pStyle w:val="TableParagraph"/>
              <w:spacing w:before="60" w:after="60" w:line="240" w:lineRule="auto"/>
              <w:jc w:val="center"/>
              <w:rPr>
                <w:sz w:val="24"/>
                <w:szCs w:val="24"/>
              </w:rPr>
            </w:pPr>
            <w:r>
              <w:rPr>
                <w:sz w:val="24"/>
                <w:szCs w:val="24"/>
              </w:rPr>
              <w:t>27.7%</w:t>
            </w:r>
          </w:p>
        </w:tc>
        <w:tc>
          <w:tcPr>
            <w:tcW w:w="1174" w:type="dxa"/>
            <w:vAlign w:val="center"/>
          </w:tcPr>
          <w:p w14:paraId="148F212D" w14:textId="77777777" w:rsidR="002533BD" w:rsidRPr="00AC31D6" w:rsidRDefault="002533BD" w:rsidP="006975FA">
            <w:pPr>
              <w:pStyle w:val="TableParagraph"/>
              <w:spacing w:before="60" w:after="60" w:line="240" w:lineRule="auto"/>
              <w:jc w:val="center"/>
              <w:rPr>
                <w:sz w:val="24"/>
                <w:szCs w:val="24"/>
              </w:rPr>
            </w:pPr>
            <w:r>
              <w:rPr>
                <w:sz w:val="24"/>
                <w:szCs w:val="24"/>
              </w:rPr>
              <w:t>28.21%</w:t>
            </w:r>
          </w:p>
        </w:tc>
        <w:tc>
          <w:tcPr>
            <w:tcW w:w="1166" w:type="dxa"/>
            <w:vAlign w:val="center"/>
          </w:tcPr>
          <w:p w14:paraId="51F8739E" w14:textId="77777777" w:rsidR="002533BD" w:rsidRPr="00AC31D6" w:rsidRDefault="002533BD" w:rsidP="006975FA">
            <w:pPr>
              <w:pStyle w:val="TableParagraph"/>
              <w:spacing w:before="60" w:after="60" w:line="240" w:lineRule="auto"/>
              <w:jc w:val="center"/>
              <w:rPr>
                <w:sz w:val="24"/>
                <w:szCs w:val="24"/>
              </w:rPr>
            </w:pPr>
            <w:r>
              <w:rPr>
                <w:sz w:val="24"/>
                <w:szCs w:val="24"/>
              </w:rPr>
              <w:t>28.21%</w:t>
            </w:r>
          </w:p>
        </w:tc>
        <w:tc>
          <w:tcPr>
            <w:tcW w:w="1166" w:type="dxa"/>
            <w:vAlign w:val="center"/>
          </w:tcPr>
          <w:p w14:paraId="43785E0C" w14:textId="77777777" w:rsidR="002533BD" w:rsidRPr="00AC31D6" w:rsidRDefault="002533BD" w:rsidP="006975FA">
            <w:pPr>
              <w:pStyle w:val="TableParagraph"/>
              <w:spacing w:before="60" w:after="60" w:line="240" w:lineRule="auto"/>
              <w:jc w:val="center"/>
              <w:rPr>
                <w:sz w:val="24"/>
                <w:szCs w:val="24"/>
              </w:rPr>
            </w:pPr>
            <w:r>
              <w:rPr>
                <w:sz w:val="24"/>
                <w:szCs w:val="24"/>
              </w:rPr>
              <w:t>31.22%</w:t>
            </w:r>
          </w:p>
        </w:tc>
        <w:tc>
          <w:tcPr>
            <w:tcW w:w="1178" w:type="dxa"/>
            <w:vAlign w:val="center"/>
          </w:tcPr>
          <w:p w14:paraId="7BBCD08A" w14:textId="77777777" w:rsidR="002533BD" w:rsidRPr="00AC31D6" w:rsidRDefault="002533BD" w:rsidP="006975FA">
            <w:pPr>
              <w:pStyle w:val="TableParagraph"/>
              <w:spacing w:before="60" w:after="60" w:line="240" w:lineRule="auto"/>
              <w:jc w:val="center"/>
              <w:rPr>
                <w:sz w:val="24"/>
                <w:szCs w:val="24"/>
              </w:rPr>
            </w:pPr>
            <w:r>
              <w:rPr>
                <w:sz w:val="24"/>
                <w:szCs w:val="24"/>
              </w:rPr>
              <w:t>31.22%</w:t>
            </w:r>
          </w:p>
        </w:tc>
      </w:tr>
      <w:tr w:rsidR="002533BD" w:rsidRPr="00AC31D6" w14:paraId="3BD948C6" w14:textId="77777777" w:rsidTr="002533BD">
        <w:trPr>
          <w:cantSplit/>
          <w:trHeight w:val="397"/>
          <w:tblHeader/>
        </w:trPr>
        <w:tc>
          <w:tcPr>
            <w:tcW w:w="3870" w:type="dxa"/>
          </w:tcPr>
          <w:p w14:paraId="34D38594" w14:textId="77777777" w:rsidR="002533BD" w:rsidRPr="00AC31D6" w:rsidRDefault="002533BD" w:rsidP="006975FA">
            <w:pPr>
              <w:pStyle w:val="TableParagraph"/>
              <w:spacing w:before="60" w:after="60" w:line="240" w:lineRule="auto"/>
              <w:ind w:left="684"/>
              <w:rPr>
                <w:sz w:val="24"/>
                <w:szCs w:val="24"/>
              </w:rPr>
            </w:pPr>
            <w:r w:rsidRPr="00AC31D6">
              <w:rPr>
                <w:sz w:val="24"/>
                <w:szCs w:val="24"/>
              </w:rPr>
              <w:t>3S1: Post-Program Placement</w:t>
            </w:r>
          </w:p>
        </w:tc>
        <w:tc>
          <w:tcPr>
            <w:tcW w:w="1166" w:type="dxa"/>
            <w:vAlign w:val="center"/>
          </w:tcPr>
          <w:p w14:paraId="31B83C5C" w14:textId="77777777" w:rsidR="002533BD" w:rsidRPr="00AC31D6" w:rsidRDefault="002533BD" w:rsidP="006975FA">
            <w:pPr>
              <w:pStyle w:val="TableParagraph"/>
              <w:spacing w:before="60" w:after="60" w:line="240" w:lineRule="auto"/>
              <w:jc w:val="center"/>
              <w:rPr>
                <w:sz w:val="24"/>
                <w:szCs w:val="24"/>
              </w:rPr>
            </w:pPr>
            <w:r>
              <w:rPr>
                <w:sz w:val="24"/>
                <w:szCs w:val="24"/>
              </w:rPr>
              <w:t>74.7</w:t>
            </w:r>
            <w:r w:rsidRPr="00AC31D6">
              <w:rPr>
                <w:sz w:val="24"/>
                <w:szCs w:val="24"/>
              </w:rPr>
              <w:t>%</w:t>
            </w:r>
          </w:p>
        </w:tc>
        <w:tc>
          <w:tcPr>
            <w:tcW w:w="1174" w:type="dxa"/>
            <w:vAlign w:val="center"/>
          </w:tcPr>
          <w:p w14:paraId="03F054BE" w14:textId="77777777" w:rsidR="002533BD" w:rsidRPr="00AC31D6" w:rsidRDefault="002533BD" w:rsidP="006975FA">
            <w:pPr>
              <w:pStyle w:val="TableParagraph"/>
              <w:spacing w:before="60" w:after="60" w:line="240" w:lineRule="auto"/>
              <w:jc w:val="center"/>
              <w:rPr>
                <w:sz w:val="24"/>
                <w:szCs w:val="24"/>
              </w:rPr>
            </w:pPr>
            <w:r>
              <w:rPr>
                <w:sz w:val="24"/>
                <w:szCs w:val="24"/>
              </w:rPr>
              <w:t>75.5</w:t>
            </w:r>
            <w:r w:rsidRPr="00AC31D6">
              <w:rPr>
                <w:sz w:val="24"/>
                <w:szCs w:val="24"/>
              </w:rPr>
              <w:t>%</w:t>
            </w:r>
          </w:p>
        </w:tc>
        <w:tc>
          <w:tcPr>
            <w:tcW w:w="1166" w:type="dxa"/>
            <w:vAlign w:val="center"/>
          </w:tcPr>
          <w:p w14:paraId="35EF9CCB" w14:textId="77777777" w:rsidR="002533BD" w:rsidRPr="00AC31D6" w:rsidRDefault="002533BD" w:rsidP="006975FA">
            <w:pPr>
              <w:pStyle w:val="TableParagraph"/>
              <w:spacing w:before="60" w:after="60" w:line="240" w:lineRule="auto"/>
              <w:jc w:val="center"/>
              <w:rPr>
                <w:sz w:val="24"/>
                <w:szCs w:val="24"/>
              </w:rPr>
            </w:pPr>
            <w:r>
              <w:rPr>
                <w:sz w:val="24"/>
                <w:szCs w:val="24"/>
              </w:rPr>
              <w:t>75.5</w:t>
            </w:r>
            <w:r w:rsidRPr="00AC31D6">
              <w:rPr>
                <w:sz w:val="24"/>
                <w:szCs w:val="24"/>
              </w:rPr>
              <w:t>%</w:t>
            </w:r>
          </w:p>
        </w:tc>
        <w:tc>
          <w:tcPr>
            <w:tcW w:w="1166" w:type="dxa"/>
            <w:vAlign w:val="center"/>
          </w:tcPr>
          <w:p w14:paraId="445EF22F" w14:textId="77777777" w:rsidR="002533BD" w:rsidRPr="00AC31D6" w:rsidRDefault="002533BD" w:rsidP="006975FA">
            <w:pPr>
              <w:pStyle w:val="TableParagraph"/>
              <w:spacing w:before="60" w:after="60" w:line="240" w:lineRule="auto"/>
              <w:jc w:val="center"/>
              <w:rPr>
                <w:sz w:val="24"/>
                <w:szCs w:val="24"/>
              </w:rPr>
            </w:pPr>
            <w:r>
              <w:rPr>
                <w:sz w:val="24"/>
                <w:szCs w:val="24"/>
              </w:rPr>
              <w:t>77.1</w:t>
            </w:r>
            <w:r w:rsidRPr="00AC31D6">
              <w:rPr>
                <w:sz w:val="24"/>
                <w:szCs w:val="24"/>
              </w:rPr>
              <w:t>%</w:t>
            </w:r>
          </w:p>
        </w:tc>
        <w:tc>
          <w:tcPr>
            <w:tcW w:w="1178" w:type="dxa"/>
            <w:vAlign w:val="center"/>
          </w:tcPr>
          <w:p w14:paraId="097DD822" w14:textId="77777777" w:rsidR="002533BD" w:rsidRPr="00AC31D6" w:rsidRDefault="002533BD" w:rsidP="006975FA">
            <w:pPr>
              <w:pStyle w:val="TableParagraph"/>
              <w:spacing w:before="60" w:after="60" w:line="240" w:lineRule="auto"/>
              <w:jc w:val="center"/>
              <w:rPr>
                <w:sz w:val="24"/>
                <w:szCs w:val="24"/>
              </w:rPr>
            </w:pPr>
            <w:r>
              <w:rPr>
                <w:sz w:val="24"/>
                <w:szCs w:val="24"/>
              </w:rPr>
              <w:t>77.1</w:t>
            </w:r>
            <w:r w:rsidRPr="00AC31D6">
              <w:rPr>
                <w:sz w:val="24"/>
                <w:szCs w:val="24"/>
              </w:rPr>
              <w:t>%</w:t>
            </w:r>
          </w:p>
        </w:tc>
      </w:tr>
      <w:tr w:rsidR="002533BD" w:rsidRPr="00AC31D6" w14:paraId="7502289C" w14:textId="77777777" w:rsidTr="002533BD">
        <w:trPr>
          <w:cantSplit/>
          <w:trHeight w:val="671"/>
          <w:tblHeader/>
        </w:trPr>
        <w:tc>
          <w:tcPr>
            <w:tcW w:w="3870" w:type="dxa"/>
          </w:tcPr>
          <w:p w14:paraId="19C9A528" w14:textId="77777777" w:rsidR="002533BD" w:rsidRPr="00AC31D6" w:rsidRDefault="002533BD" w:rsidP="006975FA">
            <w:pPr>
              <w:pStyle w:val="TableParagraph"/>
              <w:spacing w:before="60" w:after="60" w:line="240" w:lineRule="auto"/>
              <w:ind w:left="684"/>
              <w:rPr>
                <w:sz w:val="24"/>
                <w:szCs w:val="24"/>
              </w:rPr>
            </w:pPr>
            <w:r w:rsidRPr="00AC31D6">
              <w:rPr>
                <w:sz w:val="24"/>
                <w:szCs w:val="24"/>
              </w:rPr>
              <w:t>4S1: Non-traditional Program Concentration</w:t>
            </w:r>
          </w:p>
        </w:tc>
        <w:tc>
          <w:tcPr>
            <w:tcW w:w="1166" w:type="dxa"/>
            <w:vAlign w:val="center"/>
          </w:tcPr>
          <w:p w14:paraId="67D19F1C"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20.80%</w:t>
            </w:r>
          </w:p>
        </w:tc>
        <w:tc>
          <w:tcPr>
            <w:tcW w:w="1174" w:type="dxa"/>
            <w:vAlign w:val="center"/>
          </w:tcPr>
          <w:p w14:paraId="6FD1DC1F"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20.80%</w:t>
            </w:r>
          </w:p>
        </w:tc>
        <w:tc>
          <w:tcPr>
            <w:tcW w:w="1166" w:type="dxa"/>
            <w:vAlign w:val="center"/>
          </w:tcPr>
          <w:p w14:paraId="60F68121"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20.80%</w:t>
            </w:r>
          </w:p>
        </w:tc>
        <w:tc>
          <w:tcPr>
            <w:tcW w:w="1166" w:type="dxa"/>
            <w:vAlign w:val="center"/>
          </w:tcPr>
          <w:p w14:paraId="6BC4B02B"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21.00%</w:t>
            </w:r>
          </w:p>
        </w:tc>
        <w:tc>
          <w:tcPr>
            <w:tcW w:w="1178" w:type="dxa"/>
            <w:vAlign w:val="center"/>
          </w:tcPr>
          <w:p w14:paraId="73A75203" w14:textId="77777777" w:rsidR="002533BD" w:rsidRPr="00AC31D6" w:rsidRDefault="002533BD" w:rsidP="006975FA">
            <w:pPr>
              <w:pStyle w:val="TableParagraph"/>
              <w:spacing w:before="60" w:after="60" w:line="240" w:lineRule="auto"/>
              <w:jc w:val="center"/>
              <w:rPr>
                <w:sz w:val="24"/>
                <w:szCs w:val="24"/>
              </w:rPr>
            </w:pPr>
            <w:r w:rsidRPr="00AC31D6">
              <w:rPr>
                <w:sz w:val="24"/>
                <w:szCs w:val="24"/>
              </w:rPr>
              <w:t>21.00%</w:t>
            </w:r>
          </w:p>
        </w:tc>
      </w:tr>
      <w:tr w:rsidR="002533BD" w:rsidRPr="00AC31D6" w14:paraId="29BEC537" w14:textId="77777777" w:rsidTr="002533BD">
        <w:trPr>
          <w:cantSplit/>
          <w:trHeight w:val="948"/>
          <w:tblHeader/>
        </w:trPr>
        <w:tc>
          <w:tcPr>
            <w:tcW w:w="3870" w:type="dxa"/>
          </w:tcPr>
          <w:p w14:paraId="6EDCDBAF" w14:textId="77777777" w:rsidR="002533BD" w:rsidRPr="00AC31D6" w:rsidRDefault="002533BD" w:rsidP="006975FA">
            <w:pPr>
              <w:pStyle w:val="TableParagraph"/>
              <w:spacing w:before="60" w:after="60" w:line="240" w:lineRule="auto"/>
              <w:ind w:left="684" w:right="97"/>
              <w:rPr>
                <w:sz w:val="24"/>
                <w:szCs w:val="24"/>
              </w:rPr>
            </w:pPr>
            <w:r w:rsidRPr="00AC31D6">
              <w:rPr>
                <w:sz w:val="24"/>
                <w:szCs w:val="24"/>
              </w:rPr>
              <w:t>5S1: Program Quality – Attained Recognized Postsecondary Credential</w:t>
            </w:r>
          </w:p>
        </w:tc>
        <w:tc>
          <w:tcPr>
            <w:tcW w:w="1166" w:type="dxa"/>
            <w:vAlign w:val="center"/>
          </w:tcPr>
          <w:p w14:paraId="29E4C1E3" w14:textId="77777777" w:rsidR="002533BD" w:rsidRPr="00AC31D6" w:rsidRDefault="002533BD" w:rsidP="006975FA">
            <w:pPr>
              <w:spacing w:before="60" w:after="60"/>
              <w:jc w:val="center"/>
            </w:pPr>
            <w:r w:rsidRPr="00AC31D6">
              <w:t>Blank</w:t>
            </w:r>
          </w:p>
        </w:tc>
        <w:tc>
          <w:tcPr>
            <w:tcW w:w="1174" w:type="dxa"/>
            <w:vAlign w:val="center"/>
          </w:tcPr>
          <w:p w14:paraId="47EED7F0" w14:textId="77777777" w:rsidR="002533BD" w:rsidRPr="00AC31D6" w:rsidRDefault="002533BD" w:rsidP="006975FA">
            <w:pPr>
              <w:spacing w:before="60" w:after="60"/>
              <w:jc w:val="center"/>
            </w:pPr>
            <w:r w:rsidRPr="00AC31D6">
              <w:t>Blank</w:t>
            </w:r>
          </w:p>
        </w:tc>
        <w:tc>
          <w:tcPr>
            <w:tcW w:w="1166" w:type="dxa"/>
            <w:vAlign w:val="center"/>
          </w:tcPr>
          <w:p w14:paraId="30DEEE0D" w14:textId="77777777" w:rsidR="002533BD" w:rsidRPr="00AC31D6" w:rsidRDefault="002533BD" w:rsidP="006975FA">
            <w:pPr>
              <w:spacing w:before="60" w:after="60"/>
              <w:jc w:val="center"/>
            </w:pPr>
            <w:r w:rsidRPr="00AC31D6">
              <w:t>Blank</w:t>
            </w:r>
          </w:p>
        </w:tc>
        <w:tc>
          <w:tcPr>
            <w:tcW w:w="1166" w:type="dxa"/>
            <w:vAlign w:val="center"/>
          </w:tcPr>
          <w:p w14:paraId="735F36B8" w14:textId="77777777" w:rsidR="002533BD" w:rsidRPr="00AC31D6" w:rsidRDefault="002533BD" w:rsidP="006975FA">
            <w:pPr>
              <w:spacing w:before="60" w:after="60"/>
              <w:jc w:val="center"/>
            </w:pPr>
            <w:r w:rsidRPr="00AC31D6">
              <w:t>Blank</w:t>
            </w:r>
          </w:p>
        </w:tc>
        <w:tc>
          <w:tcPr>
            <w:tcW w:w="1178" w:type="dxa"/>
            <w:vAlign w:val="center"/>
          </w:tcPr>
          <w:p w14:paraId="26C3346B" w14:textId="77777777" w:rsidR="002533BD" w:rsidRPr="00AC31D6" w:rsidRDefault="002533BD" w:rsidP="006975FA">
            <w:pPr>
              <w:spacing w:before="60" w:after="60"/>
              <w:jc w:val="center"/>
            </w:pPr>
            <w:r w:rsidRPr="00AC31D6">
              <w:t>Blank</w:t>
            </w:r>
          </w:p>
        </w:tc>
      </w:tr>
      <w:tr w:rsidR="002533BD" w:rsidRPr="00AC31D6" w14:paraId="49AF21E0" w14:textId="77777777" w:rsidTr="002533BD">
        <w:trPr>
          <w:cantSplit/>
          <w:trHeight w:val="602"/>
          <w:tblHeader/>
        </w:trPr>
        <w:tc>
          <w:tcPr>
            <w:tcW w:w="3870" w:type="dxa"/>
          </w:tcPr>
          <w:p w14:paraId="16A08861" w14:textId="77777777" w:rsidR="002533BD" w:rsidRPr="00AC31D6" w:rsidRDefault="002533BD" w:rsidP="006975FA">
            <w:pPr>
              <w:pStyle w:val="TableParagraph"/>
              <w:spacing w:before="60" w:after="60" w:line="240" w:lineRule="auto"/>
              <w:ind w:left="684" w:right="321"/>
              <w:rPr>
                <w:sz w:val="24"/>
                <w:szCs w:val="24"/>
              </w:rPr>
            </w:pPr>
            <w:r w:rsidRPr="00AC31D6">
              <w:rPr>
                <w:sz w:val="24"/>
                <w:szCs w:val="24"/>
              </w:rPr>
              <w:t>5S2: Program Quality – Attained Postsecondary Credits</w:t>
            </w:r>
          </w:p>
        </w:tc>
        <w:tc>
          <w:tcPr>
            <w:tcW w:w="1166" w:type="dxa"/>
            <w:vAlign w:val="center"/>
          </w:tcPr>
          <w:p w14:paraId="279CA9F6" w14:textId="77777777" w:rsidR="002533BD" w:rsidRPr="00AC31D6" w:rsidRDefault="002533BD" w:rsidP="006975FA">
            <w:pPr>
              <w:spacing w:before="60" w:after="60"/>
              <w:jc w:val="center"/>
            </w:pPr>
            <w:r>
              <w:t>15.0%</w:t>
            </w:r>
          </w:p>
        </w:tc>
        <w:tc>
          <w:tcPr>
            <w:tcW w:w="1174" w:type="dxa"/>
            <w:vAlign w:val="center"/>
          </w:tcPr>
          <w:p w14:paraId="4031091A" w14:textId="77777777" w:rsidR="002533BD" w:rsidRPr="00AC31D6" w:rsidRDefault="002533BD" w:rsidP="006975FA">
            <w:pPr>
              <w:spacing w:before="60" w:after="60"/>
              <w:jc w:val="center"/>
            </w:pPr>
            <w:r>
              <w:t>17.1%</w:t>
            </w:r>
          </w:p>
        </w:tc>
        <w:tc>
          <w:tcPr>
            <w:tcW w:w="1166" w:type="dxa"/>
            <w:vAlign w:val="center"/>
          </w:tcPr>
          <w:p w14:paraId="3436EFE8" w14:textId="77777777" w:rsidR="002533BD" w:rsidRPr="00AC31D6" w:rsidRDefault="002533BD" w:rsidP="006975FA">
            <w:pPr>
              <w:spacing w:before="60" w:after="60"/>
              <w:jc w:val="center"/>
            </w:pPr>
            <w:r>
              <w:t>17.1%</w:t>
            </w:r>
          </w:p>
        </w:tc>
        <w:tc>
          <w:tcPr>
            <w:tcW w:w="1166" w:type="dxa"/>
            <w:vAlign w:val="center"/>
          </w:tcPr>
          <w:p w14:paraId="3A9E595E" w14:textId="77777777" w:rsidR="002533BD" w:rsidRPr="00AC31D6" w:rsidRDefault="002533BD" w:rsidP="006975FA">
            <w:pPr>
              <w:spacing w:before="60" w:after="60"/>
              <w:jc w:val="center"/>
            </w:pPr>
            <w:r>
              <w:t>19.3%</w:t>
            </w:r>
          </w:p>
        </w:tc>
        <w:tc>
          <w:tcPr>
            <w:tcW w:w="1178" w:type="dxa"/>
            <w:vAlign w:val="center"/>
          </w:tcPr>
          <w:p w14:paraId="67D74CEE" w14:textId="77777777" w:rsidR="002533BD" w:rsidRPr="00AC31D6" w:rsidRDefault="002533BD" w:rsidP="006975FA">
            <w:pPr>
              <w:spacing w:before="60" w:after="60"/>
              <w:jc w:val="center"/>
            </w:pPr>
            <w:r>
              <w:t>19.3%</w:t>
            </w:r>
          </w:p>
        </w:tc>
      </w:tr>
      <w:tr w:rsidR="002533BD" w:rsidRPr="00AC31D6" w14:paraId="140EC61C" w14:textId="77777777" w:rsidTr="002533BD">
        <w:trPr>
          <w:cantSplit/>
          <w:trHeight w:val="1080"/>
          <w:tblHeader/>
        </w:trPr>
        <w:tc>
          <w:tcPr>
            <w:tcW w:w="3870" w:type="dxa"/>
          </w:tcPr>
          <w:p w14:paraId="5EB358ED" w14:textId="77777777" w:rsidR="002533BD" w:rsidRPr="00AC31D6" w:rsidRDefault="002533BD" w:rsidP="006975FA">
            <w:pPr>
              <w:pStyle w:val="TableParagraph"/>
              <w:spacing w:before="60" w:after="60" w:line="240" w:lineRule="auto"/>
              <w:ind w:left="684" w:right="514"/>
              <w:rPr>
                <w:sz w:val="24"/>
                <w:szCs w:val="24"/>
              </w:rPr>
            </w:pPr>
            <w:r w:rsidRPr="00AC31D6">
              <w:rPr>
                <w:sz w:val="24"/>
                <w:szCs w:val="24"/>
              </w:rPr>
              <w:t>5S3: Program Quality – Participated in Work- Based Learning</w:t>
            </w:r>
          </w:p>
        </w:tc>
        <w:tc>
          <w:tcPr>
            <w:tcW w:w="1166" w:type="dxa"/>
            <w:vAlign w:val="center"/>
          </w:tcPr>
          <w:p w14:paraId="21677209" w14:textId="77777777" w:rsidR="002533BD" w:rsidRPr="00AC31D6" w:rsidRDefault="002533BD" w:rsidP="006975FA">
            <w:pPr>
              <w:spacing w:before="60" w:after="60"/>
              <w:jc w:val="center"/>
            </w:pPr>
            <w:r w:rsidRPr="00AC31D6">
              <w:t>Blank</w:t>
            </w:r>
          </w:p>
        </w:tc>
        <w:tc>
          <w:tcPr>
            <w:tcW w:w="1174" w:type="dxa"/>
            <w:vAlign w:val="center"/>
          </w:tcPr>
          <w:p w14:paraId="188E995D" w14:textId="77777777" w:rsidR="002533BD" w:rsidRPr="00AC31D6" w:rsidRDefault="002533BD" w:rsidP="006975FA">
            <w:pPr>
              <w:spacing w:before="60" w:after="60"/>
              <w:jc w:val="center"/>
            </w:pPr>
            <w:r w:rsidRPr="00AC31D6">
              <w:t>Blank</w:t>
            </w:r>
          </w:p>
        </w:tc>
        <w:tc>
          <w:tcPr>
            <w:tcW w:w="1166" w:type="dxa"/>
            <w:vAlign w:val="center"/>
          </w:tcPr>
          <w:p w14:paraId="319E5350" w14:textId="77777777" w:rsidR="002533BD" w:rsidRPr="00AC31D6" w:rsidRDefault="002533BD" w:rsidP="006975FA">
            <w:pPr>
              <w:spacing w:before="60" w:after="60"/>
              <w:jc w:val="center"/>
            </w:pPr>
            <w:r w:rsidRPr="00AC31D6">
              <w:t>Blank</w:t>
            </w:r>
          </w:p>
        </w:tc>
        <w:tc>
          <w:tcPr>
            <w:tcW w:w="1166" w:type="dxa"/>
            <w:vAlign w:val="center"/>
          </w:tcPr>
          <w:p w14:paraId="21EEE554" w14:textId="77777777" w:rsidR="002533BD" w:rsidRPr="00AC31D6" w:rsidRDefault="002533BD" w:rsidP="006975FA">
            <w:pPr>
              <w:spacing w:before="60" w:after="60"/>
              <w:jc w:val="center"/>
            </w:pPr>
            <w:r w:rsidRPr="00AC31D6">
              <w:t>Blank</w:t>
            </w:r>
          </w:p>
        </w:tc>
        <w:tc>
          <w:tcPr>
            <w:tcW w:w="1178" w:type="dxa"/>
            <w:vAlign w:val="center"/>
          </w:tcPr>
          <w:p w14:paraId="64E08302" w14:textId="77777777" w:rsidR="002533BD" w:rsidRPr="00AC31D6" w:rsidRDefault="002533BD" w:rsidP="006975FA">
            <w:pPr>
              <w:spacing w:before="60" w:after="60"/>
              <w:jc w:val="center"/>
            </w:pPr>
            <w:r w:rsidRPr="00AC31D6">
              <w:t>Blank</w:t>
            </w:r>
          </w:p>
        </w:tc>
      </w:tr>
      <w:tr w:rsidR="002533BD" w:rsidRPr="00AC31D6" w14:paraId="7A207A88" w14:textId="77777777" w:rsidTr="002533BD">
        <w:trPr>
          <w:cantSplit/>
          <w:trHeight w:val="575"/>
          <w:tblHeader/>
        </w:trPr>
        <w:tc>
          <w:tcPr>
            <w:tcW w:w="3870" w:type="dxa"/>
          </w:tcPr>
          <w:p w14:paraId="15D2E69B" w14:textId="77777777" w:rsidR="002533BD" w:rsidRPr="00AC31D6" w:rsidRDefault="002533BD" w:rsidP="006975FA">
            <w:pPr>
              <w:pStyle w:val="TableParagraph"/>
              <w:spacing w:before="60" w:after="60" w:line="240" w:lineRule="auto"/>
              <w:ind w:left="684" w:right="321"/>
              <w:rPr>
                <w:sz w:val="24"/>
                <w:szCs w:val="24"/>
              </w:rPr>
            </w:pPr>
            <w:r w:rsidRPr="00AC31D6">
              <w:rPr>
                <w:sz w:val="24"/>
                <w:szCs w:val="24"/>
              </w:rPr>
              <w:t>5S4: Program Quality – Other</w:t>
            </w:r>
            <w:r w:rsidRPr="00AC31D6">
              <w:rPr>
                <w:sz w:val="24"/>
                <w:szCs w:val="24"/>
                <w:vertAlign w:val="superscript"/>
              </w:rPr>
              <w:t>1</w:t>
            </w:r>
          </w:p>
        </w:tc>
        <w:tc>
          <w:tcPr>
            <w:tcW w:w="1166" w:type="dxa"/>
            <w:vAlign w:val="center"/>
          </w:tcPr>
          <w:p w14:paraId="56E59842" w14:textId="77777777" w:rsidR="002533BD" w:rsidRPr="00AC31D6" w:rsidRDefault="002533BD" w:rsidP="006975FA">
            <w:pPr>
              <w:spacing w:before="60" w:after="60"/>
              <w:jc w:val="center"/>
            </w:pPr>
            <w:r w:rsidRPr="00AC31D6">
              <w:t>Blank</w:t>
            </w:r>
          </w:p>
        </w:tc>
        <w:tc>
          <w:tcPr>
            <w:tcW w:w="1174" w:type="dxa"/>
            <w:vAlign w:val="center"/>
          </w:tcPr>
          <w:p w14:paraId="410EEE8C" w14:textId="77777777" w:rsidR="002533BD" w:rsidRPr="00AC31D6" w:rsidRDefault="002533BD" w:rsidP="006975FA">
            <w:pPr>
              <w:spacing w:before="60" w:after="60"/>
              <w:jc w:val="center"/>
            </w:pPr>
            <w:r w:rsidRPr="00AC31D6">
              <w:t>Blank</w:t>
            </w:r>
          </w:p>
        </w:tc>
        <w:tc>
          <w:tcPr>
            <w:tcW w:w="1166" w:type="dxa"/>
            <w:vAlign w:val="center"/>
          </w:tcPr>
          <w:p w14:paraId="74E25124" w14:textId="77777777" w:rsidR="002533BD" w:rsidRPr="00AC31D6" w:rsidRDefault="002533BD" w:rsidP="006975FA">
            <w:pPr>
              <w:spacing w:before="60" w:after="60"/>
              <w:jc w:val="center"/>
            </w:pPr>
            <w:r w:rsidRPr="00AC31D6">
              <w:t>Blank</w:t>
            </w:r>
          </w:p>
        </w:tc>
        <w:tc>
          <w:tcPr>
            <w:tcW w:w="1166" w:type="dxa"/>
            <w:vAlign w:val="center"/>
          </w:tcPr>
          <w:p w14:paraId="294FBB94" w14:textId="77777777" w:rsidR="002533BD" w:rsidRPr="00AC31D6" w:rsidRDefault="002533BD" w:rsidP="006975FA">
            <w:pPr>
              <w:spacing w:before="60" w:after="60"/>
              <w:jc w:val="center"/>
            </w:pPr>
            <w:r w:rsidRPr="00AC31D6">
              <w:t>Blank</w:t>
            </w:r>
          </w:p>
        </w:tc>
        <w:tc>
          <w:tcPr>
            <w:tcW w:w="1178" w:type="dxa"/>
            <w:vAlign w:val="center"/>
          </w:tcPr>
          <w:p w14:paraId="72DBED03" w14:textId="77777777" w:rsidR="002533BD" w:rsidRPr="00AC31D6" w:rsidRDefault="002533BD" w:rsidP="006975FA">
            <w:pPr>
              <w:spacing w:before="60" w:after="60"/>
              <w:jc w:val="center"/>
            </w:pPr>
            <w:r w:rsidRPr="00AC31D6">
              <w:t>Blank</w:t>
            </w:r>
          </w:p>
        </w:tc>
      </w:tr>
    </w:tbl>
    <w:p w14:paraId="4B09A9B8" w14:textId="77777777" w:rsidR="002533BD" w:rsidRPr="002F2687" w:rsidRDefault="002533BD" w:rsidP="002533BD">
      <w:pPr>
        <w:pStyle w:val="BodyText"/>
        <w:spacing w:before="4"/>
        <w:rPr>
          <w:rFonts w:ascii="Arial" w:hAnsi="Arial" w:cs="Arial"/>
          <w:b/>
        </w:rPr>
      </w:pPr>
      <w:r w:rsidRPr="002F2687">
        <w:rPr>
          <w:rFonts w:ascii="Arial" w:hAnsi="Arial" w:cs="Arial"/>
          <w:noProof/>
        </w:rPr>
        <mc:AlternateContent>
          <mc:Choice Requires="wps">
            <w:drawing>
              <wp:inline distT="0" distB="0" distL="0" distR="0" wp14:anchorId="79325199" wp14:editId="1A7160B5">
                <wp:extent cx="1828800" cy="0"/>
                <wp:effectExtent l="0" t="0" r="0" b="0"/>
                <wp:docPr id="20" name="Line 3" descr="Dividing Line.">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inline>
            </w:drawing>
          </mc:Choice>
          <mc:Fallback>
            <w:pict>
              <v:line w14:anchorId="399881D6" id="Line 3" o:spid="_x0000_s1026" alt="Dividing Line." style="visibility:visible;mso-wrap-style:square;mso-left-percent:-10001;mso-top-percent:-10001;mso-position-horizontal:absolute;mso-position-horizontal-relative:char;mso-position-vertical:absolute;mso-position-vertical-relative:line;mso-left-percent:-10001;mso-top-percent:-10001" from="0,0" to="2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" strokeweight=".6pt">
                <w10:anchorlock/>
              </v:line>
            </w:pict>
          </mc:Fallback>
        </mc:AlternateContent>
      </w:r>
    </w:p>
    <w:p w14:paraId="4CC0CA7D" w14:textId="77777777" w:rsidR="002533BD" w:rsidRDefault="002533BD" w:rsidP="002533BD">
      <w:r>
        <w:rPr>
          <w:rStyle w:val="FootnoteReference"/>
          <w:rFonts w:eastAsiaTheme="minorEastAsia"/>
          <w:bCs/>
        </w:rPr>
        <w:t>1</w:t>
      </w:r>
      <w:r w:rsidRPr="002F2687">
        <w:rPr>
          <w:rFonts w:eastAsiaTheme="minorEastAsia"/>
          <w:bCs/>
        </w:rPr>
        <w:t xml:space="preserve"> </w:t>
      </w:r>
      <w:r>
        <w:rPr>
          <w:rFonts w:eastAsiaTheme="minorEastAsia"/>
          <w:bCs/>
        </w:rPr>
        <w:t xml:space="preserve">(Federal Table Note) </w:t>
      </w:r>
      <w:r w:rsidRPr="002F2687">
        <w:t>The Perkins V State Plan Portal will allow an eligible agency to include on this form as many “other program</w:t>
      </w:r>
      <w:r>
        <w:t>”</w:t>
      </w:r>
      <w:r w:rsidRPr="002F2687">
        <w:t xml:space="preserve"> quality indicators as they</w:t>
      </w:r>
      <w:r w:rsidRPr="002F2687">
        <w:rPr>
          <w:spacing w:val="-11"/>
        </w:rPr>
        <w:t xml:space="preserve"> </w:t>
      </w:r>
      <w:r w:rsidRPr="002F2687">
        <w:t>choose.</w:t>
      </w:r>
    </w:p>
    <w:tbl>
      <w:tblPr>
        <w:tblW w:w="96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Description w:val="Column 1 lists Indicators/Postsecondary Indicators, Column 2 lists baseline level, Column 3 lists FY 2020 Performance Levels, Column 4 lists FY 2021 Performance Levels, Column 5 lists FY 2022 Performance Levels, and Column 6 lists FY 2023 Performance Leve"/>
      </w:tblPr>
      <w:tblGrid>
        <w:gridCol w:w="3280"/>
        <w:gridCol w:w="1350"/>
        <w:gridCol w:w="1260"/>
        <w:gridCol w:w="1260"/>
        <w:gridCol w:w="1260"/>
        <w:gridCol w:w="1260"/>
      </w:tblGrid>
      <w:tr w:rsidR="002533BD" w:rsidRPr="00D519AA" w14:paraId="5F158924" w14:textId="77777777" w:rsidTr="006975FA">
        <w:trPr>
          <w:cantSplit/>
          <w:trHeight w:val="789"/>
          <w:tblHeader/>
        </w:trPr>
        <w:tc>
          <w:tcPr>
            <w:tcW w:w="3280" w:type="dxa"/>
            <w:tcBorders>
              <w:left w:val="single" w:sz="4" w:space="0" w:color="000000"/>
              <w:bottom w:val="single" w:sz="4" w:space="0" w:color="000000"/>
              <w:right w:val="single" w:sz="4" w:space="0" w:color="000000"/>
            </w:tcBorders>
            <w:shd w:val="clear" w:color="auto" w:fill="D9D9D9"/>
            <w:vAlign w:val="center"/>
          </w:tcPr>
          <w:p w14:paraId="1B2504AA"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lastRenderedPageBreak/>
              <w:t>Colum</w:t>
            </w:r>
            <w:r>
              <w:rPr>
                <w:b/>
                <w:sz w:val="24"/>
                <w:szCs w:val="24"/>
              </w:rPr>
              <w:t>n</w:t>
            </w:r>
            <w:r>
              <w:rPr>
                <w:b/>
                <w:sz w:val="24"/>
                <w:szCs w:val="24"/>
              </w:rPr>
              <w:br/>
            </w:r>
            <w:r w:rsidRPr="00441293">
              <w:rPr>
                <w:b/>
                <w:sz w:val="24"/>
                <w:szCs w:val="24"/>
              </w:rPr>
              <w:t>1</w:t>
            </w:r>
          </w:p>
        </w:tc>
        <w:tc>
          <w:tcPr>
            <w:tcW w:w="1350" w:type="dxa"/>
            <w:tcBorders>
              <w:left w:val="single" w:sz="4" w:space="0" w:color="000000"/>
              <w:bottom w:val="single" w:sz="4" w:space="0" w:color="000000"/>
              <w:right w:val="single" w:sz="4" w:space="0" w:color="000000"/>
            </w:tcBorders>
            <w:shd w:val="clear" w:color="auto" w:fill="D9D9D9"/>
            <w:vAlign w:val="center"/>
          </w:tcPr>
          <w:p w14:paraId="7630ACC5"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Column</w:t>
            </w:r>
            <w:r>
              <w:rPr>
                <w:b/>
                <w:sz w:val="24"/>
                <w:szCs w:val="24"/>
              </w:rPr>
              <w:br/>
            </w:r>
            <w:r w:rsidRPr="00441293">
              <w:rPr>
                <w:b/>
                <w:sz w:val="24"/>
                <w:szCs w:val="24"/>
              </w:rPr>
              <w:t>2</w:t>
            </w:r>
          </w:p>
        </w:tc>
        <w:tc>
          <w:tcPr>
            <w:tcW w:w="1260" w:type="dxa"/>
            <w:tcBorders>
              <w:left w:val="single" w:sz="4" w:space="0" w:color="000000"/>
              <w:bottom w:val="single" w:sz="4" w:space="0" w:color="000000"/>
              <w:right w:val="single" w:sz="4" w:space="0" w:color="000000"/>
            </w:tcBorders>
            <w:shd w:val="clear" w:color="auto" w:fill="D9D9D9"/>
            <w:vAlign w:val="center"/>
          </w:tcPr>
          <w:p w14:paraId="4460F88D"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Column</w:t>
            </w:r>
            <w:r>
              <w:rPr>
                <w:b/>
                <w:sz w:val="24"/>
                <w:szCs w:val="24"/>
              </w:rPr>
              <w:br/>
            </w:r>
            <w:r w:rsidRPr="00441293">
              <w:rPr>
                <w:b/>
                <w:sz w:val="24"/>
                <w:szCs w:val="24"/>
              </w:rPr>
              <w:t>3</w:t>
            </w:r>
          </w:p>
        </w:tc>
        <w:tc>
          <w:tcPr>
            <w:tcW w:w="1260" w:type="dxa"/>
            <w:tcBorders>
              <w:left w:val="single" w:sz="4" w:space="0" w:color="000000"/>
              <w:bottom w:val="single" w:sz="4" w:space="0" w:color="000000"/>
              <w:right w:val="single" w:sz="4" w:space="0" w:color="000000"/>
            </w:tcBorders>
            <w:shd w:val="clear" w:color="auto" w:fill="D9D9D9"/>
            <w:vAlign w:val="center"/>
          </w:tcPr>
          <w:p w14:paraId="572C2425"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Column</w:t>
            </w:r>
            <w:r>
              <w:rPr>
                <w:b/>
                <w:sz w:val="24"/>
                <w:szCs w:val="24"/>
              </w:rPr>
              <w:br/>
            </w:r>
            <w:r w:rsidRPr="00441293">
              <w:rPr>
                <w:b/>
                <w:sz w:val="24"/>
                <w:szCs w:val="24"/>
              </w:rPr>
              <w:t>4</w:t>
            </w:r>
          </w:p>
        </w:tc>
        <w:tc>
          <w:tcPr>
            <w:tcW w:w="1260" w:type="dxa"/>
            <w:tcBorders>
              <w:left w:val="single" w:sz="4" w:space="0" w:color="000000"/>
              <w:bottom w:val="single" w:sz="4" w:space="0" w:color="000000"/>
              <w:right w:val="single" w:sz="4" w:space="0" w:color="000000"/>
            </w:tcBorders>
            <w:shd w:val="clear" w:color="auto" w:fill="D9D9D9"/>
            <w:vAlign w:val="center"/>
          </w:tcPr>
          <w:p w14:paraId="537380FF"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Column</w:t>
            </w:r>
            <w:r>
              <w:rPr>
                <w:b/>
                <w:sz w:val="24"/>
                <w:szCs w:val="24"/>
              </w:rPr>
              <w:br/>
            </w:r>
            <w:r w:rsidRPr="00441293">
              <w:rPr>
                <w:b/>
                <w:sz w:val="24"/>
                <w:szCs w:val="24"/>
              </w:rPr>
              <w:t>5</w:t>
            </w:r>
          </w:p>
        </w:tc>
        <w:tc>
          <w:tcPr>
            <w:tcW w:w="1260" w:type="dxa"/>
            <w:tcBorders>
              <w:left w:val="single" w:sz="4" w:space="0" w:color="000000"/>
              <w:bottom w:val="single" w:sz="4" w:space="0" w:color="000000"/>
              <w:right w:val="single" w:sz="4" w:space="0" w:color="000000"/>
            </w:tcBorders>
            <w:shd w:val="clear" w:color="auto" w:fill="D9D9D9"/>
            <w:vAlign w:val="center"/>
          </w:tcPr>
          <w:p w14:paraId="1128A383"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Column</w:t>
            </w:r>
            <w:r>
              <w:rPr>
                <w:b/>
                <w:sz w:val="24"/>
                <w:szCs w:val="24"/>
              </w:rPr>
              <w:br/>
            </w:r>
            <w:r w:rsidRPr="00441293">
              <w:rPr>
                <w:b/>
                <w:sz w:val="24"/>
                <w:szCs w:val="24"/>
              </w:rPr>
              <w:t>6</w:t>
            </w:r>
          </w:p>
        </w:tc>
      </w:tr>
      <w:tr w:rsidR="002533BD" w:rsidRPr="00D519AA" w14:paraId="75ADA9C5" w14:textId="77777777" w:rsidTr="006975FA">
        <w:trPr>
          <w:cantSplit/>
          <w:trHeight w:val="520"/>
          <w:tblHeader/>
        </w:trPr>
        <w:tc>
          <w:tcPr>
            <w:tcW w:w="328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583B1EE4" w14:textId="77777777" w:rsidR="002533BD" w:rsidRPr="00441293" w:rsidRDefault="002533BD" w:rsidP="006975FA">
            <w:pPr>
              <w:pStyle w:val="TableParagraph"/>
              <w:spacing w:before="0" w:after="0" w:line="240" w:lineRule="auto"/>
              <w:ind w:left="0" w:right="0" w:firstLine="0"/>
              <w:jc w:val="center"/>
              <w:rPr>
                <w:sz w:val="24"/>
                <w:szCs w:val="24"/>
              </w:rPr>
            </w:pPr>
          </w:p>
          <w:p w14:paraId="6F1CF17C"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Indicators</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14:paraId="44690806" w14:textId="77777777" w:rsidR="002533BD" w:rsidRPr="00441293" w:rsidRDefault="002533BD" w:rsidP="006975FA">
            <w:pPr>
              <w:pStyle w:val="TableParagraph"/>
              <w:spacing w:before="0" w:after="0" w:line="240" w:lineRule="auto"/>
              <w:ind w:left="0" w:right="0" w:firstLine="0"/>
              <w:jc w:val="center"/>
              <w:rPr>
                <w:sz w:val="24"/>
                <w:szCs w:val="24"/>
              </w:rPr>
            </w:pPr>
          </w:p>
          <w:p w14:paraId="0C65B044"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Baseline Level</w:t>
            </w:r>
          </w:p>
        </w:tc>
        <w:tc>
          <w:tcPr>
            <w:tcW w:w="5040"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3427CB43"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Performance Levels</w:t>
            </w:r>
          </w:p>
        </w:tc>
      </w:tr>
      <w:tr w:rsidR="002533BD" w:rsidRPr="00D519AA" w14:paraId="70526804" w14:textId="77777777" w:rsidTr="006975FA">
        <w:trPr>
          <w:cantSplit/>
          <w:trHeight w:val="517"/>
          <w:tblHeader/>
        </w:trPr>
        <w:tc>
          <w:tcPr>
            <w:tcW w:w="3280" w:type="dxa"/>
            <w:vMerge/>
            <w:tcBorders>
              <w:top w:val="nil"/>
              <w:left w:val="single" w:sz="4" w:space="0" w:color="000000"/>
              <w:bottom w:val="single" w:sz="4" w:space="0" w:color="000000"/>
              <w:right w:val="single" w:sz="4" w:space="0" w:color="000000"/>
            </w:tcBorders>
            <w:shd w:val="clear" w:color="auto" w:fill="D9D9D9"/>
            <w:vAlign w:val="center"/>
          </w:tcPr>
          <w:p w14:paraId="2256E201" w14:textId="77777777" w:rsidR="002533BD" w:rsidRPr="00441293" w:rsidRDefault="002533BD" w:rsidP="006975FA">
            <w:pPr>
              <w:jc w:val="center"/>
              <w:rPr>
                <w:rFonts w:cs="Arial"/>
              </w:rPr>
            </w:pPr>
          </w:p>
        </w:tc>
        <w:tc>
          <w:tcPr>
            <w:tcW w:w="1350" w:type="dxa"/>
            <w:vMerge/>
            <w:tcBorders>
              <w:top w:val="nil"/>
              <w:left w:val="single" w:sz="4" w:space="0" w:color="000000"/>
              <w:bottom w:val="single" w:sz="4" w:space="0" w:color="000000"/>
              <w:right w:val="single" w:sz="4" w:space="0" w:color="000000"/>
            </w:tcBorders>
            <w:shd w:val="clear" w:color="auto" w:fill="D9D9D9"/>
            <w:vAlign w:val="center"/>
          </w:tcPr>
          <w:p w14:paraId="7A290884" w14:textId="77777777" w:rsidR="002533BD" w:rsidRPr="00441293" w:rsidRDefault="002533BD" w:rsidP="006975FA">
            <w:pPr>
              <w:jc w:val="center"/>
              <w:rPr>
                <w:rFonts w:cs="Arial"/>
              </w:rPr>
            </w:pP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338AD16"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FY 2020</w:t>
            </w: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54E5A9"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FY 2021</w:t>
            </w: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FB2E81"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FY 2022</w:t>
            </w: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633E7D9" w14:textId="77777777" w:rsidR="002533BD" w:rsidRPr="00441293" w:rsidRDefault="002533BD" w:rsidP="006975FA">
            <w:pPr>
              <w:pStyle w:val="TableParagraph"/>
              <w:spacing w:before="0" w:after="0" w:line="240" w:lineRule="auto"/>
              <w:ind w:left="0" w:right="0" w:firstLine="0"/>
              <w:jc w:val="center"/>
              <w:rPr>
                <w:b/>
                <w:sz w:val="24"/>
                <w:szCs w:val="24"/>
              </w:rPr>
            </w:pPr>
            <w:r w:rsidRPr="00441293">
              <w:rPr>
                <w:b/>
                <w:sz w:val="24"/>
                <w:szCs w:val="24"/>
              </w:rPr>
              <w:t>FY 2023</w:t>
            </w:r>
          </w:p>
        </w:tc>
      </w:tr>
      <w:tr w:rsidR="002533BD" w:rsidRPr="00D519AA" w14:paraId="0F8DE6B8" w14:textId="77777777" w:rsidTr="006975FA">
        <w:trPr>
          <w:cantSplit/>
          <w:trHeight w:val="515"/>
          <w:tblHeader/>
        </w:trPr>
        <w:tc>
          <w:tcPr>
            <w:tcW w:w="9670" w:type="dxa"/>
            <w:gridSpan w:val="6"/>
            <w:tcBorders>
              <w:top w:val="single" w:sz="4" w:space="0" w:color="000000"/>
              <w:left w:val="single" w:sz="4" w:space="0" w:color="000000"/>
              <w:bottom w:val="single" w:sz="4" w:space="0" w:color="000000"/>
              <w:right w:val="single" w:sz="4" w:space="0" w:color="000000"/>
            </w:tcBorders>
            <w:vAlign w:val="center"/>
          </w:tcPr>
          <w:p w14:paraId="246D48C8" w14:textId="77777777" w:rsidR="002533BD" w:rsidRPr="00BB5856" w:rsidRDefault="002533BD" w:rsidP="006975FA">
            <w:pPr>
              <w:pStyle w:val="TableParagraph"/>
              <w:spacing w:before="0" w:after="0" w:line="240" w:lineRule="auto"/>
              <w:ind w:left="144" w:right="0" w:firstLine="0"/>
              <w:rPr>
                <w:b/>
                <w:szCs w:val="24"/>
              </w:rPr>
            </w:pPr>
            <w:r w:rsidRPr="00441293">
              <w:rPr>
                <w:b/>
                <w:sz w:val="22"/>
                <w:szCs w:val="24"/>
              </w:rPr>
              <w:t>Postsecondary Indicators</w:t>
            </w:r>
          </w:p>
        </w:tc>
      </w:tr>
      <w:tr w:rsidR="002533BD" w:rsidRPr="00D519AA" w14:paraId="1F389720" w14:textId="77777777" w:rsidTr="006975FA">
        <w:trPr>
          <w:cantSplit/>
          <w:trHeight w:val="395"/>
          <w:tblHeader/>
        </w:trPr>
        <w:tc>
          <w:tcPr>
            <w:tcW w:w="3280" w:type="dxa"/>
            <w:tcBorders>
              <w:top w:val="single" w:sz="4" w:space="0" w:color="000000"/>
              <w:left w:val="single" w:sz="4" w:space="0" w:color="000000"/>
              <w:bottom w:val="single" w:sz="4" w:space="0" w:color="000000"/>
              <w:right w:val="single" w:sz="4" w:space="0" w:color="000000"/>
            </w:tcBorders>
            <w:vAlign w:val="center"/>
          </w:tcPr>
          <w:p w14:paraId="51D8CDF3" w14:textId="77777777" w:rsidR="002533BD" w:rsidRPr="00C67889" w:rsidRDefault="002533BD" w:rsidP="006975FA">
            <w:pPr>
              <w:pStyle w:val="TableParagraph"/>
              <w:spacing w:before="60" w:after="60" w:line="240" w:lineRule="auto"/>
              <w:ind w:left="684" w:right="321"/>
              <w:rPr>
                <w:sz w:val="24"/>
                <w:szCs w:val="24"/>
              </w:rPr>
            </w:pPr>
            <w:r w:rsidRPr="00C67889">
              <w:rPr>
                <w:sz w:val="24"/>
                <w:szCs w:val="24"/>
              </w:rPr>
              <w:t>1P1: Post-Program Placement</w:t>
            </w:r>
          </w:p>
        </w:tc>
        <w:tc>
          <w:tcPr>
            <w:tcW w:w="1350" w:type="dxa"/>
            <w:tcBorders>
              <w:top w:val="single" w:sz="4" w:space="0" w:color="000000"/>
              <w:left w:val="single" w:sz="4" w:space="0" w:color="000000"/>
              <w:bottom w:val="single" w:sz="4" w:space="0" w:color="000000"/>
              <w:right w:val="single" w:sz="4" w:space="0" w:color="000000"/>
            </w:tcBorders>
            <w:vAlign w:val="center"/>
          </w:tcPr>
          <w:p w14:paraId="0561CA75"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77.94 %</w:t>
            </w:r>
          </w:p>
        </w:tc>
        <w:tc>
          <w:tcPr>
            <w:tcW w:w="1260" w:type="dxa"/>
            <w:tcBorders>
              <w:top w:val="single" w:sz="4" w:space="0" w:color="000000"/>
              <w:left w:val="single" w:sz="4" w:space="0" w:color="000000"/>
              <w:bottom w:val="single" w:sz="4" w:space="0" w:color="000000"/>
              <w:right w:val="single" w:sz="4" w:space="0" w:color="000000"/>
            </w:tcBorders>
            <w:vAlign w:val="center"/>
          </w:tcPr>
          <w:p w14:paraId="13A0A28E"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77.94 %</w:t>
            </w:r>
          </w:p>
        </w:tc>
        <w:tc>
          <w:tcPr>
            <w:tcW w:w="1260" w:type="dxa"/>
            <w:tcBorders>
              <w:top w:val="single" w:sz="4" w:space="0" w:color="000000"/>
              <w:left w:val="single" w:sz="4" w:space="0" w:color="000000"/>
              <w:bottom w:val="single" w:sz="4" w:space="0" w:color="000000"/>
              <w:right w:val="single" w:sz="4" w:space="0" w:color="000000"/>
            </w:tcBorders>
            <w:vAlign w:val="center"/>
          </w:tcPr>
          <w:p w14:paraId="1488CFF8"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77.94 %</w:t>
            </w:r>
          </w:p>
        </w:tc>
        <w:tc>
          <w:tcPr>
            <w:tcW w:w="1260" w:type="dxa"/>
            <w:tcBorders>
              <w:top w:val="single" w:sz="4" w:space="0" w:color="000000"/>
              <w:left w:val="single" w:sz="4" w:space="0" w:color="000000"/>
              <w:bottom w:val="single" w:sz="4" w:space="0" w:color="000000"/>
              <w:right w:val="single" w:sz="4" w:space="0" w:color="000000"/>
            </w:tcBorders>
            <w:vAlign w:val="center"/>
          </w:tcPr>
          <w:p w14:paraId="5F9F2147"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78.5%</w:t>
            </w:r>
          </w:p>
        </w:tc>
        <w:tc>
          <w:tcPr>
            <w:tcW w:w="1260" w:type="dxa"/>
            <w:tcBorders>
              <w:top w:val="single" w:sz="4" w:space="0" w:color="000000"/>
              <w:left w:val="single" w:sz="4" w:space="0" w:color="000000"/>
              <w:bottom w:val="single" w:sz="4" w:space="0" w:color="000000"/>
              <w:right w:val="single" w:sz="4" w:space="0" w:color="000000"/>
            </w:tcBorders>
            <w:vAlign w:val="center"/>
          </w:tcPr>
          <w:p w14:paraId="76CC85DE"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78.5%</w:t>
            </w:r>
          </w:p>
        </w:tc>
      </w:tr>
      <w:tr w:rsidR="002533BD" w:rsidRPr="00D519AA" w14:paraId="714E366A" w14:textId="77777777" w:rsidTr="006975FA">
        <w:trPr>
          <w:cantSplit/>
          <w:trHeight w:val="672"/>
          <w:tblHeader/>
        </w:trPr>
        <w:tc>
          <w:tcPr>
            <w:tcW w:w="3280" w:type="dxa"/>
            <w:tcBorders>
              <w:top w:val="single" w:sz="4" w:space="0" w:color="000000"/>
              <w:left w:val="single" w:sz="4" w:space="0" w:color="000000"/>
              <w:bottom w:val="single" w:sz="4" w:space="0" w:color="000000"/>
              <w:right w:val="single" w:sz="4" w:space="0" w:color="000000"/>
            </w:tcBorders>
            <w:vAlign w:val="center"/>
          </w:tcPr>
          <w:p w14:paraId="590A7BAB" w14:textId="77777777" w:rsidR="002533BD" w:rsidRPr="00C67889" w:rsidRDefault="002533BD" w:rsidP="006975FA">
            <w:pPr>
              <w:pStyle w:val="TableParagraph"/>
              <w:spacing w:before="60" w:after="60" w:line="240" w:lineRule="auto"/>
              <w:ind w:left="684" w:right="321"/>
              <w:rPr>
                <w:sz w:val="24"/>
                <w:szCs w:val="24"/>
              </w:rPr>
            </w:pPr>
            <w:r w:rsidRPr="00C67889">
              <w:rPr>
                <w:sz w:val="24"/>
                <w:szCs w:val="24"/>
              </w:rPr>
              <w:t>2P1: Earned Recognized Postsecondary Credential</w:t>
            </w:r>
          </w:p>
        </w:tc>
        <w:tc>
          <w:tcPr>
            <w:tcW w:w="1350" w:type="dxa"/>
            <w:tcBorders>
              <w:top w:val="single" w:sz="4" w:space="0" w:color="000000"/>
              <w:left w:val="single" w:sz="4" w:space="0" w:color="000000"/>
              <w:bottom w:val="single" w:sz="4" w:space="0" w:color="000000"/>
              <w:right w:val="single" w:sz="4" w:space="0" w:color="000000"/>
            </w:tcBorders>
            <w:vAlign w:val="center"/>
          </w:tcPr>
          <w:p w14:paraId="02372F2F"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89.32%</w:t>
            </w:r>
          </w:p>
        </w:tc>
        <w:tc>
          <w:tcPr>
            <w:tcW w:w="1260" w:type="dxa"/>
            <w:tcBorders>
              <w:top w:val="single" w:sz="4" w:space="0" w:color="000000"/>
              <w:left w:val="single" w:sz="4" w:space="0" w:color="000000"/>
              <w:bottom w:val="single" w:sz="4" w:space="0" w:color="000000"/>
              <w:right w:val="single" w:sz="4" w:space="0" w:color="000000"/>
            </w:tcBorders>
            <w:vAlign w:val="center"/>
          </w:tcPr>
          <w:p w14:paraId="1A19CC4F"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89.32%</w:t>
            </w:r>
          </w:p>
        </w:tc>
        <w:tc>
          <w:tcPr>
            <w:tcW w:w="1260" w:type="dxa"/>
            <w:tcBorders>
              <w:top w:val="single" w:sz="4" w:space="0" w:color="000000"/>
              <w:left w:val="single" w:sz="4" w:space="0" w:color="000000"/>
              <w:bottom w:val="single" w:sz="4" w:space="0" w:color="000000"/>
              <w:right w:val="single" w:sz="4" w:space="0" w:color="000000"/>
            </w:tcBorders>
            <w:vAlign w:val="center"/>
          </w:tcPr>
          <w:p w14:paraId="6ABFA8F3"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89.32%</w:t>
            </w:r>
          </w:p>
        </w:tc>
        <w:tc>
          <w:tcPr>
            <w:tcW w:w="1260" w:type="dxa"/>
            <w:tcBorders>
              <w:top w:val="single" w:sz="4" w:space="0" w:color="000000"/>
              <w:left w:val="single" w:sz="4" w:space="0" w:color="000000"/>
              <w:bottom w:val="single" w:sz="4" w:space="0" w:color="000000"/>
              <w:right w:val="single" w:sz="4" w:space="0" w:color="000000"/>
            </w:tcBorders>
            <w:vAlign w:val="center"/>
          </w:tcPr>
          <w:p w14:paraId="55C1503D"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90.5 %</w:t>
            </w:r>
          </w:p>
        </w:tc>
        <w:tc>
          <w:tcPr>
            <w:tcW w:w="1260" w:type="dxa"/>
            <w:tcBorders>
              <w:top w:val="single" w:sz="4" w:space="0" w:color="000000"/>
              <w:left w:val="single" w:sz="4" w:space="0" w:color="000000"/>
              <w:bottom w:val="single" w:sz="4" w:space="0" w:color="000000"/>
              <w:right w:val="single" w:sz="4" w:space="0" w:color="000000"/>
            </w:tcBorders>
            <w:vAlign w:val="center"/>
          </w:tcPr>
          <w:p w14:paraId="74300574"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90.5 %</w:t>
            </w:r>
          </w:p>
        </w:tc>
      </w:tr>
      <w:tr w:rsidR="002533BD" w:rsidRPr="00D519AA" w14:paraId="591B8061" w14:textId="77777777" w:rsidTr="006975FA">
        <w:trPr>
          <w:cantSplit/>
          <w:trHeight w:val="671"/>
          <w:tblHeader/>
        </w:trPr>
        <w:tc>
          <w:tcPr>
            <w:tcW w:w="3280" w:type="dxa"/>
            <w:tcBorders>
              <w:top w:val="single" w:sz="4" w:space="0" w:color="000000"/>
              <w:left w:val="single" w:sz="4" w:space="0" w:color="000000"/>
              <w:bottom w:val="single" w:sz="4" w:space="0" w:color="000000"/>
              <w:right w:val="single" w:sz="4" w:space="0" w:color="000000"/>
            </w:tcBorders>
            <w:vAlign w:val="center"/>
          </w:tcPr>
          <w:p w14:paraId="608A6356" w14:textId="77777777" w:rsidR="002533BD" w:rsidRPr="00C67889" w:rsidRDefault="002533BD" w:rsidP="006975FA">
            <w:pPr>
              <w:pStyle w:val="TableParagraph"/>
              <w:spacing w:before="60" w:after="60" w:line="240" w:lineRule="auto"/>
              <w:ind w:left="684" w:right="321"/>
              <w:rPr>
                <w:sz w:val="24"/>
                <w:szCs w:val="24"/>
              </w:rPr>
            </w:pPr>
            <w:r w:rsidRPr="00C67889">
              <w:rPr>
                <w:sz w:val="24"/>
                <w:szCs w:val="24"/>
              </w:rPr>
              <w:t>3P1: Non-traditional Program Concentration</w:t>
            </w:r>
          </w:p>
        </w:tc>
        <w:tc>
          <w:tcPr>
            <w:tcW w:w="1350" w:type="dxa"/>
            <w:tcBorders>
              <w:top w:val="single" w:sz="4" w:space="0" w:color="000000"/>
              <w:left w:val="single" w:sz="4" w:space="0" w:color="000000"/>
              <w:bottom w:val="single" w:sz="4" w:space="0" w:color="000000"/>
              <w:right w:val="single" w:sz="4" w:space="0" w:color="000000"/>
            </w:tcBorders>
            <w:vAlign w:val="center"/>
          </w:tcPr>
          <w:p w14:paraId="3811CA8F"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25.52%</w:t>
            </w:r>
          </w:p>
        </w:tc>
        <w:tc>
          <w:tcPr>
            <w:tcW w:w="1260" w:type="dxa"/>
            <w:tcBorders>
              <w:top w:val="single" w:sz="4" w:space="0" w:color="000000"/>
              <w:left w:val="single" w:sz="4" w:space="0" w:color="000000"/>
              <w:bottom w:val="single" w:sz="4" w:space="0" w:color="000000"/>
              <w:right w:val="single" w:sz="4" w:space="0" w:color="000000"/>
            </w:tcBorders>
            <w:vAlign w:val="center"/>
          </w:tcPr>
          <w:p w14:paraId="1D94B481"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25.52%</w:t>
            </w:r>
          </w:p>
        </w:tc>
        <w:tc>
          <w:tcPr>
            <w:tcW w:w="1260" w:type="dxa"/>
            <w:tcBorders>
              <w:top w:val="single" w:sz="4" w:space="0" w:color="000000"/>
              <w:left w:val="single" w:sz="4" w:space="0" w:color="000000"/>
              <w:bottom w:val="single" w:sz="4" w:space="0" w:color="000000"/>
              <w:right w:val="single" w:sz="4" w:space="0" w:color="000000"/>
            </w:tcBorders>
            <w:vAlign w:val="center"/>
          </w:tcPr>
          <w:p w14:paraId="6CDD898F"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25.52%</w:t>
            </w:r>
          </w:p>
        </w:tc>
        <w:tc>
          <w:tcPr>
            <w:tcW w:w="1260" w:type="dxa"/>
            <w:tcBorders>
              <w:top w:val="single" w:sz="4" w:space="0" w:color="000000"/>
              <w:left w:val="single" w:sz="4" w:space="0" w:color="000000"/>
              <w:bottom w:val="single" w:sz="4" w:space="0" w:color="000000"/>
              <w:right w:val="single" w:sz="4" w:space="0" w:color="000000"/>
            </w:tcBorders>
            <w:vAlign w:val="center"/>
          </w:tcPr>
          <w:p w14:paraId="09F324D8"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26.5%</w:t>
            </w:r>
          </w:p>
        </w:tc>
        <w:tc>
          <w:tcPr>
            <w:tcW w:w="1260" w:type="dxa"/>
            <w:tcBorders>
              <w:top w:val="single" w:sz="4" w:space="0" w:color="000000"/>
              <w:left w:val="single" w:sz="4" w:space="0" w:color="000000"/>
              <w:bottom w:val="single" w:sz="4" w:space="0" w:color="000000"/>
              <w:right w:val="single" w:sz="4" w:space="0" w:color="000000"/>
            </w:tcBorders>
            <w:vAlign w:val="center"/>
          </w:tcPr>
          <w:p w14:paraId="4FD9298A" w14:textId="77777777" w:rsidR="002533BD" w:rsidRPr="00C67889" w:rsidRDefault="002533BD" w:rsidP="006975FA">
            <w:pPr>
              <w:pStyle w:val="TableParagraph"/>
              <w:spacing w:before="60" w:after="60" w:line="240" w:lineRule="auto"/>
              <w:jc w:val="center"/>
              <w:rPr>
                <w:sz w:val="24"/>
                <w:szCs w:val="24"/>
              </w:rPr>
            </w:pPr>
            <w:r w:rsidRPr="00C67889">
              <w:rPr>
                <w:sz w:val="24"/>
                <w:szCs w:val="24"/>
              </w:rPr>
              <w:t>26.5%</w:t>
            </w:r>
          </w:p>
        </w:tc>
      </w:tr>
    </w:tbl>
    <w:p w14:paraId="0F18DCA3" w14:textId="77777777" w:rsidR="00994BD1" w:rsidRDefault="00994BD1" w:rsidP="00A06BB1">
      <w:pPr>
        <w:pBdr>
          <w:top w:val="single" w:sz="6" w:space="1" w:color="auto"/>
          <w:left w:val="single" w:sz="6" w:space="4" w:color="auto"/>
          <w:bottom w:val="single" w:sz="6" w:space="1" w:color="auto"/>
          <w:right w:val="single" w:sz="6" w:space="0" w:color="auto"/>
        </w:pBdr>
        <w:spacing w:before="360" w:after="360"/>
        <w:ind w:left="90" w:right="216"/>
        <w:rPr>
          <w:i/>
        </w:rPr>
      </w:pPr>
      <w:r>
        <w:rPr>
          <w:i/>
        </w:rPr>
        <w:t xml:space="preserve">The secondary academic achievement indicators (2S1, 2S2, and 2S3) are for all students.  Known in California as College Credits Courses (part of the CCI), for 5S2 (Program Quality- Postsecondary Credits) was estimated as follows.  The 2019 value for students who were defined as prepared as defined in the CCI was used as the baseline.  The change that was applied is 2.1% which is the change from 2017-18 to 2018-19 in the total number of students who were prepared as defined in the CCI.  See </w:t>
      </w:r>
      <w:hyperlink r:id="rId14" w:tooltip="College/Career Measures Reports &amp; Data" w:history="1">
        <w:r w:rsidRPr="003A6B54">
          <w:rPr>
            <w:rStyle w:val="Hyperlink"/>
            <w:i/>
          </w:rPr>
          <w:t>https://www6.cde.ca.gov/californiamodel/ccireport?&amp;year=2019&amp;cdcode=0000000&amp;scode=&amp;reporttype=schools</w:t>
        </w:r>
      </w:hyperlink>
    </w:p>
    <w:p w14:paraId="47D5130F" w14:textId="77777777" w:rsidR="00994BD1" w:rsidRDefault="00994BD1" w:rsidP="00A06BB1">
      <w:pPr>
        <w:pBdr>
          <w:top w:val="single" w:sz="6" w:space="1" w:color="auto"/>
          <w:left w:val="single" w:sz="6" w:space="4" w:color="auto"/>
          <w:bottom w:val="single" w:sz="6" w:space="1" w:color="auto"/>
          <w:right w:val="single" w:sz="6" w:space="0" w:color="auto"/>
        </w:pBdr>
        <w:spacing w:before="120" w:after="240"/>
        <w:ind w:left="90" w:right="216"/>
        <w:rPr>
          <w:i/>
        </w:rPr>
      </w:pPr>
      <w:r>
        <w:rPr>
          <w:i/>
        </w:rPr>
        <w:t>Estimates are currently being obtained for CTE concentrators are defined under Perkins V.</w:t>
      </w:r>
    </w:p>
    <w:p w14:paraId="544908FB" w14:textId="77777777" w:rsidR="00994BD1" w:rsidRPr="00994BD1" w:rsidRDefault="00994BD1" w:rsidP="00A06BB1">
      <w:pPr>
        <w:pBdr>
          <w:top w:val="single" w:sz="6" w:space="1" w:color="auto"/>
          <w:left w:val="single" w:sz="6" w:space="4" w:color="auto"/>
          <w:bottom w:val="single" w:sz="6" w:space="1" w:color="auto"/>
          <w:right w:val="single" w:sz="6" w:space="0" w:color="auto"/>
        </w:pBdr>
        <w:spacing w:before="120" w:after="240"/>
        <w:ind w:left="90" w:right="216"/>
        <w:rPr>
          <w:i/>
        </w:rPr>
      </w:pPr>
    </w:p>
    <w:sectPr w:rsidR="00994BD1" w:rsidRPr="00994BD1" w:rsidSect="00BA5D2F">
      <w:pgSz w:w="12240" w:h="15840"/>
      <w:pgMar w:top="590" w:right="1152" w:bottom="1296" w:left="1152"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353085" w14:textId="77777777" w:rsidR="005C47F5" w:rsidRDefault="005C47F5" w:rsidP="00185A14">
      <w:r>
        <w:separator/>
      </w:r>
    </w:p>
  </w:endnote>
  <w:endnote w:type="continuationSeparator" w:id="0">
    <w:p w14:paraId="67570E48" w14:textId="77777777" w:rsidR="005C47F5" w:rsidRDefault="005C47F5"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6855D" w14:textId="77777777"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3A9014" w14:textId="77777777" w:rsidR="005C47F5" w:rsidRDefault="005C47F5" w:rsidP="00185A14">
      <w:r>
        <w:separator/>
      </w:r>
    </w:p>
  </w:footnote>
  <w:footnote w:type="continuationSeparator" w:id="0">
    <w:p w14:paraId="404B22DE" w14:textId="77777777" w:rsidR="005C47F5" w:rsidRDefault="005C47F5" w:rsidP="001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D0615" w14:textId="77777777" w:rsidR="00BA5D2F" w:rsidRPr="005D1DE0" w:rsidRDefault="00BA5D2F" w:rsidP="00BA5D2F">
    <w:pPr>
      <w:jc w:val="right"/>
    </w:pPr>
    <w:r w:rsidRPr="005D1DE0">
      <w:t>addendum01-</w:t>
    </w:r>
    <w:r>
      <w:t>jan20</w:t>
    </w:r>
    <w:r w:rsidRPr="005D1DE0">
      <w:t>item</w:t>
    </w:r>
    <w:r>
      <w:t>10</w:t>
    </w:r>
  </w:p>
  <w:p w14:paraId="6D19493C" w14:textId="442734F4" w:rsidR="00BA5D2F" w:rsidRPr="00BA5D2F" w:rsidRDefault="00BA5D2F" w:rsidP="00BA5D2F">
    <w:pPr>
      <w:pStyle w:val="Header"/>
      <w:jc w:val="right"/>
      <w:rPr>
        <w:rFonts w:ascii="Arial" w:hAnsi="Arial" w:cs="Arial"/>
      </w:rPr>
    </w:pPr>
    <w:r w:rsidRPr="00BA5D2F">
      <w:rPr>
        <w:rFonts w:ascii="Arial" w:hAnsi="Arial" w:cs="Arial"/>
      </w:rPr>
      <w:t>Page 2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1DADA" w14:textId="77777777"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695B503" w14:textId="77777777" w:rsidR="00EE62FF" w:rsidRDefault="00BA5D2F" w:rsidP="00CF208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CBCE4" w14:textId="77777777" w:rsidR="00EE62FF" w:rsidRPr="00281BF5" w:rsidRDefault="00CD038E" w:rsidP="00CF7275">
    <w:pPr>
      <w:pStyle w:val="Header"/>
      <w:jc w:val="right"/>
      <w:rPr>
        <w:rFonts w:ascii="Arial" w:hAnsi="Arial" w:cs="Arial"/>
        <w:szCs w:val="18"/>
      </w:rPr>
    </w:pPr>
    <w:r w:rsidRPr="005D1DE0">
      <w:rPr>
        <w:rFonts w:ascii="Arial" w:hAnsi="Arial" w:cs="Arial"/>
        <w:szCs w:val="18"/>
      </w:rPr>
      <w:t>addendum-</w:t>
    </w:r>
    <w:r w:rsidR="002533BD">
      <w:rPr>
        <w:rFonts w:ascii="Arial" w:hAnsi="Arial" w:cs="Arial"/>
        <w:szCs w:val="18"/>
      </w:rPr>
      <w:t>jan20item10</w:t>
    </w:r>
  </w:p>
  <w:p w14:paraId="7D77614C" w14:textId="77777777" w:rsidR="00EE62FF" w:rsidRDefault="00CD038E" w:rsidP="00CF7275">
    <w:pPr>
      <w:pStyle w:val="Header"/>
      <w:jc w:val="right"/>
      <w:rPr>
        <w:rFonts w:ascii="Arial" w:hAnsi="Arial" w:cs="Arial"/>
        <w:szCs w:val="18"/>
      </w:rPr>
    </w:pPr>
    <w:r w:rsidRPr="00281BF5">
      <w:rPr>
        <w:rFonts w:ascii="Arial" w:hAnsi="Arial" w:cs="Arial"/>
        <w:szCs w:val="18"/>
      </w:rPr>
      <w:t>Attachment 1</w:t>
    </w:r>
  </w:p>
  <w:p w14:paraId="67DCA515" w14:textId="630E7C4C" w:rsidR="00FE160C" w:rsidRPr="00106DB7" w:rsidRDefault="00106DB7" w:rsidP="00994BD1">
    <w:pPr>
      <w:pStyle w:val="Header"/>
      <w:spacing w:after="240"/>
      <w:jc w:val="right"/>
      <w:rPr>
        <w:rFonts w:ascii="Arial" w:hAnsi="Arial" w:cs="Arial"/>
        <w:szCs w:val="18"/>
      </w:rPr>
    </w:pPr>
    <w:r w:rsidRPr="00106DB7">
      <w:rPr>
        <w:rFonts w:ascii="Arial" w:hAnsi="Arial" w:cs="Arial"/>
        <w:szCs w:val="18"/>
      </w:rPr>
      <w:t xml:space="preserve">Page </w:t>
    </w:r>
    <w:r w:rsidR="00BA5D2F" w:rsidRPr="00BA5D2F">
      <w:rPr>
        <w:rFonts w:ascii="Arial" w:hAnsi="Arial" w:cs="Arial"/>
        <w:szCs w:val="18"/>
      </w:rPr>
      <w:fldChar w:fldCharType="begin"/>
    </w:r>
    <w:r w:rsidR="00BA5D2F" w:rsidRPr="00BA5D2F">
      <w:rPr>
        <w:rFonts w:ascii="Arial" w:hAnsi="Arial" w:cs="Arial"/>
        <w:szCs w:val="18"/>
      </w:rPr>
      <w:instrText xml:space="preserve"> PAGE   \* MERGEFORMAT </w:instrText>
    </w:r>
    <w:r w:rsidR="00BA5D2F" w:rsidRPr="00BA5D2F">
      <w:rPr>
        <w:rFonts w:ascii="Arial" w:hAnsi="Arial" w:cs="Arial"/>
        <w:szCs w:val="18"/>
      </w:rPr>
      <w:fldChar w:fldCharType="separate"/>
    </w:r>
    <w:r w:rsidR="00BA5D2F" w:rsidRPr="00BA5D2F">
      <w:rPr>
        <w:rFonts w:ascii="Arial" w:hAnsi="Arial" w:cs="Arial"/>
        <w:noProof/>
        <w:szCs w:val="18"/>
      </w:rPr>
      <w:t>1</w:t>
    </w:r>
    <w:r w:rsidR="00BA5D2F" w:rsidRPr="00BA5D2F">
      <w:rPr>
        <w:rFonts w:ascii="Arial" w:hAnsi="Arial" w:cs="Arial"/>
        <w:noProof/>
        <w:szCs w:val="18"/>
      </w:rPr>
      <w:fldChar w:fldCharType="end"/>
    </w:r>
    <w:r w:rsidRPr="00106DB7">
      <w:rPr>
        <w:rFonts w:ascii="Arial" w:hAnsi="Arial" w:cs="Arial"/>
        <w:szCs w:val="18"/>
      </w:rPr>
      <w:t xml:space="preserve"> of </w:t>
    </w:r>
    <w:r w:rsidR="002533BD">
      <w:rPr>
        <w:rFonts w:ascii="Arial" w:hAnsi="Arial" w:cs="Arial"/>
        <w:szCs w:val="18"/>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5F3F4" w14:textId="77777777" w:rsidR="00EE62FF"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Pr="005D1DE0">
      <w:rPr>
        <w:rFonts w:ascii="Arial" w:hAnsi="Arial" w:cs="Arial"/>
        <w:szCs w:val="18"/>
      </w:rPr>
      <w:t>01</w:t>
    </w:r>
    <w:r w:rsidR="00CD038E" w:rsidRPr="005D1DE0">
      <w:rPr>
        <w:rFonts w:ascii="Arial" w:hAnsi="Arial" w:cs="Arial"/>
        <w:szCs w:val="18"/>
      </w:rPr>
      <w:t>-</w:t>
    </w:r>
    <w:r w:rsidR="0043619E">
      <w:rPr>
        <w:rFonts w:ascii="Arial" w:hAnsi="Arial" w:cs="Arial"/>
        <w:szCs w:val="18"/>
      </w:rPr>
      <w:t>jan20item01</w:t>
    </w:r>
  </w:p>
  <w:p w14:paraId="428CBB38" w14:textId="77777777"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14:paraId="2BF73C8B" w14:textId="77777777"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43619E">
      <w:rPr>
        <w:rFonts w:ascii="Arial" w:hAnsi="Arial" w:cs="Arial"/>
        <w:noProof/>
        <w:szCs w:val="18"/>
      </w:rPr>
      <w:t>2</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4C7E1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089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37A49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40BDE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0679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A826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22301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ABA275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D8ED5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5F02B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A05CCB"/>
    <w:multiLevelType w:val="hybridMultilevel"/>
    <w:tmpl w:val="4A40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2706A"/>
    <w:rsid w:val="00053B2A"/>
    <w:rsid w:val="00057A96"/>
    <w:rsid w:val="00077927"/>
    <w:rsid w:val="000D3A9C"/>
    <w:rsid w:val="00101F9B"/>
    <w:rsid w:val="00106DB7"/>
    <w:rsid w:val="001129A1"/>
    <w:rsid w:val="00116201"/>
    <w:rsid w:val="0016173B"/>
    <w:rsid w:val="001648E9"/>
    <w:rsid w:val="00184DEF"/>
    <w:rsid w:val="00185A14"/>
    <w:rsid w:val="0019017B"/>
    <w:rsid w:val="001A7D0D"/>
    <w:rsid w:val="001E4F35"/>
    <w:rsid w:val="00210B84"/>
    <w:rsid w:val="0022414F"/>
    <w:rsid w:val="0022733F"/>
    <w:rsid w:val="00232D84"/>
    <w:rsid w:val="002408E4"/>
    <w:rsid w:val="002533BD"/>
    <w:rsid w:val="0029286A"/>
    <w:rsid w:val="003113D9"/>
    <w:rsid w:val="00320ADF"/>
    <w:rsid w:val="00321D49"/>
    <w:rsid w:val="00322C00"/>
    <w:rsid w:val="00325EAA"/>
    <w:rsid w:val="00340180"/>
    <w:rsid w:val="0036080A"/>
    <w:rsid w:val="00364C1F"/>
    <w:rsid w:val="0036504F"/>
    <w:rsid w:val="00381C54"/>
    <w:rsid w:val="003E3B94"/>
    <w:rsid w:val="003E4585"/>
    <w:rsid w:val="003E7C36"/>
    <w:rsid w:val="003F1723"/>
    <w:rsid w:val="003F274B"/>
    <w:rsid w:val="0043619E"/>
    <w:rsid w:val="00472306"/>
    <w:rsid w:val="004C31A0"/>
    <w:rsid w:val="004E121C"/>
    <w:rsid w:val="00506B42"/>
    <w:rsid w:val="0051479B"/>
    <w:rsid w:val="0054334A"/>
    <w:rsid w:val="005600D4"/>
    <w:rsid w:val="00562008"/>
    <w:rsid w:val="005B1325"/>
    <w:rsid w:val="005C47F5"/>
    <w:rsid w:val="005D1DE0"/>
    <w:rsid w:val="005D402E"/>
    <w:rsid w:val="005D600A"/>
    <w:rsid w:val="00600617"/>
    <w:rsid w:val="00603767"/>
    <w:rsid w:val="00610C00"/>
    <w:rsid w:val="0063136A"/>
    <w:rsid w:val="006332BB"/>
    <w:rsid w:val="00677C8C"/>
    <w:rsid w:val="00681207"/>
    <w:rsid w:val="0068543F"/>
    <w:rsid w:val="0068770A"/>
    <w:rsid w:val="00785B32"/>
    <w:rsid w:val="00794A08"/>
    <w:rsid w:val="007A2653"/>
    <w:rsid w:val="007A356E"/>
    <w:rsid w:val="00811C09"/>
    <w:rsid w:val="008213F2"/>
    <w:rsid w:val="00823CE8"/>
    <w:rsid w:val="008654CB"/>
    <w:rsid w:val="008C2834"/>
    <w:rsid w:val="008D2B05"/>
    <w:rsid w:val="008D59A1"/>
    <w:rsid w:val="008D76D0"/>
    <w:rsid w:val="008E5A12"/>
    <w:rsid w:val="008F7153"/>
    <w:rsid w:val="00925455"/>
    <w:rsid w:val="00930BFA"/>
    <w:rsid w:val="00963290"/>
    <w:rsid w:val="00994BD1"/>
    <w:rsid w:val="009D6DCD"/>
    <w:rsid w:val="00A06BB1"/>
    <w:rsid w:val="00A11875"/>
    <w:rsid w:val="00A747F1"/>
    <w:rsid w:val="00A84DED"/>
    <w:rsid w:val="00AB4C92"/>
    <w:rsid w:val="00AE24A9"/>
    <w:rsid w:val="00B42012"/>
    <w:rsid w:val="00B715A6"/>
    <w:rsid w:val="00BA5D2F"/>
    <w:rsid w:val="00BE3168"/>
    <w:rsid w:val="00BF7F32"/>
    <w:rsid w:val="00C254BE"/>
    <w:rsid w:val="00C420BB"/>
    <w:rsid w:val="00C61D85"/>
    <w:rsid w:val="00CC5474"/>
    <w:rsid w:val="00CD038E"/>
    <w:rsid w:val="00D27847"/>
    <w:rsid w:val="00D43DF0"/>
    <w:rsid w:val="00D62F4D"/>
    <w:rsid w:val="00D81E7D"/>
    <w:rsid w:val="00DC5FAA"/>
    <w:rsid w:val="00DC6168"/>
    <w:rsid w:val="00E233AD"/>
    <w:rsid w:val="00E32FDC"/>
    <w:rsid w:val="00EA4455"/>
    <w:rsid w:val="00EC2645"/>
    <w:rsid w:val="00EC3FF1"/>
    <w:rsid w:val="00EF10DE"/>
    <w:rsid w:val="00F00043"/>
    <w:rsid w:val="00F077D1"/>
    <w:rsid w:val="00F10807"/>
    <w:rsid w:val="00F37CA7"/>
    <w:rsid w:val="00FE1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375A5C"/>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semiHidden/>
    <w:unhideWhenUsed/>
    <w:qFormat/>
    <w:rsid w:val="00C61D8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 w:type="character" w:customStyle="1" w:styleId="Heading3Char">
    <w:name w:val="Heading 3 Char"/>
    <w:basedOn w:val="DefaultParagraphFont"/>
    <w:link w:val="Heading3"/>
    <w:uiPriority w:val="9"/>
    <w:semiHidden/>
    <w:rsid w:val="00C61D85"/>
    <w:rPr>
      <w:rFonts w:asciiTheme="majorHAnsi" w:eastAsiaTheme="majorEastAsia" w:hAnsiTheme="majorHAnsi" w:cstheme="majorBidi"/>
      <w:color w:val="1F4D78" w:themeColor="accent1" w:themeShade="7F"/>
      <w:sz w:val="24"/>
      <w:szCs w:val="24"/>
    </w:rPr>
  </w:style>
  <w:style w:type="character" w:styleId="FootnoteReference">
    <w:name w:val="footnote reference"/>
    <w:basedOn w:val="DefaultParagraphFont"/>
    <w:uiPriority w:val="99"/>
    <w:unhideWhenUsed/>
    <w:rsid w:val="00C61D85"/>
    <w:rPr>
      <w:vertAlign w:val="superscript"/>
    </w:rPr>
  </w:style>
  <w:style w:type="paragraph" w:styleId="BodyText">
    <w:name w:val="Body Text"/>
    <w:basedOn w:val="Normal"/>
    <w:link w:val="BodyTextChar"/>
    <w:rsid w:val="00C61D85"/>
    <w:pPr>
      <w:spacing w:before="240" w:after="240" w:line="400" w:lineRule="atLeast"/>
    </w:pPr>
    <w:rPr>
      <w:rFonts w:ascii="Times" w:hAnsi="Times"/>
      <w:bCs/>
    </w:rPr>
  </w:style>
  <w:style w:type="character" w:customStyle="1" w:styleId="BodyTextChar">
    <w:name w:val="Body Text Char"/>
    <w:basedOn w:val="DefaultParagraphFont"/>
    <w:link w:val="BodyText"/>
    <w:rsid w:val="00C61D85"/>
    <w:rPr>
      <w:rFonts w:ascii="Times" w:eastAsia="Times New Roman" w:hAnsi="Times" w:cs="Times New Roman"/>
      <w:bCs/>
      <w:sz w:val="24"/>
      <w:szCs w:val="24"/>
    </w:rPr>
  </w:style>
  <w:style w:type="paragraph" w:customStyle="1" w:styleId="TableParagraph">
    <w:name w:val="Table Paragraph"/>
    <w:basedOn w:val="Normal"/>
    <w:uiPriority w:val="1"/>
    <w:qFormat/>
    <w:rsid w:val="00C61D85"/>
    <w:pPr>
      <w:widowControl w:val="0"/>
      <w:autoSpaceDE w:val="0"/>
      <w:autoSpaceDN w:val="0"/>
      <w:spacing w:before="120" w:after="120" w:line="280" w:lineRule="atLeast"/>
      <w:ind w:left="634" w:right="58" w:hanging="576"/>
    </w:pPr>
    <w:rPr>
      <w:rFonts w:cs="Arial"/>
      <w:sz w:val="20"/>
      <w:szCs w:val="20"/>
      <w:lang w:bidi="en-US"/>
    </w:rPr>
  </w:style>
  <w:style w:type="character" w:styleId="Hyperlink">
    <w:name w:val="Hyperlink"/>
    <w:basedOn w:val="DefaultParagraphFont"/>
    <w:uiPriority w:val="99"/>
    <w:unhideWhenUsed/>
    <w:rsid w:val="00C61D85"/>
    <w:rPr>
      <w:color w:val="0563C1" w:themeColor="hyperlink"/>
      <w:u w:val="single"/>
    </w:rPr>
  </w:style>
  <w:style w:type="character" w:styleId="FollowedHyperlink">
    <w:name w:val="FollowedHyperlink"/>
    <w:basedOn w:val="DefaultParagraphFont"/>
    <w:uiPriority w:val="99"/>
    <w:semiHidden/>
    <w:unhideWhenUsed/>
    <w:rsid w:val="008654CB"/>
    <w:rPr>
      <w:color w:val="954F72" w:themeColor="followedHyperlink"/>
      <w:u w:val="single"/>
    </w:rPr>
  </w:style>
  <w:style w:type="character" w:styleId="CommentReference">
    <w:name w:val="annotation reference"/>
    <w:basedOn w:val="DefaultParagraphFont"/>
    <w:uiPriority w:val="99"/>
    <w:semiHidden/>
    <w:unhideWhenUsed/>
    <w:rsid w:val="00811C09"/>
    <w:rPr>
      <w:sz w:val="16"/>
      <w:szCs w:val="16"/>
    </w:rPr>
  </w:style>
  <w:style w:type="paragraph" w:styleId="CommentText">
    <w:name w:val="annotation text"/>
    <w:basedOn w:val="Normal"/>
    <w:link w:val="CommentTextChar"/>
    <w:uiPriority w:val="99"/>
    <w:semiHidden/>
    <w:unhideWhenUsed/>
    <w:rsid w:val="00811C09"/>
    <w:rPr>
      <w:sz w:val="20"/>
      <w:szCs w:val="20"/>
    </w:rPr>
  </w:style>
  <w:style w:type="character" w:customStyle="1" w:styleId="CommentTextChar">
    <w:name w:val="Comment Text Char"/>
    <w:basedOn w:val="DefaultParagraphFont"/>
    <w:link w:val="CommentText"/>
    <w:uiPriority w:val="99"/>
    <w:semiHidden/>
    <w:rsid w:val="00811C0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11C09"/>
    <w:rPr>
      <w:b/>
      <w:bCs/>
    </w:rPr>
  </w:style>
  <w:style w:type="character" w:customStyle="1" w:styleId="CommentSubjectChar">
    <w:name w:val="Comment Subject Char"/>
    <w:basedOn w:val="CommentTextChar"/>
    <w:link w:val="CommentSubject"/>
    <w:uiPriority w:val="99"/>
    <w:semiHidden/>
    <w:rsid w:val="00811C0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cde.ca.gov/be/ag/ag/yr20/agenda202001.asp" TargetMode="External"/><Relationship Id="rId14" Type="http://schemas.openxmlformats.org/officeDocument/2006/relationships/hyperlink" Target="https://www6.cde.ca.gov/californiamodel/ccireport?&amp;year=2019&amp;cdcode=0000000&amp;scode=&amp;reporttype=sch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9D5F5-226C-4571-A52E-8F4073730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830</Words>
  <Characters>4735</Characters>
  <DocSecurity>0</DocSecurity>
  <Lines>39</Lines>
  <Paragraphs>11</Paragraphs>
  <ScaleCrop>false</ScaleCrop>
  <HeadingPairs>
    <vt:vector size="2" baseType="variant">
      <vt:variant>
        <vt:lpstr>Title</vt:lpstr>
      </vt:variant>
      <vt:variant>
        <vt:i4>1</vt:i4>
      </vt:variant>
    </vt:vector>
  </HeadingPairs>
  <TitlesOfParts>
    <vt:vector size="1" baseType="lpstr">
      <vt:lpstr>January 2020 Item 10 Addendum - Meeting Agendas (CA State Board of Education)</vt:lpstr>
    </vt:vector>
  </TitlesOfParts>
  <Company>CA Department of Education</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Item 10 Addendum - Meeting Agendas (CA State Board of Education)</dc:title>
  <dc:subject>Item 10, Development of the Draft Federal Perkins V State Plan for Career Technical Education.</dc:subject>
  <dc:description/>
  <cp:lastPrinted>2020-01-08T00:28:00Z</cp:lastPrinted>
  <dcterms:created xsi:type="dcterms:W3CDTF">2020-01-08T01:22:00Z</dcterms:created>
  <dcterms:modified xsi:type="dcterms:W3CDTF">2020-01-08T17:08:00Z</dcterms:modified>
</cp:coreProperties>
</file>