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07ACA3" w14:textId="77777777" w:rsidR="007B2070" w:rsidRPr="00487640" w:rsidRDefault="58AD51C9" w:rsidP="007B2070">
      <w:r>
        <w:rPr>
          <w:noProof/>
        </w:rPr>
        <w:drawing>
          <wp:inline distT="0" distB="0" distL="0" distR="0" wp14:anchorId="7DD69A61" wp14:editId="31B52501">
            <wp:extent cx="941731" cy="942975"/>
            <wp:effectExtent l="0" t="0" r="0" b="0"/>
            <wp:docPr id="1781300268"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6476D855" w14:textId="77777777" w:rsidR="007B2070" w:rsidRPr="00487640" w:rsidRDefault="007B2070" w:rsidP="007B2070">
      <w:pPr>
        <w:jc w:val="right"/>
      </w:pPr>
      <w:r w:rsidRPr="00487640">
        <w:t>California Department of Education</w:t>
      </w:r>
    </w:p>
    <w:p w14:paraId="3E561D1B" w14:textId="77777777" w:rsidR="007B2070" w:rsidRPr="00487640" w:rsidRDefault="007B2070" w:rsidP="007B2070">
      <w:pPr>
        <w:jc w:val="right"/>
      </w:pPr>
      <w:r w:rsidRPr="00487640">
        <w:t>Executive Office</w:t>
      </w:r>
    </w:p>
    <w:p w14:paraId="08A761B0" w14:textId="77777777" w:rsidR="007B2070" w:rsidRPr="00487640" w:rsidRDefault="007B2070" w:rsidP="007B2070">
      <w:pPr>
        <w:jc w:val="right"/>
      </w:pPr>
      <w:r w:rsidRPr="00487640">
        <w:t>SBE-003 (REV. 11/2017)</w:t>
      </w:r>
    </w:p>
    <w:p w14:paraId="185B5E5A" w14:textId="1CC5BE45" w:rsidR="007B2070" w:rsidRPr="00487640" w:rsidRDefault="00125B08" w:rsidP="007B2070">
      <w:pPr>
        <w:jc w:val="right"/>
      </w:pPr>
      <w:r>
        <w:t>imb-amard-jul20</w:t>
      </w:r>
      <w:r w:rsidR="007B2070">
        <w:t>item0</w:t>
      </w:r>
      <w:r w:rsidR="000E2770">
        <w:t>2</w:t>
      </w:r>
    </w:p>
    <w:p w14:paraId="043F6C21" w14:textId="77777777" w:rsidR="007B2070" w:rsidRPr="00487640" w:rsidRDefault="007B2070" w:rsidP="007B2070">
      <w:pPr>
        <w:keepNext/>
        <w:keepLines/>
        <w:spacing w:before="120" w:after="120"/>
        <w:jc w:val="center"/>
        <w:outlineLvl w:val="0"/>
        <w:rPr>
          <w:b/>
          <w:sz w:val="40"/>
        </w:rPr>
        <w:sectPr w:rsidR="007B2070" w:rsidRPr="00487640" w:rsidSect="004174A8">
          <w:headerReference w:type="default" r:id="rId12"/>
          <w:type w:val="continuous"/>
          <w:pgSz w:w="12240" w:h="15840"/>
          <w:pgMar w:top="720" w:right="1440" w:bottom="1440" w:left="1440" w:header="720" w:footer="720" w:gutter="0"/>
          <w:cols w:num="2" w:space="720"/>
          <w:titlePg/>
          <w:docGrid w:linePitch="360"/>
        </w:sectPr>
      </w:pPr>
    </w:p>
    <w:p w14:paraId="1023E1C4" w14:textId="77777777" w:rsidR="007B2070" w:rsidRPr="00487640" w:rsidRDefault="007B2070" w:rsidP="007B2070">
      <w:pPr>
        <w:keepNext/>
        <w:keepLines/>
        <w:spacing w:before="120" w:after="120"/>
        <w:jc w:val="center"/>
        <w:outlineLvl w:val="0"/>
        <w:rPr>
          <w:b/>
          <w:sz w:val="40"/>
        </w:rPr>
        <w:sectPr w:rsidR="007B2070" w:rsidRPr="00487640" w:rsidSect="0091117B">
          <w:type w:val="continuous"/>
          <w:pgSz w:w="12240" w:h="15840"/>
          <w:pgMar w:top="720" w:right="1440" w:bottom="1440" w:left="1440" w:header="720" w:footer="720" w:gutter="0"/>
          <w:cols w:space="720"/>
          <w:docGrid w:linePitch="360"/>
        </w:sectPr>
      </w:pPr>
    </w:p>
    <w:p w14:paraId="4B98E362" w14:textId="2A3F5090" w:rsidR="007B2070" w:rsidRPr="00487640" w:rsidRDefault="007B2070" w:rsidP="007E3C2C">
      <w:pPr>
        <w:pStyle w:val="Heading1"/>
        <w:jc w:val="center"/>
        <w:rPr>
          <w:sz w:val="40"/>
          <w:szCs w:val="40"/>
        </w:rPr>
      </w:pPr>
      <w:r w:rsidRPr="00487640">
        <w:rPr>
          <w:sz w:val="40"/>
          <w:szCs w:val="40"/>
        </w:rPr>
        <w:t>California St</w:t>
      </w:r>
      <w:r w:rsidR="00125B08">
        <w:rPr>
          <w:sz w:val="40"/>
          <w:szCs w:val="40"/>
        </w:rPr>
        <w:t>ate Board of Education</w:t>
      </w:r>
      <w:r w:rsidR="00125B08">
        <w:rPr>
          <w:sz w:val="40"/>
          <w:szCs w:val="40"/>
        </w:rPr>
        <w:br/>
        <w:t>July 2020</w:t>
      </w:r>
      <w:r w:rsidRPr="00487640">
        <w:rPr>
          <w:sz w:val="40"/>
          <w:szCs w:val="40"/>
        </w:rPr>
        <w:t xml:space="preserve"> Agenda</w:t>
      </w:r>
      <w:r w:rsidRPr="00487640">
        <w:rPr>
          <w:sz w:val="40"/>
          <w:szCs w:val="40"/>
        </w:rPr>
        <w:br/>
        <w:t>Item #</w:t>
      </w:r>
      <w:r w:rsidR="00D32DBF">
        <w:rPr>
          <w:sz w:val="40"/>
          <w:szCs w:val="40"/>
        </w:rPr>
        <w:t>0</w:t>
      </w:r>
      <w:r w:rsidR="004F2936">
        <w:rPr>
          <w:sz w:val="40"/>
          <w:szCs w:val="40"/>
        </w:rPr>
        <w:t>2</w:t>
      </w:r>
    </w:p>
    <w:p w14:paraId="435815DF" w14:textId="77777777" w:rsidR="007B2070" w:rsidRPr="00487640" w:rsidRDefault="007B2070" w:rsidP="007B2070">
      <w:pPr>
        <w:keepNext/>
        <w:keepLines/>
        <w:spacing w:before="240" w:after="240"/>
        <w:jc w:val="center"/>
        <w:outlineLvl w:val="0"/>
        <w:rPr>
          <w:b/>
          <w:sz w:val="40"/>
        </w:rPr>
      </w:pPr>
    </w:p>
    <w:p w14:paraId="254BDBBD" w14:textId="77777777" w:rsidR="007B2070" w:rsidRPr="00487640" w:rsidRDefault="007B2070" w:rsidP="007B2070">
      <w:pPr>
        <w:pStyle w:val="Heading2"/>
        <w:spacing w:before="240" w:after="240"/>
        <w:rPr>
          <w:sz w:val="36"/>
          <w:szCs w:val="36"/>
        </w:rPr>
      </w:pPr>
      <w:r w:rsidRPr="00487640">
        <w:rPr>
          <w:sz w:val="36"/>
          <w:szCs w:val="36"/>
        </w:rPr>
        <w:t>Subject</w:t>
      </w:r>
    </w:p>
    <w:p w14:paraId="5153B454" w14:textId="58ECAA00" w:rsidR="00125B08" w:rsidRDefault="00125B08" w:rsidP="00125B08">
      <w:pPr>
        <w:rPr>
          <w:rFonts w:eastAsia="Arial" w:cs="Arial"/>
          <w:color w:val="000000" w:themeColor="text1"/>
        </w:rPr>
      </w:pPr>
      <w:bookmarkStart w:id="0" w:name="_GoBack"/>
      <w:bookmarkEnd w:id="0"/>
      <w:r w:rsidRPr="2DCAAA1E">
        <w:rPr>
          <w:rFonts w:eastAsia="Arial" w:cs="Arial"/>
          <w:color w:val="000000" w:themeColor="text1"/>
        </w:rPr>
        <w:t xml:space="preserve">Implementation of the Integrated Local, State, and Federal Accountability and Continuous Improvement System: </w:t>
      </w:r>
      <w:r w:rsidRPr="00A414DB">
        <w:rPr>
          <w:rFonts w:eastAsia="Arial" w:cs="Arial"/>
          <w:color w:val="000000" w:themeColor="text1"/>
        </w:rPr>
        <w:t xml:space="preserve">Update </w:t>
      </w:r>
      <w:r w:rsidR="00211579" w:rsidRPr="00A414DB">
        <w:rPr>
          <w:rFonts w:eastAsia="Arial" w:cs="Arial"/>
          <w:color w:val="000000" w:themeColor="text1"/>
        </w:rPr>
        <w:t xml:space="preserve">on the California School Dashboard, </w:t>
      </w:r>
      <w:r w:rsidRPr="00A414DB">
        <w:rPr>
          <w:rFonts w:eastAsia="Arial" w:cs="Arial"/>
          <w:color w:val="000000" w:themeColor="text1"/>
        </w:rPr>
        <w:t>the Possible Student-Growth Models to Communicate Smarter Balanced Results</w:t>
      </w:r>
      <w:r w:rsidR="00211579" w:rsidRPr="00A414DB">
        <w:rPr>
          <w:rFonts w:eastAsia="Arial" w:cs="Arial"/>
          <w:color w:val="000000" w:themeColor="text1"/>
        </w:rPr>
        <w:t>,</w:t>
      </w:r>
      <w:r w:rsidR="00C70315">
        <w:rPr>
          <w:rFonts w:eastAsia="Arial" w:cs="Arial"/>
          <w:color w:val="000000" w:themeColor="text1"/>
        </w:rPr>
        <w:t xml:space="preserve"> </w:t>
      </w:r>
      <w:r w:rsidR="00C70315" w:rsidRPr="00CE2255">
        <w:rPr>
          <w:rFonts w:eastAsia="Arial" w:cs="Arial"/>
          <w:color w:val="000000" w:themeColor="text1"/>
        </w:rPr>
        <w:t xml:space="preserve">and the Release of the </w:t>
      </w:r>
      <w:r w:rsidR="003650B8" w:rsidRPr="00CE2255">
        <w:t>Five-Year Graduation Rate Detailed Report</w:t>
      </w:r>
      <w:r w:rsidRPr="00CE2255">
        <w:rPr>
          <w:rFonts w:eastAsia="Arial" w:cs="Arial"/>
          <w:color w:val="000000" w:themeColor="text1"/>
        </w:rPr>
        <w:t>.</w:t>
      </w:r>
    </w:p>
    <w:p w14:paraId="1339E990" w14:textId="77777777" w:rsidR="00125B08" w:rsidRPr="000F09E8" w:rsidRDefault="00125B08" w:rsidP="00125B08">
      <w:pPr>
        <w:rPr>
          <w:rFonts w:eastAsia="Arial" w:cs="Arial"/>
          <w:color w:val="000000" w:themeColor="text1"/>
        </w:rPr>
      </w:pPr>
    </w:p>
    <w:p w14:paraId="3FA21FCC" w14:textId="77777777" w:rsidR="007B2070" w:rsidRPr="00487640" w:rsidRDefault="007B2070" w:rsidP="007B2070">
      <w:pPr>
        <w:pStyle w:val="Heading2"/>
        <w:spacing w:before="0" w:after="240"/>
        <w:rPr>
          <w:sz w:val="36"/>
          <w:szCs w:val="36"/>
        </w:rPr>
      </w:pPr>
      <w:r w:rsidRPr="00487640">
        <w:rPr>
          <w:sz w:val="36"/>
          <w:szCs w:val="36"/>
        </w:rPr>
        <w:t>Type of Action</w:t>
      </w:r>
    </w:p>
    <w:p w14:paraId="49AABD7C" w14:textId="77777777" w:rsidR="007B2070" w:rsidRPr="00487640" w:rsidRDefault="007B2070" w:rsidP="007B2070">
      <w:pPr>
        <w:spacing w:after="240"/>
      </w:pPr>
      <w:r w:rsidRPr="00487640">
        <w:rPr>
          <w:rFonts w:cs="Arial"/>
        </w:rPr>
        <w:t>Action, Information</w:t>
      </w:r>
    </w:p>
    <w:p w14:paraId="363418DC" w14:textId="77777777" w:rsidR="007B2070" w:rsidRPr="00487640" w:rsidRDefault="007B2070" w:rsidP="007B2070">
      <w:pPr>
        <w:pStyle w:val="Heading2"/>
        <w:spacing w:before="0" w:after="240"/>
        <w:rPr>
          <w:sz w:val="36"/>
          <w:szCs w:val="36"/>
        </w:rPr>
      </w:pPr>
      <w:r w:rsidRPr="00487640">
        <w:rPr>
          <w:sz w:val="36"/>
          <w:szCs w:val="36"/>
        </w:rPr>
        <w:t>Summary of the Issue(s)</w:t>
      </w:r>
    </w:p>
    <w:p w14:paraId="58F5D5C7" w14:textId="54296259" w:rsidR="69BB8E32" w:rsidRPr="00A414DB" w:rsidRDefault="00C12B78" w:rsidP="69BB8E32">
      <w:pPr>
        <w:spacing w:afterAutospacing="1"/>
        <w:rPr>
          <w:rFonts w:cs="Arial"/>
        </w:rPr>
      </w:pPr>
      <w:r w:rsidRPr="00A414DB">
        <w:rPr>
          <w:rFonts w:cs="Arial"/>
        </w:rPr>
        <w:t>The California Department of Education (CDE) will provide a verbal update to the State Board of Education (SBE) on any legislative action related to accountability</w:t>
      </w:r>
      <w:r w:rsidR="003D35B5" w:rsidRPr="00A414DB">
        <w:rPr>
          <w:rFonts w:cs="Arial"/>
        </w:rPr>
        <w:t>;</w:t>
      </w:r>
      <w:r w:rsidRPr="00A414DB">
        <w:rPr>
          <w:rFonts w:cs="Arial"/>
        </w:rPr>
        <w:t xml:space="preserve"> specifically, the California School Dashboard (</w:t>
      </w:r>
      <w:r w:rsidR="6858D252" w:rsidRPr="00A414DB">
        <w:rPr>
          <w:rFonts w:cs="Arial"/>
        </w:rPr>
        <w:t>Dashboard</w:t>
      </w:r>
      <w:r w:rsidRPr="00A414DB">
        <w:rPr>
          <w:rFonts w:cs="Arial"/>
        </w:rPr>
        <w:t xml:space="preserve">) and </w:t>
      </w:r>
      <w:r w:rsidR="006516C2" w:rsidRPr="00A414DB">
        <w:rPr>
          <w:rFonts w:cs="Arial"/>
        </w:rPr>
        <w:t xml:space="preserve">the </w:t>
      </w:r>
      <w:r w:rsidRPr="00A414DB">
        <w:rPr>
          <w:rFonts w:cs="Arial"/>
        </w:rPr>
        <w:t xml:space="preserve">Local Control and </w:t>
      </w:r>
      <w:r w:rsidR="1AC2A1E6" w:rsidRPr="00A414DB">
        <w:rPr>
          <w:rFonts w:cs="Arial"/>
        </w:rPr>
        <w:t>Accountability</w:t>
      </w:r>
      <w:r w:rsidRPr="00A414DB">
        <w:rPr>
          <w:rFonts w:cs="Arial"/>
        </w:rPr>
        <w:t xml:space="preserve"> Plan.</w:t>
      </w:r>
    </w:p>
    <w:p w14:paraId="6E45C1E0" w14:textId="66FB8797" w:rsidR="00125B08" w:rsidRPr="00A414DB" w:rsidRDefault="003D35B5" w:rsidP="00125B08">
      <w:pPr>
        <w:spacing w:afterAutospacing="1"/>
        <w:rPr>
          <w:rFonts w:cs="Arial"/>
        </w:rPr>
      </w:pPr>
      <w:r w:rsidRPr="00A414DB">
        <w:rPr>
          <w:rFonts w:cs="Arial"/>
        </w:rPr>
        <w:t>Additionally, a</w:t>
      </w:r>
      <w:r w:rsidR="00125B08" w:rsidRPr="00A414DB">
        <w:rPr>
          <w:rFonts w:cs="Arial"/>
        </w:rPr>
        <w:t xml:space="preserve">t the March 2020 meeting, the </w:t>
      </w:r>
      <w:r w:rsidR="000C42B9" w:rsidRPr="00A414DB">
        <w:rPr>
          <w:rFonts w:cs="Arial"/>
        </w:rPr>
        <w:t xml:space="preserve">SBE </w:t>
      </w:r>
      <w:r w:rsidR="00125B08" w:rsidRPr="00A414DB">
        <w:rPr>
          <w:rFonts w:cs="Arial"/>
        </w:rPr>
        <w:t>directed the CDE to provide a presentation on the work conducted to date on the development of a student-level growth model. Accordingly, this item, along with its accompanying presentation</w:t>
      </w:r>
      <w:r w:rsidR="00C70315" w:rsidRPr="00A414DB">
        <w:rPr>
          <w:rFonts w:cs="Arial"/>
        </w:rPr>
        <w:t xml:space="preserve"> by CDE and Educational Testing Service (ETS) staff</w:t>
      </w:r>
      <w:r w:rsidR="00125B08" w:rsidRPr="00A414DB">
        <w:rPr>
          <w:rFonts w:cs="Arial"/>
        </w:rPr>
        <w:t>, provides:</w:t>
      </w:r>
    </w:p>
    <w:p w14:paraId="052B9C4C" w14:textId="77777777" w:rsidR="00125B08" w:rsidRPr="00A414DB" w:rsidRDefault="00125B08" w:rsidP="00125B08">
      <w:pPr>
        <w:pStyle w:val="ListParagraph"/>
        <w:numPr>
          <w:ilvl w:val="0"/>
          <w:numId w:val="26"/>
        </w:numPr>
      </w:pPr>
      <w:r w:rsidRPr="00A414DB">
        <w:rPr>
          <w:rFonts w:cs="Arial"/>
          <w:color w:val="000000"/>
          <w:shd w:val="clear" w:color="auto" w:fill="FFFFFF"/>
        </w:rPr>
        <w:t>A chronical review of the student-level growth model decisions and work</w:t>
      </w:r>
    </w:p>
    <w:p w14:paraId="7517D511" w14:textId="77777777" w:rsidR="00125B08" w:rsidRPr="00A414DB" w:rsidRDefault="00125B08" w:rsidP="00125B08">
      <w:pPr>
        <w:pStyle w:val="ListParagraph"/>
      </w:pPr>
    </w:p>
    <w:p w14:paraId="2E55D5A1" w14:textId="58B4C305" w:rsidR="00125B08" w:rsidRPr="00A414DB" w:rsidRDefault="00125B08" w:rsidP="00125B08">
      <w:pPr>
        <w:pStyle w:val="ListParagraph"/>
        <w:numPr>
          <w:ilvl w:val="0"/>
          <w:numId w:val="26"/>
        </w:numPr>
      </w:pPr>
      <w:r w:rsidRPr="00A414DB">
        <w:rPr>
          <w:rFonts w:cs="Arial"/>
          <w:color w:val="000000"/>
          <w:shd w:val="clear" w:color="auto" w:fill="FFFFFF"/>
        </w:rPr>
        <w:t xml:space="preserve">An overview of a proposed new Residual Gain (RG) methodology that the ETS has developed to help stabilize the </w:t>
      </w:r>
      <w:r w:rsidR="00096B56" w:rsidRPr="00A414DB">
        <w:rPr>
          <w:rFonts w:cs="Arial"/>
          <w:color w:val="000000"/>
          <w:shd w:val="clear" w:color="auto" w:fill="FFFFFF"/>
        </w:rPr>
        <w:t xml:space="preserve">proposed </w:t>
      </w:r>
      <w:r w:rsidRPr="00A414DB">
        <w:rPr>
          <w:rFonts w:cs="Arial"/>
          <w:color w:val="000000"/>
          <w:shd w:val="clear" w:color="auto" w:fill="FFFFFF"/>
        </w:rPr>
        <w:t>student-growth model.</w:t>
      </w:r>
    </w:p>
    <w:p w14:paraId="2DF13D0F" w14:textId="77777777" w:rsidR="00125B08" w:rsidRPr="00A414DB" w:rsidRDefault="00125B08" w:rsidP="00125B08">
      <w:pPr>
        <w:ind w:left="360"/>
        <w:rPr>
          <w:rFonts w:cs="Arial"/>
          <w:color w:val="000000" w:themeColor="text1"/>
        </w:rPr>
      </w:pPr>
    </w:p>
    <w:p w14:paraId="5372D5DD" w14:textId="22C3D1AF" w:rsidR="0642CF1A" w:rsidRPr="00A414DB" w:rsidRDefault="0642CF1A" w:rsidP="6A2C7C2C">
      <w:pPr>
        <w:spacing w:after="240"/>
        <w:rPr>
          <w:rFonts w:cs="Arial"/>
        </w:rPr>
      </w:pPr>
      <w:r w:rsidRPr="00A414DB">
        <w:rPr>
          <w:rFonts w:cs="Arial"/>
        </w:rPr>
        <w:t xml:space="preserve">The presentation </w:t>
      </w:r>
      <w:r w:rsidR="5A0EC3E1" w:rsidRPr="00A414DB">
        <w:rPr>
          <w:rFonts w:cs="Arial"/>
        </w:rPr>
        <w:t xml:space="preserve">will </w:t>
      </w:r>
      <w:r w:rsidRPr="00A414DB">
        <w:rPr>
          <w:rFonts w:cs="Arial"/>
        </w:rPr>
        <w:t>provide SBE members</w:t>
      </w:r>
      <w:r w:rsidR="4DD52AD3" w:rsidRPr="00A414DB">
        <w:rPr>
          <w:rFonts w:cs="Arial"/>
        </w:rPr>
        <w:t xml:space="preserve"> an overview of the C</w:t>
      </w:r>
      <w:r w:rsidR="00110E56" w:rsidRPr="00A414DB">
        <w:rPr>
          <w:rFonts w:cs="Arial"/>
        </w:rPr>
        <w:t>alifornia’s growth model journey</w:t>
      </w:r>
      <w:r w:rsidR="00893A69" w:rsidRPr="00A414DB">
        <w:rPr>
          <w:rFonts w:cs="Arial"/>
        </w:rPr>
        <w:t>, which</w:t>
      </w:r>
      <w:r w:rsidR="00740BEF" w:rsidRPr="00A414DB">
        <w:rPr>
          <w:rFonts w:cs="Arial"/>
        </w:rPr>
        <w:t xml:space="preserve"> included a</w:t>
      </w:r>
      <w:r w:rsidR="00892011" w:rsidRPr="00A414DB">
        <w:rPr>
          <w:rFonts w:cs="Arial"/>
        </w:rPr>
        <w:t xml:space="preserve"> </w:t>
      </w:r>
      <w:r w:rsidR="00740BEF" w:rsidRPr="00A414DB">
        <w:rPr>
          <w:rFonts w:cs="Arial"/>
        </w:rPr>
        <w:t xml:space="preserve">thorough review and vetting of multiple growth models before </w:t>
      </w:r>
      <w:r w:rsidR="00893A69" w:rsidRPr="00A414DB">
        <w:rPr>
          <w:rFonts w:cs="Arial"/>
        </w:rPr>
        <w:t>selecting</w:t>
      </w:r>
      <w:r w:rsidR="00740BEF" w:rsidRPr="00A414DB">
        <w:rPr>
          <w:rFonts w:cs="Arial"/>
        </w:rPr>
        <w:t xml:space="preserve"> three </w:t>
      </w:r>
      <w:r w:rsidR="00893A69" w:rsidRPr="00A414DB">
        <w:rPr>
          <w:rFonts w:cs="Arial"/>
        </w:rPr>
        <w:t xml:space="preserve">growth </w:t>
      </w:r>
      <w:r w:rsidR="00740BEF" w:rsidRPr="00A414DB">
        <w:rPr>
          <w:rFonts w:cs="Arial"/>
        </w:rPr>
        <w:t xml:space="preserve">models for in-depth review. Staff from the California Comprehensive Center will share </w:t>
      </w:r>
      <w:r w:rsidR="00892011" w:rsidRPr="00A414DB">
        <w:rPr>
          <w:rFonts w:cs="Arial"/>
        </w:rPr>
        <w:t>the outcome of the growth model stakeholder group</w:t>
      </w:r>
      <w:r w:rsidR="00893A69" w:rsidRPr="00A414DB">
        <w:rPr>
          <w:rFonts w:cs="Arial"/>
        </w:rPr>
        <w:t xml:space="preserve"> </w:t>
      </w:r>
      <w:r w:rsidR="00893A69" w:rsidRPr="00A414DB">
        <w:rPr>
          <w:rFonts w:cs="Arial"/>
        </w:rPr>
        <w:lastRenderedPageBreak/>
        <w:t>that was convened at the request of the SBE</w:t>
      </w:r>
      <w:r w:rsidR="00892011" w:rsidRPr="00A414DB">
        <w:rPr>
          <w:rFonts w:cs="Arial"/>
        </w:rPr>
        <w:t xml:space="preserve">. </w:t>
      </w:r>
      <w:r w:rsidR="00740BEF" w:rsidRPr="00A414DB">
        <w:rPr>
          <w:rFonts w:cs="Arial"/>
        </w:rPr>
        <w:t>In addition, s</w:t>
      </w:r>
      <w:r w:rsidR="00892011" w:rsidRPr="00A414DB">
        <w:rPr>
          <w:rFonts w:cs="Arial"/>
        </w:rPr>
        <w:t xml:space="preserve">taff from ETS will </w:t>
      </w:r>
      <w:r w:rsidR="31B52501" w:rsidRPr="00A414DB">
        <w:rPr>
          <w:rFonts w:cs="Arial"/>
        </w:rPr>
        <w:t>review w</w:t>
      </w:r>
      <w:r w:rsidR="00893A69" w:rsidRPr="00A414DB">
        <w:rPr>
          <w:rFonts w:cs="Arial"/>
        </w:rPr>
        <w:t>hat questions the</w:t>
      </w:r>
      <w:r w:rsidR="31B52501" w:rsidRPr="00A414DB">
        <w:rPr>
          <w:rFonts w:cs="Arial"/>
        </w:rPr>
        <w:t xml:space="preserve"> RG model can and cannot </w:t>
      </w:r>
      <w:r w:rsidR="00893A69" w:rsidRPr="00A414DB">
        <w:rPr>
          <w:rFonts w:cs="Arial"/>
        </w:rPr>
        <w:t>answer</w:t>
      </w:r>
      <w:r w:rsidR="31B52501" w:rsidRPr="00A414DB">
        <w:rPr>
          <w:rFonts w:cs="Arial"/>
        </w:rPr>
        <w:t>,</w:t>
      </w:r>
      <w:r w:rsidR="00892011" w:rsidRPr="00A414DB">
        <w:rPr>
          <w:rFonts w:cs="Arial"/>
        </w:rPr>
        <w:t xml:space="preserve"> provide a</w:t>
      </w:r>
      <w:r w:rsidR="00893A69" w:rsidRPr="00A414DB">
        <w:rPr>
          <w:rFonts w:cs="Arial"/>
        </w:rPr>
        <w:t xml:space="preserve">n </w:t>
      </w:r>
      <w:r w:rsidR="00892011" w:rsidRPr="00A414DB">
        <w:rPr>
          <w:rFonts w:cs="Arial"/>
        </w:rPr>
        <w:t xml:space="preserve">overview on the </w:t>
      </w:r>
      <w:r w:rsidR="00740BEF" w:rsidRPr="00A414DB">
        <w:rPr>
          <w:rFonts w:cs="Arial"/>
        </w:rPr>
        <w:t>proposed</w:t>
      </w:r>
      <w:r w:rsidR="00892011" w:rsidRPr="00A414DB">
        <w:rPr>
          <w:rFonts w:cs="Arial"/>
        </w:rPr>
        <w:t xml:space="preserve"> methodology to stabilize the growth model, and discuss the impact of </w:t>
      </w:r>
      <w:r w:rsidR="00893A69" w:rsidRPr="00A414DB">
        <w:rPr>
          <w:rFonts w:cs="Arial"/>
        </w:rPr>
        <w:t xml:space="preserve">suspending </w:t>
      </w:r>
      <w:r w:rsidR="00892011" w:rsidRPr="00A414DB">
        <w:rPr>
          <w:rFonts w:cs="Arial"/>
        </w:rPr>
        <w:t>stand</w:t>
      </w:r>
      <w:r w:rsidR="00740BEF" w:rsidRPr="00A414DB">
        <w:rPr>
          <w:rFonts w:cs="Arial"/>
        </w:rPr>
        <w:t>ard</w:t>
      </w:r>
      <w:r w:rsidR="00892011" w:rsidRPr="00A414DB">
        <w:rPr>
          <w:rFonts w:cs="Arial"/>
        </w:rPr>
        <w:t>ized test</w:t>
      </w:r>
      <w:r w:rsidR="00893A69" w:rsidRPr="00A414DB">
        <w:rPr>
          <w:rFonts w:cs="Arial"/>
        </w:rPr>
        <w:t>ing</w:t>
      </w:r>
      <w:r w:rsidR="00740BEF" w:rsidRPr="00A414DB">
        <w:rPr>
          <w:rFonts w:cs="Arial"/>
        </w:rPr>
        <w:t xml:space="preserve">. </w:t>
      </w:r>
      <w:r w:rsidR="00893A69" w:rsidRPr="00A414DB">
        <w:rPr>
          <w:rFonts w:cs="Arial"/>
        </w:rPr>
        <w:t xml:space="preserve">The </w:t>
      </w:r>
      <w:r w:rsidR="00CA1568" w:rsidRPr="00A414DB">
        <w:rPr>
          <w:rFonts w:cs="Arial"/>
        </w:rPr>
        <w:t>presentation</w:t>
      </w:r>
      <w:r w:rsidR="00893A69" w:rsidRPr="00A414DB">
        <w:rPr>
          <w:rFonts w:cs="Arial"/>
        </w:rPr>
        <w:t xml:space="preserve"> is intended to prepare the SBE for </w:t>
      </w:r>
      <w:r w:rsidR="00CA1568" w:rsidRPr="00A414DB">
        <w:rPr>
          <w:rFonts w:cs="Arial"/>
        </w:rPr>
        <w:t>a</w:t>
      </w:r>
      <w:r w:rsidR="00893A69" w:rsidRPr="00A414DB">
        <w:rPr>
          <w:rFonts w:cs="Arial"/>
        </w:rPr>
        <w:t xml:space="preserve"> more </w:t>
      </w:r>
      <w:r w:rsidR="00CA1568" w:rsidRPr="00A414DB">
        <w:rPr>
          <w:rFonts w:cs="Arial"/>
        </w:rPr>
        <w:t>in-depth</w:t>
      </w:r>
      <w:r w:rsidR="00893A69" w:rsidRPr="00A414DB">
        <w:rPr>
          <w:rFonts w:cs="Arial"/>
        </w:rPr>
        <w:t xml:space="preserve"> </w:t>
      </w:r>
      <w:r w:rsidR="00CA1568" w:rsidRPr="00A414DB">
        <w:rPr>
          <w:rFonts w:cs="Arial"/>
        </w:rPr>
        <w:t xml:space="preserve">growth model </w:t>
      </w:r>
      <w:r w:rsidR="00893A69" w:rsidRPr="00A414DB">
        <w:rPr>
          <w:rFonts w:cs="Arial"/>
        </w:rPr>
        <w:t xml:space="preserve">conversation at the September, and possibly, the November 2020 SBE meetings. </w:t>
      </w:r>
      <w:r w:rsidR="00892011" w:rsidRPr="00A414DB">
        <w:rPr>
          <w:rFonts w:cs="Arial"/>
        </w:rPr>
        <w:t xml:space="preserve">CDE </w:t>
      </w:r>
      <w:r w:rsidR="00893A69" w:rsidRPr="00A414DB">
        <w:rPr>
          <w:rFonts w:cs="Arial"/>
        </w:rPr>
        <w:t xml:space="preserve">is requesting that </w:t>
      </w:r>
      <w:r w:rsidR="00892011" w:rsidRPr="00A414DB">
        <w:rPr>
          <w:rFonts w:cs="Arial"/>
        </w:rPr>
        <w:t xml:space="preserve">the </w:t>
      </w:r>
      <w:r w:rsidR="00893A69" w:rsidRPr="00A414DB">
        <w:rPr>
          <w:rFonts w:cs="Arial"/>
        </w:rPr>
        <w:t xml:space="preserve">SBE </w:t>
      </w:r>
      <w:r w:rsidR="00892011" w:rsidRPr="00A414DB">
        <w:rPr>
          <w:rFonts w:cs="Arial"/>
        </w:rPr>
        <w:t>provide guidance</w:t>
      </w:r>
      <w:r w:rsidR="00CA1568" w:rsidRPr="00A414DB">
        <w:rPr>
          <w:rFonts w:cs="Arial"/>
        </w:rPr>
        <w:t xml:space="preserve"> and/or share their concerns</w:t>
      </w:r>
      <w:r w:rsidR="00892011" w:rsidRPr="00A414DB">
        <w:rPr>
          <w:rFonts w:cs="Arial"/>
        </w:rPr>
        <w:t xml:space="preserve"> on the </w:t>
      </w:r>
      <w:r w:rsidR="00CA1568" w:rsidRPr="00A414DB">
        <w:rPr>
          <w:rFonts w:cs="Arial"/>
        </w:rPr>
        <w:t xml:space="preserve">proposed direction to </w:t>
      </w:r>
      <w:r w:rsidR="00892011" w:rsidRPr="00A414DB">
        <w:rPr>
          <w:rFonts w:cs="Arial"/>
        </w:rPr>
        <w:t xml:space="preserve">implement </w:t>
      </w:r>
      <w:r w:rsidR="00740BEF" w:rsidRPr="00A414DB">
        <w:rPr>
          <w:rFonts w:cs="Arial"/>
        </w:rPr>
        <w:t xml:space="preserve">a growth model for California. </w:t>
      </w:r>
      <w:r w:rsidR="00892011" w:rsidRPr="00A414DB">
        <w:rPr>
          <w:rFonts w:cs="Arial"/>
        </w:rPr>
        <w:t xml:space="preserve"> </w:t>
      </w:r>
    </w:p>
    <w:p w14:paraId="1AC02B70" w14:textId="16B58438" w:rsidR="00125B08" w:rsidRPr="00A414DB" w:rsidRDefault="00C70315" w:rsidP="00125B08">
      <w:pPr>
        <w:spacing w:after="240"/>
        <w:rPr>
          <w:rFonts w:cs="Arial"/>
        </w:rPr>
      </w:pPr>
      <w:r w:rsidRPr="00A414DB">
        <w:rPr>
          <w:rFonts w:cs="Arial"/>
        </w:rPr>
        <w:t>D</w:t>
      </w:r>
      <w:r w:rsidR="00125B08" w:rsidRPr="00A414DB">
        <w:rPr>
          <w:rFonts w:cs="Arial"/>
        </w:rPr>
        <w:t xml:space="preserve">etails on the chronology of the student growth model work, and of the development of the RG model in particular, was provided in a </w:t>
      </w:r>
      <w:r w:rsidR="000C42B9" w:rsidRPr="00A414DB">
        <w:rPr>
          <w:rFonts w:cs="Arial"/>
        </w:rPr>
        <w:t xml:space="preserve">SBE </w:t>
      </w:r>
      <w:r w:rsidR="00125B08" w:rsidRPr="00A414DB">
        <w:rPr>
          <w:rFonts w:cs="Arial"/>
        </w:rPr>
        <w:t>June 2020 Information Memorandum</w:t>
      </w:r>
      <w:r w:rsidR="000C42B9" w:rsidRPr="00A414DB">
        <w:rPr>
          <w:rFonts w:cs="Arial"/>
        </w:rPr>
        <w:t xml:space="preserve"> (</w:t>
      </w:r>
      <w:hyperlink r:id="rId13" w:tooltip="June 2020 SBE memo">
        <w:r w:rsidR="000C42B9" w:rsidRPr="00A414DB">
          <w:rPr>
            <w:rStyle w:val="Hyperlink"/>
            <w:rFonts w:cs="Arial"/>
          </w:rPr>
          <w:t>https://www.cde.ca.gov/be/pn/im/documents/memo-imb-amard-june20item01.docx</w:t>
        </w:r>
      </w:hyperlink>
      <w:r w:rsidR="000C42B9" w:rsidRPr="00A414DB">
        <w:rPr>
          <w:rFonts w:cs="Arial"/>
        </w:rPr>
        <w:t>)</w:t>
      </w:r>
      <w:r w:rsidR="00125B08" w:rsidRPr="00A414DB">
        <w:rPr>
          <w:rFonts w:cs="Arial"/>
        </w:rPr>
        <w:t>.</w:t>
      </w:r>
    </w:p>
    <w:p w14:paraId="5E9684FD" w14:textId="0E613086" w:rsidR="009A6925" w:rsidRDefault="009A6925" w:rsidP="00DD5B81">
      <w:pPr>
        <w:pStyle w:val="Heading2"/>
      </w:pPr>
      <w:r w:rsidRPr="00A414DB">
        <w:t>New Graduation Detailed Report</w:t>
      </w:r>
    </w:p>
    <w:p w14:paraId="52C5EEA6" w14:textId="77777777" w:rsidR="009A6925" w:rsidRPr="009A6925" w:rsidRDefault="009A6925" w:rsidP="00DD5B81"/>
    <w:p w14:paraId="46547367" w14:textId="40444938" w:rsidR="00FB2D58" w:rsidRPr="00A414DB" w:rsidRDefault="00C70315" w:rsidP="00125B08">
      <w:pPr>
        <w:spacing w:after="240"/>
        <w:rPr>
          <w:rFonts w:cs="Arial"/>
        </w:rPr>
      </w:pPr>
      <w:r w:rsidRPr="6A2C7C2C">
        <w:rPr>
          <w:rFonts w:cs="Arial"/>
        </w:rPr>
        <w:t>In</w:t>
      </w:r>
      <w:r w:rsidR="00E67745" w:rsidRPr="6A2C7C2C">
        <w:rPr>
          <w:rFonts w:cs="Arial"/>
        </w:rPr>
        <w:t xml:space="preserve"> June</w:t>
      </w:r>
      <w:r w:rsidR="00CE2255" w:rsidRPr="6A2C7C2C">
        <w:rPr>
          <w:rFonts w:cs="Arial"/>
        </w:rPr>
        <w:t xml:space="preserve"> 2020</w:t>
      </w:r>
      <w:r w:rsidR="00E67745" w:rsidRPr="6A2C7C2C">
        <w:rPr>
          <w:rFonts w:cs="Arial"/>
        </w:rPr>
        <w:t>, a new graduation rate detailed report was released</w:t>
      </w:r>
      <w:r w:rsidR="00F7728B" w:rsidRPr="6A2C7C2C">
        <w:rPr>
          <w:rFonts w:cs="Arial"/>
        </w:rPr>
        <w:t xml:space="preserve"> on the </w:t>
      </w:r>
      <w:r w:rsidR="00F7728B" w:rsidRPr="00A414DB">
        <w:rPr>
          <w:rFonts w:cs="Arial"/>
        </w:rPr>
        <w:t>Dashbo</w:t>
      </w:r>
      <w:r w:rsidR="5BB34D4D" w:rsidRPr="00A414DB">
        <w:rPr>
          <w:rFonts w:cs="Arial"/>
        </w:rPr>
        <w:t>a</w:t>
      </w:r>
      <w:r w:rsidR="00F7728B" w:rsidRPr="00A414DB">
        <w:rPr>
          <w:rFonts w:cs="Arial"/>
        </w:rPr>
        <w:t>rd</w:t>
      </w:r>
      <w:r w:rsidR="00C01B6F" w:rsidRPr="00A414DB">
        <w:rPr>
          <w:rFonts w:cs="Arial"/>
        </w:rPr>
        <w:t xml:space="preserve"> for traditional high schools</w:t>
      </w:r>
      <w:r w:rsidR="00E67745" w:rsidRPr="00A414DB">
        <w:rPr>
          <w:rFonts w:cs="Arial"/>
        </w:rPr>
        <w:t>. The report was developed in partnership with the San Joaquin County Office of Education</w:t>
      </w:r>
      <w:r w:rsidR="003650B8" w:rsidRPr="00A414DB">
        <w:rPr>
          <w:rFonts w:cs="Arial"/>
        </w:rPr>
        <w:t xml:space="preserve"> (SJCOE)</w:t>
      </w:r>
      <w:r w:rsidR="00FB2D58" w:rsidRPr="00A414DB">
        <w:rPr>
          <w:rFonts w:cs="Arial"/>
        </w:rPr>
        <w:t>,</w:t>
      </w:r>
      <w:r w:rsidR="00C01B6F" w:rsidRPr="00A414DB">
        <w:rPr>
          <w:rFonts w:cs="Arial"/>
        </w:rPr>
        <w:t xml:space="preserve"> and</w:t>
      </w:r>
      <w:r w:rsidR="00FB2D58" w:rsidRPr="00A414DB">
        <w:rPr>
          <w:rFonts w:cs="Arial"/>
        </w:rPr>
        <w:t xml:space="preserve"> </w:t>
      </w:r>
      <w:r w:rsidR="005A7AC1" w:rsidRPr="00A414DB">
        <w:rPr>
          <w:rFonts w:cs="Arial"/>
        </w:rPr>
        <w:t xml:space="preserve">their contractor, Collaborative Communications, and </w:t>
      </w:r>
      <w:r w:rsidR="00E67745" w:rsidRPr="00A414DB">
        <w:rPr>
          <w:rFonts w:cs="Arial"/>
        </w:rPr>
        <w:t>displays the percent of students in the</w:t>
      </w:r>
      <w:r w:rsidR="00FB2D58" w:rsidRPr="00A414DB">
        <w:rPr>
          <w:rFonts w:cs="Arial"/>
        </w:rPr>
        <w:t xml:space="preserve"> Dashboard</w:t>
      </w:r>
      <w:r w:rsidR="00E67745" w:rsidRPr="00A414DB">
        <w:rPr>
          <w:rFonts w:cs="Arial"/>
        </w:rPr>
        <w:t xml:space="preserve"> graduation rate</w:t>
      </w:r>
      <w:r w:rsidR="00FB2D58" w:rsidRPr="00A414DB">
        <w:rPr>
          <w:rFonts w:cs="Arial"/>
        </w:rPr>
        <w:t xml:space="preserve"> </w:t>
      </w:r>
      <w:r w:rsidR="00E67745" w:rsidRPr="00A414DB">
        <w:rPr>
          <w:rFonts w:cs="Arial"/>
        </w:rPr>
        <w:t xml:space="preserve">that graduated in four years, and the percent and </w:t>
      </w:r>
      <w:r w:rsidR="00C01B6F" w:rsidRPr="00A414DB">
        <w:rPr>
          <w:rFonts w:cs="Arial"/>
        </w:rPr>
        <w:t>number of students that graduated</w:t>
      </w:r>
      <w:r w:rsidR="00E67745" w:rsidRPr="00A414DB">
        <w:rPr>
          <w:rFonts w:cs="Arial"/>
        </w:rPr>
        <w:t xml:space="preserve"> in five years. </w:t>
      </w:r>
      <w:r w:rsidR="00F7728B" w:rsidRPr="00A414DB">
        <w:rPr>
          <w:rFonts w:cs="Arial"/>
        </w:rPr>
        <w:t xml:space="preserve">The new </w:t>
      </w:r>
      <w:r w:rsidR="00C01B6F" w:rsidRPr="00A414DB">
        <w:rPr>
          <w:rFonts w:cs="Arial"/>
        </w:rPr>
        <w:t xml:space="preserve">detailed </w:t>
      </w:r>
      <w:r w:rsidR="00F7728B" w:rsidRPr="00A414DB">
        <w:rPr>
          <w:rFonts w:cs="Arial"/>
        </w:rPr>
        <w:t>report can be viewed by selecting “View More Details” on th</w:t>
      </w:r>
      <w:r w:rsidR="25169045" w:rsidRPr="00A414DB">
        <w:rPr>
          <w:rFonts w:cs="Arial"/>
        </w:rPr>
        <w:t>e</w:t>
      </w:r>
      <w:r w:rsidR="00F7728B" w:rsidRPr="00A414DB">
        <w:rPr>
          <w:rFonts w:cs="Arial"/>
        </w:rPr>
        <w:t xml:space="preserve"> Graduation Rate </w:t>
      </w:r>
      <w:r w:rsidR="3E36B3EF" w:rsidRPr="00A414DB">
        <w:rPr>
          <w:rFonts w:cs="Arial"/>
        </w:rPr>
        <w:t>I</w:t>
      </w:r>
      <w:r w:rsidR="000C42B9" w:rsidRPr="00A414DB">
        <w:rPr>
          <w:rFonts w:cs="Arial"/>
        </w:rPr>
        <w:t>ndicator</w:t>
      </w:r>
      <w:r w:rsidR="00F7728B" w:rsidRPr="00A414DB">
        <w:rPr>
          <w:rFonts w:cs="Arial"/>
        </w:rPr>
        <w:t xml:space="preserve"> card</w:t>
      </w:r>
      <w:r w:rsidR="000C42B9" w:rsidRPr="00A414DB">
        <w:rPr>
          <w:rFonts w:cs="Arial"/>
        </w:rPr>
        <w:t xml:space="preserve"> on the Dashboard at </w:t>
      </w:r>
      <w:hyperlink r:id="rId14" w:tooltip="California School Dashboard">
        <w:r w:rsidR="000C42B9" w:rsidRPr="00A414DB">
          <w:rPr>
            <w:rStyle w:val="Hyperlink"/>
            <w:rFonts w:cs="Arial"/>
          </w:rPr>
          <w:t>https://caschooldashboard.org/</w:t>
        </w:r>
      </w:hyperlink>
      <w:r w:rsidR="00F7728B" w:rsidRPr="00A414DB">
        <w:rPr>
          <w:rFonts w:cs="Arial"/>
        </w:rPr>
        <w:t xml:space="preserve">. </w:t>
      </w:r>
    </w:p>
    <w:p w14:paraId="0FDC8BED" w14:textId="2842B7C3" w:rsidR="00C70315" w:rsidRDefault="000C42B9" w:rsidP="00125B08">
      <w:pPr>
        <w:spacing w:after="240"/>
        <w:rPr>
          <w:rFonts w:cs="Arial"/>
        </w:rPr>
      </w:pPr>
      <w:r w:rsidRPr="00A414DB">
        <w:rPr>
          <w:rFonts w:cs="Arial"/>
        </w:rPr>
        <w:t>S</w:t>
      </w:r>
      <w:r w:rsidR="00FB2D58" w:rsidRPr="00A414DB">
        <w:rPr>
          <w:rFonts w:cs="Arial"/>
        </w:rPr>
        <w:t>chools with Dashboard Alternative Schools Status (DASS) receive a graduation rate</w:t>
      </w:r>
      <w:r w:rsidR="00FB2D58" w:rsidRPr="5FDFACC0">
        <w:rPr>
          <w:rFonts w:cs="Arial"/>
        </w:rPr>
        <w:t xml:space="preserve"> based on grade twelve students</w:t>
      </w:r>
      <w:r w:rsidR="00D81216" w:rsidRPr="5FDFACC0">
        <w:rPr>
          <w:rFonts w:cs="Arial"/>
        </w:rPr>
        <w:t>,</w:t>
      </w:r>
      <w:r w:rsidR="00FB2D58" w:rsidRPr="5FDFACC0">
        <w:rPr>
          <w:rFonts w:cs="Arial"/>
        </w:rPr>
        <w:t xml:space="preserve"> </w:t>
      </w:r>
      <w:r w:rsidR="00F7728B" w:rsidRPr="5FDFACC0">
        <w:rPr>
          <w:rFonts w:cs="Arial"/>
        </w:rPr>
        <w:t xml:space="preserve">and districts’ </w:t>
      </w:r>
      <w:r w:rsidR="00FB2D58" w:rsidRPr="5FDFACC0">
        <w:rPr>
          <w:rFonts w:cs="Arial"/>
        </w:rPr>
        <w:t>graduation rate</w:t>
      </w:r>
      <w:r w:rsidR="00F7728B" w:rsidRPr="5FDFACC0">
        <w:rPr>
          <w:rFonts w:cs="Arial"/>
        </w:rPr>
        <w:t>s</w:t>
      </w:r>
      <w:r w:rsidR="00FB2D58" w:rsidRPr="5FDFACC0">
        <w:rPr>
          <w:rFonts w:cs="Arial"/>
        </w:rPr>
        <w:t xml:space="preserve"> </w:t>
      </w:r>
      <w:r w:rsidR="00C01B6F" w:rsidRPr="5FDFACC0">
        <w:rPr>
          <w:rFonts w:cs="Arial"/>
        </w:rPr>
        <w:t xml:space="preserve">incorporate </w:t>
      </w:r>
      <w:r w:rsidR="00D81216" w:rsidRPr="5FDFACC0">
        <w:rPr>
          <w:rFonts w:cs="Arial"/>
        </w:rPr>
        <w:t xml:space="preserve">both </w:t>
      </w:r>
      <w:r w:rsidR="00FB2D58" w:rsidRPr="5FDFACC0">
        <w:rPr>
          <w:rFonts w:cs="Arial"/>
        </w:rPr>
        <w:t xml:space="preserve">traditional and DASS </w:t>
      </w:r>
      <w:r w:rsidR="00D81216" w:rsidRPr="5FDFACC0">
        <w:rPr>
          <w:rFonts w:cs="Arial"/>
        </w:rPr>
        <w:t>graduation data</w:t>
      </w:r>
      <w:r w:rsidR="00FB2D58" w:rsidRPr="5FDFACC0">
        <w:rPr>
          <w:rFonts w:cs="Arial"/>
        </w:rPr>
        <w:t>. Therefore</w:t>
      </w:r>
      <w:r w:rsidR="00F7728B" w:rsidRPr="5FDFACC0">
        <w:rPr>
          <w:rFonts w:cs="Arial"/>
        </w:rPr>
        <w:t>, the</w:t>
      </w:r>
      <w:r w:rsidR="00FB2D58" w:rsidRPr="5FDFACC0">
        <w:rPr>
          <w:rFonts w:cs="Arial"/>
        </w:rPr>
        <w:t xml:space="preserve"> </w:t>
      </w:r>
      <w:r w:rsidR="00F7728B" w:rsidRPr="5FDFACC0">
        <w:rPr>
          <w:rFonts w:cs="Arial"/>
        </w:rPr>
        <w:t>new report is not availa</w:t>
      </w:r>
      <w:r w:rsidR="302EB874" w:rsidRPr="5FDFACC0">
        <w:rPr>
          <w:rFonts w:cs="Arial"/>
        </w:rPr>
        <w:t>b</w:t>
      </w:r>
      <w:r w:rsidR="00F7728B" w:rsidRPr="5FDFACC0">
        <w:rPr>
          <w:rFonts w:cs="Arial"/>
        </w:rPr>
        <w:t xml:space="preserve">le for districts or DASS schools. </w:t>
      </w:r>
    </w:p>
    <w:p w14:paraId="354E45AF" w14:textId="77777777" w:rsidR="007B2070" w:rsidRPr="00487640" w:rsidRDefault="007B2070" w:rsidP="007B2070">
      <w:pPr>
        <w:pStyle w:val="Heading2"/>
        <w:spacing w:before="0" w:after="240"/>
        <w:rPr>
          <w:sz w:val="36"/>
          <w:szCs w:val="36"/>
        </w:rPr>
      </w:pPr>
      <w:r w:rsidRPr="00487640">
        <w:rPr>
          <w:sz w:val="36"/>
          <w:szCs w:val="36"/>
        </w:rPr>
        <w:t>Recommendation</w:t>
      </w:r>
    </w:p>
    <w:p w14:paraId="5D63A383" w14:textId="2ED2288B" w:rsidR="00125B08" w:rsidRDefault="00125B08" w:rsidP="00125B08">
      <w:pPr>
        <w:spacing w:after="240"/>
      </w:pPr>
      <w:r w:rsidRPr="2DCAAA1E">
        <w:rPr>
          <w:rFonts w:cs="Arial"/>
        </w:rPr>
        <w:t xml:space="preserve">The CDE recommends that the SBE provide guidance, as appropriate, on the proposed </w:t>
      </w:r>
      <w:r w:rsidR="00EE3336">
        <w:rPr>
          <w:rFonts w:cs="Arial"/>
        </w:rPr>
        <w:t>student growth model</w:t>
      </w:r>
      <w:r w:rsidRPr="2DCAAA1E">
        <w:rPr>
          <w:rFonts w:cs="Arial"/>
        </w:rPr>
        <w:t xml:space="preserve"> methodology. </w:t>
      </w:r>
    </w:p>
    <w:p w14:paraId="2005FBE1" w14:textId="06BB7971" w:rsidR="00125B08" w:rsidRPr="00125B08" w:rsidRDefault="00125B08" w:rsidP="00125B08">
      <w:pPr>
        <w:pStyle w:val="Heading2"/>
        <w:spacing w:before="0" w:after="240"/>
        <w:rPr>
          <w:sz w:val="36"/>
          <w:szCs w:val="36"/>
        </w:rPr>
      </w:pPr>
      <w:r w:rsidRPr="00125B08">
        <w:rPr>
          <w:sz w:val="36"/>
          <w:szCs w:val="36"/>
        </w:rPr>
        <w:t>Brief History of Key Issues</w:t>
      </w:r>
    </w:p>
    <w:p w14:paraId="209CAC0D" w14:textId="77777777" w:rsidR="00125B08" w:rsidRPr="0013449E" w:rsidRDefault="00125B08" w:rsidP="00125B08">
      <w:pPr>
        <w:spacing w:after="240"/>
        <w:rPr>
          <w:rFonts w:cs="Arial"/>
        </w:rPr>
      </w:pPr>
      <w:r w:rsidRPr="2DCAAA1E">
        <w:rPr>
          <w:rFonts w:cs="Arial"/>
        </w:rPr>
        <w:t>Since March of 2015, when the SBE began work on the development and implementation of a new integrated system, the SBE has expressed an interest in the inclusion of a growth model. At its January 2016 SBE meeting, the SBE requested that the CDE provide information on the options for a student-level growth model. The CDE engaged the ETS to assist with this work. ETS conducted simulations and analyses on three growth models:</w:t>
      </w:r>
    </w:p>
    <w:p w14:paraId="358122E0" w14:textId="77777777" w:rsidR="00125B08" w:rsidRPr="0013449E" w:rsidRDefault="00125B08" w:rsidP="00125B08">
      <w:pPr>
        <w:widowControl w:val="0"/>
        <w:spacing w:after="240"/>
        <w:ind w:left="720" w:hanging="360"/>
        <w:rPr>
          <w:rFonts w:cs="Arial"/>
        </w:rPr>
      </w:pPr>
      <w:r w:rsidRPr="0013449E">
        <w:rPr>
          <w:rFonts w:cs="Arial"/>
        </w:rPr>
        <w:t>(1) “Change-in-distance-to-met” measures absolute growth of each student from the prior year to the current year using Distance from Level 3 as the measurement threshold.</w:t>
      </w:r>
    </w:p>
    <w:p w14:paraId="3623AF09" w14:textId="77777777" w:rsidR="00125B08" w:rsidRPr="0013449E" w:rsidRDefault="00125B08" w:rsidP="00125B08">
      <w:pPr>
        <w:pStyle w:val="ListParagraph"/>
        <w:numPr>
          <w:ilvl w:val="0"/>
          <w:numId w:val="27"/>
        </w:numPr>
        <w:spacing w:after="240"/>
        <w:contextualSpacing w:val="0"/>
        <w:rPr>
          <w:rFonts w:cs="Arial"/>
        </w:rPr>
      </w:pPr>
      <w:r w:rsidRPr="0013449E">
        <w:rPr>
          <w:rFonts w:cs="Arial"/>
        </w:rPr>
        <w:lastRenderedPageBreak/>
        <w:t>“Conditional percentile rank of the gain” ranks the growth of students who are grouped together, as a result of having the same prior year test scores, in the same subject and grade.</w:t>
      </w:r>
    </w:p>
    <w:p w14:paraId="11FEC6F0" w14:textId="77777777" w:rsidR="00125B08" w:rsidRPr="0013449E" w:rsidRDefault="00125B08" w:rsidP="00125B08">
      <w:pPr>
        <w:pStyle w:val="ListParagraph"/>
        <w:numPr>
          <w:ilvl w:val="0"/>
          <w:numId w:val="27"/>
        </w:numPr>
        <w:spacing w:after="240"/>
        <w:rPr>
          <w:rFonts w:cs="Arial"/>
        </w:rPr>
      </w:pPr>
      <w:r w:rsidRPr="0013449E">
        <w:rPr>
          <w:rFonts w:cs="Arial"/>
        </w:rPr>
        <w:t>“Residual gain” is the difference between a student’s predicted test score and actual test score. Note: The predicted test score is based on both prior English Language Arts/Literature (ELA) and mathematics test scores, as well as the scores of all other students in the same grade.</w:t>
      </w:r>
    </w:p>
    <w:p w14:paraId="7622906B" w14:textId="77777777" w:rsidR="00125B08" w:rsidRPr="00E62CB3" w:rsidRDefault="00125B08" w:rsidP="00125B08">
      <w:pPr>
        <w:spacing w:before="240" w:after="240"/>
        <w:rPr>
          <w:rFonts w:cs="Arial"/>
          <w:color w:val="000000"/>
        </w:rPr>
      </w:pPr>
      <w:r w:rsidRPr="2DCAAA1E">
        <w:rPr>
          <w:rFonts w:cs="Arial"/>
        </w:rPr>
        <w:t xml:space="preserve">The SBE directed the CDE to further explore the RG model. </w:t>
      </w:r>
      <w:r w:rsidRPr="2DCAAA1E">
        <w:rPr>
          <w:rFonts w:eastAsia="Arial" w:cs="Arial"/>
        </w:rPr>
        <w:t xml:space="preserve">The CDE engaged the CCC to conduct this research and to facilitate a stakeholder process on the future direction of this work. The CCC contracted with the National Center for Improvement of Education Assessment for Joseph Martineau to facilitate the discussion on various growth models and the issues that each of these models raises. </w:t>
      </w:r>
      <w:r w:rsidRPr="2DCAAA1E">
        <w:rPr>
          <w:rFonts w:cs="Arial"/>
        </w:rPr>
        <w:t xml:space="preserve">The CDE is committed to continuing to advance the development of the student growth model, even as in-person meetings have been temporarily been suspended. Since it last reported to the SBE, in May 2020, it has facilitated in-depth conversations with the Growth Model Stakeholder group, via virtual meetings, on the newly proposed methodology to improve the stability of the RG model.  </w:t>
      </w:r>
    </w:p>
    <w:p w14:paraId="270B51A8" w14:textId="77777777" w:rsidR="00125B08" w:rsidRPr="00727121" w:rsidRDefault="00125B08" w:rsidP="00125B08">
      <w:pPr>
        <w:pStyle w:val="Heading2"/>
        <w:spacing w:before="0" w:after="240"/>
        <w:rPr>
          <w:sz w:val="36"/>
          <w:szCs w:val="36"/>
        </w:rPr>
      </w:pPr>
      <w:r w:rsidRPr="00727121">
        <w:rPr>
          <w:sz w:val="36"/>
          <w:szCs w:val="36"/>
        </w:rPr>
        <w:t>Summary of Previous State Board of Education Discussion and Action</w:t>
      </w:r>
    </w:p>
    <w:p w14:paraId="78486C60" w14:textId="77777777" w:rsidR="00125B08" w:rsidRPr="00A7095D" w:rsidRDefault="00125B08" w:rsidP="00125B08">
      <w:pPr>
        <w:spacing w:after="240"/>
        <w:rPr>
          <w:rFonts w:cs="Arial"/>
        </w:rPr>
      </w:pPr>
      <w:r w:rsidRPr="00A7095D">
        <w:rPr>
          <w:rFonts w:cs="Arial"/>
        </w:rPr>
        <w:t>In a June 2016 Information Memorandum, the CDE provided a progress update and clarified key issues related to the design of a school- and district-level accountability model, as opposed to reporting individual student-level growth and performance (</w:t>
      </w:r>
      <w:hyperlink r:id="rId15" w:tooltip="State Board of Education June 2016 Information Memorandum" w:history="1">
        <w:r w:rsidRPr="00A7095D">
          <w:rPr>
            <w:rFonts w:cs="Arial"/>
            <w:color w:val="0000FF"/>
            <w:u w:val="single"/>
          </w:rPr>
          <w:t>https://www.cde.ca.gov/be/pn/im/documents/memo-dsib-amard-jun16item01.doc</w:t>
        </w:r>
      </w:hyperlink>
      <w:r w:rsidRPr="00A7095D">
        <w:rPr>
          <w:rFonts w:cs="Arial"/>
          <w:color w:val="0000FF"/>
          <w:u w:val="single"/>
        </w:rPr>
        <w:t>).</w:t>
      </w:r>
    </w:p>
    <w:p w14:paraId="0D72909F" w14:textId="77777777" w:rsidR="00125B08" w:rsidRPr="00A7095D" w:rsidRDefault="00125B08" w:rsidP="00125B08">
      <w:pPr>
        <w:spacing w:after="240"/>
        <w:rPr>
          <w:rFonts w:cs="Arial"/>
        </w:rPr>
      </w:pPr>
      <w:r w:rsidRPr="00A7095D">
        <w:rPr>
          <w:rFonts w:cs="Arial"/>
        </w:rPr>
        <w:t>In February 2016, the SBE received an Information Memorandum that provided an overview of student-level growth models that can be used to communicate Smarter Balanced Summative Assessment results (</w:t>
      </w:r>
      <w:hyperlink r:id="rId16" w:tooltip="State Board of Education February 2016 Information Memorandum" w:history="1">
        <w:r w:rsidRPr="00A7095D">
          <w:rPr>
            <w:rFonts w:cs="Arial"/>
            <w:color w:val="0000FF"/>
            <w:u w:val="single"/>
          </w:rPr>
          <w:t>https://www.cde.ca.gov/be/pn/im/documents/memo-dsib-amard-feb16item01.doc</w:t>
        </w:r>
      </w:hyperlink>
      <w:r w:rsidRPr="00A7095D">
        <w:rPr>
          <w:rFonts w:cs="Arial"/>
        </w:rPr>
        <w:t>).</w:t>
      </w:r>
    </w:p>
    <w:p w14:paraId="7F22CD0B" w14:textId="77777777" w:rsidR="00125B08" w:rsidRPr="00A7095D" w:rsidRDefault="00125B08" w:rsidP="00125B08">
      <w:pPr>
        <w:spacing w:after="240"/>
        <w:rPr>
          <w:rFonts w:cs="Arial"/>
        </w:rPr>
      </w:pPr>
      <w:r w:rsidRPr="00A7095D">
        <w:rPr>
          <w:rFonts w:cs="Arial"/>
        </w:rPr>
        <w:t>In January 2017, the SBE discussed criteria for selecting a growth model used for school and district accountability (</w:t>
      </w:r>
      <w:hyperlink r:id="rId17" w:tooltip="State Board of Education January 2017 Meeting Item 02" w:history="1">
        <w:r w:rsidRPr="00A7095D">
          <w:rPr>
            <w:rFonts w:cs="Arial"/>
            <w:color w:val="0000FF"/>
            <w:u w:val="single"/>
          </w:rPr>
          <w:t>https://www.cde.ca.gov/be/ag/ag/yr17/documents/jan17item02.doc</w:t>
        </w:r>
      </w:hyperlink>
      <w:r w:rsidRPr="00A7095D">
        <w:rPr>
          <w:rFonts w:cs="Arial"/>
        </w:rPr>
        <w:t>).</w:t>
      </w:r>
    </w:p>
    <w:p w14:paraId="7521226B" w14:textId="3539584A" w:rsidR="00125B08" w:rsidRPr="00A7095D" w:rsidRDefault="00125B08" w:rsidP="00125B08">
      <w:pPr>
        <w:spacing w:after="240"/>
        <w:rPr>
          <w:rFonts w:cs="Arial"/>
        </w:rPr>
      </w:pPr>
      <w:r w:rsidRPr="2DCAAA1E">
        <w:rPr>
          <w:rFonts w:cs="Arial"/>
        </w:rPr>
        <w:t>Following the SBE discussion in January 2017, the CDE further consulted with ETS, the Technical Advisory Group (TDG), the California Assessment of Student Performance and Progress (CAASPP) Technical Advisory Group (TAG), and the Statewide Assessment Stakeholder Group, regarding potential growth models. Three models were selected for simulation. The discussion and recommendations of the groups were summarized and presented to the SBE in a June 2017 Information Memorandum (</w:t>
      </w:r>
      <w:hyperlink r:id="rId18" w:tooltip="ADAD Memo June 2017">
        <w:r w:rsidRPr="2DCAAA1E">
          <w:rPr>
            <w:rFonts w:cs="Arial"/>
            <w:color w:val="0000FF"/>
            <w:u w:val="single"/>
          </w:rPr>
          <w:t>https://www.cde.ca.gov/be/pn/im/documents/memo-asb-adad-jun17item03.doc</w:t>
        </w:r>
      </w:hyperlink>
      <w:r w:rsidRPr="2DCAAA1E">
        <w:rPr>
          <w:rFonts w:cs="Arial"/>
        </w:rPr>
        <w:t>).</w:t>
      </w:r>
    </w:p>
    <w:p w14:paraId="133253CB" w14:textId="77777777" w:rsidR="00125B08" w:rsidRPr="00A7095D" w:rsidRDefault="00125B08" w:rsidP="00125B08">
      <w:pPr>
        <w:spacing w:after="240"/>
        <w:rPr>
          <w:rFonts w:cs="Arial"/>
        </w:rPr>
      </w:pPr>
      <w:r w:rsidRPr="00A7095D">
        <w:rPr>
          <w:rFonts w:cs="Arial"/>
        </w:rPr>
        <w:t xml:space="preserve">In February 2018, the SBE received an Information Memorandum with the results of the ETS Growth Study, which provided a statistical analysis of three proposed growth </w:t>
      </w:r>
      <w:r w:rsidRPr="00A7095D">
        <w:rPr>
          <w:rFonts w:cs="Arial"/>
        </w:rPr>
        <w:lastRenderedPageBreak/>
        <w:t>models (</w:t>
      </w:r>
      <w:hyperlink r:id="rId19" w:tooltip="SBE Feb 2018 AMARD Memo" w:history="1">
        <w:r w:rsidRPr="00A7095D">
          <w:rPr>
            <w:rStyle w:val="Hyperlink"/>
            <w:rFonts w:cs="Arial"/>
          </w:rPr>
          <w:t>https://www.cde.ca.gov/be/pn/im/documents/memo-pptb-amard-feb18item01.docx</w:t>
        </w:r>
      </w:hyperlink>
      <w:r w:rsidRPr="00A7095D">
        <w:rPr>
          <w:rFonts w:cs="Arial"/>
        </w:rPr>
        <w:t>).</w:t>
      </w:r>
    </w:p>
    <w:p w14:paraId="0CC53C09" w14:textId="1D2F82DA" w:rsidR="00125B08" w:rsidRPr="00A7095D" w:rsidRDefault="00125B08" w:rsidP="00125B08">
      <w:pPr>
        <w:spacing w:after="240"/>
        <w:rPr>
          <w:rFonts w:cs="Arial"/>
        </w:rPr>
      </w:pPr>
      <w:r w:rsidRPr="2DCAAA1E">
        <w:rPr>
          <w:rFonts w:cs="Arial"/>
        </w:rPr>
        <w:t>In May 2018, the SBE reviewed analyses of the three student-level growth models conducted by ETS and directed the CDE to further explore the RG model for possible inclusion in the Dashboard (</w:t>
      </w:r>
      <w:hyperlink r:id="rId20" w:tooltip="SBE May 2018 Item">
        <w:r w:rsidRPr="2DCAAA1E">
          <w:rPr>
            <w:rStyle w:val="Hyperlink"/>
            <w:rFonts w:cs="Arial"/>
          </w:rPr>
          <w:t>https://www.cde.ca.gov/be/ag/ag/yr18/documents/may18item02.docx</w:t>
        </w:r>
      </w:hyperlink>
      <w:r w:rsidRPr="2DCAAA1E">
        <w:rPr>
          <w:rFonts w:cs="Arial"/>
        </w:rPr>
        <w:t>).</w:t>
      </w:r>
    </w:p>
    <w:p w14:paraId="059CDBF9" w14:textId="2B43F0DA" w:rsidR="00125B08" w:rsidRPr="00A7095D" w:rsidRDefault="00125B08" w:rsidP="00125B08">
      <w:pPr>
        <w:spacing w:after="240"/>
        <w:rPr>
          <w:rFonts w:cs="Arial"/>
        </w:rPr>
      </w:pPr>
      <w:r w:rsidRPr="2DCAAA1E">
        <w:rPr>
          <w:rFonts w:cs="Arial"/>
        </w:rPr>
        <w:t>At its July 2018 meeting, the SBE directed the CDE to conduct further analyses on the RG model, including the impact of future years of assessment data, changes in the model to reduce year-to-year volatility, consideration of additional growth models or options, and an examination of growth models implemented in other states (</w:t>
      </w:r>
      <w:hyperlink r:id="rId21" w:tooltip="July 2018 item 01">
        <w:r w:rsidRPr="2DCAAA1E">
          <w:rPr>
            <w:rStyle w:val="Hyperlink"/>
            <w:rFonts w:cs="Arial"/>
          </w:rPr>
          <w:t>https://www.cde.ca.gov/be/ag/ag/yr18/documents/jul18item01.docx</w:t>
        </w:r>
      </w:hyperlink>
      <w:r w:rsidRPr="2DCAAA1E">
        <w:rPr>
          <w:rFonts w:cs="Arial"/>
        </w:rPr>
        <w:t>).</w:t>
      </w:r>
    </w:p>
    <w:p w14:paraId="6DAF837F" w14:textId="00190F62" w:rsidR="00125B08" w:rsidRPr="00A7095D" w:rsidRDefault="00125B08" w:rsidP="00125B08">
      <w:pPr>
        <w:spacing w:before="240"/>
        <w:rPr>
          <w:rFonts w:cs="Arial"/>
        </w:rPr>
      </w:pPr>
      <w:r w:rsidRPr="2DCAAA1E">
        <w:rPr>
          <w:rFonts w:cs="Arial"/>
          <w:color w:val="000000" w:themeColor="text1"/>
        </w:rPr>
        <w:t>The CDE engaged the CCC to conduct this research and facilitate a stakeholder process on the future direction of this work. In February 2019, the SBE received an Information Memorandum, providing a summary of the first Student Growth Model stakeholder meeting (</w:t>
      </w:r>
      <w:hyperlink r:id="rId22" w:tooltip="Memo Feb 2019 item 03 ">
        <w:r w:rsidRPr="2DCAAA1E">
          <w:rPr>
            <w:rStyle w:val="Hyperlink"/>
            <w:rFonts w:eastAsiaTheme="majorEastAsia" w:cs="Arial"/>
          </w:rPr>
          <w:t>https://www.cde.ca.gov/be/pn/im/documents/memo-pptb-amard-feb19item03.docx</w:t>
        </w:r>
      </w:hyperlink>
      <w:r w:rsidRPr="2DCAAA1E">
        <w:rPr>
          <w:rFonts w:cs="Arial"/>
          <w:color w:val="000000" w:themeColor="text1"/>
        </w:rPr>
        <w:t>).</w:t>
      </w:r>
    </w:p>
    <w:p w14:paraId="01548724" w14:textId="77777777" w:rsidR="00125B08" w:rsidRPr="00A7095D" w:rsidRDefault="00125B08" w:rsidP="00125B08">
      <w:pPr>
        <w:spacing w:before="240"/>
        <w:rPr>
          <w:rFonts w:cs="Arial"/>
          <w:color w:val="000000"/>
        </w:rPr>
      </w:pPr>
      <w:r w:rsidRPr="00A7095D">
        <w:rPr>
          <w:rFonts w:cs="Arial"/>
          <w:color w:val="000000"/>
        </w:rPr>
        <w:t>In April 2019, the SBE received an Information Memorandum, providing a summary of the second growth model stakeholder feedback group meeting (</w:t>
      </w:r>
      <w:hyperlink r:id="rId23" w:tooltip="April 2019 Information Memorandum" w:history="1">
        <w:r w:rsidRPr="00A7095D">
          <w:rPr>
            <w:rStyle w:val="Hyperlink"/>
            <w:rFonts w:cs="Arial"/>
          </w:rPr>
          <w:t>https://www.cde.ca.gov/be/pn/im/documents/memo-pptb-amard-apr19item02.docx</w:t>
        </w:r>
      </w:hyperlink>
      <w:r w:rsidRPr="00A7095D">
        <w:rPr>
          <w:rFonts w:cs="Arial"/>
          <w:color w:val="000000"/>
        </w:rPr>
        <w:t>).</w:t>
      </w:r>
    </w:p>
    <w:p w14:paraId="22D1280D" w14:textId="77777777" w:rsidR="00125B08" w:rsidRPr="00A7095D" w:rsidRDefault="00125B08" w:rsidP="00125B08">
      <w:pPr>
        <w:spacing w:before="240" w:after="240"/>
        <w:rPr>
          <w:rFonts w:cs="Arial"/>
          <w:color w:val="000000"/>
        </w:rPr>
      </w:pPr>
      <w:r w:rsidRPr="00A7095D">
        <w:rPr>
          <w:rFonts w:cs="Arial"/>
          <w:color w:val="000000"/>
        </w:rPr>
        <w:t>In November 2019, the SBE received an Information Memorandum, providing a summary of the growth model stakeholder feedback group process (</w:t>
      </w:r>
      <w:hyperlink r:id="rId24" w:tooltip="November 2019 Information Memorandum" w:history="1">
        <w:r w:rsidRPr="00A7095D">
          <w:rPr>
            <w:rStyle w:val="Hyperlink"/>
            <w:rFonts w:cs="Arial"/>
            <w:shd w:val="clear" w:color="auto" w:fill="FFFFFF"/>
          </w:rPr>
          <w:t>https://www.cde.ca.gov/be/pn/im/documents/nov19memoamard01.docx</w:t>
        </w:r>
      </w:hyperlink>
      <w:r w:rsidRPr="00A7095D">
        <w:rPr>
          <w:rFonts w:cs="Arial"/>
          <w:color w:val="000000"/>
        </w:rPr>
        <w:t>).</w:t>
      </w:r>
    </w:p>
    <w:p w14:paraId="38BC2A4F" w14:textId="6AAAC607" w:rsidR="00125B08" w:rsidRDefault="00125B08" w:rsidP="00062F52">
      <w:pPr>
        <w:spacing w:after="100" w:afterAutospacing="1"/>
        <w:rPr>
          <w:rFonts w:cs="Arial"/>
        </w:rPr>
      </w:pPr>
      <w:r w:rsidRPr="2DCAAA1E">
        <w:rPr>
          <w:rFonts w:cs="Arial"/>
          <w:color w:val="000000" w:themeColor="text1"/>
        </w:rPr>
        <w:t>At the March 2020 meeting, the SBE directed the CDE to provide a presentation at the May 2020 meeting regarding the work conducted to date on the development of a student-level growth model (</w:t>
      </w:r>
      <w:hyperlink r:id="rId25" w:tooltip="SBE March 20 item 05">
        <w:r w:rsidRPr="2DCAAA1E">
          <w:rPr>
            <w:rStyle w:val="Hyperlink"/>
            <w:rFonts w:cs="Arial"/>
          </w:rPr>
          <w:t>https://www.cde.ca.gov/be/ag/ag/yr20/documents/mar20item05.docx</w:t>
        </w:r>
      </w:hyperlink>
      <w:r w:rsidRPr="2DCAAA1E">
        <w:rPr>
          <w:rFonts w:cs="Arial"/>
        </w:rPr>
        <w:t>).</w:t>
      </w:r>
      <w:r w:rsidRPr="2DCAAA1E">
        <w:rPr>
          <w:rFonts w:cs="Arial"/>
          <w:color w:val="000000" w:themeColor="text1"/>
        </w:rPr>
        <w:t xml:space="preserve"> Due to the complexities of growth models, it can be difficult to conduct a meaningful virtual conversation. As a result, the CDE postponed the presentation until the July 2020 SBE meeting</w:t>
      </w:r>
      <w:r w:rsidR="00062F52">
        <w:rPr>
          <w:rFonts w:cs="Arial"/>
          <w:color w:val="000000" w:themeColor="text1"/>
        </w:rPr>
        <w:t>.</w:t>
      </w:r>
    </w:p>
    <w:p w14:paraId="25AFE5BA" w14:textId="7A7A8560" w:rsidR="00125B08" w:rsidRDefault="00125B08" w:rsidP="00125B08">
      <w:pPr>
        <w:spacing w:after="100" w:afterAutospacing="1"/>
        <w:rPr>
          <w:rFonts w:cs="Arial"/>
          <w:color w:val="000000"/>
        </w:rPr>
      </w:pPr>
      <w:r w:rsidRPr="5FDFACC0">
        <w:rPr>
          <w:rFonts w:cs="Arial"/>
          <w:color w:val="000000" w:themeColor="text1"/>
        </w:rPr>
        <w:t xml:space="preserve">In June 2020, the SBE received an Information Memorandum, providing a summary of the work completed to date on the student growth model, the major decision milestones that have advanced this work, and the work that the CDE and ETS are jointly engaged in as they move forward to refine the methodology. </w:t>
      </w:r>
      <w:r w:rsidRPr="00A414DB">
        <w:rPr>
          <w:rFonts w:cs="Arial"/>
          <w:color w:val="000000" w:themeColor="text1"/>
        </w:rPr>
        <w:t>(</w:t>
      </w:r>
      <w:hyperlink r:id="rId26" w:tooltip="June Memo 2020" w:history="1">
        <w:r w:rsidR="000C42B9" w:rsidRPr="00A414DB">
          <w:rPr>
            <w:rStyle w:val="Hyperlink"/>
            <w:rFonts w:cs="Arial"/>
          </w:rPr>
          <w:t>https://www.cde.ca.gov/be/pn/im/documents/memo-imb-amard-june20item01.docx</w:t>
        </w:r>
      </w:hyperlink>
      <w:r w:rsidR="000C42B9" w:rsidRPr="00A414DB">
        <w:rPr>
          <w:rFonts w:cs="Arial"/>
          <w:color w:val="000000" w:themeColor="text1"/>
        </w:rPr>
        <w:t>)</w:t>
      </w:r>
      <w:r w:rsidR="000C42B9">
        <w:rPr>
          <w:rFonts w:cs="Arial"/>
          <w:color w:val="000000" w:themeColor="text1"/>
        </w:rPr>
        <w:t xml:space="preserve"> </w:t>
      </w:r>
    </w:p>
    <w:p w14:paraId="680CDFEB" w14:textId="1B5CDE1B" w:rsidR="00125B08" w:rsidRPr="00727121" w:rsidRDefault="00727121" w:rsidP="00727121">
      <w:pPr>
        <w:pStyle w:val="Heading2"/>
        <w:spacing w:before="0" w:after="240"/>
        <w:rPr>
          <w:sz w:val="36"/>
          <w:szCs w:val="36"/>
        </w:rPr>
      </w:pPr>
      <w:r w:rsidRPr="00727121">
        <w:rPr>
          <w:sz w:val="36"/>
          <w:szCs w:val="36"/>
        </w:rPr>
        <w:t>Fiscal Analysis (as appropriate)</w:t>
      </w:r>
    </w:p>
    <w:p w14:paraId="2B30BFF4" w14:textId="42E97790" w:rsidR="00125B08" w:rsidRDefault="00125B08" w:rsidP="00125B08">
      <w:pPr>
        <w:spacing w:after="240"/>
        <w:rPr>
          <w:rFonts w:cs="Arial"/>
          <w:color w:val="000000" w:themeColor="text1"/>
        </w:rPr>
      </w:pPr>
      <w:r w:rsidRPr="2DCAAA1E">
        <w:rPr>
          <w:rFonts w:cs="Arial"/>
        </w:rPr>
        <w:t xml:space="preserve">The 2019–2020 state budget funds the Proposition 98 Minimum Guarantee at $81.1 billion. </w:t>
      </w:r>
      <w:r w:rsidRPr="2DCAAA1E">
        <w:rPr>
          <w:rFonts w:cs="Arial"/>
          <w:lang w:val="en"/>
        </w:rPr>
        <w:t>This reflects state funding of $55.9 billion and local funding of $25.2 billion, accountin</w:t>
      </w:r>
      <w:r w:rsidRPr="2DCAAA1E">
        <w:rPr>
          <w:rFonts w:cs="Arial"/>
          <w:color w:val="000000" w:themeColor="text1"/>
          <w:lang w:val="en"/>
        </w:rPr>
        <w:t xml:space="preserve">g for $11,993 in transitional kindergarten through grade twelve per-pupil </w:t>
      </w:r>
      <w:r w:rsidRPr="2DCAAA1E">
        <w:rPr>
          <w:rFonts w:cs="Arial"/>
          <w:color w:val="000000" w:themeColor="text1"/>
          <w:lang w:val="en"/>
        </w:rPr>
        <w:lastRenderedPageBreak/>
        <w:t xml:space="preserve">funding. </w:t>
      </w:r>
      <w:r w:rsidR="00767028">
        <w:rPr>
          <w:rFonts w:cs="Arial"/>
          <w:color w:val="000000" w:themeColor="text1"/>
          <w:lang w:val="en"/>
        </w:rPr>
        <w:t xml:space="preserve">Additionally, </w:t>
      </w:r>
      <w:proofErr w:type="spellStart"/>
      <w:r w:rsidR="00CC1ECF">
        <w:rPr>
          <w:rFonts w:cs="Arial"/>
          <w:color w:val="000000" w:themeColor="text1"/>
          <w:lang w:val="en"/>
        </w:rPr>
        <w:t>t</w:t>
      </w:r>
      <w:r w:rsidR="00CC1ECF">
        <w:rPr>
          <w:rFonts w:cs="Arial"/>
        </w:rPr>
        <w:t>he</w:t>
      </w:r>
      <w:proofErr w:type="spellEnd"/>
      <w:r w:rsidR="00767028">
        <w:rPr>
          <w:rFonts w:cs="Arial"/>
        </w:rPr>
        <w:t xml:space="preserve"> budget appropriated $178,000 for the CDE to contract with the SJ</w:t>
      </w:r>
      <w:r w:rsidR="003650B8">
        <w:rPr>
          <w:rFonts w:cs="Arial"/>
        </w:rPr>
        <w:t>C</w:t>
      </w:r>
      <w:r w:rsidR="00767028">
        <w:rPr>
          <w:rFonts w:cs="Arial"/>
        </w:rPr>
        <w:t>OE in the 2019–2020 fiscal year and $154,000 in each fiscal year thereafter for the maintenance and support of the Dashboard and the School Accountability Report Card.</w:t>
      </w:r>
    </w:p>
    <w:p w14:paraId="4642702F" w14:textId="24997313" w:rsidR="009B04E1" w:rsidRPr="00A62527" w:rsidRDefault="4F115A11" w:rsidP="1B6552B8">
      <w:pPr>
        <w:pStyle w:val="Heading2"/>
        <w:spacing w:before="0" w:after="240"/>
        <w:rPr>
          <w:sz w:val="36"/>
          <w:szCs w:val="36"/>
        </w:rPr>
      </w:pPr>
      <w:r w:rsidRPr="1B6552B8">
        <w:rPr>
          <w:sz w:val="36"/>
          <w:szCs w:val="36"/>
        </w:rPr>
        <w:t>Attachment(s)</w:t>
      </w:r>
    </w:p>
    <w:p w14:paraId="181BFB54" w14:textId="1989217E" w:rsidR="4F115A11" w:rsidRDefault="4F115A11" w:rsidP="1B6552B8">
      <w:r>
        <w:t>None.</w:t>
      </w:r>
    </w:p>
    <w:sectPr w:rsidR="4F115A11" w:rsidSect="00E7323A">
      <w:headerReference w:type="default" r:id="rId27"/>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0422B8" w14:textId="77777777" w:rsidR="00554DB5" w:rsidRDefault="00554DB5" w:rsidP="000E09DC">
      <w:r>
        <w:separator/>
      </w:r>
    </w:p>
  </w:endnote>
  <w:endnote w:type="continuationSeparator" w:id="0">
    <w:p w14:paraId="6F5D5C9F" w14:textId="77777777" w:rsidR="00554DB5" w:rsidRDefault="00554DB5" w:rsidP="000E09DC">
      <w:r>
        <w:continuationSeparator/>
      </w:r>
    </w:p>
  </w:endnote>
  <w:endnote w:type="continuationNotice" w:id="1">
    <w:p w14:paraId="6FDB9B60" w14:textId="77777777" w:rsidR="00554DB5" w:rsidRDefault="00554D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440A30" w14:textId="77777777" w:rsidR="00554DB5" w:rsidRDefault="00554DB5" w:rsidP="000E09DC">
      <w:r>
        <w:separator/>
      </w:r>
    </w:p>
  </w:footnote>
  <w:footnote w:type="continuationSeparator" w:id="0">
    <w:p w14:paraId="4921FCAD" w14:textId="77777777" w:rsidR="00554DB5" w:rsidRDefault="00554DB5" w:rsidP="000E09DC">
      <w:r>
        <w:continuationSeparator/>
      </w:r>
    </w:p>
  </w:footnote>
  <w:footnote w:type="continuationNotice" w:id="1">
    <w:p w14:paraId="3E3CB40D" w14:textId="77777777" w:rsidR="00554DB5" w:rsidRDefault="00554D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74885" w14:textId="77777777" w:rsidR="00D81216" w:rsidRPr="000E09DC" w:rsidRDefault="00D8121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73E601B0" w14:textId="77777777" w:rsidR="00D81216" w:rsidRDefault="00D81216"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59DBA1F1" w14:textId="77777777" w:rsidR="00D81216" w:rsidRPr="00527B0E" w:rsidRDefault="00D81216"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B3D26B" w14:textId="0AFCCA0D" w:rsidR="00D81216" w:rsidRDefault="00D81216" w:rsidP="005A0B39">
    <w:pPr>
      <w:jc w:val="right"/>
      <w:rPr>
        <w:rFonts w:cs="Arial"/>
        <w:color w:val="000000"/>
      </w:rPr>
    </w:pPr>
    <w:r>
      <w:rPr>
        <w:rFonts w:cs="Arial"/>
        <w:color w:val="000000"/>
      </w:rPr>
      <w:t>imb</w:t>
    </w:r>
    <w:r w:rsidRPr="0094206D">
      <w:rPr>
        <w:rFonts w:cs="Arial"/>
        <w:color w:val="000000"/>
      </w:rPr>
      <w:t>-amard-</w:t>
    </w:r>
    <w:r>
      <w:rPr>
        <w:rFonts w:cs="Arial"/>
        <w:color w:val="000000"/>
      </w:rPr>
      <w:t>jul20</w:t>
    </w:r>
    <w:r w:rsidRPr="0094206D">
      <w:rPr>
        <w:rFonts w:cs="Arial"/>
        <w:color w:val="000000"/>
      </w:rPr>
      <w:t>item0</w:t>
    </w:r>
    <w:r w:rsidR="000E2770">
      <w:rPr>
        <w:rFonts w:cs="Arial"/>
        <w:color w:val="000000"/>
      </w:rPr>
      <w:t>2</w:t>
    </w:r>
  </w:p>
  <w:p w14:paraId="1EE01AEF" w14:textId="262F45AA" w:rsidR="0021273D" w:rsidRPr="0021273D" w:rsidRDefault="0021273D" w:rsidP="005A0B39">
    <w:pPr>
      <w:jc w:val="right"/>
      <w:rPr>
        <w:rFonts w:cs="Arial"/>
        <w:color w:val="000000"/>
      </w:rPr>
    </w:pPr>
    <w:r w:rsidRPr="0021273D">
      <w:rPr>
        <w:rFonts w:cs="Arial"/>
        <w:color w:val="000000"/>
      </w:rPr>
      <w:t xml:space="preserve">Page </w:t>
    </w:r>
    <w:r w:rsidRPr="0021273D">
      <w:rPr>
        <w:rFonts w:cs="Arial"/>
        <w:bCs/>
        <w:color w:val="000000"/>
      </w:rPr>
      <w:fldChar w:fldCharType="begin"/>
    </w:r>
    <w:r w:rsidRPr="0021273D">
      <w:rPr>
        <w:rFonts w:cs="Arial"/>
        <w:bCs/>
        <w:color w:val="000000"/>
      </w:rPr>
      <w:instrText xml:space="preserve"> PAGE  \* Arabic  \* MERGEFORMAT </w:instrText>
    </w:r>
    <w:r w:rsidRPr="0021273D">
      <w:rPr>
        <w:rFonts w:cs="Arial"/>
        <w:bCs/>
        <w:color w:val="000000"/>
      </w:rPr>
      <w:fldChar w:fldCharType="separate"/>
    </w:r>
    <w:r w:rsidRPr="0021273D">
      <w:rPr>
        <w:rFonts w:cs="Arial"/>
        <w:bCs/>
        <w:noProof/>
        <w:color w:val="000000"/>
      </w:rPr>
      <w:t>1</w:t>
    </w:r>
    <w:r w:rsidRPr="0021273D">
      <w:rPr>
        <w:rFonts w:cs="Arial"/>
        <w:bCs/>
        <w:color w:val="000000"/>
      </w:rPr>
      <w:fldChar w:fldCharType="end"/>
    </w:r>
    <w:r w:rsidRPr="0021273D">
      <w:rPr>
        <w:rFonts w:cs="Arial"/>
        <w:color w:val="000000"/>
      </w:rPr>
      <w:t xml:space="preserve"> of </w:t>
    </w:r>
    <w:r w:rsidRPr="0021273D">
      <w:rPr>
        <w:rFonts w:cs="Arial"/>
        <w:bCs/>
        <w:color w:val="000000"/>
      </w:rPr>
      <w:fldChar w:fldCharType="begin"/>
    </w:r>
    <w:r w:rsidRPr="0021273D">
      <w:rPr>
        <w:rFonts w:cs="Arial"/>
        <w:bCs/>
        <w:color w:val="000000"/>
      </w:rPr>
      <w:instrText xml:space="preserve"> NUMPAGES  \* Arabic  \* MERGEFORMAT </w:instrText>
    </w:r>
    <w:r w:rsidRPr="0021273D">
      <w:rPr>
        <w:rFonts w:cs="Arial"/>
        <w:bCs/>
        <w:color w:val="000000"/>
      </w:rPr>
      <w:fldChar w:fldCharType="separate"/>
    </w:r>
    <w:r w:rsidRPr="0021273D">
      <w:rPr>
        <w:rFonts w:cs="Arial"/>
        <w:bCs/>
        <w:noProof/>
        <w:color w:val="000000"/>
      </w:rPr>
      <w:t>2</w:t>
    </w:r>
    <w:r w:rsidRPr="0021273D">
      <w:rPr>
        <w:rFonts w:cs="Arial"/>
        <w:bCs/>
        <w:color w:val="00000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17162"/>
    <w:multiLevelType w:val="hybridMultilevel"/>
    <w:tmpl w:val="54280096"/>
    <w:lvl w:ilvl="0" w:tplc="F1F25B7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CD1247"/>
    <w:multiLevelType w:val="hybridMultilevel"/>
    <w:tmpl w:val="D5D60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C81ED4"/>
    <w:multiLevelType w:val="hybridMultilevel"/>
    <w:tmpl w:val="DE90F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C51F3E"/>
    <w:multiLevelType w:val="hybridMultilevel"/>
    <w:tmpl w:val="65A00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AE18EB"/>
    <w:multiLevelType w:val="hybridMultilevel"/>
    <w:tmpl w:val="2084C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EB787E"/>
    <w:multiLevelType w:val="hybridMultilevel"/>
    <w:tmpl w:val="7200D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A3CB5"/>
    <w:multiLevelType w:val="hybridMultilevel"/>
    <w:tmpl w:val="6EA29D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813110A"/>
    <w:multiLevelType w:val="hybridMultilevel"/>
    <w:tmpl w:val="BEB2524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593125"/>
    <w:multiLevelType w:val="hybridMultilevel"/>
    <w:tmpl w:val="5AD658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FCC6310"/>
    <w:multiLevelType w:val="hybridMultilevel"/>
    <w:tmpl w:val="BD96DC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02643F"/>
    <w:multiLevelType w:val="hybridMultilevel"/>
    <w:tmpl w:val="2F5EB3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5582A32"/>
    <w:multiLevelType w:val="hybridMultilevel"/>
    <w:tmpl w:val="DBA255C2"/>
    <w:lvl w:ilvl="0" w:tplc="6DB0707E">
      <w:start w:val="1"/>
      <w:numFmt w:val="bullet"/>
      <w:lvlText w:val="•"/>
      <w:lvlJc w:val="left"/>
      <w:pPr>
        <w:tabs>
          <w:tab w:val="num" w:pos="720"/>
        </w:tabs>
        <w:ind w:left="720" w:hanging="360"/>
      </w:pPr>
      <w:rPr>
        <w:rFonts w:ascii="Arial" w:hAnsi="Arial" w:hint="default"/>
      </w:rPr>
    </w:lvl>
    <w:lvl w:ilvl="1" w:tplc="FAC03D70" w:tentative="1">
      <w:start w:val="1"/>
      <w:numFmt w:val="bullet"/>
      <w:lvlText w:val="•"/>
      <w:lvlJc w:val="left"/>
      <w:pPr>
        <w:tabs>
          <w:tab w:val="num" w:pos="1440"/>
        </w:tabs>
        <w:ind w:left="1440" w:hanging="360"/>
      </w:pPr>
      <w:rPr>
        <w:rFonts w:ascii="Arial" w:hAnsi="Arial" w:hint="default"/>
      </w:rPr>
    </w:lvl>
    <w:lvl w:ilvl="2" w:tplc="6E74C85C" w:tentative="1">
      <w:start w:val="1"/>
      <w:numFmt w:val="bullet"/>
      <w:lvlText w:val="•"/>
      <w:lvlJc w:val="left"/>
      <w:pPr>
        <w:tabs>
          <w:tab w:val="num" w:pos="2160"/>
        </w:tabs>
        <w:ind w:left="2160" w:hanging="360"/>
      </w:pPr>
      <w:rPr>
        <w:rFonts w:ascii="Arial" w:hAnsi="Arial" w:hint="default"/>
      </w:rPr>
    </w:lvl>
    <w:lvl w:ilvl="3" w:tplc="283CEEC6" w:tentative="1">
      <w:start w:val="1"/>
      <w:numFmt w:val="bullet"/>
      <w:lvlText w:val="•"/>
      <w:lvlJc w:val="left"/>
      <w:pPr>
        <w:tabs>
          <w:tab w:val="num" w:pos="2880"/>
        </w:tabs>
        <w:ind w:left="2880" w:hanging="360"/>
      </w:pPr>
      <w:rPr>
        <w:rFonts w:ascii="Arial" w:hAnsi="Arial" w:hint="default"/>
      </w:rPr>
    </w:lvl>
    <w:lvl w:ilvl="4" w:tplc="C6ECC01C" w:tentative="1">
      <w:start w:val="1"/>
      <w:numFmt w:val="bullet"/>
      <w:lvlText w:val="•"/>
      <w:lvlJc w:val="left"/>
      <w:pPr>
        <w:tabs>
          <w:tab w:val="num" w:pos="3600"/>
        </w:tabs>
        <w:ind w:left="3600" w:hanging="360"/>
      </w:pPr>
      <w:rPr>
        <w:rFonts w:ascii="Arial" w:hAnsi="Arial" w:hint="default"/>
      </w:rPr>
    </w:lvl>
    <w:lvl w:ilvl="5" w:tplc="6FFA53A0" w:tentative="1">
      <w:start w:val="1"/>
      <w:numFmt w:val="bullet"/>
      <w:lvlText w:val="•"/>
      <w:lvlJc w:val="left"/>
      <w:pPr>
        <w:tabs>
          <w:tab w:val="num" w:pos="4320"/>
        </w:tabs>
        <w:ind w:left="4320" w:hanging="360"/>
      </w:pPr>
      <w:rPr>
        <w:rFonts w:ascii="Arial" w:hAnsi="Arial" w:hint="default"/>
      </w:rPr>
    </w:lvl>
    <w:lvl w:ilvl="6" w:tplc="B0F89F3A" w:tentative="1">
      <w:start w:val="1"/>
      <w:numFmt w:val="bullet"/>
      <w:lvlText w:val="•"/>
      <w:lvlJc w:val="left"/>
      <w:pPr>
        <w:tabs>
          <w:tab w:val="num" w:pos="5040"/>
        </w:tabs>
        <w:ind w:left="5040" w:hanging="360"/>
      </w:pPr>
      <w:rPr>
        <w:rFonts w:ascii="Arial" w:hAnsi="Arial" w:hint="default"/>
      </w:rPr>
    </w:lvl>
    <w:lvl w:ilvl="7" w:tplc="E0001B12" w:tentative="1">
      <w:start w:val="1"/>
      <w:numFmt w:val="bullet"/>
      <w:lvlText w:val="•"/>
      <w:lvlJc w:val="left"/>
      <w:pPr>
        <w:tabs>
          <w:tab w:val="num" w:pos="5760"/>
        </w:tabs>
        <w:ind w:left="5760" w:hanging="360"/>
      </w:pPr>
      <w:rPr>
        <w:rFonts w:ascii="Arial" w:hAnsi="Arial" w:hint="default"/>
      </w:rPr>
    </w:lvl>
    <w:lvl w:ilvl="8" w:tplc="E8A6C3B2"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6D71D34"/>
    <w:multiLevelType w:val="hybridMultilevel"/>
    <w:tmpl w:val="14BE30E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39B10B89"/>
    <w:multiLevelType w:val="hybridMultilevel"/>
    <w:tmpl w:val="4AC02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D05E1F"/>
    <w:multiLevelType w:val="hybridMultilevel"/>
    <w:tmpl w:val="2858144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47205CDD"/>
    <w:multiLevelType w:val="hybridMultilevel"/>
    <w:tmpl w:val="A54E2B6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6" w15:restartNumberingAfterBreak="0">
    <w:nsid w:val="4AFF6599"/>
    <w:multiLevelType w:val="hybridMultilevel"/>
    <w:tmpl w:val="B13824F8"/>
    <w:lvl w:ilvl="0" w:tplc="B4524A16">
      <w:start w:val="1"/>
      <w:numFmt w:val="bullet"/>
      <w:lvlText w:val="•"/>
      <w:lvlJc w:val="left"/>
      <w:pPr>
        <w:tabs>
          <w:tab w:val="num" w:pos="720"/>
        </w:tabs>
        <w:ind w:left="720" w:hanging="360"/>
      </w:pPr>
      <w:rPr>
        <w:rFonts w:ascii="Arial" w:hAnsi="Arial" w:hint="default"/>
      </w:rPr>
    </w:lvl>
    <w:lvl w:ilvl="1" w:tplc="A4DC37DE" w:tentative="1">
      <w:start w:val="1"/>
      <w:numFmt w:val="bullet"/>
      <w:lvlText w:val="•"/>
      <w:lvlJc w:val="left"/>
      <w:pPr>
        <w:tabs>
          <w:tab w:val="num" w:pos="1440"/>
        </w:tabs>
        <w:ind w:left="1440" w:hanging="360"/>
      </w:pPr>
      <w:rPr>
        <w:rFonts w:ascii="Arial" w:hAnsi="Arial" w:hint="default"/>
      </w:rPr>
    </w:lvl>
    <w:lvl w:ilvl="2" w:tplc="AC444A3A" w:tentative="1">
      <w:start w:val="1"/>
      <w:numFmt w:val="bullet"/>
      <w:lvlText w:val="•"/>
      <w:lvlJc w:val="left"/>
      <w:pPr>
        <w:tabs>
          <w:tab w:val="num" w:pos="2160"/>
        </w:tabs>
        <w:ind w:left="2160" w:hanging="360"/>
      </w:pPr>
      <w:rPr>
        <w:rFonts w:ascii="Arial" w:hAnsi="Arial" w:hint="default"/>
      </w:rPr>
    </w:lvl>
    <w:lvl w:ilvl="3" w:tplc="DF7E6856" w:tentative="1">
      <w:start w:val="1"/>
      <w:numFmt w:val="bullet"/>
      <w:lvlText w:val="•"/>
      <w:lvlJc w:val="left"/>
      <w:pPr>
        <w:tabs>
          <w:tab w:val="num" w:pos="2880"/>
        </w:tabs>
        <w:ind w:left="2880" w:hanging="360"/>
      </w:pPr>
      <w:rPr>
        <w:rFonts w:ascii="Arial" w:hAnsi="Arial" w:hint="default"/>
      </w:rPr>
    </w:lvl>
    <w:lvl w:ilvl="4" w:tplc="03FEA764" w:tentative="1">
      <w:start w:val="1"/>
      <w:numFmt w:val="bullet"/>
      <w:lvlText w:val="•"/>
      <w:lvlJc w:val="left"/>
      <w:pPr>
        <w:tabs>
          <w:tab w:val="num" w:pos="3600"/>
        </w:tabs>
        <w:ind w:left="3600" w:hanging="360"/>
      </w:pPr>
      <w:rPr>
        <w:rFonts w:ascii="Arial" w:hAnsi="Arial" w:hint="default"/>
      </w:rPr>
    </w:lvl>
    <w:lvl w:ilvl="5" w:tplc="0FF461C2" w:tentative="1">
      <w:start w:val="1"/>
      <w:numFmt w:val="bullet"/>
      <w:lvlText w:val="•"/>
      <w:lvlJc w:val="left"/>
      <w:pPr>
        <w:tabs>
          <w:tab w:val="num" w:pos="4320"/>
        </w:tabs>
        <w:ind w:left="4320" w:hanging="360"/>
      </w:pPr>
      <w:rPr>
        <w:rFonts w:ascii="Arial" w:hAnsi="Arial" w:hint="default"/>
      </w:rPr>
    </w:lvl>
    <w:lvl w:ilvl="6" w:tplc="D56A014E" w:tentative="1">
      <w:start w:val="1"/>
      <w:numFmt w:val="bullet"/>
      <w:lvlText w:val="•"/>
      <w:lvlJc w:val="left"/>
      <w:pPr>
        <w:tabs>
          <w:tab w:val="num" w:pos="5040"/>
        </w:tabs>
        <w:ind w:left="5040" w:hanging="360"/>
      </w:pPr>
      <w:rPr>
        <w:rFonts w:ascii="Arial" w:hAnsi="Arial" w:hint="default"/>
      </w:rPr>
    </w:lvl>
    <w:lvl w:ilvl="7" w:tplc="7C24E298" w:tentative="1">
      <w:start w:val="1"/>
      <w:numFmt w:val="bullet"/>
      <w:lvlText w:val="•"/>
      <w:lvlJc w:val="left"/>
      <w:pPr>
        <w:tabs>
          <w:tab w:val="num" w:pos="5760"/>
        </w:tabs>
        <w:ind w:left="5760" w:hanging="360"/>
      </w:pPr>
      <w:rPr>
        <w:rFonts w:ascii="Arial" w:hAnsi="Arial" w:hint="default"/>
      </w:rPr>
    </w:lvl>
    <w:lvl w:ilvl="8" w:tplc="A754D57C"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4BF77518"/>
    <w:multiLevelType w:val="hybridMultilevel"/>
    <w:tmpl w:val="C3062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DE0A61"/>
    <w:multiLevelType w:val="hybridMultilevel"/>
    <w:tmpl w:val="D2768E4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B20988"/>
    <w:multiLevelType w:val="hybridMultilevel"/>
    <w:tmpl w:val="6938F7DC"/>
    <w:lvl w:ilvl="0" w:tplc="40BA7A5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C82ED2"/>
    <w:multiLevelType w:val="hybridMultilevel"/>
    <w:tmpl w:val="DEF62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C94AFF"/>
    <w:multiLevelType w:val="hybridMultilevel"/>
    <w:tmpl w:val="A07AF64A"/>
    <w:lvl w:ilvl="0" w:tplc="16E242E4">
      <w:start w:val="7"/>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F73889"/>
    <w:multiLevelType w:val="hybridMultilevel"/>
    <w:tmpl w:val="FDA401DC"/>
    <w:lvl w:ilvl="0" w:tplc="72361BE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487292"/>
    <w:multiLevelType w:val="hybridMultilevel"/>
    <w:tmpl w:val="3FE0E7A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4" w15:restartNumberingAfterBreak="0">
    <w:nsid w:val="76F43BA1"/>
    <w:multiLevelType w:val="hybridMultilevel"/>
    <w:tmpl w:val="C504A16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5" w15:restartNumberingAfterBreak="0">
    <w:nsid w:val="7BD5683A"/>
    <w:multiLevelType w:val="hybridMultilevel"/>
    <w:tmpl w:val="75DC1A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0"/>
  </w:num>
  <w:num w:numId="3">
    <w:abstractNumId w:val="18"/>
  </w:num>
  <w:num w:numId="4">
    <w:abstractNumId w:val="10"/>
  </w:num>
  <w:num w:numId="5">
    <w:abstractNumId w:val="8"/>
  </w:num>
  <w:num w:numId="6">
    <w:abstractNumId w:val="6"/>
  </w:num>
  <w:num w:numId="7">
    <w:abstractNumId w:val="15"/>
  </w:num>
  <w:num w:numId="8">
    <w:abstractNumId w:val="12"/>
  </w:num>
  <w:num w:numId="9">
    <w:abstractNumId w:val="23"/>
  </w:num>
  <w:num w:numId="10">
    <w:abstractNumId w:val="24"/>
  </w:num>
  <w:num w:numId="11">
    <w:abstractNumId w:val="8"/>
  </w:num>
  <w:num w:numId="12">
    <w:abstractNumId w:val="1"/>
  </w:num>
  <w:num w:numId="13">
    <w:abstractNumId w:val="14"/>
  </w:num>
  <w:num w:numId="14">
    <w:abstractNumId w:val="0"/>
  </w:num>
  <w:num w:numId="15">
    <w:abstractNumId w:val="9"/>
  </w:num>
  <w:num w:numId="16">
    <w:abstractNumId w:val="13"/>
  </w:num>
  <w:num w:numId="17">
    <w:abstractNumId w:val="16"/>
  </w:num>
  <w:num w:numId="18">
    <w:abstractNumId w:val="2"/>
  </w:num>
  <w:num w:numId="19">
    <w:abstractNumId w:val="17"/>
  </w:num>
  <w:num w:numId="20">
    <w:abstractNumId w:val="3"/>
  </w:num>
  <w:num w:numId="21">
    <w:abstractNumId w:val="25"/>
  </w:num>
  <w:num w:numId="22">
    <w:abstractNumId w:val="19"/>
  </w:num>
  <w:num w:numId="23">
    <w:abstractNumId w:val="21"/>
  </w:num>
  <w:num w:numId="24">
    <w:abstractNumId w:val="11"/>
  </w:num>
  <w:num w:numId="25">
    <w:abstractNumId w:val="4"/>
  </w:num>
  <w:num w:numId="26">
    <w:abstractNumId w:val="7"/>
  </w:num>
  <w:num w:numId="27">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M0tDA3NjUzNTY2NzZS0lEKTi0uzszPAykwrAUA/gJk8iwAAAA="/>
  </w:docVars>
  <w:rsids>
    <w:rsidRoot w:val="0091117B"/>
    <w:rsid w:val="00000460"/>
    <w:rsid w:val="00001853"/>
    <w:rsid w:val="00002B47"/>
    <w:rsid w:val="000040D5"/>
    <w:rsid w:val="00007CB6"/>
    <w:rsid w:val="0001016F"/>
    <w:rsid w:val="0001384A"/>
    <w:rsid w:val="00013DB3"/>
    <w:rsid w:val="00017ED3"/>
    <w:rsid w:val="00024E7E"/>
    <w:rsid w:val="00026482"/>
    <w:rsid w:val="00031995"/>
    <w:rsid w:val="00031FD4"/>
    <w:rsid w:val="000324AD"/>
    <w:rsid w:val="0003436B"/>
    <w:rsid w:val="00043708"/>
    <w:rsid w:val="00062F52"/>
    <w:rsid w:val="00067776"/>
    <w:rsid w:val="00075F6C"/>
    <w:rsid w:val="00086154"/>
    <w:rsid w:val="00086D1D"/>
    <w:rsid w:val="000901D2"/>
    <w:rsid w:val="00096B56"/>
    <w:rsid w:val="000A1355"/>
    <w:rsid w:val="000A13DB"/>
    <w:rsid w:val="000A324A"/>
    <w:rsid w:val="000B0963"/>
    <w:rsid w:val="000B1D6F"/>
    <w:rsid w:val="000B5803"/>
    <w:rsid w:val="000B5C90"/>
    <w:rsid w:val="000B78DE"/>
    <w:rsid w:val="000C1806"/>
    <w:rsid w:val="000C42B9"/>
    <w:rsid w:val="000C67C2"/>
    <w:rsid w:val="000D779A"/>
    <w:rsid w:val="000E09DC"/>
    <w:rsid w:val="000E0CF0"/>
    <w:rsid w:val="000E2770"/>
    <w:rsid w:val="000F0B28"/>
    <w:rsid w:val="00101694"/>
    <w:rsid w:val="0010457A"/>
    <w:rsid w:val="001048F3"/>
    <w:rsid w:val="0010763D"/>
    <w:rsid w:val="00110E56"/>
    <w:rsid w:val="00115638"/>
    <w:rsid w:val="001228D4"/>
    <w:rsid w:val="00125B08"/>
    <w:rsid w:val="001278E7"/>
    <w:rsid w:val="00130059"/>
    <w:rsid w:val="00130CA4"/>
    <w:rsid w:val="00132141"/>
    <w:rsid w:val="001321E9"/>
    <w:rsid w:val="00146CF2"/>
    <w:rsid w:val="0015255E"/>
    <w:rsid w:val="00176CB6"/>
    <w:rsid w:val="0018148D"/>
    <w:rsid w:val="00193CDB"/>
    <w:rsid w:val="00196062"/>
    <w:rsid w:val="001A0CA5"/>
    <w:rsid w:val="001A1C44"/>
    <w:rsid w:val="001B0517"/>
    <w:rsid w:val="001B3958"/>
    <w:rsid w:val="001B695E"/>
    <w:rsid w:val="001C7D6C"/>
    <w:rsid w:val="001D434D"/>
    <w:rsid w:val="001E1929"/>
    <w:rsid w:val="001E312E"/>
    <w:rsid w:val="001E75BD"/>
    <w:rsid w:val="001F0AB9"/>
    <w:rsid w:val="001F314A"/>
    <w:rsid w:val="001F31EB"/>
    <w:rsid w:val="001F64EB"/>
    <w:rsid w:val="00211579"/>
    <w:rsid w:val="0021197E"/>
    <w:rsid w:val="0021273D"/>
    <w:rsid w:val="002167BD"/>
    <w:rsid w:val="002176E3"/>
    <w:rsid w:val="00221577"/>
    <w:rsid w:val="00222C06"/>
    <w:rsid w:val="00223112"/>
    <w:rsid w:val="002273FB"/>
    <w:rsid w:val="00240B26"/>
    <w:rsid w:val="00243EA5"/>
    <w:rsid w:val="0024780F"/>
    <w:rsid w:val="00256586"/>
    <w:rsid w:val="0026333A"/>
    <w:rsid w:val="00266038"/>
    <w:rsid w:val="0026653B"/>
    <w:rsid w:val="0027017F"/>
    <w:rsid w:val="002745A3"/>
    <w:rsid w:val="00274878"/>
    <w:rsid w:val="00275A4E"/>
    <w:rsid w:val="00290C83"/>
    <w:rsid w:val="002A053E"/>
    <w:rsid w:val="002B4B14"/>
    <w:rsid w:val="002D1A82"/>
    <w:rsid w:val="002D2C70"/>
    <w:rsid w:val="002D4FB9"/>
    <w:rsid w:val="002D7FDB"/>
    <w:rsid w:val="002E4CB5"/>
    <w:rsid w:val="002E6FCA"/>
    <w:rsid w:val="002F0837"/>
    <w:rsid w:val="002F279B"/>
    <w:rsid w:val="002F2BEF"/>
    <w:rsid w:val="002F4EBC"/>
    <w:rsid w:val="00304FC8"/>
    <w:rsid w:val="00313B28"/>
    <w:rsid w:val="00315131"/>
    <w:rsid w:val="00317551"/>
    <w:rsid w:val="00321CC6"/>
    <w:rsid w:val="00325D13"/>
    <w:rsid w:val="003359E1"/>
    <w:rsid w:val="003360A4"/>
    <w:rsid w:val="00360A35"/>
    <w:rsid w:val="00363520"/>
    <w:rsid w:val="003650B8"/>
    <w:rsid w:val="00366F31"/>
    <w:rsid w:val="003705FC"/>
    <w:rsid w:val="00371CEC"/>
    <w:rsid w:val="00384ACF"/>
    <w:rsid w:val="00391965"/>
    <w:rsid w:val="003A0384"/>
    <w:rsid w:val="003A3D4A"/>
    <w:rsid w:val="003C0E7A"/>
    <w:rsid w:val="003C1B1D"/>
    <w:rsid w:val="003C1C5E"/>
    <w:rsid w:val="003C1D80"/>
    <w:rsid w:val="003D1ECD"/>
    <w:rsid w:val="003D218F"/>
    <w:rsid w:val="003D35B5"/>
    <w:rsid w:val="003D6337"/>
    <w:rsid w:val="003E0129"/>
    <w:rsid w:val="003E1E8D"/>
    <w:rsid w:val="003E2136"/>
    <w:rsid w:val="003E4C31"/>
    <w:rsid w:val="003E4DF7"/>
    <w:rsid w:val="003E5026"/>
    <w:rsid w:val="003F2F60"/>
    <w:rsid w:val="004068C3"/>
    <w:rsid w:val="00406F50"/>
    <w:rsid w:val="00407E9B"/>
    <w:rsid w:val="004174A8"/>
    <w:rsid w:val="004203BC"/>
    <w:rsid w:val="00420875"/>
    <w:rsid w:val="00421E92"/>
    <w:rsid w:val="00421F67"/>
    <w:rsid w:val="00445CA8"/>
    <w:rsid w:val="0044670C"/>
    <w:rsid w:val="004475F3"/>
    <w:rsid w:val="00451967"/>
    <w:rsid w:val="00471B27"/>
    <w:rsid w:val="00473BAA"/>
    <w:rsid w:val="0047534A"/>
    <w:rsid w:val="0048148B"/>
    <w:rsid w:val="00483BB9"/>
    <w:rsid w:val="00484B8E"/>
    <w:rsid w:val="0048732E"/>
    <w:rsid w:val="00487640"/>
    <w:rsid w:val="00495D4C"/>
    <w:rsid w:val="004972A7"/>
    <w:rsid w:val="004A0F53"/>
    <w:rsid w:val="004B016D"/>
    <w:rsid w:val="004B2116"/>
    <w:rsid w:val="004C64A6"/>
    <w:rsid w:val="004C6B75"/>
    <w:rsid w:val="004D0B22"/>
    <w:rsid w:val="004D341E"/>
    <w:rsid w:val="004D413C"/>
    <w:rsid w:val="004D515B"/>
    <w:rsid w:val="004D5AE8"/>
    <w:rsid w:val="004E029B"/>
    <w:rsid w:val="004E2E23"/>
    <w:rsid w:val="004E7EFA"/>
    <w:rsid w:val="004F09A1"/>
    <w:rsid w:val="004F2936"/>
    <w:rsid w:val="0050384E"/>
    <w:rsid w:val="005116DC"/>
    <w:rsid w:val="00517276"/>
    <w:rsid w:val="00517C00"/>
    <w:rsid w:val="0052274F"/>
    <w:rsid w:val="00527B0E"/>
    <w:rsid w:val="00527F3F"/>
    <w:rsid w:val="00537D43"/>
    <w:rsid w:val="0054655E"/>
    <w:rsid w:val="00554DB5"/>
    <w:rsid w:val="005553CF"/>
    <w:rsid w:val="005625FD"/>
    <w:rsid w:val="0056510B"/>
    <w:rsid w:val="00573033"/>
    <w:rsid w:val="00573D0C"/>
    <w:rsid w:val="00586580"/>
    <w:rsid w:val="005952CA"/>
    <w:rsid w:val="005A0B39"/>
    <w:rsid w:val="005A0E30"/>
    <w:rsid w:val="005A70EB"/>
    <w:rsid w:val="005A7AC1"/>
    <w:rsid w:val="005B0FDC"/>
    <w:rsid w:val="005B47B9"/>
    <w:rsid w:val="005C3C24"/>
    <w:rsid w:val="005C60FF"/>
    <w:rsid w:val="005D4E06"/>
    <w:rsid w:val="005D5D8F"/>
    <w:rsid w:val="005E54EB"/>
    <w:rsid w:val="005F155A"/>
    <w:rsid w:val="005F24B0"/>
    <w:rsid w:val="005F58E9"/>
    <w:rsid w:val="0060273F"/>
    <w:rsid w:val="006047F2"/>
    <w:rsid w:val="00604DA2"/>
    <w:rsid w:val="00611188"/>
    <w:rsid w:val="006133CB"/>
    <w:rsid w:val="006169F1"/>
    <w:rsid w:val="0062372C"/>
    <w:rsid w:val="0062687B"/>
    <w:rsid w:val="00640501"/>
    <w:rsid w:val="00641D67"/>
    <w:rsid w:val="00642858"/>
    <w:rsid w:val="0064562F"/>
    <w:rsid w:val="006479AB"/>
    <w:rsid w:val="006516C2"/>
    <w:rsid w:val="00653185"/>
    <w:rsid w:val="0065341B"/>
    <w:rsid w:val="006556A3"/>
    <w:rsid w:val="00657BDA"/>
    <w:rsid w:val="0066501C"/>
    <w:rsid w:val="00666216"/>
    <w:rsid w:val="00670C86"/>
    <w:rsid w:val="00684F6A"/>
    <w:rsid w:val="00692300"/>
    <w:rsid w:val="00693951"/>
    <w:rsid w:val="006A3107"/>
    <w:rsid w:val="006A3553"/>
    <w:rsid w:val="006B2111"/>
    <w:rsid w:val="006D0223"/>
    <w:rsid w:val="006E06C6"/>
    <w:rsid w:val="006E30E5"/>
    <w:rsid w:val="006E5AC7"/>
    <w:rsid w:val="006E5F9F"/>
    <w:rsid w:val="006F5EC8"/>
    <w:rsid w:val="00706C8A"/>
    <w:rsid w:val="00723771"/>
    <w:rsid w:val="00726BE2"/>
    <w:rsid w:val="00726EDA"/>
    <w:rsid w:val="00727121"/>
    <w:rsid w:val="0073058A"/>
    <w:rsid w:val="007313A3"/>
    <w:rsid w:val="007318F9"/>
    <w:rsid w:val="00735024"/>
    <w:rsid w:val="00740BEF"/>
    <w:rsid w:val="007428B8"/>
    <w:rsid w:val="007438D1"/>
    <w:rsid w:val="00746164"/>
    <w:rsid w:val="00753471"/>
    <w:rsid w:val="007535AC"/>
    <w:rsid w:val="007567D2"/>
    <w:rsid w:val="00767028"/>
    <w:rsid w:val="0076794C"/>
    <w:rsid w:val="00773AD7"/>
    <w:rsid w:val="00777A9C"/>
    <w:rsid w:val="00780BB6"/>
    <w:rsid w:val="007947C8"/>
    <w:rsid w:val="00796FA7"/>
    <w:rsid w:val="007A1E59"/>
    <w:rsid w:val="007B2070"/>
    <w:rsid w:val="007C3AD4"/>
    <w:rsid w:val="007C5697"/>
    <w:rsid w:val="007C59C2"/>
    <w:rsid w:val="007D01C9"/>
    <w:rsid w:val="007D0836"/>
    <w:rsid w:val="007D1221"/>
    <w:rsid w:val="007D2E7F"/>
    <w:rsid w:val="007D6A8F"/>
    <w:rsid w:val="007E3C2C"/>
    <w:rsid w:val="007E4BD6"/>
    <w:rsid w:val="007F0DB2"/>
    <w:rsid w:val="007F45D0"/>
    <w:rsid w:val="007F6C52"/>
    <w:rsid w:val="0080582D"/>
    <w:rsid w:val="0080625D"/>
    <w:rsid w:val="008111B5"/>
    <w:rsid w:val="008118F5"/>
    <w:rsid w:val="00820B71"/>
    <w:rsid w:val="008222B9"/>
    <w:rsid w:val="00827932"/>
    <w:rsid w:val="00832845"/>
    <w:rsid w:val="00833725"/>
    <w:rsid w:val="00836BBA"/>
    <w:rsid w:val="00841F27"/>
    <w:rsid w:val="0084221B"/>
    <w:rsid w:val="00844B00"/>
    <w:rsid w:val="00846ADC"/>
    <w:rsid w:val="00854E6D"/>
    <w:rsid w:val="00856CD0"/>
    <w:rsid w:val="008700C0"/>
    <w:rsid w:val="00873A70"/>
    <w:rsid w:val="00875AB3"/>
    <w:rsid w:val="00876FE9"/>
    <w:rsid w:val="00877B5B"/>
    <w:rsid w:val="008902DB"/>
    <w:rsid w:val="008909EE"/>
    <w:rsid w:val="0089190C"/>
    <w:rsid w:val="00892011"/>
    <w:rsid w:val="00893A69"/>
    <w:rsid w:val="008A65CA"/>
    <w:rsid w:val="008A6CA5"/>
    <w:rsid w:val="008B53F5"/>
    <w:rsid w:val="008C7BC6"/>
    <w:rsid w:val="008D0F2E"/>
    <w:rsid w:val="008E470D"/>
    <w:rsid w:val="00907E01"/>
    <w:rsid w:val="0091117B"/>
    <w:rsid w:val="009252A9"/>
    <w:rsid w:val="00926811"/>
    <w:rsid w:val="00954180"/>
    <w:rsid w:val="00954A22"/>
    <w:rsid w:val="00956DEE"/>
    <w:rsid w:val="00960CDA"/>
    <w:rsid w:val="00977F9E"/>
    <w:rsid w:val="0098418C"/>
    <w:rsid w:val="0099090E"/>
    <w:rsid w:val="009A2A4C"/>
    <w:rsid w:val="009A6925"/>
    <w:rsid w:val="009A767E"/>
    <w:rsid w:val="009B04E1"/>
    <w:rsid w:val="009B11CC"/>
    <w:rsid w:val="009B1659"/>
    <w:rsid w:val="009C5085"/>
    <w:rsid w:val="009D0208"/>
    <w:rsid w:val="009D5028"/>
    <w:rsid w:val="009D68EC"/>
    <w:rsid w:val="009D7335"/>
    <w:rsid w:val="009E56BD"/>
    <w:rsid w:val="00A037DB"/>
    <w:rsid w:val="00A07F42"/>
    <w:rsid w:val="00A117E9"/>
    <w:rsid w:val="00A13AE5"/>
    <w:rsid w:val="00A16315"/>
    <w:rsid w:val="00A16520"/>
    <w:rsid w:val="00A16C18"/>
    <w:rsid w:val="00A217A1"/>
    <w:rsid w:val="00A24AF4"/>
    <w:rsid w:val="00A30B3C"/>
    <w:rsid w:val="00A362FB"/>
    <w:rsid w:val="00A414DB"/>
    <w:rsid w:val="00A473AE"/>
    <w:rsid w:val="00A474FB"/>
    <w:rsid w:val="00A5331F"/>
    <w:rsid w:val="00A5691E"/>
    <w:rsid w:val="00A60106"/>
    <w:rsid w:val="00A608E5"/>
    <w:rsid w:val="00A62527"/>
    <w:rsid w:val="00A72D1E"/>
    <w:rsid w:val="00A81D24"/>
    <w:rsid w:val="00A90F49"/>
    <w:rsid w:val="00A92696"/>
    <w:rsid w:val="00A95541"/>
    <w:rsid w:val="00AA6AC8"/>
    <w:rsid w:val="00AC194A"/>
    <w:rsid w:val="00AC643F"/>
    <w:rsid w:val="00AD44F2"/>
    <w:rsid w:val="00AD4A3F"/>
    <w:rsid w:val="00AE2C8E"/>
    <w:rsid w:val="00AF102A"/>
    <w:rsid w:val="00AF11A7"/>
    <w:rsid w:val="00AF4200"/>
    <w:rsid w:val="00B04E03"/>
    <w:rsid w:val="00B108A5"/>
    <w:rsid w:val="00B213AB"/>
    <w:rsid w:val="00B323F8"/>
    <w:rsid w:val="00B32845"/>
    <w:rsid w:val="00B36C17"/>
    <w:rsid w:val="00B37020"/>
    <w:rsid w:val="00B51929"/>
    <w:rsid w:val="00B552C6"/>
    <w:rsid w:val="00B554B7"/>
    <w:rsid w:val="00B6549D"/>
    <w:rsid w:val="00B723BE"/>
    <w:rsid w:val="00B73105"/>
    <w:rsid w:val="00B82705"/>
    <w:rsid w:val="00B86286"/>
    <w:rsid w:val="00BA335D"/>
    <w:rsid w:val="00BA3F98"/>
    <w:rsid w:val="00BA5661"/>
    <w:rsid w:val="00BC2B40"/>
    <w:rsid w:val="00BC2FBE"/>
    <w:rsid w:val="00BD0396"/>
    <w:rsid w:val="00BD0ACF"/>
    <w:rsid w:val="00BD384B"/>
    <w:rsid w:val="00BD3DD2"/>
    <w:rsid w:val="00BD410B"/>
    <w:rsid w:val="00BE0133"/>
    <w:rsid w:val="00BE1EBE"/>
    <w:rsid w:val="00C01645"/>
    <w:rsid w:val="00C01B6F"/>
    <w:rsid w:val="00C0216F"/>
    <w:rsid w:val="00C12B78"/>
    <w:rsid w:val="00C12C6A"/>
    <w:rsid w:val="00C208CD"/>
    <w:rsid w:val="00C2482B"/>
    <w:rsid w:val="00C26CA1"/>
    <w:rsid w:val="00C27D57"/>
    <w:rsid w:val="00C30BE8"/>
    <w:rsid w:val="00C30C3B"/>
    <w:rsid w:val="00C358EB"/>
    <w:rsid w:val="00C425A0"/>
    <w:rsid w:val="00C453A6"/>
    <w:rsid w:val="00C519FF"/>
    <w:rsid w:val="00C55011"/>
    <w:rsid w:val="00C5788A"/>
    <w:rsid w:val="00C61BEF"/>
    <w:rsid w:val="00C66C37"/>
    <w:rsid w:val="00C70315"/>
    <w:rsid w:val="00C74865"/>
    <w:rsid w:val="00C76B84"/>
    <w:rsid w:val="00C82898"/>
    <w:rsid w:val="00C82CBA"/>
    <w:rsid w:val="00C82D8F"/>
    <w:rsid w:val="00C87338"/>
    <w:rsid w:val="00C91CF7"/>
    <w:rsid w:val="00C92E12"/>
    <w:rsid w:val="00C9636E"/>
    <w:rsid w:val="00C96B08"/>
    <w:rsid w:val="00CA1568"/>
    <w:rsid w:val="00CA51B2"/>
    <w:rsid w:val="00CC1ECF"/>
    <w:rsid w:val="00CC2039"/>
    <w:rsid w:val="00CC3D22"/>
    <w:rsid w:val="00CC4DA2"/>
    <w:rsid w:val="00CC5254"/>
    <w:rsid w:val="00CD0938"/>
    <w:rsid w:val="00CD0A29"/>
    <w:rsid w:val="00CD6839"/>
    <w:rsid w:val="00CE1C84"/>
    <w:rsid w:val="00CE2148"/>
    <w:rsid w:val="00CE2255"/>
    <w:rsid w:val="00D015EC"/>
    <w:rsid w:val="00D10292"/>
    <w:rsid w:val="00D21200"/>
    <w:rsid w:val="00D222CD"/>
    <w:rsid w:val="00D313A4"/>
    <w:rsid w:val="00D31530"/>
    <w:rsid w:val="00D32DBF"/>
    <w:rsid w:val="00D337AE"/>
    <w:rsid w:val="00D3667D"/>
    <w:rsid w:val="00D3692A"/>
    <w:rsid w:val="00D42B58"/>
    <w:rsid w:val="00D44115"/>
    <w:rsid w:val="00D478F1"/>
    <w:rsid w:val="00D47DAB"/>
    <w:rsid w:val="00D5115F"/>
    <w:rsid w:val="00D526EB"/>
    <w:rsid w:val="00D533D6"/>
    <w:rsid w:val="00D55843"/>
    <w:rsid w:val="00D56410"/>
    <w:rsid w:val="00D608E1"/>
    <w:rsid w:val="00D64A61"/>
    <w:rsid w:val="00D6794C"/>
    <w:rsid w:val="00D6799B"/>
    <w:rsid w:val="00D72272"/>
    <w:rsid w:val="00D768D1"/>
    <w:rsid w:val="00D81216"/>
    <w:rsid w:val="00D8667C"/>
    <w:rsid w:val="00D86AB9"/>
    <w:rsid w:val="00D92374"/>
    <w:rsid w:val="00D93826"/>
    <w:rsid w:val="00D953B6"/>
    <w:rsid w:val="00DA589A"/>
    <w:rsid w:val="00DB7673"/>
    <w:rsid w:val="00DC1000"/>
    <w:rsid w:val="00DD0770"/>
    <w:rsid w:val="00DD3075"/>
    <w:rsid w:val="00DD5B81"/>
    <w:rsid w:val="00DD63D1"/>
    <w:rsid w:val="00DD6D4E"/>
    <w:rsid w:val="00DE31B0"/>
    <w:rsid w:val="00DE50D2"/>
    <w:rsid w:val="00DF566D"/>
    <w:rsid w:val="00DF65DB"/>
    <w:rsid w:val="00DF7311"/>
    <w:rsid w:val="00E00DF8"/>
    <w:rsid w:val="00E049F5"/>
    <w:rsid w:val="00E05DE5"/>
    <w:rsid w:val="00E0613B"/>
    <w:rsid w:val="00E2174D"/>
    <w:rsid w:val="00E318E3"/>
    <w:rsid w:val="00E36178"/>
    <w:rsid w:val="00E41766"/>
    <w:rsid w:val="00E47232"/>
    <w:rsid w:val="00E55375"/>
    <w:rsid w:val="00E56166"/>
    <w:rsid w:val="00E56781"/>
    <w:rsid w:val="00E5740A"/>
    <w:rsid w:val="00E67745"/>
    <w:rsid w:val="00E7323A"/>
    <w:rsid w:val="00E802CE"/>
    <w:rsid w:val="00E94854"/>
    <w:rsid w:val="00EA1578"/>
    <w:rsid w:val="00EA3E3A"/>
    <w:rsid w:val="00EA4406"/>
    <w:rsid w:val="00EA7D4F"/>
    <w:rsid w:val="00EB16F7"/>
    <w:rsid w:val="00EB3795"/>
    <w:rsid w:val="00EC43E0"/>
    <w:rsid w:val="00EC463A"/>
    <w:rsid w:val="00EC504C"/>
    <w:rsid w:val="00EC6B6A"/>
    <w:rsid w:val="00ED40BC"/>
    <w:rsid w:val="00ED5711"/>
    <w:rsid w:val="00EE3336"/>
    <w:rsid w:val="00EE3E4F"/>
    <w:rsid w:val="00EE5118"/>
    <w:rsid w:val="00EF1F79"/>
    <w:rsid w:val="00EF651F"/>
    <w:rsid w:val="00EF73C1"/>
    <w:rsid w:val="00F05564"/>
    <w:rsid w:val="00F1274F"/>
    <w:rsid w:val="00F31A0A"/>
    <w:rsid w:val="00F31E79"/>
    <w:rsid w:val="00F346EB"/>
    <w:rsid w:val="00F40510"/>
    <w:rsid w:val="00F45177"/>
    <w:rsid w:val="00F61BB4"/>
    <w:rsid w:val="00F64964"/>
    <w:rsid w:val="00F65BE9"/>
    <w:rsid w:val="00F7728B"/>
    <w:rsid w:val="00F81347"/>
    <w:rsid w:val="00F93BF5"/>
    <w:rsid w:val="00F94358"/>
    <w:rsid w:val="00F9794B"/>
    <w:rsid w:val="00FB2D58"/>
    <w:rsid w:val="00FC1FCE"/>
    <w:rsid w:val="00FC7EAE"/>
    <w:rsid w:val="00FD1D1C"/>
    <w:rsid w:val="00FE2686"/>
    <w:rsid w:val="00FE3007"/>
    <w:rsid w:val="00FE4BD6"/>
    <w:rsid w:val="00FF0765"/>
    <w:rsid w:val="00FF07A6"/>
    <w:rsid w:val="00FF277C"/>
    <w:rsid w:val="00FF2F69"/>
    <w:rsid w:val="02BC3E09"/>
    <w:rsid w:val="055FB779"/>
    <w:rsid w:val="0642CF1A"/>
    <w:rsid w:val="0B1F33AD"/>
    <w:rsid w:val="0C79D8FE"/>
    <w:rsid w:val="136DEF2C"/>
    <w:rsid w:val="152B864E"/>
    <w:rsid w:val="1AC2A1E6"/>
    <w:rsid w:val="1B6552B8"/>
    <w:rsid w:val="1C3E3BF4"/>
    <w:rsid w:val="25169045"/>
    <w:rsid w:val="302EB874"/>
    <w:rsid w:val="31B52501"/>
    <w:rsid w:val="3A4779AF"/>
    <w:rsid w:val="3E36B3EF"/>
    <w:rsid w:val="4DD52AD3"/>
    <w:rsid w:val="4F115A11"/>
    <w:rsid w:val="4FD270ED"/>
    <w:rsid w:val="5464CC1C"/>
    <w:rsid w:val="561DADFC"/>
    <w:rsid w:val="56C126C0"/>
    <w:rsid w:val="586C581F"/>
    <w:rsid w:val="58AD51C9"/>
    <w:rsid w:val="5A0EC3E1"/>
    <w:rsid w:val="5BB34D4D"/>
    <w:rsid w:val="5E9F0864"/>
    <w:rsid w:val="5FDFACC0"/>
    <w:rsid w:val="64FEDBE2"/>
    <w:rsid w:val="6632FB23"/>
    <w:rsid w:val="6858D252"/>
    <w:rsid w:val="69BB8E32"/>
    <w:rsid w:val="6A2C7C2C"/>
    <w:rsid w:val="6A5E489B"/>
    <w:rsid w:val="7C6AAF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EE17FE"/>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character" w:customStyle="1" w:styleId="ListParagraphChar">
    <w:name w:val="List Paragraph Char"/>
    <w:aliases w:val="list Char"/>
    <w:basedOn w:val="DefaultParagraphFont"/>
    <w:link w:val="ListParagraph"/>
    <w:uiPriority w:val="34"/>
    <w:locked/>
    <w:rsid w:val="00820B71"/>
    <w:rPr>
      <w:rFonts w:ascii="Arial" w:eastAsia="Times New Roman" w:hAnsi="Arial" w:cs="Times New Roman"/>
      <w:sz w:val="24"/>
      <w:szCs w:val="24"/>
    </w:r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MessageHeader">
    <w:name w:val="Message Header"/>
    <w:basedOn w:val="Normal"/>
    <w:link w:val="MessageHeaderChar"/>
    <w:uiPriority w:val="99"/>
    <w:unhideWhenUsed/>
    <w:rsid w:val="00820B71"/>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820B71"/>
    <w:rPr>
      <w:rFonts w:ascii="Arial" w:eastAsiaTheme="majorEastAsia" w:hAnsi="Arial" w:cstheme="majorBidi"/>
      <w:sz w:val="24"/>
      <w:szCs w:val="24"/>
      <w:shd w:val="clear" w:color="auto" w:fill="FFFFFF" w:themeFill="background1"/>
    </w:rPr>
  </w:style>
  <w:style w:type="paragraph" w:styleId="FootnoteText">
    <w:name w:val="footnote text"/>
    <w:basedOn w:val="Normal"/>
    <w:link w:val="FootnoteTextChar"/>
    <w:uiPriority w:val="99"/>
    <w:unhideWhenUsed/>
    <w:rsid w:val="00FE2686"/>
    <w:rPr>
      <w:sz w:val="20"/>
      <w:szCs w:val="20"/>
    </w:rPr>
  </w:style>
  <w:style w:type="character" w:customStyle="1" w:styleId="FootnoteTextChar">
    <w:name w:val="Footnote Text Char"/>
    <w:basedOn w:val="DefaultParagraphFont"/>
    <w:link w:val="FootnoteText"/>
    <w:uiPriority w:val="99"/>
    <w:rsid w:val="00FE2686"/>
    <w:rPr>
      <w:rFonts w:ascii="Arial" w:eastAsia="Times New Roman" w:hAnsi="Arial" w:cs="Times New Roman"/>
      <w:sz w:val="20"/>
      <w:szCs w:val="20"/>
    </w:rPr>
  </w:style>
  <w:style w:type="character" w:styleId="FootnoteReference">
    <w:name w:val="footnote reference"/>
    <w:basedOn w:val="DefaultParagraphFont"/>
    <w:uiPriority w:val="99"/>
    <w:unhideWhenUsed/>
    <w:rsid w:val="00FE2686"/>
    <w:rPr>
      <w:vertAlign w:val="superscript"/>
    </w:rPr>
  </w:style>
  <w:style w:type="paragraph" w:styleId="NormalWeb">
    <w:name w:val="Normal (Web)"/>
    <w:basedOn w:val="Normal"/>
    <w:uiPriority w:val="99"/>
    <w:unhideWhenUsed/>
    <w:rsid w:val="00FE2686"/>
    <w:pPr>
      <w:spacing w:before="100" w:beforeAutospacing="1" w:after="100" w:afterAutospacing="1"/>
    </w:pPr>
    <w:rPr>
      <w:rFonts w:ascii="Times New Roman" w:eastAsiaTheme="minorEastAsia" w:hAnsi="Times New Roman"/>
    </w:rPr>
  </w:style>
  <w:style w:type="table" w:styleId="TableGrid">
    <w:name w:val="Table Grid"/>
    <w:basedOn w:val="TableNormal"/>
    <w:uiPriority w:val="39"/>
    <w:rsid w:val="00C82D8F"/>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0625D"/>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24780F"/>
    <w:rPr>
      <w:color w:val="954F72" w:themeColor="followedHyperlink"/>
      <w:u w:val="single"/>
    </w:rPr>
  </w:style>
  <w:style w:type="character" w:styleId="CommentReference">
    <w:name w:val="annotation reference"/>
    <w:basedOn w:val="DefaultParagraphFont"/>
    <w:uiPriority w:val="99"/>
    <w:semiHidden/>
    <w:unhideWhenUsed/>
    <w:rsid w:val="00A037DB"/>
    <w:rPr>
      <w:sz w:val="16"/>
      <w:szCs w:val="16"/>
    </w:rPr>
  </w:style>
  <w:style w:type="paragraph" w:styleId="CommentText">
    <w:name w:val="annotation text"/>
    <w:basedOn w:val="Normal"/>
    <w:link w:val="CommentTextChar"/>
    <w:uiPriority w:val="99"/>
    <w:unhideWhenUsed/>
    <w:rsid w:val="00A037DB"/>
    <w:rPr>
      <w:sz w:val="20"/>
      <w:szCs w:val="20"/>
    </w:rPr>
  </w:style>
  <w:style w:type="character" w:customStyle="1" w:styleId="CommentTextChar">
    <w:name w:val="Comment Text Char"/>
    <w:basedOn w:val="DefaultParagraphFont"/>
    <w:link w:val="CommentText"/>
    <w:uiPriority w:val="99"/>
    <w:rsid w:val="00A037DB"/>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037DB"/>
    <w:rPr>
      <w:b/>
      <w:bCs/>
    </w:rPr>
  </w:style>
  <w:style w:type="character" w:customStyle="1" w:styleId="CommentSubjectChar">
    <w:name w:val="Comment Subject Char"/>
    <w:basedOn w:val="CommentTextChar"/>
    <w:link w:val="CommentSubject"/>
    <w:uiPriority w:val="99"/>
    <w:semiHidden/>
    <w:rsid w:val="00A037DB"/>
    <w:rPr>
      <w:rFonts w:ascii="Arial" w:eastAsia="Times New Roman" w:hAnsi="Arial" w:cs="Times New Roman"/>
      <w:b/>
      <w:bCs/>
      <w:sz w:val="20"/>
      <w:szCs w:val="20"/>
    </w:rPr>
  </w:style>
  <w:style w:type="paragraph" w:customStyle="1" w:styleId="Field1">
    <w:name w:val="Field 1"/>
    <w:basedOn w:val="ListParagraph"/>
    <w:link w:val="Field1Char"/>
    <w:qFormat/>
    <w:rsid w:val="00451967"/>
    <w:pPr>
      <w:pBdr>
        <w:top w:val="single" w:sz="4" w:space="8" w:color="95B3D7"/>
        <w:left w:val="single" w:sz="4" w:space="4" w:color="95B3D7"/>
        <w:bottom w:val="single" w:sz="4" w:space="8" w:color="95B3D7"/>
        <w:right w:val="single" w:sz="4" w:space="4" w:color="95B3D7"/>
      </w:pBdr>
      <w:shd w:val="clear" w:color="auto" w:fill="D9E2F3"/>
      <w:spacing w:before="120"/>
      <w:ind w:left="360"/>
    </w:pPr>
    <w:rPr>
      <w:color w:val="000000"/>
      <w:szCs w:val="21"/>
      <w:lang w:val="en"/>
    </w:rPr>
  </w:style>
  <w:style w:type="character" w:customStyle="1" w:styleId="Field1Char">
    <w:name w:val="Field 1 Char"/>
    <w:basedOn w:val="ListParagraphChar"/>
    <w:link w:val="Field1"/>
    <w:rsid w:val="00451967"/>
    <w:rPr>
      <w:rFonts w:ascii="Arial" w:eastAsia="Times New Roman" w:hAnsi="Arial" w:cs="Times New Roman"/>
      <w:color w:val="000000"/>
      <w:sz w:val="24"/>
      <w:szCs w:val="21"/>
      <w:shd w:val="clear" w:color="auto" w:fill="D9E2F3"/>
      <w:lang w:val="en"/>
    </w:rPr>
  </w:style>
  <w:style w:type="character" w:styleId="Strong">
    <w:name w:val="Strong"/>
    <w:basedOn w:val="DefaultParagraphFont"/>
    <w:uiPriority w:val="22"/>
    <w:qFormat/>
    <w:rsid w:val="00D31530"/>
    <w:rPr>
      <w:b/>
      <w:bCs/>
    </w:rPr>
  </w:style>
  <w:style w:type="character" w:customStyle="1" w:styleId="apple-converted-space">
    <w:name w:val="apple-converted-space"/>
    <w:rsid w:val="00D31530"/>
  </w:style>
  <w:style w:type="paragraph" w:styleId="BodyText">
    <w:name w:val="Body Text"/>
    <w:basedOn w:val="Normal"/>
    <w:link w:val="BodyTextChar"/>
    <w:rsid w:val="00D31530"/>
    <w:pPr>
      <w:spacing w:after="120"/>
    </w:pPr>
  </w:style>
  <w:style w:type="character" w:customStyle="1" w:styleId="BodyTextChar">
    <w:name w:val="Body Text Char"/>
    <w:basedOn w:val="DefaultParagraphFont"/>
    <w:link w:val="BodyText"/>
    <w:rsid w:val="00D31530"/>
    <w:rPr>
      <w:rFonts w:ascii="Arial" w:eastAsia="Times New Roman" w:hAnsi="Arial" w:cs="Times New Roman"/>
      <w:sz w:val="24"/>
      <w:szCs w:val="24"/>
    </w:rPr>
  </w:style>
  <w:style w:type="character" w:customStyle="1" w:styleId="normalchar1">
    <w:name w:val="normal__char1"/>
    <w:rsid w:val="00D31530"/>
    <w:rPr>
      <w:rFonts w:ascii="Arial" w:hAnsi="Arial" w:cs="Arial" w:hint="default"/>
      <w:strike w:val="0"/>
      <w:dstrike w:val="0"/>
      <w:sz w:val="20"/>
      <w:szCs w:val="20"/>
      <w:u w:val="none"/>
      <w:effect w:val="none"/>
    </w:rPr>
  </w:style>
  <w:style w:type="table" w:customStyle="1" w:styleId="TableGrid1">
    <w:name w:val="Table Grid1"/>
    <w:basedOn w:val="TableNormal"/>
    <w:next w:val="TableGrid"/>
    <w:uiPriority w:val="39"/>
    <w:rsid w:val="00D31530"/>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lfuvd">
    <w:name w:val="ilfuvd"/>
    <w:basedOn w:val="DefaultParagraphFont"/>
    <w:rsid w:val="00D31530"/>
  </w:style>
  <w:style w:type="character" w:customStyle="1" w:styleId="EndnoteTextChar">
    <w:name w:val="Endnote Text Char"/>
    <w:basedOn w:val="DefaultParagraphFont"/>
    <w:link w:val="EndnoteText"/>
    <w:uiPriority w:val="99"/>
    <w:semiHidden/>
    <w:rsid w:val="00D31530"/>
    <w:rPr>
      <w:rFonts w:ascii="Arial" w:eastAsia="Times New Roman" w:hAnsi="Arial" w:cs="Times New Roman"/>
      <w:sz w:val="20"/>
      <w:szCs w:val="20"/>
    </w:rPr>
  </w:style>
  <w:style w:type="paragraph" w:styleId="EndnoteText">
    <w:name w:val="endnote text"/>
    <w:basedOn w:val="Normal"/>
    <w:link w:val="EndnoteTextChar"/>
    <w:uiPriority w:val="99"/>
    <w:semiHidden/>
    <w:unhideWhenUsed/>
    <w:rsid w:val="00D31530"/>
    <w:rPr>
      <w:sz w:val="20"/>
      <w:szCs w:val="20"/>
    </w:rPr>
  </w:style>
  <w:style w:type="character" w:styleId="LineNumber">
    <w:name w:val="line number"/>
    <w:basedOn w:val="DefaultParagraphFont"/>
    <w:uiPriority w:val="99"/>
    <w:semiHidden/>
    <w:unhideWhenUsed/>
    <w:rsid w:val="00D72272"/>
  </w:style>
  <w:style w:type="character" w:customStyle="1" w:styleId="UnresolvedMention1">
    <w:name w:val="Unresolved Mention1"/>
    <w:basedOn w:val="DefaultParagraphFont"/>
    <w:uiPriority w:val="99"/>
    <w:semiHidden/>
    <w:unhideWhenUsed/>
    <w:rsid w:val="0056510B"/>
    <w:rPr>
      <w:color w:val="605E5C"/>
      <w:shd w:val="clear" w:color="auto" w:fill="E1DFDD"/>
    </w:rPr>
  </w:style>
  <w:style w:type="character" w:customStyle="1" w:styleId="UnresolvedMention2">
    <w:name w:val="Unresolved Mention2"/>
    <w:basedOn w:val="DefaultParagraphFont"/>
    <w:uiPriority w:val="99"/>
    <w:semiHidden/>
    <w:unhideWhenUsed/>
    <w:rsid w:val="00846ADC"/>
    <w:rPr>
      <w:color w:val="605E5C"/>
      <w:shd w:val="clear" w:color="auto" w:fill="E1DFDD"/>
    </w:rPr>
  </w:style>
  <w:style w:type="character" w:customStyle="1" w:styleId="UnresolvedMention3">
    <w:name w:val="Unresolved Mention3"/>
    <w:basedOn w:val="DefaultParagraphFont"/>
    <w:uiPriority w:val="99"/>
    <w:semiHidden/>
    <w:unhideWhenUsed/>
    <w:rsid w:val="000C42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87613">
      <w:bodyDiv w:val="1"/>
      <w:marLeft w:val="0"/>
      <w:marRight w:val="0"/>
      <w:marTop w:val="0"/>
      <w:marBottom w:val="0"/>
      <w:divBdr>
        <w:top w:val="none" w:sz="0" w:space="0" w:color="auto"/>
        <w:left w:val="none" w:sz="0" w:space="0" w:color="auto"/>
        <w:bottom w:val="none" w:sz="0" w:space="0" w:color="auto"/>
        <w:right w:val="none" w:sz="0" w:space="0" w:color="auto"/>
      </w:divBdr>
    </w:div>
    <w:div w:id="41951780">
      <w:bodyDiv w:val="1"/>
      <w:marLeft w:val="0"/>
      <w:marRight w:val="0"/>
      <w:marTop w:val="0"/>
      <w:marBottom w:val="0"/>
      <w:divBdr>
        <w:top w:val="none" w:sz="0" w:space="0" w:color="auto"/>
        <w:left w:val="none" w:sz="0" w:space="0" w:color="auto"/>
        <w:bottom w:val="none" w:sz="0" w:space="0" w:color="auto"/>
        <w:right w:val="none" w:sz="0" w:space="0" w:color="auto"/>
      </w:divBdr>
    </w:div>
    <w:div w:id="62068094">
      <w:bodyDiv w:val="1"/>
      <w:marLeft w:val="0"/>
      <w:marRight w:val="0"/>
      <w:marTop w:val="0"/>
      <w:marBottom w:val="0"/>
      <w:divBdr>
        <w:top w:val="none" w:sz="0" w:space="0" w:color="auto"/>
        <w:left w:val="none" w:sz="0" w:space="0" w:color="auto"/>
        <w:bottom w:val="none" w:sz="0" w:space="0" w:color="auto"/>
        <w:right w:val="none" w:sz="0" w:space="0" w:color="auto"/>
      </w:divBdr>
    </w:div>
    <w:div w:id="78991752">
      <w:bodyDiv w:val="1"/>
      <w:marLeft w:val="0"/>
      <w:marRight w:val="0"/>
      <w:marTop w:val="0"/>
      <w:marBottom w:val="0"/>
      <w:divBdr>
        <w:top w:val="none" w:sz="0" w:space="0" w:color="auto"/>
        <w:left w:val="none" w:sz="0" w:space="0" w:color="auto"/>
        <w:bottom w:val="none" w:sz="0" w:space="0" w:color="auto"/>
        <w:right w:val="none" w:sz="0" w:space="0" w:color="auto"/>
      </w:divBdr>
    </w:div>
    <w:div w:id="143667291">
      <w:bodyDiv w:val="1"/>
      <w:marLeft w:val="0"/>
      <w:marRight w:val="0"/>
      <w:marTop w:val="0"/>
      <w:marBottom w:val="0"/>
      <w:divBdr>
        <w:top w:val="none" w:sz="0" w:space="0" w:color="auto"/>
        <w:left w:val="none" w:sz="0" w:space="0" w:color="auto"/>
        <w:bottom w:val="none" w:sz="0" w:space="0" w:color="auto"/>
        <w:right w:val="none" w:sz="0" w:space="0" w:color="auto"/>
      </w:divBdr>
      <w:divsChild>
        <w:div w:id="1795100628">
          <w:marLeft w:val="806"/>
          <w:marRight w:val="0"/>
          <w:marTop w:val="240"/>
          <w:marBottom w:val="240"/>
          <w:divBdr>
            <w:top w:val="none" w:sz="0" w:space="0" w:color="auto"/>
            <w:left w:val="none" w:sz="0" w:space="0" w:color="auto"/>
            <w:bottom w:val="none" w:sz="0" w:space="0" w:color="auto"/>
            <w:right w:val="none" w:sz="0" w:space="0" w:color="auto"/>
          </w:divBdr>
        </w:div>
        <w:div w:id="2131970066">
          <w:marLeft w:val="806"/>
          <w:marRight w:val="0"/>
          <w:marTop w:val="240"/>
          <w:marBottom w:val="240"/>
          <w:divBdr>
            <w:top w:val="none" w:sz="0" w:space="0" w:color="auto"/>
            <w:left w:val="none" w:sz="0" w:space="0" w:color="auto"/>
            <w:bottom w:val="none" w:sz="0" w:space="0" w:color="auto"/>
            <w:right w:val="none" w:sz="0" w:space="0" w:color="auto"/>
          </w:divBdr>
        </w:div>
        <w:div w:id="2049135085">
          <w:marLeft w:val="806"/>
          <w:marRight w:val="0"/>
          <w:marTop w:val="240"/>
          <w:marBottom w:val="240"/>
          <w:divBdr>
            <w:top w:val="none" w:sz="0" w:space="0" w:color="auto"/>
            <w:left w:val="none" w:sz="0" w:space="0" w:color="auto"/>
            <w:bottom w:val="none" w:sz="0" w:space="0" w:color="auto"/>
            <w:right w:val="none" w:sz="0" w:space="0" w:color="auto"/>
          </w:divBdr>
        </w:div>
      </w:divsChild>
    </w:div>
    <w:div w:id="149104440">
      <w:bodyDiv w:val="1"/>
      <w:marLeft w:val="0"/>
      <w:marRight w:val="0"/>
      <w:marTop w:val="0"/>
      <w:marBottom w:val="0"/>
      <w:divBdr>
        <w:top w:val="none" w:sz="0" w:space="0" w:color="auto"/>
        <w:left w:val="none" w:sz="0" w:space="0" w:color="auto"/>
        <w:bottom w:val="none" w:sz="0" w:space="0" w:color="auto"/>
        <w:right w:val="none" w:sz="0" w:space="0" w:color="auto"/>
      </w:divBdr>
    </w:div>
    <w:div w:id="453135537">
      <w:bodyDiv w:val="1"/>
      <w:marLeft w:val="0"/>
      <w:marRight w:val="0"/>
      <w:marTop w:val="0"/>
      <w:marBottom w:val="0"/>
      <w:divBdr>
        <w:top w:val="none" w:sz="0" w:space="0" w:color="auto"/>
        <w:left w:val="none" w:sz="0" w:space="0" w:color="auto"/>
        <w:bottom w:val="none" w:sz="0" w:space="0" w:color="auto"/>
        <w:right w:val="none" w:sz="0" w:space="0" w:color="auto"/>
      </w:divBdr>
    </w:div>
    <w:div w:id="567764002">
      <w:bodyDiv w:val="1"/>
      <w:marLeft w:val="0"/>
      <w:marRight w:val="0"/>
      <w:marTop w:val="0"/>
      <w:marBottom w:val="0"/>
      <w:divBdr>
        <w:top w:val="none" w:sz="0" w:space="0" w:color="auto"/>
        <w:left w:val="none" w:sz="0" w:space="0" w:color="auto"/>
        <w:bottom w:val="none" w:sz="0" w:space="0" w:color="auto"/>
        <w:right w:val="none" w:sz="0" w:space="0" w:color="auto"/>
      </w:divBdr>
    </w:div>
    <w:div w:id="1009212068">
      <w:bodyDiv w:val="1"/>
      <w:marLeft w:val="0"/>
      <w:marRight w:val="0"/>
      <w:marTop w:val="0"/>
      <w:marBottom w:val="0"/>
      <w:divBdr>
        <w:top w:val="none" w:sz="0" w:space="0" w:color="auto"/>
        <w:left w:val="none" w:sz="0" w:space="0" w:color="auto"/>
        <w:bottom w:val="none" w:sz="0" w:space="0" w:color="auto"/>
        <w:right w:val="none" w:sz="0" w:space="0" w:color="auto"/>
      </w:divBdr>
    </w:div>
    <w:div w:id="1035039062">
      <w:bodyDiv w:val="1"/>
      <w:marLeft w:val="0"/>
      <w:marRight w:val="0"/>
      <w:marTop w:val="0"/>
      <w:marBottom w:val="0"/>
      <w:divBdr>
        <w:top w:val="none" w:sz="0" w:space="0" w:color="auto"/>
        <w:left w:val="none" w:sz="0" w:space="0" w:color="auto"/>
        <w:bottom w:val="none" w:sz="0" w:space="0" w:color="auto"/>
        <w:right w:val="none" w:sz="0" w:space="0" w:color="auto"/>
      </w:divBdr>
    </w:div>
    <w:div w:id="1090203334">
      <w:bodyDiv w:val="1"/>
      <w:marLeft w:val="0"/>
      <w:marRight w:val="0"/>
      <w:marTop w:val="0"/>
      <w:marBottom w:val="0"/>
      <w:divBdr>
        <w:top w:val="none" w:sz="0" w:space="0" w:color="auto"/>
        <w:left w:val="none" w:sz="0" w:space="0" w:color="auto"/>
        <w:bottom w:val="none" w:sz="0" w:space="0" w:color="auto"/>
        <w:right w:val="none" w:sz="0" w:space="0" w:color="auto"/>
      </w:divBdr>
    </w:div>
    <w:div w:id="1143695151">
      <w:bodyDiv w:val="1"/>
      <w:marLeft w:val="0"/>
      <w:marRight w:val="0"/>
      <w:marTop w:val="0"/>
      <w:marBottom w:val="0"/>
      <w:divBdr>
        <w:top w:val="none" w:sz="0" w:space="0" w:color="auto"/>
        <w:left w:val="none" w:sz="0" w:space="0" w:color="auto"/>
        <w:bottom w:val="none" w:sz="0" w:space="0" w:color="auto"/>
        <w:right w:val="none" w:sz="0" w:space="0" w:color="auto"/>
      </w:divBdr>
    </w:div>
    <w:div w:id="1161387829">
      <w:bodyDiv w:val="1"/>
      <w:marLeft w:val="0"/>
      <w:marRight w:val="0"/>
      <w:marTop w:val="0"/>
      <w:marBottom w:val="0"/>
      <w:divBdr>
        <w:top w:val="none" w:sz="0" w:space="0" w:color="auto"/>
        <w:left w:val="none" w:sz="0" w:space="0" w:color="auto"/>
        <w:bottom w:val="none" w:sz="0" w:space="0" w:color="auto"/>
        <w:right w:val="none" w:sz="0" w:space="0" w:color="auto"/>
      </w:divBdr>
    </w:div>
    <w:div w:id="1389264508">
      <w:bodyDiv w:val="1"/>
      <w:marLeft w:val="0"/>
      <w:marRight w:val="0"/>
      <w:marTop w:val="0"/>
      <w:marBottom w:val="0"/>
      <w:divBdr>
        <w:top w:val="none" w:sz="0" w:space="0" w:color="auto"/>
        <w:left w:val="none" w:sz="0" w:space="0" w:color="auto"/>
        <w:bottom w:val="none" w:sz="0" w:space="0" w:color="auto"/>
        <w:right w:val="none" w:sz="0" w:space="0" w:color="auto"/>
      </w:divBdr>
      <w:divsChild>
        <w:div w:id="771048008">
          <w:marLeft w:val="0"/>
          <w:marRight w:val="0"/>
          <w:marTop w:val="0"/>
          <w:marBottom w:val="0"/>
          <w:divBdr>
            <w:top w:val="none" w:sz="0" w:space="0" w:color="auto"/>
            <w:left w:val="none" w:sz="0" w:space="0" w:color="auto"/>
            <w:bottom w:val="none" w:sz="0" w:space="0" w:color="auto"/>
            <w:right w:val="none" w:sz="0" w:space="0" w:color="auto"/>
          </w:divBdr>
          <w:divsChild>
            <w:div w:id="451481405">
              <w:marLeft w:val="0"/>
              <w:marRight w:val="0"/>
              <w:marTop w:val="0"/>
              <w:marBottom w:val="0"/>
              <w:divBdr>
                <w:top w:val="none" w:sz="0" w:space="0" w:color="auto"/>
                <w:left w:val="none" w:sz="0" w:space="0" w:color="auto"/>
                <w:bottom w:val="none" w:sz="0" w:space="0" w:color="auto"/>
                <w:right w:val="none" w:sz="0" w:space="0" w:color="auto"/>
              </w:divBdr>
              <w:divsChild>
                <w:div w:id="1476683107">
                  <w:marLeft w:val="-225"/>
                  <w:marRight w:val="-225"/>
                  <w:marTop w:val="0"/>
                  <w:marBottom w:val="0"/>
                  <w:divBdr>
                    <w:top w:val="none" w:sz="0" w:space="0" w:color="auto"/>
                    <w:left w:val="none" w:sz="0" w:space="0" w:color="auto"/>
                    <w:bottom w:val="none" w:sz="0" w:space="0" w:color="auto"/>
                    <w:right w:val="none" w:sz="0" w:space="0" w:color="auto"/>
                  </w:divBdr>
                  <w:divsChild>
                    <w:div w:id="58176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4127860">
      <w:bodyDiv w:val="1"/>
      <w:marLeft w:val="0"/>
      <w:marRight w:val="0"/>
      <w:marTop w:val="0"/>
      <w:marBottom w:val="0"/>
      <w:divBdr>
        <w:top w:val="none" w:sz="0" w:space="0" w:color="auto"/>
        <w:left w:val="none" w:sz="0" w:space="0" w:color="auto"/>
        <w:bottom w:val="none" w:sz="0" w:space="0" w:color="auto"/>
        <w:right w:val="none" w:sz="0" w:space="0" w:color="auto"/>
      </w:divBdr>
      <w:divsChild>
        <w:div w:id="1220092120">
          <w:marLeft w:val="360"/>
          <w:marRight w:val="0"/>
          <w:marTop w:val="240"/>
          <w:marBottom w:val="0"/>
          <w:divBdr>
            <w:top w:val="none" w:sz="0" w:space="0" w:color="auto"/>
            <w:left w:val="none" w:sz="0" w:space="0" w:color="auto"/>
            <w:bottom w:val="none" w:sz="0" w:space="0" w:color="auto"/>
            <w:right w:val="none" w:sz="0" w:space="0" w:color="auto"/>
          </w:divBdr>
        </w:div>
        <w:div w:id="474758198">
          <w:marLeft w:val="360"/>
          <w:marRight w:val="0"/>
          <w:marTop w:val="240"/>
          <w:marBottom w:val="0"/>
          <w:divBdr>
            <w:top w:val="none" w:sz="0" w:space="0" w:color="auto"/>
            <w:left w:val="none" w:sz="0" w:space="0" w:color="auto"/>
            <w:bottom w:val="none" w:sz="0" w:space="0" w:color="auto"/>
            <w:right w:val="none" w:sz="0" w:space="0" w:color="auto"/>
          </w:divBdr>
        </w:div>
        <w:div w:id="1859850149">
          <w:marLeft w:val="1080"/>
          <w:marRight w:val="0"/>
          <w:marTop w:val="240"/>
          <w:marBottom w:val="0"/>
          <w:divBdr>
            <w:top w:val="none" w:sz="0" w:space="0" w:color="auto"/>
            <w:left w:val="none" w:sz="0" w:space="0" w:color="auto"/>
            <w:bottom w:val="none" w:sz="0" w:space="0" w:color="auto"/>
            <w:right w:val="none" w:sz="0" w:space="0" w:color="auto"/>
          </w:divBdr>
        </w:div>
        <w:div w:id="682124478">
          <w:marLeft w:val="1080"/>
          <w:marRight w:val="0"/>
          <w:marTop w:val="240"/>
          <w:marBottom w:val="0"/>
          <w:divBdr>
            <w:top w:val="none" w:sz="0" w:space="0" w:color="auto"/>
            <w:left w:val="none" w:sz="0" w:space="0" w:color="auto"/>
            <w:bottom w:val="none" w:sz="0" w:space="0" w:color="auto"/>
            <w:right w:val="none" w:sz="0" w:space="0" w:color="auto"/>
          </w:divBdr>
        </w:div>
        <w:div w:id="505367665">
          <w:marLeft w:val="1080"/>
          <w:marRight w:val="0"/>
          <w:marTop w:val="240"/>
          <w:marBottom w:val="0"/>
          <w:divBdr>
            <w:top w:val="none" w:sz="0" w:space="0" w:color="auto"/>
            <w:left w:val="none" w:sz="0" w:space="0" w:color="auto"/>
            <w:bottom w:val="none" w:sz="0" w:space="0" w:color="auto"/>
            <w:right w:val="none" w:sz="0" w:space="0" w:color="auto"/>
          </w:divBdr>
        </w:div>
        <w:div w:id="1302419617">
          <w:marLeft w:val="1080"/>
          <w:marRight w:val="0"/>
          <w:marTop w:val="240"/>
          <w:marBottom w:val="0"/>
          <w:divBdr>
            <w:top w:val="none" w:sz="0" w:space="0" w:color="auto"/>
            <w:left w:val="none" w:sz="0" w:space="0" w:color="auto"/>
            <w:bottom w:val="none" w:sz="0" w:space="0" w:color="auto"/>
            <w:right w:val="none" w:sz="0" w:space="0" w:color="auto"/>
          </w:divBdr>
        </w:div>
        <w:div w:id="167910189">
          <w:marLeft w:val="1080"/>
          <w:marRight w:val="0"/>
          <w:marTop w:val="240"/>
          <w:marBottom w:val="0"/>
          <w:divBdr>
            <w:top w:val="none" w:sz="0" w:space="0" w:color="auto"/>
            <w:left w:val="none" w:sz="0" w:space="0" w:color="auto"/>
            <w:bottom w:val="none" w:sz="0" w:space="0" w:color="auto"/>
            <w:right w:val="none" w:sz="0" w:space="0" w:color="auto"/>
          </w:divBdr>
        </w:div>
        <w:div w:id="726337440">
          <w:marLeft w:val="1080"/>
          <w:marRight w:val="0"/>
          <w:marTop w:val="240"/>
          <w:marBottom w:val="0"/>
          <w:divBdr>
            <w:top w:val="none" w:sz="0" w:space="0" w:color="auto"/>
            <w:left w:val="none" w:sz="0" w:space="0" w:color="auto"/>
            <w:bottom w:val="none" w:sz="0" w:space="0" w:color="auto"/>
            <w:right w:val="none" w:sz="0" w:space="0" w:color="auto"/>
          </w:divBdr>
        </w:div>
        <w:div w:id="1262374072">
          <w:marLeft w:val="360"/>
          <w:marRight w:val="0"/>
          <w:marTop w:val="240"/>
          <w:marBottom w:val="240"/>
          <w:divBdr>
            <w:top w:val="none" w:sz="0" w:space="0" w:color="auto"/>
            <w:left w:val="none" w:sz="0" w:space="0" w:color="auto"/>
            <w:bottom w:val="none" w:sz="0" w:space="0" w:color="auto"/>
            <w:right w:val="none" w:sz="0" w:space="0" w:color="auto"/>
          </w:divBdr>
        </w:div>
      </w:divsChild>
    </w:div>
    <w:div w:id="1628732611">
      <w:bodyDiv w:val="1"/>
      <w:marLeft w:val="0"/>
      <w:marRight w:val="0"/>
      <w:marTop w:val="0"/>
      <w:marBottom w:val="0"/>
      <w:divBdr>
        <w:top w:val="none" w:sz="0" w:space="0" w:color="auto"/>
        <w:left w:val="none" w:sz="0" w:space="0" w:color="auto"/>
        <w:bottom w:val="none" w:sz="0" w:space="0" w:color="auto"/>
        <w:right w:val="none" w:sz="0" w:space="0" w:color="auto"/>
      </w:divBdr>
      <w:divsChild>
        <w:div w:id="1309822919">
          <w:marLeft w:val="360"/>
          <w:marRight w:val="0"/>
          <w:marTop w:val="240"/>
          <w:marBottom w:val="240"/>
          <w:divBdr>
            <w:top w:val="none" w:sz="0" w:space="0" w:color="auto"/>
            <w:left w:val="none" w:sz="0" w:space="0" w:color="auto"/>
            <w:bottom w:val="none" w:sz="0" w:space="0" w:color="auto"/>
            <w:right w:val="none" w:sz="0" w:space="0" w:color="auto"/>
          </w:divBdr>
        </w:div>
        <w:div w:id="1712419692">
          <w:marLeft w:val="360"/>
          <w:marRight w:val="0"/>
          <w:marTop w:val="240"/>
          <w:marBottom w:val="240"/>
          <w:divBdr>
            <w:top w:val="none" w:sz="0" w:space="0" w:color="auto"/>
            <w:left w:val="none" w:sz="0" w:space="0" w:color="auto"/>
            <w:bottom w:val="none" w:sz="0" w:space="0" w:color="auto"/>
            <w:right w:val="none" w:sz="0" w:space="0" w:color="auto"/>
          </w:divBdr>
        </w:div>
        <w:div w:id="196704703">
          <w:marLeft w:val="360"/>
          <w:marRight w:val="0"/>
          <w:marTop w:val="240"/>
          <w:marBottom w:val="240"/>
          <w:divBdr>
            <w:top w:val="none" w:sz="0" w:space="0" w:color="auto"/>
            <w:left w:val="none" w:sz="0" w:space="0" w:color="auto"/>
            <w:bottom w:val="none" w:sz="0" w:space="0" w:color="auto"/>
            <w:right w:val="none" w:sz="0" w:space="0" w:color="auto"/>
          </w:divBdr>
        </w:div>
        <w:div w:id="2117366187">
          <w:marLeft w:val="360"/>
          <w:marRight w:val="0"/>
          <w:marTop w:val="240"/>
          <w:marBottom w:val="240"/>
          <w:divBdr>
            <w:top w:val="none" w:sz="0" w:space="0" w:color="auto"/>
            <w:left w:val="none" w:sz="0" w:space="0" w:color="auto"/>
            <w:bottom w:val="none" w:sz="0" w:space="0" w:color="auto"/>
            <w:right w:val="none" w:sz="0" w:space="0" w:color="auto"/>
          </w:divBdr>
        </w:div>
      </w:divsChild>
    </w:div>
    <w:div w:id="1687637296">
      <w:bodyDiv w:val="1"/>
      <w:marLeft w:val="0"/>
      <w:marRight w:val="0"/>
      <w:marTop w:val="0"/>
      <w:marBottom w:val="0"/>
      <w:divBdr>
        <w:top w:val="none" w:sz="0" w:space="0" w:color="auto"/>
        <w:left w:val="none" w:sz="0" w:space="0" w:color="auto"/>
        <w:bottom w:val="none" w:sz="0" w:space="0" w:color="auto"/>
        <w:right w:val="none" w:sz="0" w:space="0" w:color="auto"/>
      </w:divBdr>
    </w:div>
    <w:div w:id="1873961259">
      <w:bodyDiv w:val="1"/>
      <w:marLeft w:val="0"/>
      <w:marRight w:val="0"/>
      <w:marTop w:val="0"/>
      <w:marBottom w:val="0"/>
      <w:divBdr>
        <w:top w:val="none" w:sz="0" w:space="0" w:color="auto"/>
        <w:left w:val="none" w:sz="0" w:space="0" w:color="auto"/>
        <w:bottom w:val="none" w:sz="0" w:space="0" w:color="auto"/>
        <w:right w:val="none" w:sz="0" w:space="0" w:color="auto"/>
      </w:divBdr>
      <w:divsChild>
        <w:div w:id="202789566">
          <w:marLeft w:val="806"/>
          <w:marRight w:val="0"/>
          <w:marTop w:val="240"/>
          <w:marBottom w:val="240"/>
          <w:divBdr>
            <w:top w:val="none" w:sz="0" w:space="0" w:color="auto"/>
            <w:left w:val="none" w:sz="0" w:space="0" w:color="auto"/>
            <w:bottom w:val="none" w:sz="0" w:space="0" w:color="auto"/>
            <w:right w:val="none" w:sz="0" w:space="0" w:color="auto"/>
          </w:divBdr>
        </w:div>
        <w:div w:id="1152722258">
          <w:marLeft w:val="806"/>
          <w:marRight w:val="0"/>
          <w:marTop w:val="240"/>
          <w:marBottom w:val="240"/>
          <w:divBdr>
            <w:top w:val="none" w:sz="0" w:space="0" w:color="auto"/>
            <w:left w:val="none" w:sz="0" w:space="0" w:color="auto"/>
            <w:bottom w:val="none" w:sz="0" w:space="0" w:color="auto"/>
            <w:right w:val="none" w:sz="0" w:space="0" w:color="auto"/>
          </w:divBdr>
        </w:div>
        <w:div w:id="191385882">
          <w:marLeft w:val="806"/>
          <w:marRight w:val="0"/>
          <w:marTop w:val="240"/>
          <w:marBottom w:val="240"/>
          <w:divBdr>
            <w:top w:val="none" w:sz="0" w:space="0" w:color="auto"/>
            <w:left w:val="none" w:sz="0" w:space="0" w:color="auto"/>
            <w:bottom w:val="none" w:sz="0" w:space="0" w:color="auto"/>
            <w:right w:val="none" w:sz="0" w:space="0" w:color="auto"/>
          </w:divBdr>
        </w:div>
      </w:divsChild>
    </w:div>
    <w:div w:id="2010786411">
      <w:bodyDiv w:val="1"/>
      <w:marLeft w:val="0"/>
      <w:marRight w:val="0"/>
      <w:marTop w:val="0"/>
      <w:marBottom w:val="0"/>
      <w:divBdr>
        <w:top w:val="none" w:sz="0" w:space="0" w:color="auto"/>
        <w:left w:val="none" w:sz="0" w:space="0" w:color="auto"/>
        <w:bottom w:val="none" w:sz="0" w:space="0" w:color="auto"/>
        <w:right w:val="none" w:sz="0" w:space="0" w:color="auto"/>
      </w:divBdr>
      <w:divsChild>
        <w:div w:id="294994256">
          <w:marLeft w:val="360"/>
          <w:marRight w:val="0"/>
          <w:marTop w:val="240"/>
          <w:marBottom w:val="0"/>
          <w:divBdr>
            <w:top w:val="none" w:sz="0" w:space="0" w:color="auto"/>
            <w:left w:val="none" w:sz="0" w:space="0" w:color="auto"/>
            <w:bottom w:val="none" w:sz="0" w:space="0" w:color="auto"/>
            <w:right w:val="none" w:sz="0" w:space="0" w:color="auto"/>
          </w:divBdr>
        </w:div>
        <w:div w:id="1660420331">
          <w:marLeft w:val="360"/>
          <w:marRight w:val="0"/>
          <w:marTop w:val="240"/>
          <w:marBottom w:val="0"/>
          <w:divBdr>
            <w:top w:val="none" w:sz="0" w:space="0" w:color="auto"/>
            <w:left w:val="none" w:sz="0" w:space="0" w:color="auto"/>
            <w:bottom w:val="none" w:sz="0" w:space="0" w:color="auto"/>
            <w:right w:val="none" w:sz="0" w:space="0" w:color="auto"/>
          </w:divBdr>
        </w:div>
        <w:div w:id="1836610057">
          <w:marLeft w:val="360"/>
          <w:marRight w:val="0"/>
          <w:marTop w:val="240"/>
          <w:marBottom w:val="0"/>
          <w:divBdr>
            <w:top w:val="none" w:sz="0" w:space="0" w:color="auto"/>
            <w:left w:val="none" w:sz="0" w:space="0" w:color="auto"/>
            <w:bottom w:val="none" w:sz="0" w:space="0" w:color="auto"/>
            <w:right w:val="none" w:sz="0" w:space="0" w:color="auto"/>
          </w:divBdr>
        </w:div>
      </w:divsChild>
    </w:div>
    <w:div w:id="2015958393">
      <w:bodyDiv w:val="1"/>
      <w:marLeft w:val="0"/>
      <w:marRight w:val="0"/>
      <w:marTop w:val="0"/>
      <w:marBottom w:val="0"/>
      <w:divBdr>
        <w:top w:val="none" w:sz="0" w:space="0" w:color="auto"/>
        <w:left w:val="none" w:sz="0" w:space="0" w:color="auto"/>
        <w:bottom w:val="none" w:sz="0" w:space="0" w:color="auto"/>
        <w:right w:val="none" w:sz="0" w:space="0" w:color="auto"/>
      </w:divBdr>
    </w:div>
    <w:div w:id="2047244825">
      <w:bodyDiv w:val="1"/>
      <w:marLeft w:val="0"/>
      <w:marRight w:val="0"/>
      <w:marTop w:val="0"/>
      <w:marBottom w:val="0"/>
      <w:divBdr>
        <w:top w:val="none" w:sz="0" w:space="0" w:color="auto"/>
        <w:left w:val="none" w:sz="0" w:space="0" w:color="auto"/>
        <w:bottom w:val="none" w:sz="0" w:space="0" w:color="auto"/>
        <w:right w:val="none" w:sz="0" w:space="0" w:color="auto"/>
      </w:divBdr>
      <w:divsChild>
        <w:div w:id="1333487600">
          <w:marLeft w:val="806"/>
          <w:marRight w:val="0"/>
          <w:marTop w:val="120"/>
          <w:marBottom w:val="120"/>
          <w:divBdr>
            <w:top w:val="none" w:sz="0" w:space="0" w:color="auto"/>
            <w:left w:val="none" w:sz="0" w:space="0" w:color="auto"/>
            <w:bottom w:val="none" w:sz="0" w:space="0" w:color="auto"/>
            <w:right w:val="none" w:sz="0" w:space="0" w:color="auto"/>
          </w:divBdr>
        </w:div>
        <w:div w:id="1897737797">
          <w:marLeft w:val="1080"/>
          <w:marRight w:val="0"/>
          <w:marTop w:val="120"/>
          <w:marBottom w:val="120"/>
          <w:divBdr>
            <w:top w:val="none" w:sz="0" w:space="0" w:color="auto"/>
            <w:left w:val="none" w:sz="0" w:space="0" w:color="auto"/>
            <w:bottom w:val="none" w:sz="0" w:space="0" w:color="auto"/>
            <w:right w:val="none" w:sz="0" w:space="0" w:color="auto"/>
          </w:divBdr>
        </w:div>
        <w:div w:id="592783252">
          <w:marLeft w:val="1080"/>
          <w:marRight w:val="0"/>
          <w:marTop w:val="120"/>
          <w:marBottom w:val="120"/>
          <w:divBdr>
            <w:top w:val="none" w:sz="0" w:space="0" w:color="auto"/>
            <w:left w:val="none" w:sz="0" w:space="0" w:color="auto"/>
            <w:bottom w:val="none" w:sz="0" w:space="0" w:color="auto"/>
            <w:right w:val="none" w:sz="0" w:space="0" w:color="auto"/>
          </w:divBdr>
        </w:div>
        <w:div w:id="1355502141">
          <w:marLeft w:val="1080"/>
          <w:marRight w:val="0"/>
          <w:marTop w:val="120"/>
          <w:marBottom w:val="120"/>
          <w:divBdr>
            <w:top w:val="none" w:sz="0" w:space="0" w:color="auto"/>
            <w:left w:val="none" w:sz="0" w:space="0" w:color="auto"/>
            <w:bottom w:val="none" w:sz="0" w:space="0" w:color="auto"/>
            <w:right w:val="none" w:sz="0" w:space="0" w:color="auto"/>
          </w:divBdr>
        </w:div>
        <w:div w:id="1455060077">
          <w:marLeft w:val="806"/>
          <w:marRight w:val="0"/>
          <w:marTop w:val="120"/>
          <w:marBottom w:val="120"/>
          <w:divBdr>
            <w:top w:val="none" w:sz="0" w:space="0" w:color="auto"/>
            <w:left w:val="none" w:sz="0" w:space="0" w:color="auto"/>
            <w:bottom w:val="none" w:sz="0" w:space="0" w:color="auto"/>
            <w:right w:val="none" w:sz="0" w:space="0" w:color="auto"/>
          </w:divBdr>
        </w:div>
        <w:div w:id="1087384114">
          <w:marLeft w:val="806"/>
          <w:marRight w:val="0"/>
          <w:marTop w:val="120"/>
          <w:marBottom w:val="120"/>
          <w:divBdr>
            <w:top w:val="none" w:sz="0" w:space="0" w:color="auto"/>
            <w:left w:val="none" w:sz="0" w:space="0" w:color="auto"/>
            <w:bottom w:val="none" w:sz="0" w:space="0" w:color="auto"/>
            <w:right w:val="none" w:sz="0" w:space="0" w:color="auto"/>
          </w:divBdr>
        </w:div>
        <w:div w:id="5911309">
          <w:marLeft w:val="806"/>
          <w:marRight w:val="0"/>
          <w:marTop w:val="120"/>
          <w:marBottom w:val="120"/>
          <w:divBdr>
            <w:top w:val="none" w:sz="0" w:space="0" w:color="auto"/>
            <w:left w:val="none" w:sz="0" w:space="0" w:color="auto"/>
            <w:bottom w:val="none" w:sz="0" w:space="0" w:color="auto"/>
            <w:right w:val="none" w:sz="0" w:space="0" w:color="auto"/>
          </w:divBdr>
        </w:div>
        <w:div w:id="1121723707">
          <w:marLeft w:val="806"/>
          <w:marRight w:val="0"/>
          <w:marTop w:val="120"/>
          <w:marBottom w:val="120"/>
          <w:divBdr>
            <w:top w:val="none" w:sz="0" w:space="0" w:color="auto"/>
            <w:left w:val="none" w:sz="0" w:space="0" w:color="auto"/>
            <w:bottom w:val="none" w:sz="0" w:space="0" w:color="auto"/>
            <w:right w:val="none" w:sz="0" w:space="0" w:color="auto"/>
          </w:divBdr>
        </w:div>
        <w:div w:id="983043656">
          <w:marLeft w:val="806"/>
          <w:marRight w:val="0"/>
          <w:marTop w:val="12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pn/im/documents/memo-imb-amard-june20item01.docx" TargetMode="External"/><Relationship Id="rId18" Type="http://schemas.openxmlformats.org/officeDocument/2006/relationships/hyperlink" Target="https://www.cde.ca.gov/be/pn/im/documents/memo-asb-adad-jun17item03.doc" TargetMode="External"/><Relationship Id="rId26" Type="http://schemas.openxmlformats.org/officeDocument/2006/relationships/hyperlink" Target="https://www.cde.ca.gov/be/pn/im/documents/memo-imb-amard-june20item01.docx" TargetMode="External"/><Relationship Id="rId3" Type="http://schemas.openxmlformats.org/officeDocument/2006/relationships/customXml" Target="../customXml/item3.xml"/><Relationship Id="rId21" Type="http://schemas.openxmlformats.org/officeDocument/2006/relationships/hyperlink" Target="https://www.cde.ca.gov/be/ag/ag/yr18/documents/jul18item01.docx"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17/documents/jan17item02.doc" TargetMode="External"/><Relationship Id="rId25" Type="http://schemas.openxmlformats.org/officeDocument/2006/relationships/hyperlink" Target="https://www.cde.ca.gov/be/ag/ag/yr20/documents/mar20item05.docx" TargetMode="External"/><Relationship Id="rId2" Type="http://schemas.openxmlformats.org/officeDocument/2006/relationships/customXml" Target="../customXml/item2.xml"/><Relationship Id="rId16" Type="http://schemas.openxmlformats.org/officeDocument/2006/relationships/hyperlink" Target="https://www.cde.ca.gov/be/pn/im/documents/memo-dsib-amard-feb16item01.doc" TargetMode="External"/><Relationship Id="rId20" Type="http://schemas.openxmlformats.org/officeDocument/2006/relationships/hyperlink" Target="https://www.cde.ca.gov/be/ag/ag/yr18/documents/may18item02.doc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pn/im/documents/nov19memoamard01.docx" TargetMode="External"/><Relationship Id="rId5" Type="http://schemas.openxmlformats.org/officeDocument/2006/relationships/numbering" Target="numbering.xml"/><Relationship Id="rId15" Type="http://schemas.openxmlformats.org/officeDocument/2006/relationships/hyperlink" Target="https://www.cde.ca.gov/be/pn/im/documents/memo-dsib-amard-jun16item01.doc" TargetMode="External"/><Relationship Id="rId23" Type="http://schemas.openxmlformats.org/officeDocument/2006/relationships/hyperlink" Target="https://www.cde.ca.gov/be/pn/im/documents/memo-pptb-amard-apr19item02.docx"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de.ca.gov/be/pn/im/documents/memo-pptb-amard-feb18item01.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aschooldashboard.org/" TargetMode="External"/><Relationship Id="rId22" Type="http://schemas.openxmlformats.org/officeDocument/2006/relationships/hyperlink" Target="https://www.cde.ca.gov/be/pn/im/documents/memo-pptb-amard-feb19item03.docx"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081a58a473b62bf266c3a16d636b4bf6">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8378148ebd5c62d163fa41123e1abab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848C7D91-7F14-42E5-A412-AE41144C19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3163DB-21C3-4211-8DDE-31D62F1622D2}">
  <ds:schemaRefs>
    <ds:schemaRef ds:uri="http://schemas.microsoft.com/sharepoint/v3/contenttype/forms"/>
  </ds:schemaRefs>
</ds:datastoreItem>
</file>

<file path=customXml/itemProps3.xml><?xml version="1.0" encoding="utf-8"?>
<ds:datastoreItem xmlns:ds="http://schemas.openxmlformats.org/officeDocument/2006/customXml" ds:itemID="{298D0908-4DA1-41E7-9482-81FC5422800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F25E349-5B45-40D3-8F5E-56D773E82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1719</Words>
  <Characters>9800</Characters>
  <DocSecurity>0</DocSecurity>
  <Lines>81</Lines>
  <Paragraphs>22</Paragraphs>
  <ScaleCrop>false</ScaleCrop>
  <HeadingPairs>
    <vt:vector size="2" baseType="variant">
      <vt:variant>
        <vt:lpstr>Title</vt:lpstr>
      </vt:variant>
      <vt:variant>
        <vt:i4>1</vt:i4>
      </vt:variant>
    </vt:vector>
  </HeadingPairs>
  <TitlesOfParts>
    <vt:vector size="1" baseType="lpstr">
      <vt:lpstr>July 2020 Agenda Item 01 - Meeting Agendas (CA State Board of Education)</vt:lpstr>
    </vt:vector>
  </TitlesOfParts>
  <Company>California State Board of Education</Company>
  <LinksUpToDate>false</LinksUpToDate>
  <CharactersWithSpaces>11497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Agenda Item 02 - Meeting Agendas (CA State Board of Education)</dc:title>
  <dc:subject>Update on the Implementation of the Integrated Local, State, and Federal Accountability and Continuous Improvement System.</dc:subject>
  <dc:creator/>
  <cp:keywords/>
  <dc:description/>
  <cp:lastPrinted>2019-06-12T19:20:00Z</cp:lastPrinted>
  <dcterms:created xsi:type="dcterms:W3CDTF">2020-06-18T17:20:00Z</dcterms:created>
  <dcterms:modified xsi:type="dcterms:W3CDTF">2020-06-26T23:11:00Z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