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3392D" w14:textId="77777777" w:rsidR="00770E38" w:rsidRPr="002D6EC8" w:rsidRDefault="00770E38" w:rsidP="00BC3718">
      <w:r w:rsidRPr="002D6EC8">
        <w:t>California Department of Education</w:t>
      </w:r>
    </w:p>
    <w:p w14:paraId="1CE56AF0" w14:textId="77777777" w:rsidR="00770E38" w:rsidRPr="002D6EC8" w:rsidRDefault="00770E38" w:rsidP="00BC3718">
      <w:r w:rsidRPr="002D6EC8">
        <w:t>Charter Schools Division</w:t>
      </w:r>
    </w:p>
    <w:p w14:paraId="284428C5" w14:textId="75EBE9FB" w:rsidR="00770E38" w:rsidRPr="002D6EC8" w:rsidRDefault="00770E38" w:rsidP="00BC3718">
      <w:r>
        <w:t xml:space="preserve">Revised </w:t>
      </w:r>
      <w:r w:rsidR="00761806">
        <w:t>1</w:t>
      </w:r>
      <w:r>
        <w:t>/2020</w:t>
      </w:r>
    </w:p>
    <w:p w14:paraId="060C8F55" w14:textId="3B17E2F5" w:rsidR="00770E38" w:rsidRDefault="009B2644" w:rsidP="00BC3718">
      <w:r>
        <w:t>oab-csd-jul</w:t>
      </w:r>
      <w:r w:rsidR="00770E38">
        <w:t>20</w:t>
      </w:r>
      <w:r w:rsidR="00770E38" w:rsidRPr="00FA19CD">
        <w:t>item</w:t>
      </w:r>
      <w:r w:rsidR="00770E38">
        <w:t>0</w:t>
      </w:r>
      <w:r w:rsidR="0003649A">
        <w:t>6</w:t>
      </w:r>
    </w:p>
    <w:p w14:paraId="2A42B3AA" w14:textId="6F896C4C" w:rsidR="00770E38" w:rsidRDefault="00770E38" w:rsidP="00BC3718">
      <w:r>
        <w:t>Attachment 1</w:t>
      </w:r>
    </w:p>
    <w:p w14:paraId="5D87766E" w14:textId="1CD17358" w:rsidR="00F92176" w:rsidRPr="001A1081" w:rsidRDefault="00F92176" w:rsidP="00BC3718">
      <w:pPr>
        <w:pStyle w:val="Heading1"/>
      </w:pPr>
      <w:r w:rsidRPr="001A1081">
        <w:t>CHARTER SCHOOL PETITION REVIEW FORM:</w:t>
      </w:r>
      <w:r w:rsidRPr="001A1081">
        <w:br/>
      </w:r>
      <w:r w:rsidR="00276624">
        <w:t>T.I.M.E. Community School</w:t>
      </w:r>
    </w:p>
    <w:p w14:paraId="30D73B5E" w14:textId="77777777" w:rsidR="00F92176" w:rsidRPr="00F855E9" w:rsidRDefault="00F92176" w:rsidP="00BC3718">
      <w:pPr>
        <w:jc w:val="center"/>
      </w:pPr>
      <w:r>
        <w:t>CALIFORNIA DEPARTMENT OF EDUCATION</w:t>
      </w:r>
    </w:p>
    <w:p w14:paraId="4C0D6415" w14:textId="750DBCCD" w:rsidR="00F92176" w:rsidRPr="00F92176" w:rsidRDefault="00360870" w:rsidP="00BC3718">
      <w:pPr>
        <w:pStyle w:val="Heading2"/>
      </w:pPr>
      <w:r>
        <w:t xml:space="preserve">Key Information Regarding </w:t>
      </w:r>
      <w:r w:rsidR="00276624">
        <w:t>T.I.M.E. Community School</w:t>
      </w:r>
    </w:p>
    <w:p w14:paraId="38C558CA" w14:textId="7332EED1" w:rsidR="005036C8" w:rsidRPr="00397491" w:rsidRDefault="005036C8" w:rsidP="007F164F">
      <w:pPr>
        <w:pStyle w:val="Heading3"/>
      </w:pPr>
      <w:r>
        <w:t>Proposed Grade Span and Build-</w:t>
      </w:r>
      <w:r w:rsidR="00770E38">
        <w:t>O</w:t>
      </w:r>
      <w:r w:rsidRPr="00397491">
        <w:t>ut Plan</w:t>
      </w:r>
    </w:p>
    <w:p w14:paraId="05EC0B16" w14:textId="7A8AE063" w:rsidR="005036C8" w:rsidRPr="00BD3BB6" w:rsidRDefault="005036C8" w:rsidP="007F164F">
      <w:pPr>
        <w:pStyle w:val="Heading4"/>
      </w:pPr>
      <w:r w:rsidRPr="00BD3BB6">
        <w:t xml:space="preserve">Table 1: </w:t>
      </w:r>
      <w:r w:rsidR="00360870" w:rsidRPr="00BD3BB6">
        <w:t>20</w:t>
      </w:r>
      <w:r w:rsidR="000A400A">
        <w:t>20</w:t>
      </w:r>
      <w:r w:rsidR="00360870" w:rsidRPr="00BD3BB6">
        <w:t>–2</w:t>
      </w:r>
      <w:r w:rsidR="000A400A">
        <w:t>5</w:t>
      </w:r>
      <w:r w:rsidRPr="00BD3BB6">
        <w:t xml:space="preserve"> Proposed Enrollment</w:t>
      </w:r>
    </w:p>
    <w:p w14:paraId="4B720C54" w14:textId="77777777" w:rsidR="00233D35" w:rsidRPr="00E87082" w:rsidRDefault="00233D35" w:rsidP="00BC3718">
      <w:r w:rsidRPr="00E87082">
        <w:t>TK–transitional kindergarten/K–kindergarten</w:t>
      </w:r>
    </w:p>
    <w:p w14:paraId="714FDB56" w14:textId="77777777" w:rsidR="00233D35" w:rsidRDefault="00233D35" w:rsidP="00BC3718">
      <w:pPr>
        <w:spacing w:after="100" w:afterAutospacing="1"/>
      </w:pPr>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14:paraId="3B17A461" w14:textId="77777777"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1F9E76DE" w14:textId="77777777" w:rsidR="005036C8" w:rsidRPr="00C16904" w:rsidRDefault="005036C8" w:rsidP="00BC3718">
            <w:pPr>
              <w:pStyle w:val="Heading6"/>
              <w:outlineLvl w:val="5"/>
              <w:rPr>
                <w:b w:val="0"/>
                <w:i w:val="0"/>
              </w:rPr>
            </w:pPr>
            <w:r w:rsidRPr="00C16904">
              <w:rPr>
                <w:i w:val="0"/>
              </w:rPr>
              <w:t>Grade</w:t>
            </w:r>
          </w:p>
        </w:tc>
        <w:tc>
          <w:tcPr>
            <w:tcW w:w="1621" w:type="dxa"/>
            <w:shd w:val="clear" w:color="auto" w:fill="D9D9D9" w:themeFill="background1" w:themeFillShade="D9"/>
            <w:vAlign w:val="center"/>
          </w:tcPr>
          <w:p w14:paraId="1D42E99C" w14:textId="422A4163" w:rsidR="005036C8" w:rsidRPr="00C16904" w:rsidRDefault="00713D20" w:rsidP="00BC3718">
            <w:pPr>
              <w:pStyle w:val="Heading6"/>
              <w:outlineLvl w:val="5"/>
              <w:cnfStyle w:val="100000000000" w:firstRow="1" w:lastRow="0" w:firstColumn="0" w:lastColumn="0" w:oddVBand="0" w:evenVBand="0" w:oddHBand="0" w:evenHBand="0" w:firstRowFirstColumn="0" w:firstRowLastColumn="0" w:lastRowFirstColumn="0" w:lastRowLastColumn="0"/>
              <w:rPr>
                <w:b w:val="0"/>
                <w:i w:val="0"/>
              </w:rPr>
            </w:pPr>
            <w:r w:rsidRPr="00C16904">
              <w:rPr>
                <w:i w:val="0"/>
              </w:rPr>
              <w:t>20</w:t>
            </w:r>
            <w:r w:rsidR="000A400A" w:rsidRPr="00C16904">
              <w:rPr>
                <w:i w:val="0"/>
              </w:rPr>
              <w:t>20</w:t>
            </w:r>
            <w:r w:rsidRPr="00C16904">
              <w:rPr>
                <w:i w:val="0"/>
              </w:rPr>
              <w:t>–20</w:t>
            </w:r>
            <w:r w:rsidR="00256A5E" w:rsidRPr="00C16904">
              <w:rPr>
                <w:i w:val="0"/>
              </w:rPr>
              <w:t>2</w:t>
            </w:r>
            <w:r w:rsidR="000A400A" w:rsidRPr="00C16904">
              <w:rPr>
                <w:i w:val="0"/>
              </w:rPr>
              <w:t>1</w:t>
            </w:r>
          </w:p>
        </w:tc>
        <w:tc>
          <w:tcPr>
            <w:tcW w:w="1621" w:type="dxa"/>
            <w:shd w:val="clear" w:color="auto" w:fill="D9D9D9" w:themeFill="background1" w:themeFillShade="D9"/>
            <w:vAlign w:val="center"/>
          </w:tcPr>
          <w:p w14:paraId="2B08B9AC" w14:textId="610D485E" w:rsidR="005036C8" w:rsidRPr="00C16904" w:rsidRDefault="00713D20" w:rsidP="00BC3718">
            <w:pPr>
              <w:pStyle w:val="Heading6"/>
              <w:outlineLvl w:val="5"/>
              <w:cnfStyle w:val="100000000000" w:firstRow="1" w:lastRow="0" w:firstColumn="0" w:lastColumn="0" w:oddVBand="0" w:evenVBand="0" w:oddHBand="0" w:evenHBand="0" w:firstRowFirstColumn="0" w:firstRowLastColumn="0" w:lastRowFirstColumn="0" w:lastRowLastColumn="0"/>
              <w:rPr>
                <w:b w:val="0"/>
                <w:i w:val="0"/>
              </w:rPr>
            </w:pPr>
            <w:r w:rsidRPr="00C16904">
              <w:rPr>
                <w:i w:val="0"/>
              </w:rPr>
              <w:t>202</w:t>
            </w:r>
            <w:r w:rsidR="000A400A" w:rsidRPr="00C16904">
              <w:rPr>
                <w:i w:val="0"/>
              </w:rPr>
              <w:t>1</w:t>
            </w:r>
            <w:r w:rsidRPr="00C16904">
              <w:rPr>
                <w:i w:val="0"/>
              </w:rPr>
              <w:t>–2</w:t>
            </w:r>
            <w:r w:rsidR="000A400A" w:rsidRPr="00C16904">
              <w:rPr>
                <w:i w:val="0"/>
              </w:rPr>
              <w:t>2</w:t>
            </w:r>
          </w:p>
        </w:tc>
        <w:tc>
          <w:tcPr>
            <w:tcW w:w="1621" w:type="dxa"/>
            <w:shd w:val="clear" w:color="auto" w:fill="D9D9D9" w:themeFill="background1" w:themeFillShade="D9"/>
            <w:vAlign w:val="center"/>
          </w:tcPr>
          <w:p w14:paraId="08C7D793" w14:textId="31E7BE96" w:rsidR="005036C8" w:rsidRPr="00C16904" w:rsidRDefault="00713D20" w:rsidP="00BC3718">
            <w:pPr>
              <w:pStyle w:val="Heading6"/>
              <w:outlineLvl w:val="5"/>
              <w:cnfStyle w:val="100000000000" w:firstRow="1" w:lastRow="0" w:firstColumn="0" w:lastColumn="0" w:oddVBand="0" w:evenVBand="0" w:oddHBand="0" w:evenHBand="0" w:firstRowFirstColumn="0" w:firstRowLastColumn="0" w:lastRowFirstColumn="0" w:lastRowLastColumn="0"/>
              <w:rPr>
                <w:b w:val="0"/>
                <w:i w:val="0"/>
              </w:rPr>
            </w:pPr>
            <w:r w:rsidRPr="00C16904">
              <w:rPr>
                <w:i w:val="0"/>
              </w:rPr>
              <w:t>202</w:t>
            </w:r>
            <w:r w:rsidR="000A400A" w:rsidRPr="00C16904">
              <w:rPr>
                <w:i w:val="0"/>
              </w:rPr>
              <w:t>2</w:t>
            </w:r>
            <w:r w:rsidRPr="00C16904">
              <w:rPr>
                <w:i w:val="0"/>
              </w:rPr>
              <w:t>–2</w:t>
            </w:r>
            <w:r w:rsidR="000A400A" w:rsidRPr="00C16904">
              <w:rPr>
                <w:i w:val="0"/>
              </w:rPr>
              <w:t>3</w:t>
            </w:r>
          </w:p>
        </w:tc>
        <w:tc>
          <w:tcPr>
            <w:tcW w:w="1621" w:type="dxa"/>
            <w:shd w:val="clear" w:color="auto" w:fill="D9D9D9" w:themeFill="background1" w:themeFillShade="D9"/>
            <w:vAlign w:val="center"/>
          </w:tcPr>
          <w:p w14:paraId="75A5DEF1" w14:textId="3A9C0357" w:rsidR="005036C8" w:rsidRPr="00C16904" w:rsidRDefault="00713D20" w:rsidP="00BC3718">
            <w:pPr>
              <w:pStyle w:val="Heading6"/>
              <w:outlineLvl w:val="5"/>
              <w:cnfStyle w:val="100000000000" w:firstRow="1" w:lastRow="0" w:firstColumn="0" w:lastColumn="0" w:oddVBand="0" w:evenVBand="0" w:oddHBand="0" w:evenHBand="0" w:firstRowFirstColumn="0" w:firstRowLastColumn="0" w:lastRowFirstColumn="0" w:lastRowLastColumn="0"/>
              <w:rPr>
                <w:b w:val="0"/>
                <w:i w:val="0"/>
              </w:rPr>
            </w:pPr>
            <w:r w:rsidRPr="00C16904">
              <w:rPr>
                <w:i w:val="0"/>
              </w:rPr>
              <w:t>202</w:t>
            </w:r>
            <w:r w:rsidR="000A400A" w:rsidRPr="00C16904">
              <w:rPr>
                <w:i w:val="0"/>
              </w:rPr>
              <w:t>3</w:t>
            </w:r>
            <w:r w:rsidRPr="00C16904">
              <w:rPr>
                <w:i w:val="0"/>
              </w:rPr>
              <w:t>–2</w:t>
            </w:r>
            <w:r w:rsidR="000A400A" w:rsidRPr="00C16904">
              <w:rPr>
                <w:i w:val="0"/>
              </w:rPr>
              <w:t>4</w:t>
            </w:r>
          </w:p>
        </w:tc>
        <w:tc>
          <w:tcPr>
            <w:tcW w:w="1621" w:type="dxa"/>
            <w:shd w:val="clear" w:color="auto" w:fill="D9D9D9" w:themeFill="background1" w:themeFillShade="D9"/>
            <w:vAlign w:val="center"/>
          </w:tcPr>
          <w:p w14:paraId="7766BAC2" w14:textId="2252B3DE" w:rsidR="005036C8" w:rsidRPr="00C16904" w:rsidRDefault="00713D20" w:rsidP="00BC3718">
            <w:pPr>
              <w:pStyle w:val="Heading6"/>
              <w:outlineLvl w:val="5"/>
              <w:cnfStyle w:val="100000000000" w:firstRow="1" w:lastRow="0" w:firstColumn="0" w:lastColumn="0" w:oddVBand="0" w:evenVBand="0" w:oddHBand="0" w:evenHBand="0" w:firstRowFirstColumn="0" w:firstRowLastColumn="0" w:lastRowFirstColumn="0" w:lastRowLastColumn="0"/>
              <w:rPr>
                <w:b w:val="0"/>
                <w:i w:val="0"/>
              </w:rPr>
            </w:pPr>
            <w:r w:rsidRPr="00C16904">
              <w:rPr>
                <w:i w:val="0"/>
              </w:rPr>
              <w:t>202</w:t>
            </w:r>
            <w:r w:rsidR="000A400A" w:rsidRPr="00C16904">
              <w:rPr>
                <w:i w:val="0"/>
              </w:rPr>
              <w:t>4</w:t>
            </w:r>
            <w:r w:rsidRPr="00C16904">
              <w:rPr>
                <w:i w:val="0"/>
              </w:rPr>
              <w:t>–2</w:t>
            </w:r>
            <w:r w:rsidR="000A400A" w:rsidRPr="00C16904">
              <w:rPr>
                <w:i w:val="0"/>
              </w:rPr>
              <w:t>5</w:t>
            </w:r>
          </w:p>
        </w:tc>
      </w:tr>
      <w:tr w:rsidR="005036C8" w:rsidRPr="009F3455" w14:paraId="02886E4C"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1509F97A" w14:textId="77777777" w:rsidR="005036C8" w:rsidRPr="009F3455" w:rsidRDefault="005036C8" w:rsidP="00BC3718">
            <w:pPr>
              <w:pStyle w:val="Title"/>
              <w:overflowPunct w:val="0"/>
              <w:textAlignment w:val="baseline"/>
              <w:rPr>
                <w:b/>
                <w:bCs/>
                <w:sz w:val="24"/>
                <w:szCs w:val="24"/>
              </w:rPr>
            </w:pPr>
            <w:r w:rsidRPr="009F3455">
              <w:rPr>
                <w:sz w:val="24"/>
                <w:szCs w:val="24"/>
              </w:rPr>
              <w:t>TK/K</w:t>
            </w:r>
          </w:p>
        </w:tc>
        <w:tc>
          <w:tcPr>
            <w:tcW w:w="1621" w:type="dxa"/>
          </w:tcPr>
          <w:p w14:paraId="3AB487CD"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ACA8C14"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76CB57C"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707AFDD5"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968BF87"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3A2C9112"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6FBFB54" w14:textId="2941B765" w:rsidR="005036C8" w:rsidRPr="009F3455" w:rsidRDefault="005036C8" w:rsidP="00BC3718">
            <w:pPr>
              <w:pStyle w:val="Title"/>
              <w:overflowPunct w:val="0"/>
              <w:textAlignment w:val="baseline"/>
              <w:rPr>
                <w:b/>
                <w:bCs/>
                <w:sz w:val="24"/>
                <w:szCs w:val="24"/>
              </w:rPr>
            </w:pPr>
            <w:r>
              <w:rPr>
                <w:sz w:val="24"/>
                <w:szCs w:val="24"/>
              </w:rPr>
              <w:t>1</w:t>
            </w:r>
          </w:p>
        </w:tc>
        <w:tc>
          <w:tcPr>
            <w:tcW w:w="1621" w:type="dxa"/>
          </w:tcPr>
          <w:p w14:paraId="4BE59551"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19E2010"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A40E545"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6A871A4"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71C77CC"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46FC274C"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AC62FB6" w14:textId="0AD52BB3" w:rsidR="005036C8" w:rsidRPr="009F3455" w:rsidRDefault="005036C8" w:rsidP="00BC3718">
            <w:pPr>
              <w:pStyle w:val="Title"/>
              <w:overflowPunct w:val="0"/>
              <w:textAlignment w:val="baseline"/>
              <w:rPr>
                <w:b/>
                <w:bCs/>
                <w:sz w:val="24"/>
                <w:szCs w:val="24"/>
              </w:rPr>
            </w:pPr>
            <w:r>
              <w:rPr>
                <w:sz w:val="24"/>
                <w:szCs w:val="24"/>
              </w:rPr>
              <w:t>2</w:t>
            </w:r>
          </w:p>
        </w:tc>
        <w:tc>
          <w:tcPr>
            <w:tcW w:w="1621" w:type="dxa"/>
          </w:tcPr>
          <w:p w14:paraId="00214099"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6B7DB24"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65EB857"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AD2B5A9"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08FC819"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6E029AD3"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27C5BA3" w14:textId="4B1F12D3" w:rsidR="005036C8" w:rsidRPr="009F3455" w:rsidRDefault="005036C8" w:rsidP="00BC3718">
            <w:pPr>
              <w:pStyle w:val="Title"/>
              <w:overflowPunct w:val="0"/>
              <w:textAlignment w:val="baseline"/>
              <w:rPr>
                <w:b/>
                <w:bCs/>
                <w:sz w:val="24"/>
                <w:szCs w:val="24"/>
              </w:rPr>
            </w:pPr>
            <w:r>
              <w:rPr>
                <w:sz w:val="24"/>
                <w:szCs w:val="24"/>
              </w:rPr>
              <w:t>3</w:t>
            </w:r>
          </w:p>
        </w:tc>
        <w:tc>
          <w:tcPr>
            <w:tcW w:w="1621" w:type="dxa"/>
          </w:tcPr>
          <w:p w14:paraId="07D44B91"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7663BADC"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B048B2C"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85BFD90"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C1B4A69"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23AAFC9A"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4FA7414" w14:textId="6BC9A455" w:rsidR="005036C8" w:rsidRPr="009F3455" w:rsidRDefault="005036C8" w:rsidP="00BC3718">
            <w:pPr>
              <w:pStyle w:val="Title"/>
              <w:overflowPunct w:val="0"/>
              <w:textAlignment w:val="baseline"/>
              <w:rPr>
                <w:b/>
                <w:bCs/>
                <w:sz w:val="24"/>
                <w:szCs w:val="24"/>
              </w:rPr>
            </w:pPr>
            <w:r>
              <w:rPr>
                <w:sz w:val="24"/>
                <w:szCs w:val="24"/>
              </w:rPr>
              <w:t>4</w:t>
            </w:r>
          </w:p>
        </w:tc>
        <w:tc>
          <w:tcPr>
            <w:tcW w:w="1621" w:type="dxa"/>
          </w:tcPr>
          <w:p w14:paraId="474424F7"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C4B01C2"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48F23C8"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25C5AE5"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C17AF40"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0F7D7F67"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1A95BF6" w14:textId="20E05B40" w:rsidR="005036C8" w:rsidRPr="009F3455" w:rsidRDefault="005036C8" w:rsidP="00BC3718">
            <w:pPr>
              <w:pStyle w:val="Title"/>
              <w:overflowPunct w:val="0"/>
              <w:textAlignment w:val="baseline"/>
              <w:rPr>
                <w:b/>
                <w:bCs/>
                <w:sz w:val="24"/>
                <w:szCs w:val="24"/>
              </w:rPr>
            </w:pPr>
            <w:r>
              <w:rPr>
                <w:sz w:val="24"/>
                <w:szCs w:val="24"/>
              </w:rPr>
              <w:t>5</w:t>
            </w:r>
          </w:p>
        </w:tc>
        <w:tc>
          <w:tcPr>
            <w:tcW w:w="1621" w:type="dxa"/>
          </w:tcPr>
          <w:p w14:paraId="0939D92B" w14:textId="77777777" w:rsidR="005036C8" w:rsidRPr="009F3455" w:rsidRDefault="0061373A"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B4CF036"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1A7F3D4"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341C5EF"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D534B53"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01AC5617"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C8D5A7F" w14:textId="1E53EF8A" w:rsidR="005036C8" w:rsidRPr="009F3455" w:rsidRDefault="005036C8" w:rsidP="00BC3718">
            <w:pPr>
              <w:pStyle w:val="Title"/>
              <w:overflowPunct w:val="0"/>
              <w:textAlignment w:val="baseline"/>
              <w:rPr>
                <w:b/>
                <w:bCs/>
                <w:sz w:val="24"/>
                <w:szCs w:val="24"/>
              </w:rPr>
            </w:pPr>
            <w:r>
              <w:rPr>
                <w:sz w:val="24"/>
                <w:szCs w:val="24"/>
              </w:rPr>
              <w:t>6</w:t>
            </w:r>
          </w:p>
        </w:tc>
        <w:tc>
          <w:tcPr>
            <w:tcW w:w="1621" w:type="dxa"/>
          </w:tcPr>
          <w:p w14:paraId="35D5B04D" w14:textId="11B6B0F7"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1D93E9B" w14:textId="5922ACB2"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643A8D5" w14:textId="675B7064"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CB0DC21" w14:textId="1B52AAEC"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7F9B548" w14:textId="6849282A"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207201E9"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B6F560B" w14:textId="062BD202" w:rsidR="005036C8" w:rsidRPr="009F3455" w:rsidRDefault="005036C8" w:rsidP="00BC3718">
            <w:pPr>
              <w:pStyle w:val="Title"/>
              <w:overflowPunct w:val="0"/>
              <w:textAlignment w:val="baseline"/>
              <w:rPr>
                <w:b/>
                <w:bCs/>
                <w:sz w:val="24"/>
                <w:szCs w:val="24"/>
              </w:rPr>
            </w:pPr>
            <w:r>
              <w:rPr>
                <w:sz w:val="24"/>
                <w:szCs w:val="24"/>
              </w:rPr>
              <w:t>7</w:t>
            </w:r>
          </w:p>
        </w:tc>
        <w:tc>
          <w:tcPr>
            <w:tcW w:w="1621" w:type="dxa"/>
          </w:tcPr>
          <w:p w14:paraId="0944CBDA" w14:textId="19AEC697"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F4D2B3C" w14:textId="5C3A4E97"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E8069C0" w14:textId="3EDC9078"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F65B321" w14:textId="36A731B7"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B95E4A9" w14:textId="05BD5B46"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00CB99BC"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0C00B4E" w14:textId="3C1D2BA0" w:rsidR="005036C8" w:rsidRPr="009F3455" w:rsidRDefault="005036C8" w:rsidP="00BC3718">
            <w:pPr>
              <w:pStyle w:val="Title"/>
              <w:overflowPunct w:val="0"/>
              <w:textAlignment w:val="baseline"/>
              <w:rPr>
                <w:b/>
                <w:bCs/>
                <w:sz w:val="24"/>
                <w:szCs w:val="24"/>
              </w:rPr>
            </w:pPr>
            <w:r>
              <w:rPr>
                <w:sz w:val="24"/>
                <w:szCs w:val="24"/>
              </w:rPr>
              <w:t>8</w:t>
            </w:r>
          </w:p>
        </w:tc>
        <w:tc>
          <w:tcPr>
            <w:tcW w:w="1621" w:type="dxa"/>
          </w:tcPr>
          <w:p w14:paraId="727E89FF" w14:textId="712C3DE0"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7B80F398" w14:textId="034196AB"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D0E0715" w14:textId="48B7C97A"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E3263A8" w14:textId="5B3A9AD4"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E25F242" w14:textId="16583BCD"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7EDB2635"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1DD566EA" w14:textId="3E9BAA23" w:rsidR="005036C8" w:rsidRPr="009F3455" w:rsidRDefault="005036C8" w:rsidP="00BC3718">
            <w:pPr>
              <w:pStyle w:val="Title"/>
              <w:overflowPunct w:val="0"/>
              <w:textAlignment w:val="baseline"/>
              <w:rPr>
                <w:b/>
                <w:bCs/>
                <w:sz w:val="24"/>
                <w:szCs w:val="24"/>
              </w:rPr>
            </w:pPr>
            <w:r>
              <w:rPr>
                <w:sz w:val="24"/>
                <w:szCs w:val="24"/>
              </w:rPr>
              <w:t>9</w:t>
            </w:r>
          </w:p>
        </w:tc>
        <w:tc>
          <w:tcPr>
            <w:tcW w:w="1621" w:type="dxa"/>
          </w:tcPr>
          <w:p w14:paraId="1ED9D988" w14:textId="10012970"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267AF011" w14:textId="147AD691"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c>
          <w:tcPr>
            <w:tcW w:w="1621" w:type="dxa"/>
          </w:tcPr>
          <w:p w14:paraId="55587A1A" w14:textId="2B196A0C"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c>
          <w:tcPr>
            <w:tcW w:w="1621" w:type="dxa"/>
          </w:tcPr>
          <w:p w14:paraId="3E51294D" w14:textId="39855CE3"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c>
          <w:tcPr>
            <w:tcW w:w="1621" w:type="dxa"/>
          </w:tcPr>
          <w:p w14:paraId="4AAA35B4" w14:textId="4187AD4E"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r>
      <w:tr w:rsidR="005036C8" w:rsidRPr="009F3455" w14:paraId="5EDEEACA"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3855CE11" w14:textId="77777777" w:rsidR="005036C8" w:rsidRPr="009F3455" w:rsidRDefault="005036C8" w:rsidP="00BC3718">
            <w:pPr>
              <w:pStyle w:val="Title"/>
              <w:overflowPunct w:val="0"/>
              <w:textAlignment w:val="baseline"/>
              <w:rPr>
                <w:b/>
                <w:bCs/>
                <w:sz w:val="24"/>
                <w:szCs w:val="24"/>
              </w:rPr>
            </w:pPr>
            <w:r>
              <w:rPr>
                <w:sz w:val="24"/>
                <w:szCs w:val="24"/>
              </w:rPr>
              <w:t>10</w:t>
            </w:r>
          </w:p>
        </w:tc>
        <w:tc>
          <w:tcPr>
            <w:tcW w:w="1621" w:type="dxa"/>
          </w:tcPr>
          <w:p w14:paraId="4ECF441B"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074A929" w14:textId="105E871A"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168A4C35" w14:textId="35E9CE96"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c>
          <w:tcPr>
            <w:tcW w:w="1621" w:type="dxa"/>
          </w:tcPr>
          <w:p w14:paraId="529A5D94" w14:textId="16427496"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c>
          <w:tcPr>
            <w:tcW w:w="1621" w:type="dxa"/>
          </w:tcPr>
          <w:p w14:paraId="0704D152" w14:textId="0B8E957B"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r>
      <w:tr w:rsidR="005036C8" w:rsidRPr="009F3455" w14:paraId="7FF21B7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8E22379" w14:textId="77777777" w:rsidR="005036C8" w:rsidRPr="009F3455" w:rsidRDefault="005036C8" w:rsidP="00BC3718">
            <w:pPr>
              <w:pStyle w:val="Title"/>
              <w:overflowPunct w:val="0"/>
              <w:textAlignment w:val="baseline"/>
              <w:rPr>
                <w:b/>
                <w:bCs/>
                <w:sz w:val="24"/>
                <w:szCs w:val="24"/>
              </w:rPr>
            </w:pPr>
            <w:r>
              <w:rPr>
                <w:sz w:val="24"/>
                <w:szCs w:val="24"/>
              </w:rPr>
              <w:t>11</w:t>
            </w:r>
          </w:p>
        </w:tc>
        <w:tc>
          <w:tcPr>
            <w:tcW w:w="1621" w:type="dxa"/>
          </w:tcPr>
          <w:p w14:paraId="06779581"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4AF2059"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D78CFCC" w14:textId="2E235D92"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5EC89A4D" w14:textId="0A17B4FE"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c>
          <w:tcPr>
            <w:tcW w:w="1621" w:type="dxa"/>
          </w:tcPr>
          <w:p w14:paraId="50D469F7" w14:textId="731D4052"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r>
      <w:tr w:rsidR="005036C8" w:rsidRPr="009F3455" w14:paraId="1BB639AB"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0613C1C7" w14:textId="77777777" w:rsidR="005036C8" w:rsidRPr="009F3455" w:rsidRDefault="005036C8" w:rsidP="00BC3718">
            <w:pPr>
              <w:pStyle w:val="Title"/>
              <w:overflowPunct w:val="0"/>
              <w:textAlignment w:val="baseline"/>
              <w:rPr>
                <w:b/>
                <w:bCs/>
                <w:sz w:val="24"/>
                <w:szCs w:val="24"/>
              </w:rPr>
            </w:pPr>
            <w:r>
              <w:rPr>
                <w:sz w:val="24"/>
                <w:szCs w:val="24"/>
              </w:rPr>
              <w:t>12</w:t>
            </w:r>
          </w:p>
        </w:tc>
        <w:tc>
          <w:tcPr>
            <w:tcW w:w="1621" w:type="dxa"/>
          </w:tcPr>
          <w:p w14:paraId="3EFDAF5B"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53D1B83"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455482F" w14:textId="77777777" w:rsidR="005036C8" w:rsidRPr="009F3455" w:rsidRDefault="006331CF" w:rsidP="00BC3718">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6BEF383" w14:textId="7009B995"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2690CA86" w14:textId="2B6F44F5"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150</w:t>
            </w:r>
          </w:p>
        </w:tc>
      </w:tr>
      <w:tr w:rsidR="005036C8" w:rsidRPr="009F3455" w14:paraId="7623957F"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38CF176F" w14:textId="77777777" w:rsidR="005036C8" w:rsidRPr="009F3455" w:rsidRDefault="005036C8" w:rsidP="00BC3718">
            <w:pPr>
              <w:pStyle w:val="Title"/>
              <w:overflowPunct w:val="0"/>
              <w:textAlignment w:val="baseline"/>
              <w:rPr>
                <w:b/>
                <w:bCs/>
                <w:sz w:val="24"/>
                <w:szCs w:val="24"/>
              </w:rPr>
            </w:pPr>
            <w:r>
              <w:rPr>
                <w:sz w:val="24"/>
                <w:szCs w:val="24"/>
              </w:rPr>
              <w:t>Total</w:t>
            </w:r>
          </w:p>
        </w:tc>
        <w:tc>
          <w:tcPr>
            <w:tcW w:w="1621" w:type="dxa"/>
          </w:tcPr>
          <w:p w14:paraId="7BC2CDA5" w14:textId="595C723A"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7B58285A" w14:textId="765998FA"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260</w:t>
            </w:r>
          </w:p>
        </w:tc>
        <w:tc>
          <w:tcPr>
            <w:tcW w:w="1621" w:type="dxa"/>
          </w:tcPr>
          <w:p w14:paraId="0010F6D1" w14:textId="76BF4B63"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410</w:t>
            </w:r>
          </w:p>
        </w:tc>
        <w:tc>
          <w:tcPr>
            <w:tcW w:w="1621" w:type="dxa"/>
          </w:tcPr>
          <w:p w14:paraId="25D9559E" w14:textId="4FEC8C09"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560</w:t>
            </w:r>
          </w:p>
        </w:tc>
        <w:tc>
          <w:tcPr>
            <w:tcW w:w="1621" w:type="dxa"/>
          </w:tcPr>
          <w:p w14:paraId="1DB64FE4" w14:textId="5FD1BEC4" w:rsidR="005036C8" w:rsidRPr="009F3455" w:rsidRDefault="00276624" w:rsidP="00BC3718">
            <w:pPr>
              <w:jc w:val="center"/>
              <w:cnfStyle w:val="000000000000" w:firstRow="0" w:lastRow="0" w:firstColumn="0" w:lastColumn="0" w:oddVBand="0" w:evenVBand="0" w:oddHBand="0" w:evenHBand="0" w:firstRowFirstColumn="0" w:firstRowLastColumn="0" w:lastRowFirstColumn="0" w:lastRowLastColumn="0"/>
            </w:pPr>
            <w:r>
              <w:t>600</w:t>
            </w:r>
          </w:p>
        </w:tc>
      </w:tr>
    </w:tbl>
    <w:p w14:paraId="535041D2" w14:textId="77777777" w:rsidR="005036C8" w:rsidRPr="00173F0F" w:rsidRDefault="005036C8" w:rsidP="007F164F">
      <w:pPr>
        <w:pStyle w:val="Heading3"/>
      </w:pPr>
      <w:r w:rsidRPr="00173F0F">
        <w:lastRenderedPageBreak/>
        <w:t>Proposed Location</w:t>
      </w:r>
    </w:p>
    <w:p w14:paraId="48FA0562" w14:textId="0956E5A5" w:rsidR="005036C8" w:rsidRPr="00003E48" w:rsidRDefault="002C06B6" w:rsidP="00BC3718">
      <w:r>
        <w:t xml:space="preserve">T.I.M.E. (Teamwork, Individualization, Mastery, and Extension) Community School (TCS) </w:t>
      </w:r>
      <w:r w:rsidR="006331CF">
        <w:t xml:space="preserve">proposes to locate in the neighborhoods of </w:t>
      </w:r>
      <w:r w:rsidR="00C81B43" w:rsidRPr="0012362E">
        <w:t xml:space="preserve">the </w:t>
      </w:r>
      <w:r w:rsidR="0012362E" w:rsidRPr="0012362E">
        <w:t xml:space="preserve">Montebello </w:t>
      </w:r>
      <w:r w:rsidR="00C81B43" w:rsidRPr="0012362E">
        <w:t>Unified School District (</w:t>
      </w:r>
      <w:r w:rsidR="0012362E" w:rsidRPr="0012362E">
        <w:t>M</w:t>
      </w:r>
      <w:r w:rsidR="00C81B43" w:rsidRPr="0012362E">
        <w:t>USD)</w:t>
      </w:r>
      <w:r w:rsidR="00F46C1D">
        <w:t xml:space="preserve"> </w:t>
      </w:r>
      <w:r w:rsidR="00C06F90">
        <w:t>on</w:t>
      </w:r>
      <w:r w:rsidR="00F46C1D">
        <w:t xml:space="preserve"> a private leased facility.</w:t>
      </w:r>
    </w:p>
    <w:p w14:paraId="3AAD5040" w14:textId="77777777" w:rsidR="005036C8" w:rsidRDefault="005036C8" w:rsidP="007F164F">
      <w:pPr>
        <w:pStyle w:val="Heading3"/>
      </w:pPr>
      <w:r w:rsidRPr="00003E48">
        <w:t>Brief History</w:t>
      </w:r>
    </w:p>
    <w:p w14:paraId="51436BA9" w14:textId="78D73726" w:rsidR="002C06B6" w:rsidRDefault="002C06B6" w:rsidP="00BC3718">
      <w:pPr>
        <w:spacing w:after="240"/>
      </w:pPr>
      <w:r w:rsidRPr="0012362E">
        <w:t>On August 26, 2019, the petitioner submitted the TCS petition to</w:t>
      </w:r>
      <w:r>
        <w:t xml:space="preserve"> </w:t>
      </w:r>
      <w:r w:rsidRPr="0012362E">
        <w:t>MU</w:t>
      </w:r>
      <w:r>
        <w:t>SD</w:t>
      </w:r>
      <w:r w:rsidRPr="0012362E">
        <w:t>. O</w:t>
      </w:r>
      <w:bookmarkStart w:id="0" w:name="_Hlk37326099"/>
      <w:r w:rsidRPr="0012362E">
        <w:t>n</w:t>
      </w:r>
      <w:r>
        <w:t xml:space="preserve"> </w:t>
      </w:r>
      <w:r w:rsidR="00150F4A">
        <w:br/>
      </w:r>
      <w:r>
        <w:t xml:space="preserve">October 23, 2019, MUSD voted to deny the TCS petition by a vote of </w:t>
      </w:r>
      <w:r w:rsidRPr="005B2671">
        <w:t>four to zero.</w:t>
      </w:r>
      <w:r>
        <w:t xml:space="preserve"> On November 12, 2019, the petitioner submitted the TCS petition to the</w:t>
      </w:r>
      <w:r w:rsidRPr="0012362E">
        <w:t xml:space="preserve"> Los Angeles County </w:t>
      </w:r>
      <w:r>
        <w:t xml:space="preserve">Office </w:t>
      </w:r>
      <w:r w:rsidRPr="0012362E">
        <w:t>of Education</w:t>
      </w:r>
      <w:r>
        <w:t>. On January 14, 2020, the Los Angeles County Board of Education (LACBOE) voted to amend the motion to approve</w:t>
      </w:r>
      <w:r w:rsidRPr="0095676E">
        <w:t xml:space="preserve"> t</w:t>
      </w:r>
      <w:r>
        <w:t xml:space="preserve">he Superintendent’s </w:t>
      </w:r>
      <w:r w:rsidR="00150F4A" w:rsidRPr="00C4771F">
        <w:t>r</w:t>
      </w:r>
      <w:r w:rsidRPr="00C4771F">
        <w:t>ecommendation</w:t>
      </w:r>
      <w:r>
        <w:t xml:space="preserve"> to </w:t>
      </w:r>
      <w:r w:rsidRPr="0095676E">
        <w:t>den</w:t>
      </w:r>
      <w:r>
        <w:t>y</w:t>
      </w:r>
      <w:r w:rsidRPr="0095676E">
        <w:t xml:space="preserve"> </w:t>
      </w:r>
      <w:r w:rsidR="00150F4A">
        <w:t xml:space="preserve">the </w:t>
      </w:r>
      <w:r>
        <w:t>TCS</w:t>
      </w:r>
      <w:r w:rsidR="00150F4A">
        <w:t xml:space="preserve"> petition</w:t>
      </w:r>
      <w:r>
        <w:t>. The California Department of Education (CDE) notes that LACBOE</w:t>
      </w:r>
      <w:r w:rsidRPr="0095676E">
        <w:t xml:space="preserve"> only adopt</w:t>
      </w:r>
      <w:r>
        <w:t>ed</w:t>
      </w:r>
      <w:r w:rsidRPr="0095676E">
        <w:t xml:space="preserve"> Finding 2, Indicator 2 (Budget Plan</w:t>
      </w:r>
      <w:r>
        <w:t>[</w:t>
      </w:r>
      <w:r w:rsidRPr="0095676E">
        <w:t>s</w:t>
      </w:r>
      <w:r>
        <w:t>]</w:t>
      </w:r>
      <w:r w:rsidRPr="0095676E">
        <w:t xml:space="preserve"> Deficiencies)</w:t>
      </w:r>
      <w:r>
        <w:t xml:space="preserve"> of the staff report (Attachment 7).</w:t>
      </w:r>
      <w:r w:rsidRPr="0095676E">
        <w:t xml:space="preserve"> </w:t>
      </w:r>
      <w:r>
        <w:t xml:space="preserve">LACBOE denied the TCS petition by a vote </w:t>
      </w:r>
      <w:r w:rsidRPr="005B2671">
        <w:t>of five to one.</w:t>
      </w:r>
    </w:p>
    <w:p w14:paraId="7D9CBB76" w14:textId="04BEA329" w:rsidR="00D771BA" w:rsidRPr="00003E48" w:rsidRDefault="002C06B6" w:rsidP="00BC3718">
      <w:pPr>
        <w:spacing w:after="100" w:afterAutospacing="1"/>
      </w:pPr>
      <w:r w:rsidRPr="008D6C7A">
        <w:t xml:space="preserve">The petitioner submitted </w:t>
      </w:r>
      <w:r>
        <w:t xml:space="preserve">the TCS </w:t>
      </w:r>
      <w:r w:rsidRPr="008D6C7A">
        <w:t xml:space="preserve">petition to the </w:t>
      </w:r>
      <w:r>
        <w:t>State Board of Education (SBE)</w:t>
      </w:r>
      <w:r w:rsidRPr="008D6C7A">
        <w:t xml:space="preserve"> on March 6, 2020.</w:t>
      </w:r>
      <w:bookmarkEnd w:id="0"/>
    </w:p>
    <w:p w14:paraId="00D0AC3C" w14:textId="77777777" w:rsidR="005036C8" w:rsidRDefault="00C81B43" w:rsidP="007F164F">
      <w:pPr>
        <w:pStyle w:val="Heading3"/>
      </w:pPr>
      <w:r>
        <w:t>Lead Petitioner</w:t>
      </w:r>
    </w:p>
    <w:p w14:paraId="606C31C4" w14:textId="6859D7C3" w:rsidR="005036C8" w:rsidRDefault="0012362E" w:rsidP="00BC3718">
      <w:r>
        <w:t>Dr. Gabriel Ramirez</w:t>
      </w:r>
      <w:r w:rsidR="00C81B43">
        <w:t>, Founding Leader</w:t>
      </w:r>
    </w:p>
    <w:p w14:paraId="31BE2058" w14:textId="77777777" w:rsidR="005036C8" w:rsidRDefault="005036C8" w:rsidP="00BC3718">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14:paraId="0EE8E439" w14:textId="77777777" w:rsidTr="002C06B6">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tcPr>
          <w:p w14:paraId="65EBA3BD" w14:textId="77777777" w:rsidR="002A7438" w:rsidRPr="00F75838" w:rsidRDefault="002A7438" w:rsidP="00BC3718">
            <w:pPr>
              <w:pStyle w:val="Heading7"/>
              <w:framePr w:hSpace="0" w:wrap="auto" w:vAnchor="margin" w:hAnchor="text" w:xAlign="left" w:yAlign="inline"/>
              <w:outlineLvl w:val="6"/>
              <w:rPr>
                <w:b/>
              </w:rPr>
            </w:pPr>
            <w:r w:rsidRPr="00F75838">
              <w:rPr>
                <w:b/>
              </w:rPr>
              <w:t>Charter Requirements Pursuant to California</w:t>
            </w:r>
          </w:p>
          <w:p w14:paraId="1BF56659" w14:textId="77777777" w:rsidR="002A7438" w:rsidRPr="00F75838" w:rsidRDefault="002A7438" w:rsidP="00BC3718">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tcPr>
          <w:p w14:paraId="30643242" w14:textId="77777777" w:rsidR="002A7438" w:rsidRPr="00F75838" w:rsidRDefault="002A7438" w:rsidP="00BC3718">
            <w:pPr>
              <w:pStyle w:val="Heading7"/>
              <w:framePr w:hSpace="0" w:wrap="auto" w:vAnchor="margin" w:hAnchor="text" w:xAlign="left" w:yAlign="inline"/>
              <w:outlineLvl w:val="6"/>
              <w:rPr>
                <w:b/>
              </w:rPr>
            </w:pPr>
            <w:r w:rsidRPr="00F75838">
              <w:rPr>
                <w:b/>
              </w:rPr>
              <w:t>Meets Requirements</w:t>
            </w:r>
          </w:p>
        </w:tc>
      </w:tr>
      <w:tr w:rsidR="0012799E" w:rsidRPr="00F75838" w14:paraId="54C900F3" w14:textId="77777777" w:rsidTr="002C06B6">
        <w:trPr>
          <w:cantSplit/>
          <w:trHeight w:val="288"/>
        </w:trPr>
        <w:tc>
          <w:tcPr>
            <w:tcW w:w="7718" w:type="dxa"/>
          </w:tcPr>
          <w:p w14:paraId="178814CF" w14:textId="77777777" w:rsidR="0012799E" w:rsidRPr="00F75838" w:rsidRDefault="0012799E" w:rsidP="00BC3718">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14:paraId="5A930238" w14:textId="77777777" w:rsidR="0012799E" w:rsidRPr="00F75838" w:rsidRDefault="0012799E" w:rsidP="00BC3718">
            <w:pPr>
              <w:jc w:val="center"/>
              <w:rPr>
                <w:rFonts w:eastAsia="Times New Roman" w:cs="Times New Roman"/>
              </w:rPr>
            </w:pPr>
            <w:r w:rsidRPr="00F75838">
              <w:rPr>
                <w:rFonts w:eastAsia="Times New Roman" w:cs="Times New Roman"/>
              </w:rPr>
              <w:t>Yes</w:t>
            </w:r>
          </w:p>
        </w:tc>
      </w:tr>
      <w:tr w:rsidR="0012799E" w:rsidRPr="00F75838" w14:paraId="4124443E" w14:textId="77777777" w:rsidTr="002C06B6">
        <w:trPr>
          <w:cantSplit/>
          <w:trHeight w:val="288"/>
        </w:trPr>
        <w:tc>
          <w:tcPr>
            <w:tcW w:w="7718" w:type="dxa"/>
          </w:tcPr>
          <w:p w14:paraId="431981FC" w14:textId="2085FBE4" w:rsidR="0012799E" w:rsidRPr="00F75838" w:rsidRDefault="0012799E" w:rsidP="00BC3718">
            <w:pPr>
              <w:rPr>
                <w:rFonts w:eastAsia="Times New Roman" w:cs="Times New Roman"/>
              </w:rPr>
            </w:pPr>
            <w:r w:rsidRPr="00F75838">
              <w:rPr>
                <w:rFonts w:eastAsia="Times New Roman" w:cs="Times New Roman"/>
              </w:rPr>
              <w:t>Ability to Successfully Implement the Intended Program (</w:t>
            </w:r>
            <w:r w:rsidRPr="00F75838">
              <w:rPr>
                <w:rFonts w:eastAsia="Times New Roman" w:cs="Times New Roman"/>
                <w:i/>
              </w:rPr>
              <w:t>EC</w:t>
            </w:r>
            <w:r w:rsidRPr="00F75838">
              <w:rPr>
                <w:rFonts w:eastAsia="Times New Roman" w:cs="Times New Roman"/>
              </w:rPr>
              <w:t xml:space="preserve"> Section 47605[b][2])</w:t>
            </w:r>
          </w:p>
        </w:tc>
        <w:tc>
          <w:tcPr>
            <w:tcW w:w="1817" w:type="dxa"/>
            <w:shd w:val="clear" w:color="auto" w:fill="auto"/>
          </w:tcPr>
          <w:p w14:paraId="449C743E" w14:textId="0EAFA0D7" w:rsidR="00455D9E" w:rsidRPr="005B2671" w:rsidRDefault="008741EF" w:rsidP="00BC3718">
            <w:pPr>
              <w:jc w:val="center"/>
              <w:rPr>
                <w:rFonts w:eastAsia="Times New Roman" w:cs="Times New Roman"/>
              </w:rPr>
            </w:pPr>
            <w:r w:rsidRPr="00A95559">
              <w:rPr>
                <w:rFonts w:eastAsia="Times New Roman" w:cs="Times New Roman"/>
              </w:rPr>
              <w:t>No</w:t>
            </w:r>
          </w:p>
        </w:tc>
      </w:tr>
      <w:tr w:rsidR="0012799E" w:rsidRPr="00F75838" w14:paraId="3FAD1244" w14:textId="77777777" w:rsidTr="002C06B6">
        <w:trPr>
          <w:cantSplit/>
          <w:trHeight w:val="288"/>
        </w:trPr>
        <w:tc>
          <w:tcPr>
            <w:tcW w:w="7718" w:type="dxa"/>
          </w:tcPr>
          <w:p w14:paraId="275AD092" w14:textId="77777777" w:rsidR="0012799E" w:rsidRPr="00F75838" w:rsidRDefault="0012799E" w:rsidP="00BC3718">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tcPr>
          <w:p w14:paraId="620046E8"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460560E8" w14:textId="77777777" w:rsidTr="002C06B6">
        <w:trPr>
          <w:cantSplit/>
          <w:trHeight w:val="288"/>
        </w:trPr>
        <w:tc>
          <w:tcPr>
            <w:tcW w:w="7718" w:type="dxa"/>
          </w:tcPr>
          <w:p w14:paraId="6DA28854" w14:textId="77777777" w:rsidR="0012799E" w:rsidRPr="00F75838" w:rsidRDefault="0012799E" w:rsidP="00BC3718">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shd w:val="clear" w:color="auto" w:fill="auto"/>
          </w:tcPr>
          <w:p w14:paraId="0F54DF40" w14:textId="1767858A" w:rsidR="0012799E" w:rsidRPr="00F75838" w:rsidRDefault="00455D9E" w:rsidP="00BC3718">
            <w:pPr>
              <w:jc w:val="center"/>
              <w:rPr>
                <w:rFonts w:eastAsia="Times New Roman" w:cs="Times New Roman"/>
              </w:rPr>
            </w:pPr>
            <w:r>
              <w:rPr>
                <w:rFonts w:eastAsia="Times New Roman" w:cs="Times New Roman"/>
              </w:rPr>
              <w:t>Yes</w:t>
            </w:r>
          </w:p>
        </w:tc>
      </w:tr>
      <w:tr w:rsidR="0012799E" w:rsidRPr="00F75838" w14:paraId="6D9F4424" w14:textId="77777777" w:rsidTr="002C06B6">
        <w:trPr>
          <w:cantSplit/>
          <w:trHeight w:val="288"/>
        </w:trPr>
        <w:tc>
          <w:tcPr>
            <w:tcW w:w="7718" w:type="dxa"/>
          </w:tcPr>
          <w:p w14:paraId="57638922" w14:textId="07030778" w:rsidR="0012799E" w:rsidRPr="00F75838" w:rsidRDefault="0012799E" w:rsidP="00BC3718">
            <w:pPr>
              <w:rPr>
                <w:rFonts w:eastAsia="Times New Roman" w:cs="Times New Roman"/>
              </w:rPr>
            </w:pPr>
            <w:r w:rsidRPr="00F75838">
              <w:rPr>
                <w:rFonts w:eastAsia="Times New Roman" w:cs="Times New Roman"/>
              </w:rPr>
              <w:t xml:space="preserve">Exclusive </w:t>
            </w:r>
            <w:r w:rsidR="00E31347" w:rsidRPr="00F75838">
              <w:rPr>
                <w:rFonts w:eastAsia="Times New Roman" w:cs="Times New Roman"/>
              </w:rPr>
              <w:t>Public-School</w:t>
            </w:r>
            <w:r w:rsidRPr="00F75838">
              <w:rPr>
                <w:rFonts w:eastAsia="Times New Roman" w:cs="Times New Roman"/>
              </w:rPr>
              <w:t xml:space="preserve"> Employer (</w:t>
            </w:r>
            <w:r w:rsidRPr="00F75838">
              <w:rPr>
                <w:rFonts w:eastAsia="Times New Roman" w:cs="Times New Roman"/>
                <w:i/>
              </w:rPr>
              <w:t>EC</w:t>
            </w:r>
            <w:r w:rsidRPr="00F75838">
              <w:rPr>
                <w:rFonts w:eastAsia="Times New Roman" w:cs="Times New Roman"/>
              </w:rPr>
              <w:t xml:space="preserve"> Section 47605[b][6])</w:t>
            </w:r>
          </w:p>
        </w:tc>
        <w:tc>
          <w:tcPr>
            <w:tcW w:w="1817" w:type="dxa"/>
          </w:tcPr>
          <w:p w14:paraId="2090C9ED"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7FE3C6D1" w14:textId="77777777" w:rsidTr="002C06B6">
        <w:trPr>
          <w:cantSplit/>
          <w:trHeight w:val="288"/>
        </w:trPr>
        <w:tc>
          <w:tcPr>
            <w:tcW w:w="7718" w:type="dxa"/>
          </w:tcPr>
          <w:p w14:paraId="1205F804"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tcPr>
          <w:p w14:paraId="0A086A54"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73C9E970" w14:textId="77777777" w:rsidTr="002C06B6">
        <w:trPr>
          <w:cantSplit/>
          <w:trHeight w:val="288"/>
        </w:trPr>
        <w:tc>
          <w:tcPr>
            <w:tcW w:w="7718" w:type="dxa"/>
          </w:tcPr>
          <w:p w14:paraId="604F49DE"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shd w:val="clear" w:color="auto" w:fill="auto"/>
          </w:tcPr>
          <w:p w14:paraId="5CD1B2EC" w14:textId="6F56E91C" w:rsidR="0012799E" w:rsidRPr="00B21B7B" w:rsidRDefault="002A24D5" w:rsidP="00BC3718">
            <w:pPr>
              <w:jc w:val="center"/>
              <w:rPr>
                <w:rFonts w:eastAsia="Times New Roman" w:cs="Times New Roman"/>
              </w:rPr>
            </w:pPr>
            <w:r w:rsidRPr="00B21B7B">
              <w:rPr>
                <w:rFonts w:eastAsia="Times New Roman" w:cs="Times New Roman"/>
              </w:rPr>
              <w:t>No</w:t>
            </w:r>
          </w:p>
        </w:tc>
      </w:tr>
      <w:tr w:rsidR="0012799E" w:rsidRPr="00F75838" w14:paraId="7BD240A1" w14:textId="77777777" w:rsidTr="002C06B6">
        <w:trPr>
          <w:cantSplit/>
          <w:trHeight w:val="288"/>
        </w:trPr>
        <w:tc>
          <w:tcPr>
            <w:tcW w:w="7718" w:type="dxa"/>
          </w:tcPr>
          <w:p w14:paraId="240D687F"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shd w:val="clear" w:color="auto" w:fill="auto"/>
          </w:tcPr>
          <w:p w14:paraId="316E9EE3" w14:textId="65D4C7B3" w:rsidR="0012799E" w:rsidRPr="00B21B7B" w:rsidRDefault="008A127C" w:rsidP="00BC3718">
            <w:pPr>
              <w:jc w:val="center"/>
              <w:rPr>
                <w:rFonts w:eastAsia="Times New Roman" w:cs="Times New Roman"/>
              </w:rPr>
            </w:pPr>
            <w:r w:rsidRPr="00B21B7B">
              <w:rPr>
                <w:rFonts w:eastAsia="Times New Roman" w:cs="Times New Roman"/>
              </w:rPr>
              <w:t>Yes</w:t>
            </w:r>
          </w:p>
        </w:tc>
      </w:tr>
      <w:tr w:rsidR="0012799E" w:rsidRPr="00F75838" w14:paraId="5957070F" w14:textId="77777777" w:rsidTr="002C06B6">
        <w:trPr>
          <w:cantSplit/>
          <w:trHeight w:val="288"/>
        </w:trPr>
        <w:tc>
          <w:tcPr>
            <w:tcW w:w="7718" w:type="dxa"/>
          </w:tcPr>
          <w:p w14:paraId="4C065C58"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shd w:val="clear" w:color="auto" w:fill="FFFFFF" w:themeFill="background1"/>
          </w:tcPr>
          <w:p w14:paraId="2B117F8D" w14:textId="6467CFBA" w:rsidR="0012799E" w:rsidRPr="008277E0" w:rsidRDefault="008277E0" w:rsidP="00BC3718">
            <w:pPr>
              <w:jc w:val="center"/>
              <w:rPr>
                <w:rFonts w:eastAsia="Times New Roman" w:cs="Times New Roman"/>
                <w:bCs/>
                <w:iCs/>
              </w:rPr>
            </w:pPr>
            <w:r>
              <w:rPr>
                <w:rFonts w:eastAsia="Times New Roman" w:cs="Times New Roman"/>
                <w:bCs/>
                <w:iCs/>
              </w:rPr>
              <w:t>Y</w:t>
            </w:r>
            <w:r w:rsidRPr="008277E0">
              <w:rPr>
                <w:rFonts w:eastAsia="Times New Roman" w:cs="Times New Roman"/>
                <w:bCs/>
                <w:iCs/>
              </w:rPr>
              <w:t>es</w:t>
            </w:r>
          </w:p>
        </w:tc>
      </w:tr>
      <w:tr w:rsidR="0012799E" w:rsidRPr="00F75838" w14:paraId="370923D0" w14:textId="77777777" w:rsidTr="002C06B6">
        <w:trPr>
          <w:cantSplit/>
          <w:trHeight w:val="288"/>
        </w:trPr>
        <w:tc>
          <w:tcPr>
            <w:tcW w:w="7718" w:type="dxa"/>
          </w:tcPr>
          <w:p w14:paraId="7AB6A52F"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tcPr>
          <w:p w14:paraId="4BEBFB01"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78C828DE" w14:textId="77777777" w:rsidTr="002C06B6">
        <w:trPr>
          <w:cantSplit/>
          <w:trHeight w:val="288"/>
        </w:trPr>
        <w:tc>
          <w:tcPr>
            <w:tcW w:w="7718" w:type="dxa"/>
          </w:tcPr>
          <w:p w14:paraId="74AFC338"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shd w:val="clear" w:color="auto" w:fill="auto"/>
          </w:tcPr>
          <w:p w14:paraId="15E12153" w14:textId="2F0C6F9C" w:rsidR="0012799E" w:rsidRPr="00F75838" w:rsidRDefault="00455D9E" w:rsidP="00BC3718">
            <w:pPr>
              <w:jc w:val="center"/>
              <w:rPr>
                <w:rFonts w:eastAsia="Times New Roman" w:cs="Times New Roman"/>
              </w:rPr>
            </w:pPr>
            <w:r>
              <w:rPr>
                <w:rFonts w:eastAsia="Times New Roman" w:cs="Times New Roman"/>
              </w:rPr>
              <w:t>Yes</w:t>
            </w:r>
          </w:p>
        </w:tc>
      </w:tr>
      <w:tr w:rsidR="0012799E" w:rsidRPr="00F75838" w14:paraId="67111D0C" w14:textId="77777777" w:rsidTr="002C06B6">
        <w:trPr>
          <w:cantSplit/>
          <w:trHeight w:val="288"/>
        </w:trPr>
        <w:tc>
          <w:tcPr>
            <w:tcW w:w="7718" w:type="dxa"/>
          </w:tcPr>
          <w:p w14:paraId="31D4C3EF"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tcPr>
          <w:p w14:paraId="4A6D8842"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347098F6" w14:textId="77777777" w:rsidTr="002C06B6">
        <w:trPr>
          <w:cantSplit/>
          <w:trHeight w:val="288"/>
        </w:trPr>
        <w:tc>
          <w:tcPr>
            <w:tcW w:w="7718" w:type="dxa"/>
          </w:tcPr>
          <w:p w14:paraId="169443BB"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tcPr>
          <w:p w14:paraId="50F725C3"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1C52B796" w14:textId="77777777" w:rsidTr="002C06B6">
        <w:trPr>
          <w:cantSplit/>
          <w:trHeight w:val="288"/>
        </w:trPr>
        <w:tc>
          <w:tcPr>
            <w:tcW w:w="7718" w:type="dxa"/>
          </w:tcPr>
          <w:p w14:paraId="5EA8D727"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tcPr>
          <w:p w14:paraId="0E52DF71" w14:textId="47D605FA" w:rsidR="0012799E" w:rsidRPr="00F75838" w:rsidRDefault="006534C3" w:rsidP="00BC3718">
            <w:pPr>
              <w:jc w:val="center"/>
              <w:rPr>
                <w:rFonts w:eastAsia="Times New Roman" w:cs="Times New Roman"/>
              </w:rPr>
            </w:pPr>
            <w:r>
              <w:rPr>
                <w:rFonts w:eastAsia="Times New Roman" w:cs="Times New Roman"/>
              </w:rPr>
              <w:t>Yes</w:t>
            </w:r>
          </w:p>
        </w:tc>
      </w:tr>
      <w:tr w:rsidR="0012799E" w:rsidRPr="00F75838" w14:paraId="5238701A" w14:textId="77777777" w:rsidTr="002C06B6">
        <w:trPr>
          <w:cantSplit/>
          <w:trHeight w:val="288"/>
        </w:trPr>
        <w:tc>
          <w:tcPr>
            <w:tcW w:w="7718" w:type="dxa"/>
          </w:tcPr>
          <w:p w14:paraId="2C59BE8C"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shd w:val="clear" w:color="auto" w:fill="auto"/>
          </w:tcPr>
          <w:p w14:paraId="09EFDE86" w14:textId="1FCA615A" w:rsidR="0012799E" w:rsidRPr="00F75838" w:rsidRDefault="007111BC" w:rsidP="00BC3718">
            <w:pPr>
              <w:jc w:val="center"/>
              <w:rPr>
                <w:rFonts w:eastAsia="Times New Roman" w:cs="Times New Roman"/>
              </w:rPr>
            </w:pPr>
            <w:r>
              <w:rPr>
                <w:rFonts w:eastAsia="Times New Roman" w:cs="Times New Roman"/>
              </w:rPr>
              <w:t>No</w:t>
            </w:r>
          </w:p>
        </w:tc>
      </w:tr>
      <w:tr w:rsidR="0012799E" w:rsidRPr="00F75838" w14:paraId="080EC7A8" w14:textId="77777777" w:rsidTr="002C06B6">
        <w:trPr>
          <w:cantSplit/>
          <w:trHeight w:val="288"/>
        </w:trPr>
        <w:tc>
          <w:tcPr>
            <w:tcW w:w="7718" w:type="dxa"/>
          </w:tcPr>
          <w:p w14:paraId="5A3182D7"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tcPr>
          <w:p w14:paraId="38755370" w14:textId="3B05DE4B" w:rsidR="0012799E" w:rsidRPr="008277E0" w:rsidRDefault="008277E0" w:rsidP="00BC3718">
            <w:pPr>
              <w:jc w:val="center"/>
              <w:rPr>
                <w:rFonts w:eastAsia="Times New Roman" w:cs="Times New Roman"/>
                <w:bCs/>
                <w:iCs/>
              </w:rPr>
            </w:pPr>
            <w:r w:rsidRPr="008277E0">
              <w:rPr>
                <w:rFonts w:eastAsia="Times New Roman" w:cs="Times New Roman"/>
                <w:bCs/>
                <w:iCs/>
              </w:rPr>
              <w:t>Yes</w:t>
            </w:r>
          </w:p>
        </w:tc>
      </w:tr>
      <w:tr w:rsidR="0012799E" w:rsidRPr="00F75838" w14:paraId="27B9CE2B" w14:textId="77777777" w:rsidTr="002C06B6">
        <w:trPr>
          <w:cantSplit/>
          <w:trHeight w:val="288"/>
        </w:trPr>
        <w:tc>
          <w:tcPr>
            <w:tcW w:w="7718" w:type="dxa"/>
          </w:tcPr>
          <w:p w14:paraId="3A0E34F3"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tcPr>
          <w:p w14:paraId="4E121B9A"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3B1EA291" w14:textId="77777777" w:rsidTr="002C06B6">
        <w:trPr>
          <w:cantSplit/>
          <w:trHeight w:val="288"/>
        </w:trPr>
        <w:tc>
          <w:tcPr>
            <w:tcW w:w="7718" w:type="dxa"/>
          </w:tcPr>
          <w:p w14:paraId="1E271EB1"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tcPr>
          <w:p w14:paraId="5DD12253"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4194EBB5" w14:textId="77777777" w:rsidTr="002C06B6">
        <w:trPr>
          <w:cantSplit/>
          <w:trHeight w:val="288"/>
        </w:trPr>
        <w:tc>
          <w:tcPr>
            <w:tcW w:w="7718" w:type="dxa"/>
          </w:tcPr>
          <w:p w14:paraId="214F7B68"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shd w:val="clear" w:color="auto" w:fill="FFFFFF" w:themeFill="background1"/>
          </w:tcPr>
          <w:p w14:paraId="013DF963" w14:textId="53FAFDF4" w:rsidR="0012799E" w:rsidRPr="008277E0" w:rsidRDefault="008277E0" w:rsidP="00BC3718">
            <w:pPr>
              <w:jc w:val="center"/>
              <w:rPr>
                <w:rFonts w:eastAsia="Times New Roman" w:cs="Times New Roman"/>
                <w:bCs/>
                <w:iCs/>
              </w:rPr>
            </w:pPr>
            <w:r>
              <w:rPr>
                <w:rFonts w:eastAsia="Times New Roman" w:cs="Times New Roman"/>
                <w:bCs/>
                <w:iCs/>
              </w:rPr>
              <w:t>No</w:t>
            </w:r>
          </w:p>
        </w:tc>
      </w:tr>
      <w:tr w:rsidR="0012799E" w:rsidRPr="00F75838" w14:paraId="5132F554" w14:textId="77777777" w:rsidTr="002C06B6">
        <w:trPr>
          <w:cantSplit/>
          <w:trHeight w:val="288"/>
        </w:trPr>
        <w:tc>
          <w:tcPr>
            <w:tcW w:w="7718" w:type="dxa"/>
          </w:tcPr>
          <w:p w14:paraId="0923670F" w14:textId="77777777" w:rsidR="0012799E" w:rsidRPr="00F75838" w:rsidRDefault="0012799E" w:rsidP="00BC3718">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tcPr>
          <w:p w14:paraId="2E356365"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7EFD0995" w14:textId="77777777" w:rsidTr="002C06B6">
        <w:trPr>
          <w:cantSplit/>
          <w:trHeight w:val="288"/>
        </w:trPr>
        <w:tc>
          <w:tcPr>
            <w:tcW w:w="7718" w:type="dxa"/>
          </w:tcPr>
          <w:p w14:paraId="2AFA76FA" w14:textId="77777777" w:rsidR="0012799E" w:rsidRPr="00F75838" w:rsidRDefault="0012799E" w:rsidP="00BC3718">
            <w:pPr>
              <w:rPr>
                <w:rFonts w:eastAsia="Times New Roman" w:cs="Times New Roman"/>
              </w:rPr>
            </w:pPr>
            <w:r w:rsidRPr="00F75838">
              <w:rPr>
                <w:rFonts w:eastAsia="Times New Roman" w:cs="Times New Roman"/>
              </w:rPr>
              <w:t xml:space="preserve">Standards, Assessments, and Parent Consultation </w:t>
            </w:r>
          </w:p>
          <w:p w14:paraId="65B31807" w14:textId="77777777" w:rsidR="0012799E" w:rsidRPr="00F75838" w:rsidRDefault="0012799E" w:rsidP="00BC3718">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tcPr>
          <w:p w14:paraId="22ADC220"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51C31575" w14:textId="77777777" w:rsidTr="002C06B6">
        <w:trPr>
          <w:cantSplit/>
          <w:trHeight w:val="288"/>
        </w:trPr>
        <w:tc>
          <w:tcPr>
            <w:tcW w:w="7718" w:type="dxa"/>
          </w:tcPr>
          <w:p w14:paraId="4C658FAA" w14:textId="77777777" w:rsidR="0012799E" w:rsidRPr="00F75838" w:rsidRDefault="0012799E" w:rsidP="00BC3718">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tcPr>
          <w:p w14:paraId="6F455462"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6F122048" w14:textId="77777777" w:rsidTr="002C06B6">
        <w:trPr>
          <w:cantSplit/>
          <w:trHeight w:val="288"/>
        </w:trPr>
        <w:tc>
          <w:tcPr>
            <w:tcW w:w="7718" w:type="dxa"/>
          </w:tcPr>
          <w:p w14:paraId="441B0C09" w14:textId="77777777" w:rsidR="0012799E" w:rsidRPr="00F75838" w:rsidRDefault="0012799E" w:rsidP="00BC3718">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tcPr>
          <w:p w14:paraId="5CA989A3"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2CF8FE9F" w14:textId="77777777" w:rsidTr="002C06B6">
        <w:trPr>
          <w:cantSplit/>
          <w:trHeight w:val="288"/>
        </w:trPr>
        <w:tc>
          <w:tcPr>
            <w:tcW w:w="7718" w:type="dxa"/>
          </w:tcPr>
          <w:p w14:paraId="256D63D7" w14:textId="77777777" w:rsidR="0012799E" w:rsidRPr="00F75838" w:rsidRDefault="0012799E" w:rsidP="00BC3718">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tcPr>
          <w:p w14:paraId="709C0858" w14:textId="77777777" w:rsidR="0012799E" w:rsidRPr="00F75838" w:rsidRDefault="00325512" w:rsidP="00BC3718">
            <w:pPr>
              <w:jc w:val="center"/>
              <w:rPr>
                <w:rFonts w:eastAsia="Times New Roman" w:cs="Times New Roman"/>
              </w:rPr>
            </w:pPr>
            <w:r>
              <w:rPr>
                <w:rFonts w:eastAsia="Times New Roman" w:cs="Times New Roman"/>
              </w:rPr>
              <w:t>Yes</w:t>
            </w:r>
          </w:p>
        </w:tc>
      </w:tr>
      <w:tr w:rsidR="0012799E" w:rsidRPr="00F75838" w14:paraId="46171319" w14:textId="77777777" w:rsidTr="002C06B6">
        <w:trPr>
          <w:cantSplit/>
          <w:trHeight w:val="288"/>
        </w:trPr>
        <w:tc>
          <w:tcPr>
            <w:tcW w:w="7718" w:type="dxa"/>
          </w:tcPr>
          <w:p w14:paraId="674CEDE7" w14:textId="77777777" w:rsidR="0012799E" w:rsidRPr="00F75838" w:rsidRDefault="0012799E" w:rsidP="00BC3718">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tcPr>
          <w:p w14:paraId="0D4FB673" w14:textId="70DF9255" w:rsidR="000938A7" w:rsidRPr="00F75838" w:rsidRDefault="000938A7" w:rsidP="00BC3718">
            <w:pPr>
              <w:jc w:val="center"/>
              <w:rPr>
                <w:rFonts w:eastAsia="Times New Roman" w:cs="Times New Roman"/>
              </w:rPr>
            </w:pPr>
            <w:r>
              <w:rPr>
                <w:rFonts w:eastAsia="Times New Roman" w:cs="Times New Roman"/>
              </w:rPr>
              <w:t>No</w:t>
            </w:r>
          </w:p>
        </w:tc>
      </w:tr>
      <w:tr w:rsidR="0012799E" w:rsidRPr="00F75838" w14:paraId="30CEB5C3" w14:textId="77777777" w:rsidTr="002C06B6">
        <w:trPr>
          <w:cantSplit/>
          <w:trHeight w:val="288"/>
        </w:trPr>
        <w:tc>
          <w:tcPr>
            <w:tcW w:w="7718" w:type="dxa"/>
          </w:tcPr>
          <w:p w14:paraId="7E447E32" w14:textId="77777777" w:rsidR="0012799E" w:rsidRPr="00F75838" w:rsidRDefault="0012799E" w:rsidP="00BC3718">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tcPr>
          <w:p w14:paraId="24AA3562" w14:textId="7348BFB1" w:rsidR="0012799E" w:rsidRPr="00F75838" w:rsidRDefault="006534C3" w:rsidP="00BC3718">
            <w:pPr>
              <w:jc w:val="center"/>
              <w:rPr>
                <w:rFonts w:eastAsia="Times New Roman" w:cs="Times New Roman"/>
              </w:rPr>
            </w:pPr>
            <w:r>
              <w:rPr>
                <w:rFonts w:eastAsia="Times New Roman" w:cs="Times New Roman"/>
              </w:rPr>
              <w:t>Yes</w:t>
            </w:r>
          </w:p>
        </w:tc>
      </w:tr>
    </w:tbl>
    <w:p w14:paraId="051FC66C" w14:textId="77777777" w:rsidR="005036C8" w:rsidRPr="00DE5907" w:rsidRDefault="005036C8" w:rsidP="007F164F">
      <w:pPr>
        <w:pStyle w:val="Heading2"/>
      </w:pPr>
      <w:r w:rsidRPr="00027BBF">
        <w:br w:type="page"/>
      </w:r>
      <w:r w:rsidRPr="00DE5907">
        <w:lastRenderedPageBreak/>
        <w:t>REQUIREMENTS FOR STATE BOARD OF EDUCATION-AUTHORIZED CHARTER SCHOOLS</w:t>
      </w:r>
    </w:p>
    <w:p w14:paraId="2F0BC2C6" w14:textId="77777777" w:rsidR="005036C8" w:rsidRDefault="005036C8" w:rsidP="007F164F">
      <w:pPr>
        <w:pStyle w:val="Heading3"/>
        <w:rPr>
          <w:bCs/>
        </w:rPr>
      </w:pPr>
      <w:r w:rsidRPr="009F3455">
        <w:t>Sound Educational Practice</w:t>
      </w:r>
    </w:p>
    <w:p w14:paraId="713BFFD7" w14:textId="77777777" w:rsidR="005036C8" w:rsidRPr="00101FD6" w:rsidRDefault="005036C8" w:rsidP="007F164F">
      <w:pPr>
        <w:jc w:val="center"/>
      </w:pPr>
      <w:r w:rsidRPr="00101FD6">
        <w:rPr>
          <w:i/>
        </w:rPr>
        <w:t>EC</w:t>
      </w:r>
      <w:r w:rsidRPr="00101FD6">
        <w:t xml:space="preserve"> </w:t>
      </w:r>
      <w:r>
        <w:t>s</w:t>
      </w:r>
      <w:r w:rsidRPr="00101FD6">
        <w:t>ections 47605(b) and (b)(1)</w:t>
      </w:r>
    </w:p>
    <w:p w14:paraId="25D2DA1C" w14:textId="77777777" w:rsidR="005036C8" w:rsidRPr="00101FD6" w:rsidRDefault="005036C8" w:rsidP="007F164F">
      <w:pPr>
        <w:autoSpaceDE w:val="0"/>
        <w:autoSpaceDN w:val="0"/>
        <w:adjustRightInd w:val="0"/>
        <w:jc w:val="center"/>
        <w:rPr>
          <w:bCs/>
        </w:rPr>
      </w:pPr>
      <w:r w:rsidRPr="00101FD6">
        <w:t xml:space="preserve">5 </w:t>
      </w:r>
      <w:r w:rsidRPr="00101FD6">
        <w:rPr>
          <w:i/>
        </w:rPr>
        <w:t>C</w:t>
      </w:r>
      <w:r w:rsidR="00FE5C08">
        <w:rPr>
          <w:i/>
        </w:rPr>
        <w:t xml:space="preserve">alifornia </w:t>
      </w:r>
      <w:r w:rsidRPr="00101FD6">
        <w:rPr>
          <w:i/>
        </w:rPr>
        <w:t>C</w:t>
      </w:r>
      <w:r w:rsidR="00FE5C08">
        <w:rPr>
          <w:i/>
        </w:rPr>
        <w:t xml:space="preserve">ode of </w:t>
      </w:r>
      <w:r w:rsidRPr="00101FD6">
        <w:rPr>
          <w:i/>
        </w:rPr>
        <w:t>R</w:t>
      </w:r>
      <w:r w:rsidR="00FE5C08">
        <w:rPr>
          <w:i/>
        </w:rPr>
        <w:t xml:space="preserve">egulations </w:t>
      </w:r>
      <w:r w:rsidR="00FE5C08" w:rsidRPr="00FE5C08">
        <w:t>(5</w:t>
      </w:r>
      <w:r w:rsidR="00FE5C08">
        <w:rPr>
          <w:i/>
        </w:rPr>
        <w:t xml:space="preserve"> CCR</w:t>
      </w:r>
      <w:r w:rsidR="00FE5C08" w:rsidRPr="00FE5C08">
        <w:t>)</w:t>
      </w:r>
      <w:r w:rsidRPr="00FE5C08">
        <w:t xml:space="preserve"> </w:t>
      </w:r>
      <w:r>
        <w:t>s</w:t>
      </w:r>
      <w:r w:rsidRPr="00101FD6">
        <w:t>ections 11967.5.1(a) and (b)</w:t>
      </w:r>
    </w:p>
    <w:p w14:paraId="25063984" w14:textId="77777777" w:rsidR="005036C8" w:rsidRPr="00101FD6" w:rsidRDefault="005036C8" w:rsidP="007F164F">
      <w:pPr>
        <w:pStyle w:val="Heading4"/>
      </w:pPr>
      <w:r w:rsidRPr="00101FD6">
        <w:t>Evaluation Criteria</w:t>
      </w:r>
    </w:p>
    <w:p w14:paraId="7AD95285" w14:textId="77777777" w:rsidR="005036C8" w:rsidRPr="00551342" w:rsidRDefault="005036C8" w:rsidP="007F164F">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7E3FA2C9" w14:textId="77777777" w:rsidR="005036C8" w:rsidRPr="00551342" w:rsidRDefault="005036C8" w:rsidP="007F164F">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14:paraId="6A54FD91" w14:textId="77777777" w:rsidR="005036C8" w:rsidRPr="00C6396E" w:rsidRDefault="005036C8" w:rsidP="007F164F">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14:paraId="599089F4" w14:textId="77777777" w:rsidR="005036C8" w:rsidRPr="00C6396E" w:rsidRDefault="005036C8" w:rsidP="007F164F">
      <w:pPr>
        <w:pStyle w:val="ListParagraph"/>
        <w:numPr>
          <w:ilvl w:val="0"/>
          <w:numId w:val="12"/>
        </w:numPr>
        <w:spacing w:after="240"/>
        <w:ind w:left="907" w:hanging="547"/>
      </w:pPr>
      <w:r w:rsidRPr="00C6396E">
        <w:t>A program that the SBE determines not likely to be of educational benefit to the pupils who attend.</w:t>
      </w:r>
    </w:p>
    <w:p w14:paraId="19092D29" w14:textId="77777777" w:rsidR="005036C8" w:rsidRPr="00A11206" w:rsidRDefault="005036C8" w:rsidP="007F164F">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BB6B36">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14:paraId="1016375E" w14:textId="77777777" w:rsidR="005036C8" w:rsidRPr="009F3455" w:rsidRDefault="005036C8" w:rsidP="007F164F">
      <w:pPr>
        <w:pStyle w:val="Heading4"/>
      </w:pPr>
      <w:r w:rsidRPr="00C46316">
        <w:t>Comments</w:t>
      </w:r>
    </w:p>
    <w:p w14:paraId="0BB3BD3C" w14:textId="44734C26" w:rsidR="002A24D5" w:rsidRPr="006B296B" w:rsidRDefault="006B296B" w:rsidP="007F164F">
      <w:pPr>
        <w:autoSpaceDE w:val="0"/>
        <w:autoSpaceDN w:val="0"/>
        <w:adjustRightInd w:val="0"/>
        <w:spacing w:after="100" w:afterAutospacing="1"/>
        <w:rPr>
          <w:bCs/>
        </w:rPr>
      </w:pPr>
      <w:r w:rsidRPr="006B296B">
        <w:rPr>
          <w:bCs/>
        </w:rPr>
        <w:t>TCS</w:t>
      </w:r>
      <w:r w:rsidR="002A24D5" w:rsidRPr="006B296B">
        <w:rPr>
          <w:bCs/>
        </w:rPr>
        <w:t xml:space="preserve"> intends to open in the 2020–21 school year </w:t>
      </w:r>
      <w:r w:rsidRPr="006B296B">
        <w:rPr>
          <w:color w:val="000000"/>
        </w:rPr>
        <w:t xml:space="preserve">with 110 </w:t>
      </w:r>
      <w:r w:rsidRPr="00C06F90">
        <w:rPr>
          <w:color w:val="000000"/>
        </w:rPr>
        <w:t xml:space="preserve">pupils in </w:t>
      </w:r>
      <w:r w:rsidR="002A24D5" w:rsidRPr="00C06F90">
        <w:rPr>
          <w:color w:val="000000"/>
        </w:rPr>
        <w:t xml:space="preserve">grade </w:t>
      </w:r>
      <w:r w:rsidRPr="00C06F90">
        <w:rPr>
          <w:color w:val="000000"/>
        </w:rPr>
        <w:t>nine</w:t>
      </w:r>
      <w:r w:rsidR="00C06F90">
        <w:rPr>
          <w:color w:val="000000"/>
        </w:rPr>
        <w:t xml:space="preserve"> and </w:t>
      </w:r>
      <w:r w:rsidRPr="00C06F90">
        <w:rPr>
          <w:color w:val="000000"/>
        </w:rPr>
        <w:t xml:space="preserve">add </w:t>
      </w:r>
      <w:r w:rsidR="00C06F90" w:rsidRPr="00C06F90">
        <w:rPr>
          <w:color w:val="000000"/>
        </w:rPr>
        <w:t>one grade level per year to</w:t>
      </w:r>
      <w:r w:rsidRPr="00C06F90">
        <w:rPr>
          <w:bCs/>
        </w:rPr>
        <w:t xml:space="preserve"> serve 600 pupils in grade nine through</w:t>
      </w:r>
      <w:r w:rsidR="00C06F90">
        <w:rPr>
          <w:bCs/>
        </w:rPr>
        <w:t xml:space="preserve"> grade</w:t>
      </w:r>
      <w:r w:rsidRPr="00C06F90">
        <w:rPr>
          <w:bCs/>
        </w:rPr>
        <w:t xml:space="preserve"> twelve</w:t>
      </w:r>
      <w:r w:rsidR="002A24D5" w:rsidRPr="00C06F90">
        <w:rPr>
          <w:bCs/>
        </w:rPr>
        <w:t xml:space="preserve"> in 2024–25. </w:t>
      </w:r>
      <w:r w:rsidRPr="00C06F90">
        <w:rPr>
          <w:bCs/>
        </w:rPr>
        <w:t>TCS</w:t>
      </w:r>
      <w:r w:rsidR="002A24D5" w:rsidRPr="00C06F90">
        <w:rPr>
          <w:bCs/>
        </w:rPr>
        <w:t xml:space="preserve"> intends to locate</w:t>
      </w:r>
      <w:r w:rsidRPr="00C06F90">
        <w:rPr>
          <w:bCs/>
        </w:rPr>
        <w:t xml:space="preserve"> within the boundaries of MUSD</w:t>
      </w:r>
      <w:r w:rsidR="002A24D5" w:rsidRPr="00C06F90">
        <w:rPr>
          <w:bCs/>
        </w:rPr>
        <w:t>.</w:t>
      </w:r>
    </w:p>
    <w:p w14:paraId="096F6C42" w14:textId="163D1896" w:rsidR="002A24D5" w:rsidRPr="00BD7C14" w:rsidRDefault="008A127C" w:rsidP="007F164F">
      <w:pPr>
        <w:autoSpaceDE w:val="0"/>
        <w:autoSpaceDN w:val="0"/>
        <w:adjustRightInd w:val="0"/>
        <w:spacing w:before="240" w:after="240"/>
        <w:rPr>
          <w:bCs/>
        </w:rPr>
      </w:pPr>
      <w:r>
        <w:rPr>
          <w:bCs/>
        </w:rPr>
        <w:t>The TCS mission is to provide a college preparatory program to</w:t>
      </w:r>
      <w:r w:rsidR="0093351B" w:rsidRPr="0093351B">
        <w:rPr>
          <w:bCs/>
        </w:rPr>
        <w:t xml:space="preserve"> </w:t>
      </w:r>
      <w:r w:rsidR="0093351B">
        <w:rPr>
          <w:bCs/>
        </w:rPr>
        <w:t>pupils</w:t>
      </w:r>
      <w:r>
        <w:rPr>
          <w:bCs/>
        </w:rPr>
        <w:t xml:space="preserve"> in grade nine through</w:t>
      </w:r>
      <w:r w:rsidR="002C06B6">
        <w:rPr>
          <w:bCs/>
        </w:rPr>
        <w:t xml:space="preserve"> grade</w:t>
      </w:r>
      <w:r>
        <w:rPr>
          <w:bCs/>
        </w:rPr>
        <w:t xml:space="preserve"> twelve, and</w:t>
      </w:r>
      <w:r w:rsidR="00845D9E">
        <w:rPr>
          <w:bCs/>
        </w:rPr>
        <w:t xml:space="preserve"> to develop</w:t>
      </w:r>
      <w:r>
        <w:rPr>
          <w:bCs/>
        </w:rPr>
        <w:t xml:space="preserve"> the academic, social, and political skillsets necessary for lifelong learning, critical thinking, and positive contributions to the communities in which </w:t>
      </w:r>
      <w:r w:rsidR="0093351B">
        <w:rPr>
          <w:bCs/>
        </w:rPr>
        <w:t xml:space="preserve">pupils </w:t>
      </w:r>
      <w:r>
        <w:rPr>
          <w:bCs/>
        </w:rPr>
        <w:t>live</w:t>
      </w:r>
      <w:r w:rsidR="00845D9E">
        <w:rPr>
          <w:bCs/>
        </w:rPr>
        <w:t>.</w:t>
      </w:r>
      <w:r w:rsidR="00C06F90">
        <w:rPr>
          <w:bCs/>
        </w:rPr>
        <w:t xml:space="preserve"> </w:t>
      </w:r>
      <w:r w:rsidR="001224C2">
        <w:rPr>
          <w:bCs/>
        </w:rPr>
        <w:t xml:space="preserve">One goal of TCS is to have </w:t>
      </w:r>
      <w:r w:rsidR="00C06F90">
        <w:rPr>
          <w:bCs/>
        </w:rPr>
        <w:t xml:space="preserve">graduates return to Montebello after college to support the revitalization of Montebello and become future leaders. </w:t>
      </w:r>
      <w:r w:rsidR="002A24D5" w:rsidRPr="00BD7C14">
        <w:rPr>
          <w:bCs/>
        </w:rPr>
        <w:t xml:space="preserve">The </w:t>
      </w:r>
      <w:r w:rsidR="002C06B6" w:rsidRPr="00BD7C14">
        <w:rPr>
          <w:bCs/>
        </w:rPr>
        <w:t xml:space="preserve">TCS </w:t>
      </w:r>
      <w:r w:rsidR="002A24D5" w:rsidRPr="00BD7C14">
        <w:rPr>
          <w:bCs/>
        </w:rPr>
        <w:t>petition s</w:t>
      </w:r>
      <w:r w:rsidRPr="00BD7C14">
        <w:rPr>
          <w:bCs/>
        </w:rPr>
        <w:t xml:space="preserve">tates that </w:t>
      </w:r>
      <w:r w:rsidR="00BD7C14">
        <w:rPr>
          <w:bCs/>
        </w:rPr>
        <w:t xml:space="preserve">the </w:t>
      </w:r>
      <w:r w:rsidRPr="00BD7C14">
        <w:rPr>
          <w:bCs/>
        </w:rPr>
        <w:t>TCS</w:t>
      </w:r>
      <w:r w:rsidR="00BD7C14">
        <w:rPr>
          <w:bCs/>
        </w:rPr>
        <w:t>’s</w:t>
      </w:r>
      <w:r w:rsidR="002A24D5" w:rsidRPr="00BD7C14">
        <w:rPr>
          <w:bCs/>
        </w:rPr>
        <w:t xml:space="preserve"> </w:t>
      </w:r>
      <w:r w:rsidR="00AE7CBA" w:rsidRPr="00BD7C14">
        <w:rPr>
          <w:bCs/>
        </w:rPr>
        <w:t xml:space="preserve">college preparatory program </w:t>
      </w:r>
      <w:r w:rsidR="00BD7C14" w:rsidRPr="00BD7C14">
        <w:rPr>
          <w:bCs/>
        </w:rPr>
        <w:t xml:space="preserve">consists of the following </w:t>
      </w:r>
      <w:r w:rsidR="002A24D5" w:rsidRPr="00BD7C14">
        <w:rPr>
          <w:bCs/>
        </w:rPr>
        <w:t xml:space="preserve">(Attachment 3, pp. </w:t>
      </w:r>
      <w:r w:rsidR="0059775C" w:rsidRPr="00BD7C14">
        <w:rPr>
          <w:bCs/>
        </w:rPr>
        <w:t>8</w:t>
      </w:r>
      <w:r w:rsidR="002C06B6" w:rsidRPr="00BD7C14">
        <w:rPr>
          <w:bCs/>
        </w:rPr>
        <w:t>–</w:t>
      </w:r>
      <w:r w:rsidR="0059775C" w:rsidRPr="00BD7C14">
        <w:rPr>
          <w:bCs/>
        </w:rPr>
        <w:t>12</w:t>
      </w:r>
      <w:r w:rsidR="002A24D5" w:rsidRPr="00BD7C14">
        <w:rPr>
          <w:bCs/>
        </w:rPr>
        <w:t>):</w:t>
      </w:r>
    </w:p>
    <w:p w14:paraId="1298E211" w14:textId="55E6E807" w:rsidR="002A24D5" w:rsidRPr="00BD7C14" w:rsidRDefault="008A127C" w:rsidP="007F164F">
      <w:pPr>
        <w:numPr>
          <w:ilvl w:val="0"/>
          <w:numId w:val="37"/>
        </w:numPr>
        <w:autoSpaceDE w:val="0"/>
        <w:autoSpaceDN w:val="0"/>
        <w:adjustRightInd w:val="0"/>
        <w:spacing w:before="240" w:after="240"/>
        <w:contextualSpacing/>
        <w:rPr>
          <w:bCs/>
        </w:rPr>
      </w:pPr>
      <w:r w:rsidRPr="00BD7C14">
        <w:rPr>
          <w:bCs/>
        </w:rPr>
        <w:t>University of California approved A-G courses</w:t>
      </w:r>
    </w:p>
    <w:p w14:paraId="04B67BCC" w14:textId="54E0AB9E" w:rsidR="008A127C" w:rsidRPr="00BD7C14" w:rsidRDefault="00BD7C14" w:rsidP="007F164F">
      <w:pPr>
        <w:numPr>
          <w:ilvl w:val="0"/>
          <w:numId w:val="37"/>
        </w:numPr>
        <w:autoSpaceDE w:val="0"/>
        <w:autoSpaceDN w:val="0"/>
        <w:adjustRightInd w:val="0"/>
        <w:spacing w:before="240" w:after="240"/>
        <w:contextualSpacing/>
        <w:rPr>
          <w:bCs/>
        </w:rPr>
      </w:pPr>
      <w:r w:rsidRPr="00BD7C14">
        <w:rPr>
          <w:bCs/>
        </w:rPr>
        <w:t>Preparation for</w:t>
      </w:r>
      <w:r w:rsidR="008A127C" w:rsidRPr="00BD7C14">
        <w:rPr>
          <w:bCs/>
        </w:rPr>
        <w:t xml:space="preserve"> all </w:t>
      </w:r>
      <w:r w:rsidR="0093351B" w:rsidRPr="00BD7C14">
        <w:rPr>
          <w:bCs/>
        </w:rPr>
        <w:t xml:space="preserve">pupils </w:t>
      </w:r>
      <w:r w:rsidR="008A127C" w:rsidRPr="00BD7C14">
        <w:rPr>
          <w:bCs/>
        </w:rPr>
        <w:t>to be first</w:t>
      </w:r>
      <w:r w:rsidR="00E42445" w:rsidRPr="00BD7C14">
        <w:rPr>
          <w:bCs/>
        </w:rPr>
        <w:t>-</w:t>
      </w:r>
      <w:r w:rsidR="008A127C" w:rsidRPr="00BD7C14">
        <w:rPr>
          <w:bCs/>
        </w:rPr>
        <w:t>generation college goers upon graduation</w:t>
      </w:r>
    </w:p>
    <w:p w14:paraId="15C1E097" w14:textId="3A269E15" w:rsidR="008A127C" w:rsidRPr="00BD7C14" w:rsidRDefault="00BD7C14" w:rsidP="007F164F">
      <w:pPr>
        <w:numPr>
          <w:ilvl w:val="0"/>
          <w:numId w:val="37"/>
        </w:numPr>
        <w:autoSpaceDE w:val="0"/>
        <w:autoSpaceDN w:val="0"/>
        <w:adjustRightInd w:val="0"/>
        <w:spacing w:before="240" w:after="240"/>
        <w:contextualSpacing/>
        <w:rPr>
          <w:bCs/>
        </w:rPr>
      </w:pPr>
      <w:r w:rsidRPr="00BD7C14">
        <w:rPr>
          <w:bCs/>
        </w:rPr>
        <w:lastRenderedPageBreak/>
        <w:t>T</w:t>
      </w:r>
      <w:r w:rsidR="008A127C" w:rsidRPr="00BD7C14">
        <w:rPr>
          <w:bCs/>
        </w:rPr>
        <w:t>houghtful research</w:t>
      </w:r>
      <w:r w:rsidR="00B14D35" w:rsidRPr="00BD7C14">
        <w:rPr>
          <w:bCs/>
        </w:rPr>
        <w:t>-</w:t>
      </w:r>
      <w:r w:rsidR="008A127C" w:rsidRPr="00BD7C14">
        <w:rPr>
          <w:bCs/>
        </w:rPr>
        <w:t>based family involvement efforts</w:t>
      </w:r>
    </w:p>
    <w:p w14:paraId="4E26775A" w14:textId="2FBD12E7" w:rsidR="008A127C" w:rsidRPr="00BD7C14" w:rsidRDefault="00BD7C14" w:rsidP="007F164F">
      <w:pPr>
        <w:numPr>
          <w:ilvl w:val="0"/>
          <w:numId w:val="37"/>
        </w:numPr>
        <w:autoSpaceDE w:val="0"/>
        <w:autoSpaceDN w:val="0"/>
        <w:adjustRightInd w:val="0"/>
        <w:spacing w:before="240" w:after="240"/>
        <w:contextualSpacing/>
        <w:rPr>
          <w:bCs/>
        </w:rPr>
      </w:pPr>
      <w:r w:rsidRPr="00BD7C14">
        <w:rPr>
          <w:bCs/>
        </w:rPr>
        <w:t>C</w:t>
      </w:r>
      <w:r w:rsidR="008A127C" w:rsidRPr="00BD7C14">
        <w:rPr>
          <w:bCs/>
        </w:rPr>
        <w:t>ultural diversity</w:t>
      </w:r>
      <w:r w:rsidRPr="00BD7C14">
        <w:rPr>
          <w:bCs/>
        </w:rPr>
        <w:t xml:space="preserve"> celebration</w:t>
      </w:r>
    </w:p>
    <w:p w14:paraId="2537F783" w14:textId="056DAF54" w:rsidR="00840A3E" w:rsidRPr="00BD7C14" w:rsidRDefault="00BD7C14" w:rsidP="007F164F">
      <w:pPr>
        <w:numPr>
          <w:ilvl w:val="0"/>
          <w:numId w:val="37"/>
        </w:numPr>
        <w:autoSpaceDE w:val="0"/>
        <w:autoSpaceDN w:val="0"/>
        <w:adjustRightInd w:val="0"/>
        <w:spacing w:before="240" w:after="240"/>
        <w:rPr>
          <w:bCs/>
        </w:rPr>
      </w:pPr>
      <w:r w:rsidRPr="00BD7C14">
        <w:rPr>
          <w:bCs/>
        </w:rPr>
        <w:t>A</w:t>
      </w:r>
      <w:r w:rsidR="008A127C" w:rsidRPr="00BD7C14">
        <w:rPr>
          <w:bCs/>
        </w:rPr>
        <w:t xml:space="preserve"> cadre of suppo</w:t>
      </w:r>
      <w:r w:rsidR="00840A3E" w:rsidRPr="00BD7C14">
        <w:rPr>
          <w:bCs/>
        </w:rPr>
        <w:t>rt structures and interventions</w:t>
      </w:r>
    </w:p>
    <w:p w14:paraId="7E86F04D" w14:textId="66C29B9F" w:rsidR="004E7032" w:rsidRDefault="008A127C" w:rsidP="007F164F">
      <w:pPr>
        <w:autoSpaceDE w:val="0"/>
        <w:autoSpaceDN w:val="0"/>
        <w:adjustRightInd w:val="0"/>
        <w:spacing w:before="240" w:after="240"/>
        <w:rPr>
          <w:bCs/>
        </w:rPr>
      </w:pPr>
      <w:r>
        <w:rPr>
          <w:bCs/>
        </w:rPr>
        <w:t>TCS</w:t>
      </w:r>
      <w:r w:rsidR="002A24D5" w:rsidRPr="008A127C">
        <w:rPr>
          <w:bCs/>
        </w:rPr>
        <w:t xml:space="preserve"> will implement the </w:t>
      </w:r>
      <w:r w:rsidRPr="008A127C">
        <w:rPr>
          <w:bCs/>
        </w:rPr>
        <w:t>T.I.M.E</w:t>
      </w:r>
      <w:r w:rsidR="00B532B3">
        <w:rPr>
          <w:bCs/>
        </w:rPr>
        <w:t xml:space="preserve">. </w:t>
      </w:r>
      <w:r w:rsidRPr="008A127C">
        <w:rPr>
          <w:bCs/>
        </w:rPr>
        <w:t xml:space="preserve">Learning Model to develop, nurture, strengthen, and better serve all </w:t>
      </w:r>
      <w:r w:rsidR="0093351B">
        <w:rPr>
          <w:bCs/>
        </w:rPr>
        <w:t>pupils</w:t>
      </w:r>
      <w:r w:rsidRPr="008A127C">
        <w:rPr>
          <w:bCs/>
        </w:rPr>
        <w:t>.</w:t>
      </w:r>
      <w:r w:rsidR="004E7032">
        <w:rPr>
          <w:bCs/>
        </w:rPr>
        <w:t xml:space="preserve"> The</w:t>
      </w:r>
      <w:r w:rsidR="00E42445">
        <w:rPr>
          <w:bCs/>
        </w:rPr>
        <w:t xml:space="preserve"> TCS</w:t>
      </w:r>
      <w:r w:rsidR="004E7032">
        <w:rPr>
          <w:bCs/>
        </w:rPr>
        <w:t xml:space="preserve"> petition states </w:t>
      </w:r>
      <w:r w:rsidR="008662A9">
        <w:rPr>
          <w:bCs/>
        </w:rPr>
        <w:t>that teamwork</w:t>
      </w:r>
      <w:r w:rsidR="004E7032">
        <w:rPr>
          <w:bCs/>
        </w:rPr>
        <w:t xml:space="preserve"> </w:t>
      </w:r>
      <w:r w:rsidR="0076578D">
        <w:rPr>
          <w:bCs/>
        </w:rPr>
        <w:t xml:space="preserve">is </w:t>
      </w:r>
      <w:r w:rsidR="004E7032">
        <w:rPr>
          <w:bCs/>
        </w:rPr>
        <w:t xml:space="preserve">a tenet of </w:t>
      </w:r>
      <w:r w:rsidR="00E42445">
        <w:rPr>
          <w:bCs/>
        </w:rPr>
        <w:t>the T.I.M.E.</w:t>
      </w:r>
      <w:r w:rsidR="004E7032">
        <w:rPr>
          <w:bCs/>
        </w:rPr>
        <w:t xml:space="preserve"> </w:t>
      </w:r>
      <w:r w:rsidR="00E42445">
        <w:rPr>
          <w:bCs/>
        </w:rPr>
        <w:t xml:space="preserve">Learning Model </w:t>
      </w:r>
      <w:r w:rsidR="004E7032">
        <w:rPr>
          <w:bCs/>
        </w:rPr>
        <w:t>that is premised on the idea that two heads are better than one and that the pupil is the primary focus of instructio</w:t>
      </w:r>
      <w:r w:rsidR="00D05D68">
        <w:rPr>
          <w:bCs/>
        </w:rPr>
        <w:t xml:space="preserve">n who will benefit </w:t>
      </w:r>
      <w:r w:rsidR="00E42445">
        <w:rPr>
          <w:bCs/>
        </w:rPr>
        <w:t xml:space="preserve">in </w:t>
      </w:r>
      <w:r w:rsidR="00D05D68">
        <w:rPr>
          <w:bCs/>
        </w:rPr>
        <w:t xml:space="preserve">the following ways in collaborative learning </w:t>
      </w:r>
      <w:r w:rsidR="009A3F4F">
        <w:rPr>
          <w:bCs/>
        </w:rPr>
        <w:t>(Attachment 3, p</w:t>
      </w:r>
      <w:r w:rsidR="00220ED5">
        <w:rPr>
          <w:bCs/>
        </w:rPr>
        <w:t>.</w:t>
      </w:r>
      <w:r w:rsidR="00E42445">
        <w:rPr>
          <w:bCs/>
        </w:rPr>
        <w:t xml:space="preserve"> </w:t>
      </w:r>
      <w:r w:rsidR="00220ED5">
        <w:rPr>
          <w:bCs/>
        </w:rPr>
        <w:t>18</w:t>
      </w:r>
      <w:r w:rsidR="009A3F4F">
        <w:rPr>
          <w:bCs/>
        </w:rPr>
        <w:t>)</w:t>
      </w:r>
      <w:r w:rsidR="004E7032">
        <w:rPr>
          <w:bCs/>
        </w:rPr>
        <w:t>:</w:t>
      </w:r>
    </w:p>
    <w:p w14:paraId="19E03A5B" w14:textId="3E14C145" w:rsidR="004E7032" w:rsidRDefault="004E7032" w:rsidP="007F164F">
      <w:pPr>
        <w:pStyle w:val="ListParagraph"/>
        <w:numPr>
          <w:ilvl w:val="0"/>
          <w:numId w:val="42"/>
        </w:numPr>
        <w:autoSpaceDE w:val="0"/>
        <w:autoSpaceDN w:val="0"/>
        <w:adjustRightInd w:val="0"/>
        <w:spacing w:before="240" w:after="240"/>
        <w:rPr>
          <w:bCs/>
        </w:rPr>
      </w:pPr>
      <w:r>
        <w:rPr>
          <w:bCs/>
        </w:rPr>
        <w:t>Development of higher-level thinking, oral communication, self-management, and leadership skills</w:t>
      </w:r>
    </w:p>
    <w:p w14:paraId="686B7721" w14:textId="3D4743F1" w:rsidR="004E7032" w:rsidRDefault="004E7032" w:rsidP="007F164F">
      <w:pPr>
        <w:pStyle w:val="ListParagraph"/>
        <w:numPr>
          <w:ilvl w:val="0"/>
          <w:numId w:val="42"/>
        </w:numPr>
        <w:autoSpaceDE w:val="0"/>
        <w:autoSpaceDN w:val="0"/>
        <w:adjustRightInd w:val="0"/>
        <w:spacing w:before="240" w:after="240"/>
        <w:rPr>
          <w:bCs/>
        </w:rPr>
      </w:pPr>
      <w:r>
        <w:rPr>
          <w:bCs/>
        </w:rPr>
        <w:t>Promotion of pupil-faculty interaction</w:t>
      </w:r>
    </w:p>
    <w:p w14:paraId="066DF7DA" w14:textId="72064027" w:rsidR="004E7032" w:rsidRDefault="004E7032" w:rsidP="007F164F">
      <w:pPr>
        <w:pStyle w:val="ListParagraph"/>
        <w:numPr>
          <w:ilvl w:val="0"/>
          <w:numId w:val="42"/>
        </w:numPr>
        <w:autoSpaceDE w:val="0"/>
        <w:autoSpaceDN w:val="0"/>
        <w:adjustRightInd w:val="0"/>
        <w:spacing w:before="240" w:after="240"/>
        <w:rPr>
          <w:bCs/>
        </w:rPr>
      </w:pPr>
      <w:r>
        <w:rPr>
          <w:bCs/>
        </w:rPr>
        <w:t>Increase in student retention, self-esteem, and responsibility</w:t>
      </w:r>
    </w:p>
    <w:p w14:paraId="700307E4" w14:textId="74D7FC92" w:rsidR="004E7032" w:rsidRDefault="004E7032" w:rsidP="007F164F">
      <w:pPr>
        <w:pStyle w:val="ListParagraph"/>
        <w:numPr>
          <w:ilvl w:val="0"/>
          <w:numId w:val="42"/>
        </w:numPr>
        <w:autoSpaceDE w:val="0"/>
        <w:autoSpaceDN w:val="0"/>
        <w:adjustRightInd w:val="0"/>
        <w:spacing w:before="240" w:after="240"/>
        <w:rPr>
          <w:bCs/>
        </w:rPr>
      </w:pPr>
      <w:r>
        <w:rPr>
          <w:bCs/>
        </w:rPr>
        <w:t>Exposure to and an increase in understanding of diverse perspectives</w:t>
      </w:r>
    </w:p>
    <w:p w14:paraId="4EDE8A32" w14:textId="1D01562A" w:rsidR="00346939" w:rsidRDefault="004E7032" w:rsidP="007F164F">
      <w:pPr>
        <w:pStyle w:val="ListParagraph"/>
        <w:numPr>
          <w:ilvl w:val="0"/>
          <w:numId w:val="42"/>
        </w:numPr>
        <w:autoSpaceDE w:val="0"/>
        <w:autoSpaceDN w:val="0"/>
        <w:adjustRightInd w:val="0"/>
        <w:spacing w:before="240" w:after="240"/>
        <w:rPr>
          <w:bCs/>
        </w:rPr>
      </w:pPr>
      <w:r>
        <w:rPr>
          <w:bCs/>
        </w:rPr>
        <w:t>Preparation for real life social and employment situations</w:t>
      </w:r>
    </w:p>
    <w:p w14:paraId="34A04CB2" w14:textId="252DFC88" w:rsidR="002A24D5" w:rsidRPr="00346939" w:rsidRDefault="008A127C" w:rsidP="007F164F">
      <w:pPr>
        <w:autoSpaceDE w:val="0"/>
        <w:autoSpaceDN w:val="0"/>
        <w:adjustRightInd w:val="0"/>
        <w:spacing w:before="240" w:after="240"/>
        <w:rPr>
          <w:bCs/>
        </w:rPr>
      </w:pPr>
      <w:r w:rsidRPr="00346939">
        <w:rPr>
          <w:bCs/>
        </w:rPr>
        <w:t xml:space="preserve">To maximize the effectiveness of the </w:t>
      </w:r>
      <w:r w:rsidR="00E42445">
        <w:rPr>
          <w:bCs/>
        </w:rPr>
        <w:t xml:space="preserve">T.I.M.E. Learning </w:t>
      </w:r>
      <w:r w:rsidRPr="00346939">
        <w:rPr>
          <w:bCs/>
        </w:rPr>
        <w:t xml:space="preserve">Model, TCS will build time into the learning process for </w:t>
      </w:r>
      <w:r w:rsidR="0093351B">
        <w:rPr>
          <w:bCs/>
        </w:rPr>
        <w:t xml:space="preserve">pupils </w:t>
      </w:r>
      <w:r w:rsidRPr="00346939">
        <w:rPr>
          <w:bCs/>
        </w:rPr>
        <w:t xml:space="preserve">to think critically, work in teams, and create products that reflect their best work </w:t>
      </w:r>
      <w:r w:rsidR="002A24D5" w:rsidRPr="00346939">
        <w:rPr>
          <w:bCs/>
        </w:rPr>
        <w:t>(Attachment 3, p</w:t>
      </w:r>
      <w:r w:rsidR="002A24D5" w:rsidRPr="00D62E52">
        <w:rPr>
          <w:bCs/>
        </w:rPr>
        <w:t xml:space="preserve">. </w:t>
      </w:r>
      <w:r w:rsidRPr="00D62E52">
        <w:rPr>
          <w:bCs/>
        </w:rPr>
        <w:t>1</w:t>
      </w:r>
      <w:r w:rsidR="00D62E52" w:rsidRPr="00D62E52">
        <w:rPr>
          <w:bCs/>
        </w:rPr>
        <w:t>8</w:t>
      </w:r>
      <w:r w:rsidR="002F3E09">
        <w:rPr>
          <w:bCs/>
        </w:rPr>
        <w:t>)</w:t>
      </w:r>
      <w:r w:rsidRPr="00D62E52">
        <w:rPr>
          <w:bCs/>
        </w:rPr>
        <w:t>.</w:t>
      </w:r>
    </w:p>
    <w:p w14:paraId="759FB195" w14:textId="78127522" w:rsidR="000B0F6B" w:rsidRPr="008662A9" w:rsidRDefault="00223A67" w:rsidP="007F164F">
      <w:pPr>
        <w:pStyle w:val="Heading5"/>
      </w:pPr>
      <w:r w:rsidRPr="008662A9">
        <w:t>Professional Development</w:t>
      </w:r>
    </w:p>
    <w:p w14:paraId="1AA1449E" w14:textId="339E94FE" w:rsidR="00223A67" w:rsidRDefault="003612D9" w:rsidP="00BC3718">
      <w:pPr>
        <w:autoSpaceDE w:val="0"/>
        <w:autoSpaceDN w:val="0"/>
        <w:adjustRightInd w:val="0"/>
        <w:spacing w:before="240" w:after="240"/>
        <w:rPr>
          <w:bCs/>
        </w:rPr>
      </w:pPr>
      <w:r>
        <w:rPr>
          <w:bCs/>
        </w:rPr>
        <w:t>The</w:t>
      </w:r>
      <w:r w:rsidR="00E42445">
        <w:rPr>
          <w:bCs/>
        </w:rPr>
        <w:t xml:space="preserve"> TCS</w:t>
      </w:r>
      <w:r>
        <w:rPr>
          <w:bCs/>
        </w:rPr>
        <w:t xml:space="preserve"> petition states that TCS is committed to building the capacity of all of its faculty and staff by providing high-quality professional development, </w:t>
      </w:r>
      <w:r w:rsidR="005D4367">
        <w:rPr>
          <w:bCs/>
        </w:rPr>
        <w:t>along with the opportunity to belong to a professional learning community. The following principles will guide all professional development opportunities</w:t>
      </w:r>
      <w:r w:rsidR="005B061D">
        <w:rPr>
          <w:bCs/>
        </w:rPr>
        <w:t xml:space="preserve"> (Attachment 3, p. </w:t>
      </w:r>
      <w:r w:rsidR="005D5316">
        <w:rPr>
          <w:bCs/>
        </w:rPr>
        <w:t>75</w:t>
      </w:r>
      <w:r w:rsidR="005B061D">
        <w:rPr>
          <w:bCs/>
        </w:rPr>
        <w:t>)</w:t>
      </w:r>
      <w:r w:rsidR="005D4367">
        <w:rPr>
          <w:bCs/>
        </w:rPr>
        <w:t>:</w:t>
      </w:r>
    </w:p>
    <w:p w14:paraId="6985E81E" w14:textId="57535D1A" w:rsidR="005D4367" w:rsidRDefault="005D4367" w:rsidP="00BC3718">
      <w:pPr>
        <w:pStyle w:val="ListParagraph"/>
        <w:numPr>
          <w:ilvl w:val="0"/>
          <w:numId w:val="43"/>
        </w:numPr>
        <w:autoSpaceDE w:val="0"/>
        <w:autoSpaceDN w:val="0"/>
        <w:adjustRightInd w:val="0"/>
        <w:spacing w:before="240" w:after="240"/>
        <w:contextualSpacing/>
        <w:rPr>
          <w:bCs/>
        </w:rPr>
      </w:pPr>
      <w:r>
        <w:rPr>
          <w:bCs/>
        </w:rPr>
        <w:t>Instructional change is a long multistage process</w:t>
      </w:r>
    </w:p>
    <w:p w14:paraId="5564F1D7" w14:textId="3427921A" w:rsidR="005D4367" w:rsidRDefault="005D4367" w:rsidP="00BC3718">
      <w:pPr>
        <w:pStyle w:val="ListParagraph"/>
        <w:numPr>
          <w:ilvl w:val="0"/>
          <w:numId w:val="43"/>
        </w:numPr>
        <w:autoSpaceDE w:val="0"/>
        <w:autoSpaceDN w:val="0"/>
        <w:adjustRightInd w:val="0"/>
        <w:spacing w:before="240" w:after="240"/>
        <w:contextualSpacing/>
        <w:rPr>
          <w:bCs/>
        </w:rPr>
      </w:pPr>
      <w:r>
        <w:rPr>
          <w:bCs/>
        </w:rPr>
        <w:t>Shared expertise is the driver of instructional change</w:t>
      </w:r>
    </w:p>
    <w:p w14:paraId="51131414" w14:textId="70207ADC" w:rsidR="005D4367" w:rsidRDefault="005D4367" w:rsidP="00BC3718">
      <w:pPr>
        <w:pStyle w:val="ListParagraph"/>
        <w:numPr>
          <w:ilvl w:val="0"/>
          <w:numId w:val="43"/>
        </w:numPr>
        <w:autoSpaceDE w:val="0"/>
        <w:autoSpaceDN w:val="0"/>
        <w:adjustRightInd w:val="0"/>
        <w:spacing w:before="240" w:after="240"/>
        <w:contextualSpacing/>
        <w:rPr>
          <w:bCs/>
        </w:rPr>
      </w:pPr>
      <w:r>
        <w:rPr>
          <w:bCs/>
        </w:rPr>
        <w:t>A focus on system-wide and classroom</w:t>
      </w:r>
      <w:r w:rsidR="00E42445">
        <w:rPr>
          <w:bCs/>
        </w:rPr>
        <w:t>-</w:t>
      </w:r>
      <w:r>
        <w:rPr>
          <w:bCs/>
        </w:rPr>
        <w:t>specific improvement</w:t>
      </w:r>
    </w:p>
    <w:p w14:paraId="5D6493AF" w14:textId="23283653" w:rsidR="005D4367" w:rsidRDefault="005D4367" w:rsidP="00BC3718">
      <w:pPr>
        <w:pStyle w:val="ListParagraph"/>
        <w:numPr>
          <w:ilvl w:val="0"/>
          <w:numId w:val="43"/>
        </w:numPr>
        <w:autoSpaceDE w:val="0"/>
        <w:autoSpaceDN w:val="0"/>
        <w:adjustRightInd w:val="0"/>
        <w:spacing w:before="240" w:after="240"/>
        <w:contextualSpacing/>
        <w:rPr>
          <w:bCs/>
        </w:rPr>
      </w:pPr>
      <w:r>
        <w:rPr>
          <w:bCs/>
        </w:rPr>
        <w:t>Clear expectations and responsibility for achieving</w:t>
      </w:r>
    </w:p>
    <w:p w14:paraId="36AEDFA7" w14:textId="58B8DD80" w:rsidR="005D4367" w:rsidRDefault="005D4367" w:rsidP="00BC3718">
      <w:pPr>
        <w:pStyle w:val="ListParagraph"/>
        <w:numPr>
          <w:ilvl w:val="0"/>
          <w:numId w:val="43"/>
        </w:numPr>
        <w:autoSpaceDE w:val="0"/>
        <w:autoSpaceDN w:val="0"/>
        <w:adjustRightInd w:val="0"/>
        <w:spacing w:before="240" w:after="240"/>
        <w:contextualSpacing/>
        <w:rPr>
          <w:bCs/>
        </w:rPr>
      </w:pPr>
      <w:r>
        <w:rPr>
          <w:bCs/>
        </w:rPr>
        <w:t>Environment of collegiality that results in learning for all</w:t>
      </w:r>
    </w:p>
    <w:p w14:paraId="08663B84" w14:textId="47165F0D" w:rsidR="005D4367" w:rsidRDefault="005D4367" w:rsidP="00BC3718">
      <w:pPr>
        <w:pStyle w:val="ListParagraph"/>
        <w:numPr>
          <w:ilvl w:val="0"/>
          <w:numId w:val="43"/>
        </w:numPr>
        <w:autoSpaceDE w:val="0"/>
        <w:autoSpaceDN w:val="0"/>
        <w:adjustRightInd w:val="0"/>
        <w:spacing w:before="240" w:after="240"/>
        <w:contextualSpacing/>
        <w:rPr>
          <w:bCs/>
        </w:rPr>
      </w:pPr>
      <w:r>
        <w:rPr>
          <w:bCs/>
        </w:rPr>
        <w:t>Respect and care for the pupils and the adults working to meet their needs</w:t>
      </w:r>
    </w:p>
    <w:p w14:paraId="743E8628" w14:textId="4049509C" w:rsidR="005D4367" w:rsidRPr="005D4367" w:rsidRDefault="005D4367" w:rsidP="00BC3718">
      <w:pPr>
        <w:pStyle w:val="ListParagraph"/>
        <w:numPr>
          <w:ilvl w:val="0"/>
          <w:numId w:val="43"/>
        </w:numPr>
        <w:autoSpaceDE w:val="0"/>
        <w:autoSpaceDN w:val="0"/>
        <w:adjustRightInd w:val="0"/>
        <w:spacing w:before="240" w:after="240"/>
        <w:contextualSpacing/>
        <w:rPr>
          <w:bCs/>
        </w:rPr>
      </w:pPr>
      <w:r>
        <w:rPr>
          <w:bCs/>
        </w:rPr>
        <w:t>Focus on content and instruction</w:t>
      </w:r>
    </w:p>
    <w:p w14:paraId="47FA500E" w14:textId="026F619F" w:rsidR="005036C8" w:rsidRPr="008E0DB4" w:rsidRDefault="002A24D5" w:rsidP="007F164F">
      <w:pPr>
        <w:pStyle w:val="Heading3"/>
      </w:pPr>
      <w:r>
        <w:br w:type="page"/>
      </w:r>
      <w:r w:rsidR="005036C8" w:rsidRPr="008E0DB4">
        <w:lastRenderedPageBreak/>
        <w:t>Ability to Successfully Implement the Intended Program</w:t>
      </w:r>
    </w:p>
    <w:p w14:paraId="68DE1641" w14:textId="77777777" w:rsidR="005036C8" w:rsidRPr="008E0DB4" w:rsidRDefault="005036C8" w:rsidP="007F164F">
      <w:pPr>
        <w:jc w:val="center"/>
      </w:pPr>
      <w:r w:rsidRPr="00A32A92">
        <w:rPr>
          <w:i/>
        </w:rPr>
        <w:t>EC</w:t>
      </w:r>
      <w:r w:rsidRPr="008E0DB4">
        <w:t xml:space="preserve"> Section 47605(b)(2)</w:t>
      </w:r>
    </w:p>
    <w:p w14:paraId="2B08AE68" w14:textId="77777777" w:rsidR="005036C8" w:rsidRPr="008E0DB4" w:rsidRDefault="005036C8" w:rsidP="007F164F">
      <w:pPr>
        <w:jc w:val="center"/>
      </w:pPr>
      <w:r w:rsidRPr="008E0DB4">
        <w:t xml:space="preserve">5 </w:t>
      </w:r>
      <w:r w:rsidRPr="00A32A92">
        <w:rPr>
          <w:i/>
        </w:rPr>
        <w:t>CCR</w:t>
      </w:r>
      <w:r w:rsidRPr="008E0DB4">
        <w:t xml:space="preserve"> Section 11967.5.1(c)</w:t>
      </w:r>
    </w:p>
    <w:p w14:paraId="071789C0" w14:textId="77777777" w:rsidR="005036C8" w:rsidRPr="008E0DB4" w:rsidRDefault="005036C8" w:rsidP="007F164F">
      <w:pPr>
        <w:pStyle w:val="Heading4"/>
      </w:pPr>
      <w:r w:rsidRPr="008E0DB4">
        <w:t>Evaluation Criteria</w:t>
      </w:r>
    </w:p>
    <w:p w14:paraId="2D0C468B" w14:textId="77777777" w:rsidR="005036C8" w:rsidRPr="009F3455" w:rsidRDefault="005036C8" w:rsidP="007F164F">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14:paraId="4AFB1A63" w14:textId="77777777" w:rsidR="005036C8" w:rsidRPr="009F3455" w:rsidRDefault="005036C8" w:rsidP="007F164F">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1E302447" w14:textId="77777777" w:rsidR="005036C8" w:rsidRPr="009F3455" w:rsidRDefault="005036C8" w:rsidP="007F164F">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14:paraId="37EC893E" w14:textId="77777777" w:rsidR="005036C8" w:rsidRPr="00C6396E" w:rsidRDefault="005036C8" w:rsidP="007F164F">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14:paraId="0859D403" w14:textId="77777777" w:rsidR="005036C8" w:rsidRPr="00C6396E" w:rsidRDefault="005036C8" w:rsidP="007F164F">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79272B50" w14:textId="36D97BCC" w:rsidR="005036C8" w:rsidRDefault="005036C8" w:rsidP="007F164F">
      <w:pPr>
        <w:autoSpaceDE w:val="0"/>
        <w:autoSpaceDN w:val="0"/>
        <w:adjustRightInd w:val="0"/>
        <w:spacing w:after="100" w:afterAutospacing="1"/>
        <w:rPr>
          <w:bCs/>
        </w:rPr>
      </w:pPr>
      <w:r w:rsidRPr="00A95559">
        <w:rPr>
          <w:b/>
          <w:bCs/>
        </w:rPr>
        <w:t>T</w:t>
      </w:r>
      <w:r w:rsidR="004B769A" w:rsidRPr="00A95559">
        <w:rPr>
          <w:b/>
          <w:bCs/>
        </w:rPr>
        <w:t>he petitioner is</w:t>
      </w:r>
      <w:r w:rsidR="006465F8" w:rsidRPr="00A95559">
        <w:rPr>
          <w:b/>
          <w:bCs/>
        </w:rPr>
        <w:t xml:space="preserve"> </w:t>
      </w:r>
      <w:r w:rsidR="008741EF" w:rsidRPr="00A95559">
        <w:rPr>
          <w:b/>
          <w:bCs/>
        </w:rPr>
        <w:t xml:space="preserve">not </w:t>
      </w:r>
      <w:r w:rsidRPr="00A95559">
        <w:rPr>
          <w:b/>
          <w:bCs/>
        </w:rPr>
        <w:t>able</w:t>
      </w:r>
      <w:r w:rsidR="006465F8" w:rsidRPr="00A95559">
        <w:rPr>
          <w:b/>
          <w:bCs/>
        </w:rPr>
        <w:t xml:space="preserve"> </w:t>
      </w:r>
      <w:r w:rsidRPr="00A95559">
        <w:rPr>
          <w:b/>
          <w:bCs/>
        </w:rPr>
        <w:t>to</w:t>
      </w:r>
      <w:r w:rsidRPr="00A95559">
        <w:rPr>
          <w:b/>
        </w:rPr>
        <w:t xml:space="preserve"> successfully implement the intended program.</w:t>
      </w:r>
    </w:p>
    <w:p w14:paraId="4DE25B7D" w14:textId="6EC2EBE4" w:rsidR="00A6744A" w:rsidRDefault="005036C8" w:rsidP="007F164F">
      <w:pPr>
        <w:pStyle w:val="Heading4"/>
      </w:pPr>
      <w:r>
        <w:t>Comment</w:t>
      </w:r>
      <w:r w:rsidR="00887265">
        <w:t>s</w:t>
      </w:r>
    </w:p>
    <w:p w14:paraId="2F61238D" w14:textId="17232190" w:rsidR="00062168" w:rsidRPr="001C7D83" w:rsidRDefault="00C16904" w:rsidP="007F164F">
      <w:pPr>
        <w:pStyle w:val="Heading5"/>
      </w:pPr>
      <w:r>
        <w:t>California State Budget Impact</w:t>
      </w:r>
    </w:p>
    <w:p w14:paraId="17BA612C" w14:textId="77777777" w:rsidR="00C16904" w:rsidRPr="00A95559" w:rsidRDefault="00C16904" w:rsidP="00C16904">
      <w:pPr>
        <w:spacing w:after="240"/>
        <w:rPr>
          <w:rFonts w:eastAsiaTheme="minorHAnsi"/>
        </w:rPr>
      </w:pPr>
      <w:r w:rsidRPr="00A95559">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the proposed May revision, which was discussed at the ACCS meeting on June 9, 2020. On June 23, the Governor; Senate President pro tempore, Toni Atkins; and Speaker of the Assembly, Anthony Rendon announced an agreement on the budget. This agreement has not yet been finalized at </w:t>
      </w:r>
      <w:r w:rsidRPr="00A95559">
        <w:lastRenderedPageBreak/>
        <w:t>the time of the posting of the July SBE meeting agenda, but it is anticipated it will be finalized by the July SBE meeting.</w:t>
      </w:r>
    </w:p>
    <w:p w14:paraId="10D94D36" w14:textId="77777777" w:rsidR="00C16904" w:rsidRPr="00A95559" w:rsidRDefault="00C16904" w:rsidP="00C16904">
      <w:pPr>
        <w:spacing w:after="240"/>
      </w:pPr>
      <w:r w:rsidRPr="00A95559">
        <w:t>The proposed agreement includes $11 billion of Local Control Funding Formula (LCFF) apportionment deferrals in 2020–21, which will allow LCFF to remain at the 2019–20 level and does not include the 10 percent cut to LCFF proposed at May revision. With deferrals, charter schools and other LEAs will have the burden of fronting cash, maintaining cash flow in the months where monthly apportionments will be deferred, and potential borrowing costs. Deferrals could be especially problematic for new charter schools or existing charter schools that do not have the ability to draw down reserves to access cash.</w:t>
      </w:r>
    </w:p>
    <w:p w14:paraId="4D79EFAA" w14:textId="67A06F43" w:rsidR="00B532B3" w:rsidRDefault="00B532B3" w:rsidP="00C16904">
      <w:pPr>
        <w:pStyle w:val="Heading5"/>
      </w:pPr>
      <w:r w:rsidRPr="0012544D">
        <w:t>Fiscal Analysis</w:t>
      </w:r>
    </w:p>
    <w:p w14:paraId="59EC3C8D" w14:textId="77777777" w:rsidR="00B532B3" w:rsidRPr="0036563C" w:rsidRDefault="00B532B3" w:rsidP="007F164F">
      <w:pPr>
        <w:spacing w:after="240"/>
        <w:rPr>
          <w:bCs/>
        </w:rPr>
      </w:pPr>
      <w:r w:rsidRPr="0036563C">
        <w:rPr>
          <w:bCs/>
        </w:rPr>
        <w:t>The TCS multi-year projected budget includes the following projected pupil enrollment (Attachment 4):</w:t>
      </w:r>
    </w:p>
    <w:p w14:paraId="56DBC75C" w14:textId="77777777" w:rsidR="00B532B3" w:rsidRPr="0036563C" w:rsidRDefault="00B532B3" w:rsidP="007F164F">
      <w:pPr>
        <w:numPr>
          <w:ilvl w:val="0"/>
          <w:numId w:val="32"/>
        </w:numPr>
        <w:spacing w:after="240"/>
        <w:contextualSpacing/>
        <w:rPr>
          <w:bCs/>
        </w:rPr>
      </w:pPr>
      <w:r w:rsidRPr="0036563C">
        <w:rPr>
          <w:bCs/>
        </w:rPr>
        <w:t xml:space="preserve">110 </w:t>
      </w:r>
      <w:r>
        <w:rPr>
          <w:bCs/>
        </w:rPr>
        <w:t>g</w:t>
      </w:r>
      <w:r w:rsidRPr="0036563C">
        <w:rPr>
          <w:bCs/>
        </w:rPr>
        <w:t>rade nine in 2020–21</w:t>
      </w:r>
    </w:p>
    <w:p w14:paraId="487C01F8" w14:textId="77777777" w:rsidR="00B532B3" w:rsidRPr="0036563C" w:rsidRDefault="00B532B3" w:rsidP="007F164F">
      <w:pPr>
        <w:numPr>
          <w:ilvl w:val="0"/>
          <w:numId w:val="32"/>
        </w:numPr>
        <w:spacing w:after="240"/>
        <w:contextualSpacing/>
        <w:rPr>
          <w:bCs/>
        </w:rPr>
      </w:pPr>
      <w:r w:rsidRPr="0036563C">
        <w:rPr>
          <w:bCs/>
        </w:rPr>
        <w:t xml:space="preserve">260 </w:t>
      </w:r>
      <w:r>
        <w:rPr>
          <w:bCs/>
        </w:rPr>
        <w:t>g</w:t>
      </w:r>
      <w:r w:rsidRPr="0036563C">
        <w:rPr>
          <w:bCs/>
        </w:rPr>
        <w:t>rade</w:t>
      </w:r>
      <w:r>
        <w:rPr>
          <w:bCs/>
        </w:rPr>
        <w:t>s</w:t>
      </w:r>
      <w:r w:rsidRPr="0036563C">
        <w:rPr>
          <w:bCs/>
        </w:rPr>
        <w:t xml:space="preserve"> nine and ten in 2021–22</w:t>
      </w:r>
    </w:p>
    <w:p w14:paraId="58644FFF" w14:textId="77777777" w:rsidR="00B532B3" w:rsidRPr="0036563C" w:rsidRDefault="00B532B3" w:rsidP="007F164F">
      <w:pPr>
        <w:numPr>
          <w:ilvl w:val="0"/>
          <w:numId w:val="32"/>
        </w:numPr>
        <w:spacing w:after="240"/>
        <w:contextualSpacing/>
        <w:rPr>
          <w:bCs/>
        </w:rPr>
      </w:pPr>
      <w:r w:rsidRPr="0036563C">
        <w:rPr>
          <w:bCs/>
        </w:rPr>
        <w:t xml:space="preserve">410 </w:t>
      </w:r>
      <w:r>
        <w:rPr>
          <w:bCs/>
        </w:rPr>
        <w:t>g</w:t>
      </w:r>
      <w:r w:rsidRPr="0036563C">
        <w:rPr>
          <w:bCs/>
        </w:rPr>
        <w:t>rade</w:t>
      </w:r>
      <w:r>
        <w:rPr>
          <w:bCs/>
        </w:rPr>
        <w:t>s</w:t>
      </w:r>
      <w:r w:rsidRPr="0036563C">
        <w:rPr>
          <w:bCs/>
        </w:rPr>
        <w:t xml:space="preserve"> nine through eleven in 2022–23</w:t>
      </w:r>
    </w:p>
    <w:p w14:paraId="1B5DDFBA" w14:textId="77777777" w:rsidR="00B532B3" w:rsidRPr="0036563C" w:rsidRDefault="00B532B3" w:rsidP="007F164F">
      <w:pPr>
        <w:numPr>
          <w:ilvl w:val="0"/>
          <w:numId w:val="32"/>
        </w:numPr>
        <w:spacing w:after="240"/>
        <w:contextualSpacing/>
        <w:rPr>
          <w:bCs/>
        </w:rPr>
      </w:pPr>
      <w:r w:rsidRPr="0036563C">
        <w:rPr>
          <w:bCs/>
        </w:rPr>
        <w:t xml:space="preserve">560 </w:t>
      </w:r>
      <w:r>
        <w:rPr>
          <w:bCs/>
        </w:rPr>
        <w:t>grades</w:t>
      </w:r>
      <w:r w:rsidRPr="0036563C">
        <w:rPr>
          <w:bCs/>
        </w:rPr>
        <w:t xml:space="preserve"> nine through twelve in 2023–24</w:t>
      </w:r>
    </w:p>
    <w:p w14:paraId="7B5CA03C" w14:textId="77777777" w:rsidR="00B532B3" w:rsidRPr="0036563C" w:rsidRDefault="00B532B3" w:rsidP="007F164F">
      <w:pPr>
        <w:numPr>
          <w:ilvl w:val="0"/>
          <w:numId w:val="32"/>
        </w:numPr>
        <w:spacing w:after="240"/>
        <w:rPr>
          <w:bCs/>
        </w:rPr>
      </w:pPr>
      <w:r w:rsidRPr="0036563C">
        <w:rPr>
          <w:bCs/>
        </w:rPr>
        <w:t xml:space="preserve">600 </w:t>
      </w:r>
      <w:r>
        <w:rPr>
          <w:bCs/>
        </w:rPr>
        <w:t>grades</w:t>
      </w:r>
      <w:r w:rsidRPr="0036563C">
        <w:rPr>
          <w:bCs/>
        </w:rPr>
        <w:t xml:space="preserve"> nine through twelve in 2024–25</w:t>
      </w:r>
    </w:p>
    <w:p w14:paraId="636540AE" w14:textId="77777777" w:rsidR="00062168" w:rsidRPr="002D2BB4" w:rsidRDefault="00062168" w:rsidP="007F164F">
      <w:pPr>
        <w:pStyle w:val="Heading5"/>
      </w:pPr>
      <w:r w:rsidRPr="002D2BB4">
        <w:t>Revenue</w:t>
      </w:r>
    </w:p>
    <w:p w14:paraId="3E6F2DBA" w14:textId="4F80888C" w:rsidR="00062168" w:rsidRPr="0036563C" w:rsidRDefault="00062168" w:rsidP="007F164F">
      <w:pPr>
        <w:spacing w:after="240"/>
      </w:pPr>
      <w:r w:rsidRPr="0036563C">
        <w:t xml:space="preserve">The TCS multi-year </w:t>
      </w:r>
      <w:r w:rsidRPr="0036563C">
        <w:rPr>
          <w:bCs/>
        </w:rPr>
        <w:t xml:space="preserve">projected </w:t>
      </w:r>
      <w:r w:rsidRPr="0036563C">
        <w:t xml:space="preserve">budget, as submitted on March 6, 2020, was calculated using an older version of the </w:t>
      </w:r>
      <w:r w:rsidR="00C16904">
        <w:t>Fiscal Crisis and Management Assistance Team (</w:t>
      </w:r>
      <w:r w:rsidR="00C16904">
        <w:rPr>
          <w:color w:val="000000"/>
        </w:rPr>
        <w:t xml:space="preserve">FCMAT) </w:t>
      </w:r>
      <w:r w:rsidRPr="0036563C">
        <w:t>LCFF calculator. Therefore, the</w:t>
      </w:r>
      <w:r w:rsidRPr="0036563C">
        <w:rPr>
          <w:color w:val="000000"/>
        </w:rPr>
        <w:t xml:space="preserve"> CDE used the January 14, 2020, FCMAT LCFF calculator to recalculate the TCS LCFF revenue. The CDE finds that TCS has overstated the LCFF revenue by $8,356; $25,190; and $60,098 for </w:t>
      </w:r>
      <w:r>
        <w:rPr>
          <w:color w:val="000000"/>
        </w:rPr>
        <w:t>f</w:t>
      </w:r>
      <w:r w:rsidRPr="0036563C">
        <w:rPr>
          <w:color w:val="000000"/>
        </w:rPr>
        <w:t xml:space="preserve">iscal year (FY) </w:t>
      </w:r>
      <w:r w:rsidRPr="0036563C">
        <w:t>2020–21</w:t>
      </w:r>
      <w:r w:rsidRPr="0036563C">
        <w:rPr>
          <w:color w:val="000000"/>
        </w:rPr>
        <w:t xml:space="preserve"> through </w:t>
      </w:r>
      <w:r w:rsidRPr="0036563C">
        <w:t xml:space="preserve">2022–23, </w:t>
      </w:r>
      <w:r w:rsidRPr="0036563C">
        <w:rPr>
          <w:color w:val="000000"/>
        </w:rPr>
        <w:t>respectively.</w:t>
      </w:r>
      <w:r>
        <w:rPr>
          <w:color w:val="000000"/>
        </w:rPr>
        <w:t xml:space="preserve"> T</w:t>
      </w:r>
      <w:r w:rsidRPr="0036563C">
        <w:rPr>
          <w:color w:val="000000"/>
        </w:rPr>
        <w:t xml:space="preserve">he CDE has </w:t>
      </w:r>
      <w:r w:rsidRPr="0036563C">
        <w:t xml:space="preserve">adjusted the LCFF revenue for FY 2020–21 </w:t>
      </w:r>
      <w:r>
        <w:rPr>
          <w:color w:val="000000"/>
        </w:rPr>
        <w:t xml:space="preserve">through </w:t>
      </w:r>
      <w:r w:rsidRPr="0036563C">
        <w:t>2022–23 in the budget analysis</w:t>
      </w:r>
      <w:r>
        <w:t xml:space="preserve"> accordingly.</w:t>
      </w:r>
    </w:p>
    <w:p w14:paraId="4A39FC3B" w14:textId="77777777" w:rsidR="00062168" w:rsidRPr="0036563C" w:rsidRDefault="00062168" w:rsidP="007F164F">
      <w:pPr>
        <w:spacing w:after="240"/>
      </w:pPr>
      <w:r w:rsidRPr="0036563C">
        <w:rPr>
          <w:bCs/>
        </w:rPr>
        <w:t xml:space="preserve">The TCS </w:t>
      </w:r>
      <w:r w:rsidRPr="0036563C">
        <w:t xml:space="preserve">multi-year </w:t>
      </w:r>
      <w:r w:rsidRPr="0036563C">
        <w:rPr>
          <w:bCs/>
        </w:rPr>
        <w:t xml:space="preserve">projected budget includes Federal Special Education Entitlement </w:t>
      </w:r>
      <w:r>
        <w:rPr>
          <w:bCs/>
        </w:rPr>
        <w:t xml:space="preserve">funds </w:t>
      </w:r>
      <w:r w:rsidRPr="0036563C">
        <w:rPr>
          <w:bCs/>
        </w:rPr>
        <w:t xml:space="preserve">for FY </w:t>
      </w:r>
      <w:r w:rsidRPr="0036563C">
        <w:t xml:space="preserve">2020–21 through 2022–23. </w:t>
      </w:r>
      <w:r w:rsidRPr="0036563C">
        <w:rPr>
          <w:bCs/>
        </w:rPr>
        <w:t xml:space="preserve">The CDE </w:t>
      </w:r>
      <w:r>
        <w:rPr>
          <w:bCs/>
        </w:rPr>
        <w:t>finds</w:t>
      </w:r>
      <w:r w:rsidRPr="0036563C">
        <w:rPr>
          <w:bCs/>
        </w:rPr>
        <w:t xml:space="preserve"> that </w:t>
      </w:r>
      <w:r>
        <w:rPr>
          <w:bCs/>
        </w:rPr>
        <w:t xml:space="preserve">the </w:t>
      </w:r>
      <w:r w:rsidRPr="0036563C">
        <w:rPr>
          <w:bCs/>
        </w:rPr>
        <w:t xml:space="preserve">Federal Special Education Entitlement </w:t>
      </w:r>
      <w:r>
        <w:rPr>
          <w:bCs/>
        </w:rPr>
        <w:t xml:space="preserve">funds </w:t>
      </w:r>
      <w:r w:rsidRPr="0036563C">
        <w:rPr>
          <w:bCs/>
        </w:rPr>
        <w:t>appear to be overstated by $64,595 and $176,725 for FY 2021</w:t>
      </w:r>
      <w:r w:rsidRPr="0036563C">
        <w:t xml:space="preserve">–22 </w:t>
      </w:r>
      <w:r w:rsidRPr="0036563C">
        <w:rPr>
          <w:bCs/>
        </w:rPr>
        <w:t>and</w:t>
      </w:r>
      <w:r w:rsidRPr="0036563C">
        <w:t xml:space="preserve"> 2022–23</w:t>
      </w:r>
      <w:r>
        <w:t>, respectively</w:t>
      </w:r>
      <w:r w:rsidRPr="0036563C">
        <w:t>.</w:t>
      </w:r>
      <w:r>
        <w:t xml:space="preserve"> T</w:t>
      </w:r>
      <w:r w:rsidRPr="0036563C">
        <w:t>he CDE has adjusted the entitlement for FY 2021–22 and 2022–23 in the budget analysis</w:t>
      </w:r>
      <w:r>
        <w:t xml:space="preserve"> accordingly.</w:t>
      </w:r>
    </w:p>
    <w:p w14:paraId="2D8E3E19" w14:textId="77777777" w:rsidR="00062168" w:rsidRPr="0036563C" w:rsidRDefault="00062168" w:rsidP="007F164F">
      <w:pPr>
        <w:spacing w:after="240"/>
      </w:pPr>
      <w:r w:rsidRPr="0036563C">
        <w:rPr>
          <w:bCs/>
        </w:rPr>
        <w:t xml:space="preserve">The TCS </w:t>
      </w:r>
      <w:r w:rsidRPr="0036563C">
        <w:t xml:space="preserve">multi-year </w:t>
      </w:r>
      <w:r w:rsidRPr="0036563C">
        <w:rPr>
          <w:bCs/>
        </w:rPr>
        <w:t xml:space="preserve">projected budget includes lottery funds for FY </w:t>
      </w:r>
      <w:r w:rsidRPr="0036563C">
        <w:t xml:space="preserve">2020–21 through 2022–23. </w:t>
      </w:r>
      <w:r w:rsidRPr="0036563C">
        <w:rPr>
          <w:bCs/>
        </w:rPr>
        <w:t xml:space="preserve">The lottery funds are based on prior year Second Principal Apportionment enrollment, which is overstated by $21,404 and $7,783 for FY </w:t>
      </w:r>
      <w:r w:rsidRPr="0036563C">
        <w:t xml:space="preserve">2020–21 </w:t>
      </w:r>
      <w:r w:rsidRPr="0036563C">
        <w:rPr>
          <w:bCs/>
        </w:rPr>
        <w:t>and</w:t>
      </w:r>
      <w:r w:rsidRPr="0036563C">
        <w:t xml:space="preserve"> 2021–22, respectively.</w:t>
      </w:r>
      <w:r>
        <w:t xml:space="preserve"> T</w:t>
      </w:r>
      <w:r w:rsidRPr="0036563C">
        <w:t>he CDE has adjusted the lottery funds for FY 2020–21 and 2021–21 in the budget ana</w:t>
      </w:r>
      <w:r>
        <w:t>l</w:t>
      </w:r>
      <w:r w:rsidRPr="0036563C">
        <w:t>ysis</w:t>
      </w:r>
      <w:r>
        <w:t xml:space="preserve"> accordingly.</w:t>
      </w:r>
    </w:p>
    <w:p w14:paraId="44F116AE" w14:textId="77777777" w:rsidR="00062168" w:rsidRPr="002D2BB4" w:rsidRDefault="00062168" w:rsidP="007F164F">
      <w:pPr>
        <w:pStyle w:val="Heading5"/>
      </w:pPr>
      <w:r w:rsidRPr="002D2BB4">
        <w:lastRenderedPageBreak/>
        <w:t>Expenditures</w:t>
      </w:r>
    </w:p>
    <w:p w14:paraId="6FFFE3A1" w14:textId="77777777" w:rsidR="00062168" w:rsidRPr="0036563C" w:rsidRDefault="00062168" w:rsidP="007F164F">
      <w:pPr>
        <w:spacing w:after="240"/>
        <w:rPr>
          <w:bCs/>
        </w:rPr>
      </w:pPr>
      <w:r w:rsidRPr="0036563C">
        <w:rPr>
          <w:bCs/>
        </w:rPr>
        <w:t xml:space="preserve">The TCS </w:t>
      </w:r>
      <w:r w:rsidRPr="0036563C">
        <w:t xml:space="preserve">multi-year </w:t>
      </w:r>
      <w:r w:rsidRPr="0036563C">
        <w:rPr>
          <w:bCs/>
        </w:rPr>
        <w:t xml:space="preserve">projected budget includes expenditures for health and welfare benefits for FY </w:t>
      </w:r>
      <w:r w:rsidRPr="0036563C">
        <w:t xml:space="preserve">2020–21 through 2022–23. </w:t>
      </w:r>
      <w:r w:rsidRPr="0036563C">
        <w:rPr>
          <w:bCs/>
        </w:rPr>
        <w:t xml:space="preserve">The CDE </w:t>
      </w:r>
      <w:r>
        <w:rPr>
          <w:bCs/>
        </w:rPr>
        <w:t>finds</w:t>
      </w:r>
      <w:r w:rsidRPr="0036563C">
        <w:rPr>
          <w:bCs/>
        </w:rPr>
        <w:t xml:space="preserve"> expenditures for health and welfare benefits to be understated by $9,625 and $15,924 for FY 2021</w:t>
      </w:r>
      <w:r w:rsidRPr="0036563C">
        <w:t xml:space="preserve">–22 </w:t>
      </w:r>
      <w:r w:rsidRPr="0036563C">
        <w:rPr>
          <w:bCs/>
        </w:rPr>
        <w:t>and</w:t>
      </w:r>
      <w:r w:rsidRPr="0036563C">
        <w:t xml:space="preserve"> 2022–23</w:t>
      </w:r>
      <w:r>
        <w:t>, respectively</w:t>
      </w:r>
      <w:r w:rsidRPr="0036563C">
        <w:t xml:space="preserve">. </w:t>
      </w:r>
      <w:r>
        <w:t>T</w:t>
      </w:r>
      <w:r w:rsidRPr="0036563C">
        <w:t>he CDE has adjusted the expenditure for FY 2021–22 and 2022–23 in the budget analysis</w:t>
      </w:r>
      <w:r>
        <w:t xml:space="preserve"> accordingly.</w:t>
      </w:r>
    </w:p>
    <w:p w14:paraId="46CC9033" w14:textId="77777777" w:rsidR="00062168" w:rsidRPr="0036563C" w:rsidRDefault="00062168" w:rsidP="007F164F">
      <w:pPr>
        <w:spacing w:after="240"/>
        <w:rPr>
          <w:bCs/>
        </w:rPr>
      </w:pPr>
      <w:r w:rsidRPr="0036563C">
        <w:rPr>
          <w:bCs/>
        </w:rPr>
        <w:t>TCS did not project startup funds</w:t>
      </w:r>
      <w:r w:rsidRPr="0036563C">
        <w:t xml:space="preserve">. In order to maintain cash flow, TCS will factor either receivables or borrow funds from the Charter School Revolving Loan Fund, </w:t>
      </w:r>
      <w:r>
        <w:t>a</w:t>
      </w:r>
      <w:r w:rsidRPr="0036563C">
        <w:t xml:space="preserve"> common practice among charter schools within the first three years of operation. The factoring will be $350,000; $600,000; and $1,000,000 for </w:t>
      </w:r>
      <w:r w:rsidRPr="0036563C">
        <w:rPr>
          <w:bCs/>
        </w:rPr>
        <w:t xml:space="preserve">FY </w:t>
      </w:r>
      <w:r w:rsidRPr="0036563C">
        <w:t>2020–21 through 2022–23, respectively. Although the interest rate was not provided, the total factoring fee is estimated at $22,400; $45,000; and $57,400 for FY 2020–21 through 2022–23</w:t>
      </w:r>
      <w:r>
        <w:t>, respectively</w:t>
      </w:r>
      <w:r w:rsidRPr="0036563C">
        <w:t xml:space="preserve">. In addition, TCS will be applying for </w:t>
      </w:r>
      <w:r>
        <w:t xml:space="preserve">the </w:t>
      </w:r>
      <w:r w:rsidRPr="0036563C">
        <w:t xml:space="preserve">Charter School Revolving Loan Fund </w:t>
      </w:r>
      <w:r>
        <w:t xml:space="preserve">for an amount of </w:t>
      </w:r>
      <w:r w:rsidRPr="0036563C">
        <w:t>$150,000 in FY 2020–21.</w:t>
      </w:r>
    </w:p>
    <w:p w14:paraId="0DB4B216" w14:textId="77777777" w:rsidR="00C16904" w:rsidRDefault="00062168" w:rsidP="007F164F">
      <w:pPr>
        <w:spacing w:after="240"/>
      </w:pPr>
      <w:r w:rsidRPr="0036563C">
        <w:rPr>
          <w:bCs/>
        </w:rPr>
        <w:t xml:space="preserve">The CDE concludes that the TCS projected budget is viable with the projected enrollment of 110, 260, and 410 and positive ending fund balances of $49,548; $395,906; and $984,320 with reserves of 3.2, 10.8, and 16.5 percent for FY </w:t>
      </w:r>
      <w:r w:rsidRPr="0036563C">
        <w:t>2020–21 through</w:t>
      </w:r>
      <w:r>
        <w:t xml:space="preserve"> </w:t>
      </w:r>
      <w:r w:rsidRPr="0036563C">
        <w:t>2022–23, respectively.</w:t>
      </w:r>
      <w:r>
        <w:t xml:space="preserve"> </w:t>
      </w:r>
    </w:p>
    <w:p w14:paraId="30C4BFFB" w14:textId="365C4AF7" w:rsidR="00062168" w:rsidRDefault="00062168" w:rsidP="007F164F">
      <w:pPr>
        <w:spacing w:after="240"/>
      </w:pPr>
      <w:r>
        <w:t xml:space="preserve">The </w:t>
      </w:r>
      <w:r w:rsidRPr="0036563C">
        <w:t>petition</w:t>
      </w:r>
      <w:r>
        <w:t>ers</w:t>
      </w:r>
      <w:r w:rsidRPr="0036563C">
        <w:t xml:space="preserve"> included a fiscal policy manual adopted by the TCS Governing Board, to ensure that funds are budgeted, accounted for, expensed</w:t>
      </w:r>
      <w:r>
        <w:t xml:space="preserve">, </w:t>
      </w:r>
      <w:r w:rsidRPr="0036563C">
        <w:t xml:space="preserve">and maintained </w:t>
      </w:r>
      <w:r w:rsidRPr="006442C9">
        <w:t>appropriately (Attachment 9).</w:t>
      </w:r>
    </w:p>
    <w:p w14:paraId="2DD2B31D" w14:textId="1D0B5529" w:rsidR="00B532B3" w:rsidRPr="001224C2" w:rsidRDefault="00EC5195" w:rsidP="007F164F">
      <w:pPr>
        <w:pStyle w:val="Heading5"/>
        <w:rPr>
          <w:color w:val="000000"/>
        </w:rPr>
      </w:pPr>
      <w:r>
        <w:t>I</w:t>
      </w:r>
      <w:r w:rsidR="00B532B3" w:rsidRPr="001224C2">
        <w:t>nstructional Calend</w:t>
      </w:r>
      <w:r w:rsidR="00B532B3" w:rsidRPr="001224C2">
        <w:rPr>
          <w:color w:val="000000"/>
        </w:rPr>
        <w:t>ar</w:t>
      </w:r>
    </w:p>
    <w:p w14:paraId="072E2E10" w14:textId="77777777" w:rsidR="00B532B3" w:rsidRDefault="00B532B3" w:rsidP="00BC3718">
      <w:pPr>
        <w:spacing w:after="240"/>
        <w:rPr>
          <w:color w:val="000000"/>
        </w:rPr>
      </w:pPr>
      <w:r>
        <w:rPr>
          <w:bCs/>
        </w:rPr>
        <w:t>Moving away from a traditional school calendar, the</w:t>
      </w:r>
      <w:r w:rsidRPr="001224C2">
        <w:rPr>
          <w:bCs/>
        </w:rPr>
        <w:t xml:space="preserve"> TCS instructional calendar will include 185 days with teachers spending an additional 15 days </w:t>
      </w:r>
      <w:r>
        <w:rPr>
          <w:bCs/>
        </w:rPr>
        <w:t>on</w:t>
      </w:r>
      <w:r w:rsidRPr="001224C2">
        <w:rPr>
          <w:bCs/>
        </w:rPr>
        <w:t xml:space="preserve"> professional development activities. </w:t>
      </w:r>
      <w:r>
        <w:rPr>
          <w:color w:val="000000"/>
        </w:rPr>
        <w:t xml:space="preserve">The TCS instructional </w:t>
      </w:r>
      <w:r w:rsidRPr="001224C2">
        <w:rPr>
          <w:color w:val="000000"/>
        </w:rPr>
        <w:t xml:space="preserve">calendar </w:t>
      </w:r>
      <w:r>
        <w:rPr>
          <w:color w:val="000000"/>
        </w:rPr>
        <w:t>is</w:t>
      </w:r>
      <w:r w:rsidRPr="001224C2">
        <w:rPr>
          <w:color w:val="000000"/>
        </w:rPr>
        <w:t xml:space="preserve"> comprise</w:t>
      </w:r>
      <w:r>
        <w:rPr>
          <w:color w:val="000000"/>
        </w:rPr>
        <w:t>d</w:t>
      </w:r>
      <w:r w:rsidRPr="001224C2">
        <w:rPr>
          <w:color w:val="000000"/>
        </w:rPr>
        <w:t xml:space="preserve"> of two semesters</w:t>
      </w:r>
      <w:r>
        <w:rPr>
          <w:color w:val="000000"/>
        </w:rPr>
        <w:t xml:space="preserve">, which consist of </w:t>
      </w:r>
      <w:r w:rsidRPr="001224C2">
        <w:rPr>
          <w:color w:val="000000"/>
        </w:rPr>
        <w:t>18 weeks each. Each semester will consist of two nine-week quarters</w:t>
      </w:r>
      <w:r>
        <w:rPr>
          <w:color w:val="000000"/>
        </w:rPr>
        <w:t xml:space="preserve"> with a two week break between each quarter. The TCS instructional calendar is designed to allow for reflection and rest after intensive learning periods, while at the same time maintaining momentum for learning and engagement in school (Attachment 3, p. 49).</w:t>
      </w:r>
    </w:p>
    <w:p w14:paraId="6F040BDB" w14:textId="10E3F203" w:rsidR="00B532B3" w:rsidRDefault="00B532B3" w:rsidP="00BC3718">
      <w:pPr>
        <w:rPr>
          <w:bCs/>
        </w:rPr>
      </w:pPr>
      <w:r>
        <w:t xml:space="preserve">The TCS petition outlines a proposed instructional calendar with professional development for teachers beginning in June and instruction beginning the week of </w:t>
      </w:r>
      <w:r w:rsidR="008066A7">
        <w:br/>
      </w:r>
      <w:r>
        <w:t>Ju</w:t>
      </w:r>
      <w:r w:rsidR="00213BD2">
        <w:t>ne 29</w:t>
      </w:r>
      <w:r>
        <w:t xml:space="preserve">, 2020. The CDE notes that the appeal of the TCS petition to the SBE will not be considered until the July 8–9, 2020, SBE meeting. Therefore, </w:t>
      </w:r>
      <w:r>
        <w:rPr>
          <w:bCs/>
        </w:rPr>
        <w:t>if approved by the SBE, as a condition for approval, the petitioner will be required to revise the instructional calendar to align with the timeline of approval by the SBE (Attachment 3, pp. 49–50).</w:t>
      </w:r>
    </w:p>
    <w:p w14:paraId="2757EE40" w14:textId="3C9303C2" w:rsidR="005036C8" w:rsidRPr="008E0DB4" w:rsidRDefault="005036C8" w:rsidP="007F164F">
      <w:pPr>
        <w:pStyle w:val="Heading3"/>
      </w:pPr>
      <w:r>
        <w:br w:type="page"/>
      </w:r>
      <w:r w:rsidRPr="008E0DB4">
        <w:lastRenderedPageBreak/>
        <w:t>Required Number of Signatures</w:t>
      </w:r>
    </w:p>
    <w:p w14:paraId="735BC73E" w14:textId="77777777" w:rsidR="005036C8" w:rsidRPr="008E0DB4" w:rsidRDefault="005036C8" w:rsidP="007F164F">
      <w:pPr>
        <w:jc w:val="center"/>
      </w:pPr>
      <w:r w:rsidRPr="008E0DB4">
        <w:rPr>
          <w:i/>
        </w:rPr>
        <w:t>EC</w:t>
      </w:r>
      <w:r w:rsidRPr="008E0DB4">
        <w:t xml:space="preserve"> Section 47605(b)(3)</w:t>
      </w:r>
    </w:p>
    <w:p w14:paraId="22F785FE" w14:textId="77777777" w:rsidR="005036C8" w:rsidRPr="008E0DB4" w:rsidRDefault="005036C8" w:rsidP="007F164F">
      <w:pPr>
        <w:jc w:val="center"/>
      </w:pPr>
      <w:r w:rsidRPr="008E0DB4">
        <w:t xml:space="preserve">5 </w:t>
      </w:r>
      <w:r w:rsidRPr="008E0DB4">
        <w:rPr>
          <w:i/>
        </w:rPr>
        <w:t>CCR</w:t>
      </w:r>
      <w:r w:rsidRPr="008E0DB4">
        <w:t xml:space="preserve"> Section 11967.5.1(d)</w:t>
      </w:r>
    </w:p>
    <w:p w14:paraId="0CDC2D7B" w14:textId="77777777" w:rsidR="005036C8" w:rsidRPr="008E0DB4" w:rsidRDefault="005036C8" w:rsidP="007F164F">
      <w:pPr>
        <w:pStyle w:val="Heading4"/>
      </w:pPr>
      <w:r w:rsidRPr="008E0DB4">
        <w:t>Evaluation Criteria</w:t>
      </w:r>
    </w:p>
    <w:p w14:paraId="75C970BE" w14:textId="10D4C972" w:rsidR="005036C8" w:rsidRDefault="005036C8" w:rsidP="007F164F">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00B45FD0">
        <w:rPr>
          <w:color w:val="000000"/>
        </w:rPr>
        <w:t>s</w:t>
      </w:r>
      <w:r w:rsidRPr="009F3455">
        <w:rPr>
          <w:color w:val="000000"/>
        </w:rPr>
        <w:t>ection 47605(b)(3), a charter petition that “does not contain the number of signatures required by [law]” …, shall be a petition that did not contain the requisite number of signatures at the time of its submission …</w:t>
      </w:r>
    </w:p>
    <w:p w14:paraId="4BF7178B" w14:textId="77777777" w:rsidR="005036C8" w:rsidRDefault="005036C8" w:rsidP="007F164F">
      <w:pPr>
        <w:autoSpaceDE w:val="0"/>
        <w:autoSpaceDN w:val="0"/>
        <w:adjustRightInd w:val="0"/>
        <w:spacing w:after="100" w:afterAutospacing="1"/>
        <w:rPr>
          <w:b/>
          <w:bCs/>
        </w:rPr>
      </w:pPr>
      <w:r>
        <w:rPr>
          <w:b/>
        </w:rPr>
        <w:t>T</w:t>
      </w:r>
      <w:r w:rsidRPr="00CD0DEB">
        <w:rPr>
          <w:b/>
        </w:rPr>
        <w:t xml:space="preserve">he petition </w:t>
      </w:r>
      <w:r w:rsidR="00391B67">
        <w:rPr>
          <w:b/>
        </w:rPr>
        <w:t xml:space="preserve">does </w:t>
      </w:r>
      <w:r w:rsidRPr="009F3455">
        <w:rPr>
          <w:b/>
          <w:bCs/>
        </w:rPr>
        <w:t>contain the required number of signatures</w:t>
      </w:r>
      <w:r>
        <w:rPr>
          <w:b/>
          <w:bCs/>
        </w:rPr>
        <w:t xml:space="preserve"> at the time of its submission.</w:t>
      </w:r>
    </w:p>
    <w:p w14:paraId="614F0656" w14:textId="77777777" w:rsidR="005036C8" w:rsidRPr="009F3455" w:rsidRDefault="005036C8" w:rsidP="007F164F">
      <w:pPr>
        <w:pStyle w:val="Heading4"/>
      </w:pPr>
      <w:r>
        <w:t>Comments</w:t>
      </w:r>
    </w:p>
    <w:p w14:paraId="2FB2FF17" w14:textId="52D72637" w:rsidR="005036C8" w:rsidRPr="009F3455" w:rsidRDefault="00391B67" w:rsidP="00BC3718">
      <w:pPr>
        <w:autoSpaceDE w:val="0"/>
        <w:autoSpaceDN w:val="0"/>
        <w:adjustRightInd w:val="0"/>
        <w:rPr>
          <w:bCs/>
        </w:rPr>
      </w:pPr>
      <w:r>
        <w:rPr>
          <w:bCs/>
        </w:rPr>
        <w:t xml:space="preserve">The </w:t>
      </w:r>
      <w:r w:rsidR="00CC6679">
        <w:rPr>
          <w:bCs/>
        </w:rPr>
        <w:t xml:space="preserve">TCS </w:t>
      </w:r>
      <w:r>
        <w:rPr>
          <w:bCs/>
        </w:rPr>
        <w:t xml:space="preserve">petition does contain the required number of teacher signatures at the time of its </w:t>
      </w:r>
      <w:r w:rsidRPr="00C94F97">
        <w:rPr>
          <w:bCs/>
        </w:rPr>
        <w:t>submission</w:t>
      </w:r>
      <w:r w:rsidR="00862889" w:rsidRPr="00C94F97">
        <w:rPr>
          <w:bCs/>
        </w:rPr>
        <w:t xml:space="preserve"> </w:t>
      </w:r>
      <w:r w:rsidR="00887265" w:rsidRPr="00C94F97">
        <w:rPr>
          <w:bCs/>
        </w:rPr>
        <w:t xml:space="preserve">(Attachment </w:t>
      </w:r>
      <w:r w:rsidR="003F1F33" w:rsidRPr="00C94F97">
        <w:rPr>
          <w:bCs/>
        </w:rPr>
        <w:t>9</w:t>
      </w:r>
      <w:r w:rsidR="00751DC2" w:rsidRPr="00C94F97">
        <w:rPr>
          <w:bCs/>
        </w:rPr>
        <w:t>).</w:t>
      </w:r>
    </w:p>
    <w:p w14:paraId="00F0D3C6" w14:textId="77777777" w:rsidR="005036C8" w:rsidRDefault="005036C8" w:rsidP="007F164F">
      <w:pPr>
        <w:pStyle w:val="Heading3"/>
      </w:pPr>
      <w:r>
        <w:br w:type="page"/>
      </w:r>
      <w:r w:rsidRPr="009F3455">
        <w:lastRenderedPageBreak/>
        <w:t>Affirmation of Specified Conditions</w:t>
      </w:r>
    </w:p>
    <w:p w14:paraId="31F9122C" w14:textId="77777777" w:rsidR="005036C8" w:rsidRPr="00AD7821" w:rsidRDefault="005036C8" w:rsidP="007F164F">
      <w:pPr>
        <w:jc w:val="center"/>
      </w:pPr>
      <w:r w:rsidRPr="00AD7821">
        <w:rPr>
          <w:i/>
        </w:rPr>
        <w:t>EC</w:t>
      </w:r>
      <w:r w:rsidRPr="00AD7821">
        <w:t xml:space="preserve"> </w:t>
      </w:r>
      <w:r>
        <w:t>s</w:t>
      </w:r>
      <w:r w:rsidRPr="00AD7821">
        <w:t>ections 47605(b)(4) and (d)</w:t>
      </w:r>
    </w:p>
    <w:p w14:paraId="3B3AE127" w14:textId="77777777" w:rsidR="005036C8" w:rsidRPr="00AD7821" w:rsidRDefault="005036C8" w:rsidP="007F164F">
      <w:pPr>
        <w:jc w:val="center"/>
      </w:pPr>
      <w:r w:rsidRPr="00AD7821">
        <w:t xml:space="preserve">5 </w:t>
      </w:r>
      <w:r w:rsidRPr="00AD7821">
        <w:rPr>
          <w:i/>
        </w:rPr>
        <w:t>CCR</w:t>
      </w:r>
      <w:r w:rsidRPr="00AD7821">
        <w:t xml:space="preserve"> Section 11967.5.1(e)</w:t>
      </w:r>
    </w:p>
    <w:p w14:paraId="5CDC58DD" w14:textId="77777777" w:rsidR="005036C8" w:rsidRPr="009F3455" w:rsidRDefault="005036C8" w:rsidP="007F164F">
      <w:pPr>
        <w:pStyle w:val="Heading4"/>
      </w:pPr>
      <w:r w:rsidRPr="009F3455">
        <w:t>Evaluation Criteria</w:t>
      </w:r>
    </w:p>
    <w:p w14:paraId="0C4A0795" w14:textId="77777777" w:rsidR="005036C8" w:rsidRDefault="005036C8" w:rsidP="007F164F">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14:paraId="49E5FBB1"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0F1184D2" w14:textId="77777777" w:rsidR="00E024D0" w:rsidRPr="00E024D0" w:rsidRDefault="00E024D0" w:rsidP="007F164F">
            <w:pPr>
              <w:jc w:val="center"/>
              <w:outlineLvl w:val="7"/>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14:paraId="2E212DC7" w14:textId="77777777" w:rsidR="00E024D0" w:rsidRPr="00E024D0" w:rsidRDefault="00E024D0" w:rsidP="007F164F">
            <w:pPr>
              <w:jc w:val="center"/>
              <w:outlineLvl w:val="7"/>
              <w:rPr>
                <w:rFonts w:eastAsia="Times New Roman" w:cs="Times New Roman"/>
              </w:rPr>
            </w:pPr>
            <w:r w:rsidRPr="00E024D0">
              <w:rPr>
                <w:rFonts w:eastAsia="Times New Roman" w:cs="Times New Roman"/>
              </w:rPr>
              <w:t>Criteria Met</w:t>
            </w:r>
          </w:p>
        </w:tc>
      </w:tr>
      <w:tr w:rsidR="00E024D0" w:rsidRPr="00E024D0" w14:paraId="2F246BB8" w14:textId="77777777" w:rsidTr="00E024D0">
        <w:trPr>
          <w:cantSplit/>
          <w:trHeight w:val="1152"/>
        </w:trPr>
        <w:tc>
          <w:tcPr>
            <w:tcW w:w="4150" w:type="pct"/>
          </w:tcPr>
          <w:p w14:paraId="16F58B52" w14:textId="77777777" w:rsidR="00E024D0" w:rsidRPr="00E024D0" w:rsidRDefault="00E024D0" w:rsidP="007F164F">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14:paraId="64EE9058" w14:textId="77777777" w:rsidR="00E024D0" w:rsidRPr="00E024D0" w:rsidRDefault="00E024D0" w:rsidP="007F164F">
            <w:pPr>
              <w:jc w:val="center"/>
              <w:rPr>
                <w:bCs/>
              </w:rPr>
            </w:pPr>
            <w:r w:rsidRPr="00E024D0">
              <w:rPr>
                <w:bCs/>
              </w:rPr>
              <w:t>Yes</w:t>
            </w:r>
          </w:p>
        </w:tc>
      </w:tr>
      <w:tr w:rsidR="00E024D0" w:rsidRPr="00E024D0" w14:paraId="6521946E" w14:textId="77777777" w:rsidTr="00E024D0">
        <w:trPr>
          <w:cantSplit/>
          <w:trHeight w:val="1152"/>
        </w:trPr>
        <w:tc>
          <w:tcPr>
            <w:tcW w:w="4150" w:type="pct"/>
          </w:tcPr>
          <w:p w14:paraId="23452CF7" w14:textId="77777777" w:rsidR="00E024D0" w:rsidRDefault="00E024D0" w:rsidP="007F164F">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14:paraId="2FDABF45" w14:textId="77777777" w:rsidR="00E024D0" w:rsidRPr="00E024D0" w:rsidRDefault="00E024D0" w:rsidP="007F164F">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75E8951A" w14:textId="77777777" w:rsidR="00E024D0" w:rsidRPr="00E024D0" w:rsidRDefault="00E024D0" w:rsidP="007F164F">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76ACFAE2" w14:textId="77777777" w:rsidR="00E024D0" w:rsidRPr="00E024D0" w:rsidRDefault="00E024D0" w:rsidP="007F164F">
            <w:pPr>
              <w:tabs>
                <w:tab w:val="left" w:pos="280"/>
              </w:tabs>
              <w:autoSpaceDE w:val="0"/>
              <w:autoSpaceDN w:val="0"/>
              <w:adjustRightInd w:val="0"/>
              <w:jc w:val="center"/>
              <w:rPr>
                <w:bCs/>
              </w:rPr>
            </w:pPr>
            <w:r w:rsidRPr="00E024D0">
              <w:rPr>
                <w:bCs/>
              </w:rPr>
              <w:t>Yes</w:t>
            </w:r>
          </w:p>
        </w:tc>
      </w:tr>
      <w:tr w:rsidR="00E024D0" w:rsidRPr="00E024D0" w14:paraId="3D3E7B96" w14:textId="77777777" w:rsidTr="00E024D0">
        <w:trPr>
          <w:cantSplit/>
          <w:trHeight w:val="1152"/>
        </w:trPr>
        <w:tc>
          <w:tcPr>
            <w:tcW w:w="4150" w:type="pct"/>
          </w:tcPr>
          <w:p w14:paraId="54482231" w14:textId="7892F858" w:rsidR="00E024D0" w:rsidRPr="00E024D0" w:rsidRDefault="00E024D0" w:rsidP="007F164F">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w:t>
            </w:r>
            <w:r w:rsidR="00E31347" w:rsidRPr="00E024D0">
              <w:t>pupil’s</w:t>
            </w:r>
            <w:r w:rsidRPr="00E024D0">
              <w:t xml:space="preserve"> subject to compulsory full-time education pursuant to </w:t>
            </w:r>
            <w:r w:rsidRPr="00E024D0">
              <w:rPr>
                <w:i/>
              </w:rPr>
              <w:t>EC</w:t>
            </w:r>
            <w:r w:rsidRPr="00E024D0">
              <w:t xml:space="preserve"> Section 48200.</w:t>
            </w:r>
          </w:p>
        </w:tc>
        <w:tc>
          <w:tcPr>
            <w:tcW w:w="850" w:type="pct"/>
          </w:tcPr>
          <w:p w14:paraId="6E5490A8" w14:textId="77777777" w:rsidR="00E024D0" w:rsidRPr="00E024D0" w:rsidRDefault="00E024D0" w:rsidP="007F164F">
            <w:pPr>
              <w:tabs>
                <w:tab w:val="left" w:pos="280"/>
              </w:tabs>
              <w:autoSpaceDE w:val="0"/>
              <w:autoSpaceDN w:val="0"/>
              <w:adjustRightInd w:val="0"/>
              <w:jc w:val="center"/>
              <w:rPr>
                <w:bCs/>
              </w:rPr>
            </w:pPr>
            <w:r w:rsidRPr="00E024D0">
              <w:rPr>
                <w:bCs/>
              </w:rPr>
              <w:t>Yes</w:t>
            </w:r>
          </w:p>
        </w:tc>
      </w:tr>
    </w:tbl>
    <w:p w14:paraId="2117FB64" w14:textId="77777777" w:rsidR="005036C8" w:rsidRPr="00C6396E" w:rsidRDefault="005036C8" w:rsidP="007F164F">
      <w:pPr>
        <w:autoSpaceDE w:val="0"/>
        <w:autoSpaceDN w:val="0"/>
        <w:adjustRightInd w:val="0"/>
        <w:spacing w:before="100" w:beforeAutospacing="1"/>
        <w:rPr>
          <w:bCs/>
        </w:rPr>
      </w:pPr>
      <w:r>
        <w:rPr>
          <w:b/>
        </w:rPr>
        <w:t>T</w:t>
      </w:r>
      <w:r w:rsidRPr="00CD0DEB">
        <w:rPr>
          <w:b/>
        </w:rPr>
        <w:t xml:space="preserve">he petition </w:t>
      </w:r>
      <w:r w:rsidR="00391B67">
        <w:rPr>
          <w:b/>
        </w:rPr>
        <w:t>does</w:t>
      </w:r>
      <w:r w:rsidRPr="005E1390">
        <w:rPr>
          <w:b/>
        </w:rPr>
        <w:t xml:space="preserve"> </w:t>
      </w:r>
      <w:r w:rsidRPr="00C6396E">
        <w:rPr>
          <w:b/>
          <w:bCs/>
        </w:rPr>
        <w:t>contain the required affirmations</w:t>
      </w:r>
      <w:r>
        <w:rPr>
          <w:b/>
          <w:bCs/>
        </w:rPr>
        <w:t>.</w:t>
      </w:r>
    </w:p>
    <w:p w14:paraId="3013F343" w14:textId="77777777" w:rsidR="005036C8" w:rsidRPr="00C6396E" w:rsidRDefault="005036C8" w:rsidP="007F164F">
      <w:pPr>
        <w:pStyle w:val="Heading4"/>
      </w:pPr>
      <w:r w:rsidRPr="00B45FD0">
        <w:t>Comments</w:t>
      </w:r>
    </w:p>
    <w:p w14:paraId="08681335" w14:textId="7E844F15" w:rsidR="005036C8" w:rsidRPr="009F3455" w:rsidRDefault="00391B67" w:rsidP="00BC3718">
      <w:pPr>
        <w:autoSpaceDE w:val="0"/>
        <w:autoSpaceDN w:val="0"/>
        <w:adjustRightInd w:val="0"/>
        <w:rPr>
          <w:bCs/>
        </w:rPr>
      </w:pPr>
      <w:r>
        <w:rPr>
          <w:bCs/>
        </w:rPr>
        <w:t xml:space="preserve">The </w:t>
      </w:r>
      <w:r w:rsidR="00CC6679">
        <w:rPr>
          <w:bCs/>
        </w:rPr>
        <w:t xml:space="preserve">TCS </w:t>
      </w:r>
      <w:r w:rsidR="00B532B3">
        <w:rPr>
          <w:bCs/>
        </w:rPr>
        <w:t xml:space="preserve">petition </w:t>
      </w:r>
      <w:r>
        <w:rPr>
          <w:bCs/>
        </w:rPr>
        <w:t>does contain the required affirmations (Attachment 3</w:t>
      </w:r>
      <w:r w:rsidRPr="00862889">
        <w:rPr>
          <w:bCs/>
        </w:rPr>
        <w:t>, pp</w:t>
      </w:r>
      <w:r w:rsidRPr="009E68CB">
        <w:rPr>
          <w:bCs/>
        </w:rPr>
        <w:t xml:space="preserve">. </w:t>
      </w:r>
      <w:r w:rsidR="009E68CB" w:rsidRPr="009E68CB">
        <w:rPr>
          <w:bCs/>
        </w:rPr>
        <w:t>4</w:t>
      </w:r>
      <w:r w:rsidR="00BD7C14">
        <w:rPr>
          <w:bCs/>
        </w:rPr>
        <w:t>–6</w:t>
      </w:r>
      <w:r w:rsidRPr="009E68CB">
        <w:rPr>
          <w:bCs/>
        </w:rPr>
        <w:t>).</w:t>
      </w:r>
    </w:p>
    <w:p w14:paraId="1BB57EC5" w14:textId="085F3253" w:rsidR="005036C8" w:rsidRDefault="005036C8" w:rsidP="007F164F">
      <w:pPr>
        <w:pStyle w:val="Heading3"/>
      </w:pPr>
      <w:r>
        <w:br w:type="page"/>
      </w:r>
      <w:r w:rsidRPr="009F3455">
        <w:lastRenderedPageBreak/>
        <w:t xml:space="preserve">Exclusive </w:t>
      </w:r>
      <w:r w:rsidR="00E31347" w:rsidRPr="009F3455">
        <w:t>Public-School</w:t>
      </w:r>
      <w:r w:rsidRPr="009F3455">
        <w:t xml:space="preserve"> Employer</w:t>
      </w:r>
    </w:p>
    <w:p w14:paraId="1CCD0CFB" w14:textId="77777777" w:rsidR="005036C8" w:rsidRPr="008C409F" w:rsidRDefault="005036C8" w:rsidP="007F164F">
      <w:pPr>
        <w:jc w:val="center"/>
      </w:pPr>
      <w:r w:rsidRPr="008C409F">
        <w:rPr>
          <w:i/>
        </w:rPr>
        <w:t>EC</w:t>
      </w:r>
      <w:r w:rsidRPr="008C409F">
        <w:t xml:space="preserve"> Section 47605(b)(6)</w:t>
      </w:r>
    </w:p>
    <w:p w14:paraId="0177C29E" w14:textId="20BF3DD6" w:rsidR="005036C8" w:rsidRPr="008C409F" w:rsidRDefault="005036C8" w:rsidP="007F164F">
      <w:pPr>
        <w:autoSpaceDE w:val="0"/>
        <w:autoSpaceDN w:val="0"/>
        <w:adjustRightInd w:val="0"/>
        <w:jc w:val="center"/>
      </w:pPr>
      <w:r w:rsidRPr="008C409F">
        <w:t xml:space="preserve">5 </w:t>
      </w:r>
      <w:r w:rsidRPr="008C409F">
        <w:rPr>
          <w:i/>
        </w:rPr>
        <w:t>CCR</w:t>
      </w:r>
      <w:r w:rsidRPr="008C409F">
        <w:t xml:space="preserve"> Section 11967.5.1(f</w:t>
      </w:r>
      <w:r w:rsidR="00E31347" w:rsidRPr="008C409F">
        <w:t>) (</w:t>
      </w:r>
      <w:r w:rsidRPr="008C409F">
        <w:t>15)</w:t>
      </w:r>
    </w:p>
    <w:p w14:paraId="6A71DB2C" w14:textId="77777777" w:rsidR="005036C8" w:rsidRPr="009F3455" w:rsidRDefault="005036C8" w:rsidP="007F164F">
      <w:pPr>
        <w:pStyle w:val="Heading4"/>
      </w:pPr>
      <w:r w:rsidRPr="009F3455">
        <w:t>Evaluation Criteria</w:t>
      </w:r>
    </w:p>
    <w:p w14:paraId="2CF21488" w14:textId="77777777" w:rsidR="005036C8" w:rsidRDefault="005036C8" w:rsidP="007F164F">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14:paraId="5E0A79C6" w14:textId="77777777" w:rsidR="005036C8" w:rsidRDefault="005036C8" w:rsidP="007F164F">
      <w:pPr>
        <w:autoSpaceDE w:val="0"/>
        <w:autoSpaceDN w:val="0"/>
        <w:adjustRightInd w:val="0"/>
        <w:spacing w:after="100" w:afterAutospacing="1"/>
      </w:pPr>
      <w:r>
        <w:rPr>
          <w:b/>
        </w:rPr>
        <w:t>T</w:t>
      </w:r>
      <w:r w:rsidRPr="00CD0DEB">
        <w:rPr>
          <w:b/>
        </w:rPr>
        <w:t xml:space="preserve">he petition </w:t>
      </w:r>
      <w:r w:rsidR="00391B67">
        <w:rPr>
          <w:b/>
        </w:rPr>
        <w:t>does</w:t>
      </w:r>
      <w:r w:rsidRPr="005E1390">
        <w:rPr>
          <w:b/>
        </w:rPr>
        <w:t xml:space="preserve"> </w:t>
      </w:r>
      <w:r w:rsidRPr="009F3455">
        <w:rPr>
          <w:b/>
        </w:rPr>
        <w:t>include the necessary declaration</w:t>
      </w:r>
      <w:r>
        <w:rPr>
          <w:b/>
        </w:rPr>
        <w:t>.</w:t>
      </w:r>
    </w:p>
    <w:p w14:paraId="52EE8F00" w14:textId="77777777" w:rsidR="005036C8" w:rsidRPr="009F3455" w:rsidRDefault="005036C8" w:rsidP="007F164F">
      <w:pPr>
        <w:pStyle w:val="Heading4"/>
      </w:pPr>
      <w:r w:rsidRPr="00B45FD0">
        <w:t>Comments</w:t>
      </w:r>
    </w:p>
    <w:p w14:paraId="24F0C652" w14:textId="7C36B2AD" w:rsidR="005036C8" w:rsidRPr="009F3455" w:rsidRDefault="00391B67" w:rsidP="00BC3718">
      <w:pPr>
        <w:autoSpaceDE w:val="0"/>
        <w:autoSpaceDN w:val="0"/>
        <w:adjustRightInd w:val="0"/>
        <w:rPr>
          <w:bCs/>
        </w:rPr>
      </w:pPr>
      <w:r>
        <w:rPr>
          <w:bCs/>
        </w:rPr>
        <w:t xml:space="preserve">The </w:t>
      </w:r>
      <w:r w:rsidR="00CC6679">
        <w:rPr>
          <w:bCs/>
        </w:rPr>
        <w:t>TCS</w:t>
      </w:r>
      <w:r>
        <w:rPr>
          <w:bCs/>
        </w:rPr>
        <w:t xml:space="preserve"> </w:t>
      </w:r>
      <w:r w:rsidR="00B532B3">
        <w:rPr>
          <w:bCs/>
        </w:rPr>
        <w:t xml:space="preserve">petition </w:t>
      </w:r>
      <w:r>
        <w:rPr>
          <w:bCs/>
        </w:rPr>
        <w:t>does include the necessary declaration (Attachment 3</w:t>
      </w:r>
      <w:r w:rsidRPr="00862889">
        <w:rPr>
          <w:bCs/>
        </w:rPr>
        <w:t xml:space="preserve">, p. </w:t>
      </w:r>
      <w:r w:rsidR="005C54CE">
        <w:rPr>
          <w:bCs/>
        </w:rPr>
        <w:t>4</w:t>
      </w:r>
      <w:r w:rsidRPr="00862889">
        <w:rPr>
          <w:bCs/>
        </w:rPr>
        <w:t>).</w:t>
      </w:r>
    </w:p>
    <w:p w14:paraId="43F51107" w14:textId="77777777" w:rsidR="005036C8" w:rsidRPr="00DE5907" w:rsidRDefault="005036C8" w:rsidP="007F164F">
      <w:pPr>
        <w:pStyle w:val="Heading2"/>
      </w:pPr>
      <w:r w:rsidRPr="00DE5907">
        <w:rPr>
          <w:szCs w:val="36"/>
        </w:rPr>
        <w:br w:type="page"/>
      </w:r>
      <w:r w:rsidRPr="00DE5907">
        <w:lastRenderedPageBreak/>
        <w:t>THE 15 CHARTER ELEMENTS</w:t>
      </w:r>
    </w:p>
    <w:p w14:paraId="2B9B2032" w14:textId="77777777" w:rsidR="005036C8" w:rsidRPr="0067215E" w:rsidRDefault="005036C8" w:rsidP="007F164F">
      <w:pPr>
        <w:pStyle w:val="Heading3"/>
      </w:pPr>
      <w:r w:rsidRPr="009F3455">
        <w:t>1. Description of Educational Program</w:t>
      </w:r>
    </w:p>
    <w:p w14:paraId="792EF228" w14:textId="77777777" w:rsidR="005036C8" w:rsidRPr="008C409F" w:rsidRDefault="005036C8" w:rsidP="007F164F">
      <w:pPr>
        <w:autoSpaceDE w:val="0"/>
        <w:autoSpaceDN w:val="0"/>
        <w:adjustRightInd w:val="0"/>
        <w:jc w:val="center"/>
      </w:pPr>
      <w:r w:rsidRPr="00A32A92">
        <w:rPr>
          <w:i/>
        </w:rPr>
        <w:t xml:space="preserve">EC </w:t>
      </w:r>
      <w:r w:rsidRPr="008C409F">
        <w:t>Section 47605(b)(5)(A)</w:t>
      </w:r>
    </w:p>
    <w:p w14:paraId="190CDA20" w14:textId="77777777" w:rsidR="005036C8" w:rsidRPr="008C409F" w:rsidRDefault="005036C8" w:rsidP="007F164F">
      <w:pPr>
        <w:jc w:val="center"/>
      </w:pPr>
      <w:r w:rsidRPr="008C409F">
        <w:t xml:space="preserve">5 </w:t>
      </w:r>
      <w:r w:rsidRPr="00A32A92">
        <w:rPr>
          <w:i/>
        </w:rPr>
        <w:t>CCR</w:t>
      </w:r>
      <w:r w:rsidRPr="008C409F">
        <w:t xml:space="preserve"> Section 11967.5.1(f)(1)</w:t>
      </w:r>
    </w:p>
    <w:p w14:paraId="1D18BF31" w14:textId="77777777" w:rsidR="005036C8" w:rsidRPr="009F3455" w:rsidRDefault="005036C8" w:rsidP="007F164F">
      <w:pPr>
        <w:pStyle w:val="Heading4"/>
      </w:pPr>
      <w:r w:rsidRPr="009F3455">
        <w:t>Evaluation Criteria</w:t>
      </w:r>
    </w:p>
    <w:p w14:paraId="596B6BCD" w14:textId="77777777" w:rsidR="005036C8" w:rsidRDefault="005036C8" w:rsidP="007F164F">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14:paraId="4F1C844C" w14:textId="77777777" w:rsidTr="00533746">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09138FBC" w14:textId="77777777" w:rsidR="0012799E" w:rsidRPr="00DE5907" w:rsidRDefault="0012799E" w:rsidP="007F164F">
            <w:pPr>
              <w:pStyle w:val="Heading8"/>
              <w:outlineLvl w:val="7"/>
              <w:rPr>
                <w:b w:val="0"/>
              </w:rPr>
            </w:pPr>
            <w:r w:rsidRPr="00DE5907">
              <w:t>Criteria</w:t>
            </w:r>
          </w:p>
        </w:tc>
        <w:tc>
          <w:tcPr>
            <w:tcW w:w="1598" w:type="dxa"/>
            <w:shd w:val="clear" w:color="auto" w:fill="D9D9D9" w:themeFill="background1" w:themeFillShade="D9"/>
            <w:vAlign w:val="center"/>
          </w:tcPr>
          <w:p w14:paraId="4E7DE73A" w14:textId="77777777" w:rsidR="0012799E" w:rsidRPr="00DE5907" w:rsidRDefault="0012799E" w:rsidP="007F164F">
            <w:pPr>
              <w:pStyle w:val="Heading8"/>
              <w:outlineLvl w:val="7"/>
              <w:rPr>
                <w:b w:val="0"/>
              </w:rPr>
            </w:pPr>
            <w:r w:rsidRPr="00DE5907">
              <w:t>Criteria Met</w:t>
            </w:r>
          </w:p>
        </w:tc>
      </w:tr>
      <w:tr w:rsidR="005036C8" w:rsidRPr="004F65D5" w14:paraId="3220B815" w14:textId="77777777" w:rsidTr="00B532B3">
        <w:trPr>
          <w:cantSplit/>
          <w:trHeight w:val="1152"/>
        </w:trPr>
        <w:tc>
          <w:tcPr>
            <w:tcW w:w="7762" w:type="dxa"/>
          </w:tcPr>
          <w:p w14:paraId="140C247D" w14:textId="77777777" w:rsidR="005036C8" w:rsidRPr="00D31541" w:rsidRDefault="005036C8" w:rsidP="007F164F">
            <w:pPr>
              <w:pStyle w:val="Footer"/>
              <w:numPr>
                <w:ilvl w:val="0"/>
                <w:numId w:val="4"/>
              </w:numPr>
              <w:tabs>
                <w:tab w:val="clear" w:pos="4320"/>
                <w:tab w:val="clear" w:pos="8640"/>
              </w:tabs>
              <w:autoSpaceDE w:val="0"/>
              <w:autoSpaceDN w:val="0"/>
              <w:adjustRightInd w:val="0"/>
              <w:ind w:hanging="570"/>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tcPr>
          <w:p w14:paraId="30E090D3" w14:textId="77777777" w:rsidR="005036C8" w:rsidRPr="00B404AC" w:rsidRDefault="00303519" w:rsidP="007F164F">
            <w:pPr>
              <w:jc w:val="center"/>
            </w:pPr>
            <w:r>
              <w:t>Yes</w:t>
            </w:r>
          </w:p>
        </w:tc>
      </w:tr>
      <w:tr w:rsidR="005036C8" w:rsidRPr="004F65D5" w14:paraId="4304F9A8" w14:textId="77777777" w:rsidTr="00B532B3">
        <w:trPr>
          <w:cantSplit/>
          <w:trHeight w:val="1152"/>
        </w:trPr>
        <w:tc>
          <w:tcPr>
            <w:tcW w:w="7762" w:type="dxa"/>
          </w:tcPr>
          <w:p w14:paraId="2C42D7C5" w14:textId="77777777" w:rsidR="005036C8" w:rsidRPr="00D31541" w:rsidRDefault="005036C8" w:rsidP="007F164F">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tcPr>
          <w:p w14:paraId="1B5C67C0" w14:textId="77777777" w:rsidR="005036C8" w:rsidRPr="00B404AC" w:rsidRDefault="00303519" w:rsidP="007F164F">
            <w:pPr>
              <w:jc w:val="center"/>
            </w:pPr>
            <w:r>
              <w:t>Yes</w:t>
            </w:r>
          </w:p>
        </w:tc>
      </w:tr>
      <w:tr w:rsidR="005036C8" w:rsidRPr="004F65D5" w14:paraId="7AA29AB9" w14:textId="77777777" w:rsidTr="00B532B3">
        <w:trPr>
          <w:cantSplit/>
          <w:trHeight w:val="863"/>
        </w:trPr>
        <w:tc>
          <w:tcPr>
            <w:tcW w:w="7762" w:type="dxa"/>
          </w:tcPr>
          <w:p w14:paraId="30EA71C2" w14:textId="77777777" w:rsidR="005036C8" w:rsidRPr="00D31541" w:rsidRDefault="005036C8" w:rsidP="007F164F">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tcPr>
          <w:p w14:paraId="2D1ADD25" w14:textId="77777777" w:rsidR="005036C8" w:rsidRPr="00B404AC" w:rsidRDefault="00303519" w:rsidP="007F164F">
            <w:pPr>
              <w:jc w:val="center"/>
            </w:pPr>
            <w:r>
              <w:t>Yes</w:t>
            </w:r>
          </w:p>
        </w:tc>
      </w:tr>
      <w:tr w:rsidR="005036C8" w:rsidRPr="004F65D5" w14:paraId="7C0FFDF4" w14:textId="77777777" w:rsidTr="00B532B3">
        <w:trPr>
          <w:cantSplit/>
          <w:trHeight w:val="710"/>
        </w:trPr>
        <w:tc>
          <w:tcPr>
            <w:tcW w:w="7762" w:type="dxa"/>
          </w:tcPr>
          <w:p w14:paraId="4B169395" w14:textId="77777777" w:rsidR="005036C8" w:rsidRPr="00D31541" w:rsidRDefault="005036C8" w:rsidP="007F164F">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tcPr>
          <w:p w14:paraId="3C289604" w14:textId="77777777" w:rsidR="005036C8" w:rsidRPr="00B404AC" w:rsidRDefault="00303519" w:rsidP="007F164F">
            <w:pPr>
              <w:jc w:val="center"/>
            </w:pPr>
            <w:r>
              <w:t>Yes</w:t>
            </w:r>
          </w:p>
        </w:tc>
      </w:tr>
      <w:tr w:rsidR="005036C8" w:rsidRPr="004F65D5" w14:paraId="49345C34" w14:textId="77777777" w:rsidTr="00B532B3">
        <w:trPr>
          <w:cantSplit/>
          <w:trHeight w:val="1152"/>
        </w:trPr>
        <w:tc>
          <w:tcPr>
            <w:tcW w:w="7762" w:type="dxa"/>
          </w:tcPr>
          <w:p w14:paraId="0C8E6611" w14:textId="77777777" w:rsidR="005036C8" w:rsidRPr="00D31541" w:rsidRDefault="005036C8" w:rsidP="007F164F">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tcPr>
          <w:p w14:paraId="4DEE475B" w14:textId="77777777" w:rsidR="005036C8" w:rsidRPr="00B404AC" w:rsidRDefault="00303519" w:rsidP="007F164F">
            <w:pPr>
              <w:jc w:val="center"/>
            </w:pPr>
            <w:r>
              <w:t>Yes</w:t>
            </w:r>
          </w:p>
        </w:tc>
      </w:tr>
      <w:tr w:rsidR="005036C8" w:rsidRPr="004F65D5" w14:paraId="24B93A0B" w14:textId="77777777" w:rsidTr="00B532B3">
        <w:trPr>
          <w:cantSplit/>
          <w:trHeight w:val="1152"/>
        </w:trPr>
        <w:tc>
          <w:tcPr>
            <w:tcW w:w="7762" w:type="dxa"/>
          </w:tcPr>
          <w:p w14:paraId="78C2112D" w14:textId="77777777" w:rsidR="005036C8" w:rsidRPr="00E90E01" w:rsidRDefault="005036C8" w:rsidP="007F164F">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tcPr>
          <w:p w14:paraId="4819E6D4" w14:textId="77777777" w:rsidR="005036C8" w:rsidRPr="00B404AC" w:rsidRDefault="00303519" w:rsidP="007F164F">
            <w:pPr>
              <w:jc w:val="center"/>
            </w:pPr>
            <w:r>
              <w:t>Yes</w:t>
            </w:r>
          </w:p>
        </w:tc>
      </w:tr>
      <w:tr w:rsidR="005036C8" w:rsidRPr="004F65D5" w14:paraId="39CE57A4" w14:textId="77777777" w:rsidTr="00B532B3">
        <w:trPr>
          <w:cantSplit/>
          <w:trHeight w:val="1152"/>
        </w:trPr>
        <w:tc>
          <w:tcPr>
            <w:tcW w:w="7762" w:type="dxa"/>
          </w:tcPr>
          <w:p w14:paraId="70F48877" w14:textId="662E7888" w:rsidR="005036C8" w:rsidRPr="00D31541" w:rsidRDefault="005036C8" w:rsidP="007F164F">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 xml:space="preserve">f </w:t>
            </w:r>
            <w:r w:rsidR="0093351B">
              <w:rPr>
                <w:rFonts w:cs="Arial"/>
                <w:color w:val="000000"/>
              </w:rPr>
              <w:t>pupils with</w:t>
            </w:r>
            <w:r>
              <w:rPr>
                <w:rFonts w:cs="Arial"/>
                <w:color w:val="000000"/>
              </w:rPr>
              <w:t xml:space="preserve"> disabilities, English learners</w:t>
            </w:r>
            <w:r w:rsidRPr="00D31541">
              <w:rPr>
                <w:rFonts w:cs="Arial"/>
                <w:color w:val="000000"/>
              </w:rPr>
              <w:t xml:space="preserve">, </w:t>
            </w:r>
            <w:r w:rsidR="0093351B">
              <w:rPr>
                <w:rFonts w:cs="Arial"/>
                <w:color w:val="000000"/>
              </w:rPr>
              <w:t xml:space="preserve">pupils </w:t>
            </w:r>
            <w:r w:rsidR="0093351B" w:rsidRPr="00D31541">
              <w:rPr>
                <w:rFonts w:cs="Arial"/>
                <w:color w:val="000000"/>
              </w:rPr>
              <w:t>achieving</w:t>
            </w:r>
            <w:r w:rsidRPr="00D31541">
              <w:rPr>
                <w:rFonts w:cs="Arial"/>
                <w:color w:val="000000"/>
              </w:rPr>
              <w:t xml:space="preserve"> substantially above or below grade level expectations, and other special student populations.</w:t>
            </w:r>
          </w:p>
        </w:tc>
        <w:tc>
          <w:tcPr>
            <w:tcW w:w="1598" w:type="dxa"/>
          </w:tcPr>
          <w:p w14:paraId="70244094" w14:textId="77777777" w:rsidR="005036C8" w:rsidRPr="00B404AC" w:rsidRDefault="00303519" w:rsidP="007F164F">
            <w:pPr>
              <w:jc w:val="center"/>
            </w:pPr>
            <w:r>
              <w:t>Yes</w:t>
            </w:r>
          </w:p>
        </w:tc>
      </w:tr>
      <w:tr w:rsidR="005036C8" w:rsidRPr="004F65D5" w14:paraId="17F82EEA" w14:textId="77777777" w:rsidTr="00B532B3">
        <w:trPr>
          <w:cantSplit/>
          <w:trHeight w:val="1152"/>
        </w:trPr>
        <w:tc>
          <w:tcPr>
            <w:tcW w:w="7762" w:type="dxa"/>
          </w:tcPr>
          <w:p w14:paraId="3C04FB61" w14:textId="26277DE2" w:rsidR="005036C8" w:rsidRPr="00D31541" w:rsidRDefault="005036C8" w:rsidP="007F164F">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w:t>
            </w:r>
            <w:r w:rsidR="0093351B">
              <w:rPr>
                <w:rFonts w:cs="Arial"/>
                <w:color w:val="000000"/>
              </w:rPr>
              <w:t xml:space="preserve">pupils </w:t>
            </w:r>
            <w:r w:rsidRPr="00D31541">
              <w:rPr>
                <w:rFonts w:cs="Arial"/>
                <w:color w:val="000000"/>
              </w:rPr>
              <w:t xml:space="preserve">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262C990C" w14:textId="77777777" w:rsidR="005036C8" w:rsidRPr="00B404AC" w:rsidRDefault="00303519" w:rsidP="007F164F">
            <w:pPr>
              <w:jc w:val="center"/>
            </w:pPr>
            <w:r>
              <w:t>Yes</w:t>
            </w:r>
          </w:p>
        </w:tc>
      </w:tr>
    </w:tbl>
    <w:p w14:paraId="272C7A69" w14:textId="29A479CD" w:rsidR="005036C8" w:rsidRDefault="005036C8" w:rsidP="007F164F">
      <w:pPr>
        <w:autoSpaceDE w:val="0"/>
        <w:autoSpaceDN w:val="0"/>
        <w:adjustRightInd w:val="0"/>
        <w:spacing w:before="100" w:beforeAutospacing="1" w:after="100" w:afterAutospacing="1"/>
        <w:rPr>
          <w:b/>
        </w:rPr>
      </w:pPr>
      <w:r>
        <w:rPr>
          <w:b/>
        </w:rPr>
        <w:t>T</w:t>
      </w:r>
      <w:r w:rsidRPr="00CD0DEB">
        <w:rPr>
          <w:b/>
        </w:rPr>
        <w:t xml:space="preserve">he petition </w:t>
      </w:r>
      <w:r w:rsidR="00303519">
        <w:rPr>
          <w:b/>
        </w:rPr>
        <w:t>does</w:t>
      </w:r>
      <w:r w:rsidR="00443003">
        <w:rPr>
          <w:b/>
        </w:rPr>
        <w:t>,</w:t>
      </w:r>
      <w:r w:rsidRPr="005E1390">
        <w:rPr>
          <w:b/>
        </w:rPr>
        <w:t xml:space="preserve"> </w:t>
      </w:r>
      <w:r w:rsidRPr="007E4EBA">
        <w:rPr>
          <w:b/>
        </w:rPr>
        <w:t>over</w:t>
      </w:r>
      <w:r w:rsidRPr="009F3455">
        <w:rPr>
          <w:b/>
        </w:rPr>
        <w:t>all</w:t>
      </w:r>
      <w:r w:rsidR="00443003">
        <w:rPr>
          <w:b/>
        </w:rPr>
        <w:t>,</w:t>
      </w:r>
      <w:r w:rsidRPr="009F3455">
        <w:rPr>
          <w:b/>
        </w:rPr>
        <w:t xml:space="preserve"> present a reasonably comprehensive description of the educational program</w:t>
      </w:r>
      <w:r>
        <w:rPr>
          <w:b/>
        </w:rPr>
        <w:t>.</w:t>
      </w:r>
    </w:p>
    <w:p w14:paraId="7060D8D8" w14:textId="77777777" w:rsidR="005036C8" w:rsidRPr="009F3455" w:rsidRDefault="005036C8" w:rsidP="007F164F">
      <w:pPr>
        <w:pStyle w:val="Heading4"/>
      </w:pPr>
      <w:r w:rsidRPr="0074614A">
        <w:t>Comments</w:t>
      </w:r>
    </w:p>
    <w:p w14:paraId="625202CD" w14:textId="533E4147" w:rsidR="000B0F6B" w:rsidRDefault="00303519" w:rsidP="007F164F">
      <w:pPr>
        <w:autoSpaceDE w:val="0"/>
        <w:autoSpaceDN w:val="0"/>
        <w:adjustRightInd w:val="0"/>
        <w:spacing w:after="240"/>
        <w:rPr>
          <w:bCs/>
        </w:rPr>
      </w:pPr>
      <w:r>
        <w:rPr>
          <w:bCs/>
        </w:rPr>
        <w:t xml:space="preserve">The </w:t>
      </w:r>
      <w:bookmarkStart w:id="1" w:name="_Hlk37401367"/>
      <w:r w:rsidR="00CC6679">
        <w:rPr>
          <w:bCs/>
        </w:rPr>
        <w:t>TCS</w:t>
      </w:r>
      <w:bookmarkEnd w:id="1"/>
      <w:r>
        <w:rPr>
          <w:bCs/>
        </w:rPr>
        <w:t xml:space="preserve"> petition does</w:t>
      </w:r>
      <w:r w:rsidR="00443003">
        <w:rPr>
          <w:bCs/>
        </w:rPr>
        <w:t>,</w:t>
      </w:r>
      <w:r>
        <w:rPr>
          <w:bCs/>
        </w:rPr>
        <w:t xml:space="preserve"> overall</w:t>
      </w:r>
      <w:r w:rsidR="00443003">
        <w:rPr>
          <w:bCs/>
        </w:rPr>
        <w:t>,</w:t>
      </w:r>
      <w:r>
        <w:rPr>
          <w:bCs/>
        </w:rPr>
        <w:t xml:space="preserve"> present a reasonably comprehensive descrip</w:t>
      </w:r>
      <w:r w:rsidR="00E0087D">
        <w:rPr>
          <w:bCs/>
        </w:rPr>
        <w:t>tion of the educati</w:t>
      </w:r>
      <w:r w:rsidR="00143CAC">
        <w:rPr>
          <w:bCs/>
        </w:rPr>
        <w:t>onal program</w:t>
      </w:r>
      <w:r w:rsidR="00E0087D">
        <w:rPr>
          <w:bCs/>
        </w:rPr>
        <w:t xml:space="preserve">. </w:t>
      </w:r>
      <w:r w:rsidR="00D05D68">
        <w:rPr>
          <w:bCs/>
        </w:rPr>
        <w:t xml:space="preserve">However, the </w:t>
      </w:r>
      <w:r w:rsidR="00B532B3">
        <w:rPr>
          <w:bCs/>
        </w:rPr>
        <w:t xml:space="preserve">TCS </w:t>
      </w:r>
      <w:r w:rsidR="00D05D68">
        <w:rPr>
          <w:bCs/>
        </w:rPr>
        <w:t>petition</w:t>
      </w:r>
      <w:r w:rsidR="000B0F6B">
        <w:rPr>
          <w:bCs/>
        </w:rPr>
        <w:t xml:space="preserve"> </w:t>
      </w:r>
      <w:r w:rsidR="000B6A7A">
        <w:rPr>
          <w:bCs/>
        </w:rPr>
        <w:t xml:space="preserve">contradicts the number of years that </w:t>
      </w:r>
      <w:r w:rsidR="00D05D68">
        <w:rPr>
          <w:bCs/>
        </w:rPr>
        <w:t>R</w:t>
      </w:r>
      <w:r w:rsidR="000B0F6B">
        <w:rPr>
          <w:bCs/>
        </w:rPr>
        <w:t>eclassified Fluent English Proficient (RFEP) pupils must</w:t>
      </w:r>
      <w:r w:rsidR="000B6A7A">
        <w:rPr>
          <w:bCs/>
        </w:rPr>
        <w:t xml:space="preserve"> be monitored.</w:t>
      </w:r>
    </w:p>
    <w:p w14:paraId="4E6BDA58" w14:textId="366D5C0C" w:rsidR="00143CAC" w:rsidRDefault="000B0F6B" w:rsidP="007F164F">
      <w:pPr>
        <w:autoSpaceDE w:val="0"/>
        <w:autoSpaceDN w:val="0"/>
        <w:adjustRightInd w:val="0"/>
        <w:spacing w:after="100" w:afterAutospacing="1"/>
        <w:rPr>
          <w:bCs/>
        </w:rPr>
      </w:pPr>
      <w:r>
        <w:rPr>
          <w:bCs/>
        </w:rPr>
        <w:t xml:space="preserve">If approved by the SBE, as a condition for approval, the petitioner will be required to revise the </w:t>
      </w:r>
      <w:r w:rsidR="00B532B3">
        <w:rPr>
          <w:bCs/>
        </w:rPr>
        <w:t xml:space="preserve">TCS </w:t>
      </w:r>
      <w:r>
        <w:rPr>
          <w:bCs/>
        </w:rPr>
        <w:t>petition to include the necessary language for Element 1–</w:t>
      </w:r>
      <w:r w:rsidR="00216325">
        <w:rPr>
          <w:bCs/>
        </w:rPr>
        <w:t xml:space="preserve">Description of Educational Program that </w:t>
      </w:r>
      <w:r>
        <w:rPr>
          <w:bCs/>
        </w:rPr>
        <w:t>RFEP pupils will be monitored for a period of four years after reclassification</w:t>
      </w:r>
      <w:r w:rsidR="00B532B3">
        <w:rPr>
          <w:bCs/>
        </w:rPr>
        <w:t>.</w:t>
      </w:r>
    </w:p>
    <w:p w14:paraId="1AA42FD2" w14:textId="4A9D9679" w:rsidR="005036C8" w:rsidRPr="009F3455" w:rsidRDefault="005036C8" w:rsidP="007F164F">
      <w:pPr>
        <w:pStyle w:val="Heading5"/>
      </w:pPr>
      <w:r w:rsidRPr="009F3455">
        <w:t>Educational Program</w:t>
      </w:r>
    </w:p>
    <w:p w14:paraId="27CB5A91" w14:textId="3E240359" w:rsidR="005036C8" w:rsidRDefault="00887265" w:rsidP="007F164F">
      <w:pPr>
        <w:autoSpaceDE w:val="0"/>
        <w:autoSpaceDN w:val="0"/>
        <w:adjustRightInd w:val="0"/>
        <w:spacing w:before="240" w:after="240"/>
        <w:rPr>
          <w:bCs/>
        </w:rPr>
      </w:pPr>
      <w:r>
        <w:rPr>
          <w:bCs/>
        </w:rPr>
        <w:t>The mission of TCS is to</w:t>
      </w:r>
      <w:r w:rsidR="00A62FEE">
        <w:rPr>
          <w:bCs/>
        </w:rPr>
        <w:t xml:space="preserve"> provide a college preparatory program to </w:t>
      </w:r>
      <w:r w:rsidR="0093351B">
        <w:rPr>
          <w:bCs/>
        </w:rPr>
        <w:t>pupils in</w:t>
      </w:r>
      <w:r w:rsidR="00A62FEE">
        <w:rPr>
          <w:bCs/>
        </w:rPr>
        <w:t xml:space="preserve"> grade </w:t>
      </w:r>
      <w:r w:rsidR="00E31347">
        <w:rPr>
          <w:bCs/>
        </w:rPr>
        <w:t>nine</w:t>
      </w:r>
      <w:r w:rsidR="00A62FEE">
        <w:rPr>
          <w:bCs/>
        </w:rPr>
        <w:t xml:space="preserve"> through</w:t>
      </w:r>
      <w:r w:rsidR="005757EC">
        <w:rPr>
          <w:bCs/>
        </w:rPr>
        <w:t xml:space="preserve"> grade</w:t>
      </w:r>
      <w:r w:rsidR="00A62FEE">
        <w:rPr>
          <w:bCs/>
        </w:rPr>
        <w:t xml:space="preserve"> </w:t>
      </w:r>
      <w:r w:rsidR="004802B9">
        <w:rPr>
          <w:bCs/>
        </w:rPr>
        <w:t xml:space="preserve">twelve, and </w:t>
      </w:r>
      <w:r w:rsidR="005757EC">
        <w:rPr>
          <w:bCs/>
        </w:rPr>
        <w:t>to</w:t>
      </w:r>
      <w:r w:rsidR="004802B9">
        <w:rPr>
          <w:bCs/>
        </w:rPr>
        <w:t xml:space="preserve"> develop the ac</w:t>
      </w:r>
      <w:r w:rsidR="00A62FEE">
        <w:rPr>
          <w:bCs/>
        </w:rPr>
        <w:t xml:space="preserve">ademic, social and political skill sets necessary for lifelong learning, critical thinking, and positive contributions to the community in which </w:t>
      </w:r>
      <w:r w:rsidR="0093351B">
        <w:rPr>
          <w:bCs/>
        </w:rPr>
        <w:t>pupils live</w:t>
      </w:r>
      <w:r w:rsidR="00B45FD0">
        <w:rPr>
          <w:bCs/>
        </w:rPr>
        <w:t xml:space="preserve"> </w:t>
      </w:r>
      <w:r w:rsidR="00B83175">
        <w:rPr>
          <w:bCs/>
        </w:rPr>
        <w:t>(</w:t>
      </w:r>
      <w:r w:rsidR="00497403" w:rsidRPr="00497403">
        <w:rPr>
          <w:bCs/>
        </w:rPr>
        <w:t>Attachment 3, p</w:t>
      </w:r>
      <w:r w:rsidR="00497403" w:rsidRPr="00921C9C">
        <w:rPr>
          <w:bCs/>
        </w:rPr>
        <w:t xml:space="preserve">. </w:t>
      </w:r>
      <w:r w:rsidR="00921C9C" w:rsidRPr="00921C9C">
        <w:rPr>
          <w:bCs/>
        </w:rPr>
        <w:t>7</w:t>
      </w:r>
      <w:r w:rsidR="00B83175" w:rsidRPr="00921C9C">
        <w:rPr>
          <w:bCs/>
        </w:rPr>
        <w:t>).</w:t>
      </w:r>
    </w:p>
    <w:p w14:paraId="481151F0" w14:textId="6B50B3DF" w:rsidR="001A59D5" w:rsidRDefault="001A59D5" w:rsidP="007F164F">
      <w:pPr>
        <w:shd w:val="clear" w:color="auto" w:fill="FFFFFF"/>
        <w:spacing w:before="240" w:after="240"/>
        <w:rPr>
          <w:rFonts w:eastAsia="Times New Roman" w:cs="Times New Roman"/>
          <w:iCs/>
        </w:rPr>
      </w:pPr>
      <w:r w:rsidRPr="001A59D5">
        <w:rPr>
          <w:rFonts w:eastAsia="Times New Roman" w:cs="Times New Roman"/>
        </w:rPr>
        <w:t>The</w:t>
      </w:r>
      <w:r w:rsidR="00764FA5">
        <w:rPr>
          <w:rFonts w:eastAsia="Times New Roman" w:cs="Times New Roman"/>
        </w:rPr>
        <w:t xml:space="preserve"> </w:t>
      </w:r>
      <w:r w:rsidRPr="001A59D5">
        <w:rPr>
          <w:rFonts w:eastAsia="Times New Roman" w:cs="Times New Roman"/>
        </w:rPr>
        <w:t xml:space="preserve">petition states that TCS believes that </w:t>
      </w:r>
      <w:r w:rsidRPr="001A59D5">
        <w:rPr>
          <w:rFonts w:eastAsia="Times New Roman" w:cs="Times New Roman"/>
          <w:iCs/>
        </w:rPr>
        <w:t xml:space="preserve">the right environment cultivates a passion for learning. In order to develop this passion, TCS will provide a learning environment that is adaptable to every </w:t>
      </w:r>
      <w:r w:rsidR="005757EC">
        <w:rPr>
          <w:rFonts w:eastAsia="Times New Roman" w:cs="Times New Roman"/>
          <w:iCs/>
        </w:rPr>
        <w:t>pupil</w:t>
      </w:r>
      <w:r w:rsidRPr="001A59D5">
        <w:rPr>
          <w:rFonts w:eastAsia="Times New Roman" w:cs="Times New Roman"/>
          <w:iCs/>
        </w:rPr>
        <w:t xml:space="preserve"> in regards to learning style, interest, and ability. TCS </w:t>
      </w:r>
      <w:r w:rsidR="00764FA5">
        <w:rPr>
          <w:rFonts w:eastAsia="Times New Roman" w:cs="Times New Roman"/>
          <w:iCs/>
        </w:rPr>
        <w:t xml:space="preserve">offers </w:t>
      </w:r>
      <w:r w:rsidR="00BF461A">
        <w:rPr>
          <w:rFonts w:eastAsia="Times New Roman" w:cs="Times New Roman"/>
          <w:iCs/>
        </w:rPr>
        <w:t xml:space="preserve">an </w:t>
      </w:r>
      <w:r w:rsidR="00764FA5">
        <w:rPr>
          <w:rFonts w:eastAsia="Times New Roman" w:cs="Times New Roman"/>
          <w:iCs/>
        </w:rPr>
        <w:t xml:space="preserve">instructional design that </w:t>
      </w:r>
      <w:r w:rsidRPr="001A59D5">
        <w:rPr>
          <w:rFonts w:eastAsia="Times New Roman" w:cs="Times New Roman"/>
          <w:iCs/>
        </w:rPr>
        <w:t>incorporates Science, Technology, Engineering, Art, and Mathematics (STEAM</w:t>
      </w:r>
      <w:r w:rsidR="00731DE8">
        <w:rPr>
          <w:rFonts w:eastAsia="Times New Roman" w:cs="Times New Roman"/>
          <w:iCs/>
        </w:rPr>
        <w:t>);</w:t>
      </w:r>
      <w:r w:rsidRPr="001A59D5">
        <w:rPr>
          <w:rFonts w:eastAsia="Times New Roman" w:cs="Times New Roman"/>
          <w:iCs/>
        </w:rPr>
        <w:t xml:space="preserve"> Career Technical Education</w:t>
      </w:r>
      <w:r w:rsidR="006D0BB9">
        <w:rPr>
          <w:rFonts w:eastAsia="Times New Roman" w:cs="Times New Roman"/>
          <w:iCs/>
        </w:rPr>
        <w:t>;</w:t>
      </w:r>
      <w:r w:rsidR="00C83AB4" w:rsidRPr="001A59D5">
        <w:rPr>
          <w:rFonts w:eastAsia="Times New Roman" w:cs="Times New Roman"/>
          <w:iCs/>
        </w:rPr>
        <w:t xml:space="preserve"> project</w:t>
      </w:r>
      <w:r w:rsidR="00C83AB4">
        <w:rPr>
          <w:rFonts w:eastAsia="Times New Roman" w:cs="Times New Roman"/>
          <w:iCs/>
        </w:rPr>
        <w:t>-</w:t>
      </w:r>
      <w:r w:rsidR="00C83AB4" w:rsidRPr="001A59D5">
        <w:rPr>
          <w:rFonts w:eastAsia="Times New Roman" w:cs="Times New Roman"/>
          <w:iCs/>
        </w:rPr>
        <w:t>based learning</w:t>
      </w:r>
      <w:r w:rsidR="006D0BB9">
        <w:rPr>
          <w:rFonts w:eastAsia="Times New Roman" w:cs="Times New Roman"/>
          <w:iCs/>
        </w:rPr>
        <w:t>;</w:t>
      </w:r>
      <w:r w:rsidR="00777067" w:rsidRPr="00777067">
        <w:t xml:space="preserve"> </w:t>
      </w:r>
      <w:r w:rsidR="00764FA5">
        <w:t>i</w:t>
      </w:r>
      <w:r w:rsidR="00777067">
        <w:t>ndividualized instruction</w:t>
      </w:r>
      <w:r w:rsidR="006D0BB9">
        <w:t>;</w:t>
      </w:r>
      <w:r w:rsidR="00777067">
        <w:t xml:space="preserve"> a lab</w:t>
      </w:r>
      <w:r w:rsidR="00BF461A">
        <w:t>oratory</w:t>
      </w:r>
      <w:r w:rsidR="00777067">
        <w:t xml:space="preserve"> school environment</w:t>
      </w:r>
      <w:r w:rsidR="006D0BB9">
        <w:t>;</w:t>
      </w:r>
      <w:r w:rsidR="00777067">
        <w:t xml:space="preserve"> partnerships with the local colleges and course</w:t>
      </w:r>
      <w:r w:rsidR="00764FA5">
        <w:t>s</w:t>
      </w:r>
      <w:r w:rsidR="00777067">
        <w:t xml:space="preserve"> that are UC Curriculum Integration approved</w:t>
      </w:r>
      <w:r w:rsidR="00764FA5">
        <w:t xml:space="preserve">. </w:t>
      </w:r>
      <w:r w:rsidR="00777067">
        <w:t>TCS’</w:t>
      </w:r>
      <w:r w:rsidRPr="001A59D5">
        <w:rPr>
          <w:rFonts w:eastAsia="Times New Roman" w:cs="Times New Roman"/>
          <w:iCs/>
        </w:rPr>
        <w:t xml:space="preserve"> flexible facility design aim</w:t>
      </w:r>
      <w:r w:rsidR="00777067">
        <w:rPr>
          <w:rFonts w:eastAsia="Times New Roman" w:cs="Times New Roman"/>
          <w:iCs/>
        </w:rPr>
        <w:t>s</w:t>
      </w:r>
      <w:r w:rsidRPr="001A59D5">
        <w:rPr>
          <w:rFonts w:eastAsia="Times New Roman" w:cs="Times New Roman"/>
          <w:iCs/>
        </w:rPr>
        <w:t xml:space="preserve"> to develop </w:t>
      </w:r>
      <w:r w:rsidR="005757EC">
        <w:rPr>
          <w:rFonts w:eastAsia="Times New Roman" w:cs="Times New Roman"/>
          <w:iCs/>
        </w:rPr>
        <w:t>pupils</w:t>
      </w:r>
      <w:r w:rsidRPr="001A59D5">
        <w:rPr>
          <w:rFonts w:eastAsia="Times New Roman" w:cs="Times New Roman"/>
          <w:iCs/>
        </w:rPr>
        <w:t xml:space="preserve"> that are self-driven, collaborative, inquisitive, and </w:t>
      </w:r>
      <w:r w:rsidRPr="001A59D5">
        <w:rPr>
          <w:rFonts w:eastAsia="Times New Roman" w:cs="Times New Roman"/>
          <w:iCs/>
        </w:rPr>
        <w:lastRenderedPageBreak/>
        <w:t xml:space="preserve">solutions oriented. TCS </w:t>
      </w:r>
      <w:r w:rsidR="005757EC">
        <w:rPr>
          <w:rFonts w:eastAsia="Times New Roman" w:cs="Times New Roman"/>
          <w:iCs/>
        </w:rPr>
        <w:t>pupils</w:t>
      </w:r>
      <w:r w:rsidRPr="001A59D5">
        <w:rPr>
          <w:rFonts w:eastAsia="Times New Roman" w:cs="Times New Roman"/>
          <w:iCs/>
        </w:rPr>
        <w:t xml:space="preserve"> will be able to take abstract concepts and apply </w:t>
      </w:r>
      <w:r w:rsidR="005757EC">
        <w:rPr>
          <w:rFonts w:eastAsia="Times New Roman" w:cs="Times New Roman"/>
          <w:iCs/>
        </w:rPr>
        <w:t>those</w:t>
      </w:r>
      <w:r w:rsidRPr="001A59D5">
        <w:rPr>
          <w:rFonts w:eastAsia="Times New Roman" w:cs="Times New Roman"/>
          <w:iCs/>
        </w:rPr>
        <w:t xml:space="preserve"> concepts to STEAM fields such as architecture, coding, and film production. </w:t>
      </w:r>
      <w:r w:rsidR="005757EC">
        <w:rPr>
          <w:rFonts w:eastAsia="Times New Roman" w:cs="Times New Roman"/>
          <w:iCs/>
        </w:rPr>
        <w:t xml:space="preserve">Pupils </w:t>
      </w:r>
      <w:r w:rsidRPr="001A59D5">
        <w:rPr>
          <w:rFonts w:eastAsia="Times New Roman" w:cs="Times New Roman"/>
          <w:iCs/>
        </w:rPr>
        <w:t>will work on projects that require them to develop and present tangibles within STEAM fields</w:t>
      </w:r>
      <w:r w:rsidR="00777067">
        <w:rPr>
          <w:rFonts w:eastAsia="Times New Roman" w:cs="Times New Roman"/>
          <w:iCs/>
        </w:rPr>
        <w:t xml:space="preserve">. </w:t>
      </w:r>
      <w:r w:rsidRPr="001A59D5">
        <w:rPr>
          <w:rFonts w:eastAsia="Times New Roman" w:cs="Times New Roman"/>
          <w:iCs/>
        </w:rPr>
        <w:t>(Attachment 3, p.</w:t>
      </w:r>
      <w:r w:rsidR="005757EC">
        <w:rPr>
          <w:rFonts w:eastAsia="Times New Roman" w:cs="Times New Roman"/>
          <w:iCs/>
        </w:rPr>
        <w:t xml:space="preserve"> </w:t>
      </w:r>
      <w:r w:rsidRPr="001A59D5">
        <w:rPr>
          <w:rFonts w:eastAsia="Times New Roman" w:cs="Times New Roman"/>
          <w:iCs/>
        </w:rPr>
        <w:t>14).</w:t>
      </w:r>
    </w:p>
    <w:p w14:paraId="3F5E26E5" w14:textId="77777777" w:rsidR="005036C8" w:rsidRPr="009F3455" w:rsidRDefault="005036C8" w:rsidP="007F164F">
      <w:pPr>
        <w:pStyle w:val="Heading5"/>
      </w:pPr>
      <w:r w:rsidRPr="009F3455">
        <w:t>Plan for Low-Achieving Pupils</w:t>
      </w:r>
    </w:p>
    <w:p w14:paraId="335A729B" w14:textId="7B8C8241" w:rsidR="00497403" w:rsidRPr="001B4CDA" w:rsidRDefault="00391B67" w:rsidP="007F164F">
      <w:pPr>
        <w:autoSpaceDE w:val="0"/>
        <w:autoSpaceDN w:val="0"/>
        <w:adjustRightInd w:val="0"/>
        <w:spacing w:after="240"/>
        <w:rPr>
          <w:bCs/>
        </w:rPr>
      </w:pPr>
      <w:r w:rsidRPr="00497403">
        <w:rPr>
          <w:bCs/>
        </w:rPr>
        <w:t xml:space="preserve">The </w:t>
      </w:r>
      <w:r w:rsidR="00CC6679" w:rsidRPr="00497403">
        <w:rPr>
          <w:bCs/>
        </w:rPr>
        <w:t xml:space="preserve">TCS </w:t>
      </w:r>
      <w:r w:rsidRPr="00497403">
        <w:rPr>
          <w:bCs/>
        </w:rPr>
        <w:t>petition states that</w:t>
      </w:r>
      <w:r w:rsidR="005A23F2" w:rsidRPr="00497403">
        <w:rPr>
          <w:bCs/>
        </w:rPr>
        <w:t xml:space="preserve"> </w:t>
      </w:r>
      <w:r w:rsidR="0093351B">
        <w:rPr>
          <w:bCs/>
        </w:rPr>
        <w:t>pupils performing</w:t>
      </w:r>
      <w:r w:rsidR="00B21B7B">
        <w:rPr>
          <w:bCs/>
        </w:rPr>
        <w:t xml:space="preserve"> substantially below grade level</w:t>
      </w:r>
      <w:r w:rsidR="005757EC">
        <w:rPr>
          <w:bCs/>
        </w:rPr>
        <w:t>,</w:t>
      </w:r>
      <w:r w:rsidR="00B21B7B">
        <w:rPr>
          <w:bCs/>
        </w:rPr>
        <w:t xml:space="preserve"> as determined by state standardized test results and internal assessment</w:t>
      </w:r>
      <w:r w:rsidR="00D05D68">
        <w:rPr>
          <w:bCs/>
        </w:rPr>
        <w:t>s</w:t>
      </w:r>
      <w:r w:rsidR="005757EC">
        <w:rPr>
          <w:bCs/>
        </w:rPr>
        <w:t>,</w:t>
      </w:r>
      <w:r w:rsidR="00B21B7B">
        <w:rPr>
          <w:bCs/>
        </w:rPr>
        <w:t xml:space="preserve"> will receive extra interventions and supports. Targeted support and interventions will be designed to help </w:t>
      </w:r>
      <w:r w:rsidR="0093351B">
        <w:rPr>
          <w:bCs/>
        </w:rPr>
        <w:t>pupils master</w:t>
      </w:r>
      <w:r w:rsidR="00B21B7B">
        <w:rPr>
          <w:bCs/>
        </w:rPr>
        <w:t xml:space="preserve"> the subject(s) content and develop learning strategies and skills</w:t>
      </w:r>
      <w:r w:rsidR="00D26069">
        <w:rPr>
          <w:bCs/>
        </w:rPr>
        <w:t>.</w:t>
      </w:r>
      <w:r w:rsidR="00D26069" w:rsidRPr="00D26069">
        <w:rPr>
          <w:bCs/>
        </w:rPr>
        <w:t xml:space="preserve"> </w:t>
      </w:r>
      <w:r w:rsidR="00D26069" w:rsidRPr="000063BC">
        <w:rPr>
          <w:bCs/>
        </w:rPr>
        <w:t>TCS will utilize a three-tiered approach as a response to intervention for low-achieving pupils</w:t>
      </w:r>
      <w:r w:rsidR="00D05D68">
        <w:rPr>
          <w:bCs/>
        </w:rPr>
        <w:t xml:space="preserve">, </w:t>
      </w:r>
      <w:r w:rsidR="00D26069" w:rsidRPr="000063BC">
        <w:rPr>
          <w:bCs/>
        </w:rPr>
        <w:t xml:space="preserve">which will focus on academic strategies for success </w:t>
      </w:r>
      <w:r w:rsidR="00D26069" w:rsidRPr="00D26069">
        <w:rPr>
          <w:bCs/>
        </w:rPr>
        <w:t>(Attachment 3, pp.</w:t>
      </w:r>
      <w:r w:rsidR="005757EC">
        <w:rPr>
          <w:bCs/>
        </w:rPr>
        <w:t xml:space="preserve"> </w:t>
      </w:r>
      <w:r w:rsidR="001B4CDA">
        <w:rPr>
          <w:bCs/>
        </w:rPr>
        <w:t>62</w:t>
      </w:r>
      <w:r w:rsidR="00D05D68">
        <w:rPr>
          <w:bCs/>
        </w:rPr>
        <w:t>–</w:t>
      </w:r>
      <w:r w:rsidR="001B4CDA">
        <w:rPr>
          <w:bCs/>
        </w:rPr>
        <w:t>64</w:t>
      </w:r>
      <w:r w:rsidR="00D26069" w:rsidRPr="001B4CDA">
        <w:rPr>
          <w:bCs/>
        </w:rPr>
        <w:t>).</w:t>
      </w:r>
    </w:p>
    <w:p w14:paraId="09B47B6A" w14:textId="06A143BA" w:rsidR="00B21B7B" w:rsidRPr="00D26069" w:rsidRDefault="0093351B" w:rsidP="007F164F">
      <w:pPr>
        <w:autoSpaceDE w:val="0"/>
        <w:autoSpaceDN w:val="0"/>
        <w:adjustRightInd w:val="0"/>
        <w:spacing w:after="240"/>
        <w:rPr>
          <w:bCs/>
        </w:rPr>
      </w:pPr>
      <w:r>
        <w:rPr>
          <w:bCs/>
        </w:rPr>
        <w:t xml:space="preserve">Pupils </w:t>
      </w:r>
      <w:r w:rsidRPr="00D26069">
        <w:rPr>
          <w:bCs/>
        </w:rPr>
        <w:t>identified</w:t>
      </w:r>
      <w:r w:rsidR="00B21B7B" w:rsidRPr="00D26069">
        <w:rPr>
          <w:bCs/>
        </w:rPr>
        <w:t xml:space="preserve"> as “at risk” through universal screenings and/or results on tests will receive supplemental instruction</w:t>
      </w:r>
      <w:r w:rsidR="00386253">
        <w:rPr>
          <w:bCs/>
        </w:rPr>
        <w:t xml:space="preserve">. </w:t>
      </w:r>
      <w:r w:rsidR="00B21B7B" w:rsidRPr="00D26069">
        <w:rPr>
          <w:bCs/>
        </w:rPr>
        <w:t xml:space="preserve">Classroom teachers will closely monitor student work and upon identification of a struggling </w:t>
      </w:r>
      <w:r w:rsidR="005757EC">
        <w:rPr>
          <w:bCs/>
        </w:rPr>
        <w:t>pupil</w:t>
      </w:r>
      <w:r w:rsidR="00B21B7B" w:rsidRPr="00D26069">
        <w:rPr>
          <w:bCs/>
        </w:rPr>
        <w:t xml:space="preserve"> will convene a Student Study Team (SST). The SST consists of the school counselor, teacher(s), a school administrator, the </w:t>
      </w:r>
      <w:r w:rsidR="000B6A7A">
        <w:rPr>
          <w:bCs/>
        </w:rPr>
        <w:t>pupil’s</w:t>
      </w:r>
      <w:r w:rsidR="00B21B7B" w:rsidRPr="00D26069">
        <w:rPr>
          <w:bCs/>
        </w:rPr>
        <w:t xml:space="preserve"> parent/guardian, and others.</w:t>
      </w:r>
      <w:r w:rsidR="00D26069" w:rsidRPr="00D26069">
        <w:rPr>
          <w:bCs/>
        </w:rPr>
        <w:t xml:space="preserve"> The TCS SST</w:t>
      </w:r>
      <w:r w:rsidR="00B21B7B" w:rsidRPr="00D26069">
        <w:rPr>
          <w:bCs/>
        </w:rPr>
        <w:t xml:space="preserve"> will oversee</w:t>
      </w:r>
      <w:r w:rsidR="005757EC">
        <w:rPr>
          <w:bCs/>
        </w:rPr>
        <w:t xml:space="preserve"> the</w:t>
      </w:r>
      <w:r w:rsidR="00D26069" w:rsidRPr="00D26069">
        <w:rPr>
          <w:bCs/>
        </w:rPr>
        <w:t xml:space="preserve"> </w:t>
      </w:r>
      <w:r w:rsidR="00B21B7B" w:rsidRPr="00D26069">
        <w:rPr>
          <w:bCs/>
        </w:rPr>
        <w:t>development of plans to mee</w:t>
      </w:r>
      <w:r w:rsidR="00D26069" w:rsidRPr="00D26069">
        <w:rPr>
          <w:bCs/>
        </w:rPr>
        <w:t xml:space="preserve">t the needs of </w:t>
      </w:r>
      <w:r w:rsidR="000B6A7A">
        <w:rPr>
          <w:bCs/>
        </w:rPr>
        <w:t>the pupil.</w:t>
      </w:r>
    </w:p>
    <w:p w14:paraId="330A145A" w14:textId="70430A0F" w:rsidR="005A23F2" w:rsidRPr="005A23F2" w:rsidRDefault="005A23F2" w:rsidP="007F164F">
      <w:pPr>
        <w:autoSpaceDE w:val="0"/>
        <w:autoSpaceDN w:val="0"/>
        <w:adjustRightInd w:val="0"/>
        <w:spacing w:after="100" w:afterAutospacing="1"/>
        <w:rPr>
          <w:bCs/>
        </w:rPr>
      </w:pPr>
      <w:r>
        <w:rPr>
          <w:bCs/>
        </w:rPr>
        <w:t xml:space="preserve">Using </w:t>
      </w:r>
      <w:r w:rsidR="004A308C">
        <w:rPr>
          <w:bCs/>
        </w:rPr>
        <w:t>a data</w:t>
      </w:r>
      <w:r>
        <w:rPr>
          <w:bCs/>
        </w:rPr>
        <w:t xml:space="preserve"> </w:t>
      </w:r>
      <w:r w:rsidR="00E31347">
        <w:rPr>
          <w:bCs/>
        </w:rPr>
        <w:t>tracking system</w:t>
      </w:r>
      <w:r>
        <w:rPr>
          <w:bCs/>
        </w:rPr>
        <w:t xml:space="preserve">, the following groups of </w:t>
      </w:r>
      <w:r w:rsidR="00A31343">
        <w:rPr>
          <w:bCs/>
        </w:rPr>
        <w:t>pupils</w:t>
      </w:r>
      <w:r>
        <w:rPr>
          <w:bCs/>
        </w:rPr>
        <w:t xml:space="preserve"> will be monitored by teachers and</w:t>
      </w:r>
      <w:r w:rsidR="005757EC">
        <w:rPr>
          <w:bCs/>
        </w:rPr>
        <w:t xml:space="preserve"> the</w:t>
      </w:r>
      <w:r>
        <w:rPr>
          <w:bCs/>
        </w:rPr>
        <w:t xml:space="preserve"> school administration in order to ensure satisfactory academic progress and to provide timely and targeted intervention when </w:t>
      </w:r>
      <w:r w:rsidR="002F23C1">
        <w:rPr>
          <w:bCs/>
        </w:rPr>
        <w:t>necessary (Attachment 3, p</w:t>
      </w:r>
      <w:r w:rsidR="002F23C1" w:rsidRPr="005A23F2">
        <w:rPr>
          <w:bCs/>
        </w:rPr>
        <w:t>.</w:t>
      </w:r>
      <w:r w:rsidR="001A59D5">
        <w:rPr>
          <w:bCs/>
        </w:rPr>
        <w:t xml:space="preserve"> 64)</w:t>
      </w:r>
      <w:r w:rsidR="00A31343">
        <w:rPr>
          <w:bCs/>
        </w:rPr>
        <w:t>:</w:t>
      </w:r>
    </w:p>
    <w:p w14:paraId="7CD58A28" w14:textId="6CA25939" w:rsidR="00B45FD0" w:rsidRPr="00F934BB" w:rsidRDefault="0093351B" w:rsidP="007F164F">
      <w:pPr>
        <w:pStyle w:val="ListParagraph"/>
        <w:numPr>
          <w:ilvl w:val="0"/>
          <w:numId w:val="36"/>
        </w:numPr>
        <w:autoSpaceDE w:val="0"/>
        <w:autoSpaceDN w:val="0"/>
        <w:adjustRightInd w:val="0"/>
        <w:spacing w:after="240"/>
        <w:ind w:left="778"/>
        <w:contextualSpacing/>
        <w:rPr>
          <w:bCs/>
        </w:rPr>
      </w:pPr>
      <w:r>
        <w:rPr>
          <w:bCs/>
        </w:rPr>
        <w:t>Pupils identified</w:t>
      </w:r>
      <w:r w:rsidR="005A23F2">
        <w:rPr>
          <w:bCs/>
        </w:rPr>
        <w:t xml:space="preserve"> as achieving below grade </w:t>
      </w:r>
      <w:r w:rsidR="002F23C1">
        <w:rPr>
          <w:bCs/>
        </w:rPr>
        <w:t>level</w:t>
      </w:r>
    </w:p>
    <w:p w14:paraId="4212DBFB" w14:textId="6889044B" w:rsidR="004802B9" w:rsidRPr="00081595" w:rsidRDefault="0093351B" w:rsidP="007F164F">
      <w:pPr>
        <w:pStyle w:val="ListParagraph"/>
        <w:numPr>
          <w:ilvl w:val="0"/>
          <w:numId w:val="36"/>
        </w:numPr>
        <w:autoSpaceDE w:val="0"/>
        <w:autoSpaceDN w:val="0"/>
        <w:adjustRightInd w:val="0"/>
        <w:spacing w:after="240"/>
        <w:ind w:left="778"/>
        <w:contextualSpacing/>
        <w:rPr>
          <w:bCs/>
        </w:rPr>
      </w:pPr>
      <w:r>
        <w:rPr>
          <w:bCs/>
        </w:rPr>
        <w:t>Pupils identified</w:t>
      </w:r>
      <w:r w:rsidR="005A23F2">
        <w:rPr>
          <w:bCs/>
        </w:rPr>
        <w:t xml:space="preserve"> as being at risk for school failure due to </w:t>
      </w:r>
      <w:r w:rsidR="00E31347">
        <w:rPr>
          <w:bCs/>
        </w:rPr>
        <w:t>environmental</w:t>
      </w:r>
      <w:r w:rsidR="005A23F2">
        <w:rPr>
          <w:bCs/>
        </w:rPr>
        <w:t xml:space="preserve"> factor</w:t>
      </w:r>
      <w:r w:rsidR="004802B9">
        <w:rPr>
          <w:bCs/>
        </w:rPr>
        <w:t>s</w:t>
      </w:r>
    </w:p>
    <w:p w14:paraId="778A5E2C" w14:textId="77777777" w:rsidR="00A31343" w:rsidRDefault="005A23F2" w:rsidP="007F164F">
      <w:pPr>
        <w:pStyle w:val="ListParagraph"/>
        <w:numPr>
          <w:ilvl w:val="0"/>
          <w:numId w:val="36"/>
        </w:numPr>
        <w:autoSpaceDE w:val="0"/>
        <w:autoSpaceDN w:val="0"/>
        <w:adjustRightInd w:val="0"/>
        <w:spacing w:after="240"/>
        <w:ind w:left="778"/>
        <w:contextualSpacing/>
        <w:rPr>
          <w:bCs/>
        </w:rPr>
      </w:pPr>
      <w:r>
        <w:rPr>
          <w:bCs/>
        </w:rPr>
        <w:t xml:space="preserve">Socioeconomically disadvantaged </w:t>
      </w:r>
      <w:r w:rsidR="0093351B">
        <w:rPr>
          <w:bCs/>
        </w:rPr>
        <w:t>pupils</w:t>
      </w:r>
    </w:p>
    <w:p w14:paraId="1BE56F87" w14:textId="5F755B8F" w:rsidR="005A23F2" w:rsidRPr="00A31343" w:rsidRDefault="005A23F2" w:rsidP="007F164F">
      <w:pPr>
        <w:autoSpaceDE w:val="0"/>
        <w:autoSpaceDN w:val="0"/>
        <w:adjustRightInd w:val="0"/>
        <w:spacing w:after="240"/>
        <w:rPr>
          <w:bCs/>
        </w:rPr>
      </w:pPr>
      <w:r w:rsidRPr="00A31343">
        <w:rPr>
          <w:bCs/>
        </w:rPr>
        <w:t xml:space="preserve">In the </w:t>
      </w:r>
      <w:r w:rsidR="004802B9" w:rsidRPr="00A31343">
        <w:rPr>
          <w:bCs/>
        </w:rPr>
        <w:t>e</w:t>
      </w:r>
      <w:r w:rsidRPr="00A31343">
        <w:rPr>
          <w:bCs/>
        </w:rPr>
        <w:t xml:space="preserve">vent that </w:t>
      </w:r>
      <w:r w:rsidR="00E31347" w:rsidRPr="00A31343">
        <w:rPr>
          <w:bCs/>
        </w:rPr>
        <w:t>struggling</w:t>
      </w:r>
      <w:r w:rsidRPr="00A31343">
        <w:rPr>
          <w:bCs/>
        </w:rPr>
        <w:t xml:space="preserve"> </w:t>
      </w:r>
      <w:r w:rsidR="0093351B" w:rsidRPr="00A31343">
        <w:rPr>
          <w:bCs/>
        </w:rPr>
        <w:t>pupils</w:t>
      </w:r>
      <w:r w:rsidRPr="00A31343">
        <w:rPr>
          <w:bCs/>
        </w:rPr>
        <w:t xml:space="preserve"> fail to make satisfactory academic progress despite targeted interventions implemented by the classroom teacher</w:t>
      </w:r>
      <w:r w:rsidR="003618A9" w:rsidRPr="00A31343">
        <w:rPr>
          <w:bCs/>
        </w:rPr>
        <w:t xml:space="preserve">, the teacher may decide to refer the </w:t>
      </w:r>
      <w:r w:rsidR="005757EC" w:rsidRPr="00A31343">
        <w:rPr>
          <w:bCs/>
        </w:rPr>
        <w:t>pupil</w:t>
      </w:r>
      <w:r w:rsidR="003618A9" w:rsidRPr="00A31343">
        <w:rPr>
          <w:bCs/>
        </w:rPr>
        <w:t xml:space="preserve"> to the S</w:t>
      </w:r>
      <w:r w:rsidR="00386253" w:rsidRPr="00A31343">
        <w:rPr>
          <w:bCs/>
        </w:rPr>
        <w:t>ST</w:t>
      </w:r>
      <w:r w:rsidR="00A31343">
        <w:rPr>
          <w:bCs/>
        </w:rPr>
        <w:t>.</w:t>
      </w:r>
    </w:p>
    <w:p w14:paraId="63B269F4" w14:textId="77777777" w:rsidR="005036C8" w:rsidRPr="009F3455" w:rsidRDefault="005036C8" w:rsidP="007F164F">
      <w:pPr>
        <w:pStyle w:val="Heading5"/>
      </w:pPr>
      <w:r w:rsidRPr="009F3455">
        <w:t>Plan for High-Achieving Pupils</w:t>
      </w:r>
    </w:p>
    <w:p w14:paraId="4E97A4AF" w14:textId="66BAED37" w:rsidR="005036C8" w:rsidRDefault="005025CA" w:rsidP="007F164F">
      <w:pPr>
        <w:autoSpaceDE w:val="0"/>
        <w:autoSpaceDN w:val="0"/>
        <w:adjustRightInd w:val="0"/>
        <w:spacing w:after="100" w:afterAutospacing="1"/>
        <w:rPr>
          <w:bCs/>
        </w:rPr>
      </w:pPr>
      <w:r w:rsidRPr="00877F45">
        <w:rPr>
          <w:bCs/>
        </w:rPr>
        <w:t xml:space="preserve">The </w:t>
      </w:r>
      <w:r w:rsidR="00CC6679" w:rsidRPr="00877F45">
        <w:rPr>
          <w:bCs/>
        </w:rPr>
        <w:t>TCS</w:t>
      </w:r>
      <w:r w:rsidRPr="00877F45">
        <w:rPr>
          <w:bCs/>
        </w:rPr>
        <w:t xml:space="preserve"> petition states that pupils will be considered high-achieving based on the </w:t>
      </w:r>
      <w:r w:rsidRPr="00F934BB">
        <w:rPr>
          <w:bCs/>
        </w:rPr>
        <w:t>following criteria:</w:t>
      </w:r>
    </w:p>
    <w:p w14:paraId="7EEC18D6" w14:textId="4B01CE6C" w:rsidR="00877F45" w:rsidRPr="00F934BB" w:rsidRDefault="0093351B" w:rsidP="007F164F">
      <w:pPr>
        <w:pStyle w:val="ListParagraph"/>
        <w:numPr>
          <w:ilvl w:val="0"/>
          <w:numId w:val="33"/>
        </w:numPr>
        <w:autoSpaceDE w:val="0"/>
        <w:autoSpaceDN w:val="0"/>
        <w:adjustRightInd w:val="0"/>
        <w:spacing w:before="240" w:after="100" w:afterAutospacing="1"/>
        <w:rPr>
          <w:bCs/>
        </w:rPr>
      </w:pPr>
      <w:r>
        <w:rPr>
          <w:bCs/>
        </w:rPr>
        <w:t xml:space="preserve">Pupils </w:t>
      </w:r>
      <w:r w:rsidRPr="00F934BB">
        <w:rPr>
          <w:bCs/>
        </w:rPr>
        <w:t>who</w:t>
      </w:r>
      <w:r w:rsidR="00877F45" w:rsidRPr="00F934BB">
        <w:rPr>
          <w:bCs/>
        </w:rPr>
        <w:t xml:space="preserve"> exceed the standard on S</w:t>
      </w:r>
      <w:r w:rsidR="001E4B86" w:rsidRPr="00F934BB">
        <w:rPr>
          <w:bCs/>
        </w:rPr>
        <w:t xml:space="preserve">marter </w:t>
      </w:r>
      <w:r w:rsidR="00877F45" w:rsidRPr="00F934BB">
        <w:rPr>
          <w:bCs/>
        </w:rPr>
        <w:t>B</w:t>
      </w:r>
      <w:r w:rsidR="001E4B86" w:rsidRPr="00F934BB">
        <w:rPr>
          <w:bCs/>
        </w:rPr>
        <w:t xml:space="preserve">alanced </w:t>
      </w:r>
      <w:r w:rsidR="00877F45" w:rsidRPr="00F934BB">
        <w:rPr>
          <w:bCs/>
        </w:rPr>
        <w:t>A</w:t>
      </w:r>
      <w:r w:rsidR="001E4B86" w:rsidRPr="00F934BB">
        <w:rPr>
          <w:bCs/>
        </w:rPr>
        <w:t xml:space="preserve">ssessment </w:t>
      </w:r>
      <w:r w:rsidR="00877F45" w:rsidRPr="00F934BB">
        <w:rPr>
          <w:bCs/>
        </w:rPr>
        <w:t>C</w:t>
      </w:r>
      <w:r w:rsidR="001E4B86" w:rsidRPr="00F934BB">
        <w:rPr>
          <w:bCs/>
        </w:rPr>
        <w:t>onsortium</w:t>
      </w:r>
      <w:r w:rsidR="00877F45" w:rsidRPr="00F934BB">
        <w:rPr>
          <w:bCs/>
        </w:rPr>
        <w:t xml:space="preserve"> testing</w:t>
      </w:r>
    </w:p>
    <w:p w14:paraId="4E82DC7C" w14:textId="73AFFA9A" w:rsidR="00877F45" w:rsidRPr="00877F45" w:rsidRDefault="0093351B" w:rsidP="007F164F">
      <w:pPr>
        <w:pStyle w:val="ListParagraph"/>
        <w:numPr>
          <w:ilvl w:val="0"/>
          <w:numId w:val="33"/>
        </w:numPr>
        <w:autoSpaceDE w:val="0"/>
        <w:autoSpaceDN w:val="0"/>
        <w:adjustRightInd w:val="0"/>
        <w:spacing w:before="240" w:after="100" w:afterAutospacing="1"/>
        <w:rPr>
          <w:bCs/>
        </w:rPr>
      </w:pPr>
      <w:r>
        <w:rPr>
          <w:bCs/>
        </w:rPr>
        <w:t>Pupils who</w:t>
      </w:r>
      <w:r w:rsidR="00877F45">
        <w:rPr>
          <w:bCs/>
        </w:rPr>
        <w:t xml:space="preserve"> consistently receive grades of A on internal assessments</w:t>
      </w:r>
      <w:r w:rsidR="005757EC">
        <w:rPr>
          <w:bCs/>
        </w:rPr>
        <w:t xml:space="preserve"> </w:t>
      </w:r>
      <w:r w:rsidR="00877F45">
        <w:rPr>
          <w:bCs/>
        </w:rPr>
        <w:t xml:space="preserve">or demonstrate other behaviors consistent with high </w:t>
      </w:r>
      <w:r w:rsidR="005757EC">
        <w:rPr>
          <w:bCs/>
        </w:rPr>
        <w:t xml:space="preserve">academic </w:t>
      </w:r>
      <w:r w:rsidR="00877F45">
        <w:rPr>
          <w:bCs/>
        </w:rPr>
        <w:t>achievement</w:t>
      </w:r>
    </w:p>
    <w:p w14:paraId="4D79048B" w14:textId="04E78760" w:rsidR="00CC3FCF" w:rsidRDefault="00CC6679" w:rsidP="007F164F">
      <w:pPr>
        <w:autoSpaceDE w:val="0"/>
        <w:autoSpaceDN w:val="0"/>
        <w:adjustRightInd w:val="0"/>
        <w:spacing w:after="240"/>
        <w:rPr>
          <w:bCs/>
          <w:highlight w:val="yellow"/>
        </w:rPr>
      </w:pPr>
      <w:r w:rsidRPr="00B74C61">
        <w:rPr>
          <w:bCs/>
        </w:rPr>
        <w:lastRenderedPageBreak/>
        <w:t>TCS</w:t>
      </w:r>
      <w:r w:rsidR="00CC3FCF" w:rsidRPr="00B74C61">
        <w:rPr>
          <w:bCs/>
        </w:rPr>
        <w:t xml:space="preserve"> will implement additional strategies to ensure that the needs of high-achieving pupils are met. The strategies will vary for each pupil depending on their</w:t>
      </w:r>
      <w:r w:rsidR="00D26069">
        <w:rPr>
          <w:bCs/>
        </w:rPr>
        <w:t xml:space="preserve"> specific needs</w:t>
      </w:r>
      <w:r w:rsidR="00CC3FCF" w:rsidRPr="00B74C61">
        <w:rPr>
          <w:bCs/>
        </w:rPr>
        <w:t xml:space="preserve"> </w:t>
      </w:r>
      <w:r w:rsidR="00A31343">
        <w:rPr>
          <w:bCs/>
        </w:rPr>
        <w:t>and</w:t>
      </w:r>
      <w:r w:rsidR="00FE5C08" w:rsidRPr="00B74C61">
        <w:rPr>
          <w:bCs/>
        </w:rPr>
        <w:t xml:space="preserve"> will include, but are not</w:t>
      </w:r>
      <w:r w:rsidR="00CC3FCF" w:rsidRPr="00B74C61">
        <w:rPr>
          <w:bCs/>
        </w:rPr>
        <w:t xml:space="preserve"> limited to</w:t>
      </w:r>
      <w:r w:rsidR="001B3E7A" w:rsidRPr="00B74C61">
        <w:rPr>
          <w:bCs/>
        </w:rPr>
        <w:t>,</w:t>
      </w:r>
      <w:r w:rsidR="00CC3FCF" w:rsidRPr="00B74C61">
        <w:rPr>
          <w:bCs/>
        </w:rPr>
        <w:t xml:space="preserve"> the following (Attachment 3, </w:t>
      </w:r>
      <w:r w:rsidR="00CC3FCF" w:rsidRPr="006625A9">
        <w:rPr>
          <w:bCs/>
        </w:rPr>
        <w:t>p</w:t>
      </w:r>
      <w:r w:rsidR="00932D4F">
        <w:rPr>
          <w:bCs/>
        </w:rPr>
        <w:t>p</w:t>
      </w:r>
      <w:r w:rsidR="00CC3FCF" w:rsidRPr="006625A9">
        <w:rPr>
          <w:bCs/>
        </w:rPr>
        <w:t xml:space="preserve">. </w:t>
      </w:r>
      <w:r w:rsidR="00D942E9">
        <w:rPr>
          <w:bCs/>
        </w:rPr>
        <w:t>61</w:t>
      </w:r>
      <w:r w:rsidR="000B6A7A">
        <w:rPr>
          <w:bCs/>
        </w:rPr>
        <w:t>–</w:t>
      </w:r>
      <w:r w:rsidR="00D942E9">
        <w:rPr>
          <w:bCs/>
        </w:rPr>
        <w:t>62</w:t>
      </w:r>
      <w:r w:rsidR="00CC3FCF" w:rsidRPr="00D942E9">
        <w:rPr>
          <w:bCs/>
        </w:rPr>
        <w:t>):</w:t>
      </w:r>
    </w:p>
    <w:p w14:paraId="5C7C85CE" w14:textId="22F9FD96" w:rsidR="00B45FD0" w:rsidRPr="00B45FD0" w:rsidRDefault="00B74C61" w:rsidP="007F164F">
      <w:pPr>
        <w:pStyle w:val="ListParagraph"/>
        <w:numPr>
          <w:ilvl w:val="0"/>
          <w:numId w:val="34"/>
        </w:numPr>
        <w:autoSpaceDE w:val="0"/>
        <w:autoSpaceDN w:val="0"/>
        <w:adjustRightInd w:val="0"/>
        <w:spacing w:after="240"/>
        <w:rPr>
          <w:bCs/>
        </w:rPr>
      </w:pPr>
      <w:r>
        <w:rPr>
          <w:bCs/>
        </w:rPr>
        <w:t xml:space="preserve">Providing alternative and/or extension activities for </w:t>
      </w:r>
      <w:r w:rsidR="0093351B">
        <w:rPr>
          <w:bCs/>
        </w:rPr>
        <w:t>pupils who</w:t>
      </w:r>
      <w:r>
        <w:rPr>
          <w:bCs/>
        </w:rPr>
        <w:t xml:space="preserve"> have already mastered the content being taught</w:t>
      </w:r>
    </w:p>
    <w:p w14:paraId="37D63FF6" w14:textId="32305B3B" w:rsidR="00B74C61" w:rsidRDefault="00B74C61" w:rsidP="007F164F">
      <w:pPr>
        <w:pStyle w:val="ListParagraph"/>
        <w:numPr>
          <w:ilvl w:val="0"/>
          <w:numId w:val="34"/>
        </w:numPr>
        <w:autoSpaceDE w:val="0"/>
        <w:autoSpaceDN w:val="0"/>
        <w:adjustRightInd w:val="0"/>
        <w:spacing w:after="240"/>
        <w:rPr>
          <w:bCs/>
        </w:rPr>
      </w:pPr>
      <w:r>
        <w:rPr>
          <w:bCs/>
        </w:rPr>
        <w:t>Allowing gifted and high</w:t>
      </w:r>
      <w:r w:rsidR="005757EC">
        <w:rPr>
          <w:bCs/>
        </w:rPr>
        <w:t>-</w:t>
      </w:r>
      <w:r>
        <w:rPr>
          <w:bCs/>
        </w:rPr>
        <w:t xml:space="preserve">achieving </w:t>
      </w:r>
      <w:r w:rsidR="0093351B">
        <w:rPr>
          <w:bCs/>
        </w:rPr>
        <w:t>pupils to</w:t>
      </w:r>
      <w:r>
        <w:rPr>
          <w:bCs/>
        </w:rPr>
        <w:t xml:space="preserve"> work at an accelerated pace</w:t>
      </w:r>
    </w:p>
    <w:p w14:paraId="5C9E4490" w14:textId="6B2342E0" w:rsidR="00B74C61" w:rsidRDefault="00B74C61" w:rsidP="007F164F">
      <w:pPr>
        <w:pStyle w:val="ListParagraph"/>
        <w:numPr>
          <w:ilvl w:val="0"/>
          <w:numId w:val="34"/>
        </w:numPr>
        <w:autoSpaceDE w:val="0"/>
        <w:autoSpaceDN w:val="0"/>
        <w:adjustRightInd w:val="0"/>
        <w:spacing w:after="240"/>
        <w:rPr>
          <w:bCs/>
        </w:rPr>
      </w:pPr>
      <w:r>
        <w:rPr>
          <w:bCs/>
        </w:rPr>
        <w:t xml:space="preserve">Providing opportunities for </w:t>
      </w:r>
      <w:r w:rsidR="0093351B">
        <w:rPr>
          <w:bCs/>
        </w:rPr>
        <w:t>pupils to</w:t>
      </w:r>
      <w:r>
        <w:rPr>
          <w:bCs/>
        </w:rPr>
        <w:t xml:space="preserve"> work in flexible groups with other intellectual peers</w:t>
      </w:r>
    </w:p>
    <w:p w14:paraId="3D3594DF" w14:textId="42F820F7" w:rsidR="00B74C61" w:rsidRDefault="00B74C61" w:rsidP="007F164F">
      <w:pPr>
        <w:pStyle w:val="ListParagraph"/>
        <w:numPr>
          <w:ilvl w:val="0"/>
          <w:numId w:val="34"/>
        </w:numPr>
        <w:autoSpaceDE w:val="0"/>
        <w:autoSpaceDN w:val="0"/>
        <w:adjustRightInd w:val="0"/>
        <w:spacing w:after="240"/>
        <w:rPr>
          <w:bCs/>
        </w:rPr>
      </w:pPr>
      <w:r>
        <w:rPr>
          <w:bCs/>
        </w:rPr>
        <w:t xml:space="preserve">Creating graduated task rubrics and product criteria negotiated jointly by the </w:t>
      </w:r>
      <w:r w:rsidR="005757EC">
        <w:rPr>
          <w:bCs/>
        </w:rPr>
        <w:t>pupil</w:t>
      </w:r>
      <w:r>
        <w:rPr>
          <w:bCs/>
        </w:rPr>
        <w:t xml:space="preserve"> and teacher</w:t>
      </w:r>
    </w:p>
    <w:p w14:paraId="0DAFDC9D" w14:textId="4EE7D41D" w:rsidR="00B74C61" w:rsidRDefault="00B74C61" w:rsidP="007F164F">
      <w:pPr>
        <w:pStyle w:val="ListParagraph"/>
        <w:numPr>
          <w:ilvl w:val="0"/>
          <w:numId w:val="34"/>
        </w:numPr>
        <w:autoSpaceDE w:val="0"/>
        <w:autoSpaceDN w:val="0"/>
        <w:adjustRightInd w:val="0"/>
        <w:spacing w:after="240"/>
        <w:rPr>
          <w:bCs/>
        </w:rPr>
      </w:pPr>
      <w:r>
        <w:rPr>
          <w:bCs/>
        </w:rPr>
        <w:t>Asking open-ended questions, both in the classroom and on homework assignments, that stimulate critical thinking</w:t>
      </w:r>
    </w:p>
    <w:p w14:paraId="71DF92D4" w14:textId="442D8210" w:rsidR="006625A9" w:rsidRPr="006625A9" w:rsidRDefault="00B74C61" w:rsidP="007F164F">
      <w:pPr>
        <w:pStyle w:val="ListParagraph"/>
        <w:numPr>
          <w:ilvl w:val="0"/>
          <w:numId w:val="34"/>
        </w:numPr>
        <w:autoSpaceDE w:val="0"/>
        <w:autoSpaceDN w:val="0"/>
        <w:adjustRightInd w:val="0"/>
        <w:spacing w:after="240"/>
        <w:rPr>
          <w:bCs/>
        </w:rPr>
      </w:pPr>
      <w:r>
        <w:rPr>
          <w:bCs/>
        </w:rPr>
        <w:t>Incorporating a variety of the levels of thinking described in Bloom’s taxonomy</w:t>
      </w:r>
      <w:r w:rsidR="005757EC">
        <w:rPr>
          <w:bCs/>
        </w:rPr>
        <w:t>,</w:t>
      </w:r>
      <w:r>
        <w:rPr>
          <w:bCs/>
        </w:rPr>
        <w:t xml:space="preserve"> including the higher levels of analysis, evaluation, and synthesis</w:t>
      </w:r>
      <w:r w:rsidR="005757EC">
        <w:rPr>
          <w:bCs/>
        </w:rPr>
        <w:t xml:space="preserve">, </w:t>
      </w:r>
      <w:r>
        <w:rPr>
          <w:bCs/>
        </w:rPr>
        <w:t xml:space="preserve">into lesson content and </w:t>
      </w:r>
      <w:r w:rsidR="0093351B">
        <w:rPr>
          <w:bCs/>
        </w:rPr>
        <w:t>pupils</w:t>
      </w:r>
      <w:r w:rsidR="005757EC">
        <w:rPr>
          <w:bCs/>
        </w:rPr>
        <w:t>’</w:t>
      </w:r>
      <w:r w:rsidR="0093351B">
        <w:rPr>
          <w:bCs/>
        </w:rPr>
        <w:t xml:space="preserve"> work</w:t>
      </w:r>
      <w:r>
        <w:rPr>
          <w:bCs/>
        </w:rPr>
        <w:t xml:space="preserve"> products</w:t>
      </w:r>
    </w:p>
    <w:p w14:paraId="5776A96A" w14:textId="36C56843" w:rsidR="00F732B4" w:rsidRDefault="005757EC" w:rsidP="007F164F">
      <w:pPr>
        <w:pStyle w:val="ListParagraph"/>
        <w:numPr>
          <w:ilvl w:val="0"/>
          <w:numId w:val="34"/>
        </w:numPr>
        <w:autoSpaceDE w:val="0"/>
        <w:autoSpaceDN w:val="0"/>
        <w:adjustRightInd w:val="0"/>
        <w:spacing w:after="240"/>
        <w:rPr>
          <w:bCs/>
        </w:rPr>
      </w:pPr>
      <w:r>
        <w:rPr>
          <w:bCs/>
        </w:rPr>
        <w:t>Meeting the needs</w:t>
      </w:r>
      <w:r w:rsidR="00B74C61">
        <w:rPr>
          <w:bCs/>
        </w:rPr>
        <w:t xml:space="preserve"> of advanced learners within the regular classroom program</w:t>
      </w:r>
    </w:p>
    <w:p w14:paraId="1C6FDFF8" w14:textId="75C0A7C3" w:rsidR="00B74C61" w:rsidRPr="00F732B4" w:rsidRDefault="00B74C61" w:rsidP="007F164F">
      <w:pPr>
        <w:autoSpaceDE w:val="0"/>
        <w:autoSpaceDN w:val="0"/>
        <w:adjustRightInd w:val="0"/>
        <w:spacing w:before="240"/>
        <w:rPr>
          <w:bCs/>
        </w:rPr>
      </w:pPr>
      <w:r w:rsidRPr="00F732B4">
        <w:rPr>
          <w:bCs/>
        </w:rPr>
        <w:t>Additionally, TCS intends to provide A</w:t>
      </w:r>
      <w:r w:rsidR="000B6A7A">
        <w:rPr>
          <w:bCs/>
        </w:rPr>
        <w:t xml:space="preserve">dvanced Placement </w:t>
      </w:r>
      <w:r w:rsidRPr="00F732B4">
        <w:rPr>
          <w:bCs/>
        </w:rPr>
        <w:t>courses as discussed in the course descriptions.</w:t>
      </w:r>
    </w:p>
    <w:p w14:paraId="66162503" w14:textId="77777777" w:rsidR="005036C8" w:rsidRPr="009F3455" w:rsidRDefault="005036C8" w:rsidP="007F164F">
      <w:pPr>
        <w:pStyle w:val="Heading5"/>
      </w:pPr>
      <w:r w:rsidRPr="009F3455">
        <w:t>Plan for English Learners</w:t>
      </w:r>
    </w:p>
    <w:p w14:paraId="7A96CFE9" w14:textId="34501276" w:rsidR="005036C8" w:rsidRDefault="00937DBC" w:rsidP="007F164F">
      <w:pPr>
        <w:autoSpaceDE w:val="0"/>
        <w:autoSpaceDN w:val="0"/>
        <w:adjustRightInd w:val="0"/>
        <w:spacing w:after="240"/>
        <w:rPr>
          <w:bCs/>
          <w:highlight w:val="yellow"/>
        </w:rPr>
      </w:pPr>
      <w:r>
        <w:rPr>
          <w:bCs/>
        </w:rPr>
        <w:t xml:space="preserve">The </w:t>
      </w:r>
      <w:r w:rsidR="005757EC">
        <w:rPr>
          <w:bCs/>
        </w:rPr>
        <w:t xml:space="preserve">TCS </w:t>
      </w:r>
      <w:r>
        <w:rPr>
          <w:bCs/>
        </w:rPr>
        <w:t xml:space="preserve">petition states that </w:t>
      </w:r>
      <w:r w:rsidR="00CC6679">
        <w:rPr>
          <w:bCs/>
        </w:rPr>
        <w:t>TCS</w:t>
      </w:r>
      <w:r>
        <w:rPr>
          <w:bCs/>
        </w:rPr>
        <w:t xml:space="preserve"> will comply with all federal and state law</w:t>
      </w:r>
      <w:r w:rsidR="00881D56">
        <w:rPr>
          <w:bCs/>
        </w:rPr>
        <w:t>s</w:t>
      </w:r>
      <w:r>
        <w:rPr>
          <w:bCs/>
        </w:rPr>
        <w:t xml:space="preserve">, including meeting all </w:t>
      </w:r>
      <w:r w:rsidR="00FE5C08">
        <w:rPr>
          <w:bCs/>
        </w:rPr>
        <w:t>applicable legal requirements for</w:t>
      </w:r>
      <w:r>
        <w:rPr>
          <w:bCs/>
        </w:rPr>
        <w:t xml:space="preserve"> </w:t>
      </w:r>
      <w:r w:rsidR="00B27D09">
        <w:rPr>
          <w:bCs/>
        </w:rPr>
        <w:t xml:space="preserve">English </w:t>
      </w:r>
      <w:r w:rsidR="00533746">
        <w:rPr>
          <w:bCs/>
        </w:rPr>
        <w:t>l</w:t>
      </w:r>
      <w:r w:rsidR="00B27D09">
        <w:rPr>
          <w:bCs/>
        </w:rPr>
        <w:t>earners (</w:t>
      </w:r>
      <w:r>
        <w:rPr>
          <w:bCs/>
        </w:rPr>
        <w:t>E</w:t>
      </w:r>
      <w:r w:rsidR="00B27D09">
        <w:rPr>
          <w:bCs/>
        </w:rPr>
        <w:t>L</w:t>
      </w:r>
      <w:r>
        <w:rPr>
          <w:bCs/>
        </w:rPr>
        <w:t>s</w:t>
      </w:r>
      <w:r w:rsidR="00B27D09">
        <w:rPr>
          <w:bCs/>
        </w:rPr>
        <w:t>)</w:t>
      </w:r>
      <w:r>
        <w:rPr>
          <w:bCs/>
        </w:rPr>
        <w:t xml:space="preserve"> pertaining to annual notificatio</w:t>
      </w:r>
      <w:r w:rsidR="00FE5C08">
        <w:rPr>
          <w:bCs/>
        </w:rPr>
        <w:t>n</w:t>
      </w:r>
      <w:r w:rsidR="00A31343">
        <w:rPr>
          <w:bCs/>
        </w:rPr>
        <w:t>s</w:t>
      </w:r>
      <w:r w:rsidR="00FE5C08">
        <w:rPr>
          <w:bCs/>
        </w:rPr>
        <w:t xml:space="preserve"> to parents; pupil identification; placement; program options;</w:t>
      </w:r>
      <w:r>
        <w:rPr>
          <w:bCs/>
        </w:rPr>
        <w:t xml:space="preserve"> EL and core content instruction</w:t>
      </w:r>
      <w:r w:rsidR="00FE5C08">
        <w:rPr>
          <w:bCs/>
        </w:rPr>
        <w:t>;</w:t>
      </w:r>
      <w:r>
        <w:rPr>
          <w:bCs/>
        </w:rPr>
        <w:t xml:space="preserve"> teac</w:t>
      </w:r>
      <w:r w:rsidR="00FE5C08">
        <w:rPr>
          <w:bCs/>
        </w:rPr>
        <w:t>her qualifications and training;</w:t>
      </w:r>
      <w:r>
        <w:rPr>
          <w:bCs/>
        </w:rPr>
        <w:t xml:space="preserve"> reclassification to f</w:t>
      </w:r>
      <w:r w:rsidR="00FE5C08">
        <w:rPr>
          <w:bCs/>
        </w:rPr>
        <w:t>luent English proficient status;</w:t>
      </w:r>
      <w:r>
        <w:rPr>
          <w:bCs/>
        </w:rPr>
        <w:t xml:space="preserve"> monitoring and e</w:t>
      </w:r>
      <w:r w:rsidR="00FE5C08">
        <w:rPr>
          <w:bCs/>
        </w:rPr>
        <w:t>valuating program effectiveness;</w:t>
      </w:r>
      <w:r>
        <w:rPr>
          <w:bCs/>
        </w:rPr>
        <w:t xml:space="preserve"> and standardized testing requirement</w:t>
      </w:r>
      <w:r w:rsidR="007300B9">
        <w:rPr>
          <w:bCs/>
        </w:rPr>
        <w:t>s</w:t>
      </w:r>
      <w:r>
        <w:rPr>
          <w:bCs/>
        </w:rPr>
        <w:t xml:space="preserve">. </w:t>
      </w:r>
      <w:r w:rsidR="00AC3448" w:rsidRPr="004D1172">
        <w:rPr>
          <w:bCs/>
        </w:rPr>
        <w:t xml:space="preserve">The </w:t>
      </w:r>
      <w:r w:rsidR="00CC6679" w:rsidRPr="004D1172">
        <w:rPr>
          <w:bCs/>
        </w:rPr>
        <w:t xml:space="preserve">TCS </w:t>
      </w:r>
      <w:r w:rsidR="00A176D8">
        <w:rPr>
          <w:bCs/>
        </w:rPr>
        <w:t>petition</w:t>
      </w:r>
      <w:r w:rsidR="00AC3448" w:rsidRPr="004D1172">
        <w:rPr>
          <w:bCs/>
        </w:rPr>
        <w:t xml:space="preserve"> states th</w:t>
      </w:r>
      <w:r w:rsidR="004D1172" w:rsidRPr="004D1172">
        <w:rPr>
          <w:bCs/>
        </w:rPr>
        <w:t>at all classroom teachers will</w:t>
      </w:r>
      <w:r w:rsidR="00A31343">
        <w:rPr>
          <w:bCs/>
        </w:rPr>
        <w:t xml:space="preserve"> be trained in </w:t>
      </w:r>
      <w:r w:rsidR="004D1172" w:rsidRPr="004D1172">
        <w:rPr>
          <w:bCs/>
        </w:rPr>
        <w:t>the following strategies</w:t>
      </w:r>
      <w:r w:rsidR="00E15930" w:rsidRPr="004D1172">
        <w:rPr>
          <w:bCs/>
        </w:rPr>
        <w:t xml:space="preserve"> (Attachment 3</w:t>
      </w:r>
      <w:r w:rsidR="007300B9" w:rsidRPr="004D1172">
        <w:rPr>
          <w:bCs/>
        </w:rPr>
        <w:t xml:space="preserve">, </w:t>
      </w:r>
      <w:r w:rsidR="00345247" w:rsidRPr="00EE6C82">
        <w:rPr>
          <w:bCs/>
        </w:rPr>
        <w:t xml:space="preserve">pp. </w:t>
      </w:r>
      <w:r w:rsidR="00345247" w:rsidRPr="00932D4F">
        <w:rPr>
          <w:bCs/>
        </w:rPr>
        <w:t>5</w:t>
      </w:r>
      <w:r w:rsidR="00932D4F">
        <w:rPr>
          <w:bCs/>
        </w:rPr>
        <w:t>6</w:t>
      </w:r>
      <w:r w:rsidR="00533746">
        <w:rPr>
          <w:bCs/>
        </w:rPr>
        <w:t>–</w:t>
      </w:r>
      <w:r w:rsidR="00932D4F">
        <w:rPr>
          <w:bCs/>
        </w:rPr>
        <w:t>61</w:t>
      </w:r>
      <w:r w:rsidR="00E15930" w:rsidRPr="00932D4F">
        <w:rPr>
          <w:bCs/>
        </w:rPr>
        <w:t>):</w:t>
      </w:r>
    </w:p>
    <w:p w14:paraId="579D06DF" w14:textId="33136E29" w:rsidR="004D1172" w:rsidRDefault="004D1172" w:rsidP="007F164F">
      <w:pPr>
        <w:pStyle w:val="ListParagraph"/>
        <w:numPr>
          <w:ilvl w:val="0"/>
          <w:numId w:val="35"/>
        </w:numPr>
        <w:autoSpaceDE w:val="0"/>
        <w:autoSpaceDN w:val="0"/>
        <w:adjustRightInd w:val="0"/>
        <w:spacing w:after="240"/>
        <w:rPr>
          <w:bCs/>
        </w:rPr>
      </w:pPr>
      <w:r>
        <w:rPr>
          <w:bCs/>
        </w:rPr>
        <w:t>Project</w:t>
      </w:r>
      <w:r w:rsidR="000B6A7A">
        <w:rPr>
          <w:bCs/>
        </w:rPr>
        <w:t xml:space="preserve"> </w:t>
      </w:r>
      <w:r>
        <w:rPr>
          <w:bCs/>
        </w:rPr>
        <w:t>Guided Language Acquisition Design, a model for literacy and language acquisition across content areas that raises the level of thinking and discourse in the classroom and uses a range of instructional strategies that are effective for E</w:t>
      </w:r>
      <w:r w:rsidR="00B27D09">
        <w:rPr>
          <w:bCs/>
        </w:rPr>
        <w:t>L</w:t>
      </w:r>
      <w:r>
        <w:rPr>
          <w:bCs/>
        </w:rPr>
        <w:t>s</w:t>
      </w:r>
    </w:p>
    <w:p w14:paraId="6DD1E250" w14:textId="043EB759" w:rsidR="004D1172" w:rsidRDefault="004D1172" w:rsidP="007F164F">
      <w:pPr>
        <w:pStyle w:val="ListParagraph"/>
        <w:numPr>
          <w:ilvl w:val="0"/>
          <w:numId w:val="35"/>
        </w:numPr>
        <w:autoSpaceDE w:val="0"/>
        <w:autoSpaceDN w:val="0"/>
        <w:adjustRightInd w:val="0"/>
        <w:spacing w:after="240"/>
        <w:rPr>
          <w:bCs/>
        </w:rPr>
      </w:pPr>
      <w:r w:rsidRPr="00F934BB">
        <w:rPr>
          <w:bCs/>
        </w:rPr>
        <w:t>S</w:t>
      </w:r>
      <w:r w:rsidR="001E4B86" w:rsidRPr="00F934BB">
        <w:rPr>
          <w:bCs/>
        </w:rPr>
        <w:t xml:space="preserve">pecially </w:t>
      </w:r>
      <w:r w:rsidRPr="00F934BB">
        <w:rPr>
          <w:bCs/>
        </w:rPr>
        <w:t>D</w:t>
      </w:r>
      <w:r w:rsidR="001E4B86" w:rsidRPr="00F934BB">
        <w:rPr>
          <w:bCs/>
        </w:rPr>
        <w:t xml:space="preserve">esigned </w:t>
      </w:r>
      <w:r w:rsidRPr="00F934BB">
        <w:rPr>
          <w:bCs/>
        </w:rPr>
        <w:t>A</w:t>
      </w:r>
      <w:r w:rsidR="001E4B86" w:rsidRPr="00F934BB">
        <w:rPr>
          <w:bCs/>
        </w:rPr>
        <w:t xml:space="preserve">cademic Instruction in </w:t>
      </w:r>
      <w:r w:rsidRPr="00F934BB">
        <w:rPr>
          <w:bCs/>
        </w:rPr>
        <w:t>E</w:t>
      </w:r>
      <w:r w:rsidR="001E4B86" w:rsidRPr="00F934BB">
        <w:rPr>
          <w:bCs/>
        </w:rPr>
        <w:t>nglish</w:t>
      </w:r>
      <w:r w:rsidRPr="00F934BB">
        <w:rPr>
          <w:bCs/>
        </w:rPr>
        <w:t xml:space="preserve"> strategies</w:t>
      </w:r>
      <w:r>
        <w:rPr>
          <w:bCs/>
        </w:rPr>
        <w:t xml:space="preserve"> and techniques to promote English acquisition in a context of high-level learning</w:t>
      </w:r>
    </w:p>
    <w:p w14:paraId="291A7236" w14:textId="77777777" w:rsidR="00A31343" w:rsidRDefault="00A31343" w:rsidP="007F164F">
      <w:pPr>
        <w:autoSpaceDE w:val="0"/>
        <w:autoSpaceDN w:val="0"/>
        <w:adjustRightInd w:val="0"/>
        <w:spacing w:after="240"/>
        <w:rPr>
          <w:bCs/>
        </w:rPr>
      </w:pPr>
      <w:r>
        <w:rPr>
          <w:bCs/>
        </w:rPr>
        <w:t>Additionally, classroom teachers will employ the following</w:t>
      </w:r>
      <w:r w:rsidRPr="004D1172">
        <w:rPr>
          <w:bCs/>
        </w:rPr>
        <w:t xml:space="preserve"> (Attachment 3, </w:t>
      </w:r>
      <w:r w:rsidRPr="00EE6C82">
        <w:rPr>
          <w:bCs/>
        </w:rPr>
        <w:t xml:space="preserve">pp. </w:t>
      </w:r>
      <w:r w:rsidRPr="00932D4F">
        <w:rPr>
          <w:bCs/>
        </w:rPr>
        <w:t>5</w:t>
      </w:r>
      <w:r>
        <w:rPr>
          <w:bCs/>
        </w:rPr>
        <w:t>6–61</w:t>
      </w:r>
      <w:r w:rsidRPr="00932D4F">
        <w:rPr>
          <w:bCs/>
        </w:rPr>
        <w:t>):</w:t>
      </w:r>
    </w:p>
    <w:p w14:paraId="2C1EBBC3" w14:textId="4E07941B" w:rsidR="004D1172" w:rsidRPr="00A31343" w:rsidRDefault="004D1172" w:rsidP="007F164F">
      <w:pPr>
        <w:pStyle w:val="ListParagraph"/>
        <w:numPr>
          <w:ilvl w:val="0"/>
          <w:numId w:val="35"/>
        </w:numPr>
        <w:autoSpaceDE w:val="0"/>
        <w:autoSpaceDN w:val="0"/>
        <w:adjustRightInd w:val="0"/>
        <w:spacing w:after="240"/>
        <w:rPr>
          <w:bCs/>
        </w:rPr>
      </w:pPr>
      <w:r w:rsidRPr="00A31343">
        <w:rPr>
          <w:bCs/>
        </w:rPr>
        <w:lastRenderedPageBreak/>
        <w:t>Ensure alignment between instructional materials for E</w:t>
      </w:r>
      <w:r w:rsidR="00B27D09" w:rsidRPr="00A31343">
        <w:rPr>
          <w:bCs/>
        </w:rPr>
        <w:t>L</w:t>
      </w:r>
      <w:r w:rsidRPr="00A31343">
        <w:rPr>
          <w:bCs/>
        </w:rPr>
        <w:t>s and curriculum frameworks and standards</w:t>
      </w:r>
    </w:p>
    <w:p w14:paraId="4B3EAC01" w14:textId="1D6C04C5" w:rsidR="004D1172" w:rsidRDefault="004D1172" w:rsidP="007F164F">
      <w:pPr>
        <w:pStyle w:val="ListParagraph"/>
        <w:numPr>
          <w:ilvl w:val="0"/>
          <w:numId w:val="35"/>
        </w:numPr>
        <w:autoSpaceDE w:val="0"/>
        <w:autoSpaceDN w:val="0"/>
        <w:adjustRightInd w:val="0"/>
        <w:spacing w:after="240"/>
        <w:rPr>
          <w:bCs/>
        </w:rPr>
      </w:pPr>
      <w:r>
        <w:rPr>
          <w:bCs/>
        </w:rPr>
        <w:t xml:space="preserve">Provide daily oral language practice embedded in core classroom time </w:t>
      </w:r>
      <w:r w:rsidR="00533746">
        <w:rPr>
          <w:bCs/>
        </w:rPr>
        <w:t xml:space="preserve">and </w:t>
      </w:r>
      <w:r>
        <w:rPr>
          <w:bCs/>
        </w:rPr>
        <w:t>independent work in language acquisition, with a core academic model that emphasizes communication</w:t>
      </w:r>
    </w:p>
    <w:p w14:paraId="429673CA" w14:textId="54A385E4" w:rsidR="00A176D8" w:rsidRDefault="004D1172" w:rsidP="007F164F">
      <w:pPr>
        <w:pStyle w:val="ListParagraph"/>
        <w:numPr>
          <w:ilvl w:val="0"/>
          <w:numId w:val="35"/>
        </w:numPr>
        <w:autoSpaceDE w:val="0"/>
        <w:autoSpaceDN w:val="0"/>
        <w:adjustRightInd w:val="0"/>
        <w:spacing w:after="240"/>
        <w:rPr>
          <w:bCs/>
        </w:rPr>
      </w:pPr>
      <w:r>
        <w:rPr>
          <w:bCs/>
        </w:rPr>
        <w:t xml:space="preserve">Monitor the progress of EL </w:t>
      </w:r>
      <w:r w:rsidR="0093351B">
        <w:rPr>
          <w:bCs/>
        </w:rPr>
        <w:t>pupils in</w:t>
      </w:r>
      <w:r>
        <w:rPr>
          <w:bCs/>
        </w:rPr>
        <w:t xml:space="preserve"> meeting </w:t>
      </w:r>
      <w:r w:rsidR="00386253">
        <w:rPr>
          <w:bCs/>
        </w:rPr>
        <w:t>E</w:t>
      </w:r>
      <w:r w:rsidR="00533746">
        <w:rPr>
          <w:bCs/>
        </w:rPr>
        <w:t>nglish language development (E</w:t>
      </w:r>
      <w:r w:rsidR="00386253">
        <w:rPr>
          <w:bCs/>
        </w:rPr>
        <w:t>LD</w:t>
      </w:r>
      <w:r w:rsidR="00533746">
        <w:rPr>
          <w:bCs/>
        </w:rPr>
        <w:t>)</w:t>
      </w:r>
      <w:r w:rsidR="00386253">
        <w:rPr>
          <w:bCs/>
        </w:rPr>
        <w:t xml:space="preserve"> </w:t>
      </w:r>
      <w:r>
        <w:rPr>
          <w:bCs/>
        </w:rPr>
        <w:t>standards</w:t>
      </w:r>
    </w:p>
    <w:p w14:paraId="1242C721" w14:textId="3F7C77BD" w:rsidR="00B44F2E" w:rsidRDefault="00533746" w:rsidP="007F164F">
      <w:pPr>
        <w:pStyle w:val="ListParagraph"/>
        <w:numPr>
          <w:ilvl w:val="0"/>
          <w:numId w:val="35"/>
        </w:numPr>
        <w:autoSpaceDE w:val="0"/>
        <w:autoSpaceDN w:val="0"/>
        <w:adjustRightInd w:val="0"/>
        <w:spacing w:after="240"/>
        <w:rPr>
          <w:bCs/>
        </w:rPr>
      </w:pPr>
      <w:r>
        <w:rPr>
          <w:bCs/>
        </w:rPr>
        <w:t>M</w:t>
      </w:r>
      <w:r w:rsidR="00B44F2E">
        <w:rPr>
          <w:bCs/>
        </w:rPr>
        <w:t xml:space="preserve">onitor all </w:t>
      </w:r>
      <w:r>
        <w:rPr>
          <w:bCs/>
        </w:rPr>
        <w:t>r</w:t>
      </w:r>
      <w:r w:rsidR="00B44F2E">
        <w:rPr>
          <w:bCs/>
        </w:rPr>
        <w:t xml:space="preserve">eclassified EL </w:t>
      </w:r>
      <w:r w:rsidR="0093351B">
        <w:rPr>
          <w:bCs/>
        </w:rPr>
        <w:t>pupils for</w:t>
      </w:r>
      <w:r w:rsidR="00B44F2E">
        <w:rPr>
          <w:bCs/>
        </w:rPr>
        <w:t xml:space="preserve"> a period of four years</w:t>
      </w:r>
      <w:r w:rsidR="00386253">
        <w:rPr>
          <w:bCs/>
        </w:rPr>
        <w:t xml:space="preserve"> </w:t>
      </w:r>
      <w:r w:rsidR="00B44F2E">
        <w:rPr>
          <w:bCs/>
        </w:rPr>
        <w:t xml:space="preserve">by meeting regularly with teachers and reviewing benchmark assessments and standardized testing results to ensure that </w:t>
      </w:r>
      <w:r>
        <w:rPr>
          <w:bCs/>
        </w:rPr>
        <w:t>EL pupils</w:t>
      </w:r>
      <w:r w:rsidR="00B44F2E">
        <w:rPr>
          <w:bCs/>
        </w:rPr>
        <w:t xml:space="preserve"> are able to keep up with their peers</w:t>
      </w:r>
    </w:p>
    <w:p w14:paraId="47DB0A19" w14:textId="187B9636" w:rsidR="007C4B83" w:rsidRPr="007C4B83" w:rsidRDefault="007C4B83" w:rsidP="007F164F">
      <w:pPr>
        <w:autoSpaceDE w:val="0"/>
        <w:autoSpaceDN w:val="0"/>
        <w:adjustRightInd w:val="0"/>
        <w:spacing w:after="240"/>
        <w:rPr>
          <w:bCs/>
        </w:rPr>
      </w:pPr>
      <w:r>
        <w:rPr>
          <w:bCs/>
        </w:rPr>
        <w:t>The</w:t>
      </w:r>
      <w:r w:rsidR="00533746">
        <w:rPr>
          <w:bCs/>
        </w:rPr>
        <w:t xml:space="preserve"> TCS</w:t>
      </w:r>
      <w:r>
        <w:rPr>
          <w:bCs/>
        </w:rPr>
        <w:t xml:space="preserve"> petition states that ELs will receive designated ELD instruction during the school day when teachers use the ELD standards to allow student to develop critical language needed for content learning in English. For designated ELD instruction, E</w:t>
      </w:r>
      <w:r w:rsidR="00533746">
        <w:rPr>
          <w:bCs/>
        </w:rPr>
        <w:t>L</w:t>
      </w:r>
      <w:r>
        <w:rPr>
          <w:bCs/>
        </w:rPr>
        <w:t xml:space="preserve">s may be clustered within one or more classrooms at each grade level based on their level of language development. Each cluster will be taught by a teacher with EL authorization for a period of not less than 120 minutes weekly. Both integrated and designated instructional activities are focused on developing EL </w:t>
      </w:r>
      <w:r w:rsidR="00533746">
        <w:rPr>
          <w:bCs/>
        </w:rPr>
        <w:t>pupils’</w:t>
      </w:r>
      <w:r>
        <w:rPr>
          <w:bCs/>
        </w:rPr>
        <w:t xml:space="preserve"> abilities to make meaning when reading, listening, speaking, and writing.</w:t>
      </w:r>
    </w:p>
    <w:p w14:paraId="73E6DC57" w14:textId="77777777" w:rsidR="005036C8" w:rsidRPr="009F3455" w:rsidRDefault="005036C8" w:rsidP="007F164F">
      <w:pPr>
        <w:pStyle w:val="Heading5"/>
      </w:pPr>
      <w:r w:rsidRPr="00EE6C82">
        <w:t>Plan for Special Education</w:t>
      </w:r>
    </w:p>
    <w:p w14:paraId="79498DDA" w14:textId="52880D89" w:rsidR="000063BC" w:rsidRPr="009F3455" w:rsidRDefault="00E15930" w:rsidP="00BC3718">
      <w:pPr>
        <w:autoSpaceDE w:val="0"/>
        <w:autoSpaceDN w:val="0"/>
        <w:adjustRightInd w:val="0"/>
        <w:rPr>
          <w:bCs/>
        </w:rPr>
      </w:pPr>
      <w:r>
        <w:rPr>
          <w:bCs/>
        </w:rPr>
        <w:t xml:space="preserve">The </w:t>
      </w:r>
      <w:r w:rsidR="00533746">
        <w:rPr>
          <w:bCs/>
        </w:rPr>
        <w:t xml:space="preserve">TCS </w:t>
      </w:r>
      <w:r>
        <w:rPr>
          <w:bCs/>
        </w:rPr>
        <w:t xml:space="preserve">petition states that </w:t>
      </w:r>
      <w:r w:rsidR="00CC6679">
        <w:rPr>
          <w:bCs/>
        </w:rPr>
        <w:t xml:space="preserve">TCS </w:t>
      </w:r>
      <w:r w:rsidR="00D30301">
        <w:rPr>
          <w:bCs/>
        </w:rPr>
        <w:t>will comply with all applicable state and federal laws in serving pupils with disabilities, including, but not limited to</w:t>
      </w:r>
      <w:r w:rsidR="007300B9">
        <w:rPr>
          <w:bCs/>
        </w:rPr>
        <w:t>,</w:t>
      </w:r>
      <w:r w:rsidR="00D30301">
        <w:rPr>
          <w:bCs/>
        </w:rPr>
        <w:t xml:space="preserve"> the Individuals with Disabilities Educatio</w:t>
      </w:r>
      <w:r w:rsidR="00DE1D5C">
        <w:rPr>
          <w:bCs/>
        </w:rPr>
        <w:t>n Improvement Act of 2004</w:t>
      </w:r>
      <w:r w:rsidR="00D30301">
        <w:rPr>
          <w:bCs/>
        </w:rPr>
        <w:t xml:space="preserve">, Section 504 of the Rehabilitation Act of 1973, Title II of the Americans with Disabilities Act, and any other civil rights law enforced by the United States Department of Education Office for Civil Rights. The </w:t>
      </w:r>
      <w:r w:rsidR="00533746">
        <w:rPr>
          <w:bCs/>
        </w:rPr>
        <w:t xml:space="preserve">TCS </w:t>
      </w:r>
      <w:r w:rsidR="00D30301">
        <w:rPr>
          <w:bCs/>
        </w:rPr>
        <w:t xml:space="preserve">petition identifies a plan for special education pupils, including identification; assessment referrals; implementation of the Individualized Education Program; staffing; reporting; and due process (Attachment 3, </w:t>
      </w:r>
      <w:r w:rsidR="00D30301" w:rsidRPr="00EE6C82">
        <w:rPr>
          <w:bCs/>
        </w:rPr>
        <w:t xml:space="preserve">pp. </w:t>
      </w:r>
      <w:r w:rsidR="00932D4F" w:rsidRPr="00932D4F">
        <w:rPr>
          <w:bCs/>
        </w:rPr>
        <w:t>65</w:t>
      </w:r>
      <w:r w:rsidR="00533746">
        <w:rPr>
          <w:bCs/>
        </w:rPr>
        <w:t>–</w:t>
      </w:r>
      <w:r w:rsidR="00932D4F" w:rsidRPr="00932D4F">
        <w:rPr>
          <w:bCs/>
        </w:rPr>
        <w:t>74</w:t>
      </w:r>
      <w:r w:rsidR="00303519" w:rsidRPr="00932D4F">
        <w:rPr>
          <w:bCs/>
        </w:rPr>
        <w:t>).</w:t>
      </w:r>
    </w:p>
    <w:p w14:paraId="6438C84B" w14:textId="77777777" w:rsidR="005036C8" w:rsidRDefault="005036C8" w:rsidP="007F164F">
      <w:pPr>
        <w:pStyle w:val="Heading3"/>
      </w:pPr>
      <w:r>
        <w:rPr>
          <w:bCs/>
        </w:rPr>
        <w:br w:type="page"/>
      </w:r>
      <w:r w:rsidRPr="009F3455">
        <w:lastRenderedPageBreak/>
        <w:t>2. Measurable Pupil Outcomes</w:t>
      </w:r>
    </w:p>
    <w:p w14:paraId="7168D75C" w14:textId="77777777" w:rsidR="005036C8" w:rsidRPr="009F3455" w:rsidRDefault="005036C8" w:rsidP="007F164F">
      <w:pPr>
        <w:jc w:val="center"/>
      </w:pPr>
      <w:r w:rsidRPr="009F3455">
        <w:rPr>
          <w:i/>
        </w:rPr>
        <w:t>EC</w:t>
      </w:r>
      <w:r w:rsidRPr="009F3455">
        <w:t xml:space="preserve"> Section 47605(b)(5)(B)</w:t>
      </w:r>
    </w:p>
    <w:p w14:paraId="5E1AD6C3" w14:textId="77777777" w:rsidR="005036C8" w:rsidRPr="00E7371F" w:rsidRDefault="005036C8" w:rsidP="007F164F">
      <w:pPr>
        <w:jc w:val="center"/>
      </w:pPr>
      <w:r w:rsidRPr="009F3455">
        <w:t xml:space="preserve">5 </w:t>
      </w:r>
      <w:r w:rsidRPr="009F3455">
        <w:rPr>
          <w:i/>
        </w:rPr>
        <w:t>CCR</w:t>
      </w:r>
      <w:r w:rsidRPr="009F3455">
        <w:t xml:space="preserve"> Section 11967.5.1(f)(2)</w:t>
      </w:r>
    </w:p>
    <w:p w14:paraId="46ADD7DF" w14:textId="77777777" w:rsidR="005036C8" w:rsidRDefault="005036C8" w:rsidP="007F164F">
      <w:pPr>
        <w:pStyle w:val="Heading4"/>
      </w:pPr>
      <w:r w:rsidRPr="009F3455">
        <w:t>Evaluation Criteria</w:t>
      </w:r>
    </w:p>
    <w:p w14:paraId="163F6878" w14:textId="77777777" w:rsidR="005036C8" w:rsidRPr="008000A2" w:rsidRDefault="005036C8" w:rsidP="007F164F">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14:paraId="7C42722C"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14:paraId="199790FF" w14:textId="77777777" w:rsidR="00E024D0" w:rsidRPr="00E024D0" w:rsidRDefault="00E024D0" w:rsidP="007F164F">
            <w:pPr>
              <w:jc w:val="center"/>
              <w:outlineLvl w:val="7"/>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14:paraId="66A25276" w14:textId="77777777" w:rsidR="00E024D0" w:rsidRPr="00E024D0" w:rsidRDefault="00E024D0" w:rsidP="007F164F">
            <w:pPr>
              <w:jc w:val="center"/>
              <w:outlineLvl w:val="7"/>
              <w:rPr>
                <w:rFonts w:eastAsia="Times New Roman" w:cs="Times New Roman"/>
              </w:rPr>
            </w:pPr>
            <w:r w:rsidRPr="00E024D0">
              <w:rPr>
                <w:rFonts w:eastAsia="Times New Roman" w:cs="Times New Roman"/>
              </w:rPr>
              <w:t>Criteria Met</w:t>
            </w:r>
          </w:p>
        </w:tc>
      </w:tr>
      <w:tr w:rsidR="00E024D0" w:rsidRPr="00E024D0" w14:paraId="247E960A" w14:textId="77777777" w:rsidTr="00E024D0">
        <w:trPr>
          <w:cantSplit/>
          <w:trHeight w:val="576"/>
        </w:trPr>
        <w:tc>
          <w:tcPr>
            <w:tcW w:w="7638" w:type="dxa"/>
          </w:tcPr>
          <w:p w14:paraId="1C23051D" w14:textId="544F9FF9" w:rsidR="00E024D0" w:rsidRPr="00E024D0" w:rsidRDefault="00E024D0" w:rsidP="007F164F">
            <w:pPr>
              <w:numPr>
                <w:ilvl w:val="0"/>
                <w:numId w:val="2"/>
              </w:numPr>
              <w:autoSpaceDE w:val="0"/>
              <w:autoSpaceDN w:val="0"/>
              <w:adjustRightInd w:val="0"/>
              <w:ind w:left="720" w:hanging="570"/>
              <w:rPr>
                <w:rFonts w:eastAsia="Times New Roman"/>
              </w:rPr>
            </w:pPr>
            <w:r w:rsidRPr="00E024D0">
              <w:rPr>
                <w:rFonts w:eastAsia="Times New Roman"/>
              </w:rPr>
              <w:t xml:space="preserve">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w:t>
            </w:r>
            <w:r w:rsidR="0093351B">
              <w:rPr>
                <w:rFonts w:eastAsia="Times New Roman"/>
              </w:rPr>
              <w:t xml:space="preserve">pupils </w:t>
            </w:r>
            <w:r w:rsidR="0093351B" w:rsidRPr="00E024D0">
              <w:rPr>
                <w:rFonts w:eastAsia="Times New Roman"/>
              </w:rPr>
              <w:t>and</w:t>
            </w:r>
            <w:r w:rsidRPr="00E024D0">
              <w:rPr>
                <w:rFonts w:eastAsia="Times New Roman"/>
              </w:rPr>
              <w:t xml:space="preserve"> for groups of </w:t>
            </w:r>
            <w:r w:rsidR="0093351B">
              <w:rPr>
                <w:rFonts w:eastAsia="Times New Roman"/>
              </w:rPr>
              <w:t>pupils.</w:t>
            </w:r>
          </w:p>
        </w:tc>
        <w:tc>
          <w:tcPr>
            <w:tcW w:w="1584" w:type="dxa"/>
          </w:tcPr>
          <w:p w14:paraId="0687D838" w14:textId="1F42ADC1" w:rsidR="00E024D0" w:rsidRPr="00E024D0" w:rsidRDefault="0000328B" w:rsidP="007F164F">
            <w:pPr>
              <w:jc w:val="center"/>
            </w:pPr>
            <w:r>
              <w:t>No</w:t>
            </w:r>
          </w:p>
        </w:tc>
      </w:tr>
      <w:tr w:rsidR="00E024D0" w:rsidRPr="00E024D0" w14:paraId="60D61B88" w14:textId="77777777" w:rsidTr="00E024D0">
        <w:trPr>
          <w:cantSplit/>
          <w:trHeight w:val="576"/>
        </w:trPr>
        <w:tc>
          <w:tcPr>
            <w:tcW w:w="7638" w:type="dxa"/>
          </w:tcPr>
          <w:p w14:paraId="274ED23B" w14:textId="77777777" w:rsidR="00E024D0" w:rsidRPr="00E024D0" w:rsidRDefault="00E024D0" w:rsidP="007F164F">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14:paraId="15E3D7AF" w14:textId="77777777" w:rsidR="00E024D0" w:rsidRPr="00E024D0" w:rsidRDefault="00E024D0" w:rsidP="007F164F">
            <w:pPr>
              <w:jc w:val="center"/>
            </w:pPr>
            <w:r w:rsidRPr="00E024D0">
              <w:t>Not Applicable</w:t>
            </w:r>
          </w:p>
        </w:tc>
      </w:tr>
    </w:tbl>
    <w:p w14:paraId="10EB0AC6" w14:textId="68351C63" w:rsidR="005036C8" w:rsidRPr="00E7371F" w:rsidRDefault="005036C8" w:rsidP="007F164F">
      <w:pPr>
        <w:autoSpaceDE w:val="0"/>
        <w:autoSpaceDN w:val="0"/>
        <w:adjustRightInd w:val="0"/>
        <w:spacing w:before="100" w:beforeAutospacing="1" w:after="100" w:afterAutospacing="1"/>
      </w:pPr>
      <w:r>
        <w:rPr>
          <w:b/>
        </w:rPr>
        <w:t>T</w:t>
      </w:r>
      <w:r w:rsidRPr="00CD0DEB">
        <w:rPr>
          <w:b/>
        </w:rPr>
        <w:t xml:space="preserve">he petition </w:t>
      </w:r>
      <w:r w:rsidR="00B83175">
        <w:rPr>
          <w:b/>
        </w:rPr>
        <w:t xml:space="preserve">does </w:t>
      </w:r>
      <w:r w:rsidR="00E61DDC">
        <w:rPr>
          <w:b/>
        </w:rPr>
        <w:t xml:space="preserve">not </w:t>
      </w:r>
      <w:r w:rsidRPr="009F3455">
        <w:rPr>
          <w:b/>
        </w:rPr>
        <w:t>present a reasonably comprehensive description of measurable pupil outcomes</w:t>
      </w:r>
      <w:r>
        <w:rPr>
          <w:b/>
        </w:rPr>
        <w:t>.</w:t>
      </w:r>
    </w:p>
    <w:p w14:paraId="240903A8" w14:textId="44237100" w:rsidR="005036C8" w:rsidRDefault="005036C8" w:rsidP="007F164F">
      <w:pPr>
        <w:pStyle w:val="Heading4"/>
      </w:pPr>
      <w:r w:rsidRPr="00A35B14">
        <w:t>Comments</w:t>
      </w:r>
    </w:p>
    <w:p w14:paraId="0AE29968" w14:textId="583E4A84" w:rsidR="00533746" w:rsidRDefault="009719B4" w:rsidP="00BC3718">
      <w:pPr>
        <w:autoSpaceDE w:val="0"/>
        <w:autoSpaceDN w:val="0"/>
        <w:adjustRightInd w:val="0"/>
        <w:spacing w:after="100" w:afterAutospacing="1"/>
        <w:rPr>
          <w:rFonts w:cs="Times New Roman"/>
        </w:rPr>
      </w:pPr>
      <w:bookmarkStart w:id="2" w:name="_Hlk32223851"/>
      <w:r w:rsidRPr="002B2416">
        <w:rPr>
          <w:bCs/>
        </w:rPr>
        <w:t>The TCS</w:t>
      </w:r>
      <w:r w:rsidR="003E488B" w:rsidRPr="002B2416">
        <w:rPr>
          <w:bCs/>
        </w:rPr>
        <w:t xml:space="preserve"> petition does not present a reasonably comprehensive description of measurable pupil outcomes</w:t>
      </w:r>
      <w:r w:rsidR="0024749B" w:rsidRPr="002B2416">
        <w:rPr>
          <w:rFonts w:cs="Times New Roman"/>
        </w:rPr>
        <w:t>.</w:t>
      </w:r>
    </w:p>
    <w:p w14:paraId="261DAF9F" w14:textId="7CBD2B20" w:rsidR="00533746" w:rsidRDefault="00533746" w:rsidP="00BC3718">
      <w:pPr>
        <w:autoSpaceDE w:val="0"/>
        <w:autoSpaceDN w:val="0"/>
        <w:adjustRightInd w:val="0"/>
        <w:spacing w:after="100" w:afterAutospacing="1"/>
        <w:rPr>
          <w:bCs/>
        </w:rPr>
      </w:pPr>
      <w:r>
        <w:rPr>
          <w:bCs/>
        </w:rPr>
        <w:t xml:space="preserve">TCS plans to reside within MUSD, which is comprised of 25,409 pupils with 85 percent identifying as socioeconomically disadvantaged, 33 percent identifying as ELs, and 0.8 percent identifying as foster youth. </w:t>
      </w:r>
      <w:r w:rsidRPr="002B2416">
        <w:t>T</w:t>
      </w:r>
      <w:r w:rsidRPr="002B2416">
        <w:rPr>
          <w:bCs/>
        </w:rPr>
        <w:t>he TCS petition includes a statement that outlines the annual goals, actions, measurable outcomes, and method of measurement</w:t>
      </w:r>
      <w:r>
        <w:rPr>
          <w:bCs/>
        </w:rPr>
        <w:t xml:space="preserve"> </w:t>
      </w:r>
      <w:r w:rsidRPr="002B2416">
        <w:rPr>
          <w:bCs/>
        </w:rPr>
        <w:t>aligned to each of the eight state priorities and states that TCS shall meet all statewide standards and conduct the student assessments required, pursuant to</w:t>
      </w:r>
      <w:r w:rsidRPr="002B2416">
        <w:rPr>
          <w:bCs/>
          <w:i/>
          <w:iCs/>
        </w:rPr>
        <w:t xml:space="preserve"> EC</w:t>
      </w:r>
      <w:r w:rsidRPr="002B2416">
        <w:rPr>
          <w:bCs/>
        </w:rPr>
        <w:t xml:space="preserve"> Section 60605, and any other statewide standards authorized in statue, or student assessments</w:t>
      </w:r>
      <w:r>
        <w:rPr>
          <w:bCs/>
        </w:rPr>
        <w:t xml:space="preserve"> applicable to pupils in non-charter public schools </w:t>
      </w:r>
      <w:r w:rsidRPr="009719B4">
        <w:rPr>
          <w:bCs/>
        </w:rPr>
        <w:t xml:space="preserve">(Attachment </w:t>
      </w:r>
      <w:r w:rsidRPr="00932D4F">
        <w:rPr>
          <w:bCs/>
        </w:rPr>
        <w:t>3, pp.</w:t>
      </w:r>
      <w:r>
        <w:rPr>
          <w:bCs/>
        </w:rPr>
        <w:t xml:space="preserve"> </w:t>
      </w:r>
      <w:r w:rsidRPr="00932D4F">
        <w:rPr>
          <w:bCs/>
        </w:rPr>
        <w:t>77</w:t>
      </w:r>
      <w:r>
        <w:rPr>
          <w:bCs/>
        </w:rPr>
        <w:t>–</w:t>
      </w:r>
      <w:r w:rsidRPr="00932D4F">
        <w:rPr>
          <w:bCs/>
        </w:rPr>
        <w:t>82);</w:t>
      </w:r>
      <w:r w:rsidRPr="008662A9">
        <w:rPr>
          <w:bCs/>
        </w:rPr>
        <w:t xml:space="preserve"> however</w:t>
      </w:r>
      <w:r w:rsidRPr="009719B4">
        <w:rPr>
          <w:bCs/>
        </w:rPr>
        <w:t xml:space="preserve">, the </w:t>
      </w:r>
      <w:r>
        <w:rPr>
          <w:bCs/>
        </w:rPr>
        <w:t xml:space="preserve">TCS </w:t>
      </w:r>
      <w:r w:rsidRPr="009719B4">
        <w:rPr>
          <w:bCs/>
        </w:rPr>
        <w:t>petition does not outline measurable pupil outcomes that address increases in pupil academic achievement both schoolwide and for pupil</w:t>
      </w:r>
      <w:r>
        <w:rPr>
          <w:bCs/>
        </w:rPr>
        <w:t xml:space="preserve"> groups.</w:t>
      </w:r>
    </w:p>
    <w:p w14:paraId="28B91514" w14:textId="325FBBAB" w:rsidR="00A741DF" w:rsidRDefault="00987AC1" w:rsidP="00BC3718">
      <w:pPr>
        <w:autoSpaceDE w:val="0"/>
        <w:autoSpaceDN w:val="0"/>
        <w:adjustRightInd w:val="0"/>
        <w:spacing w:after="100" w:afterAutospacing="1"/>
        <w:rPr>
          <w:bCs/>
        </w:rPr>
      </w:pPr>
      <w:r>
        <w:rPr>
          <w:bCs/>
        </w:rPr>
        <w:lastRenderedPageBreak/>
        <w:t xml:space="preserve">If approved by the SBE, as a condition for approval, </w:t>
      </w:r>
      <w:r w:rsidR="00533746" w:rsidRPr="009B33AB">
        <w:rPr>
          <w:bCs/>
        </w:rPr>
        <w:t xml:space="preserve">the petitioners will be required to revise the </w:t>
      </w:r>
      <w:r w:rsidR="00533746">
        <w:rPr>
          <w:bCs/>
        </w:rPr>
        <w:t xml:space="preserve">TCS </w:t>
      </w:r>
      <w:r w:rsidR="00533746" w:rsidRPr="009B33AB">
        <w:rPr>
          <w:bCs/>
        </w:rPr>
        <w:t>petition in order to reflect the SBE as the authorizer and</w:t>
      </w:r>
      <w:r w:rsidR="00533746">
        <w:rPr>
          <w:bCs/>
        </w:rPr>
        <w:t xml:space="preserve"> </w:t>
      </w:r>
      <w:r>
        <w:rPr>
          <w:bCs/>
        </w:rPr>
        <w:t xml:space="preserve">include the necessary language for Element 2–Measurable Pupil Outcomes by including measurable pupil outcomes that address increases in pupil academic achievement both schoolwide and for </w:t>
      </w:r>
      <w:r w:rsidR="00533746">
        <w:rPr>
          <w:bCs/>
        </w:rPr>
        <w:t xml:space="preserve">all </w:t>
      </w:r>
      <w:r>
        <w:rPr>
          <w:bCs/>
        </w:rPr>
        <w:t>groups of pupils.</w:t>
      </w:r>
    </w:p>
    <w:p w14:paraId="1DAF4CA4" w14:textId="100FBDDB" w:rsidR="00533746" w:rsidRDefault="00533746" w:rsidP="00BC3718">
      <w:pPr>
        <w:autoSpaceDE w:val="0"/>
        <w:autoSpaceDN w:val="0"/>
        <w:adjustRightInd w:val="0"/>
        <w:spacing w:after="100" w:afterAutospacing="1"/>
        <w:rPr>
          <w:bCs/>
        </w:rPr>
      </w:pPr>
      <w:r>
        <w:rPr>
          <w:bCs/>
        </w:rPr>
        <w:br w:type="page"/>
      </w:r>
    </w:p>
    <w:bookmarkEnd w:id="2"/>
    <w:p w14:paraId="7F1CE8B6" w14:textId="221FA323" w:rsidR="005036C8" w:rsidRPr="002347DD" w:rsidRDefault="005036C8" w:rsidP="007F164F">
      <w:pPr>
        <w:pStyle w:val="Heading3"/>
      </w:pPr>
      <w:r w:rsidRPr="002347DD">
        <w:lastRenderedPageBreak/>
        <w:t>3. Method for Measuring Pupil Progress</w:t>
      </w:r>
    </w:p>
    <w:p w14:paraId="131889AD" w14:textId="77777777" w:rsidR="005036C8" w:rsidRPr="00D37623" w:rsidRDefault="005036C8" w:rsidP="007F164F">
      <w:pPr>
        <w:autoSpaceDE w:val="0"/>
        <w:autoSpaceDN w:val="0"/>
        <w:adjustRightInd w:val="0"/>
        <w:jc w:val="center"/>
      </w:pPr>
      <w:r w:rsidRPr="00D37623">
        <w:rPr>
          <w:i/>
        </w:rPr>
        <w:t>EC</w:t>
      </w:r>
      <w:r w:rsidRPr="00D37623">
        <w:t xml:space="preserve"> Section 47605(b)(5)(C)</w:t>
      </w:r>
    </w:p>
    <w:p w14:paraId="2F66798E" w14:textId="77777777" w:rsidR="005036C8" w:rsidRPr="00D37623" w:rsidRDefault="005036C8" w:rsidP="007F164F">
      <w:pPr>
        <w:autoSpaceDE w:val="0"/>
        <w:autoSpaceDN w:val="0"/>
        <w:adjustRightInd w:val="0"/>
        <w:jc w:val="center"/>
      </w:pPr>
      <w:r w:rsidRPr="00D37623">
        <w:t xml:space="preserve">5 </w:t>
      </w:r>
      <w:r w:rsidRPr="00D37623">
        <w:rPr>
          <w:i/>
        </w:rPr>
        <w:t>CCR</w:t>
      </w:r>
      <w:r w:rsidRPr="00D37623">
        <w:t xml:space="preserve"> Section 11967.5.1(f)(3)</w:t>
      </w:r>
    </w:p>
    <w:p w14:paraId="09520FE9" w14:textId="77777777" w:rsidR="005036C8" w:rsidRPr="009F3455" w:rsidRDefault="005036C8" w:rsidP="007F164F">
      <w:pPr>
        <w:pStyle w:val="Heading4"/>
      </w:pPr>
      <w:r w:rsidRPr="009F3455">
        <w:t>Evaluation Criteria</w:t>
      </w:r>
    </w:p>
    <w:p w14:paraId="2C391086" w14:textId="77777777" w:rsidR="005036C8" w:rsidRDefault="005036C8" w:rsidP="007F164F">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14:paraId="3ED54795" w14:textId="77777777" w:rsidTr="00533746">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243BA4F8" w14:textId="77777777" w:rsidR="005036C8" w:rsidRPr="00DE5907" w:rsidRDefault="005036C8" w:rsidP="007F164F">
            <w:pPr>
              <w:pStyle w:val="Heading8"/>
              <w:outlineLvl w:val="7"/>
              <w:rPr>
                <w:b w:val="0"/>
              </w:rPr>
            </w:pPr>
            <w:r w:rsidRPr="00DE5907">
              <w:t>Criteria</w:t>
            </w:r>
          </w:p>
        </w:tc>
        <w:tc>
          <w:tcPr>
            <w:tcW w:w="1591" w:type="dxa"/>
            <w:shd w:val="clear" w:color="auto" w:fill="D9D9D9" w:themeFill="background1" w:themeFillShade="D9"/>
            <w:vAlign w:val="center"/>
          </w:tcPr>
          <w:p w14:paraId="1F349217" w14:textId="77777777" w:rsidR="005036C8" w:rsidRPr="00DE5907" w:rsidRDefault="005036C8" w:rsidP="007F164F">
            <w:pPr>
              <w:pStyle w:val="Heading8"/>
              <w:outlineLvl w:val="7"/>
              <w:rPr>
                <w:b w:val="0"/>
              </w:rPr>
            </w:pPr>
            <w:r w:rsidRPr="00DE5907">
              <w:t>Criteria Met</w:t>
            </w:r>
          </w:p>
        </w:tc>
      </w:tr>
      <w:tr w:rsidR="005036C8" w:rsidRPr="004F65D5" w14:paraId="1BC3E30A" w14:textId="77777777" w:rsidTr="00533746">
        <w:trPr>
          <w:cantSplit/>
          <w:trHeight w:val="576"/>
        </w:trPr>
        <w:tc>
          <w:tcPr>
            <w:tcW w:w="7769" w:type="dxa"/>
          </w:tcPr>
          <w:p w14:paraId="1728070F" w14:textId="77777777" w:rsidR="005036C8" w:rsidRPr="00D31541" w:rsidRDefault="005036C8" w:rsidP="007F164F">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tcPr>
          <w:p w14:paraId="75A37B73" w14:textId="77777777" w:rsidR="005036C8" w:rsidRPr="004F65D5" w:rsidRDefault="00474154" w:rsidP="007F164F">
            <w:pPr>
              <w:tabs>
                <w:tab w:val="left" w:pos="280"/>
              </w:tabs>
              <w:autoSpaceDE w:val="0"/>
              <w:autoSpaceDN w:val="0"/>
              <w:adjustRightInd w:val="0"/>
              <w:jc w:val="center"/>
              <w:rPr>
                <w:bCs/>
              </w:rPr>
            </w:pPr>
            <w:r>
              <w:t>Yes</w:t>
            </w:r>
          </w:p>
        </w:tc>
      </w:tr>
      <w:tr w:rsidR="005036C8" w:rsidRPr="00D31541" w14:paraId="72231EE6" w14:textId="77777777" w:rsidTr="00533746">
        <w:trPr>
          <w:cantSplit/>
          <w:trHeight w:val="576"/>
        </w:trPr>
        <w:tc>
          <w:tcPr>
            <w:tcW w:w="7769" w:type="dxa"/>
          </w:tcPr>
          <w:p w14:paraId="44E9BEA4" w14:textId="77777777" w:rsidR="005036C8" w:rsidRPr="00D31541" w:rsidRDefault="005036C8" w:rsidP="007F164F">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tcPr>
          <w:p w14:paraId="56436268" w14:textId="77777777" w:rsidR="005036C8" w:rsidRPr="00D31541" w:rsidRDefault="005036C8" w:rsidP="007F164F">
            <w:pPr>
              <w:autoSpaceDE w:val="0"/>
              <w:autoSpaceDN w:val="0"/>
              <w:adjustRightInd w:val="0"/>
              <w:jc w:val="center"/>
            </w:pPr>
            <w:r>
              <w:t>Not Applicable</w:t>
            </w:r>
          </w:p>
        </w:tc>
      </w:tr>
      <w:tr w:rsidR="005036C8" w:rsidRPr="004F65D5" w14:paraId="7B1C5D08" w14:textId="77777777" w:rsidTr="00533746">
        <w:trPr>
          <w:cantSplit/>
          <w:trHeight w:val="576"/>
        </w:trPr>
        <w:tc>
          <w:tcPr>
            <w:tcW w:w="7769" w:type="dxa"/>
          </w:tcPr>
          <w:p w14:paraId="486545B4" w14:textId="77777777" w:rsidR="005036C8" w:rsidRPr="00D31541" w:rsidRDefault="005036C8" w:rsidP="007F164F">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702FF6CF" w14:textId="77777777" w:rsidR="005036C8" w:rsidRPr="004F65D5" w:rsidRDefault="00474154" w:rsidP="007F164F">
            <w:pPr>
              <w:autoSpaceDE w:val="0"/>
              <w:autoSpaceDN w:val="0"/>
              <w:adjustRightInd w:val="0"/>
              <w:jc w:val="center"/>
            </w:pPr>
            <w:r>
              <w:t>Yes</w:t>
            </w:r>
          </w:p>
        </w:tc>
      </w:tr>
    </w:tbl>
    <w:p w14:paraId="0A29E33C" w14:textId="72693EF9" w:rsidR="005036C8" w:rsidRPr="00CD0DEB" w:rsidRDefault="00AC5074" w:rsidP="007F164F">
      <w:pPr>
        <w:autoSpaceDE w:val="0"/>
        <w:autoSpaceDN w:val="0"/>
        <w:adjustRightInd w:val="0"/>
        <w:spacing w:before="240" w:after="100" w:afterAutospacing="1"/>
        <w:rPr>
          <w:b/>
        </w:rPr>
      </w:pPr>
      <w:r w:rsidRPr="00BD7C14">
        <w:rPr>
          <w:b/>
        </w:rPr>
        <w:t>The</w:t>
      </w:r>
      <w:r w:rsidR="00533746" w:rsidRPr="00BD7C14">
        <w:rPr>
          <w:b/>
        </w:rPr>
        <w:t xml:space="preserve"> </w:t>
      </w:r>
      <w:r w:rsidR="005036C8" w:rsidRPr="00BD7C14">
        <w:rPr>
          <w:b/>
        </w:rPr>
        <w:t xml:space="preserve">petition </w:t>
      </w:r>
      <w:r w:rsidR="00474154" w:rsidRPr="00BD7C14">
        <w:rPr>
          <w:b/>
        </w:rPr>
        <w:t>does</w:t>
      </w:r>
      <w:r w:rsidR="005036C8" w:rsidRPr="00BD7C14">
        <w:rPr>
          <w:b/>
        </w:rPr>
        <w:t xml:space="preserve"> present a reasonably comprehensive description of the method for measuring pupil progress.</w:t>
      </w:r>
    </w:p>
    <w:p w14:paraId="03FF3ADC" w14:textId="77777777" w:rsidR="005036C8" w:rsidRPr="009F3455" w:rsidRDefault="005036C8" w:rsidP="007F164F">
      <w:pPr>
        <w:pStyle w:val="Heading4"/>
      </w:pPr>
      <w:r>
        <w:t>Comments</w:t>
      </w:r>
    </w:p>
    <w:p w14:paraId="4A04B549" w14:textId="45A3CD67" w:rsidR="0016703A" w:rsidRDefault="00474154" w:rsidP="00BC3718">
      <w:pPr>
        <w:autoSpaceDE w:val="0"/>
        <w:autoSpaceDN w:val="0"/>
        <w:adjustRightInd w:val="0"/>
        <w:spacing w:before="240" w:after="240"/>
        <w:rPr>
          <w:bCs/>
        </w:rPr>
      </w:pPr>
      <w:r w:rsidRPr="00CC2CC9">
        <w:rPr>
          <w:bCs/>
        </w:rPr>
        <w:t xml:space="preserve">The </w:t>
      </w:r>
      <w:r w:rsidR="00CC2CC9" w:rsidRPr="00CC2CC9">
        <w:rPr>
          <w:bCs/>
        </w:rPr>
        <w:t>TCS</w:t>
      </w:r>
      <w:r w:rsidRPr="00CC2CC9">
        <w:rPr>
          <w:bCs/>
        </w:rPr>
        <w:t xml:space="preserve"> petition does present a reasonably comprehensive description of the method for measuring pupil progress. The </w:t>
      </w:r>
      <w:r w:rsidR="00533746">
        <w:rPr>
          <w:bCs/>
        </w:rPr>
        <w:t xml:space="preserve">TCS </w:t>
      </w:r>
      <w:r w:rsidRPr="00CC2CC9">
        <w:rPr>
          <w:bCs/>
        </w:rPr>
        <w:t xml:space="preserve">petition states that </w:t>
      </w:r>
      <w:r w:rsidR="00CC2CC9" w:rsidRPr="00CC2CC9">
        <w:rPr>
          <w:bCs/>
        </w:rPr>
        <w:t>TCS</w:t>
      </w:r>
      <w:r w:rsidR="00944079">
        <w:rPr>
          <w:bCs/>
        </w:rPr>
        <w:t xml:space="preserve"> will deploy a cyclical assessment program that reinforces the principle</w:t>
      </w:r>
      <w:r w:rsidR="00533746">
        <w:rPr>
          <w:bCs/>
        </w:rPr>
        <w:t>s</w:t>
      </w:r>
      <w:r w:rsidR="00944079">
        <w:rPr>
          <w:bCs/>
        </w:rPr>
        <w:t xml:space="preserve"> of continuous improvement. </w:t>
      </w:r>
      <w:r w:rsidR="00533746">
        <w:rPr>
          <w:bCs/>
        </w:rPr>
        <w:t>Pupil</w:t>
      </w:r>
      <w:r w:rsidR="00944079">
        <w:rPr>
          <w:bCs/>
        </w:rPr>
        <w:t xml:space="preserve"> academic progress will be measured through a variety of diagnostic, formative, benchmark, and summative assessments. In addition, TCS will embrace a comprehensive data analysis process recognized by the American </w:t>
      </w:r>
      <w:r w:rsidR="00533746">
        <w:rPr>
          <w:bCs/>
        </w:rPr>
        <w:t>S</w:t>
      </w:r>
      <w:r w:rsidR="00944079">
        <w:rPr>
          <w:bCs/>
        </w:rPr>
        <w:t xml:space="preserve">ociety of Quality </w:t>
      </w:r>
      <w:r w:rsidR="00944079" w:rsidRPr="0016703A">
        <w:rPr>
          <w:bCs/>
        </w:rPr>
        <w:t xml:space="preserve">in an international competition. </w:t>
      </w:r>
      <w:r w:rsidR="003E488B" w:rsidRPr="0016703A">
        <w:rPr>
          <w:bCs/>
        </w:rPr>
        <w:t xml:space="preserve">The </w:t>
      </w:r>
      <w:r w:rsidR="00944079" w:rsidRPr="0016703A">
        <w:rPr>
          <w:bCs/>
        </w:rPr>
        <w:t>school principal, in collaboration with the school community will review available data on a weekly basis</w:t>
      </w:r>
      <w:r w:rsidR="0016703A" w:rsidRPr="0016703A">
        <w:rPr>
          <w:bCs/>
        </w:rPr>
        <w:t xml:space="preserve"> </w:t>
      </w:r>
      <w:r w:rsidR="0016703A">
        <w:rPr>
          <w:bCs/>
        </w:rPr>
        <w:t>(Attachment 3, pp</w:t>
      </w:r>
      <w:r w:rsidR="0016703A" w:rsidRPr="00932D4F">
        <w:rPr>
          <w:bCs/>
        </w:rPr>
        <w:t>. 7</w:t>
      </w:r>
      <w:r w:rsidR="00932D4F" w:rsidRPr="00932D4F">
        <w:rPr>
          <w:bCs/>
        </w:rPr>
        <w:t>7</w:t>
      </w:r>
      <w:r w:rsidR="007C4B83">
        <w:rPr>
          <w:bCs/>
        </w:rPr>
        <w:t>–</w:t>
      </w:r>
      <w:r w:rsidR="00932D4F" w:rsidRPr="00932D4F">
        <w:rPr>
          <w:bCs/>
        </w:rPr>
        <w:t>82</w:t>
      </w:r>
      <w:r w:rsidR="0016703A" w:rsidRPr="00932D4F">
        <w:rPr>
          <w:bCs/>
        </w:rPr>
        <w:t>).</w:t>
      </w:r>
    </w:p>
    <w:p w14:paraId="795967B4" w14:textId="3780650A" w:rsidR="00B96E05" w:rsidRPr="009F3455" w:rsidRDefault="0016703A" w:rsidP="00BC3718">
      <w:pPr>
        <w:autoSpaceDE w:val="0"/>
        <w:autoSpaceDN w:val="0"/>
        <w:adjustRightInd w:val="0"/>
        <w:spacing w:before="240" w:after="240"/>
        <w:rPr>
          <w:bCs/>
        </w:rPr>
      </w:pPr>
      <w:r w:rsidRPr="0016703A">
        <w:rPr>
          <w:bCs/>
        </w:rPr>
        <w:t xml:space="preserve">The </w:t>
      </w:r>
      <w:r w:rsidR="00533746">
        <w:rPr>
          <w:bCs/>
        </w:rPr>
        <w:t xml:space="preserve">TCS </w:t>
      </w:r>
      <w:r w:rsidRPr="0016703A">
        <w:rPr>
          <w:bCs/>
        </w:rPr>
        <w:t>petition includes a table outlining the type, description, score significance, purpose, format, and frequency</w:t>
      </w:r>
      <w:r w:rsidR="00700FC5">
        <w:rPr>
          <w:bCs/>
        </w:rPr>
        <w:t xml:space="preserve"> </w:t>
      </w:r>
      <w:r w:rsidR="00700FC5" w:rsidRPr="0016703A">
        <w:rPr>
          <w:bCs/>
        </w:rPr>
        <w:t>of assessment</w:t>
      </w:r>
      <w:r w:rsidR="00700FC5">
        <w:rPr>
          <w:bCs/>
        </w:rPr>
        <w:t>s</w:t>
      </w:r>
      <w:r w:rsidR="00533746">
        <w:rPr>
          <w:bCs/>
        </w:rPr>
        <w:t>.</w:t>
      </w:r>
      <w:r>
        <w:rPr>
          <w:bCs/>
        </w:rPr>
        <w:t xml:space="preserve"> </w:t>
      </w:r>
      <w:r w:rsidRPr="0016703A">
        <w:rPr>
          <w:bCs/>
        </w:rPr>
        <w:t xml:space="preserve">The </w:t>
      </w:r>
      <w:r>
        <w:rPr>
          <w:bCs/>
        </w:rPr>
        <w:t xml:space="preserve">TCS </w:t>
      </w:r>
      <w:r w:rsidRPr="0016703A">
        <w:rPr>
          <w:bCs/>
        </w:rPr>
        <w:t>petition states that all stakeholders will be actively involved in the analysis and reporting of data</w:t>
      </w:r>
      <w:r w:rsidR="00700FC5">
        <w:rPr>
          <w:bCs/>
        </w:rPr>
        <w:t>,</w:t>
      </w:r>
      <w:r w:rsidRPr="0016703A">
        <w:rPr>
          <w:bCs/>
        </w:rPr>
        <w:t xml:space="preserve"> and that data will be reviewed at the individual pupil level, by classroom cohorts, and schoolwide to monitor specific groups of pupils and the effectiveness of various</w:t>
      </w:r>
      <w:r w:rsidR="000938A7">
        <w:rPr>
          <w:bCs/>
        </w:rPr>
        <w:t xml:space="preserve"> programs and interventions. TCS</w:t>
      </w:r>
      <w:r w:rsidRPr="0016703A">
        <w:rPr>
          <w:bCs/>
        </w:rPr>
        <w:t xml:space="preserve"> pupil performance data will be sent to parents/guardians in the form of progress reports, report cards, standardized test scores, and EL progress towards </w:t>
      </w:r>
      <w:r w:rsidRPr="0016703A">
        <w:rPr>
          <w:bCs/>
        </w:rPr>
        <w:lastRenderedPageBreak/>
        <w:t xml:space="preserve">English proficiency. The </w:t>
      </w:r>
      <w:r w:rsidR="00700FC5">
        <w:rPr>
          <w:bCs/>
        </w:rPr>
        <w:t xml:space="preserve">TCS </w:t>
      </w:r>
      <w:r w:rsidRPr="0016703A">
        <w:rPr>
          <w:bCs/>
        </w:rPr>
        <w:t xml:space="preserve">petition states that the </w:t>
      </w:r>
      <w:r w:rsidR="000938A7">
        <w:rPr>
          <w:bCs/>
        </w:rPr>
        <w:t xml:space="preserve">TCS </w:t>
      </w:r>
      <w:r w:rsidRPr="0016703A">
        <w:rPr>
          <w:bCs/>
        </w:rPr>
        <w:t xml:space="preserve">Board of Directors, administrators, teachers, pupils, and parents will use data to establish, evaluate, and improve the educational program and school policies </w:t>
      </w:r>
      <w:r w:rsidR="00E31347">
        <w:rPr>
          <w:bCs/>
        </w:rPr>
        <w:t>(</w:t>
      </w:r>
      <w:r w:rsidR="00194CF7" w:rsidRPr="00CC2CC9">
        <w:rPr>
          <w:bCs/>
        </w:rPr>
        <w:t>Attachment 3</w:t>
      </w:r>
      <w:r w:rsidR="00194CF7" w:rsidRPr="008C5BE7">
        <w:rPr>
          <w:bCs/>
        </w:rPr>
        <w:t xml:space="preserve">, pp. </w:t>
      </w:r>
      <w:r w:rsidRPr="00932D4F">
        <w:rPr>
          <w:bCs/>
        </w:rPr>
        <w:t>7</w:t>
      </w:r>
      <w:r w:rsidR="00932D4F" w:rsidRPr="00932D4F">
        <w:rPr>
          <w:bCs/>
        </w:rPr>
        <w:t>9</w:t>
      </w:r>
      <w:r w:rsidR="007C4B83">
        <w:rPr>
          <w:bCs/>
        </w:rPr>
        <w:t>–</w:t>
      </w:r>
      <w:r w:rsidR="00932D4F" w:rsidRPr="00932D4F">
        <w:rPr>
          <w:bCs/>
        </w:rPr>
        <w:t>82</w:t>
      </w:r>
      <w:r w:rsidR="00194CF7" w:rsidRPr="00932D4F">
        <w:rPr>
          <w:bCs/>
        </w:rPr>
        <w:t>).</w:t>
      </w:r>
    </w:p>
    <w:p w14:paraId="18576EB9" w14:textId="77777777" w:rsidR="005036C8" w:rsidRPr="009F3455" w:rsidRDefault="005036C8" w:rsidP="007F164F">
      <w:pPr>
        <w:pStyle w:val="Heading3"/>
      </w:pPr>
      <w:r>
        <w:rPr>
          <w:bCs/>
        </w:rPr>
        <w:br w:type="page"/>
      </w:r>
      <w:r w:rsidRPr="009F3455">
        <w:lastRenderedPageBreak/>
        <w:t>4. Governance Structure</w:t>
      </w:r>
    </w:p>
    <w:p w14:paraId="6D3F6753" w14:textId="77777777" w:rsidR="005036C8" w:rsidRPr="00D37623" w:rsidRDefault="005036C8" w:rsidP="007F164F">
      <w:pPr>
        <w:autoSpaceDE w:val="0"/>
        <w:autoSpaceDN w:val="0"/>
        <w:adjustRightInd w:val="0"/>
        <w:jc w:val="center"/>
      </w:pPr>
      <w:r w:rsidRPr="00D37623">
        <w:rPr>
          <w:i/>
        </w:rPr>
        <w:t>EC</w:t>
      </w:r>
      <w:r w:rsidRPr="00D37623">
        <w:t xml:space="preserve"> Section 47605(b)(5)(D)</w:t>
      </w:r>
    </w:p>
    <w:p w14:paraId="346BDD3B" w14:textId="77777777" w:rsidR="005036C8" w:rsidRPr="00D37623" w:rsidRDefault="005036C8" w:rsidP="007F164F">
      <w:pPr>
        <w:jc w:val="center"/>
      </w:pPr>
      <w:r w:rsidRPr="00D37623">
        <w:t xml:space="preserve">5 </w:t>
      </w:r>
      <w:r w:rsidRPr="00D37623">
        <w:rPr>
          <w:i/>
        </w:rPr>
        <w:t>CCR</w:t>
      </w:r>
      <w:r w:rsidRPr="00D37623">
        <w:t xml:space="preserve"> Section 11967.5.1(f)(4)</w:t>
      </w:r>
    </w:p>
    <w:p w14:paraId="2912E080" w14:textId="77777777" w:rsidR="005036C8" w:rsidRPr="009F3455" w:rsidRDefault="005036C8" w:rsidP="007F164F">
      <w:pPr>
        <w:pStyle w:val="Heading4"/>
      </w:pPr>
      <w:r w:rsidRPr="009F3455">
        <w:t>Evaluation Criteria</w:t>
      </w:r>
    </w:p>
    <w:p w14:paraId="543B4D97" w14:textId="77777777" w:rsidR="005036C8" w:rsidRDefault="005036C8" w:rsidP="007F164F">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14:paraId="5F2364EA"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021C7173" w14:textId="77777777" w:rsidR="00E024D0" w:rsidRPr="00E024D0" w:rsidRDefault="00E024D0" w:rsidP="007F164F">
            <w:pPr>
              <w:jc w:val="center"/>
              <w:outlineLvl w:val="7"/>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14:paraId="18390938" w14:textId="77777777" w:rsidR="00E024D0" w:rsidRPr="00E024D0" w:rsidRDefault="00E024D0" w:rsidP="007F164F">
            <w:pPr>
              <w:jc w:val="center"/>
              <w:outlineLvl w:val="7"/>
              <w:rPr>
                <w:rFonts w:eastAsia="Times New Roman" w:cs="Times New Roman"/>
              </w:rPr>
            </w:pPr>
            <w:r w:rsidRPr="00E024D0">
              <w:rPr>
                <w:rFonts w:eastAsia="Times New Roman" w:cs="Times New Roman"/>
              </w:rPr>
              <w:t>Criteria Met</w:t>
            </w:r>
          </w:p>
        </w:tc>
      </w:tr>
      <w:tr w:rsidR="00E024D0" w:rsidRPr="00E024D0" w14:paraId="4E1AEE09" w14:textId="77777777" w:rsidTr="00360870">
        <w:trPr>
          <w:trHeight w:val="576"/>
        </w:trPr>
        <w:tc>
          <w:tcPr>
            <w:tcW w:w="7782" w:type="dxa"/>
          </w:tcPr>
          <w:p w14:paraId="6BE33EFF" w14:textId="77777777" w:rsidR="00E024D0" w:rsidRPr="00E024D0" w:rsidRDefault="00E024D0" w:rsidP="007F164F">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14:paraId="07F49C40" w14:textId="77777777" w:rsidR="00E024D0" w:rsidRPr="00E024D0" w:rsidRDefault="00E024D0" w:rsidP="007F164F">
            <w:pPr>
              <w:tabs>
                <w:tab w:val="left" w:pos="280"/>
              </w:tabs>
              <w:autoSpaceDE w:val="0"/>
              <w:autoSpaceDN w:val="0"/>
              <w:adjustRightInd w:val="0"/>
              <w:jc w:val="center"/>
              <w:rPr>
                <w:bCs/>
              </w:rPr>
            </w:pPr>
            <w:r w:rsidRPr="00E024D0">
              <w:t>Yes</w:t>
            </w:r>
          </w:p>
        </w:tc>
      </w:tr>
      <w:tr w:rsidR="00E024D0" w:rsidRPr="00E024D0" w14:paraId="597395B2" w14:textId="77777777" w:rsidTr="00360870">
        <w:trPr>
          <w:trHeight w:val="576"/>
        </w:trPr>
        <w:tc>
          <w:tcPr>
            <w:tcW w:w="7782" w:type="dxa"/>
          </w:tcPr>
          <w:p w14:paraId="7A2A9E3E" w14:textId="77777777" w:rsidR="00E024D0" w:rsidRPr="00E024D0" w:rsidRDefault="00E024D0" w:rsidP="007F164F">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14:paraId="50059B98" w14:textId="77777777" w:rsidR="00E024D0" w:rsidRPr="00E024D0" w:rsidRDefault="00E024D0" w:rsidP="007F164F">
            <w:pPr>
              <w:numPr>
                <w:ilvl w:val="1"/>
                <w:numId w:val="10"/>
              </w:numPr>
              <w:spacing w:after="100" w:afterAutospacing="1"/>
              <w:ind w:left="1080" w:hanging="390"/>
            </w:pPr>
            <w:r w:rsidRPr="00E024D0">
              <w:t>The charter school will become and remain a viable enterprise.</w:t>
            </w:r>
          </w:p>
          <w:p w14:paraId="022F05CB" w14:textId="77777777" w:rsidR="00E024D0" w:rsidRPr="00994346" w:rsidRDefault="00E024D0" w:rsidP="007F164F">
            <w:pPr>
              <w:numPr>
                <w:ilvl w:val="1"/>
                <w:numId w:val="10"/>
              </w:numPr>
              <w:spacing w:after="100" w:afterAutospacing="1"/>
              <w:ind w:left="1080" w:hanging="390"/>
            </w:pPr>
            <w:r w:rsidRPr="00994346">
              <w:t>There will be active and effective representation of interested parties, including, but not limited to parents (guardians).</w:t>
            </w:r>
          </w:p>
          <w:p w14:paraId="60FDDB9D" w14:textId="77777777" w:rsidR="00E024D0" w:rsidRPr="00E024D0" w:rsidRDefault="00E024D0" w:rsidP="007F164F">
            <w:pPr>
              <w:widowControl w:val="0"/>
              <w:numPr>
                <w:ilvl w:val="1"/>
                <w:numId w:val="10"/>
              </w:numPr>
              <w:tabs>
                <w:tab w:val="left" w:pos="360"/>
              </w:tabs>
              <w:ind w:left="1080" w:hanging="390"/>
            </w:pPr>
            <w:r w:rsidRPr="00E024D0">
              <w:t>The educational program will be successful.</w:t>
            </w:r>
          </w:p>
        </w:tc>
        <w:tc>
          <w:tcPr>
            <w:tcW w:w="1578" w:type="dxa"/>
          </w:tcPr>
          <w:p w14:paraId="05DF0FF3" w14:textId="5B78BF1F" w:rsidR="00E024D0" w:rsidRPr="00E024D0" w:rsidRDefault="00994346" w:rsidP="007F164F">
            <w:pPr>
              <w:autoSpaceDE w:val="0"/>
              <w:autoSpaceDN w:val="0"/>
              <w:adjustRightInd w:val="0"/>
              <w:jc w:val="center"/>
            </w:pPr>
            <w:r>
              <w:t>Yes</w:t>
            </w:r>
          </w:p>
        </w:tc>
      </w:tr>
    </w:tbl>
    <w:p w14:paraId="4242C540" w14:textId="18522954" w:rsidR="005036C8" w:rsidRPr="001F72DE" w:rsidRDefault="005036C8" w:rsidP="007F164F">
      <w:pPr>
        <w:autoSpaceDE w:val="0"/>
        <w:autoSpaceDN w:val="0"/>
        <w:adjustRightInd w:val="0"/>
        <w:spacing w:before="100" w:beforeAutospacing="1" w:after="100" w:afterAutospacing="1"/>
      </w:pPr>
      <w:r>
        <w:rPr>
          <w:b/>
        </w:rPr>
        <w:t>T</w:t>
      </w:r>
      <w:r w:rsidRPr="00DA01D1">
        <w:rPr>
          <w:b/>
        </w:rPr>
        <w:t xml:space="preserve">he petition </w:t>
      </w:r>
      <w:r w:rsidR="00A05B79">
        <w:rPr>
          <w:b/>
        </w:rPr>
        <w:t>does</w:t>
      </w:r>
      <w:r w:rsidRPr="005E1390">
        <w:rPr>
          <w:b/>
        </w:rPr>
        <w:t xml:space="preserve"> </w:t>
      </w:r>
      <w:r w:rsidRPr="009F3455">
        <w:rPr>
          <w:b/>
        </w:rPr>
        <w:t>present a reasonably comprehensive description of the school’s governance structure</w:t>
      </w:r>
      <w:r>
        <w:rPr>
          <w:b/>
        </w:rPr>
        <w:t>.</w:t>
      </w:r>
    </w:p>
    <w:p w14:paraId="1695FE32" w14:textId="77777777" w:rsidR="005036C8" w:rsidRPr="009F3455" w:rsidRDefault="005036C8" w:rsidP="007F164F">
      <w:pPr>
        <w:pStyle w:val="Heading4"/>
      </w:pPr>
      <w:r>
        <w:t>Comments</w:t>
      </w:r>
    </w:p>
    <w:p w14:paraId="0817B0FA" w14:textId="46A133C1" w:rsidR="005A7E4D" w:rsidRPr="00BF7C8F" w:rsidRDefault="00A05B79" w:rsidP="00BC3718">
      <w:pPr>
        <w:autoSpaceDE w:val="0"/>
        <w:autoSpaceDN w:val="0"/>
        <w:adjustRightInd w:val="0"/>
        <w:spacing w:after="100" w:afterAutospacing="1"/>
        <w:rPr>
          <w:bCs/>
        </w:rPr>
      </w:pPr>
      <w:r w:rsidRPr="00AB0896">
        <w:rPr>
          <w:bCs/>
        </w:rPr>
        <w:t xml:space="preserve">The </w:t>
      </w:r>
      <w:r w:rsidR="00AB0896" w:rsidRPr="00AB0896">
        <w:rPr>
          <w:bCs/>
        </w:rPr>
        <w:t xml:space="preserve">TCS </w:t>
      </w:r>
      <w:r w:rsidRPr="00AB0896">
        <w:rPr>
          <w:bCs/>
        </w:rPr>
        <w:t>petition does present a reasonably comprehensive d</w:t>
      </w:r>
      <w:r w:rsidR="00E944CA">
        <w:rPr>
          <w:bCs/>
        </w:rPr>
        <w:t>e</w:t>
      </w:r>
      <w:r w:rsidRPr="00AB0896">
        <w:rPr>
          <w:bCs/>
        </w:rPr>
        <w:t xml:space="preserve">scription of the </w:t>
      </w:r>
      <w:r w:rsidR="00456CA1">
        <w:rPr>
          <w:bCs/>
        </w:rPr>
        <w:t>TCS’s</w:t>
      </w:r>
      <w:r w:rsidRPr="00AB0896">
        <w:rPr>
          <w:bCs/>
        </w:rPr>
        <w:t xml:space="preserve"> governance structure. </w:t>
      </w:r>
      <w:r w:rsidR="00544CE4">
        <w:rPr>
          <w:bCs/>
        </w:rPr>
        <w:t>The</w:t>
      </w:r>
      <w:r w:rsidR="00456CA1">
        <w:rPr>
          <w:bCs/>
        </w:rPr>
        <w:t xml:space="preserve"> TCS</w:t>
      </w:r>
      <w:r w:rsidR="00544CE4">
        <w:rPr>
          <w:bCs/>
        </w:rPr>
        <w:t xml:space="preserve"> petition states that the TCS Board of Directors will have a minimum of </w:t>
      </w:r>
      <w:r w:rsidR="00456CA1">
        <w:rPr>
          <w:bCs/>
        </w:rPr>
        <w:t>5</w:t>
      </w:r>
      <w:r w:rsidR="00544CE4">
        <w:rPr>
          <w:bCs/>
        </w:rPr>
        <w:t xml:space="preserve"> and no more than </w:t>
      </w:r>
      <w:r w:rsidR="00456CA1">
        <w:rPr>
          <w:bCs/>
        </w:rPr>
        <w:t>11</w:t>
      </w:r>
      <w:r w:rsidR="00544CE4">
        <w:rPr>
          <w:bCs/>
        </w:rPr>
        <w:t xml:space="preserve"> members consisting of directors with expertise in education, business, non-profit management, EL</w:t>
      </w:r>
      <w:r w:rsidR="00386253">
        <w:rPr>
          <w:bCs/>
        </w:rPr>
        <w:t>s</w:t>
      </w:r>
      <w:r w:rsidR="00544CE4">
        <w:rPr>
          <w:bCs/>
        </w:rPr>
        <w:t>, finance, facilities, fundraising, law</w:t>
      </w:r>
      <w:r w:rsidR="00456CA1">
        <w:rPr>
          <w:bCs/>
        </w:rPr>
        <w:t>,</w:t>
      </w:r>
      <w:r w:rsidR="00544CE4">
        <w:rPr>
          <w:bCs/>
        </w:rPr>
        <w:t xml:space="preserve"> and community partnerships and services. </w:t>
      </w:r>
      <w:r w:rsidR="00386253">
        <w:rPr>
          <w:bCs/>
        </w:rPr>
        <w:t xml:space="preserve">The </w:t>
      </w:r>
      <w:r w:rsidR="00E944CA" w:rsidRPr="00E944CA">
        <w:rPr>
          <w:bCs/>
        </w:rPr>
        <w:t>Parent Advisory Committee, School Site Council, and English Learner Advisory Committee will support the principal in developing</w:t>
      </w:r>
      <w:r w:rsidR="00456CA1">
        <w:rPr>
          <w:bCs/>
        </w:rPr>
        <w:t xml:space="preserve">, </w:t>
      </w:r>
      <w:r w:rsidR="00E944CA" w:rsidRPr="00E944CA">
        <w:rPr>
          <w:bCs/>
        </w:rPr>
        <w:t>reviewing</w:t>
      </w:r>
      <w:r w:rsidR="00456CA1">
        <w:rPr>
          <w:bCs/>
        </w:rPr>
        <w:t xml:space="preserve">, or </w:t>
      </w:r>
      <w:r w:rsidR="00E944CA" w:rsidRPr="00E944CA">
        <w:rPr>
          <w:bCs/>
        </w:rPr>
        <w:t>approving various school improvement plans and budgets.</w:t>
      </w:r>
      <w:r w:rsidR="00E944CA">
        <w:rPr>
          <w:bCs/>
        </w:rPr>
        <w:t xml:space="preserve"> The </w:t>
      </w:r>
      <w:r w:rsidR="00456CA1">
        <w:rPr>
          <w:bCs/>
        </w:rPr>
        <w:t xml:space="preserve">TCS </w:t>
      </w:r>
      <w:r w:rsidR="00B27D09">
        <w:rPr>
          <w:bCs/>
        </w:rPr>
        <w:t>petition</w:t>
      </w:r>
      <w:r w:rsidR="00E944CA">
        <w:rPr>
          <w:bCs/>
        </w:rPr>
        <w:t xml:space="preserve"> states that TCS will comply with the Ralph M. Brown Act and the Charter Schools Act, </w:t>
      </w:r>
      <w:r w:rsidR="00456CA1">
        <w:rPr>
          <w:bCs/>
        </w:rPr>
        <w:t>including</w:t>
      </w:r>
      <w:r w:rsidR="00E944CA">
        <w:rPr>
          <w:bCs/>
        </w:rPr>
        <w:t xml:space="preserve"> </w:t>
      </w:r>
      <w:r w:rsidR="00E944CA" w:rsidRPr="00B27D09">
        <w:rPr>
          <w:bCs/>
          <w:i/>
          <w:iCs/>
        </w:rPr>
        <w:t>E</w:t>
      </w:r>
      <w:r w:rsidR="00B27D09" w:rsidRPr="00B27D09">
        <w:rPr>
          <w:bCs/>
          <w:i/>
          <w:iCs/>
        </w:rPr>
        <w:t>C</w:t>
      </w:r>
      <w:r w:rsidR="00E944CA" w:rsidRPr="00B27D09">
        <w:rPr>
          <w:bCs/>
          <w:i/>
          <w:iCs/>
        </w:rPr>
        <w:t xml:space="preserve"> </w:t>
      </w:r>
      <w:r w:rsidR="00E944CA">
        <w:rPr>
          <w:bCs/>
        </w:rPr>
        <w:t>Section 47604.1, as added by Senate Bill</w:t>
      </w:r>
      <w:r w:rsidR="009D30E8">
        <w:rPr>
          <w:bCs/>
        </w:rPr>
        <w:t xml:space="preserve"> </w:t>
      </w:r>
      <w:r w:rsidR="00E944CA">
        <w:rPr>
          <w:bCs/>
        </w:rPr>
        <w:t xml:space="preserve">126 (2019) and effective January 1, 2020, concerning the location of meetings of the TCS governing board. </w:t>
      </w:r>
      <w:r w:rsidR="00456CA1">
        <w:rPr>
          <w:bCs/>
        </w:rPr>
        <w:t xml:space="preserve">The </w:t>
      </w:r>
      <w:r w:rsidR="00E944CA">
        <w:rPr>
          <w:bCs/>
        </w:rPr>
        <w:t xml:space="preserve">CDE notes that TCS will also comply with the Public Records Act, Political Reform Act, and </w:t>
      </w:r>
      <w:r w:rsidR="00E944CA" w:rsidRPr="00456CA1">
        <w:rPr>
          <w:bCs/>
          <w:i/>
        </w:rPr>
        <w:t>Government Code</w:t>
      </w:r>
      <w:r w:rsidR="00E944CA">
        <w:rPr>
          <w:bCs/>
        </w:rPr>
        <w:t xml:space="preserve"> </w:t>
      </w:r>
      <w:r w:rsidR="00456CA1">
        <w:rPr>
          <w:bCs/>
        </w:rPr>
        <w:t xml:space="preserve">Section </w:t>
      </w:r>
      <w:r w:rsidR="00E944CA">
        <w:rPr>
          <w:bCs/>
        </w:rPr>
        <w:t xml:space="preserve">1090 </w:t>
      </w:r>
      <w:r w:rsidR="00B27D09">
        <w:rPr>
          <w:bCs/>
        </w:rPr>
        <w:t>pursuant</w:t>
      </w:r>
      <w:r w:rsidR="00E944CA">
        <w:rPr>
          <w:bCs/>
        </w:rPr>
        <w:t xml:space="preserve"> to </w:t>
      </w:r>
      <w:r w:rsidR="00E944CA" w:rsidRPr="00B27D09">
        <w:rPr>
          <w:bCs/>
          <w:i/>
          <w:iCs/>
        </w:rPr>
        <w:t>E</w:t>
      </w:r>
      <w:r w:rsidR="00B27D09" w:rsidRPr="00B27D09">
        <w:rPr>
          <w:bCs/>
          <w:i/>
          <w:iCs/>
        </w:rPr>
        <w:t>C</w:t>
      </w:r>
      <w:r w:rsidR="00E944CA">
        <w:rPr>
          <w:bCs/>
        </w:rPr>
        <w:t xml:space="preserve"> Section 47604.1 </w:t>
      </w:r>
      <w:r w:rsidRPr="00E944CA">
        <w:rPr>
          <w:bCs/>
        </w:rPr>
        <w:t xml:space="preserve">(Attachment 3, pp. </w:t>
      </w:r>
      <w:r w:rsidR="00932D4F" w:rsidRPr="00932D4F">
        <w:rPr>
          <w:bCs/>
        </w:rPr>
        <w:t>85</w:t>
      </w:r>
      <w:r w:rsidR="007C4B83">
        <w:rPr>
          <w:bCs/>
        </w:rPr>
        <w:t>–</w:t>
      </w:r>
      <w:r w:rsidR="00932D4F" w:rsidRPr="00932D4F">
        <w:rPr>
          <w:bCs/>
        </w:rPr>
        <w:t>91</w:t>
      </w:r>
      <w:r w:rsidRPr="00932D4F">
        <w:rPr>
          <w:bCs/>
        </w:rPr>
        <w:t>)</w:t>
      </w:r>
      <w:r w:rsidR="00B27D09" w:rsidRPr="00932D4F">
        <w:rPr>
          <w:bCs/>
        </w:rPr>
        <w:t>.</w:t>
      </w:r>
    </w:p>
    <w:p w14:paraId="1A31F382" w14:textId="77777777" w:rsidR="005036C8" w:rsidRDefault="005036C8" w:rsidP="007F164F">
      <w:pPr>
        <w:pStyle w:val="Heading3"/>
      </w:pPr>
      <w:r>
        <w:rPr>
          <w:bCs/>
        </w:rPr>
        <w:br w:type="page"/>
      </w:r>
      <w:r w:rsidRPr="009F3455">
        <w:lastRenderedPageBreak/>
        <w:t>5. Employee Qualifications</w:t>
      </w:r>
    </w:p>
    <w:p w14:paraId="0957854B" w14:textId="77777777" w:rsidR="005036C8" w:rsidRPr="00D37623" w:rsidRDefault="005036C8" w:rsidP="007F164F">
      <w:pPr>
        <w:autoSpaceDE w:val="0"/>
        <w:autoSpaceDN w:val="0"/>
        <w:adjustRightInd w:val="0"/>
        <w:jc w:val="center"/>
      </w:pPr>
      <w:r w:rsidRPr="00D37623">
        <w:rPr>
          <w:i/>
        </w:rPr>
        <w:t>EC</w:t>
      </w:r>
      <w:r w:rsidRPr="00D37623">
        <w:t xml:space="preserve"> Section 47605(b)(5)(E)</w:t>
      </w:r>
    </w:p>
    <w:p w14:paraId="7DA13129" w14:textId="77777777" w:rsidR="005036C8" w:rsidRPr="00D37623" w:rsidRDefault="005036C8" w:rsidP="007F164F">
      <w:pPr>
        <w:autoSpaceDE w:val="0"/>
        <w:autoSpaceDN w:val="0"/>
        <w:adjustRightInd w:val="0"/>
        <w:jc w:val="center"/>
      </w:pPr>
      <w:r w:rsidRPr="00D37623">
        <w:t xml:space="preserve">5 </w:t>
      </w:r>
      <w:r w:rsidRPr="00D37623">
        <w:rPr>
          <w:i/>
        </w:rPr>
        <w:t>CCR</w:t>
      </w:r>
      <w:r w:rsidRPr="00D37623">
        <w:t xml:space="preserve"> Section 11967.5.1(f)(5)</w:t>
      </w:r>
    </w:p>
    <w:p w14:paraId="2BE7E476" w14:textId="77777777" w:rsidR="005036C8" w:rsidRPr="009F3455" w:rsidRDefault="005036C8" w:rsidP="007F164F">
      <w:pPr>
        <w:pStyle w:val="Heading4"/>
      </w:pPr>
      <w:r w:rsidRPr="009F3455">
        <w:t>Evaluation Criteria</w:t>
      </w:r>
    </w:p>
    <w:p w14:paraId="7A34525D" w14:textId="77777777" w:rsidR="005036C8" w:rsidRDefault="005036C8" w:rsidP="007F164F">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14:paraId="3FAC3727"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4448AF46" w14:textId="77777777" w:rsidR="005E2677" w:rsidRPr="005E2677" w:rsidRDefault="005E2677" w:rsidP="007F164F">
            <w:pPr>
              <w:jc w:val="center"/>
              <w:outlineLvl w:val="7"/>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14:paraId="3378E314" w14:textId="77777777" w:rsidR="005E2677" w:rsidRPr="005E2677" w:rsidRDefault="005E2677" w:rsidP="007F164F">
            <w:pPr>
              <w:jc w:val="center"/>
              <w:outlineLvl w:val="7"/>
              <w:rPr>
                <w:rFonts w:eastAsia="Times New Roman" w:cs="Times New Roman"/>
              </w:rPr>
            </w:pPr>
            <w:r w:rsidRPr="005E2677">
              <w:rPr>
                <w:rFonts w:eastAsia="Times New Roman" w:cs="Times New Roman"/>
              </w:rPr>
              <w:t>Criteria Met</w:t>
            </w:r>
          </w:p>
        </w:tc>
      </w:tr>
      <w:tr w:rsidR="005E2677" w:rsidRPr="005E2677" w14:paraId="331C909B" w14:textId="77777777" w:rsidTr="005E2677">
        <w:trPr>
          <w:cantSplit/>
          <w:trHeight w:val="576"/>
        </w:trPr>
        <w:tc>
          <w:tcPr>
            <w:tcW w:w="7782" w:type="dxa"/>
          </w:tcPr>
          <w:p w14:paraId="4CCCB88C" w14:textId="77777777" w:rsidR="005E2677" w:rsidRPr="005E2677" w:rsidRDefault="005E2677" w:rsidP="007F164F">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64D0A37B" w14:textId="77777777" w:rsidR="005E2677" w:rsidRPr="005E2677" w:rsidRDefault="005E2677" w:rsidP="007F164F">
            <w:pPr>
              <w:tabs>
                <w:tab w:val="left" w:pos="280"/>
              </w:tabs>
              <w:autoSpaceDE w:val="0"/>
              <w:autoSpaceDN w:val="0"/>
              <w:adjustRightInd w:val="0"/>
              <w:jc w:val="center"/>
              <w:rPr>
                <w:bCs/>
              </w:rPr>
            </w:pPr>
            <w:r w:rsidRPr="005E2677">
              <w:t>Yes</w:t>
            </w:r>
          </w:p>
        </w:tc>
      </w:tr>
      <w:tr w:rsidR="005E2677" w:rsidRPr="005E2677" w14:paraId="6CC5D772" w14:textId="77777777" w:rsidTr="005E2677">
        <w:trPr>
          <w:cantSplit/>
          <w:trHeight w:val="576"/>
        </w:trPr>
        <w:tc>
          <w:tcPr>
            <w:tcW w:w="7782" w:type="dxa"/>
          </w:tcPr>
          <w:p w14:paraId="69E46BDD" w14:textId="77777777" w:rsidR="005E2677" w:rsidRPr="005E2677" w:rsidRDefault="005E2677" w:rsidP="007F164F">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7B0AEA27" w14:textId="77777777" w:rsidR="005E2677" w:rsidRPr="005E2677" w:rsidRDefault="00033236" w:rsidP="007F164F">
            <w:pPr>
              <w:autoSpaceDE w:val="0"/>
              <w:autoSpaceDN w:val="0"/>
              <w:adjustRightInd w:val="0"/>
              <w:jc w:val="center"/>
            </w:pPr>
            <w:r>
              <w:t>Yes</w:t>
            </w:r>
          </w:p>
        </w:tc>
      </w:tr>
      <w:tr w:rsidR="005E2677" w:rsidRPr="005E2677" w14:paraId="78545F7D" w14:textId="77777777" w:rsidTr="005E2677">
        <w:trPr>
          <w:cantSplit/>
          <w:trHeight w:val="576"/>
        </w:trPr>
        <w:tc>
          <w:tcPr>
            <w:tcW w:w="7782" w:type="dxa"/>
          </w:tcPr>
          <w:p w14:paraId="7CE72539" w14:textId="77777777" w:rsidR="005E2677" w:rsidRPr="005E2677" w:rsidRDefault="005E2677" w:rsidP="007F164F">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14:paraId="4A8C02CD" w14:textId="77777777" w:rsidR="005E2677" w:rsidRPr="005E2677" w:rsidRDefault="005E2677" w:rsidP="007F164F">
            <w:pPr>
              <w:autoSpaceDE w:val="0"/>
              <w:autoSpaceDN w:val="0"/>
              <w:adjustRightInd w:val="0"/>
              <w:jc w:val="center"/>
            </w:pPr>
            <w:r w:rsidRPr="005E2677">
              <w:t>Yes</w:t>
            </w:r>
          </w:p>
        </w:tc>
      </w:tr>
    </w:tbl>
    <w:p w14:paraId="57E049A0" w14:textId="77777777" w:rsidR="005036C8" w:rsidRPr="00DA01D1" w:rsidRDefault="005036C8" w:rsidP="007F164F">
      <w:pPr>
        <w:autoSpaceDE w:val="0"/>
        <w:autoSpaceDN w:val="0"/>
        <w:adjustRightInd w:val="0"/>
        <w:spacing w:before="100" w:beforeAutospacing="1" w:after="100" w:afterAutospacing="1"/>
      </w:pPr>
      <w:r>
        <w:rPr>
          <w:b/>
        </w:rPr>
        <w:t>T</w:t>
      </w:r>
      <w:r w:rsidRPr="00DA01D1">
        <w:rPr>
          <w:b/>
        </w:rPr>
        <w:t xml:space="preserve">he petition </w:t>
      </w:r>
      <w:r w:rsidR="00033236">
        <w:rPr>
          <w:b/>
        </w:rPr>
        <w:t>does</w:t>
      </w:r>
      <w:r w:rsidRPr="005E1390">
        <w:rPr>
          <w:b/>
        </w:rPr>
        <w:t xml:space="preserve"> </w:t>
      </w:r>
      <w:r w:rsidRPr="00DA01D1">
        <w:rPr>
          <w:b/>
        </w:rPr>
        <w:t>present a reasonably comprehensive description of employee qualifications</w:t>
      </w:r>
      <w:r>
        <w:rPr>
          <w:b/>
        </w:rPr>
        <w:t>.</w:t>
      </w:r>
    </w:p>
    <w:p w14:paraId="52756BD8" w14:textId="77777777" w:rsidR="005036C8" w:rsidRPr="001F72DE" w:rsidRDefault="005036C8" w:rsidP="007F164F">
      <w:pPr>
        <w:pStyle w:val="Heading4"/>
      </w:pPr>
      <w:r w:rsidRPr="0067273F">
        <w:t>Comments</w:t>
      </w:r>
    </w:p>
    <w:p w14:paraId="344C56F1" w14:textId="215048AD" w:rsidR="00DD4F36" w:rsidRDefault="00033236" w:rsidP="00BC3718">
      <w:pPr>
        <w:autoSpaceDE w:val="0"/>
        <w:autoSpaceDN w:val="0"/>
        <w:adjustRightInd w:val="0"/>
        <w:rPr>
          <w:bCs/>
        </w:rPr>
      </w:pPr>
      <w:r>
        <w:rPr>
          <w:bCs/>
        </w:rPr>
        <w:t xml:space="preserve">The </w:t>
      </w:r>
      <w:r w:rsidR="00925FD1">
        <w:rPr>
          <w:bCs/>
        </w:rPr>
        <w:t>TCS</w:t>
      </w:r>
      <w:r>
        <w:rPr>
          <w:bCs/>
        </w:rPr>
        <w:t xml:space="preserve"> petition does present a reasonably comprehensive description of employee qualifications</w:t>
      </w:r>
      <w:r w:rsidR="0067273F">
        <w:rPr>
          <w:bCs/>
        </w:rPr>
        <w:t>. TCS considers the following to be key positions</w:t>
      </w:r>
      <w:r w:rsidR="00456CA1">
        <w:rPr>
          <w:bCs/>
        </w:rPr>
        <w:t xml:space="preserve">; </w:t>
      </w:r>
      <w:r w:rsidR="0067273F">
        <w:rPr>
          <w:bCs/>
        </w:rPr>
        <w:t>individuals in these positions will meet specified additional qualifications as required</w:t>
      </w:r>
      <w:r w:rsidR="00456CA1">
        <w:rPr>
          <w:bCs/>
        </w:rPr>
        <w:t>:</w:t>
      </w:r>
      <w:r w:rsidR="0067273F">
        <w:rPr>
          <w:bCs/>
        </w:rPr>
        <w:t xml:space="preserve"> Executive Director/Principal, Principal, Assistant Principal, Teachers, Special Education Teachers, School Counselors, Special Education Resource Assistant, General Education Instructional Assistant, Office Manager, Facilities Manager, and I</w:t>
      </w:r>
      <w:r w:rsidR="00456CA1">
        <w:rPr>
          <w:bCs/>
        </w:rPr>
        <w:t xml:space="preserve">nformation </w:t>
      </w:r>
      <w:r w:rsidR="0067273F">
        <w:rPr>
          <w:bCs/>
        </w:rPr>
        <w:t>T</w:t>
      </w:r>
      <w:r w:rsidR="00456CA1">
        <w:rPr>
          <w:bCs/>
        </w:rPr>
        <w:t>echnology</w:t>
      </w:r>
      <w:r w:rsidR="0067273F">
        <w:rPr>
          <w:bCs/>
        </w:rPr>
        <w:t xml:space="preserve"> Support (Attachment 3, </w:t>
      </w:r>
      <w:r w:rsidR="0067273F" w:rsidRPr="0067273F">
        <w:rPr>
          <w:bCs/>
        </w:rPr>
        <w:t>pp</w:t>
      </w:r>
      <w:r w:rsidR="0067273F" w:rsidRPr="00932D4F">
        <w:rPr>
          <w:bCs/>
        </w:rPr>
        <w:t xml:space="preserve">. </w:t>
      </w:r>
      <w:r w:rsidR="00932D4F" w:rsidRPr="00932D4F">
        <w:rPr>
          <w:bCs/>
        </w:rPr>
        <w:t>97</w:t>
      </w:r>
      <w:r w:rsidR="007C4B83">
        <w:rPr>
          <w:bCs/>
        </w:rPr>
        <w:t>–</w:t>
      </w:r>
      <w:r w:rsidR="00932D4F" w:rsidRPr="00932D4F">
        <w:rPr>
          <w:bCs/>
        </w:rPr>
        <w:t>103</w:t>
      </w:r>
      <w:r w:rsidR="0067273F" w:rsidRPr="00932D4F">
        <w:rPr>
          <w:bCs/>
        </w:rPr>
        <w:t>).</w:t>
      </w:r>
    </w:p>
    <w:p w14:paraId="5284D6F6" w14:textId="3EE46CCB" w:rsidR="00DD4F36" w:rsidRPr="009F3455" w:rsidRDefault="00DD4F36" w:rsidP="00BC3718">
      <w:pPr>
        <w:autoSpaceDE w:val="0"/>
        <w:autoSpaceDN w:val="0"/>
        <w:adjustRightInd w:val="0"/>
        <w:spacing w:before="240" w:after="240"/>
        <w:rPr>
          <w:bCs/>
        </w:rPr>
      </w:pPr>
      <w:r w:rsidRPr="0090475C">
        <w:rPr>
          <w:bCs/>
        </w:rPr>
        <w:t xml:space="preserve">The SBE requires all SBE-authorized charter school to comply with </w:t>
      </w:r>
      <w:r w:rsidRPr="000A764A">
        <w:rPr>
          <w:bCs/>
          <w:i/>
        </w:rPr>
        <w:t>EC</w:t>
      </w:r>
      <w:r w:rsidRPr="0090475C">
        <w:rPr>
          <w:bCs/>
        </w:rPr>
        <w:t xml:space="preserve"> Section 47605.6(l) (effective July 1, 2020), which requires teachers in charter schools to hold a Commission on Teacher Credentialing certificate, permit, or other document required for the teacher’s certificated assignment.</w:t>
      </w:r>
    </w:p>
    <w:p w14:paraId="773EFE40" w14:textId="77777777" w:rsidR="005036C8" w:rsidRDefault="005036C8" w:rsidP="007F164F">
      <w:pPr>
        <w:pStyle w:val="Heading3"/>
      </w:pPr>
      <w:r>
        <w:br w:type="page"/>
      </w:r>
      <w:r w:rsidRPr="009F3455">
        <w:lastRenderedPageBreak/>
        <w:t>6. Health and Safety Procedures</w:t>
      </w:r>
    </w:p>
    <w:p w14:paraId="46ACE399" w14:textId="77777777" w:rsidR="005036C8" w:rsidRPr="00D37623" w:rsidRDefault="005036C8" w:rsidP="007F164F">
      <w:pPr>
        <w:jc w:val="center"/>
      </w:pPr>
      <w:r w:rsidRPr="00D37623">
        <w:rPr>
          <w:i/>
        </w:rPr>
        <w:t>EC</w:t>
      </w:r>
      <w:r w:rsidRPr="00D37623">
        <w:t xml:space="preserve"> Section 47605(b)(5)(F)</w:t>
      </w:r>
    </w:p>
    <w:p w14:paraId="71A43248" w14:textId="77777777" w:rsidR="005036C8" w:rsidRPr="00D37623" w:rsidRDefault="005036C8" w:rsidP="007F164F">
      <w:pPr>
        <w:jc w:val="center"/>
      </w:pPr>
      <w:r w:rsidRPr="00D37623">
        <w:t xml:space="preserve">5 </w:t>
      </w:r>
      <w:r w:rsidRPr="00D37623">
        <w:rPr>
          <w:i/>
        </w:rPr>
        <w:t>CCR</w:t>
      </w:r>
      <w:r w:rsidRPr="00D37623">
        <w:t xml:space="preserve"> Section 11967.5.1(f)(6)</w:t>
      </w:r>
    </w:p>
    <w:p w14:paraId="4329DBDB" w14:textId="77777777" w:rsidR="005036C8" w:rsidRPr="00D37623" w:rsidRDefault="005036C8" w:rsidP="007F164F">
      <w:pPr>
        <w:pStyle w:val="Heading4"/>
      </w:pPr>
      <w:r w:rsidRPr="00D37623">
        <w:t>Evaluation Criteria</w:t>
      </w:r>
    </w:p>
    <w:p w14:paraId="37E44962" w14:textId="77777777" w:rsidR="005036C8" w:rsidRDefault="005036C8" w:rsidP="007F164F">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14:paraId="38F2B825"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4BE012DC" w14:textId="77777777" w:rsidR="005E2677" w:rsidRPr="005E2677" w:rsidRDefault="005E2677" w:rsidP="007F164F">
            <w:pPr>
              <w:jc w:val="center"/>
              <w:outlineLvl w:val="7"/>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14:paraId="6E406F17" w14:textId="77777777" w:rsidR="005E2677" w:rsidRPr="005E2677" w:rsidRDefault="005E2677" w:rsidP="007F164F">
            <w:pPr>
              <w:jc w:val="center"/>
              <w:outlineLvl w:val="7"/>
              <w:rPr>
                <w:rFonts w:eastAsia="Times New Roman" w:cs="Times New Roman"/>
              </w:rPr>
            </w:pPr>
            <w:r w:rsidRPr="005E2677">
              <w:rPr>
                <w:rFonts w:eastAsia="Times New Roman" w:cs="Times New Roman"/>
              </w:rPr>
              <w:t>Criteria Met</w:t>
            </w:r>
          </w:p>
        </w:tc>
      </w:tr>
      <w:tr w:rsidR="005E2677" w:rsidRPr="005E2677" w14:paraId="57C3BB19" w14:textId="77777777" w:rsidTr="005E2677">
        <w:trPr>
          <w:cantSplit/>
          <w:trHeight w:val="576"/>
        </w:trPr>
        <w:tc>
          <w:tcPr>
            <w:tcW w:w="7793" w:type="dxa"/>
          </w:tcPr>
          <w:p w14:paraId="528F47C5" w14:textId="77777777" w:rsidR="005E2677" w:rsidRPr="005E2677" w:rsidRDefault="005E2677" w:rsidP="007F164F">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14:paraId="5DC132B9" w14:textId="77777777" w:rsidR="005E2677" w:rsidRPr="005E2677" w:rsidRDefault="005E2677" w:rsidP="007F164F">
            <w:pPr>
              <w:tabs>
                <w:tab w:val="left" w:pos="280"/>
              </w:tabs>
              <w:autoSpaceDE w:val="0"/>
              <w:autoSpaceDN w:val="0"/>
              <w:adjustRightInd w:val="0"/>
              <w:jc w:val="center"/>
              <w:rPr>
                <w:bCs/>
              </w:rPr>
            </w:pPr>
            <w:r w:rsidRPr="005E2677">
              <w:t>Yes</w:t>
            </w:r>
          </w:p>
        </w:tc>
      </w:tr>
      <w:tr w:rsidR="005E2677" w:rsidRPr="005E2677" w14:paraId="03D52791" w14:textId="77777777" w:rsidTr="005E2677">
        <w:trPr>
          <w:cantSplit/>
          <w:trHeight w:val="576"/>
        </w:trPr>
        <w:tc>
          <w:tcPr>
            <w:tcW w:w="7793" w:type="dxa"/>
          </w:tcPr>
          <w:p w14:paraId="0AED8A66" w14:textId="77777777" w:rsidR="005E2677" w:rsidRPr="005E2677" w:rsidRDefault="005E2677" w:rsidP="007F164F">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14:paraId="55E31623" w14:textId="77777777" w:rsidR="005E2677" w:rsidRPr="005E2677" w:rsidRDefault="005E2677" w:rsidP="007F164F">
            <w:pPr>
              <w:autoSpaceDE w:val="0"/>
              <w:autoSpaceDN w:val="0"/>
              <w:adjustRightInd w:val="0"/>
              <w:jc w:val="center"/>
            </w:pPr>
            <w:r w:rsidRPr="005E2677">
              <w:t>Yes</w:t>
            </w:r>
          </w:p>
        </w:tc>
      </w:tr>
      <w:tr w:rsidR="005E2677" w:rsidRPr="005E2677" w14:paraId="0EAABA68" w14:textId="77777777" w:rsidTr="005E2677">
        <w:trPr>
          <w:cantSplit/>
          <w:trHeight w:val="576"/>
        </w:trPr>
        <w:tc>
          <w:tcPr>
            <w:tcW w:w="7793" w:type="dxa"/>
          </w:tcPr>
          <w:p w14:paraId="235B99E7" w14:textId="77777777" w:rsidR="005E2677" w:rsidRPr="005E2677" w:rsidRDefault="005E2677" w:rsidP="007F164F">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14:paraId="0C2BFD8D" w14:textId="77777777" w:rsidR="005E2677" w:rsidRPr="005E2677" w:rsidRDefault="005E2677" w:rsidP="007F164F">
            <w:pPr>
              <w:autoSpaceDE w:val="0"/>
              <w:autoSpaceDN w:val="0"/>
              <w:adjustRightInd w:val="0"/>
              <w:jc w:val="center"/>
            </w:pPr>
            <w:r w:rsidRPr="005E2677">
              <w:t>Yes</w:t>
            </w:r>
          </w:p>
        </w:tc>
      </w:tr>
      <w:tr w:rsidR="005E2677" w:rsidRPr="005E2677" w14:paraId="3121FF2D" w14:textId="77777777" w:rsidTr="005E2677">
        <w:trPr>
          <w:cantSplit/>
          <w:trHeight w:val="576"/>
        </w:trPr>
        <w:tc>
          <w:tcPr>
            <w:tcW w:w="7793" w:type="dxa"/>
          </w:tcPr>
          <w:p w14:paraId="46BDD364" w14:textId="77777777" w:rsidR="005E2677" w:rsidRPr="005E2677" w:rsidRDefault="005E2677" w:rsidP="007F164F">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7B637239" w14:textId="77777777" w:rsidR="005E2677" w:rsidRPr="005E2677" w:rsidRDefault="005E2677" w:rsidP="007F164F">
            <w:pPr>
              <w:autoSpaceDE w:val="0"/>
              <w:autoSpaceDN w:val="0"/>
              <w:adjustRightInd w:val="0"/>
              <w:jc w:val="center"/>
            </w:pPr>
            <w:r w:rsidRPr="005E2677">
              <w:t>Yes</w:t>
            </w:r>
          </w:p>
        </w:tc>
      </w:tr>
    </w:tbl>
    <w:p w14:paraId="00472E9A" w14:textId="77777777" w:rsidR="005036C8" w:rsidRPr="00DA01D1" w:rsidRDefault="005036C8" w:rsidP="007F164F">
      <w:pPr>
        <w:autoSpaceDE w:val="0"/>
        <w:autoSpaceDN w:val="0"/>
        <w:adjustRightInd w:val="0"/>
        <w:spacing w:before="100" w:beforeAutospacing="1" w:after="100" w:afterAutospacing="1"/>
      </w:pPr>
      <w:r>
        <w:rPr>
          <w:b/>
        </w:rPr>
        <w:t>T</w:t>
      </w:r>
      <w:r w:rsidRPr="00DA01D1">
        <w:rPr>
          <w:b/>
        </w:rPr>
        <w:t xml:space="preserve">he petition </w:t>
      </w:r>
      <w:r w:rsidR="00033236">
        <w:rPr>
          <w:b/>
        </w:rPr>
        <w:t xml:space="preserve">does </w:t>
      </w:r>
      <w:r w:rsidRPr="00DA01D1">
        <w:rPr>
          <w:b/>
        </w:rPr>
        <w:t>present a reasonably comprehensive description of health and safety procedures</w:t>
      </w:r>
      <w:r>
        <w:rPr>
          <w:b/>
        </w:rPr>
        <w:t>.</w:t>
      </w:r>
    </w:p>
    <w:p w14:paraId="45D387D6" w14:textId="1F5D194D" w:rsidR="005036C8" w:rsidRPr="009F3455" w:rsidRDefault="005036C8" w:rsidP="007F164F">
      <w:pPr>
        <w:pStyle w:val="Heading4"/>
      </w:pPr>
      <w:r w:rsidRPr="00F7783A">
        <w:t>Comments</w:t>
      </w:r>
    </w:p>
    <w:p w14:paraId="609B835F" w14:textId="5699C3AD" w:rsidR="00C65924" w:rsidRPr="009F3455" w:rsidRDefault="00C65924" w:rsidP="00BC3718">
      <w:pPr>
        <w:autoSpaceDE w:val="0"/>
        <w:autoSpaceDN w:val="0"/>
        <w:adjustRightInd w:val="0"/>
        <w:rPr>
          <w:bCs/>
        </w:rPr>
      </w:pPr>
      <w:r w:rsidRPr="00AC5074">
        <w:rPr>
          <w:bCs/>
        </w:rPr>
        <w:t xml:space="preserve">The TCS petition does present a reasonably comprehensive description of health and safety procedures. The </w:t>
      </w:r>
      <w:r w:rsidR="00456CA1">
        <w:rPr>
          <w:bCs/>
        </w:rPr>
        <w:t xml:space="preserve">TCS </w:t>
      </w:r>
      <w:r w:rsidRPr="00AC5074">
        <w:rPr>
          <w:bCs/>
        </w:rPr>
        <w:t>petition states that</w:t>
      </w:r>
      <w:r w:rsidR="00AC5074">
        <w:rPr>
          <w:bCs/>
        </w:rPr>
        <w:t xml:space="preserve"> in order to provide safety for all </w:t>
      </w:r>
      <w:r w:rsidR="00456CA1">
        <w:rPr>
          <w:bCs/>
        </w:rPr>
        <w:t>pupils</w:t>
      </w:r>
      <w:r w:rsidR="00AC5074">
        <w:rPr>
          <w:bCs/>
        </w:rPr>
        <w:t xml:space="preserve"> an</w:t>
      </w:r>
      <w:r w:rsidR="007C1FF8">
        <w:rPr>
          <w:bCs/>
        </w:rPr>
        <w:t>d</w:t>
      </w:r>
      <w:r w:rsidR="00AC5074">
        <w:rPr>
          <w:bCs/>
        </w:rPr>
        <w:t xml:space="preserve"> staff, TCS will adopt and implement full health and safety policies and procedures and risk management policies at its school site in consultation with its insurance carriers and risk management experts</w:t>
      </w:r>
      <w:r w:rsidR="0050637D">
        <w:rPr>
          <w:bCs/>
        </w:rPr>
        <w:t xml:space="preserve">. Employees and contractors of TCS will be required to submit to a criminal background check and to furnish a criminal summary as required by </w:t>
      </w:r>
      <w:r w:rsidR="0050637D" w:rsidRPr="002C6B60">
        <w:rPr>
          <w:bCs/>
          <w:i/>
        </w:rPr>
        <w:t>EC</w:t>
      </w:r>
      <w:r w:rsidR="0050637D">
        <w:rPr>
          <w:bCs/>
        </w:rPr>
        <w:t xml:space="preserve"> sections 44237 and 45125.1. </w:t>
      </w:r>
      <w:r w:rsidR="007C1FF8">
        <w:rPr>
          <w:bCs/>
        </w:rPr>
        <w:t xml:space="preserve">Volunteers will be required to be fingerprinted and receive background clearance prior to volunteering without the direct supervision of a credentialed employee. </w:t>
      </w:r>
      <w:r w:rsidR="0050637D">
        <w:rPr>
          <w:bCs/>
        </w:rPr>
        <w:t xml:space="preserve">All enrolled pupils will be required to provide records documenting immunizations as required </w:t>
      </w:r>
      <w:r w:rsidR="007C1FF8">
        <w:rPr>
          <w:bCs/>
        </w:rPr>
        <w:t>at publics schools</w:t>
      </w:r>
      <w:r w:rsidRPr="00C65924">
        <w:rPr>
          <w:bCs/>
        </w:rPr>
        <w:t xml:space="preserve"> pursuant to </w:t>
      </w:r>
      <w:r w:rsidRPr="00456CA1">
        <w:rPr>
          <w:bCs/>
          <w:i/>
        </w:rPr>
        <w:t>Health and Safety Code</w:t>
      </w:r>
      <w:r w:rsidRPr="00845D9E">
        <w:rPr>
          <w:bCs/>
        </w:rPr>
        <w:t xml:space="preserve"> </w:t>
      </w:r>
      <w:r w:rsidR="00456CA1">
        <w:rPr>
          <w:bCs/>
        </w:rPr>
        <w:t>s</w:t>
      </w:r>
      <w:r w:rsidRPr="00845D9E">
        <w:rPr>
          <w:bCs/>
        </w:rPr>
        <w:t>ection</w:t>
      </w:r>
      <w:r w:rsidR="00456CA1">
        <w:rPr>
          <w:bCs/>
        </w:rPr>
        <w:t>s</w:t>
      </w:r>
      <w:r w:rsidRPr="00845D9E">
        <w:rPr>
          <w:bCs/>
        </w:rPr>
        <w:t xml:space="preserve"> 120325</w:t>
      </w:r>
      <w:r w:rsidR="00456CA1">
        <w:rPr>
          <w:bCs/>
        </w:rPr>
        <w:t xml:space="preserve"> through 1</w:t>
      </w:r>
      <w:r w:rsidRPr="00845D9E">
        <w:rPr>
          <w:bCs/>
        </w:rPr>
        <w:t xml:space="preserve">20375, and </w:t>
      </w:r>
      <w:r w:rsidRPr="001F6567">
        <w:rPr>
          <w:bCs/>
          <w:i/>
        </w:rPr>
        <w:t>California Code of Regulations</w:t>
      </w:r>
      <w:r w:rsidR="00456CA1" w:rsidRPr="00456CA1">
        <w:rPr>
          <w:bCs/>
        </w:rPr>
        <w:t>,</w:t>
      </w:r>
      <w:r w:rsidR="00456CA1">
        <w:rPr>
          <w:bCs/>
          <w:i/>
        </w:rPr>
        <w:t xml:space="preserve"> </w:t>
      </w:r>
      <w:r w:rsidR="00456CA1" w:rsidRPr="00845D9E">
        <w:rPr>
          <w:bCs/>
        </w:rPr>
        <w:t>Title 17</w:t>
      </w:r>
      <w:r w:rsidRPr="00221BE2">
        <w:rPr>
          <w:bCs/>
        </w:rPr>
        <w:t xml:space="preserve"> </w:t>
      </w:r>
      <w:r w:rsidR="00456CA1">
        <w:rPr>
          <w:bCs/>
        </w:rPr>
        <w:t>s</w:t>
      </w:r>
      <w:r w:rsidRPr="00221BE2">
        <w:rPr>
          <w:bCs/>
        </w:rPr>
        <w:t>ection</w:t>
      </w:r>
      <w:r w:rsidR="00456CA1">
        <w:rPr>
          <w:bCs/>
        </w:rPr>
        <w:t>s</w:t>
      </w:r>
      <w:r w:rsidRPr="00221BE2">
        <w:rPr>
          <w:bCs/>
        </w:rPr>
        <w:t xml:space="preserve"> 6000</w:t>
      </w:r>
      <w:r w:rsidR="00456CA1">
        <w:rPr>
          <w:bCs/>
        </w:rPr>
        <w:t xml:space="preserve"> through </w:t>
      </w:r>
      <w:r w:rsidRPr="00221BE2">
        <w:rPr>
          <w:bCs/>
        </w:rPr>
        <w:t xml:space="preserve">6075. </w:t>
      </w:r>
      <w:r w:rsidR="007C1FF8">
        <w:rPr>
          <w:bCs/>
        </w:rPr>
        <w:t>Additionally, pupils</w:t>
      </w:r>
      <w:r w:rsidR="0050637D">
        <w:rPr>
          <w:bCs/>
        </w:rPr>
        <w:t xml:space="preserve"> will be screened for vision, hearing, and scoliosis to the same extent as would be required if the pupils attended a non-charter public school. </w:t>
      </w:r>
      <w:r>
        <w:rPr>
          <w:bCs/>
        </w:rPr>
        <w:t>The</w:t>
      </w:r>
      <w:r w:rsidR="00456CA1">
        <w:rPr>
          <w:bCs/>
        </w:rPr>
        <w:t xml:space="preserve"> TCS</w:t>
      </w:r>
      <w:r>
        <w:rPr>
          <w:bCs/>
        </w:rPr>
        <w:t xml:space="preserve"> petition states that TCS shall adhere to </w:t>
      </w:r>
      <w:r w:rsidRPr="00CD79C1">
        <w:rPr>
          <w:bCs/>
          <w:i/>
        </w:rPr>
        <w:t>EC</w:t>
      </w:r>
      <w:r>
        <w:rPr>
          <w:bCs/>
        </w:rPr>
        <w:t xml:space="preserve"> Section </w:t>
      </w:r>
      <w:r>
        <w:rPr>
          <w:bCs/>
        </w:rPr>
        <w:lastRenderedPageBreak/>
        <w:t>49450 as applicable to the grade levels served by the school (Attachment 3, pp.</w:t>
      </w:r>
      <w:r w:rsidR="00456CA1">
        <w:rPr>
          <w:bCs/>
        </w:rPr>
        <w:t xml:space="preserve"> </w:t>
      </w:r>
      <w:r>
        <w:rPr>
          <w:bCs/>
        </w:rPr>
        <w:t>104</w:t>
      </w:r>
      <w:r w:rsidR="007C4B83">
        <w:rPr>
          <w:bCs/>
        </w:rPr>
        <w:t>–</w:t>
      </w:r>
      <w:r>
        <w:rPr>
          <w:bCs/>
        </w:rPr>
        <w:t>108).</w:t>
      </w:r>
    </w:p>
    <w:p w14:paraId="39DA10EC" w14:textId="3BD5F75C" w:rsidR="005036C8" w:rsidRDefault="005036C8" w:rsidP="007F164F">
      <w:pPr>
        <w:pStyle w:val="Heading3"/>
      </w:pPr>
      <w:r w:rsidRPr="009C557A">
        <w:br w:type="page"/>
      </w:r>
      <w:r w:rsidRPr="009F3455">
        <w:lastRenderedPageBreak/>
        <w:t>7. Racial and Ethnic Balance</w:t>
      </w:r>
    </w:p>
    <w:p w14:paraId="29E68211" w14:textId="77777777" w:rsidR="005036C8" w:rsidRPr="00D37623" w:rsidRDefault="005036C8" w:rsidP="007F164F">
      <w:pPr>
        <w:autoSpaceDE w:val="0"/>
        <w:autoSpaceDN w:val="0"/>
        <w:adjustRightInd w:val="0"/>
        <w:jc w:val="center"/>
      </w:pPr>
      <w:r w:rsidRPr="00D37623">
        <w:rPr>
          <w:i/>
        </w:rPr>
        <w:t>EC</w:t>
      </w:r>
      <w:r w:rsidRPr="00D37623">
        <w:t xml:space="preserve"> Section 47605(b)(5)(G)</w:t>
      </w:r>
    </w:p>
    <w:p w14:paraId="0B18832C" w14:textId="77777777" w:rsidR="005036C8" w:rsidRPr="00D37623" w:rsidRDefault="005036C8" w:rsidP="007F164F">
      <w:pPr>
        <w:jc w:val="center"/>
      </w:pPr>
      <w:r w:rsidRPr="00D37623">
        <w:t xml:space="preserve">5 </w:t>
      </w:r>
      <w:r w:rsidRPr="00D37623">
        <w:rPr>
          <w:i/>
        </w:rPr>
        <w:t>CCR</w:t>
      </w:r>
      <w:r w:rsidRPr="00D37623">
        <w:t xml:space="preserve"> Section 11967.5.1(f)(7)</w:t>
      </w:r>
    </w:p>
    <w:p w14:paraId="466CDCEA" w14:textId="77777777" w:rsidR="005036C8" w:rsidRPr="009F3455" w:rsidRDefault="005036C8" w:rsidP="007F164F">
      <w:pPr>
        <w:pStyle w:val="Heading4"/>
      </w:pPr>
      <w:r w:rsidRPr="009F3455">
        <w:t>Evaluation Criteria</w:t>
      </w:r>
    </w:p>
    <w:p w14:paraId="5963E41C" w14:textId="77777777" w:rsidR="005036C8" w:rsidRDefault="005036C8" w:rsidP="007F164F">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14:paraId="6832DD9C" w14:textId="50B3BD42" w:rsidR="005036C8" w:rsidRPr="003F14BB" w:rsidRDefault="005036C8" w:rsidP="007F164F">
      <w:pPr>
        <w:spacing w:after="100" w:afterAutospacing="1"/>
      </w:pPr>
      <w:r>
        <w:rPr>
          <w:b/>
        </w:rPr>
        <w:t>T</w:t>
      </w:r>
      <w:r w:rsidRPr="009F3455">
        <w:rPr>
          <w:b/>
        </w:rPr>
        <w:t xml:space="preserve">he petition </w:t>
      </w:r>
      <w:r w:rsidR="005312FC">
        <w:rPr>
          <w:b/>
        </w:rPr>
        <w:t>does</w:t>
      </w:r>
      <w:r w:rsidRPr="005E1390">
        <w:rPr>
          <w:b/>
        </w:rPr>
        <w:t xml:space="preserve"> </w:t>
      </w:r>
      <w:r w:rsidRPr="009F3455">
        <w:rPr>
          <w:b/>
        </w:rPr>
        <w:t xml:space="preserve">present a reasonably comprehensive description of means </w:t>
      </w:r>
      <w:r w:rsidR="001E4B86" w:rsidRPr="009F3455">
        <w:rPr>
          <w:b/>
        </w:rPr>
        <w:t xml:space="preserve">for </w:t>
      </w:r>
      <w:r w:rsidR="001E4B86">
        <w:rPr>
          <w:b/>
        </w:rPr>
        <w:t>achieving</w:t>
      </w:r>
      <w:r w:rsidRPr="009F3455">
        <w:rPr>
          <w:b/>
        </w:rPr>
        <w:t xml:space="preserve"> racial and ethnic balance</w:t>
      </w:r>
      <w:r>
        <w:rPr>
          <w:b/>
        </w:rPr>
        <w:t>.</w:t>
      </w:r>
    </w:p>
    <w:p w14:paraId="026CA8E7" w14:textId="77777777" w:rsidR="005036C8" w:rsidRPr="009F3455" w:rsidRDefault="005036C8" w:rsidP="007F164F">
      <w:pPr>
        <w:pStyle w:val="Heading4"/>
      </w:pPr>
      <w:r>
        <w:t>Comments</w:t>
      </w:r>
    </w:p>
    <w:p w14:paraId="1D9869BB" w14:textId="5ED523A6" w:rsidR="005036C8" w:rsidRPr="009F3455" w:rsidRDefault="005312FC" w:rsidP="00BC3718">
      <w:pPr>
        <w:autoSpaceDE w:val="0"/>
        <w:autoSpaceDN w:val="0"/>
        <w:adjustRightInd w:val="0"/>
        <w:rPr>
          <w:bCs/>
        </w:rPr>
      </w:pPr>
      <w:r>
        <w:rPr>
          <w:bCs/>
        </w:rPr>
        <w:t xml:space="preserve">The </w:t>
      </w:r>
      <w:r w:rsidR="00925FD1">
        <w:rPr>
          <w:bCs/>
        </w:rPr>
        <w:t xml:space="preserve">TCS </w:t>
      </w:r>
      <w:r>
        <w:rPr>
          <w:bCs/>
        </w:rPr>
        <w:t>petition does present a reasonably comprehensive description of the means for achieving racial and ethnic balance. The</w:t>
      </w:r>
      <w:r w:rsidR="00456CA1">
        <w:rPr>
          <w:bCs/>
        </w:rPr>
        <w:t xml:space="preserve"> TCS</w:t>
      </w:r>
      <w:r>
        <w:rPr>
          <w:bCs/>
        </w:rPr>
        <w:t xml:space="preserve"> petition states that </w:t>
      </w:r>
      <w:r w:rsidR="00925FD1">
        <w:rPr>
          <w:bCs/>
        </w:rPr>
        <w:t>TCS</w:t>
      </w:r>
      <w:r>
        <w:rPr>
          <w:bCs/>
        </w:rPr>
        <w:t xml:space="preserve"> will strive to </w:t>
      </w:r>
      <w:r w:rsidR="00E10255">
        <w:rPr>
          <w:bCs/>
        </w:rPr>
        <w:t>reflect the current community demographics as described in Element 1</w:t>
      </w:r>
      <w:r w:rsidR="00456CA1">
        <w:rPr>
          <w:bCs/>
        </w:rPr>
        <w:t>–Description of Educational Program</w:t>
      </w:r>
      <w:r w:rsidR="00E10255">
        <w:rPr>
          <w:bCs/>
        </w:rPr>
        <w:t xml:space="preserve"> and to achieve racial and ethnic balance among its </w:t>
      </w:r>
      <w:r w:rsidR="0093351B">
        <w:rPr>
          <w:bCs/>
        </w:rPr>
        <w:t>pupils that</w:t>
      </w:r>
      <w:r w:rsidR="00E10255">
        <w:rPr>
          <w:bCs/>
        </w:rPr>
        <w:t xml:space="preserve"> is reflective of the general population of MUSD.</w:t>
      </w:r>
      <w:r w:rsidR="0012118E">
        <w:rPr>
          <w:bCs/>
        </w:rPr>
        <w:t xml:space="preserve"> </w:t>
      </w:r>
      <w:r w:rsidR="00E10255">
        <w:rPr>
          <w:bCs/>
        </w:rPr>
        <w:t xml:space="preserve">TCS will review its overall efforts annually and direct staff </w:t>
      </w:r>
      <w:r w:rsidR="00B27D09">
        <w:rPr>
          <w:bCs/>
        </w:rPr>
        <w:t>to</w:t>
      </w:r>
      <w:r w:rsidR="00E10255">
        <w:rPr>
          <w:bCs/>
        </w:rPr>
        <w:t xml:space="preserve"> broaden outreach efforts as needed </w:t>
      </w:r>
      <w:r>
        <w:rPr>
          <w:bCs/>
        </w:rPr>
        <w:t>(</w:t>
      </w:r>
      <w:r w:rsidRPr="00932D4F">
        <w:rPr>
          <w:bCs/>
        </w:rPr>
        <w:t>Attachment 3, p</w:t>
      </w:r>
      <w:r w:rsidR="00932D4F" w:rsidRPr="00932D4F">
        <w:rPr>
          <w:bCs/>
        </w:rPr>
        <w:t>p</w:t>
      </w:r>
      <w:r w:rsidRPr="00932D4F">
        <w:rPr>
          <w:bCs/>
        </w:rPr>
        <w:t xml:space="preserve">. </w:t>
      </w:r>
      <w:r w:rsidR="00932D4F" w:rsidRPr="00932D4F">
        <w:rPr>
          <w:bCs/>
        </w:rPr>
        <w:t>109</w:t>
      </w:r>
      <w:r w:rsidR="007C4B83">
        <w:rPr>
          <w:bCs/>
        </w:rPr>
        <w:t>–</w:t>
      </w:r>
      <w:r w:rsidR="00932D4F" w:rsidRPr="00932D4F">
        <w:rPr>
          <w:bCs/>
        </w:rPr>
        <w:t>110</w:t>
      </w:r>
      <w:r w:rsidR="007C51F5" w:rsidRPr="00932D4F">
        <w:rPr>
          <w:bCs/>
        </w:rPr>
        <w:t>)</w:t>
      </w:r>
      <w:r w:rsidRPr="00932D4F">
        <w:rPr>
          <w:bCs/>
        </w:rPr>
        <w:t>.</w:t>
      </w:r>
    </w:p>
    <w:p w14:paraId="7B1CED2B" w14:textId="77777777" w:rsidR="005036C8" w:rsidRDefault="005036C8" w:rsidP="007F164F">
      <w:pPr>
        <w:pStyle w:val="Heading3"/>
      </w:pPr>
      <w:r>
        <w:br w:type="page"/>
      </w:r>
      <w:r w:rsidRPr="009F3455">
        <w:lastRenderedPageBreak/>
        <w:t>8. Admission Requirements, If Applicable</w:t>
      </w:r>
    </w:p>
    <w:p w14:paraId="1FC39158" w14:textId="77777777" w:rsidR="005036C8" w:rsidRPr="008430D5" w:rsidRDefault="005036C8" w:rsidP="007F164F">
      <w:pPr>
        <w:autoSpaceDE w:val="0"/>
        <w:autoSpaceDN w:val="0"/>
        <w:adjustRightInd w:val="0"/>
        <w:jc w:val="center"/>
      </w:pPr>
      <w:r w:rsidRPr="008430D5">
        <w:rPr>
          <w:i/>
        </w:rPr>
        <w:t>EC</w:t>
      </w:r>
      <w:r w:rsidRPr="008430D5">
        <w:t xml:space="preserve"> Section 47605(b)(5)(H)</w:t>
      </w:r>
    </w:p>
    <w:p w14:paraId="2CABA739" w14:textId="77777777" w:rsidR="005036C8" w:rsidRPr="008430D5" w:rsidRDefault="005036C8" w:rsidP="007F164F">
      <w:pPr>
        <w:autoSpaceDE w:val="0"/>
        <w:autoSpaceDN w:val="0"/>
        <w:adjustRightInd w:val="0"/>
        <w:jc w:val="center"/>
      </w:pPr>
      <w:r w:rsidRPr="008430D5">
        <w:t xml:space="preserve">5 </w:t>
      </w:r>
      <w:r w:rsidRPr="008430D5">
        <w:rPr>
          <w:i/>
        </w:rPr>
        <w:t>CCR</w:t>
      </w:r>
      <w:r w:rsidRPr="008430D5">
        <w:t xml:space="preserve"> Section 11967.5.1(f)(8)</w:t>
      </w:r>
    </w:p>
    <w:p w14:paraId="503B0FC5" w14:textId="77777777" w:rsidR="005036C8" w:rsidRPr="009F3455" w:rsidRDefault="005036C8" w:rsidP="007F164F">
      <w:pPr>
        <w:pStyle w:val="Heading4"/>
      </w:pPr>
      <w:r w:rsidRPr="009F3455">
        <w:t>Evaluation Criteria</w:t>
      </w:r>
    </w:p>
    <w:p w14:paraId="04D8DF26" w14:textId="77777777" w:rsidR="005036C8" w:rsidRDefault="005036C8" w:rsidP="007F164F">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w:t>
      </w:r>
      <w:proofErr w:type="gramStart"/>
      <w:r w:rsidRPr="009F3455">
        <w:t>be in compliance with</w:t>
      </w:r>
      <w:proofErr w:type="gramEnd"/>
      <w:r w:rsidRPr="009F3455">
        <w:t xml:space="preserve"> the requirements of </w:t>
      </w:r>
      <w:r w:rsidRPr="009F3455">
        <w:rPr>
          <w:i/>
        </w:rPr>
        <w:t>EC</w:t>
      </w:r>
      <w:r w:rsidRPr="009F3455">
        <w:t xml:space="preserve"> Section 47605(d)</w:t>
      </w:r>
      <w:r>
        <w:t>(2)(B)</w:t>
      </w:r>
      <w:r w:rsidRPr="009F3455">
        <w:t xml:space="preserve"> and any other applicable provision of law.</w:t>
      </w:r>
    </w:p>
    <w:p w14:paraId="0EF55B79" w14:textId="77777777" w:rsidR="005036C8" w:rsidRDefault="005036C8" w:rsidP="007F164F">
      <w:pPr>
        <w:autoSpaceDE w:val="0"/>
        <w:autoSpaceDN w:val="0"/>
        <w:adjustRightInd w:val="0"/>
        <w:spacing w:after="100" w:afterAutospacing="1"/>
        <w:rPr>
          <w:b/>
        </w:rPr>
      </w:pPr>
      <w:r>
        <w:rPr>
          <w:b/>
        </w:rPr>
        <w:t>T</w:t>
      </w:r>
      <w:r w:rsidRPr="009F3455">
        <w:rPr>
          <w:b/>
        </w:rPr>
        <w:t xml:space="preserve">he petition </w:t>
      </w:r>
      <w:r w:rsidR="007C51F5">
        <w:rPr>
          <w:b/>
        </w:rPr>
        <w:t>does</w:t>
      </w:r>
      <w:r w:rsidRPr="005E1390">
        <w:rPr>
          <w:b/>
        </w:rPr>
        <w:t xml:space="preserve"> </w:t>
      </w:r>
      <w:r w:rsidRPr="009F3455">
        <w:rPr>
          <w:b/>
        </w:rPr>
        <w:t>present a reasonably comprehensive description of admission requirements</w:t>
      </w:r>
      <w:r>
        <w:rPr>
          <w:b/>
        </w:rPr>
        <w:t>.</w:t>
      </w:r>
    </w:p>
    <w:p w14:paraId="75C2D9F1" w14:textId="77777777" w:rsidR="005036C8" w:rsidRPr="009F3455" w:rsidRDefault="005036C8" w:rsidP="007F164F">
      <w:pPr>
        <w:pStyle w:val="Heading4"/>
      </w:pPr>
      <w:r>
        <w:t>Comments</w:t>
      </w:r>
    </w:p>
    <w:p w14:paraId="4F2FDA1A" w14:textId="729A3771" w:rsidR="005036C8" w:rsidRPr="00AB0896" w:rsidRDefault="007C51F5" w:rsidP="00BC3718">
      <w:pPr>
        <w:autoSpaceDE w:val="0"/>
        <w:autoSpaceDN w:val="0"/>
        <w:adjustRightInd w:val="0"/>
        <w:spacing w:after="100" w:afterAutospacing="1"/>
        <w:rPr>
          <w:bCs/>
        </w:rPr>
      </w:pPr>
      <w:r w:rsidRPr="00AB0896">
        <w:rPr>
          <w:bCs/>
        </w:rPr>
        <w:t xml:space="preserve">The </w:t>
      </w:r>
      <w:r w:rsidR="00716515" w:rsidRPr="00AB0896">
        <w:rPr>
          <w:bCs/>
        </w:rPr>
        <w:t xml:space="preserve">TCS </w:t>
      </w:r>
      <w:r w:rsidRPr="00AB0896">
        <w:rPr>
          <w:bCs/>
        </w:rPr>
        <w:t xml:space="preserve">petition does present a reasonably comprehensive description of admission </w:t>
      </w:r>
      <w:r w:rsidRPr="00E102FF">
        <w:rPr>
          <w:bCs/>
        </w:rPr>
        <w:t xml:space="preserve">requirements. </w:t>
      </w:r>
      <w:r w:rsidR="0012118E">
        <w:rPr>
          <w:bCs/>
        </w:rPr>
        <w:t xml:space="preserve">TCS has identified the school’s target audience to be underserved Latino </w:t>
      </w:r>
      <w:r w:rsidR="0093351B">
        <w:rPr>
          <w:bCs/>
        </w:rPr>
        <w:t>pupils.</w:t>
      </w:r>
      <w:r w:rsidR="0012118E">
        <w:rPr>
          <w:bCs/>
        </w:rPr>
        <w:t xml:space="preserve"> </w:t>
      </w:r>
      <w:r w:rsidRPr="00E102FF">
        <w:rPr>
          <w:bCs/>
        </w:rPr>
        <w:t xml:space="preserve">The </w:t>
      </w:r>
      <w:r w:rsidR="001158E8">
        <w:rPr>
          <w:bCs/>
        </w:rPr>
        <w:t xml:space="preserve">TCS </w:t>
      </w:r>
      <w:r w:rsidRPr="00E102FF">
        <w:rPr>
          <w:bCs/>
        </w:rPr>
        <w:t xml:space="preserve">petition states that if the number of pupils who wish to attend </w:t>
      </w:r>
      <w:r w:rsidR="00716515" w:rsidRPr="00E102FF">
        <w:rPr>
          <w:bCs/>
        </w:rPr>
        <w:t xml:space="preserve">TCS </w:t>
      </w:r>
      <w:r w:rsidRPr="00E102FF">
        <w:rPr>
          <w:bCs/>
        </w:rPr>
        <w:t>exceeds its capacity</w:t>
      </w:r>
      <w:r w:rsidR="00615BE2" w:rsidRPr="00E102FF">
        <w:rPr>
          <w:bCs/>
        </w:rPr>
        <w:t xml:space="preserve"> and attendance</w:t>
      </w:r>
      <w:r w:rsidRPr="00E102FF">
        <w:rPr>
          <w:bCs/>
        </w:rPr>
        <w:t xml:space="preserve">, </w:t>
      </w:r>
      <w:r w:rsidR="0012118E">
        <w:rPr>
          <w:bCs/>
        </w:rPr>
        <w:t>TCS will hold</w:t>
      </w:r>
      <w:r w:rsidRPr="00E102FF">
        <w:rPr>
          <w:bCs/>
        </w:rPr>
        <w:t xml:space="preserve"> a public random drawing to determine admission for each impacted grade level with the exception of existing pupils, who are guaranteed admission in the following year. In accordance with </w:t>
      </w:r>
      <w:r w:rsidRPr="00E102FF">
        <w:rPr>
          <w:bCs/>
          <w:i/>
        </w:rPr>
        <w:t>EC</w:t>
      </w:r>
      <w:r w:rsidRPr="00E102FF">
        <w:rPr>
          <w:bCs/>
        </w:rPr>
        <w:t xml:space="preserve"> Section 47605(d)(2), </w:t>
      </w:r>
      <w:r w:rsidR="00716515" w:rsidRPr="00E102FF">
        <w:rPr>
          <w:bCs/>
        </w:rPr>
        <w:t>TCS</w:t>
      </w:r>
      <w:r w:rsidRPr="00E102FF">
        <w:rPr>
          <w:bCs/>
        </w:rPr>
        <w:t xml:space="preserve"> shall offer admiss</w:t>
      </w:r>
      <w:r w:rsidR="004268B0" w:rsidRPr="00E102FF">
        <w:rPr>
          <w:bCs/>
        </w:rPr>
        <w:t>ion preferences</w:t>
      </w:r>
      <w:r w:rsidRPr="00E102FF">
        <w:rPr>
          <w:bCs/>
        </w:rPr>
        <w:t xml:space="preserve"> in the following order:</w:t>
      </w:r>
    </w:p>
    <w:p w14:paraId="6EFCD8DD" w14:textId="4C507675" w:rsidR="00E710E0" w:rsidRPr="00E710E0" w:rsidRDefault="006543A6" w:rsidP="00BC3718">
      <w:pPr>
        <w:pStyle w:val="ListParagraph"/>
        <w:numPr>
          <w:ilvl w:val="0"/>
          <w:numId w:val="25"/>
        </w:numPr>
        <w:autoSpaceDE w:val="0"/>
        <w:autoSpaceDN w:val="0"/>
        <w:adjustRightInd w:val="0"/>
        <w:spacing w:after="240"/>
        <w:rPr>
          <w:bCs/>
        </w:rPr>
      </w:pPr>
      <w:r>
        <w:rPr>
          <w:bCs/>
        </w:rPr>
        <w:t xml:space="preserve">Siblings of currently </w:t>
      </w:r>
      <w:r w:rsidR="005604D7">
        <w:rPr>
          <w:bCs/>
        </w:rPr>
        <w:t>enrolled students, and s</w:t>
      </w:r>
      <w:r w:rsidR="007C51F5" w:rsidRPr="00E710E0">
        <w:rPr>
          <w:bCs/>
        </w:rPr>
        <w:t xml:space="preserve">iblings of </w:t>
      </w:r>
      <w:r w:rsidR="0093351B">
        <w:rPr>
          <w:bCs/>
        </w:rPr>
        <w:t xml:space="preserve">pupils </w:t>
      </w:r>
      <w:r w:rsidR="0093351B" w:rsidRPr="00E710E0">
        <w:rPr>
          <w:bCs/>
        </w:rPr>
        <w:t>whose</w:t>
      </w:r>
      <w:r w:rsidR="00E710E0" w:rsidRPr="00E710E0">
        <w:rPr>
          <w:bCs/>
        </w:rPr>
        <w:t xml:space="preserve"> names are drawn in the lottery process</w:t>
      </w:r>
    </w:p>
    <w:p w14:paraId="5CE5F9DC" w14:textId="1FB17B76" w:rsidR="00E710E0" w:rsidRPr="00E710E0" w:rsidRDefault="0093351B" w:rsidP="00BC3718">
      <w:pPr>
        <w:pStyle w:val="ListParagraph"/>
        <w:numPr>
          <w:ilvl w:val="0"/>
          <w:numId w:val="25"/>
        </w:numPr>
        <w:autoSpaceDE w:val="0"/>
        <w:autoSpaceDN w:val="0"/>
        <w:adjustRightInd w:val="0"/>
        <w:spacing w:after="240"/>
        <w:rPr>
          <w:bCs/>
        </w:rPr>
      </w:pPr>
      <w:r>
        <w:rPr>
          <w:bCs/>
        </w:rPr>
        <w:t xml:space="preserve">Pupils </w:t>
      </w:r>
      <w:r w:rsidRPr="00E710E0">
        <w:rPr>
          <w:bCs/>
        </w:rPr>
        <w:t>residing</w:t>
      </w:r>
      <w:r w:rsidR="00E710E0" w:rsidRPr="00E710E0">
        <w:rPr>
          <w:bCs/>
        </w:rPr>
        <w:t xml:space="preserve"> in the attendance are</w:t>
      </w:r>
      <w:r w:rsidR="0012118E">
        <w:rPr>
          <w:bCs/>
        </w:rPr>
        <w:t>a</w:t>
      </w:r>
      <w:r w:rsidR="00E710E0" w:rsidRPr="00E710E0">
        <w:rPr>
          <w:bCs/>
        </w:rPr>
        <w:t xml:space="preserve"> of MUSD</w:t>
      </w:r>
    </w:p>
    <w:p w14:paraId="13394D20" w14:textId="182BECA0" w:rsidR="007C51F5" w:rsidRDefault="007C51F5" w:rsidP="00BC3718">
      <w:pPr>
        <w:pStyle w:val="ListParagraph"/>
        <w:numPr>
          <w:ilvl w:val="0"/>
          <w:numId w:val="25"/>
        </w:numPr>
        <w:autoSpaceDE w:val="0"/>
        <w:autoSpaceDN w:val="0"/>
        <w:adjustRightInd w:val="0"/>
        <w:spacing w:after="240"/>
        <w:rPr>
          <w:bCs/>
        </w:rPr>
      </w:pPr>
      <w:r w:rsidRPr="00AB0896">
        <w:rPr>
          <w:bCs/>
        </w:rPr>
        <w:t xml:space="preserve">Children of </w:t>
      </w:r>
      <w:r w:rsidR="00AB0896" w:rsidRPr="00AB0896">
        <w:rPr>
          <w:bCs/>
        </w:rPr>
        <w:t xml:space="preserve">board members, </w:t>
      </w:r>
      <w:r w:rsidRPr="00AB0896">
        <w:rPr>
          <w:bCs/>
        </w:rPr>
        <w:t xml:space="preserve">teachers and staff currently employed at </w:t>
      </w:r>
      <w:r w:rsidR="00716515" w:rsidRPr="00AB0896">
        <w:rPr>
          <w:bCs/>
        </w:rPr>
        <w:t xml:space="preserve">TCS </w:t>
      </w:r>
      <w:r w:rsidRPr="00AB0896">
        <w:rPr>
          <w:bCs/>
        </w:rPr>
        <w:t>(not to exceed 10 percent of enrollment)</w:t>
      </w:r>
    </w:p>
    <w:p w14:paraId="47F29BBF" w14:textId="295602F2" w:rsidR="00E710E0" w:rsidRPr="00AB0896" w:rsidRDefault="00E710E0" w:rsidP="00BC3718">
      <w:pPr>
        <w:pStyle w:val="ListParagraph"/>
        <w:numPr>
          <w:ilvl w:val="0"/>
          <w:numId w:val="25"/>
        </w:numPr>
        <w:autoSpaceDE w:val="0"/>
        <w:autoSpaceDN w:val="0"/>
        <w:adjustRightInd w:val="0"/>
        <w:spacing w:after="240"/>
        <w:rPr>
          <w:bCs/>
        </w:rPr>
      </w:pPr>
      <w:r>
        <w:rPr>
          <w:bCs/>
        </w:rPr>
        <w:t xml:space="preserve">All other eligible applicants to the extent there </w:t>
      </w:r>
      <w:proofErr w:type="gramStart"/>
      <w:r w:rsidR="00664484">
        <w:rPr>
          <w:bCs/>
        </w:rPr>
        <w:t>is</w:t>
      </w:r>
      <w:proofErr w:type="gramEnd"/>
      <w:r>
        <w:rPr>
          <w:bCs/>
        </w:rPr>
        <w:t xml:space="preserve"> capaci</w:t>
      </w:r>
      <w:r w:rsidR="00BD7C14">
        <w:rPr>
          <w:bCs/>
        </w:rPr>
        <w:t>ty</w:t>
      </w:r>
    </w:p>
    <w:p w14:paraId="4BA6D3FA" w14:textId="2BC9373D" w:rsidR="00615BE2" w:rsidRDefault="0012118E" w:rsidP="00BC3718">
      <w:pPr>
        <w:autoSpaceDE w:val="0"/>
        <w:autoSpaceDN w:val="0"/>
        <w:adjustRightInd w:val="0"/>
        <w:spacing w:after="240"/>
        <w:rPr>
          <w:bCs/>
        </w:rPr>
      </w:pPr>
      <w:r>
        <w:rPr>
          <w:bCs/>
        </w:rPr>
        <w:t xml:space="preserve">The </w:t>
      </w:r>
      <w:r w:rsidR="001158E8">
        <w:rPr>
          <w:bCs/>
        </w:rPr>
        <w:t xml:space="preserve">TCS </w:t>
      </w:r>
      <w:r>
        <w:rPr>
          <w:bCs/>
        </w:rPr>
        <w:t>petition states that no</w:t>
      </w:r>
      <w:r w:rsidR="00E102FF">
        <w:rPr>
          <w:bCs/>
        </w:rPr>
        <w:t xml:space="preserve"> test or assessment shall be administered to </w:t>
      </w:r>
      <w:r w:rsidR="0093351B">
        <w:rPr>
          <w:bCs/>
        </w:rPr>
        <w:t>pupils prior</w:t>
      </w:r>
      <w:r w:rsidR="00E102FF">
        <w:rPr>
          <w:bCs/>
        </w:rPr>
        <w:t xml:space="preserve"> to acceptance </w:t>
      </w:r>
      <w:r w:rsidR="00B27D09">
        <w:rPr>
          <w:bCs/>
        </w:rPr>
        <w:t>and</w:t>
      </w:r>
      <w:r w:rsidR="00E102FF">
        <w:rPr>
          <w:bCs/>
        </w:rPr>
        <w:t xml:space="preserve"> </w:t>
      </w:r>
      <w:r w:rsidR="00B27D09">
        <w:rPr>
          <w:bCs/>
        </w:rPr>
        <w:t>enrollment</w:t>
      </w:r>
      <w:r w:rsidR="00E102FF">
        <w:rPr>
          <w:bCs/>
        </w:rPr>
        <w:t>.</w:t>
      </w:r>
      <w:r>
        <w:rPr>
          <w:bCs/>
        </w:rPr>
        <w:t xml:space="preserve"> Additionally, </w:t>
      </w:r>
      <w:r w:rsidR="000A0D87">
        <w:rPr>
          <w:bCs/>
        </w:rPr>
        <w:t>a</w:t>
      </w:r>
      <w:r w:rsidR="00E102FF">
        <w:rPr>
          <w:bCs/>
        </w:rPr>
        <w:t>dmission, except in the case of a public random drawing, shall not be determined by the place of residence of the pupil or parent or legal guardian within the state of California</w:t>
      </w:r>
      <w:r w:rsidR="000A0D87">
        <w:rPr>
          <w:bCs/>
        </w:rPr>
        <w:t xml:space="preserve"> </w:t>
      </w:r>
      <w:r w:rsidR="00615BE2" w:rsidRPr="00AB0896">
        <w:rPr>
          <w:bCs/>
        </w:rPr>
        <w:t>(Attachment 3,</w:t>
      </w:r>
      <w:r w:rsidR="00615BE2">
        <w:rPr>
          <w:bCs/>
        </w:rPr>
        <w:t xml:space="preserve"> </w:t>
      </w:r>
      <w:r w:rsidR="00615BE2" w:rsidRPr="0030189C">
        <w:rPr>
          <w:bCs/>
        </w:rPr>
        <w:t xml:space="preserve">pp. </w:t>
      </w:r>
      <w:r w:rsidR="00615BE2" w:rsidRPr="00932D4F">
        <w:rPr>
          <w:bCs/>
        </w:rPr>
        <w:t>1</w:t>
      </w:r>
      <w:r w:rsidR="00932D4F" w:rsidRPr="00932D4F">
        <w:rPr>
          <w:bCs/>
        </w:rPr>
        <w:t>11</w:t>
      </w:r>
      <w:r w:rsidR="007C4B83">
        <w:rPr>
          <w:bCs/>
        </w:rPr>
        <w:t>–</w:t>
      </w:r>
      <w:r w:rsidR="00932D4F" w:rsidRPr="00932D4F">
        <w:rPr>
          <w:bCs/>
        </w:rPr>
        <w:t>113</w:t>
      </w:r>
      <w:r w:rsidR="00615BE2" w:rsidRPr="00932D4F">
        <w:rPr>
          <w:bCs/>
        </w:rPr>
        <w:t>).</w:t>
      </w:r>
    </w:p>
    <w:p w14:paraId="5A45DDAB" w14:textId="78AFB2DB" w:rsidR="000A0D87" w:rsidRDefault="000A0D87" w:rsidP="00BC3718">
      <w:pPr>
        <w:autoSpaceDE w:val="0"/>
        <w:autoSpaceDN w:val="0"/>
        <w:adjustRightInd w:val="0"/>
        <w:spacing w:after="240"/>
        <w:rPr>
          <w:bCs/>
        </w:rPr>
      </w:pPr>
      <w:r>
        <w:rPr>
          <w:bCs/>
        </w:rPr>
        <w:t xml:space="preserve">The SBE has the discretion to approve the proposed </w:t>
      </w:r>
      <w:r w:rsidR="001158E8">
        <w:rPr>
          <w:bCs/>
        </w:rPr>
        <w:t xml:space="preserve">admission </w:t>
      </w:r>
      <w:r>
        <w:rPr>
          <w:bCs/>
        </w:rPr>
        <w:t>preferences in the TCS petition at a public hearing.</w:t>
      </w:r>
    </w:p>
    <w:p w14:paraId="5A1EF88F" w14:textId="77777777" w:rsidR="005036C8" w:rsidRPr="009F3455" w:rsidRDefault="005036C8" w:rsidP="007F164F">
      <w:pPr>
        <w:pStyle w:val="Heading3"/>
      </w:pPr>
      <w:r>
        <w:rPr>
          <w:bCs/>
        </w:rPr>
        <w:br w:type="page"/>
      </w:r>
      <w:r w:rsidRPr="009F3455">
        <w:lastRenderedPageBreak/>
        <w:t>9. Annual Independent Financial Audits</w:t>
      </w:r>
    </w:p>
    <w:p w14:paraId="71325E83" w14:textId="77777777" w:rsidR="005036C8" w:rsidRPr="008430D5" w:rsidRDefault="005036C8" w:rsidP="007F164F">
      <w:pPr>
        <w:autoSpaceDE w:val="0"/>
        <w:autoSpaceDN w:val="0"/>
        <w:adjustRightInd w:val="0"/>
        <w:jc w:val="center"/>
      </w:pPr>
      <w:r w:rsidRPr="008430D5">
        <w:rPr>
          <w:i/>
        </w:rPr>
        <w:t>EC</w:t>
      </w:r>
      <w:r w:rsidRPr="008430D5">
        <w:t xml:space="preserve"> Section 47605(b)(5)(I)</w:t>
      </w:r>
    </w:p>
    <w:p w14:paraId="3460BC41" w14:textId="77777777" w:rsidR="005036C8" w:rsidRPr="008430D5" w:rsidRDefault="005036C8" w:rsidP="007F164F">
      <w:pPr>
        <w:autoSpaceDE w:val="0"/>
        <w:autoSpaceDN w:val="0"/>
        <w:adjustRightInd w:val="0"/>
        <w:jc w:val="center"/>
      </w:pPr>
      <w:r w:rsidRPr="008430D5">
        <w:t xml:space="preserve">5 </w:t>
      </w:r>
      <w:r w:rsidRPr="008430D5">
        <w:rPr>
          <w:i/>
        </w:rPr>
        <w:t>CCR</w:t>
      </w:r>
      <w:r w:rsidRPr="008430D5">
        <w:t xml:space="preserve"> Section 11967.5.1(f)(9)</w:t>
      </w:r>
    </w:p>
    <w:p w14:paraId="7E22DC68" w14:textId="34445D40" w:rsidR="005036C8" w:rsidRPr="008430D5" w:rsidRDefault="005036C8" w:rsidP="007F164F">
      <w:pPr>
        <w:pStyle w:val="Heading4"/>
      </w:pPr>
      <w:r w:rsidRPr="008430D5">
        <w:t>Evaluation Criteria</w:t>
      </w:r>
    </w:p>
    <w:p w14:paraId="1A6E76F9" w14:textId="77777777" w:rsidR="005036C8" w:rsidRDefault="005036C8" w:rsidP="007F164F">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14:paraId="3DC497B7"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1AD6E53B" w14:textId="77777777" w:rsidR="005E2677" w:rsidRPr="005E2677" w:rsidRDefault="005E2677" w:rsidP="007F164F">
            <w:pPr>
              <w:jc w:val="center"/>
              <w:outlineLvl w:val="7"/>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14:paraId="4124D9CE" w14:textId="77777777" w:rsidR="005E2677" w:rsidRPr="005E2677" w:rsidRDefault="005E2677" w:rsidP="007F164F">
            <w:pPr>
              <w:jc w:val="center"/>
              <w:outlineLvl w:val="7"/>
              <w:rPr>
                <w:rFonts w:eastAsia="Times New Roman" w:cs="Times New Roman"/>
              </w:rPr>
            </w:pPr>
            <w:r w:rsidRPr="005E2677">
              <w:rPr>
                <w:rFonts w:eastAsia="Times New Roman" w:cs="Times New Roman"/>
              </w:rPr>
              <w:t>Criteria Met</w:t>
            </w:r>
          </w:p>
        </w:tc>
      </w:tr>
      <w:tr w:rsidR="005E2677" w:rsidRPr="005E2677" w14:paraId="353C2327" w14:textId="77777777" w:rsidTr="005E2677">
        <w:trPr>
          <w:cantSplit/>
          <w:trHeight w:val="576"/>
        </w:trPr>
        <w:tc>
          <w:tcPr>
            <w:tcW w:w="7696" w:type="dxa"/>
          </w:tcPr>
          <w:p w14:paraId="39FD2631" w14:textId="77777777" w:rsidR="005E2677" w:rsidRPr="005E2677" w:rsidRDefault="005E2677" w:rsidP="007F164F">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14:paraId="3FAEF00E" w14:textId="5D7947A2" w:rsidR="005E2677" w:rsidRPr="005E2677" w:rsidRDefault="00716515" w:rsidP="007F164F">
            <w:pPr>
              <w:tabs>
                <w:tab w:val="left" w:pos="280"/>
              </w:tabs>
              <w:autoSpaceDE w:val="0"/>
              <w:autoSpaceDN w:val="0"/>
              <w:adjustRightInd w:val="0"/>
              <w:jc w:val="center"/>
              <w:rPr>
                <w:bCs/>
              </w:rPr>
            </w:pPr>
            <w:r>
              <w:rPr>
                <w:bCs/>
              </w:rPr>
              <w:t>Yes</w:t>
            </w:r>
          </w:p>
        </w:tc>
      </w:tr>
      <w:tr w:rsidR="005E2677" w:rsidRPr="005E2677" w14:paraId="4ADF02D6" w14:textId="77777777" w:rsidTr="005E2677">
        <w:trPr>
          <w:cantSplit/>
          <w:trHeight w:val="576"/>
        </w:trPr>
        <w:tc>
          <w:tcPr>
            <w:tcW w:w="7696" w:type="dxa"/>
          </w:tcPr>
          <w:p w14:paraId="5F1D4F61" w14:textId="77777777" w:rsidR="005E2677" w:rsidRPr="005E2677" w:rsidRDefault="005E2677" w:rsidP="007F164F">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14:paraId="027B2FA2" w14:textId="77777777" w:rsidR="005E2677" w:rsidRPr="005E2677" w:rsidRDefault="005E2677" w:rsidP="007F164F">
            <w:pPr>
              <w:autoSpaceDE w:val="0"/>
              <w:autoSpaceDN w:val="0"/>
              <w:adjustRightInd w:val="0"/>
              <w:jc w:val="center"/>
            </w:pPr>
            <w:r w:rsidRPr="005E2677">
              <w:t>Yes</w:t>
            </w:r>
          </w:p>
        </w:tc>
      </w:tr>
      <w:tr w:rsidR="005E2677" w:rsidRPr="005E2677" w14:paraId="30E4BA27" w14:textId="77777777" w:rsidTr="005E2677">
        <w:trPr>
          <w:cantSplit/>
          <w:trHeight w:val="576"/>
        </w:trPr>
        <w:tc>
          <w:tcPr>
            <w:tcW w:w="7696" w:type="dxa"/>
          </w:tcPr>
          <w:p w14:paraId="687CB34B" w14:textId="77777777" w:rsidR="005E2677" w:rsidRPr="005E2677" w:rsidRDefault="005E2677" w:rsidP="007F164F">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14:paraId="12F73624" w14:textId="77777777" w:rsidR="005E2677" w:rsidRPr="005E2677" w:rsidRDefault="005E2677" w:rsidP="007F164F">
            <w:pPr>
              <w:autoSpaceDE w:val="0"/>
              <w:autoSpaceDN w:val="0"/>
              <w:adjustRightInd w:val="0"/>
              <w:jc w:val="center"/>
            </w:pPr>
            <w:r w:rsidRPr="005E2677">
              <w:t>Yes</w:t>
            </w:r>
          </w:p>
        </w:tc>
      </w:tr>
      <w:tr w:rsidR="005E2677" w:rsidRPr="005E2677" w14:paraId="369CC61B" w14:textId="77777777" w:rsidTr="005E2677">
        <w:trPr>
          <w:cantSplit/>
          <w:trHeight w:val="576"/>
        </w:trPr>
        <w:tc>
          <w:tcPr>
            <w:tcW w:w="7696" w:type="dxa"/>
          </w:tcPr>
          <w:p w14:paraId="51C6310D" w14:textId="77777777" w:rsidR="005E2677" w:rsidRPr="005E2677" w:rsidRDefault="005E2677" w:rsidP="007F164F">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14:paraId="3B54931E" w14:textId="77777777" w:rsidR="005E2677" w:rsidRPr="005E2677" w:rsidRDefault="005E2677" w:rsidP="007F164F">
            <w:pPr>
              <w:autoSpaceDE w:val="0"/>
              <w:autoSpaceDN w:val="0"/>
              <w:adjustRightInd w:val="0"/>
              <w:jc w:val="center"/>
            </w:pPr>
            <w:r w:rsidRPr="005E2677">
              <w:t>Yes</w:t>
            </w:r>
          </w:p>
        </w:tc>
      </w:tr>
    </w:tbl>
    <w:p w14:paraId="3768DC57" w14:textId="49956087" w:rsidR="005036C8" w:rsidRPr="007C6853" w:rsidRDefault="005036C8" w:rsidP="007F164F">
      <w:pPr>
        <w:autoSpaceDE w:val="0"/>
        <w:autoSpaceDN w:val="0"/>
        <w:adjustRightInd w:val="0"/>
        <w:spacing w:before="100" w:beforeAutospacing="1"/>
      </w:pPr>
      <w:r>
        <w:rPr>
          <w:b/>
        </w:rPr>
        <w:t>T</w:t>
      </w:r>
      <w:r w:rsidRPr="007C6853">
        <w:rPr>
          <w:b/>
        </w:rPr>
        <w:t xml:space="preserve">he petition </w:t>
      </w:r>
      <w:r w:rsidR="00134BCD">
        <w:rPr>
          <w:b/>
        </w:rPr>
        <w:t xml:space="preserve">does </w:t>
      </w:r>
      <w:r w:rsidRPr="007C6853">
        <w:rPr>
          <w:b/>
        </w:rPr>
        <w:t>present a reasonably comprehensive description of annual independent financial audits</w:t>
      </w:r>
      <w:r>
        <w:rPr>
          <w:b/>
        </w:rPr>
        <w:t>.</w:t>
      </w:r>
    </w:p>
    <w:p w14:paraId="4CD9C9F9" w14:textId="77777777" w:rsidR="005036C8" w:rsidRPr="009F3455" w:rsidRDefault="005036C8" w:rsidP="007F164F">
      <w:pPr>
        <w:pStyle w:val="Heading4"/>
      </w:pPr>
      <w:r>
        <w:t>Comments</w:t>
      </w:r>
    </w:p>
    <w:p w14:paraId="5A264387" w14:textId="62273CB4" w:rsidR="005036C8" w:rsidRDefault="00134BCD" w:rsidP="00BC3718">
      <w:pPr>
        <w:autoSpaceDE w:val="0"/>
        <w:autoSpaceDN w:val="0"/>
        <w:adjustRightInd w:val="0"/>
        <w:spacing w:after="100" w:afterAutospacing="1"/>
        <w:rPr>
          <w:bCs/>
        </w:rPr>
      </w:pPr>
      <w:r>
        <w:rPr>
          <w:bCs/>
        </w:rPr>
        <w:t xml:space="preserve">The </w:t>
      </w:r>
      <w:r w:rsidR="00716515">
        <w:rPr>
          <w:bCs/>
        </w:rPr>
        <w:t xml:space="preserve">TCS </w:t>
      </w:r>
      <w:r>
        <w:rPr>
          <w:bCs/>
        </w:rPr>
        <w:t xml:space="preserve">petition does present a reasonably comprehensive description of annual independent financial audits </w:t>
      </w:r>
      <w:r w:rsidRPr="00E459BD">
        <w:rPr>
          <w:bCs/>
        </w:rPr>
        <w:t xml:space="preserve">as the </w:t>
      </w:r>
      <w:r w:rsidR="001158E8">
        <w:rPr>
          <w:bCs/>
        </w:rPr>
        <w:t xml:space="preserve">TCS </w:t>
      </w:r>
      <w:r w:rsidRPr="00E459BD">
        <w:rPr>
          <w:bCs/>
        </w:rPr>
        <w:t xml:space="preserve">petition </w:t>
      </w:r>
      <w:r w:rsidR="004268B0" w:rsidRPr="00E459BD">
        <w:rPr>
          <w:bCs/>
        </w:rPr>
        <w:t>specif</w:t>
      </w:r>
      <w:r w:rsidR="00E459BD" w:rsidRPr="00E459BD">
        <w:rPr>
          <w:bCs/>
        </w:rPr>
        <w:t xml:space="preserve">ies </w:t>
      </w:r>
      <w:r w:rsidR="004268B0" w:rsidRPr="00E459BD">
        <w:rPr>
          <w:bCs/>
        </w:rPr>
        <w:t>who is responsibl</w:t>
      </w:r>
      <w:r w:rsidRPr="00E459BD">
        <w:rPr>
          <w:bCs/>
        </w:rPr>
        <w:t xml:space="preserve">e </w:t>
      </w:r>
      <w:r w:rsidR="004268B0" w:rsidRPr="00E459BD">
        <w:rPr>
          <w:bCs/>
        </w:rPr>
        <w:t>f</w:t>
      </w:r>
      <w:r w:rsidRPr="00E459BD">
        <w:rPr>
          <w:bCs/>
        </w:rPr>
        <w:t>or contracting and overseeing the independent audit</w:t>
      </w:r>
      <w:r w:rsidR="00E459BD" w:rsidRPr="00E459BD">
        <w:rPr>
          <w:bCs/>
        </w:rPr>
        <w:t>,</w:t>
      </w:r>
      <w:r w:rsidR="00E459BD">
        <w:rPr>
          <w:bCs/>
        </w:rPr>
        <w:t xml:space="preserve"> as well as the level of auditor experience and timelines </w:t>
      </w:r>
      <w:r>
        <w:rPr>
          <w:bCs/>
        </w:rPr>
        <w:t xml:space="preserve">(Attachment </w:t>
      </w:r>
      <w:r w:rsidRPr="00E459BD">
        <w:rPr>
          <w:bCs/>
        </w:rPr>
        <w:t>3, p</w:t>
      </w:r>
      <w:r w:rsidRPr="00932D4F">
        <w:rPr>
          <w:bCs/>
        </w:rPr>
        <w:t xml:space="preserve">. </w:t>
      </w:r>
      <w:r w:rsidR="00932D4F" w:rsidRPr="00932D4F">
        <w:rPr>
          <w:bCs/>
        </w:rPr>
        <w:t>114</w:t>
      </w:r>
      <w:r w:rsidRPr="00932D4F">
        <w:rPr>
          <w:bCs/>
        </w:rPr>
        <w:t>).</w:t>
      </w:r>
    </w:p>
    <w:p w14:paraId="62B27A06" w14:textId="77777777" w:rsidR="005036C8" w:rsidRDefault="005036C8" w:rsidP="007F164F">
      <w:pPr>
        <w:pStyle w:val="Heading3"/>
      </w:pPr>
      <w:r>
        <w:br w:type="page"/>
      </w:r>
      <w:r w:rsidRPr="009F3455">
        <w:lastRenderedPageBreak/>
        <w:t>10. Suspension and Expulsion Procedures</w:t>
      </w:r>
    </w:p>
    <w:p w14:paraId="74001ED4" w14:textId="77777777" w:rsidR="005036C8" w:rsidRPr="008430D5" w:rsidRDefault="005036C8" w:rsidP="007F164F">
      <w:pPr>
        <w:autoSpaceDE w:val="0"/>
        <w:autoSpaceDN w:val="0"/>
        <w:adjustRightInd w:val="0"/>
        <w:jc w:val="center"/>
      </w:pPr>
      <w:r w:rsidRPr="008430D5">
        <w:rPr>
          <w:i/>
        </w:rPr>
        <w:t>EC</w:t>
      </w:r>
      <w:r w:rsidRPr="008430D5">
        <w:t xml:space="preserve"> Section 47605(b)(5)(J)</w:t>
      </w:r>
    </w:p>
    <w:p w14:paraId="43ABA560" w14:textId="77777777" w:rsidR="005036C8" w:rsidRPr="008430D5" w:rsidRDefault="005036C8" w:rsidP="007F164F">
      <w:pPr>
        <w:jc w:val="center"/>
      </w:pPr>
      <w:r w:rsidRPr="008430D5">
        <w:t xml:space="preserve">5 </w:t>
      </w:r>
      <w:r w:rsidRPr="008430D5">
        <w:rPr>
          <w:i/>
        </w:rPr>
        <w:t>CCR</w:t>
      </w:r>
      <w:r w:rsidRPr="008430D5">
        <w:t xml:space="preserve"> Section 11967.5.1(f</w:t>
      </w:r>
      <w:proofErr w:type="gramStart"/>
      <w:r w:rsidRPr="008430D5">
        <w:t>)(</w:t>
      </w:r>
      <w:proofErr w:type="gramEnd"/>
      <w:r w:rsidRPr="008430D5">
        <w:t>10)</w:t>
      </w:r>
    </w:p>
    <w:p w14:paraId="2AF41F2E" w14:textId="77777777" w:rsidR="005036C8" w:rsidRPr="009F3455" w:rsidRDefault="005036C8" w:rsidP="007F164F">
      <w:pPr>
        <w:pStyle w:val="Heading4"/>
      </w:pPr>
      <w:r w:rsidRPr="009F3455">
        <w:t>Evaluation Criteria</w:t>
      </w:r>
    </w:p>
    <w:p w14:paraId="725CF03D" w14:textId="77777777" w:rsidR="005036C8" w:rsidRDefault="005036C8" w:rsidP="007F164F">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14:paraId="2491EC76"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72794DC4" w14:textId="77777777" w:rsidR="005E2677" w:rsidRPr="005E2677" w:rsidRDefault="005E2677" w:rsidP="007F164F">
            <w:pPr>
              <w:jc w:val="center"/>
              <w:outlineLvl w:val="7"/>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14:paraId="32A950EA" w14:textId="77777777" w:rsidR="005E2677" w:rsidRPr="005E2677" w:rsidRDefault="005E2677" w:rsidP="007F164F">
            <w:pPr>
              <w:jc w:val="center"/>
              <w:outlineLvl w:val="7"/>
              <w:rPr>
                <w:rFonts w:eastAsia="Times New Roman" w:cs="Times New Roman"/>
              </w:rPr>
            </w:pPr>
            <w:r w:rsidRPr="005E2677">
              <w:rPr>
                <w:rFonts w:eastAsia="Times New Roman" w:cs="Times New Roman"/>
              </w:rPr>
              <w:t>Criteria Met</w:t>
            </w:r>
          </w:p>
        </w:tc>
      </w:tr>
      <w:tr w:rsidR="005E2677" w:rsidRPr="005E2677" w14:paraId="0C9F82E9" w14:textId="77777777" w:rsidTr="00ED60B5">
        <w:trPr>
          <w:cantSplit/>
          <w:trHeight w:val="576"/>
        </w:trPr>
        <w:tc>
          <w:tcPr>
            <w:tcW w:w="7696" w:type="dxa"/>
          </w:tcPr>
          <w:p w14:paraId="0D294156" w14:textId="3F8F42DD" w:rsidR="005E2677" w:rsidRPr="005E2677" w:rsidRDefault="005E2677" w:rsidP="007F164F">
            <w:pPr>
              <w:numPr>
                <w:ilvl w:val="0"/>
                <w:numId w:val="9"/>
              </w:numPr>
              <w:autoSpaceDE w:val="0"/>
              <w:autoSpaceDN w:val="0"/>
              <w:adjustRightInd w:val="0"/>
              <w:ind w:hanging="570"/>
              <w:rPr>
                <w:rFonts w:eastAsia="Times New Roman"/>
              </w:rPr>
            </w:pPr>
            <w:r w:rsidRPr="005E2677">
              <w:rPr>
                <w:rFonts w:eastAsia="Times New Roman"/>
              </w:rPr>
              <w:t xml:space="preserve">Identify a preliminary list, subject to later revision pursuant to subparagraph (E), of the offenses for which </w:t>
            </w:r>
            <w:r w:rsidR="0093351B">
              <w:rPr>
                <w:rFonts w:eastAsia="Times New Roman"/>
              </w:rPr>
              <w:t xml:space="preserve">pupils </w:t>
            </w:r>
            <w:r w:rsidRPr="005E2677">
              <w:rPr>
                <w:rFonts w:eastAsia="Times New Roman"/>
              </w:rPr>
              <w:t xml:space="preserve"> in the charter school must (where non-discretionary) and may (where discretionary) be suspended and, separately, the offenses for which </w:t>
            </w:r>
            <w:r w:rsidR="0093351B">
              <w:rPr>
                <w:rFonts w:eastAsia="Times New Roman"/>
              </w:rPr>
              <w:t xml:space="preserve">pupils </w:t>
            </w:r>
            <w:r w:rsidRPr="005E2677">
              <w:rPr>
                <w:rFonts w:eastAsia="Times New Roman"/>
              </w:rPr>
              <w:t xml:space="preserve"> in the charter school must (where non-discretionary) or may (where discretionary) be expelled, providing evidence that the petitioners’ reviewed the offenses for which </w:t>
            </w:r>
            <w:r w:rsidR="0093351B">
              <w:rPr>
                <w:rFonts w:eastAsia="Times New Roman"/>
              </w:rPr>
              <w:t xml:space="preserve">pupils </w:t>
            </w:r>
            <w:r w:rsidRPr="005E2677">
              <w:rPr>
                <w:rFonts w:eastAsia="Times New Roman"/>
              </w:rPr>
              <w:t xml:space="preserve"> must or may be suspended or expelled in non-charter public schools.</w:t>
            </w:r>
          </w:p>
        </w:tc>
        <w:tc>
          <w:tcPr>
            <w:tcW w:w="1584" w:type="dxa"/>
          </w:tcPr>
          <w:p w14:paraId="02BC4B40" w14:textId="77777777" w:rsidR="005E2677" w:rsidRPr="005E2677" w:rsidRDefault="00325512" w:rsidP="007F164F">
            <w:pPr>
              <w:tabs>
                <w:tab w:val="left" w:pos="280"/>
              </w:tabs>
              <w:autoSpaceDE w:val="0"/>
              <w:autoSpaceDN w:val="0"/>
              <w:adjustRightInd w:val="0"/>
              <w:jc w:val="center"/>
            </w:pPr>
            <w:r>
              <w:t>Yes</w:t>
            </w:r>
          </w:p>
        </w:tc>
      </w:tr>
      <w:tr w:rsidR="005E2677" w:rsidRPr="005E2677" w14:paraId="4C83D611" w14:textId="77777777" w:rsidTr="00ED60B5">
        <w:trPr>
          <w:cantSplit/>
          <w:trHeight w:val="576"/>
        </w:trPr>
        <w:tc>
          <w:tcPr>
            <w:tcW w:w="7696" w:type="dxa"/>
          </w:tcPr>
          <w:p w14:paraId="5E6DE203" w14:textId="77777777" w:rsidR="005E2677" w:rsidRPr="005E2677" w:rsidRDefault="005E2677" w:rsidP="007F164F">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14:paraId="388474DB" w14:textId="77777777" w:rsidR="005E2677" w:rsidRPr="005E2677" w:rsidRDefault="00325512" w:rsidP="007F164F">
            <w:pPr>
              <w:autoSpaceDE w:val="0"/>
              <w:autoSpaceDN w:val="0"/>
              <w:adjustRightInd w:val="0"/>
              <w:jc w:val="center"/>
            </w:pPr>
            <w:r>
              <w:t>Yes</w:t>
            </w:r>
          </w:p>
        </w:tc>
      </w:tr>
      <w:tr w:rsidR="005E2677" w:rsidRPr="005E2677" w14:paraId="2D61DACA" w14:textId="77777777" w:rsidTr="00ED60B5">
        <w:trPr>
          <w:cantSplit/>
          <w:trHeight w:val="576"/>
        </w:trPr>
        <w:tc>
          <w:tcPr>
            <w:tcW w:w="7696" w:type="dxa"/>
          </w:tcPr>
          <w:p w14:paraId="78B82237" w14:textId="77777777" w:rsidR="005E2677" w:rsidRPr="005E2677" w:rsidRDefault="005E2677" w:rsidP="007F164F">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14:paraId="4B05823A" w14:textId="73FDDC23" w:rsidR="005E2677" w:rsidRPr="005E2677" w:rsidRDefault="00184361" w:rsidP="007F164F">
            <w:pPr>
              <w:autoSpaceDE w:val="0"/>
              <w:autoSpaceDN w:val="0"/>
              <w:adjustRightInd w:val="0"/>
              <w:jc w:val="center"/>
            </w:pPr>
            <w:r>
              <w:t>No</w:t>
            </w:r>
          </w:p>
        </w:tc>
      </w:tr>
      <w:tr w:rsidR="005E2677" w:rsidRPr="005E2677" w14:paraId="1602975D" w14:textId="77777777" w:rsidTr="00ED60B5">
        <w:trPr>
          <w:cantSplit/>
          <w:trHeight w:val="576"/>
        </w:trPr>
        <w:tc>
          <w:tcPr>
            <w:tcW w:w="7696" w:type="dxa"/>
          </w:tcPr>
          <w:p w14:paraId="1E134A8E" w14:textId="18421DB6" w:rsidR="005E2677" w:rsidRPr="005E2677" w:rsidRDefault="005E2677" w:rsidP="007F164F">
            <w:pPr>
              <w:widowControl w:val="0"/>
              <w:numPr>
                <w:ilvl w:val="0"/>
                <w:numId w:val="9"/>
              </w:numPr>
              <w:tabs>
                <w:tab w:val="left" w:pos="360"/>
              </w:tabs>
              <w:ind w:hanging="570"/>
              <w:rPr>
                <w:rFonts w:eastAsia="Times New Roman"/>
              </w:rPr>
            </w:pPr>
            <w:r w:rsidRPr="005E2677">
              <w:rPr>
                <w:rFonts w:eastAsia="Times New Roman"/>
              </w:rPr>
              <w:t xml:space="preserve">Provide evidence that in preparing the lists of offenses specified in subparagraph (A) and the procedures specified in subparagraphs (B) and (C), the petitioners reviewed the lists of offenses and procedures that apply to </w:t>
            </w:r>
            <w:r w:rsidR="0093351B">
              <w:rPr>
                <w:rFonts w:eastAsia="Times New Roman"/>
              </w:rPr>
              <w:t xml:space="preserve">pupils </w:t>
            </w:r>
            <w:r w:rsidRPr="005E2677">
              <w:rPr>
                <w:rFonts w:eastAsia="Times New Roman"/>
              </w:rPr>
              <w:t xml:space="preserve"> attending non-charter public schools, and provide evidence that the charter petitioners believe their proposed lists of offenses and procedures provide adequate safety for </w:t>
            </w:r>
            <w:r w:rsidR="0093351B">
              <w:rPr>
                <w:rFonts w:eastAsia="Times New Roman"/>
              </w:rPr>
              <w:t xml:space="preserve">pupils </w:t>
            </w:r>
            <w:r w:rsidRPr="005E2677">
              <w:rPr>
                <w:rFonts w:eastAsia="Times New Roman"/>
              </w:rPr>
              <w:t>, staff, and visitors to the school and serve the best interests of the school’s pupils and their parents (guardians).</w:t>
            </w:r>
          </w:p>
        </w:tc>
        <w:tc>
          <w:tcPr>
            <w:tcW w:w="1584" w:type="dxa"/>
          </w:tcPr>
          <w:p w14:paraId="651FF4E3" w14:textId="77777777" w:rsidR="005E2677" w:rsidRPr="005E2677" w:rsidRDefault="00325512" w:rsidP="007F164F">
            <w:pPr>
              <w:tabs>
                <w:tab w:val="left" w:pos="280"/>
              </w:tabs>
              <w:autoSpaceDE w:val="0"/>
              <w:autoSpaceDN w:val="0"/>
              <w:adjustRightInd w:val="0"/>
              <w:jc w:val="center"/>
            </w:pPr>
            <w:r>
              <w:t>Yes</w:t>
            </w:r>
          </w:p>
        </w:tc>
      </w:tr>
      <w:tr w:rsidR="005E2677" w:rsidRPr="005E2677" w14:paraId="493023B5" w14:textId="77777777" w:rsidTr="00ED60B5">
        <w:trPr>
          <w:cantSplit/>
          <w:trHeight w:val="576"/>
        </w:trPr>
        <w:tc>
          <w:tcPr>
            <w:tcW w:w="7696" w:type="dxa"/>
          </w:tcPr>
          <w:p w14:paraId="7C7577AA" w14:textId="77777777" w:rsidR="005E2677" w:rsidRPr="005E2677" w:rsidRDefault="005E2677" w:rsidP="007F164F">
            <w:pPr>
              <w:numPr>
                <w:ilvl w:val="0"/>
                <w:numId w:val="9"/>
              </w:numPr>
              <w:ind w:hanging="570"/>
            </w:pPr>
            <w:r w:rsidRPr="005E2677">
              <w:lastRenderedPageBreak/>
              <w:t>If not otherwise covered under subparagraphs (A), (B), (C), and (D):</w:t>
            </w:r>
          </w:p>
          <w:p w14:paraId="417CAD65" w14:textId="77777777" w:rsidR="005E2677" w:rsidRPr="005E2677" w:rsidRDefault="005E2677" w:rsidP="007F164F">
            <w:pPr>
              <w:numPr>
                <w:ilvl w:val="0"/>
                <w:numId w:val="11"/>
              </w:numPr>
              <w:tabs>
                <w:tab w:val="left" w:pos="1230"/>
              </w:tabs>
              <w:ind w:left="1230" w:hanging="540"/>
            </w:pPr>
            <w:r w:rsidRPr="005E2677">
              <w:t>Provide for due process for all pupils and demonstrate an understanding of the rights of pupils with disabilities in regard to suspension and expulsion.</w:t>
            </w:r>
          </w:p>
          <w:p w14:paraId="6714C040" w14:textId="46170FC5" w:rsidR="005E2677" w:rsidRPr="005E2677" w:rsidRDefault="005E2677" w:rsidP="007F164F">
            <w:pPr>
              <w:widowControl w:val="0"/>
              <w:numPr>
                <w:ilvl w:val="0"/>
                <w:numId w:val="11"/>
              </w:numPr>
              <w:tabs>
                <w:tab w:val="left" w:pos="360"/>
                <w:tab w:val="left" w:pos="1230"/>
              </w:tabs>
              <w:ind w:left="1230" w:hanging="540"/>
            </w:pPr>
            <w:r w:rsidRPr="005E2677">
              <w:t xml:space="preserve">Outline how detailed policies and procedures regarding suspension and expulsion will be developed and periodically reviewed, including, but not limited to, periodic review and (as necessary) modification of the lists of offenses for which </w:t>
            </w:r>
            <w:r w:rsidR="0093351B">
              <w:t xml:space="preserve">pupils </w:t>
            </w:r>
            <w:r w:rsidR="0093351B" w:rsidRPr="005E2677">
              <w:t>are</w:t>
            </w:r>
            <w:r w:rsidRPr="005E2677">
              <w:t xml:space="preserve"> subject to suspension or expulsion.</w:t>
            </w:r>
          </w:p>
        </w:tc>
        <w:tc>
          <w:tcPr>
            <w:tcW w:w="1584" w:type="dxa"/>
          </w:tcPr>
          <w:p w14:paraId="222038CF" w14:textId="320B61E8" w:rsidR="005E2677" w:rsidRPr="005E2677" w:rsidRDefault="007111BC" w:rsidP="007F164F">
            <w:pPr>
              <w:autoSpaceDE w:val="0"/>
              <w:autoSpaceDN w:val="0"/>
              <w:adjustRightInd w:val="0"/>
              <w:jc w:val="center"/>
            </w:pPr>
            <w:r>
              <w:t>No</w:t>
            </w:r>
          </w:p>
        </w:tc>
      </w:tr>
    </w:tbl>
    <w:p w14:paraId="56D6ADAB" w14:textId="568B2079" w:rsidR="005036C8" w:rsidRPr="00494C63" w:rsidRDefault="005036C8" w:rsidP="007F164F">
      <w:pPr>
        <w:spacing w:before="100" w:beforeAutospacing="1" w:after="100" w:afterAutospacing="1"/>
      </w:pPr>
      <w:r>
        <w:rPr>
          <w:b/>
        </w:rPr>
        <w:t>T</w:t>
      </w:r>
      <w:r w:rsidRPr="00494C63">
        <w:rPr>
          <w:b/>
        </w:rPr>
        <w:t xml:space="preserve">he petition </w:t>
      </w:r>
      <w:r w:rsidR="00325512">
        <w:rPr>
          <w:b/>
        </w:rPr>
        <w:t>does</w:t>
      </w:r>
      <w:r w:rsidRPr="005E1390">
        <w:rPr>
          <w:b/>
        </w:rPr>
        <w:t xml:space="preserve"> </w:t>
      </w:r>
      <w:r w:rsidR="007111BC">
        <w:rPr>
          <w:b/>
        </w:rPr>
        <w:t xml:space="preserve">not </w:t>
      </w:r>
      <w:r w:rsidRPr="00494C63">
        <w:rPr>
          <w:b/>
        </w:rPr>
        <w:t>present a reasonably comprehensive description of suspension and expulsion procedures</w:t>
      </w:r>
      <w:r>
        <w:rPr>
          <w:b/>
        </w:rPr>
        <w:t>.</w:t>
      </w:r>
    </w:p>
    <w:p w14:paraId="04D16DF0" w14:textId="77777777" w:rsidR="005036C8" w:rsidRPr="009F3455" w:rsidRDefault="005036C8" w:rsidP="007F164F">
      <w:pPr>
        <w:pStyle w:val="Heading4"/>
      </w:pPr>
      <w:r w:rsidRPr="00924793">
        <w:t>Comments</w:t>
      </w:r>
    </w:p>
    <w:p w14:paraId="2538C5D4" w14:textId="015467B6" w:rsidR="00686E48" w:rsidRDefault="00325512" w:rsidP="00BC3718">
      <w:pPr>
        <w:autoSpaceDE w:val="0"/>
        <w:autoSpaceDN w:val="0"/>
        <w:adjustRightInd w:val="0"/>
        <w:spacing w:after="100" w:afterAutospacing="1"/>
        <w:rPr>
          <w:bCs/>
        </w:rPr>
      </w:pPr>
      <w:bookmarkStart w:id="3" w:name="_Hlk38637736"/>
      <w:bookmarkStart w:id="4" w:name="_Hlk38637841"/>
      <w:r>
        <w:rPr>
          <w:bCs/>
        </w:rPr>
        <w:t xml:space="preserve">The </w:t>
      </w:r>
      <w:r w:rsidR="00716515">
        <w:rPr>
          <w:bCs/>
        </w:rPr>
        <w:t>TCS</w:t>
      </w:r>
      <w:r>
        <w:rPr>
          <w:bCs/>
        </w:rPr>
        <w:t xml:space="preserve"> petition does </w:t>
      </w:r>
      <w:r w:rsidR="007111BC">
        <w:rPr>
          <w:bCs/>
        </w:rPr>
        <w:t xml:space="preserve">not </w:t>
      </w:r>
      <w:r>
        <w:rPr>
          <w:bCs/>
        </w:rPr>
        <w:t>present a reasonably comprehensive description of suspension and expulsion procedures</w:t>
      </w:r>
      <w:r w:rsidR="00686E48">
        <w:rPr>
          <w:bCs/>
        </w:rPr>
        <w:t xml:space="preserve"> for criteria C and E</w:t>
      </w:r>
      <w:r w:rsidR="00B80713">
        <w:rPr>
          <w:bCs/>
        </w:rPr>
        <w:t xml:space="preserve">. </w:t>
      </w:r>
      <w:r w:rsidR="00717991">
        <w:rPr>
          <w:bCs/>
        </w:rPr>
        <w:t>The</w:t>
      </w:r>
      <w:r w:rsidR="00686E48">
        <w:rPr>
          <w:bCs/>
        </w:rPr>
        <w:t xml:space="preserve"> language in the</w:t>
      </w:r>
      <w:r w:rsidR="00717991">
        <w:rPr>
          <w:bCs/>
        </w:rPr>
        <w:t xml:space="preserve"> petition </w:t>
      </w:r>
      <w:r w:rsidR="00686E48">
        <w:rPr>
          <w:bCs/>
        </w:rPr>
        <w:t>regarding</w:t>
      </w:r>
      <w:r w:rsidR="00717991" w:rsidRPr="003518F5">
        <w:rPr>
          <w:bCs/>
        </w:rPr>
        <w:t xml:space="preserve"> automatic placement of a pupil in an interim alternative educational s</w:t>
      </w:r>
      <w:r w:rsidR="00686E48">
        <w:rPr>
          <w:bCs/>
        </w:rPr>
        <w:t>etting</w:t>
      </w:r>
      <w:r w:rsidR="00717991" w:rsidRPr="003518F5">
        <w:rPr>
          <w:bCs/>
        </w:rPr>
        <w:t xml:space="preserve"> is contrary to 20 </w:t>
      </w:r>
      <w:r w:rsidR="008A62DA" w:rsidRPr="008A62DA">
        <w:rPr>
          <w:bCs/>
          <w:i/>
        </w:rPr>
        <w:t>United States Code</w:t>
      </w:r>
      <w:r w:rsidR="008A62DA">
        <w:rPr>
          <w:bCs/>
        </w:rPr>
        <w:t xml:space="preserve"> (</w:t>
      </w:r>
      <w:r w:rsidR="00717991" w:rsidRPr="003518F5">
        <w:rPr>
          <w:bCs/>
          <w:i/>
        </w:rPr>
        <w:t>USC</w:t>
      </w:r>
      <w:r w:rsidR="008A62DA" w:rsidRPr="008A62DA">
        <w:rPr>
          <w:bCs/>
        </w:rPr>
        <w:t>)</w:t>
      </w:r>
      <w:r w:rsidR="00717991" w:rsidRPr="003518F5">
        <w:rPr>
          <w:bCs/>
          <w:i/>
        </w:rPr>
        <w:t xml:space="preserve"> </w:t>
      </w:r>
      <w:r w:rsidR="00717991" w:rsidRPr="003518F5">
        <w:rPr>
          <w:bCs/>
        </w:rPr>
        <w:t xml:space="preserve">Section 1415(k)(3), which </w:t>
      </w:r>
      <w:r w:rsidR="00686E48">
        <w:rPr>
          <w:bCs/>
        </w:rPr>
        <w:t xml:space="preserve">states that </w:t>
      </w:r>
      <w:r w:rsidR="00686E48" w:rsidRPr="003518F5">
        <w:rPr>
          <w:bCs/>
        </w:rPr>
        <w:t xml:space="preserve">the pupil shall remain in the interim alternative educational setting pending the decision of the hearing officer or until the expiration of the time period provided in 20 </w:t>
      </w:r>
      <w:r w:rsidR="00686E48" w:rsidRPr="003518F5">
        <w:rPr>
          <w:bCs/>
          <w:i/>
        </w:rPr>
        <w:t>USC</w:t>
      </w:r>
      <w:r w:rsidR="00686E48" w:rsidRPr="003518F5">
        <w:rPr>
          <w:bCs/>
        </w:rPr>
        <w:t xml:space="preserve"> Section 1415(k)(1)(C), whichever occurs first, unless the parent</w:t>
      </w:r>
      <w:r w:rsidR="00686E48">
        <w:rPr>
          <w:bCs/>
        </w:rPr>
        <w:t xml:space="preserve"> or guardian</w:t>
      </w:r>
      <w:r w:rsidR="00686E48" w:rsidRPr="003518F5">
        <w:rPr>
          <w:bCs/>
        </w:rPr>
        <w:t xml:space="preserve"> and </w:t>
      </w:r>
      <w:r w:rsidR="00686E48">
        <w:rPr>
          <w:bCs/>
        </w:rPr>
        <w:t>TCS</w:t>
      </w:r>
      <w:r w:rsidR="00686E48" w:rsidRPr="003518F5">
        <w:rPr>
          <w:bCs/>
        </w:rPr>
        <w:t xml:space="preserve"> agree otherwise</w:t>
      </w:r>
      <w:r w:rsidR="00F67BA6">
        <w:rPr>
          <w:bCs/>
        </w:rPr>
        <w:t>.</w:t>
      </w:r>
    </w:p>
    <w:bookmarkEnd w:id="3"/>
    <w:p w14:paraId="1FF61603" w14:textId="55E714A1" w:rsidR="00A409F7" w:rsidRPr="009E1CBB" w:rsidRDefault="00A409F7" w:rsidP="00BC3718">
      <w:pPr>
        <w:autoSpaceDE w:val="0"/>
        <w:autoSpaceDN w:val="0"/>
        <w:adjustRightInd w:val="0"/>
        <w:spacing w:after="100" w:afterAutospacing="1"/>
        <w:rPr>
          <w:bCs/>
        </w:rPr>
      </w:pPr>
      <w:r w:rsidRPr="009E1CBB">
        <w:rPr>
          <w:bCs/>
        </w:rPr>
        <w:t xml:space="preserve">Addressing </w:t>
      </w:r>
      <w:r w:rsidR="0093351B" w:rsidRPr="009E1CBB">
        <w:rPr>
          <w:bCs/>
        </w:rPr>
        <w:t>ev</w:t>
      </w:r>
      <w:bookmarkStart w:id="5" w:name="_GoBack"/>
      <w:bookmarkEnd w:id="5"/>
      <w:r w:rsidR="0093351B" w:rsidRPr="009E1CBB">
        <w:rPr>
          <w:bCs/>
        </w:rPr>
        <w:t>aluatio</w:t>
      </w:r>
      <w:r w:rsidR="0093351B">
        <w:rPr>
          <w:bCs/>
        </w:rPr>
        <w:t>n</w:t>
      </w:r>
      <w:r w:rsidRPr="009E1CBB">
        <w:rPr>
          <w:bCs/>
        </w:rPr>
        <w:t xml:space="preserve"> criteria A, B, and D, the </w:t>
      </w:r>
      <w:r w:rsidR="001158E8">
        <w:rPr>
          <w:bCs/>
        </w:rPr>
        <w:t xml:space="preserve">TCS </w:t>
      </w:r>
      <w:r w:rsidRPr="009E1CBB">
        <w:rPr>
          <w:bCs/>
        </w:rPr>
        <w:t>petition states that the pupil suspension and expulsion policy has been established in order to promote learning and protect the safety and</w:t>
      </w:r>
      <w:r w:rsidR="009E1CBB" w:rsidRPr="009E1CBB">
        <w:rPr>
          <w:bCs/>
        </w:rPr>
        <w:t xml:space="preserve"> well-being of all pupils at TCS</w:t>
      </w:r>
      <w:r w:rsidRPr="009E1CBB">
        <w:rPr>
          <w:bCs/>
        </w:rPr>
        <w:t xml:space="preserve">. The </w:t>
      </w:r>
      <w:r w:rsidR="001158E8">
        <w:rPr>
          <w:bCs/>
        </w:rPr>
        <w:t xml:space="preserve">TCS </w:t>
      </w:r>
      <w:r w:rsidRPr="009E1CBB">
        <w:rPr>
          <w:bCs/>
        </w:rPr>
        <w:t>petition lists discretionary and non-discretionary offenses and procedures for suspension and expulsion (Attachm</w:t>
      </w:r>
      <w:r w:rsidR="009E1CBB" w:rsidRPr="009E1CBB">
        <w:rPr>
          <w:bCs/>
        </w:rPr>
        <w:t xml:space="preserve">ent 3, pp. </w:t>
      </w:r>
      <w:r w:rsidR="009E1CBB" w:rsidRPr="00932D4F">
        <w:rPr>
          <w:bCs/>
        </w:rPr>
        <w:t>11</w:t>
      </w:r>
      <w:r w:rsidR="00932D4F" w:rsidRPr="00932D4F">
        <w:rPr>
          <w:bCs/>
        </w:rPr>
        <w:t>6</w:t>
      </w:r>
      <w:r w:rsidR="007C4B83">
        <w:rPr>
          <w:bCs/>
        </w:rPr>
        <w:t>–</w:t>
      </w:r>
      <w:r w:rsidR="00932D4F" w:rsidRPr="00932D4F">
        <w:rPr>
          <w:bCs/>
        </w:rPr>
        <w:t>131</w:t>
      </w:r>
      <w:r w:rsidRPr="00932D4F">
        <w:rPr>
          <w:bCs/>
        </w:rPr>
        <w:t>).</w:t>
      </w:r>
      <w:r w:rsidRPr="009E1CBB">
        <w:rPr>
          <w:bCs/>
        </w:rPr>
        <w:t xml:space="preserve"> The </w:t>
      </w:r>
      <w:r w:rsidR="001158E8">
        <w:rPr>
          <w:bCs/>
        </w:rPr>
        <w:t xml:space="preserve">TCS </w:t>
      </w:r>
      <w:r w:rsidRPr="009E1CBB">
        <w:rPr>
          <w:bCs/>
        </w:rPr>
        <w:t>petition states that no pupil shall</w:t>
      </w:r>
      <w:r w:rsidR="009E1CBB" w:rsidRPr="009E1CBB">
        <w:rPr>
          <w:bCs/>
        </w:rPr>
        <w:t xml:space="preserve"> be involuntarily removed by TCS</w:t>
      </w:r>
      <w:r w:rsidRPr="009E1CBB">
        <w:rPr>
          <w:bCs/>
        </w:rPr>
        <w:t xml:space="preserve"> for any reason unless the parent or guardian of the pupil has been provided written notice of intent to remove the pupil no less than five school days before the effective date of the action (Attachment 3, p. </w:t>
      </w:r>
      <w:r w:rsidR="009E1CBB" w:rsidRPr="00932D4F">
        <w:rPr>
          <w:bCs/>
        </w:rPr>
        <w:t>12</w:t>
      </w:r>
      <w:r w:rsidR="00932D4F" w:rsidRPr="00932D4F">
        <w:rPr>
          <w:bCs/>
        </w:rPr>
        <w:t>8</w:t>
      </w:r>
      <w:r w:rsidRPr="00932D4F">
        <w:rPr>
          <w:bCs/>
        </w:rPr>
        <w:t>).</w:t>
      </w:r>
      <w:r w:rsidRPr="009E1CBB">
        <w:rPr>
          <w:bCs/>
        </w:rPr>
        <w:t xml:space="preserve"> Additionally, the</w:t>
      </w:r>
      <w:r w:rsidR="001158E8">
        <w:rPr>
          <w:bCs/>
        </w:rPr>
        <w:t xml:space="preserve"> TCS </w:t>
      </w:r>
      <w:r w:rsidRPr="009E1CBB">
        <w:rPr>
          <w:bCs/>
        </w:rPr>
        <w:t xml:space="preserve">petition states that a pupil may be expelled by the neutral and impartial Administrative </w:t>
      </w:r>
      <w:r w:rsidR="009E1CBB" w:rsidRPr="009E1CBB">
        <w:rPr>
          <w:bCs/>
        </w:rPr>
        <w:t>Panel, to be assigned by the TCS</w:t>
      </w:r>
      <w:r w:rsidRPr="009E1CBB">
        <w:rPr>
          <w:bCs/>
        </w:rPr>
        <w:t xml:space="preserve"> Board</w:t>
      </w:r>
      <w:r w:rsidR="001158E8">
        <w:rPr>
          <w:bCs/>
        </w:rPr>
        <w:t xml:space="preserve"> of Directors (Board)</w:t>
      </w:r>
      <w:r w:rsidRPr="009E1CBB">
        <w:rPr>
          <w:bCs/>
        </w:rPr>
        <w:t xml:space="preserve">, following a hearing before it or by the </w:t>
      </w:r>
      <w:r w:rsidR="001158E8">
        <w:rPr>
          <w:bCs/>
        </w:rPr>
        <w:t xml:space="preserve">Board </w:t>
      </w:r>
      <w:r w:rsidRPr="009E1CBB">
        <w:rPr>
          <w:bCs/>
        </w:rPr>
        <w:t xml:space="preserve">upon an appeal. The Administrative Panel will not include any of the administrators involved in the </w:t>
      </w:r>
      <w:r w:rsidR="001158E8">
        <w:rPr>
          <w:bCs/>
        </w:rPr>
        <w:t xml:space="preserve">pupil’s </w:t>
      </w:r>
      <w:r w:rsidRPr="009E1CBB">
        <w:rPr>
          <w:bCs/>
        </w:rPr>
        <w:t>initial discipline and shall consist of at least three members who are certificated and neither a teacher of the pupil nor a Bo</w:t>
      </w:r>
      <w:r w:rsidR="009E1CBB" w:rsidRPr="009E1CBB">
        <w:rPr>
          <w:bCs/>
        </w:rPr>
        <w:t>ard member (Attachment 3, p</w:t>
      </w:r>
      <w:r w:rsidR="009E1CBB" w:rsidRPr="00932D4F">
        <w:rPr>
          <w:bCs/>
        </w:rPr>
        <w:t>. 12</w:t>
      </w:r>
      <w:r w:rsidR="00932D4F" w:rsidRPr="00932D4F">
        <w:rPr>
          <w:bCs/>
        </w:rPr>
        <w:t>8</w:t>
      </w:r>
      <w:r w:rsidRPr="00932D4F">
        <w:rPr>
          <w:bCs/>
        </w:rPr>
        <w:t>).</w:t>
      </w:r>
    </w:p>
    <w:p w14:paraId="07CFFF69" w14:textId="1E16D410" w:rsidR="00696379" w:rsidRPr="003518F5" w:rsidRDefault="00A409F7" w:rsidP="00BC3718">
      <w:pPr>
        <w:autoSpaceDE w:val="0"/>
        <w:autoSpaceDN w:val="0"/>
        <w:adjustRightInd w:val="0"/>
        <w:spacing w:after="100" w:afterAutospacing="1"/>
        <w:rPr>
          <w:bCs/>
        </w:rPr>
      </w:pPr>
      <w:r w:rsidRPr="009E1CBB">
        <w:rPr>
          <w:bCs/>
        </w:rPr>
        <w:t>Addressing evaluation criteria C and E, th</w:t>
      </w:r>
      <w:r w:rsidR="009E1CBB" w:rsidRPr="009E1CBB">
        <w:rPr>
          <w:bCs/>
        </w:rPr>
        <w:t>e TCS</w:t>
      </w:r>
      <w:r w:rsidRPr="009E1CBB">
        <w:rPr>
          <w:bCs/>
        </w:rPr>
        <w:t xml:space="preserve"> petition states that when an appeal relating to the placement of the pupil or the manifestation determination has been </w:t>
      </w:r>
      <w:r w:rsidRPr="009E1CBB">
        <w:rPr>
          <w:bCs/>
        </w:rPr>
        <w:lastRenderedPageBreak/>
        <w:t>reque</w:t>
      </w:r>
      <w:r w:rsidR="009E1CBB" w:rsidRPr="009E1CBB">
        <w:rPr>
          <w:bCs/>
        </w:rPr>
        <w:t>sted by either the parent</w:t>
      </w:r>
      <w:r w:rsidR="001158E8">
        <w:rPr>
          <w:bCs/>
        </w:rPr>
        <w:t xml:space="preserve"> or guardian</w:t>
      </w:r>
      <w:r w:rsidR="009E1CBB" w:rsidRPr="009E1CBB">
        <w:rPr>
          <w:bCs/>
        </w:rPr>
        <w:t xml:space="preserve"> or TCS</w:t>
      </w:r>
      <w:r w:rsidRPr="009E1CBB">
        <w:rPr>
          <w:bCs/>
        </w:rPr>
        <w:t xml:space="preserve">, the pupil will remain in the interim alternative educational setting pending the decision of the hearing officer in accordance with state and federal law, including 20 </w:t>
      </w:r>
      <w:r w:rsidRPr="009E1CBB">
        <w:rPr>
          <w:bCs/>
          <w:i/>
        </w:rPr>
        <w:t>USC</w:t>
      </w:r>
      <w:r w:rsidR="009E1CBB" w:rsidRPr="009E1CBB">
        <w:rPr>
          <w:bCs/>
        </w:rPr>
        <w:t xml:space="preserve"> Section 1415(k), for not more than </w:t>
      </w:r>
      <w:r w:rsidRPr="009E1CBB">
        <w:rPr>
          <w:bCs/>
        </w:rPr>
        <w:t>the 45-day time period provided for in an interim alternative educational se</w:t>
      </w:r>
      <w:r w:rsidR="009E1CBB" w:rsidRPr="009E1CBB">
        <w:rPr>
          <w:bCs/>
        </w:rPr>
        <w:t xml:space="preserve">tting, unless the parent </w:t>
      </w:r>
      <w:r w:rsidR="001158E8">
        <w:rPr>
          <w:bCs/>
        </w:rPr>
        <w:t xml:space="preserve">or guardian </w:t>
      </w:r>
      <w:r w:rsidR="009E1CBB" w:rsidRPr="009E1CBB">
        <w:rPr>
          <w:bCs/>
        </w:rPr>
        <w:t>and TCS</w:t>
      </w:r>
      <w:r w:rsidRPr="009E1CBB">
        <w:rPr>
          <w:bCs/>
        </w:rPr>
        <w:t xml:space="preserve"> agree otherwise.</w:t>
      </w:r>
      <w:bookmarkStart w:id="6" w:name="_Hlk37880722"/>
      <w:r w:rsidR="00686E48">
        <w:rPr>
          <w:bCs/>
        </w:rPr>
        <w:t xml:space="preserve"> </w:t>
      </w:r>
      <w:r w:rsidR="00686E48" w:rsidRPr="003518F5">
        <w:rPr>
          <w:bCs/>
        </w:rPr>
        <w:t xml:space="preserve">However, the automatic placement of a pupil in an interim alternative educational setting until the expiration of the 45-day time period is contrary to 20 </w:t>
      </w:r>
      <w:r w:rsidR="00686E48" w:rsidRPr="003518F5">
        <w:rPr>
          <w:bCs/>
          <w:i/>
        </w:rPr>
        <w:t xml:space="preserve">USC </w:t>
      </w:r>
      <w:r w:rsidR="00686E48" w:rsidRPr="003518F5">
        <w:rPr>
          <w:bCs/>
        </w:rPr>
        <w:t>Section 1415(k)(3), which only gives a hearing officer the authority to order such a placement.</w:t>
      </w:r>
    </w:p>
    <w:bookmarkEnd w:id="6"/>
    <w:p w14:paraId="3EB73A4C" w14:textId="1AA960E3" w:rsidR="00A409F7" w:rsidRDefault="00A409F7" w:rsidP="00BC3718">
      <w:pPr>
        <w:autoSpaceDE w:val="0"/>
        <w:autoSpaceDN w:val="0"/>
        <w:adjustRightInd w:val="0"/>
        <w:spacing w:after="100" w:afterAutospacing="1"/>
        <w:rPr>
          <w:bCs/>
        </w:rPr>
      </w:pPr>
      <w:r w:rsidRPr="009E1CBB">
        <w:rPr>
          <w:bCs/>
        </w:rPr>
        <w:t xml:space="preserve">In accordance with 20 </w:t>
      </w:r>
      <w:r w:rsidRPr="009E1CBB">
        <w:rPr>
          <w:bCs/>
          <w:i/>
        </w:rPr>
        <w:t>USC</w:t>
      </w:r>
      <w:r w:rsidRPr="009E1CBB">
        <w:rPr>
          <w:bCs/>
        </w:rPr>
        <w:t xml:space="preserve"> Section 1415(k)(3), if a parent or guardian disagrees with any decision regarding placement or the manife</w:t>
      </w:r>
      <w:r w:rsidR="009E1CBB" w:rsidRPr="009E1CBB">
        <w:rPr>
          <w:bCs/>
        </w:rPr>
        <w:t>station determination, or if TCS</w:t>
      </w:r>
      <w:r w:rsidRPr="009E1CBB">
        <w:rPr>
          <w:bCs/>
        </w:rPr>
        <w:t xml:space="preserve"> believes that maintaining the current placement of the pupil is substantially likely to result in injury to the pupil or to others</w:t>
      </w:r>
      <w:r w:rsidR="009E1CBB" w:rsidRPr="009E1CBB">
        <w:rPr>
          <w:bCs/>
        </w:rPr>
        <w:t>, the parent or guardian, or TCS</w:t>
      </w:r>
      <w:r w:rsidRPr="009E1CBB">
        <w:rPr>
          <w:bCs/>
        </w:rPr>
        <w:t xml:space="preserve"> may request a hearing. In such an appeal, a hearing officer may carry out the following: (1) return </w:t>
      </w:r>
      <w:r w:rsidR="001158E8">
        <w:rPr>
          <w:bCs/>
        </w:rPr>
        <w:t>the</w:t>
      </w:r>
      <w:r w:rsidRPr="009E1CBB">
        <w:rPr>
          <w:bCs/>
        </w:rPr>
        <w:t xml:space="preserve"> pupil with a disability to the placement from which the pupil was removed; or (2) order a change of placement of </w:t>
      </w:r>
      <w:r w:rsidR="001158E8">
        <w:rPr>
          <w:bCs/>
        </w:rPr>
        <w:t>the</w:t>
      </w:r>
      <w:r w:rsidRPr="009E1CBB">
        <w:rPr>
          <w:bCs/>
        </w:rPr>
        <w:t xml:space="preserve"> pupil with a disability to an appropriate interim alternative setting for not more than 45 school days if the hearing officer determines that maintaining the current placement of such pupil is substantially likely to result in injury to the pupil or</w:t>
      </w:r>
      <w:r w:rsidR="009E1CBB" w:rsidRPr="009E1CBB">
        <w:rPr>
          <w:bCs/>
        </w:rPr>
        <w:t xml:space="preserve"> to others (Attachment 3, p. </w:t>
      </w:r>
      <w:r w:rsidR="009E1CBB" w:rsidRPr="00DF7F22">
        <w:rPr>
          <w:bCs/>
        </w:rPr>
        <w:t>1</w:t>
      </w:r>
      <w:r w:rsidR="00DF7F22" w:rsidRPr="00DF7F22">
        <w:rPr>
          <w:bCs/>
        </w:rPr>
        <w:t>30</w:t>
      </w:r>
      <w:r w:rsidRPr="00DF7F22">
        <w:rPr>
          <w:bCs/>
        </w:rPr>
        <w:t>).</w:t>
      </w:r>
    </w:p>
    <w:p w14:paraId="52924403" w14:textId="70E25124" w:rsidR="00A409F7" w:rsidRDefault="00696379" w:rsidP="00BC3718">
      <w:pPr>
        <w:autoSpaceDE w:val="0"/>
        <w:autoSpaceDN w:val="0"/>
        <w:adjustRightInd w:val="0"/>
        <w:spacing w:after="100" w:afterAutospacing="1"/>
        <w:rPr>
          <w:bCs/>
        </w:rPr>
      </w:pPr>
      <w:r w:rsidRPr="003518F5">
        <w:rPr>
          <w:bCs/>
        </w:rPr>
        <w:t xml:space="preserve">If approved by the SBE, as a condition for approval, the petitioner will be required to revise the </w:t>
      </w:r>
      <w:r w:rsidR="001158E8">
        <w:rPr>
          <w:bCs/>
        </w:rPr>
        <w:t xml:space="preserve">TCS </w:t>
      </w:r>
      <w:r w:rsidRPr="003518F5">
        <w:rPr>
          <w:bCs/>
        </w:rPr>
        <w:t xml:space="preserve">petition </w:t>
      </w:r>
      <w:r w:rsidR="001158E8" w:rsidRPr="007A7037">
        <w:rPr>
          <w:bCs/>
        </w:rPr>
        <w:t>in order to reflect the SBE as</w:t>
      </w:r>
      <w:r w:rsidR="001158E8">
        <w:rPr>
          <w:bCs/>
        </w:rPr>
        <w:t xml:space="preserve"> the</w:t>
      </w:r>
      <w:r w:rsidR="001158E8" w:rsidRPr="007A7037">
        <w:rPr>
          <w:bCs/>
        </w:rPr>
        <w:t xml:space="preserve"> authorizer and </w:t>
      </w:r>
      <w:r w:rsidRPr="003518F5">
        <w:rPr>
          <w:bCs/>
        </w:rPr>
        <w:t xml:space="preserve">include the necessary language in Element 10–Suspension and Expulsion </w:t>
      </w:r>
      <w:r w:rsidR="001158E8">
        <w:rPr>
          <w:bCs/>
        </w:rPr>
        <w:t xml:space="preserve">Procedures </w:t>
      </w:r>
      <w:r w:rsidRPr="003518F5">
        <w:rPr>
          <w:bCs/>
        </w:rPr>
        <w:t>that when an appeal relating to the placement of pupil</w:t>
      </w:r>
      <w:r w:rsidR="001158E8">
        <w:rPr>
          <w:bCs/>
        </w:rPr>
        <w:t>s</w:t>
      </w:r>
      <w:r w:rsidRPr="003518F5">
        <w:rPr>
          <w:bCs/>
        </w:rPr>
        <w:t xml:space="preserve"> or the manifestation determination has been requested by either the parent</w:t>
      </w:r>
      <w:r w:rsidR="001158E8">
        <w:rPr>
          <w:bCs/>
        </w:rPr>
        <w:t xml:space="preserve"> or guardian, </w:t>
      </w:r>
      <w:r w:rsidRPr="003518F5">
        <w:rPr>
          <w:bCs/>
        </w:rPr>
        <w:t xml:space="preserve">or </w:t>
      </w:r>
      <w:r w:rsidR="006E62F8">
        <w:rPr>
          <w:bCs/>
        </w:rPr>
        <w:t>TCS</w:t>
      </w:r>
      <w:r w:rsidRPr="003518F5">
        <w:rPr>
          <w:bCs/>
        </w:rPr>
        <w:t xml:space="preserve">, the pupil shall remain in the interim alternative educational setting pending the decision of the hearing officer or until the expiration of the time period provided in 20 </w:t>
      </w:r>
      <w:r w:rsidRPr="003518F5">
        <w:rPr>
          <w:bCs/>
          <w:i/>
        </w:rPr>
        <w:t>USC</w:t>
      </w:r>
      <w:r w:rsidRPr="003518F5">
        <w:rPr>
          <w:bCs/>
        </w:rPr>
        <w:t xml:space="preserve"> Section 1415(k)(1)(C), whichever occurs first, unless the parent</w:t>
      </w:r>
      <w:r w:rsidR="001158E8">
        <w:rPr>
          <w:bCs/>
        </w:rPr>
        <w:t xml:space="preserve"> or guardian</w:t>
      </w:r>
      <w:r w:rsidRPr="003518F5">
        <w:rPr>
          <w:bCs/>
        </w:rPr>
        <w:t xml:space="preserve"> and </w:t>
      </w:r>
      <w:r w:rsidR="006E62F8">
        <w:rPr>
          <w:bCs/>
        </w:rPr>
        <w:t>TCS</w:t>
      </w:r>
      <w:r w:rsidRPr="003518F5">
        <w:rPr>
          <w:bCs/>
        </w:rPr>
        <w:t xml:space="preserve"> agree otherwise.</w:t>
      </w:r>
      <w:bookmarkEnd w:id="4"/>
    </w:p>
    <w:p w14:paraId="442EB307" w14:textId="65C378AE" w:rsidR="008B0E59" w:rsidRDefault="00A409F7" w:rsidP="00BC3718">
      <w:pPr>
        <w:autoSpaceDE w:val="0"/>
        <w:autoSpaceDN w:val="0"/>
        <w:adjustRightInd w:val="0"/>
        <w:spacing w:after="100" w:afterAutospacing="1"/>
        <w:rPr>
          <w:bCs/>
        </w:rPr>
      </w:pPr>
      <w:r>
        <w:br w:type="page"/>
      </w:r>
    </w:p>
    <w:p w14:paraId="431C7687" w14:textId="55396F9F" w:rsidR="00524066" w:rsidRDefault="00524066" w:rsidP="007F164F">
      <w:pPr>
        <w:pStyle w:val="Heading3"/>
      </w:pPr>
      <w:r w:rsidRPr="00716515">
        <w:lastRenderedPageBreak/>
        <w:t>11. Teachers’ and Public Employees</w:t>
      </w:r>
      <w:r w:rsidR="002A7438" w:rsidRPr="00716515">
        <w:t>’</w:t>
      </w:r>
      <w:r w:rsidRPr="00716515">
        <w:t xml:space="preserve"> Retirement</w:t>
      </w:r>
      <w:r w:rsidRPr="009F3455">
        <w:t xml:space="preserve"> System, and Social Security Coverage</w:t>
      </w:r>
    </w:p>
    <w:p w14:paraId="35FBEB8A" w14:textId="77777777" w:rsidR="00524066" w:rsidRPr="007739F6" w:rsidRDefault="00524066" w:rsidP="007F164F">
      <w:pPr>
        <w:jc w:val="center"/>
        <w:rPr>
          <w:b/>
        </w:rPr>
      </w:pPr>
      <w:r w:rsidRPr="007739F6">
        <w:rPr>
          <w:b/>
        </w:rPr>
        <w:t>California State Teachers’ Retirement System, California Public Employees’ Retirement System, and Social Security Coverage</w:t>
      </w:r>
    </w:p>
    <w:p w14:paraId="1C87E673" w14:textId="77777777" w:rsidR="00524066" w:rsidRPr="008430D5" w:rsidRDefault="00524066" w:rsidP="007F164F">
      <w:pPr>
        <w:jc w:val="center"/>
      </w:pPr>
      <w:r w:rsidRPr="008430D5">
        <w:rPr>
          <w:i/>
        </w:rPr>
        <w:t>EC</w:t>
      </w:r>
      <w:r w:rsidRPr="008430D5">
        <w:t xml:space="preserve"> Section 47605(b)(5)(K)</w:t>
      </w:r>
    </w:p>
    <w:p w14:paraId="24A09109" w14:textId="77777777" w:rsidR="00524066" w:rsidRPr="008430D5" w:rsidRDefault="00524066" w:rsidP="007F164F">
      <w:pPr>
        <w:jc w:val="center"/>
      </w:pPr>
      <w:r w:rsidRPr="008430D5">
        <w:t xml:space="preserve">5 </w:t>
      </w:r>
      <w:r w:rsidRPr="008430D5">
        <w:rPr>
          <w:i/>
        </w:rPr>
        <w:t>CCR</w:t>
      </w:r>
      <w:r w:rsidRPr="008430D5">
        <w:t xml:space="preserve"> Section 11967.5.1(f</w:t>
      </w:r>
      <w:proofErr w:type="gramStart"/>
      <w:r w:rsidRPr="008430D5">
        <w:t>)(</w:t>
      </w:r>
      <w:proofErr w:type="gramEnd"/>
      <w:r w:rsidRPr="008430D5">
        <w:t>11)</w:t>
      </w:r>
    </w:p>
    <w:p w14:paraId="3EE8D625" w14:textId="77777777" w:rsidR="005036C8" w:rsidRPr="009F3455" w:rsidRDefault="005036C8" w:rsidP="007F164F">
      <w:pPr>
        <w:pStyle w:val="Heading4"/>
      </w:pPr>
      <w:r w:rsidRPr="009F3455">
        <w:t>Evaluation Criteria</w:t>
      </w:r>
    </w:p>
    <w:p w14:paraId="056C150C" w14:textId="38A0F3D7" w:rsidR="005036C8" w:rsidRDefault="005036C8" w:rsidP="007F164F">
      <w:pPr>
        <w:spacing w:after="100" w:afterAutospacing="1"/>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14:paraId="11B74DC9" w14:textId="03066B2D" w:rsidR="006E1FF7" w:rsidRDefault="006E1FF7" w:rsidP="007F164F">
      <w:pPr>
        <w:spacing w:after="100" w:afterAutospacing="1"/>
        <w:rPr>
          <w:b/>
        </w:rPr>
      </w:pPr>
      <w:r>
        <w:rPr>
          <w:b/>
        </w:rPr>
        <w:t>T</w:t>
      </w:r>
      <w:r w:rsidRPr="009F3455">
        <w:rPr>
          <w:b/>
        </w:rPr>
        <w:t xml:space="preserve">he petition </w:t>
      </w:r>
      <w:r>
        <w:rPr>
          <w:b/>
        </w:rPr>
        <w:t xml:space="preserve">does </w:t>
      </w:r>
      <w:r w:rsidRPr="009F3455">
        <w:rPr>
          <w:b/>
        </w:rPr>
        <w:t>present a reasonably comprehensive description of CalSTRS, CalPERS, and social security coverage</w:t>
      </w:r>
      <w:r>
        <w:rPr>
          <w:b/>
        </w:rPr>
        <w:t>.</w:t>
      </w:r>
    </w:p>
    <w:p w14:paraId="503DD12E" w14:textId="77777777" w:rsidR="005036C8" w:rsidRPr="009F3455" w:rsidRDefault="005036C8" w:rsidP="007F164F">
      <w:pPr>
        <w:pStyle w:val="Heading4"/>
      </w:pPr>
      <w:r>
        <w:t>Comments</w:t>
      </w:r>
    </w:p>
    <w:p w14:paraId="6E8EA57A" w14:textId="51732185" w:rsidR="005036C8" w:rsidRPr="007C4B83" w:rsidRDefault="004D7E39" w:rsidP="00BC3718">
      <w:pPr>
        <w:spacing w:after="100" w:afterAutospacing="1"/>
      </w:pPr>
      <w:r w:rsidRPr="007C4B83">
        <w:rPr>
          <w:bCs/>
        </w:rPr>
        <w:t xml:space="preserve">The </w:t>
      </w:r>
      <w:r w:rsidR="00716515" w:rsidRPr="007C4B83">
        <w:rPr>
          <w:bCs/>
        </w:rPr>
        <w:t>TCS</w:t>
      </w:r>
      <w:r w:rsidRPr="007C4B83">
        <w:rPr>
          <w:bCs/>
        </w:rPr>
        <w:t xml:space="preserve"> petition does</w:t>
      </w:r>
      <w:r w:rsidR="008B0E59" w:rsidRPr="007C4B83">
        <w:rPr>
          <w:bCs/>
        </w:rPr>
        <w:t xml:space="preserve"> </w:t>
      </w:r>
      <w:r w:rsidRPr="007C4B83">
        <w:rPr>
          <w:bCs/>
        </w:rPr>
        <w:t xml:space="preserve">present a reasonably comprehensive description of </w:t>
      </w:r>
      <w:r w:rsidR="007C4B83" w:rsidRPr="007C4B83">
        <w:t>CalSTRS, CalPERS, and social security coverage.</w:t>
      </w:r>
      <w:r w:rsidR="00E400A5">
        <w:t xml:space="preserve"> </w:t>
      </w:r>
      <w:r w:rsidRPr="009868DE">
        <w:rPr>
          <w:bCs/>
        </w:rPr>
        <w:t xml:space="preserve">The </w:t>
      </w:r>
      <w:r w:rsidR="00E400A5">
        <w:rPr>
          <w:bCs/>
        </w:rPr>
        <w:t xml:space="preserve">TCS </w:t>
      </w:r>
      <w:r w:rsidRPr="009868DE">
        <w:rPr>
          <w:bCs/>
        </w:rPr>
        <w:t xml:space="preserve">petition states that </w:t>
      </w:r>
      <w:r w:rsidR="00716515" w:rsidRPr="009868DE">
        <w:rPr>
          <w:bCs/>
        </w:rPr>
        <w:t>TCS</w:t>
      </w:r>
      <w:r w:rsidRPr="009868DE">
        <w:rPr>
          <w:bCs/>
        </w:rPr>
        <w:t xml:space="preserve"> plans to provide all employees with a </w:t>
      </w:r>
      <w:r w:rsidR="00DF7F22" w:rsidRPr="009868DE">
        <w:rPr>
          <w:bCs/>
        </w:rPr>
        <w:t>403(b)</w:t>
      </w:r>
      <w:r w:rsidR="00DF7F22">
        <w:rPr>
          <w:bCs/>
        </w:rPr>
        <w:t>-retirement</w:t>
      </w:r>
      <w:r w:rsidRPr="009868DE">
        <w:rPr>
          <w:bCs/>
        </w:rPr>
        <w:t xml:space="preserve"> plan</w:t>
      </w:r>
      <w:r w:rsidR="009F2948">
        <w:rPr>
          <w:bCs/>
        </w:rPr>
        <w:t>.</w:t>
      </w:r>
      <w:r w:rsidRPr="009868DE">
        <w:rPr>
          <w:bCs/>
        </w:rPr>
        <w:t xml:space="preserve"> All employees shall participate in federal social security. </w:t>
      </w:r>
      <w:r w:rsidR="009F2948">
        <w:rPr>
          <w:bCs/>
        </w:rPr>
        <w:t xml:space="preserve">Additionally, </w:t>
      </w:r>
      <w:r w:rsidR="00716515" w:rsidRPr="009868DE">
        <w:rPr>
          <w:bCs/>
        </w:rPr>
        <w:t>TCS</w:t>
      </w:r>
      <w:r w:rsidRPr="009868DE">
        <w:rPr>
          <w:bCs/>
        </w:rPr>
        <w:t xml:space="preserve"> reserves the right to offer other retirement plans to employees, pursuant to policies that may be adopted by the </w:t>
      </w:r>
      <w:r w:rsidR="005055C9">
        <w:rPr>
          <w:bCs/>
        </w:rPr>
        <w:t>Board</w:t>
      </w:r>
      <w:r w:rsidRPr="009868DE">
        <w:rPr>
          <w:bCs/>
        </w:rPr>
        <w:t xml:space="preserve">. The </w:t>
      </w:r>
      <w:r w:rsidR="009868DE" w:rsidRPr="009868DE">
        <w:rPr>
          <w:bCs/>
        </w:rPr>
        <w:t xml:space="preserve">Executive Director </w:t>
      </w:r>
      <w:r w:rsidRPr="009868DE">
        <w:rPr>
          <w:bCs/>
        </w:rPr>
        <w:t xml:space="preserve">will be responsible for ensuring that such retirement coverage is arranged for all employees (Attachment 3, p. </w:t>
      </w:r>
      <w:r w:rsidRPr="00DF7F22">
        <w:rPr>
          <w:bCs/>
        </w:rPr>
        <w:t>1</w:t>
      </w:r>
      <w:r w:rsidR="00DF7F22" w:rsidRPr="00DF7F22">
        <w:rPr>
          <w:bCs/>
        </w:rPr>
        <w:t>32</w:t>
      </w:r>
      <w:r w:rsidRPr="00DF7F22">
        <w:rPr>
          <w:bCs/>
        </w:rPr>
        <w:t>).</w:t>
      </w:r>
    </w:p>
    <w:p w14:paraId="716F3C5E" w14:textId="77777777" w:rsidR="005036C8" w:rsidRDefault="005036C8" w:rsidP="007F164F">
      <w:pPr>
        <w:pStyle w:val="Heading3"/>
      </w:pPr>
      <w:r>
        <w:br w:type="page"/>
      </w:r>
      <w:r w:rsidRPr="009F3455">
        <w:lastRenderedPageBreak/>
        <w:t>12. Public School Attendance Alternatives</w:t>
      </w:r>
    </w:p>
    <w:p w14:paraId="536BD683" w14:textId="77777777" w:rsidR="005036C8" w:rsidRPr="007C4A67" w:rsidRDefault="005036C8" w:rsidP="007F164F">
      <w:pPr>
        <w:jc w:val="center"/>
      </w:pPr>
      <w:r w:rsidRPr="007C4A67">
        <w:rPr>
          <w:i/>
        </w:rPr>
        <w:t>EC</w:t>
      </w:r>
      <w:r w:rsidRPr="007C4A67">
        <w:t xml:space="preserve"> Section 47605(b)(5)(L)</w:t>
      </w:r>
    </w:p>
    <w:p w14:paraId="6B113CE0" w14:textId="77777777" w:rsidR="005036C8" w:rsidRPr="007C4A67" w:rsidRDefault="005036C8" w:rsidP="007F164F">
      <w:pPr>
        <w:autoSpaceDE w:val="0"/>
        <w:autoSpaceDN w:val="0"/>
        <w:adjustRightInd w:val="0"/>
        <w:jc w:val="center"/>
      </w:pPr>
      <w:r w:rsidRPr="007C4A67">
        <w:t xml:space="preserve">5 </w:t>
      </w:r>
      <w:r w:rsidRPr="007C4A67">
        <w:rPr>
          <w:i/>
        </w:rPr>
        <w:t xml:space="preserve">CCR </w:t>
      </w:r>
      <w:r w:rsidRPr="007C4A67">
        <w:t>Section 11967.5.1(f</w:t>
      </w:r>
      <w:proofErr w:type="gramStart"/>
      <w:r w:rsidRPr="007C4A67">
        <w:t>)(</w:t>
      </w:r>
      <w:proofErr w:type="gramEnd"/>
      <w:r w:rsidRPr="007C4A67">
        <w:t>12)</w:t>
      </w:r>
    </w:p>
    <w:p w14:paraId="0F593CB0" w14:textId="77777777" w:rsidR="005036C8" w:rsidRPr="009F3455" w:rsidRDefault="005036C8" w:rsidP="007F164F">
      <w:pPr>
        <w:pStyle w:val="Heading4"/>
      </w:pPr>
      <w:r w:rsidRPr="009F3455">
        <w:t>Evaluation Criteria</w:t>
      </w:r>
    </w:p>
    <w:p w14:paraId="6D79E136" w14:textId="77777777" w:rsidR="005036C8" w:rsidRDefault="005036C8" w:rsidP="007F164F">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77C1B413" w14:textId="50F3145B" w:rsidR="005036C8" w:rsidRDefault="005036C8" w:rsidP="007F164F">
      <w:pPr>
        <w:autoSpaceDE w:val="0"/>
        <w:autoSpaceDN w:val="0"/>
        <w:adjustRightInd w:val="0"/>
        <w:spacing w:after="100" w:afterAutospacing="1"/>
        <w:rPr>
          <w:b/>
        </w:rPr>
      </w:pPr>
      <w:r>
        <w:rPr>
          <w:b/>
        </w:rPr>
        <w:t>T</w:t>
      </w:r>
      <w:r w:rsidRPr="009F3455">
        <w:rPr>
          <w:b/>
        </w:rPr>
        <w:t xml:space="preserve">he petition </w:t>
      </w:r>
      <w:r w:rsidR="0099161B">
        <w:rPr>
          <w:b/>
        </w:rPr>
        <w:t>does</w:t>
      </w:r>
      <w:r w:rsidRPr="005E1390">
        <w:rPr>
          <w:b/>
        </w:rPr>
        <w:t xml:space="preserve"> </w:t>
      </w:r>
      <w:r w:rsidRPr="009F3455">
        <w:rPr>
          <w:b/>
        </w:rPr>
        <w:t xml:space="preserve">present a reasonably comprehensive description of </w:t>
      </w:r>
      <w:r w:rsidR="00E21F4A" w:rsidRPr="009F3455">
        <w:rPr>
          <w:b/>
        </w:rPr>
        <w:t>public-school</w:t>
      </w:r>
      <w:r w:rsidRPr="009F3455">
        <w:rPr>
          <w:b/>
        </w:rPr>
        <w:t xml:space="preserve"> attendance alternatives</w:t>
      </w:r>
      <w:r>
        <w:rPr>
          <w:b/>
        </w:rPr>
        <w:t>.</w:t>
      </w:r>
    </w:p>
    <w:p w14:paraId="5D2626A0" w14:textId="77777777" w:rsidR="005036C8" w:rsidRPr="009F3455" w:rsidRDefault="005036C8" w:rsidP="007F164F">
      <w:pPr>
        <w:pStyle w:val="Heading4"/>
      </w:pPr>
      <w:r w:rsidRPr="00E21F4A">
        <w:t>Comments</w:t>
      </w:r>
    </w:p>
    <w:p w14:paraId="1BA4AD5B" w14:textId="1CA15AEE" w:rsidR="005036C8" w:rsidRPr="009F3455" w:rsidRDefault="0099161B" w:rsidP="00BC3718">
      <w:pPr>
        <w:autoSpaceDE w:val="0"/>
        <w:autoSpaceDN w:val="0"/>
        <w:adjustRightInd w:val="0"/>
        <w:rPr>
          <w:bCs/>
        </w:rPr>
      </w:pPr>
      <w:r>
        <w:rPr>
          <w:bCs/>
        </w:rPr>
        <w:t xml:space="preserve">The </w:t>
      </w:r>
      <w:r w:rsidR="00AA0D65">
        <w:rPr>
          <w:bCs/>
        </w:rPr>
        <w:t>TCS</w:t>
      </w:r>
      <w:r>
        <w:rPr>
          <w:bCs/>
        </w:rPr>
        <w:t xml:space="preserve"> petition does present a reasonably comprehensive description of </w:t>
      </w:r>
      <w:r w:rsidR="00764FA5">
        <w:rPr>
          <w:bCs/>
        </w:rPr>
        <w:t>public-school</w:t>
      </w:r>
      <w:r w:rsidR="008A62DA">
        <w:rPr>
          <w:bCs/>
        </w:rPr>
        <w:t xml:space="preserve"> </w:t>
      </w:r>
      <w:r>
        <w:rPr>
          <w:bCs/>
        </w:rPr>
        <w:t>attendance alternatives</w:t>
      </w:r>
      <w:r w:rsidR="005055C9">
        <w:rPr>
          <w:bCs/>
        </w:rPr>
        <w:t xml:space="preserve"> </w:t>
      </w:r>
      <w:r>
        <w:rPr>
          <w:bCs/>
        </w:rPr>
        <w:t>(Attachment 3</w:t>
      </w:r>
      <w:r w:rsidRPr="00E21F4A">
        <w:rPr>
          <w:bCs/>
        </w:rPr>
        <w:t xml:space="preserve">, p. </w:t>
      </w:r>
      <w:r w:rsidRPr="00B37B18">
        <w:rPr>
          <w:bCs/>
        </w:rPr>
        <w:t>1</w:t>
      </w:r>
      <w:r w:rsidR="00B37B18" w:rsidRPr="00B37B18">
        <w:rPr>
          <w:bCs/>
        </w:rPr>
        <w:t>33</w:t>
      </w:r>
      <w:r w:rsidRPr="00B37B18">
        <w:rPr>
          <w:bCs/>
        </w:rPr>
        <w:t>).</w:t>
      </w:r>
    </w:p>
    <w:p w14:paraId="179B3EBF" w14:textId="77777777" w:rsidR="005036C8" w:rsidRDefault="005036C8" w:rsidP="007F164F">
      <w:pPr>
        <w:pStyle w:val="Heading3"/>
        <w:rPr>
          <w:bCs/>
        </w:rPr>
      </w:pPr>
      <w:r>
        <w:br w:type="page"/>
      </w:r>
      <w:r w:rsidRPr="009F3455">
        <w:lastRenderedPageBreak/>
        <w:t>13. Post-employment Rights of</w:t>
      </w:r>
      <w:r>
        <w:t xml:space="preserve"> </w:t>
      </w:r>
      <w:r w:rsidRPr="009F3455">
        <w:t>Employees</w:t>
      </w:r>
    </w:p>
    <w:p w14:paraId="39C2F230" w14:textId="77777777" w:rsidR="005036C8" w:rsidRPr="007C4A67" w:rsidRDefault="005036C8" w:rsidP="007F164F">
      <w:pPr>
        <w:autoSpaceDE w:val="0"/>
        <w:autoSpaceDN w:val="0"/>
        <w:adjustRightInd w:val="0"/>
        <w:jc w:val="center"/>
      </w:pPr>
      <w:r w:rsidRPr="007C4A67">
        <w:rPr>
          <w:i/>
        </w:rPr>
        <w:t>EC</w:t>
      </w:r>
      <w:r w:rsidRPr="007C4A67">
        <w:t xml:space="preserve"> Section 47605(b)(5)(M)</w:t>
      </w:r>
    </w:p>
    <w:p w14:paraId="06D1FC40" w14:textId="77777777" w:rsidR="005036C8" w:rsidRPr="007C4A67" w:rsidRDefault="005036C8" w:rsidP="007F164F">
      <w:pPr>
        <w:jc w:val="center"/>
        <w:rPr>
          <w:bCs/>
        </w:rPr>
      </w:pPr>
      <w:r w:rsidRPr="007C4A67">
        <w:t xml:space="preserve">5 </w:t>
      </w:r>
      <w:r w:rsidRPr="007C4A67">
        <w:rPr>
          <w:i/>
        </w:rPr>
        <w:t>CCR</w:t>
      </w:r>
      <w:r w:rsidRPr="007C4A67">
        <w:t xml:space="preserve"> Section 11967.5.1(f</w:t>
      </w:r>
      <w:proofErr w:type="gramStart"/>
      <w:r w:rsidRPr="007C4A67">
        <w:t>)(</w:t>
      </w:r>
      <w:proofErr w:type="gramEnd"/>
      <w:r w:rsidRPr="007C4A67">
        <w:t>13)</w:t>
      </w:r>
    </w:p>
    <w:p w14:paraId="40C6CA70" w14:textId="77777777" w:rsidR="005036C8" w:rsidRPr="009F3455" w:rsidRDefault="005036C8" w:rsidP="007F164F">
      <w:pPr>
        <w:pStyle w:val="Heading4"/>
      </w:pPr>
      <w:r w:rsidRPr="009F3455">
        <w:t>Evaluation Criteria</w:t>
      </w:r>
    </w:p>
    <w:p w14:paraId="25510474" w14:textId="77777777" w:rsidR="005036C8" w:rsidRDefault="005036C8" w:rsidP="007F164F">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14:paraId="68447A08"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3024A0D8" w14:textId="77777777" w:rsidR="00ED60B5" w:rsidRPr="00ED60B5" w:rsidRDefault="00ED60B5" w:rsidP="007F164F">
            <w:pPr>
              <w:jc w:val="center"/>
              <w:outlineLvl w:val="7"/>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14:paraId="083B5BFC" w14:textId="77777777" w:rsidR="00ED60B5" w:rsidRPr="00ED60B5" w:rsidRDefault="00ED60B5" w:rsidP="007F164F">
            <w:pPr>
              <w:jc w:val="center"/>
              <w:outlineLvl w:val="7"/>
              <w:rPr>
                <w:rFonts w:eastAsia="Times New Roman" w:cs="Times New Roman"/>
              </w:rPr>
            </w:pPr>
            <w:r w:rsidRPr="00ED60B5">
              <w:rPr>
                <w:rFonts w:eastAsia="Times New Roman" w:cs="Times New Roman"/>
              </w:rPr>
              <w:t>Criteria Met</w:t>
            </w:r>
          </w:p>
        </w:tc>
      </w:tr>
      <w:tr w:rsidR="00ED60B5" w:rsidRPr="00ED60B5" w14:paraId="17786947" w14:textId="77777777" w:rsidTr="00ED60B5">
        <w:trPr>
          <w:cantSplit/>
          <w:trHeight w:val="576"/>
        </w:trPr>
        <w:tc>
          <w:tcPr>
            <w:tcW w:w="7782" w:type="dxa"/>
          </w:tcPr>
          <w:p w14:paraId="260A7A8C" w14:textId="77777777" w:rsidR="00ED60B5" w:rsidRPr="00ED60B5" w:rsidRDefault="00ED60B5" w:rsidP="007F164F">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14:paraId="7B0C0713" w14:textId="77777777" w:rsidR="00ED60B5" w:rsidRPr="00ED60B5" w:rsidRDefault="00ED60B5" w:rsidP="007F164F">
            <w:pPr>
              <w:autoSpaceDE w:val="0"/>
              <w:autoSpaceDN w:val="0"/>
              <w:adjustRightInd w:val="0"/>
              <w:jc w:val="center"/>
            </w:pPr>
            <w:r w:rsidRPr="00ED60B5">
              <w:t>Yes</w:t>
            </w:r>
          </w:p>
        </w:tc>
      </w:tr>
      <w:tr w:rsidR="00ED60B5" w:rsidRPr="00ED60B5" w14:paraId="038EE620" w14:textId="77777777" w:rsidTr="00ED60B5">
        <w:trPr>
          <w:cantSplit/>
          <w:trHeight w:val="576"/>
        </w:trPr>
        <w:tc>
          <w:tcPr>
            <w:tcW w:w="7782" w:type="dxa"/>
          </w:tcPr>
          <w:p w14:paraId="016B8890" w14:textId="77777777" w:rsidR="00ED60B5" w:rsidRPr="00ED60B5" w:rsidRDefault="00ED60B5" w:rsidP="007F164F">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14:paraId="15629F88" w14:textId="77777777" w:rsidR="00ED60B5" w:rsidRPr="00ED60B5" w:rsidRDefault="00ED60B5" w:rsidP="007F164F">
            <w:pPr>
              <w:autoSpaceDE w:val="0"/>
              <w:autoSpaceDN w:val="0"/>
              <w:adjustRightInd w:val="0"/>
              <w:jc w:val="center"/>
            </w:pPr>
            <w:r w:rsidRPr="00ED60B5">
              <w:t>Yes</w:t>
            </w:r>
          </w:p>
        </w:tc>
      </w:tr>
      <w:tr w:rsidR="00ED60B5" w:rsidRPr="00ED60B5" w14:paraId="19C207C2" w14:textId="77777777" w:rsidTr="00ED60B5">
        <w:trPr>
          <w:cantSplit/>
          <w:trHeight w:val="576"/>
        </w:trPr>
        <w:tc>
          <w:tcPr>
            <w:tcW w:w="7782" w:type="dxa"/>
          </w:tcPr>
          <w:p w14:paraId="1C1EFDB5" w14:textId="66812237" w:rsidR="00ED60B5" w:rsidRPr="00ED60B5" w:rsidRDefault="00ED60B5" w:rsidP="007F164F">
            <w:pPr>
              <w:numPr>
                <w:ilvl w:val="0"/>
                <w:numId w:val="14"/>
              </w:numPr>
              <w:autoSpaceDE w:val="0"/>
              <w:autoSpaceDN w:val="0"/>
              <w:adjustRightInd w:val="0"/>
              <w:ind w:hanging="570"/>
              <w:rPr>
                <w:rFonts w:eastAsia="Times New Roman"/>
              </w:rPr>
            </w:pPr>
            <w:r w:rsidRPr="00ED60B5">
              <w:rPr>
                <w:rFonts w:eastAsia="Times New Roman"/>
              </w:rPr>
              <w:t xml:space="preserve">Any other rights upon leaving employment to work in the charter school and any rights to return to a previous employer after working in the charter school that the </w:t>
            </w:r>
            <w:r w:rsidRPr="009D30E8">
              <w:rPr>
                <w:rFonts w:eastAsia="Times New Roman"/>
              </w:rPr>
              <w:t>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6BF7BAB1" w14:textId="77777777" w:rsidR="00ED60B5" w:rsidRPr="00ED60B5" w:rsidRDefault="00ED60B5" w:rsidP="007F164F">
            <w:pPr>
              <w:autoSpaceDE w:val="0"/>
              <w:autoSpaceDN w:val="0"/>
              <w:adjustRightInd w:val="0"/>
              <w:jc w:val="center"/>
            </w:pPr>
            <w:r w:rsidRPr="00ED60B5">
              <w:t>Yes</w:t>
            </w:r>
          </w:p>
        </w:tc>
      </w:tr>
    </w:tbl>
    <w:p w14:paraId="43B06B7A" w14:textId="77777777" w:rsidR="005036C8" w:rsidRDefault="005036C8" w:rsidP="007F164F">
      <w:pPr>
        <w:spacing w:before="100" w:beforeAutospacing="1" w:after="100" w:afterAutospacing="1"/>
        <w:rPr>
          <w:bCs/>
        </w:rPr>
      </w:pPr>
      <w:r>
        <w:rPr>
          <w:b/>
        </w:rPr>
        <w:t>T</w:t>
      </w:r>
      <w:r w:rsidRPr="009F3455">
        <w:rPr>
          <w:b/>
        </w:rPr>
        <w:t>he petition</w:t>
      </w:r>
      <w:r w:rsidR="0099161B">
        <w:rPr>
          <w:b/>
        </w:rPr>
        <w:t xml:space="preserve"> does</w:t>
      </w:r>
      <w:r w:rsidRPr="005E1390">
        <w:rPr>
          <w:b/>
        </w:rPr>
        <w:t xml:space="preserve"> </w:t>
      </w:r>
      <w:r w:rsidRPr="009F3455">
        <w:rPr>
          <w:b/>
        </w:rPr>
        <w:t>present a reasonably comprehensive description of post-employment rights of employees</w:t>
      </w:r>
      <w:r>
        <w:rPr>
          <w:b/>
        </w:rPr>
        <w:t>.</w:t>
      </w:r>
    </w:p>
    <w:p w14:paraId="62180488" w14:textId="77777777" w:rsidR="005036C8" w:rsidRPr="009F3455" w:rsidRDefault="005036C8" w:rsidP="007F164F">
      <w:pPr>
        <w:pStyle w:val="Heading4"/>
      </w:pPr>
      <w:r w:rsidRPr="008E3447">
        <w:t>Comments</w:t>
      </w:r>
    </w:p>
    <w:p w14:paraId="4E72ADBF" w14:textId="6B0159D7" w:rsidR="005036C8" w:rsidRDefault="0099161B" w:rsidP="00BC3718">
      <w:pPr>
        <w:autoSpaceDE w:val="0"/>
        <w:autoSpaceDN w:val="0"/>
        <w:adjustRightInd w:val="0"/>
        <w:rPr>
          <w:bCs/>
        </w:rPr>
      </w:pPr>
      <w:r>
        <w:rPr>
          <w:bCs/>
        </w:rPr>
        <w:t xml:space="preserve">The </w:t>
      </w:r>
      <w:r w:rsidR="00AA0D65">
        <w:rPr>
          <w:bCs/>
        </w:rPr>
        <w:t>TCS</w:t>
      </w:r>
      <w:r>
        <w:rPr>
          <w:bCs/>
        </w:rPr>
        <w:t xml:space="preserve"> petition does present a reasonably comprehensive description of post-employment rights of employees</w:t>
      </w:r>
      <w:r w:rsidR="008E3447">
        <w:rPr>
          <w:bCs/>
        </w:rPr>
        <w:t xml:space="preserve"> </w:t>
      </w:r>
      <w:r>
        <w:rPr>
          <w:bCs/>
        </w:rPr>
        <w:t xml:space="preserve">(Attachment 3, p. </w:t>
      </w:r>
      <w:r w:rsidRPr="00B37B18">
        <w:rPr>
          <w:bCs/>
        </w:rPr>
        <w:t>1</w:t>
      </w:r>
      <w:r w:rsidR="00B37B18" w:rsidRPr="00B37B18">
        <w:rPr>
          <w:bCs/>
        </w:rPr>
        <w:t>34</w:t>
      </w:r>
      <w:r w:rsidRPr="00B37B18">
        <w:rPr>
          <w:bCs/>
        </w:rPr>
        <w:t>).</w:t>
      </w:r>
    </w:p>
    <w:p w14:paraId="20805826" w14:textId="2673E7AA" w:rsidR="005036C8" w:rsidRPr="009A7CD6" w:rsidRDefault="005036C8" w:rsidP="007F164F">
      <w:pPr>
        <w:pStyle w:val="Heading3"/>
      </w:pPr>
      <w:r>
        <w:br w:type="page"/>
      </w:r>
      <w:r w:rsidRPr="009F3455">
        <w:lastRenderedPageBreak/>
        <w:t>14. Dispute Resolution Procedures</w:t>
      </w:r>
    </w:p>
    <w:p w14:paraId="76C26286" w14:textId="77777777" w:rsidR="005036C8" w:rsidRPr="009A7CD6" w:rsidRDefault="005036C8" w:rsidP="007F164F">
      <w:pPr>
        <w:autoSpaceDE w:val="0"/>
        <w:autoSpaceDN w:val="0"/>
        <w:adjustRightInd w:val="0"/>
        <w:jc w:val="center"/>
      </w:pPr>
      <w:r w:rsidRPr="009A7CD6">
        <w:rPr>
          <w:i/>
        </w:rPr>
        <w:t>EC</w:t>
      </w:r>
      <w:r w:rsidRPr="009A7CD6">
        <w:t xml:space="preserve"> Section 47605(b)(5)(N)</w:t>
      </w:r>
    </w:p>
    <w:p w14:paraId="1A4A9BC7" w14:textId="77777777" w:rsidR="005036C8" w:rsidRPr="009A7CD6" w:rsidRDefault="005036C8" w:rsidP="007F164F">
      <w:pPr>
        <w:autoSpaceDE w:val="0"/>
        <w:autoSpaceDN w:val="0"/>
        <w:adjustRightInd w:val="0"/>
        <w:jc w:val="center"/>
      </w:pPr>
      <w:r w:rsidRPr="009A7CD6">
        <w:t xml:space="preserve">5 </w:t>
      </w:r>
      <w:r w:rsidRPr="009A7CD6">
        <w:rPr>
          <w:i/>
        </w:rPr>
        <w:t>CCR</w:t>
      </w:r>
      <w:r w:rsidRPr="009A7CD6">
        <w:t xml:space="preserve"> Section 11967.5.1(f</w:t>
      </w:r>
      <w:proofErr w:type="gramStart"/>
      <w:r w:rsidRPr="009A7CD6">
        <w:t>)(</w:t>
      </w:r>
      <w:proofErr w:type="gramEnd"/>
      <w:r w:rsidRPr="009A7CD6">
        <w:t>14)</w:t>
      </w:r>
    </w:p>
    <w:p w14:paraId="3B46E6C1" w14:textId="77777777" w:rsidR="005036C8" w:rsidRPr="009F3455" w:rsidRDefault="005036C8" w:rsidP="007F164F">
      <w:pPr>
        <w:pStyle w:val="Heading4"/>
      </w:pPr>
      <w:r w:rsidRPr="009F3455">
        <w:t>Evaluation Criteria</w:t>
      </w:r>
    </w:p>
    <w:p w14:paraId="2A0F3C34" w14:textId="77777777" w:rsidR="005036C8" w:rsidRDefault="005036C8" w:rsidP="007F164F">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14:paraId="2EAD2F17" w14:textId="77777777" w:rsidTr="007A67AE">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25855250" w14:textId="77777777" w:rsidR="00ED60B5" w:rsidRPr="00ED60B5" w:rsidRDefault="00ED60B5" w:rsidP="007F164F">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06B37C1E" w14:textId="77777777" w:rsidR="00ED60B5" w:rsidRPr="00ED60B5" w:rsidRDefault="00ED60B5" w:rsidP="007F164F">
            <w:pPr>
              <w:jc w:val="center"/>
              <w:outlineLvl w:val="7"/>
              <w:rPr>
                <w:rFonts w:eastAsia="Times New Roman" w:cs="Times New Roman"/>
              </w:rPr>
            </w:pPr>
            <w:r w:rsidRPr="00ED60B5">
              <w:rPr>
                <w:rFonts w:eastAsia="Times New Roman" w:cs="Times New Roman"/>
              </w:rPr>
              <w:t>Criteria Met</w:t>
            </w:r>
          </w:p>
        </w:tc>
      </w:tr>
      <w:tr w:rsidR="00ED60B5" w:rsidRPr="00ED60B5" w14:paraId="609A8A1C" w14:textId="77777777" w:rsidTr="00ED60B5">
        <w:trPr>
          <w:cantSplit/>
          <w:trHeight w:val="576"/>
        </w:trPr>
        <w:tc>
          <w:tcPr>
            <w:tcW w:w="7769" w:type="dxa"/>
          </w:tcPr>
          <w:p w14:paraId="44F454EE" w14:textId="77777777" w:rsidR="00ED60B5" w:rsidRPr="00ED60B5" w:rsidRDefault="00ED60B5" w:rsidP="007F164F">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14:paraId="6C6B048D" w14:textId="6BBEB8EF" w:rsidR="00ED60B5" w:rsidRPr="00ED60B5" w:rsidRDefault="00656B2F" w:rsidP="007F164F">
            <w:pPr>
              <w:tabs>
                <w:tab w:val="left" w:pos="280"/>
              </w:tabs>
              <w:autoSpaceDE w:val="0"/>
              <w:autoSpaceDN w:val="0"/>
              <w:adjustRightInd w:val="0"/>
              <w:jc w:val="center"/>
            </w:pPr>
            <w:r>
              <w:t>No</w:t>
            </w:r>
          </w:p>
        </w:tc>
      </w:tr>
      <w:tr w:rsidR="00ED60B5" w:rsidRPr="00ED60B5" w14:paraId="50C3001C" w14:textId="77777777" w:rsidTr="00ED60B5">
        <w:trPr>
          <w:cantSplit/>
          <w:trHeight w:val="576"/>
        </w:trPr>
        <w:tc>
          <w:tcPr>
            <w:tcW w:w="7769" w:type="dxa"/>
          </w:tcPr>
          <w:p w14:paraId="23B13BCD" w14:textId="77777777" w:rsidR="00ED60B5" w:rsidRPr="00ED60B5" w:rsidRDefault="00ED60B5" w:rsidP="007F164F">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14:paraId="614FE2F7" w14:textId="3B78E8B7" w:rsidR="00ED60B5" w:rsidRPr="00ED60B5" w:rsidRDefault="00590DBE" w:rsidP="007F164F">
            <w:pPr>
              <w:autoSpaceDE w:val="0"/>
              <w:autoSpaceDN w:val="0"/>
              <w:adjustRightInd w:val="0"/>
              <w:jc w:val="center"/>
            </w:pPr>
            <w:r>
              <w:t>No</w:t>
            </w:r>
          </w:p>
        </w:tc>
      </w:tr>
      <w:tr w:rsidR="00ED60B5" w:rsidRPr="00ED60B5" w14:paraId="18B7D892" w14:textId="77777777" w:rsidTr="00ED60B5">
        <w:trPr>
          <w:cantSplit/>
          <w:trHeight w:val="576"/>
        </w:trPr>
        <w:tc>
          <w:tcPr>
            <w:tcW w:w="7769" w:type="dxa"/>
          </w:tcPr>
          <w:p w14:paraId="63E81EF7" w14:textId="77777777" w:rsidR="00ED60B5" w:rsidRPr="00ED60B5" w:rsidRDefault="00ED60B5" w:rsidP="007F164F">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14:paraId="5AF8E00A" w14:textId="38F3344D" w:rsidR="00ED60B5" w:rsidRPr="00ED60B5" w:rsidRDefault="00656B2F" w:rsidP="007F164F">
            <w:pPr>
              <w:tabs>
                <w:tab w:val="left" w:pos="280"/>
              </w:tabs>
              <w:autoSpaceDE w:val="0"/>
              <w:autoSpaceDN w:val="0"/>
              <w:adjustRightInd w:val="0"/>
              <w:jc w:val="center"/>
            </w:pPr>
            <w:r>
              <w:t>No</w:t>
            </w:r>
          </w:p>
        </w:tc>
      </w:tr>
      <w:tr w:rsidR="00ED60B5" w:rsidRPr="00ED60B5" w14:paraId="3E1B671D" w14:textId="77777777" w:rsidTr="00ED60B5">
        <w:trPr>
          <w:cantSplit/>
          <w:trHeight w:val="576"/>
        </w:trPr>
        <w:tc>
          <w:tcPr>
            <w:tcW w:w="7769" w:type="dxa"/>
          </w:tcPr>
          <w:p w14:paraId="5FFC12F5" w14:textId="0E8793E6" w:rsidR="00ED60B5" w:rsidRPr="00ED60B5" w:rsidRDefault="00ED60B5" w:rsidP="007F164F">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SB’s discretion in accordance with that provision of law and any regulations pertaining thereto.</w:t>
            </w:r>
          </w:p>
        </w:tc>
        <w:tc>
          <w:tcPr>
            <w:tcW w:w="1584" w:type="dxa"/>
          </w:tcPr>
          <w:p w14:paraId="64702A80" w14:textId="2EFE6C7D" w:rsidR="00ED60B5" w:rsidRPr="00ED60B5" w:rsidRDefault="00590DBE" w:rsidP="007F164F">
            <w:pPr>
              <w:tabs>
                <w:tab w:val="left" w:pos="280"/>
              </w:tabs>
              <w:autoSpaceDE w:val="0"/>
              <w:autoSpaceDN w:val="0"/>
              <w:adjustRightInd w:val="0"/>
              <w:jc w:val="center"/>
            </w:pPr>
            <w:r>
              <w:t>No</w:t>
            </w:r>
          </w:p>
        </w:tc>
      </w:tr>
    </w:tbl>
    <w:p w14:paraId="3C4F8B9E" w14:textId="2FE65969" w:rsidR="005036C8" w:rsidRDefault="005036C8" w:rsidP="007F164F">
      <w:pPr>
        <w:autoSpaceDE w:val="0"/>
        <w:autoSpaceDN w:val="0"/>
        <w:adjustRightInd w:val="0"/>
        <w:spacing w:before="100" w:beforeAutospacing="1" w:after="100" w:afterAutospacing="1"/>
      </w:pPr>
      <w:r>
        <w:rPr>
          <w:b/>
        </w:rPr>
        <w:t>T</w:t>
      </w:r>
      <w:r w:rsidRPr="009F3455">
        <w:rPr>
          <w:b/>
        </w:rPr>
        <w:t xml:space="preserve">he petition </w:t>
      </w:r>
      <w:r w:rsidR="0099161B">
        <w:rPr>
          <w:b/>
        </w:rPr>
        <w:t>does</w:t>
      </w:r>
      <w:r w:rsidRPr="005E1390">
        <w:rPr>
          <w:b/>
        </w:rPr>
        <w:t xml:space="preserve"> </w:t>
      </w:r>
      <w:r w:rsidR="00590DBE">
        <w:rPr>
          <w:b/>
        </w:rPr>
        <w:t xml:space="preserve">not </w:t>
      </w:r>
      <w:r w:rsidRPr="009F3455">
        <w:rPr>
          <w:b/>
        </w:rPr>
        <w:t>present a reasonably comprehensive description of dispute resolution procedures</w:t>
      </w:r>
      <w:r>
        <w:rPr>
          <w:b/>
        </w:rPr>
        <w:t>.</w:t>
      </w:r>
    </w:p>
    <w:p w14:paraId="52ABFC32" w14:textId="77777777" w:rsidR="005036C8" w:rsidRPr="009F3455" w:rsidRDefault="005036C8" w:rsidP="007F164F">
      <w:pPr>
        <w:pStyle w:val="Heading4"/>
      </w:pPr>
      <w:r>
        <w:t>Comments</w:t>
      </w:r>
    </w:p>
    <w:p w14:paraId="5F280E6B" w14:textId="66802681" w:rsidR="00C568DA" w:rsidRPr="007A7037" w:rsidRDefault="00B6344C" w:rsidP="00BC3718">
      <w:pPr>
        <w:autoSpaceDE w:val="0"/>
        <w:autoSpaceDN w:val="0"/>
        <w:adjustRightInd w:val="0"/>
        <w:spacing w:after="100" w:afterAutospacing="1"/>
        <w:rPr>
          <w:bCs/>
        </w:rPr>
      </w:pPr>
      <w:r w:rsidRPr="007A7037">
        <w:rPr>
          <w:bCs/>
        </w:rPr>
        <w:t>Th</w:t>
      </w:r>
      <w:r w:rsidR="0099161B" w:rsidRPr="007A7037">
        <w:rPr>
          <w:bCs/>
        </w:rPr>
        <w:t xml:space="preserve">e </w:t>
      </w:r>
      <w:r w:rsidR="00656B2F" w:rsidRPr="007A7037">
        <w:rPr>
          <w:bCs/>
        </w:rPr>
        <w:t>TCS</w:t>
      </w:r>
      <w:r w:rsidR="0099161B" w:rsidRPr="007A7037">
        <w:rPr>
          <w:bCs/>
        </w:rPr>
        <w:t xml:space="preserve"> petition does </w:t>
      </w:r>
      <w:r w:rsidR="00656B2F" w:rsidRPr="007A7037">
        <w:rPr>
          <w:bCs/>
        </w:rPr>
        <w:t xml:space="preserve">not </w:t>
      </w:r>
      <w:r w:rsidR="0099161B" w:rsidRPr="007A7037">
        <w:rPr>
          <w:bCs/>
        </w:rPr>
        <w:t xml:space="preserve">present a reasonably comprehensive description of dispute resolution procedures. </w:t>
      </w:r>
      <w:r w:rsidR="00C568DA" w:rsidRPr="007A7037">
        <w:rPr>
          <w:bCs/>
        </w:rPr>
        <w:t xml:space="preserve">The </w:t>
      </w:r>
      <w:r w:rsidR="00590DBE" w:rsidRPr="007A7037">
        <w:rPr>
          <w:bCs/>
        </w:rPr>
        <w:t xml:space="preserve">TCS </w:t>
      </w:r>
      <w:r w:rsidR="00C568DA" w:rsidRPr="007A7037">
        <w:rPr>
          <w:bCs/>
        </w:rPr>
        <w:t xml:space="preserve">petition </w:t>
      </w:r>
      <w:r w:rsidR="000162A7" w:rsidRPr="007A7037">
        <w:rPr>
          <w:bCs/>
        </w:rPr>
        <w:t>does not directly address policies and procedures specific to the S</w:t>
      </w:r>
      <w:r w:rsidR="00603505" w:rsidRPr="007A7037">
        <w:rPr>
          <w:bCs/>
        </w:rPr>
        <w:t>BE</w:t>
      </w:r>
      <w:r w:rsidR="005055C9">
        <w:rPr>
          <w:bCs/>
        </w:rPr>
        <w:t xml:space="preserve">’s </w:t>
      </w:r>
      <w:r w:rsidR="000162A7" w:rsidRPr="007A7037">
        <w:rPr>
          <w:bCs/>
        </w:rPr>
        <w:t>dispute resolution requirements as an authorizer</w:t>
      </w:r>
      <w:r w:rsidR="005055C9">
        <w:rPr>
          <w:bCs/>
        </w:rPr>
        <w:t>,</w:t>
      </w:r>
      <w:r w:rsidR="007A7037">
        <w:rPr>
          <w:bCs/>
        </w:rPr>
        <w:t xml:space="preserve"> as follows:</w:t>
      </w:r>
    </w:p>
    <w:p w14:paraId="2BBE7E26" w14:textId="7E9BCEF2" w:rsidR="006E1FF7" w:rsidRDefault="007A7037" w:rsidP="00BC3718">
      <w:pPr>
        <w:pStyle w:val="ListParagraph"/>
        <w:numPr>
          <w:ilvl w:val="0"/>
          <w:numId w:val="45"/>
        </w:numPr>
        <w:autoSpaceDE w:val="0"/>
        <w:autoSpaceDN w:val="0"/>
        <w:adjustRightInd w:val="0"/>
        <w:spacing w:after="240"/>
      </w:pPr>
      <w:r w:rsidRPr="006E1FF7">
        <w:lastRenderedPageBreak/>
        <w:t>S</w:t>
      </w:r>
      <w:r w:rsidR="006E1FF7" w:rsidRPr="006E1FF7">
        <w:t xml:space="preserve">pecific provisions relating to dispute resolution that the SBE determines necessary and appropriate in recognition of the fact that the SBE is not a </w:t>
      </w:r>
      <w:r w:rsidR="005055C9">
        <w:t>local educational agency (</w:t>
      </w:r>
      <w:r w:rsidR="006E1FF7" w:rsidRPr="006E1FF7">
        <w:t>LEA</w:t>
      </w:r>
      <w:r w:rsidR="005055C9">
        <w:t>)</w:t>
      </w:r>
      <w:r w:rsidR="006E1FF7" w:rsidRPr="006E1FF7">
        <w:t>.</w:t>
      </w:r>
    </w:p>
    <w:p w14:paraId="10218204" w14:textId="77777777" w:rsidR="006B5DBC" w:rsidRPr="007A7037" w:rsidRDefault="006B5DBC" w:rsidP="00BC3718">
      <w:pPr>
        <w:pStyle w:val="ListParagraph"/>
        <w:numPr>
          <w:ilvl w:val="0"/>
          <w:numId w:val="45"/>
        </w:numPr>
        <w:autoSpaceDE w:val="0"/>
        <w:autoSpaceDN w:val="0"/>
        <w:adjustRightInd w:val="0"/>
        <w:spacing w:after="240"/>
        <w:rPr>
          <w:bCs/>
        </w:rPr>
      </w:pPr>
      <w:r w:rsidRPr="007A7037">
        <w:rPr>
          <w:bCs/>
        </w:rPr>
        <w:t>Recognize that, because it is not an LEA, the SBE</w:t>
      </w:r>
      <w:r w:rsidR="003830F7" w:rsidRPr="007A7037">
        <w:rPr>
          <w:bCs/>
        </w:rPr>
        <w:t xml:space="preserv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p w14:paraId="70859F81" w14:textId="77777777" w:rsidR="003830F7" w:rsidRPr="007A7037" w:rsidRDefault="003830F7" w:rsidP="00BC3718">
      <w:pPr>
        <w:pStyle w:val="ListParagraph"/>
        <w:numPr>
          <w:ilvl w:val="0"/>
          <w:numId w:val="45"/>
        </w:numPr>
        <w:autoSpaceDE w:val="0"/>
        <w:autoSpaceDN w:val="0"/>
        <w:adjustRightInd w:val="0"/>
        <w:spacing w:after="240"/>
        <w:rPr>
          <w:bCs/>
        </w:rPr>
      </w:pPr>
      <w:r w:rsidRPr="007A7037">
        <w:rPr>
          <w:bCs/>
        </w:rPr>
        <w:t xml:space="preserve">Recognize that if the substance of a dispute is a matter that could result in the taking of appropriate action, including, but not limited to, revocation of the charter in accordance with </w:t>
      </w:r>
      <w:r w:rsidRPr="007A7037">
        <w:rPr>
          <w:bCs/>
          <w:i/>
        </w:rPr>
        <w:t>EC</w:t>
      </w:r>
      <w:r w:rsidRPr="007A7037">
        <w:rPr>
          <w:bCs/>
        </w:rPr>
        <w:t xml:space="preserve"> Section 47604.5, the matter will be addressed at the SBE’s discretion in accordance with that provision of law and any regulations pertaining thereto.</w:t>
      </w:r>
    </w:p>
    <w:p w14:paraId="3D0B88C7" w14:textId="040149DE" w:rsidR="007A7037" w:rsidRPr="007A7037" w:rsidRDefault="003830F7" w:rsidP="00BC3718">
      <w:pPr>
        <w:pStyle w:val="ListParagraph"/>
        <w:numPr>
          <w:ilvl w:val="0"/>
          <w:numId w:val="45"/>
        </w:numPr>
        <w:autoSpaceDE w:val="0"/>
        <w:autoSpaceDN w:val="0"/>
        <w:adjustRightInd w:val="0"/>
        <w:spacing w:after="240"/>
        <w:rPr>
          <w:bCs/>
        </w:rPr>
      </w:pPr>
      <w:r w:rsidRPr="007A7037">
        <w:rPr>
          <w:bCs/>
        </w:rPr>
        <w:t>Recognize that the SBE cannot be pre-bound to a contractual obligation to split the costs of mediation or agree to mediation to resolve disputes.</w:t>
      </w:r>
    </w:p>
    <w:p w14:paraId="35B8EEBE" w14:textId="609BF45A" w:rsidR="007A7037" w:rsidRPr="00135A08" w:rsidRDefault="007A7037" w:rsidP="00BC3718">
      <w:pPr>
        <w:autoSpaceDE w:val="0"/>
        <w:autoSpaceDN w:val="0"/>
        <w:adjustRightInd w:val="0"/>
        <w:spacing w:after="100" w:afterAutospacing="1"/>
        <w:rPr>
          <w:bCs/>
        </w:rPr>
      </w:pPr>
      <w:r w:rsidRPr="007A7037">
        <w:rPr>
          <w:bCs/>
        </w:rPr>
        <w:t xml:space="preserve">If approved by the SBE, as a condition for approval, the petitioner will be required to revise the </w:t>
      </w:r>
      <w:r w:rsidR="005055C9" w:rsidRPr="007A7037">
        <w:rPr>
          <w:bCs/>
        </w:rPr>
        <w:t xml:space="preserve">TCS </w:t>
      </w:r>
      <w:r w:rsidRPr="007A7037">
        <w:rPr>
          <w:bCs/>
        </w:rPr>
        <w:t>petition in order to reflect the SBE as</w:t>
      </w:r>
      <w:r w:rsidR="005055C9">
        <w:rPr>
          <w:bCs/>
        </w:rPr>
        <w:t xml:space="preserve"> the</w:t>
      </w:r>
      <w:r w:rsidRPr="007A7037">
        <w:rPr>
          <w:bCs/>
        </w:rPr>
        <w:t xml:space="preserve"> authorizer and include the necessary language for Element 14–Dispute Resolution Procedures.</w:t>
      </w:r>
    </w:p>
    <w:p w14:paraId="7229507F" w14:textId="77777777" w:rsidR="005036C8" w:rsidRPr="009F3455" w:rsidRDefault="005036C8" w:rsidP="007F164F">
      <w:pPr>
        <w:pStyle w:val="Heading3"/>
      </w:pPr>
      <w:r>
        <w:br w:type="page"/>
      </w:r>
      <w:r w:rsidRPr="009F3455">
        <w:lastRenderedPageBreak/>
        <w:t>15. Closure Procedures</w:t>
      </w:r>
    </w:p>
    <w:p w14:paraId="3601FDD1" w14:textId="77777777" w:rsidR="005036C8" w:rsidRPr="00E478D4" w:rsidRDefault="005036C8" w:rsidP="007F164F">
      <w:pPr>
        <w:jc w:val="center"/>
      </w:pPr>
      <w:r w:rsidRPr="00E478D4">
        <w:rPr>
          <w:i/>
        </w:rPr>
        <w:t>EC</w:t>
      </w:r>
      <w:r w:rsidRPr="00E478D4">
        <w:t xml:space="preserve"> Section 47605(b)(5)(O)</w:t>
      </w:r>
    </w:p>
    <w:p w14:paraId="05730123" w14:textId="77777777" w:rsidR="005036C8" w:rsidRPr="00E478D4" w:rsidRDefault="005036C8" w:rsidP="007F164F">
      <w:pPr>
        <w:jc w:val="center"/>
      </w:pPr>
      <w:r w:rsidRPr="00E478D4">
        <w:t xml:space="preserve">5 </w:t>
      </w:r>
      <w:r w:rsidRPr="00E478D4">
        <w:rPr>
          <w:i/>
        </w:rPr>
        <w:t>CCR</w:t>
      </w:r>
      <w:r w:rsidRPr="00E478D4">
        <w:t xml:space="preserve"> Section 11967.5.1(f</w:t>
      </w:r>
      <w:proofErr w:type="gramStart"/>
      <w:r w:rsidRPr="00E478D4">
        <w:t>)(</w:t>
      </w:r>
      <w:proofErr w:type="gramEnd"/>
      <w:r w:rsidRPr="00E478D4">
        <w:t>15)</w:t>
      </w:r>
    </w:p>
    <w:p w14:paraId="27FF56C3" w14:textId="77777777" w:rsidR="005036C8" w:rsidRPr="009F3455" w:rsidRDefault="005036C8" w:rsidP="007F164F">
      <w:pPr>
        <w:pStyle w:val="Heading4"/>
      </w:pPr>
      <w:r w:rsidRPr="009F3455">
        <w:t>Evaluation Criteria</w:t>
      </w:r>
    </w:p>
    <w:p w14:paraId="09B02F6A" w14:textId="77777777" w:rsidR="005036C8" w:rsidRDefault="005036C8" w:rsidP="007F164F">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14:paraId="4717AE4E" w14:textId="77777777" w:rsidR="005036C8" w:rsidRDefault="003722D7" w:rsidP="007F164F">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14:paraId="7286B409" w14:textId="77777777" w:rsidR="005036C8" w:rsidRPr="009F3455" w:rsidRDefault="005036C8" w:rsidP="007F164F">
      <w:pPr>
        <w:pStyle w:val="Heading4"/>
      </w:pPr>
      <w:r>
        <w:t>Comments</w:t>
      </w:r>
    </w:p>
    <w:p w14:paraId="34B5A4F9" w14:textId="6635B410" w:rsidR="005036C8" w:rsidRDefault="003722D7" w:rsidP="00BC3718">
      <w:pPr>
        <w:autoSpaceDE w:val="0"/>
        <w:autoSpaceDN w:val="0"/>
        <w:adjustRightInd w:val="0"/>
        <w:rPr>
          <w:bCs/>
        </w:rPr>
      </w:pPr>
      <w:r>
        <w:rPr>
          <w:bCs/>
        </w:rPr>
        <w:t xml:space="preserve">The </w:t>
      </w:r>
      <w:r w:rsidR="00656B2F">
        <w:rPr>
          <w:bCs/>
        </w:rPr>
        <w:t>TCS</w:t>
      </w:r>
      <w:r>
        <w:rPr>
          <w:bCs/>
        </w:rPr>
        <w:t xml:space="preserve"> petition does include a reasonably comprehensive description of closure procedures</w:t>
      </w:r>
      <w:r w:rsidR="009F2948">
        <w:rPr>
          <w:bCs/>
        </w:rPr>
        <w:t xml:space="preserve"> </w:t>
      </w:r>
      <w:r w:rsidRPr="003152C1">
        <w:rPr>
          <w:bCs/>
        </w:rPr>
        <w:t xml:space="preserve">(Attachment 3, </w:t>
      </w:r>
      <w:r w:rsidRPr="00135348">
        <w:rPr>
          <w:bCs/>
        </w:rPr>
        <w:t>pp.</w:t>
      </w:r>
      <w:r w:rsidR="005055C9">
        <w:rPr>
          <w:bCs/>
        </w:rPr>
        <w:t xml:space="preserve"> </w:t>
      </w:r>
      <w:r w:rsidRPr="00B37B18">
        <w:rPr>
          <w:bCs/>
        </w:rPr>
        <w:t>1</w:t>
      </w:r>
      <w:r w:rsidR="00135348" w:rsidRPr="00B37B18">
        <w:rPr>
          <w:bCs/>
        </w:rPr>
        <w:t>3</w:t>
      </w:r>
      <w:r w:rsidR="00B37B18" w:rsidRPr="00B37B18">
        <w:rPr>
          <w:bCs/>
        </w:rPr>
        <w:t>7</w:t>
      </w:r>
      <w:r w:rsidR="007C4B83">
        <w:rPr>
          <w:bCs/>
        </w:rPr>
        <w:t>–</w:t>
      </w:r>
      <w:r w:rsidR="00B37B18" w:rsidRPr="00B37B18">
        <w:rPr>
          <w:bCs/>
        </w:rPr>
        <w:t>138</w:t>
      </w:r>
      <w:r w:rsidRPr="00B37B18">
        <w:rPr>
          <w:bCs/>
        </w:rPr>
        <w:t>).</w:t>
      </w:r>
    </w:p>
    <w:p w14:paraId="3786A6EB" w14:textId="77777777" w:rsidR="005036C8" w:rsidRPr="00524066" w:rsidRDefault="005036C8" w:rsidP="007F164F">
      <w:pPr>
        <w:pStyle w:val="Heading2"/>
      </w:pPr>
      <w:r>
        <w:br w:type="page"/>
      </w:r>
      <w:r w:rsidRPr="00524066">
        <w:lastRenderedPageBreak/>
        <w:t xml:space="preserve">ADDITIONAL REQUIREMENTS UNDER </w:t>
      </w:r>
      <w:r w:rsidRPr="00524066">
        <w:rPr>
          <w:i/>
        </w:rPr>
        <w:t>EDUCATION CODE</w:t>
      </w:r>
      <w:r w:rsidRPr="00524066">
        <w:t xml:space="preserve"> SECTION 47605</w:t>
      </w:r>
    </w:p>
    <w:p w14:paraId="43BE63A2" w14:textId="77777777" w:rsidR="005036C8" w:rsidRDefault="005036C8" w:rsidP="007F164F">
      <w:pPr>
        <w:pStyle w:val="Heading3"/>
      </w:pPr>
      <w:r w:rsidRPr="009F3455">
        <w:t>Standards, Assessments, and Parent Consultation</w:t>
      </w:r>
    </w:p>
    <w:p w14:paraId="7A0104A8" w14:textId="77777777" w:rsidR="005036C8" w:rsidRPr="007217DB" w:rsidRDefault="005036C8" w:rsidP="007F164F">
      <w:pPr>
        <w:jc w:val="center"/>
      </w:pPr>
      <w:r w:rsidRPr="00E478D4">
        <w:rPr>
          <w:i/>
        </w:rPr>
        <w:t>EC</w:t>
      </w:r>
      <w:r w:rsidRPr="007217DB">
        <w:t xml:space="preserve"> </w:t>
      </w:r>
      <w:r>
        <w:t>s</w:t>
      </w:r>
      <w:r w:rsidRPr="007217DB">
        <w:t>ections 47605(c)(1) and (2)</w:t>
      </w:r>
    </w:p>
    <w:p w14:paraId="141C93D3" w14:textId="77777777" w:rsidR="005036C8" w:rsidRPr="007217DB" w:rsidRDefault="005036C8" w:rsidP="007F164F">
      <w:pPr>
        <w:jc w:val="center"/>
      </w:pPr>
      <w:r w:rsidRPr="007217DB">
        <w:t xml:space="preserve">5 </w:t>
      </w:r>
      <w:r w:rsidRPr="00E478D4">
        <w:rPr>
          <w:i/>
        </w:rPr>
        <w:t>CCR</w:t>
      </w:r>
      <w:r w:rsidRPr="007217DB">
        <w:t xml:space="preserve"> Section 11967.5.1(f)(3)</w:t>
      </w:r>
    </w:p>
    <w:p w14:paraId="275FC39F" w14:textId="77777777" w:rsidR="005036C8" w:rsidRPr="009F3455" w:rsidRDefault="005036C8" w:rsidP="007F164F">
      <w:pPr>
        <w:pStyle w:val="Heading4"/>
      </w:pPr>
      <w:r w:rsidRPr="009F3455">
        <w:t>Evaluation Criteria</w:t>
      </w:r>
    </w:p>
    <w:p w14:paraId="1FE0668F" w14:textId="77777777" w:rsidR="005036C8" w:rsidRDefault="005036C8" w:rsidP="007F164F">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14:paraId="358C814D"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7ECB2D79" w14:textId="77777777" w:rsidR="00ED60B5" w:rsidRPr="00ED60B5" w:rsidRDefault="00ED60B5" w:rsidP="007F164F">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539C7DA2" w14:textId="77777777" w:rsidR="00ED60B5" w:rsidRPr="00ED60B5" w:rsidRDefault="00ED60B5" w:rsidP="007F164F">
            <w:pPr>
              <w:jc w:val="center"/>
              <w:outlineLvl w:val="7"/>
              <w:rPr>
                <w:rFonts w:eastAsia="Times New Roman" w:cs="Times New Roman"/>
              </w:rPr>
            </w:pPr>
            <w:r w:rsidRPr="00ED60B5">
              <w:rPr>
                <w:rFonts w:eastAsia="Times New Roman" w:cs="Times New Roman"/>
              </w:rPr>
              <w:t>Criteria Met</w:t>
            </w:r>
          </w:p>
        </w:tc>
      </w:tr>
      <w:tr w:rsidR="00ED60B5" w:rsidRPr="00ED60B5" w14:paraId="04FE1D5A" w14:textId="77777777" w:rsidTr="00ED60B5">
        <w:trPr>
          <w:cantSplit/>
          <w:trHeight w:val="576"/>
        </w:trPr>
        <w:tc>
          <w:tcPr>
            <w:tcW w:w="7696" w:type="dxa"/>
          </w:tcPr>
          <w:p w14:paraId="6A492B74" w14:textId="77777777" w:rsidR="00ED60B5" w:rsidRPr="00ED60B5" w:rsidRDefault="00ED60B5" w:rsidP="007F164F">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14:paraId="14150218" w14:textId="77777777" w:rsidR="00ED60B5" w:rsidRPr="00ED60B5" w:rsidRDefault="00ED60B5" w:rsidP="007F164F">
            <w:pPr>
              <w:autoSpaceDE w:val="0"/>
              <w:autoSpaceDN w:val="0"/>
              <w:adjustRightInd w:val="0"/>
              <w:jc w:val="center"/>
            </w:pPr>
            <w:r w:rsidRPr="00ED60B5">
              <w:t>Yes</w:t>
            </w:r>
          </w:p>
        </w:tc>
      </w:tr>
      <w:tr w:rsidR="00ED60B5" w:rsidRPr="00ED60B5" w14:paraId="524D393B" w14:textId="77777777" w:rsidTr="00ED60B5">
        <w:trPr>
          <w:cantSplit/>
          <w:trHeight w:val="576"/>
        </w:trPr>
        <w:tc>
          <w:tcPr>
            <w:tcW w:w="7696" w:type="dxa"/>
          </w:tcPr>
          <w:p w14:paraId="23B8B5E0" w14:textId="77777777" w:rsidR="00ED60B5" w:rsidRPr="00ED60B5" w:rsidRDefault="00ED60B5" w:rsidP="007F164F">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14:paraId="0026245A" w14:textId="77777777" w:rsidR="00ED60B5" w:rsidRPr="00ED60B5" w:rsidRDefault="00ED60B5" w:rsidP="007F164F">
            <w:pPr>
              <w:autoSpaceDE w:val="0"/>
              <w:autoSpaceDN w:val="0"/>
              <w:adjustRightInd w:val="0"/>
              <w:jc w:val="center"/>
            </w:pPr>
            <w:r w:rsidRPr="00ED60B5">
              <w:t>Yes</w:t>
            </w:r>
          </w:p>
        </w:tc>
      </w:tr>
    </w:tbl>
    <w:p w14:paraId="77997089" w14:textId="77777777" w:rsidR="005036C8" w:rsidRDefault="005036C8" w:rsidP="007F164F">
      <w:pPr>
        <w:autoSpaceDE w:val="0"/>
        <w:autoSpaceDN w:val="0"/>
        <w:adjustRightInd w:val="0"/>
        <w:spacing w:before="100" w:beforeAutospacing="1" w:after="100" w:afterAutospacing="1"/>
      </w:pPr>
      <w:r>
        <w:rPr>
          <w:b/>
        </w:rPr>
        <w:t>T</w:t>
      </w:r>
      <w:r w:rsidRPr="009F3455">
        <w:rPr>
          <w:b/>
        </w:rPr>
        <w:t xml:space="preserve">he petition </w:t>
      </w:r>
      <w:r w:rsidR="003722D7">
        <w:rPr>
          <w:b/>
        </w:rPr>
        <w:t>does</w:t>
      </w:r>
      <w:r w:rsidRPr="005E1390">
        <w:rPr>
          <w:b/>
        </w:rPr>
        <w:t xml:space="preserve"> </w:t>
      </w:r>
      <w:r w:rsidRPr="009F3455">
        <w:rPr>
          <w:b/>
        </w:rPr>
        <w:t>provide evidence addressing the requirements regarding standards, assessments, and parent consultation</w:t>
      </w:r>
      <w:r>
        <w:rPr>
          <w:b/>
        </w:rPr>
        <w:t>.</w:t>
      </w:r>
    </w:p>
    <w:p w14:paraId="547F39C5" w14:textId="77777777" w:rsidR="005036C8" w:rsidRPr="00F81C97" w:rsidRDefault="005036C8" w:rsidP="007F164F">
      <w:pPr>
        <w:pStyle w:val="Heading4"/>
      </w:pPr>
      <w:r>
        <w:t>Comments</w:t>
      </w:r>
    </w:p>
    <w:p w14:paraId="2FD81A1A" w14:textId="69F1D778" w:rsidR="005036C8" w:rsidRDefault="00B6344C" w:rsidP="00BC3718">
      <w:pPr>
        <w:autoSpaceDE w:val="0"/>
        <w:autoSpaceDN w:val="0"/>
        <w:adjustRightInd w:val="0"/>
        <w:rPr>
          <w:bCs/>
        </w:rPr>
      </w:pPr>
      <w:r>
        <w:rPr>
          <w:bCs/>
        </w:rPr>
        <w:t xml:space="preserve">The </w:t>
      </w:r>
      <w:r w:rsidR="00656B2F">
        <w:rPr>
          <w:bCs/>
        </w:rPr>
        <w:t xml:space="preserve">TCS </w:t>
      </w:r>
      <w:r>
        <w:rPr>
          <w:bCs/>
        </w:rPr>
        <w:t xml:space="preserve">petition does provide evidence addressing the requirements regarding standards, assessments, and parent consultation </w:t>
      </w:r>
      <w:r w:rsidR="00C71996">
        <w:rPr>
          <w:bCs/>
        </w:rPr>
        <w:t>(</w:t>
      </w:r>
      <w:r w:rsidR="00C71996" w:rsidRPr="00D97390">
        <w:rPr>
          <w:bCs/>
        </w:rPr>
        <w:t>Attachment 3, p</w:t>
      </w:r>
      <w:r w:rsidR="00104AD0" w:rsidRPr="00D97390">
        <w:rPr>
          <w:bCs/>
        </w:rPr>
        <w:t>p</w:t>
      </w:r>
      <w:r w:rsidR="00104AD0" w:rsidRPr="00B37B18">
        <w:rPr>
          <w:bCs/>
        </w:rPr>
        <w:t xml:space="preserve">. </w:t>
      </w:r>
      <w:r w:rsidR="00B37B18" w:rsidRPr="00B37B18">
        <w:rPr>
          <w:bCs/>
        </w:rPr>
        <w:t>4</w:t>
      </w:r>
      <w:r w:rsidR="006B4672">
        <w:rPr>
          <w:bCs/>
        </w:rPr>
        <w:t>–</w:t>
      </w:r>
      <w:r w:rsidR="00B37B18" w:rsidRPr="00B37B18">
        <w:rPr>
          <w:bCs/>
        </w:rPr>
        <w:t>5</w:t>
      </w:r>
      <w:r w:rsidR="00AE47BE">
        <w:rPr>
          <w:bCs/>
        </w:rPr>
        <w:t xml:space="preserve"> and 77</w:t>
      </w:r>
      <w:r w:rsidR="006B4672">
        <w:rPr>
          <w:bCs/>
        </w:rPr>
        <w:t>–</w:t>
      </w:r>
      <w:r w:rsidR="00AE47BE">
        <w:rPr>
          <w:bCs/>
        </w:rPr>
        <w:t>84).</w:t>
      </w:r>
    </w:p>
    <w:p w14:paraId="106E21A1" w14:textId="77777777" w:rsidR="005036C8" w:rsidRPr="00522AB3" w:rsidRDefault="005036C8" w:rsidP="007F164F">
      <w:pPr>
        <w:pStyle w:val="Heading3"/>
      </w:pPr>
      <w:r>
        <w:br w:type="page"/>
      </w:r>
      <w:r w:rsidRPr="009F3455">
        <w:lastRenderedPageBreak/>
        <w:t>Effect on Authorizer and Financial Projections</w:t>
      </w:r>
    </w:p>
    <w:p w14:paraId="6C0CCA38" w14:textId="77777777" w:rsidR="005036C8" w:rsidRPr="00522AB3" w:rsidRDefault="005036C8" w:rsidP="007F164F">
      <w:pPr>
        <w:jc w:val="center"/>
      </w:pPr>
      <w:r w:rsidRPr="00E478D4">
        <w:rPr>
          <w:i/>
        </w:rPr>
        <w:t>EC</w:t>
      </w:r>
      <w:r w:rsidRPr="00522AB3">
        <w:t xml:space="preserve"> Section 47605(g)</w:t>
      </w:r>
    </w:p>
    <w:p w14:paraId="41B6B10B" w14:textId="77777777" w:rsidR="005036C8" w:rsidRPr="00522AB3" w:rsidRDefault="005036C8" w:rsidP="007F164F">
      <w:pPr>
        <w:jc w:val="center"/>
      </w:pPr>
      <w:r w:rsidRPr="00522AB3">
        <w:t xml:space="preserve">5 </w:t>
      </w:r>
      <w:r w:rsidRPr="00E478D4">
        <w:rPr>
          <w:i/>
        </w:rPr>
        <w:t>CCR</w:t>
      </w:r>
      <w:r w:rsidRPr="00522AB3">
        <w:t xml:space="preserve"> Section 11967.5.1(c)(</w:t>
      </w:r>
      <w:proofErr w:type="gramStart"/>
      <w:r w:rsidRPr="00522AB3">
        <w:t>3)(</w:t>
      </w:r>
      <w:proofErr w:type="gramEnd"/>
      <w:r w:rsidRPr="00522AB3">
        <w:t>A–C)</w:t>
      </w:r>
    </w:p>
    <w:p w14:paraId="18B2BFA7" w14:textId="77777777" w:rsidR="005036C8" w:rsidRPr="009F3455" w:rsidRDefault="005036C8" w:rsidP="007F164F">
      <w:pPr>
        <w:pStyle w:val="Heading4"/>
      </w:pPr>
      <w:r w:rsidRPr="009F3455">
        <w:t>Evaluation Criteria</w:t>
      </w:r>
    </w:p>
    <w:p w14:paraId="1C6F162E" w14:textId="77777777" w:rsidR="005036C8" w:rsidRDefault="005036C8" w:rsidP="007F164F">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14:paraId="41E39277" w14:textId="777777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14:paraId="6CB29223" w14:textId="77777777" w:rsidR="00ED60B5" w:rsidRPr="00ED60B5" w:rsidRDefault="00ED60B5" w:rsidP="007F164F">
            <w:pPr>
              <w:jc w:val="center"/>
              <w:outlineLvl w:val="7"/>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14:paraId="199D4818" w14:textId="77777777" w:rsidR="00ED60B5" w:rsidRPr="00ED60B5" w:rsidRDefault="00ED60B5" w:rsidP="007F164F">
            <w:pPr>
              <w:jc w:val="center"/>
              <w:outlineLvl w:val="7"/>
              <w:rPr>
                <w:rFonts w:eastAsia="Times New Roman" w:cs="Times New Roman"/>
              </w:rPr>
            </w:pPr>
            <w:r w:rsidRPr="00ED60B5">
              <w:rPr>
                <w:rFonts w:eastAsia="Times New Roman" w:cs="Times New Roman"/>
              </w:rPr>
              <w:t>Criteria Met</w:t>
            </w:r>
          </w:p>
        </w:tc>
      </w:tr>
      <w:tr w:rsidR="00ED60B5" w:rsidRPr="00ED60B5" w14:paraId="240A227F" w14:textId="77777777" w:rsidTr="005D4936">
        <w:trPr>
          <w:cantSplit/>
          <w:trHeight w:val="576"/>
        </w:trPr>
        <w:tc>
          <w:tcPr>
            <w:tcW w:w="7780" w:type="dxa"/>
          </w:tcPr>
          <w:p w14:paraId="5276BF96" w14:textId="77777777" w:rsidR="00ED60B5" w:rsidRPr="00ED60B5" w:rsidRDefault="00ED60B5" w:rsidP="007F164F">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14:paraId="30A0CDF6" w14:textId="77777777" w:rsidR="00ED60B5" w:rsidRPr="00ED60B5" w:rsidRDefault="00ED60B5" w:rsidP="007F164F">
            <w:pPr>
              <w:autoSpaceDE w:val="0"/>
              <w:autoSpaceDN w:val="0"/>
              <w:adjustRightInd w:val="0"/>
              <w:jc w:val="center"/>
            </w:pPr>
            <w:r>
              <w:t>Yes</w:t>
            </w:r>
          </w:p>
        </w:tc>
      </w:tr>
      <w:tr w:rsidR="00ED60B5" w:rsidRPr="00ED60B5" w14:paraId="5C2B3F87" w14:textId="77777777" w:rsidTr="005D4936">
        <w:trPr>
          <w:cantSplit/>
          <w:trHeight w:val="576"/>
        </w:trPr>
        <w:tc>
          <w:tcPr>
            <w:tcW w:w="7780" w:type="dxa"/>
          </w:tcPr>
          <w:p w14:paraId="33DA2A98" w14:textId="77777777" w:rsidR="00ED60B5" w:rsidRPr="00ED60B5" w:rsidRDefault="00ED60B5" w:rsidP="007F164F">
            <w:pPr>
              <w:numPr>
                <w:ilvl w:val="0"/>
                <w:numId w:val="17"/>
              </w:numPr>
              <w:tabs>
                <w:tab w:val="clear" w:pos="720"/>
                <w:tab w:val="num" w:pos="510"/>
              </w:tabs>
              <w:autoSpaceDE w:val="0"/>
              <w:autoSpaceDN w:val="0"/>
              <w:adjustRightInd w:val="0"/>
              <w:ind w:left="510"/>
            </w:pPr>
            <w:r w:rsidRPr="00ED60B5">
              <w:t xml:space="preserve">The manner in which </w:t>
            </w:r>
            <w:r w:rsidRPr="00B62CA8">
              <w:t>administrative services</w:t>
            </w:r>
            <w:r w:rsidRPr="00ED60B5">
              <w:t xml:space="preserve"> of the school are to be provided.</w:t>
            </w:r>
          </w:p>
        </w:tc>
        <w:tc>
          <w:tcPr>
            <w:tcW w:w="1584" w:type="dxa"/>
          </w:tcPr>
          <w:p w14:paraId="53A0D57F" w14:textId="63E7BD76" w:rsidR="00ED60B5" w:rsidRPr="00ED60B5" w:rsidRDefault="00B62CA8" w:rsidP="007F164F">
            <w:pPr>
              <w:autoSpaceDE w:val="0"/>
              <w:autoSpaceDN w:val="0"/>
              <w:adjustRightInd w:val="0"/>
              <w:jc w:val="center"/>
            </w:pPr>
            <w:r>
              <w:t>Yes</w:t>
            </w:r>
          </w:p>
        </w:tc>
      </w:tr>
      <w:tr w:rsidR="00ED60B5" w:rsidRPr="00ED60B5" w14:paraId="43B07128" w14:textId="77777777" w:rsidTr="005055C9">
        <w:trPr>
          <w:cantSplit/>
          <w:trHeight w:val="70"/>
        </w:trPr>
        <w:tc>
          <w:tcPr>
            <w:tcW w:w="7780" w:type="dxa"/>
          </w:tcPr>
          <w:p w14:paraId="02310872" w14:textId="77777777" w:rsidR="00ED60B5" w:rsidRPr="00ED60B5" w:rsidRDefault="00ED60B5" w:rsidP="007F164F">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shd w:val="clear" w:color="auto" w:fill="auto"/>
          </w:tcPr>
          <w:p w14:paraId="2E1DAE32" w14:textId="643CAFD2" w:rsidR="00ED60B5" w:rsidRPr="00ED60B5" w:rsidRDefault="00C71996" w:rsidP="007F164F">
            <w:pPr>
              <w:autoSpaceDE w:val="0"/>
              <w:autoSpaceDN w:val="0"/>
              <w:adjustRightInd w:val="0"/>
              <w:jc w:val="center"/>
            </w:pPr>
            <w:r w:rsidRPr="0057788E">
              <w:t>Yes</w:t>
            </w:r>
          </w:p>
        </w:tc>
      </w:tr>
      <w:tr w:rsidR="00ED60B5" w:rsidRPr="00ED60B5" w14:paraId="771027FC" w14:textId="77777777" w:rsidTr="005D4936">
        <w:trPr>
          <w:cantSplit/>
          <w:trHeight w:val="576"/>
        </w:trPr>
        <w:tc>
          <w:tcPr>
            <w:tcW w:w="7780" w:type="dxa"/>
          </w:tcPr>
          <w:p w14:paraId="62F1F6D4" w14:textId="77777777" w:rsidR="00ED60B5" w:rsidRPr="00ED60B5" w:rsidRDefault="00ED60B5" w:rsidP="007F164F">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7797010C" w14:textId="463D5D7D" w:rsidR="00ED60B5" w:rsidRPr="00ED60B5" w:rsidRDefault="00AF6CD8" w:rsidP="007F164F">
            <w:pPr>
              <w:autoSpaceDE w:val="0"/>
              <w:autoSpaceDN w:val="0"/>
              <w:adjustRightInd w:val="0"/>
              <w:jc w:val="center"/>
            </w:pPr>
            <w:r>
              <w:t>Yes</w:t>
            </w:r>
          </w:p>
        </w:tc>
      </w:tr>
    </w:tbl>
    <w:p w14:paraId="41DAEDDA" w14:textId="51A04FE6" w:rsidR="005036C8" w:rsidRPr="005E1390" w:rsidRDefault="005036C8" w:rsidP="007F164F">
      <w:pPr>
        <w:spacing w:before="100" w:beforeAutospacing="1" w:after="100" w:afterAutospacing="1"/>
        <w:rPr>
          <w:b/>
        </w:rPr>
      </w:pPr>
      <w:r w:rsidRPr="005C2720">
        <w:rPr>
          <w:b/>
        </w:rPr>
        <w:t>The petition</w:t>
      </w:r>
      <w:r w:rsidR="00C71996" w:rsidRPr="005C2720">
        <w:rPr>
          <w:b/>
        </w:rPr>
        <w:t xml:space="preserve"> does</w:t>
      </w:r>
      <w:r w:rsidR="00656B2F">
        <w:rPr>
          <w:b/>
        </w:rPr>
        <w:t xml:space="preserve"> </w:t>
      </w:r>
      <w:r w:rsidRPr="005E1390">
        <w:rPr>
          <w:b/>
        </w:rPr>
        <w:t>provide the required information and financial projections</w:t>
      </w:r>
      <w:r>
        <w:rPr>
          <w:b/>
        </w:rPr>
        <w:t>.</w:t>
      </w:r>
    </w:p>
    <w:p w14:paraId="06E38F0D" w14:textId="29322227" w:rsidR="005036C8" w:rsidRDefault="005036C8" w:rsidP="007F164F">
      <w:pPr>
        <w:pStyle w:val="Heading4"/>
      </w:pPr>
      <w:r>
        <w:t>Comments</w:t>
      </w:r>
    </w:p>
    <w:p w14:paraId="6E283803" w14:textId="6425EC84" w:rsidR="006E1FF7" w:rsidRDefault="006E1FF7" w:rsidP="00BC3718">
      <w:pPr>
        <w:autoSpaceDE w:val="0"/>
        <w:autoSpaceDN w:val="0"/>
        <w:adjustRightInd w:val="0"/>
        <w:spacing w:after="100" w:afterAutospacing="1"/>
        <w:rPr>
          <w:bCs/>
        </w:rPr>
      </w:pPr>
      <w:r>
        <w:rPr>
          <w:bCs/>
        </w:rPr>
        <w:t xml:space="preserve">The TCS petition does provide the required information and financial projections (Attachment </w:t>
      </w:r>
      <w:r w:rsidR="00AE47BE">
        <w:rPr>
          <w:bCs/>
        </w:rPr>
        <w:t>3, pp.</w:t>
      </w:r>
      <w:r w:rsidR="005055C9">
        <w:rPr>
          <w:bCs/>
        </w:rPr>
        <w:t xml:space="preserve"> </w:t>
      </w:r>
      <w:r w:rsidR="00AE47BE">
        <w:rPr>
          <w:bCs/>
        </w:rPr>
        <w:t>139</w:t>
      </w:r>
      <w:r w:rsidR="006B4672">
        <w:rPr>
          <w:bCs/>
        </w:rPr>
        <w:t>–</w:t>
      </w:r>
      <w:r w:rsidR="00AE47BE">
        <w:rPr>
          <w:bCs/>
        </w:rPr>
        <w:t>144</w:t>
      </w:r>
      <w:r w:rsidR="005055C9">
        <w:rPr>
          <w:bCs/>
        </w:rPr>
        <w:t>)</w:t>
      </w:r>
      <w:r w:rsidR="007C4B83">
        <w:rPr>
          <w:bCs/>
        </w:rPr>
        <w:t>.</w:t>
      </w:r>
    </w:p>
    <w:p w14:paraId="70959E57" w14:textId="59FA19C7" w:rsidR="00603505" w:rsidRPr="006E1FF7" w:rsidRDefault="006E1FF7" w:rsidP="00BC3718">
      <w:pPr>
        <w:spacing w:after="100" w:afterAutospacing="1"/>
      </w:pPr>
      <w:r>
        <w:t xml:space="preserve">TCS plans to </w:t>
      </w:r>
      <w:r w:rsidRPr="00B37B18">
        <w:t xml:space="preserve">lease a facility within the </w:t>
      </w:r>
      <w:r w:rsidR="00B37B18">
        <w:t xml:space="preserve">geographic </w:t>
      </w:r>
      <w:r w:rsidRPr="00B37B18">
        <w:t>boundaries of MUSD.</w:t>
      </w:r>
    </w:p>
    <w:p w14:paraId="38EC8CCF" w14:textId="77777777" w:rsidR="005036C8" w:rsidRPr="00522AB3" w:rsidRDefault="005036C8" w:rsidP="007F164F">
      <w:pPr>
        <w:pStyle w:val="Heading3"/>
      </w:pPr>
      <w:r>
        <w:br w:type="page"/>
      </w:r>
      <w:r w:rsidRPr="00522AB3">
        <w:lastRenderedPageBreak/>
        <w:t>Teacher Credentialing</w:t>
      </w:r>
    </w:p>
    <w:p w14:paraId="65E2B138" w14:textId="77777777" w:rsidR="005036C8" w:rsidRPr="00592C02" w:rsidRDefault="005036C8" w:rsidP="007F164F">
      <w:pPr>
        <w:autoSpaceDE w:val="0"/>
        <w:autoSpaceDN w:val="0"/>
        <w:adjustRightInd w:val="0"/>
        <w:jc w:val="center"/>
      </w:pPr>
      <w:r w:rsidRPr="00592C02">
        <w:rPr>
          <w:i/>
        </w:rPr>
        <w:t>EC</w:t>
      </w:r>
      <w:r w:rsidRPr="00592C02">
        <w:t xml:space="preserve"> Section 47605(l)</w:t>
      </w:r>
    </w:p>
    <w:p w14:paraId="44B5B13F" w14:textId="77777777" w:rsidR="005036C8" w:rsidRPr="00592C02" w:rsidRDefault="005036C8" w:rsidP="007F164F">
      <w:pPr>
        <w:jc w:val="center"/>
      </w:pPr>
      <w:r w:rsidRPr="00592C02">
        <w:t xml:space="preserve">5 </w:t>
      </w:r>
      <w:r w:rsidRPr="00592C02">
        <w:rPr>
          <w:i/>
        </w:rPr>
        <w:t>CCR</w:t>
      </w:r>
      <w:r w:rsidRPr="00592C02">
        <w:t xml:space="preserve"> Section 11967.5.1(f)(5)</w:t>
      </w:r>
    </w:p>
    <w:p w14:paraId="095D9A0D" w14:textId="77777777" w:rsidR="005036C8" w:rsidRPr="009F3455" w:rsidRDefault="005036C8" w:rsidP="007F164F">
      <w:pPr>
        <w:pStyle w:val="Heading4"/>
      </w:pPr>
      <w:r w:rsidRPr="009F3455">
        <w:t>Evaluation Criteria</w:t>
      </w:r>
    </w:p>
    <w:p w14:paraId="66EBA83B" w14:textId="77777777" w:rsidR="005036C8" w:rsidRDefault="005036C8" w:rsidP="007F164F">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14:paraId="79A1D285" w14:textId="77777777" w:rsidR="005036C8" w:rsidRDefault="005036C8" w:rsidP="007F164F">
      <w:pPr>
        <w:spacing w:after="100" w:afterAutospacing="1"/>
      </w:pPr>
      <w:r>
        <w:rPr>
          <w:b/>
        </w:rPr>
        <w:t>T</w:t>
      </w:r>
      <w:r w:rsidRPr="009F3455">
        <w:rPr>
          <w:b/>
        </w:rPr>
        <w:t xml:space="preserve">he petition </w:t>
      </w:r>
      <w:r w:rsidR="00120410">
        <w:rPr>
          <w:b/>
        </w:rPr>
        <w:t>does</w:t>
      </w:r>
      <w:r>
        <w:rPr>
          <w:b/>
        </w:rPr>
        <w:t xml:space="preserve"> </w:t>
      </w:r>
      <w:r w:rsidRPr="009F3455">
        <w:rPr>
          <w:b/>
        </w:rPr>
        <w:t>meet this requirement</w:t>
      </w:r>
      <w:r>
        <w:rPr>
          <w:b/>
        </w:rPr>
        <w:t>.</w:t>
      </w:r>
    </w:p>
    <w:p w14:paraId="50163885" w14:textId="77777777" w:rsidR="005036C8" w:rsidRPr="009F3455" w:rsidRDefault="005036C8" w:rsidP="007F164F">
      <w:pPr>
        <w:pStyle w:val="Heading4"/>
      </w:pPr>
      <w:r w:rsidRPr="005C2720">
        <w:t>Comments</w:t>
      </w:r>
    </w:p>
    <w:p w14:paraId="31F4C6BA" w14:textId="2E03CCD5" w:rsidR="00D7009C" w:rsidRPr="00BD7C14" w:rsidRDefault="00120410" w:rsidP="00BC3718">
      <w:pPr>
        <w:autoSpaceDE w:val="0"/>
        <w:autoSpaceDN w:val="0"/>
        <w:adjustRightInd w:val="0"/>
        <w:rPr>
          <w:bCs/>
          <w:highlight w:val="yellow"/>
        </w:rPr>
      </w:pPr>
      <w:r>
        <w:rPr>
          <w:bCs/>
        </w:rPr>
        <w:t xml:space="preserve">The </w:t>
      </w:r>
      <w:r w:rsidR="00656B2F">
        <w:rPr>
          <w:bCs/>
        </w:rPr>
        <w:t xml:space="preserve">TCS </w:t>
      </w:r>
      <w:r>
        <w:rPr>
          <w:bCs/>
        </w:rPr>
        <w:t>petition does meet this requirement</w:t>
      </w:r>
      <w:r w:rsidR="0017350D">
        <w:rPr>
          <w:bCs/>
        </w:rPr>
        <w:t xml:space="preserve"> </w:t>
      </w:r>
      <w:r w:rsidR="005C2720">
        <w:rPr>
          <w:bCs/>
        </w:rPr>
        <w:t xml:space="preserve">(Attachment 3, </w:t>
      </w:r>
      <w:r w:rsidR="005C2720" w:rsidRPr="005C2720">
        <w:rPr>
          <w:bCs/>
        </w:rPr>
        <w:t>pp</w:t>
      </w:r>
      <w:r w:rsidR="005C2720" w:rsidRPr="00E17AD1">
        <w:rPr>
          <w:bCs/>
        </w:rPr>
        <w:t xml:space="preserve">. </w:t>
      </w:r>
      <w:r w:rsidR="00E17AD1" w:rsidRPr="00E17AD1">
        <w:rPr>
          <w:bCs/>
        </w:rPr>
        <w:t>5</w:t>
      </w:r>
      <w:r w:rsidR="005C2720" w:rsidRPr="00E17AD1">
        <w:rPr>
          <w:bCs/>
        </w:rPr>
        <w:t xml:space="preserve"> and </w:t>
      </w:r>
      <w:r w:rsidR="00E17AD1" w:rsidRPr="00E17AD1">
        <w:rPr>
          <w:bCs/>
        </w:rPr>
        <w:t>95</w:t>
      </w:r>
      <w:r w:rsidR="006E1FF7" w:rsidRPr="00E17AD1">
        <w:rPr>
          <w:bCs/>
        </w:rPr>
        <w:t>–</w:t>
      </w:r>
      <w:r w:rsidR="005C2720" w:rsidRPr="00E17AD1">
        <w:rPr>
          <w:bCs/>
        </w:rPr>
        <w:t>9</w:t>
      </w:r>
      <w:r w:rsidR="00E17AD1" w:rsidRPr="00E17AD1">
        <w:rPr>
          <w:bCs/>
        </w:rPr>
        <w:t>7</w:t>
      </w:r>
      <w:r w:rsidR="005C2720" w:rsidRPr="00E17AD1">
        <w:rPr>
          <w:bCs/>
        </w:rPr>
        <w:t>).</w:t>
      </w:r>
    </w:p>
    <w:p w14:paraId="633EFE2B" w14:textId="77777777" w:rsidR="005036C8" w:rsidRPr="009F3455" w:rsidRDefault="005036C8" w:rsidP="007F164F">
      <w:pPr>
        <w:pStyle w:val="Heading3"/>
      </w:pPr>
      <w:r>
        <w:br w:type="page"/>
      </w:r>
      <w:r w:rsidRPr="009F3455">
        <w:lastRenderedPageBreak/>
        <w:t>Transmission of Audit Report</w:t>
      </w:r>
    </w:p>
    <w:p w14:paraId="02A9A83E" w14:textId="77777777" w:rsidR="005036C8" w:rsidRDefault="005036C8" w:rsidP="007F164F">
      <w:pPr>
        <w:jc w:val="center"/>
      </w:pPr>
      <w:r w:rsidRPr="009F3455">
        <w:rPr>
          <w:i/>
        </w:rPr>
        <w:t>EC</w:t>
      </w:r>
      <w:r w:rsidRPr="009F3455">
        <w:t xml:space="preserve"> Section 47605(m)</w:t>
      </w:r>
    </w:p>
    <w:p w14:paraId="41A80639" w14:textId="77777777" w:rsidR="005036C8" w:rsidRPr="009F3455" w:rsidRDefault="005036C8" w:rsidP="007F164F">
      <w:pPr>
        <w:jc w:val="center"/>
      </w:pPr>
      <w:r w:rsidRPr="009F3455">
        <w:t xml:space="preserve">5 </w:t>
      </w:r>
      <w:r w:rsidRPr="009F3455">
        <w:rPr>
          <w:i/>
        </w:rPr>
        <w:t>CCR</w:t>
      </w:r>
      <w:r w:rsidRPr="009F3455">
        <w:t xml:space="preserve"> Section 11967.5.1(f)(9)</w:t>
      </w:r>
    </w:p>
    <w:p w14:paraId="66039F49" w14:textId="77777777" w:rsidR="005036C8" w:rsidRPr="009F3455" w:rsidRDefault="005036C8" w:rsidP="007F164F">
      <w:pPr>
        <w:pStyle w:val="Heading4"/>
      </w:pPr>
      <w:r w:rsidRPr="009F3455">
        <w:t>Evaluation Criteria</w:t>
      </w:r>
    </w:p>
    <w:p w14:paraId="3402978D" w14:textId="77777777" w:rsidR="005036C8" w:rsidRPr="009F3455" w:rsidRDefault="005036C8" w:rsidP="007F164F">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627CC281" w14:textId="77777777" w:rsidR="005036C8" w:rsidRPr="009F3455" w:rsidRDefault="005036C8" w:rsidP="007F164F">
      <w:pPr>
        <w:autoSpaceDE w:val="0"/>
        <w:autoSpaceDN w:val="0"/>
        <w:adjustRightInd w:val="0"/>
        <w:spacing w:after="100" w:afterAutospacing="1"/>
        <w:rPr>
          <w:b/>
        </w:rPr>
      </w:pPr>
      <w:r>
        <w:rPr>
          <w:b/>
        </w:rPr>
        <w:t>T</w:t>
      </w:r>
      <w:r w:rsidRPr="009F3455">
        <w:rPr>
          <w:b/>
        </w:rPr>
        <w:t xml:space="preserve">he petition </w:t>
      </w:r>
      <w:r w:rsidR="00120410">
        <w:rPr>
          <w:b/>
        </w:rPr>
        <w:t>does</w:t>
      </w:r>
      <w:r>
        <w:rPr>
          <w:b/>
        </w:rPr>
        <w:t xml:space="preserve"> </w:t>
      </w:r>
      <w:r w:rsidRPr="009F3455">
        <w:rPr>
          <w:b/>
        </w:rPr>
        <w:t>address this requirement</w:t>
      </w:r>
      <w:r>
        <w:rPr>
          <w:b/>
        </w:rPr>
        <w:t>.</w:t>
      </w:r>
    </w:p>
    <w:p w14:paraId="673EB73C" w14:textId="77777777" w:rsidR="005036C8" w:rsidRPr="00D5202B" w:rsidRDefault="005036C8" w:rsidP="007F164F">
      <w:pPr>
        <w:pStyle w:val="Heading4"/>
      </w:pPr>
      <w:r w:rsidRPr="00D5202B">
        <w:t>Comments</w:t>
      </w:r>
    </w:p>
    <w:p w14:paraId="7DBC6D05" w14:textId="0E261BDA" w:rsidR="009F2948" w:rsidRDefault="00120410" w:rsidP="00BC3718">
      <w:pPr>
        <w:autoSpaceDE w:val="0"/>
        <w:autoSpaceDN w:val="0"/>
        <w:adjustRightInd w:val="0"/>
        <w:spacing w:after="240"/>
        <w:rPr>
          <w:bCs/>
        </w:rPr>
      </w:pPr>
      <w:r w:rsidRPr="00D5202B">
        <w:rPr>
          <w:bCs/>
        </w:rPr>
        <w:t xml:space="preserve">The </w:t>
      </w:r>
      <w:r w:rsidR="00656B2F" w:rsidRPr="00D5202B">
        <w:rPr>
          <w:bCs/>
        </w:rPr>
        <w:t>TCS</w:t>
      </w:r>
      <w:r w:rsidRPr="00D5202B">
        <w:rPr>
          <w:bCs/>
        </w:rPr>
        <w:t xml:space="preserve"> petition does address this requirement</w:t>
      </w:r>
      <w:r w:rsidR="00C00132" w:rsidRPr="00D5202B">
        <w:rPr>
          <w:bCs/>
        </w:rPr>
        <w:t>.</w:t>
      </w:r>
    </w:p>
    <w:p w14:paraId="6C0879F9" w14:textId="794E13AB" w:rsidR="005036C8" w:rsidRDefault="006E1FF7" w:rsidP="00BC3718">
      <w:pPr>
        <w:autoSpaceDE w:val="0"/>
        <w:autoSpaceDN w:val="0"/>
        <w:adjustRightInd w:val="0"/>
        <w:spacing w:after="240"/>
        <w:rPr>
          <w:bCs/>
        </w:rPr>
      </w:pPr>
      <w:r>
        <w:rPr>
          <w:bCs/>
        </w:rPr>
        <w:t>The</w:t>
      </w:r>
      <w:r w:rsidR="00C00132" w:rsidRPr="00D5202B">
        <w:rPr>
          <w:bCs/>
        </w:rPr>
        <w:t xml:space="preserve"> annual audit</w:t>
      </w:r>
      <w:r>
        <w:rPr>
          <w:bCs/>
        </w:rPr>
        <w:t xml:space="preserve"> of TCS</w:t>
      </w:r>
      <w:r w:rsidR="00C00132" w:rsidRPr="00D5202B">
        <w:rPr>
          <w:bCs/>
        </w:rPr>
        <w:t xml:space="preserve"> shall be completed and forwarded to the </w:t>
      </w:r>
      <w:r w:rsidR="00D5202B" w:rsidRPr="00D5202B">
        <w:rPr>
          <w:bCs/>
        </w:rPr>
        <w:t xml:space="preserve">authorizer, the County Superintendent of Schools, the State Controller, and the CDE by the </w:t>
      </w:r>
      <w:r w:rsidR="005055C9">
        <w:rPr>
          <w:bCs/>
        </w:rPr>
        <w:t>fifteenth</w:t>
      </w:r>
      <w:r w:rsidR="00D5202B" w:rsidRPr="00D5202B">
        <w:rPr>
          <w:bCs/>
        </w:rPr>
        <w:t xml:space="preserve"> of December of each year in accordance with </w:t>
      </w:r>
      <w:r w:rsidR="00D5202B" w:rsidRPr="009F2948">
        <w:rPr>
          <w:bCs/>
          <w:i/>
        </w:rPr>
        <w:t>E</w:t>
      </w:r>
      <w:r w:rsidR="009F2948" w:rsidRPr="009F2948">
        <w:rPr>
          <w:bCs/>
          <w:i/>
        </w:rPr>
        <w:t>C</w:t>
      </w:r>
      <w:r w:rsidR="009F2948">
        <w:rPr>
          <w:bCs/>
        </w:rPr>
        <w:t xml:space="preserve"> </w:t>
      </w:r>
      <w:r w:rsidR="005055C9">
        <w:rPr>
          <w:bCs/>
        </w:rPr>
        <w:t xml:space="preserve">Section </w:t>
      </w:r>
      <w:r w:rsidR="00D5202B" w:rsidRPr="00D5202B">
        <w:rPr>
          <w:bCs/>
        </w:rPr>
        <w:t>47604.33 (</w:t>
      </w:r>
      <w:r w:rsidR="00120410" w:rsidRPr="00D5202B">
        <w:rPr>
          <w:bCs/>
        </w:rPr>
        <w:t>Attachment 3, p</w:t>
      </w:r>
      <w:r w:rsidR="005055C9">
        <w:rPr>
          <w:bCs/>
        </w:rPr>
        <w:t>p</w:t>
      </w:r>
      <w:r w:rsidR="00120410" w:rsidRPr="00E17AD1">
        <w:rPr>
          <w:bCs/>
        </w:rPr>
        <w:t>. 1</w:t>
      </w:r>
      <w:r w:rsidR="00E17AD1" w:rsidRPr="00E17AD1">
        <w:rPr>
          <w:bCs/>
        </w:rPr>
        <w:t>14</w:t>
      </w:r>
      <w:r w:rsidR="00594BA0">
        <w:rPr>
          <w:bCs/>
        </w:rPr>
        <w:t xml:space="preserve"> and 137</w:t>
      </w:r>
      <w:r w:rsidR="006B4672">
        <w:rPr>
          <w:bCs/>
        </w:rPr>
        <w:t>–</w:t>
      </w:r>
      <w:r w:rsidR="00594BA0">
        <w:rPr>
          <w:bCs/>
        </w:rPr>
        <w:t>138</w:t>
      </w:r>
      <w:r w:rsidR="00120410" w:rsidRPr="00E17AD1">
        <w:rPr>
          <w:bCs/>
        </w:rPr>
        <w:t>).</w:t>
      </w:r>
    </w:p>
    <w:p w14:paraId="1C3C24FE" w14:textId="77777777" w:rsidR="005036C8" w:rsidRPr="009F3455" w:rsidRDefault="005036C8" w:rsidP="007F164F">
      <w:pPr>
        <w:pStyle w:val="Heading3"/>
      </w:pPr>
      <w:r>
        <w:br w:type="page"/>
      </w:r>
      <w:r w:rsidRPr="009F3455">
        <w:lastRenderedPageBreak/>
        <w:t>Goals to Address the Eight State Priorities</w:t>
      </w:r>
    </w:p>
    <w:p w14:paraId="4A63EE87" w14:textId="77777777" w:rsidR="005036C8" w:rsidRPr="009F3455" w:rsidRDefault="005036C8" w:rsidP="007F164F">
      <w:pPr>
        <w:jc w:val="center"/>
      </w:pPr>
      <w:r w:rsidRPr="009F3455">
        <w:rPr>
          <w:i/>
        </w:rPr>
        <w:t>EC</w:t>
      </w:r>
      <w:r w:rsidRPr="009F3455">
        <w:t xml:space="preserve"> Section 47605(b)(5)(A)(ii)</w:t>
      </w:r>
    </w:p>
    <w:p w14:paraId="76C28B1B" w14:textId="77777777" w:rsidR="005036C8" w:rsidRPr="009F3455" w:rsidRDefault="005036C8" w:rsidP="007F164F">
      <w:pPr>
        <w:pStyle w:val="Heading4"/>
      </w:pPr>
      <w:r w:rsidRPr="009F3455">
        <w:t>Evaluation Criteria</w:t>
      </w:r>
    </w:p>
    <w:p w14:paraId="205F7163" w14:textId="77777777" w:rsidR="005036C8" w:rsidRDefault="005036C8" w:rsidP="007F164F">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088DB012" w14:textId="459FDB56" w:rsidR="005036C8" w:rsidRDefault="005036C8" w:rsidP="007F164F">
      <w:pPr>
        <w:autoSpaceDE w:val="0"/>
        <w:autoSpaceDN w:val="0"/>
        <w:adjustRightInd w:val="0"/>
        <w:spacing w:after="100" w:afterAutospacing="1"/>
      </w:pPr>
      <w:r>
        <w:rPr>
          <w:b/>
        </w:rPr>
        <w:t>T</w:t>
      </w:r>
      <w:r w:rsidRPr="005E1390">
        <w:rPr>
          <w:b/>
        </w:rPr>
        <w:t xml:space="preserve">he petition </w:t>
      </w:r>
      <w:r w:rsidR="00120410">
        <w:rPr>
          <w:b/>
        </w:rPr>
        <w:t>does</w:t>
      </w:r>
      <w:r>
        <w:rPr>
          <w:b/>
        </w:rPr>
        <w:t xml:space="preserve"> </w:t>
      </w:r>
      <w:r w:rsidR="005D69B3">
        <w:rPr>
          <w:b/>
        </w:rPr>
        <w:t xml:space="preserve">not </w:t>
      </w:r>
      <w:r w:rsidRPr="005E1390">
        <w:rPr>
          <w:b/>
        </w:rPr>
        <w:t>address this requirement</w:t>
      </w:r>
      <w:r>
        <w:rPr>
          <w:b/>
        </w:rPr>
        <w:t>.</w:t>
      </w:r>
    </w:p>
    <w:p w14:paraId="3EA8527E" w14:textId="77777777" w:rsidR="005036C8" w:rsidRPr="009F3455" w:rsidRDefault="005036C8" w:rsidP="007F164F">
      <w:pPr>
        <w:pStyle w:val="Heading4"/>
      </w:pPr>
      <w:r w:rsidRPr="00D31C58">
        <w:t>Comments</w:t>
      </w:r>
    </w:p>
    <w:p w14:paraId="61207A33" w14:textId="435588AC" w:rsidR="005055C9" w:rsidRDefault="005055C9" w:rsidP="00BC3718">
      <w:pPr>
        <w:autoSpaceDE w:val="0"/>
        <w:autoSpaceDN w:val="0"/>
        <w:adjustRightInd w:val="0"/>
        <w:spacing w:after="100" w:afterAutospacing="1"/>
        <w:rPr>
          <w:bCs/>
        </w:rPr>
      </w:pPr>
      <w:r w:rsidRPr="002B2416">
        <w:rPr>
          <w:bCs/>
        </w:rPr>
        <w:t>The TCS petition does not present a reasonably comprehensive description of measurable pupil outcomes</w:t>
      </w:r>
      <w:r w:rsidRPr="002B2416">
        <w:t xml:space="preserve">. </w:t>
      </w:r>
      <w:bookmarkStart w:id="7" w:name="_Hlk39041137"/>
      <w:r>
        <w:rPr>
          <w:bCs/>
        </w:rPr>
        <w:t xml:space="preserve">TCS plans to reside within MUSD, which is comprised of 25,409 pupils with 85 percent identifying as socioeconomically disadvantaged, 33 percent identifying as ELs, and 0.8 percent identifying as foster youth. </w:t>
      </w:r>
      <w:r w:rsidRPr="002B2416">
        <w:t>T</w:t>
      </w:r>
      <w:bookmarkStart w:id="8" w:name="_Hlk33614997"/>
      <w:r w:rsidRPr="002B2416">
        <w:rPr>
          <w:bCs/>
        </w:rPr>
        <w:t>he TCS petition includes a statement that outlines the annual goals, actions, measurable outcomes, and method of measurement</w:t>
      </w:r>
      <w:r>
        <w:rPr>
          <w:bCs/>
        </w:rPr>
        <w:t xml:space="preserve"> </w:t>
      </w:r>
      <w:r w:rsidRPr="002B2416">
        <w:rPr>
          <w:bCs/>
        </w:rPr>
        <w:t>aligned to each of the eight state priorities and states that TCS shall meet all statewide standards and conduct the student assessments required, pursuant to</w:t>
      </w:r>
      <w:r w:rsidRPr="002B2416">
        <w:rPr>
          <w:bCs/>
          <w:i/>
          <w:iCs/>
        </w:rPr>
        <w:t xml:space="preserve"> EC</w:t>
      </w:r>
      <w:r w:rsidRPr="002B2416">
        <w:rPr>
          <w:bCs/>
        </w:rPr>
        <w:t xml:space="preserve"> Section 60605, and any other statewide standards authorized in statue, or student assessments</w:t>
      </w:r>
      <w:r>
        <w:rPr>
          <w:bCs/>
        </w:rPr>
        <w:t xml:space="preserve"> applicable to pupils in non-charter public schools </w:t>
      </w:r>
      <w:r w:rsidRPr="009719B4">
        <w:rPr>
          <w:bCs/>
        </w:rPr>
        <w:t xml:space="preserve">(Attachment </w:t>
      </w:r>
      <w:r w:rsidRPr="00932D4F">
        <w:rPr>
          <w:bCs/>
        </w:rPr>
        <w:t>3, pp.</w:t>
      </w:r>
      <w:r>
        <w:rPr>
          <w:bCs/>
        </w:rPr>
        <w:t xml:space="preserve"> </w:t>
      </w:r>
      <w:r w:rsidRPr="00932D4F">
        <w:rPr>
          <w:bCs/>
        </w:rPr>
        <w:t>77</w:t>
      </w:r>
      <w:r>
        <w:rPr>
          <w:bCs/>
        </w:rPr>
        <w:t>–</w:t>
      </w:r>
      <w:r w:rsidRPr="00932D4F">
        <w:rPr>
          <w:bCs/>
        </w:rPr>
        <w:t>82);</w:t>
      </w:r>
      <w:r w:rsidRPr="008662A9">
        <w:rPr>
          <w:bCs/>
        </w:rPr>
        <w:t xml:space="preserve"> however</w:t>
      </w:r>
      <w:r w:rsidRPr="009719B4">
        <w:rPr>
          <w:bCs/>
        </w:rPr>
        <w:t xml:space="preserve">, the </w:t>
      </w:r>
      <w:r>
        <w:rPr>
          <w:bCs/>
        </w:rPr>
        <w:t xml:space="preserve">TCS </w:t>
      </w:r>
      <w:r w:rsidRPr="009719B4">
        <w:rPr>
          <w:bCs/>
        </w:rPr>
        <w:t xml:space="preserve">petition does not outline measurable pupil outcomes that address increases in pupil academic achievement both schoolwide and for </w:t>
      </w:r>
      <w:bookmarkEnd w:id="8"/>
      <w:r w:rsidRPr="009719B4">
        <w:rPr>
          <w:bCs/>
        </w:rPr>
        <w:t>pupil</w:t>
      </w:r>
      <w:r>
        <w:rPr>
          <w:bCs/>
        </w:rPr>
        <w:t xml:space="preserve"> groups.</w:t>
      </w:r>
      <w:bookmarkEnd w:id="7"/>
    </w:p>
    <w:p w14:paraId="04E90B57" w14:textId="69CF40FF" w:rsidR="00DC3FE6" w:rsidRDefault="00DC3FE6" w:rsidP="00BC3718">
      <w:pPr>
        <w:autoSpaceDE w:val="0"/>
        <w:autoSpaceDN w:val="0"/>
        <w:adjustRightInd w:val="0"/>
        <w:spacing w:after="100" w:afterAutospacing="1"/>
        <w:rPr>
          <w:bCs/>
        </w:rPr>
      </w:pPr>
      <w:r w:rsidRPr="00D37DDC">
        <w:rPr>
          <w:bCs/>
        </w:rPr>
        <w:t xml:space="preserve">Additionally, if approved by the SBE, as a condition for approval, the petitioner will be required to revise the TCS petition in order to reflect the measurable pupil outcomes, both schoolwide and for pupil groups, that address increases in pupil academic achievement </w:t>
      </w:r>
      <w:r w:rsidR="00FE6C09" w:rsidRPr="00D37DDC">
        <w:rPr>
          <w:bCs/>
        </w:rPr>
        <w:t xml:space="preserve">in accordance to </w:t>
      </w:r>
      <w:r w:rsidR="00FE6C09" w:rsidRPr="00D37DDC">
        <w:rPr>
          <w:rFonts w:eastAsia="Times New Roman" w:cs="Times New Roman"/>
          <w:i/>
        </w:rPr>
        <w:t>EC</w:t>
      </w:r>
      <w:r w:rsidR="00FE6C09" w:rsidRPr="00D37DDC">
        <w:rPr>
          <w:rFonts w:eastAsia="Times New Roman" w:cs="Times New Roman"/>
        </w:rPr>
        <w:t xml:space="preserve"> Section 47605</w:t>
      </w:r>
      <w:r w:rsidR="008A62DA">
        <w:rPr>
          <w:rFonts w:eastAsia="Times New Roman" w:cs="Times New Roman"/>
        </w:rPr>
        <w:t>(</w:t>
      </w:r>
      <w:r w:rsidR="00FE6C09" w:rsidRPr="00D37DDC">
        <w:rPr>
          <w:rFonts w:eastAsia="Times New Roman" w:cs="Times New Roman"/>
        </w:rPr>
        <w:t>b</w:t>
      </w:r>
      <w:r w:rsidR="008A62DA">
        <w:rPr>
          <w:rFonts w:eastAsia="Times New Roman" w:cs="Times New Roman"/>
        </w:rPr>
        <w:t>)(</w:t>
      </w:r>
      <w:r w:rsidR="00FE6C09" w:rsidRPr="00D37DDC">
        <w:rPr>
          <w:rFonts w:eastAsia="Times New Roman" w:cs="Times New Roman"/>
        </w:rPr>
        <w:t>5</w:t>
      </w:r>
      <w:r w:rsidR="008A62DA">
        <w:rPr>
          <w:rFonts w:eastAsia="Times New Roman" w:cs="Times New Roman"/>
        </w:rPr>
        <w:t>)(</w:t>
      </w:r>
      <w:r w:rsidR="00FE6C09" w:rsidRPr="00D37DDC">
        <w:rPr>
          <w:rFonts w:eastAsia="Times New Roman" w:cs="Times New Roman"/>
        </w:rPr>
        <w:t>B</w:t>
      </w:r>
      <w:r w:rsidR="008A62DA">
        <w:rPr>
          <w:rFonts w:eastAsia="Times New Roman" w:cs="Times New Roman"/>
        </w:rPr>
        <w:t>)</w:t>
      </w:r>
      <w:r w:rsidR="00FE6C09" w:rsidRPr="00D37DDC">
        <w:rPr>
          <w:rFonts w:eastAsia="Times New Roman" w:cs="Times New Roman"/>
        </w:rPr>
        <w:t>.</w:t>
      </w:r>
    </w:p>
    <w:p w14:paraId="0CF35027" w14:textId="77777777" w:rsidR="005036C8" w:rsidRDefault="005036C8" w:rsidP="007F164F">
      <w:pPr>
        <w:pStyle w:val="Heading3"/>
      </w:pPr>
      <w:r>
        <w:br w:type="page"/>
      </w:r>
      <w:r>
        <w:lastRenderedPageBreak/>
        <w:t xml:space="preserve">Transferability of Secondary Courses </w:t>
      </w:r>
    </w:p>
    <w:p w14:paraId="6D56999E" w14:textId="77777777" w:rsidR="005036C8" w:rsidRPr="009F3455" w:rsidRDefault="005036C8" w:rsidP="007F164F">
      <w:pPr>
        <w:jc w:val="center"/>
      </w:pPr>
      <w:r w:rsidRPr="009F3455">
        <w:rPr>
          <w:i/>
        </w:rPr>
        <w:t>EC</w:t>
      </w:r>
      <w:r w:rsidRPr="009F3455">
        <w:t xml:space="preserve"> Section 47605(b)(5)(A)(ii</w:t>
      </w:r>
      <w:r>
        <w:t>i</w:t>
      </w:r>
      <w:r w:rsidRPr="009F3455">
        <w:t>)</w:t>
      </w:r>
    </w:p>
    <w:p w14:paraId="2E503E1B" w14:textId="77777777" w:rsidR="005036C8" w:rsidRPr="009F3455" w:rsidRDefault="005036C8" w:rsidP="007F164F">
      <w:pPr>
        <w:pStyle w:val="Heading4"/>
      </w:pPr>
      <w:r w:rsidRPr="009F3455">
        <w:t>Evaluation Criteria</w:t>
      </w:r>
    </w:p>
    <w:p w14:paraId="576B6773" w14:textId="29B4FD55" w:rsidR="005036C8" w:rsidRDefault="005036C8" w:rsidP="007F164F">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w:t>
      </w:r>
      <w:r w:rsidR="00C209D9">
        <w:t xml:space="preserve"> </w:t>
      </w:r>
      <w:r w:rsidRPr="00B568FF">
        <w:t>“G” admissions criteria may be considered to meet college entrance requirements.</w:t>
      </w:r>
    </w:p>
    <w:p w14:paraId="4E6C9838" w14:textId="77777777" w:rsidR="005036C8" w:rsidRDefault="005036C8" w:rsidP="007F164F">
      <w:pPr>
        <w:autoSpaceDE w:val="0"/>
        <w:autoSpaceDN w:val="0"/>
        <w:adjustRightInd w:val="0"/>
        <w:spacing w:after="100" w:afterAutospacing="1"/>
      </w:pPr>
      <w:r>
        <w:rPr>
          <w:b/>
        </w:rPr>
        <w:t>T</w:t>
      </w:r>
      <w:r w:rsidRPr="005E1390">
        <w:rPr>
          <w:b/>
        </w:rPr>
        <w:t xml:space="preserve">he petition </w:t>
      </w:r>
      <w:r w:rsidR="003D5D08">
        <w:rPr>
          <w:b/>
        </w:rPr>
        <w:t>does</w:t>
      </w:r>
      <w:r>
        <w:rPr>
          <w:b/>
        </w:rPr>
        <w:t xml:space="preserve"> </w:t>
      </w:r>
      <w:r w:rsidRPr="005E1390">
        <w:rPr>
          <w:b/>
        </w:rPr>
        <w:t>address this requirement</w:t>
      </w:r>
      <w:r>
        <w:rPr>
          <w:b/>
        </w:rPr>
        <w:t>.</w:t>
      </w:r>
    </w:p>
    <w:p w14:paraId="37187655" w14:textId="77777777" w:rsidR="005036C8" w:rsidRPr="009F3455" w:rsidRDefault="005036C8" w:rsidP="007F164F">
      <w:pPr>
        <w:pStyle w:val="Heading4"/>
      </w:pPr>
      <w:r w:rsidRPr="00B52894">
        <w:t>Comments</w:t>
      </w:r>
    </w:p>
    <w:p w14:paraId="40807A7D" w14:textId="4EFD5FFC" w:rsidR="005036C8" w:rsidRPr="00B52894" w:rsidRDefault="003D5D08" w:rsidP="00BC3718">
      <w:pPr>
        <w:autoSpaceDE w:val="0"/>
        <w:autoSpaceDN w:val="0"/>
        <w:adjustRightInd w:val="0"/>
        <w:rPr>
          <w:bCs/>
        </w:rPr>
      </w:pPr>
      <w:r>
        <w:rPr>
          <w:bCs/>
        </w:rPr>
        <w:t xml:space="preserve">The </w:t>
      </w:r>
      <w:r w:rsidR="00514FD4">
        <w:rPr>
          <w:bCs/>
        </w:rPr>
        <w:t>TCS</w:t>
      </w:r>
      <w:r>
        <w:rPr>
          <w:bCs/>
        </w:rPr>
        <w:t xml:space="preserve"> petition does address this requirement. </w:t>
      </w:r>
      <w:r w:rsidR="00D7009C">
        <w:rPr>
          <w:bCs/>
        </w:rPr>
        <w:t xml:space="preserve">The </w:t>
      </w:r>
      <w:r w:rsidR="005055C9">
        <w:rPr>
          <w:bCs/>
        </w:rPr>
        <w:t xml:space="preserve">TCS </w:t>
      </w:r>
      <w:r w:rsidR="00D7009C">
        <w:rPr>
          <w:bCs/>
        </w:rPr>
        <w:t>petition states that parents will receive notification</w:t>
      </w:r>
      <w:r w:rsidR="008A62DA">
        <w:rPr>
          <w:bCs/>
        </w:rPr>
        <w:t>s</w:t>
      </w:r>
      <w:r w:rsidR="00D7009C">
        <w:rPr>
          <w:bCs/>
        </w:rPr>
        <w:t xml:space="preserve"> of course transferability in all </w:t>
      </w:r>
      <w:r w:rsidR="005055C9">
        <w:rPr>
          <w:bCs/>
        </w:rPr>
        <w:t>pupil</w:t>
      </w:r>
      <w:r w:rsidR="00B00ED1">
        <w:rPr>
          <w:bCs/>
        </w:rPr>
        <w:t xml:space="preserve"> </w:t>
      </w:r>
      <w:r w:rsidR="00D7009C">
        <w:rPr>
          <w:bCs/>
        </w:rPr>
        <w:t xml:space="preserve">recruitment and enrollment materials through the </w:t>
      </w:r>
      <w:r w:rsidRPr="001369CA">
        <w:rPr>
          <w:bCs/>
        </w:rPr>
        <w:t xml:space="preserve">Student and </w:t>
      </w:r>
      <w:r w:rsidRPr="00B52894">
        <w:rPr>
          <w:bCs/>
        </w:rPr>
        <w:t xml:space="preserve">Family Handbook, </w:t>
      </w:r>
      <w:r w:rsidR="00D7009C" w:rsidRPr="00B52894">
        <w:rPr>
          <w:bCs/>
        </w:rPr>
        <w:t xml:space="preserve">which will be available in English and Spanish, and other home languages as needed. Every exiting </w:t>
      </w:r>
      <w:r w:rsidR="005055C9">
        <w:rPr>
          <w:bCs/>
        </w:rPr>
        <w:t>pupil</w:t>
      </w:r>
      <w:r w:rsidR="00D7009C" w:rsidRPr="00B52894">
        <w:rPr>
          <w:bCs/>
        </w:rPr>
        <w:t xml:space="preserve"> will receive a transcript </w:t>
      </w:r>
      <w:r w:rsidR="005055C9">
        <w:rPr>
          <w:bCs/>
        </w:rPr>
        <w:t>that will</w:t>
      </w:r>
      <w:r w:rsidR="00D7009C" w:rsidRPr="00B52894">
        <w:rPr>
          <w:bCs/>
        </w:rPr>
        <w:t xml:space="preserve"> provide them with an official record of course</w:t>
      </w:r>
      <w:r w:rsidR="00B52894" w:rsidRPr="00B52894">
        <w:rPr>
          <w:bCs/>
        </w:rPr>
        <w:t>s completed and credits earned</w:t>
      </w:r>
      <w:r w:rsidRPr="00B52894">
        <w:rPr>
          <w:bCs/>
        </w:rPr>
        <w:t xml:space="preserve"> (Attachment 3, </w:t>
      </w:r>
      <w:r w:rsidRPr="00C743F2">
        <w:rPr>
          <w:bCs/>
        </w:rPr>
        <w:t>p</w:t>
      </w:r>
      <w:r w:rsidR="00E17AD1">
        <w:rPr>
          <w:bCs/>
        </w:rPr>
        <w:t>p</w:t>
      </w:r>
      <w:r w:rsidRPr="00C743F2">
        <w:rPr>
          <w:bCs/>
        </w:rPr>
        <w:t xml:space="preserve">. </w:t>
      </w:r>
      <w:r w:rsidR="00B00ED1" w:rsidRPr="00E17AD1">
        <w:rPr>
          <w:bCs/>
        </w:rPr>
        <w:t>4</w:t>
      </w:r>
      <w:r w:rsidR="00E17AD1" w:rsidRPr="00E17AD1">
        <w:rPr>
          <w:bCs/>
        </w:rPr>
        <w:t>9</w:t>
      </w:r>
      <w:r w:rsidR="00B00ED1" w:rsidRPr="00E17AD1">
        <w:rPr>
          <w:bCs/>
        </w:rPr>
        <w:t xml:space="preserve"> and </w:t>
      </w:r>
      <w:r w:rsidR="00E17AD1" w:rsidRPr="00E17AD1">
        <w:rPr>
          <w:bCs/>
        </w:rPr>
        <w:t>74</w:t>
      </w:r>
      <w:r w:rsidRPr="00E17AD1">
        <w:rPr>
          <w:bCs/>
        </w:rPr>
        <w:t>).</w:t>
      </w:r>
    </w:p>
    <w:sectPr w:rsidR="005036C8" w:rsidRPr="00B52894" w:rsidSect="00770E38">
      <w:headerReference w:type="default" r:id="rId8"/>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A92DA" w14:textId="77777777" w:rsidR="00761806" w:rsidRDefault="00761806">
      <w:r>
        <w:separator/>
      </w:r>
    </w:p>
  </w:endnote>
  <w:endnote w:type="continuationSeparator" w:id="0">
    <w:p w14:paraId="6E4A7D4B" w14:textId="77777777" w:rsidR="00761806" w:rsidRDefault="00761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89D98" w14:textId="77777777" w:rsidR="00761806" w:rsidRDefault="00761806">
      <w:r>
        <w:separator/>
      </w:r>
    </w:p>
  </w:footnote>
  <w:footnote w:type="continuationSeparator" w:id="0">
    <w:p w14:paraId="4577B510" w14:textId="77777777" w:rsidR="00761806" w:rsidRDefault="007618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36879" w14:textId="34269650" w:rsidR="00761806" w:rsidRPr="00233D35" w:rsidRDefault="009B2644" w:rsidP="00144324">
    <w:pPr>
      <w:pStyle w:val="Header"/>
      <w:jc w:val="right"/>
      <w:rPr>
        <w:rFonts w:ascii="Arial" w:hAnsi="Arial" w:cs="Arial"/>
        <w:szCs w:val="24"/>
      </w:rPr>
    </w:pPr>
    <w:r>
      <w:rPr>
        <w:rFonts w:ascii="Arial" w:hAnsi="Arial" w:cs="Arial"/>
        <w:szCs w:val="24"/>
      </w:rPr>
      <w:t>oab-csd-jul</w:t>
    </w:r>
    <w:r w:rsidR="00761806">
      <w:rPr>
        <w:rFonts w:ascii="Arial" w:hAnsi="Arial" w:cs="Arial"/>
        <w:szCs w:val="24"/>
      </w:rPr>
      <w:t>20item06</w:t>
    </w:r>
  </w:p>
  <w:p w14:paraId="121BD4BC" w14:textId="77777777" w:rsidR="00761806" w:rsidRPr="00233D35" w:rsidRDefault="00761806" w:rsidP="00144324">
    <w:pPr>
      <w:pStyle w:val="Header"/>
      <w:jc w:val="right"/>
      <w:rPr>
        <w:rFonts w:ascii="Arial" w:hAnsi="Arial" w:cs="Arial"/>
        <w:szCs w:val="24"/>
      </w:rPr>
    </w:pPr>
    <w:r w:rsidRPr="00233D35">
      <w:rPr>
        <w:rFonts w:ascii="Arial" w:hAnsi="Arial" w:cs="Arial"/>
        <w:szCs w:val="24"/>
      </w:rPr>
      <w:t>Attachment 1</w:t>
    </w:r>
  </w:p>
  <w:p w14:paraId="39FE8F60" w14:textId="1AD4D5FD" w:rsidR="00761806" w:rsidRPr="00233D35" w:rsidRDefault="00761806" w:rsidP="00144324">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A95559">
      <w:rPr>
        <w:rFonts w:ascii="Arial" w:hAnsi="Arial" w:cs="Arial"/>
        <w:noProof/>
        <w:szCs w:val="24"/>
      </w:rPr>
      <w:t>43</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A95559">
      <w:rPr>
        <w:rFonts w:ascii="Arial" w:hAnsi="Arial" w:cs="Arial"/>
        <w:noProof/>
        <w:szCs w:val="24"/>
      </w:rPr>
      <w:t>43</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220224"/>
    <w:multiLevelType w:val="hybridMultilevel"/>
    <w:tmpl w:val="80F2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53539"/>
    <w:multiLevelType w:val="hybridMultilevel"/>
    <w:tmpl w:val="34FCF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102ED6"/>
    <w:multiLevelType w:val="hybridMultilevel"/>
    <w:tmpl w:val="FD4AB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26105"/>
    <w:multiLevelType w:val="hybridMultilevel"/>
    <w:tmpl w:val="A5FC5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532752"/>
    <w:multiLevelType w:val="hybridMultilevel"/>
    <w:tmpl w:val="4A50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BB4AB9"/>
    <w:multiLevelType w:val="hybridMultilevel"/>
    <w:tmpl w:val="C18C93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257F3E61"/>
    <w:multiLevelType w:val="hybridMultilevel"/>
    <w:tmpl w:val="9A948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E36555"/>
    <w:multiLevelType w:val="hybridMultilevel"/>
    <w:tmpl w:val="82F8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634D7A"/>
    <w:multiLevelType w:val="hybridMultilevel"/>
    <w:tmpl w:val="95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0F157B"/>
    <w:multiLevelType w:val="hybridMultilevel"/>
    <w:tmpl w:val="8B1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1D0D94"/>
    <w:multiLevelType w:val="hybridMultilevel"/>
    <w:tmpl w:val="3F364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136B6"/>
    <w:multiLevelType w:val="hybridMultilevel"/>
    <w:tmpl w:val="525C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6276E4"/>
    <w:multiLevelType w:val="hybridMultilevel"/>
    <w:tmpl w:val="B240C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2A0102"/>
    <w:multiLevelType w:val="hybridMultilevel"/>
    <w:tmpl w:val="9D86B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265523"/>
    <w:multiLevelType w:val="hybridMultilevel"/>
    <w:tmpl w:val="E8743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014BA7"/>
    <w:multiLevelType w:val="hybridMultilevel"/>
    <w:tmpl w:val="346ED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8171A94"/>
    <w:multiLevelType w:val="hybridMultilevel"/>
    <w:tmpl w:val="9BC67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786E4D"/>
    <w:multiLevelType w:val="hybridMultilevel"/>
    <w:tmpl w:val="B636A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7" w15:restartNumberingAfterBreak="0">
    <w:nsid w:val="6C694F74"/>
    <w:multiLevelType w:val="hybridMultilevel"/>
    <w:tmpl w:val="CA96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714192C"/>
    <w:multiLevelType w:val="hybridMultilevel"/>
    <w:tmpl w:val="D77A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F84CEA"/>
    <w:multiLevelType w:val="hybridMultilevel"/>
    <w:tmpl w:val="FE3CD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DF7327"/>
    <w:multiLevelType w:val="hybridMultilevel"/>
    <w:tmpl w:val="65CA6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36"/>
  </w:num>
  <w:num w:numId="3">
    <w:abstractNumId w:val="40"/>
  </w:num>
  <w:num w:numId="4">
    <w:abstractNumId w:val="31"/>
  </w:num>
  <w:num w:numId="5">
    <w:abstractNumId w:val="28"/>
  </w:num>
  <w:num w:numId="6">
    <w:abstractNumId w:val="22"/>
  </w:num>
  <w:num w:numId="7">
    <w:abstractNumId w:val="25"/>
  </w:num>
  <w:num w:numId="8">
    <w:abstractNumId w:val="27"/>
  </w:num>
  <w:num w:numId="9">
    <w:abstractNumId w:val="3"/>
  </w:num>
  <w:num w:numId="10">
    <w:abstractNumId w:val="11"/>
  </w:num>
  <w:num w:numId="11">
    <w:abstractNumId w:val="12"/>
  </w:num>
  <w:num w:numId="12">
    <w:abstractNumId w:val="14"/>
  </w:num>
  <w:num w:numId="13">
    <w:abstractNumId w:val="38"/>
  </w:num>
  <w:num w:numId="14">
    <w:abstractNumId w:val="10"/>
  </w:num>
  <w:num w:numId="15">
    <w:abstractNumId w:val="7"/>
  </w:num>
  <w:num w:numId="16">
    <w:abstractNumId w:val="30"/>
  </w:num>
  <w:num w:numId="17">
    <w:abstractNumId w:val="8"/>
  </w:num>
  <w:num w:numId="18">
    <w:abstractNumId w:val="35"/>
  </w:num>
  <w:num w:numId="19">
    <w:abstractNumId w:val="33"/>
  </w:num>
  <w:num w:numId="20">
    <w:abstractNumId w:val="0"/>
  </w:num>
  <w:num w:numId="21">
    <w:abstractNumId w:val="41"/>
  </w:num>
  <w:num w:numId="22">
    <w:abstractNumId w:val="32"/>
  </w:num>
  <w:num w:numId="23">
    <w:abstractNumId w:val="9"/>
  </w:num>
  <w:num w:numId="24">
    <w:abstractNumId w:val="23"/>
  </w:num>
  <w:num w:numId="25">
    <w:abstractNumId w:val="44"/>
  </w:num>
  <w:num w:numId="26">
    <w:abstractNumId w:val="42"/>
  </w:num>
  <w:num w:numId="27">
    <w:abstractNumId w:val="17"/>
  </w:num>
  <w:num w:numId="28">
    <w:abstractNumId w:val="37"/>
  </w:num>
  <w:num w:numId="29">
    <w:abstractNumId w:val="13"/>
  </w:num>
  <w:num w:numId="30">
    <w:abstractNumId w:val="34"/>
  </w:num>
  <w:num w:numId="31">
    <w:abstractNumId w:val="24"/>
  </w:num>
  <w:num w:numId="32">
    <w:abstractNumId w:val="1"/>
  </w:num>
  <w:num w:numId="33">
    <w:abstractNumId w:val="16"/>
  </w:num>
  <w:num w:numId="34">
    <w:abstractNumId w:val="5"/>
  </w:num>
  <w:num w:numId="35">
    <w:abstractNumId w:val="21"/>
  </w:num>
  <w:num w:numId="36">
    <w:abstractNumId w:val="15"/>
  </w:num>
  <w:num w:numId="37">
    <w:abstractNumId w:val="20"/>
  </w:num>
  <w:num w:numId="38">
    <w:abstractNumId w:val="4"/>
  </w:num>
  <w:num w:numId="39">
    <w:abstractNumId w:val="19"/>
  </w:num>
  <w:num w:numId="40">
    <w:abstractNumId w:val="39"/>
  </w:num>
  <w:num w:numId="41">
    <w:abstractNumId w:val="6"/>
  </w:num>
  <w:num w:numId="42">
    <w:abstractNumId w:val="26"/>
  </w:num>
  <w:num w:numId="43">
    <w:abstractNumId w:val="29"/>
  </w:num>
  <w:num w:numId="44">
    <w:abstractNumId w:val="2"/>
  </w:num>
  <w:num w:numId="45">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B09"/>
    <w:rsid w:val="00000166"/>
    <w:rsid w:val="0000225B"/>
    <w:rsid w:val="0000328B"/>
    <w:rsid w:val="00003C4E"/>
    <w:rsid w:val="00003E48"/>
    <w:rsid w:val="0000620A"/>
    <w:rsid w:val="000063BC"/>
    <w:rsid w:val="00011AB4"/>
    <w:rsid w:val="00013B3F"/>
    <w:rsid w:val="000162A7"/>
    <w:rsid w:val="00016318"/>
    <w:rsid w:val="000175BB"/>
    <w:rsid w:val="0002048A"/>
    <w:rsid w:val="00027BBF"/>
    <w:rsid w:val="00033236"/>
    <w:rsid w:val="0003649A"/>
    <w:rsid w:val="00044BF8"/>
    <w:rsid w:val="000475A4"/>
    <w:rsid w:val="000517F6"/>
    <w:rsid w:val="00061812"/>
    <w:rsid w:val="00061A16"/>
    <w:rsid w:val="00062168"/>
    <w:rsid w:val="00062D67"/>
    <w:rsid w:val="0006326D"/>
    <w:rsid w:val="000654F0"/>
    <w:rsid w:val="000662DC"/>
    <w:rsid w:val="00067A52"/>
    <w:rsid w:val="00071CDC"/>
    <w:rsid w:val="000734DC"/>
    <w:rsid w:val="000775BF"/>
    <w:rsid w:val="00081595"/>
    <w:rsid w:val="000874A1"/>
    <w:rsid w:val="00091F53"/>
    <w:rsid w:val="000923DD"/>
    <w:rsid w:val="0009304D"/>
    <w:rsid w:val="000938A7"/>
    <w:rsid w:val="00096CD7"/>
    <w:rsid w:val="000A0D87"/>
    <w:rsid w:val="000A1BC2"/>
    <w:rsid w:val="000A400A"/>
    <w:rsid w:val="000A6906"/>
    <w:rsid w:val="000A70B4"/>
    <w:rsid w:val="000B045F"/>
    <w:rsid w:val="000B0F6B"/>
    <w:rsid w:val="000B2962"/>
    <w:rsid w:val="000B3C60"/>
    <w:rsid w:val="000B5846"/>
    <w:rsid w:val="000B6A63"/>
    <w:rsid w:val="000B6A7A"/>
    <w:rsid w:val="000C08B0"/>
    <w:rsid w:val="000D354B"/>
    <w:rsid w:val="000D4392"/>
    <w:rsid w:val="000D5415"/>
    <w:rsid w:val="000D599B"/>
    <w:rsid w:val="000D6D46"/>
    <w:rsid w:val="000D7D76"/>
    <w:rsid w:val="000D7FA2"/>
    <w:rsid w:val="000E135C"/>
    <w:rsid w:val="000E17D9"/>
    <w:rsid w:val="000E2A0E"/>
    <w:rsid w:val="000F1C49"/>
    <w:rsid w:val="000F3010"/>
    <w:rsid w:val="000F39DB"/>
    <w:rsid w:val="000F61D9"/>
    <w:rsid w:val="000F6B06"/>
    <w:rsid w:val="00101FD6"/>
    <w:rsid w:val="00102B31"/>
    <w:rsid w:val="00104AD0"/>
    <w:rsid w:val="00112262"/>
    <w:rsid w:val="001158E8"/>
    <w:rsid w:val="00116A1B"/>
    <w:rsid w:val="0011774C"/>
    <w:rsid w:val="00120410"/>
    <w:rsid w:val="0012118E"/>
    <w:rsid w:val="001224C2"/>
    <w:rsid w:val="0012362E"/>
    <w:rsid w:val="00124D06"/>
    <w:rsid w:val="001271E9"/>
    <w:rsid w:val="0012799E"/>
    <w:rsid w:val="00134BCD"/>
    <w:rsid w:val="00135348"/>
    <w:rsid w:val="00135A08"/>
    <w:rsid w:val="001369CA"/>
    <w:rsid w:val="00143CAC"/>
    <w:rsid w:val="00144234"/>
    <w:rsid w:val="00144324"/>
    <w:rsid w:val="00145857"/>
    <w:rsid w:val="0014623B"/>
    <w:rsid w:val="00150F4A"/>
    <w:rsid w:val="0015665A"/>
    <w:rsid w:val="0016262D"/>
    <w:rsid w:val="0016292F"/>
    <w:rsid w:val="00163A5C"/>
    <w:rsid w:val="001665F8"/>
    <w:rsid w:val="0016703A"/>
    <w:rsid w:val="0017350D"/>
    <w:rsid w:val="00173F0F"/>
    <w:rsid w:val="001755B9"/>
    <w:rsid w:val="00175BF5"/>
    <w:rsid w:val="00184361"/>
    <w:rsid w:val="00184AD7"/>
    <w:rsid w:val="001879F2"/>
    <w:rsid w:val="00187DE3"/>
    <w:rsid w:val="00194CF7"/>
    <w:rsid w:val="001A530A"/>
    <w:rsid w:val="001A59D5"/>
    <w:rsid w:val="001A7FC4"/>
    <w:rsid w:val="001B00A1"/>
    <w:rsid w:val="001B0D81"/>
    <w:rsid w:val="001B3E7A"/>
    <w:rsid w:val="001B4CDA"/>
    <w:rsid w:val="001B52DF"/>
    <w:rsid w:val="001C2E2E"/>
    <w:rsid w:val="001C527B"/>
    <w:rsid w:val="001C7AF5"/>
    <w:rsid w:val="001C7D83"/>
    <w:rsid w:val="001D178C"/>
    <w:rsid w:val="001D1933"/>
    <w:rsid w:val="001D1A79"/>
    <w:rsid w:val="001D2005"/>
    <w:rsid w:val="001D459E"/>
    <w:rsid w:val="001D69F0"/>
    <w:rsid w:val="001E068D"/>
    <w:rsid w:val="001E2007"/>
    <w:rsid w:val="001E4B86"/>
    <w:rsid w:val="001F520C"/>
    <w:rsid w:val="001F6567"/>
    <w:rsid w:val="001F72DE"/>
    <w:rsid w:val="0020042E"/>
    <w:rsid w:val="00203F15"/>
    <w:rsid w:val="00206B6D"/>
    <w:rsid w:val="00213BD2"/>
    <w:rsid w:val="00216325"/>
    <w:rsid w:val="00216AA1"/>
    <w:rsid w:val="00220ED5"/>
    <w:rsid w:val="00221BE2"/>
    <w:rsid w:val="00223A67"/>
    <w:rsid w:val="00224344"/>
    <w:rsid w:val="002307DE"/>
    <w:rsid w:val="00233B68"/>
    <w:rsid w:val="00233D35"/>
    <w:rsid w:val="002347DD"/>
    <w:rsid w:val="0023576B"/>
    <w:rsid w:val="00235D9A"/>
    <w:rsid w:val="00245A4B"/>
    <w:rsid w:val="002464ED"/>
    <w:rsid w:val="0024749B"/>
    <w:rsid w:val="00256A5E"/>
    <w:rsid w:val="00257709"/>
    <w:rsid w:val="00257B04"/>
    <w:rsid w:val="002640B5"/>
    <w:rsid w:val="002649B0"/>
    <w:rsid w:val="00273346"/>
    <w:rsid w:val="00276624"/>
    <w:rsid w:val="00277617"/>
    <w:rsid w:val="00277E7E"/>
    <w:rsid w:val="00280A10"/>
    <w:rsid w:val="00283E03"/>
    <w:rsid w:val="002840EF"/>
    <w:rsid w:val="0028464C"/>
    <w:rsid w:val="00285D89"/>
    <w:rsid w:val="00286D9E"/>
    <w:rsid w:val="00292B09"/>
    <w:rsid w:val="002A0563"/>
    <w:rsid w:val="002A1B34"/>
    <w:rsid w:val="002A24D5"/>
    <w:rsid w:val="002A447C"/>
    <w:rsid w:val="002A4965"/>
    <w:rsid w:val="002A7438"/>
    <w:rsid w:val="002B2416"/>
    <w:rsid w:val="002B4210"/>
    <w:rsid w:val="002C06B6"/>
    <w:rsid w:val="002C3B18"/>
    <w:rsid w:val="002C6B60"/>
    <w:rsid w:val="002D3757"/>
    <w:rsid w:val="002E3372"/>
    <w:rsid w:val="002E3805"/>
    <w:rsid w:val="002E6299"/>
    <w:rsid w:val="002F23C1"/>
    <w:rsid w:val="002F3E09"/>
    <w:rsid w:val="002F583D"/>
    <w:rsid w:val="0030189C"/>
    <w:rsid w:val="00303519"/>
    <w:rsid w:val="003045AD"/>
    <w:rsid w:val="00304E48"/>
    <w:rsid w:val="00305B18"/>
    <w:rsid w:val="00306E16"/>
    <w:rsid w:val="00312496"/>
    <w:rsid w:val="003130D3"/>
    <w:rsid w:val="00314E0F"/>
    <w:rsid w:val="003152C1"/>
    <w:rsid w:val="00317E9D"/>
    <w:rsid w:val="00322A08"/>
    <w:rsid w:val="00325512"/>
    <w:rsid w:val="00327C65"/>
    <w:rsid w:val="00331192"/>
    <w:rsid w:val="00331FA4"/>
    <w:rsid w:val="00332488"/>
    <w:rsid w:val="003365DD"/>
    <w:rsid w:val="003427C0"/>
    <w:rsid w:val="0034429B"/>
    <w:rsid w:val="00345247"/>
    <w:rsid w:val="00346939"/>
    <w:rsid w:val="003543CE"/>
    <w:rsid w:val="00356B6A"/>
    <w:rsid w:val="0035771D"/>
    <w:rsid w:val="003605C7"/>
    <w:rsid w:val="00360870"/>
    <w:rsid w:val="003612D9"/>
    <w:rsid w:val="003618A9"/>
    <w:rsid w:val="00362218"/>
    <w:rsid w:val="0036504A"/>
    <w:rsid w:val="003722D7"/>
    <w:rsid w:val="003778FB"/>
    <w:rsid w:val="003830F7"/>
    <w:rsid w:val="00383748"/>
    <w:rsid w:val="00386253"/>
    <w:rsid w:val="00387700"/>
    <w:rsid w:val="00391B67"/>
    <w:rsid w:val="00392364"/>
    <w:rsid w:val="00392781"/>
    <w:rsid w:val="00397491"/>
    <w:rsid w:val="003A2D43"/>
    <w:rsid w:val="003A44A8"/>
    <w:rsid w:val="003A59CE"/>
    <w:rsid w:val="003A7FD0"/>
    <w:rsid w:val="003B1C0E"/>
    <w:rsid w:val="003B31BD"/>
    <w:rsid w:val="003B6383"/>
    <w:rsid w:val="003B65D1"/>
    <w:rsid w:val="003B7269"/>
    <w:rsid w:val="003C6865"/>
    <w:rsid w:val="003D01C9"/>
    <w:rsid w:val="003D4419"/>
    <w:rsid w:val="003D5635"/>
    <w:rsid w:val="003D5D08"/>
    <w:rsid w:val="003E488B"/>
    <w:rsid w:val="003F14BB"/>
    <w:rsid w:val="003F1F33"/>
    <w:rsid w:val="003F71B7"/>
    <w:rsid w:val="004014AE"/>
    <w:rsid w:val="004020D1"/>
    <w:rsid w:val="00403C47"/>
    <w:rsid w:val="00410032"/>
    <w:rsid w:val="00410C26"/>
    <w:rsid w:val="00410C80"/>
    <w:rsid w:val="004126A2"/>
    <w:rsid w:val="004208CE"/>
    <w:rsid w:val="004234FE"/>
    <w:rsid w:val="00424F6C"/>
    <w:rsid w:val="004268B0"/>
    <w:rsid w:val="004274DA"/>
    <w:rsid w:val="00427AB1"/>
    <w:rsid w:val="0043412F"/>
    <w:rsid w:val="00443003"/>
    <w:rsid w:val="0044351D"/>
    <w:rsid w:val="00446890"/>
    <w:rsid w:val="00451833"/>
    <w:rsid w:val="004528D0"/>
    <w:rsid w:val="004544C7"/>
    <w:rsid w:val="00455883"/>
    <w:rsid w:val="00455D9E"/>
    <w:rsid w:val="00456CA1"/>
    <w:rsid w:val="004572FC"/>
    <w:rsid w:val="0045736B"/>
    <w:rsid w:val="00460967"/>
    <w:rsid w:val="00464A11"/>
    <w:rsid w:val="00465F01"/>
    <w:rsid w:val="0046605F"/>
    <w:rsid w:val="00470D58"/>
    <w:rsid w:val="00471B41"/>
    <w:rsid w:val="00472C6F"/>
    <w:rsid w:val="00474154"/>
    <w:rsid w:val="004802B9"/>
    <w:rsid w:val="00485735"/>
    <w:rsid w:val="00487691"/>
    <w:rsid w:val="00493013"/>
    <w:rsid w:val="00493963"/>
    <w:rsid w:val="004939B1"/>
    <w:rsid w:val="00494C63"/>
    <w:rsid w:val="00497403"/>
    <w:rsid w:val="004A308C"/>
    <w:rsid w:val="004A7567"/>
    <w:rsid w:val="004B1DAA"/>
    <w:rsid w:val="004B6025"/>
    <w:rsid w:val="004B7353"/>
    <w:rsid w:val="004B769A"/>
    <w:rsid w:val="004C1BD2"/>
    <w:rsid w:val="004C21B4"/>
    <w:rsid w:val="004C62A0"/>
    <w:rsid w:val="004C63FF"/>
    <w:rsid w:val="004C6959"/>
    <w:rsid w:val="004D1172"/>
    <w:rsid w:val="004D1FFF"/>
    <w:rsid w:val="004D7E39"/>
    <w:rsid w:val="004E149E"/>
    <w:rsid w:val="004E3CAC"/>
    <w:rsid w:val="004E59C6"/>
    <w:rsid w:val="004E65FB"/>
    <w:rsid w:val="004E6FF0"/>
    <w:rsid w:val="004E7032"/>
    <w:rsid w:val="004F3D2A"/>
    <w:rsid w:val="004F58C2"/>
    <w:rsid w:val="004F5A56"/>
    <w:rsid w:val="004F7E4C"/>
    <w:rsid w:val="004F7F9C"/>
    <w:rsid w:val="005025CA"/>
    <w:rsid w:val="005036C8"/>
    <w:rsid w:val="005052AA"/>
    <w:rsid w:val="005055C9"/>
    <w:rsid w:val="0050637D"/>
    <w:rsid w:val="00506BAA"/>
    <w:rsid w:val="00510CA7"/>
    <w:rsid w:val="00512C34"/>
    <w:rsid w:val="00512C74"/>
    <w:rsid w:val="00514FD4"/>
    <w:rsid w:val="0051551A"/>
    <w:rsid w:val="00524066"/>
    <w:rsid w:val="005312FC"/>
    <w:rsid w:val="00533746"/>
    <w:rsid w:val="005400B4"/>
    <w:rsid w:val="00542483"/>
    <w:rsid w:val="005443AB"/>
    <w:rsid w:val="00544CE4"/>
    <w:rsid w:val="005505E6"/>
    <w:rsid w:val="00551342"/>
    <w:rsid w:val="005604D7"/>
    <w:rsid w:val="00561DFE"/>
    <w:rsid w:val="00567386"/>
    <w:rsid w:val="005757EC"/>
    <w:rsid w:val="0057788E"/>
    <w:rsid w:val="00590DBE"/>
    <w:rsid w:val="00590DE5"/>
    <w:rsid w:val="00591DC0"/>
    <w:rsid w:val="00592086"/>
    <w:rsid w:val="00592A0E"/>
    <w:rsid w:val="005931D3"/>
    <w:rsid w:val="00594BA0"/>
    <w:rsid w:val="0059775C"/>
    <w:rsid w:val="005A23F2"/>
    <w:rsid w:val="005A3DFE"/>
    <w:rsid w:val="005A4F24"/>
    <w:rsid w:val="005A6CB0"/>
    <w:rsid w:val="005A7E4D"/>
    <w:rsid w:val="005B061D"/>
    <w:rsid w:val="005B2671"/>
    <w:rsid w:val="005B3CEE"/>
    <w:rsid w:val="005C154D"/>
    <w:rsid w:val="005C2720"/>
    <w:rsid w:val="005C54CE"/>
    <w:rsid w:val="005C6D01"/>
    <w:rsid w:val="005D05BA"/>
    <w:rsid w:val="005D162C"/>
    <w:rsid w:val="005D3541"/>
    <w:rsid w:val="005D4367"/>
    <w:rsid w:val="005D4936"/>
    <w:rsid w:val="005D4EDA"/>
    <w:rsid w:val="005D5316"/>
    <w:rsid w:val="005D5D1D"/>
    <w:rsid w:val="005D5E03"/>
    <w:rsid w:val="005D69B3"/>
    <w:rsid w:val="005D7745"/>
    <w:rsid w:val="005E1390"/>
    <w:rsid w:val="005E2677"/>
    <w:rsid w:val="005E2C83"/>
    <w:rsid w:val="005E2DD2"/>
    <w:rsid w:val="005E5ACC"/>
    <w:rsid w:val="005F1295"/>
    <w:rsid w:val="005F54D0"/>
    <w:rsid w:val="00603505"/>
    <w:rsid w:val="00611393"/>
    <w:rsid w:val="0061373A"/>
    <w:rsid w:val="00615BE2"/>
    <w:rsid w:val="00626296"/>
    <w:rsid w:val="00631A96"/>
    <w:rsid w:val="006326CA"/>
    <w:rsid w:val="006331CF"/>
    <w:rsid w:val="006333CE"/>
    <w:rsid w:val="00633646"/>
    <w:rsid w:val="006339D5"/>
    <w:rsid w:val="00635D57"/>
    <w:rsid w:val="006413B5"/>
    <w:rsid w:val="006429BE"/>
    <w:rsid w:val="0064463F"/>
    <w:rsid w:val="006465F8"/>
    <w:rsid w:val="00647DA7"/>
    <w:rsid w:val="00653409"/>
    <w:rsid w:val="006534C3"/>
    <w:rsid w:val="006543A6"/>
    <w:rsid w:val="006548FC"/>
    <w:rsid w:val="00656B2F"/>
    <w:rsid w:val="0066026B"/>
    <w:rsid w:val="006608A3"/>
    <w:rsid w:val="0066134A"/>
    <w:rsid w:val="006625A9"/>
    <w:rsid w:val="00664484"/>
    <w:rsid w:val="0066711C"/>
    <w:rsid w:val="006706E8"/>
    <w:rsid w:val="0067215E"/>
    <w:rsid w:val="0067273F"/>
    <w:rsid w:val="00676914"/>
    <w:rsid w:val="006771E9"/>
    <w:rsid w:val="006820F5"/>
    <w:rsid w:val="00683F80"/>
    <w:rsid w:val="00685AF9"/>
    <w:rsid w:val="00686E48"/>
    <w:rsid w:val="006936E4"/>
    <w:rsid w:val="00696379"/>
    <w:rsid w:val="00697B2A"/>
    <w:rsid w:val="006A7712"/>
    <w:rsid w:val="006B0250"/>
    <w:rsid w:val="006B296B"/>
    <w:rsid w:val="006B3B12"/>
    <w:rsid w:val="006B4672"/>
    <w:rsid w:val="006B5DBC"/>
    <w:rsid w:val="006C0320"/>
    <w:rsid w:val="006C2955"/>
    <w:rsid w:val="006C422E"/>
    <w:rsid w:val="006D0BB9"/>
    <w:rsid w:val="006E01AA"/>
    <w:rsid w:val="006E1FC4"/>
    <w:rsid w:val="006E1FF7"/>
    <w:rsid w:val="006E26D0"/>
    <w:rsid w:val="006E62F8"/>
    <w:rsid w:val="00700FC5"/>
    <w:rsid w:val="007032E2"/>
    <w:rsid w:val="00704220"/>
    <w:rsid w:val="00706AE3"/>
    <w:rsid w:val="00710DF9"/>
    <w:rsid w:val="007111BC"/>
    <w:rsid w:val="0071287C"/>
    <w:rsid w:val="00713D20"/>
    <w:rsid w:val="007158A4"/>
    <w:rsid w:val="00716515"/>
    <w:rsid w:val="00717991"/>
    <w:rsid w:val="007300B9"/>
    <w:rsid w:val="00731DE8"/>
    <w:rsid w:val="00732D67"/>
    <w:rsid w:val="00740CA5"/>
    <w:rsid w:val="007422DE"/>
    <w:rsid w:val="0074614A"/>
    <w:rsid w:val="00751DC2"/>
    <w:rsid w:val="00752810"/>
    <w:rsid w:val="00755342"/>
    <w:rsid w:val="00756084"/>
    <w:rsid w:val="00761806"/>
    <w:rsid w:val="0076242D"/>
    <w:rsid w:val="00764F83"/>
    <w:rsid w:val="00764FA5"/>
    <w:rsid w:val="0076578D"/>
    <w:rsid w:val="00767F69"/>
    <w:rsid w:val="00770E38"/>
    <w:rsid w:val="00774B9A"/>
    <w:rsid w:val="00776B51"/>
    <w:rsid w:val="00776DCC"/>
    <w:rsid w:val="00777067"/>
    <w:rsid w:val="007804A0"/>
    <w:rsid w:val="00783CDD"/>
    <w:rsid w:val="007858B5"/>
    <w:rsid w:val="007954FB"/>
    <w:rsid w:val="0079579F"/>
    <w:rsid w:val="007A044B"/>
    <w:rsid w:val="007A0BA9"/>
    <w:rsid w:val="007A2210"/>
    <w:rsid w:val="007A2D11"/>
    <w:rsid w:val="007A4673"/>
    <w:rsid w:val="007A67AE"/>
    <w:rsid w:val="007A7037"/>
    <w:rsid w:val="007C1FF8"/>
    <w:rsid w:val="007C25E3"/>
    <w:rsid w:val="007C4A67"/>
    <w:rsid w:val="007C4AEF"/>
    <w:rsid w:val="007C4B83"/>
    <w:rsid w:val="007C51F5"/>
    <w:rsid w:val="007C6853"/>
    <w:rsid w:val="007C6E76"/>
    <w:rsid w:val="007D0EDE"/>
    <w:rsid w:val="007D259B"/>
    <w:rsid w:val="007D7642"/>
    <w:rsid w:val="007E048B"/>
    <w:rsid w:val="007E1A81"/>
    <w:rsid w:val="007E3B8D"/>
    <w:rsid w:val="007E4EBA"/>
    <w:rsid w:val="007E6F95"/>
    <w:rsid w:val="007F164F"/>
    <w:rsid w:val="007F4F3D"/>
    <w:rsid w:val="008000A2"/>
    <w:rsid w:val="00801F50"/>
    <w:rsid w:val="00804687"/>
    <w:rsid w:val="008066A7"/>
    <w:rsid w:val="008126C0"/>
    <w:rsid w:val="00813CB6"/>
    <w:rsid w:val="00816854"/>
    <w:rsid w:val="00816B63"/>
    <w:rsid w:val="00817129"/>
    <w:rsid w:val="00822995"/>
    <w:rsid w:val="00825DD9"/>
    <w:rsid w:val="0082623D"/>
    <w:rsid w:val="008265CC"/>
    <w:rsid w:val="008277E0"/>
    <w:rsid w:val="00836BCD"/>
    <w:rsid w:val="00837032"/>
    <w:rsid w:val="00840685"/>
    <w:rsid w:val="00840A3E"/>
    <w:rsid w:val="008430D5"/>
    <w:rsid w:val="00845D9E"/>
    <w:rsid w:val="0085789F"/>
    <w:rsid w:val="00862889"/>
    <w:rsid w:val="00862BAD"/>
    <w:rsid w:val="00863244"/>
    <w:rsid w:val="008662A9"/>
    <w:rsid w:val="0086647F"/>
    <w:rsid w:val="0086708D"/>
    <w:rsid w:val="0087013C"/>
    <w:rsid w:val="00870710"/>
    <w:rsid w:val="00871E24"/>
    <w:rsid w:val="008741EF"/>
    <w:rsid w:val="00876242"/>
    <w:rsid w:val="00877D03"/>
    <w:rsid w:val="00877F45"/>
    <w:rsid w:val="00881D56"/>
    <w:rsid w:val="00887265"/>
    <w:rsid w:val="0088773B"/>
    <w:rsid w:val="00890162"/>
    <w:rsid w:val="00895260"/>
    <w:rsid w:val="008A127C"/>
    <w:rsid w:val="008A31AE"/>
    <w:rsid w:val="008A62DA"/>
    <w:rsid w:val="008A7643"/>
    <w:rsid w:val="008B0E59"/>
    <w:rsid w:val="008B3697"/>
    <w:rsid w:val="008C409F"/>
    <w:rsid w:val="008C5BE7"/>
    <w:rsid w:val="008C6FDE"/>
    <w:rsid w:val="008D1E54"/>
    <w:rsid w:val="008D2960"/>
    <w:rsid w:val="008D58AA"/>
    <w:rsid w:val="008E0DB4"/>
    <w:rsid w:val="008E1772"/>
    <w:rsid w:val="008E2A60"/>
    <w:rsid w:val="008E3447"/>
    <w:rsid w:val="008E62CC"/>
    <w:rsid w:val="008E6AE4"/>
    <w:rsid w:val="008F390A"/>
    <w:rsid w:val="008F428E"/>
    <w:rsid w:val="008F57CA"/>
    <w:rsid w:val="008F69FD"/>
    <w:rsid w:val="0091104C"/>
    <w:rsid w:val="00913D1C"/>
    <w:rsid w:val="00914750"/>
    <w:rsid w:val="00917776"/>
    <w:rsid w:val="00921C9C"/>
    <w:rsid w:val="00922730"/>
    <w:rsid w:val="00922C81"/>
    <w:rsid w:val="00923F35"/>
    <w:rsid w:val="00924793"/>
    <w:rsid w:val="00925FD1"/>
    <w:rsid w:val="009300EC"/>
    <w:rsid w:val="00932B4A"/>
    <w:rsid w:val="00932D4F"/>
    <w:rsid w:val="0093351B"/>
    <w:rsid w:val="00934965"/>
    <w:rsid w:val="00937DBC"/>
    <w:rsid w:val="00941FE1"/>
    <w:rsid w:val="00944079"/>
    <w:rsid w:val="00944814"/>
    <w:rsid w:val="00945AEB"/>
    <w:rsid w:val="00950DA7"/>
    <w:rsid w:val="0095175B"/>
    <w:rsid w:val="00952B0E"/>
    <w:rsid w:val="0095676E"/>
    <w:rsid w:val="009658FD"/>
    <w:rsid w:val="00966A2A"/>
    <w:rsid w:val="009709AE"/>
    <w:rsid w:val="009719B4"/>
    <w:rsid w:val="00972224"/>
    <w:rsid w:val="0097546D"/>
    <w:rsid w:val="009800C9"/>
    <w:rsid w:val="009805E3"/>
    <w:rsid w:val="009815C0"/>
    <w:rsid w:val="00982105"/>
    <w:rsid w:val="009868DE"/>
    <w:rsid w:val="00986F3B"/>
    <w:rsid w:val="00987AC1"/>
    <w:rsid w:val="009914A8"/>
    <w:rsid w:val="0099161B"/>
    <w:rsid w:val="00994346"/>
    <w:rsid w:val="00996C45"/>
    <w:rsid w:val="0099705E"/>
    <w:rsid w:val="00997FBF"/>
    <w:rsid w:val="009A0851"/>
    <w:rsid w:val="009A1637"/>
    <w:rsid w:val="009A389F"/>
    <w:rsid w:val="009A3F4F"/>
    <w:rsid w:val="009B2644"/>
    <w:rsid w:val="009B294C"/>
    <w:rsid w:val="009C0F2D"/>
    <w:rsid w:val="009C219D"/>
    <w:rsid w:val="009C3BF0"/>
    <w:rsid w:val="009C557A"/>
    <w:rsid w:val="009C5B61"/>
    <w:rsid w:val="009C69B5"/>
    <w:rsid w:val="009D30E8"/>
    <w:rsid w:val="009E1CBB"/>
    <w:rsid w:val="009E606F"/>
    <w:rsid w:val="009E68CB"/>
    <w:rsid w:val="009F2893"/>
    <w:rsid w:val="009F2948"/>
    <w:rsid w:val="00A03E31"/>
    <w:rsid w:val="00A05B79"/>
    <w:rsid w:val="00A07E71"/>
    <w:rsid w:val="00A10639"/>
    <w:rsid w:val="00A11206"/>
    <w:rsid w:val="00A1252F"/>
    <w:rsid w:val="00A13F6F"/>
    <w:rsid w:val="00A176D8"/>
    <w:rsid w:val="00A27147"/>
    <w:rsid w:val="00A31343"/>
    <w:rsid w:val="00A32A92"/>
    <w:rsid w:val="00A334DB"/>
    <w:rsid w:val="00A35B14"/>
    <w:rsid w:val="00A36FDC"/>
    <w:rsid w:val="00A409F7"/>
    <w:rsid w:val="00A40F6D"/>
    <w:rsid w:val="00A42F0E"/>
    <w:rsid w:val="00A43B71"/>
    <w:rsid w:val="00A45EDF"/>
    <w:rsid w:val="00A55052"/>
    <w:rsid w:val="00A57F12"/>
    <w:rsid w:val="00A60204"/>
    <w:rsid w:val="00A62FEE"/>
    <w:rsid w:val="00A63BD2"/>
    <w:rsid w:val="00A64EFA"/>
    <w:rsid w:val="00A655AA"/>
    <w:rsid w:val="00A6744A"/>
    <w:rsid w:val="00A67646"/>
    <w:rsid w:val="00A71F06"/>
    <w:rsid w:val="00A72B90"/>
    <w:rsid w:val="00A741DF"/>
    <w:rsid w:val="00A742BB"/>
    <w:rsid w:val="00A9093E"/>
    <w:rsid w:val="00A95559"/>
    <w:rsid w:val="00AA0D65"/>
    <w:rsid w:val="00AA2A55"/>
    <w:rsid w:val="00AB0896"/>
    <w:rsid w:val="00AB0E2D"/>
    <w:rsid w:val="00AB3E17"/>
    <w:rsid w:val="00AB4159"/>
    <w:rsid w:val="00AC28DA"/>
    <w:rsid w:val="00AC3448"/>
    <w:rsid w:val="00AC3E9D"/>
    <w:rsid w:val="00AC5074"/>
    <w:rsid w:val="00AC6B05"/>
    <w:rsid w:val="00AC7E71"/>
    <w:rsid w:val="00AD1EA7"/>
    <w:rsid w:val="00AD2ABB"/>
    <w:rsid w:val="00AD7821"/>
    <w:rsid w:val="00AE0A89"/>
    <w:rsid w:val="00AE294F"/>
    <w:rsid w:val="00AE47BE"/>
    <w:rsid w:val="00AE5AAB"/>
    <w:rsid w:val="00AE7CBA"/>
    <w:rsid w:val="00AF6CD8"/>
    <w:rsid w:val="00AF75C3"/>
    <w:rsid w:val="00B00DED"/>
    <w:rsid w:val="00B00ED1"/>
    <w:rsid w:val="00B076E1"/>
    <w:rsid w:val="00B12AF7"/>
    <w:rsid w:val="00B14D35"/>
    <w:rsid w:val="00B21B7B"/>
    <w:rsid w:val="00B25C9F"/>
    <w:rsid w:val="00B26854"/>
    <w:rsid w:val="00B27D09"/>
    <w:rsid w:val="00B37B18"/>
    <w:rsid w:val="00B41953"/>
    <w:rsid w:val="00B42C81"/>
    <w:rsid w:val="00B433A4"/>
    <w:rsid w:val="00B44F2E"/>
    <w:rsid w:val="00B45FD0"/>
    <w:rsid w:val="00B47BCE"/>
    <w:rsid w:val="00B50A1D"/>
    <w:rsid w:val="00B50CF3"/>
    <w:rsid w:val="00B52894"/>
    <w:rsid w:val="00B532B3"/>
    <w:rsid w:val="00B57E37"/>
    <w:rsid w:val="00B62CA8"/>
    <w:rsid w:val="00B6344C"/>
    <w:rsid w:val="00B634DE"/>
    <w:rsid w:val="00B65A69"/>
    <w:rsid w:val="00B74C61"/>
    <w:rsid w:val="00B7782D"/>
    <w:rsid w:val="00B80713"/>
    <w:rsid w:val="00B83175"/>
    <w:rsid w:val="00B83365"/>
    <w:rsid w:val="00B864BC"/>
    <w:rsid w:val="00B87E4C"/>
    <w:rsid w:val="00B91191"/>
    <w:rsid w:val="00B91F3A"/>
    <w:rsid w:val="00B96E05"/>
    <w:rsid w:val="00BA1CDA"/>
    <w:rsid w:val="00BA20F8"/>
    <w:rsid w:val="00BA266A"/>
    <w:rsid w:val="00BA2A97"/>
    <w:rsid w:val="00BB5F4E"/>
    <w:rsid w:val="00BB6B36"/>
    <w:rsid w:val="00BC3718"/>
    <w:rsid w:val="00BC6786"/>
    <w:rsid w:val="00BC7992"/>
    <w:rsid w:val="00BC79E9"/>
    <w:rsid w:val="00BD0A3B"/>
    <w:rsid w:val="00BD3BB6"/>
    <w:rsid w:val="00BD40CE"/>
    <w:rsid w:val="00BD5FC0"/>
    <w:rsid w:val="00BD73AB"/>
    <w:rsid w:val="00BD7C14"/>
    <w:rsid w:val="00BE18EC"/>
    <w:rsid w:val="00BE5262"/>
    <w:rsid w:val="00BE5CB3"/>
    <w:rsid w:val="00BF0F68"/>
    <w:rsid w:val="00BF2C88"/>
    <w:rsid w:val="00BF459E"/>
    <w:rsid w:val="00BF461A"/>
    <w:rsid w:val="00BF5445"/>
    <w:rsid w:val="00BF6A2A"/>
    <w:rsid w:val="00BF7C8F"/>
    <w:rsid w:val="00C00132"/>
    <w:rsid w:val="00C02A12"/>
    <w:rsid w:val="00C04777"/>
    <w:rsid w:val="00C06F90"/>
    <w:rsid w:val="00C10C67"/>
    <w:rsid w:val="00C11373"/>
    <w:rsid w:val="00C16904"/>
    <w:rsid w:val="00C17D81"/>
    <w:rsid w:val="00C209D9"/>
    <w:rsid w:val="00C217F1"/>
    <w:rsid w:val="00C3169F"/>
    <w:rsid w:val="00C3242F"/>
    <w:rsid w:val="00C33A90"/>
    <w:rsid w:val="00C42917"/>
    <w:rsid w:val="00C449BC"/>
    <w:rsid w:val="00C44E83"/>
    <w:rsid w:val="00C45693"/>
    <w:rsid w:val="00C46316"/>
    <w:rsid w:val="00C4771F"/>
    <w:rsid w:val="00C53110"/>
    <w:rsid w:val="00C55F17"/>
    <w:rsid w:val="00C568DA"/>
    <w:rsid w:val="00C60380"/>
    <w:rsid w:val="00C6396E"/>
    <w:rsid w:val="00C65775"/>
    <w:rsid w:val="00C65924"/>
    <w:rsid w:val="00C71996"/>
    <w:rsid w:val="00C743F2"/>
    <w:rsid w:val="00C7505B"/>
    <w:rsid w:val="00C81B43"/>
    <w:rsid w:val="00C8304D"/>
    <w:rsid w:val="00C83496"/>
    <w:rsid w:val="00C83AB4"/>
    <w:rsid w:val="00C92AD1"/>
    <w:rsid w:val="00C93741"/>
    <w:rsid w:val="00C94F97"/>
    <w:rsid w:val="00C97180"/>
    <w:rsid w:val="00CA3772"/>
    <w:rsid w:val="00CA758E"/>
    <w:rsid w:val="00CB4950"/>
    <w:rsid w:val="00CB4985"/>
    <w:rsid w:val="00CB6C42"/>
    <w:rsid w:val="00CC2CC9"/>
    <w:rsid w:val="00CC3FCF"/>
    <w:rsid w:val="00CC6308"/>
    <w:rsid w:val="00CC6679"/>
    <w:rsid w:val="00CC7F8C"/>
    <w:rsid w:val="00CD0DEB"/>
    <w:rsid w:val="00CD203D"/>
    <w:rsid w:val="00CD3652"/>
    <w:rsid w:val="00CD4B80"/>
    <w:rsid w:val="00CD5A0B"/>
    <w:rsid w:val="00CE3B09"/>
    <w:rsid w:val="00CF01DC"/>
    <w:rsid w:val="00CF3E52"/>
    <w:rsid w:val="00CF50F0"/>
    <w:rsid w:val="00CF50FC"/>
    <w:rsid w:val="00D00E72"/>
    <w:rsid w:val="00D04D09"/>
    <w:rsid w:val="00D05D68"/>
    <w:rsid w:val="00D1738C"/>
    <w:rsid w:val="00D2403D"/>
    <w:rsid w:val="00D26069"/>
    <w:rsid w:val="00D30301"/>
    <w:rsid w:val="00D306DA"/>
    <w:rsid w:val="00D31C58"/>
    <w:rsid w:val="00D33FDD"/>
    <w:rsid w:val="00D37623"/>
    <w:rsid w:val="00D37DDC"/>
    <w:rsid w:val="00D41155"/>
    <w:rsid w:val="00D519C7"/>
    <w:rsid w:val="00D5202B"/>
    <w:rsid w:val="00D528B5"/>
    <w:rsid w:val="00D540B2"/>
    <w:rsid w:val="00D55C7F"/>
    <w:rsid w:val="00D571E4"/>
    <w:rsid w:val="00D62E52"/>
    <w:rsid w:val="00D6333E"/>
    <w:rsid w:val="00D64F6C"/>
    <w:rsid w:val="00D65E64"/>
    <w:rsid w:val="00D7009C"/>
    <w:rsid w:val="00D76FFA"/>
    <w:rsid w:val="00D771BA"/>
    <w:rsid w:val="00D80858"/>
    <w:rsid w:val="00D8497F"/>
    <w:rsid w:val="00D942E9"/>
    <w:rsid w:val="00D94779"/>
    <w:rsid w:val="00D94949"/>
    <w:rsid w:val="00D94975"/>
    <w:rsid w:val="00D95DF7"/>
    <w:rsid w:val="00D97390"/>
    <w:rsid w:val="00DA01D1"/>
    <w:rsid w:val="00DA41B4"/>
    <w:rsid w:val="00DA75AB"/>
    <w:rsid w:val="00DB15B1"/>
    <w:rsid w:val="00DB1F1F"/>
    <w:rsid w:val="00DB3A62"/>
    <w:rsid w:val="00DC17A3"/>
    <w:rsid w:val="00DC3212"/>
    <w:rsid w:val="00DC3FE6"/>
    <w:rsid w:val="00DC422D"/>
    <w:rsid w:val="00DC791A"/>
    <w:rsid w:val="00DD0427"/>
    <w:rsid w:val="00DD4F36"/>
    <w:rsid w:val="00DD662C"/>
    <w:rsid w:val="00DE046B"/>
    <w:rsid w:val="00DE08B4"/>
    <w:rsid w:val="00DE1D5C"/>
    <w:rsid w:val="00DE5907"/>
    <w:rsid w:val="00DF0FC4"/>
    <w:rsid w:val="00DF3205"/>
    <w:rsid w:val="00DF4845"/>
    <w:rsid w:val="00DF5CC3"/>
    <w:rsid w:val="00DF7F22"/>
    <w:rsid w:val="00E0087D"/>
    <w:rsid w:val="00E024D0"/>
    <w:rsid w:val="00E053BF"/>
    <w:rsid w:val="00E06237"/>
    <w:rsid w:val="00E0640B"/>
    <w:rsid w:val="00E0647B"/>
    <w:rsid w:val="00E10245"/>
    <w:rsid w:val="00E10255"/>
    <w:rsid w:val="00E102FF"/>
    <w:rsid w:val="00E1412D"/>
    <w:rsid w:val="00E15646"/>
    <w:rsid w:val="00E15930"/>
    <w:rsid w:val="00E17AD1"/>
    <w:rsid w:val="00E21F4A"/>
    <w:rsid w:val="00E31347"/>
    <w:rsid w:val="00E337DE"/>
    <w:rsid w:val="00E34574"/>
    <w:rsid w:val="00E34637"/>
    <w:rsid w:val="00E400A5"/>
    <w:rsid w:val="00E41501"/>
    <w:rsid w:val="00E42445"/>
    <w:rsid w:val="00E42706"/>
    <w:rsid w:val="00E44517"/>
    <w:rsid w:val="00E44ACB"/>
    <w:rsid w:val="00E459BD"/>
    <w:rsid w:val="00E45F8A"/>
    <w:rsid w:val="00E46D0A"/>
    <w:rsid w:val="00E530A1"/>
    <w:rsid w:val="00E532FB"/>
    <w:rsid w:val="00E571AA"/>
    <w:rsid w:val="00E57759"/>
    <w:rsid w:val="00E61DDC"/>
    <w:rsid w:val="00E62DFE"/>
    <w:rsid w:val="00E63686"/>
    <w:rsid w:val="00E64F32"/>
    <w:rsid w:val="00E710E0"/>
    <w:rsid w:val="00E71AE3"/>
    <w:rsid w:val="00E7371F"/>
    <w:rsid w:val="00E80900"/>
    <w:rsid w:val="00E809B9"/>
    <w:rsid w:val="00E81F93"/>
    <w:rsid w:val="00E82788"/>
    <w:rsid w:val="00E87082"/>
    <w:rsid w:val="00E90E01"/>
    <w:rsid w:val="00E944CA"/>
    <w:rsid w:val="00E94A66"/>
    <w:rsid w:val="00E962BD"/>
    <w:rsid w:val="00EA61DE"/>
    <w:rsid w:val="00EB0FA4"/>
    <w:rsid w:val="00EB15AC"/>
    <w:rsid w:val="00EB18C9"/>
    <w:rsid w:val="00EC0BF1"/>
    <w:rsid w:val="00EC1993"/>
    <w:rsid w:val="00EC5195"/>
    <w:rsid w:val="00EC5B52"/>
    <w:rsid w:val="00EC789C"/>
    <w:rsid w:val="00ED29D1"/>
    <w:rsid w:val="00ED60B5"/>
    <w:rsid w:val="00ED7B4E"/>
    <w:rsid w:val="00EE0D21"/>
    <w:rsid w:val="00EE36CC"/>
    <w:rsid w:val="00EE6C82"/>
    <w:rsid w:val="00F0266F"/>
    <w:rsid w:val="00F113E0"/>
    <w:rsid w:val="00F1626C"/>
    <w:rsid w:val="00F164F3"/>
    <w:rsid w:val="00F2249E"/>
    <w:rsid w:val="00F24587"/>
    <w:rsid w:val="00F261A6"/>
    <w:rsid w:val="00F42D5F"/>
    <w:rsid w:val="00F46540"/>
    <w:rsid w:val="00F46C1D"/>
    <w:rsid w:val="00F515B8"/>
    <w:rsid w:val="00F53C1E"/>
    <w:rsid w:val="00F63485"/>
    <w:rsid w:val="00F64833"/>
    <w:rsid w:val="00F6603C"/>
    <w:rsid w:val="00F66F93"/>
    <w:rsid w:val="00F67BA6"/>
    <w:rsid w:val="00F732B4"/>
    <w:rsid w:val="00F75838"/>
    <w:rsid w:val="00F7783A"/>
    <w:rsid w:val="00F806C0"/>
    <w:rsid w:val="00F842A2"/>
    <w:rsid w:val="00F85087"/>
    <w:rsid w:val="00F90044"/>
    <w:rsid w:val="00F92176"/>
    <w:rsid w:val="00F934BB"/>
    <w:rsid w:val="00FA4340"/>
    <w:rsid w:val="00FA550D"/>
    <w:rsid w:val="00FB603E"/>
    <w:rsid w:val="00FC2A1C"/>
    <w:rsid w:val="00FC38A2"/>
    <w:rsid w:val="00FC7601"/>
    <w:rsid w:val="00FD0B62"/>
    <w:rsid w:val="00FD0C4A"/>
    <w:rsid w:val="00FD3E11"/>
    <w:rsid w:val="00FE5C08"/>
    <w:rsid w:val="00FE6C09"/>
    <w:rsid w:val="00FE78F2"/>
    <w:rsid w:val="00FF1CAB"/>
    <w:rsid w:val="00FF57FE"/>
    <w:rsid w:val="00FF5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5FDEB9EA"/>
  <w15:chartTrackingRefBased/>
  <w15:docId w15:val="{99E09F7C-CFBF-41ED-8E0C-242DB2570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256A5E"/>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6B4672"/>
    <w:pPr>
      <w:keepNext/>
      <w:tabs>
        <w:tab w:val="left" w:pos="490"/>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0654F0"/>
    <w:pPr>
      <w:keepNext/>
      <w:spacing w:before="360" w:after="240"/>
      <w:jc w:val="center"/>
      <w:outlineLvl w:val="2"/>
    </w:pPr>
    <w:rPr>
      <w:rFonts w:eastAsia="Times New Roman" w:cs="Times New Roman"/>
      <w:b/>
      <w:sz w:val="36"/>
      <w:szCs w:val="20"/>
    </w:rPr>
  </w:style>
  <w:style w:type="paragraph" w:styleId="Heading4">
    <w:name w:val="heading 4"/>
    <w:basedOn w:val="Normal"/>
    <w:next w:val="Normal"/>
    <w:link w:val="Heading4Char"/>
    <w:autoRedefine/>
    <w:uiPriority w:val="99"/>
    <w:qFormat/>
    <w:rsid w:val="000654F0"/>
    <w:pPr>
      <w:keepNext/>
      <w:spacing w:before="240" w:after="240"/>
      <w:outlineLvl w:val="3"/>
    </w:pPr>
    <w:rPr>
      <w:rFonts w:eastAsia="Times New Roman" w:cs="Times New Roman"/>
      <w:b/>
      <w:bCs/>
      <w:sz w:val="32"/>
      <w:szCs w:val="28"/>
    </w:rPr>
  </w:style>
  <w:style w:type="paragraph" w:styleId="Heading5">
    <w:name w:val="heading 5"/>
    <w:basedOn w:val="Normal"/>
    <w:next w:val="Normal"/>
    <w:link w:val="Heading5Char"/>
    <w:autoRedefine/>
    <w:uiPriority w:val="99"/>
    <w:qFormat/>
    <w:rsid w:val="000654F0"/>
    <w:pPr>
      <w:keepNext/>
      <w:autoSpaceDE w:val="0"/>
      <w:autoSpaceDN w:val="0"/>
      <w:adjustRightInd w:val="0"/>
      <w:spacing w:before="240" w:after="240"/>
      <w:outlineLvl w:val="4"/>
    </w:pPr>
    <w:rPr>
      <w:rFonts w:eastAsia="Times New Roman"/>
      <w:b/>
      <w:bCs/>
      <w:sz w:val="28"/>
    </w:rPr>
  </w:style>
  <w:style w:type="paragraph" w:styleId="Heading6">
    <w:name w:val="heading 6"/>
    <w:basedOn w:val="Normal"/>
    <w:next w:val="Normal"/>
    <w:link w:val="Heading6Char"/>
    <w:autoRedefine/>
    <w:uiPriority w:val="99"/>
    <w:qFormat/>
    <w:rsid w:val="000654F0"/>
    <w:pPr>
      <w:spacing w:before="240" w:after="240"/>
      <w:jc w:val="center"/>
      <w:outlineLvl w:val="5"/>
    </w:pPr>
    <w:rPr>
      <w:rFonts w:eastAsia="Times New Roman" w:cs="Times New Roman"/>
      <w:bCs/>
      <w:i/>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256A5E"/>
    <w:rPr>
      <w:rFonts w:eastAsia="Times New Roman"/>
      <w:b/>
      <w:bCs/>
      <w:kern w:val="32"/>
      <w:sz w:val="40"/>
      <w:szCs w:val="32"/>
    </w:rPr>
  </w:style>
  <w:style w:type="character" w:customStyle="1" w:styleId="Heading2Char">
    <w:name w:val="Heading 2 Char"/>
    <w:link w:val="Heading2"/>
    <w:uiPriority w:val="99"/>
    <w:rsid w:val="006B4672"/>
    <w:rPr>
      <w:rFonts w:eastAsia="Times New Roman" w:cs="Times New Roman"/>
      <w:b/>
      <w:sz w:val="36"/>
    </w:rPr>
  </w:style>
  <w:style w:type="character" w:customStyle="1" w:styleId="Heading3Char">
    <w:name w:val="Heading 3 Char"/>
    <w:link w:val="Heading3"/>
    <w:uiPriority w:val="99"/>
    <w:rsid w:val="000654F0"/>
    <w:rPr>
      <w:rFonts w:eastAsia="Times New Roman" w:cs="Times New Roman"/>
      <w:b/>
      <w:sz w:val="36"/>
    </w:rPr>
  </w:style>
  <w:style w:type="character" w:customStyle="1" w:styleId="Heading4Char">
    <w:name w:val="Heading 4 Char"/>
    <w:link w:val="Heading4"/>
    <w:uiPriority w:val="99"/>
    <w:rsid w:val="000654F0"/>
    <w:rPr>
      <w:rFonts w:eastAsia="Times New Roman" w:cs="Times New Roman"/>
      <w:b/>
      <w:bCs/>
      <w:sz w:val="32"/>
      <w:szCs w:val="28"/>
    </w:rPr>
  </w:style>
  <w:style w:type="character" w:customStyle="1" w:styleId="Heading5Char">
    <w:name w:val="Heading 5 Char"/>
    <w:link w:val="Heading5"/>
    <w:uiPriority w:val="99"/>
    <w:rsid w:val="000654F0"/>
    <w:rPr>
      <w:rFonts w:eastAsia="Times New Roman"/>
      <w:b/>
      <w:bCs/>
      <w:sz w:val="28"/>
      <w:szCs w:val="24"/>
    </w:rPr>
  </w:style>
  <w:style w:type="character" w:customStyle="1" w:styleId="Heading6Char">
    <w:name w:val="Heading 6 Char"/>
    <w:link w:val="Heading6"/>
    <w:uiPriority w:val="99"/>
    <w:rsid w:val="000654F0"/>
    <w:rPr>
      <w:rFonts w:eastAsia="Times New Roman" w:cs="Times New Roman"/>
      <w:bCs/>
      <w:i/>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C06F90"/>
    <w:rPr>
      <w:sz w:val="16"/>
      <w:szCs w:val="16"/>
    </w:rPr>
  </w:style>
  <w:style w:type="paragraph" w:customStyle="1" w:styleId="CM74">
    <w:name w:val="CM74"/>
    <w:basedOn w:val="Default"/>
    <w:next w:val="Default"/>
    <w:uiPriority w:val="99"/>
    <w:rsid w:val="00BA20F8"/>
    <w:rPr>
      <w:rFonts w:ascii="Cambria" w:eastAsia="Calibri" w:hAnsi="Cambria" w:cs="Arial"/>
      <w:color w:val="auto"/>
    </w:rPr>
  </w:style>
  <w:style w:type="paragraph" w:customStyle="1" w:styleId="CM77">
    <w:name w:val="CM77"/>
    <w:basedOn w:val="Default"/>
    <w:next w:val="Default"/>
    <w:uiPriority w:val="99"/>
    <w:rsid w:val="00BA20F8"/>
    <w:rPr>
      <w:rFonts w:ascii="Cambria" w:eastAsia="Calibri" w:hAnsi="Cambria"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208687919">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AC50A-FB8F-4E2C-B3A4-9E5A6F740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43</Pages>
  <Words>9729</Words>
  <Characters>55460</Characters>
  <DocSecurity>0</DocSecurity>
  <Lines>462</Lines>
  <Paragraphs>130</Paragraphs>
  <ScaleCrop>false</ScaleCrop>
  <HeadingPairs>
    <vt:vector size="2" baseType="variant">
      <vt:variant>
        <vt:lpstr>Title</vt:lpstr>
      </vt:variant>
      <vt:variant>
        <vt:i4>1</vt:i4>
      </vt:variant>
    </vt:vector>
  </HeadingPairs>
  <TitlesOfParts>
    <vt:vector size="1" baseType="lpstr">
      <vt:lpstr>July 2020 Agenda Item XX Attachment 1 -  Meeting Agendas (CA State Board of Education)</vt:lpstr>
    </vt:vector>
  </TitlesOfParts>
  <Company>California State Board of Education</Company>
  <LinksUpToDate>false</LinksUpToDate>
  <CharactersWithSpaces>65059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19 Attachment 1 -  Meeting Agendas (CA State Board of Education)</dc:title>
  <dc:subject>California Department of Education Charter School Petition Review Form: T.I.M.E. Community School.</dc:subject>
  <dc:creator/>
  <cp:keywords/>
  <dc:description/>
  <cp:lastPrinted>2020-04-23T21:36:00Z</cp:lastPrinted>
  <dcterms:created xsi:type="dcterms:W3CDTF">2020-06-26T17:05:00Z</dcterms:created>
  <dcterms:modified xsi:type="dcterms:W3CDTF">2020-06-26T17:40:00Z</dcterms:modified>
  <cp:category/>
</cp:coreProperties>
</file>