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B0928" w14:textId="77777777" w:rsidR="006E06C6" w:rsidRDefault="00D5115F" w:rsidP="00B723BE">
      <w:r w:rsidRPr="00D5115F">
        <w:rPr>
          <w:noProof/>
        </w:rPr>
        <w:drawing>
          <wp:inline distT="0" distB="0" distL="0" distR="0" wp14:anchorId="7FEA9AB4" wp14:editId="663DD92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B2B3BCA" w14:textId="77777777" w:rsidR="00B723BE" w:rsidRDefault="00FC1FCE" w:rsidP="00B723BE">
      <w:pPr>
        <w:jc w:val="right"/>
      </w:pPr>
      <w:r w:rsidRPr="00B723BE">
        <w:t>California Department of Education</w:t>
      </w:r>
    </w:p>
    <w:p w14:paraId="24A1A2C1" w14:textId="77777777" w:rsidR="00B723BE" w:rsidRDefault="00FC1FCE" w:rsidP="00B723BE">
      <w:pPr>
        <w:jc w:val="right"/>
      </w:pPr>
      <w:r w:rsidRPr="00B723BE">
        <w:t>Executive Office</w:t>
      </w:r>
    </w:p>
    <w:p w14:paraId="67ED8EF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F91A2AC" w14:textId="2C19DE91" w:rsidR="00B723BE" w:rsidRDefault="00A97BDC" w:rsidP="00B723BE">
      <w:pPr>
        <w:jc w:val="right"/>
      </w:pPr>
      <w:r>
        <w:t>o</w:t>
      </w:r>
      <w:r w:rsidR="004E426F">
        <w:t>a</w:t>
      </w:r>
      <w:r w:rsidR="0031436E">
        <w:t>b</w:t>
      </w:r>
      <w:r w:rsidR="009247FB">
        <w:t>-csd-</w:t>
      </w:r>
      <w:r w:rsidR="00F1003D" w:rsidRPr="00AF3A0E">
        <w:t>jul20</w:t>
      </w:r>
      <w:r w:rsidR="009247FB" w:rsidRPr="00AF3A0E">
        <w:t>item</w:t>
      </w:r>
      <w:r w:rsidR="00B25BAB" w:rsidRPr="00AF3A0E">
        <w:t>08</w:t>
      </w:r>
    </w:p>
    <w:p w14:paraId="311A6246"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5C38DD56"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C901824" w14:textId="644370E6"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1436E" w:rsidRPr="004E426F">
        <w:rPr>
          <w:sz w:val="40"/>
          <w:szCs w:val="40"/>
        </w:rPr>
        <w:t>July 2020</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58223B">
        <w:rPr>
          <w:sz w:val="40"/>
          <w:szCs w:val="40"/>
        </w:rPr>
        <w:t>21</w:t>
      </w:r>
    </w:p>
    <w:p w14:paraId="0EFAE623" w14:textId="77777777" w:rsidR="00FC1FCE" w:rsidRPr="001B3958" w:rsidRDefault="00FC1FCE" w:rsidP="00112FEC">
      <w:pPr>
        <w:pStyle w:val="Heading2"/>
      </w:pPr>
      <w:r w:rsidRPr="001B3958">
        <w:t>Subject</w:t>
      </w:r>
    </w:p>
    <w:p w14:paraId="4A5B8403" w14:textId="77777777" w:rsidR="009342BC" w:rsidRPr="009342BC" w:rsidRDefault="009342BC" w:rsidP="009342BC">
      <w:pPr>
        <w:spacing w:after="240"/>
      </w:pPr>
      <w:r w:rsidRPr="009342BC">
        <w:t>Petition for the Renewal of a Charter School Under the Oversight of the State Board of Education: Consideration of Today’s Fresh Start Charter School Inglewood, which was denied by the Inglewood Unified School District and Los Angeles County Board of Education.</w:t>
      </w:r>
    </w:p>
    <w:p w14:paraId="33E442E1" w14:textId="77777777" w:rsidR="00FC1FCE" w:rsidRPr="001B3958" w:rsidRDefault="00FC1FCE" w:rsidP="00112FEC">
      <w:pPr>
        <w:pStyle w:val="Heading2"/>
      </w:pPr>
      <w:r w:rsidRPr="001B3958">
        <w:t>Type of Action</w:t>
      </w:r>
    </w:p>
    <w:p w14:paraId="56E678C5" w14:textId="77777777" w:rsidR="0091117B" w:rsidRPr="004E426F" w:rsidRDefault="008909EE" w:rsidP="000E09DC">
      <w:pPr>
        <w:spacing w:after="480"/>
      </w:pPr>
      <w:r w:rsidRPr="004E426F">
        <w:t>Action, Information, Public Hearing</w:t>
      </w:r>
    </w:p>
    <w:p w14:paraId="62B3FEE5" w14:textId="08BB6CFA" w:rsidR="00FC1FCE" w:rsidRPr="001B3958" w:rsidRDefault="00FC1FCE" w:rsidP="00112FEC">
      <w:pPr>
        <w:pStyle w:val="Heading2"/>
      </w:pPr>
      <w:r w:rsidRPr="001B3958">
        <w:t>Summary of the Issue</w:t>
      </w:r>
    </w:p>
    <w:p w14:paraId="2E469586" w14:textId="77777777" w:rsidR="009342BC" w:rsidRPr="009342BC" w:rsidRDefault="009342BC" w:rsidP="009342BC">
      <w:pPr>
        <w:spacing w:before="240" w:after="100" w:afterAutospacing="1"/>
        <w:rPr>
          <w:rFonts w:cs="Arial"/>
        </w:rPr>
      </w:pPr>
      <w:r w:rsidRPr="009342BC">
        <w:rPr>
          <w:rFonts w:cs="Arial"/>
        </w:rPr>
        <w:t>Today’s Fresh Start Charter School Inglewood (TFSCSI) is seeking a renewal of its charter from the State Board of Education (SBE).</w:t>
      </w:r>
    </w:p>
    <w:p w14:paraId="64E2F298" w14:textId="4326768B" w:rsidR="009342BC" w:rsidRPr="009342BC" w:rsidRDefault="009342BC" w:rsidP="009342BC">
      <w:pPr>
        <w:rPr>
          <w:rFonts w:eastAsia="Calibri" w:cs="Arial"/>
        </w:rPr>
      </w:pPr>
      <w:r w:rsidRPr="009342BC">
        <w:rPr>
          <w:rFonts w:eastAsia="Calibri" w:cs="Arial"/>
        </w:rPr>
        <w:t xml:space="preserve">On September 11, 2019, the petitioner submitted the TFSCSI petition to the Inglewood Unified School District (IUSD) for renewal. On October 11, 2019, the TFSCSI petition was denied </w:t>
      </w:r>
      <w:r w:rsidR="00A92BB0">
        <w:rPr>
          <w:rFonts w:eastAsia="Calibri" w:cs="Arial"/>
        </w:rPr>
        <w:t>by the</w:t>
      </w:r>
      <w:r w:rsidRPr="009342BC">
        <w:rPr>
          <w:rFonts w:eastAsia="Calibri" w:cs="Arial"/>
        </w:rPr>
        <w:t xml:space="preserve"> appointed County Administrator. On November 11, 2019, the petitioner submitted the TFSCSI petition on appeal to the Los Angeles County Office of Education (LACOE). On January 7, 2020, the Los Angeles County Board of Education (LACBOE) denied the TFSCSI petition by a vote of six to zero.</w:t>
      </w:r>
    </w:p>
    <w:p w14:paraId="7181A4E8" w14:textId="77777777" w:rsidR="009342BC" w:rsidRPr="009342BC" w:rsidRDefault="009342BC" w:rsidP="009342BC">
      <w:pPr>
        <w:spacing w:before="240" w:after="240"/>
        <w:rPr>
          <w:rFonts w:eastAsia="Calibri"/>
        </w:rPr>
      </w:pPr>
      <w:r w:rsidRPr="009342BC">
        <w:rPr>
          <w:rFonts w:eastAsia="Calibri"/>
        </w:rPr>
        <w:t>The petitioner submitted the TFSCSI petition on appeal to the SBE on January 27, 2020.</w:t>
      </w:r>
    </w:p>
    <w:p w14:paraId="15A04382" w14:textId="77777777" w:rsidR="003E4DF7" w:rsidRPr="00F40510" w:rsidRDefault="004E426F" w:rsidP="00112FEC">
      <w:pPr>
        <w:pStyle w:val="Heading2"/>
      </w:pPr>
      <w:r>
        <w:t xml:space="preserve">California Department of Education </w:t>
      </w:r>
      <w:r w:rsidR="003E4DF7">
        <w:t>Recommendation</w:t>
      </w:r>
    </w:p>
    <w:p w14:paraId="2FE2A72A" w14:textId="0AE3B3A8" w:rsidR="00A92BB0" w:rsidRPr="00742E13" w:rsidRDefault="005F3F15" w:rsidP="00E84084">
      <w:pPr>
        <w:spacing w:after="240"/>
        <w:rPr>
          <w:rFonts w:cs="Arial"/>
        </w:rPr>
      </w:pPr>
      <w:r w:rsidRPr="00742E13">
        <w:rPr>
          <w:rFonts w:cs="Arial"/>
        </w:rPr>
        <w:t>The California Department of Education (CDE) recommend</w:t>
      </w:r>
      <w:r w:rsidR="00783D86" w:rsidRPr="00742E13">
        <w:rPr>
          <w:rFonts w:cs="Arial"/>
        </w:rPr>
        <w:t>s</w:t>
      </w:r>
      <w:r w:rsidRPr="00742E13">
        <w:rPr>
          <w:rFonts w:cs="Arial"/>
        </w:rPr>
        <w:t xml:space="preserve"> that the SBE hold a public hearing to deny the request to renew TFSCSI, a transitional kindergarten/kindergarten (TK/K) through grade eight charter school</w:t>
      </w:r>
      <w:r w:rsidR="00A92BB0" w:rsidRPr="00742E13">
        <w:rPr>
          <w:rFonts w:cs="Arial"/>
        </w:rPr>
        <w:t xml:space="preserve">. </w:t>
      </w:r>
      <w:r w:rsidR="00783D86" w:rsidRPr="00742E13">
        <w:rPr>
          <w:rFonts w:cs="Arial"/>
        </w:rPr>
        <w:t>While the</w:t>
      </w:r>
      <w:r w:rsidR="00A92BB0" w:rsidRPr="00742E13">
        <w:rPr>
          <w:rFonts w:cs="Arial"/>
        </w:rPr>
        <w:t xml:space="preserve"> CDE reviewed and considered the pupil academic </w:t>
      </w:r>
      <w:r w:rsidR="008A1B19" w:rsidRPr="00742E13">
        <w:rPr>
          <w:rFonts w:cs="Arial"/>
        </w:rPr>
        <w:t>achievement</w:t>
      </w:r>
      <w:r w:rsidR="00432BA6" w:rsidRPr="00742E13">
        <w:rPr>
          <w:rFonts w:cs="Arial"/>
        </w:rPr>
        <w:t xml:space="preserve"> </w:t>
      </w:r>
      <w:r w:rsidR="00A92BB0" w:rsidRPr="00742E13">
        <w:rPr>
          <w:rFonts w:cs="Arial"/>
        </w:rPr>
        <w:t>of TFSCSI as the most important factor in determining whether to recommend approval for renewal</w:t>
      </w:r>
      <w:r w:rsidR="00783D86" w:rsidRPr="00742E13">
        <w:rPr>
          <w:rFonts w:cs="Arial"/>
        </w:rPr>
        <w:t xml:space="preserve">, </w:t>
      </w:r>
      <w:r w:rsidR="00A92BB0" w:rsidRPr="00742E13">
        <w:rPr>
          <w:rFonts w:cs="Arial"/>
        </w:rPr>
        <w:t xml:space="preserve">this was not the only factor considered. </w:t>
      </w:r>
    </w:p>
    <w:p w14:paraId="6EBA3673" w14:textId="399519E9" w:rsidR="008E6E3D" w:rsidRPr="00742E13" w:rsidRDefault="00A92BB0" w:rsidP="00E84084">
      <w:pPr>
        <w:spacing w:after="240"/>
        <w:rPr>
          <w:rFonts w:cs="Arial"/>
        </w:rPr>
      </w:pPr>
      <w:r w:rsidRPr="00742E13">
        <w:rPr>
          <w:rFonts w:cs="Arial"/>
        </w:rPr>
        <w:lastRenderedPageBreak/>
        <w:t>Based</w:t>
      </w:r>
      <w:r w:rsidR="005F3F15" w:rsidRPr="00742E13">
        <w:rPr>
          <w:rFonts w:cs="Arial"/>
        </w:rPr>
        <w:t xml:space="preserve"> on the CDE’s findings pursuant to </w:t>
      </w:r>
      <w:r w:rsidR="005F3F15" w:rsidRPr="00742E13">
        <w:rPr>
          <w:rFonts w:cs="Arial"/>
          <w:i/>
        </w:rPr>
        <w:t xml:space="preserve">Education Code </w:t>
      </w:r>
      <w:r w:rsidR="005F3F15" w:rsidRPr="00742E13">
        <w:rPr>
          <w:rFonts w:cs="Arial"/>
        </w:rPr>
        <w:t>(</w:t>
      </w:r>
      <w:r w:rsidR="005F3F15" w:rsidRPr="00742E13">
        <w:rPr>
          <w:rFonts w:cs="Arial"/>
          <w:i/>
        </w:rPr>
        <w:t>EC</w:t>
      </w:r>
      <w:r w:rsidR="005F3F15" w:rsidRPr="00742E13">
        <w:rPr>
          <w:rFonts w:cs="Arial"/>
        </w:rPr>
        <w:t>)</w:t>
      </w:r>
      <w:r w:rsidR="005F3F15" w:rsidRPr="00742E13">
        <w:rPr>
          <w:rFonts w:cs="Arial"/>
          <w:i/>
        </w:rPr>
        <w:t xml:space="preserve"> </w:t>
      </w:r>
      <w:r w:rsidR="005F3F15" w:rsidRPr="00742E13">
        <w:rPr>
          <w:rFonts w:cs="Arial"/>
        </w:rPr>
        <w:t xml:space="preserve">Section 47605 and </w:t>
      </w:r>
      <w:r w:rsidR="005F3F15" w:rsidRPr="00742E13">
        <w:rPr>
          <w:rFonts w:cs="Arial"/>
          <w:i/>
        </w:rPr>
        <w:t>California Code of Regulations</w:t>
      </w:r>
      <w:r w:rsidR="005F3F15" w:rsidRPr="00742E13">
        <w:rPr>
          <w:rFonts w:cs="Arial"/>
        </w:rPr>
        <w:t xml:space="preserve">, Title 5 (5 </w:t>
      </w:r>
      <w:r w:rsidR="005F3F15" w:rsidRPr="00742E13">
        <w:rPr>
          <w:rFonts w:cs="Arial"/>
          <w:i/>
        </w:rPr>
        <w:t>CCR</w:t>
      </w:r>
      <w:r w:rsidR="005F3F15" w:rsidRPr="00742E13">
        <w:rPr>
          <w:rFonts w:cs="Arial"/>
        </w:rPr>
        <w:t>) Section</w:t>
      </w:r>
      <w:r w:rsidR="008642F8" w:rsidRPr="00742E13">
        <w:rPr>
          <w:rFonts w:cs="Arial"/>
        </w:rPr>
        <w:t xml:space="preserve"> 11967.5.1(c)</w:t>
      </w:r>
      <w:r w:rsidRPr="00742E13">
        <w:rPr>
          <w:rFonts w:cs="Arial"/>
        </w:rPr>
        <w:t>,</w:t>
      </w:r>
      <w:r w:rsidR="008642F8" w:rsidRPr="00742E13">
        <w:rPr>
          <w:rFonts w:cs="Arial"/>
        </w:rPr>
        <w:t xml:space="preserve"> the petitioners are not likely to successfully implement the program set forth in the </w:t>
      </w:r>
      <w:r w:rsidR="00783D86" w:rsidRPr="00742E13">
        <w:rPr>
          <w:rFonts w:cs="Arial"/>
        </w:rPr>
        <w:t xml:space="preserve">TFSCSI </w:t>
      </w:r>
      <w:r w:rsidR="008642F8" w:rsidRPr="00742E13">
        <w:rPr>
          <w:rFonts w:cs="Arial"/>
        </w:rPr>
        <w:t xml:space="preserve">petition </w:t>
      </w:r>
      <w:r w:rsidR="00783D86" w:rsidRPr="00742E13">
        <w:rPr>
          <w:rFonts w:cs="Arial"/>
        </w:rPr>
        <w:t xml:space="preserve">due to </w:t>
      </w:r>
      <w:r w:rsidR="008642F8" w:rsidRPr="00742E13">
        <w:rPr>
          <w:rFonts w:cs="Arial"/>
        </w:rPr>
        <w:t>th</w:t>
      </w:r>
      <w:r w:rsidR="008E4C2C" w:rsidRPr="00742E13">
        <w:rPr>
          <w:rFonts w:cs="Arial"/>
        </w:rPr>
        <w:t>e</w:t>
      </w:r>
      <w:r w:rsidR="008642F8" w:rsidRPr="00742E13">
        <w:rPr>
          <w:rFonts w:cs="Arial"/>
        </w:rPr>
        <w:t xml:space="preserve"> petitioners’ history of fiscal mismanagement</w:t>
      </w:r>
      <w:r w:rsidR="00756B65" w:rsidRPr="00742E13">
        <w:rPr>
          <w:rFonts w:cs="Arial"/>
        </w:rPr>
        <w:t xml:space="preserve"> and governance concerns. </w:t>
      </w:r>
      <w:bookmarkStart w:id="0" w:name="_Hlk43383257"/>
    </w:p>
    <w:p w14:paraId="75C3C096" w14:textId="334E4081" w:rsidR="008E4C2C" w:rsidRPr="00742E13" w:rsidRDefault="008E6E3D" w:rsidP="00E84084">
      <w:pPr>
        <w:spacing w:after="240"/>
        <w:rPr>
          <w:rFonts w:cs="Arial"/>
        </w:rPr>
      </w:pPr>
      <w:r w:rsidRPr="00742E13">
        <w:rPr>
          <w:rFonts w:cs="Arial"/>
        </w:rPr>
        <w:t>The TFSCSI operational plan cannot be deemed viable due to the following reasons</w:t>
      </w:r>
      <w:r w:rsidR="008E4C2C" w:rsidRPr="00742E13">
        <w:rPr>
          <w:rFonts w:cs="Arial"/>
        </w:rPr>
        <w:t>:</w:t>
      </w:r>
    </w:p>
    <w:p w14:paraId="43DDB1CA" w14:textId="2EF63877" w:rsidR="008E4C2C" w:rsidRPr="00742E13" w:rsidRDefault="008E4C2C" w:rsidP="00783D86">
      <w:pPr>
        <w:pStyle w:val="ListParagraph"/>
        <w:numPr>
          <w:ilvl w:val="0"/>
          <w:numId w:val="32"/>
        </w:numPr>
        <w:spacing w:after="240"/>
        <w:contextualSpacing w:val="0"/>
        <w:rPr>
          <w:rFonts w:cs="Arial"/>
        </w:rPr>
      </w:pPr>
      <w:r w:rsidRPr="00742E13">
        <w:rPr>
          <w:rFonts w:cs="Arial"/>
        </w:rPr>
        <w:t xml:space="preserve">The </w:t>
      </w:r>
      <w:r w:rsidR="008E6E3D" w:rsidRPr="00742E13">
        <w:rPr>
          <w:rFonts w:cs="Arial"/>
        </w:rPr>
        <w:t>2007 T</w:t>
      </w:r>
      <w:r w:rsidRPr="00742E13">
        <w:rPr>
          <w:rFonts w:cs="Arial"/>
        </w:rPr>
        <w:t>oday’s Fresh Start</w:t>
      </w:r>
      <w:r w:rsidR="00360F5F" w:rsidRPr="00742E13">
        <w:rPr>
          <w:rFonts w:cs="Arial"/>
        </w:rPr>
        <w:t xml:space="preserve"> Charter Countywide</w:t>
      </w:r>
      <w:r w:rsidR="008E6E3D" w:rsidRPr="00742E13">
        <w:rPr>
          <w:rFonts w:cs="Arial"/>
        </w:rPr>
        <w:t xml:space="preserve"> revocation by LACOE</w:t>
      </w:r>
    </w:p>
    <w:p w14:paraId="6175F6A4" w14:textId="708BFA84" w:rsidR="008E4C2C" w:rsidRPr="00742E13" w:rsidRDefault="00B93808" w:rsidP="00783D86">
      <w:pPr>
        <w:pStyle w:val="ListParagraph"/>
        <w:numPr>
          <w:ilvl w:val="0"/>
          <w:numId w:val="32"/>
        </w:numPr>
        <w:spacing w:after="240"/>
        <w:contextualSpacing w:val="0"/>
        <w:rPr>
          <w:rFonts w:cs="Arial"/>
        </w:rPr>
      </w:pPr>
      <w:r w:rsidRPr="00742E13">
        <w:rPr>
          <w:rFonts w:cs="Arial"/>
        </w:rPr>
        <w:t>Conflicts of interest based on r</w:t>
      </w:r>
      <w:r w:rsidR="008E6E3D" w:rsidRPr="00742E13">
        <w:rPr>
          <w:rFonts w:cs="Arial"/>
        </w:rPr>
        <w:t>elated party transactions</w:t>
      </w:r>
      <w:r w:rsidR="00424312" w:rsidRPr="00742E13">
        <w:rPr>
          <w:rStyle w:val="FootnoteReference"/>
          <w:rFonts w:cs="Arial"/>
        </w:rPr>
        <w:footnoteReference w:id="1"/>
      </w:r>
      <w:r w:rsidR="00783D86" w:rsidRPr="00742E13">
        <w:rPr>
          <w:rFonts w:cs="Arial"/>
        </w:rPr>
        <w:t>,</w:t>
      </w:r>
      <w:r w:rsidR="008E6E3D" w:rsidRPr="00742E13">
        <w:rPr>
          <w:rFonts w:cs="Arial"/>
        </w:rPr>
        <w:t xml:space="preserve"> which include transactions with G</w:t>
      </w:r>
      <w:r w:rsidR="00783D86" w:rsidRPr="00742E13">
        <w:rPr>
          <w:rFonts w:cs="Arial"/>
        </w:rPr>
        <w:t>olden Day Schools, Inc. (GD</w:t>
      </w:r>
      <w:r w:rsidR="008E6E3D" w:rsidRPr="00742E13">
        <w:rPr>
          <w:rFonts w:cs="Arial"/>
        </w:rPr>
        <w:t>SI</w:t>
      </w:r>
      <w:r w:rsidR="00783D86" w:rsidRPr="00742E13">
        <w:rPr>
          <w:rFonts w:cs="Arial"/>
        </w:rPr>
        <w:t>),</w:t>
      </w:r>
      <w:r w:rsidR="008E6E3D" w:rsidRPr="00742E13">
        <w:rPr>
          <w:rFonts w:cs="Arial"/>
        </w:rPr>
        <w:t xml:space="preserve"> Los Angeles Schools Services, Inc., and Construction Management Services</w:t>
      </w:r>
    </w:p>
    <w:p w14:paraId="5F7E79FC" w14:textId="1026E873" w:rsidR="008E4C2C" w:rsidRPr="00742E13" w:rsidRDefault="008E4C2C" w:rsidP="00783D86">
      <w:pPr>
        <w:pStyle w:val="ListParagraph"/>
        <w:numPr>
          <w:ilvl w:val="0"/>
          <w:numId w:val="32"/>
        </w:numPr>
        <w:spacing w:after="240"/>
        <w:contextualSpacing w:val="0"/>
        <w:rPr>
          <w:rFonts w:cs="Arial"/>
        </w:rPr>
      </w:pPr>
      <w:r w:rsidRPr="00742E13">
        <w:rPr>
          <w:rFonts w:cs="Arial"/>
        </w:rPr>
        <w:t>The</w:t>
      </w:r>
      <w:r w:rsidR="008E6E3D" w:rsidRPr="00742E13">
        <w:rPr>
          <w:rFonts w:cs="Arial"/>
        </w:rPr>
        <w:t xml:space="preserve"> operational history</w:t>
      </w:r>
      <w:r w:rsidRPr="00742E13">
        <w:rPr>
          <w:rFonts w:cs="Arial"/>
        </w:rPr>
        <w:t xml:space="preserve"> </w:t>
      </w:r>
      <w:r w:rsidR="00783D86" w:rsidRPr="00742E13">
        <w:rPr>
          <w:rFonts w:cs="Arial"/>
        </w:rPr>
        <w:t>of</w:t>
      </w:r>
      <w:r w:rsidRPr="00742E13">
        <w:rPr>
          <w:rFonts w:cs="Arial"/>
        </w:rPr>
        <w:t xml:space="preserve"> the TFS organization, which exhibits</w:t>
      </w:r>
      <w:r w:rsidR="008E6E3D" w:rsidRPr="00742E13">
        <w:rPr>
          <w:rFonts w:cs="Arial"/>
        </w:rPr>
        <w:t xml:space="preserve"> ambiguity</w:t>
      </w:r>
      <w:r w:rsidRPr="00742E13">
        <w:rPr>
          <w:rFonts w:cs="Arial"/>
        </w:rPr>
        <w:t xml:space="preserve">, self- dealings, and a </w:t>
      </w:r>
      <w:r w:rsidR="008E6E3D" w:rsidRPr="00742E13">
        <w:rPr>
          <w:rFonts w:cs="Arial"/>
        </w:rPr>
        <w:t>lack of transparency</w:t>
      </w:r>
      <w:bookmarkEnd w:id="0"/>
    </w:p>
    <w:p w14:paraId="0590A0B9" w14:textId="5C5246AD" w:rsidR="005F3F15" w:rsidRPr="008E4C2C" w:rsidRDefault="005F3F15" w:rsidP="008E4C2C">
      <w:pPr>
        <w:spacing w:before="240" w:after="240"/>
        <w:rPr>
          <w:rFonts w:cs="Arial"/>
        </w:rPr>
      </w:pPr>
      <w:r w:rsidRPr="008E4C2C">
        <w:rPr>
          <w:rFonts w:cs="Arial"/>
        </w:rPr>
        <w:t>The CDE finds that the petitioner is demonstrably unlikely to implement the program set forth in the TFSCSI petition as the petitioner has a past history of involvement in charter schools that the SBE regards as unsuccessful. The CDE also finds that the TFSCSI petition does not contain a reasonably comprehensive description of the following required elements: Element 1–Description of Educational Program, Element 4–Governance Structure, Element 9–Annual Independent Financial Audits, and Element 10–Suspension and Expulsion Procedures.</w:t>
      </w:r>
    </w:p>
    <w:p w14:paraId="7CB730D0" w14:textId="77777777" w:rsidR="00DE378B" w:rsidRDefault="00C15C41" w:rsidP="00112FEC">
      <w:pPr>
        <w:pStyle w:val="Heading2"/>
      </w:pPr>
      <w:r w:rsidRPr="00DE378B">
        <w:t>Advisory Commission on Charter Schools</w:t>
      </w:r>
      <w:r w:rsidR="00040FE1" w:rsidRPr="00DE378B">
        <w:t xml:space="preserve"> Recommendation</w:t>
      </w:r>
    </w:p>
    <w:p w14:paraId="6D3D8539" w14:textId="713B869D" w:rsidR="00926620" w:rsidRPr="004416E1" w:rsidRDefault="00926620" w:rsidP="00926620">
      <w:pPr>
        <w:spacing w:after="240"/>
        <w:rPr>
          <w:rFonts w:cs="Arial"/>
        </w:rPr>
      </w:pPr>
      <w:r w:rsidRPr="004416E1">
        <w:t xml:space="preserve">The Advisory Commission on Charter Schools (ACCS) considered the </w:t>
      </w:r>
      <w:r w:rsidR="008E4C2C" w:rsidRPr="004416E1">
        <w:t>TFSCSI</w:t>
      </w:r>
      <w:r w:rsidRPr="004416E1">
        <w:t xml:space="preserve"> petition for renewal at its June 9, 2020, meeting. The ACCS moved CDE staff recommendation to deny the TFSCSI petition by a vote of six to three.</w:t>
      </w:r>
    </w:p>
    <w:p w14:paraId="02808418" w14:textId="612627BD" w:rsidR="00F3169D" w:rsidRDefault="00A70AB4" w:rsidP="00A70AB4">
      <w:pPr>
        <w:spacing w:after="100" w:afterAutospacing="1"/>
      </w:pPr>
      <w:r w:rsidRPr="00A70AB4">
        <w:rPr>
          <w:rFonts w:eastAsia="Calibri" w:cs="Arial"/>
        </w:rPr>
        <w:t xml:space="preserve">The notice for the June 9, 2020, ACCS meeting is located on the SBE ACCS web page at </w:t>
      </w:r>
      <w:hyperlink r:id="rId10" w:tooltip="June 2020 ACCS Meeting Agenda web page" w:history="1">
        <w:r w:rsidR="00F3169D" w:rsidRPr="00361D6B">
          <w:rPr>
            <w:rStyle w:val="Hyperlink"/>
          </w:rPr>
          <w:t>https://www.cde.ca.gov/be/cc/cs/accsnotice060920.asp</w:t>
        </w:r>
      </w:hyperlink>
      <w:r w:rsidR="00F3169D" w:rsidRPr="00361D6B">
        <w:t>.</w:t>
      </w:r>
    </w:p>
    <w:p w14:paraId="77B3F754" w14:textId="77777777" w:rsidR="00742E13" w:rsidRDefault="00742E13" w:rsidP="00742E13">
      <w:pPr>
        <w:spacing w:before="240" w:after="240"/>
      </w:pPr>
      <w:r w:rsidRPr="00742E13">
        <w:t>A detailed analysis of the CDE’s review of the entire TFSCSI petition is provided in Attachment 1. Additionally, for reference, the CDE has included an Attachment 3, which consists of publicly available documents to provide clarity on issues that seemed unclear at the June 9, 2020, ACCS meeting.</w:t>
      </w:r>
    </w:p>
    <w:p w14:paraId="6FCAAB4E" w14:textId="77777777" w:rsidR="001C26BF" w:rsidRPr="004416E1" w:rsidRDefault="001C26BF" w:rsidP="00112FEC">
      <w:pPr>
        <w:pStyle w:val="Heading2"/>
      </w:pPr>
      <w:r w:rsidRPr="004416E1">
        <w:t>Educational Program</w:t>
      </w:r>
    </w:p>
    <w:p w14:paraId="4D1AB1E7" w14:textId="21EC0935" w:rsidR="001C26BF" w:rsidRPr="00A17495" w:rsidRDefault="001C26BF" w:rsidP="001C26BF">
      <w:pPr>
        <w:autoSpaceDE w:val="0"/>
        <w:autoSpaceDN w:val="0"/>
        <w:adjustRightInd w:val="0"/>
        <w:spacing w:after="100" w:afterAutospacing="1"/>
        <w:rPr>
          <w:rFonts w:eastAsia="Calibri" w:cs="Arial"/>
          <w:bCs/>
        </w:rPr>
      </w:pPr>
      <w:r w:rsidRPr="004416E1">
        <w:rPr>
          <w:rFonts w:eastAsia="Calibri" w:cs="Arial"/>
          <w:bCs/>
        </w:rPr>
        <w:t xml:space="preserve">TFSCSI intends to serve 527 pupils in K through grade six in 2020–21. The </w:t>
      </w:r>
      <w:r w:rsidR="00783D86" w:rsidRPr="004416E1">
        <w:rPr>
          <w:rFonts w:eastAsia="Calibri" w:cs="Arial"/>
          <w:bCs/>
        </w:rPr>
        <w:t xml:space="preserve">TFSCSI </w:t>
      </w:r>
      <w:r w:rsidRPr="004416E1">
        <w:rPr>
          <w:rFonts w:eastAsia="Calibri" w:cs="Arial"/>
          <w:bCs/>
        </w:rPr>
        <w:t xml:space="preserve">petition states that </w:t>
      </w:r>
      <w:r w:rsidR="00783D86" w:rsidRPr="004416E1">
        <w:rPr>
          <w:rFonts w:eastAsia="Calibri" w:cs="Arial"/>
          <w:bCs/>
        </w:rPr>
        <w:t>its</w:t>
      </w:r>
      <w:r w:rsidRPr="004416E1">
        <w:rPr>
          <w:rFonts w:eastAsia="Calibri" w:cs="Arial"/>
          <w:bCs/>
        </w:rPr>
        <w:t xml:space="preserve"> mission is to educate each scholar individually and personally—</w:t>
      </w:r>
      <w:r w:rsidRPr="004416E1">
        <w:rPr>
          <w:rFonts w:eastAsia="Calibri" w:cs="Arial"/>
          <w:bCs/>
        </w:rPr>
        <w:lastRenderedPageBreak/>
        <w:t xml:space="preserve">academically, emotionally, and socially—to achieve their individual academic potential and personal best. The </w:t>
      </w:r>
      <w:r w:rsidR="00783D86" w:rsidRPr="004416E1">
        <w:rPr>
          <w:rFonts w:eastAsia="Calibri" w:cs="Arial"/>
          <w:bCs/>
        </w:rPr>
        <w:t xml:space="preserve">TFSCSI </w:t>
      </w:r>
      <w:r w:rsidRPr="004416E1">
        <w:rPr>
          <w:rFonts w:eastAsia="Calibri" w:cs="Arial"/>
          <w:bCs/>
        </w:rPr>
        <w:t xml:space="preserve">petition states that </w:t>
      </w:r>
      <w:r w:rsidR="00783D86" w:rsidRPr="004416E1">
        <w:rPr>
          <w:rFonts w:eastAsia="Calibri" w:cs="Arial"/>
          <w:bCs/>
        </w:rPr>
        <w:t>it</w:t>
      </w:r>
      <w:r w:rsidRPr="004416E1">
        <w:rPr>
          <w:rFonts w:eastAsia="Calibri" w:cs="Arial"/>
          <w:bCs/>
        </w:rPr>
        <w:t xml:space="preserve"> is an independent, public, and site-based TK through grade eight charter school that offers a traditional school calendar, and addresses the unique educational needs of an increasingly at-risk school-aged population. The </w:t>
      </w:r>
      <w:r w:rsidR="00783D86" w:rsidRPr="004416E1">
        <w:rPr>
          <w:rFonts w:eastAsia="Calibri" w:cs="Arial"/>
          <w:bCs/>
        </w:rPr>
        <w:t xml:space="preserve">TFSCSI </w:t>
      </w:r>
      <w:r w:rsidRPr="004416E1">
        <w:rPr>
          <w:rFonts w:eastAsia="Calibri" w:cs="Arial"/>
          <w:bCs/>
        </w:rPr>
        <w:t xml:space="preserve">petition states that an educated person, to his/her fullest potential, will become a self-motivated, competent, and productive citizen in the global economy of the twenty-first century. The </w:t>
      </w:r>
      <w:r w:rsidR="00783D86" w:rsidRPr="004416E1">
        <w:rPr>
          <w:rFonts w:eastAsia="Calibri" w:cs="Arial"/>
          <w:bCs/>
        </w:rPr>
        <w:t xml:space="preserve">TFSCSI </w:t>
      </w:r>
      <w:r w:rsidRPr="004416E1">
        <w:rPr>
          <w:rFonts w:eastAsia="Calibri" w:cs="Arial"/>
          <w:bCs/>
        </w:rPr>
        <w:t xml:space="preserve">petition lists the integration of several elements for when and how learning best occurs (Attachment 3 </w:t>
      </w:r>
      <w:r w:rsidRPr="004416E1">
        <w:rPr>
          <w:rFonts w:cstheme="majorBidi"/>
        </w:rPr>
        <w:t xml:space="preserve">of Agenda Item 08 on the ACCS June 9, 2020, Meeting Notice on the SBE ACCS web page at </w:t>
      </w:r>
      <w:hyperlink r:id="rId11" w:tooltip="June 2020 ACCS Meeting Agenda web page" w:history="1">
        <w:r w:rsidRPr="004416E1">
          <w:rPr>
            <w:rStyle w:val="Hyperlink"/>
          </w:rPr>
          <w:t>https://www.cde.ca.gov/be/cc/cs/accsnotice060920.asp</w:t>
        </w:r>
      </w:hyperlink>
      <w:r w:rsidRPr="004416E1">
        <w:rPr>
          <w:rFonts w:eastAsia="Calibri" w:cs="Arial"/>
          <w:bCs/>
        </w:rPr>
        <w:t>).</w:t>
      </w:r>
    </w:p>
    <w:p w14:paraId="17583123" w14:textId="77777777" w:rsidR="00A17495" w:rsidRPr="00A17495" w:rsidRDefault="00A17495" w:rsidP="00112FEC">
      <w:pPr>
        <w:pStyle w:val="Heading2"/>
      </w:pPr>
      <w:bookmarkStart w:id="1" w:name="_Hlk43995877"/>
      <w:r w:rsidRPr="00A17495">
        <w:t>Relevant History of Other Today’s Fresh Start Charter Schools</w:t>
      </w:r>
    </w:p>
    <w:p w14:paraId="7F525C72" w14:textId="53DBFADB" w:rsidR="00E83EFF" w:rsidRPr="00112FEC" w:rsidRDefault="00707CD7" w:rsidP="00A17495">
      <w:pPr>
        <w:spacing w:before="240" w:after="240"/>
        <w:contextualSpacing/>
        <w:rPr>
          <w:rFonts w:cs="Arial"/>
        </w:rPr>
      </w:pPr>
      <w:r w:rsidRPr="004416E1">
        <w:rPr>
          <w:rFonts w:eastAsia="Calibri"/>
        </w:rPr>
        <w:t xml:space="preserve">Today's Fresh Start, Inc. </w:t>
      </w:r>
      <w:r w:rsidRPr="004416E1">
        <w:rPr>
          <w:rFonts w:cs="Arial"/>
        </w:rPr>
        <w:t>(</w:t>
      </w:r>
      <w:r w:rsidR="00A17495" w:rsidRPr="004416E1">
        <w:rPr>
          <w:rFonts w:cs="Arial"/>
        </w:rPr>
        <w:t>T</w:t>
      </w:r>
      <w:r w:rsidR="00EB1B1F" w:rsidRPr="004416E1">
        <w:rPr>
          <w:rFonts w:cs="Arial"/>
        </w:rPr>
        <w:t>FS</w:t>
      </w:r>
      <w:r w:rsidR="00A92BB0" w:rsidRPr="004416E1">
        <w:rPr>
          <w:rFonts w:cs="Arial"/>
        </w:rPr>
        <w:t>, Inc.</w:t>
      </w:r>
      <w:r w:rsidRPr="004416E1">
        <w:rPr>
          <w:rFonts w:cs="Arial"/>
        </w:rPr>
        <w:t xml:space="preserve">), a </w:t>
      </w:r>
      <w:r w:rsidRPr="004416E1">
        <w:rPr>
          <w:rFonts w:eastAsia="Calibri"/>
        </w:rPr>
        <w:t>non-profit public benefit corporation,</w:t>
      </w:r>
      <w:r w:rsidRPr="004416E1">
        <w:rPr>
          <w:rFonts w:cs="Arial"/>
        </w:rPr>
        <w:t xml:space="preserve"> </w:t>
      </w:r>
      <w:r w:rsidR="00A17495" w:rsidRPr="004416E1">
        <w:rPr>
          <w:rFonts w:cs="Arial"/>
        </w:rPr>
        <w:t>has been operating charter schools since 2003</w:t>
      </w:r>
      <w:r w:rsidR="00931775" w:rsidRPr="004416E1">
        <w:rPr>
          <w:rFonts w:cs="Arial"/>
        </w:rPr>
        <w:t>,</w:t>
      </w:r>
      <w:r w:rsidR="00432BA6" w:rsidRPr="004416E1">
        <w:rPr>
          <w:rFonts w:cs="Arial"/>
        </w:rPr>
        <w:t xml:space="preserve"> </w:t>
      </w:r>
      <w:r w:rsidR="00931775" w:rsidRPr="004416E1">
        <w:rPr>
          <w:rFonts w:cs="Arial"/>
        </w:rPr>
        <w:t xml:space="preserve">and </w:t>
      </w:r>
      <w:r w:rsidR="00A17495" w:rsidRPr="004416E1">
        <w:rPr>
          <w:rFonts w:eastAsia="Calibri"/>
        </w:rPr>
        <w:t>has had a long history of movement between authorizers</w:t>
      </w:r>
      <w:r w:rsidR="00931775" w:rsidRPr="004416E1">
        <w:rPr>
          <w:rFonts w:eastAsia="Calibri"/>
        </w:rPr>
        <w:t>,</w:t>
      </w:r>
      <w:r w:rsidR="00A17495" w:rsidRPr="004416E1">
        <w:rPr>
          <w:rFonts w:eastAsia="Calibri"/>
        </w:rPr>
        <w:t xml:space="preserve"> as well as negative outcomes in terms of non-renewals, </w:t>
      </w:r>
      <w:r w:rsidR="00931775" w:rsidRPr="004416E1">
        <w:rPr>
          <w:rFonts w:eastAsia="Calibri"/>
        </w:rPr>
        <w:t xml:space="preserve">a </w:t>
      </w:r>
      <w:r w:rsidR="00A17495" w:rsidRPr="004416E1">
        <w:rPr>
          <w:rFonts w:eastAsia="Calibri"/>
        </w:rPr>
        <w:t>revocation, and litigation. Throughout the organization’s history, TFS</w:t>
      </w:r>
      <w:r w:rsidR="00432BA6" w:rsidRPr="004416E1">
        <w:rPr>
          <w:rFonts w:eastAsia="Calibri"/>
        </w:rPr>
        <w:t>, Inc.</w:t>
      </w:r>
      <w:r w:rsidR="00A17495" w:rsidRPr="004416E1">
        <w:rPr>
          <w:rFonts w:eastAsia="Calibri"/>
        </w:rPr>
        <w:t xml:space="preserve"> has maintained a single governance structure over TFS</w:t>
      </w:r>
      <w:r w:rsidR="00F10E8D" w:rsidRPr="004416E1">
        <w:rPr>
          <w:rFonts w:eastAsia="Calibri"/>
        </w:rPr>
        <w:t>, Inc.</w:t>
      </w:r>
      <w:r w:rsidR="00A17495" w:rsidRPr="004416E1">
        <w:rPr>
          <w:rFonts w:eastAsia="Calibri"/>
        </w:rPr>
        <w:t xml:space="preserve"> schools. </w:t>
      </w:r>
      <w:r w:rsidR="00931775" w:rsidRPr="004416E1">
        <w:rPr>
          <w:rFonts w:eastAsia="Calibri"/>
        </w:rPr>
        <w:t xml:space="preserve">The CDE took </w:t>
      </w:r>
      <w:r w:rsidR="00931775" w:rsidRPr="004416E1">
        <w:rPr>
          <w:rFonts w:cs="Arial"/>
        </w:rPr>
        <w:t>this</w:t>
      </w:r>
      <w:r w:rsidR="00A17495" w:rsidRPr="004416E1">
        <w:rPr>
          <w:rFonts w:cs="Arial"/>
        </w:rPr>
        <w:t xml:space="preserve"> past history </w:t>
      </w:r>
      <w:r w:rsidR="00931775" w:rsidRPr="004416E1">
        <w:rPr>
          <w:rFonts w:cs="Arial"/>
        </w:rPr>
        <w:t>into</w:t>
      </w:r>
      <w:r w:rsidR="00A17495" w:rsidRPr="004416E1">
        <w:rPr>
          <w:rFonts w:cs="Arial"/>
        </w:rPr>
        <w:t xml:space="preserve"> considerati</w:t>
      </w:r>
      <w:r w:rsidR="00931775" w:rsidRPr="004416E1">
        <w:rPr>
          <w:rFonts w:cs="Arial"/>
        </w:rPr>
        <w:t>on</w:t>
      </w:r>
      <w:r w:rsidR="00A17495" w:rsidRPr="004416E1">
        <w:rPr>
          <w:rFonts w:cs="Arial"/>
        </w:rPr>
        <w:t xml:space="preserve"> in reaching its recommendation</w:t>
      </w:r>
      <w:r w:rsidR="00931775" w:rsidRPr="004416E1">
        <w:rPr>
          <w:rFonts w:cs="Arial"/>
        </w:rPr>
        <w:t xml:space="preserve"> </w:t>
      </w:r>
      <w:r w:rsidR="00783D86" w:rsidRPr="004416E1">
        <w:rPr>
          <w:rFonts w:cs="Arial"/>
        </w:rPr>
        <w:t>as</w:t>
      </w:r>
      <w:r w:rsidR="00931775" w:rsidRPr="004416E1">
        <w:rPr>
          <w:rFonts w:cs="Arial"/>
        </w:rPr>
        <w:t xml:space="preserve"> it has an impact on TFSCSI’s ability to serve its pupils</w:t>
      </w:r>
      <w:r w:rsidR="00A17495" w:rsidRPr="004416E1">
        <w:rPr>
          <w:rFonts w:cs="Arial"/>
        </w:rPr>
        <w:t>.</w:t>
      </w:r>
    </w:p>
    <w:p w14:paraId="1B88D11D" w14:textId="77777777" w:rsidR="00A17495" w:rsidRPr="00A17495" w:rsidRDefault="00A17495" w:rsidP="00112FEC">
      <w:pPr>
        <w:pStyle w:val="Heading3"/>
      </w:pPr>
      <w:r w:rsidRPr="00A17495">
        <w:t>Today’s Fresh Start Charter School Inglewood</w:t>
      </w:r>
    </w:p>
    <w:p w14:paraId="6ACB0C1E" w14:textId="77777777" w:rsidR="00A17495" w:rsidRPr="00A17495" w:rsidRDefault="00A17495" w:rsidP="00A17495">
      <w:pPr>
        <w:spacing w:before="240" w:after="240"/>
        <w:rPr>
          <w:rFonts w:eastAsia="Calibri"/>
        </w:rPr>
      </w:pPr>
      <w:r w:rsidRPr="00A17495">
        <w:rPr>
          <w:rFonts w:eastAsia="Calibri"/>
        </w:rPr>
        <w:t>TFSCSI, charter number 1075, is currently authorized by IUSD and serves 430 TK/K through grade eight pupils on a facility located at 3504 West Imperial Highway in Inglewood, California, with a term that ends on June 30, 2020.</w:t>
      </w:r>
    </w:p>
    <w:p w14:paraId="0A9CB8CA" w14:textId="7D72956F" w:rsidR="00A17495" w:rsidRPr="00A17495" w:rsidRDefault="00A17495" w:rsidP="00A17495">
      <w:pPr>
        <w:spacing w:before="240" w:after="240"/>
        <w:rPr>
          <w:rFonts w:eastAsia="Calibri"/>
        </w:rPr>
      </w:pPr>
      <w:r w:rsidRPr="004416E1">
        <w:rPr>
          <w:rFonts w:eastAsia="Calibri"/>
        </w:rPr>
        <w:t xml:space="preserve">TFSCSI was authorized by IUSD on May 12, 2009, for a three-year term from 2009–12. In April 2013, IUSD renewed TFSCSI for a five-year term from 2012–17. On </w:t>
      </w:r>
      <w:r w:rsidR="00783D86" w:rsidRPr="004416E1">
        <w:rPr>
          <w:rFonts w:eastAsia="Calibri"/>
        </w:rPr>
        <w:br/>
      </w:r>
      <w:r w:rsidRPr="004416E1">
        <w:rPr>
          <w:rFonts w:eastAsia="Calibri"/>
        </w:rPr>
        <w:t xml:space="preserve">November 5, 2015, IUSD received the renewal petition for TFSCSI, which included a material revision to operate two additional sites. </w:t>
      </w:r>
      <w:r w:rsidR="00931775" w:rsidRPr="004416E1">
        <w:rPr>
          <w:rFonts w:eastAsia="Calibri"/>
        </w:rPr>
        <w:t xml:space="preserve">IUSD did not take any action or make any findings </w:t>
      </w:r>
      <w:r w:rsidR="00783D86" w:rsidRPr="004416E1">
        <w:rPr>
          <w:rFonts w:eastAsia="Calibri"/>
        </w:rPr>
        <w:t>on the</w:t>
      </w:r>
      <w:r w:rsidR="00931775" w:rsidRPr="004416E1">
        <w:rPr>
          <w:rFonts w:eastAsia="Calibri"/>
        </w:rPr>
        <w:t xml:space="preserve"> renewal petition by t</w:t>
      </w:r>
      <w:r w:rsidRPr="004416E1">
        <w:rPr>
          <w:rFonts w:eastAsia="Calibri"/>
        </w:rPr>
        <w:t xml:space="preserve">he statutory deadline </w:t>
      </w:r>
      <w:r w:rsidR="00931775" w:rsidRPr="004416E1">
        <w:rPr>
          <w:rFonts w:eastAsia="Calibri"/>
        </w:rPr>
        <w:t>of</w:t>
      </w:r>
      <w:r w:rsidRPr="004416E1">
        <w:rPr>
          <w:rFonts w:eastAsia="Calibri"/>
        </w:rPr>
        <w:t xml:space="preserve"> January 6, 2016</w:t>
      </w:r>
      <w:r w:rsidR="00931775" w:rsidRPr="004416E1">
        <w:rPr>
          <w:rFonts w:eastAsia="Calibri"/>
        </w:rPr>
        <w:t>; t</w:t>
      </w:r>
      <w:r w:rsidRPr="004416E1">
        <w:rPr>
          <w:rFonts w:eastAsia="Calibri"/>
        </w:rPr>
        <w:t xml:space="preserve">herefore, in the absence of any findings to deny the TFSCSI petition, it was deemed approved by operation of law (5 </w:t>
      </w:r>
      <w:r w:rsidRPr="004416E1">
        <w:rPr>
          <w:rFonts w:eastAsia="Calibri"/>
          <w:i/>
        </w:rPr>
        <w:t>CCR</w:t>
      </w:r>
      <w:r w:rsidRPr="004416E1">
        <w:rPr>
          <w:rFonts w:eastAsia="Calibri"/>
        </w:rPr>
        <w:t xml:space="preserve"> Section 11966.4[e]). The material revision to include two additional sites was denied by IUSD.</w:t>
      </w:r>
    </w:p>
    <w:p w14:paraId="3969C16D" w14:textId="77777777" w:rsidR="00A17495" w:rsidRPr="00A17495" w:rsidRDefault="00A17495" w:rsidP="00A17495">
      <w:pPr>
        <w:spacing w:before="240" w:after="240"/>
        <w:rPr>
          <w:rFonts w:eastAsia="Calibri" w:cs="Arial"/>
        </w:rPr>
      </w:pPr>
      <w:r w:rsidRPr="00A17495">
        <w:rPr>
          <w:rFonts w:eastAsia="Calibri" w:cs="Arial"/>
        </w:rPr>
        <w:t>TFSCSI filed a lawsuit against IUSD stating that the material revision should have been automatically approved by operation of law given that the renewal petition for TFSCSI was automatically approved. In 2016, the court ruled that material revisions are not subject to automatic approval by operation of law.</w:t>
      </w:r>
    </w:p>
    <w:p w14:paraId="292E343D" w14:textId="77777777" w:rsidR="00A17495" w:rsidRPr="00A17495" w:rsidRDefault="00A17495" w:rsidP="00112FEC">
      <w:pPr>
        <w:pStyle w:val="Heading3"/>
        <w:rPr>
          <w:rFonts w:eastAsia="Calibri"/>
        </w:rPr>
      </w:pPr>
      <w:r w:rsidRPr="00A17495">
        <w:rPr>
          <w:rFonts w:eastAsia="Calibri"/>
        </w:rPr>
        <w:lastRenderedPageBreak/>
        <w:t>Today’s Fresh Start Charter (Countywide Charter)</w:t>
      </w:r>
    </w:p>
    <w:p w14:paraId="6C96C021" w14:textId="6603DAA7" w:rsidR="00A17495" w:rsidRPr="004416E1" w:rsidRDefault="00A17495" w:rsidP="00A17495">
      <w:pPr>
        <w:spacing w:before="240" w:after="240"/>
        <w:rPr>
          <w:rFonts w:eastAsia="Calibri"/>
        </w:rPr>
      </w:pPr>
      <w:r w:rsidRPr="004416E1">
        <w:rPr>
          <w:rFonts w:eastAsia="Calibri"/>
        </w:rPr>
        <w:t>T</w:t>
      </w:r>
      <w:r w:rsidR="00432BA6" w:rsidRPr="004416E1">
        <w:rPr>
          <w:rFonts w:eastAsia="Calibri"/>
        </w:rPr>
        <w:t>oday’s Fresh Start Charter</w:t>
      </w:r>
      <w:r w:rsidR="00707CD7" w:rsidRPr="004416E1">
        <w:rPr>
          <w:rFonts w:eastAsia="Calibri"/>
        </w:rPr>
        <w:t xml:space="preserve"> C</w:t>
      </w:r>
      <w:r w:rsidR="00931775" w:rsidRPr="004416E1">
        <w:rPr>
          <w:rFonts w:eastAsia="Calibri"/>
        </w:rPr>
        <w:t>ountywide</w:t>
      </w:r>
      <w:r w:rsidRPr="004416E1">
        <w:rPr>
          <w:rFonts w:eastAsia="Calibri"/>
        </w:rPr>
        <w:t xml:space="preserve">, charter number 0597, was approved by LACOE as a countywide charter on September 10, 2003, </w:t>
      </w:r>
      <w:r w:rsidR="004416E1" w:rsidRPr="004416E1">
        <w:rPr>
          <w:rFonts w:eastAsia="Calibri"/>
        </w:rPr>
        <w:t xml:space="preserve">and operated </w:t>
      </w:r>
      <w:r w:rsidRPr="004416E1">
        <w:rPr>
          <w:rFonts w:eastAsia="Calibri"/>
        </w:rPr>
        <w:t>at the following sites:</w:t>
      </w:r>
    </w:p>
    <w:p w14:paraId="6E55A620" w14:textId="77777777" w:rsidR="00A17495" w:rsidRPr="004416E1" w:rsidRDefault="00A17495" w:rsidP="00A17495">
      <w:pPr>
        <w:numPr>
          <w:ilvl w:val="0"/>
          <w:numId w:val="26"/>
        </w:numPr>
        <w:spacing w:before="240" w:after="240"/>
        <w:contextualSpacing/>
        <w:rPr>
          <w:rFonts w:eastAsia="Calibri"/>
        </w:rPr>
      </w:pPr>
      <w:r w:rsidRPr="004416E1">
        <w:rPr>
          <w:rFonts w:eastAsia="Calibri"/>
        </w:rPr>
        <w:t>Adams, 2255 West Adams Boulevard</w:t>
      </w:r>
    </w:p>
    <w:p w14:paraId="66D30871" w14:textId="77777777" w:rsidR="00A17495" w:rsidRPr="004416E1" w:rsidRDefault="00A17495" w:rsidP="00A17495">
      <w:pPr>
        <w:numPr>
          <w:ilvl w:val="0"/>
          <w:numId w:val="26"/>
        </w:numPr>
        <w:spacing w:before="240" w:after="240"/>
        <w:contextualSpacing/>
        <w:rPr>
          <w:rFonts w:eastAsia="Calibri"/>
        </w:rPr>
      </w:pPr>
      <w:r w:rsidRPr="004416E1">
        <w:rPr>
          <w:rFonts w:eastAsia="Calibri"/>
        </w:rPr>
        <w:t>Hyde Park, 6422 Crenshaw Boulevard</w:t>
      </w:r>
    </w:p>
    <w:p w14:paraId="48F7C9C4" w14:textId="77777777" w:rsidR="00A17495" w:rsidRPr="004416E1" w:rsidRDefault="00A17495" w:rsidP="00A17495">
      <w:pPr>
        <w:numPr>
          <w:ilvl w:val="0"/>
          <w:numId w:val="26"/>
        </w:numPr>
        <w:spacing w:before="240" w:after="240"/>
        <w:contextualSpacing/>
        <w:rPr>
          <w:rFonts w:eastAsia="Calibri"/>
        </w:rPr>
      </w:pPr>
      <w:r w:rsidRPr="004416E1">
        <w:rPr>
          <w:rFonts w:eastAsia="Calibri"/>
        </w:rPr>
        <w:t>Compton, 2301 East Rosecrans Avenue</w:t>
      </w:r>
    </w:p>
    <w:p w14:paraId="65044190" w14:textId="06E10F89" w:rsidR="00A17495" w:rsidRPr="004416E1" w:rsidRDefault="00A17495" w:rsidP="00A17495">
      <w:pPr>
        <w:numPr>
          <w:ilvl w:val="0"/>
          <w:numId w:val="26"/>
        </w:numPr>
        <w:spacing w:before="240" w:after="240"/>
        <w:rPr>
          <w:rFonts w:eastAsia="Calibri"/>
        </w:rPr>
      </w:pPr>
      <w:r w:rsidRPr="004416E1">
        <w:rPr>
          <w:rFonts w:eastAsia="Calibri"/>
        </w:rPr>
        <w:t>Vernon and Offices of TFS, Inc., 4466-4514 Crenshaw Boulevard</w:t>
      </w:r>
    </w:p>
    <w:p w14:paraId="6F541796" w14:textId="77777777" w:rsidR="00A17495" w:rsidRPr="004416E1" w:rsidRDefault="00A17495" w:rsidP="00A17495">
      <w:pPr>
        <w:spacing w:before="240" w:after="240"/>
        <w:rPr>
          <w:rFonts w:eastAsia="Calibri"/>
        </w:rPr>
      </w:pPr>
      <w:r w:rsidRPr="004416E1">
        <w:rPr>
          <w:rFonts w:eastAsia="Calibri"/>
        </w:rPr>
        <w:t>In 2004, two additional sites in Compton opened under the original 2003 LACOE countywide authorization at the following locations:</w:t>
      </w:r>
    </w:p>
    <w:p w14:paraId="0819D360" w14:textId="77777777" w:rsidR="00A17495" w:rsidRPr="004416E1" w:rsidRDefault="00A17495" w:rsidP="00A17495">
      <w:pPr>
        <w:numPr>
          <w:ilvl w:val="0"/>
          <w:numId w:val="27"/>
        </w:numPr>
        <w:spacing w:before="240" w:after="240"/>
        <w:contextualSpacing/>
        <w:rPr>
          <w:rFonts w:eastAsia="Calibri"/>
        </w:rPr>
      </w:pPr>
      <w:r w:rsidRPr="004416E1">
        <w:rPr>
          <w:rFonts w:eastAsia="Calibri"/>
        </w:rPr>
        <w:t>4513 Compton Boulevard</w:t>
      </w:r>
    </w:p>
    <w:p w14:paraId="566D14A5" w14:textId="50CA7FD7" w:rsidR="00E83EFF" w:rsidRPr="004416E1" w:rsidRDefault="00A17495" w:rsidP="00E84084">
      <w:pPr>
        <w:numPr>
          <w:ilvl w:val="0"/>
          <w:numId w:val="27"/>
        </w:numPr>
        <w:spacing w:before="240" w:after="240"/>
        <w:rPr>
          <w:rFonts w:eastAsia="Calibri"/>
        </w:rPr>
      </w:pPr>
      <w:r w:rsidRPr="004416E1">
        <w:rPr>
          <w:rFonts w:eastAsia="Calibri"/>
        </w:rPr>
        <w:t>4476 Crenshaw Boulevard</w:t>
      </w:r>
    </w:p>
    <w:p w14:paraId="60923883" w14:textId="77777777" w:rsidR="007D397E" w:rsidRDefault="00A17495" w:rsidP="00A17495">
      <w:pPr>
        <w:spacing w:before="240" w:after="240"/>
      </w:pPr>
      <w:r w:rsidRPr="004416E1">
        <w:rPr>
          <w:rFonts w:eastAsia="Calibri"/>
        </w:rPr>
        <w:t>In 2007, the T</w:t>
      </w:r>
      <w:r w:rsidR="00707CD7" w:rsidRPr="004416E1">
        <w:rPr>
          <w:rFonts w:eastAsia="Calibri"/>
        </w:rPr>
        <w:t>oday’s Fresh Start Charter</w:t>
      </w:r>
      <w:r w:rsidR="00A01371" w:rsidRPr="004416E1">
        <w:rPr>
          <w:rFonts w:eastAsia="Calibri"/>
        </w:rPr>
        <w:t xml:space="preserve"> </w:t>
      </w:r>
      <w:r w:rsidR="00931775" w:rsidRPr="004416E1">
        <w:rPr>
          <w:rFonts w:eastAsia="Calibri"/>
        </w:rPr>
        <w:t xml:space="preserve">Countywide </w:t>
      </w:r>
      <w:r w:rsidRPr="004416E1">
        <w:rPr>
          <w:rFonts w:eastAsia="Calibri"/>
        </w:rPr>
        <w:t xml:space="preserve">charter was revoked by LACOE. </w:t>
      </w:r>
      <w:r w:rsidR="00707CD7" w:rsidRPr="004416E1">
        <w:rPr>
          <w:rFonts w:eastAsia="Calibri"/>
        </w:rPr>
        <w:t xml:space="preserve">Today’s Fresh Start Charter Countywide </w:t>
      </w:r>
      <w:r w:rsidRPr="004416E1">
        <w:rPr>
          <w:rFonts w:eastAsia="Calibri"/>
        </w:rPr>
        <w:t>filed a lawsuit. The case was not settled until 2015 when the revocation was upheld</w:t>
      </w:r>
      <w:r w:rsidR="00931775" w:rsidRPr="004416E1">
        <w:rPr>
          <w:rFonts w:eastAsia="Calibri"/>
        </w:rPr>
        <w:t xml:space="preserve"> by the California Supreme Court, in a published decision, and remitted to the trial court</w:t>
      </w:r>
      <w:r w:rsidRPr="004416E1">
        <w:rPr>
          <w:rFonts w:eastAsia="Calibri"/>
        </w:rPr>
        <w:t>.</w:t>
      </w:r>
      <w:r w:rsidR="00931775" w:rsidRPr="004416E1">
        <w:rPr>
          <w:rFonts w:eastAsia="Calibri"/>
        </w:rPr>
        <w:t xml:space="preserve"> </w:t>
      </w:r>
      <w:r w:rsidRPr="004416E1">
        <w:t>On</w:t>
      </w:r>
      <w:r w:rsidR="00136229" w:rsidRPr="004416E1">
        <w:t xml:space="preserve"> </w:t>
      </w:r>
      <w:r w:rsidRPr="004416E1">
        <w:t xml:space="preserve">August 25, 2010, </w:t>
      </w:r>
      <w:r w:rsidR="007D397E">
        <w:t>while the 2007 litigation was pending,</w:t>
      </w:r>
      <w:r w:rsidR="004416E1">
        <w:t xml:space="preserve"> </w:t>
      </w:r>
      <w:r w:rsidR="001C26BF" w:rsidRPr="004416E1">
        <w:rPr>
          <w:rFonts w:eastAsia="Calibri"/>
        </w:rPr>
        <w:t>Today’s Fresh Start Charter Countywide</w:t>
      </w:r>
      <w:r w:rsidRPr="004416E1">
        <w:t xml:space="preserve"> was approved by the SBE on appeal from LACOE for renewal as a countywide benefit for a five-year term. In 2015, TFS, Inc. submitted a renewal petition for </w:t>
      </w:r>
      <w:r w:rsidR="001C26BF" w:rsidRPr="004416E1">
        <w:rPr>
          <w:rFonts w:eastAsia="Calibri"/>
        </w:rPr>
        <w:t>Today’s Fresh Start Charter Countywide</w:t>
      </w:r>
      <w:r w:rsidRPr="004416E1">
        <w:t xml:space="preserve"> to LACOE. LACBOE </w:t>
      </w:r>
      <w:r w:rsidR="004416E1">
        <w:t>took no action on</w:t>
      </w:r>
      <w:r w:rsidRPr="004416E1">
        <w:t xml:space="preserve"> the </w:t>
      </w:r>
      <w:r w:rsidR="001C26BF" w:rsidRPr="004416E1">
        <w:rPr>
          <w:rFonts w:eastAsia="Calibri"/>
        </w:rPr>
        <w:t xml:space="preserve">Today’s Fresh Start Charter Countywide </w:t>
      </w:r>
      <w:r w:rsidR="004416E1">
        <w:t>petition, at the request of the charter school</w:t>
      </w:r>
      <w:r w:rsidR="007D397E">
        <w:t xml:space="preserve"> and submitted the petition to the SBE. </w:t>
      </w:r>
    </w:p>
    <w:p w14:paraId="7CF419EB" w14:textId="2D00B031" w:rsidR="004416E1" w:rsidRDefault="00A17495" w:rsidP="00A17495">
      <w:pPr>
        <w:spacing w:before="240" w:after="240"/>
      </w:pPr>
      <w:r w:rsidRPr="004416E1">
        <w:rPr>
          <w:i/>
        </w:rPr>
        <w:t>EC</w:t>
      </w:r>
      <w:r w:rsidRPr="004416E1">
        <w:t xml:space="preserve"> Section 47605.6(k) prohibits a new countywide benefit charter school from appealing a denial to the SBE. Additionally, in 2011, the SBE adopted regulations prohibiting a countywide benefit charter from appealing the denial of a renewal to the SBE. Therefore, </w:t>
      </w:r>
      <w:r w:rsidR="004416E1">
        <w:t xml:space="preserve">the SBE </w:t>
      </w:r>
      <w:r w:rsidR="007D397E">
        <w:t xml:space="preserve">declined to hear the 2015 renewal and TFS sued the SBE.  The trial court found that the Supreme Court decision upholding the revocation was in effect. </w:t>
      </w:r>
    </w:p>
    <w:p w14:paraId="5428ED05" w14:textId="3B9342FC" w:rsidR="00A17495" w:rsidRPr="00A17495" w:rsidRDefault="00A17495" w:rsidP="00A17495">
      <w:pPr>
        <w:spacing w:before="240" w:after="240"/>
        <w:rPr>
          <w:rFonts w:eastAsia="Calibri"/>
        </w:rPr>
      </w:pPr>
      <w:r w:rsidRPr="004416E1">
        <w:t xml:space="preserve">TFS, Inc. dissolved the countywide benefit charter effective June 30, 2015, and filed a petition for a single school with </w:t>
      </w:r>
      <w:r w:rsidRPr="004416E1">
        <w:rPr>
          <w:rFonts w:eastAsia="Calibri" w:cs="Arial"/>
        </w:rPr>
        <w:t>the Compton Unified School District (CUSD)</w:t>
      </w:r>
      <w:r w:rsidRPr="004416E1">
        <w:t>. CUSD approved the petition.</w:t>
      </w:r>
    </w:p>
    <w:p w14:paraId="4119C1CB" w14:textId="77777777" w:rsidR="00A17495" w:rsidRPr="007D397E" w:rsidRDefault="00A17495" w:rsidP="00112FEC">
      <w:pPr>
        <w:pStyle w:val="Heading3"/>
        <w:rPr>
          <w:rFonts w:eastAsia="Calibri"/>
        </w:rPr>
      </w:pPr>
      <w:r w:rsidRPr="007D397E">
        <w:rPr>
          <w:rFonts w:eastAsia="Calibri"/>
        </w:rPr>
        <w:t>Today’s Fresh Start-Compton</w:t>
      </w:r>
    </w:p>
    <w:p w14:paraId="5AB2C956" w14:textId="3D44D195" w:rsidR="00E83EFF" w:rsidRPr="00A17495" w:rsidRDefault="001C26BF" w:rsidP="00E84084">
      <w:pPr>
        <w:spacing w:after="240"/>
        <w:rPr>
          <w:rFonts w:eastAsia="Calibri" w:cs="Arial"/>
        </w:rPr>
      </w:pPr>
      <w:r w:rsidRPr="007D397E">
        <w:rPr>
          <w:rFonts w:eastAsia="Calibri" w:cs="Arial"/>
        </w:rPr>
        <w:t>Today’s Fresh Start-Compton</w:t>
      </w:r>
      <w:r w:rsidR="00A17495" w:rsidRPr="007D397E">
        <w:rPr>
          <w:rFonts w:eastAsia="Calibri" w:cs="Arial"/>
        </w:rPr>
        <w:t xml:space="preserve"> submitted a new charter petition to CUSD for the sites that opened in 2004 under the original 2003 LACOE countywide charter. </w:t>
      </w:r>
      <w:r w:rsidRPr="007D397E">
        <w:rPr>
          <w:rFonts w:eastAsia="Calibri" w:cs="Arial"/>
        </w:rPr>
        <w:t>Today’s Fresh Start-Compton</w:t>
      </w:r>
      <w:r w:rsidR="00A17495" w:rsidRPr="007D397E">
        <w:rPr>
          <w:rFonts w:eastAsia="Calibri" w:cs="Arial"/>
        </w:rPr>
        <w:t>, charter number 1772, was approved for a three-year term from 2015–18 by CUSD on September 8, 2015; was renewed for a five-year term from 2018–23; and is currently operating at the following sites:</w:t>
      </w:r>
    </w:p>
    <w:p w14:paraId="02CF68B3" w14:textId="77777777" w:rsidR="00A17495" w:rsidRPr="00A17495" w:rsidRDefault="00A17495" w:rsidP="00A17495">
      <w:pPr>
        <w:numPr>
          <w:ilvl w:val="0"/>
          <w:numId w:val="28"/>
        </w:numPr>
        <w:spacing w:before="240" w:after="240"/>
        <w:contextualSpacing/>
        <w:rPr>
          <w:rFonts w:eastAsia="Calibri"/>
        </w:rPr>
      </w:pPr>
      <w:r w:rsidRPr="00A17495">
        <w:rPr>
          <w:rFonts w:eastAsia="Calibri"/>
        </w:rPr>
        <w:lastRenderedPageBreak/>
        <w:t>4513 Compton Boulevard</w:t>
      </w:r>
    </w:p>
    <w:p w14:paraId="7310FC38" w14:textId="23474F5C" w:rsidR="00E83EFF" w:rsidRPr="00112FEC" w:rsidRDefault="00A17495" w:rsidP="00112FEC">
      <w:pPr>
        <w:numPr>
          <w:ilvl w:val="0"/>
          <w:numId w:val="28"/>
        </w:numPr>
        <w:spacing w:before="240" w:after="240"/>
        <w:contextualSpacing/>
        <w:rPr>
          <w:rFonts w:eastAsia="Calibri"/>
        </w:rPr>
      </w:pPr>
      <w:r w:rsidRPr="00A17495">
        <w:rPr>
          <w:rFonts w:eastAsia="Calibri"/>
        </w:rPr>
        <w:t>4476 Crenshaw Boulevard</w:t>
      </w:r>
    </w:p>
    <w:p w14:paraId="411AB265" w14:textId="77777777" w:rsidR="00A17495" w:rsidRPr="00A17495" w:rsidRDefault="00A17495" w:rsidP="00112FEC">
      <w:pPr>
        <w:pStyle w:val="Heading2"/>
      </w:pPr>
      <w:r w:rsidRPr="00A17495">
        <w:t>Relevant History of Related-Party Golden Day Schools, Inc.</w:t>
      </w:r>
    </w:p>
    <w:p w14:paraId="383A9CA4" w14:textId="1497A898" w:rsidR="00A17495" w:rsidRPr="00A17495" w:rsidRDefault="00A17495" w:rsidP="00A17495">
      <w:pPr>
        <w:spacing w:before="240" w:after="240"/>
        <w:rPr>
          <w:rFonts w:eastAsia="Calibri" w:cs="Arial"/>
        </w:rPr>
      </w:pPr>
      <w:r w:rsidRPr="00A17495">
        <w:rPr>
          <w:rFonts w:eastAsia="Calibri" w:cs="Arial"/>
        </w:rPr>
        <w:t>The CDE notes a fiscal concern involving a related entity</w:t>
      </w:r>
      <w:r w:rsidR="00112FEC">
        <w:rPr>
          <w:rFonts w:eastAsia="Calibri" w:cs="Arial"/>
        </w:rPr>
        <w:t xml:space="preserve"> </w:t>
      </w:r>
      <w:r w:rsidRPr="00A17495">
        <w:rPr>
          <w:rFonts w:eastAsia="Calibri" w:cs="Arial"/>
        </w:rPr>
        <w:t xml:space="preserve">GDSI. GDSI, run by the petitioner’s husband, Clark Parker, used to contract with the CDE for childcare services. </w:t>
      </w:r>
      <w:r w:rsidRPr="007D397E">
        <w:rPr>
          <w:rFonts w:eastAsia="Calibri" w:cs="Arial"/>
        </w:rPr>
        <w:t>However, two separate audits of GDSI revealed more than $20 million in disallowed costs. The audit findings, which have been upheld</w:t>
      </w:r>
      <w:r w:rsidR="00931775" w:rsidRPr="007D397E">
        <w:rPr>
          <w:rFonts w:eastAsia="Calibri" w:cs="Arial"/>
        </w:rPr>
        <w:t xml:space="preserve"> by the courts</w:t>
      </w:r>
      <w:r w:rsidRPr="007D397E">
        <w:rPr>
          <w:rFonts w:eastAsia="Calibri" w:cs="Arial"/>
        </w:rPr>
        <w:t xml:space="preserve">, included findings of various improper </w:t>
      </w:r>
      <w:r w:rsidR="00435480" w:rsidRPr="007D397E">
        <w:rPr>
          <w:rFonts w:eastAsia="Calibri" w:cs="Arial"/>
        </w:rPr>
        <w:t xml:space="preserve">conflicts of interest based on </w:t>
      </w:r>
      <w:r w:rsidRPr="007D397E">
        <w:rPr>
          <w:rFonts w:eastAsia="Calibri" w:cs="Arial"/>
        </w:rPr>
        <w:t>related-party transactions with the petitioners and related entities, including TFS</w:t>
      </w:r>
      <w:r w:rsidR="001C26BF" w:rsidRPr="007D397E">
        <w:rPr>
          <w:rFonts w:eastAsia="Calibri" w:cs="Arial"/>
        </w:rPr>
        <w:t>, Inc</w:t>
      </w:r>
      <w:r w:rsidRPr="007D397E">
        <w:rPr>
          <w:rFonts w:eastAsia="Calibri" w:cs="Arial"/>
        </w:rPr>
        <w:t>. The CDE is currently engaged in litigation against GDSI and Clark Parker to recover the disallowed costs. The CDE is noting the current claim against this related-party as it is reflective of past organizational practices and the long history of potential conflicts of interests and self-dealings of the operators of TFS</w:t>
      </w:r>
      <w:r w:rsidR="001C26BF" w:rsidRPr="007D397E">
        <w:rPr>
          <w:rFonts w:eastAsia="Calibri" w:cs="Arial"/>
        </w:rPr>
        <w:t>, Inc</w:t>
      </w:r>
      <w:r w:rsidRPr="007D397E">
        <w:rPr>
          <w:rFonts w:eastAsia="Calibri" w:cs="Arial"/>
        </w:rPr>
        <w:t>.</w:t>
      </w:r>
    </w:p>
    <w:bookmarkEnd w:id="1"/>
    <w:p w14:paraId="1AFF35BB" w14:textId="77777777" w:rsidR="00926620" w:rsidRPr="009E11CD" w:rsidRDefault="00926620" w:rsidP="00112FEC">
      <w:pPr>
        <w:pStyle w:val="Heading2"/>
        <w:rPr>
          <w:rFonts w:eastAsia="Calibri"/>
        </w:rPr>
      </w:pPr>
      <w:r w:rsidRPr="009E11CD">
        <w:rPr>
          <w:rFonts w:eastAsia="Calibri"/>
        </w:rPr>
        <w:t>California Department of Education’s Proposed Recommendation for Denial</w:t>
      </w:r>
    </w:p>
    <w:p w14:paraId="4BBD1875" w14:textId="0D2717DD" w:rsidR="00926620" w:rsidRDefault="00926620" w:rsidP="00112FEC">
      <w:pPr>
        <w:pStyle w:val="Heading3"/>
      </w:pPr>
      <w:r w:rsidRPr="009E11CD">
        <w:t>Inability to Implement</w:t>
      </w:r>
    </w:p>
    <w:p w14:paraId="05FF2274" w14:textId="77777777" w:rsidR="002715A7" w:rsidRPr="007D397E" w:rsidRDefault="002715A7" w:rsidP="00112FEC">
      <w:pPr>
        <w:pStyle w:val="Heading4"/>
      </w:pPr>
      <w:r w:rsidRPr="007D397E">
        <w:t>California State Budget Impact</w:t>
      </w:r>
    </w:p>
    <w:p w14:paraId="6593EAB9" w14:textId="77777777" w:rsidR="00112FEC" w:rsidRPr="007D397E" w:rsidRDefault="00112FEC" w:rsidP="00112FEC">
      <w:pPr>
        <w:pStyle w:val="NormalWeb"/>
        <w:rPr>
          <w:rFonts w:ascii="Arial" w:eastAsiaTheme="minorHAnsi" w:hAnsi="Arial" w:cs="Arial"/>
        </w:rPr>
      </w:pPr>
      <w:r w:rsidRPr="007D397E">
        <w:rPr>
          <w:rFonts w:ascii="Arial" w:hAnsi="Arial" w:cs="Arial"/>
          <w:color w:val="000000"/>
        </w:rPr>
        <w:t xml:space="preserve">The COVID-19 pandemic has had a tremendous impact on the state budget and the funding that will be provided to local educational agencies (LEAs) in the 2020–21 school year and future school years. The pandemic has led to a large variation between the Governor’s proposed January budget and </w:t>
      </w:r>
      <w:r w:rsidRPr="007D397E">
        <w:rPr>
          <w:rFonts w:ascii="Arial" w:hAnsi="Arial" w:cs="Arial"/>
        </w:rPr>
        <w:t>the</w:t>
      </w:r>
      <w:r w:rsidRPr="007D397E">
        <w:rPr>
          <w:rFonts w:ascii="Arial" w:hAnsi="Arial" w:cs="Arial"/>
          <w:color w:val="000000"/>
        </w:rPr>
        <w:t xml:space="preserve"> proposed May revision, which was discussed at the ACCS meeting on June 9, 2020. On June 23, the Governor; Senate President pro tempore, Toni Atkins; and Speaker of the Assembly, Anthony Rendon announced an agreement on the budget. This agreement has not yet been finalized at the time of the posting of the July SBE meeting agenda, but it is anticipated it will be finalized by the July SBE meeting.</w:t>
      </w:r>
    </w:p>
    <w:p w14:paraId="76A09711" w14:textId="7F64D4D3" w:rsidR="00112FEC" w:rsidRDefault="00112FEC" w:rsidP="00112FEC">
      <w:pPr>
        <w:pStyle w:val="NormalWeb"/>
        <w:rPr>
          <w:rFonts w:ascii="Arial" w:hAnsi="Arial" w:cs="Arial"/>
        </w:rPr>
      </w:pPr>
      <w:r w:rsidRPr="007D397E">
        <w:rPr>
          <w:rFonts w:ascii="Arial" w:hAnsi="Arial" w:cs="Arial"/>
          <w:color w:val="000000"/>
        </w:rPr>
        <w:t xml:space="preserve">The proposed agreement includes $11 billion of Local Control Funding Formula (LCFF) apportionment deferrals in 2020–21, which will allow LCFF to remain at the 2019–20 level and does not include the 10 percent cut to LCFF proposed at May revision. With deferrals, charter schools and other LEAs will have </w:t>
      </w:r>
      <w:r w:rsidRPr="007D397E">
        <w:rPr>
          <w:rFonts w:ascii="Arial" w:hAnsi="Arial" w:cs="Arial"/>
        </w:rPr>
        <w:t xml:space="preserve">the </w:t>
      </w:r>
      <w:r w:rsidRPr="007D397E">
        <w:rPr>
          <w:rFonts w:ascii="Arial" w:hAnsi="Arial" w:cs="Arial"/>
          <w:color w:val="000000"/>
        </w:rPr>
        <w:t>burden of fronting cash</w:t>
      </w:r>
      <w:r w:rsidRPr="007D397E">
        <w:rPr>
          <w:rFonts w:ascii="Arial" w:hAnsi="Arial" w:cs="Arial"/>
        </w:rPr>
        <w:t>, maintaining cash flow in the months where monthly apportionments will be deferred, and</w:t>
      </w:r>
      <w:r w:rsidRPr="007D397E">
        <w:rPr>
          <w:rFonts w:ascii="Arial" w:hAnsi="Arial" w:cs="Arial"/>
          <w:color w:val="000000"/>
        </w:rPr>
        <w:t xml:space="preserve"> potential borrowing costs. Deferrals could be especially problematic for new charter schools or existing charter schools that do not have the ability to draw down reserves to access cash.</w:t>
      </w:r>
    </w:p>
    <w:p w14:paraId="6F94C8F5" w14:textId="77777777" w:rsidR="00926620" w:rsidRPr="009E11CD" w:rsidRDefault="00926620" w:rsidP="00926620">
      <w:pPr>
        <w:keepNext/>
        <w:keepLines/>
        <w:spacing w:before="240" w:after="240"/>
        <w:outlineLvl w:val="3"/>
        <w:rPr>
          <w:rFonts w:eastAsia="Calibri" w:cstheme="majorBidi"/>
          <w:b/>
          <w:iCs/>
          <w:sz w:val="28"/>
          <w:szCs w:val="32"/>
        </w:rPr>
      </w:pPr>
      <w:r w:rsidRPr="009E11CD">
        <w:rPr>
          <w:rFonts w:eastAsia="Calibri" w:cstheme="majorBidi"/>
          <w:b/>
          <w:iCs/>
          <w:sz w:val="28"/>
          <w:szCs w:val="32"/>
        </w:rPr>
        <w:lastRenderedPageBreak/>
        <w:t>Fiscal Analysis</w:t>
      </w:r>
    </w:p>
    <w:p w14:paraId="39EE5877" w14:textId="71B7BBB6" w:rsidR="00926620" w:rsidRPr="009E11CD" w:rsidRDefault="00926620" w:rsidP="00926620">
      <w:pPr>
        <w:autoSpaceDE w:val="0"/>
        <w:autoSpaceDN w:val="0"/>
        <w:adjustRightInd w:val="0"/>
        <w:spacing w:before="240" w:after="240"/>
        <w:rPr>
          <w:bCs/>
        </w:rPr>
      </w:pPr>
      <w:r w:rsidRPr="009E11CD">
        <w:rPr>
          <w:bCs/>
        </w:rPr>
        <w:t>The TFSCSI petition does not include the projected enrollment for TK through grade eight; however, the projected enrollment is included within the budget that was submitted to IUSD (Attachment 9</w:t>
      </w:r>
      <w:r>
        <w:rPr>
          <w:bCs/>
        </w:rPr>
        <w:t xml:space="preserve"> </w:t>
      </w:r>
      <w:r>
        <w:rPr>
          <w:rFonts w:cstheme="majorBidi"/>
        </w:rPr>
        <w:t xml:space="preserve">of Agenda Item 08 on the ACCS June 9, 2020, Meeting Notice on the SBE ACCS web page at </w:t>
      </w:r>
      <w:hyperlink r:id="rId12" w:tooltip="June 2020 ACCS Meeting Agenda web page" w:history="1">
        <w:r w:rsidRPr="00EC3CB5">
          <w:rPr>
            <w:rStyle w:val="Hyperlink"/>
          </w:rPr>
          <w:t>https://www.cde.ca.gov/be/cc/cs/accsnotice060920.asp</w:t>
        </w:r>
      </w:hyperlink>
      <w:r w:rsidRPr="009E11CD">
        <w:rPr>
          <w:bCs/>
        </w:rPr>
        <w:t>). Additionally, the CDE is unclear about the seemingly random increases in enrollment for K and grade one in 2023–24 and 2024–25, respectively.</w:t>
      </w:r>
    </w:p>
    <w:p w14:paraId="07C491A5" w14:textId="77777777" w:rsidR="00926620" w:rsidRPr="009E11CD" w:rsidRDefault="00926620" w:rsidP="00926620">
      <w:pPr>
        <w:spacing w:before="100" w:beforeAutospacing="1" w:after="100" w:afterAutospacing="1"/>
        <w:rPr>
          <w:rFonts w:eastAsia="Calibri" w:cs="Arial"/>
          <w:bCs/>
        </w:rPr>
      </w:pPr>
      <w:r w:rsidRPr="009E11CD">
        <w:rPr>
          <w:rFonts w:eastAsia="Calibri" w:cs="Arial"/>
          <w:bCs/>
        </w:rPr>
        <w:t>The TFSCSI multi-year projected budget includes the following projected pupil enrollment (Attachment 4):</w:t>
      </w:r>
    </w:p>
    <w:p w14:paraId="1B141433" w14:textId="77777777" w:rsidR="00926620" w:rsidRPr="009E11CD" w:rsidRDefault="00926620" w:rsidP="00926620">
      <w:pPr>
        <w:numPr>
          <w:ilvl w:val="0"/>
          <w:numId w:val="14"/>
        </w:numPr>
        <w:spacing w:before="100" w:beforeAutospacing="1" w:after="100" w:afterAutospacing="1"/>
        <w:rPr>
          <w:rFonts w:eastAsia="Calibri" w:cs="Arial"/>
          <w:bCs/>
        </w:rPr>
      </w:pPr>
      <w:r w:rsidRPr="009E11CD">
        <w:rPr>
          <w:rFonts w:eastAsia="Calibri" w:cs="Arial"/>
          <w:bCs/>
        </w:rPr>
        <w:t>527 K through grade eight in 2020–21</w:t>
      </w:r>
    </w:p>
    <w:p w14:paraId="6C57B746" w14:textId="77777777" w:rsidR="00926620" w:rsidRPr="009E11CD" w:rsidRDefault="00926620" w:rsidP="00926620">
      <w:pPr>
        <w:numPr>
          <w:ilvl w:val="0"/>
          <w:numId w:val="14"/>
        </w:numPr>
        <w:spacing w:before="100" w:beforeAutospacing="1" w:after="100" w:afterAutospacing="1"/>
        <w:rPr>
          <w:rFonts w:eastAsia="Calibri" w:cs="Arial"/>
          <w:bCs/>
        </w:rPr>
      </w:pPr>
      <w:r w:rsidRPr="009E11CD">
        <w:rPr>
          <w:rFonts w:eastAsia="Calibri" w:cs="Arial"/>
          <w:bCs/>
        </w:rPr>
        <w:t>527 K through grade eight in 2021–22</w:t>
      </w:r>
    </w:p>
    <w:p w14:paraId="7C1EF4F5" w14:textId="77777777" w:rsidR="00926620" w:rsidRPr="009E11CD" w:rsidRDefault="00926620" w:rsidP="00926620">
      <w:pPr>
        <w:numPr>
          <w:ilvl w:val="0"/>
          <w:numId w:val="14"/>
        </w:numPr>
        <w:spacing w:before="100" w:beforeAutospacing="1" w:after="100" w:afterAutospacing="1"/>
        <w:rPr>
          <w:rFonts w:eastAsia="Calibri" w:cs="Arial"/>
          <w:bCs/>
        </w:rPr>
      </w:pPr>
      <w:r w:rsidRPr="009E11CD">
        <w:rPr>
          <w:rFonts w:eastAsia="Calibri" w:cs="Arial"/>
          <w:bCs/>
        </w:rPr>
        <w:t>527 K through grade eight in 2022–23</w:t>
      </w:r>
    </w:p>
    <w:p w14:paraId="4AA85703" w14:textId="6993CA39" w:rsidR="00926620" w:rsidRPr="009E11CD" w:rsidRDefault="00926620" w:rsidP="00926620">
      <w:pPr>
        <w:spacing w:before="100" w:beforeAutospacing="1" w:after="100" w:afterAutospacing="1"/>
        <w:rPr>
          <w:rFonts w:cs="Arial"/>
        </w:rPr>
      </w:pPr>
      <w:r w:rsidRPr="009E11CD">
        <w:rPr>
          <w:rFonts w:cs="Arial"/>
        </w:rPr>
        <w:t>The CDE has reviewed the multi-year projected budget and narrative as submitted by TFSCSI.</w:t>
      </w:r>
    </w:p>
    <w:p w14:paraId="3581007B" w14:textId="76BE19F0" w:rsidR="00926620" w:rsidRDefault="00926620" w:rsidP="00926620">
      <w:pPr>
        <w:spacing w:before="100" w:beforeAutospacing="1" w:after="100" w:afterAutospacing="1"/>
        <w:rPr>
          <w:rFonts w:cs="Arial"/>
        </w:rPr>
      </w:pPr>
      <w:r w:rsidRPr="009E11CD">
        <w:rPr>
          <w:rFonts w:eastAsia="Calibri" w:cs="Arial"/>
          <w:bCs/>
        </w:rPr>
        <w:t xml:space="preserve">The CDE concludes that the TFSCSI projected budget is viable with the projected enrollment of 527 each year and positive ending fund balances of $19,467,943; $19,893,645; and $19,911,726 with reserves of 300.4, 295.1, and 276.3 percent for fiscal year (FY) </w:t>
      </w:r>
      <w:r w:rsidRPr="009E11CD">
        <w:rPr>
          <w:rFonts w:cs="Arial"/>
        </w:rPr>
        <w:t>2020–21 through 2022–23, respectively. Without the Charter School Facilities Grant of $11,549,771, the TFSCSI projected budget is still viable with positive ending fund balances of $7,918,172; $8,343,874; and $8,361,955 with reserves of 122.2, 123.8, and 116 percent for FY 2020–21 through 2022–23, respectively.</w:t>
      </w:r>
    </w:p>
    <w:p w14:paraId="7D82D6CC" w14:textId="2D6E5AF0" w:rsidR="00931775" w:rsidRPr="007D397E" w:rsidRDefault="00931775" w:rsidP="00926620">
      <w:pPr>
        <w:spacing w:before="100" w:beforeAutospacing="1" w:after="100" w:afterAutospacing="1"/>
        <w:rPr>
          <w:rFonts w:cs="Arial"/>
        </w:rPr>
      </w:pPr>
      <w:r w:rsidRPr="007D397E">
        <w:rPr>
          <w:rFonts w:cs="Arial"/>
        </w:rPr>
        <w:t>Although the TFSCSI budget reflects a positive reserve, the CDE is concerned that the high reserves are well above what is normally required by the SBE</w:t>
      </w:r>
      <w:r w:rsidR="007D397E" w:rsidRPr="007D397E">
        <w:rPr>
          <w:rFonts w:cs="Arial"/>
        </w:rPr>
        <w:t xml:space="preserve"> It</w:t>
      </w:r>
      <w:r w:rsidRPr="007D397E">
        <w:rPr>
          <w:rFonts w:cs="Arial"/>
        </w:rPr>
        <w:t xml:space="preserve"> appears that TFSCSI may not be spending funds on the pupils </w:t>
      </w:r>
      <w:r w:rsidR="007D397E" w:rsidRPr="007D397E">
        <w:rPr>
          <w:rFonts w:cs="Arial"/>
        </w:rPr>
        <w:t xml:space="preserve">generating the funds and </w:t>
      </w:r>
      <w:r w:rsidRPr="007D397E">
        <w:rPr>
          <w:rFonts w:cs="Arial"/>
        </w:rPr>
        <w:t xml:space="preserve">being served by the school. Significantly, while the TFSCSI </w:t>
      </w:r>
      <w:r w:rsidRPr="007D397E">
        <w:rPr>
          <w:rFonts w:eastAsia="Calibri"/>
        </w:rPr>
        <w:t xml:space="preserve">California Assessment of Student Performance and Progress (CAASPP) </w:t>
      </w:r>
      <w:r w:rsidRPr="007D397E">
        <w:rPr>
          <w:rFonts w:cs="Arial"/>
        </w:rPr>
        <w:t>data reflect results that are higher than its comparable schools, the results are only slightly higher. Given this, if TFSCSI were investing resources on pupils, TFSCSI would likely yield a more significant gain in academic achievement.</w:t>
      </w:r>
    </w:p>
    <w:p w14:paraId="6ED3C59D" w14:textId="27CEC784" w:rsidR="00931775" w:rsidRPr="007D397E" w:rsidRDefault="00A01371" w:rsidP="00926620">
      <w:pPr>
        <w:spacing w:before="100" w:beforeAutospacing="1" w:after="100" w:afterAutospacing="1"/>
        <w:rPr>
          <w:rFonts w:cs="Arial"/>
        </w:rPr>
      </w:pPr>
      <w:r w:rsidRPr="007D397E">
        <w:rPr>
          <w:rFonts w:cs="Arial"/>
        </w:rPr>
        <w:t xml:space="preserve">At the </w:t>
      </w:r>
      <w:r w:rsidR="00112FEC" w:rsidRPr="007D397E">
        <w:rPr>
          <w:rFonts w:cs="Arial"/>
        </w:rPr>
        <w:t xml:space="preserve">June 9, 2020, </w:t>
      </w:r>
      <w:r w:rsidRPr="007D397E">
        <w:rPr>
          <w:rFonts w:cs="Arial"/>
        </w:rPr>
        <w:t xml:space="preserve">ACCS meeting, the petitioner </w:t>
      </w:r>
      <w:r w:rsidR="00667889" w:rsidRPr="007D397E">
        <w:rPr>
          <w:rFonts w:cs="Arial"/>
        </w:rPr>
        <w:t>stated</w:t>
      </w:r>
      <w:r w:rsidRPr="007D397E">
        <w:rPr>
          <w:rFonts w:cs="Arial"/>
        </w:rPr>
        <w:t xml:space="preserve"> TFSCSI’s reserves </w:t>
      </w:r>
      <w:r w:rsidR="00667889" w:rsidRPr="007D397E">
        <w:rPr>
          <w:rFonts w:cs="Arial"/>
        </w:rPr>
        <w:t>to be</w:t>
      </w:r>
      <w:r w:rsidRPr="007D397E">
        <w:rPr>
          <w:rFonts w:cs="Arial"/>
        </w:rPr>
        <w:t xml:space="preserve"> high because it</w:t>
      </w:r>
      <w:r w:rsidR="00667889" w:rsidRPr="007D397E">
        <w:rPr>
          <w:rFonts w:cs="Arial"/>
        </w:rPr>
        <w:t>s reserves</w:t>
      </w:r>
      <w:r w:rsidRPr="007D397E">
        <w:rPr>
          <w:rFonts w:cs="Arial"/>
        </w:rPr>
        <w:t xml:space="preserve"> included the value of the </w:t>
      </w:r>
      <w:r w:rsidR="00667889" w:rsidRPr="007D397E">
        <w:rPr>
          <w:rFonts w:cs="Arial"/>
        </w:rPr>
        <w:t xml:space="preserve">TFSCSI </w:t>
      </w:r>
      <w:r w:rsidRPr="007D397E">
        <w:rPr>
          <w:rFonts w:cs="Arial"/>
        </w:rPr>
        <w:t xml:space="preserve">building; however, the petitioner also represented that it does not own the building </w:t>
      </w:r>
      <w:r w:rsidR="00667889" w:rsidRPr="007D397E">
        <w:rPr>
          <w:rFonts w:cs="Arial"/>
        </w:rPr>
        <w:t>nor</w:t>
      </w:r>
      <w:r w:rsidRPr="007D397E">
        <w:rPr>
          <w:rFonts w:cs="Arial"/>
        </w:rPr>
        <w:t xml:space="preserve"> the land, and has continued to make this representation in commun</w:t>
      </w:r>
      <w:r w:rsidR="00857B42" w:rsidRPr="007D397E">
        <w:rPr>
          <w:rFonts w:cs="Arial"/>
        </w:rPr>
        <w:t>i</w:t>
      </w:r>
      <w:r w:rsidRPr="007D397E">
        <w:rPr>
          <w:rFonts w:cs="Arial"/>
        </w:rPr>
        <w:t xml:space="preserve">cations </w:t>
      </w:r>
      <w:r w:rsidR="00667889" w:rsidRPr="007D397E">
        <w:rPr>
          <w:rFonts w:cs="Arial"/>
        </w:rPr>
        <w:t>leading up</w:t>
      </w:r>
      <w:r w:rsidRPr="007D397E">
        <w:rPr>
          <w:rFonts w:cs="Arial"/>
        </w:rPr>
        <w:t xml:space="preserve"> to the </w:t>
      </w:r>
      <w:r w:rsidR="00667889" w:rsidRPr="007D397E">
        <w:rPr>
          <w:rFonts w:cs="Arial"/>
        </w:rPr>
        <w:t xml:space="preserve">July </w:t>
      </w:r>
      <w:r w:rsidRPr="007D397E">
        <w:rPr>
          <w:rFonts w:cs="Arial"/>
        </w:rPr>
        <w:t xml:space="preserve">SBE meeting. </w:t>
      </w:r>
    </w:p>
    <w:p w14:paraId="1555E357" w14:textId="33F2CCCF" w:rsidR="00926620" w:rsidRPr="007D397E" w:rsidRDefault="00926620" w:rsidP="00667889">
      <w:pPr>
        <w:pStyle w:val="Heading4"/>
      </w:pPr>
      <w:bookmarkStart w:id="2" w:name="_Hlk43384825"/>
      <w:bookmarkStart w:id="3" w:name="_Hlk43379245"/>
      <w:r w:rsidRPr="007D397E">
        <w:t xml:space="preserve">Audit </w:t>
      </w:r>
      <w:r w:rsidR="004124DA" w:rsidRPr="007D397E">
        <w:t>Reports</w:t>
      </w:r>
    </w:p>
    <w:p w14:paraId="72623CB1" w14:textId="34C3B5F9" w:rsidR="00A97BDC" w:rsidRPr="007D397E" w:rsidRDefault="00A97BDC" w:rsidP="00A97BDC">
      <w:pPr>
        <w:spacing w:before="100" w:beforeAutospacing="1" w:after="100" w:afterAutospacing="1"/>
        <w:rPr>
          <w:rFonts w:eastAsia="Calibri" w:cs="Arial"/>
        </w:rPr>
      </w:pPr>
      <w:r w:rsidRPr="007D397E">
        <w:rPr>
          <w:rFonts w:cs="Arial"/>
        </w:rPr>
        <w:t xml:space="preserve">The </w:t>
      </w:r>
      <w:r w:rsidRPr="007D397E">
        <w:rPr>
          <w:rFonts w:eastAsia="Calibri" w:cs="Arial"/>
        </w:rPr>
        <w:t xml:space="preserve">CDE reviewed the audited financial data from the 2018–19 audit report. TFSCSI has net assets of $18,023,428 as of June 30, 2019. The net assets contain a fund from </w:t>
      </w:r>
      <w:r w:rsidRPr="007D397E">
        <w:rPr>
          <w:rFonts w:eastAsia="Calibri" w:cs="Arial"/>
        </w:rPr>
        <w:lastRenderedPageBreak/>
        <w:t xml:space="preserve">the Charter School Facilities Grant Program, a restricted fund, in the amount of $11,549,771. </w:t>
      </w:r>
      <w:r w:rsidR="00857B42" w:rsidRPr="007D397E">
        <w:rPr>
          <w:rFonts w:eastAsia="Calibri" w:cs="Arial"/>
        </w:rPr>
        <w:t>T</w:t>
      </w:r>
      <w:r w:rsidRPr="007D397E">
        <w:rPr>
          <w:rFonts w:eastAsia="Calibri" w:cs="Arial"/>
        </w:rPr>
        <w:t>he audit report reflected an unqualified status</w:t>
      </w:r>
      <w:r w:rsidR="00D7747B" w:rsidRPr="007D397E">
        <w:rPr>
          <w:rFonts w:eastAsia="Calibri" w:cs="Arial"/>
        </w:rPr>
        <w:t>. An unqualified opinion is an independent auditor’s judgement that a school’s financial statements are fairly and appropriately presented, without any identified exceptions, and in compliance with generally accepted accounting principles.</w:t>
      </w:r>
    </w:p>
    <w:p w14:paraId="6AA2678A" w14:textId="2BEA72A3" w:rsidR="00011DB7" w:rsidRPr="007D397E" w:rsidRDefault="00A97BDC" w:rsidP="00A97BDC">
      <w:pPr>
        <w:spacing w:before="100" w:beforeAutospacing="1" w:after="100" w:afterAutospacing="1"/>
        <w:rPr>
          <w:rFonts w:eastAsia="Calibri" w:cs="Arial"/>
        </w:rPr>
      </w:pPr>
      <w:r w:rsidRPr="007D397E">
        <w:rPr>
          <w:rFonts w:eastAsia="Calibri" w:cs="Arial"/>
        </w:rPr>
        <w:t>Additionally</w:t>
      </w:r>
      <w:r w:rsidR="00370D7D" w:rsidRPr="007D397E">
        <w:rPr>
          <w:rFonts w:eastAsia="Calibri" w:cs="Arial"/>
        </w:rPr>
        <w:t xml:space="preserve">, the CDE reviewed the audited financial data from the </w:t>
      </w:r>
      <w:r w:rsidR="00011DB7" w:rsidRPr="007D397E">
        <w:rPr>
          <w:rFonts w:eastAsia="Calibri" w:cs="Arial"/>
        </w:rPr>
        <w:t>following TFS, Inc. audit reports:</w:t>
      </w:r>
    </w:p>
    <w:p w14:paraId="2B5F88A9" w14:textId="2D93F63A" w:rsidR="00A97BDC" w:rsidRPr="007D397E" w:rsidRDefault="00011DB7" w:rsidP="00011DB7">
      <w:pPr>
        <w:pStyle w:val="ListParagraph"/>
        <w:numPr>
          <w:ilvl w:val="0"/>
          <w:numId w:val="31"/>
        </w:numPr>
        <w:spacing w:before="100" w:beforeAutospacing="1" w:after="100" w:afterAutospacing="1"/>
        <w:rPr>
          <w:rFonts w:eastAsia="Calibri" w:cs="Arial"/>
        </w:rPr>
      </w:pPr>
      <w:r w:rsidRPr="007D397E">
        <w:rPr>
          <w:rFonts w:eastAsia="Calibri" w:cs="Arial"/>
        </w:rPr>
        <w:t>2015–16 audit report: The report reflected an unqualified status.</w:t>
      </w:r>
    </w:p>
    <w:p w14:paraId="2F147A0B" w14:textId="4F7528F2" w:rsidR="00011DB7" w:rsidRPr="007D397E" w:rsidRDefault="00011DB7" w:rsidP="00011DB7">
      <w:pPr>
        <w:pStyle w:val="ListParagraph"/>
        <w:numPr>
          <w:ilvl w:val="0"/>
          <w:numId w:val="31"/>
        </w:numPr>
        <w:spacing w:before="100" w:beforeAutospacing="1" w:after="100" w:afterAutospacing="1"/>
        <w:rPr>
          <w:rFonts w:eastAsia="Calibri" w:cs="Arial"/>
        </w:rPr>
      </w:pPr>
      <w:r w:rsidRPr="007D397E">
        <w:rPr>
          <w:rFonts w:eastAsia="Calibri" w:cs="Arial"/>
        </w:rPr>
        <w:t>2016–17 audit report: The report reflected an unqualified status.</w:t>
      </w:r>
    </w:p>
    <w:p w14:paraId="5CB0A620" w14:textId="2F527D7B" w:rsidR="00011DB7" w:rsidRPr="007D397E" w:rsidRDefault="00011DB7" w:rsidP="00011DB7">
      <w:pPr>
        <w:pStyle w:val="ListParagraph"/>
        <w:numPr>
          <w:ilvl w:val="0"/>
          <w:numId w:val="31"/>
        </w:numPr>
        <w:spacing w:before="100" w:beforeAutospacing="1" w:after="100" w:afterAutospacing="1"/>
        <w:rPr>
          <w:rFonts w:eastAsia="Calibri" w:cs="Arial"/>
        </w:rPr>
      </w:pPr>
      <w:r w:rsidRPr="007D397E">
        <w:rPr>
          <w:rFonts w:eastAsia="Calibri" w:cs="Arial"/>
        </w:rPr>
        <w:t>2017–18 audit report: The report reflected an unqualified status.</w:t>
      </w:r>
    </w:p>
    <w:bookmarkEnd w:id="2"/>
    <w:bookmarkEnd w:id="3"/>
    <w:p w14:paraId="392319A7" w14:textId="65C1E963" w:rsidR="004124DA" w:rsidRPr="00E84084" w:rsidRDefault="007336C9">
      <w:pPr>
        <w:spacing w:after="160" w:line="259" w:lineRule="auto"/>
        <w:rPr>
          <w:rFonts w:eastAsiaTheme="majorEastAsia" w:cs="Arial"/>
          <w:b/>
        </w:rPr>
      </w:pPr>
      <w:r w:rsidRPr="007D397E">
        <w:rPr>
          <w:rFonts w:cs="Arial"/>
          <w:iCs/>
        </w:rPr>
        <w:t>The CDE notes that the 2015–16, 2016–17, 2017–18, and 2018–19 audit report</w:t>
      </w:r>
      <w:r w:rsidR="00667889" w:rsidRPr="007D397E">
        <w:rPr>
          <w:rFonts w:cs="Arial"/>
          <w:iCs/>
        </w:rPr>
        <w:t>s</w:t>
      </w:r>
      <w:r w:rsidRPr="007D397E">
        <w:rPr>
          <w:rFonts w:cs="Arial"/>
          <w:iCs/>
        </w:rPr>
        <w:t xml:space="preserve"> reflect </w:t>
      </w:r>
      <w:r w:rsidR="00B93808" w:rsidRPr="007D397E">
        <w:rPr>
          <w:rFonts w:cs="Arial"/>
          <w:iCs/>
        </w:rPr>
        <w:t xml:space="preserve">concerns regarding conflicts of interest based on </w:t>
      </w:r>
      <w:r w:rsidRPr="007D397E">
        <w:rPr>
          <w:rFonts w:cs="Arial"/>
          <w:iCs/>
        </w:rPr>
        <w:t xml:space="preserve">related party transactions </w:t>
      </w:r>
      <w:r w:rsidR="00B93808" w:rsidRPr="007D397E">
        <w:rPr>
          <w:rFonts w:cs="Arial"/>
          <w:iCs/>
        </w:rPr>
        <w:t>with respect</w:t>
      </w:r>
      <w:r w:rsidRPr="007D397E">
        <w:rPr>
          <w:rFonts w:cs="Arial"/>
          <w:iCs/>
        </w:rPr>
        <w:t xml:space="preserve"> to the lease of some of its facilities from Los Angeles Schools Services, Inc., which is owned by a related party of TFS, Inc. In addition, </w:t>
      </w:r>
      <w:r w:rsidR="00667889" w:rsidRPr="007D397E">
        <w:rPr>
          <w:rFonts w:cs="Arial"/>
          <w:iCs/>
        </w:rPr>
        <w:t xml:space="preserve">the </w:t>
      </w:r>
      <w:r w:rsidRPr="007D397E">
        <w:rPr>
          <w:rFonts w:cs="Arial"/>
          <w:iCs/>
        </w:rPr>
        <w:t>2015–16 and 2016–17 audit report</w:t>
      </w:r>
      <w:r w:rsidR="00667889" w:rsidRPr="007D397E">
        <w:rPr>
          <w:rFonts w:cs="Arial"/>
          <w:iCs/>
        </w:rPr>
        <w:t>s</w:t>
      </w:r>
      <w:r w:rsidRPr="007D397E">
        <w:rPr>
          <w:rFonts w:cs="Arial"/>
          <w:iCs/>
        </w:rPr>
        <w:t xml:space="preserve"> reflect </w:t>
      </w:r>
      <w:r w:rsidR="00B93808" w:rsidRPr="007D397E">
        <w:rPr>
          <w:rFonts w:cs="Arial"/>
          <w:iCs/>
        </w:rPr>
        <w:t xml:space="preserve">concerns regarding conflicts of interest based on </w:t>
      </w:r>
      <w:r w:rsidRPr="007D397E">
        <w:rPr>
          <w:rFonts w:cs="Arial"/>
          <w:iCs/>
        </w:rPr>
        <w:t xml:space="preserve">related party transactions </w:t>
      </w:r>
      <w:r w:rsidR="00B93808" w:rsidRPr="007D397E">
        <w:rPr>
          <w:rFonts w:cs="Arial"/>
          <w:iCs/>
        </w:rPr>
        <w:t>with respect</w:t>
      </w:r>
      <w:r w:rsidRPr="007D397E">
        <w:rPr>
          <w:rFonts w:cs="Arial"/>
          <w:iCs/>
        </w:rPr>
        <w:t xml:space="preserve"> to a Construction Management Services Agreement with View Park Estate Development, Inc.</w:t>
      </w:r>
      <w:r w:rsidR="00667889" w:rsidRPr="007D397E">
        <w:rPr>
          <w:rFonts w:cs="Arial"/>
          <w:iCs/>
        </w:rPr>
        <w:t xml:space="preserve"> (doing business as </w:t>
      </w:r>
      <w:r w:rsidRPr="007D397E">
        <w:rPr>
          <w:rFonts w:cs="Arial"/>
          <w:iCs/>
        </w:rPr>
        <w:t xml:space="preserve">California Construction Management, Inc. </w:t>
      </w:r>
      <w:r w:rsidR="00667889" w:rsidRPr="007D397E">
        <w:rPr>
          <w:rFonts w:cs="Arial"/>
          <w:iCs/>
        </w:rPr>
        <w:t>[</w:t>
      </w:r>
      <w:r w:rsidRPr="007D397E">
        <w:rPr>
          <w:rFonts w:cs="Arial"/>
          <w:iCs/>
        </w:rPr>
        <w:t>CCMI</w:t>
      </w:r>
      <w:r w:rsidR="00667889" w:rsidRPr="007D397E">
        <w:rPr>
          <w:rFonts w:cs="Arial"/>
          <w:iCs/>
        </w:rPr>
        <w:t>]</w:t>
      </w:r>
      <w:r w:rsidRPr="007D397E">
        <w:rPr>
          <w:rFonts w:cs="Arial"/>
          <w:iCs/>
        </w:rPr>
        <w:t>),</w:t>
      </w:r>
      <w:r w:rsidR="00D7747B" w:rsidRPr="007D397E">
        <w:rPr>
          <w:rFonts w:cs="Arial"/>
          <w:iCs/>
        </w:rPr>
        <w:t xml:space="preserve"> for the construction of its Inglewood Charter School building located at 3405 W Imperial </w:t>
      </w:r>
      <w:r w:rsidR="00667889" w:rsidRPr="007D397E">
        <w:rPr>
          <w:rFonts w:cs="Arial"/>
          <w:iCs/>
        </w:rPr>
        <w:t>Boulevard</w:t>
      </w:r>
      <w:r w:rsidR="00D7747B" w:rsidRPr="007D397E">
        <w:rPr>
          <w:rFonts w:cs="Arial"/>
          <w:iCs/>
        </w:rPr>
        <w:t>, Inglewood, C</w:t>
      </w:r>
      <w:r w:rsidR="00667889" w:rsidRPr="007D397E">
        <w:rPr>
          <w:rFonts w:cs="Arial"/>
          <w:iCs/>
        </w:rPr>
        <w:t>alifornia</w:t>
      </w:r>
      <w:r w:rsidR="00D7747B" w:rsidRPr="007D397E">
        <w:rPr>
          <w:rFonts w:cs="Arial"/>
          <w:iCs/>
        </w:rPr>
        <w:t xml:space="preserve">. Clark Parker is the </w:t>
      </w:r>
      <w:r w:rsidR="00B27304" w:rsidRPr="007D397E">
        <w:rPr>
          <w:rFonts w:cs="Arial"/>
          <w:iCs/>
        </w:rPr>
        <w:t>President</w:t>
      </w:r>
      <w:r w:rsidR="00D7747B" w:rsidRPr="007D397E">
        <w:rPr>
          <w:rFonts w:cs="Arial"/>
          <w:iCs/>
        </w:rPr>
        <w:t xml:space="preserve"> for CCMI and Jeanette Parker was an officer until April 2019. </w:t>
      </w:r>
      <w:r w:rsidRPr="007D397E">
        <w:rPr>
          <w:rFonts w:cs="Arial"/>
          <w:iCs/>
        </w:rPr>
        <w:t xml:space="preserve">Also, during FY 2016–17, TFS, Inc. contracted with CCMI for the renovation and improvements of </w:t>
      </w:r>
      <w:r w:rsidR="00667889" w:rsidRPr="007D397E">
        <w:rPr>
          <w:rFonts w:cs="Arial"/>
          <w:iCs/>
        </w:rPr>
        <w:t xml:space="preserve">the </w:t>
      </w:r>
      <w:r w:rsidRPr="007D397E">
        <w:rPr>
          <w:rFonts w:cs="Arial"/>
          <w:iCs/>
        </w:rPr>
        <w:t xml:space="preserve">classroom </w:t>
      </w:r>
      <w:r w:rsidR="00667889" w:rsidRPr="007D397E">
        <w:rPr>
          <w:rFonts w:cs="Arial"/>
          <w:iCs/>
        </w:rPr>
        <w:t>at</w:t>
      </w:r>
      <w:r w:rsidRPr="007D397E">
        <w:rPr>
          <w:rFonts w:cs="Arial"/>
          <w:iCs/>
        </w:rPr>
        <w:t xml:space="preserve"> its Vernon site.</w:t>
      </w:r>
    </w:p>
    <w:p w14:paraId="302B617E" w14:textId="0524D51D" w:rsidR="00A17495" w:rsidRPr="00A17495" w:rsidRDefault="00A17495" w:rsidP="00667889">
      <w:pPr>
        <w:pStyle w:val="Heading3"/>
      </w:pPr>
      <w:r w:rsidRPr="00A17495">
        <w:t xml:space="preserve">Increases in Academic </w:t>
      </w:r>
      <w:r w:rsidR="00B27304">
        <w:t>Achievement</w:t>
      </w:r>
      <w:r w:rsidRPr="00A17495">
        <w:t xml:space="preserve"> are Outweighed by Other Concerns</w:t>
      </w:r>
    </w:p>
    <w:p w14:paraId="0B47EF06" w14:textId="4128C21D" w:rsidR="00A17495" w:rsidRPr="00A17495" w:rsidRDefault="004B759E" w:rsidP="00667889">
      <w:pPr>
        <w:pStyle w:val="Heading4"/>
      </w:pPr>
      <w:r>
        <w:t xml:space="preserve">Academic </w:t>
      </w:r>
      <w:r w:rsidR="00A17495" w:rsidRPr="00A17495">
        <w:t>Criteria</w:t>
      </w:r>
    </w:p>
    <w:p w14:paraId="61A98142" w14:textId="77777777" w:rsidR="00A17495" w:rsidRPr="00A17495" w:rsidRDefault="00A17495" w:rsidP="00A17495">
      <w:pPr>
        <w:spacing w:before="240" w:after="240"/>
        <w:rPr>
          <w:rFonts w:eastAsia="Calibri"/>
        </w:rPr>
      </w:pPr>
      <w:r w:rsidRPr="00A17495">
        <w:rPr>
          <w:rFonts w:eastAsia="Calibri"/>
          <w:i/>
        </w:rPr>
        <w:t>EC</w:t>
      </w:r>
      <w:r w:rsidRPr="00A17495">
        <w:rPr>
          <w:rFonts w:eastAsia="Calibri"/>
        </w:rPr>
        <w:t xml:space="preserve"> Section 47607 requires the chartering authority to consider academic achievement as the most important factor in determining whether to grant a charter.</w:t>
      </w:r>
    </w:p>
    <w:p w14:paraId="3ED0B724" w14:textId="77777777" w:rsidR="00A17495" w:rsidRPr="00A17495" w:rsidRDefault="00A17495" w:rsidP="00A17495">
      <w:pPr>
        <w:spacing w:before="240" w:after="100" w:afterAutospacing="1"/>
      </w:pPr>
      <w:r w:rsidRPr="00A17495">
        <w:rPr>
          <w:rFonts w:eastAsia="Calibri" w:cs="Arial"/>
        </w:rPr>
        <w:t>Additionally,</w:t>
      </w:r>
      <w:r w:rsidRPr="00A17495">
        <w:rPr>
          <w:rFonts w:cs="Arial"/>
        </w:rPr>
        <w:t xml:space="preserve"> </w:t>
      </w:r>
      <w:r w:rsidRPr="00A17495">
        <w:rPr>
          <w:rFonts w:cs="Arial"/>
          <w:i/>
        </w:rPr>
        <w:t>EC</w:t>
      </w:r>
      <w:r w:rsidRPr="00A17495">
        <w:t xml:space="preserve"> Section 47605(b)(2) and </w:t>
      </w:r>
      <w:r w:rsidRPr="00A17495">
        <w:rPr>
          <w:rFonts w:eastAsia="Calibri"/>
        </w:rPr>
        <w:t xml:space="preserve">5 </w:t>
      </w:r>
      <w:r w:rsidRPr="00A17495">
        <w:rPr>
          <w:rFonts w:eastAsia="Calibri"/>
          <w:i/>
        </w:rPr>
        <w:t>CCR</w:t>
      </w:r>
      <w:r w:rsidRPr="00A17495">
        <w:rPr>
          <w:rFonts w:eastAsia="Calibri"/>
        </w:rPr>
        <w:t xml:space="preserve"> Section 11967.5.1(c) allow for the SBE to consider the following factors in determining</w:t>
      </w:r>
      <w:r w:rsidRPr="00A17495">
        <w:t xml:space="preserve"> whether charter petitioners are demonstrably unlikely to successfully implement the program:</w:t>
      </w:r>
    </w:p>
    <w:p w14:paraId="680EA4B6" w14:textId="77777777" w:rsidR="00A17495" w:rsidRPr="00A17495" w:rsidRDefault="00A17495" w:rsidP="00A17495">
      <w:pPr>
        <w:widowControl w:val="0"/>
        <w:numPr>
          <w:ilvl w:val="0"/>
          <w:numId w:val="30"/>
        </w:numPr>
        <w:tabs>
          <w:tab w:val="left" w:pos="360"/>
        </w:tabs>
        <w:spacing w:before="240" w:after="240"/>
        <w:rPr>
          <w:color w:val="000000"/>
        </w:rPr>
      </w:pPr>
      <w:r w:rsidRPr="00A1749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14:paraId="14D1C2A5" w14:textId="77777777" w:rsidR="00A17495" w:rsidRPr="00A17495" w:rsidRDefault="00A17495" w:rsidP="00A17495">
      <w:pPr>
        <w:spacing w:before="240" w:after="240"/>
        <w:rPr>
          <w:rFonts w:eastAsia="Calibri"/>
        </w:rPr>
      </w:pPr>
      <w:bookmarkStart w:id="4" w:name="_Hlk34824997"/>
      <w:r w:rsidRPr="00A17495">
        <w:rPr>
          <w:rFonts w:eastAsia="Calibri"/>
        </w:rPr>
        <w:lastRenderedPageBreak/>
        <w:t xml:space="preserve">As stated above, </w:t>
      </w:r>
      <w:r w:rsidRPr="00A17495">
        <w:rPr>
          <w:rFonts w:eastAsia="Calibri"/>
          <w:i/>
        </w:rPr>
        <w:t>EC</w:t>
      </w:r>
      <w:r w:rsidRPr="00A17495">
        <w:rPr>
          <w:rFonts w:eastAsia="Calibri"/>
        </w:rPr>
        <w:t xml:space="preserve"> Section 47607 requires the chartering authority to consider the following when reviewing a charter renewal petition:</w:t>
      </w:r>
    </w:p>
    <w:p w14:paraId="4E24F654" w14:textId="77777777" w:rsidR="00A17495" w:rsidRPr="00A17495" w:rsidRDefault="00A17495" w:rsidP="00A17495">
      <w:pPr>
        <w:numPr>
          <w:ilvl w:val="0"/>
          <w:numId w:val="21"/>
        </w:numPr>
        <w:spacing w:before="240" w:after="240"/>
        <w:rPr>
          <w:rFonts w:eastAsia="Calibri"/>
        </w:rPr>
      </w:pPr>
      <w:r w:rsidRPr="00A17495">
        <w:rPr>
          <w:rFonts w:eastAsia="Calibri"/>
        </w:rPr>
        <w:t>The authority that granted the charter shall consider increases in pupil academic achievement for all groups of pupils served by the charter school as the most important factor in determining whether to grant a charter renewal.</w:t>
      </w:r>
    </w:p>
    <w:p w14:paraId="7B0ACBCE" w14:textId="77777777" w:rsidR="00A17495" w:rsidRPr="00A17495" w:rsidRDefault="00A17495" w:rsidP="00A17495">
      <w:pPr>
        <w:numPr>
          <w:ilvl w:val="0"/>
          <w:numId w:val="21"/>
        </w:numPr>
        <w:autoSpaceDE w:val="0"/>
        <w:autoSpaceDN w:val="0"/>
        <w:adjustRightInd w:val="0"/>
        <w:spacing w:before="240" w:after="240"/>
        <w:rPr>
          <w:rFonts w:eastAsia="Calibri" w:cs="Arial"/>
          <w:bCs/>
        </w:rPr>
      </w:pPr>
      <w:r w:rsidRPr="00A17495">
        <w:rPr>
          <w:rFonts w:eastAsia="Calibri" w:cs="Arial"/>
          <w:bCs/>
        </w:rPr>
        <w:t>The entity that granted the charter determines that the academic performance of the charter school is at least equal to the academic performance of the public schools that the charter school pupils would otherwise have been required to attend as well as the academic performance of the schools in the school district in which the charter school is located, taking into account the composition of the pupil population that is served at the charter school.</w:t>
      </w:r>
    </w:p>
    <w:p w14:paraId="68398F20" w14:textId="5190C3B7" w:rsidR="00A17495" w:rsidRPr="00A17495" w:rsidRDefault="00A17495" w:rsidP="00A17495">
      <w:pPr>
        <w:autoSpaceDE w:val="0"/>
        <w:autoSpaceDN w:val="0"/>
        <w:adjustRightInd w:val="0"/>
        <w:spacing w:before="240" w:after="240"/>
        <w:rPr>
          <w:bCs/>
        </w:rPr>
      </w:pPr>
      <w:bookmarkStart w:id="5" w:name="_Hlk35340400"/>
      <w:r w:rsidRPr="00A17495">
        <w:rPr>
          <w:bCs/>
        </w:rPr>
        <w:t xml:space="preserve">The CDE has determined that TFSCSI does perform, overall, at least equal to its comparable district schools where the majority of TFSCSI pupils would otherwise attend. However, despite </w:t>
      </w:r>
      <w:r w:rsidRPr="00A17495">
        <w:t>TFSCSI being comparable to other schools in the surrounding area, TFSCSI is academically low-performing, as a whole.</w:t>
      </w:r>
      <w:bookmarkEnd w:id="5"/>
      <w:r w:rsidR="00E83EFF">
        <w:t xml:space="preserve"> The CDE notes that while TFSCSI meets the academic threshold </w:t>
      </w:r>
      <w:r w:rsidR="00DF760A">
        <w:t>criteria</w:t>
      </w:r>
      <w:r w:rsidR="00E83EFF">
        <w:t xml:space="preserve">, the increases in academic </w:t>
      </w:r>
      <w:r w:rsidR="008A1B19">
        <w:t xml:space="preserve">performance </w:t>
      </w:r>
      <w:r w:rsidR="00E83EFF">
        <w:t>are outweighed by other concerns.</w:t>
      </w:r>
    </w:p>
    <w:p w14:paraId="0334B10B" w14:textId="24B3CF7E" w:rsidR="00A17495" w:rsidRPr="00A17495" w:rsidRDefault="00A17495" w:rsidP="00916CB0">
      <w:pPr>
        <w:pStyle w:val="Heading4"/>
      </w:pPr>
      <w:r w:rsidRPr="00A17495">
        <w:t xml:space="preserve">CDE’s Review of </w:t>
      </w:r>
      <w:r w:rsidR="004B759E">
        <w:t>Academic</w:t>
      </w:r>
      <w:r w:rsidRPr="00A17495">
        <w:t xml:space="preserve"> Criteria Under </w:t>
      </w:r>
      <w:r w:rsidRPr="00A17495">
        <w:rPr>
          <w:i/>
        </w:rPr>
        <w:t>EC</w:t>
      </w:r>
      <w:r w:rsidRPr="00A17495">
        <w:t xml:space="preserve"> Section 47607</w:t>
      </w:r>
    </w:p>
    <w:p w14:paraId="1778B47C" w14:textId="28271A05" w:rsidR="00A17495" w:rsidRPr="00A17495" w:rsidRDefault="00A17495" w:rsidP="00A17495">
      <w:pPr>
        <w:spacing w:before="240" w:after="240"/>
        <w:rPr>
          <w:rFonts w:eastAsia="Calibri"/>
        </w:rPr>
      </w:pPr>
      <w:bookmarkStart w:id="6" w:name="_Hlk39571023"/>
      <w:r w:rsidRPr="00A17495">
        <w:rPr>
          <w:rFonts w:eastAsia="Calibri" w:cs="Arial"/>
          <w:bCs/>
        </w:rPr>
        <w:t xml:space="preserve">The CDE reviewed the information presented by IUSD and LACOE. The IUSD findings conclude that </w:t>
      </w:r>
      <w:r w:rsidRPr="00A17495">
        <w:rPr>
          <w:rFonts w:eastAsia="Calibri" w:cstheme="majorBidi"/>
        </w:rPr>
        <w:t>TFSCSI failed to demonstrate increases in academic performance as required for renewal (Attachment 6</w:t>
      </w:r>
      <w:r w:rsidR="00361D6B">
        <w:rPr>
          <w:rFonts w:eastAsia="Calibri" w:cstheme="majorBidi"/>
        </w:rPr>
        <w:t xml:space="preserve"> </w:t>
      </w:r>
      <w:r w:rsidR="00361D6B">
        <w:rPr>
          <w:rFonts w:cstheme="majorBidi"/>
        </w:rPr>
        <w:t xml:space="preserve">of Agenda Item 08 on the ACCS June 9, 2020, Meeting Notice on the SBE ACCS web page at </w:t>
      </w:r>
      <w:hyperlink r:id="rId13" w:tooltip="June 2020 ACCS Meeting Agenda web page" w:history="1">
        <w:r w:rsidR="00361D6B" w:rsidRPr="00EC3CB5">
          <w:rPr>
            <w:rStyle w:val="Hyperlink"/>
          </w:rPr>
          <w:t>https://www.cde.ca.gov/be/cc/cs/accsnotice060920.asp</w:t>
        </w:r>
      </w:hyperlink>
      <w:r w:rsidRPr="00A17495">
        <w:rPr>
          <w:rFonts w:eastAsia="Calibri" w:cstheme="majorBidi"/>
        </w:rPr>
        <w:t xml:space="preserve">). The LACOE findings conclude </w:t>
      </w:r>
      <w:r w:rsidRPr="00A17495">
        <w:rPr>
          <w:rFonts w:eastAsia="Calibri"/>
        </w:rPr>
        <w:t xml:space="preserve">that TFSCSI has not met at least one of the minimum academic performance criteria pursuant to </w:t>
      </w:r>
      <w:r w:rsidRPr="00A17495">
        <w:rPr>
          <w:rFonts w:eastAsia="Calibri"/>
          <w:i/>
        </w:rPr>
        <w:t>EC</w:t>
      </w:r>
      <w:r w:rsidRPr="00A17495">
        <w:rPr>
          <w:rFonts w:eastAsia="Calibri"/>
        </w:rPr>
        <w:t xml:space="preserve"> Section 47607(b) (Attachment 7</w:t>
      </w:r>
      <w:r w:rsidR="00361D6B">
        <w:rPr>
          <w:rFonts w:eastAsia="Calibri"/>
        </w:rPr>
        <w:t xml:space="preserve"> </w:t>
      </w:r>
      <w:r w:rsidR="00361D6B">
        <w:rPr>
          <w:rFonts w:cstheme="majorBidi"/>
        </w:rPr>
        <w:t xml:space="preserve">of Agenda Item 08 on the ACCS June 9, 2020, Meeting Notice on the SBE ACCS web page at </w:t>
      </w:r>
      <w:hyperlink r:id="rId14" w:tooltip="June 2020 ACCS Meeting Agenda web page" w:history="1">
        <w:r w:rsidR="00233061" w:rsidRPr="00EC3CB5">
          <w:rPr>
            <w:rStyle w:val="Hyperlink"/>
          </w:rPr>
          <w:t>https://www.cde.ca.gov/be/cc/cs/accsnotice060920.asp</w:t>
        </w:r>
      </w:hyperlink>
      <w:r w:rsidRPr="00A17495">
        <w:rPr>
          <w:rFonts w:eastAsia="Calibri"/>
        </w:rPr>
        <w:t>).</w:t>
      </w:r>
    </w:p>
    <w:p w14:paraId="0CB0C973" w14:textId="3DA9899A" w:rsidR="00A17495" w:rsidRPr="00A17495" w:rsidRDefault="00A17495" w:rsidP="00A17495">
      <w:pPr>
        <w:spacing w:before="240" w:after="240"/>
        <w:rPr>
          <w:rFonts w:eastAsia="Calibri"/>
        </w:rPr>
      </w:pPr>
      <w:bookmarkStart w:id="7" w:name="_Hlk35340616"/>
      <w:r w:rsidRPr="00A17495">
        <w:rPr>
          <w:rFonts w:eastAsia="Calibri"/>
        </w:rPr>
        <w:t xml:space="preserve">The CDE reviewed the materials and determined that TFSCSI has met the applicable academic criteria pursuant to </w:t>
      </w:r>
      <w:r w:rsidRPr="00A17495">
        <w:rPr>
          <w:rFonts w:eastAsia="Calibri"/>
          <w:i/>
        </w:rPr>
        <w:t xml:space="preserve">EC </w:t>
      </w:r>
      <w:r w:rsidRPr="00A17495">
        <w:rPr>
          <w:rFonts w:eastAsia="Calibri"/>
        </w:rPr>
        <w:t>Section 47607(b). The CDE selected five schools—three elementary schools, one middle school, and one school serving pupils in K through grade eight—where pupils would otherwise attend.</w:t>
      </w:r>
    </w:p>
    <w:p w14:paraId="752D076F" w14:textId="77777777" w:rsidR="00A17495" w:rsidRPr="00A17495" w:rsidRDefault="00A17495" w:rsidP="00A17495">
      <w:pPr>
        <w:spacing w:before="240" w:after="240"/>
        <w:rPr>
          <w:rFonts w:eastAsia="Calibri"/>
        </w:rPr>
      </w:pPr>
      <w:bookmarkStart w:id="8" w:name="_Hlk31875331"/>
      <w:bookmarkStart w:id="9" w:name="_Hlk31875975"/>
      <w:bookmarkEnd w:id="7"/>
      <w:r w:rsidRPr="00A17495">
        <w:rPr>
          <w:rFonts w:eastAsia="Calibri"/>
        </w:rPr>
        <w:t>The following table shows the percentage of pupils that met/exceeded standards on the 2014–15, 2015–16, 2016–17, 2017–18</w:t>
      </w:r>
      <w:r w:rsidRPr="00A17495">
        <w:rPr>
          <w:rFonts w:eastAsia="Calibri"/>
          <w:vertAlign w:val="subscript"/>
        </w:rPr>
        <w:t xml:space="preserve">, </w:t>
      </w:r>
      <w:r w:rsidRPr="00A17495">
        <w:rPr>
          <w:rFonts w:eastAsia="Calibri"/>
        </w:rPr>
        <w:t>and 2018–19 CAASPP assessment for English language arts (ELA) and mathematics (math) for TFSCSI and the CDE-chosen comparable IUSD schools that pupils would otherwise attend. The 2014–15 through 2018–19 CAASPP data show that TFSCSI does perform, overall, at least equal to comparable IUSD schools.</w:t>
      </w:r>
    </w:p>
    <w:p w14:paraId="5B83122D" w14:textId="77777777" w:rsidR="00A17495" w:rsidRPr="00A17495" w:rsidRDefault="00A17495" w:rsidP="00A17495">
      <w:pPr>
        <w:autoSpaceDE w:val="0"/>
        <w:autoSpaceDN w:val="0"/>
        <w:adjustRightInd w:val="0"/>
        <w:spacing w:before="100" w:beforeAutospacing="1" w:after="100" w:afterAutospacing="1"/>
        <w:rPr>
          <w:rFonts w:eastAsia="Calibri" w:cs="Arial"/>
          <w:b/>
          <w:bCs/>
        </w:rPr>
      </w:pPr>
      <w:r w:rsidRPr="00A17495">
        <w:rPr>
          <w:b/>
        </w:rPr>
        <w:t xml:space="preserve">CAASPP Results for TFSCSI and CDE-Chosen IUSD Comparable Schools and IUSD </w:t>
      </w:r>
      <w:r w:rsidRPr="00A17495">
        <w:rPr>
          <w:rFonts w:eastAsia="Calibri" w:cs="Arial"/>
          <w:b/>
          <w:bCs/>
        </w:rPr>
        <w:t>(Percent Meets/Exceeds Standards)</w:t>
      </w:r>
    </w:p>
    <w:tbl>
      <w:tblPr>
        <w:tblStyle w:val="GridTable1Light1211412"/>
        <w:tblW w:w="5246" w:type="pct"/>
        <w:tblInd w:w="-95" w:type="dxa"/>
        <w:tblLayout w:type="fixed"/>
        <w:tblLook w:val="04A0" w:firstRow="1" w:lastRow="0" w:firstColumn="1" w:lastColumn="0" w:noHBand="0" w:noVBand="1"/>
        <w:tblDescription w:val="CAASPP Results for CDE-Chosen Comparable Schools and IUSD (Percent Meets/Exceeds Standards)"/>
      </w:tblPr>
      <w:tblGrid>
        <w:gridCol w:w="1718"/>
        <w:gridCol w:w="809"/>
        <w:gridCol w:w="811"/>
        <w:gridCol w:w="810"/>
        <w:gridCol w:w="810"/>
        <w:gridCol w:w="810"/>
        <w:gridCol w:w="808"/>
        <w:gridCol w:w="810"/>
        <w:gridCol w:w="810"/>
        <w:gridCol w:w="810"/>
        <w:gridCol w:w="804"/>
      </w:tblGrid>
      <w:tr w:rsidR="00A17495" w:rsidRPr="00A17495" w14:paraId="513FBD6C" w14:textId="77777777" w:rsidTr="00A1749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75" w:type="pct"/>
            <w:shd w:val="clear" w:color="auto" w:fill="D9D9D9" w:themeFill="background1" w:themeFillShade="D9"/>
            <w:vAlign w:val="center"/>
          </w:tcPr>
          <w:p w14:paraId="4E5D3511" w14:textId="77777777" w:rsidR="00A17495" w:rsidRPr="00A17495" w:rsidRDefault="00A17495" w:rsidP="00A17495">
            <w:pPr>
              <w:jc w:val="center"/>
              <w:rPr>
                <w:rFonts w:eastAsia="Calibri" w:cs="Arial"/>
              </w:rPr>
            </w:pPr>
            <w:r w:rsidRPr="00A17495">
              <w:rPr>
                <w:rFonts w:eastAsia="Calibri" w:cs="Arial"/>
              </w:rPr>
              <w:lastRenderedPageBreak/>
              <w:t>School</w:t>
            </w:r>
          </w:p>
        </w:tc>
        <w:tc>
          <w:tcPr>
            <w:tcW w:w="412" w:type="pct"/>
            <w:shd w:val="clear" w:color="auto" w:fill="D9D9D9" w:themeFill="background1" w:themeFillShade="D9"/>
            <w:vAlign w:val="center"/>
          </w:tcPr>
          <w:p w14:paraId="68C9BC84"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2014–15 ELA</w:t>
            </w:r>
          </w:p>
        </w:tc>
        <w:tc>
          <w:tcPr>
            <w:tcW w:w="413" w:type="pct"/>
            <w:shd w:val="clear" w:color="auto" w:fill="D9D9D9" w:themeFill="background1" w:themeFillShade="D9"/>
            <w:vAlign w:val="center"/>
          </w:tcPr>
          <w:p w14:paraId="1E521103"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2014–15 Math</w:t>
            </w:r>
          </w:p>
        </w:tc>
        <w:tc>
          <w:tcPr>
            <w:tcW w:w="413" w:type="pct"/>
            <w:shd w:val="clear" w:color="auto" w:fill="D9D9D9" w:themeFill="background1" w:themeFillShade="D9"/>
            <w:vAlign w:val="center"/>
          </w:tcPr>
          <w:p w14:paraId="4D6359A2"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2015–16 ELA</w:t>
            </w:r>
          </w:p>
        </w:tc>
        <w:tc>
          <w:tcPr>
            <w:tcW w:w="413" w:type="pct"/>
            <w:shd w:val="clear" w:color="auto" w:fill="D9D9D9" w:themeFill="background1" w:themeFillShade="D9"/>
            <w:vAlign w:val="center"/>
          </w:tcPr>
          <w:p w14:paraId="777288DF"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2015–16 Math</w:t>
            </w:r>
          </w:p>
        </w:tc>
        <w:tc>
          <w:tcPr>
            <w:tcW w:w="413" w:type="pct"/>
            <w:shd w:val="clear" w:color="auto" w:fill="D9D9D9" w:themeFill="background1" w:themeFillShade="D9"/>
            <w:vAlign w:val="center"/>
          </w:tcPr>
          <w:p w14:paraId="7FF9B7DD"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2016–17 ELA</w:t>
            </w:r>
          </w:p>
        </w:tc>
        <w:tc>
          <w:tcPr>
            <w:tcW w:w="412" w:type="pct"/>
            <w:shd w:val="clear" w:color="auto" w:fill="D9D9D9" w:themeFill="background1" w:themeFillShade="D9"/>
            <w:vAlign w:val="center"/>
          </w:tcPr>
          <w:p w14:paraId="2A0F8602"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2016–17 Math</w:t>
            </w:r>
          </w:p>
        </w:tc>
        <w:tc>
          <w:tcPr>
            <w:tcW w:w="413" w:type="pct"/>
            <w:shd w:val="clear" w:color="auto" w:fill="D9D9D9" w:themeFill="background1" w:themeFillShade="D9"/>
            <w:vAlign w:val="center"/>
          </w:tcPr>
          <w:p w14:paraId="3094C3C8"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2017–18 ELA</w:t>
            </w:r>
          </w:p>
        </w:tc>
        <w:tc>
          <w:tcPr>
            <w:tcW w:w="413" w:type="pct"/>
            <w:shd w:val="clear" w:color="auto" w:fill="D9D9D9" w:themeFill="background1" w:themeFillShade="D9"/>
            <w:vAlign w:val="center"/>
          </w:tcPr>
          <w:p w14:paraId="5627AD51"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2017–18 Math</w:t>
            </w:r>
          </w:p>
        </w:tc>
        <w:tc>
          <w:tcPr>
            <w:tcW w:w="413" w:type="pct"/>
            <w:shd w:val="clear" w:color="auto" w:fill="D9D9D9" w:themeFill="background1" w:themeFillShade="D9"/>
            <w:vAlign w:val="center"/>
          </w:tcPr>
          <w:p w14:paraId="4B30D836"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2018–19 ELA</w:t>
            </w:r>
          </w:p>
        </w:tc>
        <w:tc>
          <w:tcPr>
            <w:tcW w:w="411" w:type="pct"/>
            <w:shd w:val="clear" w:color="auto" w:fill="D9D9D9" w:themeFill="background1" w:themeFillShade="D9"/>
            <w:vAlign w:val="center"/>
          </w:tcPr>
          <w:p w14:paraId="2BE37D04"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2018–19 Math</w:t>
            </w:r>
          </w:p>
        </w:tc>
      </w:tr>
      <w:tr w:rsidR="00A17495" w:rsidRPr="00A17495" w14:paraId="5E1A7809"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75" w:type="pct"/>
            <w:vAlign w:val="center"/>
          </w:tcPr>
          <w:p w14:paraId="1552B034" w14:textId="77777777" w:rsidR="00A17495" w:rsidRPr="00A17495" w:rsidRDefault="00A17495" w:rsidP="00A17495">
            <w:pPr>
              <w:rPr>
                <w:rFonts w:eastAsia="Calibri" w:cs="Arial"/>
              </w:rPr>
            </w:pPr>
            <w:r w:rsidRPr="00A17495">
              <w:rPr>
                <w:rFonts w:eastAsia="Calibri" w:cs="Arial"/>
              </w:rPr>
              <w:t>TFSCSI</w:t>
            </w:r>
          </w:p>
        </w:tc>
        <w:tc>
          <w:tcPr>
            <w:tcW w:w="412" w:type="pct"/>
            <w:shd w:val="clear" w:color="auto" w:fill="E7E6E6" w:themeFill="background2"/>
            <w:vAlign w:val="center"/>
          </w:tcPr>
          <w:p w14:paraId="203E77CF"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36</w:t>
            </w:r>
          </w:p>
        </w:tc>
        <w:tc>
          <w:tcPr>
            <w:tcW w:w="413" w:type="pct"/>
            <w:shd w:val="clear" w:color="auto" w:fill="E7E6E6" w:themeFill="background2"/>
            <w:vAlign w:val="center"/>
          </w:tcPr>
          <w:p w14:paraId="17870D8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22</w:t>
            </w:r>
          </w:p>
        </w:tc>
        <w:tc>
          <w:tcPr>
            <w:tcW w:w="413" w:type="pct"/>
            <w:shd w:val="clear" w:color="auto" w:fill="E7E6E6" w:themeFill="background2"/>
            <w:vAlign w:val="center"/>
          </w:tcPr>
          <w:p w14:paraId="331EB8E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33</w:t>
            </w:r>
          </w:p>
        </w:tc>
        <w:tc>
          <w:tcPr>
            <w:tcW w:w="413" w:type="pct"/>
            <w:shd w:val="clear" w:color="auto" w:fill="E7E6E6" w:themeFill="background2"/>
            <w:vAlign w:val="center"/>
          </w:tcPr>
          <w:p w14:paraId="3CA84CFC"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24</w:t>
            </w:r>
          </w:p>
        </w:tc>
        <w:tc>
          <w:tcPr>
            <w:tcW w:w="413" w:type="pct"/>
            <w:shd w:val="clear" w:color="auto" w:fill="E7E6E6" w:themeFill="background2"/>
            <w:vAlign w:val="center"/>
          </w:tcPr>
          <w:p w14:paraId="1F9E3BF0"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33</w:t>
            </w:r>
          </w:p>
        </w:tc>
        <w:tc>
          <w:tcPr>
            <w:tcW w:w="412" w:type="pct"/>
            <w:shd w:val="clear" w:color="auto" w:fill="E7E6E6" w:themeFill="background2"/>
            <w:vAlign w:val="center"/>
          </w:tcPr>
          <w:p w14:paraId="146E183E"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21</w:t>
            </w:r>
          </w:p>
        </w:tc>
        <w:tc>
          <w:tcPr>
            <w:tcW w:w="413" w:type="pct"/>
            <w:shd w:val="clear" w:color="auto" w:fill="E7E6E6" w:themeFill="background2"/>
            <w:vAlign w:val="center"/>
          </w:tcPr>
          <w:p w14:paraId="5EA4C2E3"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46</w:t>
            </w:r>
          </w:p>
        </w:tc>
        <w:tc>
          <w:tcPr>
            <w:tcW w:w="413" w:type="pct"/>
            <w:shd w:val="clear" w:color="auto" w:fill="E7E6E6" w:themeFill="background2"/>
            <w:vAlign w:val="center"/>
          </w:tcPr>
          <w:p w14:paraId="71D5596D"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32</w:t>
            </w:r>
          </w:p>
        </w:tc>
        <w:tc>
          <w:tcPr>
            <w:tcW w:w="413" w:type="pct"/>
            <w:shd w:val="clear" w:color="auto" w:fill="E7E6E6" w:themeFill="background2"/>
            <w:vAlign w:val="center"/>
          </w:tcPr>
          <w:p w14:paraId="20D49812"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37</w:t>
            </w:r>
          </w:p>
        </w:tc>
        <w:tc>
          <w:tcPr>
            <w:tcW w:w="411" w:type="pct"/>
            <w:shd w:val="clear" w:color="auto" w:fill="E7E6E6" w:themeFill="background2"/>
            <w:vAlign w:val="center"/>
          </w:tcPr>
          <w:p w14:paraId="16DAAC8E"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32</w:t>
            </w:r>
          </w:p>
        </w:tc>
      </w:tr>
      <w:tr w:rsidR="00A17495" w:rsidRPr="00A17495" w14:paraId="6C5DFFE4"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75" w:type="pct"/>
            <w:vAlign w:val="center"/>
          </w:tcPr>
          <w:p w14:paraId="387BD0CE" w14:textId="77777777" w:rsidR="00A17495" w:rsidRPr="00A17495" w:rsidRDefault="00A17495" w:rsidP="00A17495">
            <w:pPr>
              <w:rPr>
                <w:rFonts w:eastAsia="Calibri" w:cs="Arial"/>
              </w:rPr>
            </w:pPr>
            <w:r w:rsidRPr="00A17495">
              <w:rPr>
                <w:rFonts w:eastAsia="Calibri" w:cs="Arial"/>
              </w:rPr>
              <w:t>Bennett/Kew Elementary</w:t>
            </w:r>
          </w:p>
        </w:tc>
        <w:tc>
          <w:tcPr>
            <w:tcW w:w="412" w:type="pct"/>
            <w:shd w:val="clear" w:color="auto" w:fill="E7E6E6" w:themeFill="background2"/>
            <w:vAlign w:val="center"/>
          </w:tcPr>
          <w:p w14:paraId="01063905"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22</w:t>
            </w:r>
          </w:p>
        </w:tc>
        <w:tc>
          <w:tcPr>
            <w:tcW w:w="413" w:type="pct"/>
            <w:shd w:val="clear" w:color="auto" w:fill="E7E6E6" w:themeFill="background2"/>
            <w:vAlign w:val="center"/>
          </w:tcPr>
          <w:p w14:paraId="66C6218C"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21</w:t>
            </w:r>
          </w:p>
        </w:tc>
        <w:tc>
          <w:tcPr>
            <w:tcW w:w="413" w:type="pct"/>
            <w:shd w:val="clear" w:color="auto" w:fill="E7E6E6" w:themeFill="background2"/>
            <w:vAlign w:val="center"/>
          </w:tcPr>
          <w:p w14:paraId="5A01E28F" w14:textId="4497A5A1" w:rsidR="00A17495" w:rsidRPr="00A17495" w:rsidRDefault="00ED79E8"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28</w:t>
            </w:r>
          </w:p>
        </w:tc>
        <w:tc>
          <w:tcPr>
            <w:tcW w:w="413" w:type="pct"/>
            <w:shd w:val="clear" w:color="auto" w:fill="E7E6E6" w:themeFill="background2"/>
            <w:vAlign w:val="center"/>
          </w:tcPr>
          <w:p w14:paraId="155D6011" w14:textId="1433832A" w:rsidR="00A17495" w:rsidRPr="00A17495" w:rsidRDefault="00ED79E8"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24</w:t>
            </w:r>
          </w:p>
        </w:tc>
        <w:tc>
          <w:tcPr>
            <w:tcW w:w="413" w:type="pct"/>
            <w:shd w:val="clear" w:color="auto" w:fill="E7E6E6" w:themeFill="background2"/>
            <w:vAlign w:val="center"/>
          </w:tcPr>
          <w:p w14:paraId="3A3B3708" w14:textId="6E41A92A" w:rsidR="00A17495" w:rsidRPr="00A17495" w:rsidRDefault="00ED79E8"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28</w:t>
            </w:r>
          </w:p>
        </w:tc>
        <w:tc>
          <w:tcPr>
            <w:tcW w:w="412" w:type="pct"/>
            <w:shd w:val="clear" w:color="auto" w:fill="E7E6E6" w:themeFill="background2"/>
            <w:vAlign w:val="center"/>
          </w:tcPr>
          <w:p w14:paraId="0CBAF2FE" w14:textId="47D9B104" w:rsidR="00A17495" w:rsidRPr="00A17495" w:rsidRDefault="00ED79E8"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27</w:t>
            </w:r>
          </w:p>
        </w:tc>
        <w:tc>
          <w:tcPr>
            <w:tcW w:w="413" w:type="pct"/>
            <w:shd w:val="clear" w:color="auto" w:fill="E7E6E6" w:themeFill="background2"/>
            <w:vAlign w:val="center"/>
          </w:tcPr>
          <w:p w14:paraId="7B08BFE1" w14:textId="16B24BB0" w:rsidR="00A17495" w:rsidRPr="00A17495" w:rsidRDefault="00ED79E8"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36</w:t>
            </w:r>
          </w:p>
        </w:tc>
        <w:tc>
          <w:tcPr>
            <w:tcW w:w="413" w:type="pct"/>
            <w:shd w:val="clear" w:color="auto" w:fill="E7E6E6" w:themeFill="background2"/>
            <w:vAlign w:val="center"/>
          </w:tcPr>
          <w:p w14:paraId="19B61121" w14:textId="3BA6E831" w:rsidR="00A17495" w:rsidRPr="00A17495" w:rsidRDefault="00ED79E8"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35</w:t>
            </w:r>
          </w:p>
        </w:tc>
        <w:tc>
          <w:tcPr>
            <w:tcW w:w="413" w:type="pct"/>
            <w:shd w:val="clear" w:color="auto" w:fill="E7E6E6" w:themeFill="background2"/>
            <w:vAlign w:val="center"/>
          </w:tcPr>
          <w:p w14:paraId="78BBD229" w14:textId="6BA99A3D" w:rsidR="00A17495" w:rsidRPr="00A17495" w:rsidRDefault="00614B18"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43</w:t>
            </w:r>
          </w:p>
        </w:tc>
        <w:tc>
          <w:tcPr>
            <w:tcW w:w="411" w:type="pct"/>
            <w:shd w:val="clear" w:color="auto" w:fill="E7E6E6" w:themeFill="background2"/>
            <w:vAlign w:val="center"/>
          </w:tcPr>
          <w:p w14:paraId="587A716B" w14:textId="37B9CD25" w:rsidR="00A17495" w:rsidRPr="00A17495" w:rsidRDefault="00614B18"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36</w:t>
            </w:r>
          </w:p>
        </w:tc>
      </w:tr>
      <w:tr w:rsidR="00A17495" w:rsidRPr="00A17495" w14:paraId="35006F8F"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75" w:type="pct"/>
            <w:vAlign w:val="center"/>
          </w:tcPr>
          <w:p w14:paraId="6D2ECEDA" w14:textId="77777777" w:rsidR="00A17495" w:rsidRPr="00A17495" w:rsidRDefault="00A17495" w:rsidP="00A17495">
            <w:pPr>
              <w:autoSpaceDE w:val="0"/>
              <w:autoSpaceDN w:val="0"/>
              <w:adjustRightInd w:val="0"/>
              <w:rPr>
                <w:rFonts w:eastAsia="Calibri" w:cs="Arial"/>
              </w:rPr>
            </w:pPr>
            <w:r w:rsidRPr="00A17495">
              <w:rPr>
                <w:rFonts w:eastAsia="Calibri" w:cs="Arial"/>
              </w:rPr>
              <w:t>Worthington Elementary</w:t>
            </w:r>
          </w:p>
        </w:tc>
        <w:tc>
          <w:tcPr>
            <w:tcW w:w="412" w:type="pct"/>
            <w:shd w:val="clear" w:color="auto" w:fill="E7E6E6" w:themeFill="background2"/>
            <w:vAlign w:val="center"/>
          </w:tcPr>
          <w:p w14:paraId="37C2794E"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21</w:t>
            </w:r>
          </w:p>
        </w:tc>
        <w:tc>
          <w:tcPr>
            <w:tcW w:w="413" w:type="pct"/>
            <w:shd w:val="clear" w:color="auto" w:fill="E7E6E6" w:themeFill="background2"/>
            <w:vAlign w:val="center"/>
          </w:tcPr>
          <w:p w14:paraId="3AB485C5"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17</w:t>
            </w:r>
          </w:p>
        </w:tc>
        <w:tc>
          <w:tcPr>
            <w:tcW w:w="413" w:type="pct"/>
            <w:shd w:val="clear" w:color="auto" w:fill="E7E6E6" w:themeFill="background2"/>
            <w:vAlign w:val="center"/>
          </w:tcPr>
          <w:p w14:paraId="3A7CA7A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23</w:t>
            </w:r>
          </w:p>
        </w:tc>
        <w:tc>
          <w:tcPr>
            <w:tcW w:w="413" w:type="pct"/>
            <w:shd w:val="clear" w:color="auto" w:fill="E7E6E6" w:themeFill="background2"/>
            <w:vAlign w:val="center"/>
          </w:tcPr>
          <w:p w14:paraId="5B380695"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15</w:t>
            </w:r>
          </w:p>
        </w:tc>
        <w:tc>
          <w:tcPr>
            <w:tcW w:w="413" w:type="pct"/>
            <w:shd w:val="clear" w:color="auto" w:fill="E7E6E6" w:themeFill="background2"/>
            <w:vAlign w:val="center"/>
          </w:tcPr>
          <w:p w14:paraId="0F61715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21</w:t>
            </w:r>
          </w:p>
        </w:tc>
        <w:tc>
          <w:tcPr>
            <w:tcW w:w="412" w:type="pct"/>
            <w:shd w:val="clear" w:color="auto" w:fill="E7E6E6" w:themeFill="background2"/>
            <w:vAlign w:val="center"/>
          </w:tcPr>
          <w:p w14:paraId="284545E9"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15</w:t>
            </w:r>
          </w:p>
        </w:tc>
        <w:tc>
          <w:tcPr>
            <w:tcW w:w="413" w:type="pct"/>
            <w:shd w:val="clear" w:color="auto" w:fill="E7E6E6" w:themeFill="background2"/>
            <w:vAlign w:val="center"/>
          </w:tcPr>
          <w:p w14:paraId="0497BD6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27</w:t>
            </w:r>
          </w:p>
        </w:tc>
        <w:tc>
          <w:tcPr>
            <w:tcW w:w="413" w:type="pct"/>
            <w:shd w:val="clear" w:color="auto" w:fill="E7E6E6" w:themeFill="background2"/>
            <w:vAlign w:val="center"/>
          </w:tcPr>
          <w:p w14:paraId="4C4B113B"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17</w:t>
            </w:r>
          </w:p>
        </w:tc>
        <w:tc>
          <w:tcPr>
            <w:tcW w:w="413" w:type="pct"/>
            <w:shd w:val="clear" w:color="auto" w:fill="E7E6E6" w:themeFill="background2"/>
            <w:vAlign w:val="center"/>
          </w:tcPr>
          <w:p w14:paraId="76E0F05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28</w:t>
            </w:r>
          </w:p>
        </w:tc>
        <w:tc>
          <w:tcPr>
            <w:tcW w:w="411" w:type="pct"/>
            <w:shd w:val="clear" w:color="auto" w:fill="E7E6E6" w:themeFill="background2"/>
            <w:vAlign w:val="center"/>
          </w:tcPr>
          <w:p w14:paraId="2E70B5E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19</w:t>
            </w:r>
          </w:p>
        </w:tc>
      </w:tr>
      <w:tr w:rsidR="00A17495" w:rsidRPr="00A17495" w14:paraId="7103E9C6"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75" w:type="pct"/>
            <w:vAlign w:val="center"/>
          </w:tcPr>
          <w:p w14:paraId="6CC4A3B4" w14:textId="77777777" w:rsidR="00A17495" w:rsidRPr="00A17495" w:rsidRDefault="00A17495" w:rsidP="00A17495">
            <w:pPr>
              <w:autoSpaceDE w:val="0"/>
              <w:autoSpaceDN w:val="0"/>
              <w:adjustRightInd w:val="0"/>
              <w:rPr>
                <w:rFonts w:eastAsia="Calibri" w:cs="Arial"/>
              </w:rPr>
            </w:pPr>
            <w:r w:rsidRPr="00A17495">
              <w:rPr>
                <w:rFonts w:eastAsia="Calibri" w:cs="Arial"/>
              </w:rPr>
              <w:t>Woodworth-Monroe K-8 Academy</w:t>
            </w:r>
          </w:p>
        </w:tc>
        <w:tc>
          <w:tcPr>
            <w:tcW w:w="412" w:type="pct"/>
            <w:shd w:val="clear" w:color="auto" w:fill="E7E6E6" w:themeFill="background2"/>
            <w:vAlign w:val="center"/>
          </w:tcPr>
          <w:p w14:paraId="4EC919AA"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9</w:t>
            </w:r>
          </w:p>
        </w:tc>
        <w:tc>
          <w:tcPr>
            <w:tcW w:w="413" w:type="pct"/>
            <w:shd w:val="clear" w:color="auto" w:fill="E7E6E6" w:themeFill="background2"/>
            <w:vAlign w:val="center"/>
          </w:tcPr>
          <w:p w14:paraId="13EA708B"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6</w:t>
            </w:r>
          </w:p>
        </w:tc>
        <w:tc>
          <w:tcPr>
            <w:tcW w:w="413" w:type="pct"/>
            <w:shd w:val="clear" w:color="auto" w:fill="E7E6E6" w:themeFill="background2"/>
            <w:vAlign w:val="center"/>
          </w:tcPr>
          <w:p w14:paraId="23EC398C"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11</w:t>
            </w:r>
          </w:p>
        </w:tc>
        <w:tc>
          <w:tcPr>
            <w:tcW w:w="413" w:type="pct"/>
            <w:shd w:val="clear" w:color="auto" w:fill="E7E6E6" w:themeFill="background2"/>
            <w:vAlign w:val="center"/>
          </w:tcPr>
          <w:p w14:paraId="38687A6A"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7</w:t>
            </w:r>
          </w:p>
        </w:tc>
        <w:tc>
          <w:tcPr>
            <w:tcW w:w="413" w:type="pct"/>
            <w:shd w:val="clear" w:color="auto" w:fill="E7E6E6" w:themeFill="background2"/>
            <w:vAlign w:val="center"/>
          </w:tcPr>
          <w:p w14:paraId="1B2D0416"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12</w:t>
            </w:r>
          </w:p>
        </w:tc>
        <w:tc>
          <w:tcPr>
            <w:tcW w:w="412" w:type="pct"/>
            <w:shd w:val="clear" w:color="auto" w:fill="E7E6E6" w:themeFill="background2"/>
            <w:vAlign w:val="center"/>
          </w:tcPr>
          <w:p w14:paraId="29026FB9"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15</w:t>
            </w:r>
          </w:p>
        </w:tc>
        <w:tc>
          <w:tcPr>
            <w:tcW w:w="413" w:type="pct"/>
            <w:shd w:val="clear" w:color="auto" w:fill="E7E6E6" w:themeFill="background2"/>
            <w:vAlign w:val="center"/>
          </w:tcPr>
          <w:p w14:paraId="5D84DABB"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22</w:t>
            </w:r>
          </w:p>
        </w:tc>
        <w:tc>
          <w:tcPr>
            <w:tcW w:w="413" w:type="pct"/>
            <w:shd w:val="clear" w:color="auto" w:fill="E7E6E6" w:themeFill="background2"/>
            <w:vAlign w:val="center"/>
          </w:tcPr>
          <w:p w14:paraId="4CC81F8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20</w:t>
            </w:r>
          </w:p>
        </w:tc>
        <w:tc>
          <w:tcPr>
            <w:tcW w:w="413" w:type="pct"/>
            <w:shd w:val="clear" w:color="auto" w:fill="E7E6E6" w:themeFill="background2"/>
            <w:vAlign w:val="center"/>
          </w:tcPr>
          <w:p w14:paraId="346F92CE"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29</w:t>
            </w:r>
          </w:p>
        </w:tc>
        <w:tc>
          <w:tcPr>
            <w:tcW w:w="411" w:type="pct"/>
            <w:shd w:val="clear" w:color="auto" w:fill="E7E6E6" w:themeFill="background2"/>
            <w:vAlign w:val="center"/>
          </w:tcPr>
          <w:p w14:paraId="375FCB38"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15</w:t>
            </w:r>
          </w:p>
        </w:tc>
      </w:tr>
      <w:tr w:rsidR="00A17495" w:rsidRPr="00A17495" w14:paraId="48B2ED00"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75" w:type="pct"/>
            <w:vAlign w:val="center"/>
          </w:tcPr>
          <w:p w14:paraId="3E2C473E" w14:textId="77777777" w:rsidR="00A17495" w:rsidRPr="00A17495" w:rsidRDefault="00A17495" w:rsidP="00A17495">
            <w:pPr>
              <w:autoSpaceDE w:val="0"/>
              <w:autoSpaceDN w:val="0"/>
              <w:adjustRightInd w:val="0"/>
              <w:rPr>
                <w:rFonts w:eastAsia="Calibri" w:cs="Arial"/>
              </w:rPr>
            </w:pPr>
            <w:r w:rsidRPr="00A17495">
              <w:rPr>
                <w:rFonts w:eastAsia="Calibri" w:cs="Arial"/>
              </w:rPr>
              <w:t>Hudnall (Claude) Elementary</w:t>
            </w:r>
          </w:p>
        </w:tc>
        <w:tc>
          <w:tcPr>
            <w:tcW w:w="412" w:type="pct"/>
            <w:shd w:val="clear" w:color="auto" w:fill="E7E6E6" w:themeFill="background2"/>
            <w:vAlign w:val="center"/>
          </w:tcPr>
          <w:p w14:paraId="43B5E82B"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30</w:t>
            </w:r>
          </w:p>
        </w:tc>
        <w:tc>
          <w:tcPr>
            <w:tcW w:w="413" w:type="pct"/>
            <w:shd w:val="clear" w:color="auto" w:fill="E7E6E6" w:themeFill="background2"/>
            <w:vAlign w:val="center"/>
          </w:tcPr>
          <w:p w14:paraId="3498A0E0"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17</w:t>
            </w:r>
          </w:p>
        </w:tc>
        <w:tc>
          <w:tcPr>
            <w:tcW w:w="413" w:type="pct"/>
            <w:shd w:val="clear" w:color="auto" w:fill="E7E6E6" w:themeFill="background2"/>
            <w:vAlign w:val="center"/>
          </w:tcPr>
          <w:p w14:paraId="5E60706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32</w:t>
            </w:r>
          </w:p>
        </w:tc>
        <w:tc>
          <w:tcPr>
            <w:tcW w:w="413" w:type="pct"/>
            <w:shd w:val="clear" w:color="auto" w:fill="E7E6E6" w:themeFill="background2"/>
            <w:vAlign w:val="center"/>
          </w:tcPr>
          <w:p w14:paraId="34C47CF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w:t>
            </w:r>
          </w:p>
        </w:tc>
        <w:tc>
          <w:tcPr>
            <w:tcW w:w="413" w:type="pct"/>
            <w:shd w:val="clear" w:color="auto" w:fill="E7E6E6" w:themeFill="background2"/>
            <w:vAlign w:val="center"/>
          </w:tcPr>
          <w:p w14:paraId="70FA613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41</w:t>
            </w:r>
          </w:p>
        </w:tc>
        <w:tc>
          <w:tcPr>
            <w:tcW w:w="412" w:type="pct"/>
            <w:shd w:val="clear" w:color="auto" w:fill="E7E6E6" w:themeFill="background2"/>
            <w:vAlign w:val="center"/>
          </w:tcPr>
          <w:p w14:paraId="506FC315"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28</w:t>
            </w:r>
          </w:p>
        </w:tc>
        <w:tc>
          <w:tcPr>
            <w:tcW w:w="413" w:type="pct"/>
            <w:shd w:val="clear" w:color="auto" w:fill="E7E6E6" w:themeFill="background2"/>
            <w:vAlign w:val="center"/>
          </w:tcPr>
          <w:p w14:paraId="6A9BE9A6"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35</w:t>
            </w:r>
          </w:p>
        </w:tc>
        <w:tc>
          <w:tcPr>
            <w:tcW w:w="413" w:type="pct"/>
            <w:shd w:val="clear" w:color="auto" w:fill="E7E6E6" w:themeFill="background2"/>
            <w:vAlign w:val="center"/>
          </w:tcPr>
          <w:p w14:paraId="7A5F6A28"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28</w:t>
            </w:r>
          </w:p>
        </w:tc>
        <w:tc>
          <w:tcPr>
            <w:tcW w:w="413" w:type="pct"/>
            <w:shd w:val="clear" w:color="auto" w:fill="E7E6E6" w:themeFill="background2"/>
            <w:vAlign w:val="center"/>
          </w:tcPr>
          <w:p w14:paraId="39786D1A"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36</w:t>
            </w:r>
          </w:p>
        </w:tc>
        <w:tc>
          <w:tcPr>
            <w:tcW w:w="411" w:type="pct"/>
            <w:shd w:val="clear" w:color="auto" w:fill="E7E6E6" w:themeFill="background2"/>
            <w:vAlign w:val="center"/>
          </w:tcPr>
          <w:p w14:paraId="5BFE5FE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23</w:t>
            </w:r>
          </w:p>
        </w:tc>
      </w:tr>
      <w:tr w:rsidR="00A17495" w:rsidRPr="00A17495" w14:paraId="492F8680"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75" w:type="pct"/>
            <w:vAlign w:val="center"/>
          </w:tcPr>
          <w:p w14:paraId="133AF40A" w14:textId="77777777" w:rsidR="00A17495" w:rsidRPr="00A17495" w:rsidRDefault="00A17495" w:rsidP="00A17495">
            <w:pPr>
              <w:rPr>
                <w:rFonts w:eastAsia="Calibri" w:cs="Arial"/>
              </w:rPr>
            </w:pPr>
            <w:r w:rsidRPr="00A17495">
              <w:rPr>
                <w:rFonts w:eastAsia="Calibri" w:cs="Arial"/>
              </w:rPr>
              <w:t>Crozier (George W.) Middle</w:t>
            </w:r>
          </w:p>
        </w:tc>
        <w:tc>
          <w:tcPr>
            <w:tcW w:w="412" w:type="pct"/>
            <w:shd w:val="clear" w:color="auto" w:fill="E7E6E6" w:themeFill="background2"/>
            <w:vAlign w:val="center"/>
          </w:tcPr>
          <w:p w14:paraId="57B0F1B5"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26</w:t>
            </w:r>
          </w:p>
        </w:tc>
        <w:tc>
          <w:tcPr>
            <w:tcW w:w="413" w:type="pct"/>
            <w:shd w:val="clear" w:color="auto" w:fill="E7E6E6" w:themeFill="background2"/>
            <w:vAlign w:val="center"/>
          </w:tcPr>
          <w:p w14:paraId="3A3590EF"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16</w:t>
            </w:r>
          </w:p>
        </w:tc>
        <w:tc>
          <w:tcPr>
            <w:tcW w:w="413" w:type="pct"/>
            <w:shd w:val="clear" w:color="auto" w:fill="E7E6E6" w:themeFill="background2"/>
            <w:vAlign w:val="center"/>
          </w:tcPr>
          <w:p w14:paraId="3405F50B"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26</w:t>
            </w:r>
          </w:p>
        </w:tc>
        <w:tc>
          <w:tcPr>
            <w:tcW w:w="413" w:type="pct"/>
            <w:shd w:val="clear" w:color="auto" w:fill="E7E6E6" w:themeFill="background2"/>
            <w:vAlign w:val="center"/>
          </w:tcPr>
          <w:p w14:paraId="63968721"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13</w:t>
            </w:r>
          </w:p>
        </w:tc>
        <w:tc>
          <w:tcPr>
            <w:tcW w:w="413" w:type="pct"/>
            <w:shd w:val="clear" w:color="auto" w:fill="E7E6E6" w:themeFill="background2"/>
            <w:vAlign w:val="center"/>
          </w:tcPr>
          <w:p w14:paraId="20CAD88E"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25</w:t>
            </w:r>
          </w:p>
        </w:tc>
        <w:tc>
          <w:tcPr>
            <w:tcW w:w="412" w:type="pct"/>
            <w:shd w:val="clear" w:color="auto" w:fill="E7E6E6" w:themeFill="background2"/>
            <w:vAlign w:val="center"/>
          </w:tcPr>
          <w:p w14:paraId="20E271B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13</w:t>
            </w:r>
          </w:p>
        </w:tc>
        <w:tc>
          <w:tcPr>
            <w:tcW w:w="413" w:type="pct"/>
            <w:shd w:val="clear" w:color="auto" w:fill="E7E6E6" w:themeFill="background2"/>
            <w:vAlign w:val="center"/>
          </w:tcPr>
          <w:p w14:paraId="2A3140D0"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24</w:t>
            </w:r>
          </w:p>
        </w:tc>
        <w:tc>
          <w:tcPr>
            <w:tcW w:w="413" w:type="pct"/>
            <w:shd w:val="clear" w:color="auto" w:fill="E7E6E6" w:themeFill="background2"/>
            <w:vAlign w:val="center"/>
          </w:tcPr>
          <w:p w14:paraId="3E90426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10</w:t>
            </w:r>
          </w:p>
        </w:tc>
        <w:tc>
          <w:tcPr>
            <w:tcW w:w="413" w:type="pct"/>
            <w:shd w:val="clear" w:color="auto" w:fill="E7E6E6" w:themeFill="background2"/>
            <w:vAlign w:val="center"/>
          </w:tcPr>
          <w:p w14:paraId="3F505743"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25</w:t>
            </w:r>
          </w:p>
        </w:tc>
        <w:tc>
          <w:tcPr>
            <w:tcW w:w="411" w:type="pct"/>
            <w:shd w:val="clear" w:color="auto" w:fill="E7E6E6" w:themeFill="background2"/>
            <w:vAlign w:val="center"/>
          </w:tcPr>
          <w:p w14:paraId="08308A1F"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9</w:t>
            </w:r>
          </w:p>
        </w:tc>
      </w:tr>
      <w:tr w:rsidR="00A17495" w:rsidRPr="00A17495" w14:paraId="009280BA"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75" w:type="pct"/>
            <w:vAlign w:val="center"/>
          </w:tcPr>
          <w:p w14:paraId="3F47C207" w14:textId="77777777" w:rsidR="00A17495" w:rsidRPr="00A17495" w:rsidRDefault="00A17495" w:rsidP="00A17495">
            <w:pPr>
              <w:rPr>
                <w:rFonts w:eastAsia="Calibri" w:cs="Arial"/>
              </w:rPr>
            </w:pPr>
            <w:r w:rsidRPr="00A17495">
              <w:rPr>
                <w:rFonts w:eastAsia="Calibri" w:cs="Arial"/>
              </w:rPr>
              <w:t>IUSD</w:t>
            </w:r>
          </w:p>
        </w:tc>
        <w:tc>
          <w:tcPr>
            <w:tcW w:w="412" w:type="pct"/>
            <w:shd w:val="clear" w:color="auto" w:fill="E7E6E6" w:themeFill="background2"/>
            <w:vAlign w:val="center"/>
          </w:tcPr>
          <w:p w14:paraId="3EEB651A"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26</w:t>
            </w:r>
          </w:p>
        </w:tc>
        <w:tc>
          <w:tcPr>
            <w:tcW w:w="413" w:type="pct"/>
            <w:shd w:val="clear" w:color="auto" w:fill="E7E6E6" w:themeFill="background2"/>
            <w:vAlign w:val="center"/>
          </w:tcPr>
          <w:p w14:paraId="67927920"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14</w:t>
            </w:r>
          </w:p>
        </w:tc>
        <w:tc>
          <w:tcPr>
            <w:tcW w:w="413" w:type="pct"/>
            <w:shd w:val="clear" w:color="auto" w:fill="E7E6E6" w:themeFill="background2"/>
            <w:vAlign w:val="center"/>
          </w:tcPr>
          <w:p w14:paraId="793DA2EE"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29</w:t>
            </w:r>
          </w:p>
        </w:tc>
        <w:tc>
          <w:tcPr>
            <w:tcW w:w="413" w:type="pct"/>
            <w:shd w:val="clear" w:color="auto" w:fill="E7E6E6" w:themeFill="background2"/>
            <w:vAlign w:val="center"/>
          </w:tcPr>
          <w:p w14:paraId="4CA06A4A"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16</w:t>
            </w:r>
          </w:p>
        </w:tc>
        <w:tc>
          <w:tcPr>
            <w:tcW w:w="413" w:type="pct"/>
            <w:shd w:val="clear" w:color="auto" w:fill="E7E6E6" w:themeFill="background2"/>
            <w:vAlign w:val="center"/>
          </w:tcPr>
          <w:p w14:paraId="411A6D0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30</w:t>
            </w:r>
          </w:p>
        </w:tc>
        <w:tc>
          <w:tcPr>
            <w:tcW w:w="412" w:type="pct"/>
            <w:shd w:val="clear" w:color="auto" w:fill="E7E6E6" w:themeFill="background2"/>
            <w:vAlign w:val="center"/>
          </w:tcPr>
          <w:p w14:paraId="2DD57EB6"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19</w:t>
            </w:r>
          </w:p>
        </w:tc>
        <w:tc>
          <w:tcPr>
            <w:tcW w:w="413" w:type="pct"/>
            <w:shd w:val="clear" w:color="auto" w:fill="E7E6E6" w:themeFill="background2"/>
            <w:vAlign w:val="center"/>
          </w:tcPr>
          <w:p w14:paraId="726AC56F"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30</w:t>
            </w:r>
          </w:p>
        </w:tc>
        <w:tc>
          <w:tcPr>
            <w:tcW w:w="413" w:type="pct"/>
            <w:shd w:val="clear" w:color="auto" w:fill="E7E6E6" w:themeFill="background2"/>
            <w:vAlign w:val="center"/>
          </w:tcPr>
          <w:p w14:paraId="052531CF"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19</w:t>
            </w:r>
          </w:p>
        </w:tc>
        <w:tc>
          <w:tcPr>
            <w:tcW w:w="413" w:type="pct"/>
            <w:shd w:val="clear" w:color="auto" w:fill="E7E6E6" w:themeFill="background2"/>
            <w:vAlign w:val="center"/>
          </w:tcPr>
          <w:p w14:paraId="7EF476B0"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30</w:t>
            </w:r>
          </w:p>
        </w:tc>
        <w:tc>
          <w:tcPr>
            <w:tcW w:w="411" w:type="pct"/>
            <w:shd w:val="clear" w:color="auto" w:fill="E7E6E6" w:themeFill="background2"/>
            <w:vAlign w:val="center"/>
          </w:tcPr>
          <w:p w14:paraId="037A2964"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19</w:t>
            </w:r>
          </w:p>
        </w:tc>
      </w:tr>
    </w:tbl>
    <w:bookmarkEnd w:id="8"/>
    <w:p w14:paraId="0F61172C" w14:textId="55528F50" w:rsidR="00A17495" w:rsidRPr="00A17495" w:rsidRDefault="00A17495" w:rsidP="00A17495">
      <w:pPr>
        <w:spacing w:before="240" w:after="240"/>
        <w:rPr>
          <w:rFonts w:eastAsia="Calibri"/>
        </w:rPr>
      </w:pPr>
      <w:r w:rsidRPr="007D397E">
        <w:t>CDE’s internal data</w:t>
      </w:r>
      <w:r w:rsidR="00233061" w:rsidRPr="007D397E">
        <w:t>, which is</w:t>
      </w:r>
      <w:r w:rsidRPr="007D397E">
        <w:t xml:space="preserve"> </w:t>
      </w:r>
      <w:r w:rsidR="008A1B19" w:rsidRPr="007D397E">
        <w:t>based on residential information reported in the California Longitudinal Pupil Achievement Data System</w:t>
      </w:r>
      <w:r w:rsidR="00233061" w:rsidRPr="007D397E">
        <w:t>,</w:t>
      </w:r>
      <w:r w:rsidR="008A1B19" w:rsidRPr="007D397E">
        <w:t xml:space="preserve"> </w:t>
      </w:r>
      <w:r w:rsidRPr="007D397E">
        <w:t xml:space="preserve">show that more than 50 percent of TFSCSI’s enrolled pupils live outside of IUSD and within the </w:t>
      </w:r>
      <w:r w:rsidR="00233061" w:rsidRPr="007D397E">
        <w:t>Los Angeles Unified School District (</w:t>
      </w:r>
      <w:r w:rsidRPr="007D397E">
        <w:t>LAUSD</w:t>
      </w:r>
      <w:r w:rsidR="00233061" w:rsidRPr="007D397E">
        <w:t xml:space="preserve">) </w:t>
      </w:r>
      <w:r w:rsidRPr="007D397E">
        <w:t xml:space="preserve">boundaries. The following table shows the percentage of pupils that met/exceeded standards </w:t>
      </w:r>
      <w:r w:rsidRPr="007D397E">
        <w:rPr>
          <w:rFonts w:eastAsia="Calibri"/>
        </w:rPr>
        <w:t>on the 2014–15, 2015–16, 2016–17, 2017–18</w:t>
      </w:r>
      <w:r w:rsidRPr="007D397E">
        <w:rPr>
          <w:rFonts w:eastAsia="Calibri"/>
          <w:vertAlign w:val="subscript"/>
        </w:rPr>
        <w:t xml:space="preserve">, </w:t>
      </w:r>
      <w:r w:rsidRPr="007D397E">
        <w:rPr>
          <w:rFonts w:eastAsia="Calibri"/>
        </w:rPr>
        <w:t xml:space="preserve">and 2018–19 CAASPP assessment for ELA and math for TFSCSI and the CDE-chosen comparable </w:t>
      </w:r>
      <w:r w:rsidRPr="007D397E">
        <w:t>LAU</w:t>
      </w:r>
      <w:r w:rsidRPr="007D397E">
        <w:rPr>
          <w:rFonts w:eastAsia="Calibri"/>
        </w:rPr>
        <w:t>SD schools</w:t>
      </w:r>
      <w:r w:rsidRPr="007D397E">
        <w:t xml:space="preserve"> that pupils would otherwise attend. </w:t>
      </w:r>
      <w:r w:rsidRPr="007D397E">
        <w:rPr>
          <w:rFonts w:eastAsia="Calibri"/>
        </w:rPr>
        <w:t>The 2014–15 through 2018–19 CAASPP data show that TFSCSI does perform, overall, at least equal to comparable LAUSD schools.</w:t>
      </w:r>
    </w:p>
    <w:p w14:paraId="1AC29DEC" w14:textId="77777777" w:rsidR="00A17495" w:rsidRPr="00A17495" w:rsidRDefault="00A17495" w:rsidP="00A17495">
      <w:pPr>
        <w:autoSpaceDE w:val="0"/>
        <w:autoSpaceDN w:val="0"/>
        <w:adjustRightInd w:val="0"/>
        <w:spacing w:before="100" w:beforeAutospacing="1" w:after="100" w:afterAutospacing="1"/>
        <w:rPr>
          <w:rFonts w:eastAsia="Calibri" w:cs="Arial"/>
          <w:b/>
          <w:bCs/>
        </w:rPr>
      </w:pPr>
      <w:r w:rsidRPr="00A17495">
        <w:rPr>
          <w:b/>
        </w:rPr>
        <w:t xml:space="preserve">CAASPP Results for TFSCSI and CDE-chosen LAUSD Comparable Schools </w:t>
      </w:r>
      <w:r w:rsidRPr="00A17495">
        <w:rPr>
          <w:rFonts w:eastAsia="Calibri" w:cs="Arial"/>
          <w:b/>
          <w:bCs/>
        </w:rPr>
        <w:t>(Percent Meets/Exceeds Standards)</w:t>
      </w:r>
    </w:p>
    <w:tbl>
      <w:tblPr>
        <w:tblStyle w:val="GridTable1Light1211412"/>
        <w:tblW w:w="5195" w:type="pct"/>
        <w:tblLayout w:type="fixed"/>
        <w:tblLook w:val="04A0" w:firstRow="1" w:lastRow="0" w:firstColumn="1" w:lastColumn="0" w:noHBand="0" w:noVBand="1"/>
        <w:tblDescription w:val="CAASPP Results for TFSCSI and CDE-chosen LAUSD Comparable Schools (Percent Meets/Exceeds Standards)"/>
      </w:tblPr>
      <w:tblGrid>
        <w:gridCol w:w="1618"/>
        <w:gridCol w:w="809"/>
        <w:gridCol w:w="810"/>
        <w:gridCol w:w="810"/>
        <w:gridCol w:w="810"/>
        <w:gridCol w:w="810"/>
        <w:gridCol w:w="810"/>
        <w:gridCol w:w="810"/>
        <w:gridCol w:w="810"/>
        <w:gridCol w:w="810"/>
        <w:gridCol w:w="808"/>
      </w:tblGrid>
      <w:tr w:rsidR="00A17495" w:rsidRPr="00A17495" w14:paraId="6AB5ED8C" w14:textId="77777777" w:rsidTr="00A1749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32" w:type="pct"/>
            <w:shd w:val="clear" w:color="auto" w:fill="D9D9D9" w:themeFill="background1" w:themeFillShade="D9"/>
            <w:vAlign w:val="center"/>
          </w:tcPr>
          <w:p w14:paraId="373128C9" w14:textId="77777777" w:rsidR="00A17495" w:rsidRPr="00A17495" w:rsidRDefault="00A17495" w:rsidP="00A17495">
            <w:pPr>
              <w:rPr>
                <w:rFonts w:eastAsia="Calibri" w:cs="Arial"/>
              </w:rPr>
            </w:pPr>
            <w:r w:rsidRPr="00A17495">
              <w:rPr>
                <w:rFonts w:eastAsia="Calibri" w:cs="Arial"/>
              </w:rPr>
              <w:t>School</w:t>
            </w:r>
          </w:p>
        </w:tc>
        <w:tc>
          <w:tcPr>
            <w:tcW w:w="416" w:type="pct"/>
            <w:shd w:val="clear" w:color="auto" w:fill="D9D9D9" w:themeFill="background1" w:themeFillShade="D9"/>
            <w:vAlign w:val="center"/>
          </w:tcPr>
          <w:p w14:paraId="73F67222"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2014–15 ELA</w:t>
            </w:r>
          </w:p>
        </w:tc>
        <w:tc>
          <w:tcPr>
            <w:tcW w:w="417" w:type="pct"/>
            <w:shd w:val="clear" w:color="auto" w:fill="D9D9D9" w:themeFill="background1" w:themeFillShade="D9"/>
            <w:vAlign w:val="center"/>
          </w:tcPr>
          <w:p w14:paraId="5085730B"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2014–15 Math</w:t>
            </w:r>
          </w:p>
        </w:tc>
        <w:tc>
          <w:tcPr>
            <w:tcW w:w="417" w:type="pct"/>
            <w:shd w:val="clear" w:color="auto" w:fill="D9D9D9" w:themeFill="background1" w:themeFillShade="D9"/>
            <w:vAlign w:val="center"/>
          </w:tcPr>
          <w:p w14:paraId="2A9B4E08"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2015–16 ELA</w:t>
            </w:r>
          </w:p>
        </w:tc>
        <w:tc>
          <w:tcPr>
            <w:tcW w:w="417" w:type="pct"/>
            <w:shd w:val="clear" w:color="auto" w:fill="D9D9D9" w:themeFill="background1" w:themeFillShade="D9"/>
            <w:vAlign w:val="center"/>
          </w:tcPr>
          <w:p w14:paraId="230D4500"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2015–16 Math</w:t>
            </w:r>
          </w:p>
        </w:tc>
        <w:tc>
          <w:tcPr>
            <w:tcW w:w="417" w:type="pct"/>
            <w:shd w:val="clear" w:color="auto" w:fill="D9D9D9" w:themeFill="background1" w:themeFillShade="D9"/>
            <w:vAlign w:val="center"/>
          </w:tcPr>
          <w:p w14:paraId="4F1CDE66"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2016–17 ELA</w:t>
            </w:r>
          </w:p>
        </w:tc>
        <w:tc>
          <w:tcPr>
            <w:tcW w:w="417" w:type="pct"/>
            <w:shd w:val="clear" w:color="auto" w:fill="D9D9D9" w:themeFill="background1" w:themeFillShade="D9"/>
            <w:vAlign w:val="center"/>
          </w:tcPr>
          <w:p w14:paraId="218CE13F"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2016–17 Math</w:t>
            </w:r>
          </w:p>
        </w:tc>
        <w:tc>
          <w:tcPr>
            <w:tcW w:w="417" w:type="pct"/>
            <w:shd w:val="clear" w:color="auto" w:fill="D9D9D9" w:themeFill="background1" w:themeFillShade="D9"/>
            <w:vAlign w:val="center"/>
          </w:tcPr>
          <w:p w14:paraId="34AA00D5"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2017–18 ELA</w:t>
            </w:r>
          </w:p>
        </w:tc>
        <w:tc>
          <w:tcPr>
            <w:tcW w:w="417" w:type="pct"/>
            <w:shd w:val="clear" w:color="auto" w:fill="D9D9D9" w:themeFill="background1" w:themeFillShade="D9"/>
            <w:vAlign w:val="center"/>
          </w:tcPr>
          <w:p w14:paraId="78EEC823"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2017–18 Math</w:t>
            </w:r>
          </w:p>
        </w:tc>
        <w:tc>
          <w:tcPr>
            <w:tcW w:w="417" w:type="pct"/>
            <w:shd w:val="clear" w:color="auto" w:fill="D9D9D9" w:themeFill="background1" w:themeFillShade="D9"/>
            <w:vAlign w:val="center"/>
          </w:tcPr>
          <w:p w14:paraId="7B80E1F8"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2018–19 ELA</w:t>
            </w:r>
          </w:p>
        </w:tc>
        <w:tc>
          <w:tcPr>
            <w:tcW w:w="417" w:type="pct"/>
            <w:shd w:val="clear" w:color="auto" w:fill="D9D9D9" w:themeFill="background1" w:themeFillShade="D9"/>
            <w:vAlign w:val="center"/>
          </w:tcPr>
          <w:p w14:paraId="1A69DFA8"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2018–19 Math</w:t>
            </w:r>
          </w:p>
        </w:tc>
      </w:tr>
      <w:tr w:rsidR="00A17495" w:rsidRPr="00A17495" w14:paraId="4FDC2CD8"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6066F291" w14:textId="77777777" w:rsidR="00A17495" w:rsidRPr="00A17495" w:rsidRDefault="00A17495" w:rsidP="00A17495">
            <w:pPr>
              <w:rPr>
                <w:rFonts w:eastAsia="Calibri" w:cs="Arial"/>
              </w:rPr>
            </w:pPr>
            <w:r w:rsidRPr="00A17495">
              <w:rPr>
                <w:rFonts w:eastAsia="Calibri" w:cs="Arial"/>
              </w:rPr>
              <w:t>TFSCSI</w:t>
            </w:r>
          </w:p>
        </w:tc>
        <w:tc>
          <w:tcPr>
            <w:tcW w:w="416" w:type="pct"/>
            <w:shd w:val="clear" w:color="auto" w:fill="E7E6E6" w:themeFill="background2"/>
            <w:vAlign w:val="center"/>
          </w:tcPr>
          <w:p w14:paraId="6874954A"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36</w:t>
            </w:r>
          </w:p>
        </w:tc>
        <w:tc>
          <w:tcPr>
            <w:tcW w:w="417" w:type="pct"/>
            <w:shd w:val="clear" w:color="auto" w:fill="E7E6E6" w:themeFill="background2"/>
            <w:vAlign w:val="center"/>
          </w:tcPr>
          <w:p w14:paraId="5B90384F"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22</w:t>
            </w:r>
          </w:p>
        </w:tc>
        <w:tc>
          <w:tcPr>
            <w:tcW w:w="417" w:type="pct"/>
            <w:shd w:val="clear" w:color="auto" w:fill="E7E6E6" w:themeFill="background2"/>
            <w:vAlign w:val="center"/>
          </w:tcPr>
          <w:p w14:paraId="46CD154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33</w:t>
            </w:r>
          </w:p>
        </w:tc>
        <w:tc>
          <w:tcPr>
            <w:tcW w:w="417" w:type="pct"/>
            <w:shd w:val="clear" w:color="auto" w:fill="E7E6E6" w:themeFill="background2"/>
            <w:vAlign w:val="center"/>
          </w:tcPr>
          <w:p w14:paraId="44B611D2"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24</w:t>
            </w:r>
          </w:p>
        </w:tc>
        <w:tc>
          <w:tcPr>
            <w:tcW w:w="417" w:type="pct"/>
            <w:shd w:val="clear" w:color="auto" w:fill="E7E6E6" w:themeFill="background2"/>
            <w:vAlign w:val="center"/>
          </w:tcPr>
          <w:p w14:paraId="17D674A4"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33</w:t>
            </w:r>
          </w:p>
        </w:tc>
        <w:tc>
          <w:tcPr>
            <w:tcW w:w="417" w:type="pct"/>
            <w:shd w:val="clear" w:color="auto" w:fill="E7E6E6" w:themeFill="background2"/>
            <w:vAlign w:val="center"/>
          </w:tcPr>
          <w:p w14:paraId="194578C5"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21</w:t>
            </w:r>
          </w:p>
        </w:tc>
        <w:tc>
          <w:tcPr>
            <w:tcW w:w="417" w:type="pct"/>
            <w:shd w:val="clear" w:color="auto" w:fill="E7E6E6" w:themeFill="background2"/>
            <w:vAlign w:val="center"/>
          </w:tcPr>
          <w:p w14:paraId="1936D21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46</w:t>
            </w:r>
          </w:p>
        </w:tc>
        <w:tc>
          <w:tcPr>
            <w:tcW w:w="417" w:type="pct"/>
            <w:shd w:val="clear" w:color="auto" w:fill="E7E6E6" w:themeFill="background2"/>
            <w:vAlign w:val="center"/>
          </w:tcPr>
          <w:p w14:paraId="6726A2DB"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32</w:t>
            </w:r>
          </w:p>
        </w:tc>
        <w:tc>
          <w:tcPr>
            <w:tcW w:w="417" w:type="pct"/>
            <w:shd w:val="clear" w:color="auto" w:fill="E7E6E6" w:themeFill="background2"/>
            <w:vAlign w:val="center"/>
          </w:tcPr>
          <w:p w14:paraId="504297FB"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36</w:t>
            </w:r>
          </w:p>
        </w:tc>
        <w:tc>
          <w:tcPr>
            <w:tcW w:w="417" w:type="pct"/>
            <w:shd w:val="clear" w:color="auto" w:fill="E7E6E6" w:themeFill="background2"/>
            <w:vAlign w:val="center"/>
          </w:tcPr>
          <w:p w14:paraId="25CD4BA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32</w:t>
            </w:r>
          </w:p>
        </w:tc>
      </w:tr>
      <w:tr w:rsidR="00A17495" w:rsidRPr="00A17495" w14:paraId="226DF046"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4CB138E1" w14:textId="77777777" w:rsidR="00A17495" w:rsidRPr="00A17495" w:rsidRDefault="00A17495" w:rsidP="00A17495">
            <w:pPr>
              <w:autoSpaceDE w:val="0"/>
              <w:autoSpaceDN w:val="0"/>
              <w:adjustRightInd w:val="0"/>
              <w:rPr>
                <w:rFonts w:eastAsia="Calibri" w:cs="Arial"/>
              </w:rPr>
            </w:pPr>
            <w:r w:rsidRPr="00A17495">
              <w:rPr>
                <w:rFonts w:eastAsia="Calibri" w:cs="Arial"/>
              </w:rPr>
              <w:t>Century Park</w:t>
            </w:r>
          </w:p>
        </w:tc>
        <w:tc>
          <w:tcPr>
            <w:tcW w:w="416" w:type="pct"/>
            <w:shd w:val="clear" w:color="auto" w:fill="E7E6E6" w:themeFill="background2"/>
            <w:vAlign w:val="center"/>
          </w:tcPr>
          <w:p w14:paraId="45DFE47B"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8</w:t>
            </w:r>
          </w:p>
        </w:tc>
        <w:tc>
          <w:tcPr>
            <w:tcW w:w="417" w:type="pct"/>
            <w:shd w:val="clear" w:color="auto" w:fill="E7E6E6" w:themeFill="background2"/>
            <w:vAlign w:val="center"/>
          </w:tcPr>
          <w:p w14:paraId="394D2D3B"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7</w:t>
            </w:r>
          </w:p>
        </w:tc>
        <w:tc>
          <w:tcPr>
            <w:tcW w:w="417" w:type="pct"/>
            <w:shd w:val="clear" w:color="auto" w:fill="E7E6E6" w:themeFill="background2"/>
            <w:vAlign w:val="center"/>
          </w:tcPr>
          <w:p w14:paraId="60CD158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11</w:t>
            </w:r>
          </w:p>
        </w:tc>
        <w:tc>
          <w:tcPr>
            <w:tcW w:w="417" w:type="pct"/>
            <w:shd w:val="clear" w:color="auto" w:fill="E7E6E6" w:themeFill="background2"/>
            <w:vAlign w:val="center"/>
          </w:tcPr>
          <w:p w14:paraId="36BF1DB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15</w:t>
            </w:r>
          </w:p>
        </w:tc>
        <w:tc>
          <w:tcPr>
            <w:tcW w:w="417" w:type="pct"/>
            <w:shd w:val="clear" w:color="auto" w:fill="E7E6E6" w:themeFill="background2"/>
            <w:vAlign w:val="center"/>
          </w:tcPr>
          <w:p w14:paraId="5CE3576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15</w:t>
            </w:r>
          </w:p>
        </w:tc>
        <w:tc>
          <w:tcPr>
            <w:tcW w:w="417" w:type="pct"/>
            <w:shd w:val="clear" w:color="auto" w:fill="E7E6E6" w:themeFill="background2"/>
            <w:vAlign w:val="center"/>
          </w:tcPr>
          <w:p w14:paraId="189E1D6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19</w:t>
            </w:r>
          </w:p>
        </w:tc>
        <w:tc>
          <w:tcPr>
            <w:tcW w:w="417" w:type="pct"/>
            <w:shd w:val="clear" w:color="auto" w:fill="E7E6E6" w:themeFill="background2"/>
            <w:vAlign w:val="center"/>
          </w:tcPr>
          <w:p w14:paraId="04DA0D3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22</w:t>
            </w:r>
          </w:p>
        </w:tc>
        <w:tc>
          <w:tcPr>
            <w:tcW w:w="417" w:type="pct"/>
            <w:shd w:val="clear" w:color="auto" w:fill="E7E6E6" w:themeFill="background2"/>
            <w:vAlign w:val="center"/>
          </w:tcPr>
          <w:p w14:paraId="3C3913C7"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16</w:t>
            </w:r>
          </w:p>
        </w:tc>
        <w:tc>
          <w:tcPr>
            <w:tcW w:w="417" w:type="pct"/>
            <w:shd w:val="clear" w:color="auto" w:fill="E7E6E6" w:themeFill="background2"/>
            <w:vAlign w:val="center"/>
          </w:tcPr>
          <w:p w14:paraId="74B8803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13</w:t>
            </w:r>
          </w:p>
        </w:tc>
        <w:tc>
          <w:tcPr>
            <w:tcW w:w="417" w:type="pct"/>
            <w:shd w:val="clear" w:color="auto" w:fill="E7E6E6" w:themeFill="background2"/>
            <w:vAlign w:val="center"/>
          </w:tcPr>
          <w:p w14:paraId="651CF19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12</w:t>
            </w:r>
          </w:p>
        </w:tc>
      </w:tr>
      <w:tr w:rsidR="00A17495" w:rsidRPr="00A17495" w14:paraId="262B7F43"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6EA777E8" w14:textId="77777777" w:rsidR="00A17495" w:rsidRPr="00A17495" w:rsidRDefault="00A17495" w:rsidP="00A17495">
            <w:pPr>
              <w:autoSpaceDE w:val="0"/>
              <w:autoSpaceDN w:val="0"/>
              <w:adjustRightInd w:val="0"/>
              <w:rPr>
                <w:rFonts w:eastAsia="Calibri" w:cs="Arial"/>
              </w:rPr>
            </w:pPr>
            <w:r w:rsidRPr="00A17495">
              <w:rPr>
                <w:rFonts w:eastAsia="Calibri" w:cs="Arial"/>
              </w:rPr>
              <w:t>Manhattan Place Elementary</w:t>
            </w:r>
          </w:p>
        </w:tc>
        <w:tc>
          <w:tcPr>
            <w:tcW w:w="416" w:type="pct"/>
            <w:shd w:val="clear" w:color="auto" w:fill="E7E6E6" w:themeFill="background2"/>
            <w:vAlign w:val="center"/>
          </w:tcPr>
          <w:p w14:paraId="29AFEE40"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12</w:t>
            </w:r>
          </w:p>
        </w:tc>
        <w:tc>
          <w:tcPr>
            <w:tcW w:w="417" w:type="pct"/>
            <w:shd w:val="clear" w:color="auto" w:fill="E7E6E6" w:themeFill="background2"/>
            <w:vAlign w:val="center"/>
          </w:tcPr>
          <w:p w14:paraId="5D53E78A"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15</w:t>
            </w:r>
          </w:p>
        </w:tc>
        <w:tc>
          <w:tcPr>
            <w:tcW w:w="417" w:type="pct"/>
            <w:shd w:val="clear" w:color="auto" w:fill="E7E6E6" w:themeFill="background2"/>
            <w:vAlign w:val="center"/>
          </w:tcPr>
          <w:p w14:paraId="76E66E40"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23</w:t>
            </w:r>
          </w:p>
        </w:tc>
        <w:tc>
          <w:tcPr>
            <w:tcW w:w="417" w:type="pct"/>
            <w:shd w:val="clear" w:color="auto" w:fill="E7E6E6" w:themeFill="background2"/>
            <w:vAlign w:val="center"/>
          </w:tcPr>
          <w:p w14:paraId="01207448"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w:t>
            </w:r>
          </w:p>
        </w:tc>
        <w:tc>
          <w:tcPr>
            <w:tcW w:w="417" w:type="pct"/>
            <w:shd w:val="clear" w:color="auto" w:fill="E7E6E6" w:themeFill="background2"/>
            <w:vAlign w:val="center"/>
          </w:tcPr>
          <w:p w14:paraId="55199857"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26</w:t>
            </w:r>
          </w:p>
        </w:tc>
        <w:tc>
          <w:tcPr>
            <w:tcW w:w="417" w:type="pct"/>
            <w:shd w:val="clear" w:color="auto" w:fill="E7E6E6" w:themeFill="background2"/>
            <w:vAlign w:val="center"/>
          </w:tcPr>
          <w:p w14:paraId="51F6258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24</w:t>
            </w:r>
          </w:p>
        </w:tc>
        <w:tc>
          <w:tcPr>
            <w:tcW w:w="417" w:type="pct"/>
            <w:shd w:val="clear" w:color="auto" w:fill="E7E6E6" w:themeFill="background2"/>
            <w:vAlign w:val="center"/>
          </w:tcPr>
          <w:p w14:paraId="6B0BD017"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w:t>
            </w:r>
          </w:p>
        </w:tc>
        <w:tc>
          <w:tcPr>
            <w:tcW w:w="417" w:type="pct"/>
            <w:shd w:val="clear" w:color="auto" w:fill="E7E6E6" w:themeFill="background2"/>
            <w:vAlign w:val="center"/>
          </w:tcPr>
          <w:p w14:paraId="3F3AE6D6"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14</w:t>
            </w:r>
          </w:p>
        </w:tc>
        <w:tc>
          <w:tcPr>
            <w:tcW w:w="417" w:type="pct"/>
            <w:shd w:val="clear" w:color="auto" w:fill="E7E6E6" w:themeFill="background2"/>
            <w:vAlign w:val="center"/>
          </w:tcPr>
          <w:p w14:paraId="51B6698C"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12</w:t>
            </w:r>
          </w:p>
        </w:tc>
        <w:tc>
          <w:tcPr>
            <w:tcW w:w="417" w:type="pct"/>
            <w:shd w:val="clear" w:color="auto" w:fill="E7E6E6" w:themeFill="background2"/>
            <w:vAlign w:val="center"/>
          </w:tcPr>
          <w:p w14:paraId="5DFBF67A"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6</w:t>
            </w:r>
          </w:p>
        </w:tc>
      </w:tr>
      <w:tr w:rsidR="00A17495" w:rsidRPr="00A17495" w14:paraId="1CFCDADC"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6DBDF81E" w14:textId="77777777" w:rsidR="00A17495" w:rsidRPr="00A17495" w:rsidRDefault="00A17495" w:rsidP="00A17495">
            <w:pPr>
              <w:autoSpaceDE w:val="0"/>
              <w:autoSpaceDN w:val="0"/>
              <w:adjustRightInd w:val="0"/>
              <w:rPr>
                <w:rFonts w:eastAsia="Calibri" w:cs="Arial"/>
              </w:rPr>
            </w:pPr>
            <w:r w:rsidRPr="00A17495">
              <w:rPr>
                <w:rFonts w:eastAsia="Calibri" w:cs="Arial"/>
              </w:rPr>
              <w:t>La Salle Avenue Elementary</w:t>
            </w:r>
          </w:p>
        </w:tc>
        <w:tc>
          <w:tcPr>
            <w:tcW w:w="416" w:type="pct"/>
            <w:shd w:val="clear" w:color="auto" w:fill="E7E6E6" w:themeFill="background2"/>
            <w:vAlign w:val="center"/>
          </w:tcPr>
          <w:p w14:paraId="2BE47B61"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w:t>
            </w:r>
          </w:p>
        </w:tc>
        <w:tc>
          <w:tcPr>
            <w:tcW w:w="417" w:type="pct"/>
            <w:shd w:val="clear" w:color="auto" w:fill="E7E6E6" w:themeFill="background2"/>
            <w:vAlign w:val="center"/>
          </w:tcPr>
          <w:p w14:paraId="775E020A"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w:t>
            </w:r>
          </w:p>
        </w:tc>
        <w:tc>
          <w:tcPr>
            <w:tcW w:w="417" w:type="pct"/>
            <w:shd w:val="clear" w:color="auto" w:fill="E7E6E6" w:themeFill="background2"/>
            <w:vAlign w:val="center"/>
          </w:tcPr>
          <w:p w14:paraId="6C81369C"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w:t>
            </w:r>
          </w:p>
        </w:tc>
        <w:tc>
          <w:tcPr>
            <w:tcW w:w="417" w:type="pct"/>
            <w:shd w:val="clear" w:color="auto" w:fill="E7E6E6" w:themeFill="background2"/>
            <w:vAlign w:val="center"/>
          </w:tcPr>
          <w:p w14:paraId="3418FDFA"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4</w:t>
            </w:r>
          </w:p>
        </w:tc>
        <w:tc>
          <w:tcPr>
            <w:tcW w:w="417" w:type="pct"/>
            <w:shd w:val="clear" w:color="auto" w:fill="E7E6E6" w:themeFill="background2"/>
            <w:vAlign w:val="center"/>
          </w:tcPr>
          <w:p w14:paraId="3DD42AA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4</w:t>
            </w:r>
          </w:p>
        </w:tc>
        <w:tc>
          <w:tcPr>
            <w:tcW w:w="417" w:type="pct"/>
            <w:shd w:val="clear" w:color="auto" w:fill="E7E6E6" w:themeFill="background2"/>
            <w:vAlign w:val="center"/>
          </w:tcPr>
          <w:p w14:paraId="0F75F3E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4</w:t>
            </w:r>
          </w:p>
        </w:tc>
        <w:tc>
          <w:tcPr>
            <w:tcW w:w="417" w:type="pct"/>
            <w:shd w:val="clear" w:color="auto" w:fill="E7E6E6" w:themeFill="background2"/>
            <w:vAlign w:val="center"/>
          </w:tcPr>
          <w:p w14:paraId="3B1BDD6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12</w:t>
            </w:r>
          </w:p>
        </w:tc>
        <w:tc>
          <w:tcPr>
            <w:tcW w:w="417" w:type="pct"/>
            <w:shd w:val="clear" w:color="auto" w:fill="E7E6E6" w:themeFill="background2"/>
            <w:vAlign w:val="center"/>
          </w:tcPr>
          <w:p w14:paraId="370ABB59"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6</w:t>
            </w:r>
          </w:p>
        </w:tc>
        <w:tc>
          <w:tcPr>
            <w:tcW w:w="417" w:type="pct"/>
            <w:shd w:val="clear" w:color="auto" w:fill="E7E6E6" w:themeFill="background2"/>
            <w:vAlign w:val="center"/>
          </w:tcPr>
          <w:p w14:paraId="31C21ED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w:t>
            </w:r>
          </w:p>
        </w:tc>
        <w:tc>
          <w:tcPr>
            <w:tcW w:w="417" w:type="pct"/>
            <w:shd w:val="clear" w:color="auto" w:fill="E7E6E6" w:themeFill="background2"/>
            <w:vAlign w:val="center"/>
          </w:tcPr>
          <w:p w14:paraId="7F272D2C"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10</w:t>
            </w:r>
          </w:p>
        </w:tc>
      </w:tr>
      <w:tr w:rsidR="00A17495" w:rsidRPr="00A17495" w14:paraId="251CE255"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2B64F6BA" w14:textId="77777777" w:rsidR="00A17495" w:rsidRPr="00A17495" w:rsidRDefault="00A17495" w:rsidP="00A17495">
            <w:pPr>
              <w:autoSpaceDE w:val="0"/>
              <w:autoSpaceDN w:val="0"/>
              <w:adjustRightInd w:val="0"/>
              <w:rPr>
                <w:rFonts w:eastAsia="Calibri" w:cs="Arial"/>
              </w:rPr>
            </w:pPr>
            <w:r w:rsidRPr="00A17495">
              <w:rPr>
                <w:rFonts w:eastAsia="Calibri" w:cs="Arial"/>
              </w:rPr>
              <w:lastRenderedPageBreak/>
              <w:t>Bret Harte Preparatory Middle</w:t>
            </w:r>
          </w:p>
        </w:tc>
        <w:tc>
          <w:tcPr>
            <w:tcW w:w="416" w:type="pct"/>
            <w:shd w:val="clear" w:color="auto" w:fill="E7E6E6" w:themeFill="background2"/>
            <w:vAlign w:val="center"/>
          </w:tcPr>
          <w:p w14:paraId="5B59F80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12</w:t>
            </w:r>
          </w:p>
        </w:tc>
        <w:tc>
          <w:tcPr>
            <w:tcW w:w="417" w:type="pct"/>
            <w:shd w:val="clear" w:color="auto" w:fill="E7E6E6" w:themeFill="background2"/>
            <w:vAlign w:val="center"/>
          </w:tcPr>
          <w:p w14:paraId="258C7F01"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8</w:t>
            </w:r>
          </w:p>
        </w:tc>
        <w:tc>
          <w:tcPr>
            <w:tcW w:w="417" w:type="pct"/>
            <w:shd w:val="clear" w:color="auto" w:fill="E7E6E6" w:themeFill="background2"/>
            <w:vAlign w:val="center"/>
          </w:tcPr>
          <w:p w14:paraId="19F12321"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6</w:t>
            </w:r>
          </w:p>
        </w:tc>
        <w:tc>
          <w:tcPr>
            <w:tcW w:w="417" w:type="pct"/>
            <w:shd w:val="clear" w:color="auto" w:fill="E7E6E6" w:themeFill="background2"/>
            <w:vAlign w:val="center"/>
          </w:tcPr>
          <w:p w14:paraId="52DD73B1"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5</w:t>
            </w:r>
          </w:p>
        </w:tc>
        <w:tc>
          <w:tcPr>
            <w:tcW w:w="417" w:type="pct"/>
            <w:shd w:val="clear" w:color="auto" w:fill="E7E6E6" w:themeFill="background2"/>
            <w:vAlign w:val="center"/>
          </w:tcPr>
          <w:p w14:paraId="14AC2AD0"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6</w:t>
            </w:r>
          </w:p>
        </w:tc>
        <w:tc>
          <w:tcPr>
            <w:tcW w:w="417" w:type="pct"/>
            <w:shd w:val="clear" w:color="auto" w:fill="E7E6E6" w:themeFill="background2"/>
            <w:vAlign w:val="center"/>
          </w:tcPr>
          <w:p w14:paraId="2BF33B6A"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w:t>
            </w:r>
          </w:p>
        </w:tc>
        <w:tc>
          <w:tcPr>
            <w:tcW w:w="417" w:type="pct"/>
            <w:shd w:val="clear" w:color="auto" w:fill="E7E6E6" w:themeFill="background2"/>
            <w:vAlign w:val="center"/>
          </w:tcPr>
          <w:p w14:paraId="2D3B20C9"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7</w:t>
            </w:r>
          </w:p>
        </w:tc>
        <w:tc>
          <w:tcPr>
            <w:tcW w:w="417" w:type="pct"/>
            <w:shd w:val="clear" w:color="auto" w:fill="E7E6E6" w:themeFill="background2"/>
            <w:vAlign w:val="center"/>
          </w:tcPr>
          <w:p w14:paraId="5065793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4</w:t>
            </w:r>
          </w:p>
        </w:tc>
        <w:tc>
          <w:tcPr>
            <w:tcW w:w="417" w:type="pct"/>
            <w:shd w:val="clear" w:color="auto" w:fill="E7E6E6" w:themeFill="background2"/>
            <w:vAlign w:val="center"/>
          </w:tcPr>
          <w:p w14:paraId="5FE8F82B"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14</w:t>
            </w:r>
          </w:p>
        </w:tc>
        <w:tc>
          <w:tcPr>
            <w:tcW w:w="417" w:type="pct"/>
            <w:shd w:val="clear" w:color="auto" w:fill="E7E6E6" w:themeFill="background2"/>
            <w:vAlign w:val="center"/>
          </w:tcPr>
          <w:p w14:paraId="07856FC1"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5</w:t>
            </w:r>
          </w:p>
        </w:tc>
      </w:tr>
      <w:tr w:rsidR="00A17495" w:rsidRPr="00A17495" w14:paraId="30F4BDC9"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60239897" w14:textId="77777777" w:rsidR="00A17495" w:rsidRPr="00A17495" w:rsidRDefault="00A17495" w:rsidP="00A17495">
            <w:pPr>
              <w:autoSpaceDE w:val="0"/>
              <w:autoSpaceDN w:val="0"/>
              <w:adjustRightInd w:val="0"/>
              <w:rPr>
                <w:rFonts w:eastAsia="Calibri" w:cs="Arial"/>
              </w:rPr>
            </w:pPr>
            <w:r w:rsidRPr="00A17495">
              <w:rPr>
                <w:rFonts w:eastAsia="Calibri" w:cs="Arial"/>
              </w:rPr>
              <w:t>Samuel Gompers Middle</w:t>
            </w:r>
          </w:p>
        </w:tc>
        <w:tc>
          <w:tcPr>
            <w:tcW w:w="416" w:type="pct"/>
            <w:shd w:val="clear" w:color="auto" w:fill="E7E6E6" w:themeFill="background2"/>
            <w:vAlign w:val="center"/>
          </w:tcPr>
          <w:p w14:paraId="50A1BE28"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10</w:t>
            </w:r>
          </w:p>
        </w:tc>
        <w:tc>
          <w:tcPr>
            <w:tcW w:w="417" w:type="pct"/>
            <w:shd w:val="clear" w:color="auto" w:fill="E7E6E6" w:themeFill="background2"/>
            <w:vAlign w:val="center"/>
          </w:tcPr>
          <w:p w14:paraId="6808F48C"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9</w:t>
            </w:r>
          </w:p>
        </w:tc>
        <w:tc>
          <w:tcPr>
            <w:tcW w:w="417" w:type="pct"/>
            <w:shd w:val="clear" w:color="auto" w:fill="E7E6E6" w:themeFill="background2"/>
            <w:vAlign w:val="center"/>
          </w:tcPr>
          <w:p w14:paraId="3A9A8DE7"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12</w:t>
            </w:r>
          </w:p>
        </w:tc>
        <w:tc>
          <w:tcPr>
            <w:tcW w:w="417" w:type="pct"/>
            <w:shd w:val="clear" w:color="auto" w:fill="E7E6E6" w:themeFill="background2"/>
            <w:vAlign w:val="center"/>
          </w:tcPr>
          <w:p w14:paraId="5642B819"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6</w:t>
            </w:r>
          </w:p>
        </w:tc>
        <w:tc>
          <w:tcPr>
            <w:tcW w:w="417" w:type="pct"/>
            <w:shd w:val="clear" w:color="auto" w:fill="E7E6E6" w:themeFill="background2"/>
            <w:vAlign w:val="center"/>
          </w:tcPr>
          <w:p w14:paraId="589D8779"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20</w:t>
            </w:r>
          </w:p>
        </w:tc>
        <w:tc>
          <w:tcPr>
            <w:tcW w:w="417" w:type="pct"/>
            <w:shd w:val="clear" w:color="auto" w:fill="E7E6E6" w:themeFill="background2"/>
            <w:vAlign w:val="center"/>
          </w:tcPr>
          <w:p w14:paraId="2E63187B"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4</w:t>
            </w:r>
          </w:p>
        </w:tc>
        <w:tc>
          <w:tcPr>
            <w:tcW w:w="417" w:type="pct"/>
            <w:shd w:val="clear" w:color="auto" w:fill="E7E6E6" w:themeFill="background2"/>
            <w:vAlign w:val="center"/>
          </w:tcPr>
          <w:p w14:paraId="2AAEF34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21</w:t>
            </w:r>
          </w:p>
        </w:tc>
        <w:tc>
          <w:tcPr>
            <w:tcW w:w="417" w:type="pct"/>
            <w:shd w:val="clear" w:color="auto" w:fill="E7E6E6" w:themeFill="background2"/>
            <w:vAlign w:val="center"/>
          </w:tcPr>
          <w:p w14:paraId="14B71D3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7</w:t>
            </w:r>
          </w:p>
        </w:tc>
        <w:tc>
          <w:tcPr>
            <w:tcW w:w="417" w:type="pct"/>
            <w:shd w:val="clear" w:color="auto" w:fill="E7E6E6" w:themeFill="background2"/>
            <w:vAlign w:val="center"/>
          </w:tcPr>
          <w:p w14:paraId="4FE9AD70"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25</w:t>
            </w:r>
          </w:p>
        </w:tc>
        <w:tc>
          <w:tcPr>
            <w:tcW w:w="417" w:type="pct"/>
            <w:shd w:val="clear" w:color="auto" w:fill="E7E6E6" w:themeFill="background2"/>
            <w:vAlign w:val="center"/>
          </w:tcPr>
          <w:p w14:paraId="52AF7A5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6</w:t>
            </w:r>
          </w:p>
        </w:tc>
      </w:tr>
      <w:tr w:rsidR="00A17495" w:rsidRPr="00A17495" w14:paraId="58E80CAA"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832" w:type="pct"/>
            <w:vAlign w:val="center"/>
          </w:tcPr>
          <w:p w14:paraId="3821969F" w14:textId="77777777" w:rsidR="00A17495" w:rsidRPr="00A17495" w:rsidRDefault="00A17495" w:rsidP="00A17495">
            <w:pPr>
              <w:autoSpaceDE w:val="0"/>
              <w:autoSpaceDN w:val="0"/>
              <w:adjustRightInd w:val="0"/>
              <w:rPr>
                <w:rFonts w:eastAsia="Calibri" w:cs="Arial"/>
              </w:rPr>
            </w:pPr>
            <w:r w:rsidRPr="00A17495">
              <w:rPr>
                <w:rFonts w:eastAsia="Calibri" w:cs="Arial"/>
              </w:rPr>
              <w:t>Glenn Hammond Curtiss Middle</w:t>
            </w:r>
          </w:p>
        </w:tc>
        <w:tc>
          <w:tcPr>
            <w:tcW w:w="416" w:type="pct"/>
            <w:shd w:val="clear" w:color="auto" w:fill="E7E6E6" w:themeFill="background2"/>
            <w:vAlign w:val="center"/>
          </w:tcPr>
          <w:p w14:paraId="7B9C19F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29</w:t>
            </w:r>
          </w:p>
        </w:tc>
        <w:tc>
          <w:tcPr>
            <w:tcW w:w="417" w:type="pct"/>
            <w:shd w:val="clear" w:color="auto" w:fill="E7E6E6" w:themeFill="background2"/>
            <w:vAlign w:val="center"/>
          </w:tcPr>
          <w:p w14:paraId="2E9E030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16</w:t>
            </w:r>
          </w:p>
        </w:tc>
        <w:tc>
          <w:tcPr>
            <w:tcW w:w="417" w:type="pct"/>
            <w:shd w:val="clear" w:color="auto" w:fill="E7E6E6" w:themeFill="background2"/>
            <w:vAlign w:val="center"/>
          </w:tcPr>
          <w:p w14:paraId="7EE6468E"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30</w:t>
            </w:r>
          </w:p>
        </w:tc>
        <w:tc>
          <w:tcPr>
            <w:tcW w:w="417" w:type="pct"/>
            <w:shd w:val="clear" w:color="auto" w:fill="E7E6E6" w:themeFill="background2"/>
            <w:vAlign w:val="center"/>
          </w:tcPr>
          <w:p w14:paraId="632DA5D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w:t>
            </w:r>
          </w:p>
        </w:tc>
        <w:tc>
          <w:tcPr>
            <w:tcW w:w="417" w:type="pct"/>
            <w:shd w:val="clear" w:color="auto" w:fill="E7E6E6" w:themeFill="background2"/>
            <w:vAlign w:val="center"/>
          </w:tcPr>
          <w:p w14:paraId="693F93C0"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33</w:t>
            </w:r>
          </w:p>
        </w:tc>
        <w:tc>
          <w:tcPr>
            <w:tcW w:w="417" w:type="pct"/>
            <w:shd w:val="clear" w:color="auto" w:fill="E7E6E6" w:themeFill="background2"/>
            <w:vAlign w:val="center"/>
          </w:tcPr>
          <w:p w14:paraId="47140F81"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w:t>
            </w:r>
          </w:p>
        </w:tc>
        <w:tc>
          <w:tcPr>
            <w:tcW w:w="417" w:type="pct"/>
            <w:shd w:val="clear" w:color="auto" w:fill="E7E6E6" w:themeFill="background2"/>
            <w:vAlign w:val="center"/>
          </w:tcPr>
          <w:p w14:paraId="67A3B12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39</w:t>
            </w:r>
          </w:p>
        </w:tc>
        <w:tc>
          <w:tcPr>
            <w:tcW w:w="417" w:type="pct"/>
            <w:shd w:val="clear" w:color="auto" w:fill="E7E6E6" w:themeFill="background2"/>
            <w:vAlign w:val="center"/>
          </w:tcPr>
          <w:p w14:paraId="0DCF6D6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24</w:t>
            </w:r>
          </w:p>
        </w:tc>
        <w:tc>
          <w:tcPr>
            <w:tcW w:w="417" w:type="pct"/>
            <w:shd w:val="clear" w:color="auto" w:fill="E7E6E6" w:themeFill="background2"/>
            <w:vAlign w:val="center"/>
          </w:tcPr>
          <w:p w14:paraId="69A59CA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39</w:t>
            </w:r>
          </w:p>
        </w:tc>
        <w:tc>
          <w:tcPr>
            <w:tcW w:w="417" w:type="pct"/>
            <w:shd w:val="clear" w:color="auto" w:fill="E7E6E6" w:themeFill="background2"/>
            <w:vAlign w:val="center"/>
          </w:tcPr>
          <w:p w14:paraId="11788DE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23</w:t>
            </w:r>
          </w:p>
        </w:tc>
      </w:tr>
    </w:tbl>
    <w:bookmarkEnd w:id="6"/>
    <w:p w14:paraId="593AAF5F" w14:textId="7CD4AB68" w:rsidR="00A17495" w:rsidRPr="00A17495" w:rsidRDefault="00A17495" w:rsidP="00916CB0">
      <w:pPr>
        <w:pStyle w:val="Heading4"/>
      </w:pPr>
      <w:r w:rsidRPr="00A17495">
        <w:t xml:space="preserve">TFSCSI’s Review of </w:t>
      </w:r>
      <w:r w:rsidR="004B759E">
        <w:t>Academic</w:t>
      </w:r>
      <w:r w:rsidRPr="00A17495">
        <w:t xml:space="preserve"> Criteria Under </w:t>
      </w:r>
      <w:r w:rsidRPr="00A17495">
        <w:rPr>
          <w:i/>
        </w:rPr>
        <w:t>EC</w:t>
      </w:r>
      <w:r w:rsidRPr="00A17495">
        <w:t xml:space="preserve"> Section 47607</w:t>
      </w:r>
    </w:p>
    <w:p w14:paraId="3B66B2A4" w14:textId="77777777" w:rsidR="00A17495" w:rsidRPr="00A17495" w:rsidRDefault="00A17495" w:rsidP="00A17495">
      <w:pPr>
        <w:spacing w:before="240" w:after="240"/>
        <w:rPr>
          <w:rFonts w:eastAsia="Calibri"/>
        </w:rPr>
      </w:pPr>
      <w:bookmarkStart w:id="10" w:name="_Hlk35340672"/>
      <w:r w:rsidRPr="00A17495">
        <w:rPr>
          <w:rFonts w:eastAsia="Calibri"/>
        </w:rPr>
        <w:t>The petitioner did not use comparable school data and instead compared TFSCSI to IUSD. The petitioner completed CAASPP data comparison analyses of TFSCSI and IUSD for pupils schoolwide, for pupils in grade three through grade five, for pupils in grade six through grade eight, and by pupil subgroup.</w:t>
      </w:r>
    </w:p>
    <w:p w14:paraId="6DE02354" w14:textId="7BD5784E" w:rsidR="00A17495" w:rsidRPr="00A17495" w:rsidRDefault="00A17495" w:rsidP="00A17495">
      <w:pPr>
        <w:spacing w:before="240" w:after="240"/>
        <w:rPr>
          <w:rFonts w:eastAsia="Calibri"/>
          <w:bCs/>
        </w:rPr>
      </w:pPr>
      <w:r w:rsidRPr="00A17495">
        <w:rPr>
          <w:rFonts w:eastAsia="Calibri"/>
          <w:bCs/>
        </w:rPr>
        <w:t>The following tables show the percentage of pupils that met/exceeded standards on the 2017–18 CAASPP assessment for ELA and math for TFSCSI and IUSD (Attachment 3</w:t>
      </w:r>
      <w:r w:rsidR="00361D6B">
        <w:rPr>
          <w:rFonts w:eastAsia="Calibri"/>
          <w:bCs/>
        </w:rPr>
        <w:t xml:space="preserve"> </w:t>
      </w:r>
      <w:r w:rsidR="00361D6B">
        <w:rPr>
          <w:rFonts w:cstheme="majorBidi"/>
        </w:rPr>
        <w:t xml:space="preserve">of Agenda Item 08 on the ACCS June 9, 2020, Meeting Notice on the SBE ACCS web page at </w:t>
      </w:r>
      <w:hyperlink r:id="rId15" w:tooltip="June 2020 ACCS Meeting Agenda web page" w:history="1">
        <w:r w:rsidR="00916CB0" w:rsidRPr="00EC3CB5">
          <w:rPr>
            <w:rStyle w:val="Hyperlink"/>
          </w:rPr>
          <w:t>https://www.cde.ca.gov/be/cc/cs/accsnotice060920.asp</w:t>
        </w:r>
      </w:hyperlink>
      <w:r w:rsidRPr="00A17495">
        <w:rPr>
          <w:rFonts w:eastAsia="Calibri"/>
          <w:bCs/>
        </w:rPr>
        <w:t>).</w:t>
      </w:r>
    </w:p>
    <w:bookmarkEnd w:id="10"/>
    <w:p w14:paraId="4AB840FB" w14:textId="77777777" w:rsidR="00A17495" w:rsidRPr="00A17495" w:rsidRDefault="00A17495" w:rsidP="00A17495">
      <w:pPr>
        <w:autoSpaceDE w:val="0"/>
        <w:autoSpaceDN w:val="0"/>
        <w:adjustRightInd w:val="0"/>
        <w:spacing w:before="100" w:beforeAutospacing="1" w:after="100" w:afterAutospacing="1"/>
        <w:rPr>
          <w:rFonts w:eastAsia="Calibri" w:cs="Arial"/>
          <w:b/>
          <w:bCs/>
        </w:rPr>
      </w:pPr>
      <w:r w:rsidRPr="00A17495">
        <w:rPr>
          <w:rFonts w:eastAsia="Calibri" w:cs="Arial"/>
          <w:b/>
        </w:rPr>
        <w:t xml:space="preserve">CAASPP Results by Subgroup for TFSCSI </w:t>
      </w:r>
      <w:r w:rsidRPr="00A17495">
        <w:rPr>
          <w:rFonts w:eastAsia="Calibri" w:cs="Arial"/>
          <w:b/>
          <w:bCs/>
        </w:rPr>
        <w:t>(Percent Meets/Exceeds Standards)</w:t>
      </w:r>
    </w:p>
    <w:p w14:paraId="19A1B394" w14:textId="55524589" w:rsidR="00A17495" w:rsidRPr="00A17495" w:rsidRDefault="00A17495" w:rsidP="00A17495">
      <w:pPr>
        <w:autoSpaceDE w:val="0"/>
        <w:autoSpaceDN w:val="0"/>
        <w:adjustRightInd w:val="0"/>
        <w:spacing w:before="100" w:beforeAutospacing="1" w:after="100" w:afterAutospacing="1"/>
        <w:rPr>
          <w:rFonts w:eastAsia="Calibri" w:cs="Arial"/>
          <w:bCs/>
        </w:rPr>
      </w:pPr>
      <w:r w:rsidRPr="00A17495">
        <w:rPr>
          <w:rFonts w:eastAsia="Calibri" w:cs="Arial"/>
          <w:bCs/>
        </w:rPr>
        <w:t xml:space="preserve">SED: socioeconomically disadvantaged; </w:t>
      </w:r>
      <w:r w:rsidR="00916CB0">
        <w:rPr>
          <w:rFonts w:eastAsia="Calibri" w:cs="Arial"/>
          <w:bCs/>
        </w:rPr>
        <w:t xml:space="preserve">EL: English learner; </w:t>
      </w:r>
      <w:r w:rsidRPr="00A17495">
        <w:rPr>
          <w:rFonts w:eastAsia="Calibri" w:cs="Arial"/>
          <w:bCs/>
        </w:rPr>
        <w:t>SPED: special education.</w:t>
      </w:r>
    </w:p>
    <w:tbl>
      <w:tblPr>
        <w:tblStyle w:val="GridTable1Light1211412"/>
        <w:tblW w:w="5000" w:type="pct"/>
        <w:tblLook w:val="04A0" w:firstRow="1" w:lastRow="0" w:firstColumn="1" w:lastColumn="0" w:noHBand="0" w:noVBand="1"/>
        <w:tblDescription w:val="CAASPP Results by Subgroup for TFSCSI (Percent Meets/Exceeds Standards)"/>
      </w:tblPr>
      <w:tblGrid>
        <w:gridCol w:w="1336"/>
        <w:gridCol w:w="1336"/>
        <w:gridCol w:w="1336"/>
        <w:gridCol w:w="1336"/>
        <w:gridCol w:w="1336"/>
        <w:gridCol w:w="1335"/>
        <w:gridCol w:w="1335"/>
      </w:tblGrid>
      <w:tr w:rsidR="00A17495" w:rsidRPr="00A17495" w14:paraId="41F6E767" w14:textId="77777777" w:rsidTr="00A1749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14" w:type="pct"/>
            <w:shd w:val="clear" w:color="auto" w:fill="D9D9D9" w:themeFill="background1" w:themeFillShade="D9"/>
            <w:vAlign w:val="center"/>
          </w:tcPr>
          <w:p w14:paraId="6B72F8CC" w14:textId="77777777" w:rsidR="00A17495" w:rsidRPr="00A17495" w:rsidRDefault="00A17495" w:rsidP="00A17495">
            <w:pPr>
              <w:rPr>
                <w:rFonts w:eastAsia="Calibri" w:cs="Arial"/>
              </w:rPr>
            </w:pPr>
            <w:r w:rsidRPr="00A17495">
              <w:rPr>
                <w:rFonts w:eastAsia="Calibri" w:cs="Arial"/>
              </w:rPr>
              <w:t>2017–18</w:t>
            </w:r>
          </w:p>
        </w:tc>
        <w:tc>
          <w:tcPr>
            <w:tcW w:w="714" w:type="pct"/>
            <w:shd w:val="clear" w:color="auto" w:fill="D9D9D9" w:themeFill="background1" w:themeFillShade="D9"/>
            <w:vAlign w:val="center"/>
          </w:tcPr>
          <w:p w14:paraId="34BFA79E"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All</w:t>
            </w:r>
          </w:p>
        </w:tc>
        <w:tc>
          <w:tcPr>
            <w:tcW w:w="714" w:type="pct"/>
            <w:shd w:val="clear" w:color="auto" w:fill="D9D9D9" w:themeFill="background1" w:themeFillShade="D9"/>
            <w:vAlign w:val="center"/>
          </w:tcPr>
          <w:p w14:paraId="378E1577"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African-American</w:t>
            </w:r>
          </w:p>
        </w:tc>
        <w:tc>
          <w:tcPr>
            <w:tcW w:w="714" w:type="pct"/>
            <w:shd w:val="clear" w:color="auto" w:fill="D9D9D9" w:themeFill="background1" w:themeFillShade="D9"/>
            <w:vAlign w:val="center"/>
          </w:tcPr>
          <w:p w14:paraId="60DA517E"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Hispanic/ Latino</w:t>
            </w:r>
          </w:p>
        </w:tc>
        <w:tc>
          <w:tcPr>
            <w:tcW w:w="714" w:type="pct"/>
            <w:shd w:val="clear" w:color="auto" w:fill="D9D9D9" w:themeFill="background1" w:themeFillShade="D9"/>
            <w:vAlign w:val="center"/>
          </w:tcPr>
          <w:p w14:paraId="327531C1"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SED</w:t>
            </w:r>
          </w:p>
        </w:tc>
        <w:tc>
          <w:tcPr>
            <w:tcW w:w="714" w:type="pct"/>
            <w:shd w:val="clear" w:color="auto" w:fill="D9D9D9" w:themeFill="background1" w:themeFillShade="D9"/>
            <w:vAlign w:val="center"/>
          </w:tcPr>
          <w:p w14:paraId="550290EE"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EL</w:t>
            </w:r>
          </w:p>
        </w:tc>
        <w:tc>
          <w:tcPr>
            <w:tcW w:w="714" w:type="pct"/>
            <w:shd w:val="clear" w:color="auto" w:fill="D9D9D9" w:themeFill="background1" w:themeFillShade="D9"/>
            <w:vAlign w:val="center"/>
          </w:tcPr>
          <w:p w14:paraId="5E7ECFCD"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SPED</w:t>
            </w:r>
          </w:p>
        </w:tc>
      </w:tr>
      <w:tr w:rsidR="00A17495" w:rsidRPr="00A17495" w14:paraId="36A4C9C0"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714" w:type="pct"/>
            <w:vAlign w:val="center"/>
          </w:tcPr>
          <w:p w14:paraId="381844E4" w14:textId="77777777" w:rsidR="00A17495" w:rsidRPr="00A17495" w:rsidRDefault="00A17495" w:rsidP="00A17495">
            <w:pPr>
              <w:rPr>
                <w:rFonts w:eastAsia="Calibri" w:cs="Arial"/>
              </w:rPr>
            </w:pPr>
            <w:r w:rsidRPr="00A17495">
              <w:rPr>
                <w:rFonts w:eastAsia="Calibri" w:cs="Arial"/>
              </w:rPr>
              <w:t>ELA</w:t>
            </w:r>
          </w:p>
        </w:tc>
        <w:tc>
          <w:tcPr>
            <w:tcW w:w="714" w:type="pct"/>
            <w:shd w:val="clear" w:color="auto" w:fill="E7E6E6" w:themeFill="background2"/>
            <w:vAlign w:val="center"/>
          </w:tcPr>
          <w:p w14:paraId="1617BCF1"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45.86</w:t>
            </w:r>
          </w:p>
        </w:tc>
        <w:tc>
          <w:tcPr>
            <w:tcW w:w="714" w:type="pct"/>
            <w:shd w:val="clear" w:color="auto" w:fill="E7E6E6" w:themeFill="background2"/>
            <w:vAlign w:val="center"/>
          </w:tcPr>
          <w:p w14:paraId="27B8226C"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37.41</w:t>
            </w:r>
          </w:p>
        </w:tc>
        <w:tc>
          <w:tcPr>
            <w:tcW w:w="714" w:type="pct"/>
            <w:shd w:val="clear" w:color="auto" w:fill="E7E6E6" w:themeFill="background2"/>
            <w:vAlign w:val="center"/>
          </w:tcPr>
          <w:p w14:paraId="5E0D5DE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53.43</w:t>
            </w:r>
          </w:p>
        </w:tc>
        <w:tc>
          <w:tcPr>
            <w:tcW w:w="714" w:type="pct"/>
            <w:shd w:val="clear" w:color="auto" w:fill="E7E6E6" w:themeFill="background2"/>
            <w:vAlign w:val="center"/>
          </w:tcPr>
          <w:p w14:paraId="41D84A7F"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45.55</w:t>
            </w:r>
          </w:p>
        </w:tc>
        <w:tc>
          <w:tcPr>
            <w:tcW w:w="714" w:type="pct"/>
            <w:shd w:val="clear" w:color="auto" w:fill="E7E6E6" w:themeFill="background2"/>
            <w:vAlign w:val="center"/>
          </w:tcPr>
          <w:p w14:paraId="21AED35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35.21</w:t>
            </w:r>
          </w:p>
        </w:tc>
        <w:tc>
          <w:tcPr>
            <w:tcW w:w="714" w:type="pct"/>
            <w:shd w:val="clear" w:color="auto" w:fill="E7E6E6" w:themeFill="background2"/>
            <w:vAlign w:val="center"/>
          </w:tcPr>
          <w:p w14:paraId="4AEE64FB"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14.29</w:t>
            </w:r>
          </w:p>
        </w:tc>
      </w:tr>
      <w:tr w:rsidR="00A17495" w:rsidRPr="00A17495" w14:paraId="07E640B7"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714" w:type="pct"/>
            <w:vAlign w:val="center"/>
          </w:tcPr>
          <w:p w14:paraId="6ADC990C" w14:textId="77777777" w:rsidR="00A17495" w:rsidRPr="00A17495" w:rsidRDefault="00A17495" w:rsidP="00A17495">
            <w:pPr>
              <w:autoSpaceDE w:val="0"/>
              <w:autoSpaceDN w:val="0"/>
              <w:adjustRightInd w:val="0"/>
              <w:rPr>
                <w:rFonts w:eastAsia="Calibri" w:cs="Arial"/>
              </w:rPr>
            </w:pPr>
            <w:r w:rsidRPr="00A17495">
              <w:rPr>
                <w:rFonts w:eastAsia="Calibri" w:cs="Arial"/>
              </w:rPr>
              <w:t>Math</w:t>
            </w:r>
          </w:p>
        </w:tc>
        <w:tc>
          <w:tcPr>
            <w:tcW w:w="714" w:type="pct"/>
            <w:shd w:val="clear" w:color="auto" w:fill="E7E6E6" w:themeFill="background2"/>
            <w:vAlign w:val="center"/>
          </w:tcPr>
          <w:p w14:paraId="2BE85A72"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31.83</w:t>
            </w:r>
          </w:p>
        </w:tc>
        <w:tc>
          <w:tcPr>
            <w:tcW w:w="714" w:type="pct"/>
            <w:shd w:val="clear" w:color="auto" w:fill="E7E6E6" w:themeFill="background2"/>
            <w:vAlign w:val="center"/>
          </w:tcPr>
          <w:p w14:paraId="0BE28F46"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23.92</w:t>
            </w:r>
          </w:p>
        </w:tc>
        <w:tc>
          <w:tcPr>
            <w:tcW w:w="714" w:type="pct"/>
            <w:shd w:val="clear" w:color="auto" w:fill="E7E6E6" w:themeFill="background2"/>
            <w:vAlign w:val="center"/>
          </w:tcPr>
          <w:p w14:paraId="0D9F2B5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40.41</w:t>
            </w:r>
          </w:p>
        </w:tc>
        <w:tc>
          <w:tcPr>
            <w:tcW w:w="714" w:type="pct"/>
            <w:shd w:val="clear" w:color="auto" w:fill="E7E6E6" w:themeFill="background2"/>
            <w:vAlign w:val="center"/>
          </w:tcPr>
          <w:p w14:paraId="2E4DE027"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31.97</w:t>
            </w:r>
          </w:p>
        </w:tc>
        <w:tc>
          <w:tcPr>
            <w:tcW w:w="714" w:type="pct"/>
            <w:shd w:val="clear" w:color="auto" w:fill="E7E6E6" w:themeFill="background2"/>
            <w:vAlign w:val="center"/>
          </w:tcPr>
          <w:p w14:paraId="7C9CF93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29.57</w:t>
            </w:r>
          </w:p>
        </w:tc>
        <w:tc>
          <w:tcPr>
            <w:tcW w:w="714" w:type="pct"/>
            <w:shd w:val="clear" w:color="auto" w:fill="E7E6E6" w:themeFill="background2"/>
            <w:vAlign w:val="center"/>
          </w:tcPr>
          <w:p w14:paraId="2D113335"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11.43</w:t>
            </w:r>
          </w:p>
        </w:tc>
      </w:tr>
    </w:tbl>
    <w:p w14:paraId="274D5265" w14:textId="77777777" w:rsidR="00A17495" w:rsidRPr="00A17495" w:rsidRDefault="00A17495" w:rsidP="00A17495">
      <w:pPr>
        <w:autoSpaceDE w:val="0"/>
        <w:autoSpaceDN w:val="0"/>
        <w:adjustRightInd w:val="0"/>
        <w:spacing w:before="100" w:beforeAutospacing="1" w:after="100" w:afterAutospacing="1"/>
        <w:rPr>
          <w:rFonts w:eastAsia="Calibri" w:cs="Arial"/>
          <w:b/>
          <w:bCs/>
        </w:rPr>
      </w:pPr>
      <w:r w:rsidRPr="00A17495">
        <w:rPr>
          <w:rFonts w:eastAsia="Calibri" w:cs="Arial"/>
          <w:b/>
        </w:rPr>
        <w:t xml:space="preserve">CAASPP Results by Subgroup for IUSD </w:t>
      </w:r>
      <w:r w:rsidRPr="00A17495">
        <w:rPr>
          <w:rFonts w:eastAsia="Calibri" w:cs="Arial"/>
          <w:b/>
          <w:bCs/>
        </w:rPr>
        <w:t>(Percent Meets/Exceeds Standards)</w:t>
      </w:r>
    </w:p>
    <w:tbl>
      <w:tblPr>
        <w:tblStyle w:val="GridTable1Light1211412"/>
        <w:tblW w:w="5000" w:type="pct"/>
        <w:tblLook w:val="04A0" w:firstRow="1" w:lastRow="0" w:firstColumn="1" w:lastColumn="0" w:noHBand="0" w:noVBand="1"/>
        <w:tblDescription w:val="CAASPP Results by Subgroup for IUSD (Percent Meets/Exceeds Standards)"/>
      </w:tblPr>
      <w:tblGrid>
        <w:gridCol w:w="1336"/>
        <w:gridCol w:w="1336"/>
        <w:gridCol w:w="1336"/>
        <w:gridCol w:w="1336"/>
        <w:gridCol w:w="1336"/>
        <w:gridCol w:w="1335"/>
        <w:gridCol w:w="1335"/>
      </w:tblGrid>
      <w:tr w:rsidR="00A17495" w:rsidRPr="00A17495" w14:paraId="3C295C2D" w14:textId="77777777" w:rsidTr="00A1749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14" w:type="pct"/>
            <w:shd w:val="clear" w:color="auto" w:fill="D9D9D9" w:themeFill="background1" w:themeFillShade="D9"/>
            <w:vAlign w:val="center"/>
          </w:tcPr>
          <w:p w14:paraId="5C5EC315" w14:textId="77777777" w:rsidR="00A17495" w:rsidRPr="00A17495" w:rsidRDefault="00A17495" w:rsidP="00A17495">
            <w:pPr>
              <w:rPr>
                <w:rFonts w:eastAsia="Calibri" w:cs="Arial"/>
              </w:rPr>
            </w:pPr>
            <w:r w:rsidRPr="00A17495">
              <w:rPr>
                <w:rFonts w:eastAsia="Calibri" w:cs="Arial"/>
              </w:rPr>
              <w:t>2017–18</w:t>
            </w:r>
          </w:p>
        </w:tc>
        <w:tc>
          <w:tcPr>
            <w:tcW w:w="714" w:type="pct"/>
            <w:shd w:val="clear" w:color="auto" w:fill="D9D9D9" w:themeFill="background1" w:themeFillShade="D9"/>
            <w:vAlign w:val="center"/>
          </w:tcPr>
          <w:p w14:paraId="3A6EE707"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All</w:t>
            </w:r>
          </w:p>
        </w:tc>
        <w:tc>
          <w:tcPr>
            <w:tcW w:w="714" w:type="pct"/>
            <w:shd w:val="clear" w:color="auto" w:fill="D9D9D9" w:themeFill="background1" w:themeFillShade="D9"/>
            <w:vAlign w:val="center"/>
          </w:tcPr>
          <w:p w14:paraId="4BA1CEAF"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African-American</w:t>
            </w:r>
          </w:p>
        </w:tc>
        <w:tc>
          <w:tcPr>
            <w:tcW w:w="714" w:type="pct"/>
            <w:shd w:val="clear" w:color="auto" w:fill="D9D9D9" w:themeFill="background1" w:themeFillShade="D9"/>
            <w:vAlign w:val="center"/>
          </w:tcPr>
          <w:p w14:paraId="1982F2EF"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Hispanic/ Latino</w:t>
            </w:r>
          </w:p>
        </w:tc>
        <w:tc>
          <w:tcPr>
            <w:tcW w:w="714" w:type="pct"/>
            <w:shd w:val="clear" w:color="auto" w:fill="D9D9D9" w:themeFill="background1" w:themeFillShade="D9"/>
            <w:vAlign w:val="center"/>
          </w:tcPr>
          <w:p w14:paraId="4FAE68C1"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SED</w:t>
            </w:r>
          </w:p>
        </w:tc>
        <w:tc>
          <w:tcPr>
            <w:tcW w:w="714" w:type="pct"/>
            <w:shd w:val="clear" w:color="auto" w:fill="D9D9D9" w:themeFill="background1" w:themeFillShade="D9"/>
            <w:vAlign w:val="center"/>
          </w:tcPr>
          <w:p w14:paraId="70F59B36"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EL</w:t>
            </w:r>
          </w:p>
        </w:tc>
        <w:tc>
          <w:tcPr>
            <w:tcW w:w="714" w:type="pct"/>
            <w:shd w:val="clear" w:color="auto" w:fill="D9D9D9" w:themeFill="background1" w:themeFillShade="D9"/>
            <w:vAlign w:val="center"/>
          </w:tcPr>
          <w:p w14:paraId="1950646D"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SPED</w:t>
            </w:r>
          </w:p>
        </w:tc>
      </w:tr>
      <w:tr w:rsidR="00A17495" w:rsidRPr="00A17495" w14:paraId="2ED68FCD"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714" w:type="pct"/>
            <w:vAlign w:val="center"/>
          </w:tcPr>
          <w:p w14:paraId="19C1F521" w14:textId="77777777" w:rsidR="00A17495" w:rsidRPr="00A17495" w:rsidRDefault="00A17495" w:rsidP="00A17495">
            <w:pPr>
              <w:rPr>
                <w:rFonts w:eastAsia="Calibri" w:cs="Arial"/>
              </w:rPr>
            </w:pPr>
            <w:r w:rsidRPr="00A17495">
              <w:rPr>
                <w:rFonts w:eastAsia="Calibri" w:cs="Arial"/>
              </w:rPr>
              <w:t>ELA</w:t>
            </w:r>
          </w:p>
        </w:tc>
        <w:tc>
          <w:tcPr>
            <w:tcW w:w="714" w:type="pct"/>
            <w:shd w:val="clear" w:color="auto" w:fill="E7E6E6" w:themeFill="background2"/>
            <w:vAlign w:val="center"/>
          </w:tcPr>
          <w:p w14:paraId="40E5B11B"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30.01</w:t>
            </w:r>
          </w:p>
        </w:tc>
        <w:tc>
          <w:tcPr>
            <w:tcW w:w="714" w:type="pct"/>
            <w:shd w:val="clear" w:color="auto" w:fill="E7E6E6" w:themeFill="background2"/>
            <w:vAlign w:val="center"/>
          </w:tcPr>
          <w:p w14:paraId="46C8228A"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28.55</w:t>
            </w:r>
          </w:p>
        </w:tc>
        <w:tc>
          <w:tcPr>
            <w:tcW w:w="714" w:type="pct"/>
            <w:shd w:val="clear" w:color="auto" w:fill="E7E6E6" w:themeFill="background2"/>
            <w:vAlign w:val="center"/>
          </w:tcPr>
          <w:p w14:paraId="06E1D7C9"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30.60</w:t>
            </w:r>
          </w:p>
        </w:tc>
        <w:tc>
          <w:tcPr>
            <w:tcW w:w="714" w:type="pct"/>
            <w:shd w:val="clear" w:color="auto" w:fill="E7E6E6" w:themeFill="background2"/>
            <w:vAlign w:val="center"/>
          </w:tcPr>
          <w:p w14:paraId="211FF0B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29.41</w:t>
            </w:r>
          </w:p>
        </w:tc>
        <w:tc>
          <w:tcPr>
            <w:tcW w:w="714" w:type="pct"/>
            <w:shd w:val="clear" w:color="auto" w:fill="E7E6E6" w:themeFill="background2"/>
            <w:vAlign w:val="center"/>
          </w:tcPr>
          <w:p w14:paraId="61628D3F"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14.84</w:t>
            </w:r>
          </w:p>
        </w:tc>
        <w:tc>
          <w:tcPr>
            <w:tcW w:w="714" w:type="pct"/>
            <w:shd w:val="clear" w:color="auto" w:fill="E7E6E6" w:themeFill="background2"/>
            <w:vAlign w:val="center"/>
          </w:tcPr>
          <w:p w14:paraId="1CD191E4"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7.83</w:t>
            </w:r>
          </w:p>
        </w:tc>
      </w:tr>
      <w:tr w:rsidR="00A17495" w:rsidRPr="00A17495" w14:paraId="46CC4F54"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714" w:type="pct"/>
            <w:vAlign w:val="center"/>
          </w:tcPr>
          <w:p w14:paraId="7857793F" w14:textId="77777777" w:rsidR="00A17495" w:rsidRPr="00A17495" w:rsidRDefault="00A17495" w:rsidP="00A17495">
            <w:pPr>
              <w:autoSpaceDE w:val="0"/>
              <w:autoSpaceDN w:val="0"/>
              <w:adjustRightInd w:val="0"/>
              <w:rPr>
                <w:rFonts w:eastAsia="Calibri" w:cs="Arial"/>
              </w:rPr>
            </w:pPr>
            <w:r w:rsidRPr="00A17495">
              <w:rPr>
                <w:rFonts w:eastAsia="Calibri" w:cs="Arial"/>
              </w:rPr>
              <w:t>Math</w:t>
            </w:r>
          </w:p>
        </w:tc>
        <w:tc>
          <w:tcPr>
            <w:tcW w:w="714" w:type="pct"/>
            <w:shd w:val="clear" w:color="auto" w:fill="E7E6E6" w:themeFill="background2"/>
            <w:vAlign w:val="center"/>
          </w:tcPr>
          <w:p w14:paraId="4ED3548E"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18.90</w:t>
            </w:r>
          </w:p>
        </w:tc>
        <w:tc>
          <w:tcPr>
            <w:tcW w:w="714" w:type="pct"/>
            <w:shd w:val="clear" w:color="auto" w:fill="E7E6E6" w:themeFill="background2"/>
            <w:vAlign w:val="center"/>
          </w:tcPr>
          <w:p w14:paraId="1C5FB05E"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15.87</w:t>
            </w:r>
          </w:p>
        </w:tc>
        <w:tc>
          <w:tcPr>
            <w:tcW w:w="714" w:type="pct"/>
            <w:shd w:val="clear" w:color="auto" w:fill="E7E6E6" w:themeFill="background2"/>
            <w:vAlign w:val="center"/>
          </w:tcPr>
          <w:p w14:paraId="1DFDC56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20.35</w:t>
            </w:r>
          </w:p>
        </w:tc>
        <w:tc>
          <w:tcPr>
            <w:tcW w:w="714" w:type="pct"/>
            <w:shd w:val="clear" w:color="auto" w:fill="E7E6E6" w:themeFill="background2"/>
            <w:vAlign w:val="center"/>
          </w:tcPr>
          <w:p w14:paraId="2B8A4C7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18.77</w:t>
            </w:r>
          </w:p>
        </w:tc>
        <w:tc>
          <w:tcPr>
            <w:tcW w:w="714" w:type="pct"/>
            <w:shd w:val="clear" w:color="auto" w:fill="E7E6E6" w:themeFill="background2"/>
            <w:vAlign w:val="center"/>
          </w:tcPr>
          <w:p w14:paraId="73A55C55"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11.19</w:t>
            </w:r>
          </w:p>
        </w:tc>
        <w:tc>
          <w:tcPr>
            <w:tcW w:w="714" w:type="pct"/>
            <w:shd w:val="clear" w:color="auto" w:fill="E7E6E6" w:themeFill="background2"/>
            <w:vAlign w:val="center"/>
          </w:tcPr>
          <w:p w14:paraId="29D40B90"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6.39</w:t>
            </w:r>
          </w:p>
        </w:tc>
      </w:tr>
    </w:tbl>
    <w:p w14:paraId="270C3650" w14:textId="77777777" w:rsidR="00A17495" w:rsidRPr="00A17495" w:rsidRDefault="00A17495" w:rsidP="00A17495">
      <w:pPr>
        <w:spacing w:before="240" w:after="240"/>
        <w:rPr>
          <w:rFonts w:eastAsia="Calibri"/>
          <w:bCs/>
        </w:rPr>
      </w:pPr>
      <w:r w:rsidRPr="00A17495">
        <w:rPr>
          <w:rFonts w:eastAsia="Calibri"/>
          <w:bCs/>
        </w:rPr>
        <w:t>The CDE notes that 2018–19 CAASPP data were not available at the time the petitioner submitted the renewal petition</w:t>
      </w:r>
      <w:bookmarkEnd w:id="9"/>
      <w:r w:rsidRPr="00A17495">
        <w:rPr>
          <w:rFonts w:eastAsia="Calibri"/>
          <w:bCs/>
        </w:rPr>
        <w:t xml:space="preserve"> for TFSCSI.</w:t>
      </w:r>
    </w:p>
    <w:p w14:paraId="1A8C6B03" w14:textId="53B9F15A" w:rsidR="00A17495" w:rsidRPr="00A17495" w:rsidRDefault="00A17495" w:rsidP="00916CB0">
      <w:pPr>
        <w:pStyle w:val="Heading4"/>
        <w:rPr>
          <w:bCs/>
        </w:rPr>
      </w:pPr>
      <w:r w:rsidRPr="00A17495">
        <w:lastRenderedPageBreak/>
        <w:t xml:space="preserve">IUSD’s Review of </w:t>
      </w:r>
      <w:r w:rsidR="004B759E">
        <w:t xml:space="preserve">Academic </w:t>
      </w:r>
      <w:r w:rsidRPr="00A17495">
        <w:t xml:space="preserve">Criteria Under </w:t>
      </w:r>
      <w:r w:rsidRPr="00A17495">
        <w:rPr>
          <w:i/>
        </w:rPr>
        <w:t>EC</w:t>
      </w:r>
      <w:r w:rsidRPr="00A17495">
        <w:t xml:space="preserve"> Section 47607</w:t>
      </w:r>
    </w:p>
    <w:p w14:paraId="17F224AA" w14:textId="18FEF963" w:rsidR="00A17495" w:rsidRPr="00A17495" w:rsidRDefault="00A17495" w:rsidP="00A17495">
      <w:pPr>
        <w:spacing w:before="240" w:after="240"/>
        <w:rPr>
          <w:rFonts w:eastAsia="Calibri"/>
        </w:rPr>
      </w:pPr>
      <w:bookmarkStart w:id="11" w:name="_Hlk31967399"/>
      <w:r w:rsidRPr="00A17495">
        <w:rPr>
          <w:rFonts w:eastAsia="Calibri"/>
        </w:rPr>
        <w:t xml:space="preserve">The IUSD findings state that increases in pupil academic achievement for all groups of pupils served by TFSCSI were considered as the most important factor and that based on the analysis, IUSD found that TFSCSI did not meet the statutory eligibility criteria to receive a charter renewal. The IUSD findings did not include an analysis of comparable schools; however, the findings state that IUSD made several attempts to obtain the </w:t>
      </w:r>
      <w:r w:rsidRPr="007D397E">
        <w:rPr>
          <w:rFonts w:eastAsia="Calibri"/>
        </w:rPr>
        <w:t xml:space="preserve">2018–19 academic performance data for TFSCSI through multiple requests for information. </w:t>
      </w:r>
      <w:r w:rsidR="00214869" w:rsidRPr="007D397E">
        <w:rPr>
          <w:rFonts w:eastAsia="Calibri"/>
        </w:rPr>
        <w:t>The</w:t>
      </w:r>
      <w:r w:rsidRPr="007D397E">
        <w:rPr>
          <w:rFonts w:eastAsia="Calibri"/>
        </w:rPr>
        <w:t xml:space="preserve"> IUSD findings conclude that TFSCSI failed to demonstrate increases in academic performance as required for renewal (Attachment 6</w:t>
      </w:r>
      <w:r w:rsidR="00361D6B" w:rsidRPr="007D397E">
        <w:rPr>
          <w:rFonts w:eastAsia="Calibri"/>
        </w:rPr>
        <w:t xml:space="preserve"> </w:t>
      </w:r>
      <w:r w:rsidR="00361D6B" w:rsidRPr="007D397E">
        <w:rPr>
          <w:rFonts w:cstheme="majorBidi"/>
        </w:rPr>
        <w:t xml:space="preserve">of Agenda Item 08 on the ACCS June 9, 2020, Meeting Notice on the SBE ACCS web page at </w:t>
      </w:r>
      <w:hyperlink r:id="rId16" w:tooltip="June 2020 ACCS Meeting Agenda web page" w:history="1">
        <w:r w:rsidR="00916CB0" w:rsidRPr="007D397E">
          <w:rPr>
            <w:rStyle w:val="Hyperlink"/>
          </w:rPr>
          <w:t>https://www.cde.ca.gov/be/cc/cs/accsnotice060920.asp</w:t>
        </w:r>
      </w:hyperlink>
      <w:r w:rsidR="00916CB0" w:rsidRPr="007D397E">
        <w:rPr>
          <w:rStyle w:val="Hyperlink"/>
          <w:color w:val="auto"/>
          <w:u w:val="none"/>
        </w:rPr>
        <w:t>).</w:t>
      </w:r>
    </w:p>
    <w:bookmarkEnd w:id="11"/>
    <w:p w14:paraId="3F7547AE" w14:textId="2DCEFC95" w:rsidR="00A17495" w:rsidRPr="00A17495" w:rsidRDefault="00A17495" w:rsidP="00916CB0">
      <w:pPr>
        <w:pStyle w:val="Heading4"/>
      </w:pPr>
      <w:r w:rsidRPr="00A17495">
        <w:t xml:space="preserve">LACOE’s Review of </w:t>
      </w:r>
      <w:r w:rsidR="004B759E">
        <w:t>Academic</w:t>
      </w:r>
      <w:r w:rsidRPr="00A17495">
        <w:t xml:space="preserve"> Criteria Under </w:t>
      </w:r>
      <w:r w:rsidRPr="00A17495">
        <w:rPr>
          <w:i/>
        </w:rPr>
        <w:t>EC</w:t>
      </w:r>
      <w:r w:rsidRPr="00A17495">
        <w:t xml:space="preserve"> Section 47607</w:t>
      </w:r>
    </w:p>
    <w:p w14:paraId="114BA15A" w14:textId="300DA021" w:rsidR="00A17495" w:rsidRPr="00A17495" w:rsidRDefault="00A17495" w:rsidP="00A17495">
      <w:pPr>
        <w:spacing w:before="240" w:after="240"/>
        <w:rPr>
          <w:rFonts w:eastAsia="Calibri"/>
        </w:rPr>
      </w:pPr>
      <w:bookmarkStart w:id="12" w:name="_Hlk35340837"/>
      <w:r w:rsidRPr="00A17495">
        <w:rPr>
          <w:rFonts w:eastAsia="Calibri"/>
        </w:rPr>
        <w:t xml:space="preserve">LACOE reviewed the 2014–15 through 2018–19 CAASPP data for TFSCSI and IUSD for pupils schoolwide, by pupil subgroups, by grade, and by cohort for grade three through grade five and grade six through grade eight. While LACOE stated that the data reflect that TFSCSI has demonstrated some schoolwide increases in pupil academic achievement for all pupils schoolwide and for some numerically significant pupil subgroups, LACOE also stated that the data demonstrate mixed results, as both ELA and math scores trended downward between 2015 and 2017, increased in 2018, and decreased in 2019. Additionally, subgroup data demonstrate mixed results with academic performance by some numerically significant pupil subgroups showing increases and other numerically significant pupil subgroups showing decreases.  Decreases in ELA and math CAASPP scores are also shown from 2017–18 to 2018–19. Ultimately, LACOE concluded that TFSCSI has not met at least one of the minimum academic performance criteria pursuant to </w:t>
      </w:r>
      <w:r w:rsidRPr="00A17495">
        <w:rPr>
          <w:rFonts w:eastAsia="Calibri"/>
          <w:i/>
        </w:rPr>
        <w:t>EC</w:t>
      </w:r>
      <w:r w:rsidRPr="00A17495">
        <w:rPr>
          <w:rFonts w:eastAsia="Calibri"/>
        </w:rPr>
        <w:t xml:space="preserve"> Section 47607(b) (Attachment 7</w:t>
      </w:r>
      <w:r w:rsidR="00361D6B">
        <w:rPr>
          <w:rFonts w:eastAsia="Calibri"/>
        </w:rPr>
        <w:t xml:space="preserve"> </w:t>
      </w:r>
      <w:r w:rsidR="00361D6B">
        <w:rPr>
          <w:rFonts w:cstheme="majorBidi"/>
        </w:rPr>
        <w:t xml:space="preserve">of Agenda Item 08 on the ACCS June 9, 2020, Meeting Notice on the SBE ACCS web page at </w:t>
      </w:r>
      <w:hyperlink r:id="rId17" w:tooltip="June 2020 ACCS Meeting Agenda web page" w:history="1">
        <w:r w:rsidR="00916CB0" w:rsidRPr="00EC3CB5">
          <w:rPr>
            <w:rStyle w:val="Hyperlink"/>
          </w:rPr>
          <w:t>https://www.cde.ca.gov/be/cc/cs/accsnotice060920.asp</w:t>
        </w:r>
      </w:hyperlink>
      <w:r w:rsidRPr="00A17495">
        <w:rPr>
          <w:rFonts w:eastAsia="Calibri"/>
        </w:rPr>
        <w:t>).</w:t>
      </w:r>
    </w:p>
    <w:p w14:paraId="1D79A395" w14:textId="65C7F928" w:rsidR="00A17495" w:rsidRPr="00A17495" w:rsidRDefault="00A17495" w:rsidP="00A17495">
      <w:pPr>
        <w:spacing w:before="240" w:after="240"/>
        <w:rPr>
          <w:rFonts w:eastAsia="Calibri"/>
        </w:rPr>
      </w:pPr>
      <w:r w:rsidRPr="00A17495">
        <w:rPr>
          <w:rFonts w:eastAsia="Calibri"/>
        </w:rPr>
        <w:t xml:space="preserve">The following table shows the percentage </w:t>
      </w:r>
      <w:r w:rsidR="00916CB0">
        <w:rPr>
          <w:rFonts w:eastAsia="Calibri"/>
        </w:rPr>
        <w:t xml:space="preserve">of </w:t>
      </w:r>
      <w:r w:rsidRPr="00A17495">
        <w:rPr>
          <w:rFonts w:eastAsia="Calibri"/>
        </w:rPr>
        <w:t>all pupils schoolwide and by pupil subgroup that met/exceeded standards on the 2014–15 through 2018–19 CAASPP assessments for ELA and math for TFSCSI.</w:t>
      </w:r>
      <w:bookmarkEnd w:id="12"/>
    </w:p>
    <w:p w14:paraId="3BD60E6B" w14:textId="71107FF7" w:rsidR="00A17495" w:rsidRPr="00361D6B" w:rsidRDefault="00A17495" w:rsidP="00361D6B">
      <w:pPr>
        <w:spacing w:after="160" w:line="259" w:lineRule="auto"/>
        <w:rPr>
          <w:rFonts w:eastAsia="Calibri"/>
        </w:rPr>
      </w:pPr>
      <w:r w:rsidRPr="00A17495">
        <w:rPr>
          <w:rFonts w:eastAsia="Calibri" w:cs="Arial"/>
          <w:b/>
        </w:rPr>
        <w:t xml:space="preserve">CAASPP Results by Pupil Subgroups for TFSCSI </w:t>
      </w:r>
      <w:r w:rsidRPr="00A17495">
        <w:rPr>
          <w:rFonts w:eastAsia="Calibri" w:cs="Arial"/>
          <w:b/>
          <w:bCs/>
        </w:rPr>
        <w:t>(Percent Meets/Exceeds Standards)</w:t>
      </w:r>
    </w:p>
    <w:tbl>
      <w:tblPr>
        <w:tblStyle w:val="GridTable1Light1211412"/>
        <w:tblW w:w="5005" w:type="pct"/>
        <w:tblInd w:w="-5" w:type="dxa"/>
        <w:tblLayout w:type="fixed"/>
        <w:tblLook w:val="04A0" w:firstRow="1" w:lastRow="0" w:firstColumn="1" w:lastColumn="0" w:noHBand="0" w:noVBand="1"/>
        <w:tblDescription w:val="CAASPP Results by Pupil Subgroups for TFSCSI (Percent Meets/Exceeds Standards)"/>
      </w:tblPr>
      <w:tblGrid>
        <w:gridCol w:w="1352"/>
        <w:gridCol w:w="800"/>
        <w:gridCol w:w="801"/>
        <w:gridCol w:w="801"/>
        <w:gridCol w:w="801"/>
        <w:gridCol w:w="801"/>
        <w:gridCol w:w="799"/>
        <w:gridCol w:w="801"/>
        <w:gridCol w:w="801"/>
        <w:gridCol w:w="801"/>
        <w:gridCol w:w="801"/>
      </w:tblGrid>
      <w:tr w:rsidR="00A17495" w:rsidRPr="00A17495" w14:paraId="6783DB52" w14:textId="77777777" w:rsidTr="00A1749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722" w:type="pct"/>
            <w:shd w:val="clear" w:color="auto" w:fill="D9D9D9" w:themeFill="background1" w:themeFillShade="D9"/>
            <w:vAlign w:val="center"/>
          </w:tcPr>
          <w:p w14:paraId="1DF3E382" w14:textId="77777777" w:rsidR="00A17495" w:rsidRPr="00A17495" w:rsidRDefault="00A17495" w:rsidP="00A17495">
            <w:pPr>
              <w:rPr>
                <w:rFonts w:eastAsia="Calibri" w:cs="Arial"/>
              </w:rPr>
            </w:pPr>
            <w:r w:rsidRPr="00A17495">
              <w:rPr>
                <w:rFonts w:eastAsia="Calibri" w:cs="Arial"/>
              </w:rPr>
              <w:t>Pupil Subgroup</w:t>
            </w:r>
          </w:p>
        </w:tc>
        <w:tc>
          <w:tcPr>
            <w:tcW w:w="427" w:type="pct"/>
            <w:shd w:val="clear" w:color="auto" w:fill="D9D9D9" w:themeFill="background1" w:themeFillShade="D9"/>
            <w:vAlign w:val="center"/>
          </w:tcPr>
          <w:p w14:paraId="306BB464"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2014–15 ELA</w:t>
            </w:r>
          </w:p>
        </w:tc>
        <w:tc>
          <w:tcPr>
            <w:tcW w:w="428" w:type="pct"/>
            <w:shd w:val="clear" w:color="auto" w:fill="D9D9D9" w:themeFill="background1" w:themeFillShade="D9"/>
            <w:vAlign w:val="center"/>
          </w:tcPr>
          <w:p w14:paraId="2EF422B7"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2014–15 Math</w:t>
            </w:r>
          </w:p>
        </w:tc>
        <w:tc>
          <w:tcPr>
            <w:tcW w:w="428" w:type="pct"/>
            <w:shd w:val="clear" w:color="auto" w:fill="D9D9D9" w:themeFill="background1" w:themeFillShade="D9"/>
            <w:vAlign w:val="center"/>
          </w:tcPr>
          <w:p w14:paraId="66E49DC5"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2015–16 ELA</w:t>
            </w:r>
          </w:p>
        </w:tc>
        <w:tc>
          <w:tcPr>
            <w:tcW w:w="428" w:type="pct"/>
            <w:shd w:val="clear" w:color="auto" w:fill="D9D9D9" w:themeFill="background1" w:themeFillShade="D9"/>
            <w:vAlign w:val="center"/>
          </w:tcPr>
          <w:p w14:paraId="6B857FDB"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2015–16 Math</w:t>
            </w:r>
          </w:p>
        </w:tc>
        <w:tc>
          <w:tcPr>
            <w:tcW w:w="428" w:type="pct"/>
            <w:shd w:val="clear" w:color="auto" w:fill="D9D9D9" w:themeFill="background1" w:themeFillShade="D9"/>
            <w:vAlign w:val="center"/>
          </w:tcPr>
          <w:p w14:paraId="7B86E6F9"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2016–17 ELA</w:t>
            </w:r>
          </w:p>
        </w:tc>
        <w:tc>
          <w:tcPr>
            <w:tcW w:w="427" w:type="pct"/>
            <w:shd w:val="clear" w:color="auto" w:fill="D9D9D9" w:themeFill="background1" w:themeFillShade="D9"/>
            <w:vAlign w:val="center"/>
          </w:tcPr>
          <w:p w14:paraId="0157C663"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2016–17 Math</w:t>
            </w:r>
          </w:p>
        </w:tc>
        <w:tc>
          <w:tcPr>
            <w:tcW w:w="428" w:type="pct"/>
            <w:shd w:val="clear" w:color="auto" w:fill="D9D9D9" w:themeFill="background1" w:themeFillShade="D9"/>
            <w:vAlign w:val="center"/>
          </w:tcPr>
          <w:p w14:paraId="1F62750C"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2017–18 ELA</w:t>
            </w:r>
          </w:p>
        </w:tc>
        <w:tc>
          <w:tcPr>
            <w:tcW w:w="428" w:type="pct"/>
            <w:shd w:val="clear" w:color="auto" w:fill="D9D9D9" w:themeFill="background1" w:themeFillShade="D9"/>
            <w:vAlign w:val="center"/>
          </w:tcPr>
          <w:p w14:paraId="1F30FFDD"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2017–18 Math</w:t>
            </w:r>
          </w:p>
        </w:tc>
        <w:tc>
          <w:tcPr>
            <w:tcW w:w="428" w:type="pct"/>
            <w:shd w:val="clear" w:color="auto" w:fill="D9D9D9" w:themeFill="background1" w:themeFillShade="D9"/>
            <w:vAlign w:val="center"/>
          </w:tcPr>
          <w:p w14:paraId="35D49099"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2018–19 ELA</w:t>
            </w:r>
          </w:p>
        </w:tc>
        <w:tc>
          <w:tcPr>
            <w:tcW w:w="428" w:type="pct"/>
            <w:shd w:val="clear" w:color="auto" w:fill="D9D9D9" w:themeFill="background1" w:themeFillShade="D9"/>
            <w:vAlign w:val="center"/>
          </w:tcPr>
          <w:p w14:paraId="36BC0E78"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2018–19 Math</w:t>
            </w:r>
          </w:p>
        </w:tc>
      </w:tr>
      <w:tr w:rsidR="00A17495" w:rsidRPr="00A17495" w14:paraId="0DEE792A"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4881CECD" w14:textId="77777777" w:rsidR="00A17495" w:rsidRPr="00A17495" w:rsidRDefault="00A17495" w:rsidP="00A17495">
            <w:pPr>
              <w:rPr>
                <w:rFonts w:eastAsia="Calibri" w:cs="Arial"/>
              </w:rPr>
            </w:pPr>
            <w:r w:rsidRPr="00A17495">
              <w:rPr>
                <w:rFonts w:eastAsia="Calibri" w:cs="Arial"/>
              </w:rPr>
              <w:t>All Pupils</w:t>
            </w:r>
          </w:p>
        </w:tc>
        <w:tc>
          <w:tcPr>
            <w:tcW w:w="427" w:type="pct"/>
            <w:shd w:val="clear" w:color="auto" w:fill="E7E6E6" w:themeFill="background2"/>
            <w:vAlign w:val="center"/>
          </w:tcPr>
          <w:p w14:paraId="36E76B89"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36</w:t>
            </w:r>
          </w:p>
        </w:tc>
        <w:tc>
          <w:tcPr>
            <w:tcW w:w="428" w:type="pct"/>
            <w:shd w:val="clear" w:color="auto" w:fill="E7E6E6" w:themeFill="background2"/>
            <w:vAlign w:val="center"/>
          </w:tcPr>
          <w:p w14:paraId="6715312C"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22</w:t>
            </w:r>
          </w:p>
        </w:tc>
        <w:tc>
          <w:tcPr>
            <w:tcW w:w="428" w:type="pct"/>
            <w:shd w:val="clear" w:color="auto" w:fill="E7E6E6" w:themeFill="background2"/>
            <w:vAlign w:val="center"/>
          </w:tcPr>
          <w:p w14:paraId="330C4CFC"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33</w:t>
            </w:r>
          </w:p>
        </w:tc>
        <w:tc>
          <w:tcPr>
            <w:tcW w:w="428" w:type="pct"/>
            <w:shd w:val="clear" w:color="auto" w:fill="E7E6E6" w:themeFill="background2"/>
            <w:vAlign w:val="center"/>
          </w:tcPr>
          <w:p w14:paraId="79F23DE1"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24</w:t>
            </w:r>
          </w:p>
        </w:tc>
        <w:tc>
          <w:tcPr>
            <w:tcW w:w="428" w:type="pct"/>
            <w:shd w:val="clear" w:color="auto" w:fill="E7E6E6" w:themeFill="background2"/>
            <w:vAlign w:val="center"/>
          </w:tcPr>
          <w:p w14:paraId="5D3CD4E0"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33</w:t>
            </w:r>
          </w:p>
        </w:tc>
        <w:tc>
          <w:tcPr>
            <w:tcW w:w="427" w:type="pct"/>
            <w:shd w:val="clear" w:color="auto" w:fill="E7E6E6" w:themeFill="background2"/>
            <w:vAlign w:val="center"/>
          </w:tcPr>
          <w:p w14:paraId="01BF8433"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21</w:t>
            </w:r>
          </w:p>
        </w:tc>
        <w:tc>
          <w:tcPr>
            <w:tcW w:w="428" w:type="pct"/>
            <w:shd w:val="clear" w:color="auto" w:fill="E7E6E6" w:themeFill="background2"/>
            <w:vAlign w:val="center"/>
          </w:tcPr>
          <w:p w14:paraId="2B3F3E71"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46</w:t>
            </w:r>
          </w:p>
        </w:tc>
        <w:tc>
          <w:tcPr>
            <w:tcW w:w="428" w:type="pct"/>
            <w:shd w:val="clear" w:color="auto" w:fill="E7E6E6" w:themeFill="background2"/>
            <w:vAlign w:val="center"/>
          </w:tcPr>
          <w:p w14:paraId="344B4B72"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32</w:t>
            </w:r>
          </w:p>
        </w:tc>
        <w:tc>
          <w:tcPr>
            <w:tcW w:w="428" w:type="pct"/>
            <w:shd w:val="clear" w:color="auto" w:fill="E7E6E6" w:themeFill="background2"/>
            <w:vAlign w:val="center"/>
          </w:tcPr>
          <w:p w14:paraId="479A2F74"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37</w:t>
            </w:r>
          </w:p>
        </w:tc>
        <w:tc>
          <w:tcPr>
            <w:tcW w:w="428" w:type="pct"/>
            <w:shd w:val="clear" w:color="auto" w:fill="E7E6E6" w:themeFill="background2"/>
            <w:vAlign w:val="center"/>
          </w:tcPr>
          <w:p w14:paraId="011B433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32</w:t>
            </w:r>
          </w:p>
        </w:tc>
      </w:tr>
      <w:tr w:rsidR="00A17495" w:rsidRPr="00A17495" w14:paraId="08ED1260"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10AAEE1E" w14:textId="77777777" w:rsidR="00A17495" w:rsidRPr="00A17495" w:rsidRDefault="00A17495" w:rsidP="00A17495">
            <w:pPr>
              <w:rPr>
                <w:rFonts w:eastAsia="Calibri" w:cs="Arial"/>
              </w:rPr>
            </w:pPr>
            <w:r w:rsidRPr="00A17495">
              <w:rPr>
                <w:rFonts w:eastAsia="Calibri" w:cs="Arial"/>
              </w:rPr>
              <w:t>African-American</w:t>
            </w:r>
          </w:p>
        </w:tc>
        <w:tc>
          <w:tcPr>
            <w:tcW w:w="427" w:type="pct"/>
            <w:shd w:val="clear" w:color="auto" w:fill="E7E6E6" w:themeFill="background2"/>
            <w:vAlign w:val="center"/>
          </w:tcPr>
          <w:p w14:paraId="087DBA2C"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33</w:t>
            </w:r>
          </w:p>
        </w:tc>
        <w:tc>
          <w:tcPr>
            <w:tcW w:w="428" w:type="pct"/>
            <w:shd w:val="clear" w:color="auto" w:fill="E7E6E6" w:themeFill="background2"/>
            <w:vAlign w:val="center"/>
          </w:tcPr>
          <w:p w14:paraId="5A5BEDD5"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16</w:t>
            </w:r>
          </w:p>
        </w:tc>
        <w:tc>
          <w:tcPr>
            <w:tcW w:w="428" w:type="pct"/>
            <w:shd w:val="clear" w:color="auto" w:fill="E7E6E6" w:themeFill="background2"/>
            <w:vAlign w:val="center"/>
          </w:tcPr>
          <w:p w14:paraId="13BFDD49"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30</w:t>
            </w:r>
          </w:p>
        </w:tc>
        <w:tc>
          <w:tcPr>
            <w:tcW w:w="428" w:type="pct"/>
            <w:shd w:val="clear" w:color="auto" w:fill="E7E6E6" w:themeFill="background2"/>
            <w:vAlign w:val="center"/>
          </w:tcPr>
          <w:p w14:paraId="4298EDAB"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14</w:t>
            </w:r>
          </w:p>
        </w:tc>
        <w:tc>
          <w:tcPr>
            <w:tcW w:w="428" w:type="pct"/>
            <w:shd w:val="clear" w:color="auto" w:fill="E7E6E6" w:themeFill="background2"/>
            <w:vAlign w:val="center"/>
          </w:tcPr>
          <w:p w14:paraId="7FE2A324"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28</w:t>
            </w:r>
          </w:p>
        </w:tc>
        <w:tc>
          <w:tcPr>
            <w:tcW w:w="427" w:type="pct"/>
            <w:shd w:val="clear" w:color="auto" w:fill="E7E6E6" w:themeFill="background2"/>
            <w:vAlign w:val="center"/>
          </w:tcPr>
          <w:p w14:paraId="34999D1B"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21</w:t>
            </w:r>
          </w:p>
        </w:tc>
        <w:tc>
          <w:tcPr>
            <w:tcW w:w="428" w:type="pct"/>
            <w:shd w:val="clear" w:color="auto" w:fill="E7E6E6" w:themeFill="background2"/>
            <w:vAlign w:val="center"/>
          </w:tcPr>
          <w:p w14:paraId="042CE68F"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37</w:t>
            </w:r>
          </w:p>
        </w:tc>
        <w:tc>
          <w:tcPr>
            <w:tcW w:w="428" w:type="pct"/>
            <w:shd w:val="clear" w:color="auto" w:fill="E7E6E6" w:themeFill="background2"/>
            <w:vAlign w:val="center"/>
          </w:tcPr>
          <w:p w14:paraId="4995B5F2"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24</w:t>
            </w:r>
          </w:p>
        </w:tc>
        <w:tc>
          <w:tcPr>
            <w:tcW w:w="428" w:type="pct"/>
            <w:shd w:val="clear" w:color="auto" w:fill="E7E6E6" w:themeFill="background2"/>
            <w:vAlign w:val="center"/>
          </w:tcPr>
          <w:p w14:paraId="0F71CF05"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34</w:t>
            </w:r>
          </w:p>
        </w:tc>
        <w:tc>
          <w:tcPr>
            <w:tcW w:w="428" w:type="pct"/>
            <w:shd w:val="clear" w:color="auto" w:fill="E7E6E6" w:themeFill="background2"/>
            <w:vAlign w:val="center"/>
          </w:tcPr>
          <w:p w14:paraId="1C1FBEF2"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25</w:t>
            </w:r>
          </w:p>
        </w:tc>
      </w:tr>
      <w:tr w:rsidR="00A17495" w:rsidRPr="00A17495" w14:paraId="1C0392D8"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09E692CB" w14:textId="77777777" w:rsidR="00A17495" w:rsidRPr="00A17495" w:rsidRDefault="00A17495" w:rsidP="00A17495">
            <w:pPr>
              <w:rPr>
                <w:rFonts w:eastAsia="Calibri" w:cs="Arial"/>
              </w:rPr>
            </w:pPr>
            <w:r w:rsidRPr="00A17495">
              <w:rPr>
                <w:rFonts w:eastAsia="Calibri" w:cs="Arial"/>
              </w:rPr>
              <w:t>Hispanic/ Latino</w:t>
            </w:r>
          </w:p>
        </w:tc>
        <w:tc>
          <w:tcPr>
            <w:tcW w:w="427" w:type="pct"/>
            <w:shd w:val="clear" w:color="auto" w:fill="E7E6E6" w:themeFill="background2"/>
            <w:vAlign w:val="center"/>
          </w:tcPr>
          <w:p w14:paraId="6D9A25C6"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39</w:t>
            </w:r>
          </w:p>
        </w:tc>
        <w:tc>
          <w:tcPr>
            <w:tcW w:w="428" w:type="pct"/>
            <w:shd w:val="clear" w:color="auto" w:fill="E7E6E6" w:themeFill="background2"/>
            <w:vAlign w:val="center"/>
          </w:tcPr>
          <w:p w14:paraId="4DA80754"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30</w:t>
            </w:r>
          </w:p>
        </w:tc>
        <w:tc>
          <w:tcPr>
            <w:tcW w:w="428" w:type="pct"/>
            <w:shd w:val="clear" w:color="auto" w:fill="E7E6E6" w:themeFill="background2"/>
            <w:vAlign w:val="center"/>
          </w:tcPr>
          <w:p w14:paraId="422DF8A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39</w:t>
            </w:r>
          </w:p>
        </w:tc>
        <w:tc>
          <w:tcPr>
            <w:tcW w:w="428" w:type="pct"/>
            <w:shd w:val="clear" w:color="auto" w:fill="E7E6E6" w:themeFill="background2"/>
            <w:vAlign w:val="center"/>
          </w:tcPr>
          <w:p w14:paraId="78A92862"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34</w:t>
            </w:r>
          </w:p>
        </w:tc>
        <w:tc>
          <w:tcPr>
            <w:tcW w:w="428" w:type="pct"/>
            <w:shd w:val="clear" w:color="auto" w:fill="E7E6E6" w:themeFill="background2"/>
            <w:vAlign w:val="center"/>
          </w:tcPr>
          <w:p w14:paraId="0C7F3243"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37</w:t>
            </w:r>
          </w:p>
        </w:tc>
        <w:tc>
          <w:tcPr>
            <w:tcW w:w="427" w:type="pct"/>
            <w:shd w:val="clear" w:color="auto" w:fill="E7E6E6" w:themeFill="background2"/>
            <w:vAlign w:val="center"/>
          </w:tcPr>
          <w:p w14:paraId="06B7F52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28</w:t>
            </w:r>
          </w:p>
        </w:tc>
        <w:tc>
          <w:tcPr>
            <w:tcW w:w="428" w:type="pct"/>
            <w:shd w:val="clear" w:color="auto" w:fill="E7E6E6" w:themeFill="background2"/>
            <w:vAlign w:val="center"/>
          </w:tcPr>
          <w:p w14:paraId="5A44B794"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53</w:t>
            </w:r>
          </w:p>
        </w:tc>
        <w:tc>
          <w:tcPr>
            <w:tcW w:w="428" w:type="pct"/>
            <w:shd w:val="clear" w:color="auto" w:fill="E7E6E6" w:themeFill="background2"/>
            <w:vAlign w:val="center"/>
          </w:tcPr>
          <w:p w14:paraId="19437D83"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40</w:t>
            </w:r>
          </w:p>
        </w:tc>
        <w:tc>
          <w:tcPr>
            <w:tcW w:w="428" w:type="pct"/>
            <w:shd w:val="clear" w:color="auto" w:fill="E7E6E6" w:themeFill="background2"/>
            <w:vAlign w:val="center"/>
          </w:tcPr>
          <w:p w14:paraId="4D32CEC6"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39</w:t>
            </w:r>
          </w:p>
        </w:tc>
        <w:tc>
          <w:tcPr>
            <w:tcW w:w="428" w:type="pct"/>
            <w:shd w:val="clear" w:color="auto" w:fill="E7E6E6" w:themeFill="background2"/>
            <w:vAlign w:val="center"/>
          </w:tcPr>
          <w:p w14:paraId="31336702"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37</w:t>
            </w:r>
          </w:p>
        </w:tc>
      </w:tr>
      <w:tr w:rsidR="00A17495" w:rsidRPr="00A17495" w14:paraId="6A866228"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50251726" w14:textId="77777777" w:rsidR="00A17495" w:rsidRPr="00A17495" w:rsidRDefault="00A17495" w:rsidP="00A17495">
            <w:pPr>
              <w:rPr>
                <w:rFonts w:eastAsia="Calibri" w:cs="Arial"/>
              </w:rPr>
            </w:pPr>
            <w:r w:rsidRPr="00A17495">
              <w:rPr>
                <w:rFonts w:eastAsia="Calibri" w:cs="Arial"/>
              </w:rPr>
              <w:lastRenderedPageBreak/>
              <w:t>SED</w:t>
            </w:r>
          </w:p>
        </w:tc>
        <w:tc>
          <w:tcPr>
            <w:tcW w:w="427" w:type="pct"/>
            <w:shd w:val="clear" w:color="auto" w:fill="E7E6E6" w:themeFill="background2"/>
            <w:vAlign w:val="center"/>
          </w:tcPr>
          <w:p w14:paraId="39F5ECDD"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34</w:t>
            </w:r>
          </w:p>
        </w:tc>
        <w:tc>
          <w:tcPr>
            <w:tcW w:w="428" w:type="pct"/>
            <w:shd w:val="clear" w:color="auto" w:fill="E7E6E6" w:themeFill="background2"/>
            <w:vAlign w:val="center"/>
          </w:tcPr>
          <w:p w14:paraId="2A8CAEE1"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22</w:t>
            </w:r>
          </w:p>
        </w:tc>
        <w:tc>
          <w:tcPr>
            <w:tcW w:w="428" w:type="pct"/>
            <w:shd w:val="clear" w:color="auto" w:fill="E7E6E6" w:themeFill="background2"/>
            <w:vAlign w:val="center"/>
          </w:tcPr>
          <w:p w14:paraId="721DCA59"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34</w:t>
            </w:r>
          </w:p>
        </w:tc>
        <w:tc>
          <w:tcPr>
            <w:tcW w:w="428" w:type="pct"/>
            <w:shd w:val="clear" w:color="auto" w:fill="E7E6E6" w:themeFill="background2"/>
            <w:vAlign w:val="center"/>
          </w:tcPr>
          <w:p w14:paraId="7BE8A5A6"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23</w:t>
            </w:r>
          </w:p>
        </w:tc>
        <w:tc>
          <w:tcPr>
            <w:tcW w:w="428" w:type="pct"/>
            <w:shd w:val="clear" w:color="auto" w:fill="E7E6E6" w:themeFill="background2"/>
            <w:vAlign w:val="center"/>
          </w:tcPr>
          <w:p w14:paraId="2727D21C"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33</w:t>
            </w:r>
          </w:p>
        </w:tc>
        <w:tc>
          <w:tcPr>
            <w:tcW w:w="427" w:type="pct"/>
            <w:shd w:val="clear" w:color="auto" w:fill="E7E6E6" w:themeFill="background2"/>
            <w:vAlign w:val="center"/>
          </w:tcPr>
          <w:p w14:paraId="3DB438F0"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21</w:t>
            </w:r>
          </w:p>
        </w:tc>
        <w:tc>
          <w:tcPr>
            <w:tcW w:w="428" w:type="pct"/>
            <w:shd w:val="clear" w:color="auto" w:fill="E7E6E6" w:themeFill="background2"/>
            <w:vAlign w:val="center"/>
          </w:tcPr>
          <w:p w14:paraId="45F934F1"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46</w:t>
            </w:r>
          </w:p>
        </w:tc>
        <w:tc>
          <w:tcPr>
            <w:tcW w:w="428" w:type="pct"/>
            <w:shd w:val="clear" w:color="auto" w:fill="E7E6E6" w:themeFill="background2"/>
            <w:vAlign w:val="center"/>
          </w:tcPr>
          <w:p w14:paraId="0470CEA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32</w:t>
            </w:r>
          </w:p>
        </w:tc>
        <w:tc>
          <w:tcPr>
            <w:tcW w:w="428" w:type="pct"/>
            <w:shd w:val="clear" w:color="auto" w:fill="E7E6E6" w:themeFill="background2"/>
            <w:vAlign w:val="center"/>
          </w:tcPr>
          <w:p w14:paraId="76B4B2FB"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38</w:t>
            </w:r>
          </w:p>
        </w:tc>
        <w:tc>
          <w:tcPr>
            <w:tcW w:w="428" w:type="pct"/>
            <w:shd w:val="clear" w:color="auto" w:fill="E7E6E6" w:themeFill="background2"/>
            <w:vAlign w:val="center"/>
          </w:tcPr>
          <w:p w14:paraId="0D4350FB"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33</w:t>
            </w:r>
          </w:p>
        </w:tc>
      </w:tr>
      <w:tr w:rsidR="00A17495" w:rsidRPr="00A17495" w14:paraId="3DC54696"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4070827B" w14:textId="77777777" w:rsidR="00A17495" w:rsidRPr="00A17495" w:rsidRDefault="00A17495" w:rsidP="00A17495">
            <w:pPr>
              <w:rPr>
                <w:rFonts w:eastAsia="Calibri" w:cs="Arial"/>
              </w:rPr>
            </w:pPr>
            <w:r w:rsidRPr="00A17495">
              <w:rPr>
                <w:rFonts w:eastAsia="Calibri" w:cs="Arial"/>
              </w:rPr>
              <w:t>EL</w:t>
            </w:r>
          </w:p>
        </w:tc>
        <w:tc>
          <w:tcPr>
            <w:tcW w:w="427" w:type="pct"/>
            <w:shd w:val="clear" w:color="auto" w:fill="E7E6E6" w:themeFill="background2"/>
            <w:vAlign w:val="center"/>
          </w:tcPr>
          <w:p w14:paraId="374A7C61"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21</w:t>
            </w:r>
          </w:p>
        </w:tc>
        <w:tc>
          <w:tcPr>
            <w:tcW w:w="428" w:type="pct"/>
            <w:shd w:val="clear" w:color="auto" w:fill="E7E6E6" w:themeFill="background2"/>
            <w:vAlign w:val="center"/>
          </w:tcPr>
          <w:p w14:paraId="3F926AF5"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6</w:t>
            </w:r>
          </w:p>
        </w:tc>
        <w:tc>
          <w:tcPr>
            <w:tcW w:w="428" w:type="pct"/>
            <w:shd w:val="clear" w:color="auto" w:fill="E7E6E6" w:themeFill="background2"/>
            <w:vAlign w:val="center"/>
          </w:tcPr>
          <w:p w14:paraId="6F1E0B0C"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24</w:t>
            </w:r>
          </w:p>
        </w:tc>
        <w:tc>
          <w:tcPr>
            <w:tcW w:w="428" w:type="pct"/>
            <w:shd w:val="clear" w:color="auto" w:fill="E7E6E6" w:themeFill="background2"/>
            <w:vAlign w:val="center"/>
          </w:tcPr>
          <w:p w14:paraId="6E9AC79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22</w:t>
            </w:r>
          </w:p>
        </w:tc>
        <w:tc>
          <w:tcPr>
            <w:tcW w:w="428" w:type="pct"/>
            <w:shd w:val="clear" w:color="auto" w:fill="E7E6E6" w:themeFill="background2"/>
            <w:vAlign w:val="center"/>
          </w:tcPr>
          <w:p w14:paraId="42E7CBFD"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31</w:t>
            </w:r>
          </w:p>
        </w:tc>
        <w:tc>
          <w:tcPr>
            <w:tcW w:w="427" w:type="pct"/>
            <w:shd w:val="clear" w:color="auto" w:fill="E7E6E6" w:themeFill="background2"/>
            <w:vAlign w:val="center"/>
          </w:tcPr>
          <w:p w14:paraId="5189848C"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24</w:t>
            </w:r>
          </w:p>
        </w:tc>
        <w:tc>
          <w:tcPr>
            <w:tcW w:w="428" w:type="pct"/>
            <w:shd w:val="clear" w:color="auto" w:fill="E7E6E6" w:themeFill="background2"/>
            <w:vAlign w:val="center"/>
          </w:tcPr>
          <w:p w14:paraId="23AECE52"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35</w:t>
            </w:r>
          </w:p>
        </w:tc>
        <w:tc>
          <w:tcPr>
            <w:tcW w:w="428" w:type="pct"/>
            <w:shd w:val="clear" w:color="auto" w:fill="E7E6E6" w:themeFill="background2"/>
            <w:vAlign w:val="center"/>
          </w:tcPr>
          <w:p w14:paraId="042DE301"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30</w:t>
            </w:r>
          </w:p>
        </w:tc>
        <w:tc>
          <w:tcPr>
            <w:tcW w:w="428" w:type="pct"/>
            <w:shd w:val="clear" w:color="auto" w:fill="E7E6E6" w:themeFill="background2"/>
            <w:vAlign w:val="center"/>
          </w:tcPr>
          <w:p w14:paraId="6F6A4E3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21</w:t>
            </w:r>
          </w:p>
        </w:tc>
        <w:tc>
          <w:tcPr>
            <w:tcW w:w="428" w:type="pct"/>
            <w:shd w:val="clear" w:color="auto" w:fill="E7E6E6" w:themeFill="background2"/>
            <w:vAlign w:val="center"/>
          </w:tcPr>
          <w:p w14:paraId="5C477E4D"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23</w:t>
            </w:r>
          </w:p>
        </w:tc>
      </w:tr>
      <w:tr w:rsidR="00A17495" w:rsidRPr="00A17495" w14:paraId="47588F7D"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722" w:type="pct"/>
            <w:vAlign w:val="center"/>
          </w:tcPr>
          <w:p w14:paraId="5431B093" w14:textId="77777777" w:rsidR="00A17495" w:rsidRPr="00A17495" w:rsidRDefault="00A17495" w:rsidP="00A17495">
            <w:pPr>
              <w:rPr>
                <w:rFonts w:eastAsia="Calibri" w:cs="Arial"/>
              </w:rPr>
            </w:pPr>
            <w:r w:rsidRPr="00A17495">
              <w:rPr>
                <w:rFonts w:eastAsia="Calibri" w:cs="Arial"/>
              </w:rPr>
              <w:t>SPED</w:t>
            </w:r>
          </w:p>
        </w:tc>
        <w:tc>
          <w:tcPr>
            <w:tcW w:w="427" w:type="pct"/>
            <w:shd w:val="clear" w:color="auto" w:fill="E7E6E6" w:themeFill="background2"/>
            <w:vAlign w:val="center"/>
          </w:tcPr>
          <w:p w14:paraId="114FC734"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18</w:t>
            </w:r>
          </w:p>
        </w:tc>
        <w:tc>
          <w:tcPr>
            <w:tcW w:w="428" w:type="pct"/>
            <w:shd w:val="clear" w:color="auto" w:fill="E7E6E6" w:themeFill="background2"/>
            <w:vAlign w:val="center"/>
          </w:tcPr>
          <w:p w14:paraId="3C99DA8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0</w:t>
            </w:r>
          </w:p>
        </w:tc>
        <w:tc>
          <w:tcPr>
            <w:tcW w:w="428" w:type="pct"/>
            <w:shd w:val="clear" w:color="auto" w:fill="E7E6E6" w:themeFill="background2"/>
            <w:vAlign w:val="center"/>
          </w:tcPr>
          <w:p w14:paraId="75612F34"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13</w:t>
            </w:r>
          </w:p>
        </w:tc>
        <w:tc>
          <w:tcPr>
            <w:tcW w:w="428" w:type="pct"/>
            <w:shd w:val="clear" w:color="auto" w:fill="E7E6E6" w:themeFill="background2"/>
            <w:vAlign w:val="center"/>
          </w:tcPr>
          <w:p w14:paraId="2C5CC6A4"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7</w:t>
            </w:r>
          </w:p>
        </w:tc>
        <w:tc>
          <w:tcPr>
            <w:tcW w:w="428" w:type="pct"/>
            <w:shd w:val="clear" w:color="auto" w:fill="E7E6E6" w:themeFill="background2"/>
            <w:vAlign w:val="center"/>
          </w:tcPr>
          <w:p w14:paraId="7E3D5904"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11</w:t>
            </w:r>
          </w:p>
        </w:tc>
        <w:tc>
          <w:tcPr>
            <w:tcW w:w="427" w:type="pct"/>
            <w:shd w:val="clear" w:color="auto" w:fill="E7E6E6" w:themeFill="background2"/>
            <w:vAlign w:val="center"/>
          </w:tcPr>
          <w:p w14:paraId="128CEDAF"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0</w:t>
            </w:r>
          </w:p>
        </w:tc>
        <w:tc>
          <w:tcPr>
            <w:tcW w:w="428" w:type="pct"/>
            <w:shd w:val="clear" w:color="auto" w:fill="E7E6E6" w:themeFill="background2"/>
            <w:vAlign w:val="center"/>
          </w:tcPr>
          <w:p w14:paraId="43871689"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14</w:t>
            </w:r>
          </w:p>
        </w:tc>
        <w:tc>
          <w:tcPr>
            <w:tcW w:w="428" w:type="pct"/>
            <w:shd w:val="clear" w:color="auto" w:fill="E7E6E6" w:themeFill="background2"/>
            <w:vAlign w:val="center"/>
          </w:tcPr>
          <w:p w14:paraId="307855F2"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11</w:t>
            </w:r>
          </w:p>
        </w:tc>
        <w:tc>
          <w:tcPr>
            <w:tcW w:w="428" w:type="pct"/>
            <w:shd w:val="clear" w:color="auto" w:fill="E7E6E6" w:themeFill="background2"/>
            <w:vAlign w:val="center"/>
          </w:tcPr>
          <w:p w14:paraId="1385E60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9</w:t>
            </w:r>
          </w:p>
        </w:tc>
        <w:tc>
          <w:tcPr>
            <w:tcW w:w="428" w:type="pct"/>
            <w:shd w:val="clear" w:color="auto" w:fill="E7E6E6" w:themeFill="background2"/>
            <w:vAlign w:val="center"/>
          </w:tcPr>
          <w:p w14:paraId="12D66E7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9</w:t>
            </w:r>
          </w:p>
        </w:tc>
      </w:tr>
    </w:tbl>
    <w:p w14:paraId="2B859A75" w14:textId="1375E92F" w:rsidR="00A17495" w:rsidRPr="00A17495" w:rsidRDefault="00A17495" w:rsidP="00A17495">
      <w:pPr>
        <w:spacing w:before="240" w:after="240"/>
        <w:rPr>
          <w:rFonts w:eastAsia="Calibri"/>
        </w:rPr>
      </w:pPr>
      <w:bookmarkStart w:id="13" w:name="_Hlk35340904"/>
      <w:r w:rsidRPr="00A17495">
        <w:rPr>
          <w:rFonts w:eastAsia="Calibri"/>
        </w:rPr>
        <w:t>Additionally, LACOE completed a comparison of 2017–18 and 2018–19 CAASPP results for all pupils schoolwide, by grade level, and by cohort for grade three to grade five and grade six through grade eight. LACOE’s comparison reflects the following (Attachment 7</w:t>
      </w:r>
      <w:r w:rsidR="00361D6B">
        <w:rPr>
          <w:rFonts w:eastAsia="Calibri"/>
        </w:rPr>
        <w:t xml:space="preserve"> </w:t>
      </w:r>
      <w:r w:rsidR="00361D6B">
        <w:rPr>
          <w:rFonts w:cstheme="majorBidi"/>
        </w:rPr>
        <w:t xml:space="preserve">of Agenda Item 08 on the ACCS June 9, 2020, Meeting Notice on the SBE ACCS web page at </w:t>
      </w:r>
      <w:hyperlink r:id="rId18" w:tooltip="June 2020 ACCS Meeting Agenda web page" w:history="1">
        <w:r w:rsidR="00916CB0" w:rsidRPr="00EC3CB5">
          <w:rPr>
            <w:rStyle w:val="Hyperlink"/>
          </w:rPr>
          <w:t>https://www.cde.ca.gov/be/cc/cs/accsnotice060920.asp</w:t>
        </w:r>
      </w:hyperlink>
      <w:r w:rsidRPr="00A17495">
        <w:rPr>
          <w:rFonts w:eastAsia="Calibri"/>
        </w:rPr>
        <w:t>):</w:t>
      </w:r>
    </w:p>
    <w:p w14:paraId="3F83517F" w14:textId="77777777" w:rsidR="00A17495" w:rsidRPr="00A17495" w:rsidRDefault="00A17495" w:rsidP="00A17495">
      <w:pPr>
        <w:numPr>
          <w:ilvl w:val="0"/>
          <w:numId w:val="29"/>
        </w:numPr>
        <w:spacing w:before="240" w:after="240"/>
        <w:rPr>
          <w:rFonts w:eastAsia="Calibri"/>
        </w:rPr>
      </w:pPr>
      <w:r w:rsidRPr="00A17495">
        <w:t>Schoolwide</w:t>
      </w:r>
    </w:p>
    <w:p w14:paraId="2BDA4A8E" w14:textId="77777777" w:rsidR="00A17495" w:rsidRPr="00A17495" w:rsidRDefault="00A17495" w:rsidP="00A17495">
      <w:pPr>
        <w:numPr>
          <w:ilvl w:val="1"/>
          <w:numId w:val="29"/>
        </w:numPr>
        <w:spacing w:before="240" w:after="240"/>
        <w:rPr>
          <w:rFonts w:eastAsia="Calibri"/>
        </w:rPr>
      </w:pPr>
      <w:r w:rsidRPr="00A17495">
        <w:t>Results showed a decrease from 45.86 percent to 36.49 percent in ELA and a decrease from 31.83 percent to 31.58 percent in math in 2017–18 to 2018–19, respectively.</w:t>
      </w:r>
    </w:p>
    <w:p w14:paraId="706B061F" w14:textId="77777777" w:rsidR="00A17495" w:rsidRPr="00A17495" w:rsidRDefault="00A17495" w:rsidP="00A17495">
      <w:pPr>
        <w:numPr>
          <w:ilvl w:val="0"/>
          <w:numId w:val="29"/>
        </w:numPr>
        <w:spacing w:before="240" w:after="240"/>
        <w:rPr>
          <w:rFonts w:eastAsia="Calibri"/>
        </w:rPr>
      </w:pPr>
      <w:r w:rsidRPr="00A17495">
        <w:t>ELA by Grade Level</w:t>
      </w:r>
    </w:p>
    <w:p w14:paraId="54D6B99D" w14:textId="77777777" w:rsidR="00A17495" w:rsidRPr="00A17495" w:rsidRDefault="00A17495" w:rsidP="00A17495">
      <w:pPr>
        <w:numPr>
          <w:ilvl w:val="1"/>
          <w:numId w:val="29"/>
        </w:numPr>
        <w:spacing w:before="240" w:after="240"/>
        <w:contextualSpacing/>
      </w:pPr>
      <w:r w:rsidRPr="00A17495">
        <w:t>Grade eight – Results showed a decrease of 22.42 percent</w:t>
      </w:r>
    </w:p>
    <w:p w14:paraId="4C9B9AAB" w14:textId="77777777" w:rsidR="00A17495" w:rsidRPr="00A17495" w:rsidRDefault="00A17495" w:rsidP="00A17495">
      <w:pPr>
        <w:numPr>
          <w:ilvl w:val="1"/>
          <w:numId w:val="29"/>
        </w:numPr>
        <w:spacing w:before="240" w:after="240"/>
        <w:contextualSpacing/>
      </w:pPr>
      <w:r w:rsidRPr="00A17495">
        <w:t>Grade seven – Results showed a decrease of 28.69 percent</w:t>
      </w:r>
    </w:p>
    <w:p w14:paraId="08897BC6" w14:textId="77777777" w:rsidR="00A17495" w:rsidRPr="00A17495" w:rsidRDefault="00A17495" w:rsidP="00A17495">
      <w:pPr>
        <w:numPr>
          <w:ilvl w:val="1"/>
          <w:numId w:val="29"/>
        </w:numPr>
        <w:spacing w:before="240" w:after="240"/>
        <w:contextualSpacing/>
      </w:pPr>
      <w:r w:rsidRPr="00A17495">
        <w:t>Grade five – Results showed a decrease of 18.53 percent</w:t>
      </w:r>
    </w:p>
    <w:p w14:paraId="1D5E12C1" w14:textId="77777777" w:rsidR="00A17495" w:rsidRPr="00A17495" w:rsidRDefault="00A17495" w:rsidP="00A17495">
      <w:pPr>
        <w:numPr>
          <w:ilvl w:val="1"/>
          <w:numId w:val="29"/>
        </w:numPr>
        <w:spacing w:before="240" w:after="240"/>
      </w:pPr>
      <w:r w:rsidRPr="00A17495">
        <w:t>Grade four – Results showed an increase of 8.07 percent</w:t>
      </w:r>
    </w:p>
    <w:p w14:paraId="3D0235F4" w14:textId="77777777" w:rsidR="00A17495" w:rsidRPr="00A17495" w:rsidRDefault="00A17495" w:rsidP="00A17495">
      <w:pPr>
        <w:numPr>
          <w:ilvl w:val="0"/>
          <w:numId w:val="29"/>
        </w:numPr>
        <w:spacing w:before="240" w:after="240"/>
      </w:pPr>
      <w:bookmarkStart w:id="14" w:name="_Hlk31888587"/>
      <w:r w:rsidRPr="00A17495">
        <w:t>Math by Grade Level</w:t>
      </w:r>
    </w:p>
    <w:bookmarkEnd w:id="14"/>
    <w:p w14:paraId="18DCA231" w14:textId="77777777" w:rsidR="00A17495" w:rsidRPr="00A17495" w:rsidRDefault="00A17495" w:rsidP="00A17495">
      <w:pPr>
        <w:numPr>
          <w:ilvl w:val="1"/>
          <w:numId w:val="29"/>
        </w:numPr>
        <w:spacing w:before="240" w:after="240"/>
        <w:contextualSpacing/>
      </w:pPr>
      <w:r w:rsidRPr="00A17495">
        <w:t>Grade eight – Results showed a decrease of 17.54 percent</w:t>
      </w:r>
    </w:p>
    <w:p w14:paraId="6346EF64" w14:textId="77777777" w:rsidR="00A17495" w:rsidRPr="00A17495" w:rsidRDefault="00A17495" w:rsidP="00A17495">
      <w:pPr>
        <w:numPr>
          <w:ilvl w:val="1"/>
          <w:numId w:val="29"/>
        </w:numPr>
        <w:spacing w:before="240" w:after="240"/>
        <w:contextualSpacing/>
      </w:pPr>
      <w:r w:rsidRPr="00A17495">
        <w:t>Grade six – Results showed an increase of 15.95 percent</w:t>
      </w:r>
    </w:p>
    <w:p w14:paraId="335AB502" w14:textId="77777777" w:rsidR="00A17495" w:rsidRPr="00A17495" w:rsidRDefault="00A17495" w:rsidP="00A17495">
      <w:pPr>
        <w:numPr>
          <w:ilvl w:val="1"/>
          <w:numId w:val="29"/>
        </w:numPr>
        <w:spacing w:before="240" w:after="240"/>
        <w:contextualSpacing/>
      </w:pPr>
      <w:r w:rsidRPr="00A17495">
        <w:t>Grade five – Results showed a decrease of 21.58 percent</w:t>
      </w:r>
    </w:p>
    <w:p w14:paraId="39DED3DC" w14:textId="77777777" w:rsidR="00A17495" w:rsidRPr="00A17495" w:rsidRDefault="00A17495" w:rsidP="00A17495">
      <w:pPr>
        <w:numPr>
          <w:ilvl w:val="1"/>
          <w:numId w:val="29"/>
        </w:numPr>
        <w:spacing w:before="240" w:after="240"/>
        <w:contextualSpacing/>
      </w:pPr>
      <w:r w:rsidRPr="00A17495">
        <w:t>Grade four – Results showed an increase of 18.61 percent</w:t>
      </w:r>
    </w:p>
    <w:p w14:paraId="3472795D" w14:textId="77777777" w:rsidR="00A17495" w:rsidRPr="00A17495" w:rsidRDefault="00A17495" w:rsidP="00A17495">
      <w:pPr>
        <w:numPr>
          <w:ilvl w:val="1"/>
          <w:numId w:val="29"/>
        </w:numPr>
        <w:spacing w:before="240" w:after="240"/>
      </w:pPr>
      <w:r w:rsidRPr="00A17495">
        <w:t>Grade three – Results showed an increase of 16.41 percent</w:t>
      </w:r>
    </w:p>
    <w:p w14:paraId="26A6A17B" w14:textId="77777777" w:rsidR="00A17495" w:rsidRPr="00A17495" w:rsidRDefault="00A17495" w:rsidP="00A17495">
      <w:pPr>
        <w:numPr>
          <w:ilvl w:val="0"/>
          <w:numId w:val="29"/>
        </w:numPr>
        <w:spacing w:before="240" w:after="240"/>
      </w:pPr>
      <w:r w:rsidRPr="00A17495">
        <w:t>Cohort Over a Three-Year Period from 2016–17 through 2018–19</w:t>
      </w:r>
    </w:p>
    <w:p w14:paraId="618DA41A" w14:textId="77777777" w:rsidR="00A17495" w:rsidRPr="00A17495" w:rsidRDefault="00A17495" w:rsidP="00A17495">
      <w:pPr>
        <w:numPr>
          <w:ilvl w:val="1"/>
          <w:numId w:val="29"/>
        </w:numPr>
        <w:spacing w:before="240" w:after="240"/>
      </w:pPr>
      <w:r w:rsidRPr="00A17495">
        <w:t>Grade three through grade five cohort: Results showed a decrease of 5.93 percent in ELA and a decrease of 21.75 percent in math</w:t>
      </w:r>
    </w:p>
    <w:p w14:paraId="11DD7109" w14:textId="77777777" w:rsidR="00A17495" w:rsidRPr="00A17495" w:rsidRDefault="00A17495" w:rsidP="00A17495">
      <w:pPr>
        <w:numPr>
          <w:ilvl w:val="1"/>
          <w:numId w:val="29"/>
        </w:numPr>
        <w:spacing w:before="240" w:after="240"/>
      </w:pPr>
      <w:r w:rsidRPr="00A17495">
        <w:t>Grade six through grade eight cohort: Results showed an increase of 4.83 percent in ELA and an increase of 1.9 percent in math</w:t>
      </w:r>
    </w:p>
    <w:p w14:paraId="774615D9" w14:textId="6A55C864" w:rsidR="00A17495" w:rsidRPr="00A17495" w:rsidRDefault="00A17495" w:rsidP="00A17495">
      <w:pPr>
        <w:spacing w:before="240" w:after="240"/>
        <w:rPr>
          <w:rFonts w:eastAsia="Calibri"/>
        </w:rPr>
      </w:pPr>
      <w:r w:rsidRPr="00A17495">
        <w:rPr>
          <w:rFonts w:eastAsia="Calibri"/>
        </w:rPr>
        <w:t>The following tables show a comparison of the percentage of pupils that met/exceeded standards on the 2017–18 and 2018–19 CAASPP assessments for ELA and math for TFSCSI and IUSD, which indicates that TFSCSI generally outperforms IUSD for pupils schoolwide and for pupil subgroups (Attachment 7</w:t>
      </w:r>
      <w:r w:rsidR="00361D6B">
        <w:rPr>
          <w:rFonts w:eastAsia="Calibri"/>
        </w:rPr>
        <w:t xml:space="preserve"> </w:t>
      </w:r>
      <w:r w:rsidR="00361D6B">
        <w:rPr>
          <w:rFonts w:cstheme="majorBidi"/>
        </w:rPr>
        <w:t xml:space="preserve">of Agenda Item 08 on the ACCS </w:t>
      </w:r>
      <w:r w:rsidR="00361D6B">
        <w:rPr>
          <w:rFonts w:cstheme="majorBidi"/>
        </w:rPr>
        <w:lastRenderedPageBreak/>
        <w:t xml:space="preserve">June 9, 2020, Meeting Notice on the SBE ACCS web page at </w:t>
      </w:r>
      <w:hyperlink r:id="rId19" w:tooltip="June 2020 ACCS Meeting Agenda web page" w:history="1">
        <w:r w:rsidR="00D8434A" w:rsidRPr="00EC3CB5">
          <w:rPr>
            <w:rStyle w:val="Hyperlink"/>
          </w:rPr>
          <w:t>https://www.cde.ca.gov/be/cc/cs/accsnotice060920.asp</w:t>
        </w:r>
      </w:hyperlink>
      <w:r w:rsidRPr="00A17495">
        <w:rPr>
          <w:rFonts w:eastAsia="Calibri"/>
        </w:rPr>
        <w:t>).</w:t>
      </w:r>
      <w:bookmarkEnd w:id="13"/>
    </w:p>
    <w:p w14:paraId="56C10CC8" w14:textId="77777777" w:rsidR="00A17495" w:rsidRPr="00A17495" w:rsidRDefault="00A17495" w:rsidP="00A17495">
      <w:pPr>
        <w:autoSpaceDE w:val="0"/>
        <w:autoSpaceDN w:val="0"/>
        <w:adjustRightInd w:val="0"/>
        <w:spacing w:before="100" w:beforeAutospacing="1" w:after="100" w:afterAutospacing="1"/>
        <w:rPr>
          <w:rFonts w:eastAsia="Calibri" w:cs="Arial"/>
          <w:b/>
          <w:bCs/>
        </w:rPr>
      </w:pPr>
      <w:bookmarkStart w:id="15" w:name="_Hlk31875838"/>
      <w:r w:rsidRPr="00A17495">
        <w:rPr>
          <w:rFonts w:eastAsia="Calibri" w:cs="Arial"/>
          <w:b/>
        </w:rPr>
        <w:t xml:space="preserve">CAASPP Results by Subgroup for TFSCSI </w:t>
      </w:r>
      <w:r w:rsidRPr="00A17495">
        <w:rPr>
          <w:rFonts w:eastAsia="Calibri" w:cs="Arial"/>
          <w:b/>
          <w:bCs/>
        </w:rPr>
        <w:t>(Percent Meets/Exceeds Standards)</w:t>
      </w:r>
    </w:p>
    <w:tbl>
      <w:tblPr>
        <w:tblStyle w:val="GridTable1Light1211412"/>
        <w:tblW w:w="5000" w:type="pct"/>
        <w:tblLook w:val="04A0" w:firstRow="1" w:lastRow="0" w:firstColumn="1" w:lastColumn="0" w:noHBand="0" w:noVBand="1"/>
        <w:tblDescription w:val="CAASPP Results by Subgroup for TFSCSI (Percent Meets/Exceeds Standards)"/>
      </w:tblPr>
      <w:tblGrid>
        <w:gridCol w:w="2873"/>
        <w:gridCol w:w="817"/>
        <w:gridCol w:w="1347"/>
        <w:gridCol w:w="1441"/>
        <w:gridCol w:w="988"/>
        <w:gridCol w:w="990"/>
        <w:gridCol w:w="894"/>
      </w:tblGrid>
      <w:tr w:rsidR="00A17495" w:rsidRPr="00A17495" w14:paraId="5031F795" w14:textId="77777777" w:rsidTr="00A1749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37" w:type="pct"/>
            <w:shd w:val="clear" w:color="auto" w:fill="D9D9D9" w:themeFill="background1" w:themeFillShade="D9"/>
            <w:vAlign w:val="center"/>
          </w:tcPr>
          <w:p w14:paraId="471444AD" w14:textId="77777777" w:rsidR="00A17495" w:rsidRPr="00A17495" w:rsidRDefault="00A17495" w:rsidP="00A17495">
            <w:pPr>
              <w:rPr>
                <w:rFonts w:eastAsia="Calibri" w:cs="Arial"/>
              </w:rPr>
            </w:pPr>
            <w:r w:rsidRPr="00A17495">
              <w:rPr>
                <w:rFonts w:eastAsia="Calibri" w:cs="Arial"/>
              </w:rPr>
              <w:t>TFSCSI</w:t>
            </w:r>
          </w:p>
        </w:tc>
        <w:tc>
          <w:tcPr>
            <w:tcW w:w="434" w:type="pct"/>
            <w:shd w:val="clear" w:color="auto" w:fill="D9D9D9" w:themeFill="background1" w:themeFillShade="D9"/>
            <w:vAlign w:val="center"/>
          </w:tcPr>
          <w:p w14:paraId="6F9B6987"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All</w:t>
            </w:r>
          </w:p>
        </w:tc>
        <w:tc>
          <w:tcPr>
            <w:tcW w:w="721" w:type="pct"/>
            <w:shd w:val="clear" w:color="auto" w:fill="D9D9D9" w:themeFill="background1" w:themeFillShade="D9"/>
            <w:vAlign w:val="center"/>
          </w:tcPr>
          <w:p w14:paraId="382C413A"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African-American</w:t>
            </w:r>
          </w:p>
        </w:tc>
        <w:tc>
          <w:tcPr>
            <w:tcW w:w="771" w:type="pct"/>
            <w:shd w:val="clear" w:color="auto" w:fill="D9D9D9" w:themeFill="background1" w:themeFillShade="D9"/>
            <w:vAlign w:val="center"/>
          </w:tcPr>
          <w:p w14:paraId="14CF182D"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Hispanic/ Latino</w:t>
            </w:r>
          </w:p>
        </w:tc>
        <w:tc>
          <w:tcPr>
            <w:tcW w:w="529" w:type="pct"/>
            <w:shd w:val="clear" w:color="auto" w:fill="D9D9D9" w:themeFill="background1" w:themeFillShade="D9"/>
            <w:vAlign w:val="center"/>
          </w:tcPr>
          <w:p w14:paraId="67DF4279"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SED</w:t>
            </w:r>
          </w:p>
        </w:tc>
        <w:tc>
          <w:tcPr>
            <w:tcW w:w="530" w:type="pct"/>
            <w:shd w:val="clear" w:color="auto" w:fill="D9D9D9" w:themeFill="background1" w:themeFillShade="D9"/>
            <w:vAlign w:val="center"/>
          </w:tcPr>
          <w:p w14:paraId="7B060AC6"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EL</w:t>
            </w:r>
          </w:p>
        </w:tc>
        <w:tc>
          <w:tcPr>
            <w:tcW w:w="478" w:type="pct"/>
            <w:shd w:val="clear" w:color="auto" w:fill="D9D9D9" w:themeFill="background1" w:themeFillShade="D9"/>
            <w:vAlign w:val="center"/>
          </w:tcPr>
          <w:p w14:paraId="31D84092"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SPED</w:t>
            </w:r>
          </w:p>
        </w:tc>
      </w:tr>
      <w:tr w:rsidR="00A17495" w:rsidRPr="00A17495" w14:paraId="2CF5B89B"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27F3E11A" w14:textId="77777777" w:rsidR="00A17495" w:rsidRPr="00A17495" w:rsidRDefault="00A17495" w:rsidP="00A17495">
            <w:pPr>
              <w:rPr>
                <w:rFonts w:eastAsia="Calibri" w:cs="Arial"/>
              </w:rPr>
            </w:pPr>
            <w:r w:rsidRPr="00A17495">
              <w:rPr>
                <w:rFonts w:eastAsia="Calibri" w:cs="Arial"/>
              </w:rPr>
              <w:t>2017–18 ELA</w:t>
            </w:r>
          </w:p>
        </w:tc>
        <w:tc>
          <w:tcPr>
            <w:tcW w:w="434" w:type="pct"/>
            <w:shd w:val="clear" w:color="auto" w:fill="E7E6E6" w:themeFill="background2"/>
            <w:vAlign w:val="center"/>
          </w:tcPr>
          <w:p w14:paraId="520F715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45.86</w:t>
            </w:r>
          </w:p>
        </w:tc>
        <w:tc>
          <w:tcPr>
            <w:tcW w:w="721" w:type="pct"/>
            <w:shd w:val="clear" w:color="auto" w:fill="E7E6E6" w:themeFill="background2"/>
            <w:vAlign w:val="center"/>
          </w:tcPr>
          <w:p w14:paraId="357C2113"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37.41</w:t>
            </w:r>
          </w:p>
        </w:tc>
        <w:tc>
          <w:tcPr>
            <w:tcW w:w="771" w:type="pct"/>
            <w:shd w:val="clear" w:color="auto" w:fill="E7E6E6" w:themeFill="background2"/>
            <w:vAlign w:val="center"/>
          </w:tcPr>
          <w:p w14:paraId="760DA327"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53.43</w:t>
            </w:r>
          </w:p>
        </w:tc>
        <w:tc>
          <w:tcPr>
            <w:tcW w:w="529" w:type="pct"/>
            <w:shd w:val="clear" w:color="auto" w:fill="E7E6E6" w:themeFill="background2"/>
            <w:vAlign w:val="center"/>
          </w:tcPr>
          <w:p w14:paraId="0438F36D"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45.55</w:t>
            </w:r>
          </w:p>
        </w:tc>
        <w:tc>
          <w:tcPr>
            <w:tcW w:w="530" w:type="pct"/>
            <w:shd w:val="clear" w:color="auto" w:fill="E7E6E6" w:themeFill="background2"/>
            <w:vAlign w:val="center"/>
          </w:tcPr>
          <w:p w14:paraId="17DF5193"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35.21</w:t>
            </w:r>
          </w:p>
        </w:tc>
        <w:tc>
          <w:tcPr>
            <w:tcW w:w="478" w:type="pct"/>
            <w:shd w:val="clear" w:color="auto" w:fill="E7E6E6" w:themeFill="background2"/>
            <w:vAlign w:val="center"/>
          </w:tcPr>
          <w:p w14:paraId="6D4937FC"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14.29</w:t>
            </w:r>
          </w:p>
        </w:tc>
      </w:tr>
      <w:tr w:rsidR="00A17495" w:rsidRPr="00A17495" w14:paraId="1B97CCAE"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69B7E819" w14:textId="77777777" w:rsidR="00A17495" w:rsidRPr="00A17495" w:rsidRDefault="00A17495" w:rsidP="00A17495">
            <w:pPr>
              <w:autoSpaceDE w:val="0"/>
              <w:autoSpaceDN w:val="0"/>
              <w:adjustRightInd w:val="0"/>
              <w:rPr>
                <w:rFonts w:eastAsia="Calibri" w:cs="Arial"/>
              </w:rPr>
            </w:pPr>
            <w:r w:rsidRPr="00A17495">
              <w:rPr>
                <w:rFonts w:eastAsia="Calibri" w:cs="Arial"/>
              </w:rPr>
              <w:t>2017–18 Math</w:t>
            </w:r>
          </w:p>
        </w:tc>
        <w:tc>
          <w:tcPr>
            <w:tcW w:w="434" w:type="pct"/>
            <w:shd w:val="clear" w:color="auto" w:fill="E7E6E6" w:themeFill="background2"/>
            <w:vAlign w:val="center"/>
          </w:tcPr>
          <w:p w14:paraId="4F500676"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31.83</w:t>
            </w:r>
          </w:p>
        </w:tc>
        <w:tc>
          <w:tcPr>
            <w:tcW w:w="721" w:type="pct"/>
            <w:shd w:val="clear" w:color="auto" w:fill="E7E6E6" w:themeFill="background2"/>
            <w:vAlign w:val="center"/>
          </w:tcPr>
          <w:p w14:paraId="4C14AE9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23.92</w:t>
            </w:r>
          </w:p>
        </w:tc>
        <w:tc>
          <w:tcPr>
            <w:tcW w:w="771" w:type="pct"/>
            <w:shd w:val="clear" w:color="auto" w:fill="E7E6E6" w:themeFill="background2"/>
            <w:vAlign w:val="center"/>
          </w:tcPr>
          <w:p w14:paraId="507B9D6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40.41</w:t>
            </w:r>
          </w:p>
        </w:tc>
        <w:tc>
          <w:tcPr>
            <w:tcW w:w="529" w:type="pct"/>
            <w:shd w:val="clear" w:color="auto" w:fill="E7E6E6" w:themeFill="background2"/>
            <w:vAlign w:val="center"/>
          </w:tcPr>
          <w:p w14:paraId="3151F5CC"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31.97</w:t>
            </w:r>
          </w:p>
        </w:tc>
        <w:tc>
          <w:tcPr>
            <w:tcW w:w="530" w:type="pct"/>
            <w:shd w:val="clear" w:color="auto" w:fill="E7E6E6" w:themeFill="background2"/>
            <w:vAlign w:val="center"/>
          </w:tcPr>
          <w:p w14:paraId="304F5F3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29.57</w:t>
            </w:r>
          </w:p>
        </w:tc>
        <w:tc>
          <w:tcPr>
            <w:tcW w:w="478" w:type="pct"/>
            <w:shd w:val="clear" w:color="auto" w:fill="E7E6E6" w:themeFill="background2"/>
            <w:vAlign w:val="center"/>
          </w:tcPr>
          <w:p w14:paraId="70056F9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11.43</w:t>
            </w:r>
          </w:p>
        </w:tc>
      </w:tr>
      <w:tr w:rsidR="00A17495" w:rsidRPr="00A17495" w14:paraId="07545D3B"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2993DF64" w14:textId="77777777" w:rsidR="00A17495" w:rsidRPr="00A17495" w:rsidRDefault="00A17495" w:rsidP="00A17495">
            <w:pPr>
              <w:rPr>
                <w:rFonts w:eastAsia="Calibri" w:cs="Arial"/>
              </w:rPr>
            </w:pPr>
            <w:r w:rsidRPr="00A17495">
              <w:rPr>
                <w:rFonts w:eastAsia="Calibri" w:cs="Arial"/>
              </w:rPr>
              <w:t>2018–19 ELA</w:t>
            </w:r>
          </w:p>
        </w:tc>
        <w:tc>
          <w:tcPr>
            <w:tcW w:w="434" w:type="pct"/>
            <w:shd w:val="clear" w:color="auto" w:fill="E7E6E6" w:themeFill="background2"/>
            <w:vAlign w:val="center"/>
          </w:tcPr>
          <w:p w14:paraId="28EDD14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36.49</w:t>
            </w:r>
          </w:p>
        </w:tc>
        <w:tc>
          <w:tcPr>
            <w:tcW w:w="721" w:type="pct"/>
            <w:shd w:val="clear" w:color="auto" w:fill="E7E6E6" w:themeFill="background2"/>
            <w:vAlign w:val="center"/>
          </w:tcPr>
          <w:p w14:paraId="468345D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33.58</w:t>
            </w:r>
          </w:p>
        </w:tc>
        <w:tc>
          <w:tcPr>
            <w:tcW w:w="771" w:type="pct"/>
            <w:shd w:val="clear" w:color="auto" w:fill="E7E6E6" w:themeFill="background2"/>
            <w:vAlign w:val="center"/>
          </w:tcPr>
          <w:p w14:paraId="351C601E"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38.69</w:t>
            </w:r>
          </w:p>
        </w:tc>
        <w:tc>
          <w:tcPr>
            <w:tcW w:w="529" w:type="pct"/>
            <w:shd w:val="clear" w:color="auto" w:fill="E7E6E6" w:themeFill="background2"/>
            <w:vAlign w:val="center"/>
          </w:tcPr>
          <w:p w14:paraId="1CA02C27"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37.45</w:t>
            </w:r>
          </w:p>
        </w:tc>
        <w:tc>
          <w:tcPr>
            <w:tcW w:w="530" w:type="pct"/>
            <w:shd w:val="clear" w:color="auto" w:fill="E7E6E6" w:themeFill="background2"/>
            <w:vAlign w:val="center"/>
          </w:tcPr>
          <w:p w14:paraId="47CA920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29.57</w:t>
            </w:r>
          </w:p>
        </w:tc>
        <w:tc>
          <w:tcPr>
            <w:tcW w:w="478" w:type="pct"/>
            <w:shd w:val="clear" w:color="auto" w:fill="E7E6E6" w:themeFill="background2"/>
            <w:vAlign w:val="center"/>
          </w:tcPr>
          <w:p w14:paraId="415224A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9.1</w:t>
            </w:r>
          </w:p>
        </w:tc>
      </w:tr>
      <w:tr w:rsidR="00A17495" w:rsidRPr="00A17495" w14:paraId="534FE05D"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4A895602" w14:textId="77777777" w:rsidR="00A17495" w:rsidRPr="00A17495" w:rsidRDefault="00A17495" w:rsidP="00A17495">
            <w:pPr>
              <w:rPr>
                <w:rFonts w:eastAsia="Calibri" w:cs="Arial"/>
              </w:rPr>
            </w:pPr>
            <w:r w:rsidRPr="00A17495">
              <w:rPr>
                <w:rFonts w:eastAsia="Calibri" w:cs="Arial"/>
              </w:rPr>
              <w:t>2018–19 Math</w:t>
            </w:r>
          </w:p>
        </w:tc>
        <w:tc>
          <w:tcPr>
            <w:tcW w:w="434" w:type="pct"/>
            <w:shd w:val="clear" w:color="auto" w:fill="E7E6E6" w:themeFill="background2"/>
            <w:vAlign w:val="center"/>
          </w:tcPr>
          <w:p w14:paraId="11B55FB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31.58</w:t>
            </w:r>
          </w:p>
        </w:tc>
        <w:tc>
          <w:tcPr>
            <w:tcW w:w="721" w:type="pct"/>
            <w:shd w:val="clear" w:color="auto" w:fill="E7E6E6" w:themeFill="background2"/>
            <w:vAlign w:val="center"/>
          </w:tcPr>
          <w:p w14:paraId="762508C0"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24.63</w:t>
            </w:r>
          </w:p>
        </w:tc>
        <w:tc>
          <w:tcPr>
            <w:tcW w:w="771" w:type="pct"/>
            <w:shd w:val="clear" w:color="auto" w:fill="E7E6E6" w:themeFill="background2"/>
            <w:vAlign w:val="center"/>
          </w:tcPr>
          <w:p w14:paraId="05CDACD5"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37.23</w:t>
            </w:r>
          </w:p>
        </w:tc>
        <w:tc>
          <w:tcPr>
            <w:tcW w:w="529" w:type="pct"/>
            <w:shd w:val="clear" w:color="auto" w:fill="E7E6E6" w:themeFill="background2"/>
            <w:vAlign w:val="center"/>
          </w:tcPr>
          <w:p w14:paraId="3E6C1D41"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33.33</w:t>
            </w:r>
          </w:p>
        </w:tc>
        <w:tc>
          <w:tcPr>
            <w:tcW w:w="530" w:type="pct"/>
            <w:shd w:val="clear" w:color="auto" w:fill="E7E6E6" w:themeFill="background2"/>
            <w:vAlign w:val="center"/>
          </w:tcPr>
          <w:p w14:paraId="54AB1117"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20.51</w:t>
            </w:r>
          </w:p>
        </w:tc>
        <w:tc>
          <w:tcPr>
            <w:tcW w:w="478" w:type="pct"/>
            <w:shd w:val="clear" w:color="auto" w:fill="E7E6E6" w:themeFill="background2"/>
            <w:vAlign w:val="center"/>
          </w:tcPr>
          <w:p w14:paraId="41BB8E53"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9.1</w:t>
            </w:r>
          </w:p>
        </w:tc>
      </w:tr>
    </w:tbl>
    <w:p w14:paraId="3A5F444D" w14:textId="77777777" w:rsidR="00A17495" w:rsidRPr="00A17495" w:rsidRDefault="00A17495" w:rsidP="00A17495">
      <w:pPr>
        <w:autoSpaceDE w:val="0"/>
        <w:autoSpaceDN w:val="0"/>
        <w:adjustRightInd w:val="0"/>
        <w:spacing w:before="100" w:beforeAutospacing="1" w:after="100" w:afterAutospacing="1"/>
        <w:rPr>
          <w:rFonts w:eastAsia="Calibri" w:cs="Arial"/>
          <w:b/>
          <w:bCs/>
        </w:rPr>
      </w:pPr>
      <w:r w:rsidRPr="00A17495">
        <w:rPr>
          <w:rFonts w:eastAsia="Calibri" w:cs="Arial"/>
          <w:b/>
        </w:rPr>
        <w:t xml:space="preserve">CAASPP Results by Subgroup for IUSD </w:t>
      </w:r>
      <w:r w:rsidRPr="00A17495">
        <w:rPr>
          <w:rFonts w:eastAsia="Calibri" w:cs="Arial"/>
          <w:b/>
          <w:bCs/>
        </w:rPr>
        <w:t>(Percent Meets/Exceeds Standards)</w:t>
      </w:r>
    </w:p>
    <w:tbl>
      <w:tblPr>
        <w:tblStyle w:val="GridTable1Light1211412"/>
        <w:tblW w:w="5000" w:type="pct"/>
        <w:tblLook w:val="04A0" w:firstRow="1" w:lastRow="0" w:firstColumn="1" w:lastColumn="0" w:noHBand="0" w:noVBand="1"/>
        <w:tblDescription w:val="CAASPP Results by Subgroup for IUSD (Percent Meets/Exceeds Standards)"/>
      </w:tblPr>
      <w:tblGrid>
        <w:gridCol w:w="2873"/>
        <w:gridCol w:w="817"/>
        <w:gridCol w:w="1347"/>
        <w:gridCol w:w="1441"/>
        <w:gridCol w:w="988"/>
        <w:gridCol w:w="990"/>
        <w:gridCol w:w="894"/>
      </w:tblGrid>
      <w:tr w:rsidR="00A17495" w:rsidRPr="00A17495" w14:paraId="77D99C80" w14:textId="77777777" w:rsidTr="00A1749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37" w:type="pct"/>
            <w:shd w:val="clear" w:color="auto" w:fill="D9D9D9" w:themeFill="background1" w:themeFillShade="D9"/>
            <w:vAlign w:val="center"/>
          </w:tcPr>
          <w:p w14:paraId="73CC02C1" w14:textId="77777777" w:rsidR="00A17495" w:rsidRPr="00A17495" w:rsidRDefault="00A17495" w:rsidP="00A17495">
            <w:pPr>
              <w:rPr>
                <w:rFonts w:eastAsia="Calibri" w:cs="Arial"/>
              </w:rPr>
            </w:pPr>
            <w:r w:rsidRPr="00A17495">
              <w:rPr>
                <w:rFonts w:eastAsia="Calibri" w:cs="Arial"/>
              </w:rPr>
              <w:t>IUSD</w:t>
            </w:r>
          </w:p>
        </w:tc>
        <w:tc>
          <w:tcPr>
            <w:tcW w:w="434" w:type="pct"/>
            <w:shd w:val="clear" w:color="auto" w:fill="D9D9D9" w:themeFill="background1" w:themeFillShade="D9"/>
            <w:vAlign w:val="center"/>
          </w:tcPr>
          <w:p w14:paraId="74929C92"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All</w:t>
            </w:r>
          </w:p>
        </w:tc>
        <w:tc>
          <w:tcPr>
            <w:tcW w:w="721" w:type="pct"/>
            <w:shd w:val="clear" w:color="auto" w:fill="D9D9D9" w:themeFill="background1" w:themeFillShade="D9"/>
            <w:vAlign w:val="center"/>
          </w:tcPr>
          <w:p w14:paraId="378D93FC"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African-American</w:t>
            </w:r>
          </w:p>
        </w:tc>
        <w:tc>
          <w:tcPr>
            <w:tcW w:w="771" w:type="pct"/>
            <w:shd w:val="clear" w:color="auto" w:fill="D9D9D9" w:themeFill="background1" w:themeFillShade="D9"/>
            <w:vAlign w:val="center"/>
          </w:tcPr>
          <w:p w14:paraId="4D7309A1"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Hispanic/ Latino</w:t>
            </w:r>
          </w:p>
        </w:tc>
        <w:tc>
          <w:tcPr>
            <w:tcW w:w="529" w:type="pct"/>
            <w:shd w:val="clear" w:color="auto" w:fill="D9D9D9" w:themeFill="background1" w:themeFillShade="D9"/>
            <w:vAlign w:val="center"/>
          </w:tcPr>
          <w:p w14:paraId="51455295"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SED</w:t>
            </w:r>
          </w:p>
        </w:tc>
        <w:tc>
          <w:tcPr>
            <w:tcW w:w="530" w:type="pct"/>
            <w:shd w:val="clear" w:color="auto" w:fill="D9D9D9" w:themeFill="background1" w:themeFillShade="D9"/>
            <w:vAlign w:val="center"/>
          </w:tcPr>
          <w:p w14:paraId="6B7E09F3"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EL</w:t>
            </w:r>
          </w:p>
        </w:tc>
        <w:tc>
          <w:tcPr>
            <w:tcW w:w="478" w:type="pct"/>
            <w:shd w:val="clear" w:color="auto" w:fill="D9D9D9" w:themeFill="background1" w:themeFillShade="D9"/>
            <w:vAlign w:val="center"/>
          </w:tcPr>
          <w:p w14:paraId="5D5097BA" w14:textId="77777777" w:rsidR="00A17495" w:rsidRPr="00A17495" w:rsidRDefault="00A17495" w:rsidP="00A17495">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SPED</w:t>
            </w:r>
          </w:p>
        </w:tc>
      </w:tr>
      <w:tr w:rsidR="00A17495" w:rsidRPr="00A17495" w14:paraId="385B67EB"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7255C3D9" w14:textId="77777777" w:rsidR="00A17495" w:rsidRPr="00A17495" w:rsidRDefault="00A17495" w:rsidP="00A17495">
            <w:pPr>
              <w:rPr>
                <w:rFonts w:eastAsia="Calibri" w:cs="Arial"/>
              </w:rPr>
            </w:pPr>
            <w:r w:rsidRPr="00A17495">
              <w:rPr>
                <w:rFonts w:eastAsia="Calibri" w:cs="Arial"/>
              </w:rPr>
              <w:t>2017–18 ELA</w:t>
            </w:r>
          </w:p>
        </w:tc>
        <w:tc>
          <w:tcPr>
            <w:tcW w:w="434" w:type="pct"/>
            <w:shd w:val="clear" w:color="auto" w:fill="E7E6E6" w:themeFill="background2"/>
            <w:vAlign w:val="center"/>
          </w:tcPr>
          <w:p w14:paraId="5F4744A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30.01</w:t>
            </w:r>
          </w:p>
        </w:tc>
        <w:tc>
          <w:tcPr>
            <w:tcW w:w="721" w:type="pct"/>
            <w:shd w:val="clear" w:color="auto" w:fill="E7E6E6" w:themeFill="background2"/>
            <w:vAlign w:val="center"/>
          </w:tcPr>
          <w:p w14:paraId="4C21BF5E"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28.55</w:t>
            </w:r>
          </w:p>
        </w:tc>
        <w:tc>
          <w:tcPr>
            <w:tcW w:w="771" w:type="pct"/>
            <w:shd w:val="clear" w:color="auto" w:fill="E7E6E6" w:themeFill="background2"/>
            <w:vAlign w:val="center"/>
          </w:tcPr>
          <w:p w14:paraId="45B746ED"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30.60</w:t>
            </w:r>
          </w:p>
        </w:tc>
        <w:tc>
          <w:tcPr>
            <w:tcW w:w="529" w:type="pct"/>
            <w:shd w:val="clear" w:color="auto" w:fill="E7E6E6" w:themeFill="background2"/>
            <w:vAlign w:val="center"/>
          </w:tcPr>
          <w:p w14:paraId="2328BA68"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29.41</w:t>
            </w:r>
          </w:p>
        </w:tc>
        <w:tc>
          <w:tcPr>
            <w:tcW w:w="530" w:type="pct"/>
            <w:shd w:val="clear" w:color="auto" w:fill="E7E6E6" w:themeFill="background2"/>
            <w:vAlign w:val="center"/>
          </w:tcPr>
          <w:p w14:paraId="6C83E61F"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14.84</w:t>
            </w:r>
          </w:p>
        </w:tc>
        <w:tc>
          <w:tcPr>
            <w:tcW w:w="478" w:type="pct"/>
            <w:shd w:val="clear" w:color="auto" w:fill="E7E6E6" w:themeFill="background2"/>
            <w:vAlign w:val="center"/>
          </w:tcPr>
          <w:p w14:paraId="1B2011E6" w14:textId="77777777" w:rsidR="00A17495" w:rsidRPr="00A17495" w:rsidRDefault="00A17495" w:rsidP="00A1749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A17495">
              <w:rPr>
                <w:rFonts w:eastAsia="Calibri" w:cs="Arial"/>
              </w:rPr>
              <w:t>7.83</w:t>
            </w:r>
          </w:p>
        </w:tc>
      </w:tr>
      <w:tr w:rsidR="00A17495" w:rsidRPr="00A17495" w14:paraId="34CC3E9E"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25AE612A" w14:textId="77777777" w:rsidR="00A17495" w:rsidRPr="00A17495" w:rsidRDefault="00A17495" w:rsidP="00A17495">
            <w:pPr>
              <w:autoSpaceDE w:val="0"/>
              <w:autoSpaceDN w:val="0"/>
              <w:adjustRightInd w:val="0"/>
              <w:rPr>
                <w:rFonts w:eastAsia="Calibri" w:cs="Arial"/>
              </w:rPr>
            </w:pPr>
            <w:r w:rsidRPr="00A17495">
              <w:rPr>
                <w:rFonts w:eastAsia="Calibri" w:cs="Arial"/>
              </w:rPr>
              <w:t>2017–18 Math</w:t>
            </w:r>
          </w:p>
        </w:tc>
        <w:tc>
          <w:tcPr>
            <w:tcW w:w="434" w:type="pct"/>
            <w:shd w:val="clear" w:color="auto" w:fill="E7E6E6" w:themeFill="background2"/>
            <w:vAlign w:val="center"/>
          </w:tcPr>
          <w:p w14:paraId="2DD243FA"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18.90</w:t>
            </w:r>
          </w:p>
        </w:tc>
        <w:tc>
          <w:tcPr>
            <w:tcW w:w="721" w:type="pct"/>
            <w:shd w:val="clear" w:color="auto" w:fill="E7E6E6" w:themeFill="background2"/>
            <w:vAlign w:val="center"/>
          </w:tcPr>
          <w:p w14:paraId="76869EB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15.87</w:t>
            </w:r>
          </w:p>
        </w:tc>
        <w:tc>
          <w:tcPr>
            <w:tcW w:w="771" w:type="pct"/>
            <w:shd w:val="clear" w:color="auto" w:fill="E7E6E6" w:themeFill="background2"/>
            <w:vAlign w:val="center"/>
          </w:tcPr>
          <w:p w14:paraId="2584BF75"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20.35</w:t>
            </w:r>
          </w:p>
        </w:tc>
        <w:tc>
          <w:tcPr>
            <w:tcW w:w="529" w:type="pct"/>
            <w:shd w:val="clear" w:color="auto" w:fill="E7E6E6" w:themeFill="background2"/>
            <w:vAlign w:val="center"/>
          </w:tcPr>
          <w:p w14:paraId="70B1BCA6"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18.77</w:t>
            </w:r>
          </w:p>
        </w:tc>
        <w:tc>
          <w:tcPr>
            <w:tcW w:w="530" w:type="pct"/>
            <w:shd w:val="clear" w:color="auto" w:fill="E7E6E6" w:themeFill="background2"/>
            <w:vAlign w:val="center"/>
          </w:tcPr>
          <w:p w14:paraId="6D9F21A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11.19</w:t>
            </w:r>
          </w:p>
        </w:tc>
        <w:tc>
          <w:tcPr>
            <w:tcW w:w="478" w:type="pct"/>
            <w:shd w:val="clear" w:color="auto" w:fill="E7E6E6" w:themeFill="background2"/>
            <w:vAlign w:val="center"/>
          </w:tcPr>
          <w:p w14:paraId="0CDA7BCE"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6.39</w:t>
            </w:r>
          </w:p>
        </w:tc>
      </w:tr>
      <w:tr w:rsidR="00A17495" w:rsidRPr="00A17495" w14:paraId="715B0703"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1A8AF065" w14:textId="77777777" w:rsidR="00A17495" w:rsidRPr="00A17495" w:rsidRDefault="00A17495" w:rsidP="00A17495">
            <w:pPr>
              <w:rPr>
                <w:rFonts w:eastAsia="Calibri" w:cs="Arial"/>
              </w:rPr>
            </w:pPr>
            <w:r w:rsidRPr="00A17495">
              <w:rPr>
                <w:rFonts w:eastAsia="Calibri" w:cs="Arial"/>
              </w:rPr>
              <w:t>2018–19 ELA</w:t>
            </w:r>
          </w:p>
        </w:tc>
        <w:tc>
          <w:tcPr>
            <w:tcW w:w="434" w:type="pct"/>
            <w:shd w:val="clear" w:color="auto" w:fill="E7E6E6" w:themeFill="background2"/>
            <w:vAlign w:val="center"/>
          </w:tcPr>
          <w:p w14:paraId="5F35009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30.01</w:t>
            </w:r>
          </w:p>
        </w:tc>
        <w:tc>
          <w:tcPr>
            <w:tcW w:w="721" w:type="pct"/>
            <w:shd w:val="clear" w:color="auto" w:fill="E7E6E6" w:themeFill="background2"/>
            <w:vAlign w:val="center"/>
          </w:tcPr>
          <w:p w14:paraId="0F65BADE"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27.68</w:t>
            </w:r>
          </w:p>
        </w:tc>
        <w:tc>
          <w:tcPr>
            <w:tcW w:w="771" w:type="pct"/>
            <w:shd w:val="clear" w:color="auto" w:fill="E7E6E6" w:themeFill="background2"/>
            <w:vAlign w:val="center"/>
          </w:tcPr>
          <w:p w14:paraId="4CBE87BA"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30.96</w:t>
            </w:r>
          </w:p>
        </w:tc>
        <w:tc>
          <w:tcPr>
            <w:tcW w:w="529" w:type="pct"/>
            <w:shd w:val="clear" w:color="auto" w:fill="E7E6E6" w:themeFill="background2"/>
            <w:vAlign w:val="center"/>
          </w:tcPr>
          <w:p w14:paraId="4469C36F"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29.59</w:t>
            </w:r>
          </w:p>
        </w:tc>
        <w:tc>
          <w:tcPr>
            <w:tcW w:w="530" w:type="pct"/>
            <w:shd w:val="clear" w:color="auto" w:fill="E7E6E6" w:themeFill="background2"/>
            <w:vAlign w:val="center"/>
          </w:tcPr>
          <w:p w14:paraId="287B6380"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5.03</w:t>
            </w:r>
          </w:p>
        </w:tc>
        <w:tc>
          <w:tcPr>
            <w:tcW w:w="478" w:type="pct"/>
            <w:shd w:val="clear" w:color="auto" w:fill="E7E6E6" w:themeFill="background2"/>
            <w:vAlign w:val="center"/>
          </w:tcPr>
          <w:p w14:paraId="20A4E7B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9.35</w:t>
            </w:r>
          </w:p>
        </w:tc>
      </w:tr>
      <w:tr w:rsidR="00A17495" w:rsidRPr="00A17495" w14:paraId="45FF7095" w14:textId="77777777" w:rsidTr="00A17495">
        <w:trPr>
          <w:cantSplit/>
        </w:trPr>
        <w:tc>
          <w:tcPr>
            <w:cnfStyle w:val="001000000000" w:firstRow="0" w:lastRow="0" w:firstColumn="1" w:lastColumn="0" w:oddVBand="0" w:evenVBand="0" w:oddHBand="0" w:evenHBand="0" w:firstRowFirstColumn="0" w:firstRowLastColumn="0" w:lastRowFirstColumn="0" w:lastRowLastColumn="0"/>
            <w:tcW w:w="1537" w:type="pct"/>
            <w:vAlign w:val="center"/>
          </w:tcPr>
          <w:p w14:paraId="4C28F7A0" w14:textId="77777777" w:rsidR="00A17495" w:rsidRPr="00A17495" w:rsidRDefault="00A17495" w:rsidP="00A17495">
            <w:pPr>
              <w:rPr>
                <w:rFonts w:eastAsia="Calibri" w:cs="Arial"/>
              </w:rPr>
            </w:pPr>
            <w:r w:rsidRPr="00A17495">
              <w:rPr>
                <w:rFonts w:eastAsia="Calibri" w:cs="Arial"/>
              </w:rPr>
              <w:t>2018–19 Math</w:t>
            </w:r>
          </w:p>
        </w:tc>
        <w:tc>
          <w:tcPr>
            <w:tcW w:w="434" w:type="pct"/>
            <w:shd w:val="clear" w:color="auto" w:fill="E7E6E6" w:themeFill="background2"/>
            <w:vAlign w:val="center"/>
          </w:tcPr>
          <w:p w14:paraId="5AB08094"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18.54</w:t>
            </w:r>
          </w:p>
        </w:tc>
        <w:tc>
          <w:tcPr>
            <w:tcW w:w="721" w:type="pct"/>
            <w:shd w:val="clear" w:color="auto" w:fill="E7E6E6" w:themeFill="background2"/>
            <w:vAlign w:val="center"/>
          </w:tcPr>
          <w:p w14:paraId="4041843C"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14.38</w:t>
            </w:r>
          </w:p>
        </w:tc>
        <w:tc>
          <w:tcPr>
            <w:tcW w:w="771" w:type="pct"/>
            <w:shd w:val="clear" w:color="auto" w:fill="E7E6E6" w:themeFill="background2"/>
            <w:vAlign w:val="center"/>
          </w:tcPr>
          <w:p w14:paraId="2C7ABCC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20.65</w:t>
            </w:r>
          </w:p>
        </w:tc>
        <w:tc>
          <w:tcPr>
            <w:tcW w:w="529" w:type="pct"/>
            <w:shd w:val="clear" w:color="auto" w:fill="E7E6E6" w:themeFill="background2"/>
            <w:vAlign w:val="center"/>
          </w:tcPr>
          <w:p w14:paraId="7BA9D77D"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18.34</w:t>
            </w:r>
          </w:p>
        </w:tc>
        <w:tc>
          <w:tcPr>
            <w:tcW w:w="530" w:type="pct"/>
            <w:shd w:val="clear" w:color="auto" w:fill="E7E6E6" w:themeFill="background2"/>
            <w:vAlign w:val="center"/>
          </w:tcPr>
          <w:p w14:paraId="3DBCE081"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4.27</w:t>
            </w:r>
          </w:p>
        </w:tc>
        <w:tc>
          <w:tcPr>
            <w:tcW w:w="478" w:type="pct"/>
            <w:shd w:val="clear" w:color="auto" w:fill="E7E6E6" w:themeFill="background2"/>
            <w:vAlign w:val="center"/>
          </w:tcPr>
          <w:p w14:paraId="11FD85B7" w14:textId="77777777" w:rsidR="00A17495" w:rsidRPr="00A17495" w:rsidRDefault="00A17495" w:rsidP="00A1749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sidRPr="00A17495">
              <w:rPr>
                <w:rFonts w:eastAsia="Calibri" w:cs="Arial"/>
                <w:bCs/>
              </w:rPr>
              <w:t>5.4</w:t>
            </w:r>
          </w:p>
        </w:tc>
      </w:tr>
    </w:tbl>
    <w:bookmarkEnd w:id="15"/>
    <w:p w14:paraId="738ED952" w14:textId="52E90B3D" w:rsidR="00A17495" w:rsidRPr="00A17495" w:rsidRDefault="00A17495" w:rsidP="00D8434A">
      <w:pPr>
        <w:pStyle w:val="Heading4"/>
      </w:pPr>
      <w:r w:rsidRPr="00A17495">
        <w:t xml:space="preserve">IUSD’s Review of </w:t>
      </w:r>
      <w:r w:rsidR="004B759E">
        <w:t>Academic</w:t>
      </w:r>
      <w:r w:rsidRPr="00A17495">
        <w:t xml:space="preserve"> Criteria Under </w:t>
      </w:r>
      <w:r w:rsidRPr="00A17495">
        <w:rPr>
          <w:i/>
        </w:rPr>
        <w:t>EC</w:t>
      </w:r>
      <w:r w:rsidRPr="00A17495">
        <w:t xml:space="preserve"> Section 52052–Alternative Measures</w:t>
      </w:r>
    </w:p>
    <w:p w14:paraId="4A340CC9" w14:textId="77777777" w:rsidR="00A17495" w:rsidRPr="00A17495" w:rsidRDefault="00A17495" w:rsidP="00A17495">
      <w:pPr>
        <w:autoSpaceDE w:val="0"/>
        <w:autoSpaceDN w:val="0"/>
        <w:adjustRightInd w:val="0"/>
        <w:spacing w:before="240" w:after="100" w:afterAutospacing="1"/>
        <w:rPr>
          <w:rFonts w:eastAsia="Calibri" w:cs="Arial"/>
          <w:bCs/>
        </w:rPr>
      </w:pPr>
      <w:bookmarkStart w:id="16" w:name="_Hlk28864193"/>
      <w:r w:rsidRPr="00A17495">
        <w:rPr>
          <w:rFonts w:eastAsia="Calibri" w:cs="Arial"/>
          <w:bCs/>
        </w:rPr>
        <w:t xml:space="preserve">Academic Performance Index (API) has not been calculated as of the 2013–14 school year (SY). In such a case, </w:t>
      </w:r>
      <w:r w:rsidRPr="00A17495">
        <w:rPr>
          <w:rFonts w:eastAsia="Calibri" w:cs="Arial"/>
          <w:bCs/>
          <w:i/>
        </w:rPr>
        <w:t>EC</w:t>
      </w:r>
      <w:r w:rsidRPr="00A17495">
        <w:rPr>
          <w:rFonts w:eastAsia="Calibri" w:cs="Arial"/>
          <w:bCs/>
        </w:rPr>
        <w:t xml:space="preserve"> Section 52052(f) provides for the following in determining whether a charter school has met the requirements for the renewal of its charter:</w:t>
      </w:r>
    </w:p>
    <w:p w14:paraId="49DB475F" w14:textId="77777777" w:rsidR="00A17495" w:rsidRPr="00A17495" w:rsidRDefault="00A17495" w:rsidP="00A17495">
      <w:pPr>
        <w:numPr>
          <w:ilvl w:val="0"/>
          <w:numId w:val="22"/>
        </w:numPr>
        <w:autoSpaceDE w:val="0"/>
        <w:autoSpaceDN w:val="0"/>
        <w:adjustRightInd w:val="0"/>
        <w:spacing w:before="240" w:after="100" w:afterAutospacing="1"/>
        <w:rPr>
          <w:rFonts w:eastAsia="Calibri" w:cs="Arial"/>
          <w:bCs/>
        </w:rPr>
      </w:pPr>
      <w:r w:rsidRPr="00A17495">
        <w:rPr>
          <w:rFonts w:eastAsia="Calibri" w:cs="Arial"/>
          <w:bCs/>
        </w:rPr>
        <w:t>Alternative measures that show increases in pupil academic achievement for all groups of pupils schoolwide and among significant subgroups shall be used.</w:t>
      </w:r>
    </w:p>
    <w:p w14:paraId="7C4DE4DE" w14:textId="77777777" w:rsidR="00A17495" w:rsidRPr="00A17495" w:rsidRDefault="00A17495" w:rsidP="00A17495">
      <w:pPr>
        <w:autoSpaceDE w:val="0"/>
        <w:autoSpaceDN w:val="0"/>
        <w:adjustRightInd w:val="0"/>
        <w:spacing w:before="240" w:after="100" w:afterAutospacing="1"/>
        <w:rPr>
          <w:rFonts w:eastAsia="Calibri" w:cs="Arial"/>
          <w:bCs/>
        </w:rPr>
      </w:pPr>
      <w:r w:rsidRPr="00A17495">
        <w:rPr>
          <w:rFonts w:eastAsia="Calibri" w:cs="Arial"/>
          <w:bCs/>
        </w:rPr>
        <w:t xml:space="preserve">IUSD did not consider academic performance under </w:t>
      </w:r>
      <w:r w:rsidRPr="00A17495">
        <w:rPr>
          <w:rFonts w:eastAsia="Calibri" w:cs="Arial"/>
          <w:bCs/>
          <w:i/>
        </w:rPr>
        <w:t>EC</w:t>
      </w:r>
      <w:r w:rsidRPr="00A17495">
        <w:rPr>
          <w:rFonts w:eastAsia="Calibri" w:cs="Arial"/>
          <w:bCs/>
        </w:rPr>
        <w:t xml:space="preserve"> Section 52052(f).</w:t>
      </w:r>
    </w:p>
    <w:p w14:paraId="5352254A" w14:textId="19E9E93A" w:rsidR="00A17495" w:rsidRPr="00A17495" w:rsidRDefault="00A17495" w:rsidP="00D8434A">
      <w:pPr>
        <w:pStyle w:val="Heading4"/>
      </w:pPr>
      <w:r w:rsidRPr="00A17495">
        <w:t xml:space="preserve">LACOE’s Review of </w:t>
      </w:r>
      <w:r w:rsidR="004B759E">
        <w:t xml:space="preserve">Academic </w:t>
      </w:r>
      <w:r w:rsidRPr="00A17495">
        <w:t xml:space="preserve">Criteria Under </w:t>
      </w:r>
      <w:r w:rsidRPr="00A17495">
        <w:rPr>
          <w:i/>
        </w:rPr>
        <w:t>EC</w:t>
      </w:r>
      <w:r w:rsidRPr="00A17495">
        <w:t xml:space="preserve"> Section 52052–Alternative Measures</w:t>
      </w:r>
    </w:p>
    <w:p w14:paraId="116D5F7A" w14:textId="77777777" w:rsidR="00A17495" w:rsidRPr="00A17495" w:rsidRDefault="00A17495" w:rsidP="00A17495">
      <w:pPr>
        <w:autoSpaceDE w:val="0"/>
        <w:autoSpaceDN w:val="0"/>
        <w:adjustRightInd w:val="0"/>
        <w:spacing w:before="100" w:beforeAutospacing="1" w:after="100" w:afterAutospacing="1"/>
        <w:rPr>
          <w:rFonts w:eastAsia="Calibri" w:cs="Arial"/>
          <w:bCs/>
        </w:rPr>
      </w:pPr>
      <w:r w:rsidRPr="00A17495">
        <w:rPr>
          <w:rFonts w:eastAsia="Calibri" w:cs="Arial"/>
          <w:bCs/>
        </w:rPr>
        <w:t xml:space="preserve">As referenced above, API has not been calculated as of the 2013–14 SY. In such a case, </w:t>
      </w:r>
      <w:r w:rsidRPr="00A17495">
        <w:rPr>
          <w:rFonts w:eastAsia="Calibri" w:cs="Arial"/>
          <w:bCs/>
          <w:i/>
        </w:rPr>
        <w:t>EC</w:t>
      </w:r>
      <w:r w:rsidRPr="00A17495">
        <w:rPr>
          <w:rFonts w:eastAsia="Calibri" w:cs="Arial"/>
          <w:bCs/>
        </w:rPr>
        <w:t xml:space="preserve"> Section 52052(f) provides for the following in determining whether a charter school has met the requirements for the renewal of its charter:</w:t>
      </w:r>
    </w:p>
    <w:p w14:paraId="2BF48BC3" w14:textId="77777777" w:rsidR="00A17495" w:rsidRPr="00A17495" w:rsidRDefault="00A17495" w:rsidP="00A17495">
      <w:pPr>
        <w:numPr>
          <w:ilvl w:val="0"/>
          <w:numId w:val="22"/>
        </w:numPr>
        <w:autoSpaceDE w:val="0"/>
        <w:autoSpaceDN w:val="0"/>
        <w:adjustRightInd w:val="0"/>
        <w:spacing w:before="240" w:after="100" w:afterAutospacing="1"/>
        <w:rPr>
          <w:rFonts w:eastAsia="Calibri"/>
          <w:bCs/>
        </w:rPr>
      </w:pPr>
      <w:r w:rsidRPr="00A17495">
        <w:rPr>
          <w:bCs/>
        </w:rPr>
        <w:t>Alternative measures that show increases in pupil academic achievement for all groups of pupils schoolwide and among significant subgroups shall be used.</w:t>
      </w:r>
    </w:p>
    <w:p w14:paraId="5FA27368" w14:textId="25260D8C" w:rsidR="00A17495" w:rsidRPr="00A17495" w:rsidRDefault="00A17495" w:rsidP="00A17495">
      <w:pPr>
        <w:autoSpaceDE w:val="0"/>
        <w:autoSpaceDN w:val="0"/>
        <w:adjustRightInd w:val="0"/>
        <w:spacing w:before="240" w:after="100" w:afterAutospacing="1"/>
        <w:rPr>
          <w:rFonts w:eastAsia="Calibri" w:cs="Arial"/>
          <w:bCs/>
        </w:rPr>
      </w:pPr>
      <w:bookmarkStart w:id="17" w:name="_Hlk35340981"/>
      <w:r w:rsidRPr="00A17495">
        <w:rPr>
          <w:rFonts w:eastAsia="Calibri" w:cs="Arial"/>
          <w:bCs/>
        </w:rPr>
        <w:lastRenderedPageBreak/>
        <w:t xml:space="preserve">LACOE reviewed the following as alternative measures under </w:t>
      </w:r>
      <w:r w:rsidRPr="00A17495">
        <w:rPr>
          <w:rFonts w:eastAsia="Calibri" w:cs="Arial"/>
          <w:bCs/>
          <w:i/>
        </w:rPr>
        <w:t>EC</w:t>
      </w:r>
      <w:r w:rsidRPr="00A17495">
        <w:rPr>
          <w:rFonts w:eastAsia="Calibri" w:cs="Arial"/>
          <w:bCs/>
        </w:rPr>
        <w:t xml:space="preserve"> Section 52052(f) (Attachment 7</w:t>
      </w:r>
      <w:r w:rsidR="00361D6B">
        <w:rPr>
          <w:rFonts w:eastAsia="Calibri" w:cs="Arial"/>
          <w:bCs/>
        </w:rPr>
        <w:t xml:space="preserve"> </w:t>
      </w:r>
      <w:r w:rsidR="00361D6B">
        <w:rPr>
          <w:rFonts w:cstheme="majorBidi"/>
        </w:rPr>
        <w:t xml:space="preserve">of Agenda Item 08 on the ACCS June 9, 2020, Meeting Notice on the SBE ACCS web page at </w:t>
      </w:r>
      <w:hyperlink r:id="rId20" w:tooltip="June 2020 ACCS Meeting Agenda web page" w:history="1">
        <w:r w:rsidR="00D8434A" w:rsidRPr="00EC3CB5">
          <w:rPr>
            <w:rStyle w:val="Hyperlink"/>
          </w:rPr>
          <w:t>https://www.cde.ca.gov/be/cc/cs/accsnotice060920.asp</w:t>
        </w:r>
      </w:hyperlink>
      <w:r w:rsidRPr="00A17495">
        <w:rPr>
          <w:rFonts w:eastAsia="Calibri" w:cs="Arial"/>
          <w:bCs/>
        </w:rPr>
        <w:t>):</w:t>
      </w:r>
    </w:p>
    <w:p w14:paraId="76324621" w14:textId="77777777" w:rsidR="00A17495" w:rsidRPr="00A17495" w:rsidRDefault="00A17495" w:rsidP="00A17495">
      <w:pPr>
        <w:numPr>
          <w:ilvl w:val="0"/>
          <w:numId w:val="22"/>
        </w:numPr>
        <w:autoSpaceDE w:val="0"/>
        <w:autoSpaceDN w:val="0"/>
        <w:adjustRightInd w:val="0"/>
        <w:spacing w:before="240" w:after="100" w:afterAutospacing="1"/>
        <w:rPr>
          <w:rFonts w:eastAsia="Calibri"/>
          <w:bCs/>
        </w:rPr>
      </w:pPr>
      <w:r w:rsidRPr="00A17495">
        <w:rPr>
          <w:rFonts w:eastAsia="Calibri"/>
          <w:bCs/>
        </w:rPr>
        <w:t>CAASPP results from 2014–15 through 2018–19 for all pupils schoolwide and for pupil subgroups</w:t>
      </w:r>
    </w:p>
    <w:p w14:paraId="01B948AB" w14:textId="77777777" w:rsidR="00A17495" w:rsidRPr="00A17495" w:rsidRDefault="00A17495" w:rsidP="00A17495">
      <w:pPr>
        <w:numPr>
          <w:ilvl w:val="0"/>
          <w:numId w:val="22"/>
        </w:numPr>
        <w:autoSpaceDE w:val="0"/>
        <w:autoSpaceDN w:val="0"/>
        <w:adjustRightInd w:val="0"/>
        <w:spacing w:before="240" w:after="100" w:afterAutospacing="1"/>
        <w:rPr>
          <w:rFonts w:eastAsia="Calibri"/>
          <w:bCs/>
        </w:rPr>
      </w:pPr>
      <w:r w:rsidRPr="00A17495">
        <w:rPr>
          <w:rFonts w:eastAsia="Calibri"/>
          <w:bCs/>
        </w:rPr>
        <w:t>CAASPP results from 2014–15 through 2018–19 for pupil subgroups</w:t>
      </w:r>
    </w:p>
    <w:p w14:paraId="3C257228" w14:textId="77777777" w:rsidR="00A17495" w:rsidRPr="00A17495" w:rsidRDefault="00A17495" w:rsidP="00A17495">
      <w:pPr>
        <w:autoSpaceDE w:val="0"/>
        <w:autoSpaceDN w:val="0"/>
        <w:adjustRightInd w:val="0"/>
        <w:spacing w:before="240" w:after="100" w:afterAutospacing="1"/>
        <w:rPr>
          <w:rFonts w:eastAsia="Calibri"/>
          <w:bCs/>
        </w:rPr>
      </w:pPr>
      <w:r w:rsidRPr="00A17495">
        <w:rPr>
          <w:rFonts w:eastAsia="Calibri"/>
          <w:bCs/>
        </w:rPr>
        <w:t>The LACOE findings state that TFSCSI did not provide evidence of increases in pupil academic achievement for all groups of pupils schoolwide nor among significant pupil subgroups.</w:t>
      </w:r>
    </w:p>
    <w:bookmarkEnd w:id="17"/>
    <w:p w14:paraId="03993E8E" w14:textId="43325D5D" w:rsidR="00A17495" w:rsidRPr="00A17495" w:rsidRDefault="00A17495" w:rsidP="00D8434A">
      <w:pPr>
        <w:pStyle w:val="Heading4"/>
      </w:pPr>
      <w:r w:rsidRPr="00A17495">
        <w:t xml:space="preserve">CDE’s Review of </w:t>
      </w:r>
      <w:r w:rsidR="004B759E">
        <w:t>Academic</w:t>
      </w:r>
      <w:r w:rsidR="00D17D92">
        <w:t xml:space="preserve"> </w:t>
      </w:r>
      <w:r w:rsidRPr="00A17495">
        <w:t xml:space="preserve">Criteria Under </w:t>
      </w:r>
      <w:r w:rsidRPr="00A17495">
        <w:rPr>
          <w:i/>
        </w:rPr>
        <w:t>EC</w:t>
      </w:r>
      <w:r w:rsidRPr="00A17495">
        <w:t xml:space="preserve"> Section 52052–Alternative Measures</w:t>
      </w:r>
    </w:p>
    <w:p w14:paraId="290185C9" w14:textId="63E1D51A" w:rsidR="00A17495" w:rsidRPr="00A17495" w:rsidRDefault="00A17495" w:rsidP="00A17495">
      <w:pPr>
        <w:autoSpaceDE w:val="0"/>
        <w:autoSpaceDN w:val="0"/>
        <w:adjustRightInd w:val="0"/>
        <w:spacing w:before="100" w:beforeAutospacing="1" w:after="100" w:afterAutospacing="1"/>
        <w:rPr>
          <w:rFonts w:eastAsia="Calibri" w:cs="Arial"/>
          <w:bCs/>
        </w:rPr>
      </w:pPr>
      <w:r w:rsidRPr="00A17495">
        <w:rPr>
          <w:rFonts w:eastAsia="Calibri" w:cs="Arial"/>
          <w:bCs/>
        </w:rPr>
        <w:t xml:space="preserve">The CDE also considered </w:t>
      </w:r>
      <w:r w:rsidRPr="00A17495">
        <w:rPr>
          <w:rFonts w:eastAsia="Calibri" w:cs="Arial"/>
          <w:bCs/>
          <w:i/>
        </w:rPr>
        <w:t>EC</w:t>
      </w:r>
      <w:r w:rsidRPr="00A17495">
        <w:rPr>
          <w:rFonts w:eastAsia="Calibri" w:cs="Arial"/>
          <w:bCs/>
        </w:rPr>
        <w:t xml:space="preserve"> Section 52052(f) in its review of </w:t>
      </w:r>
      <w:r w:rsidR="00B27304">
        <w:rPr>
          <w:rFonts w:eastAsia="Calibri" w:cs="Arial"/>
          <w:bCs/>
        </w:rPr>
        <w:t xml:space="preserve">the </w:t>
      </w:r>
      <w:r w:rsidRPr="00A17495">
        <w:rPr>
          <w:rFonts w:eastAsia="Calibri" w:cs="Arial"/>
          <w:bCs/>
        </w:rPr>
        <w:t xml:space="preserve">TFSCSI academic </w:t>
      </w:r>
      <w:r w:rsidR="00B27304">
        <w:rPr>
          <w:rFonts w:eastAsia="Calibri" w:cs="Arial"/>
          <w:bCs/>
        </w:rPr>
        <w:t>criteria</w:t>
      </w:r>
      <w:r w:rsidRPr="00A17495">
        <w:rPr>
          <w:rFonts w:eastAsia="Calibri" w:cs="Arial"/>
          <w:bCs/>
        </w:rPr>
        <w:t xml:space="preserve">. As referenced above, API has not been calculated as of the 2013–14 SY. In such a case, </w:t>
      </w:r>
      <w:r w:rsidRPr="00A17495">
        <w:rPr>
          <w:rFonts w:eastAsia="Calibri" w:cs="Arial"/>
          <w:bCs/>
          <w:i/>
        </w:rPr>
        <w:t>EC</w:t>
      </w:r>
      <w:r w:rsidRPr="00A17495">
        <w:rPr>
          <w:rFonts w:eastAsia="Calibri" w:cs="Arial"/>
          <w:bCs/>
        </w:rPr>
        <w:t xml:space="preserve"> Section 52052(f) provides for the following in determining whether a charter school has met the requirements for the renewal of its charter:</w:t>
      </w:r>
    </w:p>
    <w:p w14:paraId="3A762C56" w14:textId="77777777" w:rsidR="00A17495" w:rsidRPr="00A17495" w:rsidRDefault="00A17495" w:rsidP="00A17495">
      <w:pPr>
        <w:numPr>
          <w:ilvl w:val="0"/>
          <w:numId w:val="22"/>
        </w:numPr>
        <w:autoSpaceDE w:val="0"/>
        <w:autoSpaceDN w:val="0"/>
        <w:adjustRightInd w:val="0"/>
        <w:spacing w:before="240" w:after="100" w:afterAutospacing="1"/>
        <w:rPr>
          <w:rFonts w:eastAsia="Calibri"/>
          <w:bCs/>
        </w:rPr>
      </w:pPr>
      <w:r w:rsidRPr="00A17495">
        <w:rPr>
          <w:bCs/>
        </w:rPr>
        <w:t>Alternative measures that show increases in pupil academic achievement for all groups of pupils schoolwide and among significant subgroups shall be used.</w:t>
      </w:r>
    </w:p>
    <w:p w14:paraId="628FC18C" w14:textId="2EA84948" w:rsidR="00A17495" w:rsidRPr="00A17495" w:rsidRDefault="00A17495" w:rsidP="00A17495">
      <w:pPr>
        <w:autoSpaceDE w:val="0"/>
        <w:autoSpaceDN w:val="0"/>
        <w:adjustRightInd w:val="0"/>
        <w:spacing w:before="240" w:after="100" w:afterAutospacing="1"/>
        <w:rPr>
          <w:rFonts w:eastAsia="Calibri" w:cs="Arial"/>
          <w:bCs/>
        </w:rPr>
      </w:pPr>
      <w:bookmarkStart w:id="18" w:name="_Hlk35341001"/>
      <w:r w:rsidRPr="00A17495">
        <w:rPr>
          <w:rFonts w:eastAsia="Calibri" w:cs="Arial"/>
          <w:bCs/>
        </w:rPr>
        <w:t>The CDE reviewed the following alternative measures that the petitioner included as criteria for charter renewal (Attachment 3</w:t>
      </w:r>
      <w:r w:rsidR="00361D6B">
        <w:rPr>
          <w:rFonts w:eastAsia="Calibri" w:cs="Arial"/>
          <w:bCs/>
        </w:rPr>
        <w:t xml:space="preserve"> </w:t>
      </w:r>
      <w:r w:rsidR="00361D6B">
        <w:rPr>
          <w:rFonts w:cstheme="majorBidi"/>
        </w:rPr>
        <w:t xml:space="preserve">of Agenda Item 08 on the ACCS June 9, 2020, Meeting Notice on the SBE ACCS web page at </w:t>
      </w:r>
      <w:hyperlink r:id="rId21" w:tooltip="June 2020 ACCS Meeting Agenda web page" w:history="1">
        <w:r w:rsidR="00D8434A" w:rsidRPr="00EC3CB5">
          <w:rPr>
            <w:rStyle w:val="Hyperlink"/>
          </w:rPr>
          <w:t>https://www.cde.ca.gov/be/cc/cs/accsnotice060920.asp</w:t>
        </w:r>
      </w:hyperlink>
      <w:r w:rsidRPr="00A17495">
        <w:rPr>
          <w:rFonts w:eastAsia="Calibri" w:cs="Arial"/>
          <w:bCs/>
        </w:rPr>
        <w:t>):</w:t>
      </w:r>
    </w:p>
    <w:p w14:paraId="4000FDB0" w14:textId="77777777" w:rsidR="00A17495" w:rsidRPr="00A17495" w:rsidRDefault="00A17495" w:rsidP="00A17495">
      <w:pPr>
        <w:numPr>
          <w:ilvl w:val="0"/>
          <w:numId w:val="22"/>
        </w:numPr>
        <w:autoSpaceDE w:val="0"/>
        <w:autoSpaceDN w:val="0"/>
        <w:adjustRightInd w:val="0"/>
        <w:spacing w:before="240" w:after="240"/>
        <w:rPr>
          <w:rFonts w:eastAsia="Calibri"/>
          <w:bCs/>
        </w:rPr>
      </w:pPr>
      <w:r w:rsidRPr="00A17495">
        <w:rPr>
          <w:rFonts w:eastAsia="Calibri"/>
          <w:bCs/>
        </w:rPr>
        <w:t>2014–15 through 2017–18 CAASPP results for ELA and math by the following:</w:t>
      </w:r>
    </w:p>
    <w:p w14:paraId="01111D03" w14:textId="77777777" w:rsidR="00A17495" w:rsidRPr="00A17495" w:rsidRDefault="00A17495" w:rsidP="00A17495">
      <w:pPr>
        <w:numPr>
          <w:ilvl w:val="1"/>
          <w:numId w:val="22"/>
        </w:numPr>
        <w:autoSpaceDE w:val="0"/>
        <w:autoSpaceDN w:val="0"/>
        <w:adjustRightInd w:val="0"/>
        <w:spacing w:before="240" w:after="240"/>
        <w:contextualSpacing/>
        <w:rPr>
          <w:rFonts w:eastAsia="Calibri"/>
          <w:bCs/>
        </w:rPr>
      </w:pPr>
      <w:r w:rsidRPr="00A17495">
        <w:rPr>
          <w:rFonts w:eastAsia="Calibri"/>
          <w:bCs/>
        </w:rPr>
        <w:t>Grade levels</w:t>
      </w:r>
    </w:p>
    <w:p w14:paraId="0892A7ED" w14:textId="77777777" w:rsidR="00A17495" w:rsidRPr="00A17495" w:rsidRDefault="00A17495" w:rsidP="00A17495">
      <w:pPr>
        <w:numPr>
          <w:ilvl w:val="1"/>
          <w:numId w:val="22"/>
        </w:numPr>
        <w:autoSpaceDE w:val="0"/>
        <w:autoSpaceDN w:val="0"/>
        <w:adjustRightInd w:val="0"/>
        <w:spacing w:before="240" w:after="240"/>
        <w:rPr>
          <w:rFonts w:eastAsia="Calibri"/>
          <w:bCs/>
        </w:rPr>
      </w:pPr>
      <w:r w:rsidRPr="00A17495">
        <w:rPr>
          <w:rFonts w:eastAsia="Calibri"/>
          <w:bCs/>
        </w:rPr>
        <w:t>Pupil subgroup</w:t>
      </w:r>
    </w:p>
    <w:p w14:paraId="7D40EC89" w14:textId="77777777" w:rsidR="00A17495" w:rsidRPr="00A17495" w:rsidRDefault="00A17495" w:rsidP="00A17495">
      <w:pPr>
        <w:numPr>
          <w:ilvl w:val="0"/>
          <w:numId w:val="22"/>
        </w:numPr>
        <w:autoSpaceDE w:val="0"/>
        <w:autoSpaceDN w:val="0"/>
        <w:adjustRightInd w:val="0"/>
        <w:spacing w:before="240" w:after="240"/>
        <w:rPr>
          <w:rFonts w:eastAsia="Calibri"/>
          <w:bCs/>
        </w:rPr>
      </w:pPr>
      <w:r w:rsidRPr="00A17495">
        <w:rPr>
          <w:rFonts w:eastAsia="Calibri"/>
          <w:bCs/>
        </w:rPr>
        <w:t>2017–18 CAASPP results for ELA and math for all pupils schoolwide for TFSCSI and IUSD by the following:</w:t>
      </w:r>
    </w:p>
    <w:p w14:paraId="3EBF4D60" w14:textId="77777777" w:rsidR="00A17495" w:rsidRPr="00A17495" w:rsidRDefault="00A17495" w:rsidP="00A17495">
      <w:pPr>
        <w:numPr>
          <w:ilvl w:val="1"/>
          <w:numId w:val="22"/>
        </w:numPr>
        <w:autoSpaceDE w:val="0"/>
        <w:autoSpaceDN w:val="0"/>
        <w:adjustRightInd w:val="0"/>
        <w:spacing w:before="240" w:after="240"/>
        <w:contextualSpacing/>
        <w:rPr>
          <w:rFonts w:eastAsia="Calibri"/>
          <w:bCs/>
        </w:rPr>
      </w:pPr>
      <w:r w:rsidRPr="00A17495">
        <w:rPr>
          <w:rFonts w:eastAsia="Calibri"/>
          <w:bCs/>
        </w:rPr>
        <w:t>District comparison</w:t>
      </w:r>
    </w:p>
    <w:p w14:paraId="4C083903" w14:textId="77777777" w:rsidR="00A17495" w:rsidRPr="00A17495" w:rsidRDefault="00A17495" w:rsidP="00A17495">
      <w:pPr>
        <w:numPr>
          <w:ilvl w:val="1"/>
          <w:numId w:val="22"/>
        </w:numPr>
        <w:autoSpaceDE w:val="0"/>
        <w:autoSpaceDN w:val="0"/>
        <w:adjustRightInd w:val="0"/>
        <w:spacing w:before="240" w:after="240"/>
        <w:contextualSpacing/>
        <w:rPr>
          <w:rFonts w:eastAsia="Calibri"/>
          <w:bCs/>
        </w:rPr>
      </w:pPr>
      <w:r w:rsidRPr="00A17495">
        <w:rPr>
          <w:rFonts w:eastAsia="Calibri"/>
          <w:bCs/>
        </w:rPr>
        <w:t>Grade three through grade five</w:t>
      </w:r>
    </w:p>
    <w:p w14:paraId="727FF976" w14:textId="77777777" w:rsidR="00A17495" w:rsidRPr="00A17495" w:rsidRDefault="00A17495" w:rsidP="00A17495">
      <w:pPr>
        <w:numPr>
          <w:ilvl w:val="1"/>
          <w:numId w:val="22"/>
        </w:numPr>
        <w:autoSpaceDE w:val="0"/>
        <w:autoSpaceDN w:val="0"/>
        <w:adjustRightInd w:val="0"/>
        <w:spacing w:before="240" w:after="240"/>
        <w:rPr>
          <w:rFonts w:eastAsia="Calibri"/>
          <w:bCs/>
        </w:rPr>
      </w:pPr>
      <w:r w:rsidRPr="00A17495">
        <w:rPr>
          <w:rFonts w:eastAsia="Calibri"/>
          <w:bCs/>
        </w:rPr>
        <w:t>Grade six through grade eight</w:t>
      </w:r>
    </w:p>
    <w:p w14:paraId="329207BF" w14:textId="77777777" w:rsidR="00A17495" w:rsidRPr="00A17495" w:rsidRDefault="00A17495" w:rsidP="00A17495">
      <w:pPr>
        <w:numPr>
          <w:ilvl w:val="0"/>
          <w:numId w:val="22"/>
        </w:numPr>
        <w:autoSpaceDE w:val="0"/>
        <w:autoSpaceDN w:val="0"/>
        <w:adjustRightInd w:val="0"/>
        <w:spacing w:before="240" w:after="100" w:afterAutospacing="1"/>
        <w:rPr>
          <w:rFonts w:eastAsia="Calibri"/>
          <w:bCs/>
        </w:rPr>
      </w:pPr>
      <w:r w:rsidRPr="00A17495">
        <w:rPr>
          <w:rFonts w:eastAsia="Calibri"/>
          <w:bCs/>
        </w:rPr>
        <w:t>2017–18 CAASPP results for ELA and math by pupil subgroups for TFSCSI and IUSD</w:t>
      </w:r>
    </w:p>
    <w:p w14:paraId="2740092C" w14:textId="77777777" w:rsidR="00A17495" w:rsidRPr="00A17495" w:rsidRDefault="00A17495" w:rsidP="00A17495">
      <w:pPr>
        <w:numPr>
          <w:ilvl w:val="0"/>
          <w:numId w:val="22"/>
        </w:numPr>
        <w:autoSpaceDE w:val="0"/>
        <w:autoSpaceDN w:val="0"/>
        <w:adjustRightInd w:val="0"/>
        <w:spacing w:before="240" w:after="100" w:afterAutospacing="1"/>
        <w:rPr>
          <w:rFonts w:eastAsia="Calibri"/>
          <w:bCs/>
        </w:rPr>
      </w:pPr>
      <w:r w:rsidRPr="00A17495">
        <w:rPr>
          <w:rFonts w:eastAsia="Calibri"/>
          <w:bCs/>
        </w:rPr>
        <w:t>2017–18 and 2018–19 English Language Proficiency Assessments for California (ELPAC) results</w:t>
      </w:r>
    </w:p>
    <w:p w14:paraId="5EACAE35" w14:textId="7E04728A" w:rsidR="00A17495" w:rsidRPr="00A17495" w:rsidRDefault="00A17495" w:rsidP="00A17495">
      <w:pPr>
        <w:numPr>
          <w:ilvl w:val="0"/>
          <w:numId w:val="22"/>
        </w:numPr>
        <w:autoSpaceDE w:val="0"/>
        <w:autoSpaceDN w:val="0"/>
        <w:adjustRightInd w:val="0"/>
        <w:spacing w:before="240" w:after="100" w:afterAutospacing="1"/>
        <w:rPr>
          <w:rFonts w:eastAsia="Calibri"/>
          <w:bCs/>
        </w:rPr>
      </w:pPr>
      <w:r w:rsidRPr="00A17495">
        <w:rPr>
          <w:rFonts w:eastAsia="Calibri"/>
          <w:bCs/>
        </w:rPr>
        <w:lastRenderedPageBreak/>
        <w:t xml:space="preserve">2014–15 through 2018–19 </w:t>
      </w:r>
      <w:r w:rsidR="00D8434A">
        <w:rPr>
          <w:rFonts w:eastAsia="Calibri"/>
          <w:bCs/>
        </w:rPr>
        <w:t>Reclassified Fluent English Proficient (RFEP)</w:t>
      </w:r>
      <w:r w:rsidRPr="00A17495">
        <w:rPr>
          <w:rFonts w:eastAsia="Calibri"/>
          <w:bCs/>
        </w:rPr>
        <w:t xml:space="preserve"> rates</w:t>
      </w:r>
    </w:p>
    <w:p w14:paraId="21A3FD33" w14:textId="77777777" w:rsidR="00A17495" w:rsidRPr="00A17495" w:rsidRDefault="00A17495" w:rsidP="00A17495">
      <w:pPr>
        <w:autoSpaceDE w:val="0"/>
        <w:autoSpaceDN w:val="0"/>
        <w:adjustRightInd w:val="0"/>
        <w:spacing w:before="240" w:after="100" w:afterAutospacing="1"/>
        <w:rPr>
          <w:rFonts w:eastAsia="Calibri" w:cs="Arial"/>
          <w:bCs/>
        </w:rPr>
      </w:pPr>
      <w:r w:rsidRPr="00A17495">
        <w:rPr>
          <w:rFonts w:eastAsia="Calibri" w:cs="Arial"/>
          <w:bCs/>
        </w:rPr>
        <w:t>The data from the TFSCSI alternative measures reflect some increases in CAASPP, ELPAC, and RFEP rates.</w:t>
      </w:r>
    </w:p>
    <w:bookmarkEnd w:id="18"/>
    <w:bookmarkEnd w:id="4"/>
    <w:bookmarkEnd w:id="16"/>
    <w:p w14:paraId="37029E67" w14:textId="77777777" w:rsidR="00A17495" w:rsidRPr="00A17495" w:rsidRDefault="00A17495" w:rsidP="00D8434A">
      <w:pPr>
        <w:pStyle w:val="Heading3"/>
      </w:pPr>
      <w:r w:rsidRPr="00A17495">
        <w:t>California School Dashboard</w:t>
      </w:r>
    </w:p>
    <w:p w14:paraId="7A83B686" w14:textId="77777777" w:rsidR="00A17495" w:rsidRPr="00A17495" w:rsidRDefault="00A17495" w:rsidP="00A17495">
      <w:pPr>
        <w:spacing w:before="240" w:after="240"/>
        <w:rPr>
          <w:rFonts w:eastAsia="Calibri"/>
        </w:rPr>
      </w:pPr>
      <w:r w:rsidRPr="00A17495">
        <w:rPr>
          <w:rFonts w:eastAsia="Calibri"/>
        </w:rPr>
        <w:t>The California School Dashboard measures performance for state indicators through a combination of current performance (Status) and improvement over time (Change), which both provide equal weight. A performance level (color) is assigned based on the Status and Change performance. Performance level (color) ranges from Red, Orange, Yellow, Green, and Blue, with Blue representing highest performance and Red representing lowest performance.</w:t>
      </w:r>
    </w:p>
    <w:p w14:paraId="29FE1C1B" w14:textId="77777777" w:rsidR="00A17495" w:rsidRPr="00A17495" w:rsidRDefault="00A17495" w:rsidP="00A17495">
      <w:pPr>
        <w:spacing w:before="240" w:after="240"/>
        <w:rPr>
          <w:rFonts w:eastAsia="Calibri"/>
        </w:rPr>
      </w:pPr>
      <w:r w:rsidRPr="00A17495">
        <w:rPr>
          <w:rFonts w:eastAsia="Calibri"/>
        </w:rPr>
        <w:t>The 2019 California School Dashboard reflects TFSCSI’s performance under California’s Accountability System as follows: ELA (Orange); Math (Yellow); 15.8 percent chronic absenteeism (Orange); and 0 percent suspension rate (Blue).</w:t>
      </w:r>
    </w:p>
    <w:p w14:paraId="1489012B" w14:textId="77777777" w:rsidR="00A17495" w:rsidRPr="00A17495" w:rsidRDefault="00A17495" w:rsidP="00A17495">
      <w:pPr>
        <w:spacing w:before="240" w:after="240"/>
        <w:rPr>
          <w:rFonts w:eastAsia="Calibri"/>
        </w:rPr>
      </w:pPr>
      <w:r w:rsidRPr="00A17495">
        <w:rPr>
          <w:rFonts w:eastAsia="Calibri"/>
        </w:rPr>
        <w:t>The 2018 California School Dashboard reflects the following for TFSCSI: ELA (Yellow); Math (Yellow); 14.3 percent chronic absenteeism (Yellow); and 0 percent suspension rate (Blue).</w:t>
      </w:r>
    </w:p>
    <w:p w14:paraId="66FE7B6D" w14:textId="77777777" w:rsidR="00A17495" w:rsidRPr="00A17495" w:rsidRDefault="00A17495" w:rsidP="00A17495">
      <w:pPr>
        <w:spacing w:before="240" w:after="240"/>
        <w:rPr>
          <w:rFonts w:eastAsia="Calibri"/>
        </w:rPr>
      </w:pPr>
      <w:r w:rsidRPr="00A17495">
        <w:rPr>
          <w:rFonts w:eastAsia="Calibri"/>
        </w:rPr>
        <w:t>The 2017 California School Dashboard reflects the following for TFSCSI: ELA (Orange); Math (Orange); and 0 percent suspension rate (Blue).</w:t>
      </w:r>
    </w:p>
    <w:p w14:paraId="3CC5730C" w14:textId="77777777" w:rsidR="009E11CD" w:rsidRPr="009E11CD" w:rsidRDefault="009E11CD" w:rsidP="00D8434A">
      <w:pPr>
        <w:pStyle w:val="Heading3"/>
      </w:pPr>
      <w:bookmarkStart w:id="19" w:name="_Hlk32927911"/>
      <w:bookmarkStart w:id="20" w:name="_Hlk33179946"/>
      <w:r w:rsidRPr="009E11CD">
        <w:t>District and County Findings</w:t>
      </w:r>
    </w:p>
    <w:p w14:paraId="7DDB62B4" w14:textId="2B249662" w:rsidR="009E11CD" w:rsidRPr="007D397E" w:rsidRDefault="0058539F" w:rsidP="009E11CD">
      <w:pPr>
        <w:spacing w:before="100" w:beforeAutospacing="1" w:after="100" w:afterAutospacing="1"/>
      </w:pPr>
      <w:r w:rsidRPr="007D397E">
        <w:rPr>
          <w:rFonts w:eastAsia="Calibri"/>
        </w:rPr>
        <w:t>T</w:t>
      </w:r>
      <w:r w:rsidR="009E11CD" w:rsidRPr="007D397E">
        <w:rPr>
          <w:rFonts w:eastAsia="Calibri"/>
        </w:rPr>
        <w:t>he district and county’s findings</w:t>
      </w:r>
      <w:r w:rsidRPr="007D397E">
        <w:rPr>
          <w:rFonts w:eastAsia="Calibri"/>
        </w:rPr>
        <w:t xml:space="preserve"> highlight</w:t>
      </w:r>
      <w:r w:rsidR="00D8434A" w:rsidRPr="007D397E">
        <w:rPr>
          <w:rFonts w:eastAsia="Calibri"/>
        </w:rPr>
        <w:t xml:space="preserve"> </w:t>
      </w:r>
      <w:r w:rsidRPr="007D397E">
        <w:rPr>
          <w:rFonts w:eastAsia="Calibri"/>
        </w:rPr>
        <w:t xml:space="preserve">concerns </w:t>
      </w:r>
      <w:r w:rsidR="009E11CD" w:rsidRPr="007D397E">
        <w:t xml:space="preserve">regarding the numerous TFSCSI </w:t>
      </w:r>
      <w:r w:rsidR="00435480" w:rsidRPr="007D397E">
        <w:t xml:space="preserve">conflicts of interest based on </w:t>
      </w:r>
      <w:r w:rsidR="009E11CD" w:rsidRPr="007D397E">
        <w:t>related-party transactions,</w:t>
      </w:r>
      <w:r w:rsidRPr="007D397E">
        <w:t xml:space="preserve"> </w:t>
      </w:r>
      <w:r w:rsidR="009E11CD" w:rsidRPr="007D397E">
        <w:t xml:space="preserve">governance </w:t>
      </w:r>
      <w:r w:rsidR="00547EB8" w:rsidRPr="007D397E">
        <w:t>issues</w:t>
      </w:r>
      <w:r w:rsidR="009E11CD" w:rsidRPr="007D397E">
        <w:t xml:space="preserve">, and </w:t>
      </w:r>
      <w:r w:rsidR="00547EB8" w:rsidRPr="007D397E">
        <w:t xml:space="preserve">possible </w:t>
      </w:r>
      <w:r w:rsidR="009E11CD" w:rsidRPr="007D397E">
        <w:t xml:space="preserve">violations of conflict of interest. Additionally, the petitioners have been associated with a charter school that has been revoked. </w:t>
      </w:r>
      <w:r w:rsidRPr="007D397E">
        <w:t xml:space="preserve">This has also led to </w:t>
      </w:r>
      <w:r w:rsidR="009E11CD" w:rsidRPr="007D397E">
        <w:t>concerns that other businesses associated with or run by the lead petitioner, Jeanette Parker, are operating out of the building constructed with the grant money from the California School Finance Authorit</w:t>
      </w:r>
      <w:r w:rsidR="00B27304" w:rsidRPr="007D397E">
        <w:t xml:space="preserve">y, as well as </w:t>
      </w:r>
      <w:r w:rsidR="009E11CD" w:rsidRPr="007D397E">
        <w:t>contracts with related entities for the construction of the aforementioned building through, at least, September 2018.</w:t>
      </w:r>
    </w:p>
    <w:p w14:paraId="6466A14E" w14:textId="40A37982" w:rsidR="009E11CD" w:rsidRPr="009E11CD" w:rsidRDefault="00547EB8" w:rsidP="009E11CD">
      <w:pPr>
        <w:spacing w:before="100" w:beforeAutospacing="1" w:after="100" w:afterAutospacing="1"/>
      </w:pPr>
      <w:r w:rsidRPr="007D397E">
        <w:t>T</w:t>
      </w:r>
      <w:r w:rsidR="009E11CD" w:rsidRPr="007D397E">
        <w:t xml:space="preserve">he </w:t>
      </w:r>
      <w:r w:rsidR="00E9264F" w:rsidRPr="007D397E">
        <w:t>points</w:t>
      </w:r>
      <w:r w:rsidR="009E11CD" w:rsidRPr="007D397E">
        <w:t xml:space="preserve"> raised in the IUSD and LACOE findings show that the petitioner has a past history of involvement in charter schools that the SBE regards as unsuccessful. The findings of IUSD and LACOE further outline these </w:t>
      </w:r>
      <w:r w:rsidR="00E9264F" w:rsidRPr="007D397E">
        <w:t>matters</w:t>
      </w:r>
      <w:r w:rsidR="009E11CD" w:rsidRPr="007D397E">
        <w:t>.</w:t>
      </w:r>
    </w:p>
    <w:p w14:paraId="50470860" w14:textId="77777777" w:rsidR="009E11CD" w:rsidRPr="009E11CD" w:rsidRDefault="009E11CD" w:rsidP="00D8434A">
      <w:pPr>
        <w:pStyle w:val="Heading4"/>
      </w:pPr>
      <w:r w:rsidRPr="009E11CD">
        <w:t>Inglewood Unified School District Trustee Findings</w:t>
      </w:r>
    </w:p>
    <w:p w14:paraId="501918F3" w14:textId="5471084D" w:rsidR="009E11CD" w:rsidRPr="009E11CD" w:rsidRDefault="009E11CD" w:rsidP="009E11CD">
      <w:pPr>
        <w:spacing w:after="240"/>
        <w:rPr>
          <w:rFonts w:cs="Arial"/>
        </w:rPr>
      </w:pPr>
      <w:r w:rsidRPr="009E11CD">
        <w:rPr>
          <w:rFonts w:cs="Arial"/>
        </w:rPr>
        <w:t>On October 11, 2019, the IUSD Trustees took action and denied the TFSCSI petition based on the following findings (Attachment 6</w:t>
      </w:r>
      <w:r w:rsidR="00361D6B">
        <w:rPr>
          <w:rFonts w:cs="Arial"/>
        </w:rPr>
        <w:t xml:space="preserve"> </w:t>
      </w:r>
      <w:r w:rsidR="00361D6B">
        <w:rPr>
          <w:rFonts w:cstheme="majorBidi"/>
        </w:rPr>
        <w:t xml:space="preserve">of Agenda Item 08 on the ACCS June 9, 2020, Meeting Notice on the SBE ACCS web page at </w:t>
      </w:r>
      <w:hyperlink r:id="rId22" w:tooltip="June 2020 ACCS Meeting Agenda web page" w:history="1">
        <w:r w:rsidR="00D8434A" w:rsidRPr="00EC3CB5">
          <w:rPr>
            <w:rStyle w:val="Hyperlink"/>
          </w:rPr>
          <w:t>https://www.cde.ca.gov/be/cc/cs/accsnotice060920.asp</w:t>
        </w:r>
      </w:hyperlink>
      <w:r w:rsidRPr="009E11CD">
        <w:rPr>
          <w:rFonts w:cs="Arial"/>
        </w:rPr>
        <w:t>):</w:t>
      </w:r>
    </w:p>
    <w:p w14:paraId="6DDF0674" w14:textId="77777777" w:rsidR="009E11CD" w:rsidRPr="009E11CD" w:rsidRDefault="009E11CD" w:rsidP="009E11CD">
      <w:pPr>
        <w:numPr>
          <w:ilvl w:val="0"/>
          <w:numId w:val="19"/>
        </w:numPr>
        <w:spacing w:before="240" w:after="240"/>
        <w:rPr>
          <w:rFonts w:cs="Arial"/>
        </w:rPr>
      </w:pPr>
      <w:r w:rsidRPr="009E11CD">
        <w:rPr>
          <w:rFonts w:cs="Arial"/>
        </w:rPr>
        <w:lastRenderedPageBreak/>
        <w:t xml:space="preserve">The charter school fails to meet the academic renewal eligibility criteria in </w:t>
      </w:r>
      <w:r w:rsidRPr="009E11CD">
        <w:rPr>
          <w:rFonts w:cs="Arial"/>
          <w:i/>
        </w:rPr>
        <w:t xml:space="preserve">EC </w:t>
      </w:r>
      <w:r w:rsidRPr="009E11CD">
        <w:rPr>
          <w:rFonts w:cs="Arial"/>
        </w:rPr>
        <w:t>Section 47607(b).</w:t>
      </w:r>
    </w:p>
    <w:p w14:paraId="20078ABA" w14:textId="77777777" w:rsidR="009E11CD" w:rsidRPr="009E11CD" w:rsidRDefault="009E11CD" w:rsidP="009E11CD">
      <w:pPr>
        <w:numPr>
          <w:ilvl w:val="0"/>
          <w:numId w:val="19"/>
        </w:numPr>
        <w:spacing w:before="240" w:after="240"/>
        <w:rPr>
          <w:rFonts w:cs="Arial"/>
        </w:rPr>
      </w:pPr>
      <w:r w:rsidRPr="009E11CD">
        <w:rPr>
          <w:rFonts w:cs="Arial"/>
        </w:rPr>
        <w:t>The charter school is demonstrably unlikely to successfully implement the program presented in the petition.</w:t>
      </w:r>
    </w:p>
    <w:p w14:paraId="5C61BB57" w14:textId="77777777" w:rsidR="009E11CD" w:rsidRPr="009E11CD" w:rsidRDefault="009E11CD" w:rsidP="009E11CD">
      <w:pPr>
        <w:numPr>
          <w:ilvl w:val="1"/>
          <w:numId w:val="19"/>
        </w:numPr>
        <w:spacing w:before="240" w:after="240"/>
        <w:rPr>
          <w:rFonts w:cs="Arial"/>
        </w:rPr>
      </w:pPr>
      <w:bookmarkStart w:id="21" w:name="_Hlk32408256"/>
      <w:r w:rsidRPr="009E11CD">
        <w:rPr>
          <w:rFonts w:cs="Arial"/>
        </w:rPr>
        <w:t>Prior history and operations demonstrate unlikelihood of future success:</w:t>
      </w:r>
    </w:p>
    <w:bookmarkEnd w:id="21"/>
    <w:p w14:paraId="2C5CD42B" w14:textId="55CB1697" w:rsidR="009E11CD" w:rsidRPr="009E11CD" w:rsidRDefault="00F10E8D" w:rsidP="009E11CD">
      <w:pPr>
        <w:numPr>
          <w:ilvl w:val="2"/>
          <w:numId w:val="19"/>
        </w:numPr>
        <w:spacing w:before="240" w:after="240"/>
        <w:rPr>
          <w:rFonts w:cs="Arial"/>
        </w:rPr>
      </w:pPr>
      <w:r w:rsidRPr="00F10E8D">
        <w:rPr>
          <w:rFonts w:eastAsia="Calibri"/>
        </w:rPr>
        <w:t>Today’s Fresh Start Charter Countywide</w:t>
      </w:r>
      <w:r w:rsidRPr="00F10E8D">
        <w:rPr>
          <w:rFonts w:cs="Arial"/>
        </w:rPr>
        <w:t xml:space="preserve"> </w:t>
      </w:r>
      <w:r w:rsidR="009E11CD" w:rsidRPr="00F10E8D">
        <w:rPr>
          <w:rFonts w:cs="Arial"/>
        </w:rPr>
        <w:t xml:space="preserve">revocation: In 2013, the California Supreme Court upheld LACOE’s 2007 revocation of </w:t>
      </w:r>
      <w:r w:rsidRPr="00F10E8D">
        <w:rPr>
          <w:rFonts w:eastAsia="Calibri"/>
        </w:rPr>
        <w:t>Today’s Fresh Start Charter Countywide</w:t>
      </w:r>
      <w:r w:rsidR="009E11CD" w:rsidRPr="009E11CD">
        <w:rPr>
          <w:rFonts w:cs="Arial"/>
        </w:rPr>
        <w:t>. In 2015, the Superior Court in Sacramento ruled that the petition submitted by TFS, Inc. to the SBE could not be considered a renewal but a new petition for authorization of a countywide charter school; therefore, TFS, Inc. was directed by the CDE to invoke closure procedures.</w:t>
      </w:r>
    </w:p>
    <w:p w14:paraId="00444E1E" w14:textId="6157692B" w:rsidR="009E11CD" w:rsidRPr="009E11CD" w:rsidRDefault="009E11CD" w:rsidP="009E11CD">
      <w:pPr>
        <w:numPr>
          <w:ilvl w:val="2"/>
          <w:numId w:val="19"/>
        </w:numPr>
        <w:spacing w:before="240" w:after="240"/>
        <w:rPr>
          <w:rFonts w:cs="Arial"/>
        </w:rPr>
      </w:pPr>
      <w:r w:rsidRPr="009E11CD">
        <w:rPr>
          <w:rFonts w:cs="Arial"/>
        </w:rPr>
        <w:t xml:space="preserve">TFS, Inc. continued operations: TFS, Inc. submitted new charter school petitions to the local jurisdictions in which the sites of the TFS, Inc.-revoked charter schools were located. The petitions were denied by </w:t>
      </w:r>
      <w:r w:rsidR="00D8434A">
        <w:rPr>
          <w:rFonts w:cs="Arial"/>
        </w:rPr>
        <w:t>L</w:t>
      </w:r>
      <w:r w:rsidRPr="009E11CD">
        <w:rPr>
          <w:rFonts w:cs="Arial"/>
        </w:rPr>
        <w:t>AUSD but approved by CUSD.</w:t>
      </w:r>
    </w:p>
    <w:p w14:paraId="577575DE" w14:textId="77777777" w:rsidR="009E11CD" w:rsidRPr="009E11CD" w:rsidRDefault="009E11CD" w:rsidP="009E11CD">
      <w:pPr>
        <w:numPr>
          <w:ilvl w:val="2"/>
          <w:numId w:val="19"/>
        </w:numPr>
        <w:spacing w:before="240" w:after="240"/>
        <w:rPr>
          <w:rFonts w:cs="Arial"/>
        </w:rPr>
      </w:pPr>
      <w:r w:rsidRPr="009E11CD">
        <w:rPr>
          <w:rFonts w:cs="Arial"/>
        </w:rPr>
        <w:t>Related party transaction: TFS, Inc. has a history of self-dealing and related-party transactions, which include transactions with GDSI; Pacific National University; Los Angeles Schools Services, Inc.; and Construction Management Services.</w:t>
      </w:r>
    </w:p>
    <w:p w14:paraId="50379C7E" w14:textId="77777777" w:rsidR="009E11CD" w:rsidRPr="009E11CD" w:rsidRDefault="009E11CD" w:rsidP="009E11CD">
      <w:pPr>
        <w:numPr>
          <w:ilvl w:val="2"/>
          <w:numId w:val="19"/>
        </w:numPr>
        <w:spacing w:before="240" w:after="240"/>
        <w:rPr>
          <w:rFonts w:cs="Arial"/>
        </w:rPr>
      </w:pPr>
      <w:r w:rsidRPr="009E11CD">
        <w:rPr>
          <w:rFonts w:cs="Arial"/>
        </w:rPr>
        <w:t>The Brown Act: TFS, Inc. has been in violation of the Brown Act.</w:t>
      </w:r>
    </w:p>
    <w:p w14:paraId="007B63A5" w14:textId="77777777" w:rsidR="009E11CD" w:rsidRPr="009E11CD" w:rsidRDefault="009E11CD" w:rsidP="009E11CD">
      <w:pPr>
        <w:numPr>
          <w:ilvl w:val="2"/>
          <w:numId w:val="19"/>
        </w:numPr>
        <w:spacing w:before="240" w:after="240"/>
        <w:rPr>
          <w:rFonts w:cs="Arial"/>
        </w:rPr>
      </w:pPr>
      <w:r w:rsidRPr="009E11CD">
        <w:rPr>
          <w:rFonts w:cs="Arial"/>
        </w:rPr>
        <w:t xml:space="preserve">Geographic limitations requirement: TFS, Inc. sought to open a site outside of the district’s boundaries, which is in violation of </w:t>
      </w:r>
      <w:r w:rsidRPr="009E11CD">
        <w:rPr>
          <w:rFonts w:cs="Arial"/>
          <w:i/>
        </w:rPr>
        <w:t>EC</w:t>
      </w:r>
      <w:r w:rsidRPr="009E11CD">
        <w:rPr>
          <w:rFonts w:cs="Arial"/>
        </w:rPr>
        <w:t xml:space="preserve"> sections 47605 and 47605.1.</w:t>
      </w:r>
    </w:p>
    <w:p w14:paraId="18AA6A90" w14:textId="77777777" w:rsidR="009E11CD" w:rsidRPr="009E11CD" w:rsidRDefault="009E11CD" w:rsidP="009E11CD">
      <w:pPr>
        <w:numPr>
          <w:ilvl w:val="1"/>
          <w:numId w:val="19"/>
        </w:numPr>
        <w:spacing w:before="240" w:after="240"/>
        <w:rPr>
          <w:rFonts w:cs="Arial"/>
        </w:rPr>
      </w:pPr>
      <w:r w:rsidRPr="009E11CD">
        <w:rPr>
          <w:rFonts w:cs="Arial"/>
        </w:rPr>
        <w:t>Governance structure: TFSCSI and TFS-C are operated by a single board, despite being authorized by different districts.</w:t>
      </w:r>
    </w:p>
    <w:p w14:paraId="5CC6E3F0" w14:textId="77777777" w:rsidR="009E11CD" w:rsidRPr="009E11CD" w:rsidRDefault="009E11CD" w:rsidP="009E11CD">
      <w:pPr>
        <w:numPr>
          <w:ilvl w:val="1"/>
          <w:numId w:val="19"/>
        </w:numPr>
        <w:spacing w:before="240" w:after="240"/>
        <w:rPr>
          <w:rFonts w:cs="Arial"/>
        </w:rPr>
      </w:pPr>
      <w:r w:rsidRPr="009E11CD">
        <w:rPr>
          <w:rFonts w:cs="Arial"/>
        </w:rPr>
        <w:t>Special education program: TFSCSI’s limited special education program is in violation of special education laws.</w:t>
      </w:r>
    </w:p>
    <w:p w14:paraId="55235A6C" w14:textId="77777777" w:rsidR="009E11CD" w:rsidRPr="009E11CD" w:rsidRDefault="009E11CD" w:rsidP="009E11CD">
      <w:pPr>
        <w:numPr>
          <w:ilvl w:val="1"/>
          <w:numId w:val="19"/>
        </w:numPr>
        <w:spacing w:before="240" w:after="240"/>
        <w:rPr>
          <w:rFonts w:cs="Arial"/>
        </w:rPr>
      </w:pPr>
      <w:r w:rsidRPr="009E11CD">
        <w:rPr>
          <w:rFonts w:cs="Arial"/>
        </w:rPr>
        <w:t>Failure to comply with their obligation to inform the district when pupils leave.</w:t>
      </w:r>
    </w:p>
    <w:p w14:paraId="4850B681" w14:textId="77777777" w:rsidR="009E11CD" w:rsidRPr="009E11CD" w:rsidRDefault="009E11CD" w:rsidP="009E11CD">
      <w:pPr>
        <w:numPr>
          <w:ilvl w:val="1"/>
          <w:numId w:val="19"/>
        </w:numPr>
        <w:spacing w:before="240" w:after="240"/>
        <w:rPr>
          <w:rFonts w:cs="Arial"/>
        </w:rPr>
      </w:pPr>
      <w:r w:rsidRPr="009E11CD">
        <w:rPr>
          <w:rFonts w:cs="Arial"/>
        </w:rPr>
        <w:t>Failure to comply with their authorizer’s request for information.</w:t>
      </w:r>
    </w:p>
    <w:p w14:paraId="5B764176" w14:textId="77777777" w:rsidR="009E11CD" w:rsidRPr="009E11CD" w:rsidRDefault="009E11CD" w:rsidP="009E11CD">
      <w:pPr>
        <w:numPr>
          <w:ilvl w:val="0"/>
          <w:numId w:val="19"/>
        </w:numPr>
        <w:spacing w:before="240" w:after="240"/>
        <w:rPr>
          <w:rFonts w:cs="Arial"/>
        </w:rPr>
      </w:pPr>
      <w:r w:rsidRPr="009E11CD">
        <w:rPr>
          <w:rFonts w:cs="Arial"/>
        </w:rPr>
        <w:t>The petition fails to provide a reasonably comprehensive description of all required elements of a charter petition.</w:t>
      </w:r>
    </w:p>
    <w:p w14:paraId="62BA3A76" w14:textId="77777777" w:rsidR="009E11CD" w:rsidRPr="009E11CD" w:rsidRDefault="009E11CD" w:rsidP="009E11CD">
      <w:pPr>
        <w:numPr>
          <w:ilvl w:val="1"/>
          <w:numId w:val="19"/>
        </w:numPr>
        <w:spacing w:before="240" w:after="240"/>
        <w:rPr>
          <w:rFonts w:cs="Arial"/>
        </w:rPr>
      </w:pPr>
      <w:r w:rsidRPr="009E11CD">
        <w:rPr>
          <w:rFonts w:cs="Arial"/>
        </w:rPr>
        <w:lastRenderedPageBreak/>
        <w:t>Element A–Description of Educational Program: Plan for Special Education: TFSCSI does not provide the full continuum of program options.</w:t>
      </w:r>
    </w:p>
    <w:p w14:paraId="1D619E9B" w14:textId="77777777" w:rsidR="009E11CD" w:rsidRPr="009E11CD" w:rsidRDefault="009E11CD" w:rsidP="009E11CD">
      <w:pPr>
        <w:numPr>
          <w:ilvl w:val="1"/>
          <w:numId w:val="19"/>
        </w:numPr>
        <w:spacing w:before="240" w:after="240"/>
        <w:rPr>
          <w:rFonts w:cs="Arial"/>
        </w:rPr>
      </w:pPr>
      <w:r w:rsidRPr="009E11CD">
        <w:rPr>
          <w:rFonts w:cs="Arial"/>
        </w:rPr>
        <w:t>Element D–Governance Structure</w:t>
      </w:r>
    </w:p>
    <w:p w14:paraId="450E5CB3" w14:textId="77777777" w:rsidR="009E11CD" w:rsidRPr="009E11CD" w:rsidRDefault="009E11CD" w:rsidP="009E11CD">
      <w:pPr>
        <w:numPr>
          <w:ilvl w:val="2"/>
          <w:numId w:val="19"/>
        </w:numPr>
        <w:spacing w:before="240" w:after="240"/>
        <w:rPr>
          <w:rFonts w:cs="Arial"/>
        </w:rPr>
      </w:pPr>
      <w:r w:rsidRPr="009E11CD">
        <w:rPr>
          <w:rFonts w:cs="Arial"/>
        </w:rPr>
        <w:t>The petition does not identify nor provide any information regarding the members of the TFS, Inc. governing board or its composition.</w:t>
      </w:r>
    </w:p>
    <w:p w14:paraId="5307284D" w14:textId="77777777" w:rsidR="009E11CD" w:rsidRPr="009E11CD" w:rsidRDefault="009E11CD" w:rsidP="009E11CD">
      <w:pPr>
        <w:numPr>
          <w:ilvl w:val="2"/>
          <w:numId w:val="19"/>
        </w:numPr>
        <w:spacing w:before="240" w:after="240"/>
        <w:rPr>
          <w:rFonts w:cs="Arial"/>
        </w:rPr>
      </w:pPr>
      <w:r w:rsidRPr="009E11CD">
        <w:rPr>
          <w:rFonts w:cs="Arial"/>
        </w:rPr>
        <w:t>The petition does not identify, describe, nor provide for a structure under which a single board operates two separate charter schools authorized by separate school districts.</w:t>
      </w:r>
    </w:p>
    <w:p w14:paraId="54A1F3AE" w14:textId="77777777" w:rsidR="009E11CD" w:rsidRPr="009E11CD" w:rsidRDefault="009E11CD" w:rsidP="009E11CD">
      <w:pPr>
        <w:numPr>
          <w:ilvl w:val="2"/>
          <w:numId w:val="19"/>
        </w:numPr>
        <w:spacing w:before="240" w:after="240"/>
        <w:rPr>
          <w:rFonts w:cs="Arial"/>
        </w:rPr>
      </w:pPr>
      <w:r w:rsidRPr="009E11CD">
        <w:rPr>
          <w:rFonts w:cs="Arial"/>
        </w:rPr>
        <w:t xml:space="preserve">The petition is silent on TFS, Inc.’s compliance with </w:t>
      </w:r>
      <w:r w:rsidRPr="009E11CD">
        <w:rPr>
          <w:rFonts w:cs="Arial"/>
          <w:i/>
        </w:rPr>
        <w:t>Government Code</w:t>
      </w:r>
      <w:r w:rsidRPr="009E11CD">
        <w:rPr>
          <w:rFonts w:cs="Arial"/>
        </w:rPr>
        <w:t xml:space="preserve"> (</w:t>
      </w:r>
      <w:r w:rsidRPr="009E11CD">
        <w:rPr>
          <w:rFonts w:cs="Arial"/>
          <w:i/>
        </w:rPr>
        <w:t>GC</w:t>
      </w:r>
      <w:r w:rsidRPr="009E11CD">
        <w:rPr>
          <w:rFonts w:cs="Arial"/>
        </w:rPr>
        <w:t>) Section 1090.</w:t>
      </w:r>
    </w:p>
    <w:p w14:paraId="640E2EA7" w14:textId="77777777" w:rsidR="009E11CD" w:rsidRPr="009E11CD" w:rsidRDefault="009E11CD" w:rsidP="009E11CD">
      <w:pPr>
        <w:numPr>
          <w:ilvl w:val="1"/>
          <w:numId w:val="19"/>
        </w:numPr>
        <w:spacing w:before="240" w:after="240"/>
        <w:rPr>
          <w:rFonts w:cs="Arial"/>
        </w:rPr>
      </w:pPr>
      <w:r w:rsidRPr="009E11CD">
        <w:rPr>
          <w:rFonts w:cs="Arial"/>
        </w:rPr>
        <w:t>Element F–Health and Safety Procedures: The petition does not include nor describe the requisite comprehensive school safety plan.</w:t>
      </w:r>
    </w:p>
    <w:p w14:paraId="0F20B1B6" w14:textId="77777777" w:rsidR="009E11CD" w:rsidRPr="009E11CD" w:rsidRDefault="009E11CD" w:rsidP="009E11CD">
      <w:pPr>
        <w:numPr>
          <w:ilvl w:val="1"/>
          <w:numId w:val="19"/>
        </w:numPr>
        <w:spacing w:before="240" w:after="240"/>
        <w:rPr>
          <w:rFonts w:cs="Arial"/>
        </w:rPr>
      </w:pPr>
      <w:r w:rsidRPr="009E11CD">
        <w:rPr>
          <w:rFonts w:cs="Arial"/>
        </w:rPr>
        <w:t>Element H–Admissions Requirements: The petition states an expectation to volunteer, which amounts to a parent participation requirement and which violates the law.</w:t>
      </w:r>
    </w:p>
    <w:p w14:paraId="744E3BF3" w14:textId="77777777" w:rsidR="009E11CD" w:rsidRPr="009E11CD" w:rsidRDefault="009E11CD" w:rsidP="009E11CD">
      <w:pPr>
        <w:numPr>
          <w:ilvl w:val="1"/>
          <w:numId w:val="19"/>
        </w:numPr>
        <w:spacing w:before="240" w:after="240"/>
        <w:rPr>
          <w:rFonts w:cs="Arial"/>
        </w:rPr>
      </w:pPr>
      <w:r w:rsidRPr="009E11CD">
        <w:rPr>
          <w:rFonts w:cs="Arial"/>
        </w:rPr>
        <w:t>Element J–Suspension and Expulsion Procedures: The petition’s disciplinary policy is contrary to the state’s requirement that pupils not be recommended for or expelled based upon willful defiance.</w:t>
      </w:r>
    </w:p>
    <w:p w14:paraId="785ED940" w14:textId="77777777" w:rsidR="009E11CD" w:rsidRPr="009E11CD" w:rsidRDefault="009E11CD" w:rsidP="009E11CD">
      <w:pPr>
        <w:numPr>
          <w:ilvl w:val="1"/>
          <w:numId w:val="19"/>
        </w:numPr>
        <w:spacing w:before="240" w:after="240"/>
        <w:rPr>
          <w:rFonts w:cs="Arial"/>
        </w:rPr>
      </w:pPr>
      <w:r w:rsidRPr="009E11CD">
        <w:rPr>
          <w:rFonts w:cs="Arial"/>
        </w:rPr>
        <w:t>Element N–Dispute Resolution Procedures: The petition requires the district to participate in the dispute resolution procedures, which is inconsistent with the law.</w:t>
      </w:r>
    </w:p>
    <w:p w14:paraId="69C175BE" w14:textId="77777777" w:rsidR="009E11CD" w:rsidRPr="009E11CD" w:rsidRDefault="009E11CD" w:rsidP="009E11CD">
      <w:pPr>
        <w:numPr>
          <w:ilvl w:val="0"/>
          <w:numId w:val="19"/>
        </w:numPr>
        <w:spacing w:before="240" w:after="240"/>
        <w:rPr>
          <w:rFonts w:cs="Arial"/>
        </w:rPr>
      </w:pPr>
      <w:r w:rsidRPr="009E11CD">
        <w:rPr>
          <w:rFonts w:cs="Arial"/>
        </w:rPr>
        <w:t>The charter school presents an unsound educational program for the pupils to be enrolled in the charter school.</w:t>
      </w:r>
    </w:p>
    <w:p w14:paraId="3DCEDFDA" w14:textId="77777777" w:rsidR="009E11CD" w:rsidRPr="009E11CD" w:rsidRDefault="009E11CD" w:rsidP="00D8434A">
      <w:pPr>
        <w:pStyle w:val="Heading4"/>
      </w:pPr>
      <w:r w:rsidRPr="009E11CD">
        <w:t xml:space="preserve">Los </w:t>
      </w:r>
      <w:r w:rsidRPr="00D8434A">
        <w:t>Angeles</w:t>
      </w:r>
      <w:r w:rsidRPr="009E11CD">
        <w:t xml:space="preserve"> County Board of Education Findings</w:t>
      </w:r>
    </w:p>
    <w:p w14:paraId="446E8244" w14:textId="1F34C4D4" w:rsidR="009E11CD" w:rsidRPr="009E11CD" w:rsidRDefault="009E11CD" w:rsidP="009E11CD">
      <w:pPr>
        <w:spacing w:after="240"/>
        <w:rPr>
          <w:rFonts w:cs="Arial"/>
        </w:rPr>
      </w:pPr>
      <w:r w:rsidRPr="009E11CD">
        <w:rPr>
          <w:rFonts w:cs="Arial"/>
        </w:rPr>
        <w:t>On January 7, 2020, LACBOE took action and denied the TFSCSI petition based on the following findings (Attachment 7</w:t>
      </w:r>
      <w:r w:rsidR="00361D6B">
        <w:rPr>
          <w:rFonts w:cs="Arial"/>
        </w:rPr>
        <w:t xml:space="preserve"> </w:t>
      </w:r>
      <w:r w:rsidR="00361D6B">
        <w:rPr>
          <w:rFonts w:cstheme="majorBidi"/>
        </w:rPr>
        <w:t xml:space="preserve">of Agenda Item 08 on the ACCS June 9, 2020, Meeting Notice on the SBE ACCS web page at </w:t>
      </w:r>
      <w:hyperlink r:id="rId23" w:tooltip="June 2020 ACCS Meeting Agenda web page" w:history="1">
        <w:r w:rsidR="00D8434A" w:rsidRPr="00EC3CB5">
          <w:rPr>
            <w:rStyle w:val="Hyperlink"/>
          </w:rPr>
          <w:t>https://www.cde.ca.gov/be/cc/cs/accsnotice060920.asp</w:t>
        </w:r>
      </w:hyperlink>
      <w:r w:rsidRPr="009E11CD">
        <w:rPr>
          <w:rFonts w:cs="Arial"/>
        </w:rPr>
        <w:t>):</w:t>
      </w:r>
    </w:p>
    <w:p w14:paraId="5E883CE6" w14:textId="77777777" w:rsidR="009E11CD" w:rsidRPr="009E11CD" w:rsidRDefault="009E11CD" w:rsidP="009E11CD">
      <w:pPr>
        <w:numPr>
          <w:ilvl w:val="0"/>
          <w:numId w:val="19"/>
        </w:numPr>
        <w:spacing w:before="240" w:after="240"/>
        <w:rPr>
          <w:rFonts w:cs="Arial"/>
        </w:rPr>
      </w:pPr>
      <w:r w:rsidRPr="009E11CD">
        <w:rPr>
          <w:rFonts w:cs="Arial"/>
        </w:rPr>
        <w:t xml:space="preserve">The renewal petition does not contain reasonably comprehensive descriptions of certain required elements set forth in </w:t>
      </w:r>
      <w:r w:rsidRPr="009E11CD">
        <w:rPr>
          <w:rFonts w:cs="Arial"/>
          <w:i/>
        </w:rPr>
        <w:t>EC</w:t>
      </w:r>
      <w:r w:rsidRPr="009E11CD">
        <w:rPr>
          <w:rFonts w:cs="Arial"/>
        </w:rPr>
        <w:t xml:space="preserve"> Section 47605(b)(5)(A–O).</w:t>
      </w:r>
    </w:p>
    <w:p w14:paraId="2B95275C" w14:textId="77777777" w:rsidR="009E11CD" w:rsidRPr="009E11CD" w:rsidRDefault="009E11CD" w:rsidP="009E11CD">
      <w:pPr>
        <w:numPr>
          <w:ilvl w:val="1"/>
          <w:numId w:val="19"/>
        </w:numPr>
        <w:spacing w:before="240" w:after="240"/>
        <w:rPr>
          <w:rFonts w:cs="Arial"/>
        </w:rPr>
      </w:pPr>
      <w:r w:rsidRPr="009E11CD">
        <w:rPr>
          <w:rFonts w:cs="Arial"/>
        </w:rPr>
        <w:t>Element A–Description of Educational Program</w:t>
      </w:r>
    </w:p>
    <w:p w14:paraId="1413CC2A" w14:textId="77777777" w:rsidR="009E11CD" w:rsidRPr="009E11CD" w:rsidRDefault="009E11CD" w:rsidP="009E11CD">
      <w:pPr>
        <w:numPr>
          <w:ilvl w:val="2"/>
          <w:numId w:val="19"/>
        </w:numPr>
        <w:spacing w:before="240" w:after="240"/>
        <w:rPr>
          <w:rFonts w:cs="Arial"/>
        </w:rPr>
      </w:pPr>
      <w:r w:rsidRPr="009E11CD">
        <w:rPr>
          <w:rFonts w:cs="Arial"/>
        </w:rPr>
        <w:lastRenderedPageBreak/>
        <w:t>Overview of instructional program: The petition offers few concrete details regarding the instructional setting and how instruction is delivered.</w:t>
      </w:r>
    </w:p>
    <w:p w14:paraId="568C35A2" w14:textId="77777777" w:rsidR="009E11CD" w:rsidRPr="009E11CD" w:rsidRDefault="009E11CD" w:rsidP="009E11CD">
      <w:pPr>
        <w:numPr>
          <w:ilvl w:val="2"/>
          <w:numId w:val="19"/>
        </w:numPr>
        <w:spacing w:before="240" w:after="240"/>
        <w:rPr>
          <w:rFonts w:cs="Arial"/>
        </w:rPr>
      </w:pPr>
      <w:r w:rsidRPr="009E11CD">
        <w:rPr>
          <w:rFonts w:cs="Arial"/>
        </w:rPr>
        <w:t>Teaching staff class size: The petition does not provide any information as to the number of credentialed teachers, paraprofessionals, nor instructional assistants currently employed by TFSCSI.</w:t>
      </w:r>
    </w:p>
    <w:p w14:paraId="5BF2618A" w14:textId="49218271" w:rsidR="009E11CD" w:rsidRPr="009E11CD" w:rsidRDefault="009E11CD" w:rsidP="009E11CD">
      <w:pPr>
        <w:numPr>
          <w:ilvl w:val="2"/>
          <w:numId w:val="19"/>
        </w:numPr>
        <w:spacing w:before="240" w:after="240"/>
        <w:rPr>
          <w:rFonts w:cs="Arial"/>
        </w:rPr>
      </w:pPr>
      <w:r w:rsidRPr="009E11CD">
        <w:rPr>
          <w:rFonts w:cs="Arial"/>
        </w:rPr>
        <w:t>ELs: The petition does not identify a specific curriculum for ELs that address the need to support English language development (ELD).</w:t>
      </w:r>
    </w:p>
    <w:p w14:paraId="7C94D53A" w14:textId="77777777" w:rsidR="009E11CD" w:rsidRPr="009E11CD" w:rsidRDefault="009E11CD" w:rsidP="009E11CD">
      <w:pPr>
        <w:numPr>
          <w:ilvl w:val="2"/>
          <w:numId w:val="19"/>
        </w:numPr>
        <w:spacing w:before="240" w:after="240"/>
        <w:rPr>
          <w:rFonts w:cs="Arial"/>
        </w:rPr>
      </w:pPr>
      <w:r w:rsidRPr="009E11CD">
        <w:rPr>
          <w:rFonts w:cs="Arial"/>
        </w:rPr>
        <w:t>Professional development: The petition does not include a professional development calendar that indicates specific trainings for the implementation of state and federal special education laws, Section 504, ELD, or instructional supports and strategies for pupils struggling academically.</w:t>
      </w:r>
    </w:p>
    <w:p w14:paraId="74C51A10" w14:textId="77777777" w:rsidR="009E11CD" w:rsidRPr="009E11CD" w:rsidRDefault="009E11CD" w:rsidP="009E11CD">
      <w:pPr>
        <w:numPr>
          <w:ilvl w:val="2"/>
          <w:numId w:val="19"/>
        </w:numPr>
        <w:spacing w:before="240" w:after="240"/>
        <w:rPr>
          <w:rFonts w:cs="Arial"/>
        </w:rPr>
      </w:pPr>
      <w:r w:rsidRPr="009E11CD">
        <w:rPr>
          <w:rFonts w:cs="Arial"/>
        </w:rPr>
        <w:t>Schoolwide intervention strategies: The petition does not describe the qualifications for staff teaching Saturday school nor summer enrichment; the reading consultants with which TFSCSI collaborates; the specifics around the tutoring that TFSCSI offers; and the identity of the intervention team members as well as their duties.</w:t>
      </w:r>
    </w:p>
    <w:p w14:paraId="4885CBBA" w14:textId="77777777" w:rsidR="009E11CD" w:rsidRPr="009E11CD" w:rsidRDefault="009E11CD" w:rsidP="009E11CD">
      <w:pPr>
        <w:numPr>
          <w:ilvl w:val="2"/>
          <w:numId w:val="19"/>
        </w:numPr>
        <w:spacing w:before="240" w:after="240"/>
        <w:rPr>
          <w:rFonts w:cs="Arial"/>
        </w:rPr>
      </w:pPr>
      <w:r w:rsidRPr="009E11CD">
        <w:rPr>
          <w:rFonts w:cs="Arial"/>
        </w:rPr>
        <w:t>The petition does not include a comprehensive description of physical education, sports, nor the arts offered at TFSCSI.</w:t>
      </w:r>
    </w:p>
    <w:p w14:paraId="4FE57869" w14:textId="77777777" w:rsidR="009E11CD" w:rsidRPr="009E11CD" w:rsidRDefault="009E11CD" w:rsidP="009E11CD">
      <w:pPr>
        <w:numPr>
          <w:ilvl w:val="2"/>
          <w:numId w:val="19"/>
        </w:numPr>
        <w:spacing w:before="240" w:after="240"/>
        <w:rPr>
          <w:rFonts w:cs="Arial"/>
        </w:rPr>
      </w:pPr>
      <w:r w:rsidRPr="009E11CD">
        <w:rPr>
          <w:rFonts w:cs="Arial"/>
        </w:rPr>
        <w:t>The petition does not include a comprehensive description of the TK program at TFSCSI.</w:t>
      </w:r>
    </w:p>
    <w:p w14:paraId="314925D1" w14:textId="77777777" w:rsidR="009E11CD" w:rsidRPr="009E11CD" w:rsidRDefault="009E11CD" w:rsidP="009E11CD">
      <w:pPr>
        <w:numPr>
          <w:ilvl w:val="1"/>
          <w:numId w:val="19"/>
        </w:numPr>
        <w:spacing w:before="240" w:after="240"/>
        <w:rPr>
          <w:rFonts w:cs="Arial"/>
        </w:rPr>
      </w:pPr>
      <w:r w:rsidRPr="009E11CD">
        <w:rPr>
          <w:rFonts w:cs="Arial"/>
        </w:rPr>
        <w:t>Element D–Governance Structure</w:t>
      </w:r>
    </w:p>
    <w:p w14:paraId="5E3C9C50" w14:textId="77777777" w:rsidR="009E11CD" w:rsidRPr="009E11CD" w:rsidRDefault="009E11CD" w:rsidP="009E11CD">
      <w:pPr>
        <w:numPr>
          <w:ilvl w:val="2"/>
          <w:numId w:val="19"/>
        </w:numPr>
        <w:spacing w:before="240" w:after="240"/>
        <w:rPr>
          <w:rFonts w:cs="Arial"/>
        </w:rPr>
      </w:pPr>
      <w:r w:rsidRPr="009E11CD">
        <w:rPr>
          <w:rFonts w:cs="Arial"/>
        </w:rPr>
        <w:t>The TFSCSI bylaws do not reference the Brown Act and do not comport with key Brown Act requirements.</w:t>
      </w:r>
    </w:p>
    <w:p w14:paraId="56459DA6" w14:textId="77777777" w:rsidR="009E11CD" w:rsidRPr="009E11CD" w:rsidRDefault="009E11CD" w:rsidP="009E11CD">
      <w:pPr>
        <w:numPr>
          <w:ilvl w:val="2"/>
          <w:numId w:val="19"/>
        </w:numPr>
        <w:spacing w:before="240" w:after="240"/>
        <w:rPr>
          <w:rFonts w:cs="Arial"/>
        </w:rPr>
      </w:pPr>
      <w:r w:rsidRPr="009E11CD">
        <w:rPr>
          <w:rFonts w:cs="Arial"/>
        </w:rPr>
        <w:t>The petition has not been updated to reflect the amended bylaws with respect to the number of Board of Directors (Board) members that TFS, Inc. shall have.</w:t>
      </w:r>
    </w:p>
    <w:p w14:paraId="47BDDB6C" w14:textId="77777777" w:rsidR="009E11CD" w:rsidRPr="009E11CD" w:rsidRDefault="009E11CD" w:rsidP="009E11CD">
      <w:pPr>
        <w:numPr>
          <w:ilvl w:val="2"/>
          <w:numId w:val="19"/>
        </w:numPr>
        <w:spacing w:before="240" w:after="240"/>
        <w:rPr>
          <w:rFonts w:cs="Arial"/>
        </w:rPr>
      </w:pPr>
      <w:r w:rsidRPr="009E11CD">
        <w:rPr>
          <w:rFonts w:cs="Arial"/>
        </w:rPr>
        <w:t>The petition does not include a roster nor information regarding the current composition of the TFS, Inc. Board nor state how long each director has continuously served on the Board.</w:t>
      </w:r>
    </w:p>
    <w:p w14:paraId="59978A36" w14:textId="77777777" w:rsidR="009E11CD" w:rsidRPr="009E11CD" w:rsidRDefault="009E11CD" w:rsidP="009E11CD">
      <w:pPr>
        <w:numPr>
          <w:ilvl w:val="2"/>
          <w:numId w:val="19"/>
        </w:numPr>
        <w:spacing w:before="240" w:after="240"/>
        <w:rPr>
          <w:rFonts w:cs="Arial"/>
        </w:rPr>
      </w:pPr>
      <w:r w:rsidRPr="009E11CD">
        <w:rPr>
          <w:rFonts w:cs="Arial"/>
        </w:rPr>
        <w:t xml:space="preserve">The petition does not discuss how the TFS, Inc. Board is able to perform all of the duties and functions necessary in order to operate </w:t>
      </w:r>
      <w:r w:rsidRPr="009E11CD">
        <w:rPr>
          <w:rFonts w:cs="Arial"/>
        </w:rPr>
        <w:lastRenderedPageBreak/>
        <w:t>multiple charter schools when only two regular meetings of the TFS, Inc. Board are required each calendar year.</w:t>
      </w:r>
    </w:p>
    <w:p w14:paraId="259E1A80" w14:textId="77777777" w:rsidR="009E11CD" w:rsidRPr="009E11CD" w:rsidRDefault="009E11CD" w:rsidP="009E11CD">
      <w:pPr>
        <w:numPr>
          <w:ilvl w:val="2"/>
          <w:numId w:val="19"/>
        </w:numPr>
        <w:spacing w:before="240" w:after="240"/>
        <w:rPr>
          <w:rFonts w:cs="Arial"/>
        </w:rPr>
      </w:pPr>
      <w:r w:rsidRPr="009E11CD">
        <w:rPr>
          <w:rFonts w:cs="Arial"/>
        </w:rPr>
        <w:t xml:space="preserve">The petition does not state that TFS, Inc. will comply with </w:t>
      </w:r>
      <w:r w:rsidRPr="009E11CD">
        <w:rPr>
          <w:rFonts w:cs="Arial"/>
          <w:i/>
        </w:rPr>
        <w:t>GC</w:t>
      </w:r>
      <w:r w:rsidRPr="009E11CD">
        <w:rPr>
          <w:rFonts w:cs="Arial"/>
        </w:rPr>
        <w:t xml:space="preserve"> Section 1090.</w:t>
      </w:r>
    </w:p>
    <w:p w14:paraId="3D6B7505" w14:textId="77777777" w:rsidR="009E11CD" w:rsidRPr="009E11CD" w:rsidRDefault="009E11CD" w:rsidP="009E11CD">
      <w:pPr>
        <w:numPr>
          <w:ilvl w:val="2"/>
          <w:numId w:val="19"/>
        </w:numPr>
        <w:spacing w:before="240" w:after="240"/>
        <w:rPr>
          <w:rFonts w:cs="Arial"/>
        </w:rPr>
      </w:pPr>
      <w:r w:rsidRPr="009E11CD">
        <w:rPr>
          <w:rFonts w:cs="Arial"/>
        </w:rPr>
        <w:t>The petition does not include any information regarding committee composition, qualifications for membership, terms of office, meeting schedules, or specific responsibilities of those committees.</w:t>
      </w:r>
    </w:p>
    <w:p w14:paraId="5E751675" w14:textId="77777777" w:rsidR="009E11CD" w:rsidRPr="009E11CD" w:rsidRDefault="009E11CD" w:rsidP="009E11CD">
      <w:pPr>
        <w:numPr>
          <w:ilvl w:val="1"/>
          <w:numId w:val="19"/>
        </w:numPr>
        <w:spacing w:before="240" w:after="240"/>
        <w:rPr>
          <w:rFonts w:cs="Arial"/>
        </w:rPr>
      </w:pPr>
      <w:r w:rsidRPr="009E11CD">
        <w:rPr>
          <w:rFonts w:cs="Arial"/>
        </w:rPr>
        <w:t>Element E–Employee Qualifications: The petition does not provide information regarding the number nor category of staff that are employed by TFSCSI.</w:t>
      </w:r>
    </w:p>
    <w:p w14:paraId="4CEB77F2" w14:textId="77777777" w:rsidR="009E11CD" w:rsidRPr="009E11CD" w:rsidRDefault="009E11CD" w:rsidP="009E11CD">
      <w:pPr>
        <w:numPr>
          <w:ilvl w:val="1"/>
          <w:numId w:val="19"/>
        </w:numPr>
        <w:spacing w:before="240" w:after="240"/>
        <w:rPr>
          <w:rFonts w:cs="Arial"/>
        </w:rPr>
      </w:pPr>
      <w:r w:rsidRPr="009E11CD">
        <w:rPr>
          <w:rFonts w:cs="Arial"/>
        </w:rPr>
        <w:t>Element F–Health and Safety Procedures: The petition does not contain health and safety policies and procedures.</w:t>
      </w:r>
    </w:p>
    <w:p w14:paraId="006558E8" w14:textId="77777777" w:rsidR="009E11CD" w:rsidRPr="009E11CD" w:rsidRDefault="009E11CD" w:rsidP="009E11CD">
      <w:pPr>
        <w:numPr>
          <w:ilvl w:val="1"/>
          <w:numId w:val="19"/>
        </w:numPr>
        <w:spacing w:before="240" w:after="240"/>
        <w:rPr>
          <w:rFonts w:cs="Arial"/>
        </w:rPr>
      </w:pPr>
      <w:r w:rsidRPr="009E11CD">
        <w:rPr>
          <w:rFonts w:cs="Arial"/>
        </w:rPr>
        <w:t>Element G–Means to Achieve Racial and Ethnic Balance: The petition does not identify specific geographic areas to be targeted nor specific recruitment materials, outreach efforts, or languages to be used in TFSCSI’s recruiting materials.</w:t>
      </w:r>
    </w:p>
    <w:p w14:paraId="4B107587" w14:textId="77777777" w:rsidR="009E11CD" w:rsidRPr="009E11CD" w:rsidRDefault="009E11CD" w:rsidP="009E11CD">
      <w:pPr>
        <w:numPr>
          <w:ilvl w:val="1"/>
          <w:numId w:val="19"/>
        </w:numPr>
        <w:spacing w:before="240" w:after="240"/>
        <w:rPr>
          <w:rFonts w:cs="Arial"/>
        </w:rPr>
      </w:pPr>
      <w:r w:rsidRPr="009E11CD">
        <w:rPr>
          <w:rFonts w:cs="Arial"/>
        </w:rPr>
        <w:t>Element J–Suspension and Expulsion Procedures: The petition lists willful defiance as grounds for suspension and expulsion of pupils, which is inconsistent with Senate Bill 419.</w:t>
      </w:r>
    </w:p>
    <w:p w14:paraId="51798D31" w14:textId="77777777" w:rsidR="009E11CD" w:rsidRPr="009E11CD" w:rsidRDefault="009E11CD" w:rsidP="009E11CD">
      <w:pPr>
        <w:numPr>
          <w:ilvl w:val="0"/>
          <w:numId w:val="19"/>
        </w:numPr>
        <w:spacing w:before="240" w:after="240"/>
        <w:rPr>
          <w:rFonts w:cs="Arial"/>
        </w:rPr>
      </w:pPr>
      <w:r w:rsidRPr="009E11CD">
        <w:rPr>
          <w:rFonts w:cs="Arial"/>
        </w:rPr>
        <w:t>The petitioner is demonstrably unlikely to successfully implement the program set forth in the renewal petition.</w:t>
      </w:r>
    </w:p>
    <w:p w14:paraId="3F2A6E29" w14:textId="77777777" w:rsidR="009E11CD" w:rsidRPr="009E11CD" w:rsidRDefault="009E11CD" w:rsidP="009E11CD">
      <w:pPr>
        <w:numPr>
          <w:ilvl w:val="1"/>
          <w:numId w:val="19"/>
        </w:numPr>
        <w:spacing w:before="240" w:after="240"/>
        <w:rPr>
          <w:rFonts w:cs="Arial"/>
        </w:rPr>
      </w:pPr>
      <w:r w:rsidRPr="009E11CD">
        <w:rPr>
          <w:rFonts w:cs="Arial"/>
        </w:rPr>
        <w:t>The renewal petition does not include an adequate financial plan for the operation of the charter school, including the following:</w:t>
      </w:r>
    </w:p>
    <w:p w14:paraId="59D1012C" w14:textId="77777777" w:rsidR="009E11CD" w:rsidRPr="009E11CD" w:rsidRDefault="009E11CD" w:rsidP="009E11CD">
      <w:pPr>
        <w:numPr>
          <w:ilvl w:val="2"/>
          <w:numId w:val="19"/>
        </w:numPr>
        <w:spacing w:before="240" w:after="240"/>
        <w:rPr>
          <w:rFonts w:cs="Arial"/>
        </w:rPr>
      </w:pPr>
      <w:r w:rsidRPr="009E11CD">
        <w:rPr>
          <w:rFonts w:cs="Arial"/>
        </w:rPr>
        <w:t>Financial statements: The budget projections submitted with the petition were not formatted correctly and cannot be analyzed.</w:t>
      </w:r>
    </w:p>
    <w:p w14:paraId="4226CC80" w14:textId="77777777" w:rsidR="009E11CD" w:rsidRPr="009E11CD" w:rsidRDefault="009E11CD" w:rsidP="009E11CD">
      <w:pPr>
        <w:numPr>
          <w:ilvl w:val="2"/>
          <w:numId w:val="19"/>
        </w:numPr>
        <w:spacing w:before="240" w:after="240"/>
        <w:rPr>
          <w:rFonts w:cs="Arial"/>
        </w:rPr>
      </w:pPr>
      <w:r w:rsidRPr="009E11CD">
        <w:rPr>
          <w:rFonts w:cs="Arial"/>
        </w:rPr>
        <w:t>Enrollment projections: The revenue appears to be materially misstated and the projected enrollment appears overstated.</w:t>
      </w:r>
    </w:p>
    <w:p w14:paraId="65802A55" w14:textId="77777777" w:rsidR="009E11CD" w:rsidRPr="009E11CD" w:rsidRDefault="009E11CD" w:rsidP="009E11CD">
      <w:pPr>
        <w:numPr>
          <w:ilvl w:val="2"/>
          <w:numId w:val="19"/>
        </w:numPr>
        <w:spacing w:before="240" w:after="240"/>
        <w:rPr>
          <w:rFonts w:cs="Arial"/>
        </w:rPr>
      </w:pPr>
      <w:r w:rsidRPr="009E11CD">
        <w:rPr>
          <w:rFonts w:cs="Arial"/>
        </w:rPr>
        <w:t>Fiscal operations: The TFSCSI petition falls short of the standard for a realistic financial and operational plan with unsupported revenue, and understated expenses and assumptions.</w:t>
      </w:r>
    </w:p>
    <w:p w14:paraId="00E4E4EF" w14:textId="77777777" w:rsidR="009E11CD" w:rsidRPr="009E11CD" w:rsidRDefault="009E11CD" w:rsidP="009E11CD">
      <w:pPr>
        <w:numPr>
          <w:ilvl w:val="1"/>
          <w:numId w:val="19"/>
        </w:numPr>
        <w:spacing w:before="240" w:after="240"/>
        <w:rPr>
          <w:rFonts w:cs="Arial"/>
        </w:rPr>
      </w:pPr>
      <w:r w:rsidRPr="009E11CD">
        <w:rPr>
          <w:rFonts w:cs="Arial"/>
        </w:rPr>
        <w:t>The petitioners are not likely to successfully implement the program as described in the renewal petition because of ongoing business entanglements and concerns regarding self-dealing.</w:t>
      </w:r>
    </w:p>
    <w:p w14:paraId="682F676F" w14:textId="77777777" w:rsidR="009E11CD" w:rsidRPr="009E11CD" w:rsidRDefault="009E11CD" w:rsidP="009E11CD">
      <w:pPr>
        <w:numPr>
          <w:ilvl w:val="2"/>
          <w:numId w:val="19"/>
        </w:numPr>
        <w:spacing w:before="240" w:after="240"/>
        <w:rPr>
          <w:rFonts w:cs="Arial"/>
        </w:rPr>
      </w:pPr>
      <w:r w:rsidRPr="009E11CD">
        <w:rPr>
          <w:rFonts w:cs="Arial"/>
        </w:rPr>
        <w:t xml:space="preserve">Contracts with Clark Parker’s construction management company: There is no evidence that shows that Jeanette Parker, the lead </w:t>
      </w:r>
      <w:r w:rsidRPr="009E11CD">
        <w:rPr>
          <w:rFonts w:cs="Arial"/>
        </w:rPr>
        <w:lastRenderedPageBreak/>
        <w:t>petitioner, did not participate in the consideration or negotiations, nor influence the decision of the contracts with Clark Parker’s construction management company.</w:t>
      </w:r>
    </w:p>
    <w:p w14:paraId="7D9FF985" w14:textId="77777777" w:rsidR="009E11CD" w:rsidRPr="009E11CD" w:rsidRDefault="009E11CD" w:rsidP="009E11CD">
      <w:pPr>
        <w:numPr>
          <w:ilvl w:val="2"/>
          <w:numId w:val="19"/>
        </w:numPr>
        <w:spacing w:before="240" w:after="240"/>
        <w:rPr>
          <w:rFonts w:cs="Arial"/>
        </w:rPr>
      </w:pPr>
      <w:r w:rsidRPr="009E11CD">
        <w:rPr>
          <w:rFonts w:cs="Arial"/>
        </w:rPr>
        <w:t>Lease agreements for TFS-C: There are concerns on whether the Parkers disclose their interest and/or recuse themselves from participating in negotiations, formation, or action on the lease.</w:t>
      </w:r>
    </w:p>
    <w:p w14:paraId="7D3453B5" w14:textId="77777777" w:rsidR="009E11CD" w:rsidRPr="009E11CD" w:rsidRDefault="009E11CD" w:rsidP="009E11CD">
      <w:pPr>
        <w:numPr>
          <w:ilvl w:val="2"/>
          <w:numId w:val="19"/>
        </w:numPr>
        <w:spacing w:before="240" w:after="240"/>
        <w:rPr>
          <w:rFonts w:cs="Arial"/>
        </w:rPr>
      </w:pPr>
      <w:r w:rsidRPr="009E11CD">
        <w:rPr>
          <w:rFonts w:cs="Arial"/>
        </w:rPr>
        <w:t>TFS, Inc. fails to inspire confidence regarding conflicts of interest and self-dealings moving forward.</w:t>
      </w:r>
      <w:bookmarkEnd w:id="19"/>
      <w:bookmarkEnd w:id="20"/>
    </w:p>
    <w:p w14:paraId="5B7C3246" w14:textId="77777777" w:rsidR="009E11CD" w:rsidRPr="00BD4F49" w:rsidRDefault="009E11CD" w:rsidP="00D8434A">
      <w:pPr>
        <w:pStyle w:val="Heading3"/>
      </w:pPr>
      <w:r w:rsidRPr="00BD4F49">
        <w:t>Charter Elements</w:t>
      </w:r>
    </w:p>
    <w:p w14:paraId="46A19A72" w14:textId="04B510A1" w:rsidR="009E11CD" w:rsidRPr="00BD4F49" w:rsidRDefault="009E11CD" w:rsidP="009E11CD">
      <w:r w:rsidRPr="00BD4F49">
        <w:t>The CDE finds that the TFSCSI petition does not provide a reasonably comprehensive description of the following required charter elements (Attachment 1</w:t>
      </w:r>
      <w:r w:rsidR="00361D6B">
        <w:t xml:space="preserve"> </w:t>
      </w:r>
      <w:r w:rsidR="00361D6B">
        <w:rPr>
          <w:rFonts w:cstheme="majorBidi"/>
        </w:rPr>
        <w:t xml:space="preserve">of Agenda Item 08 on the ACCS June 9, 2020, Meeting Notice on the SBE ACCS web page at </w:t>
      </w:r>
      <w:hyperlink r:id="rId24" w:tooltip="June 2020 ACCS Meeting Agenda web page" w:history="1">
        <w:r w:rsidR="00D8434A" w:rsidRPr="00EC3CB5">
          <w:rPr>
            <w:rStyle w:val="Hyperlink"/>
          </w:rPr>
          <w:t>https://www.cde.ca.gov/be/cc/cs/accsnotice060920.asp</w:t>
        </w:r>
      </w:hyperlink>
      <w:r w:rsidRPr="00BD4F49">
        <w:t>):</w:t>
      </w:r>
    </w:p>
    <w:p w14:paraId="40AEDA49" w14:textId="77777777" w:rsidR="009E11CD" w:rsidRPr="00BD4F49" w:rsidRDefault="009E11CD" w:rsidP="009E11CD">
      <w:pPr>
        <w:pStyle w:val="Heading4"/>
      </w:pPr>
      <w:r w:rsidRPr="00BD4F49">
        <w:t>Element 1–Description of Educational Program</w:t>
      </w:r>
    </w:p>
    <w:p w14:paraId="0EF8F851" w14:textId="04F8E998" w:rsidR="009E11CD" w:rsidRDefault="009E11CD" w:rsidP="00E84084">
      <w:pPr>
        <w:autoSpaceDE w:val="0"/>
        <w:autoSpaceDN w:val="0"/>
        <w:adjustRightInd w:val="0"/>
        <w:spacing w:after="240"/>
        <w:rPr>
          <w:rFonts w:eastAsia="Calibri" w:cs="Arial"/>
          <w:bCs/>
        </w:rPr>
      </w:pPr>
      <w:r w:rsidRPr="00BD4F49">
        <w:rPr>
          <w:rFonts w:eastAsia="Calibri" w:cs="Arial"/>
          <w:bCs/>
        </w:rPr>
        <w:t>The TFSCSI petition does not, overall, present a reasonably comprehensive description of the educational program.</w:t>
      </w:r>
    </w:p>
    <w:p w14:paraId="005AEE15" w14:textId="5029AF71" w:rsidR="009E11CD" w:rsidRDefault="009E11CD" w:rsidP="00E84084">
      <w:pPr>
        <w:autoSpaceDE w:val="0"/>
        <w:autoSpaceDN w:val="0"/>
        <w:adjustRightInd w:val="0"/>
        <w:spacing w:after="240"/>
        <w:rPr>
          <w:rFonts w:eastAsia="Calibri" w:cs="Arial"/>
          <w:bCs/>
        </w:rPr>
      </w:pPr>
      <w:r w:rsidRPr="00BD4F49">
        <w:rPr>
          <w:rFonts w:eastAsia="Calibri" w:cs="Arial"/>
          <w:bCs/>
        </w:rPr>
        <w:t xml:space="preserve">The TFSCSI petition does not present a reasonably descriptive plan for ELs </w:t>
      </w:r>
      <w:r w:rsidR="00D8434A">
        <w:rPr>
          <w:rFonts w:eastAsia="Calibri" w:cs="Arial"/>
          <w:bCs/>
        </w:rPr>
        <w:t>n</w:t>
      </w:r>
      <w:r w:rsidR="00E9264F">
        <w:rPr>
          <w:rFonts w:eastAsia="Calibri" w:cs="Arial"/>
          <w:bCs/>
        </w:rPr>
        <w:t xml:space="preserve">or </w:t>
      </w:r>
      <w:r w:rsidR="00D8434A">
        <w:rPr>
          <w:rFonts w:eastAsia="Calibri" w:cs="Arial"/>
          <w:bCs/>
        </w:rPr>
        <w:t xml:space="preserve">does it </w:t>
      </w:r>
      <w:r w:rsidRPr="00BD4F49">
        <w:rPr>
          <w:rFonts w:eastAsia="Calibri" w:cs="Arial"/>
          <w:bCs/>
        </w:rPr>
        <w:t xml:space="preserve">indicate how TFSCSI will meet the needs of ELs. The </w:t>
      </w:r>
      <w:r w:rsidRPr="00BD4F49">
        <w:rPr>
          <w:rFonts w:cs="Arial"/>
        </w:rPr>
        <w:t xml:space="preserve">TFSCSI </w:t>
      </w:r>
      <w:r w:rsidRPr="00BD4F49">
        <w:rPr>
          <w:rFonts w:eastAsia="Calibri" w:cs="Arial"/>
          <w:bCs/>
        </w:rPr>
        <w:t>petition states that once pupils are reclassified as RFEP, their academic progress is monitored for a minimum of two years; however, it does not state that RFEP pupils will be monitored for four years after reclassification.</w:t>
      </w:r>
    </w:p>
    <w:p w14:paraId="3B6C4703" w14:textId="42C49DA1" w:rsidR="009E11CD" w:rsidRDefault="00E84084" w:rsidP="00E84084">
      <w:pPr>
        <w:autoSpaceDE w:val="0"/>
        <w:autoSpaceDN w:val="0"/>
        <w:adjustRightInd w:val="0"/>
        <w:spacing w:after="240"/>
        <w:rPr>
          <w:rFonts w:eastAsia="Calibri" w:cs="Arial"/>
          <w:bCs/>
        </w:rPr>
      </w:pPr>
      <w:r>
        <w:rPr>
          <w:rFonts w:eastAsia="Calibri" w:cs="Arial"/>
          <w:bCs/>
        </w:rPr>
        <w:t>T</w:t>
      </w:r>
      <w:r w:rsidR="009E11CD" w:rsidRPr="00BD4F49">
        <w:rPr>
          <w:rFonts w:eastAsia="Calibri" w:cs="Arial"/>
          <w:bCs/>
        </w:rPr>
        <w:t>he TFSCSI petition does not include the projected enrollment for TK through grade eight; however, the projected enrollment is included within the budget that was submitted to IUSD (Attachment 9</w:t>
      </w:r>
      <w:r w:rsidR="00361D6B">
        <w:rPr>
          <w:rFonts w:eastAsia="Calibri" w:cs="Arial"/>
          <w:bCs/>
        </w:rPr>
        <w:t xml:space="preserve"> </w:t>
      </w:r>
      <w:r w:rsidR="00361D6B">
        <w:rPr>
          <w:rFonts w:cstheme="majorBidi"/>
        </w:rPr>
        <w:t xml:space="preserve">of Agenda Item 08 on the ACCS June 9, 2020, Meeting Notice on the SBE ACCS web page at </w:t>
      </w:r>
      <w:hyperlink r:id="rId25" w:tooltip="June 2020 ACCS Meeting Agenda web page" w:history="1">
        <w:r w:rsidR="00D8434A" w:rsidRPr="00EC3CB5">
          <w:rPr>
            <w:rStyle w:val="Hyperlink"/>
          </w:rPr>
          <w:t>https://www.cde.ca.gov/be/cc/cs/accsnotice060920.asp</w:t>
        </w:r>
      </w:hyperlink>
      <w:r w:rsidR="009E11CD" w:rsidRPr="00BD4F49">
        <w:rPr>
          <w:rFonts w:eastAsia="Calibri" w:cs="Arial"/>
          <w:bCs/>
        </w:rPr>
        <w:t>). Additionally, the CDE is unclear about the seemingly random increases in enrollment for K and grade one in 2023–24 and 2024–25, respectively.</w:t>
      </w:r>
    </w:p>
    <w:p w14:paraId="43ED1E73" w14:textId="08CEF615" w:rsidR="009E11CD" w:rsidRDefault="00D8434A" w:rsidP="00E84084">
      <w:pPr>
        <w:autoSpaceDE w:val="0"/>
        <w:autoSpaceDN w:val="0"/>
        <w:adjustRightInd w:val="0"/>
        <w:spacing w:after="240"/>
        <w:rPr>
          <w:rFonts w:eastAsia="Calibri" w:cs="Arial"/>
          <w:bCs/>
        </w:rPr>
      </w:pPr>
      <w:r>
        <w:rPr>
          <w:rFonts w:eastAsia="Calibri" w:cs="Arial"/>
          <w:bCs/>
        </w:rPr>
        <w:t xml:space="preserve">Throughout the </w:t>
      </w:r>
      <w:r w:rsidR="009E11CD" w:rsidRPr="00BD4F49">
        <w:rPr>
          <w:rFonts w:eastAsia="Calibri" w:cs="Arial"/>
          <w:bCs/>
        </w:rPr>
        <w:t>petition</w:t>
      </w:r>
      <w:r>
        <w:rPr>
          <w:rFonts w:eastAsia="Calibri" w:cs="Arial"/>
          <w:bCs/>
        </w:rPr>
        <w:t>, TFSCSI</w:t>
      </w:r>
      <w:r w:rsidR="009E11CD" w:rsidRPr="00BD4F49">
        <w:rPr>
          <w:rFonts w:eastAsia="Calibri" w:cs="Arial"/>
          <w:bCs/>
        </w:rPr>
        <w:t xml:space="preserve"> states that </w:t>
      </w:r>
      <w:r>
        <w:rPr>
          <w:rFonts w:eastAsia="Calibri" w:cs="Arial"/>
          <w:bCs/>
        </w:rPr>
        <w:t>it</w:t>
      </w:r>
      <w:r w:rsidR="009E11CD" w:rsidRPr="00BD4F49">
        <w:rPr>
          <w:rFonts w:eastAsia="Calibri" w:cs="Arial"/>
          <w:bCs/>
        </w:rPr>
        <w:t xml:space="preserve"> serves pupils TK through grade eight; however, the projected enrollment plan does not include the number of pupils in TK that TFSCSI plans to enroll. The petition also does not include a reasonably comprehensive description of the TK program.</w:t>
      </w:r>
    </w:p>
    <w:p w14:paraId="7AB5FA44" w14:textId="7E871407" w:rsidR="009E11CD" w:rsidRPr="00BD4F49" w:rsidRDefault="009E11CD" w:rsidP="00E84084">
      <w:pPr>
        <w:autoSpaceDE w:val="0"/>
        <w:autoSpaceDN w:val="0"/>
        <w:adjustRightInd w:val="0"/>
        <w:spacing w:after="240"/>
        <w:rPr>
          <w:rFonts w:eastAsia="Calibri" w:cs="Arial"/>
          <w:bCs/>
        </w:rPr>
      </w:pPr>
      <w:r w:rsidRPr="00BD4F49">
        <w:rPr>
          <w:rFonts w:eastAsia="Calibri" w:cs="Arial"/>
          <w:bCs/>
        </w:rPr>
        <w:t xml:space="preserve">The TFSCSI petition does not present a reasonably descriptive plan for special education pupils. The petition does not include a statement confirming that parents can verbally request an evaluation of their pupil </w:t>
      </w:r>
      <w:r w:rsidR="00D8434A">
        <w:rPr>
          <w:rFonts w:eastAsia="Calibri" w:cs="Arial"/>
          <w:bCs/>
        </w:rPr>
        <w:t>nor does it include a statement</w:t>
      </w:r>
      <w:r w:rsidRPr="00BD4F49">
        <w:rPr>
          <w:rFonts w:eastAsia="Calibri" w:cs="Arial"/>
          <w:bCs/>
        </w:rPr>
        <w:t xml:space="preserve"> that TFSCSI has an obligation to work with the parents to turn that request into writing. Additionally, the petition </w:t>
      </w:r>
      <w:r w:rsidR="00D8434A">
        <w:rPr>
          <w:rFonts w:eastAsia="Calibri" w:cs="Arial"/>
          <w:bCs/>
        </w:rPr>
        <w:t xml:space="preserve">does </w:t>
      </w:r>
      <w:r w:rsidRPr="00BD4F49">
        <w:rPr>
          <w:rFonts w:eastAsia="Calibri" w:cs="Arial"/>
          <w:bCs/>
        </w:rPr>
        <w:t>not include sufficient information to show</w:t>
      </w:r>
      <w:r w:rsidR="001666BD">
        <w:rPr>
          <w:rFonts w:eastAsia="Calibri" w:cs="Arial"/>
          <w:bCs/>
        </w:rPr>
        <w:t xml:space="preserve"> that</w:t>
      </w:r>
      <w:r w:rsidRPr="00BD4F49">
        <w:rPr>
          <w:rFonts w:eastAsia="Calibri" w:cs="Arial"/>
          <w:bCs/>
        </w:rPr>
        <w:t xml:space="preserve"> there is a continuum of </w:t>
      </w:r>
      <w:r w:rsidRPr="00BD4F49">
        <w:rPr>
          <w:rFonts w:eastAsia="Calibri" w:cs="Arial"/>
          <w:bCs/>
        </w:rPr>
        <w:lastRenderedPageBreak/>
        <w:t xml:space="preserve">services to pupils with an Individualized Education Program. The petition </w:t>
      </w:r>
      <w:r w:rsidR="001666BD">
        <w:rPr>
          <w:rFonts w:eastAsia="Calibri" w:cs="Arial"/>
          <w:bCs/>
        </w:rPr>
        <w:t xml:space="preserve">also </w:t>
      </w:r>
      <w:r w:rsidRPr="00BD4F49">
        <w:rPr>
          <w:rFonts w:eastAsia="Calibri" w:cs="Arial"/>
          <w:bCs/>
        </w:rPr>
        <w:t>contains inconsistent language regarding the programs and services provided by a Special Education Local Plan Area.</w:t>
      </w:r>
    </w:p>
    <w:p w14:paraId="324EF066" w14:textId="77777777" w:rsidR="009E11CD" w:rsidRPr="00BD4F49" w:rsidRDefault="009E11CD" w:rsidP="009E11CD">
      <w:pPr>
        <w:pStyle w:val="Heading4"/>
      </w:pPr>
      <w:r w:rsidRPr="00BD4F49">
        <w:t>Element 4–Governance Structure</w:t>
      </w:r>
    </w:p>
    <w:p w14:paraId="3C9553DB" w14:textId="0BE01457" w:rsidR="00E83EFF" w:rsidRPr="00BD4F49" w:rsidRDefault="009E11CD" w:rsidP="00E84084">
      <w:pPr>
        <w:spacing w:after="240"/>
        <w:rPr>
          <w:rFonts w:eastAsia="Calibri" w:cs="Arial"/>
        </w:rPr>
      </w:pPr>
      <w:r w:rsidRPr="00BD4F49">
        <w:rPr>
          <w:rFonts w:eastAsia="Calibri" w:cs="Arial"/>
        </w:rPr>
        <w:t xml:space="preserve">The TFSCSI petition does not present a reasonably comprehensive description of the school’s governance structure. The petition states that TFSCSI shall comply with the Brown Act, and any other requirements for the location of governing board meetings of TFSCSI, including </w:t>
      </w:r>
      <w:r w:rsidRPr="00BD4F49">
        <w:rPr>
          <w:rFonts w:eastAsia="Calibri" w:cs="Arial"/>
          <w:i/>
        </w:rPr>
        <w:t>EC</w:t>
      </w:r>
      <w:r w:rsidRPr="00BD4F49">
        <w:rPr>
          <w:rFonts w:eastAsia="Calibri" w:cs="Arial"/>
        </w:rPr>
        <w:t xml:space="preserve"> Section 47604.1, as added by SB 126 (2019). </w:t>
      </w:r>
      <w:r w:rsidR="001666BD">
        <w:rPr>
          <w:rFonts w:eastAsia="Calibri" w:cs="Arial"/>
        </w:rPr>
        <w:t xml:space="preserve">The petition also states that </w:t>
      </w:r>
      <w:r w:rsidRPr="00BD4F49">
        <w:rPr>
          <w:rFonts w:eastAsia="Calibri" w:cs="Arial"/>
        </w:rPr>
        <w:t xml:space="preserve">TFSCSI shall comply with the Political Reform Act and Public Records Act. However, a review of the TFSCSI Bylaws reflect that they do not comply with the Brown Act requirement in several significant ways. This includes, but is not limited to, allowing regular meetings to be held without notice and having no requirement for public notice of special meetings, both of which are in violation of </w:t>
      </w:r>
      <w:r w:rsidRPr="00BD4F49">
        <w:rPr>
          <w:rFonts w:eastAsia="Calibri" w:cs="Arial"/>
          <w:i/>
        </w:rPr>
        <w:t>GC</w:t>
      </w:r>
      <w:r w:rsidRPr="00BD4F49">
        <w:rPr>
          <w:rFonts w:eastAsia="Calibri" w:cs="Arial"/>
        </w:rPr>
        <w:t xml:space="preserve"> sections 54954(a) and 54956(c).</w:t>
      </w:r>
    </w:p>
    <w:p w14:paraId="782AF208" w14:textId="0C864E9F" w:rsidR="009E11CD" w:rsidRPr="00BD4F49" w:rsidRDefault="009E11CD" w:rsidP="009E11CD">
      <w:pPr>
        <w:rPr>
          <w:rFonts w:eastAsia="Calibri" w:cs="Arial"/>
        </w:rPr>
      </w:pPr>
      <w:r w:rsidRPr="00BD4F49">
        <w:rPr>
          <w:rFonts w:eastAsia="Calibri" w:cs="Arial"/>
        </w:rPr>
        <w:t>The CDE notes that the TFSCSI Conflict of Interest Policy was included in the petition appendices (Attachment 3</w:t>
      </w:r>
      <w:r w:rsidR="00361D6B">
        <w:rPr>
          <w:rFonts w:eastAsia="Calibri" w:cs="Arial"/>
        </w:rPr>
        <w:t xml:space="preserve"> </w:t>
      </w:r>
      <w:r w:rsidRPr="00BD4F49">
        <w:rPr>
          <w:rFonts w:eastAsia="Calibri" w:cs="Arial"/>
        </w:rPr>
        <w:t>and Attachment 8</w:t>
      </w:r>
      <w:r w:rsidR="00361D6B">
        <w:rPr>
          <w:rFonts w:eastAsia="Calibri" w:cs="Arial"/>
        </w:rPr>
        <w:t xml:space="preserve"> </w:t>
      </w:r>
      <w:r w:rsidR="00361D6B">
        <w:rPr>
          <w:rFonts w:cstheme="majorBidi"/>
        </w:rPr>
        <w:t xml:space="preserve">of Agenda Item 08 on the ACCS June 9, 2020, Meeting Notice on the SBE ACCS web page at </w:t>
      </w:r>
      <w:hyperlink r:id="rId26" w:history="1">
        <w:r w:rsidR="001666BD" w:rsidRPr="00A87DAF">
          <w:rPr>
            <w:rStyle w:val="Hyperlink"/>
          </w:rPr>
          <w:t>https://www.cde.ca.gov/be/cc/cs/accsnotice060920.asp</w:t>
        </w:r>
      </w:hyperlink>
      <w:r w:rsidRPr="00BD4F49">
        <w:rPr>
          <w:rFonts w:eastAsia="Calibri" w:cs="Arial"/>
        </w:rPr>
        <w:t xml:space="preserve">). This Conflict of Interest Policy is not in compliance with </w:t>
      </w:r>
      <w:r w:rsidRPr="00BD4F49">
        <w:rPr>
          <w:rFonts w:eastAsia="Calibri" w:cs="Arial"/>
          <w:i/>
        </w:rPr>
        <w:t xml:space="preserve">GC </w:t>
      </w:r>
      <w:r w:rsidRPr="00BD4F49">
        <w:rPr>
          <w:rFonts w:eastAsia="Calibri" w:cs="Arial"/>
        </w:rPr>
        <w:t xml:space="preserve">Section 1090 nor the Political Reform Act as required by </w:t>
      </w:r>
      <w:r w:rsidRPr="00BD4F49">
        <w:rPr>
          <w:rFonts w:eastAsia="Calibri" w:cs="Arial"/>
          <w:i/>
        </w:rPr>
        <w:t xml:space="preserve">EC </w:t>
      </w:r>
      <w:r w:rsidRPr="00BD4F49">
        <w:rPr>
          <w:rFonts w:eastAsia="Calibri" w:cs="Arial"/>
        </w:rPr>
        <w:t>Section 47604.1(b).</w:t>
      </w:r>
    </w:p>
    <w:p w14:paraId="2294280D" w14:textId="77777777" w:rsidR="009E11CD" w:rsidRPr="00BD4F49" w:rsidRDefault="009E11CD" w:rsidP="009E11CD">
      <w:pPr>
        <w:pStyle w:val="Heading4"/>
      </w:pPr>
      <w:r w:rsidRPr="00BD4F49">
        <w:t>Element 9–Annual Independent Financial Audits</w:t>
      </w:r>
    </w:p>
    <w:p w14:paraId="28D13A0A" w14:textId="77777777" w:rsidR="009E11CD" w:rsidRPr="00E84084" w:rsidRDefault="009E11CD" w:rsidP="009E11CD">
      <w:pPr>
        <w:rPr>
          <w:b/>
        </w:rPr>
      </w:pPr>
      <w:r w:rsidRPr="00BD4F49">
        <w:rPr>
          <w:bCs/>
        </w:rPr>
        <w:t xml:space="preserve">The TFSCSI petition does not present a reasonably comprehensive description of annual independent financial audits. The TFSCSI petition does not specify who is responsible for contracting and overseeing the independent </w:t>
      </w:r>
      <w:r w:rsidRPr="00E84084">
        <w:rPr>
          <w:bCs/>
        </w:rPr>
        <w:t>audit.</w:t>
      </w:r>
    </w:p>
    <w:p w14:paraId="7DAC57C3" w14:textId="77777777" w:rsidR="009E11CD" w:rsidRPr="00BD4F49" w:rsidRDefault="009E11CD" w:rsidP="009E11CD">
      <w:pPr>
        <w:pStyle w:val="Heading4"/>
      </w:pPr>
      <w:r w:rsidRPr="00BD4F49">
        <w:t>Element 10–Suspension and Expulsion Procedures</w:t>
      </w:r>
    </w:p>
    <w:p w14:paraId="57AFD4A4" w14:textId="4D7EEBEF" w:rsidR="009E11CD" w:rsidRDefault="009E11CD" w:rsidP="009E11CD">
      <w:pPr>
        <w:rPr>
          <w:rFonts w:eastAsia="Calibri" w:cs="Arial"/>
          <w:bCs/>
        </w:rPr>
      </w:pPr>
      <w:r w:rsidRPr="00BD4F49">
        <w:rPr>
          <w:rFonts w:eastAsia="Calibri" w:cs="Arial"/>
          <w:bCs/>
        </w:rPr>
        <w:t>The TFSCSI petition does not present a reasonably comprehensive description of suspension and expulsion procedures. Addressing evaluation criteria B, the petition lists discretionary and non-discretionary offenses and procedures for suspension and expulsion (Attachment 3</w:t>
      </w:r>
      <w:r w:rsidR="00361D6B">
        <w:rPr>
          <w:rFonts w:eastAsia="Calibri" w:cs="Arial"/>
          <w:bCs/>
        </w:rPr>
        <w:t xml:space="preserve"> </w:t>
      </w:r>
      <w:r w:rsidR="00361D6B">
        <w:rPr>
          <w:rFonts w:cstheme="majorBidi"/>
        </w:rPr>
        <w:t xml:space="preserve">of Agenda Item 08 on the ACCS June 9, 2020, Meeting Notice on the SBE ACCS web page at </w:t>
      </w:r>
      <w:hyperlink r:id="rId27" w:tooltip="June 2020 ACCS Meeting Agenda web page" w:history="1">
        <w:r w:rsidR="001666BD" w:rsidRPr="00EC3CB5">
          <w:rPr>
            <w:rStyle w:val="Hyperlink"/>
          </w:rPr>
          <w:t>https://www.cde.ca.gov/be/cc/cs/accsnotice060920.asp</w:t>
        </w:r>
      </w:hyperlink>
      <w:r w:rsidRPr="00BD4F49">
        <w:rPr>
          <w:rFonts w:eastAsia="Calibri" w:cs="Arial"/>
          <w:bCs/>
        </w:rPr>
        <w:t>); however, the petition also lists willful defiance as a discretionary expellable offense which is no longer allowable under law (Attachment 3</w:t>
      </w:r>
      <w:r w:rsidR="00361D6B">
        <w:rPr>
          <w:rFonts w:eastAsia="Calibri" w:cs="Arial"/>
          <w:bCs/>
        </w:rPr>
        <w:t xml:space="preserve"> </w:t>
      </w:r>
      <w:r w:rsidR="00361D6B">
        <w:rPr>
          <w:rFonts w:cstheme="majorBidi"/>
        </w:rPr>
        <w:t xml:space="preserve">of Agenda Item 08 on the ACCS June 9, 2020, Meeting Notice on the SBE ACCS web page at </w:t>
      </w:r>
      <w:hyperlink r:id="rId28" w:tooltip="June 2020 ACCS Meeting Agenda web page" w:history="1">
        <w:r w:rsidR="001666BD" w:rsidRPr="00EC3CB5">
          <w:rPr>
            <w:rStyle w:val="Hyperlink"/>
          </w:rPr>
          <w:t>https://www.cde.ca.gov/be/cc/cs/accsnotice060920.asp</w:t>
        </w:r>
      </w:hyperlink>
      <w:r w:rsidRPr="00BD4F49">
        <w:rPr>
          <w:rFonts w:eastAsia="Calibri" w:cs="Arial"/>
          <w:bCs/>
        </w:rPr>
        <w:t>).</w:t>
      </w:r>
    </w:p>
    <w:p w14:paraId="5F2845CF" w14:textId="77777777" w:rsidR="009E11CD" w:rsidRPr="009E11CD" w:rsidRDefault="009E11CD" w:rsidP="001666BD">
      <w:pPr>
        <w:pStyle w:val="Heading2"/>
      </w:pPr>
      <w:r w:rsidRPr="009E11CD">
        <w:t>Documents Reviewed by the California Department of Education</w:t>
      </w:r>
    </w:p>
    <w:p w14:paraId="270AF177" w14:textId="77777777" w:rsidR="009E11CD" w:rsidRPr="009E11CD" w:rsidRDefault="009E11CD" w:rsidP="009E11CD">
      <w:pPr>
        <w:spacing w:after="240"/>
        <w:rPr>
          <w:rFonts w:cs="Arial"/>
        </w:rPr>
      </w:pPr>
      <w:r w:rsidRPr="009E11CD">
        <w:rPr>
          <w:rFonts w:cs="Arial"/>
        </w:rPr>
        <w:t>In considering the TFSCSI petition, CDE staff reviewed the following:</w:t>
      </w:r>
    </w:p>
    <w:p w14:paraId="69DE1ED8" w14:textId="0E8B8CAF" w:rsidR="009E11CD" w:rsidRPr="009E11CD" w:rsidRDefault="009E11CD" w:rsidP="009E11CD">
      <w:pPr>
        <w:numPr>
          <w:ilvl w:val="0"/>
          <w:numId w:val="20"/>
        </w:numPr>
        <w:spacing w:before="240" w:after="240"/>
        <w:rPr>
          <w:rFonts w:cs="Arial"/>
        </w:rPr>
      </w:pPr>
      <w:r w:rsidRPr="009E11CD">
        <w:rPr>
          <w:rFonts w:cs="Arial"/>
        </w:rPr>
        <w:lastRenderedPageBreak/>
        <w:t>TFSCSI petition (Attachment 3</w:t>
      </w:r>
      <w:r w:rsidR="00361D6B">
        <w:rPr>
          <w:rFonts w:cs="Arial"/>
        </w:rPr>
        <w:t xml:space="preserve"> </w:t>
      </w:r>
      <w:r w:rsidR="00361D6B">
        <w:rPr>
          <w:rFonts w:cstheme="majorBidi"/>
        </w:rPr>
        <w:t xml:space="preserve">of Agenda Item 08 on the ACCS June 9, 2020, Meeting Notice on the SBE ACCS web page at </w:t>
      </w:r>
      <w:hyperlink r:id="rId29" w:tooltip="June 2020 ACCS Meeting Agenda web page" w:history="1">
        <w:r w:rsidR="001666BD" w:rsidRPr="00EC3CB5">
          <w:rPr>
            <w:rStyle w:val="Hyperlink"/>
          </w:rPr>
          <w:t>https://www.cde.ca.gov/be/cc/cs/accsnotice060920.asp</w:t>
        </w:r>
      </w:hyperlink>
      <w:r w:rsidRPr="009E11CD">
        <w:rPr>
          <w:rFonts w:cs="Arial"/>
        </w:rPr>
        <w:t>)</w:t>
      </w:r>
    </w:p>
    <w:p w14:paraId="095242A7" w14:textId="23A17CAB" w:rsidR="009E11CD" w:rsidRPr="009E11CD" w:rsidRDefault="009E11CD" w:rsidP="009E11CD">
      <w:pPr>
        <w:numPr>
          <w:ilvl w:val="0"/>
          <w:numId w:val="20"/>
        </w:numPr>
        <w:spacing w:before="240" w:after="240"/>
        <w:rPr>
          <w:rFonts w:cs="Arial"/>
        </w:rPr>
      </w:pPr>
      <w:r w:rsidRPr="009E11CD">
        <w:rPr>
          <w:rFonts w:cs="Arial"/>
        </w:rPr>
        <w:t>Educational and demographic data of schools where pupils would otherwise be required to attend (Attachment 2</w:t>
      </w:r>
      <w:r w:rsidR="00361D6B">
        <w:rPr>
          <w:rFonts w:cs="Arial"/>
        </w:rPr>
        <w:t xml:space="preserve"> </w:t>
      </w:r>
      <w:r w:rsidR="00361D6B">
        <w:rPr>
          <w:rFonts w:cstheme="majorBidi"/>
        </w:rPr>
        <w:t xml:space="preserve">of Agenda Item 08 on the ACCS June 9, 2020, Meeting Notice on the SBE ACCS web page at </w:t>
      </w:r>
      <w:hyperlink r:id="rId30" w:tooltip="June 2020 ACCS Meeting Agenda web page" w:history="1">
        <w:r w:rsidR="001666BD" w:rsidRPr="00EC3CB5">
          <w:rPr>
            <w:rStyle w:val="Hyperlink"/>
          </w:rPr>
          <w:t>https://www.cde.ca.gov/be/cc/cs/accsnotice060920.asp</w:t>
        </w:r>
      </w:hyperlink>
      <w:r w:rsidRPr="009E11CD">
        <w:rPr>
          <w:rFonts w:cs="Arial"/>
        </w:rPr>
        <w:t>)</w:t>
      </w:r>
    </w:p>
    <w:p w14:paraId="33D3AFA6" w14:textId="5EAFA2A4" w:rsidR="009E11CD" w:rsidRPr="009E11CD" w:rsidRDefault="009E11CD" w:rsidP="009E11CD">
      <w:pPr>
        <w:numPr>
          <w:ilvl w:val="0"/>
          <w:numId w:val="20"/>
        </w:numPr>
        <w:spacing w:before="240" w:after="240"/>
        <w:rPr>
          <w:rFonts w:cs="Arial"/>
        </w:rPr>
      </w:pPr>
      <w:r w:rsidRPr="009E11CD">
        <w:rPr>
          <w:rFonts w:cs="Arial"/>
        </w:rPr>
        <w:t>TFSCSI budget and financial projections (Attachment 4</w:t>
      </w:r>
      <w:r w:rsidR="00361D6B">
        <w:rPr>
          <w:rFonts w:cs="Arial"/>
        </w:rPr>
        <w:t xml:space="preserve"> </w:t>
      </w:r>
      <w:r w:rsidR="00361D6B">
        <w:rPr>
          <w:rFonts w:cstheme="majorBidi"/>
        </w:rPr>
        <w:t xml:space="preserve">of Agenda Item 08 on the ACCS June 9, 2020, Meeting Notice on the SBE ACCS web page at </w:t>
      </w:r>
      <w:hyperlink r:id="rId31" w:tooltip="June 2020 ACCS Meeting Agenda web page" w:history="1">
        <w:r w:rsidR="001666BD" w:rsidRPr="00EC3CB5">
          <w:rPr>
            <w:rStyle w:val="Hyperlink"/>
          </w:rPr>
          <w:t>https://www.cde.ca.gov/be/cc/cs/accsnotice060920.asp</w:t>
        </w:r>
      </w:hyperlink>
      <w:r w:rsidRPr="009E11CD">
        <w:rPr>
          <w:rFonts w:cs="Arial"/>
        </w:rPr>
        <w:t>)</w:t>
      </w:r>
    </w:p>
    <w:p w14:paraId="5B0648DF" w14:textId="4188BB83" w:rsidR="009E11CD" w:rsidRPr="009E11CD" w:rsidRDefault="009E11CD" w:rsidP="009E11CD">
      <w:pPr>
        <w:numPr>
          <w:ilvl w:val="0"/>
          <w:numId w:val="20"/>
        </w:numPr>
        <w:spacing w:before="240" w:after="240"/>
        <w:rPr>
          <w:rFonts w:cs="Arial"/>
        </w:rPr>
      </w:pPr>
      <w:r w:rsidRPr="009E11CD">
        <w:rPr>
          <w:rFonts w:cs="Arial"/>
        </w:rPr>
        <w:t xml:space="preserve">Letter dated </w:t>
      </w:r>
      <w:r w:rsidRPr="009E11CD">
        <w:t xml:space="preserve">January 24, 2020, description of changes to the TFSCSI renewal petition necessary to reflect the SBE as the chartering entity </w:t>
      </w:r>
      <w:r w:rsidRPr="009E11CD">
        <w:rPr>
          <w:rFonts w:cs="Arial"/>
        </w:rPr>
        <w:t>(Attachment 5</w:t>
      </w:r>
      <w:r w:rsidR="00361D6B">
        <w:rPr>
          <w:rFonts w:cs="Arial"/>
        </w:rPr>
        <w:t xml:space="preserve"> </w:t>
      </w:r>
      <w:r w:rsidR="00361D6B">
        <w:rPr>
          <w:rFonts w:cstheme="majorBidi"/>
        </w:rPr>
        <w:t xml:space="preserve">of Agenda Item 08 on the ACCS June 9, 2020, Meeting Notice on the SBE ACCS web page at </w:t>
      </w:r>
      <w:hyperlink r:id="rId32" w:tooltip="June 2020 ACCS Meeting Agenda web page" w:history="1">
        <w:r w:rsidR="001666BD" w:rsidRPr="00EC3CB5">
          <w:rPr>
            <w:rStyle w:val="Hyperlink"/>
          </w:rPr>
          <w:t>https://www.cde.ca.gov/be/cc/cs/accsnotice060920.asp</w:t>
        </w:r>
      </w:hyperlink>
      <w:r w:rsidRPr="009E11CD">
        <w:rPr>
          <w:rFonts w:cs="Arial"/>
        </w:rPr>
        <w:t>)</w:t>
      </w:r>
    </w:p>
    <w:p w14:paraId="1B267D7D" w14:textId="31B505ED" w:rsidR="009E11CD" w:rsidRPr="009E11CD" w:rsidRDefault="009E11CD" w:rsidP="009E11CD">
      <w:pPr>
        <w:numPr>
          <w:ilvl w:val="0"/>
          <w:numId w:val="20"/>
        </w:numPr>
        <w:spacing w:before="240" w:after="240"/>
      </w:pPr>
      <w:r w:rsidRPr="009E11CD">
        <w:t>IUSD Board of Trustees’ findings evidencing denial of the TFSCSI renewal petition and petitioner’s response (Attachment 6</w:t>
      </w:r>
      <w:r w:rsidR="00361D6B">
        <w:t xml:space="preserve"> </w:t>
      </w:r>
      <w:r w:rsidR="00361D6B">
        <w:rPr>
          <w:rFonts w:cstheme="majorBidi"/>
        </w:rPr>
        <w:t xml:space="preserve">of Agenda Item 08 on the ACCS June 9, 2020, Meeting Notice on the SBE ACCS web page at </w:t>
      </w:r>
      <w:hyperlink r:id="rId33" w:tooltip="June 2020 ACCS Meeting Agenda web" w:history="1">
        <w:r w:rsidR="001666BD" w:rsidRPr="00A87DAF">
          <w:rPr>
            <w:rStyle w:val="Hyperlink"/>
          </w:rPr>
          <w:t>https://www.cde.ca.gov/be/cc/cs/accsnotice060920.asp</w:t>
        </w:r>
      </w:hyperlink>
      <w:r w:rsidRPr="009E11CD">
        <w:t>)</w:t>
      </w:r>
    </w:p>
    <w:p w14:paraId="2EA8DC28" w14:textId="35468E58" w:rsidR="009E11CD" w:rsidRPr="009E11CD" w:rsidRDefault="009E11CD" w:rsidP="009E11CD">
      <w:pPr>
        <w:numPr>
          <w:ilvl w:val="0"/>
          <w:numId w:val="20"/>
        </w:numPr>
        <w:spacing w:before="240" w:after="240"/>
      </w:pPr>
      <w:r w:rsidRPr="009E11CD">
        <w:t>LACBOE’s findings evidencing denial of the TFSCSI renewal petition appeal and petitioner’s response (Attachment 7</w:t>
      </w:r>
      <w:r w:rsidR="00361D6B">
        <w:t xml:space="preserve"> </w:t>
      </w:r>
      <w:r w:rsidR="00361D6B">
        <w:rPr>
          <w:rFonts w:cstheme="majorBidi"/>
        </w:rPr>
        <w:t xml:space="preserve">of Agenda Item 08 on the ACCS June 9, 2020, Meeting Notice on the SBE ACCS web page at </w:t>
      </w:r>
      <w:hyperlink r:id="rId34" w:tooltip="June ACCS Meeting Agenda web" w:history="1">
        <w:r w:rsidR="001666BD" w:rsidRPr="00A87DAF">
          <w:rPr>
            <w:rStyle w:val="Hyperlink"/>
          </w:rPr>
          <w:t>https://www.cde.ca.gov/be/cc/cs/accsnotice060920.asp</w:t>
        </w:r>
      </w:hyperlink>
      <w:r w:rsidRPr="009E11CD">
        <w:t>)</w:t>
      </w:r>
    </w:p>
    <w:p w14:paraId="1F12C9C4" w14:textId="324617CB" w:rsidR="009E11CD" w:rsidRPr="009E11CD" w:rsidRDefault="009E11CD" w:rsidP="009E11CD">
      <w:pPr>
        <w:numPr>
          <w:ilvl w:val="0"/>
          <w:numId w:val="20"/>
        </w:numPr>
        <w:spacing w:before="240" w:after="240"/>
        <w:rPr>
          <w:rFonts w:cs="Arial"/>
        </w:rPr>
      </w:pPr>
      <w:r w:rsidRPr="009E11CD">
        <w:rPr>
          <w:rFonts w:cs="Arial"/>
        </w:rPr>
        <w:t>TFSCSI articles of incorporation, bylaws, and conflict of interest policy (Attachment 8</w:t>
      </w:r>
      <w:r w:rsidR="00361D6B">
        <w:rPr>
          <w:rFonts w:cs="Arial"/>
        </w:rPr>
        <w:t xml:space="preserve"> </w:t>
      </w:r>
      <w:r w:rsidR="00361D6B">
        <w:rPr>
          <w:rFonts w:cstheme="majorBidi"/>
        </w:rPr>
        <w:t xml:space="preserve">of Agenda Item 08 on the ACCS June 9, 2020, Meeting Notice on the SBE ACCS web page at </w:t>
      </w:r>
      <w:hyperlink r:id="rId35" w:tooltip="June 2020 ACCS Meeting Agenda web page" w:history="1">
        <w:r w:rsidR="001666BD" w:rsidRPr="00EC3CB5">
          <w:rPr>
            <w:rStyle w:val="Hyperlink"/>
          </w:rPr>
          <w:t>https://www.cde.ca.gov/be/cc/cs/accsnotice060920.asp</w:t>
        </w:r>
      </w:hyperlink>
      <w:r w:rsidRPr="009E11CD">
        <w:rPr>
          <w:rFonts w:cs="Arial"/>
        </w:rPr>
        <w:t>)</w:t>
      </w:r>
    </w:p>
    <w:p w14:paraId="2ED338E0" w14:textId="43A43420" w:rsidR="009E11CD" w:rsidRPr="009E11CD" w:rsidRDefault="009E11CD" w:rsidP="009E11CD">
      <w:pPr>
        <w:numPr>
          <w:ilvl w:val="0"/>
          <w:numId w:val="20"/>
        </w:numPr>
        <w:spacing w:before="240" w:after="240"/>
        <w:rPr>
          <w:rFonts w:cs="Arial"/>
        </w:rPr>
      </w:pPr>
      <w:r w:rsidRPr="009E11CD">
        <w:rPr>
          <w:rFonts w:cs="Arial"/>
        </w:rPr>
        <w:t>TFSCSI’s appendices and supporting documents (Attachment 9</w:t>
      </w:r>
      <w:r w:rsidR="00361D6B">
        <w:rPr>
          <w:rFonts w:cs="Arial"/>
        </w:rPr>
        <w:t xml:space="preserve"> </w:t>
      </w:r>
      <w:r w:rsidR="00361D6B">
        <w:rPr>
          <w:rFonts w:cstheme="majorBidi"/>
        </w:rPr>
        <w:t xml:space="preserve">of Agenda Item 08 on the ACCS June 9, 2020, Meeting Notice on the SBE ACCS web page at </w:t>
      </w:r>
      <w:hyperlink r:id="rId36" w:tooltip="June 2020 ACCS Meeting Agenda web page" w:history="1">
        <w:r w:rsidR="001666BD" w:rsidRPr="00EC3CB5">
          <w:rPr>
            <w:rStyle w:val="Hyperlink"/>
          </w:rPr>
          <w:t>https://www.cde.ca.gov/be/cc/cs/accsnotice060920.asp</w:t>
        </w:r>
      </w:hyperlink>
      <w:r w:rsidRPr="009E11CD">
        <w:rPr>
          <w:rFonts w:cs="Arial"/>
        </w:rPr>
        <w:t>)</w:t>
      </w:r>
    </w:p>
    <w:p w14:paraId="7839A697" w14:textId="3261BFE0" w:rsidR="009E11CD" w:rsidRPr="009E11CD" w:rsidRDefault="009E11CD" w:rsidP="009E11CD">
      <w:pPr>
        <w:numPr>
          <w:ilvl w:val="0"/>
          <w:numId w:val="20"/>
        </w:numPr>
        <w:spacing w:before="240" w:after="240"/>
        <w:rPr>
          <w:rFonts w:cs="Arial"/>
        </w:rPr>
      </w:pPr>
      <w:r w:rsidRPr="009E11CD">
        <w:rPr>
          <w:rFonts w:cs="Arial"/>
        </w:rPr>
        <w:t>GDSI’s February 2015 audit report (Attachment 10</w:t>
      </w:r>
      <w:r w:rsidR="00361D6B">
        <w:rPr>
          <w:rFonts w:cs="Arial"/>
        </w:rPr>
        <w:t xml:space="preserve"> </w:t>
      </w:r>
      <w:r w:rsidR="00361D6B">
        <w:rPr>
          <w:rFonts w:cstheme="majorBidi"/>
        </w:rPr>
        <w:t xml:space="preserve">of Agenda Item 08 on the ACCS June 9, 2020, Meeting Notice on the SBE ACCS web page at </w:t>
      </w:r>
      <w:hyperlink r:id="rId37" w:tooltip="June 2020 ACCS Meeting Agenda web page" w:history="1">
        <w:r w:rsidR="001666BD" w:rsidRPr="00EC3CB5">
          <w:rPr>
            <w:rStyle w:val="Hyperlink"/>
          </w:rPr>
          <w:t>https://www.cde.ca.gov/be/cc/cs/accsnotice060920.asp</w:t>
        </w:r>
      </w:hyperlink>
      <w:r w:rsidRPr="009E11CD">
        <w:rPr>
          <w:rFonts w:cs="Arial"/>
        </w:rPr>
        <w:t>)</w:t>
      </w:r>
    </w:p>
    <w:p w14:paraId="7307214A" w14:textId="77777777" w:rsidR="003E4DF7" w:rsidRPr="0062352A" w:rsidRDefault="003E4DF7" w:rsidP="001666BD">
      <w:pPr>
        <w:pStyle w:val="Heading2"/>
      </w:pPr>
      <w:r w:rsidRPr="0062352A">
        <w:t>Summary of Previous State Board of Education Discussion and Action</w:t>
      </w:r>
    </w:p>
    <w:p w14:paraId="37E2F0BE" w14:textId="27F8ED68" w:rsidR="00761E40" w:rsidRPr="002715A7" w:rsidRDefault="00761E40" w:rsidP="00E84084">
      <w:pPr>
        <w:spacing w:after="240"/>
        <w:rPr>
          <w:rFonts w:cs="Arial"/>
        </w:rPr>
      </w:pPr>
      <w:r w:rsidRPr="002715A7">
        <w:rPr>
          <w:rFonts w:cs="Arial"/>
        </w:rPr>
        <w:t>Currently, 3</w:t>
      </w:r>
      <w:r w:rsidR="002715A7" w:rsidRPr="002715A7">
        <w:rPr>
          <w:rFonts w:cs="Arial"/>
        </w:rPr>
        <w:t>3</w:t>
      </w:r>
      <w:r w:rsidRPr="002715A7">
        <w:rPr>
          <w:rFonts w:cs="Arial"/>
        </w:rPr>
        <w:t xml:space="preserve"> charter schools operate under </w:t>
      </w:r>
      <w:r w:rsidR="001666BD">
        <w:rPr>
          <w:rFonts w:cs="Arial"/>
        </w:rPr>
        <w:t xml:space="preserve">the </w:t>
      </w:r>
      <w:r w:rsidRPr="002715A7">
        <w:rPr>
          <w:rFonts w:cs="Arial"/>
        </w:rPr>
        <w:t>SBE</w:t>
      </w:r>
      <w:r w:rsidR="001666BD">
        <w:rPr>
          <w:rFonts w:cs="Arial"/>
        </w:rPr>
        <w:t xml:space="preserve">’s </w:t>
      </w:r>
      <w:r w:rsidRPr="002715A7">
        <w:rPr>
          <w:rFonts w:cs="Arial"/>
        </w:rPr>
        <w:t>authorization as follows:</w:t>
      </w:r>
    </w:p>
    <w:p w14:paraId="183A74C7" w14:textId="27BA99B8" w:rsidR="00761E40" w:rsidRPr="002715A7" w:rsidRDefault="00761E40" w:rsidP="00761E40">
      <w:pPr>
        <w:pStyle w:val="ListParagraph"/>
        <w:numPr>
          <w:ilvl w:val="0"/>
          <w:numId w:val="8"/>
        </w:numPr>
        <w:contextualSpacing w:val="0"/>
        <w:rPr>
          <w:rFonts w:cs="Arial"/>
        </w:rPr>
      </w:pPr>
      <w:r w:rsidRPr="002715A7">
        <w:rPr>
          <w:rFonts w:cs="Arial"/>
        </w:rPr>
        <w:lastRenderedPageBreak/>
        <w:t xml:space="preserve">One statewide benefit charter, operating a total of </w:t>
      </w:r>
      <w:r w:rsidR="00196202" w:rsidRPr="002715A7">
        <w:rPr>
          <w:rFonts w:cs="Arial"/>
        </w:rPr>
        <w:t>nine</w:t>
      </w:r>
      <w:r w:rsidRPr="002715A7">
        <w:rPr>
          <w:rFonts w:cs="Arial"/>
        </w:rPr>
        <w:t xml:space="preserve"> sites</w:t>
      </w:r>
    </w:p>
    <w:p w14:paraId="159EC246" w14:textId="77777777" w:rsidR="00761E40" w:rsidRPr="002715A7" w:rsidRDefault="00761E40" w:rsidP="00761E40">
      <w:pPr>
        <w:pStyle w:val="ListParagraph"/>
        <w:numPr>
          <w:ilvl w:val="0"/>
          <w:numId w:val="8"/>
        </w:numPr>
        <w:contextualSpacing w:val="0"/>
        <w:rPr>
          <w:rFonts w:cs="Arial"/>
        </w:rPr>
      </w:pPr>
      <w:r w:rsidRPr="002715A7">
        <w:rPr>
          <w:rFonts w:cs="Arial"/>
        </w:rPr>
        <w:t>Seven districtwide charters, operating a total of 18 sites</w:t>
      </w:r>
    </w:p>
    <w:p w14:paraId="068FB1F4" w14:textId="08B6F167" w:rsidR="00761E40" w:rsidRPr="002715A7" w:rsidRDefault="001666BD" w:rsidP="00761E40">
      <w:pPr>
        <w:pStyle w:val="ListParagraph"/>
        <w:numPr>
          <w:ilvl w:val="0"/>
          <w:numId w:val="8"/>
        </w:numPr>
        <w:contextualSpacing w:val="0"/>
        <w:rPr>
          <w:rFonts w:cs="Arial"/>
        </w:rPr>
      </w:pPr>
      <w:r>
        <w:rPr>
          <w:rFonts w:cs="Arial"/>
        </w:rPr>
        <w:t>Twenty-five</w:t>
      </w:r>
      <w:r w:rsidR="00761E40" w:rsidRPr="002715A7">
        <w:rPr>
          <w:rFonts w:cs="Arial"/>
        </w:rPr>
        <w:t xml:space="preserve"> charter schools, authorized on appeal after local or county denial</w:t>
      </w:r>
    </w:p>
    <w:p w14:paraId="16C1E6C1" w14:textId="5870F0F3" w:rsidR="00761E40" w:rsidRDefault="00761E40" w:rsidP="00E84084">
      <w:pPr>
        <w:spacing w:before="240"/>
        <w:rPr>
          <w:rFonts w:cs="Arial"/>
        </w:rPr>
      </w:pPr>
      <w:r w:rsidRPr="0062352A">
        <w:rPr>
          <w:rFonts w:cs="Arial"/>
        </w:rPr>
        <w:t>The SBE delegates oversight duties of the districtwide charters to the county office of education of the county in which the districtwide charter is located. The SBE delegates oversight duties of the remaining charter schools to the CDE.</w:t>
      </w:r>
    </w:p>
    <w:p w14:paraId="27BE4531" w14:textId="6D57B2BD" w:rsidR="003E4DF7" w:rsidRPr="00A80A45" w:rsidRDefault="003E4DF7" w:rsidP="00112FEC">
      <w:pPr>
        <w:pStyle w:val="Heading2"/>
      </w:pPr>
      <w:r w:rsidRPr="00A80A45">
        <w:t>Fiscal Analysis</w:t>
      </w:r>
    </w:p>
    <w:p w14:paraId="497142CA" w14:textId="6BA97942" w:rsidR="003E4DF7" w:rsidRPr="003E4DF7" w:rsidRDefault="00C15C41" w:rsidP="001666BD">
      <w:pPr>
        <w:spacing w:after="240"/>
        <w:rPr>
          <w:b/>
        </w:rPr>
      </w:pPr>
      <w:r w:rsidRPr="00A80A45">
        <w:t xml:space="preserve">If approved as an SBE-authorized charter school, the CDE would receive approximately </w:t>
      </w:r>
      <w:r w:rsidR="001666BD">
        <w:t>1</w:t>
      </w:r>
      <w:r w:rsidRPr="00A80A45">
        <w:t xml:space="preserve"> percent of the revenue of the charter school for the CDE’s oversight activities</w:t>
      </w:r>
      <w:r w:rsidR="001666BD">
        <w:t>; h</w:t>
      </w:r>
      <w:r w:rsidRPr="00A80A45">
        <w:t>owever, no additional resources are allocated to the CDE for oversight.</w:t>
      </w:r>
    </w:p>
    <w:p w14:paraId="68B79431" w14:textId="65BCF94F" w:rsidR="00E84084" w:rsidRPr="00FA051F" w:rsidRDefault="00FA051F" w:rsidP="00FA051F">
      <w:pPr>
        <w:keepNext/>
        <w:keepLines/>
        <w:spacing w:before="240" w:after="240"/>
        <w:outlineLvl w:val="1"/>
        <w:rPr>
          <w:rFonts w:eastAsiaTheme="majorEastAsia" w:cstheme="majorBidi"/>
          <w:b/>
          <w:sz w:val="36"/>
          <w:szCs w:val="36"/>
        </w:rPr>
      </w:pPr>
      <w:r w:rsidRPr="00FA051F">
        <w:rPr>
          <w:rFonts w:eastAsiaTheme="majorEastAsia" w:cstheme="majorBidi"/>
          <w:b/>
          <w:sz w:val="36"/>
          <w:szCs w:val="36"/>
        </w:rPr>
        <w:t>Attachments</w:t>
      </w:r>
    </w:p>
    <w:p w14:paraId="65384935" w14:textId="743F851E" w:rsidR="00FA051F" w:rsidRPr="00FA051F" w:rsidRDefault="00FA051F" w:rsidP="001666BD">
      <w:pPr>
        <w:numPr>
          <w:ilvl w:val="0"/>
          <w:numId w:val="19"/>
        </w:numPr>
        <w:spacing w:before="240" w:after="240"/>
        <w:contextualSpacing/>
      </w:pPr>
      <w:r w:rsidRPr="00FA051F">
        <w:rPr>
          <w:b/>
        </w:rPr>
        <w:t>Attachment 1:</w:t>
      </w:r>
      <w:r w:rsidRPr="00FA051F">
        <w:t xml:space="preserve"> California Department of Education Charter School Petition Review For</w:t>
      </w:r>
      <w:r w:rsidR="00760F25">
        <w:t xml:space="preserve">m: </w:t>
      </w:r>
      <w:r w:rsidR="009E11CD">
        <w:t>Today’s Fresh Start Charter School Inglewood</w:t>
      </w:r>
      <w:r w:rsidRPr="00FA051F">
        <w:t xml:space="preserve"> (</w:t>
      </w:r>
      <w:r w:rsidR="009E11CD">
        <w:t>5</w:t>
      </w:r>
      <w:r w:rsidR="0078105B">
        <w:t>5</w:t>
      </w:r>
      <w:bookmarkStart w:id="22" w:name="_GoBack"/>
      <w:bookmarkEnd w:id="22"/>
      <w:r w:rsidRPr="00FA051F">
        <w:t xml:space="preserve"> Pages)</w:t>
      </w:r>
    </w:p>
    <w:p w14:paraId="3B5D6154" w14:textId="77777777" w:rsidR="00592E15" w:rsidRDefault="00FA051F" w:rsidP="004972A3">
      <w:pPr>
        <w:pStyle w:val="ListParagraph"/>
        <w:numPr>
          <w:ilvl w:val="0"/>
          <w:numId w:val="9"/>
        </w:numPr>
        <w:spacing w:before="240" w:after="240"/>
        <w:contextualSpacing w:val="0"/>
      </w:pPr>
      <w:r w:rsidRPr="00FA051F">
        <w:rPr>
          <w:b/>
        </w:rPr>
        <w:t>Attachment 2:</w:t>
      </w:r>
      <w:r w:rsidRPr="00FA051F">
        <w:t xml:space="preserve"> </w:t>
      </w:r>
      <w:r w:rsidR="004972A3" w:rsidRPr="004972A3">
        <w:t>California State Board of Education Standard Conditions on Opening and Operation (4 Pages)</w:t>
      </w:r>
    </w:p>
    <w:p w14:paraId="23654A92" w14:textId="087AE0E1" w:rsidR="009E11CD" w:rsidRPr="004972A3" w:rsidRDefault="009E11CD" w:rsidP="004972A3">
      <w:pPr>
        <w:pStyle w:val="ListParagraph"/>
        <w:numPr>
          <w:ilvl w:val="0"/>
          <w:numId w:val="9"/>
        </w:numPr>
        <w:spacing w:before="240" w:after="240"/>
        <w:contextualSpacing w:val="0"/>
      </w:pPr>
      <w:r>
        <w:rPr>
          <w:b/>
        </w:rPr>
        <w:t xml:space="preserve">Attachment </w:t>
      </w:r>
      <w:r w:rsidR="001B654C">
        <w:rPr>
          <w:b/>
        </w:rPr>
        <w:t>3</w:t>
      </w:r>
      <w:r>
        <w:rPr>
          <w:b/>
        </w:rPr>
        <w:t>:</w:t>
      </w:r>
      <w:r w:rsidR="00A97BDC">
        <w:rPr>
          <w:b/>
        </w:rPr>
        <w:t xml:space="preserve"> </w:t>
      </w:r>
      <w:r w:rsidR="00A97BDC">
        <w:t>Today’s Fresh Start Charter School Inglewood Supplemental Documents (</w:t>
      </w:r>
      <w:r w:rsidR="003D44EF">
        <w:t>274</w:t>
      </w:r>
      <w:r w:rsidR="00A97BDC">
        <w:t xml:space="preserve"> Pages)</w:t>
      </w:r>
    </w:p>
    <w:sectPr w:rsidR="009E11CD" w:rsidRPr="004972A3" w:rsidSect="00407E9B">
      <w:headerReference w:type="default" r:id="rId38"/>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8FE862" w14:textId="77777777" w:rsidR="004416E1" w:rsidRDefault="004416E1" w:rsidP="000E09DC">
      <w:r>
        <w:separator/>
      </w:r>
    </w:p>
  </w:endnote>
  <w:endnote w:type="continuationSeparator" w:id="0">
    <w:p w14:paraId="7BE44953" w14:textId="77777777" w:rsidR="004416E1" w:rsidRDefault="004416E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1CE65" w14:textId="77777777" w:rsidR="004416E1" w:rsidRDefault="004416E1" w:rsidP="000E09DC">
      <w:r>
        <w:separator/>
      </w:r>
    </w:p>
  </w:footnote>
  <w:footnote w:type="continuationSeparator" w:id="0">
    <w:p w14:paraId="44AB05D1" w14:textId="77777777" w:rsidR="004416E1" w:rsidRDefault="004416E1" w:rsidP="000E09DC">
      <w:r>
        <w:continuationSeparator/>
      </w:r>
    </w:p>
  </w:footnote>
  <w:footnote w:id="1">
    <w:p w14:paraId="451691B0" w14:textId="4E9B56D6" w:rsidR="004416E1" w:rsidRDefault="004416E1" w:rsidP="00424312">
      <w:pPr>
        <w:pStyle w:val="Footer"/>
      </w:pPr>
      <w:r w:rsidRPr="00424312">
        <w:rPr>
          <w:rStyle w:val="FootnoteReference"/>
        </w:rPr>
        <w:footnoteRef/>
      </w:r>
      <w:r w:rsidRPr="00424312">
        <w:t xml:space="preserve"> Related party transaction – an arrangement between two parties that have a preexisting business relationship.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83DD4" w14:textId="77777777" w:rsidR="004416E1" w:rsidRPr="000E09DC" w:rsidRDefault="004416E1"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A189B0C" w14:textId="77777777" w:rsidR="004416E1" w:rsidRDefault="004416E1"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D00FB91" w14:textId="77777777" w:rsidR="004416E1" w:rsidRPr="00527B0E" w:rsidRDefault="004416E1"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2031C8CB" w14:textId="048CE342" w:rsidR="004416E1" w:rsidRPr="00AF3A0E" w:rsidRDefault="004416E1" w:rsidP="009247FB">
        <w:pPr>
          <w:pStyle w:val="Header"/>
          <w:jc w:val="right"/>
        </w:pPr>
        <w:r>
          <w:t>o</w:t>
        </w:r>
        <w:r w:rsidRPr="00AF3A0E">
          <w:t>ab-csd-jul20item08</w:t>
        </w:r>
      </w:p>
      <w:p w14:paraId="30F0E9D7" w14:textId="77777777" w:rsidR="004416E1" w:rsidRPr="009247FB" w:rsidRDefault="004416E1" w:rsidP="00604955">
        <w:pPr>
          <w:pStyle w:val="Header"/>
          <w:spacing w:after="100" w:afterAutospacing="1"/>
          <w:jc w:val="right"/>
        </w:pPr>
        <w:r w:rsidRPr="00AF3A0E">
          <w:t xml:space="preserve">Page </w:t>
        </w:r>
        <w:r w:rsidRPr="00AF3A0E">
          <w:rPr>
            <w:bCs/>
          </w:rPr>
          <w:fldChar w:fldCharType="begin"/>
        </w:r>
        <w:r w:rsidRPr="00AF3A0E">
          <w:rPr>
            <w:bCs/>
          </w:rPr>
          <w:instrText xml:space="preserve"> PAGE </w:instrText>
        </w:r>
        <w:r w:rsidRPr="00AF3A0E">
          <w:rPr>
            <w:bCs/>
          </w:rPr>
          <w:fldChar w:fldCharType="separate"/>
        </w:r>
        <w:r w:rsidR="00F920E2">
          <w:rPr>
            <w:bCs/>
            <w:noProof/>
          </w:rPr>
          <w:t>20</w:t>
        </w:r>
        <w:r w:rsidRPr="00AF3A0E">
          <w:rPr>
            <w:bCs/>
          </w:rPr>
          <w:fldChar w:fldCharType="end"/>
        </w:r>
        <w:r w:rsidRPr="00AF3A0E">
          <w:t xml:space="preserve"> of </w:t>
        </w:r>
        <w:r w:rsidRPr="00AF3A0E">
          <w:rPr>
            <w:bCs/>
          </w:rPr>
          <w:fldChar w:fldCharType="begin"/>
        </w:r>
        <w:r w:rsidRPr="00AF3A0E">
          <w:rPr>
            <w:bCs/>
          </w:rPr>
          <w:instrText xml:space="preserve"> NUMPAGES  </w:instrText>
        </w:r>
        <w:r w:rsidRPr="00AF3A0E">
          <w:rPr>
            <w:bCs/>
          </w:rPr>
          <w:fldChar w:fldCharType="separate"/>
        </w:r>
        <w:r w:rsidR="00F920E2">
          <w:rPr>
            <w:bCs/>
            <w:noProof/>
          </w:rPr>
          <w:t>23</w:t>
        </w:r>
        <w:r w:rsidRPr="00AF3A0E">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20224"/>
    <w:multiLevelType w:val="hybridMultilevel"/>
    <w:tmpl w:val="4166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56BAD"/>
    <w:multiLevelType w:val="hybridMultilevel"/>
    <w:tmpl w:val="11E6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75E1D"/>
    <w:multiLevelType w:val="hybridMultilevel"/>
    <w:tmpl w:val="B838F3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75531"/>
    <w:multiLevelType w:val="hybridMultilevel"/>
    <w:tmpl w:val="1C10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3F069C"/>
    <w:multiLevelType w:val="hybridMultilevel"/>
    <w:tmpl w:val="76F4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924209"/>
    <w:multiLevelType w:val="hybridMultilevel"/>
    <w:tmpl w:val="2E468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F157B"/>
    <w:multiLevelType w:val="hybridMultilevel"/>
    <w:tmpl w:val="8B187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60C263C"/>
    <w:multiLevelType w:val="hybridMultilevel"/>
    <w:tmpl w:val="EFDC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EA1032"/>
    <w:multiLevelType w:val="hybridMultilevel"/>
    <w:tmpl w:val="F120E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EC4BF5"/>
    <w:multiLevelType w:val="hybridMultilevel"/>
    <w:tmpl w:val="538C7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03579C"/>
    <w:multiLevelType w:val="hybridMultilevel"/>
    <w:tmpl w:val="8408B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7912B1"/>
    <w:multiLevelType w:val="hybridMultilevel"/>
    <w:tmpl w:val="829C2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6053A6"/>
    <w:multiLevelType w:val="hybridMultilevel"/>
    <w:tmpl w:val="B2749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DB22C9"/>
    <w:multiLevelType w:val="hybridMultilevel"/>
    <w:tmpl w:val="7040B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71437A6"/>
    <w:multiLevelType w:val="hybridMultilevel"/>
    <w:tmpl w:val="3FFAE9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69AB1650"/>
    <w:multiLevelType w:val="hybridMultilevel"/>
    <w:tmpl w:val="6416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356DBB"/>
    <w:multiLevelType w:val="hybridMultilevel"/>
    <w:tmpl w:val="DB18E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6A6CAB"/>
    <w:multiLevelType w:val="hybridMultilevel"/>
    <w:tmpl w:val="6B74A96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798D5E0C"/>
    <w:multiLevelType w:val="hybridMultilevel"/>
    <w:tmpl w:val="946EB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7"/>
  </w:num>
  <w:num w:numId="4">
    <w:abstractNumId w:val="20"/>
  </w:num>
  <w:num w:numId="5">
    <w:abstractNumId w:val="21"/>
  </w:num>
  <w:num w:numId="6">
    <w:abstractNumId w:val="2"/>
  </w:num>
  <w:num w:numId="7">
    <w:abstractNumId w:val="10"/>
  </w:num>
  <w:num w:numId="8">
    <w:abstractNumId w:val="23"/>
  </w:num>
  <w:num w:numId="9">
    <w:abstractNumId w:val="6"/>
  </w:num>
  <w:num w:numId="10">
    <w:abstractNumId w:val="13"/>
  </w:num>
  <w:num w:numId="11">
    <w:abstractNumId w:val="1"/>
  </w:num>
  <w:num w:numId="12">
    <w:abstractNumId w:val="11"/>
  </w:num>
  <w:num w:numId="13">
    <w:abstractNumId w:val="4"/>
  </w:num>
  <w:num w:numId="14">
    <w:abstractNumId w:val="0"/>
  </w:num>
  <w:num w:numId="15">
    <w:abstractNumId w:val="25"/>
  </w:num>
  <w:num w:numId="16">
    <w:abstractNumId w:val="17"/>
  </w:num>
  <w:num w:numId="17">
    <w:abstractNumId w:val="27"/>
  </w:num>
  <w:num w:numId="18">
    <w:abstractNumId w:val="26"/>
  </w:num>
  <w:num w:numId="19">
    <w:abstractNumId w:val="16"/>
  </w:num>
  <w:num w:numId="20">
    <w:abstractNumId w:val="28"/>
  </w:num>
  <w:num w:numId="21">
    <w:abstractNumId w:val="5"/>
  </w:num>
  <w:num w:numId="22">
    <w:abstractNumId w:val="9"/>
  </w:num>
  <w:num w:numId="23">
    <w:abstractNumId w:val="8"/>
  </w:num>
  <w:num w:numId="24">
    <w:abstractNumId w:val="31"/>
  </w:num>
  <w:num w:numId="25">
    <w:abstractNumId w:val="18"/>
  </w:num>
  <w:num w:numId="26">
    <w:abstractNumId w:val="30"/>
  </w:num>
  <w:num w:numId="27">
    <w:abstractNumId w:val="14"/>
  </w:num>
  <w:num w:numId="28">
    <w:abstractNumId w:val="22"/>
  </w:num>
  <w:num w:numId="29">
    <w:abstractNumId w:val="3"/>
  </w:num>
  <w:num w:numId="30">
    <w:abstractNumId w:val="15"/>
  </w:num>
  <w:num w:numId="31">
    <w:abstractNumId w:val="29"/>
  </w:num>
  <w:num w:numId="3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A09"/>
    <w:rsid w:val="000040D5"/>
    <w:rsid w:val="00011DB7"/>
    <w:rsid w:val="000324AD"/>
    <w:rsid w:val="00040FE1"/>
    <w:rsid w:val="000901FE"/>
    <w:rsid w:val="000979B9"/>
    <w:rsid w:val="000A1510"/>
    <w:rsid w:val="000A466C"/>
    <w:rsid w:val="000E09DC"/>
    <w:rsid w:val="001048F3"/>
    <w:rsid w:val="00112FEC"/>
    <w:rsid w:val="0012216A"/>
    <w:rsid w:val="00127AB5"/>
    <w:rsid w:val="00130059"/>
    <w:rsid w:val="00136229"/>
    <w:rsid w:val="001446F6"/>
    <w:rsid w:val="001666BD"/>
    <w:rsid w:val="0018148D"/>
    <w:rsid w:val="001905E6"/>
    <w:rsid w:val="00196202"/>
    <w:rsid w:val="001A049D"/>
    <w:rsid w:val="001A0CA5"/>
    <w:rsid w:val="001A2867"/>
    <w:rsid w:val="001B3958"/>
    <w:rsid w:val="001B654C"/>
    <w:rsid w:val="001C26BF"/>
    <w:rsid w:val="001E1929"/>
    <w:rsid w:val="00214869"/>
    <w:rsid w:val="00223112"/>
    <w:rsid w:val="00233061"/>
    <w:rsid w:val="00240B26"/>
    <w:rsid w:val="002715A7"/>
    <w:rsid w:val="0028274D"/>
    <w:rsid w:val="002A5984"/>
    <w:rsid w:val="002B4B14"/>
    <w:rsid w:val="002B6DE5"/>
    <w:rsid w:val="002D0F87"/>
    <w:rsid w:val="002D1A82"/>
    <w:rsid w:val="002E4CB5"/>
    <w:rsid w:val="002E6FCA"/>
    <w:rsid w:val="002F279B"/>
    <w:rsid w:val="002F5A5A"/>
    <w:rsid w:val="00303E33"/>
    <w:rsid w:val="0031436E"/>
    <w:rsid w:val="00315131"/>
    <w:rsid w:val="00360F5F"/>
    <w:rsid w:val="00361D6B"/>
    <w:rsid w:val="00363520"/>
    <w:rsid w:val="0036493B"/>
    <w:rsid w:val="003705FC"/>
    <w:rsid w:val="00370D7D"/>
    <w:rsid w:val="00384ACF"/>
    <w:rsid w:val="003D1ECD"/>
    <w:rsid w:val="003D44EF"/>
    <w:rsid w:val="003E1E8D"/>
    <w:rsid w:val="003E4DF7"/>
    <w:rsid w:val="00406F50"/>
    <w:rsid w:val="00407E9B"/>
    <w:rsid w:val="004124DA"/>
    <w:rsid w:val="004203BC"/>
    <w:rsid w:val="00424312"/>
    <w:rsid w:val="00432BA6"/>
    <w:rsid w:val="004333FE"/>
    <w:rsid w:val="00435480"/>
    <w:rsid w:val="00435A6D"/>
    <w:rsid w:val="004416E1"/>
    <w:rsid w:val="004424B8"/>
    <w:rsid w:val="0044670C"/>
    <w:rsid w:val="00460D96"/>
    <w:rsid w:val="0047534A"/>
    <w:rsid w:val="004972A3"/>
    <w:rsid w:val="004B759E"/>
    <w:rsid w:val="004B788F"/>
    <w:rsid w:val="004C0135"/>
    <w:rsid w:val="004E029B"/>
    <w:rsid w:val="004E426F"/>
    <w:rsid w:val="004E6CE4"/>
    <w:rsid w:val="004F0410"/>
    <w:rsid w:val="00517C00"/>
    <w:rsid w:val="0052199E"/>
    <w:rsid w:val="00524789"/>
    <w:rsid w:val="00527B0E"/>
    <w:rsid w:val="00547EB8"/>
    <w:rsid w:val="0058223B"/>
    <w:rsid w:val="0058539F"/>
    <w:rsid w:val="00592E15"/>
    <w:rsid w:val="00595B62"/>
    <w:rsid w:val="005D535B"/>
    <w:rsid w:val="005F3E04"/>
    <w:rsid w:val="005F3F15"/>
    <w:rsid w:val="00604955"/>
    <w:rsid w:val="0061424F"/>
    <w:rsid w:val="00614B18"/>
    <w:rsid w:val="0062352A"/>
    <w:rsid w:val="00667889"/>
    <w:rsid w:val="00692300"/>
    <w:rsid w:val="00693951"/>
    <w:rsid w:val="006B0CE1"/>
    <w:rsid w:val="006B2111"/>
    <w:rsid w:val="006D0223"/>
    <w:rsid w:val="006E06C6"/>
    <w:rsid w:val="00707CD7"/>
    <w:rsid w:val="00714401"/>
    <w:rsid w:val="00726013"/>
    <w:rsid w:val="00726EDA"/>
    <w:rsid w:val="007313A3"/>
    <w:rsid w:val="007336C9"/>
    <w:rsid w:val="007428B8"/>
    <w:rsid w:val="00742E13"/>
    <w:rsid w:val="00746164"/>
    <w:rsid w:val="00756B65"/>
    <w:rsid w:val="00760F25"/>
    <w:rsid w:val="00761E40"/>
    <w:rsid w:val="00780BB6"/>
    <w:rsid w:val="0078105B"/>
    <w:rsid w:val="00783D86"/>
    <w:rsid w:val="007C5697"/>
    <w:rsid w:val="007D397E"/>
    <w:rsid w:val="007D6A8F"/>
    <w:rsid w:val="007D7362"/>
    <w:rsid w:val="0085320B"/>
    <w:rsid w:val="00857B42"/>
    <w:rsid w:val="00857DD0"/>
    <w:rsid w:val="008642F8"/>
    <w:rsid w:val="008909EE"/>
    <w:rsid w:val="008A1B19"/>
    <w:rsid w:val="008A7451"/>
    <w:rsid w:val="008B6A03"/>
    <w:rsid w:val="008D71DF"/>
    <w:rsid w:val="008E4C2C"/>
    <w:rsid w:val="008E6E3D"/>
    <w:rsid w:val="008F4A08"/>
    <w:rsid w:val="00900500"/>
    <w:rsid w:val="0091117B"/>
    <w:rsid w:val="00916CB0"/>
    <w:rsid w:val="009247FB"/>
    <w:rsid w:val="00926620"/>
    <w:rsid w:val="00931775"/>
    <w:rsid w:val="009342BC"/>
    <w:rsid w:val="00955853"/>
    <w:rsid w:val="009B04E1"/>
    <w:rsid w:val="009D5028"/>
    <w:rsid w:val="009E11CD"/>
    <w:rsid w:val="009E4655"/>
    <w:rsid w:val="00A01371"/>
    <w:rsid w:val="00A07F42"/>
    <w:rsid w:val="00A16315"/>
    <w:rsid w:val="00A17495"/>
    <w:rsid w:val="00A30B3C"/>
    <w:rsid w:val="00A449C9"/>
    <w:rsid w:val="00A70AB4"/>
    <w:rsid w:val="00A8090C"/>
    <w:rsid w:val="00A80A45"/>
    <w:rsid w:val="00A92BB0"/>
    <w:rsid w:val="00A94EEE"/>
    <w:rsid w:val="00A97BDC"/>
    <w:rsid w:val="00AE70E3"/>
    <w:rsid w:val="00AF3A0E"/>
    <w:rsid w:val="00B2505D"/>
    <w:rsid w:val="00B25BAB"/>
    <w:rsid w:val="00B27304"/>
    <w:rsid w:val="00B600C9"/>
    <w:rsid w:val="00B723BE"/>
    <w:rsid w:val="00B72983"/>
    <w:rsid w:val="00B82705"/>
    <w:rsid w:val="00B93808"/>
    <w:rsid w:val="00BA2D70"/>
    <w:rsid w:val="00BF600E"/>
    <w:rsid w:val="00C15C41"/>
    <w:rsid w:val="00C27D57"/>
    <w:rsid w:val="00C82CBA"/>
    <w:rsid w:val="00CD3E95"/>
    <w:rsid w:val="00CE1257"/>
    <w:rsid w:val="00CE1C84"/>
    <w:rsid w:val="00CE4CD3"/>
    <w:rsid w:val="00D01575"/>
    <w:rsid w:val="00D067BF"/>
    <w:rsid w:val="00D14659"/>
    <w:rsid w:val="00D17D92"/>
    <w:rsid w:val="00D47DAB"/>
    <w:rsid w:val="00D5115F"/>
    <w:rsid w:val="00D617CA"/>
    <w:rsid w:val="00D75D16"/>
    <w:rsid w:val="00D7747B"/>
    <w:rsid w:val="00D8434A"/>
    <w:rsid w:val="00D8667C"/>
    <w:rsid w:val="00D86AB9"/>
    <w:rsid w:val="00DB0203"/>
    <w:rsid w:val="00DB2245"/>
    <w:rsid w:val="00DC58DC"/>
    <w:rsid w:val="00DE378B"/>
    <w:rsid w:val="00DF760A"/>
    <w:rsid w:val="00E01CF4"/>
    <w:rsid w:val="00E04471"/>
    <w:rsid w:val="00E23FA8"/>
    <w:rsid w:val="00E32624"/>
    <w:rsid w:val="00E64BE0"/>
    <w:rsid w:val="00E71E07"/>
    <w:rsid w:val="00E83EFF"/>
    <w:rsid w:val="00E84084"/>
    <w:rsid w:val="00E9101F"/>
    <w:rsid w:val="00E9264F"/>
    <w:rsid w:val="00EA7D4F"/>
    <w:rsid w:val="00EB16F7"/>
    <w:rsid w:val="00EB1B1F"/>
    <w:rsid w:val="00EB505E"/>
    <w:rsid w:val="00EC504C"/>
    <w:rsid w:val="00ED79E8"/>
    <w:rsid w:val="00EE170D"/>
    <w:rsid w:val="00F1003D"/>
    <w:rsid w:val="00F10E8D"/>
    <w:rsid w:val="00F3169D"/>
    <w:rsid w:val="00F40510"/>
    <w:rsid w:val="00F67BB8"/>
    <w:rsid w:val="00F920E2"/>
    <w:rsid w:val="00F95AA5"/>
    <w:rsid w:val="00FA051F"/>
    <w:rsid w:val="00FB1A09"/>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81B8A3E"/>
  <w15:chartTrackingRefBased/>
  <w15:docId w15:val="{A319A282-F390-43B7-8185-087AC8BB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112FEC"/>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112FEC"/>
    <w:pPr>
      <w:keepNext/>
      <w:keepLines/>
      <w:spacing w:before="240" w:after="240"/>
      <w:outlineLvl w:val="2"/>
    </w:pPr>
    <w:rPr>
      <w:rFonts w:eastAsiaTheme="majorEastAsia" w:cstheme="majorBidi"/>
      <w:b/>
      <w:sz w:val="32"/>
      <w:szCs w:val="36"/>
    </w:rPr>
  </w:style>
  <w:style w:type="paragraph" w:styleId="Heading4">
    <w:name w:val="heading 4"/>
    <w:basedOn w:val="Normal"/>
    <w:next w:val="Normal"/>
    <w:link w:val="Heading4Char"/>
    <w:autoRedefine/>
    <w:uiPriority w:val="9"/>
    <w:unhideWhenUsed/>
    <w:qFormat/>
    <w:rsid w:val="00D8434A"/>
    <w:pPr>
      <w:keepNext/>
      <w:keepLines/>
      <w:spacing w:before="240" w:after="240"/>
      <w:outlineLvl w:val="3"/>
    </w:pPr>
    <w:rPr>
      <w:rFonts w:eastAsia="Calibri" w:cstheme="majorBidi"/>
      <w:b/>
      <w:iCs/>
      <w:sz w:val="28"/>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112FE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112FEC"/>
    <w:rPr>
      <w:rFonts w:ascii="Arial" w:eastAsiaTheme="majorEastAsia" w:hAnsi="Arial" w:cstheme="majorBidi"/>
      <w:b/>
      <w:sz w:val="32"/>
      <w:szCs w:val="36"/>
    </w:rPr>
  </w:style>
  <w:style w:type="character" w:customStyle="1" w:styleId="Heading4Char">
    <w:name w:val="Heading 4 Char"/>
    <w:basedOn w:val="DefaultParagraphFont"/>
    <w:link w:val="Heading4"/>
    <w:uiPriority w:val="9"/>
    <w:rsid w:val="00D8434A"/>
    <w:rPr>
      <w:rFonts w:ascii="Arial" w:eastAsia="Calibri"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F3169D"/>
    <w:rPr>
      <w:color w:val="605E5C"/>
      <w:shd w:val="clear" w:color="auto" w:fill="E1DFDD"/>
    </w:rPr>
  </w:style>
  <w:style w:type="table" w:customStyle="1" w:styleId="GridTable1Light1211412">
    <w:name w:val="Grid Table 1 Light1211412"/>
    <w:basedOn w:val="TableNormal"/>
    <w:next w:val="GridTable1Light"/>
    <w:uiPriority w:val="46"/>
    <w:rsid w:val="00DE378B"/>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DE378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DE378B"/>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A17495"/>
    <w:rPr>
      <w:sz w:val="16"/>
      <w:szCs w:val="16"/>
    </w:rPr>
  </w:style>
  <w:style w:type="paragraph" w:styleId="CommentText">
    <w:name w:val="annotation text"/>
    <w:basedOn w:val="Normal"/>
    <w:link w:val="CommentTextChar"/>
    <w:uiPriority w:val="99"/>
    <w:semiHidden/>
    <w:unhideWhenUsed/>
    <w:rsid w:val="00A17495"/>
    <w:pPr>
      <w:spacing w:before="240" w:after="240"/>
    </w:pPr>
    <w:rPr>
      <w:sz w:val="20"/>
      <w:szCs w:val="20"/>
    </w:rPr>
  </w:style>
  <w:style w:type="character" w:customStyle="1" w:styleId="CommentTextChar">
    <w:name w:val="Comment Text Char"/>
    <w:basedOn w:val="DefaultParagraphFont"/>
    <w:link w:val="CommentText"/>
    <w:uiPriority w:val="99"/>
    <w:semiHidden/>
    <w:rsid w:val="00A1749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56B65"/>
    <w:pPr>
      <w:spacing w:before="0" w:after="0"/>
    </w:pPr>
    <w:rPr>
      <w:b/>
      <w:bCs/>
    </w:rPr>
  </w:style>
  <w:style w:type="character" w:customStyle="1" w:styleId="CommentSubjectChar">
    <w:name w:val="Comment Subject Char"/>
    <w:basedOn w:val="CommentTextChar"/>
    <w:link w:val="CommentSubject"/>
    <w:uiPriority w:val="99"/>
    <w:semiHidden/>
    <w:rsid w:val="00756B65"/>
    <w:rPr>
      <w:rFonts w:ascii="Arial" w:eastAsia="Times New Roman" w:hAnsi="Arial" w:cs="Times New Roman"/>
      <w:b/>
      <w:bCs/>
      <w:sz w:val="20"/>
      <w:szCs w:val="20"/>
    </w:rPr>
  </w:style>
  <w:style w:type="paragraph" w:styleId="NormalWeb">
    <w:name w:val="Normal (Web)"/>
    <w:basedOn w:val="Normal"/>
    <w:uiPriority w:val="99"/>
    <w:unhideWhenUsed/>
    <w:rsid w:val="002715A7"/>
    <w:pPr>
      <w:spacing w:before="100" w:beforeAutospacing="1" w:after="100" w:afterAutospacing="1"/>
    </w:pPr>
    <w:rPr>
      <w:rFonts w:ascii="Times New Roman" w:hAnsi="Times New Roman"/>
    </w:rPr>
  </w:style>
  <w:style w:type="paragraph" w:styleId="FootnoteText">
    <w:name w:val="footnote text"/>
    <w:basedOn w:val="Normal"/>
    <w:link w:val="FootnoteTextChar"/>
    <w:uiPriority w:val="99"/>
    <w:semiHidden/>
    <w:unhideWhenUsed/>
    <w:rsid w:val="00424312"/>
    <w:rPr>
      <w:sz w:val="20"/>
      <w:szCs w:val="20"/>
    </w:rPr>
  </w:style>
  <w:style w:type="character" w:customStyle="1" w:styleId="FootnoteTextChar">
    <w:name w:val="Footnote Text Char"/>
    <w:basedOn w:val="DefaultParagraphFont"/>
    <w:link w:val="FootnoteText"/>
    <w:uiPriority w:val="99"/>
    <w:semiHidden/>
    <w:rsid w:val="0042431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4243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241027">
      <w:bodyDiv w:val="1"/>
      <w:marLeft w:val="0"/>
      <w:marRight w:val="0"/>
      <w:marTop w:val="0"/>
      <w:marBottom w:val="0"/>
      <w:divBdr>
        <w:top w:val="none" w:sz="0" w:space="0" w:color="auto"/>
        <w:left w:val="none" w:sz="0" w:space="0" w:color="auto"/>
        <w:bottom w:val="none" w:sz="0" w:space="0" w:color="auto"/>
        <w:right w:val="none" w:sz="0" w:space="0" w:color="auto"/>
      </w:divBdr>
    </w:div>
    <w:div w:id="593124711">
      <w:bodyDiv w:val="1"/>
      <w:marLeft w:val="0"/>
      <w:marRight w:val="0"/>
      <w:marTop w:val="0"/>
      <w:marBottom w:val="0"/>
      <w:divBdr>
        <w:top w:val="none" w:sz="0" w:space="0" w:color="auto"/>
        <w:left w:val="none" w:sz="0" w:space="0" w:color="auto"/>
        <w:bottom w:val="none" w:sz="0" w:space="0" w:color="auto"/>
        <w:right w:val="none" w:sz="0" w:space="0" w:color="auto"/>
      </w:divBdr>
    </w:div>
    <w:div w:id="1078332473">
      <w:bodyDiv w:val="1"/>
      <w:marLeft w:val="0"/>
      <w:marRight w:val="0"/>
      <w:marTop w:val="0"/>
      <w:marBottom w:val="0"/>
      <w:divBdr>
        <w:top w:val="none" w:sz="0" w:space="0" w:color="auto"/>
        <w:left w:val="none" w:sz="0" w:space="0" w:color="auto"/>
        <w:bottom w:val="none" w:sz="0" w:space="0" w:color="auto"/>
        <w:right w:val="none" w:sz="0" w:space="0" w:color="auto"/>
      </w:divBdr>
      <w:divsChild>
        <w:div w:id="1185636100">
          <w:marLeft w:val="0"/>
          <w:marRight w:val="0"/>
          <w:marTop w:val="0"/>
          <w:marBottom w:val="0"/>
          <w:divBdr>
            <w:top w:val="none" w:sz="0" w:space="0" w:color="auto"/>
            <w:left w:val="none" w:sz="0" w:space="0" w:color="auto"/>
            <w:bottom w:val="none" w:sz="0" w:space="0" w:color="auto"/>
            <w:right w:val="none" w:sz="0" w:space="0" w:color="auto"/>
          </w:divBdr>
        </w:div>
      </w:divsChild>
    </w:div>
    <w:div w:id="1357006736">
      <w:bodyDiv w:val="1"/>
      <w:marLeft w:val="0"/>
      <w:marRight w:val="0"/>
      <w:marTop w:val="0"/>
      <w:marBottom w:val="0"/>
      <w:divBdr>
        <w:top w:val="none" w:sz="0" w:space="0" w:color="auto"/>
        <w:left w:val="none" w:sz="0" w:space="0" w:color="auto"/>
        <w:bottom w:val="none" w:sz="0" w:space="0" w:color="auto"/>
        <w:right w:val="none" w:sz="0" w:space="0" w:color="auto"/>
      </w:divBdr>
    </w:div>
    <w:div w:id="1869564256">
      <w:bodyDiv w:val="1"/>
      <w:marLeft w:val="0"/>
      <w:marRight w:val="0"/>
      <w:marTop w:val="0"/>
      <w:marBottom w:val="0"/>
      <w:divBdr>
        <w:top w:val="none" w:sz="0" w:space="0" w:color="auto"/>
        <w:left w:val="none" w:sz="0" w:space="0" w:color="auto"/>
        <w:bottom w:val="none" w:sz="0" w:space="0" w:color="auto"/>
        <w:right w:val="none" w:sz="0" w:space="0" w:color="auto"/>
      </w:divBdr>
    </w:div>
    <w:div w:id="192710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accsnotice060920.asp" TargetMode="External"/><Relationship Id="rId18" Type="http://schemas.openxmlformats.org/officeDocument/2006/relationships/hyperlink" Target="https://www.cde.ca.gov/be/cc/cs/accsnotice060920.asp" TargetMode="External"/><Relationship Id="rId26" Type="http://schemas.openxmlformats.org/officeDocument/2006/relationships/hyperlink" Target="https://www.cde.ca.gov/be/cc/cs/accsnotice060920.asp"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de.ca.gov/be/cc/cs/accsnotice060920.asp" TargetMode="External"/><Relationship Id="rId34" Type="http://schemas.openxmlformats.org/officeDocument/2006/relationships/hyperlink" Target="https://www.cde.ca.gov/be/cc/cs/accsnotice060920.asp" TargetMode="External"/><Relationship Id="rId7" Type="http://schemas.openxmlformats.org/officeDocument/2006/relationships/endnotes" Target="endnotes.xml"/><Relationship Id="rId12" Type="http://schemas.openxmlformats.org/officeDocument/2006/relationships/hyperlink" Target="https://www.cde.ca.gov/be/cc/cs/accsnotice060920.asp" TargetMode="External"/><Relationship Id="rId17" Type="http://schemas.openxmlformats.org/officeDocument/2006/relationships/hyperlink" Target="https://www.cde.ca.gov/be/cc/cs/accsnotice060920.asp" TargetMode="External"/><Relationship Id="rId25" Type="http://schemas.openxmlformats.org/officeDocument/2006/relationships/hyperlink" Target="https://www.cde.ca.gov/be/cc/cs/accsnotice060920.asp" TargetMode="External"/><Relationship Id="rId33" Type="http://schemas.openxmlformats.org/officeDocument/2006/relationships/hyperlink" Target="https://www.cde.ca.gov/be/cc/cs/accsnotice060920.asp"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cde.ca.gov/be/cc/cs/accsnotice060920.asp" TargetMode="External"/><Relationship Id="rId20" Type="http://schemas.openxmlformats.org/officeDocument/2006/relationships/hyperlink" Target="https://www.cde.ca.gov/be/cc/cs/accsnotice060920.asp" TargetMode="External"/><Relationship Id="rId29" Type="http://schemas.openxmlformats.org/officeDocument/2006/relationships/hyperlink" Target="https://www.cde.ca.gov/be/cc/cs/accsnotice060920.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accsnotice060920.asp" TargetMode="External"/><Relationship Id="rId24" Type="http://schemas.openxmlformats.org/officeDocument/2006/relationships/hyperlink" Target="https://www.cde.ca.gov/be/cc/cs/accsnotice060920.asp" TargetMode="External"/><Relationship Id="rId32" Type="http://schemas.openxmlformats.org/officeDocument/2006/relationships/hyperlink" Target="https://www.cde.ca.gov/be/cc/cs/accsnotice060920.asp" TargetMode="External"/><Relationship Id="rId37" Type="http://schemas.openxmlformats.org/officeDocument/2006/relationships/hyperlink" Target="https://www.cde.ca.gov/be/cc/cs/accsnotice060920.asp"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cc/cs/accsnotice060920.asp" TargetMode="External"/><Relationship Id="rId23" Type="http://schemas.openxmlformats.org/officeDocument/2006/relationships/hyperlink" Target="https://www.cde.ca.gov/be/cc/cs/accsnotice060920.asp" TargetMode="External"/><Relationship Id="rId28" Type="http://schemas.openxmlformats.org/officeDocument/2006/relationships/hyperlink" Target="https://www.cde.ca.gov/be/cc/cs/accsnotice060920.asp" TargetMode="External"/><Relationship Id="rId36" Type="http://schemas.openxmlformats.org/officeDocument/2006/relationships/hyperlink" Target="https://www.cde.ca.gov/be/cc/cs/accsnotice060920.asp" TargetMode="External"/><Relationship Id="rId10" Type="http://schemas.openxmlformats.org/officeDocument/2006/relationships/hyperlink" Target="https://www.cde.ca.gov/be/cc/cs/accsnotice060920.asp" TargetMode="External"/><Relationship Id="rId19" Type="http://schemas.openxmlformats.org/officeDocument/2006/relationships/hyperlink" Target="https://www.cde.ca.gov/be/cc/cs/accsnotice060920.asp" TargetMode="External"/><Relationship Id="rId31" Type="http://schemas.openxmlformats.org/officeDocument/2006/relationships/hyperlink" Target="https://www.cde.ca.gov/be/cc/cs/accsnotice060920.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accsnotice060920.asp" TargetMode="External"/><Relationship Id="rId22" Type="http://schemas.openxmlformats.org/officeDocument/2006/relationships/hyperlink" Target="https://www.cde.ca.gov/be/cc/cs/accsnotice060920.asp" TargetMode="External"/><Relationship Id="rId27" Type="http://schemas.openxmlformats.org/officeDocument/2006/relationships/hyperlink" Target="https://www.cde.ca.gov/be/cc/cs/accsnotice060920.asp" TargetMode="External"/><Relationship Id="rId30" Type="http://schemas.openxmlformats.org/officeDocument/2006/relationships/hyperlink" Target="https://www.cde.ca.gov/be/cc/cs/accsnotice060920.asp" TargetMode="External"/><Relationship Id="rId35" Type="http://schemas.openxmlformats.org/officeDocument/2006/relationships/hyperlink" Target="https://www.cde.ca.gov/be/cc/cs/accsnotice060920.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38543-EEFA-4335-AA86-BDDB2F99B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23</Pages>
  <Words>7716</Words>
  <Characters>43984</Characters>
  <DocSecurity>0</DocSecurity>
  <Lines>366</Lines>
  <Paragraphs>103</Paragraphs>
  <ScaleCrop>false</ScaleCrop>
  <HeadingPairs>
    <vt:vector size="2" baseType="variant">
      <vt:variant>
        <vt:lpstr>Title</vt:lpstr>
      </vt:variant>
      <vt:variant>
        <vt:i4>1</vt:i4>
      </vt:variant>
    </vt:vector>
  </HeadingPairs>
  <TitlesOfParts>
    <vt:vector size="1" baseType="lpstr">
      <vt:lpstr>July 2020 Agenda Item 21 - Meeting Agendas (CA State Board of Education)</vt:lpstr>
    </vt:vector>
  </TitlesOfParts>
  <Company>California State Board of Education</Company>
  <LinksUpToDate>false</LinksUpToDate>
  <CharactersWithSpaces>51597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21 - Meeting Agendas (CA State Board of Education)</dc:title>
  <dc:subject>Petition for the Renewal of a Charter School Under the Oversight of the State Board of Education: Consideration of Today's Fresh Start Charter School Inglewood.</dc:subject>
  <cp:keywords/>
  <dc:description/>
  <cp:lastPrinted>2018-02-13T16:54:00Z</cp:lastPrinted>
  <dcterms:created xsi:type="dcterms:W3CDTF">2020-06-23T20:07:00Z</dcterms:created>
  <dcterms:modified xsi:type="dcterms:W3CDTF">2020-06-26T23:47:00Z</dcterms:modified>
</cp:coreProperties>
</file>