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FC6DBC" w:rsidRDefault="00D37310" w:rsidP="00B723BE">
      <w:pPr>
        <w:jc w:val="right"/>
      </w:pPr>
      <w:r>
        <w:rPr>
          <w:rFonts w:eastAsia="Calibri" w:cs="Arial"/>
        </w:rPr>
        <w:t>General</w:t>
      </w:r>
      <w:r w:rsidR="000627CB">
        <w:rPr>
          <w:rFonts w:eastAsia="Calibri" w:cs="Arial"/>
        </w:rPr>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8776FA">
        <w:rPr>
          <w:sz w:val="40"/>
          <w:szCs w:val="40"/>
        </w:rPr>
        <w:t>July</w:t>
      </w:r>
      <w:r w:rsidRPr="00FC6DBC">
        <w:rPr>
          <w:sz w:val="40"/>
          <w:szCs w:val="40"/>
        </w:rPr>
        <w:t xml:space="preserve"> </w:t>
      </w:r>
      <w:r w:rsidR="00FC6DBC">
        <w:rPr>
          <w:sz w:val="40"/>
          <w:szCs w:val="40"/>
        </w:rPr>
        <w:t>2020</w:t>
      </w:r>
      <w:r w:rsidRPr="00AE5FE0">
        <w:rPr>
          <w:sz w:val="40"/>
          <w:szCs w:val="40"/>
        </w:rPr>
        <w:t xml:space="preserve"> Agenda</w:t>
      </w:r>
      <w:r w:rsidRPr="00AE5FE0">
        <w:rPr>
          <w:sz w:val="40"/>
          <w:szCs w:val="40"/>
        </w:rPr>
        <w:br/>
        <w:t>Item #W-</w:t>
      </w:r>
      <w:r w:rsidR="00752180">
        <w:rPr>
          <w:sz w:val="40"/>
          <w:szCs w:val="40"/>
        </w:rPr>
        <w:t>06</w:t>
      </w:r>
    </w:p>
    <w:p w:rsidR="00630A0F" w:rsidRPr="00AE5FE0" w:rsidRDefault="00630A0F" w:rsidP="00AB261E">
      <w:pPr>
        <w:pStyle w:val="Heading2"/>
        <w:spacing w:before="0"/>
        <w:rPr>
          <w:sz w:val="36"/>
          <w:szCs w:val="36"/>
        </w:rPr>
      </w:pPr>
      <w:r w:rsidRPr="00AE5FE0">
        <w:rPr>
          <w:sz w:val="36"/>
          <w:szCs w:val="36"/>
        </w:rPr>
        <w:t>Subject</w:t>
      </w:r>
    </w:p>
    <w:p w:rsidR="00630A0F" w:rsidRPr="00DB1487" w:rsidRDefault="00FC42DE" w:rsidP="00B375E4">
      <w:pPr>
        <w:spacing w:after="240"/>
        <w:rPr>
          <w:rFonts w:eastAsiaTheme="minorHAnsi"/>
        </w:rPr>
      </w:pPr>
      <w:r>
        <w:rPr>
          <w:rFonts w:eastAsiaTheme="minorHAnsi"/>
        </w:rPr>
        <w:t xml:space="preserve">Request </w:t>
      </w:r>
      <w:r w:rsidR="00630A0F" w:rsidRPr="00FC42DE">
        <w:rPr>
          <w:rFonts w:eastAsiaTheme="minorHAnsi"/>
        </w:rPr>
        <w:t xml:space="preserve">by </w:t>
      </w:r>
      <w:r w:rsidR="007640B0">
        <w:rPr>
          <w:rFonts w:eastAsiaTheme="minorHAnsi"/>
        </w:rPr>
        <w:t xml:space="preserve">the </w:t>
      </w:r>
      <w:r w:rsidR="007640B0" w:rsidRPr="006A5F7F">
        <w:rPr>
          <w:rFonts w:eastAsiaTheme="minorHAnsi"/>
          <w:b/>
        </w:rPr>
        <w:t>Centinela Valley Union High School District</w:t>
      </w:r>
      <w:r w:rsidR="00630A0F" w:rsidRPr="00574B7D">
        <w:rPr>
          <w:rFonts w:eastAsiaTheme="minorHAnsi"/>
        </w:rPr>
        <w:t xml:space="preserve"> to waive California </w:t>
      </w:r>
      <w:r w:rsidR="00630A0F" w:rsidRPr="00574B7D">
        <w:rPr>
          <w:rFonts w:eastAsiaTheme="minorHAnsi"/>
          <w:i/>
        </w:rPr>
        <w:t>Education Code</w:t>
      </w:r>
      <w:r w:rsidR="00C561C9">
        <w:rPr>
          <w:rFonts w:eastAsiaTheme="minorHAnsi"/>
          <w:i/>
        </w:rPr>
        <w:t xml:space="preserve"> </w:t>
      </w:r>
      <w:r w:rsidR="00630A0F" w:rsidRPr="006A5F7F">
        <w:rPr>
          <w:rFonts w:eastAsiaTheme="minorHAnsi"/>
        </w:rPr>
        <w:t xml:space="preserve">sections </w:t>
      </w:r>
      <w:r w:rsidR="00630A0F" w:rsidRPr="006A5F7F">
        <w:rPr>
          <w:rFonts w:cs="Arial"/>
        </w:rPr>
        <w:t>15102</w:t>
      </w:r>
      <w:r w:rsidR="007640B0" w:rsidRPr="006A5F7F">
        <w:rPr>
          <w:rFonts w:cs="Arial"/>
        </w:rPr>
        <w:t xml:space="preserve"> and </w:t>
      </w:r>
      <w:r w:rsidR="00630A0F" w:rsidRPr="006A5F7F">
        <w:rPr>
          <w:rFonts w:cs="Arial"/>
        </w:rPr>
        <w:t xml:space="preserve">15268 </w:t>
      </w:r>
      <w:r w:rsidR="00630A0F" w:rsidRPr="006A5F7F">
        <w:rPr>
          <w:rFonts w:eastAsiaTheme="minorHAnsi"/>
        </w:rPr>
        <w:t xml:space="preserve">to allow the </w:t>
      </w:r>
      <w:r w:rsidR="003E7171" w:rsidRPr="006A5F7F">
        <w:rPr>
          <w:rFonts w:eastAsiaTheme="minorHAnsi"/>
        </w:rPr>
        <w:t>d</w:t>
      </w:r>
      <w:r w:rsidR="00630A0F" w:rsidRPr="006A5F7F">
        <w:rPr>
          <w:rFonts w:eastAsiaTheme="minorHAnsi"/>
        </w:rPr>
        <w:t xml:space="preserve">istrict to exceed </w:t>
      </w:r>
      <w:r w:rsidR="007640B0" w:rsidRPr="006A5F7F">
        <w:rPr>
          <w:rFonts w:eastAsiaTheme="minorHAnsi"/>
        </w:rPr>
        <w:t>its</w:t>
      </w:r>
      <w:r w:rsidR="00630A0F" w:rsidRPr="006A5F7F">
        <w:rPr>
          <w:rFonts w:eastAsiaTheme="minorHAnsi"/>
        </w:rPr>
        <w:t xml:space="preserve"> bonded indebtedness limit. Total bonded indebtedness may not exceed </w:t>
      </w:r>
      <w:r w:rsidR="00070F67" w:rsidRPr="006A5F7F">
        <w:rPr>
          <w:rFonts w:cs="Arial"/>
        </w:rPr>
        <w:t>1.25</w:t>
      </w:r>
      <w:r w:rsidR="00630A0F" w:rsidRPr="006A5F7F">
        <w:rPr>
          <w:rFonts w:eastAsiaTheme="minorHAnsi"/>
        </w:rPr>
        <w:t xml:space="preserve"> percent of the taxable assessed valuation of property for </w:t>
      </w:r>
      <w:r w:rsidR="001C13E0">
        <w:rPr>
          <w:rFonts w:cs="Arial"/>
        </w:rPr>
        <w:t>high</w:t>
      </w:r>
      <w:r w:rsidR="001711AD" w:rsidRPr="006A5F7F">
        <w:rPr>
          <w:rFonts w:cs="Arial"/>
        </w:rPr>
        <w:t xml:space="preserve"> </w:t>
      </w:r>
      <w:r w:rsidR="00630A0F" w:rsidRPr="006A5F7F">
        <w:rPr>
          <w:rFonts w:eastAsiaTheme="minorHAnsi"/>
        </w:rPr>
        <w:t xml:space="preserve">school districts. Depending on the type of bond, </w:t>
      </w:r>
      <w:r w:rsidR="00EA7E08" w:rsidRPr="006A5F7F">
        <w:rPr>
          <w:rFonts w:eastAsiaTheme="minorHAnsi"/>
        </w:rPr>
        <w:t>a tax rate levy limit of</w:t>
      </w:r>
      <w:r w:rsidR="00630A0F" w:rsidRPr="006A5F7F">
        <w:rPr>
          <w:rFonts w:eastAsiaTheme="minorHAnsi"/>
        </w:rPr>
        <w:t xml:space="preserve"> </w:t>
      </w:r>
      <w:r w:rsidR="00630A0F" w:rsidRPr="006A5F7F">
        <w:rPr>
          <w:rFonts w:cs="Arial"/>
        </w:rPr>
        <w:t xml:space="preserve">$30 </w:t>
      </w:r>
      <w:r w:rsidR="00630A0F" w:rsidRPr="006A5F7F">
        <w:rPr>
          <w:rFonts w:eastAsiaTheme="minorHAnsi"/>
        </w:rPr>
        <w:t xml:space="preserve">per $100,000 of assessed value for </w:t>
      </w:r>
      <w:r w:rsidR="001C13E0">
        <w:rPr>
          <w:rFonts w:cs="Arial"/>
        </w:rPr>
        <w:t>high</w:t>
      </w:r>
      <w:r w:rsidR="00070F67" w:rsidRPr="006A5F7F">
        <w:rPr>
          <w:rFonts w:cs="Arial"/>
        </w:rPr>
        <w:t xml:space="preserve"> </w:t>
      </w:r>
      <w:r w:rsidR="00630A0F" w:rsidRPr="006A5F7F">
        <w:rPr>
          <w:rFonts w:eastAsiaTheme="minorHAnsi"/>
        </w:rPr>
        <w:t>school districts</w:t>
      </w:r>
      <w:r w:rsidR="00070F67" w:rsidRPr="006A5F7F">
        <w:rPr>
          <w:rFonts w:eastAsiaTheme="minorHAnsi"/>
        </w:rPr>
        <w:t xml:space="preserve"> </w:t>
      </w:r>
      <w:r w:rsidR="00630A0F" w:rsidRPr="006A5F7F">
        <w:rPr>
          <w:rFonts w:eastAsiaTheme="minorHAnsi"/>
        </w:rPr>
        <w:t>may also apply.</w:t>
      </w:r>
    </w:p>
    <w:p w:rsidR="00630A0F" w:rsidRPr="00AE5FE0" w:rsidRDefault="00630A0F" w:rsidP="00AB261E">
      <w:pPr>
        <w:pStyle w:val="Heading2"/>
        <w:spacing w:before="0"/>
        <w:rPr>
          <w:sz w:val="36"/>
          <w:szCs w:val="36"/>
        </w:rPr>
      </w:pPr>
      <w:r w:rsidRPr="00AE5FE0">
        <w:rPr>
          <w:sz w:val="36"/>
          <w:szCs w:val="36"/>
        </w:rPr>
        <w:t>Waiver Number</w:t>
      </w:r>
    </w:p>
    <w:p w:rsidR="00630A0F" w:rsidRDefault="002C4EEF" w:rsidP="007640B0">
      <w:pPr>
        <w:pStyle w:val="NoSpacing"/>
        <w:spacing w:after="120"/>
      </w:pPr>
      <w:r w:rsidRPr="002C4EEF">
        <w:t>8-4</w:t>
      </w:r>
      <w:r>
        <w:t>-2020</w:t>
      </w:r>
    </w:p>
    <w:p w:rsidR="00630A0F" w:rsidRPr="00AE5FE0" w:rsidRDefault="00630A0F" w:rsidP="00AB261E">
      <w:pPr>
        <w:pStyle w:val="Heading2"/>
        <w:spacing w:before="0"/>
        <w:rPr>
          <w:sz w:val="36"/>
          <w:szCs w:val="36"/>
        </w:rPr>
      </w:pPr>
      <w:r w:rsidRPr="00AE5FE0">
        <w:rPr>
          <w:sz w:val="36"/>
          <w:szCs w:val="36"/>
        </w:rPr>
        <w:t>Type of Action</w:t>
      </w:r>
    </w:p>
    <w:p w:rsidR="00630A0F" w:rsidRPr="00870875" w:rsidRDefault="00630A0F" w:rsidP="00B375E4">
      <w:pPr>
        <w:pStyle w:val="NoSpacing"/>
        <w:spacing w:after="240"/>
      </w:pPr>
      <w:r>
        <w:t>Action</w:t>
      </w:r>
      <w:r w:rsidR="005A7C7A">
        <w:t>, Consent</w:t>
      </w:r>
    </w:p>
    <w:p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rsidR="00630A0F" w:rsidRDefault="0003308C" w:rsidP="00B375E4">
      <w:pPr>
        <w:spacing w:after="240"/>
        <w:rPr>
          <w:rFonts w:eastAsiaTheme="minorHAnsi"/>
        </w:rPr>
      </w:pPr>
      <w:r>
        <w:rPr>
          <w:rFonts w:eastAsiaTheme="minorHAnsi"/>
        </w:rPr>
        <w:t xml:space="preserve">The </w:t>
      </w:r>
      <w:r w:rsidRPr="0003308C">
        <w:rPr>
          <w:rFonts w:eastAsiaTheme="minorHAnsi"/>
        </w:rPr>
        <w:t>Centinela Valley Union High</w:t>
      </w:r>
      <w:r w:rsidR="00630A0F">
        <w:rPr>
          <w:rFonts w:eastAsiaTheme="minorHAnsi"/>
        </w:rPr>
        <w:t xml:space="preserve"> </w:t>
      </w:r>
      <w:r w:rsidR="00630A0F" w:rsidRPr="0003308C">
        <w:rPr>
          <w:rFonts w:eastAsiaTheme="minorHAnsi"/>
        </w:rPr>
        <w:t>School District</w:t>
      </w:r>
      <w:r w:rsidR="003E7171" w:rsidRPr="0003308C">
        <w:rPr>
          <w:rFonts w:eastAsiaTheme="minorHAnsi"/>
        </w:rPr>
        <w:t xml:space="preserve"> (</w:t>
      </w:r>
      <w:r w:rsidRPr="0003308C">
        <w:rPr>
          <w:rFonts w:eastAsiaTheme="minorHAnsi"/>
        </w:rPr>
        <w:t>Centinela Valley UHSD</w:t>
      </w:r>
      <w:r w:rsidR="003E7171" w:rsidRPr="0003308C">
        <w:rPr>
          <w:rFonts w:eastAsiaTheme="minorHAnsi"/>
        </w:rPr>
        <w:t>)</w:t>
      </w:r>
      <w:r w:rsidR="00630A0F" w:rsidRPr="0003308C">
        <w:rPr>
          <w:rFonts w:eastAsiaTheme="minorHAnsi"/>
        </w:rPr>
        <w:t xml:space="preserve">’s bonded indebtedness is statutorily limited not to exceed </w:t>
      </w:r>
      <w:r w:rsidR="00630A0F" w:rsidRPr="0003308C">
        <w:rPr>
          <w:rFonts w:cs="Arial"/>
        </w:rPr>
        <w:t xml:space="preserve">1.25 </w:t>
      </w:r>
      <w:r w:rsidR="00630A0F" w:rsidRPr="0003308C">
        <w:rPr>
          <w:rFonts w:eastAsiaTheme="minorHAnsi"/>
        </w:rPr>
        <w:t xml:space="preserve">percent, which prohibits </w:t>
      </w:r>
      <w:r>
        <w:rPr>
          <w:rFonts w:eastAsiaTheme="minorHAnsi"/>
        </w:rPr>
        <w:t>the district</w:t>
      </w:r>
      <w:r w:rsidR="00630A0F" w:rsidRPr="0003308C">
        <w:rPr>
          <w:rFonts w:eastAsiaTheme="minorHAnsi"/>
        </w:rPr>
        <w:t xml:space="preserve"> from proceeding with </w:t>
      </w:r>
      <w:r w:rsidR="00381745" w:rsidRPr="0003308C">
        <w:rPr>
          <w:rFonts w:eastAsiaTheme="minorHAnsi"/>
        </w:rPr>
        <w:t>its</w:t>
      </w:r>
      <w:r w:rsidR="00630A0F" w:rsidRPr="0003308C">
        <w:rPr>
          <w:rFonts w:eastAsiaTheme="minorHAnsi"/>
        </w:rPr>
        <w:t xml:space="preserve"> proposed issuance of $</w:t>
      </w:r>
      <w:r w:rsidRPr="0003308C">
        <w:rPr>
          <w:rFonts w:eastAsiaTheme="minorHAnsi"/>
        </w:rPr>
        <w:t>125</w:t>
      </w:r>
      <w:r w:rsidR="00630A0F" w:rsidRPr="0003308C">
        <w:rPr>
          <w:rFonts w:eastAsiaTheme="minorHAnsi"/>
        </w:rPr>
        <w:t xml:space="preserve"> million from </w:t>
      </w:r>
      <w:r w:rsidRPr="0003308C">
        <w:rPr>
          <w:rFonts w:eastAsiaTheme="minorHAnsi"/>
        </w:rPr>
        <w:t>Measure SP</w:t>
      </w:r>
      <w:r w:rsidR="00630A0F" w:rsidRPr="0003308C">
        <w:rPr>
          <w:rFonts w:eastAsiaTheme="minorHAnsi"/>
        </w:rPr>
        <w:t xml:space="preserve">, which was approved by voters on </w:t>
      </w:r>
      <w:r w:rsidRPr="0003308C">
        <w:rPr>
          <w:rFonts w:eastAsiaTheme="minorHAnsi"/>
        </w:rPr>
        <w:t>March 3, 2020</w:t>
      </w:r>
      <w:r w:rsidR="00630A0F" w:rsidRPr="0003308C">
        <w:rPr>
          <w:rFonts w:eastAsiaTheme="minorHAnsi"/>
        </w:rPr>
        <w:t xml:space="preserve">. </w:t>
      </w:r>
      <w:r w:rsidR="00A44F5D" w:rsidRPr="0003308C">
        <w:rPr>
          <w:rFonts w:eastAsiaTheme="minorHAnsi"/>
        </w:rPr>
        <w:t xml:space="preserve">The </w:t>
      </w:r>
      <w:r w:rsidR="003E7171" w:rsidRPr="0003308C">
        <w:rPr>
          <w:rFonts w:eastAsiaTheme="minorHAnsi"/>
        </w:rPr>
        <w:t>d</w:t>
      </w:r>
      <w:r w:rsidR="00A44F5D" w:rsidRPr="0003308C">
        <w:rPr>
          <w:rFonts w:eastAsiaTheme="minorHAnsi"/>
        </w:rPr>
        <w:t>istrict is requesting that the State Board of Education</w:t>
      </w:r>
      <w:r w:rsidR="00B4214C" w:rsidRPr="0003308C">
        <w:rPr>
          <w:rFonts w:eastAsiaTheme="minorHAnsi"/>
        </w:rPr>
        <w:t xml:space="preserve"> (SBE)</w:t>
      </w:r>
      <w:r w:rsidR="00A44F5D" w:rsidRPr="0003308C">
        <w:rPr>
          <w:rFonts w:eastAsiaTheme="minorHAnsi"/>
        </w:rPr>
        <w:t xml:space="preserve"> authorize the </w:t>
      </w:r>
      <w:r w:rsidR="003E7171" w:rsidRPr="0003308C">
        <w:rPr>
          <w:rFonts w:eastAsiaTheme="minorHAnsi"/>
        </w:rPr>
        <w:t>d</w:t>
      </w:r>
      <w:r w:rsidR="00A44F5D" w:rsidRPr="0003308C">
        <w:rPr>
          <w:rFonts w:eastAsiaTheme="minorHAnsi"/>
        </w:rPr>
        <w:t>istrict to exceed its statutory bonding</w:t>
      </w:r>
      <w:r w:rsidR="00A44F5D" w:rsidRPr="00A44F5D">
        <w:rPr>
          <w:rFonts w:eastAsiaTheme="minorHAnsi"/>
        </w:rPr>
        <w:t xml:space="preserve"> capacity limit to a rate up to</w:t>
      </w:r>
      <w:r w:rsidR="00FB5F4D">
        <w:rPr>
          <w:rFonts w:eastAsiaTheme="minorHAnsi"/>
        </w:rPr>
        <w:t>,</w:t>
      </w:r>
      <w:r w:rsidR="00630A0F">
        <w:rPr>
          <w:rFonts w:eastAsiaTheme="minorHAnsi"/>
        </w:rPr>
        <w:t xml:space="preserve"> but not to exceed, </w:t>
      </w:r>
      <w:r>
        <w:rPr>
          <w:rFonts w:eastAsiaTheme="minorHAnsi" w:cs="Arial"/>
        </w:rPr>
        <w:t>2.28</w:t>
      </w:r>
      <w:r w:rsidR="00630A0F" w:rsidRPr="00D40030">
        <w:rPr>
          <w:rFonts w:eastAsiaTheme="minorHAnsi"/>
        </w:rPr>
        <w:t xml:space="preserve"> percent.</w:t>
      </w:r>
    </w:p>
    <w:p w:rsidR="00630A0F" w:rsidRPr="00AE5FE0" w:rsidRDefault="00630A0F" w:rsidP="00AB261E">
      <w:pPr>
        <w:pStyle w:val="Heading2"/>
        <w:spacing w:before="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C561C9">
        <w:t>California</w:t>
      </w:r>
      <w:r w:rsidR="001311FE" w:rsidRPr="00C561C9">
        <w:rPr>
          <w:i/>
        </w:rPr>
        <w:t xml:space="preserve"> Education</w:t>
      </w:r>
      <w:r w:rsidR="00145EC2" w:rsidRPr="00C561C9">
        <w:rPr>
          <w:i/>
        </w:rPr>
        <w:t xml:space="preserve"> Code</w:t>
      </w:r>
      <w:r w:rsidR="001311FE" w:rsidRPr="00C561C9">
        <w:rPr>
          <w:i/>
        </w:rPr>
        <w:t xml:space="preserve"> </w:t>
      </w:r>
      <w:r w:rsidR="00145EC2" w:rsidRPr="00C561C9">
        <w:t>(</w:t>
      </w:r>
      <w:r w:rsidRPr="00C561C9">
        <w:rPr>
          <w:i/>
        </w:rPr>
        <w:t>EC</w:t>
      </w:r>
      <w:r w:rsidR="00145EC2" w:rsidRPr="00C561C9">
        <w:t>)</w:t>
      </w:r>
      <w:r w:rsidRPr="00C561C9">
        <w:rPr>
          <w:i/>
        </w:rPr>
        <w:t xml:space="preserve"> </w:t>
      </w:r>
      <w:r w:rsidRPr="00C561C9">
        <w:t>Section</w:t>
      </w:r>
      <w:r w:rsidRPr="00FC536B">
        <w:t xml:space="preserve"> 33050</w:t>
      </w:r>
    </w:p>
    <w:p w:rsidR="00630A0F" w:rsidRPr="00AE5FE0" w:rsidRDefault="00630A0F" w:rsidP="00AB261E">
      <w:pPr>
        <w:pStyle w:val="Heading2"/>
        <w:spacing w:before="0"/>
        <w:rPr>
          <w:sz w:val="36"/>
          <w:szCs w:val="36"/>
        </w:rPr>
      </w:pPr>
      <w:r w:rsidRPr="00AE5FE0">
        <w:rPr>
          <w:sz w:val="36"/>
          <w:szCs w:val="36"/>
        </w:rPr>
        <w:t>Recommendation</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rsidR="00630A0F" w:rsidRDefault="00630A0F" w:rsidP="00B375E4">
      <w:pPr>
        <w:spacing w:after="240"/>
        <w:rPr>
          <w:rFonts w:eastAsiaTheme="minorHAnsi"/>
          <w:b/>
        </w:rPr>
      </w:pPr>
      <w:r w:rsidRPr="009E676D">
        <w:rPr>
          <w:rFonts w:eastAsiaTheme="minorHAnsi"/>
        </w:rPr>
        <w:lastRenderedPageBreak/>
        <w:t xml:space="preserve">The California </w:t>
      </w:r>
      <w:r w:rsidRPr="00FC42DE">
        <w:rPr>
          <w:rFonts w:eastAsiaTheme="minorHAnsi"/>
        </w:rPr>
        <w:t>Department of Education (CDE) recommends that the bonded indebtedness limit be waived</w:t>
      </w:r>
      <w:r w:rsidR="00F71F6C" w:rsidRPr="00FC42DE">
        <w:rPr>
          <w:rFonts w:eastAsiaTheme="minorHAnsi"/>
        </w:rPr>
        <w:t xml:space="preserve"> for the district</w:t>
      </w:r>
      <w:r w:rsidR="00B375E4">
        <w:rPr>
          <w:rFonts w:eastAsiaTheme="minorHAnsi"/>
        </w:rPr>
        <w:t xml:space="preserve"> with the following conditions:</w:t>
      </w:r>
      <w:r w:rsidR="00B375E4">
        <w:rPr>
          <w:rFonts w:eastAsiaTheme="minorHAnsi"/>
        </w:rPr>
        <w:br/>
      </w:r>
      <w:r w:rsidRPr="009E676D">
        <w:rPr>
          <w:rFonts w:eastAsiaTheme="minorHAnsi"/>
        </w:rPr>
        <w:t xml:space="preserve">(1) the </w:t>
      </w:r>
      <w:r w:rsidRPr="00FC42DE">
        <w:rPr>
          <w:rFonts w:eastAsiaTheme="minorHAnsi"/>
        </w:rPr>
        <w:t xml:space="preserve">period of request </w:t>
      </w:r>
      <w:r w:rsidR="00FC42DE" w:rsidRPr="00FC42DE">
        <w:rPr>
          <w:rFonts w:eastAsiaTheme="minorHAnsi"/>
        </w:rPr>
        <w:t>do</w:t>
      </w:r>
      <w:r w:rsidR="007640B0">
        <w:rPr>
          <w:rFonts w:eastAsiaTheme="minorHAnsi"/>
        </w:rPr>
        <w:t>es</w:t>
      </w:r>
      <w:r w:rsidRPr="00FC42DE">
        <w:rPr>
          <w:rFonts w:eastAsiaTheme="minorHAnsi"/>
        </w:rPr>
        <w:t xml:space="preserve"> not exceed the rec</w:t>
      </w:r>
      <w:r w:rsidR="00B375E4" w:rsidRPr="00FC42DE">
        <w:rPr>
          <w:rFonts w:eastAsiaTheme="minorHAnsi"/>
        </w:rPr>
        <w:t>ommended period on Attachment 1;</w:t>
      </w:r>
      <w:r w:rsidR="00FC42DE" w:rsidRPr="00FC42DE">
        <w:rPr>
          <w:rFonts w:eastAsiaTheme="minorHAnsi"/>
        </w:rPr>
        <w:t xml:space="preserve"> </w:t>
      </w:r>
      <w:r w:rsidR="00FC42DE" w:rsidRPr="00FC42DE">
        <w:rPr>
          <w:rFonts w:eastAsiaTheme="minorHAnsi"/>
        </w:rPr>
        <w:br/>
      </w:r>
      <w:r w:rsidRPr="00FC42DE">
        <w:rPr>
          <w:rFonts w:eastAsiaTheme="minorHAnsi"/>
        </w:rPr>
        <w:t xml:space="preserve">(2) the total bonded indebtedness does not exceed the recommended new maximum </w:t>
      </w:r>
      <w:r w:rsidR="00B375E4" w:rsidRPr="00FC42DE">
        <w:rPr>
          <w:rFonts w:eastAsiaTheme="minorHAnsi"/>
        </w:rPr>
        <w:t>shown on Attachment 1;</w:t>
      </w:r>
      <w:r w:rsidRPr="00FC42DE">
        <w:rPr>
          <w:rFonts w:eastAsiaTheme="minorHAnsi"/>
        </w:rPr>
        <w:t xml:space="preserve"> (3) the </w:t>
      </w:r>
      <w:r w:rsidR="00902B70" w:rsidRPr="00FC42DE">
        <w:rPr>
          <w:rFonts w:eastAsiaTheme="minorHAnsi"/>
        </w:rPr>
        <w:t>d</w:t>
      </w:r>
      <w:r w:rsidRPr="00FC42DE">
        <w:rPr>
          <w:rFonts w:eastAsiaTheme="minorHAnsi"/>
        </w:rPr>
        <w:t>istrict do</w:t>
      </w:r>
      <w:r w:rsidR="007640B0">
        <w:rPr>
          <w:rFonts w:eastAsiaTheme="minorHAnsi"/>
        </w:rPr>
        <w:t>es</w:t>
      </w:r>
      <w:r w:rsidRPr="00FC42DE">
        <w:rPr>
          <w:rFonts w:eastAsiaTheme="minorHAnsi"/>
        </w:rPr>
        <w:t xml:space="preserve"> no</w:t>
      </w:r>
      <w:r w:rsidR="00B375E4" w:rsidRPr="00FC42DE">
        <w:rPr>
          <w:rFonts w:eastAsiaTheme="minorHAnsi"/>
        </w:rPr>
        <w:t>t exceed the statutory tax rate;</w:t>
      </w:r>
      <w:r w:rsidRPr="00FC42DE">
        <w:rPr>
          <w:rFonts w:eastAsiaTheme="minorHAnsi"/>
        </w:rPr>
        <w:t xml:space="preserve"> (4) the waiver</w:t>
      </w:r>
      <w:r w:rsidR="007640B0">
        <w:rPr>
          <w:rFonts w:eastAsiaTheme="minorHAnsi"/>
        </w:rPr>
        <w:t xml:space="preserve"> is</w:t>
      </w:r>
      <w:r w:rsidRPr="00FC42DE">
        <w:rPr>
          <w:rFonts w:eastAsiaTheme="minorHAnsi"/>
        </w:rPr>
        <w:t xml:space="preserve"> limited to the sale of bonds approved by the voters on the measure</w:t>
      </w:r>
      <w:r w:rsidR="00FC42DE" w:rsidRPr="00FC42DE">
        <w:rPr>
          <w:rFonts w:eastAsiaTheme="minorHAnsi"/>
        </w:rPr>
        <w:t>s</w:t>
      </w:r>
      <w:r w:rsidRPr="00FC42DE">
        <w:rPr>
          <w:rFonts w:eastAsiaTheme="minorHAnsi"/>
        </w:rPr>
        <w:t xml:space="preserve"> note</w:t>
      </w:r>
      <w:r w:rsidR="00B375E4" w:rsidRPr="00FC42DE">
        <w:rPr>
          <w:rFonts w:eastAsiaTheme="minorHAnsi"/>
        </w:rPr>
        <w:t>d on Attachment 1;</w:t>
      </w:r>
      <w:r w:rsidRPr="00FC42DE">
        <w:rPr>
          <w:rFonts w:eastAsiaTheme="minorHAnsi"/>
        </w:rPr>
        <w:t xml:space="preserve"> and (5) the </w:t>
      </w:r>
      <w:r w:rsidR="00902B70" w:rsidRPr="00FC42DE">
        <w:rPr>
          <w:rFonts w:eastAsiaTheme="minorHAnsi"/>
        </w:rPr>
        <w:t>d</w:t>
      </w:r>
      <w:r w:rsidRPr="00FC42DE">
        <w:rPr>
          <w:rFonts w:eastAsiaTheme="minorHAnsi"/>
        </w:rPr>
        <w:t>istrict compl</w:t>
      </w:r>
      <w:r w:rsidR="007640B0">
        <w:rPr>
          <w:rFonts w:eastAsiaTheme="minorHAnsi"/>
        </w:rPr>
        <w:t>ies</w:t>
      </w:r>
      <w:r w:rsidRPr="00FC42DE">
        <w:rPr>
          <w:rFonts w:eastAsiaTheme="minorHAnsi"/>
        </w:rPr>
        <w:t xml:space="preserve"> with the statutory</w:t>
      </w:r>
      <w:r w:rsidRPr="009E676D">
        <w:rPr>
          <w:rFonts w:eastAsiaTheme="minorHAnsi"/>
        </w:rPr>
        <w:t xml:space="preserve"> req</w:t>
      </w:r>
      <w:r w:rsidR="005E54FD">
        <w:rPr>
          <w:rFonts w:eastAsiaTheme="minorHAnsi"/>
        </w:rPr>
        <w:t xml:space="preserve">uirements of Assembly Bill </w:t>
      </w:r>
      <w:r w:rsidRPr="009E676D">
        <w:rPr>
          <w:rFonts w:eastAsiaTheme="minorHAnsi"/>
        </w:rPr>
        <w:t>182 related to school bonds</w:t>
      </w:r>
      <w:r w:rsidR="005C0E2A">
        <w:rPr>
          <w:rFonts w:eastAsiaTheme="minorHAnsi"/>
        </w:rPr>
        <w:t>,</w:t>
      </w:r>
      <w:r w:rsidRPr="009E676D">
        <w:rPr>
          <w:rFonts w:eastAsiaTheme="minorHAnsi"/>
        </w:rPr>
        <w:t xml:space="preserve"> which b</w:t>
      </w:r>
      <w:r>
        <w:rPr>
          <w:rFonts w:eastAsiaTheme="minorHAnsi"/>
        </w:rPr>
        <w:t xml:space="preserve">ecame effective </w:t>
      </w:r>
      <w:r w:rsidR="005C0E2A">
        <w:rPr>
          <w:rFonts w:eastAsiaTheme="minorHAnsi"/>
        </w:rPr>
        <w:t xml:space="preserve">on </w:t>
      </w:r>
      <w:r>
        <w:rPr>
          <w:rFonts w:eastAsiaTheme="minorHAnsi"/>
        </w:rPr>
        <w:t>January 1, 2014</w:t>
      </w:r>
      <w:r w:rsidRPr="006E7C89">
        <w:rPr>
          <w:rFonts w:eastAsiaTheme="minorHAnsi"/>
        </w:rPr>
        <w:t>.</w:t>
      </w:r>
    </w:p>
    <w:p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rsidR="00630A0F" w:rsidRDefault="00630A0F" w:rsidP="004020C0">
      <w:pPr>
        <w:spacing w:after="240"/>
        <w:rPr>
          <w:rFonts w:cs="Arial"/>
        </w:rPr>
      </w:pPr>
      <w:r>
        <w:rPr>
          <w:rFonts w:cs="Arial"/>
        </w:rPr>
        <w:t xml:space="preserve">The California </w:t>
      </w:r>
      <w:r w:rsidRPr="00FC42DE">
        <w:rPr>
          <w:rFonts w:cs="Arial"/>
          <w:i/>
        </w:rPr>
        <w:t>EC</w:t>
      </w:r>
      <w:r w:rsidRPr="00FC42DE">
        <w:rPr>
          <w:rFonts w:cs="Arial"/>
        </w:rPr>
        <w:t xml:space="preserve"> provides limits related to a district’s total bonded indebtedness. </w:t>
      </w:r>
      <w:r w:rsidRPr="00FC42DE">
        <w:rPr>
          <w:rFonts w:cs="Arial"/>
          <w:i/>
        </w:rPr>
        <w:t>EC</w:t>
      </w:r>
      <w:r w:rsidRPr="00FC42DE">
        <w:rPr>
          <w:rFonts w:cs="Arial"/>
        </w:rPr>
        <w:t xml:space="preserve"> sections </w:t>
      </w:r>
      <w:r w:rsidR="00FC42DE" w:rsidRPr="00FC42DE">
        <w:rPr>
          <w:rFonts w:cs="Arial"/>
        </w:rPr>
        <w:t>15102 and 15268 limit an elementary or high school district’s total general obligation (G.O.) bond indebtedness to 1.25 percent</w:t>
      </w:r>
      <w:r w:rsidRPr="00FC42DE">
        <w:rPr>
          <w:rFonts w:cs="Arial"/>
        </w:rPr>
        <w:t>.</w:t>
      </w:r>
    </w:p>
    <w:p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w:t>
      </w:r>
      <w:r w:rsidR="00630A0F" w:rsidRPr="00FC42DE">
        <w:rPr>
          <w:rFonts w:cs="Arial"/>
        </w:rPr>
        <w:t xml:space="preserve">interest on the bond. </w:t>
      </w:r>
      <w:r w:rsidR="00674EB6" w:rsidRPr="00FC42DE">
        <w:rPr>
          <w:rFonts w:cs="Arial"/>
        </w:rPr>
        <w:t xml:space="preserve">For Proposition 39 bonds, </w:t>
      </w:r>
      <w:r w:rsidR="00674EB6" w:rsidRPr="00FC42DE">
        <w:rPr>
          <w:rFonts w:cs="Arial"/>
          <w:i/>
        </w:rPr>
        <w:t>EC</w:t>
      </w:r>
      <w:r w:rsidR="00674EB6" w:rsidRPr="00FC42DE">
        <w:rPr>
          <w:rFonts w:cs="Arial"/>
        </w:rPr>
        <w:t xml:space="preserve"> Section 15268 limits the tax rate levy authorized in each election to $30 per $100,000 of taxable property for </w:t>
      </w:r>
      <w:r w:rsidR="00FC42DE" w:rsidRPr="00FC42DE">
        <w:rPr>
          <w:rFonts w:cs="Arial"/>
        </w:rPr>
        <w:t>elementary and</w:t>
      </w:r>
      <w:r w:rsidR="001C6359" w:rsidRPr="00FC42DE">
        <w:rPr>
          <w:rFonts w:cs="Arial"/>
        </w:rPr>
        <w:t xml:space="preserve"> </w:t>
      </w:r>
      <w:r w:rsidR="00674EB6" w:rsidRPr="00FC42DE">
        <w:rPr>
          <w:rFonts w:cs="Arial"/>
        </w:rPr>
        <w:t>high</w:t>
      </w:r>
      <w:r w:rsidR="00FC42DE" w:rsidRPr="00FC42DE">
        <w:rPr>
          <w:rFonts w:cs="Arial"/>
        </w:rPr>
        <w:t xml:space="preserve"> school districts</w:t>
      </w:r>
      <w:r w:rsidR="00630A0F" w:rsidRPr="00FC42DE">
        <w:rPr>
          <w:rFonts w:cs="Arial"/>
        </w:rPr>
        <w:t>.</w:t>
      </w:r>
    </w:p>
    <w:p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rsidR="00630A0F" w:rsidRDefault="00630A0F" w:rsidP="00B375E4">
      <w:pPr>
        <w:widowControl w:val="0"/>
        <w:numPr>
          <w:ilvl w:val="0"/>
          <w:numId w:val="8"/>
        </w:numPr>
        <w:spacing w:after="120"/>
        <w:rPr>
          <w:rFonts w:cs="Arial"/>
        </w:rPr>
      </w:pPr>
      <w:r>
        <w:rPr>
          <w:rFonts w:cs="Arial"/>
        </w:rPr>
        <w:lastRenderedPageBreak/>
        <w:t>Before the bond sale, adopt a resolution at a public meeting that includes specific criteria, including being publicly noticed on at least two consecutive meeting agendas.</w:t>
      </w:r>
    </w:p>
    <w:p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rsidR="00630A0F" w:rsidRDefault="009E2584" w:rsidP="00FF3987">
      <w:pPr>
        <w:autoSpaceDE w:val="0"/>
        <w:autoSpaceDN w:val="0"/>
        <w:adjustRightInd w:val="0"/>
        <w:spacing w:after="240"/>
        <w:rPr>
          <w:rFonts w:eastAsiaTheme="minorHAnsi" w:cs="Arial"/>
        </w:rPr>
      </w:pPr>
      <w:r w:rsidRPr="009E2584">
        <w:t xml:space="preserve">Through a joint exercise of powers agreement, and pursuant to </w:t>
      </w:r>
      <w:r w:rsidR="00CB3B64" w:rsidRPr="00C561C9">
        <w:t xml:space="preserve">California </w:t>
      </w:r>
      <w:r w:rsidR="00CB3B64" w:rsidRPr="00C561C9">
        <w:rPr>
          <w:i/>
        </w:rPr>
        <w:t>Government Code</w:t>
      </w:r>
      <w:r w:rsidR="00CB3B64" w:rsidRPr="00C561C9">
        <w:t xml:space="preserve"> </w:t>
      </w:r>
      <w:r w:rsidRPr="00C561C9">
        <w:t xml:space="preserve">Section 6500 et. seq., </w:t>
      </w:r>
      <w:r w:rsidR="00CB3B64" w:rsidRPr="00C561C9">
        <w:t xml:space="preserve">the </w:t>
      </w:r>
      <w:r w:rsidRPr="009E2584">
        <w:t xml:space="preserve">Centinela Valley UHSD and </w:t>
      </w:r>
      <w:proofErr w:type="spellStart"/>
      <w:r w:rsidRPr="009E2584">
        <w:t>Wiseburn</w:t>
      </w:r>
      <w:proofErr w:type="spellEnd"/>
      <w:r w:rsidRPr="009E2584">
        <w:t xml:space="preserve"> Unified School District created the Local Public Schools Funding Authority (LPSFA)</w:t>
      </w:r>
      <w:r w:rsidR="007D5FB3">
        <w:t>, a joint powers authority</w:t>
      </w:r>
      <w:r w:rsidRPr="009E2584">
        <w:t>, wherein both school districts were members. On March 3, 2020, voters approved Measure SP</w:t>
      </w:r>
      <w:r>
        <w:t>,</w:t>
      </w:r>
      <w:r w:rsidRPr="009E2584">
        <w:t xml:space="preserve"> authorizing the </w:t>
      </w:r>
      <w:r w:rsidR="007D5FB3">
        <w:t>LPSFA</w:t>
      </w:r>
      <w:r w:rsidRPr="009E2584">
        <w:t xml:space="preserve">, through its School Facilities Improvement District No. 2016-1, to issue $125 million in </w:t>
      </w:r>
      <w:r>
        <w:t xml:space="preserve">G.O. </w:t>
      </w:r>
      <w:r w:rsidRPr="009E2584">
        <w:t>bonds.</w:t>
      </w:r>
      <w:r w:rsidR="007D5FB3">
        <w:t xml:space="preserve"> </w:t>
      </w:r>
      <w:r w:rsidR="006075A8" w:rsidRPr="006075A8">
        <w:t>Centinela Valley UHSD</w:t>
      </w:r>
      <w:r w:rsidR="006075A8" w:rsidRPr="006075A8">
        <w:rPr>
          <w:rFonts w:eastAsiaTheme="minorHAnsi"/>
        </w:rPr>
        <w:t xml:space="preserve"> </w:t>
      </w:r>
      <w:r w:rsidR="00630A0F" w:rsidRPr="00E87030">
        <w:rPr>
          <w:rFonts w:eastAsiaTheme="minorHAnsi" w:cs="Arial"/>
        </w:rPr>
        <w:t xml:space="preserve">wishes to </w:t>
      </w:r>
      <w:r w:rsidR="00630A0F">
        <w:rPr>
          <w:rFonts w:eastAsiaTheme="minorHAnsi" w:cs="Arial"/>
        </w:rPr>
        <w:t>proceed</w:t>
      </w:r>
      <w:r w:rsidR="00630A0F" w:rsidRPr="00CF5C8A">
        <w:rPr>
          <w:rFonts w:eastAsiaTheme="minorHAnsi" w:cs="Arial"/>
        </w:rPr>
        <w:t xml:space="preserve"> </w:t>
      </w:r>
      <w:r w:rsidR="00630A0F" w:rsidRPr="006075A8">
        <w:rPr>
          <w:rFonts w:eastAsiaTheme="minorHAnsi" w:cs="Arial"/>
        </w:rPr>
        <w:t xml:space="preserve">with </w:t>
      </w:r>
      <w:r w:rsidR="006075A8" w:rsidRPr="006075A8">
        <w:rPr>
          <w:rFonts w:eastAsiaTheme="minorHAnsi" w:cs="Arial"/>
        </w:rPr>
        <w:t>its</w:t>
      </w:r>
      <w:r w:rsidR="00FF3987">
        <w:rPr>
          <w:rFonts w:eastAsiaTheme="minorHAnsi" w:cs="Arial"/>
        </w:rPr>
        <w:t xml:space="preserve"> issuance of </w:t>
      </w:r>
      <w:r>
        <w:rPr>
          <w:rFonts w:eastAsiaTheme="minorHAnsi" w:cs="Arial"/>
        </w:rPr>
        <w:t xml:space="preserve">the </w:t>
      </w:r>
      <w:r w:rsidR="00630A0F" w:rsidRPr="00CF5C8A">
        <w:rPr>
          <w:rFonts w:eastAsiaTheme="minorHAnsi" w:cs="Arial"/>
        </w:rPr>
        <w:t>$</w:t>
      </w:r>
      <w:r w:rsidR="00FF3987">
        <w:rPr>
          <w:rFonts w:eastAsiaTheme="minorHAnsi" w:cs="Arial"/>
        </w:rPr>
        <w:t>125</w:t>
      </w:r>
      <w:r w:rsidR="00630A0F" w:rsidRPr="00CF5C8A">
        <w:rPr>
          <w:rFonts w:eastAsiaTheme="minorHAnsi" w:cs="Arial"/>
        </w:rPr>
        <w:t xml:space="preserve"> million</w:t>
      </w:r>
      <w:r w:rsidR="00630A0F" w:rsidRPr="00FF3987">
        <w:rPr>
          <w:rFonts w:eastAsiaTheme="minorHAnsi" w:cs="Arial"/>
        </w:rPr>
        <w:t xml:space="preserve">, which </w:t>
      </w:r>
      <w:r w:rsidR="00FF3987">
        <w:rPr>
          <w:rFonts w:eastAsiaTheme="minorHAnsi" w:cs="Arial"/>
        </w:rPr>
        <w:t>will be used t</w:t>
      </w:r>
      <w:r w:rsidR="00FF3987" w:rsidRPr="00FF3987">
        <w:rPr>
          <w:rFonts w:eastAsiaTheme="minorHAnsi" w:cs="Arial"/>
        </w:rPr>
        <w:t>o provide students</w:t>
      </w:r>
      <w:r w:rsidR="00FF3987">
        <w:rPr>
          <w:rFonts w:eastAsiaTheme="minorHAnsi" w:cs="Arial"/>
        </w:rPr>
        <w:t xml:space="preserve"> with</w:t>
      </w:r>
      <w:r w:rsidR="00FF3987" w:rsidRPr="00FF3987">
        <w:rPr>
          <w:rFonts w:eastAsiaTheme="minorHAnsi" w:cs="Arial"/>
        </w:rPr>
        <w:t xml:space="preserve"> additional opportunities for career and academic success at local schools,</w:t>
      </w:r>
      <w:r w:rsidR="00FF3987">
        <w:rPr>
          <w:rFonts w:eastAsiaTheme="minorHAnsi" w:cs="Arial"/>
        </w:rPr>
        <w:t xml:space="preserve"> </w:t>
      </w:r>
      <w:r w:rsidR="00FF3987" w:rsidRPr="00FF3987">
        <w:rPr>
          <w:rFonts w:eastAsiaTheme="minorHAnsi" w:cs="Arial"/>
        </w:rPr>
        <w:t>including Hawthorne, Lawndale, and Leuzinger High Schools, and to optimize athletic facilities for</w:t>
      </w:r>
      <w:r w:rsidR="00FF3987">
        <w:rPr>
          <w:rFonts w:eastAsiaTheme="minorHAnsi" w:cs="Arial"/>
        </w:rPr>
        <w:t xml:space="preserve"> </w:t>
      </w:r>
      <w:r w:rsidR="00FF3987" w:rsidRPr="00FF3987">
        <w:rPr>
          <w:rFonts w:eastAsiaTheme="minorHAnsi" w:cs="Arial"/>
        </w:rPr>
        <w:t>joint use with local communities</w:t>
      </w:r>
      <w:r w:rsidR="00630A0F" w:rsidRPr="00E87030">
        <w:rPr>
          <w:rFonts w:eastAsiaTheme="minorHAnsi" w:cs="Arial"/>
        </w:rPr>
        <w:t>. The issuance of</w:t>
      </w:r>
      <w:r w:rsidR="00630A0F">
        <w:rPr>
          <w:rFonts w:eastAsiaTheme="minorHAnsi" w:cs="Arial"/>
        </w:rPr>
        <w:t xml:space="preserve"> $</w:t>
      </w:r>
      <w:r w:rsidR="00FF3987">
        <w:rPr>
          <w:rFonts w:eastAsiaTheme="minorHAnsi" w:cs="Arial"/>
        </w:rPr>
        <w:t>125</w:t>
      </w:r>
      <w:r w:rsidR="00630A0F">
        <w:rPr>
          <w:rFonts w:eastAsiaTheme="minorHAnsi" w:cs="Arial"/>
        </w:rPr>
        <w:t xml:space="preserve"> million will </w:t>
      </w:r>
      <w:r w:rsidR="00630A0F" w:rsidRPr="00E87030">
        <w:rPr>
          <w:rFonts w:eastAsiaTheme="minorHAnsi" w:cs="Arial"/>
        </w:rPr>
        <w:t xml:space="preserve">increase </w:t>
      </w:r>
      <w:r w:rsidR="00630A0F">
        <w:rPr>
          <w:rFonts w:eastAsiaTheme="minorHAnsi" w:cs="Arial"/>
        </w:rPr>
        <w:t xml:space="preserve">the </w:t>
      </w:r>
      <w:r w:rsidR="00F71F6C">
        <w:rPr>
          <w:rFonts w:eastAsiaTheme="minorHAnsi" w:cs="Arial"/>
        </w:rPr>
        <w:t>d</w:t>
      </w:r>
      <w:r w:rsidR="00630A0F">
        <w:rPr>
          <w:rFonts w:eastAsiaTheme="minorHAnsi" w:cs="Arial"/>
        </w:rPr>
        <w:t>istrict’s outstanding bonded indebtedness</w:t>
      </w:r>
      <w:r w:rsidR="00630A0F" w:rsidRPr="00A74698">
        <w:rPr>
          <w:rFonts w:eastAsiaTheme="minorHAnsi" w:cs="Arial"/>
        </w:rPr>
        <w:t xml:space="preserve"> limit to a rate up to, but </w:t>
      </w:r>
      <w:r w:rsidR="00630A0F">
        <w:rPr>
          <w:rFonts w:eastAsiaTheme="minorHAnsi" w:cs="Arial"/>
        </w:rPr>
        <w:t>not</w:t>
      </w:r>
      <w:r w:rsidR="00630A0F" w:rsidRPr="00A74698">
        <w:rPr>
          <w:rFonts w:eastAsiaTheme="minorHAnsi" w:cs="Arial"/>
        </w:rPr>
        <w:t xml:space="preserve"> to exceed, </w:t>
      </w:r>
      <w:r w:rsidR="00FF3987">
        <w:rPr>
          <w:rFonts w:eastAsiaTheme="minorHAnsi" w:cs="Arial"/>
        </w:rPr>
        <w:t>2.28</w:t>
      </w:r>
      <w:r w:rsidR="00630A0F" w:rsidRPr="00A74698">
        <w:rPr>
          <w:rFonts w:eastAsiaTheme="minorHAnsi" w:cs="Arial"/>
        </w:rPr>
        <w:t xml:space="preserve"> percent</w:t>
      </w:r>
      <w:r w:rsidR="00630A0F">
        <w:rPr>
          <w:rFonts w:eastAsiaTheme="minorHAnsi" w:cs="Arial"/>
        </w:rPr>
        <w:t>.</w:t>
      </w:r>
    </w:p>
    <w:p w:rsidR="008F1A17" w:rsidRPr="002F14D6" w:rsidRDefault="008F1A17" w:rsidP="00FF3987">
      <w:pPr>
        <w:autoSpaceDE w:val="0"/>
        <w:autoSpaceDN w:val="0"/>
        <w:adjustRightInd w:val="0"/>
        <w:spacing w:after="240"/>
        <w:rPr>
          <w:rFonts w:eastAsiaTheme="minorHAnsi" w:cs="Arial"/>
        </w:rPr>
      </w:pPr>
      <w:r w:rsidRPr="002F14D6">
        <w:rPr>
          <w:rFonts w:eastAsiaTheme="minorHAnsi" w:cs="Arial"/>
        </w:rPr>
        <w:t>The district’s proposed issuance schedule shows that they will fall back under their debt limit in 2034, when their available bonding capacity will be at $19,375,293.</w:t>
      </w:r>
    </w:p>
    <w:p w:rsidR="00D95D62" w:rsidRDefault="00D95D62" w:rsidP="00FF3987">
      <w:pPr>
        <w:autoSpaceDE w:val="0"/>
        <w:autoSpaceDN w:val="0"/>
        <w:adjustRightInd w:val="0"/>
        <w:spacing w:after="240"/>
        <w:rPr>
          <w:rFonts w:eastAsiaTheme="minorHAnsi" w:cs="Arial"/>
        </w:rPr>
      </w:pPr>
      <w:bookmarkStart w:id="1" w:name="_Hlk40274964"/>
      <w:r w:rsidRPr="002F14D6">
        <w:rPr>
          <w:rFonts w:eastAsiaTheme="minorHAnsi" w:cs="Arial"/>
        </w:rPr>
        <w:t>One of the two bargaining units</w:t>
      </w:r>
      <w:r w:rsidR="00F706FA" w:rsidRPr="002F14D6">
        <w:rPr>
          <w:rFonts w:eastAsiaTheme="minorHAnsi" w:cs="Arial"/>
        </w:rPr>
        <w:t xml:space="preserve"> consulted</w:t>
      </w:r>
      <w:r w:rsidRPr="002F14D6">
        <w:rPr>
          <w:rFonts w:eastAsiaTheme="minorHAnsi" w:cs="Arial"/>
        </w:rPr>
        <w:t>, the Centinela Valley Secondary Teachers’ Association</w:t>
      </w:r>
      <w:r w:rsidR="00FC166F" w:rsidRPr="002F14D6">
        <w:rPr>
          <w:rFonts w:eastAsiaTheme="minorHAnsi" w:cs="Arial"/>
        </w:rPr>
        <w:t xml:space="preserve"> (CVSTA)</w:t>
      </w:r>
      <w:r w:rsidRPr="002F14D6">
        <w:rPr>
          <w:rFonts w:eastAsiaTheme="minorHAnsi" w:cs="Arial"/>
        </w:rPr>
        <w:t xml:space="preserve">, </w:t>
      </w:r>
      <w:r w:rsidR="00CF61E4" w:rsidRPr="002F14D6">
        <w:rPr>
          <w:rFonts w:eastAsiaTheme="minorHAnsi" w:cs="Arial"/>
        </w:rPr>
        <w:t>is taking a</w:t>
      </w:r>
      <w:r w:rsidR="00947B8E" w:rsidRPr="002F14D6">
        <w:rPr>
          <w:rFonts w:eastAsiaTheme="minorHAnsi" w:cs="Arial"/>
        </w:rPr>
        <w:t xml:space="preserve"> neutral </w:t>
      </w:r>
      <w:r w:rsidR="00CF61E4" w:rsidRPr="002F14D6">
        <w:rPr>
          <w:rFonts w:eastAsiaTheme="minorHAnsi" w:cs="Arial"/>
        </w:rPr>
        <w:t xml:space="preserve">position </w:t>
      </w:r>
      <w:r w:rsidR="00947B8E" w:rsidRPr="002F14D6">
        <w:rPr>
          <w:rFonts w:eastAsiaTheme="minorHAnsi" w:cs="Arial"/>
        </w:rPr>
        <w:t>to the district applying for this bonded indebtedness waiver</w:t>
      </w:r>
      <w:r w:rsidR="00CF61E4" w:rsidRPr="002F14D6">
        <w:rPr>
          <w:rFonts w:eastAsiaTheme="minorHAnsi" w:cs="Arial"/>
        </w:rPr>
        <w:t>. Th</w:t>
      </w:r>
      <w:r w:rsidR="00FC166F" w:rsidRPr="002F14D6">
        <w:rPr>
          <w:rFonts w:eastAsiaTheme="minorHAnsi" w:cs="Arial"/>
        </w:rPr>
        <w:t xml:space="preserve">is is after the </w:t>
      </w:r>
      <w:r w:rsidR="00CF61E4" w:rsidRPr="002F14D6">
        <w:rPr>
          <w:rFonts w:eastAsiaTheme="minorHAnsi" w:cs="Arial"/>
        </w:rPr>
        <w:t xml:space="preserve">district </w:t>
      </w:r>
      <w:r w:rsidR="00FC166F" w:rsidRPr="002F14D6">
        <w:rPr>
          <w:rFonts w:eastAsiaTheme="minorHAnsi" w:cs="Arial"/>
        </w:rPr>
        <w:t>re-</w:t>
      </w:r>
      <w:r w:rsidR="00CF61E4" w:rsidRPr="002F14D6">
        <w:rPr>
          <w:rFonts w:eastAsiaTheme="minorHAnsi" w:cs="Arial"/>
        </w:rPr>
        <w:t xml:space="preserve">engaged in discussions with the </w:t>
      </w:r>
      <w:r w:rsidR="00736E0E">
        <w:rPr>
          <w:rFonts w:eastAsiaTheme="minorHAnsi" w:cs="Arial"/>
        </w:rPr>
        <w:t>CVSTA</w:t>
      </w:r>
      <w:r w:rsidR="00CF61E4" w:rsidRPr="002F14D6">
        <w:rPr>
          <w:rFonts w:eastAsiaTheme="minorHAnsi" w:cs="Arial"/>
        </w:rPr>
        <w:t xml:space="preserve"> to clarify the </w:t>
      </w:r>
      <w:r w:rsidR="00FC166F" w:rsidRPr="002F14D6">
        <w:rPr>
          <w:rFonts w:eastAsiaTheme="minorHAnsi" w:cs="Arial"/>
        </w:rPr>
        <w:t xml:space="preserve">bargaining </w:t>
      </w:r>
      <w:r w:rsidR="00CF61E4" w:rsidRPr="002F14D6">
        <w:rPr>
          <w:rFonts w:eastAsiaTheme="minorHAnsi" w:cs="Arial"/>
        </w:rPr>
        <w:t xml:space="preserve">unit’s stance, but </w:t>
      </w:r>
      <w:r w:rsidR="00FC166F" w:rsidRPr="002F14D6">
        <w:rPr>
          <w:rFonts w:eastAsiaTheme="minorHAnsi" w:cs="Arial"/>
        </w:rPr>
        <w:t>the CVSTA was</w:t>
      </w:r>
      <w:r w:rsidR="00CF61E4" w:rsidRPr="002F14D6">
        <w:rPr>
          <w:rFonts w:eastAsiaTheme="minorHAnsi" w:cs="Arial"/>
        </w:rPr>
        <w:t xml:space="preserve"> unable to come to an internal consensus</w:t>
      </w:r>
      <w:r w:rsidR="00A75974" w:rsidRPr="002F14D6">
        <w:rPr>
          <w:rFonts w:eastAsiaTheme="minorHAnsi" w:cs="Arial"/>
        </w:rPr>
        <w:t xml:space="preserve"> and is being </w:t>
      </w:r>
      <w:r w:rsidR="004879B0" w:rsidRPr="002F14D6">
        <w:rPr>
          <w:rFonts w:eastAsiaTheme="minorHAnsi" w:cs="Arial"/>
        </w:rPr>
        <w:t>represented as having a neutral position</w:t>
      </w:r>
      <w:r w:rsidRPr="002F14D6">
        <w:rPr>
          <w:rFonts w:eastAsiaTheme="minorHAnsi" w:cs="Arial"/>
        </w:rPr>
        <w:t>.</w:t>
      </w:r>
      <w:bookmarkEnd w:id="1"/>
    </w:p>
    <w:p w:rsidR="00630A0F" w:rsidRPr="00AC3012" w:rsidRDefault="00057EC5" w:rsidP="009216D3">
      <w:pPr>
        <w:pStyle w:val="Heading3"/>
      </w:pPr>
      <w:r w:rsidRPr="00AC3012">
        <w:t>Demographic Information</w:t>
      </w:r>
    </w:p>
    <w:p w:rsidR="00630A0F" w:rsidRDefault="00A83F63" w:rsidP="00630A0F">
      <w:pPr>
        <w:pStyle w:val="NoSpacing"/>
        <w:spacing w:after="240"/>
      </w:pPr>
      <w:r w:rsidRPr="00A83F63">
        <w:t xml:space="preserve">Centinela Valley UHSD </w:t>
      </w:r>
      <w:r w:rsidR="00630A0F" w:rsidRPr="006E7C89">
        <w:t xml:space="preserve">has a student population of </w:t>
      </w:r>
      <w:r w:rsidR="00D71376">
        <w:t>7,473</w:t>
      </w:r>
      <w:r w:rsidR="00630A0F">
        <w:t xml:space="preserve"> and is located in </w:t>
      </w:r>
      <w:r w:rsidR="00D71376">
        <w:t>Los Angeles</w:t>
      </w:r>
      <w:r w:rsidR="00630A0F">
        <w:t xml:space="preserve"> </w:t>
      </w:r>
      <w:r w:rsidR="00630A0F" w:rsidRPr="006E7C89">
        <w:t>County.</w:t>
      </w:r>
    </w:p>
    <w:p w:rsidR="00630A0F" w:rsidRPr="00046BA8" w:rsidRDefault="00D40BC3" w:rsidP="00F1239A">
      <w:pPr>
        <w:pStyle w:val="NoSpacing"/>
        <w:spacing w:after="240"/>
        <w:rPr>
          <w:b/>
        </w:rPr>
      </w:pPr>
      <w:r w:rsidRPr="0038387D">
        <w:rPr>
          <w:b/>
        </w:rPr>
        <w:t xml:space="preserve">Because </w:t>
      </w:r>
      <w:r w:rsidR="0038387D" w:rsidRPr="0038387D">
        <w:rPr>
          <w:b/>
        </w:rPr>
        <w:t>t</w:t>
      </w:r>
      <w:r w:rsidRPr="0038387D">
        <w:rPr>
          <w:b/>
        </w:rPr>
        <w:t>h</w:t>
      </w:r>
      <w:r w:rsidR="007640B0">
        <w:rPr>
          <w:b/>
        </w:rPr>
        <w:t>is is a general waiver</w:t>
      </w:r>
      <w:r w:rsidRPr="0038387D">
        <w:rPr>
          <w:b/>
        </w:rPr>
        <w:t>, i</w:t>
      </w:r>
      <w:r w:rsidR="009D7653" w:rsidRPr="0038387D">
        <w:rPr>
          <w:b/>
        </w:rPr>
        <w:t>f the SBE</w:t>
      </w:r>
      <w:r w:rsidRPr="0038387D">
        <w:rPr>
          <w:b/>
        </w:rPr>
        <w:t xml:space="preserve"> decides to deny the waiver, it must cite one of the seven reasons in </w:t>
      </w:r>
      <w:r w:rsidRPr="0038387D">
        <w:rPr>
          <w:b/>
          <w:i/>
        </w:rPr>
        <w:t>EC</w:t>
      </w:r>
      <w:r w:rsidRPr="0038387D">
        <w:rPr>
          <w:b/>
        </w:rPr>
        <w:t xml:space="preserve"> </w:t>
      </w:r>
      <w:r w:rsidR="00D56BEB" w:rsidRPr="0038387D">
        <w:rPr>
          <w:b/>
        </w:rPr>
        <w:t xml:space="preserve">Section </w:t>
      </w:r>
      <w:r w:rsidRPr="0038387D">
        <w:rPr>
          <w:b/>
        </w:rPr>
        <w:t>33051(a), available on the</w:t>
      </w:r>
      <w:r w:rsidRPr="00046BA8">
        <w:rPr>
          <w:b/>
        </w:rPr>
        <w:t xml:space="preserve"> California Legislation Info</w:t>
      </w:r>
      <w:r w:rsidR="00B375E4">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rsidR="00630A0F" w:rsidRPr="00AE5FE0" w:rsidRDefault="00630A0F" w:rsidP="00AB261E">
      <w:pPr>
        <w:pStyle w:val="Heading2"/>
        <w:spacing w:before="0"/>
        <w:rPr>
          <w:sz w:val="36"/>
          <w:szCs w:val="36"/>
        </w:rPr>
      </w:pPr>
      <w:r w:rsidRPr="00AE5FE0">
        <w:rPr>
          <w:sz w:val="36"/>
          <w:szCs w:val="36"/>
        </w:rPr>
        <w:lastRenderedPageBreak/>
        <w:t>Summary of Previous</w:t>
      </w:r>
      <w:r w:rsidR="00D40BC3" w:rsidRPr="00AE5FE0">
        <w:rPr>
          <w:sz w:val="36"/>
          <w:szCs w:val="36"/>
        </w:rPr>
        <w:t xml:space="preserve"> </w:t>
      </w:r>
      <w:r w:rsidRPr="00AE5FE0">
        <w:rPr>
          <w:sz w:val="36"/>
          <w:szCs w:val="36"/>
        </w:rPr>
        <w:t>State Board of Education Discussion and Action</w:t>
      </w:r>
    </w:p>
    <w:p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rsidR="00630A0F" w:rsidRPr="00AE5FE0" w:rsidRDefault="00630A0F" w:rsidP="00AB261E">
      <w:pPr>
        <w:pStyle w:val="Heading2"/>
        <w:spacing w:before="0"/>
        <w:rPr>
          <w:sz w:val="36"/>
          <w:szCs w:val="36"/>
        </w:rPr>
      </w:pPr>
      <w:r w:rsidRPr="00AE5FE0">
        <w:rPr>
          <w:sz w:val="36"/>
          <w:szCs w:val="36"/>
        </w:rPr>
        <w:t>Fiscal Analysis</w:t>
      </w:r>
    </w:p>
    <w:p w:rsidR="000A51B8" w:rsidRDefault="00630A0F" w:rsidP="000A51B8">
      <w:pPr>
        <w:pStyle w:val="NoSpacing"/>
        <w:spacing w:after="240"/>
        <w:rPr>
          <w:rFonts w:eastAsiaTheme="majorEastAsia" w:cstheme="majorBidi"/>
          <w:b/>
          <w:sz w:val="36"/>
          <w:szCs w:val="36"/>
        </w:rPr>
      </w:pPr>
      <w:r w:rsidRPr="00A33601">
        <w:t>Approval</w:t>
      </w:r>
      <w:r>
        <w:t xml:space="preserve"> of the </w:t>
      </w:r>
      <w:r w:rsidRPr="0038387D">
        <w:t>waiver</w:t>
      </w:r>
      <w:r w:rsidR="0038387D" w:rsidRPr="0038387D">
        <w:t>s</w:t>
      </w:r>
      <w:r w:rsidRPr="0038387D">
        <w:t xml:space="preserve"> would allow the </w:t>
      </w:r>
      <w:r w:rsidR="00693EEB" w:rsidRPr="0038387D">
        <w:t>d</w:t>
      </w:r>
      <w:r w:rsidRPr="0038387D">
        <w:t>istrict to accelerate their</w:t>
      </w:r>
      <w:r w:rsidR="00695713" w:rsidRPr="0038387D">
        <w:t xml:space="preserve"> issuance</w:t>
      </w:r>
      <w:r w:rsidR="00695713">
        <w:t xml:space="preserve"> of voter-</w:t>
      </w:r>
      <w:r w:rsidRPr="00A33601">
        <w:t>a</w:t>
      </w:r>
      <w:r>
        <w:t>pproved bonds</w:t>
      </w:r>
      <w:r w:rsidRPr="00C6026A">
        <w:t>.</w:t>
      </w:r>
    </w:p>
    <w:p w:rsidR="00630A0F" w:rsidRPr="00AE5FE0" w:rsidRDefault="00630A0F" w:rsidP="00AB261E">
      <w:pPr>
        <w:pStyle w:val="Heading2"/>
        <w:spacing w:before="0"/>
        <w:rPr>
          <w:sz w:val="36"/>
          <w:szCs w:val="36"/>
        </w:rPr>
      </w:pPr>
      <w:r w:rsidRPr="00AE5FE0">
        <w:rPr>
          <w:sz w:val="36"/>
          <w:szCs w:val="36"/>
        </w:rPr>
        <w:t>Attachments</w:t>
      </w:r>
    </w:p>
    <w:p w:rsidR="00630A0F" w:rsidRPr="00A21043" w:rsidRDefault="00630A0F" w:rsidP="00F1239A">
      <w:pPr>
        <w:pStyle w:val="ListParagraph"/>
        <w:numPr>
          <w:ilvl w:val="0"/>
          <w:numId w:val="12"/>
        </w:numPr>
        <w:spacing w:after="120"/>
        <w:contextualSpacing w:val="0"/>
      </w:pPr>
      <w:r w:rsidRPr="00CB7285">
        <w:rPr>
          <w:rFonts w:cs="Arial"/>
          <w:b/>
        </w:rPr>
        <w:t>Attachment 1:</w:t>
      </w:r>
      <w:r w:rsidR="00D71376">
        <w:rPr>
          <w:rFonts w:cs="Arial"/>
        </w:rPr>
        <w:t xml:space="preserve"> </w:t>
      </w:r>
      <w:r w:rsidR="0094112C">
        <w:rPr>
          <w:rFonts w:cs="Arial"/>
        </w:rPr>
        <w:t>Summary Table (</w:t>
      </w:r>
      <w:r w:rsidR="007640B0">
        <w:rPr>
          <w:rFonts w:cs="Arial"/>
        </w:rPr>
        <w:t>1</w:t>
      </w:r>
      <w:r w:rsidRPr="00CB7285">
        <w:rPr>
          <w:rFonts w:cs="Arial"/>
        </w:rPr>
        <w:t xml:space="preserve"> page</w:t>
      </w:r>
      <w:r w:rsidRPr="001E3A89">
        <w:rPr>
          <w:rFonts w:cs="Arial"/>
        </w:rPr>
        <w:t>)</w:t>
      </w:r>
    </w:p>
    <w:p w:rsidR="00070F67" w:rsidRDefault="00D71376" w:rsidP="00F1239A">
      <w:pPr>
        <w:pStyle w:val="ListParagraph"/>
        <w:numPr>
          <w:ilvl w:val="0"/>
          <w:numId w:val="12"/>
        </w:numPr>
        <w:spacing w:after="120"/>
        <w:contextualSpacing w:val="0"/>
      </w:pPr>
      <w:r>
        <w:rPr>
          <w:b/>
        </w:rPr>
        <w:t>Attachment 2:</w:t>
      </w:r>
      <w:r w:rsidR="00A21043">
        <w:t xml:space="preserve"> </w:t>
      </w:r>
      <w:r>
        <w:t>Centinela Valley Union High</w:t>
      </w:r>
      <w:r w:rsidR="00A21043" w:rsidRPr="00A33601">
        <w:t xml:space="preserve"> School District</w:t>
      </w:r>
      <w:r w:rsidR="00821F89">
        <w:t xml:space="preserve"> General Waiver Request </w:t>
      </w:r>
      <w:r>
        <w:t>8-4-2020</w:t>
      </w:r>
      <w:r w:rsidR="00A21043">
        <w:t xml:space="preserve"> (</w:t>
      </w:r>
      <w:r w:rsidR="00B66542">
        <w:t>3</w:t>
      </w:r>
      <w:r w:rsidR="00A21043">
        <w:t xml:space="preserve"> pages).</w:t>
      </w:r>
      <w:r w:rsidR="00A21043" w:rsidRPr="002D1A82">
        <w:t xml:space="preserve"> (Original waiver request is signed an</w:t>
      </w:r>
      <w:r w:rsidR="00F1239A">
        <w:t>d on file in the Waiver Office</w:t>
      </w:r>
      <w:r w:rsidR="00B55DA4">
        <w:t>.</w:t>
      </w:r>
      <w:r w:rsidR="007C3B71">
        <w:t>)</w:t>
      </w:r>
    </w:p>
    <w:p w:rsidR="00A21043" w:rsidRDefault="00A21043" w:rsidP="00070F67">
      <w:pPr>
        <w:pStyle w:val="ListParagraph"/>
        <w:numPr>
          <w:ilvl w:val="0"/>
          <w:numId w:val="12"/>
        </w:numPr>
        <w:spacing w:after="120"/>
        <w:contextualSpacing w:val="0"/>
        <w:sectPr w:rsidR="00A21043" w:rsidSect="0091117B">
          <w:type w:val="continuous"/>
          <w:pgSz w:w="12240" w:h="15840"/>
          <w:pgMar w:top="720" w:right="1440" w:bottom="1440" w:left="1440" w:header="720" w:footer="720" w:gutter="0"/>
          <w:cols w:space="720"/>
          <w:docGrid w:linePitch="360"/>
        </w:sectPr>
      </w:pPr>
    </w:p>
    <w:p w:rsidR="00A21043" w:rsidRPr="002D1A82" w:rsidRDefault="00A21043" w:rsidP="00F1239A">
      <w:pPr>
        <w:spacing w:after="240"/>
      </w:pPr>
    </w:p>
    <w:p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w:t>
      </w:r>
      <w:r w:rsidR="006E7C89" w:rsidRPr="00070F67">
        <w:t xml:space="preserve">Section </w:t>
      </w:r>
      <w:r w:rsidR="00070F67" w:rsidRPr="00070F67">
        <w:t>15102</w:t>
      </w:r>
      <w:r w:rsidR="00DC7D23">
        <w:t xml:space="preserve"> et seq.</w:t>
      </w:r>
      <w:r>
        <w:tab/>
      </w:r>
    </w:p>
    <w:tbl>
      <w:tblPr>
        <w:tblStyle w:val="TableGrid"/>
        <w:tblW w:w="4917"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519"/>
        <w:gridCol w:w="1440"/>
        <w:gridCol w:w="2084"/>
        <w:gridCol w:w="2104"/>
        <w:gridCol w:w="2374"/>
        <w:gridCol w:w="2193"/>
        <w:gridCol w:w="2659"/>
      </w:tblGrid>
      <w:tr w:rsidR="00821F89" w:rsidRPr="00C1333C" w:rsidTr="007640B0">
        <w:trPr>
          <w:cantSplit/>
          <w:trHeight w:val="917"/>
          <w:tblHeader/>
          <w:jc w:val="center"/>
        </w:trPr>
        <w:tc>
          <w:tcPr>
            <w:tcW w:w="528"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Waiver Number</w:t>
            </w:r>
          </w:p>
        </w:tc>
        <w:tc>
          <w:tcPr>
            <w:tcW w:w="501"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District</w:t>
            </w:r>
          </w:p>
        </w:tc>
        <w:tc>
          <w:tcPr>
            <w:tcW w:w="725"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Period of Request</w:t>
            </w:r>
          </w:p>
        </w:tc>
        <w:tc>
          <w:tcPr>
            <w:tcW w:w="732" w:type="pct"/>
            <w:tcBorders>
              <w:bottom w:val="single" w:sz="4" w:space="0" w:color="auto"/>
            </w:tcBorders>
            <w:shd w:val="clear" w:color="auto" w:fill="D9D9D9" w:themeFill="background1" w:themeFillShade="D9"/>
            <w:vAlign w:val="center"/>
          </w:tcPr>
          <w:p w:rsidR="00553084" w:rsidRPr="00CD7BCF" w:rsidRDefault="00553084" w:rsidP="00CD7BCF">
            <w:pPr>
              <w:jc w:val="center"/>
              <w:rPr>
                <w:b/>
              </w:rPr>
            </w:pPr>
            <w:r w:rsidRPr="00CD7BCF">
              <w:rPr>
                <w:b/>
              </w:rPr>
              <w:t>District’s Request</w:t>
            </w:r>
          </w:p>
        </w:tc>
        <w:tc>
          <w:tcPr>
            <w:tcW w:w="826" w:type="pct"/>
            <w:tcBorders>
              <w:bottom w:val="single" w:sz="4" w:space="0" w:color="auto"/>
            </w:tcBorders>
            <w:shd w:val="clear" w:color="auto" w:fill="D9D9D9" w:themeFill="background1" w:themeFillShade="D9"/>
            <w:vAlign w:val="center"/>
          </w:tcPr>
          <w:p w:rsidR="00553084" w:rsidRPr="00CD7BCF" w:rsidRDefault="00553084" w:rsidP="00553084">
            <w:pPr>
              <w:jc w:val="center"/>
              <w:rPr>
                <w:b/>
              </w:rPr>
            </w:pPr>
            <w:r w:rsidRPr="00CD7BCF">
              <w:rPr>
                <w:b/>
              </w:rPr>
              <w:t>CDE Recommended</w:t>
            </w:r>
          </w:p>
        </w:tc>
        <w:tc>
          <w:tcPr>
            <w:tcW w:w="763" w:type="pct"/>
            <w:tcBorders>
              <w:bottom w:val="single" w:sz="4" w:space="0" w:color="auto"/>
            </w:tcBorders>
            <w:shd w:val="clear" w:color="auto" w:fill="D9D9D9" w:themeFill="background1" w:themeFillShade="D9"/>
            <w:vAlign w:val="center"/>
          </w:tcPr>
          <w:p w:rsidR="00553084" w:rsidRPr="00CD7BCF" w:rsidRDefault="00553084" w:rsidP="00567214">
            <w:pPr>
              <w:jc w:val="center"/>
              <w:rPr>
                <w:b/>
              </w:rPr>
            </w:pPr>
            <w:r w:rsidRPr="00CD7BCF">
              <w:rPr>
                <w:b/>
              </w:rPr>
              <w:t>Bargaining Unit Representative</w:t>
            </w:r>
            <w:r>
              <w:rPr>
                <w:b/>
              </w:rPr>
              <w:t>s</w:t>
            </w:r>
          </w:p>
        </w:tc>
        <w:tc>
          <w:tcPr>
            <w:tcW w:w="925" w:type="pct"/>
            <w:tcBorders>
              <w:bottom w:val="single" w:sz="4" w:space="0" w:color="auto"/>
            </w:tcBorders>
            <w:shd w:val="clear" w:color="auto" w:fill="D9D9D9" w:themeFill="background1" w:themeFillShade="D9"/>
            <w:vAlign w:val="center"/>
          </w:tcPr>
          <w:p w:rsidR="00553084" w:rsidRPr="00CD7BCF" w:rsidRDefault="00FE28A2" w:rsidP="00CD7BCF">
            <w:pPr>
              <w:jc w:val="center"/>
              <w:rPr>
                <w:b/>
              </w:rPr>
            </w:pPr>
            <w:r w:rsidRPr="00FE28A2">
              <w:rPr>
                <w:b/>
              </w:rPr>
              <w:t>Local Board, Public Hearing, and Advisory Committee Approval</w:t>
            </w:r>
          </w:p>
        </w:tc>
      </w:tr>
      <w:tr w:rsidR="00821F89" w:rsidRPr="00C1333C" w:rsidTr="007640B0">
        <w:trPr>
          <w:cantSplit/>
          <w:trHeight w:val="6128"/>
          <w:jc w:val="center"/>
        </w:trPr>
        <w:tc>
          <w:tcPr>
            <w:tcW w:w="528" w:type="pct"/>
            <w:shd w:val="clear" w:color="auto" w:fill="auto"/>
          </w:tcPr>
          <w:p w:rsidR="007A11A5" w:rsidRPr="00CD7BCF" w:rsidRDefault="00821F89" w:rsidP="007A11A5">
            <w:pPr>
              <w:jc w:val="center"/>
            </w:pPr>
            <w:r w:rsidRPr="00821F89">
              <w:t>8-4-2020</w:t>
            </w:r>
          </w:p>
        </w:tc>
        <w:tc>
          <w:tcPr>
            <w:tcW w:w="501" w:type="pct"/>
            <w:shd w:val="clear" w:color="auto" w:fill="auto"/>
          </w:tcPr>
          <w:p w:rsidR="007A11A5" w:rsidRPr="00CD7BCF" w:rsidRDefault="00FB34C6" w:rsidP="007A11A5">
            <w:pPr>
              <w:jc w:val="center"/>
            </w:pPr>
            <w:r w:rsidRPr="00FB34C6">
              <w:t>Centinela Valley Union High School District</w:t>
            </w:r>
          </w:p>
        </w:tc>
        <w:tc>
          <w:tcPr>
            <w:tcW w:w="725" w:type="pct"/>
          </w:tcPr>
          <w:p w:rsidR="007A11A5" w:rsidRPr="00CD7BCF" w:rsidRDefault="007A11A5" w:rsidP="007A11A5">
            <w:pPr>
              <w:spacing w:after="240"/>
              <w:jc w:val="center"/>
            </w:pPr>
            <w:r w:rsidRPr="00CD7BCF">
              <w:rPr>
                <w:b/>
              </w:rPr>
              <w:t>Requested:</w:t>
            </w:r>
            <w:r>
              <w:rPr>
                <w:b/>
              </w:rPr>
              <w:br/>
            </w:r>
            <w:r w:rsidR="001E3A89" w:rsidRPr="001E3A89">
              <w:t>4/23/2020</w:t>
            </w:r>
            <w:r w:rsidR="001E3A89">
              <w:t xml:space="preserve"> to </w:t>
            </w:r>
            <w:r w:rsidR="001E3A89" w:rsidRPr="001E3A89">
              <w:t>8/1/2034</w:t>
            </w:r>
          </w:p>
          <w:p w:rsidR="007A11A5" w:rsidRPr="00057EC5" w:rsidRDefault="007A11A5" w:rsidP="001E3A89">
            <w:pPr>
              <w:pStyle w:val="NoSpacing"/>
              <w:spacing w:after="240"/>
              <w:jc w:val="center"/>
              <w:rPr>
                <w:b/>
              </w:rPr>
            </w:pPr>
            <w:r w:rsidRPr="002B4230">
              <w:rPr>
                <w:b/>
              </w:rPr>
              <w:t>Recommended:</w:t>
            </w:r>
            <w:r w:rsidRPr="00544802">
              <w:rPr>
                <w:highlight w:val="yellow"/>
              </w:rPr>
              <w:t xml:space="preserve"> </w:t>
            </w:r>
            <w:r w:rsidR="001E3A89">
              <w:t>7/9</w:t>
            </w:r>
            <w:r w:rsidR="001E3A89" w:rsidRPr="001E3A89">
              <w:t>/2020 to 8/1/2034</w:t>
            </w:r>
          </w:p>
        </w:tc>
        <w:tc>
          <w:tcPr>
            <w:tcW w:w="732" w:type="pct"/>
          </w:tcPr>
          <w:p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1E3A89">
              <w:t>2.28</w:t>
            </w:r>
            <w:r w:rsidRPr="00EE220B">
              <w:t>%</w:t>
            </w:r>
          </w:p>
          <w:p w:rsidR="007A11A5" w:rsidRPr="00CD7BCF" w:rsidRDefault="007A11A5" w:rsidP="001E3A89">
            <w:pPr>
              <w:spacing w:after="240"/>
              <w:jc w:val="center"/>
            </w:pPr>
            <w:r w:rsidRPr="002B4230">
              <w:rPr>
                <w:b/>
              </w:rPr>
              <w:t>Recommended</w:t>
            </w:r>
            <w:r w:rsidRPr="00EE220B">
              <w:rPr>
                <w:b/>
              </w:rPr>
              <w:t>:</w:t>
            </w:r>
            <w:r>
              <w:rPr>
                <w:b/>
              </w:rPr>
              <w:br/>
            </w:r>
            <w:r w:rsidRPr="00EE220B">
              <w:t>Debt Limit</w:t>
            </w:r>
            <w:r>
              <w:t>:</w:t>
            </w:r>
            <w:r w:rsidRPr="00EE220B">
              <w:t xml:space="preserve"> </w:t>
            </w:r>
            <w:r w:rsidR="001E3A89">
              <w:t>2.28</w:t>
            </w:r>
            <w:r w:rsidRPr="00EE220B">
              <w:t>%</w:t>
            </w:r>
          </w:p>
        </w:tc>
        <w:tc>
          <w:tcPr>
            <w:tcW w:w="826" w:type="pct"/>
          </w:tcPr>
          <w:p w:rsidR="007A11A5" w:rsidRPr="00CD7BCF" w:rsidRDefault="007A11A5" w:rsidP="007A11A5">
            <w:pPr>
              <w:spacing w:after="240"/>
              <w:jc w:val="center"/>
            </w:pPr>
            <w:r w:rsidRPr="00CD7BCF">
              <w:t xml:space="preserve">Debt Limit </w:t>
            </w:r>
            <w:r w:rsidR="001E3A89">
              <w:t>2.28</w:t>
            </w:r>
            <w:r w:rsidRPr="00CD7BCF">
              <w:t>%</w:t>
            </w:r>
          </w:p>
          <w:p w:rsidR="007A11A5" w:rsidRPr="001E3A89" w:rsidRDefault="008F4804" w:rsidP="007A11A5">
            <w:pPr>
              <w:spacing w:after="240"/>
              <w:jc w:val="center"/>
            </w:pPr>
            <w:r>
              <w:t xml:space="preserve">Limited to sale of </w:t>
            </w:r>
            <w:r w:rsidRPr="001E3A89">
              <w:t>b</w:t>
            </w:r>
            <w:r w:rsidR="007A11A5" w:rsidRPr="001E3A89">
              <w:t xml:space="preserve">onds applicable to </w:t>
            </w:r>
            <w:r w:rsidR="001E3A89" w:rsidRPr="001E3A89">
              <w:t>Measure SP</w:t>
            </w:r>
            <w:r w:rsidRPr="001E3A89">
              <w:t>, approved by v</w:t>
            </w:r>
            <w:r w:rsidR="00FE7884">
              <w:t>oters in March 2020</w:t>
            </w:r>
          </w:p>
          <w:p w:rsidR="007A11A5" w:rsidRPr="00CD7BCF" w:rsidRDefault="007A11A5" w:rsidP="007A11A5">
            <w:pPr>
              <w:spacing w:after="240"/>
              <w:jc w:val="center"/>
            </w:pPr>
            <w:r w:rsidRPr="001E3A89">
              <w:t xml:space="preserve">Tax Rate </w:t>
            </w:r>
            <w:r w:rsidR="001E3A89" w:rsidRPr="001E3A89">
              <w:t>$30</w:t>
            </w:r>
            <w:r w:rsidRPr="001E3A89">
              <w:t xml:space="preserve"> per $100,000 (authorization approved under Proposition 39)</w:t>
            </w:r>
          </w:p>
        </w:tc>
        <w:tc>
          <w:tcPr>
            <w:tcW w:w="763" w:type="pct"/>
            <w:shd w:val="clear" w:color="auto" w:fill="auto"/>
          </w:tcPr>
          <w:p w:rsidR="007A11A5" w:rsidRDefault="003E1E4D" w:rsidP="003E1E4D">
            <w:pPr>
              <w:spacing w:after="240"/>
              <w:jc w:val="center"/>
            </w:pPr>
            <w:r w:rsidRPr="003E1E4D">
              <w:t>Californi</w:t>
            </w:r>
            <w:r>
              <w:t>a Schools Employees Association</w:t>
            </w:r>
            <w:r>
              <w:br/>
            </w:r>
            <w:proofErr w:type="spellStart"/>
            <w:r w:rsidRPr="003E1E4D">
              <w:t>Kilika</w:t>
            </w:r>
            <w:proofErr w:type="spellEnd"/>
            <w:r w:rsidRPr="003E1E4D">
              <w:t xml:space="preserve"> </w:t>
            </w:r>
            <w:proofErr w:type="spellStart"/>
            <w:r w:rsidRPr="003E1E4D">
              <w:t>Wedermyer</w:t>
            </w:r>
            <w:proofErr w:type="spellEnd"/>
            <w:r>
              <w:t>,</w:t>
            </w:r>
            <w:r w:rsidRPr="003E1E4D">
              <w:t xml:space="preserve"> Acting President </w:t>
            </w:r>
            <w:r w:rsidRPr="003E1E4D">
              <w:rPr>
                <w:b/>
              </w:rPr>
              <w:t>Support</w:t>
            </w:r>
          </w:p>
          <w:p w:rsidR="003E1E4D" w:rsidRPr="009A6715" w:rsidRDefault="003E1E4D" w:rsidP="00CF61E4">
            <w:pPr>
              <w:spacing w:after="240"/>
              <w:jc w:val="center"/>
              <w:rPr>
                <w:b/>
              </w:rPr>
            </w:pPr>
            <w:r w:rsidRPr="003E1E4D">
              <w:t xml:space="preserve">Centinela Valley Secondary Teachers’ Association </w:t>
            </w:r>
            <w:proofErr w:type="spellStart"/>
            <w:r>
              <w:t>Temisha</w:t>
            </w:r>
            <w:proofErr w:type="spellEnd"/>
            <w:r>
              <w:t xml:space="preserve"> </w:t>
            </w:r>
            <w:proofErr w:type="spellStart"/>
            <w:r>
              <w:t>Brame</w:t>
            </w:r>
            <w:proofErr w:type="spellEnd"/>
            <w:r>
              <w:t>, President</w:t>
            </w:r>
            <w:r>
              <w:br/>
            </w:r>
            <w:r w:rsidR="00CF61E4">
              <w:rPr>
                <w:b/>
              </w:rPr>
              <w:t>Neutral</w:t>
            </w:r>
          </w:p>
        </w:tc>
        <w:tc>
          <w:tcPr>
            <w:tcW w:w="925" w:type="pct"/>
            <w:shd w:val="clear" w:color="auto" w:fill="auto"/>
          </w:tcPr>
          <w:p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D8390A">
              <w:t xml:space="preserve"> </w:t>
            </w:r>
            <w:r w:rsidR="00D8390A" w:rsidRPr="00D8390A">
              <w:rPr>
                <w:rFonts w:cs="Arial"/>
                <w:snapToGrid w:val="0"/>
              </w:rPr>
              <w:t>4/2</w:t>
            </w:r>
            <w:r w:rsidR="00D8390A">
              <w:rPr>
                <w:rFonts w:cs="Arial"/>
                <w:snapToGrid w:val="0"/>
              </w:rPr>
              <w:t>1</w:t>
            </w:r>
            <w:r w:rsidR="00D8390A" w:rsidRPr="00D8390A">
              <w:rPr>
                <w:rFonts w:cs="Arial"/>
                <w:snapToGrid w:val="0"/>
              </w:rPr>
              <w:t>/2020</w:t>
            </w:r>
          </w:p>
          <w:p w:rsidR="007A11A5" w:rsidRPr="00EE220B" w:rsidRDefault="007A11A5" w:rsidP="007A11A5">
            <w:pPr>
              <w:widowControl w:val="0"/>
              <w:spacing w:after="240"/>
              <w:jc w:val="center"/>
              <w:rPr>
                <w:rFonts w:cs="Arial"/>
                <w:snapToGrid w:val="0"/>
              </w:rPr>
            </w:pPr>
            <w:r>
              <w:rPr>
                <w:rFonts w:cs="Arial"/>
                <w:snapToGrid w:val="0"/>
              </w:rPr>
              <w:t>Public Hearing Date:</w:t>
            </w:r>
            <w:r w:rsidR="00D8390A">
              <w:t xml:space="preserve"> </w:t>
            </w:r>
            <w:r w:rsidR="00D8390A" w:rsidRPr="00D8390A">
              <w:rPr>
                <w:rFonts w:cs="Arial"/>
                <w:snapToGrid w:val="0"/>
              </w:rPr>
              <w:t>4/21/2020</w:t>
            </w:r>
          </w:p>
          <w:p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D8390A">
              <w:t xml:space="preserve"> </w:t>
            </w:r>
            <w:r w:rsidR="00D8390A" w:rsidRPr="00D8390A">
              <w:rPr>
                <w:rFonts w:cs="Arial"/>
                <w:snapToGrid w:val="0"/>
              </w:rPr>
              <w:t>The District advertised notice of the public hearing in the local newspaper, the Daily Breeze</w:t>
            </w:r>
          </w:p>
          <w:p w:rsidR="007A11A5" w:rsidRPr="00CD7BCF" w:rsidRDefault="00D8390A" w:rsidP="00D8390A">
            <w:pPr>
              <w:spacing w:after="240"/>
              <w:jc w:val="center"/>
              <w:rPr>
                <w:b/>
              </w:rPr>
            </w:pPr>
            <w:r w:rsidRPr="00D8390A">
              <w:rPr>
                <w:rFonts w:cs="Arial"/>
              </w:rPr>
              <w:t>School Site Councils from Hawthorne High School, Leuzinger High School, and Lawndale High School</w:t>
            </w:r>
            <w:r w:rsidR="007A11A5">
              <w:rPr>
                <w:rFonts w:cs="Arial"/>
                <w:highlight w:val="yellow"/>
              </w:rPr>
              <w:br/>
            </w:r>
            <w:r w:rsidRPr="00D8390A">
              <w:rPr>
                <w:rFonts w:cs="Arial"/>
                <w:snapToGrid w:val="0"/>
              </w:rPr>
              <w:t>4/22/2020</w:t>
            </w:r>
            <w:r w:rsidR="007A11A5">
              <w:rPr>
                <w:rFonts w:cs="Arial"/>
                <w:snapToGrid w:val="0"/>
                <w:highlight w:val="yellow"/>
              </w:rPr>
              <w:br/>
            </w:r>
            <w:r>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821F89" w:rsidP="00CF5C8A">
      <w:pPr>
        <w:tabs>
          <w:tab w:val="center" w:pos="4680"/>
          <w:tab w:val="right" w:pos="9360"/>
        </w:tabs>
        <w:ind w:left="1620" w:hanging="1620"/>
        <w:rPr>
          <w:szCs w:val="16"/>
        </w:rPr>
      </w:pPr>
      <w:r>
        <w:t>May 5, 2020</w:t>
      </w:r>
    </w:p>
    <w:p w:rsidR="00223112" w:rsidRDefault="00223112" w:rsidP="00517C00">
      <w:pPr>
        <w:spacing w:after="360"/>
        <w:sectPr w:rsidR="00223112" w:rsidSect="005E6770">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rsidR="00190775" w:rsidRPr="00CF27EF" w:rsidRDefault="00FB1610" w:rsidP="00D56BEB">
      <w:pPr>
        <w:pStyle w:val="Heading2"/>
        <w:spacing w:before="120" w:after="240"/>
        <w:rPr>
          <w:sz w:val="40"/>
          <w:szCs w:val="40"/>
        </w:rPr>
      </w:pPr>
      <w:r w:rsidRPr="00CF27EF">
        <w:rPr>
          <w:sz w:val="40"/>
          <w:szCs w:val="40"/>
        </w:rPr>
        <w:lastRenderedPageBreak/>
        <w:t xml:space="preserve">Attachment 2: </w:t>
      </w:r>
      <w:r w:rsidR="00E95BAD" w:rsidRPr="00E95BAD">
        <w:rPr>
          <w:rStyle w:val="Heading2Char"/>
          <w:b/>
          <w:sz w:val="40"/>
          <w:szCs w:val="40"/>
        </w:rPr>
        <w:t>Centinela Valley Union High</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w:t>
      </w:r>
      <w:r w:rsidRPr="00E95BAD">
        <w:rPr>
          <w:rStyle w:val="Heading2Char"/>
          <w:b/>
          <w:sz w:val="40"/>
          <w:szCs w:val="40"/>
        </w:rPr>
        <w:t xml:space="preserve">Request </w:t>
      </w:r>
      <w:r w:rsidR="00E95BAD" w:rsidRPr="00E95BAD">
        <w:rPr>
          <w:rStyle w:val="Heading2Char"/>
          <w:b/>
          <w:sz w:val="40"/>
          <w:szCs w:val="40"/>
        </w:rPr>
        <w:t>8-4-</w:t>
      </w:r>
      <w:r w:rsidR="00E95BAD">
        <w:rPr>
          <w:rStyle w:val="Heading2Char"/>
          <w:b/>
          <w:sz w:val="40"/>
          <w:szCs w:val="40"/>
        </w:rPr>
        <w:t>2020</w:t>
      </w:r>
    </w:p>
    <w:p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190775" w:rsidRPr="00BC7E62" w:rsidRDefault="008E3BD5" w:rsidP="00505C17">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E95BAD" w:rsidRPr="00E95BAD">
        <w:t xml:space="preserve"> </w:t>
      </w:r>
      <w:r w:rsidR="00E95BAD" w:rsidRPr="00E95BAD">
        <w:rPr>
          <w:spacing w:val="2"/>
          <w:w w:val="105"/>
        </w:rPr>
        <w:t>1964352</w:t>
      </w:r>
    </w:p>
    <w:p w:rsidR="008E3BD5" w:rsidRPr="00BC7E62" w:rsidRDefault="008E3BD5" w:rsidP="00505C17">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E95BAD" w:rsidRPr="00E95BAD">
        <w:t xml:space="preserve"> </w:t>
      </w:r>
      <w:r w:rsidR="00E95BAD" w:rsidRPr="00E95BAD">
        <w:rPr>
          <w:w w:val="105"/>
        </w:rPr>
        <w:t>8-4-2020</w:t>
      </w:r>
    </w:p>
    <w:p w:rsidR="008E3BD5" w:rsidRPr="00BC7E62" w:rsidRDefault="008E3BD5" w:rsidP="00505C17">
      <w:pPr>
        <w:pStyle w:val="NoSpacing"/>
        <w:spacing w:after="240"/>
        <w:rPr>
          <w:w w:val="105"/>
        </w:rPr>
      </w:pPr>
      <w:r w:rsidRPr="00BC7E62">
        <w:rPr>
          <w:w w:val="105"/>
        </w:rPr>
        <w:t>Active</w:t>
      </w:r>
      <w:r w:rsidRPr="00BC7E62">
        <w:rPr>
          <w:spacing w:val="-4"/>
          <w:w w:val="105"/>
        </w:rPr>
        <w:t xml:space="preserve"> </w:t>
      </w:r>
      <w:r w:rsidRPr="00BC7E62">
        <w:rPr>
          <w:w w:val="105"/>
        </w:rPr>
        <w:t>Year:</w:t>
      </w:r>
      <w:r w:rsidR="00E95BAD">
        <w:rPr>
          <w:w w:val="105"/>
        </w:rPr>
        <w:t xml:space="preserve"> 2020</w:t>
      </w:r>
    </w:p>
    <w:p w:rsidR="008E3BD5" w:rsidRPr="00BC7E62" w:rsidRDefault="008E3BD5" w:rsidP="00505C17">
      <w:pPr>
        <w:kinsoku w:val="0"/>
        <w:overflowPunct w:val="0"/>
        <w:autoSpaceDE w:val="0"/>
        <w:autoSpaceDN w:val="0"/>
        <w:adjustRightInd w:val="0"/>
        <w:spacing w:after="240"/>
        <w:ind w:left="14"/>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E95BAD" w:rsidRPr="00E95BAD">
        <w:t xml:space="preserve"> </w:t>
      </w:r>
      <w:r w:rsidR="00E95BAD">
        <w:rPr>
          <w:rFonts w:eastAsiaTheme="minorHAnsi" w:cs="Arial"/>
          <w:w w:val="105"/>
        </w:rPr>
        <w:t xml:space="preserve">4/23/2020 4:28:52 </w:t>
      </w:r>
      <w:r w:rsidR="00E95BAD" w:rsidRPr="00E95BAD">
        <w:rPr>
          <w:rFonts w:eastAsiaTheme="minorHAnsi" w:cs="Arial"/>
          <w:w w:val="105"/>
        </w:rPr>
        <w:t>PM</w:t>
      </w:r>
    </w:p>
    <w:p w:rsidR="008E3BD5" w:rsidRPr="00BC7E62" w:rsidRDefault="008E3BD5" w:rsidP="00505C17">
      <w:pPr>
        <w:kinsoku w:val="0"/>
        <w:overflowPunct w:val="0"/>
        <w:autoSpaceDE w:val="0"/>
        <w:autoSpaceDN w:val="0"/>
        <w:adjustRightInd w:val="0"/>
        <w:spacing w:before="40"/>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w:t>
      </w:r>
      <w:r w:rsidR="00381745">
        <w:rPr>
          <w:rFonts w:eastAsiaTheme="minorHAnsi" w:cs="Arial"/>
          <w:w w:val="105"/>
        </w:rPr>
        <w:t>y:</w:t>
      </w:r>
      <w:r w:rsidR="00E95BAD" w:rsidRPr="00E95BAD">
        <w:t xml:space="preserve"> </w:t>
      </w:r>
      <w:r w:rsidR="00E95BAD" w:rsidRPr="00E95BAD">
        <w:rPr>
          <w:rFonts w:eastAsiaTheme="minorHAnsi" w:cs="Arial"/>
          <w:w w:val="105"/>
        </w:rPr>
        <w:t>Cen</w:t>
      </w:r>
      <w:r w:rsidR="00E95BAD">
        <w:rPr>
          <w:rFonts w:eastAsiaTheme="minorHAnsi" w:cs="Arial"/>
          <w:w w:val="105"/>
        </w:rPr>
        <w:t>tinela Valley Union High</w:t>
      </w:r>
    </w:p>
    <w:p w:rsidR="008E3BD5" w:rsidRDefault="008E3BD5" w:rsidP="00505C17">
      <w:pPr>
        <w:kinsoku w:val="0"/>
        <w:overflowPunct w:val="0"/>
        <w:autoSpaceDE w:val="0"/>
        <w:autoSpaceDN w:val="0"/>
        <w:adjustRightInd w:val="0"/>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w:t>
      </w:r>
      <w:r w:rsidR="00E95BAD">
        <w:rPr>
          <w:rFonts w:eastAsiaTheme="minorHAnsi" w:cs="Arial"/>
          <w:w w:val="110"/>
        </w:rPr>
        <w:t xml:space="preserve">s:14901 </w:t>
      </w:r>
      <w:r w:rsidR="00E95BAD" w:rsidRPr="00E95BAD">
        <w:rPr>
          <w:rFonts w:eastAsiaTheme="minorHAnsi" w:cs="Arial"/>
          <w:w w:val="110"/>
        </w:rPr>
        <w:t>South</w:t>
      </w:r>
      <w:r w:rsidR="00E95BAD">
        <w:rPr>
          <w:w w:val="105"/>
        </w:rPr>
        <w:t xml:space="preserve"> </w:t>
      </w:r>
      <w:r w:rsidR="00E95BAD" w:rsidRPr="00E95BAD">
        <w:rPr>
          <w:rFonts w:eastAsiaTheme="minorHAnsi" w:cs="Arial"/>
          <w:w w:val="110"/>
        </w:rPr>
        <w:t>Inglewood</w:t>
      </w:r>
      <w:r w:rsidR="00E95BAD" w:rsidRPr="00E95BAD">
        <w:rPr>
          <w:w w:val="105"/>
        </w:rPr>
        <w:t xml:space="preserve"> </w:t>
      </w:r>
      <w:r w:rsidR="00E95BAD" w:rsidRPr="00E95BAD">
        <w:rPr>
          <w:rFonts w:eastAsiaTheme="minorHAnsi" w:cs="Arial"/>
          <w:w w:val="110"/>
        </w:rPr>
        <w:t>Ave.</w:t>
      </w:r>
    </w:p>
    <w:p w:rsidR="00057EC5" w:rsidRPr="00BC7E62" w:rsidRDefault="00E95BAD" w:rsidP="00505C17">
      <w:pPr>
        <w:kinsoku w:val="0"/>
        <w:overflowPunct w:val="0"/>
        <w:autoSpaceDE w:val="0"/>
        <w:autoSpaceDN w:val="0"/>
        <w:adjustRightInd w:val="0"/>
        <w:spacing w:after="240"/>
        <w:ind w:firstLine="14"/>
        <w:rPr>
          <w:rFonts w:eastAsiaTheme="minorHAnsi" w:cs="Arial"/>
        </w:rPr>
      </w:pPr>
      <w:r w:rsidRPr="00E95BAD">
        <w:rPr>
          <w:rFonts w:eastAsiaTheme="minorHAnsi" w:cs="Arial"/>
        </w:rPr>
        <w:t>Lawndale, CA 90260</w:t>
      </w:r>
    </w:p>
    <w:p w:rsidR="008E3BD5" w:rsidRPr="00BC7E62" w:rsidRDefault="008E3BD5" w:rsidP="00505C17">
      <w:pPr>
        <w:kinsoku w:val="0"/>
        <w:overflowPunct w:val="0"/>
        <w:autoSpaceDE w:val="0"/>
        <w:autoSpaceDN w:val="0"/>
        <w:adjustRightInd w:val="0"/>
        <w:spacing w:before="33"/>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63055B" w:rsidRPr="0063055B">
        <w:t xml:space="preserve"> </w:t>
      </w:r>
      <w:r w:rsidR="0063055B" w:rsidRPr="0063055B">
        <w:rPr>
          <w:rFonts w:eastAsiaTheme="minorHAnsi" w:cs="Arial"/>
          <w:w w:val="105"/>
        </w:rPr>
        <w:t>4/23/2020</w:t>
      </w:r>
    </w:p>
    <w:p w:rsidR="008E3BD5" w:rsidRPr="00BC7E62" w:rsidRDefault="008E3BD5" w:rsidP="00505C17">
      <w:pPr>
        <w:kinsoku w:val="0"/>
        <w:overflowPunct w:val="0"/>
        <w:autoSpaceDE w:val="0"/>
        <w:autoSpaceDN w:val="0"/>
        <w:adjustRightInd w:val="0"/>
        <w:spacing w:before="33" w:after="240"/>
        <w:ind w:left="21" w:right="4853" w:hanging="8"/>
        <w:rPr>
          <w:rFonts w:eastAsiaTheme="minorHAnsi" w:cs="Arial"/>
          <w:w w:val="105"/>
        </w:rPr>
      </w:pPr>
      <w:r w:rsidRPr="00BC7E62">
        <w:rPr>
          <w:rFonts w:eastAsiaTheme="minorHAnsi" w:cs="Arial"/>
          <w:spacing w:val="1"/>
          <w:w w:val="105"/>
        </w:rPr>
        <w:t>End:</w:t>
      </w:r>
      <w:r w:rsidR="0063055B" w:rsidRPr="0063055B">
        <w:t xml:space="preserve"> </w:t>
      </w:r>
      <w:r w:rsidR="0063055B" w:rsidRPr="0063055B">
        <w:rPr>
          <w:rFonts w:eastAsiaTheme="minorHAnsi" w:cs="Arial"/>
          <w:spacing w:val="1"/>
          <w:w w:val="105"/>
        </w:rPr>
        <w:t>8/1/2034</w:t>
      </w:r>
    </w:p>
    <w:p w:rsidR="008E3BD5" w:rsidRPr="00BC7E62" w:rsidRDefault="008E3BD5" w:rsidP="00505C17">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63055B">
        <w:rPr>
          <w:rFonts w:eastAsiaTheme="minorHAnsi" w:cs="Arial"/>
          <w:w w:val="105"/>
        </w:rPr>
        <w:t xml:space="preserve"> No</w:t>
      </w:r>
    </w:p>
    <w:p w:rsidR="008E3BD5" w:rsidRPr="00BC7E62" w:rsidRDefault="008E3BD5" w:rsidP="00505C17">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63055B" w:rsidRPr="0063055B">
        <w:t xml:space="preserve"> </w:t>
      </w:r>
      <w:r w:rsidR="0063055B" w:rsidRPr="0063055B">
        <w:rPr>
          <w:rFonts w:eastAsiaTheme="minorHAnsi" w:cs="Arial"/>
          <w:w w:val="105"/>
        </w:rPr>
        <w:t>School Construction Bonds</w:t>
      </w:r>
    </w:p>
    <w:p w:rsidR="008E3BD5" w:rsidRPr="00BC7E62" w:rsidRDefault="008E3BD5" w:rsidP="00505C17">
      <w:pPr>
        <w:kinsoku w:val="0"/>
        <w:overflowPunct w:val="0"/>
        <w:autoSpaceDE w:val="0"/>
        <w:autoSpaceDN w:val="0"/>
        <w:adjustRightInd w:val="0"/>
        <w:spacing w:before="16"/>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0063055B" w:rsidRPr="0063055B">
        <w:t xml:space="preserve"> </w:t>
      </w:r>
      <w:r w:rsidR="0063055B" w:rsidRPr="0063055B">
        <w:rPr>
          <w:rFonts w:eastAsiaTheme="minorHAnsi" w:cs="Arial"/>
          <w:spacing w:val="1"/>
          <w:w w:val="105"/>
        </w:rPr>
        <w:t>Bond Indebtedness Limit - Non-Unified after 2000</w:t>
      </w:r>
    </w:p>
    <w:p w:rsidR="008E3BD5" w:rsidRPr="00BC7E62" w:rsidRDefault="008E3BD5" w:rsidP="00505C17">
      <w:pPr>
        <w:kinsoku w:val="0"/>
        <w:overflowPunct w:val="0"/>
        <w:autoSpaceDE w:val="0"/>
        <w:autoSpaceDN w:val="0"/>
        <w:adjustRightInd w:val="0"/>
        <w:spacing w:before="16"/>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63055B" w:rsidRPr="0063055B">
        <w:t xml:space="preserve"> </w:t>
      </w:r>
      <w:r w:rsidR="0063055B" w:rsidRPr="0063055B">
        <w:rPr>
          <w:rFonts w:eastAsiaTheme="minorHAnsi" w:cs="Arial"/>
          <w:w w:val="105"/>
        </w:rPr>
        <w:t>15102 &amp; 15268 (see also Sec. 35582(b) and (d) and Sec. 15334.5)</w:t>
      </w:r>
    </w:p>
    <w:p w:rsidR="008E3BD5" w:rsidRPr="00BC7E62" w:rsidRDefault="008E3BD5" w:rsidP="00505C17">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63055B" w:rsidRPr="0063055B">
        <w:t xml:space="preserve"> </w:t>
      </w:r>
      <w:r w:rsidR="0063055B" w:rsidRPr="0063055B">
        <w:rPr>
          <w:rFonts w:eastAsiaTheme="minorHAnsi" w:cs="Arial"/>
          <w:spacing w:val="1"/>
          <w:w w:val="105"/>
        </w:rPr>
        <w:t>33050-33053</w:t>
      </w:r>
    </w:p>
    <w:p w:rsidR="008E3BD5" w:rsidRDefault="008E3BD5" w:rsidP="00505C17">
      <w:pPr>
        <w:kinsoku w:val="0"/>
        <w:overflowPunct w:val="0"/>
        <w:autoSpaceDE w:val="0"/>
        <w:autoSpaceDN w:val="0"/>
        <w:adjustRightInd w:val="0"/>
        <w:spacing w:before="240"/>
        <w:rPr>
          <w:rFonts w:eastAsiaTheme="minorHAnsi" w:cs="Arial"/>
          <w:w w:val="105"/>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008C2797">
        <w:rPr>
          <w:rFonts w:eastAsiaTheme="minorHAnsi" w:cs="Arial"/>
          <w:w w:val="105"/>
        </w:rPr>
        <w:t xml:space="preserve"> </w:t>
      </w:r>
      <w:r w:rsidR="0063055B" w:rsidRPr="0063055B">
        <w:rPr>
          <w:rFonts w:eastAsiaTheme="minorHAnsi" w:cs="Arial"/>
          <w:w w:val="105"/>
        </w:rPr>
        <w:t>15102. The total amount of bonds issued pursuant to this chapter and Chapter 1.5 (commencing with Section 1526</w:t>
      </w:r>
      <w:r w:rsidR="0063055B">
        <w:rPr>
          <w:rFonts w:eastAsiaTheme="minorHAnsi" w:cs="Arial"/>
          <w:w w:val="105"/>
        </w:rPr>
        <w:t xml:space="preserve">4) shall not exceed [1.25] </w:t>
      </w:r>
      <w:r w:rsidR="0063055B" w:rsidRPr="0063055B">
        <w:rPr>
          <w:rFonts w:eastAsiaTheme="minorHAnsi" w:cs="Arial"/>
          <w:w w:val="105"/>
        </w:rPr>
        <w:t>percent of the taxable property of the school district or community college district, or the school facilities improvement district, if applicable, as shown by the last equalized assessment of the county or counties in which the district is located.</w:t>
      </w:r>
    </w:p>
    <w:p w:rsidR="0063055B" w:rsidRPr="00BC7E62" w:rsidRDefault="0063055B" w:rsidP="00505C17">
      <w:pPr>
        <w:kinsoku w:val="0"/>
        <w:overflowPunct w:val="0"/>
        <w:autoSpaceDE w:val="0"/>
        <w:autoSpaceDN w:val="0"/>
        <w:adjustRightInd w:val="0"/>
        <w:spacing w:before="240"/>
        <w:rPr>
          <w:rFonts w:eastAsiaTheme="minorHAnsi" w:cs="Arial"/>
        </w:rPr>
      </w:pPr>
      <w:r w:rsidRPr="0063055B">
        <w:rPr>
          <w:rFonts w:eastAsiaTheme="minorHAnsi" w:cs="Arial"/>
        </w:rPr>
        <w:t>15268. The total amount of bonds issued, including bonds issued pursuant to Chapter 1 (commencing with Section 15100</w:t>
      </w:r>
      <w:r>
        <w:rPr>
          <w:rFonts w:eastAsiaTheme="minorHAnsi" w:cs="Arial"/>
        </w:rPr>
        <w:t xml:space="preserve">), shall not exceed [1.25] </w:t>
      </w:r>
      <w:r w:rsidRPr="0063055B">
        <w:rPr>
          <w:rFonts w:eastAsiaTheme="minorHAnsi" w:cs="Arial"/>
        </w:rPr>
        <w:t>percent of the taxable property of the district as shown by the last equalized assessment of the county or counties in which the district is located.</w:t>
      </w:r>
    </w:p>
    <w:p w:rsidR="008E3BD5" w:rsidRDefault="0063055B" w:rsidP="00505C17">
      <w:pPr>
        <w:kinsoku w:val="0"/>
        <w:overflowPunct w:val="0"/>
        <w:autoSpaceDE w:val="0"/>
        <w:autoSpaceDN w:val="0"/>
        <w:adjustRightInd w:val="0"/>
        <w:spacing w:before="240"/>
        <w:rPr>
          <w:rFonts w:eastAsiaTheme="minorHAnsi" w:cs="Arial"/>
          <w:spacing w:val="1"/>
          <w:w w:val="105"/>
        </w:rPr>
      </w:pPr>
      <w:r>
        <w:rPr>
          <w:rFonts w:eastAsiaTheme="minorHAnsi" w:cs="Arial"/>
          <w:w w:val="105"/>
        </w:rPr>
        <w:t>Outcome R</w:t>
      </w:r>
      <w:r w:rsidR="008E3BD5" w:rsidRPr="00BC7E62">
        <w:rPr>
          <w:rFonts w:eastAsiaTheme="minorHAnsi" w:cs="Arial"/>
          <w:spacing w:val="2"/>
          <w:w w:val="105"/>
        </w:rPr>
        <w:t>ationale</w:t>
      </w:r>
      <w:r w:rsidR="008E3BD5" w:rsidRPr="00BC7E62">
        <w:rPr>
          <w:rFonts w:eastAsiaTheme="minorHAnsi" w:cs="Arial"/>
          <w:spacing w:val="1"/>
          <w:w w:val="105"/>
        </w:rPr>
        <w:t>:</w:t>
      </w:r>
      <w:r w:rsidRPr="0063055B">
        <w:t xml:space="preserve"> </w:t>
      </w:r>
      <w:r w:rsidRPr="0063055B">
        <w:rPr>
          <w:rFonts w:eastAsiaTheme="minorHAnsi" w:cs="Arial"/>
          <w:spacing w:val="1"/>
          <w:w w:val="105"/>
        </w:rPr>
        <w:t xml:space="preserve">Current Need: The current statutory debt limit for non-unified school districts is 1.25% of the total assessed valuation of taxable property within a district’s boundaries. Effective July 1, 2014, </w:t>
      </w:r>
      <w:proofErr w:type="spellStart"/>
      <w:r w:rsidRPr="0063055B">
        <w:rPr>
          <w:rFonts w:eastAsiaTheme="minorHAnsi" w:cs="Arial"/>
          <w:spacing w:val="1"/>
          <w:w w:val="105"/>
        </w:rPr>
        <w:t>Wiseburn</w:t>
      </w:r>
      <w:proofErr w:type="spellEnd"/>
      <w:r w:rsidRPr="0063055B">
        <w:rPr>
          <w:rFonts w:eastAsiaTheme="minorHAnsi" w:cs="Arial"/>
          <w:spacing w:val="1"/>
          <w:w w:val="105"/>
        </w:rPr>
        <w:t xml:space="preserve"> School District (“</w:t>
      </w:r>
      <w:proofErr w:type="spellStart"/>
      <w:r w:rsidRPr="0063055B">
        <w:rPr>
          <w:rFonts w:eastAsiaTheme="minorHAnsi" w:cs="Arial"/>
          <w:spacing w:val="1"/>
          <w:w w:val="105"/>
        </w:rPr>
        <w:t>Wiseburn</w:t>
      </w:r>
      <w:proofErr w:type="spellEnd"/>
      <w:r w:rsidRPr="0063055B">
        <w:rPr>
          <w:rFonts w:eastAsiaTheme="minorHAnsi" w:cs="Arial"/>
          <w:spacing w:val="1"/>
          <w:w w:val="105"/>
        </w:rPr>
        <w:t xml:space="preserve">”), previously a feeder school district for Centinela Valley Union High School District (the “District”), became a unified school district, which reduced the assessed valuation of the District. Section 35582 provides for the statutory bonding limits for each of the District and </w:t>
      </w:r>
      <w:proofErr w:type="spellStart"/>
      <w:r w:rsidRPr="0063055B">
        <w:rPr>
          <w:rFonts w:eastAsiaTheme="minorHAnsi" w:cs="Arial"/>
          <w:spacing w:val="1"/>
          <w:w w:val="105"/>
        </w:rPr>
        <w:t>Wiseburn</w:t>
      </w:r>
      <w:proofErr w:type="spellEnd"/>
      <w:r w:rsidRPr="0063055B">
        <w:rPr>
          <w:rFonts w:eastAsiaTheme="minorHAnsi" w:cs="Arial"/>
          <w:spacing w:val="1"/>
          <w:w w:val="105"/>
        </w:rPr>
        <w:t xml:space="preserve"> following the reorganization of </w:t>
      </w:r>
      <w:proofErr w:type="spellStart"/>
      <w:r w:rsidRPr="0063055B">
        <w:rPr>
          <w:rFonts w:eastAsiaTheme="minorHAnsi" w:cs="Arial"/>
          <w:spacing w:val="1"/>
          <w:w w:val="105"/>
        </w:rPr>
        <w:t>Wiseburn</w:t>
      </w:r>
      <w:proofErr w:type="spellEnd"/>
      <w:r w:rsidRPr="0063055B">
        <w:rPr>
          <w:rFonts w:eastAsiaTheme="minorHAnsi" w:cs="Arial"/>
          <w:spacing w:val="1"/>
          <w:w w:val="105"/>
        </w:rPr>
        <w:t xml:space="preserve">, and specifically subsections </w:t>
      </w:r>
      <w:r w:rsidRPr="0063055B">
        <w:rPr>
          <w:rFonts w:eastAsiaTheme="minorHAnsi" w:cs="Arial"/>
          <w:spacing w:val="1"/>
          <w:w w:val="105"/>
        </w:rPr>
        <w:lastRenderedPageBreak/>
        <w:t>35582(b) and (d) provide for the application of Sections 15102 and 15268, respectively, to the District following such reorganization.</w:t>
      </w:r>
    </w:p>
    <w:p w:rsidR="0063055B" w:rsidRDefault="0063055B" w:rsidP="00505C17">
      <w:pPr>
        <w:kinsoku w:val="0"/>
        <w:overflowPunct w:val="0"/>
        <w:autoSpaceDE w:val="0"/>
        <w:autoSpaceDN w:val="0"/>
        <w:adjustRightInd w:val="0"/>
        <w:spacing w:before="240"/>
        <w:rPr>
          <w:rFonts w:eastAsiaTheme="minorHAnsi" w:cs="Arial"/>
        </w:rPr>
      </w:pPr>
      <w:r w:rsidRPr="0063055B">
        <w:rPr>
          <w:rFonts w:eastAsiaTheme="minorHAnsi" w:cs="Arial"/>
        </w:rPr>
        <w:t xml:space="preserve">Through a joint exercise of powers agreement (the “JPA Agreement”), and pursuant to Section 6500 et. seq. of the California Government Code, the District and </w:t>
      </w:r>
      <w:proofErr w:type="spellStart"/>
      <w:r w:rsidRPr="0063055B">
        <w:rPr>
          <w:rFonts w:eastAsiaTheme="minorHAnsi" w:cs="Arial"/>
        </w:rPr>
        <w:t>Wiseburn</w:t>
      </w:r>
      <w:proofErr w:type="spellEnd"/>
      <w:r w:rsidRPr="0063055B">
        <w:rPr>
          <w:rFonts w:eastAsiaTheme="minorHAnsi" w:cs="Arial"/>
        </w:rPr>
        <w:t xml:space="preserve"> created the Local Public Schools Funding Authority (the “LPSFA”), a joint powers authority, wherein each of the District and </w:t>
      </w:r>
      <w:proofErr w:type="spellStart"/>
      <w:r w:rsidRPr="0063055B">
        <w:rPr>
          <w:rFonts w:eastAsiaTheme="minorHAnsi" w:cs="Arial"/>
        </w:rPr>
        <w:t>Wiseburn</w:t>
      </w:r>
      <w:proofErr w:type="spellEnd"/>
      <w:r w:rsidRPr="0063055B">
        <w:rPr>
          <w:rFonts w:eastAsiaTheme="minorHAnsi" w:cs="Arial"/>
        </w:rPr>
        <w:t xml:space="preserve"> were members. Through the LPSFA and pursuant to Sections 35582(b) and (d), the District may levy ad valorem taxes against taxable property within the District, as well as non-residential properties within </w:t>
      </w:r>
      <w:proofErr w:type="spellStart"/>
      <w:r w:rsidRPr="0063055B">
        <w:rPr>
          <w:rFonts w:eastAsiaTheme="minorHAnsi" w:cs="Arial"/>
        </w:rPr>
        <w:t>Wiseburn</w:t>
      </w:r>
      <w:proofErr w:type="spellEnd"/>
      <w:r w:rsidRPr="0063055B">
        <w:rPr>
          <w:rFonts w:eastAsiaTheme="minorHAnsi" w:cs="Arial"/>
        </w:rPr>
        <w:t>, by issuing future general obligation bonds through the LPSFA, or through a School Facilities Improvement District formed by the JPA. On March 3, 2020, voters approved Measure SP authorizing the Local Public Schools Funding Authority, through its School Facilities Improvement District No. 2016-1, to issue $125 million in general obligation bonds. Pursuant to Cal. Ed. Code 35582(c), the bonding limit applicable to bonds payable from ad valorem property taxes of the LPSFA is equal to the sum of the respective bonding limits applicable to the members of the LPSFA. In order to access the proposed amount of proceeds, the District is requesting an increase in its debt limit to 2.28% of assessed valuation. Based on our analysis of the District’s position, the District should fall below the 1.25% debt limit by fiscal year 2034-35. The attached table illustrates the District’s assessed valuation and statutory debt limitation.</w:t>
      </w:r>
    </w:p>
    <w:p w:rsidR="0063055B" w:rsidRDefault="0063055B" w:rsidP="00505C17">
      <w:pPr>
        <w:kinsoku w:val="0"/>
        <w:overflowPunct w:val="0"/>
        <w:autoSpaceDE w:val="0"/>
        <w:autoSpaceDN w:val="0"/>
        <w:adjustRightInd w:val="0"/>
        <w:spacing w:before="240"/>
        <w:rPr>
          <w:rFonts w:eastAsiaTheme="minorHAnsi" w:cs="Arial"/>
        </w:rPr>
      </w:pPr>
      <w:r w:rsidRPr="0063055B">
        <w:rPr>
          <w:rFonts w:eastAsiaTheme="minorHAnsi" w:cs="Arial"/>
        </w:rPr>
        <w:t xml:space="preserve">Section 35582(d) provides for the method of allocating bonds issued by the LPSFA to the District and </w:t>
      </w:r>
      <w:proofErr w:type="spellStart"/>
      <w:r w:rsidRPr="0063055B">
        <w:rPr>
          <w:rFonts w:eastAsiaTheme="minorHAnsi" w:cs="Arial"/>
        </w:rPr>
        <w:t>Wiseburn</w:t>
      </w:r>
      <w:proofErr w:type="spellEnd"/>
      <w:r w:rsidRPr="0063055B">
        <w:rPr>
          <w:rFonts w:eastAsiaTheme="minorHAnsi" w:cs="Arial"/>
        </w:rPr>
        <w:t>.</w:t>
      </w:r>
    </w:p>
    <w:p w:rsidR="0063055B" w:rsidRDefault="0063055B" w:rsidP="00505C17">
      <w:pPr>
        <w:kinsoku w:val="0"/>
        <w:overflowPunct w:val="0"/>
        <w:autoSpaceDE w:val="0"/>
        <w:autoSpaceDN w:val="0"/>
        <w:adjustRightInd w:val="0"/>
        <w:spacing w:before="240"/>
        <w:rPr>
          <w:rFonts w:eastAsiaTheme="minorHAnsi" w:cs="Arial"/>
        </w:rPr>
      </w:pPr>
      <w:r w:rsidRPr="0063055B">
        <w:rPr>
          <w:rFonts w:eastAsiaTheme="minorHAnsi" w:cs="Arial"/>
        </w:rPr>
        <w:t>Analysis: Attached to this waiver request is the following: i. Notice of Public Hearing (Attachment A) ii. Historical Assessed Values for Fiscal Years 1987 through 2020 and Bonding Capacity Calculations (Attachment B) iii. Tax Rate Analysis (Attachment C) iv. Board Approved Resolution (Attachment D).</w:t>
      </w:r>
    </w:p>
    <w:p w:rsidR="0063055B" w:rsidRPr="00BC7E62" w:rsidRDefault="0063055B" w:rsidP="00505C17">
      <w:pPr>
        <w:kinsoku w:val="0"/>
        <w:overflowPunct w:val="0"/>
        <w:autoSpaceDE w:val="0"/>
        <w:autoSpaceDN w:val="0"/>
        <w:adjustRightInd w:val="0"/>
        <w:spacing w:before="240"/>
        <w:rPr>
          <w:rFonts w:eastAsiaTheme="minorHAnsi" w:cs="Arial"/>
        </w:rPr>
      </w:pPr>
      <w:r w:rsidRPr="0063055B">
        <w:rPr>
          <w:rFonts w:eastAsiaTheme="minorHAnsi" w:cs="Arial"/>
        </w:rPr>
        <w:t>Based on the Tax Rate Analysis figures, the District anticipates that the tax rate will not exceed applicable Proposition 39 tax rate limit for Measure SP, should the California Department of Education grant this waiver request. The District anticipates the use of current interest bonds only (no capital appreciation bonds) for Measure SP.</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63055B" w:rsidRPr="0063055B">
        <w:t xml:space="preserve"> </w:t>
      </w:r>
      <w:r w:rsidR="0063055B" w:rsidRPr="0063055B">
        <w:rPr>
          <w:rFonts w:eastAsiaTheme="minorHAnsi" w:cs="Arial"/>
          <w:w w:val="105"/>
        </w:rPr>
        <w:t>7473</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63055B">
        <w:rPr>
          <w:rFonts w:eastAsiaTheme="minorHAnsi" w:cs="Arial"/>
          <w:w w:val="105"/>
        </w:rPr>
        <w:t xml:space="preserve"> Urban</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0063055B" w:rsidRPr="0063055B">
        <w:t xml:space="preserve"> </w:t>
      </w:r>
      <w:r w:rsidR="0063055B" w:rsidRPr="0063055B">
        <w:rPr>
          <w:rFonts w:eastAsiaTheme="minorHAnsi" w:cs="Arial"/>
          <w:w w:val="105"/>
        </w:rPr>
        <w:t>4/21/2020</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63055B" w:rsidRPr="0063055B">
        <w:t xml:space="preserve"> </w:t>
      </w:r>
      <w:r w:rsidR="0063055B" w:rsidRPr="0063055B">
        <w:rPr>
          <w:rFonts w:eastAsiaTheme="minorHAnsi" w:cs="Arial"/>
          <w:w w:val="105"/>
        </w:rPr>
        <w:t>The District advertised notice of the public hearing in the local newspaper, the Daily Breeze.</w:t>
      </w:r>
    </w:p>
    <w:p w:rsidR="008E3BD5" w:rsidRPr="00BC7E62" w:rsidRDefault="00841D5F"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63055B" w:rsidRPr="0063055B">
        <w:t xml:space="preserve"> </w:t>
      </w:r>
      <w:r w:rsidR="0063055B" w:rsidRPr="0063055B">
        <w:rPr>
          <w:rFonts w:eastAsiaTheme="minorHAnsi" w:cs="Arial"/>
          <w:w w:val="105"/>
        </w:rPr>
        <w:t>4/21/2020</w:t>
      </w:r>
    </w:p>
    <w:p w:rsidR="008E3BD5" w:rsidRPr="00BC7E62" w:rsidRDefault="008E3BD5" w:rsidP="00505C17">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0063055B" w:rsidRPr="0063055B">
        <w:t xml:space="preserve"> </w:t>
      </w:r>
      <w:r w:rsidR="0063055B" w:rsidRPr="0063055B">
        <w:rPr>
          <w:rFonts w:eastAsiaTheme="minorHAnsi" w:cs="Arial"/>
          <w:w w:val="105"/>
        </w:rPr>
        <w:t>School Site Councils from Hawthorne High School, Leuzinger High School, and Lawndale High School</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63055B" w:rsidRPr="0063055B">
        <w:t xml:space="preserve"> </w:t>
      </w:r>
      <w:r w:rsidR="0063055B" w:rsidRPr="0063055B">
        <w:rPr>
          <w:rFonts w:eastAsiaTheme="minorHAnsi" w:cs="Arial"/>
          <w:w w:val="105"/>
        </w:rPr>
        <w:t>4/22/2020</w:t>
      </w:r>
    </w:p>
    <w:p w:rsidR="008E3BD5" w:rsidRPr="00BC7E62" w:rsidRDefault="008E3BD5" w:rsidP="00505C17">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63055B" w:rsidRPr="0063055B">
        <w:t xml:space="preserve"> </w:t>
      </w:r>
      <w:r w:rsidR="0063055B" w:rsidRPr="0063055B">
        <w:rPr>
          <w:rFonts w:eastAsiaTheme="minorHAnsi" w:cs="Arial"/>
          <w:w w:val="105"/>
        </w:rPr>
        <w:t>No</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lastRenderedPageBreak/>
        <w:t>Communit</w:t>
      </w:r>
      <w:r w:rsidR="0063055B">
        <w:rPr>
          <w:rFonts w:eastAsiaTheme="minorHAnsi" w:cs="Arial"/>
          <w:w w:val="105"/>
        </w:rPr>
        <w:t>y Council Objection Explanation:</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63055B" w:rsidRPr="0063055B">
        <w:t xml:space="preserve"> </w:t>
      </w:r>
      <w:r w:rsidR="0063055B" w:rsidRPr="0063055B">
        <w:rPr>
          <w:rFonts w:eastAsiaTheme="minorHAnsi" w:cs="Arial"/>
          <w:w w:val="105"/>
        </w:rPr>
        <w:t>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63055B" w:rsidRPr="0063055B">
        <w:t xml:space="preserve"> </w:t>
      </w:r>
      <w:r w:rsidR="0063055B" w:rsidRPr="0063055B">
        <w:rPr>
          <w:rFonts w:eastAsiaTheme="minorHAnsi" w:cs="Arial"/>
          <w:w w:val="105"/>
        </w:rPr>
        <w:t>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Submitted by:</w:t>
      </w:r>
      <w:r w:rsidR="0063055B" w:rsidRPr="0063055B">
        <w:t xml:space="preserve"> </w:t>
      </w:r>
      <w:r w:rsidR="0063055B" w:rsidRPr="0063055B">
        <w:rPr>
          <w:rFonts w:eastAsiaTheme="minorHAnsi" w:cs="Arial"/>
          <w:w w:val="105"/>
        </w:rPr>
        <w:t>Mr. Ron Hacker</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8D7158" w:rsidRPr="008D7158">
        <w:t xml:space="preserve"> </w:t>
      </w:r>
      <w:r w:rsidR="008D7158" w:rsidRPr="008D7158">
        <w:rPr>
          <w:rFonts w:eastAsiaTheme="minorHAnsi" w:cs="Arial"/>
          <w:w w:val="105"/>
        </w:rPr>
        <w:t>Assistant Superintendent, Business Services</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E-mail:</w:t>
      </w:r>
      <w:r w:rsidR="0094112C">
        <w:rPr>
          <w:rFonts w:eastAsiaTheme="minorHAnsi" w:cs="Arial"/>
          <w:w w:val="105"/>
        </w:rPr>
        <w:t xml:space="preserve"> </w:t>
      </w:r>
      <w:hyperlink r:id="rId14" w:tooltip="Email address for Ron Hacker" w:history="1">
        <w:r w:rsidR="008D7158" w:rsidRPr="008D7158">
          <w:rPr>
            <w:rStyle w:val="Hyperlink"/>
            <w:rFonts w:eastAsiaTheme="minorHAnsi" w:cs="Arial"/>
            <w:w w:val="105"/>
          </w:rPr>
          <w:t>hackerr@centinela.k12.ca.us</w:t>
        </w:r>
      </w:hyperlink>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Telephone:</w:t>
      </w:r>
      <w:r w:rsidR="008D7158" w:rsidRPr="008D7158">
        <w:t xml:space="preserve"> </w:t>
      </w:r>
      <w:r w:rsidR="008D7158" w:rsidRPr="008D7158">
        <w:rPr>
          <w:rFonts w:eastAsiaTheme="minorHAnsi" w:cs="Arial"/>
          <w:w w:val="105"/>
        </w:rPr>
        <w:t>310-263-3220</w:t>
      </w:r>
    </w:p>
    <w:p w:rsidR="008E3BD5" w:rsidRPr="00BC7E62" w:rsidRDefault="008E3BD5" w:rsidP="008D7158">
      <w:pPr>
        <w:tabs>
          <w:tab w:val="left" w:pos="7470"/>
        </w:tabs>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sidR="008D7158" w:rsidRPr="008D7158">
        <w:t xml:space="preserve"> </w:t>
      </w:r>
      <w:r w:rsidR="008D7158" w:rsidRPr="008D7158">
        <w:rPr>
          <w:rFonts w:eastAsiaTheme="minorHAnsi" w:cs="Arial"/>
          <w:w w:val="105"/>
        </w:rPr>
        <w:t>04/20/2020</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008D7158" w:rsidRPr="008D7158">
        <w:t xml:space="preserve"> </w:t>
      </w:r>
      <w:r w:rsidR="008D7158" w:rsidRPr="008D7158">
        <w:rPr>
          <w:rFonts w:eastAsiaTheme="minorHAnsi" w:cs="Arial"/>
          <w:w w:val="105"/>
        </w:rPr>
        <w:t>California Schools Employees Association</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008D7158" w:rsidRPr="008D7158">
        <w:t xml:space="preserve"> </w:t>
      </w:r>
      <w:proofErr w:type="spellStart"/>
      <w:r w:rsidR="008D7158" w:rsidRPr="008D7158">
        <w:rPr>
          <w:rFonts w:eastAsiaTheme="minorHAnsi" w:cs="Arial"/>
          <w:w w:val="105"/>
        </w:rPr>
        <w:t>Kilika</w:t>
      </w:r>
      <w:proofErr w:type="spellEnd"/>
      <w:r w:rsidR="008D7158" w:rsidRPr="008D7158">
        <w:rPr>
          <w:rFonts w:eastAsiaTheme="minorHAnsi" w:cs="Arial"/>
          <w:w w:val="105"/>
        </w:rPr>
        <w:t xml:space="preserve"> </w:t>
      </w:r>
      <w:proofErr w:type="spellStart"/>
      <w:r w:rsidR="008D7158" w:rsidRPr="008D7158">
        <w:rPr>
          <w:rFonts w:eastAsiaTheme="minorHAnsi" w:cs="Arial"/>
          <w:w w:val="105"/>
        </w:rPr>
        <w:t>Wedermyer</w:t>
      </w:r>
      <w:proofErr w:type="spellEnd"/>
    </w:p>
    <w:p w:rsidR="008E3BD5"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008D7158" w:rsidRPr="008D7158">
        <w:t xml:space="preserve"> </w:t>
      </w:r>
      <w:r w:rsidR="008D7158" w:rsidRPr="008D7158">
        <w:rPr>
          <w:rFonts w:eastAsiaTheme="minorHAnsi" w:cs="Arial"/>
          <w:w w:val="105"/>
        </w:rPr>
        <w:t>Acting President</w:t>
      </w:r>
    </w:p>
    <w:p w:rsidR="008D7158" w:rsidRPr="00BC7E62" w:rsidRDefault="008D7158" w:rsidP="008E3BD5">
      <w:pPr>
        <w:kinsoku w:val="0"/>
        <w:overflowPunct w:val="0"/>
        <w:autoSpaceDE w:val="0"/>
        <w:autoSpaceDN w:val="0"/>
        <w:adjustRightInd w:val="0"/>
        <w:ind w:right="230"/>
        <w:rPr>
          <w:rFonts w:eastAsiaTheme="minorHAnsi" w:cs="Arial"/>
          <w:w w:val="105"/>
        </w:rPr>
      </w:pPr>
      <w:r>
        <w:rPr>
          <w:rFonts w:eastAsiaTheme="minorHAnsi" w:cs="Arial"/>
          <w:w w:val="105"/>
        </w:rPr>
        <w:t>Phone: N/A</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8D7158" w:rsidRPr="008D7158">
        <w:t xml:space="preserve"> </w:t>
      </w:r>
      <w:r w:rsidR="008D7158" w:rsidRPr="008D7158">
        <w:rPr>
          <w:rFonts w:eastAsiaTheme="minorHAnsi" w:cs="Arial"/>
          <w:w w:val="105"/>
        </w:rPr>
        <w:t>Support</w:t>
      </w:r>
    </w:p>
    <w:p w:rsidR="006811AB" w:rsidRDefault="00841D5F" w:rsidP="008D7158">
      <w:pPr>
        <w:kinsoku w:val="0"/>
        <w:overflowPunct w:val="0"/>
        <w:autoSpaceDE w:val="0"/>
        <w:autoSpaceDN w:val="0"/>
        <w:adjustRightInd w:val="0"/>
        <w:spacing w:after="240"/>
        <w:ind w:right="230"/>
        <w:rPr>
          <w:rFonts w:eastAsiaTheme="minorHAnsi" w:cs="Arial"/>
          <w:w w:val="105"/>
        </w:rPr>
      </w:pPr>
      <w:r w:rsidRPr="00BC7E62">
        <w:rPr>
          <w:rFonts w:eastAsiaTheme="minorHAnsi" w:cs="Arial"/>
          <w:w w:val="105"/>
        </w:rPr>
        <w:t>Comments:</w:t>
      </w:r>
    </w:p>
    <w:p w:rsidR="008D7158" w:rsidRDefault="008D7158" w:rsidP="00520966">
      <w:pPr>
        <w:kinsoku w:val="0"/>
        <w:overflowPunct w:val="0"/>
        <w:autoSpaceDE w:val="0"/>
        <w:autoSpaceDN w:val="0"/>
        <w:adjustRightInd w:val="0"/>
        <w:ind w:right="230"/>
        <w:rPr>
          <w:rFonts w:eastAsiaTheme="minorHAnsi" w:cs="Arial"/>
        </w:rPr>
      </w:pPr>
      <w:r w:rsidRPr="008D7158">
        <w:rPr>
          <w:rFonts w:eastAsiaTheme="minorHAnsi" w:cs="Arial"/>
        </w:rPr>
        <w:t>B</w:t>
      </w:r>
      <w:r>
        <w:rPr>
          <w:rFonts w:eastAsiaTheme="minorHAnsi" w:cs="Arial"/>
        </w:rPr>
        <w:t>argaining Unit Date: 04/20/2020</w:t>
      </w:r>
    </w:p>
    <w:p w:rsidR="008D7158" w:rsidRDefault="008D7158" w:rsidP="00520966">
      <w:pPr>
        <w:kinsoku w:val="0"/>
        <w:overflowPunct w:val="0"/>
        <w:autoSpaceDE w:val="0"/>
        <w:autoSpaceDN w:val="0"/>
        <w:adjustRightInd w:val="0"/>
        <w:ind w:right="230"/>
        <w:rPr>
          <w:rFonts w:eastAsiaTheme="minorHAnsi" w:cs="Arial"/>
        </w:rPr>
      </w:pPr>
      <w:r w:rsidRPr="008D7158">
        <w:rPr>
          <w:rFonts w:eastAsiaTheme="minorHAnsi" w:cs="Arial"/>
        </w:rPr>
        <w:t xml:space="preserve">Name: Centinela Valley </w:t>
      </w:r>
      <w:r>
        <w:rPr>
          <w:rFonts w:eastAsiaTheme="minorHAnsi" w:cs="Arial"/>
        </w:rPr>
        <w:t>Secondary Teachers’ Association</w:t>
      </w:r>
    </w:p>
    <w:p w:rsidR="008D7158" w:rsidRDefault="008D7158" w:rsidP="00520966">
      <w:pPr>
        <w:kinsoku w:val="0"/>
        <w:overflowPunct w:val="0"/>
        <w:autoSpaceDE w:val="0"/>
        <w:autoSpaceDN w:val="0"/>
        <w:adjustRightInd w:val="0"/>
        <w:ind w:right="230"/>
        <w:rPr>
          <w:rFonts w:eastAsiaTheme="minorHAnsi" w:cs="Arial"/>
        </w:rPr>
      </w:pPr>
      <w:r>
        <w:rPr>
          <w:rFonts w:eastAsiaTheme="minorHAnsi" w:cs="Arial"/>
        </w:rPr>
        <w:t xml:space="preserve">Representative: </w:t>
      </w:r>
      <w:proofErr w:type="spellStart"/>
      <w:r>
        <w:rPr>
          <w:rFonts w:eastAsiaTheme="minorHAnsi" w:cs="Arial"/>
        </w:rPr>
        <w:t>Temisha</w:t>
      </w:r>
      <w:proofErr w:type="spellEnd"/>
      <w:r>
        <w:rPr>
          <w:rFonts w:eastAsiaTheme="minorHAnsi" w:cs="Arial"/>
        </w:rPr>
        <w:t xml:space="preserve"> </w:t>
      </w:r>
      <w:proofErr w:type="spellStart"/>
      <w:r>
        <w:rPr>
          <w:rFonts w:eastAsiaTheme="minorHAnsi" w:cs="Arial"/>
        </w:rPr>
        <w:t>Brame</w:t>
      </w:r>
      <w:proofErr w:type="spellEnd"/>
    </w:p>
    <w:p w:rsidR="008D7158" w:rsidRDefault="008D7158" w:rsidP="00520966">
      <w:pPr>
        <w:kinsoku w:val="0"/>
        <w:overflowPunct w:val="0"/>
        <w:autoSpaceDE w:val="0"/>
        <w:autoSpaceDN w:val="0"/>
        <w:adjustRightInd w:val="0"/>
        <w:ind w:right="230"/>
        <w:rPr>
          <w:rFonts w:eastAsiaTheme="minorHAnsi" w:cs="Arial"/>
        </w:rPr>
      </w:pPr>
      <w:r>
        <w:rPr>
          <w:rFonts w:eastAsiaTheme="minorHAnsi" w:cs="Arial"/>
        </w:rPr>
        <w:t>Title: President</w:t>
      </w:r>
    </w:p>
    <w:p w:rsidR="008D7158" w:rsidRDefault="008D7158" w:rsidP="00520966">
      <w:pPr>
        <w:kinsoku w:val="0"/>
        <w:overflowPunct w:val="0"/>
        <w:autoSpaceDE w:val="0"/>
        <w:autoSpaceDN w:val="0"/>
        <w:adjustRightInd w:val="0"/>
        <w:ind w:right="230"/>
        <w:rPr>
          <w:rFonts w:eastAsiaTheme="minorHAnsi" w:cs="Arial"/>
        </w:rPr>
      </w:pPr>
      <w:r>
        <w:rPr>
          <w:rFonts w:eastAsiaTheme="minorHAnsi" w:cs="Arial"/>
        </w:rPr>
        <w:t>Phone: N/A</w:t>
      </w:r>
    </w:p>
    <w:p w:rsidR="008D7158" w:rsidRDefault="008D7158" w:rsidP="00520966">
      <w:pPr>
        <w:kinsoku w:val="0"/>
        <w:overflowPunct w:val="0"/>
        <w:autoSpaceDE w:val="0"/>
        <w:autoSpaceDN w:val="0"/>
        <w:adjustRightInd w:val="0"/>
        <w:ind w:right="230"/>
        <w:rPr>
          <w:rFonts w:eastAsiaTheme="minorHAnsi" w:cs="Arial"/>
        </w:rPr>
      </w:pPr>
      <w:r>
        <w:rPr>
          <w:rFonts w:eastAsiaTheme="minorHAnsi" w:cs="Arial"/>
        </w:rPr>
        <w:t>Position: Neutral</w:t>
      </w:r>
    </w:p>
    <w:p w:rsidR="008D7158" w:rsidRPr="00BC7E62" w:rsidRDefault="008D7158" w:rsidP="00520966">
      <w:pPr>
        <w:kinsoku w:val="0"/>
        <w:overflowPunct w:val="0"/>
        <w:autoSpaceDE w:val="0"/>
        <w:autoSpaceDN w:val="0"/>
        <w:adjustRightInd w:val="0"/>
        <w:ind w:right="230"/>
        <w:rPr>
          <w:rFonts w:eastAsiaTheme="minorHAnsi" w:cs="Arial"/>
        </w:rPr>
      </w:pPr>
      <w:r w:rsidRPr="008D7158">
        <w:rPr>
          <w:rFonts w:eastAsiaTheme="minorHAnsi" w:cs="Arial"/>
        </w:rPr>
        <w:t>Comments:</w:t>
      </w:r>
    </w:p>
    <w:p w:rsidR="000318E1" w:rsidRDefault="000318E1" w:rsidP="00057EC5">
      <w:pPr>
        <w:rPr>
          <w:rFonts w:eastAsiaTheme="minorHAnsi" w:cs="Arial"/>
        </w:rPr>
        <w:sectPr w:rsidR="000318E1" w:rsidSect="006E6316">
          <w:headerReference w:type="default" r:id="rId15"/>
          <w:headerReference w:type="first" r:id="rId16"/>
          <w:pgSz w:w="12240" w:h="15840"/>
          <w:pgMar w:top="720" w:right="806" w:bottom="1440" w:left="1440" w:header="720" w:footer="720" w:gutter="0"/>
          <w:pgNumType w:start="1"/>
          <w:cols w:space="720"/>
          <w:docGrid w:linePitch="360"/>
        </w:sectPr>
      </w:pPr>
    </w:p>
    <w:p w:rsidR="00057EC5" w:rsidRPr="00520966" w:rsidRDefault="00057EC5" w:rsidP="00057EC5">
      <w:pPr>
        <w:rPr>
          <w:rFonts w:eastAsiaTheme="minorHAnsi"/>
        </w:rPr>
      </w:pPr>
    </w:p>
    <w:sectPr w:rsidR="00057EC5" w:rsidRPr="00520966" w:rsidSect="000318E1">
      <w:headerReference w:type="default" r:id="rId17"/>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6C9" w:rsidRDefault="009F16C9" w:rsidP="000E09DC">
      <w:r>
        <w:separator/>
      </w:r>
    </w:p>
  </w:endnote>
  <w:endnote w:type="continuationSeparator" w:id="0">
    <w:p w:rsidR="009F16C9" w:rsidRDefault="009F16C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6C9" w:rsidRDefault="009F16C9" w:rsidP="000E09DC">
      <w:r>
        <w:separator/>
      </w:r>
    </w:p>
  </w:footnote>
  <w:footnote w:type="continuationSeparator" w:id="0">
    <w:p w:rsidR="009F16C9" w:rsidRDefault="009F16C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11AB" w:rsidRPr="00C17D7D" w:rsidRDefault="006E6316" w:rsidP="00FC6DBC">
    <w:pPr>
      <w:tabs>
        <w:tab w:val="center" w:pos="4680"/>
        <w:tab w:val="right" w:pos="9360"/>
      </w:tabs>
      <w:autoSpaceDE w:val="0"/>
      <w:autoSpaceDN w:val="0"/>
      <w:adjustRightInd w:val="0"/>
      <w:spacing w:after="120"/>
      <w:jc w:val="right"/>
      <w:rPr>
        <w:rFonts w:eastAsia="Calibri" w:cs="Arial"/>
      </w:rPr>
    </w:pPr>
    <w:r>
      <w:rPr>
        <w:rFonts w:eastAsia="Calibri" w:cs="Arial"/>
      </w:rPr>
      <w:t>Bond</w:t>
    </w:r>
    <w:r w:rsidR="008E0213">
      <w:rPr>
        <w:rFonts w:eastAsia="Calibri" w:cs="Arial"/>
      </w:rPr>
      <w:t xml:space="preserve"> Indebtedness</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736E0E">
      <w:rPr>
        <w:rFonts w:cs="Arial"/>
        <w:noProof/>
      </w:rPr>
      <w:t>3</w:t>
    </w:r>
    <w:r w:rsidR="006811AB" w:rsidRPr="000E09DC">
      <w:rPr>
        <w:rFonts w:cs="Arial"/>
        <w:noProof/>
      </w:rPr>
      <w:fldChar w:fldCharType="end"/>
    </w:r>
    <w:r w:rsidR="006811AB" w:rsidRPr="000E09DC">
      <w:rPr>
        <w:rFonts w:cs="Arial"/>
      </w:rPr>
      <w:t xml:space="preserve"> of </w:t>
    </w:r>
    <w:r w:rsidR="0047712B">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3822" w:rsidRPr="00363822" w:rsidRDefault="00363822"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9244197"/>
      <w:docPartObj>
        <w:docPartGallery w:val="Page Numbers (Top of Page)"/>
        <w:docPartUnique/>
      </w:docPartObj>
    </w:sdtPr>
    <w:sdtEndPr>
      <w:rPr>
        <w:noProof/>
      </w:rPr>
    </w:sdtEndPr>
    <w:sdtContent>
      <w:p w:rsidR="005E6770" w:rsidRDefault="005E6770" w:rsidP="005E6770">
        <w:pPr>
          <w:pStyle w:val="Header"/>
          <w:jc w:val="right"/>
        </w:pPr>
        <w:r>
          <w:t>Bond Indebtedness</w:t>
        </w:r>
      </w:p>
      <w:p w:rsidR="005E6770" w:rsidRDefault="005E6770" w:rsidP="005E6770">
        <w:pPr>
          <w:pStyle w:val="Header"/>
          <w:jc w:val="right"/>
        </w:pPr>
        <w:r>
          <w:t>Attachment 1</w:t>
        </w:r>
      </w:p>
      <w:p w:rsidR="005E6770" w:rsidRDefault="005E6770" w:rsidP="005E6770">
        <w:pPr>
          <w:pStyle w:val="Header"/>
          <w:jc w:val="right"/>
        </w:pPr>
        <w:r>
          <w:t xml:space="preserve">Page </w:t>
        </w:r>
        <w:r>
          <w:fldChar w:fldCharType="begin"/>
        </w:r>
        <w:r>
          <w:instrText xml:space="preserve"> PAGE   \* MERGEFORMAT </w:instrText>
        </w:r>
        <w:r>
          <w:fldChar w:fldCharType="separate"/>
        </w:r>
        <w:r w:rsidR="007640B0">
          <w:rPr>
            <w:noProof/>
          </w:rPr>
          <w:t>2</w:t>
        </w:r>
        <w:r>
          <w:fldChar w:fldCharType="end"/>
        </w:r>
        <w:r>
          <w:rPr>
            <w:noProof/>
          </w:rPr>
          <w:t xml:space="preserve"> of 3</w:t>
        </w:r>
      </w:p>
    </w:sdtContent>
  </w:sdt>
  <w:p w:rsidR="002A06FA" w:rsidRPr="005E6770" w:rsidRDefault="002A06FA" w:rsidP="005E677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rsidR="005E6770" w:rsidRDefault="005E6770" w:rsidP="005E6770">
        <w:pPr>
          <w:pStyle w:val="Header"/>
          <w:jc w:val="right"/>
        </w:pPr>
        <w:r>
          <w:t>Bond Indebtedness</w:t>
        </w:r>
      </w:p>
      <w:p w:rsidR="005E6770" w:rsidRDefault="005E6770" w:rsidP="005E6770">
        <w:pPr>
          <w:pStyle w:val="Header"/>
          <w:jc w:val="right"/>
        </w:pPr>
        <w:r>
          <w:t>Attachment 1</w:t>
        </w:r>
      </w:p>
      <w:p w:rsidR="005E6770" w:rsidRDefault="005E6770" w:rsidP="005E6770">
        <w:pPr>
          <w:pStyle w:val="Header"/>
          <w:jc w:val="right"/>
        </w:pPr>
        <w:r>
          <w:t>Page 1</w:t>
        </w:r>
        <w:r>
          <w:rPr>
            <w:noProof/>
          </w:rPr>
          <w:t xml:space="preserve"> of </w:t>
        </w:r>
        <w:r w:rsidR="007640B0">
          <w:rPr>
            <w:noProof/>
          </w:rPr>
          <w:t>1</w:t>
        </w:r>
      </w:p>
    </w:sdtContent>
  </w:sdt>
  <w:p w:rsidR="00E97C77" w:rsidRPr="005E6770" w:rsidRDefault="00E97C77" w:rsidP="005E677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ECE" w:rsidRDefault="000A51B8" w:rsidP="00032ECE">
    <w:pPr>
      <w:tabs>
        <w:tab w:val="center" w:pos="4680"/>
        <w:tab w:val="right" w:pos="9360"/>
      </w:tabs>
      <w:autoSpaceDE w:val="0"/>
      <w:autoSpaceDN w:val="0"/>
      <w:adjustRightInd w:val="0"/>
      <w:jc w:val="right"/>
      <w:rPr>
        <w:rFonts w:eastAsia="Calibri" w:cs="Arial"/>
      </w:rPr>
    </w:pPr>
    <w:r>
      <w:rPr>
        <w:rFonts w:eastAsia="Calibri" w:cs="Arial"/>
      </w:rPr>
      <w:t>Bond</w:t>
    </w:r>
    <w:r w:rsidR="00032ECE">
      <w:rPr>
        <w:rFonts w:eastAsia="Calibri" w:cs="Arial"/>
      </w:rPr>
      <w:t xml:space="preserve"> Indebtedness</w:t>
    </w:r>
  </w:p>
  <w:p w:rsidR="00057EC5" w:rsidRDefault="00057EC5">
    <w:pPr>
      <w:pStyle w:val="Header"/>
      <w:jc w:val="right"/>
    </w:pPr>
    <w:r>
      <w:t xml:space="preserve">Attachment </w:t>
    </w:r>
    <w:r w:rsidR="00B55DA4">
      <w:t>2</w:t>
    </w:r>
  </w:p>
  <w:p w:rsidR="00057EC5" w:rsidRDefault="00057EC5" w:rsidP="00032ECE">
    <w:pPr>
      <w:pStyle w:val="Header"/>
      <w:spacing w:after="120"/>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736E0E">
          <w:rPr>
            <w:noProof/>
          </w:rPr>
          <w:t>1</w:t>
        </w:r>
        <w:r>
          <w:rPr>
            <w:noProof/>
          </w:rPr>
          <w:fldChar w:fldCharType="end"/>
        </w:r>
        <w:r>
          <w:rPr>
            <w:noProof/>
          </w:rPr>
          <w:t xml:space="preserve"> of </w:t>
        </w:r>
        <w:r w:rsidR="007640B0">
          <w:rPr>
            <w:noProof/>
          </w:rPr>
          <w:t>3</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7EC5" w:rsidRPr="00363822" w:rsidRDefault="00057EC5"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C77" w:rsidRDefault="00E97C77">
    <w:pPr>
      <w:pStyle w:val="Header"/>
      <w:jc w:val="right"/>
    </w:pPr>
    <w:r>
      <w:t xml:space="preserve">Attachment </w:t>
    </w:r>
    <w:r w:rsidR="00A21043">
      <w:t>5</w:t>
    </w:r>
  </w:p>
  <w:p w:rsidR="00E97C77" w:rsidRDefault="00E97C77"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318E1">
          <w:rPr>
            <w:noProof/>
          </w:rPr>
          <w:t>1</w:t>
        </w:r>
        <w:r>
          <w:rPr>
            <w:noProof/>
          </w:rPr>
          <w:fldChar w:fldCharType="end"/>
        </w:r>
        <w:r>
          <w:rPr>
            <w:noProof/>
          </w:rPr>
          <w:t xml:space="preserve"> of </w:t>
        </w:r>
        <w:r w:rsidR="003D7745">
          <w:rPr>
            <w:noProof/>
          </w:rPr>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14A21"/>
    <w:rsid w:val="000253B7"/>
    <w:rsid w:val="000318E1"/>
    <w:rsid w:val="00031BA1"/>
    <w:rsid w:val="00032ECE"/>
    <w:rsid w:val="0003308C"/>
    <w:rsid w:val="000342BC"/>
    <w:rsid w:val="0004626C"/>
    <w:rsid w:val="00046BA8"/>
    <w:rsid w:val="00051AC8"/>
    <w:rsid w:val="00057C24"/>
    <w:rsid w:val="00057EC5"/>
    <w:rsid w:val="000627CB"/>
    <w:rsid w:val="00070F67"/>
    <w:rsid w:val="000A1B32"/>
    <w:rsid w:val="000A51B8"/>
    <w:rsid w:val="000D5C31"/>
    <w:rsid w:val="000E09DC"/>
    <w:rsid w:val="000F4FD0"/>
    <w:rsid w:val="001048F3"/>
    <w:rsid w:val="001076C9"/>
    <w:rsid w:val="001174F6"/>
    <w:rsid w:val="001311FE"/>
    <w:rsid w:val="001336AD"/>
    <w:rsid w:val="00145EC2"/>
    <w:rsid w:val="00157E79"/>
    <w:rsid w:val="00161304"/>
    <w:rsid w:val="00164466"/>
    <w:rsid w:val="001711AD"/>
    <w:rsid w:val="0018148D"/>
    <w:rsid w:val="00190775"/>
    <w:rsid w:val="00192C97"/>
    <w:rsid w:val="001A0CA5"/>
    <w:rsid w:val="001A575A"/>
    <w:rsid w:val="001A5BE6"/>
    <w:rsid w:val="001B3958"/>
    <w:rsid w:val="001B4484"/>
    <w:rsid w:val="001B6378"/>
    <w:rsid w:val="001C13E0"/>
    <w:rsid w:val="001C3077"/>
    <w:rsid w:val="001C6359"/>
    <w:rsid w:val="001D1901"/>
    <w:rsid w:val="001D4D10"/>
    <w:rsid w:val="001D5EC7"/>
    <w:rsid w:val="001E3A89"/>
    <w:rsid w:val="002070D4"/>
    <w:rsid w:val="00211E3E"/>
    <w:rsid w:val="002128B3"/>
    <w:rsid w:val="00220C51"/>
    <w:rsid w:val="00223112"/>
    <w:rsid w:val="00226A69"/>
    <w:rsid w:val="002339BF"/>
    <w:rsid w:val="00240B26"/>
    <w:rsid w:val="002521D0"/>
    <w:rsid w:val="00253AB9"/>
    <w:rsid w:val="0025563A"/>
    <w:rsid w:val="00265389"/>
    <w:rsid w:val="00265C54"/>
    <w:rsid w:val="002669A4"/>
    <w:rsid w:val="00272F88"/>
    <w:rsid w:val="00274DCA"/>
    <w:rsid w:val="00284BF9"/>
    <w:rsid w:val="00290F05"/>
    <w:rsid w:val="00294B79"/>
    <w:rsid w:val="002A06FA"/>
    <w:rsid w:val="002A7CFE"/>
    <w:rsid w:val="002A7EB4"/>
    <w:rsid w:val="002B4230"/>
    <w:rsid w:val="002C4EEF"/>
    <w:rsid w:val="002C7888"/>
    <w:rsid w:val="002D1A82"/>
    <w:rsid w:val="002E3629"/>
    <w:rsid w:val="002E4CB5"/>
    <w:rsid w:val="002E6FCA"/>
    <w:rsid w:val="002F14D6"/>
    <w:rsid w:val="002F62BB"/>
    <w:rsid w:val="002F7E6F"/>
    <w:rsid w:val="00303101"/>
    <w:rsid w:val="00322BA8"/>
    <w:rsid w:val="00363822"/>
    <w:rsid w:val="00380D78"/>
    <w:rsid w:val="00381745"/>
    <w:rsid w:val="0038387D"/>
    <w:rsid w:val="00383B34"/>
    <w:rsid w:val="00384ACF"/>
    <w:rsid w:val="00387F79"/>
    <w:rsid w:val="003902D8"/>
    <w:rsid w:val="00395DDF"/>
    <w:rsid w:val="003A2E45"/>
    <w:rsid w:val="003A325B"/>
    <w:rsid w:val="003A4D58"/>
    <w:rsid w:val="003A50A3"/>
    <w:rsid w:val="003B3F65"/>
    <w:rsid w:val="003C7009"/>
    <w:rsid w:val="003D5B39"/>
    <w:rsid w:val="003D7745"/>
    <w:rsid w:val="003E1E4D"/>
    <w:rsid w:val="003E328B"/>
    <w:rsid w:val="003E7171"/>
    <w:rsid w:val="003F2A1E"/>
    <w:rsid w:val="004020C0"/>
    <w:rsid w:val="00402644"/>
    <w:rsid w:val="00403C94"/>
    <w:rsid w:val="00406F50"/>
    <w:rsid w:val="004203BC"/>
    <w:rsid w:val="00423DF6"/>
    <w:rsid w:val="004400C0"/>
    <w:rsid w:val="0044670C"/>
    <w:rsid w:val="00461B12"/>
    <w:rsid w:val="00467F7B"/>
    <w:rsid w:val="004711D9"/>
    <w:rsid w:val="00476437"/>
    <w:rsid w:val="0047712B"/>
    <w:rsid w:val="004879B0"/>
    <w:rsid w:val="004B398F"/>
    <w:rsid w:val="004C43EF"/>
    <w:rsid w:val="004E029B"/>
    <w:rsid w:val="004F170A"/>
    <w:rsid w:val="00505C17"/>
    <w:rsid w:val="005107BE"/>
    <w:rsid w:val="00512071"/>
    <w:rsid w:val="00514FDA"/>
    <w:rsid w:val="00517C00"/>
    <w:rsid w:val="00520966"/>
    <w:rsid w:val="00523B4D"/>
    <w:rsid w:val="00526C76"/>
    <w:rsid w:val="00527AD8"/>
    <w:rsid w:val="00527B0E"/>
    <w:rsid w:val="00532DAF"/>
    <w:rsid w:val="00541AC4"/>
    <w:rsid w:val="00544802"/>
    <w:rsid w:val="00545DE4"/>
    <w:rsid w:val="0054662B"/>
    <w:rsid w:val="0054723A"/>
    <w:rsid w:val="00551A55"/>
    <w:rsid w:val="00553084"/>
    <w:rsid w:val="0055733B"/>
    <w:rsid w:val="00567214"/>
    <w:rsid w:val="00574B7D"/>
    <w:rsid w:val="005764D6"/>
    <w:rsid w:val="00577384"/>
    <w:rsid w:val="005807AB"/>
    <w:rsid w:val="005A1390"/>
    <w:rsid w:val="005A7C7A"/>
    <w:rsid w:val="005B2057"/>
    <w:rsid w:val="005B60C9"/>
    <w:rsid w:val="005B645F"/>
    <w:rsid w:val="005C0E2A"/>
    <w:rsid w:val="005D000B"/>
    <w:rsid w:val="005D3601"/>
    <w:rsid w:val="005D7C6D"/>
    <w:rsid w:val="005E54FD"/>
    <w:rsid w:val="005E6770"/>
    <w:rsid w:val="005E73BC"/>
    <w:rsid w:val="005F03C9"/>
    <w:rsid w:val="005F73EC"/>
    <w:rsid w:val="005F7CF1"/>
    <w:rsid w:val="00601381"/>
    <w:rsid w:val="006075A8"/>
    <w:rsid w:val="00610B7C"/>
    <w:rsid w:val="00611360"/>
    <w:rsid w:val="0063055B"/>
    <w:rsid w:val="00630A0F"/>
    <w:rsid w:val="00635F68"/>
    <w:rsid w:val="00656B85"/>
    <w:rsid w:val="00665D2D"/>
    <w:rsid w:val="00674EB6"/>
    <w:rsid w:val="0068050B"/>
    <w:rsid w:val="006811AB"/>
    <w:rsid w:val="00690378"/>
    <w:rsid w:val="00692300"/>
    <w:rsid w:val="00693951"/>
    <w:rsid w:val="00693EEB"/>
    <w:rsid w:val="00695713"/>
    <w:rsid w:val="006A2F41"/>
    <w:rsid w:val="006A3D0A"/>
    <w:rsid w:val="006A4E9E"/>
    <w:rsid w:val="006A5F7F"/>
    <w:rsid w:val="006B4D66"/>
    <w:rsid w:val="006C0B4F"/>
    <w:rsid w:val="006D0223"/>
    <w:rsid w:val="006D0D15"/>
    <w:rsid w:val="006E06C6"/>
    <w:rsid w:val="006E6316"/>
    <w:rsid w:val="006E7C89"/>
    <w:rsid w:val="00710805"/>
    <w:rsid w:val="00711DA8"/>
    <w:rsid w:val="00736E0E"/>
    <w:rsid w:val="007428B8"/>
    <w:rsid w:val="00746164"/>
    <w:rsid w:val="00752180"/>
    <w:rsid w:val="00761321"/>
    <w:rsid w:val="007640B0"/>
    <w:rsid w:val="00765435"/>
    <w:rsid w:val="0077666B"/>
    <w:rsid w:val="00780BB6"/>
    <w:rsid w:val="00781480"/>
    <w:rsid w:val="007A11A5"/>
    <w:rsid w:val="007B6AD5"/>
    <w:rsid w:val="007C3B71"/>
    <w:rsid w:val="007C6EC0"/>
    <w:rsid w:val="007D1E49"/>
    <w:rsid w:val="007D2ACC"/>
    <w:rsid w:val="007D5FB3"/>
    <w:rsid w:val="007E395D"/>
    <w:rsid w:val="007E7BB2"/>
    <w:rsid w:val="0081395D"/>
    <w:rsid w:val="00821F89"/>
    <w:rsid w:val="00824FC3"/>
    <w:rsid w:val="00825BF3"/>
    <w:rsid w:val="00834394"/>
    <w:rsid w:val="00841D5F"/>
    <w:rsid w:val="00844767"/>
    <w:rsid w:val="0085485E"/>
    <w:rsid w:val="00863B31"/>
    <w:rsid w:val="00863C0E"/>
    <w:rsid w:val="00870875"/>
    <w:rsid w:val="008776FA"/>
    <w:rsid w:val="00880527"/>
    <w:rsid w:val="008C2797"/>
    <w:rsid w:val="008D48E0"/>
    <w:rsid w:val="008D7158"/>
    <w:rsid w:val="008E0213"/>
    <w:rsid w:val="008E3BD5"/>
    <w:rsid w:val="008E6DA3"/>
    <w:rsid w:val="008E72A1"/>
    <w:rsid w:val="008F1A17"/>
    <w:rsid w:val="008F2DC9"/>
    <w:rsid w:val="008F4804"/>
    <w:rsid w:val="008F65BE"/>
    <w:rsid w:val="009001B9"/>
    <w:rsid w:val="00902B70"/>
    <w:rsid w:val="0091117B"/>
    <w:rsid w:val="0091638D"/>
    <w:rsid w:val="009216D3"/>
    <w:rsid w:val="009300EB"/>
    <w:rsid w:val="0094112C"/>
    <w:rsid w:val="00944182"/>
    <w:rsid w:val="00947B8E"/>
    <w:rsid w:val="009561D5"/>
    <w:rsid w:val="00967259"/>
    <w:rsid w:val="009736F8"/>
    <w:rsid w:val="00982EFE"/>
    <w:rsid w:val="00991770"/>
    <w:rsid w:val="009A1256"/>
    <w:rsid w:val="009A6715"/>
    <w:rsid w:val="009D5028"/>
    <w:rsid w:val="009D7653"/>
    <w:rsid w:val="009E2584"/>
    <w:rsid w:val="009E66D0"/>
    <w:rsid w:val="009E676D"/>
    <w:rsid w:val="009E7731"/>
    <w:rsid w:val="009F16C9"/>
    <w:rsid w:val="009F4D70"/>
    <w:rsid w:val="00A0291A"/>
    <w:rsid w:val="00A0514B"/>
    <w:rsid w:val="00A14524"/>
    <w:rsid w:val="00A16315"/>
    <w:rsid w:val="00A21043"/>
    <w:rsid w:val="00A26C23"/>
    <w:rsid w:val="00A33601"/>
    <w:rsid w:val="00A427E6"/>
    <w:rsid w:val="00A44F5D"/>
    <w:rsid w:val="00A573FD"/>
    <w:rsid w:val="00A72DC3"/>
    <w:rsid w:val="00A74698"/>
    <w:rsid w:val="00A75974"/>
    <w:rsid w:val="00A77358"/>
    <w:rsid w:val="00A82361"/>
    <w:rsid w:val="00A83F63"/>
    <w:rsid w:val="00A86666"/>
    <w:rsid w:val="00AB261E"/>
    <w:rsid w:val="00AB36A4"/>
    <w:rsid w:val="00AC3012"/>
    <w:rsid w:val="00AD1BA7"/>
    <w:rsid w:val="00AD357B"/>
    <w:rsid w:val="00AE3D76"/>
    <w:rsid w:val="00AE5FE0"/>
    <w:rsid w:val="00AF2534"/>
    <w:rsid w:val="00AF4C35"/>
    <w:rsid w:val="00AF5BAE"/>
    <w:rsid w:val="00B1695B"/>
    <w:rsid w:val="00B375E4"/>
    <w:rsid w:val="00B404A1"/>
    <w:rsid w:val="00B4214C"/>
    <w:rsid w:val="00B50B42"/>
    <w:rsid w:val="00B55DA4"/>
    <w:rsid w:val="00B5707E"/>
    <w:rsid w:val="00B603EF"/>
    <w:rsid w:val="00B66358"/>
    <w:rsid w:val="00B66542"/>
    <w:rsid w:val="00B723BE"/>
    <w:rsid w:val="00B82705"/>
    <w:rsid w:val="00B922CC"/>
    <w:rsid w:val="00BB18AB"/>
    <w:rsid w:val="00BC62F1"/>
    <w:rsid w:val="00BC7E62"/>
    <w:rsid w:val="00BD0034"/>
    <w:rsid w:val="00BE0CC8"/>
    <w:rsid w:val="00BF4613"/>
    <w:rsid w:val="00C02C7E"/>
    <w:rsid w:val="00C07790"/>
    <w:rsid w:val="00C11A10"/>
    <w:rsid w:val="00C17D7D"/>
    <w:rsid w:val="00C40626"/>
    <w:rsid w:val="00C454A3"/>
    <w:rsid w:val="00C4555E"/>
    <w:rsid w:val="00C463CA"/>
    <w:rsid w:val="00C561C9"/>
    <w:rsid w:val="00C6026A"/>
    <w:rsid w:val="00C746D6"/>
    <w:rsid w:val="00C82CBA"/>
    <w:rsid w:val="00C87C10"/>
    <w:rsid w:val="00C95304"/>
    <w:rsid w:val="00CA4874"/>
    <w:rsid w:val="00CA57C9"/>
    <w:rsid w:val="00CA57D6"/>
    <w:rsid w:val="00CB3B64"/>
    <w:rsid w:val="00CB3D7D"/>
    <w:rsid w:val="00CB7285"/>
    <w:rsid w:val="00CC193B"/>
    <w:rsid w:val="00CC68DD"/>
    <w:rsid w:val="00CD4985"/>
    <w:rsid w:val="00CD7BCF"/>
    <w:rsid w:val="00CE1C84"/>
    <w:rsid w:val="00CF27EF"/>
    <w:rsid w:val="00CF5C8A"/>
    <w:rsid w:val="00CF61E4"/>
    <w:rsid w:val="00D00036"/>
    <w:rsid w:val="00D03B10"/>
    <w:rsid w:val="00D06AE4"/>
    <w:rsid w:val="00D14A17"/>
    <w:rsid w:val="00D37310"/>
    <w:rsid w:val="00D37B85"/>
    <w:rsid w:val="00D40030"/>
    <w:rsid w:val="00D40BC3"/>
    <w:rsid w:val="00D47DAB"/>
    <w:rsid w:val="00D5115F"/>
    <w:rsid w:val="00D52326"/>
    <w:rsid w:val="00D52902"/>
    <w:rsid w:val="00D56BEB"/>
    <w:rsid w:val="00D7131F"/>
    <w:rsid w:val="00D71376"/>
    <w:rsid w:val="00D7625B"/>
    <w:rsid w:val="00D8390A"/>
    <w:rsid w:val="00D8667C"/>
    <w:rsid w:val="00D93F28"/>
    <w:rsid w:val="00D95D62"/>
    <w:rsid w:val="00D96DAF"/>
    <w:rsid w:val="00DB1327"/>
    <w:rsid w:val="00DB1487"/>
    <w:rsid w:val="00DC7D23"/>
    <w:rsid w:val="00DD3795"/>
    <w:rsid w:val="00DE5FE9"/>
    <w:rsid w:val="00DF46AC"/>
    <w:rsid w:val="00E0572C"/>
    <w:rsid w:val="00E07118"/>
    <w:rsid w:val="00E075DE"/>
    <w:rsid w:val="00E10EEB"/>
    <w:rsid w:val="00E32B83"/>
    <w:rsid w:val="00E46DD9"/>
    <w:rsid w:val="00E4797C"/>
    <w:rsid w:val="00E81569"/>
    <w:rsid w:val="00E87030"/>
    <w:rsid w:val="00E8777B"/>
    <w:rsid w:val="00E92847"/>
    <w:rsid w:val="00E92BD3"/>
    <w:rsid w:val="00E95BAD"/>
    <w:rsid w:val="00E97C77"/>
    <w:rsid w:val="00EA7E08"/>
    <w:rsid w:val="00EB16F7"/>
    <w:rsid w:val="00EB3EF4"/>
    <w:rsid w:val="00EB7D15"/>
    <w:rsid w:val="00EC504C"/>
    <w:rsid w:val="00ED1797"/>
    <w:rsid w:val="00ED2F01"/>
    <w:rsid w:val="00ED5B9F"/>
    <w:rsid w:val="00ED636D"/>
    <w:rsid w:val="00EE220B"/>
    <w:rsid w:val="00EF5927"/>
    <w:rsid w:val="00F004EF"/>
    <w:rsid w:val="00F07D30"/>
    <w:rsid w:val="00F103CD"/>
    <w:rsid w:val="00F1239A"/>
    <w:rsid w:val="00F17D69"/>
    <w:rsid w:val="00F377B6"/>
    <w:rsid w:val="00F40510"/>
    <w:rsid w:val="00F706FA"/>
    <w:rsid w:val="00F71F6C"/>
    <w:rsid w:val="00F8007E"/>
    <w:rsid w:val="00FA0CD6"/>
    <w:rsid w:val="00FA2F71"/>
    <w:rsid w:val="00FB1610"/>
    <w:rsid w:val="00FB315C"/>
    <w:rsid w:val="00FB34C6"/>
    <w:rsid w:val="00FB436F"/>
    <w:rsid w:val="00FB5F4D"/>
    <w:rsid w:val="00FC166F"/>
    <w:rsid w:val="00FC1FCE"/>
    <w:rsid w:val="00FC3672"/>
    <w:rsid w:val="00FC42DE"/>
    <w:rsid w:val="00FC6DBC"/>
    <w:rsid w:val="00FD6D4A"/>
    <w:rsid w:val="00FD71F4"/>
    <w:rsid w:val="00FE28A2"/>
    <w:rsid w:val="00FE3007"/>
    <w:rsid w:val="00FE4BD6"/>
    <w:rsid w:val="00FE4C75"/>
    <w:rsid w:val="00FE7884"/>
    <w:rsid w:val="00FF277C"/>
    <w:rsid w:val="00FF3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5:docId w15:val="{935AF1FA-E7B7-48C4-9398-AA3497386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ackerr@centinela.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CE35C8-BA37-4384-B315-58D0B190F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1587</TotalTime>
  <Pages>8</Pages>
  <Words>2109</Words>
  <Characters>12026</Characters>
  <DocSecurity>0</DocSecurity>
  <Lines>100</Lines>
  <Paragraphs>28</Paragraphs>
  <ScaleCrop>false</ScaleCrop>
  <HeadingPairs>
    <vt:vector size="2" baseType="variant">
      <vt:variant>
        <vt:lpstr>Title</vt:lpstr>
      </vt:variant>
      <vt:variant>
        <vt:i4>1</vt:i4>
      </vt:variant>
    </vt:vector>
  </HeadingPairs>
  <TitlesOfParts>
    <vt:vector size="1" baseType="lpstr">
      <vt:lpstr>July 2020 Waiver Item W06 - Meeting Agenda (CA State Board of Education)</vt:lpstr>
    </vt:vector>
  </TitlesOfParts>
  <Company>California State Board of Education</Company>
  <LinksUpToDate>false</LinksUpToDate>
  <CharactersWithSpaces>14107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W-06 - Meeting Agendas (CA State Board of Education)</dc:title>
  <dc:subject>Request by the Centinela Valley Union High School District to waive California Education Code sections 15102 and 15268 to allow the district to exceed its bonded indebtedness limit.</dc:subject>
  <dc:creator/>
  <cp:keywords/>
  <dc:description/>
  <cp:lastPrinted>2018-05-16T00:02:00Z</cp:lastPrinted>
  <dcterms:created xsi:type="dcterms:W3CDTF">2018-06-22T23:18:00Z</dcterms:created>
  <dcterms:modified xsi:type="dcterms:W3CDTF">2020-06-22T17:50:00Z</dcterms:modified>
  <cp:category/>
</cp:coreProperties>
</file>