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7786" w14:textId="11D3B790" w:rsidR="006E06C6" w:rsidRPr="00B72B6D" w:rsidRDefault="0091739D" w:rsidP="00B723BE">
      <w:r>
        <w:t xml:space="preserve"> </w:t>
      </w:r>
      <w:bookmarkStart w:id="0" w:name="_GoBack"/>
      <w:bookmarkEnd w:id="0"/>
      <w:r w:rsidR="120BE198" w:rsidRPr="00B72B6D">
        <w:rPr>
          <w:noProof/>
        </w:rPr>
        <w:drawing>
          <wp:inline distT="0" distB="0" distL="0" distR="0" wp14:anchorId="0AF46BFA" wp14:editId="496792C3">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inline>
        </w:drawing>
      </w:r>
    </w:p>
    <w:p w14:paraId="62490D0B" w14:textId="77777777" w:rsidR="00B723BE" w:rsidRPr="00B72B6D" w:rsidRDefault="00FC1FCE" w:rsidP="00B723BE">
      <w:pPr>
        <w:jc w:val="right"/>
      </w:pPr>
      <w:r w:rsidRPr="00B72B6D">
        <w:t>California Department of Education</w:t>
      </w:r>
    </w:p>
    <w:p w14:paraId="27865622" w14:textId="77777777" w:rsidR="00B723BE" w:rsidRPr="00B72B6D" w:rsidRDefault="00FC1FCE" w:rsidP="00B723BE">
      <w:pPr>
        <w:jc w:val="right"/>
      </w:pPr>
      <w:r w:rsidRPr="00B72B6D">
        <w:t>Executive Office</w:t>
      </w:r>
    </w:p>
    <w:p w14:paraId="67A328D8" w14:textId="77777777" w:rsidR="002B4B14" w:rsidRPr="00B72B6D" w:rsidRDefault="00692300" w:rsidP="00B723BE">
      <w:pPr>
        <w:jc w:val="right"/>
      </w:pPr>
      <w:r w:rsidRPr="00B72B6D">
        <w:t>SBE-00</w:t>
      </w:r>
      <w:r w:rsidR="000324AD" w:rsidRPr="00B72B6D">
        <w:t>3</w:t>
      </w:r>
      <w:r w:rsidRPr="00B72B6D">
        <w:t xml:space="preserve"> (REV. 1</w:t>
      </w:r>
      <w:r w:rsidR="00C27D57" w:rsidRPr="00B72B6D">
        <w:t>1</w:t>
      </w:r>
      <w:r w:rsidRPr="00B72B6D">
        <w:t>/2017</w:t>
      </w:r>
      <w:r w:rsidR="00FC1FCE" w:rsidRPr="00B72B6D">
        <w:t>)</w:t>
      </w:r>
    </w:p>
    <w:p w14:paraId="7962E625" w14:textId="2E826195" w:rsidR="00B723BE" w:rsidRPr="00B72B6D" w:rsidRDefault="00120A9E" w:rsidP="00B723BE">
      <w:pPr>
        <w:jc w:val="right"/>
      </w:pPr>
      <w:r w:rsidRPr="00B72B6D">
        <w:t>imb-adad-</w:t>
      </w:r>
      <w:r w:rsidR="00DB6066" w:rsidRPr="00B72B6D">
        <w:t>jul</w:t>
      </w:r>
      <w:r w:rsidRPr="00B72B6D">
        <w:t>21item0</w:t>
      </w:r>
      <w:r w:rsidR="0021132A" w:rsidRPr="00B72B6D">
        <w:t>2</w:t>
      </w:r>
    </w:p>
    <w:p w14:paraId="6224070F" w14:textId="77777777" w:rsidR="00B723BE" w:rsidRPr="00B72B6D" w:rsidRDefault="00B723BE" w:rsidP="00FC1FCE">
      <w:pPr>
        <w:pStyle w:val="Heading1"/>
        <w:jc w:val="center"/>
        <w:rPr>
          <w:sz w:val="40"/>
          <w:szCs w:val="40"/>
        </w:rPr>
        <w:sectPr w:rsidR="00B723BE" w:rsidRPr="00B72B6D" w:rsidSect="00C82CBA">
          <w:headerReference w:type="default" r:id="rId12"/>
          <w:type w:val="continuous"/>
          <w:pgSz w:w="12240" w:h="15840"/>
          <w:pgMar w:top="720" w:right="1440" w:bottom="1440" w:left="1440" w:header="720" w:footer="720" w:gutter="0"/>
          <w:cols w:num="2" w:space="720"/>
          <w:titlePg/>
          <w:docGrid w:linePitch="360"/>
        </w:sectPr>
      </w:pPr>
    </w:p>
    <w:p w14:paraId="1B2FC0C3" w14:textId="77777777" w:rsidR="006E06C6" w:rsidRPr="00B72B6D" w:rsidRDefault="006E06C6" w:rsidP="00FC1FCE">
      <w:pPr>
        <w:pStyle w:val="Heading1"/>
        <w:jc w:val="center"/>
        <w:rPr>
          <w:sz w:val="40"/>
          <w:szCs w:val="40"/>
        </w:rPr>
        <w:sectPr w:rsidR="006E06C6" w:rsidRPr="00B72B6D" w:rsidSect="0091117B">
          <w:type w:val="continuous"/>
          <w:pgSz w:w="12240" w:h="15840"/>
          <w:pgMar w:top="720" w:right="1440" w:bottom="1440" w:left="1440" w:header="720" w:footer="720" w:gutter="0"/>
          <w:cols w:space="720"/>
          <w:docGrid w:linePitch="360"/>
        </w:sectPr>
      </w:pPr>
    </w:p>
    <w:p w14:paraId="1202CB6A" w14:textId="313BB836" w:rsidR="00FC1FCE" w:rsidRPr="00B72B6D" w:rsidRDefault="0091117B" w:rsidP="002B4B14">
      <w:pPr>
        <w:pStyle w:val="Heading1"/>
        <w:spacing w:before="240" w:after="240"/>
        <w:jc w:val="center"/>
        <w:rPr>
          <w:sz w:val="40"/>
          <w:szCs w:val="40"/>
        </w:rPr>
      </w:pPr>
      <w:r w:rsidRPr="00B72B6D">
        <w:rPr>
          <w:sz w:val="40"/>
          <w:szCs w:val="40"/>
        </w:rPr>
        <w:t>Californ</w:t>
      </w:r>
      <w:r w:rsidR="00693951" w:rsidRPr="00B72B6D">
        <w:rPr>
          <w:sz w:val="40"/>
          <w:szCs w:val="40"/>
        </w:rPr>
        <w:t>ia State Board of Education</w:t>
      </w:r>
      <w:r w:rsidR="00693951" w:rsidRPr="00B72B6D">
        <w:rPr>
          <w:sz w:val="40"/>
          <w:szCs w:val="40"/>
        </w:rPr>
        <w:br/>
      </w:r>
      <w:r w:rsidR="00DB6066" w:rsidRPr="00B72B6D">
        <w:rPr>
          <w:sz w:val="40"/>
          <w:szCs w:val="40"/>
        </w:rPr>
        <w:t>July</w:t>
      </w:r>
      <w:r w:rsidR="00130059" w:rsidRPr="00B72B6D">
        <w:rPr>
          <w:sz w:val="40"/>
          <w:szCs w:val="40"/>
        </w:rPr>
        <w:t xml:space="preserve"> </w:t>
      </w:r>
      <w:r w:rsidR="00433AC1" w:rsidRPr="00B72B6D">
        <w:rPr>
          <w:sz w:val="40"/>
          <w:szCs w:val="40"/>
        </w:rPr>
        <w:t>2021</w:t>
      </w:r>
      <w:r w:rsidRPr="00B72B6D">
        <w:rPr>
          <w:sz w:val="40"/>
          <w:szCs w:val="40"/>
        </w:rPr>
        <w:t xml:space="preserve"> Agenda</w:t>
      </w:r>
      <w:r w:rsidR="00FC1FCE" w:rsidRPr="00B72B6D">
        <w:rPr>
          <w:sz w:val="40"/>
          <w:szCs w:val="40"/>
        </w:rPr>
        <w:br/>
        <w:t>Item</w:t>
      </w:r>
      <w:r w:rsidR="00692300" w:rsidRPr="00B72B6D">
        <w:rPr>
          <w:sz w:val="40"/>
          <w:szCs w:val="40"/>
        </w:rPr>
        <w:t xml:space="preserve"> #</w:t>
      </w:r>
      <w:r w:rsidR="00B72B6D">
        <w:rPr>
          <w:sz w:val="40"/>
          <w:szCs w:val="40"/>
        </w:rPr>
        <w:t>04</w:t>
      </w:r>
    </w:p>
    <w:p w14:paraId="10425B6E" w14:textId="77777777" w:rsidR="00FC1FCE" w:rsidRPr="00B72B6D" w:rsidRDefault="00FC1FCE" w:rsidP="007D234B">
      <w:pPr>
        <w:pStyle w:val="Heading2"/>
      </w:pPr>
      <w:r w:rsidRPr="00B72B6D">
        <w:t>Subject</w:t>
      </w:r>
    </w:p>
    <w:p w14:paraId="5CBA4E18" w14:textId="48391284" w:rsidR="481F0593" w:rsidRPr="00B72B6D" w:rsidRDefault="02CA54BD" w:rsidP="764DA809">
      <w:pPr>
        <w:spacing w:after="480"/>
        <w:rPr>
          <w:color w:val="000000" w:themeColor="text1"/>
        </w:rPr>
      </w:pPr>
      <w:r w:rsidRPr="00B72B6D">
        <w:rPr>
          <w:rFonts w:eastAsia="Arial" w:cs="Arial"/>
          <w:color w:val="000000" w:themeColor="text1"/>
        </w:rPr>
        <w:t xml:space="preserve">The California Assessment of Student Performance and Progress </w:t>
      </w:r>
      <w:r w:rsidR="00046619" w:rsidRPr="00B72B6D">
        <w:rPr>
          <w:rFonts w:eastAsia="Arial" w:cs="Arial"/>
          <w:color w:val="000000" w:themeColor="text1"/>
        </w:rPr>
        <w:t>and</w:t>
      </w:r>
      <w:r w:rsidRPr="00B72B6D">
        <w:rPr>
          <w:rFonts w:eastAsia="Arial" w:cs="Arial"/>
          <w:color w:val="000000" w:themeColor="text1"/>
        </w:rPr>
        <w:t xml:space="preserve"> the English Language Proficiency Assessments for California: </w:t>
      </w:r>
      <w:r w:rsidR="001A52CA" w:rsidRPr="00B72B6D">
        <w:rPr>
          <w:rFonts w:eastAsia="Arial" w:cs="Arial"/>
          <w:color w:val="000000" w:themeColor="text1"/>
        </w:rPr>
        <w:t xml:space="preserve">Request for </w:t>
      </w:r>
      <w:r w:rsidRPr="00B72B6D">
        <w:rPr>
          <w:rFonts w:eastAsia="Arial" w:cs="Arial"/>
          <w:color w:val="000000" w:themeColor="text1"/>
        </w:rPr>
        <w:t xml:space="preserve">Approval to Proceed with </w:t>
      </w:r>
      <w:r w:rsidR="00B15330" w:rsidRPr="00B72B6D">
        <w:rPr>
          <w:rFonts w:eastAsia="Arial" w:cs="Arial"/>
          <w:color w:val="000000" w:themeColor="text1"/>
        </w:rPr>
        <w:t xml:space="preserve">the </w:t>
      </w:r>
      <w:r w:rsidRPr="00B72B6D">
        <w:rPr>
          <w:rFonts w:eastAsia="Arial" w:cs="Arial"/>
          <w:color w:val="000000" w:themeColor="text1"/>
        </w:rPr>
        <w:t>California Assessment System Request for Qualifications, Stage Four—Negotiations.</w:t>
      </w:r>
    </w:p>
    <w:p w14:paraId="7252E554" w14:textId="77777777" w:rsidR="00FC1FCE" w:rsidRPr="00B72B6D" w:rsidRDefault="00FC1FCE" w:rsidP="007D234B">
      <w:pPr>
        <w:pStyle w:val="Heading2"/>
      </w:pPr>
      <w:r w:rsidRPr="00B72B6D">
        <w:t>Type of Action</w:t>
      </w:r>
    </w:p>
    <w:p w14:paraId="7134B5F5" w14:textId="77777777" w:rsidR="00E87D31" w:rsidRPr="00B72B6D" w:rsidRDefault="00E87D31" w:rsidP="000E09DC">
      <w:pPr>
        <w:spacing w:after="480"/>
      </w:pPr>
      <w:r w:rsidRPr="00B72B6D">
        <w:t>Action, Information</w:t>
      </w:r>
    </w:p>
    <w:p w14:paraId="0E356E52" w14:textId="77777777" w:rsidR="00FC1FCE" w:rsidRPr="00B72B6D" w:rsidRDefault="00FC1FCE" w:rsidP="007D234B">
      <w:pPr>
        <w:pStyle w:val="Heading2"/>
      </w:pPr>
      <w:r w:rsidRPr="00B72B6D">
        <w:t>Summary of the Issue(s)</w:t>
      </w:r>
    </w:p>
    <w:p w14:paraId="32D5EC13" w14:textId="48E29C45" w:rsidR="23725CBE" w:rsidRPr="00B72B6D" w:rsidRDefault="23725CBE" w:rsidP="00F5221A">
      <w:pPr>
        <w:spacing w:before="240" w:after="480"/>
        <w:rPr>
          <w:color w:val="000000" w:themeColor="text1"/>
        </w:rPr>
      </w:pPr>
      <w:r w:rsidRPr="00B72B6D">
        <w:rPr>
          <w:rFonts w:eastAsia="Arial" w:cs="Arial"/>
          <w:color w:val="000000" w:themeColor="text1"/>
        </w:rPr>
        <w:t xml:space="preserve">The California Department of Education (CDE) seeks approval to </w:t>
      </w:r>
      <w:r w:rsidR="002466AB" w:rsidRPr="00B72B6D">
        <w:rPr>
          <w:rFonts w:eastAsia="Arial" w:cs="Arial"/>
          <w:color w:val="000000" w:themeColor="text1"/>
        </w:rPr>
        <w:t>proceed with the California Assessment System Request for Qualifications</w:t>
      </w:r>
      <w:r w:rsidR="003C5C79" w:rsidRPr="00B72B6D">
        <w:rPr>
          <w:rFonts w:eastAsia="Arial" w:cs="Arial"/>
          <w:color w:val="000000" w:themeColor="text1"/>
        </w:rPr>
        <w:t xml:space="preserve"> (</w:t>
      </w:r>
      <w:r w:rsidR="003C5C79" w:rsidRPr="00B72B6D">
        <w:t>RFQ)</w:t>
      </w:r>
      <w:r w:rsidR="002466AB" w:rsidRPr="00B72B6D">
        <w:rPr>
          <w:rFonts w:eastAsia="Arial" w:cs="Arial"/>
          <w:color w:val="000000" w:themeColor="text1"/>
        </w:rPr>
        <w:t xml:space="preserve">, Stage Four—Negotiations with the </w:t>
      </w:r>
      <w:r w:rsidR="00B15330" w:rsidRPr="00B72B6D">
        <w:rPr>
          <w:rFonts w:cs="Arial"/>
          <w:color w:val="000000" w:themeColor="text1"/>
        </w:rPr>
        <w:t>highest ranked potential contractor Educational Testing Service (ETS)</w:t>
      </w:r>
      <w:r w:rsidRPr="00B72B6D">
        <w:rPr>
          <w:rFonts w:eastAsia="Arial" w:cs="Arial"/>
          <w:color w:val="000000" w:themeColor="text1"/>
        </w:rPr>
        <w:t xml:space="preserve">. This item provides a </w:t>
      </w:r>
      <w:r w:rsidR="00EC2EDC" w:rsidRPr="00B72B6D">
        <w:rPr>
          <w:rFonts w:eastAsia="Arial" w:cs="Arial"/>
          <w:color w:val="000000" w:themeColor="text1"/>
        </w:rPr>
        <w:t>summary of the procurement process for the next assessment contract</w:t>
      </w:r>
      <w:r w:rsidRPr="00B72B6D">
        <w:rPr>
          <w:rFonts w:eastAsia="Arial" w:cs="Arial"/>
          <w:color w:val="000000" w:themeColor="text1"/>
        </w:rPr>
        <w:t xml:space="preserve"> </w:t>
      </w:r>
      <w:r w:rsidR="00B15330" w:rsidRPr="00B72B6D">
        <w:rPr>
          <w:rFonts w:eastAsia="Arial" w:cs="Arial"/>
          <w:color w:val="000000" w:themeColor="text1"/>
        </w:rPr>
        <w:t>to develop and administer</w:t>
      </w:r>
      <w:r w:rsidR="00EC2EDC" w:rsidRPr="00B72B6D">
        <w:rPr>
          <w:rFonts w:eastAsia="Arial" w:cs="Arial"/>
          <w:color w:val="000000" w:themeColor="text1"/>
        </w:rPr>
        <w:t xml:space="preserve"> </w:t>
      </w:r>
      <w:r w:rsidR="00FF2606" w:rsidRPr="00B72B6D">
        <w:rPr>
          <w:rFonts w:eastAsia="Arial" w:cs="Arial"/>
          <w:color w:val="000000" w:themeColor="text1"/>
        </w:rPr>
        <w:t>the</w:t>
      </w:r>
      <w:r w:rsidRPr="00B72B6D">
        <w:rPr>
          <w:rFonts w:eastAsia="Arial" w:cs="Arial"/>
          <w:color w:val="000000" w:themeColor="text1"/>
        </w:rPr>
        <w:t xml:space="preserve"> California Assessment of Student Performance and Progress (CAASPP)</w:t>
      </w:r>
      <w:r w:rsidR="00FF2606" w:rsidRPr="00B72B6D">
        <w:rPr>
          <w:rFonts w:eastAsia="Arial" w:cs="Arial"/>
          <w:color w:val="000000" w:themeColor="text1"/>
        </w:rPr>
        <w:t xml:space="preserve"> and </w:t>
      </w:r>
      <w:r w:rsidRPr="00B72B6D">
        <w:rPr>
          <w:rFonts w:eastAsia="Arial" w:cs="Arial"/>
          <w:color w:val="000000" w:themeColor="text1"/>
        </w:rPr>
        <w:t>English Language Proficiency Assessments for California (ELPAC</w:t>
      </w:r>
      <w:r w:rsidR="00FF2606" w:rsidRPr="00B72B6D">
        <w:rPr>
          <w:rFonts w:eastAsia="Arial" w:cs="Arial"/>
          <w:color w:val="000000" w:themeColor="text1"/>
        </w:rPr>
        <w:t>)</w:t>
      </w:r>
      <w:r w:rsidR="00F9740A" w:rsidRPr="00B72B6D">
        <w:rPr>
          <w:rFonts w:eastAsia="Arial" w:cs="Arial"/>
          <w:color w:val="000000" w:themeColor="text1"/>
        </w:rPr>
        <w:t xml:space="preserve">, </w:t>
      </w:r>
      <w:r w:rsidR="00F9740A" w:rsidRPr="00B72B6D">
        <w:t>collectively known as the California Assessment System</w:t>
      </w:r>
      <w:r w:rsidRPr="00B72B6D">
        <w:rPr>
          <w:rFonts w:eastAsia="Arial" w:cs="Arial"/>
          <w:color w:val="000000" w:themeColor="text1"/>
        </w:rPr>
        <w:t>.</w:t>
      </w:r>
    </w:p>
    <w:p w14:paraId="53CE55CA" w14:textId="77777777" w:rsidR="003E4DF7" w:rsidRPr="00B72B6D" w:rsidRDefault="003E4DF7" w:rsidP="007D234B">
      <w:pPr>
        <w:pStyle w:val="Heading2"/>
      </w:pPr>
      <w:r w:rsidRPr="00B72B6D">
        <w:t>Recommendation</w:t>
      </w:r>
    </w:p>
    <w:p w14:paraId="2DBE0BC3" w14:textId="48134EF2" w:rsidR="5366CC53" w:rsidRPr="00B72B6D" w:rsidRDefault="5366CC53" w:rsidP="0064422B">
      <w:pPr>
        <w:spacing w:after="480"/>
      </w:pPr>
      <w:r w:rsidRPr="00B72B6D">
        <w:rPr>
          <w:rFonts w:eastAsia="Arial" w:cs="Arial"/>
        </w:rPr>
        <w:t>The CDE recommends that the California State Board of Education (SBE) approve the request to begin negotiations with</w:t>
      </w:r>
      <w:r w:rsidR="00DF4B90" w:rsidRPr="00B72B6D">
        <w:rPr>
          <w:rFonts w:eastAsia="Arial" w:cs="Arial"/>
        </w:rPr>
        <w:t xml:space="preserve"> ETS</w:t>
      </w:r>
      <w:r w:rsidR="00E87D31" w:rsidRPr="00B72B6D">
        <w:rPr>
          <w:rFonts w:eastAsia="Arial" w:cs="Arial"/>
        </w:rPr>
        <w:t xml:space="preserve"> </w:t>
      </w:r>
      <w:r w:rsidRPr="00B72B6D">
        <w:rPr>
          <w:rFonts w:eastAsia="Arial" w:cs="Arial"/>
        </w:rPr>
        <w:t xml:space="preserve">for the </w:t>
      </w:r>
      <w:r w:rsidR="002466AB" w:rsidRPr="00B72B6D">
        <w:rPr>
          <w:rFonts w:eastAsia="Arial" w:cs="Arial"/>
        </w:rPr>
        <w:t>California Assessment System</w:t>
      </w:r>
      <w:r w:rsidR="00B15330" w:rsidRPr="00B72B6D">
        <w:rPr>
          <w:rFonts w:eastAsia="Arial" w:cs="Arial"/>
        </w:rPr>
        <w:t xml:space="preserve"> contract</w:t>
      </w:r>
      <w:r w:rsidR="002466AB" w:rsidRPr="00B72B6D">
        <w:rPr>
          <w:rFonts w:eastAsia="Arial" w:cs="Arial"/>
        </w:rPr>
        <w:t xml:space="preserve"> </w:t>
      </w:r>
      <w:r w:rsidR="26F47668" w:rsidRPr="00B72B6D">
        <w:rPr>
          <w:rFonts w:eastAsia="Arial" w:cs="Arial"/>
        </w:rPr>
        <w:t>to cover five administrations of the CAASPP and ELPAC</w:t>
      </w:r>
      <w:r w:rsidR="00C633B7" w:rsidRPr="00B72B6D">
        <w:rPr>
          <w:rFonts w:eastAsia="Arial" w:cs="Arial"/>
        </w:rPr>
        <w:t>,</w:t>
      </w:r>
      <w:r w:rsidR="26F47668" w:rsidRPr="00B72B6D">
        <w:rPr>
          <w:rFonts w:eastAsia="Arial" w:cs="Arial"/>
        </w:rPr>
        <w:t xml:space="preserve"> beginning July 1, 2022 through December 31, 2027.</w:t>
      </w:r>
    </w:p>
    <w:p w14:paraId="6ED60876" w14:textId="77777777" w:rsidR="00F40510" w:rsidRPr="00B72B6D" w:rsidRDefault="003E4DF7" w:rsidP="007D234B">
      <w:pPr>
        <w:pStyle w:val="Heading2"/>
      </w:pPr>
      <w:r w:rsidRPr="00B72B6D">
        <w:lastRenderedPageBreak/>
        <w:t>Brief History of Key Issues</w:t>
      </w:r>
    </w:p>
    <w:p w14:paraId="240F81CB" w14:textId="406EAB09" w:rsidR="00C329FC" w:rsidRPr="00B72B6D" w:rsidRDefault="002E0368" w:rsidP="0064422B">
      <w:pPr>
        <w:spacing w:before="240" w:after="480"/>
        <w:rPr>
          <w:rFonts w:eastAsia="Arial"/>
          <w:b/>
        </w:rPr>
      </w:pPr>
      <w:r w:rsidRPr="00B72B6D">
        <w:rPr>
          <w:rFonts w:eastAsia="Arial"/>
        </w:rPr>
        <w:t>The following section detail</w:t>
      </w:r>
      <w:r w:rsidR="00B5325A" w:rsidRPr="00B72B6D">
        <w:rPr>
          <w:rFonts w:eastAsia="Arial"/>
        </w:rPr>
        <w:t>s</w:t>
      </w:r>
      <w:r w:rsidRPr="00B72B6D">
        <w:rPr>
          <w:rFonts w:eastAsia="Arial"/>
        </w:rPr>
        <w:t xml:space="preserve"> the CDE’s proposed recommendation to the</w:t>
      </w:r>
      <w:r w:rsidR="008205C7" w:rsidRPr="00B72B6D">
        <w:rPr>
          <w:rFonts w:eastAsia="Arial"/>
        </w:rPr>
        <w:t xml:space="preserve"> SBE</w:t>
      </w:r>
      <w:r w:rsidRPr="00B72B6D">
        <w:rPr>
          <w:rFonts w:eastAsia="Arial"/>
        </w:rPr>
        <w:t>.</w:t>
      </w:r>
    </w:p>
    <w:p w14:paraId="01F30405" w14:textId="77777777" w:rsidR="009D7457" w:rsidRPr="00B72B6D" w:rsidRDefault="00592B5F" w:rsidP="004B24FD">
      <w:pPr>
        <w:pStyle w:val="Heading3"/>
      </w:pPr>
      <w:r w:rsidRPr="00B72B6D">
        <w:t>Procurement Process Status</w:t>
      </w:r>
    </w:p>
    <w:p w14:paraId="62EDDAED" w14:textId="5D965B67" w:rsidR="00026D21" w:rsidRPr="00B72B6D" w:rsidRDefault="00026D21" w:rsidP="00026D21">
      <w:pPr>
        <w:spacing w:after="240"/>
        <w:rPr>
          <w:b/>
          <w:bCs/>
        </w:rPr>
      </w:pPr>
      <w:r w:rsidRPr="00B72B6D">
        <w:t>The CDE issued a</w:t>
      </w:r>
      <w:r w:rsidR="003C5C79" w:rsidRPr="00B72B6D">
        <w:t>n</w:t>
      </w:r>
      <w:r w:rsidRPr="00B72B6D">
        <w:t xml:space="preserve"> RFQ as a four-stage process to procure its next assessment contract for five administrations of the </w:t>
      </w:r>
      <w:r w:rsidR="008016DF" w:rsidRPr="00B72B6D">
        <w:t>California Assessment System</w:t>
      </w:r>
      <w:r w:rsidR="008016DF" w:rsidRPr="00B72B6D">
        <w:rPr>
          <w:rFonts w:cs="Arial"/>
        </w:rPr>
        <w:t xml:space="preserve">—the </w:t>
      </w:r>
      <w:r w:rsidRPr="00B72B6D">
        <w:t xml:space="preserve">CAASPP and </w:t>
      </w:r>
      <w:r w:rsidR="008016DF" w:rsidRPr="00B72B6D">
        <w:t xml:space="preserve">the </w:t>
      </w:r>
      <w:r w:rsidRPr="00B72B6D">
        <w:t xml:space="preserve">ELPAC. This contract is projected to begin July 1, 2022, allowing for a </w:t>
      </w:r>
      <w:r w:rsidR="005642AF" w:rsidRPr="00B72B6D">
        <w:t>six-</w:t>
      </w:r>
      <w:r w:rsidRPr="00B72B6D">
        <w:t>month overlap with the current contract for transition activities, and continue through December 31, 2027. Th</w:t>
      </w:r>
      <w:r w:rsidR="008016DF" w:rsidRPr="00B72B6D">
        <w:t>e</w:t>
      </w:r>
      <w:r w:rsidRPr="00B72B6D">
        <w:t xml:space="preserve"> four-stage approach</w:t>
      </w:r>
      <w:r w:rsidR="000E71B2" w:rsidRPr="00B72B6D">
        <w:t xml:space="preserve"> to procuring </w:t>
      </w:r>
      <w:r w:rsidR="005434BF" w:rsidRPr="00B72B6D">
        <w:t>the contract</w:t>
      </w:r>
      <w:r w:rsidRPr="00B72B6D">
        <w:t xml:space="preserve"> allows the CDE to identify an assessment contractor with the proven capacity and expertise to successfully implement the California Assessment System.</w:t>
      </w:r>
    </w:p>
    <w:p w14:paraId="59F4AF42" w14:textId="389A4E9A" w:rsidR="00026D21" w:rsidRPr="00B72B6D" w:rsidRDefault="00026D21" w:rsidP="259EAF4B">
      <w:pPr>
        <w:pStyle w:val="NormalWeb"/>
        <w:spacing w:before="0" w:beforeAutospacing="0" w:after="240" w:afterAutospacing="0"/>
        <w:rPr>
          <w:rFonts w:ascii="Arial" w:hAnsi="Arial" w:cs="Arial"/>
          <w:color w:val="000000"/>
        </w:rPr>
      </w:pPr>
      <w:r w:rsidRPr="00B72B6D">
        <w:rPr>
          <w:rFonts w:ascii="Arial" w:hAnsi="Arial" w:cs="Arial"/>
          <w:color w:val="000000" w:themeColor="text1"/>
        </w:rPr>
        <w:t xml:space="preserve">On April 20, 2020, the CDE released the </w:t>
      </w:r>
      <w:bookmarkStart w:id="1" w:name="_Hlk56601197"/>
      <w:r w:rsidRPr="00B72B6D">
        <w:rPr>
          <w:rFonts w:ascii="Arial" w:hAnsi="Arial" w:cs="Arial"/>
          <w:color w:val="000000" w:themeColor="text1"/>
        </w:rPr>
        <w:t xml:space="preserve">California Assessment System </w:t>
      </w:r>
      <w:bookmarkEnd w:id="1"/>
      <w:r w:rsidRPr="00B72B6D">
        <w:rPr>
          <w:rFonts w:ascii="Arial" w:hAnsi="Arial" w:cs="Arial"/>
          <w:color w:val="000000" w:themeColor="text1"/>
        </w:rPr>
        <w:t>RFQ</w:t>
      </w:r>
      <w:r w:rsidR="00625740" w:rsidRPr="00B72B6D">
        <w:rPr>
          <w:rFonts w:ascii="Arial" w:hAnsi="Arial" w:cs="Arial"/>
          <w:color w:val="000000" w:themeColor="text1"/>
        </w:rPr>
        <w:t xml:space="preserve">, </w:t>
      </w:r>
      <w:r w:rsidRPr="00B72B6D">
        <w:rPr>
          <w:rFonts w:ascii="Arial" w:hAnsi="Arial" w:cs="Arial"/>
          <w:color w:val="000000" w:themeColor="text1"/>
        </w:rPr>
        <w:t>Stage One</w:t>
      </w:r>
      <w:r w:rsidR="00625740" w:rsidRPr="00B72B6D">
        <w:rPr>
          <w:rFonts w:ascii="Arial" w:hAnsi="Arial" w:cs="Arial"/>
          <w:color w:val="000000" w:themeColor="text1"/>
        </w:rPr>
        <w:t>—Qualification</w:t>
      </w:r>
      <w:r w:rsidRPr="00B72B6D">
        <w:rPr>
          <w:rFonts w:ascii="Arial" w:hAnsi="Arial" w:cs="Arial"/>
          <w:color w:val="000000" w:themeColor="text1"/>
        </w:rPr>
        <w:t>, which began the procurement process for the next assessment contract. The complete set of the California Assessment System RFQ</w:t>
      </w:r>
      <w:r w:rsidR="00625740" w:rsidRPr="00B72B6D">
        <w:rPr>
          <w:rFonts w:ascii="Arial" w:hAnsi="Arial" w:cs="Arial"/>
          <w:color w:val="000000" w:themeColor="text1"/>
        </w:rPr>
        <w:t xml:space="preserve">, </w:t>
      </w:r>
      <w:r w:rsidRPr="00B72B6D">
        <w:rPr>
          <w:rFonts w:ascii="Arial" w:hAnsi="Arial" w:cs="Arial"/>
          <w:color w:val="000000" w:themeColor="text1"/>
        </w:rPr>
        <w:t>Stage One</w:t>
      </w:r>
      <w:r w:rsidR="00625740" w:rsidRPr="00B72B6D">
        <w:rPr>
          <w:rFonts w:ascii="Arial" w:hAnsi="Arial" w:cs="Arial"/>
          <w:color w:val="000000" w:themeColor="text1"/>
        </w:rPr>
        <w:t>—Qualification</w:t>
      </w:r>
      <w:r w:rsidRPr="00B72B6D">
        <w:rPr>
          <w:rFonts w:ascii="Arial" w:hAnsi="Arial" w:cs="Arial"/>
          <w:color w:val="000000" w:themeColor="text1"/>
        </w:rPr>
        <w:t xml:space="preserve"> documents is available at </w:t>
      </w:r>
      <w:hyperlink r:id="rId13" w:tooltip="This link opens the California Assessment System RFQ - Stage One documents.">
        <w:r w:rsidRPr="00B72B6D">
          <w:rPr>
            <w:rStyle w:val="Hyperlink"/>
            <w:rFonts w:ascii="Arial" w:eastAsiaTheme="majorEastAsia" w:hAnsi="Arial" w:cs="Arial"/>
          </w:rPr>
          <w:t>https://www.cde.ca.gov/fg/fo/r19/caaspp20rfq.asp</w:t>
        </w:r>
      </w:hyperlink>
      <w:r w:rsidRPr="00B72B6D">
        <w:rPr>
          <w:rFonts w:ascii="Arial" w:hAnsi="Arial" w:cs="Arial"/>
          <w:color w:val="000000" w:themeColor="text1"/>
        </w:rPr>
        <w:t xml:space="preserve">. In June 2020, an evaluation team, composed of staff from different divisions of the </w:t>
      </w:r>
      <w:r w:rsidR="005975C1" w:rsidRPr="00B72B6D">
        <w:rPr>
          <w:rFonts w:ascii="Arial" w:hAnsi="Arial" w:cs="Arial"/>
          <w:color w:val="000000" w:themeColor="text1"/>
        </w:rPr>
        <w:t>CDE</w:t>
      </w:r>
      <w:r w:rsidRPr="00B72B6D">
        <w:rPr>
          <w:rFonts w:ascii="Arial" w:hAnsi="Arial" w:cs="Arial"/>
          <w:color w:val="000000" w:themeColor="text1"/>
        </w:rPr>
        <w:t xml:space="preserve"> and </w:t>
      </w:r>
      <w:r w:rsidR="00657383" w:rsidRPr="00B72B6D">
        <w:rPr>
          <w:rFonts w:ascii="Arial" w:hAnsi="Arial" w:cs="Arial"/>
          <w:color w:val="000000" w:themeColor="text1"/>
        </w:rPr>
        <w:t xml:space="preserve">staff from </w:t>
      </w:r>
      <w:r w:rsidR="0021235E" w:rsidRPr="00B72B6D">
        <w:rPr>
          <w:rFonts w:ascii="Arial" w:hAnsi="Arial" w:cs="Arial"/>
          <w:color w:val="000000" w:themeColor="text1"/>
        </w:rPr>
        <w:t>local educational agenc</w:t>
      </w:r>
      <w:r w:rsidR="00657383" w:rsidRPr="00B72B6D">
        <w:rPr>
          <w:rFonts w:ascii="Arial" w:hAnsi="Arial" w:cs="Arial"/>
          <w:color w:val="000000" w:themeColor="text1"/>
        </w:rPr>
        <w:t>ies</w:t>
      </w:r>
      <w:r w:rsidR="0021235E" w:rsidRPr="00B72B6D">
        <w:rPr>
          <w:rFonts w:ascii="Arial" w:hAnsi="Arial" w:cs="Arial"/>
          <w:color w:val="000000" w:themeColor="text1"/>
        </w:rPr>
        <w:t xml:space="preserve"> (</w:t>
      </w:r>
      <w:r w:rsidRPr="00B72B6D">
        <w:rPr>
          <w:rFonts w:ascii="Arial" w:hAnsi="Arial" w:cs="Arial"/>
          <w:color w:val="000000" w:themeColor="text1"/>
        </w:rPr>
        <w:t>LEA</w:t>
      </w:r>
      <w:r w:rsidR="00657383" w:rsidRPr="00B72B6D">
        <w:rPr>
          <w:rFonts w:ascii="Arial" w:hAnsi="Arial" w:cs="Arial"/>
          <w:color w:val="000000" w:themeColor="text1"/>
        </w:rPr>
        <w:t>s</w:t>
      </w:r>
      <w:r w:rsidR="0021235E" w:rsidRPr="00B72B6D">
        <w:rPr>
          <w:rFonts w:ascii="Arial" w:hAnsi="Arial" w:cs="Arial"/>
          <w:color w:val="000000" w:themeColor="text1"/>
        </w:rPr>
        <w:t>)</w:t>
      </w:r>
      <w:r w:rsidRPr="00B72B6D">
        <w:rPr>
          <w:rFonts w:ascii="Arial" w:hAnsi="Arial" w:cs="Arial"/>
          <w:color w:val="000000" w:themeColor="text1"/>
        </w:rPr>
        <w:t xml:space="preserve"> from different regions across the state, met to score the </w:t>
      </w:r>
      <w:r w:rsidR="00625740" w:rsidRPr="00B72B6D">
        <w:rPr>
          <w:rFonts w:ascii="Arial" w:hAnsi="Arial" w:cs="Arial"/>
          <w:color w:val="000000" w:themeColor="text1"/>
        </w:rPr>
        <w:t xml:space="preserve">California Assessment System </w:t>
      </w:r>
      <w:r w:rsidRPr="00B72B6D">
        <w:rPr>
          <w:rFonts w:ascii="Arial" w:hAnsi="Arial" w:cs="Arial"/>
          <w:color w:val="000000" w:themeColor="text1"/>
        </w:rPr>
        <w:t>RFQ</w:t>
      </w:r>
      <w:r w:rsidR="00625740" w:rsidRPr="00B72B6D">
        <w:rPr>
          <w:rFonts w:ascii="Arial" w:hAnsi="Arial" w:cs="Arial"/>
          <w:color w:val="000000" w:themeColor="text1"/>
        </w:rPr>
        <w:t xml:space="preserve">, </w:t>
      </w:r>
      <w:r w:rsidRPr="00B72B6D">
        <w:rPr>
          <w:rFonts w:ascii="Arial" w:hAnsi="Arial" w:cs="Arial"/>
          <w:color w:val="000000" w:themeColor="text1"/>
        </w:rPr>
        <w:t>Stage One</w:t>
      </w:r>
      <w:r w:rsidR="00625740" w:rsidRPr="00B72B6D">
        <w:rPr>
          <w:rFonts w:ascii="Arial" w:hAnsi="Arial" w:cs="Arial"/>
          <w:color w:val="000000" w:themeColor="text1"/>
        </w:rPr>
        <w:t>—Qualification</w:t>
      </w:r>
      <w:r w:rsidRPr="00B72B6D">
        <w:rPr>
          <w:rFonts w:ascii="Arial" w:hAnsi="Arial" w:cs="Arial"/>
          <w:color w:val="000000" w:themeColor="text1"/>
        </w:rPr>
        <w:t xml:space="preserve"> submissions. </w:t>
      </w:r>
      <w:r w:rsidR="00041338" w:rsidRPr="00B72B6D">
        <w:rPr>
          <w:rFonts w:ascii="Arial" w:hAnsi="Arial" w:cs="Arial"/>
          <w:color w:val="000000" w:themeColor="text1"/>
        </w:rPr>
        <w:t>T</w:t>
      </w:r>
      <w:r w:rsidRPr="00B72B6D">
        <w:rPr>
          <w:rFonts w:ascii="Arial" w:hAnsi="Arial" w:cs="Arial"/>
          <w:color w:val="000000" w:themeColor="text1"/>
        </w:rPr>
        <w:t xml:space="preserve">wo potential contractors successfully met the evaluation criteria to progress to </w:t>
      </w:r>
      <w:r w:rsidR="00BB458A" w:rsidRPr="00B72B6D">
        <w:rPr>
          <w:rFonts w:ascii="Arial" w:hAnsi="Arial" w:cs="Arial"/>
          <w:color w:val="000000" w:themeColor="text1"/>
        </w:rPr>
        <w:t xml:space="preserve">stage two of the </w:t>
      </w:r>
      <w:r w:rsidR="00C21BB2" w:rsidRPr="00B72B6D">
        <w:rPr>
          <w:rFonts w:ascii="Arial" w:hAnsi="Arial" w:cs="Arial"/>
          <w:color w:val="000000" w:themeColor="text1"/>
        </w:rPr>
        <w:t>RFQ</w:t>
      </w:r>
      <w:r w:rsidRPr="00B72B6D">
        <w:rPr>
          <w:rFonts w:ascii="Arial" w:hAnsi="Arial" w:cs="Arial"/>
          <w:color w:val="000000" w:themeColor="text1"/>
        </w:rPr>
        <w:t>.</w:t>
      </w:r>
    </w:p>
    <w:p w14:paraId="1AF45CCF" w14:textId="77777777" w:rsidR="00026D21" w:rsidRPr="00B72B6D" w:rsidRDefault="00026D21" w:rsidP="259EAF4B">
      <w:pPr>
        <w:pStyle w:val="NormalWeb"/>
        <w:spacing w:before="0" w:beforeAutospacing="0" w:after="240" w:afterAutospacing="0"/>
        <w:rPr>
          <w:rFonts w:ascii="Arial" w:hAnsi="Arial" w:cs="Arial"/>
          <w:color w:val="000000" w:themeColor="text1"/>
        </w:rPr>
      </w:pPr>
      <w:r w:rsidRPr="00B72B6D">
        <w:rPr>
          <w:rFonts w:ascii="Arial" w:hAnsi="Arial" w:cs="Arial"/>
          <w:color w:val="000000" w:themeColor="text1"/>
        </w:rPr>
        <w:t>In early August 2020, the CDE provided the California Assessment System RFQ</w:t>
      </w:r>
      <w:r w:rsidR="00B852F9" w:rsidRPr="00B72B6D">
        <w:rPr>
          <w:rFonts w:ascii="Arial" w:hAnsi="Arial" w:cs="Arial"/>
          <w:color w:val="000000" w:themeColor="text1"/>
        </w:rPr>
        <w:t xml:space="preserve">, </w:t>
      </w:r>
      <w:r w:rsidRPr="00B72B6D">
        <w:rPr>
          <w:rFonts w:ascii="Arial" w:hAnsi="Arial" w:cs="Arial"/>
          <w:color w:val="000000" w:themeColor="text1"/>
        </w:rPr>
        <w:t>Stage Two</w:t>
      </w:r>
      <w:r w:rsidR="00625740" w:rsidRPr="00B72B6D">
        <w:rPr>
          <w:rFonts w:ascii="Arial" w:hAnsi="Arial" w:cs="Arial"/>
          <w:color w:val="000000" w:themeColor="text1"/>
        </w:rPr>
        <w:t>—Mandatory Demonstrations</w:t>
      </w:r>
      <w:r w:rsidRPr="00B72B6D">
        <w:rPr>
          <w:rFonts w:ascii="Arial" w:hAnsi="Arial" w:cs="Arial"/>
          <w:color w:val="000000" w:themeColor="text1"/>
        </w:rPr>
        <w:t xml:space="preserve"> criteria</w:t>
      </w:r>
      <w:r w:rsidR="274280E3" w:rsidRPr="00B72B6D">
        <w:rPr>
          <w:rFonts w:ascii="Arial" w:hAnsi="Arial" w:cs="Arial"/>
          <w:color w:val="000000" w:themeColor="text1"/>
        </w:rPr>
        <w:t>,</w:t>
      </w:r>
      <w:r w:rsidRPr="00B72B6D">
        <w:rPr>
          <w:rFonts w:ascii="Arial" w:hAnsi="Arial" w:cs="Arial"/>
          <w:color w:val="000000" w:themeColor="text1"/>
        </w:rPr>
        <w:t xml:space="preserve"> to the two potential contractors who passed </w:t>
      </w:r>
      <w:r w:rsidR="00625740" w:rsidRPr="00B72B6D">
        <w:rPr>
          <w:rFonts w:ascii="Arial" w:hAnsi="Arial" w:cs="Arial"/>
          <w:color w:val="000000" w:themeColor="text1"/>
        </w:rPr>
        <w:t>s</w:t>
      </w:r>
      <w:r w:rsidRPr="00B72B6D">
        <w:rPr>
          <w:rFonts w:ascii="Arial" w:hAnsi="Arial" w:cs="Arial"/>
          <w:color w:val="000000" w:themeColor="text1"/>
        </w:rPr>
        <w:t xml:space="preserve">tage </w:t>
      </w:r>
      <w:r w:rsidR="00625740" w:rsidRPr="00B72B6D">
        <w:rPr>
          <w:rFonts w:ascii="Arial" w:hAnsi="Arial" w:cs="Arial"/>
          <w:color w:val="000000" w:themeColor="text1"/>
        </w:rPr>
        <w:t>o</w:t>
      </w:r>
      <w:r w:rsidRPr="00B72B6D">
        <w:rPr>
          <w:rFonts w:ascii="Arial" w:hAnsi="Arial" w:cs="Arial"/>
          <w:color w:val="000000" w:themeColor="text1"/>
        </w:rPr>
        <w:t xml:space="preserve">ne. </w:t>
      </w:r>
      <w:r w:rsidR="00380E7F" w:rsidRPr="00B72B6D">
        <w:rPr>
          <w:rFonts w:ascii="Arial" w:hAnsi="Arial" w:cs="Arial"/>
          <w:color w:val="000000" w:themeColor="text1"/>
        </w:rPr>
        <w:t>A</w:t>
      </w:r>
      <w:r w:rsidRPr="00B72B6D">
        <w:rPr>
          <w:rFonts w:ascii="Arial" w:hAnsi="Arial" w:cs="Arial"/>
          <w:color w:val="000000" w:themeColor="text1"/>
        </w:rPr>
        <w:t xml:space="preserve">n evaluation team, composed of staff from different divisions of the CDE and staff from </w:t>
      </w:r>
      <w:r w:rsidR="00D71859" w:rsidRPr="00B72B6D">
        <w:rPr>
          <w:rFonts w:ascii="Arial" w:hAnsi="Arial" w:cs="Arial"/>
          <w:color w:val="000000" w:themeColor="text1"/>
        </w:rPr>
        <w:t xml:space="preserve">LEAs from </w:t>
      </w:r>
      <w:r w:rsidRPr="00B72B6D">
        <w:rPr>
          <w:rFonts w:ascii="Arial" w:hAnsi="Arial" w:cs="Arial"/>
          <w:color w:val="000000" w:themeColor="text1"/>
        </w:rPr>
        <w:t xml:space="preserve">different regions across the state, met </w:t>
      </w:r>
      <w:r w:rsidR="496285C3" w:rsidRPr="00B72B6D">
        <w:rPr>
          <w:rFonts w:ascii="Arial" w:hAnsi="Arial" w:cs="Arial"/>
          <w:color w:val="000000" w:themeColor="text1"/>
        </w:rPr>
        <w:t xml:space="preserve">in November 2020 </w:t>
      </w:r>
      <w:r w:rsidRPr="00B72B6D">
        <w:rPr>
          <w:rFonts w:ascii="Arial" w:hAnsi="Arial" w:cs="Arial"/>
          <w:color w:val="000000" w:themeColor="text1"/>
        </w:rPr>
        <w:t xml:space="preserve">to score the </w:t>
      </w:r>
      <w:r w:rsidR="00625740" w:rsidRPr="00B72B6D">
        <w:rPr>
          <w:rFonts w:ascii="Arial" w:hAnsi="Arial" w:cs="Arial"/>
          <w:color w:val="000000" w:themeColor="text1"/>
        </w:rPr>
        <w:t>California Assessment System RFQ</w:t>
      </w:r>
      <w:r w:rsidR="00B852F9" w:rsidRPr="00B72B6D">
        <w:rPr>
          <w:rFonts w:ascii="Arial" w:hAnsi="Arial" w:cs="Arial"/>
          <w:color w:val="000000" w:themeColor="text1"/>
        </w:rPr>
        <w:t xml:space="preserve">, </w:t>
      </w:r>
      <w:r w:rsidR="00625740" w:rsidRPr="00B72B6D">
        <w:rPr>
          <w:rFonts w:ascii="Arial" w:hAnsi="Arial" w:cs="Arial"/>
          <w:color w:val="000000" w:themeColor="text1"/>
        </w:rPr>
        <w:t xml:space="preserve">Stage </w:t>
      </w:r>
      <w:r w:rsidRPr="00B72B6D">
        <w:rPr>
          <w:rFonts w:ascii="Arial" w:hAnsi="Arial" w:cs="Arial"/>
          <w:color w:val="000000" w:themeColor="text1"/>
        </w:rPr>
        <w:t>Two</w:t>
      </w:r>
      <w:r w:rsidR="00625740" w:rsidRPr="00B72B6D">
        <w:rPr>
          <w:rFonts w:ascii="Arial" w:hAnsi="Arial" w:cs="Arial"/>
          <w:color w:val="000000" w:themeColor="text1"/>
        </w:rPr>
        <w:t>—Mandatory Demonstrations</w:t>
      </w:r>
      <w:r w:rsidRPr="00B72B6D">
        <w:rPr>
          <w:rFonts w:ascii="Arial" w:hAnsi="Arial" w:cs="Arial"/>
          <w:color w:val="000000" w:themeColor="text1"/>
        </w:rPr>
        <w:t xml:space="preserve"> submissions</w:t>
      </w:r>
      <w:r w:rsidR="00380E7F" w:rsidRPr="00B72B6D">
        <w:rPr>
          <w:rFonts w:ascii="Arial" w:hAnsi="Arial" w:cs="Arial"/>
          <w:color w:val="000000" w:themeColor="text1"/>
        </w:rPr>
        <w:t xml:space="preserve">, using an evaluation process similar to that </w:t>
      </w:r>
      <w:r w:rsidR="00625740" w:rsidRPr="00B72B6D">
        <w:rPr>
          <w:rFonts w:ascii="Arial" w:hAnsi="Arial" w:cs="Arial"/>
          <w:color w:val="000000" w:themeColor="text1"/>
        </w:rPr>
        <w:t xml:space="preserve">which was </w:t>
      </w:r>
      <w:r w:rsidR="00380E7F" w:rsidRPr="00B72B6D">
        <w:rPr>
          <w:rFonts w:ascii="Arial" w:hAnsi="Arial" w:cs="Arial"/>
          <w:color w:val="000000" w:themeColor="text1"/>
        </w:rPr>
        <w:t xml:space="preserve">used for </w:t>
      </w:r>
      <w:r w:rsidR="00625740" w:rsidRPr="00B72B6D">
        <w:rPr>
          <w:rFonts w:ascii="Arial" w:hAnsi="Arial" w:cs="Arial"/>
          <w:color w:val="000000" w:themeColor="text1"/>
        </w:rPr>
        <w:t>s</w:t>
      </w:r>
      <w:r w:rsidR="00380E7F" w:rsidRPr="00B72B6D">
        <w:rPr>
          <w:rFonts w:ascii="Arial" w:hAnsi="Arial" w:cs="Arial"/>
          <w:color w:val="000000" w:themeColor="text1"/>
        </w:rPr>
        <w:t xml:space="preserve">tage </w:t>
      </w:r>
      <w:r w:rsidR="00625740" w:rsidRPr="00B72B6D">
        <w:rPr>
          <w:rFonts w:ascii="Arial" w:hAnsi="Arial" w:cs="Arial"/>
          <w:color w:val="000000" w:themeColor="text1"/>
        </w:rPr>
        <w:t>o</w:t>
      </w:r>
      <w:r w:rsidR="00380E7F" w:rsidRPr="00B72B6D">
        <w:rPr>
          <w:rFonts w:ascii="Arial" w:hAnsi="Arial" w:cs="Arial"/>
          <w:color w:val="000000" w:themeColor="text1"/>
        </w:rPr>
        <w:t>ne</w:t>
      </w:r>
      <w:r w:rsidRPr="00B72B6D">
        <w:rPr>
          <w:rFonts w:ascii="Arial" w:hAnsi="Arial" w:cs="Arial"/>
          <w:color w:val="000000" w:themeColor="text1"/>
        </w:rPr>
        <w:t xml:space="preserve">. </w:t>
      </w:r>
      <w:r w:rsidR="00AC5D31" w:rsidRPr="00B72B6D">
        <w:rPr>
          <w:rFonts w:ascii="Arial" w:hAnsi="Arial" w:cs="Arial"/>
          <w:color w:val="000000" w:themeColor="text1"/>
        </w:rPr>
        <w:t>The t</w:t>
      </w:r>
      <w:r w:rsidRPr="00B72B6D">
        <w:rPr>
          <w:rFonts w:ascii="Arial" w:hAnsi="Arial" w:cs="Arial"/>
          <w:color w:val="000000" w:themeColor="text1"/>
        </w:rPr>
        <w:t xml:space="preserve">wo potential contractors </w:t>
      </w:r>
      <w:r w:rsidR="00D71859" w:rsidRPr="00B72B6D">
        <w:rPr>
          <w:rFonts w:ascii="Arial" w:hAnsi="Arial" w:cs="Arial"/>
          <w:color w:val="000000" w:themeColor="text1"/>
        </w:rPr>
        <w:t xml:space="preserve">that </w:t>
      </w:r>
      <w:r w:rsidRPr="00B72B6D">
        <w:rPr>
          <w:rFonts w:ascii="Arial" w:hAnsi="Arial" w:cs="Arial"/>
          <w:color w:val="000000" w:themeColor="text1"/>
        </w:rPr>
        <w:t xml:space="preserve">passed both </w:t>
      </w:r>
      <w:r w:rsidR="00625740" w:rsidRPr="00B72B6D">
        <w:rPr>
          <w:rFonts w:ascii="Arial" w:hAnsi="Arial" w:cs="Arial"/>
          <w:color w:val="000000" w:themeColor="text1"/>
        </w:rPr>
        <w:t>s</w:t>
      </w:r>
      <w:r w:rsidRPr="00B72B6D">
        <w:rPr>
          <w:rFonts w:ascii="Arial" w:hAnsi="Arial" w:cs="Arial"/>
          <w:color w:val="000000" w:themeColor="text1"/>
        </w:rPr>
        <w:t xml:space="preserve">tages </w:t>
      </w:r>
      <w:r w:rsidR="00625740" w:rsidRPr="00B72B6D">
        <w:rPr>
          <w:rFonts w:ascii="Arial" w:hAnsi="Arial" w:cs="Arial"/>
          <w:color w:val="000000" w:themeColor="text1"/>
        </w:rPr>
        <w:t>o</w:t>
      </w:r>
      <w:r w:rsidRPr="00B72B6D">
        <w:rPr>
          <w:rFonts w:ascii="Arial" w:hAnsi="Arial" w:cs="Arial"/>
          <w:color w:val="000000" w:themeColor="text1"/>
        </w:rPr>
        <w:t xml:space="preserve">ne and </w:t>
      </w:r>
      <w:r w:rsidR="00625740" w:rsidRPr="00B72B6D">
        <w:rPr>
          <w:rFonts w:ascii="Arial" w:hAnsi="Arial" w:cs="Arial"/>
          <w:color w:val="000000" w:themeColor="text1"/>
        </w:rPr>
        <w:t>t</w:t>
      </w:r>
      <w:r w:rsidRPr="00B72B6D">
        <w:rPr>
          <w:rFonts w:ascii="Arial" w:hAnsi="Arial" w:cs="Arial"/>
          <w:color w:val="000000" w:themeColor="text1"/>
        </w:rPr>
        <w:t>wo and move</w:t>
      </w:r>
      <w:r w:rsidR="00AC5D31" w:rsidRPr="00B72B6D">
        <w:rPr>
          <w:rFonts w:ascii="Arial" w:hAnsi="Arial" w:cs="Arial"/>
          <w:color w:val="000000" w:themeColor="text1"/>
        </w:rPr>
        <w:t>d</w:t>
      </w:r>
      <w:r w:rsidRPr="00B72B6D">
        <w:rPr>
          <w:rFonts w:ascii="Arial" w:hAnsi="Arial" w:cs="Arial"/>
          <w:color w:val="000000" w:themeColor="text1"/>
        </w:rPr>
        <w:t xml:space="preserve"> forward to </w:t>
      </w:r>
      <w:r w:rsidR="00B852F9" w:rsidRPr="00B72B6D">
        <w:rPr>
          <w:rFonts w:ascii="Arial" w:hAnsi="Arial" w:cs="Arial"/>
          <w:color w:val="000000" w:themeColor="text1"/>
        </w:rPr>
        <w:t>stage three</w:t>
      </w:r>
      <w:r w:rsidRPr="00B72B6D">
        <w:rPr>
          <w:rFonts w:ascii="Arial" w:hAnsi="Arial" w:cs="Arial"/>
          <w:color w:val="000000" w:themeColor="text1"/>
        </w:rPr>
        <w:t xml:space="preserve"> </w:t>
      </w:r>
      <w:r w:rsidR="00AC5D31" w:rsidRPr="00B72B6D">
        <w:rPr>
          <w:rFonts w:ascii="Arial" w:hAnsi="Arial" w:cs="Arial"/>
          <w:color w:val="000000" w:themeColor="text1"/>
        </w:rPr>
        <w:t>were</w:t>
      </w:r>
      <w:r w:rsidRPr="00B72B6D">
        <w:rPr>
          <w:rFonts w:ascii="Arial" w:hAnsi="Arial" w:cs="Arial"/>
          <w:color w:val="000000" w:themeColor="text1"/>
        </w:rPr>
        <w:t xml:space="preserve"> Educational Testing Service (ETS) and National Computer Systems (</w:t>
      </w:r>
      <w:r w:rsidRPr="00B72B6D">
        <w:rPr>
          <w:rFonts w:ascii="Arial" w:hAnsi="Arial" w:cs="Arial"/>
        </w:rPr>
        <w:t>NCS) Pearson, Inc.</w:t>
      </w:r>
      <w:r w:rsidRPr="00B72B6D">
        <w:rPr>
          <w:rFonts w:ascii="Arial" w:hAnsi="Arial" w:cs="Arial"/>
          <w:color w:val="000000" w:themeColor="text1"/>
        </w:rPr>
        <w:t xml:space="preserve"> </w:t>
      </w:r>
    </w:p>
    <w:p w14:paraId="2B991EE8" w14:textId="0A4F0125" w:rsidR="00026D21" w:rsidRPr="00B72B6D" w:rsidRDefault="008D3154" w:rsidP="005975C1">
      <w:pPr>
        <w:spacing w:after="240"/>
        <w:rPr>
          <w:rFonts w:cs="Arial"/>
        </w:rPr>
      </w:pPr>
      <w:r w:rsidRPr="00B72B6D">
        <w:rPr>
          <w:rFonts w:cs="Arial"/>
          <w:color w:val="000000" w:themeColor="text1"/>
        </w:rPr>
        <w:t>At the J</w:t>
      </w:r>
      <w:r w:rsidR="00F15BE9" w:rsidRPr="00B72B6D">
        <w:rPr>
          <w:rFonts w:cs="Arial"/>
          <w:color w:val="000000" w:themeColor="text1"/>
        </w:rPr>
        <w:t>anuary 2021</w:t>
      </w:r>
      <w:r w:rsidRPr="00B72B6D">
        <w:rPr>
          <w:rFonts w:cs="Arial"/>
          <w:color w:val="000000" w:themeColor="text1"/>
        </w:rPr>
        <w:t xml:space="preserve"> meeting</w:t>
      </w:r>
      <w:r w:rsidR="00F15BE9" w:rsidRPr="00B72B6D">
        <w:rPr>
          <w:rFonts w:cs="Arial"/>
          <w:color w:val="000000" w:themeColor="text1"/>
        </w:rPr>
        <w:t>,</w:t>
      </w:r>
      <w:r w:rsidR="00026D21" w:rsidRPr="00B72B6D">
        <w:rPr>
          <w:rFonts w:cs="Arial"/>
          <w:color w:val="000000" w:themeColor="text1"/>
        </w:rPr>
        <w:t xml:space="preserve"> </w:t>
      </w:r>
      <w:r w:rsidRPr="00B72B6D">
        <w:rPr>
          <w:rFonts w:cs="Arial"/>
          <w:color w:val="000000" w:themeColor="text1"/>
        </w:rPr>
        <w:t xml:space="preserve">the SBE authorized CDE </w:t>
      </w:r>
      <w:r w:rsidR="00026D21" w:rsidRPr="00B72B6D">
        <w:rPr>
          <w:rFonts w:cs="Arial"/>
          <w:color w:val="000000" w:themeColor="text1"/>
        </w:rPr>
        <w:t xml:space="preserve">for </w:t>
      </w:r>
      <w:r w:rsidR="005975C1" w:rsidRPr="00B72B6D">
        <w:rPr>
          <w:rFonts w:cs="Arial"/>
          <w:color w:val="000000" w:themeColor="text1"/>
        </w:rPr>
        <w:t>stage three</w:t>
      </w:r>
      <w:r w:rsidR="005D5FDA" w:rsidRPr="00B72B6D">
        <w:rPr>
          <w:rFonts w:cs="Arial"/>
          <w:color w:val="000000" w:themeColor="text1"/>
        </w:rPr>
        <w:t xml:space="preserve"> </w:t>
      </w:r>
      <w:r w:rsidR="00644560" w:rsidRPr="00B72B6D">
        <w:rPr>
          <w:rFonts w:cs="Arial"/>
          <w:color w:val="000000" w:themeColor="text1"/>
        </w:rPr>
        <w:t>to</w:t>
      </w:r>
      <w:r w:rsidR="00F15BE9" w:rsidRPr="00B72B6D">
        <w:rPr>
          <w:rFonts w:cs="Arial"/>
          <w:color w:val="000000" w:themeColor="text1"/>
        </w:rPr>
        <w:t xml:space="preserve"> request</w:t>
      </w:r>
      <w:r w:rsidR="00026D21" w:rsidRPr="00B72B6D">
        <w:rPr>
          <w:rFonts w:cs="Arial"/>
          <w:color w:val="000000" w:themeColor="text1"/>
        </w:rPr>
        <w:t xml:space="preserve"> from the potential contractors a formal written submission contain</w:t>
      </w:r>
      <w:r w:rsidR="008578CB" w:rsidRPr="00B72B6D">
        <w:rPr>
          <w:rFonts w:cs="Arial"/>
          <w:color w:val="000000" w:themeColor="text1"/>
        </w:rPr>
        <w:t>ing</w:t>
      </w:r>
      <w:r w:rsidR="00026D21" w:rsidRPr="00B72B6D">
        <w:rPr>
          <w:rFonts w:cs="Arial"/>
          <w:color w:val="000000" w:themeColor="text1"/>
        </w:rPr>
        <w:t xml:space="preserve"> a proposed scope of work</w:t>
      </w:r>
      <w:bookmarkStart w:id="2" w:name="_Hlk34743647"/>
      <w:bookmarkEnd w:id="2"/>
      <w:r w:rsidR="00026D21" w:rsidRPr="00B72B6D">
        <w:t xml:space="preserve">, a draft proposed budget, and a transition plan, contingent on the availability of an appropriation for this purpose. </w:t>
      </w:r>
      <w:r w:rsidR="00026D21" w:rsidRPr="00B72B6D">
        <w:rPr>
          <w:rFonts w:cs="Arial"/>
        </w:rPr>
        <w:t xml:space="preserve">The CDE </w:t>
      </w:r>
      <w:r w:rsidR="00B73D2B" w:rsidRPr="00B72B6D">
        <w:rPr>
          <w:rFonts w:cs="Arial"/>
        </w:rPr>
        <w:t>received</w:t>
      </w:r>
      <w:r w:rsidR="00026D21" w:rsidRPr="00B72B6D">
        <w:rPr>
          <w:rFonts w:cs="Arial"/>
        </w:rPr>
        <w:t xml:space="preserve"> approval from the SBE to include the following goals and priorities in the </w:t>
      </w:r>
      <w:r w:rsidR="005975C1" w:rsidRPr="00B72B6D">
        <w:rPr>
          <w:rFonts w:cs="Arial"/>
        </w:rPr>
        <w:t>s</w:t>
      </w:r>
      <w:r w:rsidR="00026D21" w:rsidRPr="00B72B6D">
        <w:rPr>
          <w:rFonts w:cs="Arial"/>
        </w:rPr>
        <w:t xml:space="preserve">tage </w:t>
      </w:r>
      <w:r w:rsidR="005975C1" w:rsidRPr="00B72B6D">
        <w:rPr>
          <w:rFonts w:cs="Arial"/>
        </w:rPr>
        <w:t>t</w:t>
      </w:r>
      <w:r w:rsidR="00026D21" w:rsidRPr="00B72B6D">
        <w:rPr>
          <w:rFonts w:cs="Arial"/>
        </w:rPr>
        <w:t>hree draft scope of work from the potential contractors:</w:t>
      </w:r>
    </w:p>
    <w:p w14:paraId="2C437C7B" w14:textId="77777777" w:rsidR="00026D21" w:rsidRPr="00B72B6D" w:rsidRDefault="00026D21" w:rsidP="00026D21">
      <w:pPr>
        <w:pStyle w:val="NormalWeb"/>
        <w:numPr>
          <w:ilvl w:val="0"/>
          <w:numId w:val="15"/>
        </w:numPr>
        <w:spacing w:before="240" w:beforeAutospacing="0" w:after="240" w:afterAutospacing="0"/>
        <w:ind w:left="720"/>
        <w:rPr>
          <w:rStyle w:val="eop"/>
          <w:rFonts w:ascii="Arial" w:hAnsi="Arial" w:cs="Arial"/>
        </w:rPr>
      </w:pPr>
      <w:r w:rsidRPr="00B72B6D">
        <w:rPr>
          <w:rStyle w:val="normaltextrun"/>
          <w:rFonts w:ascii="Arial" w:eastAsiaTheme="majorEastAsia" w:hAnsi="Arial" w:cs="Arial"/>
          <w:shd w:val="clear" w:color="auto" w:fill="FFFFFF"/>
        </w:rPr>
        <w:lastRenderedPageBreak/>
        <w:t>Enhance the development and administration of high-quality assessments of the California Assessment System through the 2022–27 school years (e.g., summative, interim, and formative assessments</w:t>
      </w:r>
      <w:r w:rsidRPr="00B72B6D">
        <w:rPr>
          <w:rStyle w:val="eop"/>
          <w:rFonts w:ascii="Arial" w:eastAsia="Arial" w:hAnsi="Arial" w:cs="Arial"/>
          <w:shd w:val="clear" w:color="auto" w:fill="FFFFFF"/>
        </w:rPr>
        <w:t>)</w:t>
      </w:r>
      <w:r w:rsidR="00E96AFF" w:rsidRPr="00B72B6D">
        <w:rPr>
          <w:rStyle w:val="eop"/>
          <w:rFonts w:ascii="Arial" w:eastAsia="Arial" w:hAnsi="Arial" w:cs="Arial"/>
          <w:shd w:val="clear" w:color="auto" w:fill="FFFFFF"/>
        </w:rPr>
        <w:t>.</w:t>
      </w:r>
    </w:p>
    <w:p w14:paraId="340B3820" w14:textId="77777777" w:rsidR="00026D21" w:rsidRPr="00B72B6D" w:rsidRDefault="00026D21" w:rsidP="00026D21">
      <w:pPr>
        <w:pStyle w:val="NormalWeb"/>
        <w:numPr>
          <w:ilvl w:val="0"/>
          <w:numId w:val="15"/>
        </w:numPr>
        <w:spacing w:before="240" w:beforeAutospacing="0" w:after="240" w:afterAutospacing="0"/>
        <w:ind w:left="720"/>
        <w:rPr>
          <w:rFonts w:ascii="Arial" w:hAnsi="Arial" w:cs="Arial"/>
        </w:rPr>
      </w:pPr>
      <w:r w:rsidRPr="00B72B6D">
        <w:rPr>
          <w:rFonts w:ascii="Arial" w:hAnsi="Arial" w:cs="Arial"/>
        </w:rPr>
        <w:t>Continue to improve the robust assessment system to ensure efficient, effective, and accurate results with enhancements to support multiple administration modes</w:t>
      </w:r>
      <w:r w:rsidR="00E96AFF" w:rsidRPr="00B72B6D">
        <w:rPr>
          <w:rFonts w:ascii="Arial" w:hAnsi="Arial" w:cs="Arial"/>
        </w:rPr>
        <w:t>.</w:t>
      </w:r>
      <w:r w:rsidRPr="00B72B6D">
        <w:rPr>
          <w:rFonts w:ascii="Arial" w:hAnsi="Arial" w:cs="Arial"/>
        </w:rPr>
        <w:t xml:space="preserve"> </w:t>
      </w:r>
    </w:p>
    <w:p w14:paraId="2D74FB5E" w14:textId="77777777" w:rsidR="00026D21" w:rsidRPr="00B72B6D" w:rsidRDefault="00026D21" w:rsidP="00026D21">
      <w:pPr>
        <w:pStyle w:val="NormalWeb"/>
        <w:numPr>
          <w:ilvl w:val="0"/>
          <w:numId w:val="15"/>
        </w:numPr>
        <w:spacing w:before="240" w:beforeAutospacing="0" w:after="240" w:afterAutospacing="0"/>
        <w:ind w:left="720"/>
        <w:rPr>
          <w:rFonts w:ascii="Arial" w:hAnsi="Arial" w:cs="Arial"/>
        </w:rPr>
      </w:pPr>
      <w:r w:rsidRPr="00B72B6D">
        <w:rPr>
          <w:rFonts w:ascii="Arial" w:hAnsi="Arial" w:cs="Arial"/>
        </w:rPr>
        <w:t>Explore and advance technology solutions that meet system capacity, performance, and usability to the greatest extent possible</w:t>
      </w:r>
      <w:r w:rsidR="00E96AFF" w:rsidRPr="00B72B6D">
        <w:rPr>
          <w:rFonts w:ascii="Arial" w:hAnsi="Arial" w:cs="Arial"/>
        </w:rPr>
        <w:t>.</w:t>
      </w:r>
      <w:r w:rsidRPr="00B72B6D">
        <w:rPr>
          <w:rFonts w:ascii="Arial" w:hAnsi="Arial" w:cs="Arial"/>
        </w:rPr>
        <w:t xml:space="preserve"> </w:t>
      </w:r>
    </w:p>
    <w:p w14:paraId="7BDC1385" w14:textId="77777777" w:rsidR="00F14CAC" w:rsidRPr="00B72B6D" w:rsidRDefault="00F14CAC" w:rsidP="182A9DCC">
      <w:pPr>
        <w:spacing w:after="240"/>
        <w:rPr>
          <w:rFonts w:cs="Arial"/>
          <w:color w:val="000000" w:themeColor="text1"/>
        </w:rPr>
      </w:pPr>
      <w:r w:rsidRPr="00B72B6D">
        <w:rPr>
          <w:rFonts w:cs="Arial"/>
          <w:color w:val="000000" w:themeColor="text1"/>
        </w:rPr>
        <w:t xml:space="preserve">On </w:t>
      </w:r>
      <w:r w:rsidR="001D0160" w:rsidRPr="00B72B6D">
        <w:rPr>
          <w:rFonts w:cs="Arial"/>
          <w:color w:val="000000" w:themeColor="text1"/>
        </w:rPr>
        <w:t xml:space="preserve">February 5, 2021, the CDE </w:t>
      </w:r>
      <w:r w:rsidR="014DD2E9" w:rsidRPr="00B72B6D">
        <w:rPr>
          <w:rFonts w:cs="Arial"/>
          <w:color w:val="000000" w:themeColor="text1"/>
        </w:rPr>
        <w:t>provided</w:t>
      </w:r>
      <w:r w:rsidR="001D0160" w:rsidRPr="00B72B6D">
        <w:rPr>
          <w:rFonts w:cs="Arial"/>
          <w:color w:val="000000" w:themeColor="text1"/>
        </w:rPr>
        <w:t xml:space="preserve"> the </w:t>
      </w:r>
      <w:r w:rsidR="005975C1" w:rsidRPr="00B72B6D">
        <w:rPr>
          <w:rFonts w:cs="Arial"/>
          <w:color w:val="000000" w:themeColor="text1"/>
        </w:rPr>
        <w:t xml:space="preserve">California Assessment System </w:t>
      </w:r>
      <w:r w:rsidR="003D47F7" w:rsidRPr="00B72B6D">
        <w:rPr>
          <w:rFonts w:cs="Arial"/>
          <w:color w:val="000000" w:themeColor="text1"/>
        </w:rPr>
        <w:t xml:space="preserve">RFQ, Stage Three—Formal Written Submission </w:t>
      </w:r>
      <w:r w:rsidR="29F8C02B" w:rsidRPr="00B72B6D">
        <w:rPr>
          <w:rFonts w:cs="Arial"/>
          <w:color w:val="000000" w:themeColor="text1"/>
        </w:rPr>
        <w:t xml:space="preserve">criteria </w:t>
      </w:r>
      <w:r w:rsidR="003D47F7" w:rsidRPr="00B72B6D">
        <w:rPr>
          <w:rFonts w:cs="Arial"/>
          <w:color w:val="000000" w:themeColor="text1"/>
        </w:rPr>
        <w:t>to</w:t>
      </w:r>
      <w:r w:rsidR="00D0196B" w:rsidRPr="00B72B6D">
        <w:rPr>
          <w:rFonts w:cs="Arial"/>
          <w:color w:val="000000" w:themeColor="text1"/>
        </w:rPr>
        <w:t xml:space="preserve"> </w:t>
      </w:r>
      <w:r w:rsidR="003D47F7" w:rsidRPr="00B72B6D">
        <w:rPr>
          <w:rFonts w:cs="Arial"/>
          <w:color w:val="000000" w:themeColor="text1"/>
        </w:rPr>
        <w:t>ETS and</w:t>
      </w:r>
      <w:r w:rsidR="00D0196B" w:rsidRPr="00B72B6D">
        <w:rPr>
          <w:rFonts w:cs="Arial"/>
          <w:color w:val="000000" w:themeColor="text1"/>
        </w:rPr>
        <w:t xml:space="preserve"> NCS</w:t>
      </w:r>
      <w:r w:rsidR="003D47F7" w:rsidRPr="00B72B6D">
        <w:rPr>
          <w:rFonts w:cs="Arial"/>
          <w:color w:val="000000" w:themeColor="text1"/>
        </w:rPr>
        <w:t xml:space="preserve"> Pearson</w:t>
      </w:r>
      <w:r w:rsidR="00D0196B" w:rsidRPr="00B72B6D">
        <w:rPr>
          <w:rFonts w:cs="Arial"/>
          <w:color w:val="000000" w:themeColor="text1"/>
        </w:rPr>
        <w:t xml:space="preserve">. </w:t>
      </w:r>
      <w:r w:rsidR="0065318F" w:rsidRPr="00B72B6D">
        <w:rPr>
          <w:rFonts w:cs="Arial"/>
          <w:color w:val="000000" w:themeColor="text1"/>
        </w:rPr>
        <w:t>The formal written submissio</w:t>
      </w:r>
      <w:r w:rsidR="00595B84" w:rsidRPr="00B72B6D">
        <w:rPr>
          <w:rFonts w:cs="Arial"/>
          <w:color w:val="000000" w:themeColor="text1"/>
        </w:rPr>
        <w:t>n requirements</w:t>
      </w:r>
      <w:r w:rsidR="005C776E" w:rsidRPr="00B72B6D">
        <w:rPr>
          <w:rFonts w:cs="Arial"/>
          <w:color w:val="000000" w:themeColor="text1"/>
        </w:rPr>
        <w:t xml:space="preserve"> included </w:t>
      </w:r>
      <w:r w:rsidR="0040664C" w:rsidRPr="00B72B6D">
        <w:t>a proposed scope of work, a draft proposed budget, and a transition plan</w:t>
      </w:r>
      <w:r w:rsidR="00595B84" w:rsidRPr="00B72B6D">
        <w:t>.</w:t>
      </w:r>
      <w:r w:rsidR="0040664C" w:rsidRPr="00B72B6D">
        <w:rPr>
          <w:rFonts w:cs="Arial"/>
          <w:color w:val="000000" w:themeColor="text1"/>
        </w:rPr>
        <w:t xml:space="preserve"> </w:t>
      </w:r>
      <w:r w:rsidR="00595B84" w:rsidRPr="00B72B6D">
        <w:rPr>
          <w:rFonts w:cs="Arial"/>
          <w:color w:val="000000" w:themeColor="text1"/>
        </w:rPr>
        <w:t>The formal written submissions</w:t>
      </w:r>
      <w:r w:rsidR="0040664C" w:rsidRPr="00B72B6D">
        <w:rPr>
          <w:rFonts w:cs="Arial"/>
          <w:color w:val="000000" w:themeColor="text1"/>
        </w:rPr>
        <w:t xml:space="preserve"> </w:t>
      </w:r>
      <w:r w:rsidR="0072115A" w:rsidRPr="00B72B6D">
        <w:rPr>
          <w:rFonts w:cs="Arial"/>
          <w:color w:val="000000" w:themeColor="text1"/>
        </w:rPr>
        <w:t xml:space="preserve">were </w:t>
      </w:r>
      <w:r w:rsidR="0040664C" w:rsidRPr="00B72B6D">
        <w:rPr>
          <w:rFonts w:cs="Arial"/>
          <w:color w:val="000000" w:themeColor="text1"/>
        </w:rPr>
        <w:t>received</w:t>
      </w:r>
      <w:r w:rsidR="00595B84" w:rsidRPr="00B72B6D">
        <w:rPr>
          <w:rFonts w:cs="Arial"/>
          <w:color w:val="000000" w:themeColor="text1"/>
        </w:rPr>
        <w:t xml:space="preserve"> by</w:t>
      </w:r>
      <w:r w:rsidR="0040664C" w:rsidRPr="00B72B6D">
        <w:rPr>
          <w:rFonts w:cs="Arial"/>
          <w:color w:val="000000" w:themeColor="text1"/>
        </w:rPr>
        <w:t xml:space="preserve"> May </w:t>
      </w:r>
      <w:r w:rsidR="00DC6675" w:rsidRPr="00B72B6D">
        <w:rPr>
          <w:rFonts w:cs="Arial"/>
          <w:color w:val="000000" w:themeColor="text1"/>
        </w:rPr>
        <w:t xml:space="preserve">3, 2021. </w:t>
      </w:r>
    </w:p>
    <w:p w14:paraId="44E5D55E" w14:textId="5386396D" w:rsidR="0072115A" w:rsidRPr="00B72B6D" w:rsidRDefault="0072115A" w:rsidP="182A9DCC">
      <w:pPr>
        <w:spacing w:after="240"/>
        <w:rPr>
          <w:rFonts w:cs="Arial"/>
          <w:color w:val="000000" w:themeColor="text1"/>
        </w:rPr>
      </w:pPr>
      <w:r w:rsidRPr="00B72B6D">
        <w:rPr>
          <w:rFonts w:cs="Arial"/>
          <w:color w:val="000000" w:themeColor="text1"/>
        </w:rPr>
        <w:t xml:space="preserve">As </w:t>
      </w:r>
      <w:r w:rsidR="00644560" w:rsidRPr="00B72B6D">
        <w:rPr>
          <w:rFonts w:cs="Arial"/>
          <w:color w:val="000000" w:themeColor="text1"/>
        </w:rPr>
        <w:t xml:space="preserve">was </w:t>
      </w:r>
      <w:r w:rsidRPr="00B72B6D">
        <w:rPr>
          <w:rFonts w:cs="Arial"/>
          <w:color w:val="000000" w:themeColor="text1"/>
        </w:rPr>
        <w:t>done</w:t>
      </w:r>
      <w:r w:rsidR="00D0196B" w:rsidRPr="00B72B6D">
        <w:rPr>
          <w:rFonts w:cs="Arial"/>
          <w:color w:val="000000" w:themeColor="text1"/>
        </w:rPr>
        <w:t xml:space="preserve"> for </w:t>
      </w:r>
      <w:r w:rsidR="005975C1" w:rsidRPr="00B72B6D">
        <w:rPr>
          <w:rFonts w:cs="Arial"/>
          <w:color w:val="000000" w:themeColor="text1"/>
        </w:rPr>
        <w:t>s</w:t>
      </w:r>
      <w:r w:rsidR="00D0196B" w:rsidRPr="00B72B6D">
        <w:rPr>
          <w:rFonts w:cs="Arial"/>
          <w:color w:val="000000" w:themeColor="text1"/>
        </w:rPr>
        <w:t xml:space="preserve">tages </w:t>
      </w:r>
      <w:r w:rsidR="005975C1" w:rsidRPr="00B72B6D">
        <w:rPr>
          <w:rFonts w:cs="Arial"/>
          <w:color w:val="000000" w:themeColor="text1"/>
        </w:rPr>
        <w:t>o</w:t>
      </w:r>
      <w:r w:rsidR="00D0196B" w:rsidRPr="00B72B6D">
        <w:rPr>
          <w:rFonts w:cs="Arial"/>
          <w:color w:val="000000" w:themeColor="text1"/>
        </w:rPr>
        <w:t xml:space="preserve">ne and </w:t>
      </w:r>
      <w:r w:rsidR="005975C1" w:rsidRPr="00B72B6D">
        <w:rPr>
          <w:rFonts w:cs="Arial"/>
          <w:color w:val="000000" w:themeColor="text1"/>
        </w:rPr>
        <w:t>t</w:t>
      </w:r>
      <w:r w:rsidR="00D0196B" w:rsidRPr="00B72B6D">
        <w:rPr>
          <w:rFonts w:cs="Arial"/>
          <w:color w:val="000000" w:themeColor="text1"/>
        </w:rPr>
        <w:t xml:space="preserve">wo, an evaluation team, composed of staff from different divisions of the </w:t>
      </w:r>
      <w:r w:rsidR="005975C1" w:rsidRPr="00B72B6D">
        <w:rPr>
          <w:rFonts w:cs="Arial"/>
          <w:color w:val="000000" w:themeColor="text1"/>
        </w:rPr>
        <w:t>CDE</w:t>
      </w:r>
      <w:r w:rsidRPr="00B72B6D">
        <w:rPr>
          <w:rFonts w:cs="Arial"/>
          <w:color w:val="000000" w:themeColor="text1"/>
        </w:rPr>
        <w:t xml:space="preserve"> </w:t>
      </w:r>
      <w:r w:rsidR="00D0196B" w:rsidRPr="00B72B6D">
        <w:rPr>
          <w:rFonts w:cs="Arial"/>
          <w:color w:val="000000" w:themeColor="text1"/>
        </w:rPr>
        <w:t>and staff from</w:t>
      </w:r>
      <w:r w:rsidR="00B9417A" w:rsidRPr="00B72B6D">
        <w:rPr>
          <w:rFonts w:cs="Arial"/>
          <w:color w:val="000000" w:themeColor="text1"/>
        </w:rPr>
        <w:t xml:space="preserve"> LEAs from</w:t>
      </w:r>
      <w:r w:rsidR="00D0196B" w:rsidRPr="00B72B6D">
        <w:rPr>
          <w:rFonts w:cs="Arial"/>
          <w:color w:val="000000" w:themeColor="text1"/>
        </w:rPr>
        <w:t xml:space="preserve"> different regions across the state, met to score the </w:t>
      </w:r>
      <w:r w:rsidR="00CE2299" w:rsidRPr="00B72B6D">
        <w:rPr>
          <w:rFonts w:cs="Arial"/>
          <w:color w:val="000000" w:themeColor="text1"/>
        </w:rPr>
        <w:t>RFQ Stage Three</w:t>
      </w:r>
      <w:r w:rsidR="00D0196B" w:rsidRPr="00B72B6D">
        <w:rPr>
          <w:rFonts w:cs="Arial"/>
          <w:color w:val="000000" w:themeColor="text1"/>
        </w:rPr>
        <w:t xml:space="preserve"> submissions.</w:t>
      </w:r>
      <w:r w:rsidR="00005FFF" w:rsidRPr="00B72B6D">
        <w:rPr>
          <w:rFonts w:cs="Arial"/>
          <w:color w:val="000000" w:themeColor="text1"/>
        </w:rPr>
        <w:t xml:space="preserve"> </w:t>
      </w:r>
      <w:r w:rsidR="00066372" w:rsidRPr="00B72B6D">
        <w:rPr>
          <w:rFonts w:cs="Arial"/>
          <w:color w:val="000000" w:themeColor="text1"/>
        </w:rPr>
        <w:t xml:space="preserve">First, the evaluation team </w:t>
      </w:r>
      <w:r w:rsidR="00FB7CF4" w:rsidRPr="00B72B6D">
        <w:rPr>
          <w:rFonts w:cs="Arial"/>
          <w:color w:val="000000" w:themeColor="text1"/>
        </w:rPr>
        <w:t xml:space="preserve">rated each proposal for pass or fail on whether the submission met the RFQ Stage Three </w:t>
      </w:r>
      <w:r w:rsidR="00035E0D" w:rsidRPr="00B72B6D">
        <w:rPr>
          <w:rFonts w:cs="Arial"/>
          <w:color w:val="000000" w:themeColor="text1"/>
        </w:rPr>
        <w:t xml:space="preserve">criteria. </w:t>
      </w:r>
      <w:r w:rsidR="00005FFF" w:rsidRPr="00B72B6D">
        <w:rPr>
          <w:rFonts w:cs="Arial"/>
          <w:color w:val="000000" w:themeColor="text1"/>
        </w:rPr>
        <w:t>The</w:t>
      </w:r>
      <w:r w:rsidR="00035E0D" w:rsidRPr="00B72B6D">
        <w:rPr>
          <w:rFonts w:cs="Arial"/>
          <w:color w:val="000000" w:themeColor="text1"/>
        </w:rPr>
        <w:t>n, the</w:t>
      </w:r>
      <w:r w:rsidR="00005FFF" w:rsidRPr="00B72B6D">
        <w:rPr>
          <w:rFonts w:cs="Arial"/>
          <w:color w:val="000000" w:themeColor="text1"/>
        </w:rPr>
        <w:t xml:space="preserve"> evaluation team scored </w:t>
      </w:r>
      <w:r w:rsidR="00FE0444" w:rsidRPr="00B72B6D">
        <w:rPr>
          <w:rFonts w:cs="Arial"/>
          <w:color w:val="000000" w:themeColor="text1"/>
        </w:rPr>
        <w:t xml:space="preserve">the technical </w:t>
      </w:r>
      <w:r w:rsidR="00E71176" w:rsidRPr="00B72B6D">
        <w:rPr>
          <w:rFonts w:cs="Arial"/>
          <w:color w:val="000000" w:themeColor="text1"/>
        </w:rPr>
        <w:t xml:space="preserve">proposal for each potential contractor. Following that step, the evaluation team scored the </w:t>
      </w:r>
      <w:r w:rsidR="00194393" w:rsidRPr="00B72B6D">
        <w:rPr>
          <w:rFonts w:cs="Arial"/>
          <w:color w:val="000000" w:themeColor="text1"/>
        </w:rPr>
        <w:t xml:space="preserve">budget proposal for each </w:t>
      </w:r>
      <w:r w:rsidR="00975B46" w:rsidRPr="00B72B6D">
        <w:rPr>
          <w:rFonts w:cs="Arial"/>
          <w:color w:val="000000" w:themeColor="text1"/>
        </w:rPr>
        <w:t xml:space="preserve">potential </w:t>
      </w:r>
      <w:r w:rsidR="00194393" w:rsidRPr="00B72B6D">
        <w:rPr>
          <w:rFonts w:cs="Arial"/>
          <w:color w:val="000000" w:themeColor="text1"/>
        </w:rPr>
        <w:t xml:space="preserve">contractor. </w:t>
      </w:r>
      <w:r w:rsidR="0057395D" w:rsidRPr="00B72B6D">
        <w:rPr>
          <w:rFonts w:cs="Arial"/>
          <w:color w:val="000000" w:themeColor="text1"/>
        </w:rPr>
        <w:t xml:space="preserve">After the </w:t>
      </w:r>
      <w:r w:rsidR="00CE2299" w:rsidRPr="00B72B6D">
        <w:rPr>
          <w:rFonts w:cs="Arial"/>
          <w:color w:val="000000" w:themeColor="text1"/>
        </w:rPr>
        <w:t>RFQ, Stage Three</w:t>
      </w:r>
      <w:r w:rsidR="0057395D" w:rsidRPr="00B72B6D">
        <w:rPr>
          <w:rFonts w:cs="Arial"/>
          <w:color w:val="000000" w:themeColor="text1"/>
        </w:rPr>
        <w:t xml:space="preserve"> submissions were scored, the evaluation team </w:t>
      </w:r>
      <w:r w:rsidR="00397708" w:rsidRPr="00B72B6D">
        <w:rPr>
          <w:rFonts w:cs="Arial"/>
          <w:color w:val="000000" w:themeColor="text1"/>
        </w:rPr>
        <w:t xml:space="preserve">added </w:t>
      </w:r>
      <w:r w:rsidR="004448E3" w:rsidRPr="00B72B6D">
        <w:rPr>
          <w:rFonts w:cs="Arial"/>
          <w:color w:val="000000" w:themeColor="text1"/>
        </w:rPr>
        <w:t>the total scores for stages one, two, and three</w:t>
      </w:r>
      <w:r w:rsidR="00397708" w:rsidRPr="00B72B6D">
        <w:rPr>
          <w:rFonts w:cs="Arial"/>
          <w:color w:val="000000" w:themeColor="text1"/>
        </w:rPr>
        <w:t xml:space="preserve"> to reach an </w:t>
      </w:r>
      <w:r w:rsidR="00C77060" w:rsidRPr="00B72B6D">
        <w:rPr>
          <w:rFonts w:cs="Arial"/>
          <w:color w:val="000000" w:themeColor="text1"/>
        </w:rPr>
        <w:t>overall technical score. Last</w:t>
      </w:r>
      <w:r w:rsidR="00A3679D" w:rsidRPr="00B72B6D">
        <w:rPr>
          <w:rFonts w:cs="Arial"/>
          <w:color w:val="000000" w:themeColor="text1"/>
        </w:rPr>
        <w:t>ly</w:t>
      </w:r>
      <w:r w:rsidR="00C77060" w:rsidRPr="00B72B6D">
        <w:rPr>
          <w:rFonts w:cs="Arial"/>
          <w:color w:val="000000" w:themeColor="text1"/>
        </w:rPr>
        <w:t xml:space="preserve">, the evaluation team took each potential contractor’s overall technical score and overall budget score and </w:t>
      </w:r>
      <w:r w:rsidR="00751962" w:rsidRPr="00B72B6D">
        <w:rPr>
          <w:rFonts w:cs="Arial"/>
          <w:color w:val="000000" w:themeColor="text1"/>
        </w:rPr>
        <w:t xml:space="preserve">combined them to get an overall </w:t>
      </w:r>
      <w:r w:rsidR="00435CD8" w:rsidRPr="00B72B6D">
        <w:rPr>
          <w:rFonts w:cs="Arial"/>
          <w:color w:val="000000" w:themeColor="text1"/>
        </w:rPr>
        <w:t xml:space="preserve">submission </w:t>
      </w:r>
      <w:r w:rsidR="00751962" w:rsidRPr="00B72B6D">
        <w:rPr>
          <w:rFonts w:cs="Arial"/>
          <w:color w:val="000000" w:themeColor="text1"/>
        </w:rPr>
        <w:t>score. Potential contractors were then ranked on</w:t>
      </w:r>
      <w:r w:rsidR="00CE2299" w:rsidRPr="00B72B6D">
        <w:rPr>
          <w:rFonts w:cs="Arial"/>
          <w:color w:val="000000" w:themeColor="text1"/>
        </w:rPr>
        <w:t xml:space="preserve"> the basis of the</w:t>
      </w:r>
      <w:r w:rsidR="00751962" w:rsidRPr="00B72B6D">
        <w:rPr>
          <w:rFonts w:cs="Arial"/>
          <w:color w:val="000000" w:themeColor="text1"/>
        </w:rPr>
        <w:t xml:space="preserve"> outcome</w:t>
      </w:r>
      <w:r w:rsidR="00D777B8" w:rsidRPr="00B72B6D">
        <w:rPr>
          <w:rFonts w:cs="Arial"/>
          <w:color w:val="000000" w:themeColor="text1"/>
        </w:rPr>
        <w:t xml:space="preserve"> </w:t>
      </w:r>
      <w:r w:rsidR="00C02FDB" w:rsidRPr="00B72B6D">
        <w:rPr>
          <w:rFonts w:cs="Arial"/>
          <w:color w:val="000000" w:themeColor="text1"/>
        </w:rPr>
        <w:t xml:space="preserve">of this process. </w:t>
      </w:r>
      <w:r w:rsidR="00AE4F46" w:rsidRPr="00B72B6D">
        <w:rPr>
          <w:rFonts w:cs="Arial"/>
          <w:color w:val="000000" w:themeColor="text1"/>
        </w:rPr>
        <w:t xml:space="preserve">As a result of </w:t>
      </w:r>
      <w:r w:rsidR="3A4C4564" w:rsidRPr="00B72B6D">
        <w:rPr>
          <w:rFonts w:cs="Arial"/>
          <w:color w:val="000000" w:themeColor="text1"/>
        </w:rPr>
        <w:t xml:space="preserve">the </w:t>
      </w:r>
      <w:r w:rsidR="00C02FDB" w:rsidRPr="00B72B6D">
        <w:rPr>
          <w:rFonts w:cs="Arial"/>
          <w:color w:val="000000" w:themeColor="text1"/>
        </w:rPr>
        <w:t>C</w:t>
      </w:r>
      <w:r w:rsidR="00DB2A9F" w:rsidRPr="00B72B6D">
        <w:rPr>
          <w:rFonts w:cs="Arial"/>
          <w:color w:val="000000" w:themeColor="text1"/>
        </w:rPr>
        <w:t>alifornia Assessment System RFQ, Stage Three—Formal Written Submission</w:t>
      </w:r>
      <w:r w:rsidR="00D03701" w:rsidRPr="00B72B6D">
        <w:rPr>
          <w:rFonts w:cs="Arial"/>
          <w:color w:val="000000" w:themeColor="text1"/>
        </w:rPr>
        <w:t xml:space="preserve"> evaluation, </w:t>
      </w:r>
      <w:r w:rsidR="00DF4B90" w:rsidRPr="00B72B6D">
        <w:rPr>
          <w:rFonts w:cs="Arial"/>
          <w:color w:val="000000" w:themeColor="text1"/>
        </w:rPr>
        <w:t xml:space="preserve">ETS </w:t>
      </w:r>
      <w:r w:rsidR="2FF77970" w:rsidRPr="00B72B6D">
        <w:rPr>
          <w:rFonts w:cs="Arial"/>
          <w:color w:val="000000" w:themeColor="text1"/>
        </w:rPr>
        <w:t>is the highest ranked potential contractor</w:t>
      </w:r>
      <w:r w:rsidR="00CE2299" w:rsidRPr="00B72B6D">
        <w:rPr>
          <w:rFonts w:cs="Arial"/>
          <w:color w:val="000000" w:themeColor="text1"/>
        </w:rPr>
        <w:t>,</w:t>
      </w:r>
      <w:r w:rsidR="00E72397" w:rsidRPr="00B72B6D">
        <w:rPr>
          <w:rFonts w:cs="Arial"/>
          <w:color w:val="000000" w:themeColor="text1"/>
        </w:rPr>
        <w:t xml:space="preserve"> as </w:t>
      </w:r>
      <w:r w:rsidR="004045C8" w:rsidRPr="00B72B6D">
        <w:rPr>
          <w:rFonts w:cs="Arial"/>
          <w:color w:val="000000" w:themeColor="text1"/>
        </w:rPr>
        <w:t>shown</w:t>
      </w:r>
      <w:r w:rsidR="00E72397" w:rsidRPr="00B72B6D">
        <w:rPr>
          <w:rFonts w:cs="Arial"/>
          <w:color w:val="000000" w:themeColor="text1"/>
        </w:rPr>
        <w:t xml:space="preserve"> in Attachment </w:t>
      </w:r>
      <w:r w:rsidR="2D10D395" w:rsidRPr="00B72B6D">
        <w:rPr>
          <w:rFonts w:cs="Arial"/>
          <w:color w:val="000000" w:themeColor="text1"/>
        </w:rPr>
        <w:t>1</w:t>
      </w:r>
      <w:r w:rsidR="2FF77970" w:rsidRPr="00B72B6D">
        <w:rPr>
          <w:rFonts w:cs="Arial"/>
          <w:color w:val="000000" w:themeColor="text1"/>
        </w:rPr>
        <w:t xml:space="preserve">. </w:t>
      </w:r>
      <w:r w:rsidR="0097737B" w:rsidRPr="00B72B6D">
        <w:rPr>
          <w:rFonts w:cs="Arial"/>
          <w:color w:val="000000" w:themeColor="text1"/>
        </w:rPr>
        <w:t xml:space="preserve">Attachment </w:t>
      </w:r>
      <w:r w:rsidR="1985825D" w:rsidRPr="00B72B6D">
        <w:rPr>
          <w:rFonts w:cs="Arial"/>
          <w:color w:val="000000" w:themeColor="text1"/>
        </w:rPr>
        <w:t>1</w:t>
      </w:r>
      <w:r w:rsidR="0097737B" w:rsidRPr="00B72B6D">
        <w:rPr>
          <w:rFonts w:cs="Arial"/>
          <w:color w:val="000000" w:themeColor="text1"/>
        </w:rPr>
        <w:t xml:space="preserve"> </w:t>
      </w:r>
      <w:r w:rsidR="000E008B" w:rsidRPr="00B72B6D">
        <w:rPr>
          <w:rFonts w:cs="Arial"/>
          <w:color w:val="000000" w:themeColor="text1"/>
        </w:rPr>
        <w:t>also includes the breakdown of sco</w:t>
      </w:r>
      <w:r w:rsidR="004045C8" w:rsidRPr="00B72B6D">
        <w:rPr>
          <w:rFonts w:cs="Arial"/>
          <w:color w:val="000000" w:themeColor="text1"/>
        </w:rPr>
        <w:t>res</w:t>
      </w:r>
      <w:r w:rsidR="000E008B" w:rsidRPr="00B72B6D">
        <w:rPr>
          <w:rFonts w:cs="Arial"/>
          <w:color w:val="000000" w:themeColor="text1"/>
        </w:rPr>
        <w:t xml:space="preserve"> for </w:t>
      </w:r>
      <w:r w:rsidR="00007627" w:rsidRPr="00B72B6D">
        <w:rPr>
          <w:rFonts w:cs="Arial"/>
          <w:color w:val="000000" w:themeColor="text1"/>
        </w:rPr>
        <w:t>s</w:t>
      </w:r>
      <w:r w:rsidR="000E008B" w:rsidRPr="00B72B6D">
        <w:rPr>
          <w:rFonts w:cs="Arial"/>
          <w:color w:val="000000" w:themeColor="text1"/>
        </w:rPr>
        <w:t>tage</w:t>
      </w:r>
      <w:r w:rsidR="00007627" w:rsidRPr="00B72B6D">
        <w:rPr>
          <w:rFonts w:cs="Arial"/>
          <w:color w:val="000000" w:themeColor="text1"/>
        </w:rPr>
        <w:t>s one, two, and three.</w:t>
      </w:r>
      <w:r w:rsidR="0097737B" w:rsidRPr="00B72B6D">
        <w:rPr>
          <w:rFonts w:cs="Arial"/>
          <w:color w:val="000000" w:themeColor="text1"/>
        </w:rPr>
        <w:t xml:space="preserve"> </w:t>
      </w:r>
    </w:p>
    <w:p w14:paraId="40376152" w14:textId="211D64B9" w:rsidR="2FF77970" w:rsidRPr="00B72B6D" w:rsidRDefault="2FF77970" w:rsidP="182A9DCC">
      <w:pPr>
        <w:rPr>
          <w:rFonts w:eastAsia="Arial" w:cs="Arial"/>
        </w:rPr>
      </w:pPr>
      <w:r w:rsidRPr="00B72B6D">
        <w:rPr>
          <w:rFonts w:cs="Arial"/>
          <w:color w:val="000000" w:themeColor="text1"/>
        </w:rPr>
        <w:t>T</w:t>
      </w:r>
      <w:r w:rsidR="00D03701" w:rsidRPr="00B72B6D">
        <w:rPr>
          <w:rFonts w:cs="Arial"/>
          <w:color w:val="000000" w:themeColor="text1"/>
        </w:rPr>
        <w:t xml:space="preserve">he CDE is requesting </w:t>
      </w:r>
      <w:r w:rsidR="355CDBEE" w:rsidRPr="00B72B6D">
        <w:rPr>
          <w:rFonts w:eastAsia="Arial" w:cs="Arial"/>
        </w:rPr>
        <w:t xml:space="preserve">approval </w:t>
      </w:r>
      <w:r w:rsidR="00A3679D" w:rsidRPr="00B72B6D">
        <w:rPr>
          <w:rFonts w:eastAsia="Arial" w:cs="Arial"/>
        </w:rPr>
        <w:t xml:space="preserve">from the SBE </w:t>
      </w:r>
      <w:r w:rsidR="355CDBEE" w:rsidRPr="00B72B6D">
        <w:rPr>
          <w:rFonts w:eastAsia="Arial" w:cs="Arial"/>
        </w:rPr>
        <w:t xml:space="preserve">to </w:t>
      </w:r>
      <w:r w:rsidR="02A48B8C" w:rsidRPr="00B72B6D">
        <w:rPr>
          <w:rFonts w:eastAsia="Arial" w:cs="Arial"/>
        </w:rPr>
        <w:t>begin</w:t>
      </w:r>
      <w:r w:rsidR="355CDBEE" w:rsidRPr="00B72B6D">
        <w:rPr>
          <w:rFonts w:eastAsia="Arial" w:cs="Arial"/>
        </w:rPr>
        <w:t xml:space="preserve"> contract negotiations with </w:t>
      </w:r>
      <w:r w:rsidR="00DF4B90" w:rsidRPr="00B72B6D">
        <w:rPr>
          <w:rFonts w:eastAsia="Arial" w:cs="Arial"/>
        </w:rPr>
        <w:t>ETS</w:t>
      </w:r>
      <w:r w:rsidR="00B64BBD" w:rsidRPr="00B72B6D">
        <w:rPr>
          <w:rFonts w:eastAsia="Arial" w:cs="Arial"/>
        </w:rPr>
        <w:t>.</w:t>
      </w:r>
      <w:r w:rsidR="00ED3A0D" w:rsidRPr="00B72B6D">
        <w:rPr>
          <w:rFonts w:eastAsia="Arial" w:cs="Arial"/>
        </w:rPr>
        <w:t xml:space="preserve"> </w:t>
      </w:r>
      <w:r w:rsidR="003D19E6" w:rsidRPr="00B72B6D">
        <w:rPr>
          <w:rFonts w:eastAsia="Arial" w:cs="Arial"/>
        </w:rPr>
        <w:t>With approval, s</w:t>
      </w:r>
      <w:r w:rsidR="001D02A6" w:rsidRPr="00B72B6D">
        <w:rPr>
          <w:rFonts w:eastAsia="Arial" w:cs="Arial"/>
        </w:rPr>
        <w:t xml:space="preserve">taff from </w:t>
      </w:r>
      <w:r w:rsidR="0A515AFD" w:rsidRPr="00B72B6D">
        <w:rPr>
          <w:rFonts w:eastAsia="Arial" w:cs="Arial"/>
        </w:rPr>
        <w:t>the SBE</w:t>
      </w:r>
      <w:r w:rsidR="003D19E6" w:rsidRPr="00B72B6D">
        <w:rPr>
          <w:rFonts w:eastAsia="Arial" w:cs="Arial"/>
        </w:rPr>
        <w:t>,</w:t>
      </w:r>
      <w:r w:rsidR="00984B61" w:rsidRPr="00B72B6D">
        <w:rPr>
          <w:rFonts w:eastAsia="Arial" w:cs="Arial"/>
        </w:rPr>
        <w:t xml:space="preserve"> </w:t>
      </w:r>
      <w:r w:rsidR="001D02A6" w:rsidRPr="00B72B6D">
        <w:rPr>
          <w:rFonts w:eastAsia="Arial" w:cs="Arial"/>
        </w:rPr>
        <w:t xml:space="preserve">the </w:t>
      </w:r>
      <w:r w:rsidR="0A515AFD" w:rsidRPr="00B72B6D">
        <w:rPr>
          <w:rFonts w:eastAsia="Arial" w:cs="Arial"/>
        </w:rPr>
        <w:t>Department of Finance</w:t>
      </w:r>
      <w:r w:rsidR="2836AC53" w:rsidRPr="00B72B6D">
        <w:rPr>
          <w:rFonts w:eastAsia="Arial" w:cs="Arial"/>
        </w:rPr>
        <w:t xml:space="preserve">, </w:t>
      </w:r>
      <w:r w:rsidR="77B040E8" w:rsidRPr="00B72B6D">
        <w:rPr>
          <w:rFonts w:eastAsia="Arial" w:cs="Arial"/>
        </w:rPr>
        <w:t>and</w:t>
      </w:r>
      <w:r w:rsidR="2836AC53" w:rsidRPr="00B72B6D">
        <w:rPr>
          <w:rFonts w:eastAsia="Arial" w:cs="Arial"/>
        </w:rPr>
        <w:t xml:space="preserve"> </w:t>
      </w:r>
      <w:r w:rsidR="77B040E8" w:rsidRPr="00B72B6D">
        <w:rPr>
          <w:rFonts w:eastAsia="Arial" w:cs="Arial"/>
        </w:rPr>
        <w:t xml:space="preserve">CDE will commence contract negotiations and bring a recommendation to the SBE </w:t>
      </w:r>
      <w:r w:rsidR="0979EA9A" w:rsidRPr="00B72B6D">
        <w:rPr>
          <w:rFonts w:eastAsia="Arial" w:cs="Arial"/>
        </w:rPr>
        <w:t>at the November 2021 SBE meeting.</w:t>
      </w:r>
      <w:r w:rsidR="00644560" w:rsidRPr="00B72B6D">
        <w:rPr>
          <w:rFonts w:eastAsia="Arial" w:cs="Arial"/>
        </w:rPr>
        <w:t xml:space="preserve"> As required by statute, staff from the SBE, CDE and Department of Finance will participate in the contract negotiations. </w:t>
      </w:r>
    </w:p>
    <w:p w14:paraId="5EEF2E69" w14:textId="77777777" w:rsidR="003E4DF7" w:rsidRPr="00B72B6D" w:rsidRDefault="003E4DF7" w:rsidP="007D234B">
      <w:pPr>
        <w:pStyle w:val="Heading2"/>
      </w:pPr>
      <w:r w:rsidRPr="00B72B6D">
        <w:lastRenderedPageBreak/>
        <w:t>Summary of Previous State Board of Education Discussion and Action</w:t>
      </w:r>
    </w:p>
    <w:p w14:paraId="235CD541" w14:textId="68142C33" w:rsidR="00486AF2" w:rsidRPr="00B72B6D" w:rsidRDefault="001F17A2" w:rsidP="00B208E5">
      <w:pPr>
        <w:spacing w:before="240" w:after="240"/>
        <w:rPr>
          <w:rFonts w:cs="Arial"/>
        </w:rPr>
      </w:pPr>
      <w:r w:rsidRPr="00B72B6D">
        <w:rPr>
          <w:rFonts w:cs="Arial"/>
        </w:rPr>
        <w:t>In January 2021, t</w:t>
      </w:r>
      <w:r w:rsidRPr="00B72B6D">
        <w:rPr>
          <w:rFonts w:cs="Arial"/>
          <w:color w:val="000000"/>
          <w:shd w:val="clear" w:color="auto" w:fill="FFFFFF"/>
        </w:rPr>
        <w:t xml:space="preserve">he </w:t>
      </w:r>
      <w:r w:rsidR="00064D99" w:rsidRPr="00B72B6D">
        <w:rPr>
          <w:rFonts w:cs="Arial"/>
          <w:color w:val="000000"/>
          <w:shd w:val="clear" w:color="auto" w:fill="FFFFFF"/>
        </w:rPr>
        <w:t>CDE received a</w:t>
      </w:r>
      <w:r w:rsidRPr="00B72B6D">
        <w:rPr>
          <w:rFonts w:cs="Arial"/>
          <w:color w:val="000000"/>
          <w:shd w:val="clear" w:color="auto" w:fill="FFFFFF"/>
        </w:rPr>
        <w:t xml:space="preserve">pproval of </w:t>
      </w:r>
      <w:r w:rsidR="00064D99" w:rsidRPr="00B72B6D">
        <w:rPr>
          <w:rFonts w:cs="Arial"/>
          <w:color w:val="000000"/>
          <w:shd w:val="clear" w:color="auto" w:fill="FFFFFF"/>
        </w:rPr>
        <w:t>the p</w:t>
      </w:r>
      <w:r w:rsidRPr="00B72B6D">
        <w:rPr>
          <w:rFonts w:cs="Arial"/>
          <w:color w:val="000000"/>
          <w:shd w:val="clear" w:color="auto" w:fill="FFFFFF"/>
        </w:rPr>
        <w:t xml:space="preserve">roposed </w:t>
      </w:r>
      <w:r w:rsidR="00064D99" w:rsidRPr="00B72B6D">
        <w:rPr>
          <w:rFonts w:cs="Arial"/>
          <w:color w:val="000000"/>
          <w:shd w:val="clear" w:color="auto" w:fill="FFFFFF"/>
        </w:rPr>
        <w:t>g</w:t>
      </w:r>
      <w:r w:rsidRPr="00B72B6D">
        <w:rPr>
          <w:rFonts w:cs="Arial"/>
          <w:color w:val="000000"/>
          <w:shd w:val="clear" w:color="auto" w:fill="FFFFFF"/>
        </w:rPr>
        <w:t xml:space="preserve">oals and </w:t>
      </w:r>
      <w:r w:rsidR="00064D99" w:rsidRPr="00B72B6D">
        <w:rPr>
          <w:rFonts w:cs="Arial"/>
          <w:color w:val="000000"/>
          <w:shd w:val="clear" w:color="auto" w:fill="FFFFFF"/>
        </w:rPr>
        <w:t>p</w:t>
      </w:r>
      <w:r w:rsidRPr="00B72B6D">
        <w:rPr>
          <w:rFonts w:cs="Arial"/>
          <w:color w:val="000000"/>
          <w:shd w:val="clear" w:color="auto" w:fill="FFFFFF"/>
        </w:rPr>
        <w:t xml:space="preserve">riorities to be </w:t>
      </w:r>
      <w:r w:rsidR="00064D99" w:rsidRPr="00B72B6D">
        <w:rPr>
          <w:rFonts w:cs="Arial"/>
          <w:color w:val="000000"/>
          <w:shd w:val="clear" w:color="auto" w:fill="FFFFFF"/>
        </w:rPr>
        <w:t>i</w:t>
      </w:r>
      <w:r w:rsidRPr="00B72B6D">
        <w:rPr>
          <w:rFonts w:cs="Arial"/>
          <w:color w:val="000000"/>
          <w:shd w:val="clear" w:color="auto" w:fill="FFFFFF"/>
        </w:rPr>
        <w:t xml:space="preserve">ncluded in the California Assessment System </w:t>
      </w:r>
      <w:r w:rsidR="00F722D1" w:rsidRPr="00B72B6D">
        <w:rPr>
          <w:rFonts w:cs="Arial"/>
          <w:color w:val="000000"/>
          <w:shd w:val="clear" w:color="auto" w:fill="FFFFFF"/>
        </w:rPr>
        <w:t>RFQ—</w:t>
      </w:r>
      <w:r w:rsidRPr="00B72B6D">
        <w:rPr>
          <w:rFonts w:cs="Arial"/>
          <w:color w:val="000000"/>
          <w:shd w:val="clear" w:color="auto" w:fill="FFFFFF"/>
        </w:rPr>
        <w:t>Stage Three</w:t>
      </w:r>
      <w:r w:rsidR="00F722D1" w:rsidRPr="00B72B6D">
        <w:rPr>
          <w:rFonts w:cs="Arial"/>
          <w:color w:val="000000"/>
          <w:shd w:val="clear" w:color="auto" w:fill="FFFFFF"/>
        </w:rPr>
        <w:t>,</w:t>
      </w:r>
      <w:r w:rsidR="00F722D1" w:rsidRPr="00B72B6D" w:rsidDel="00F722D1">
        <w:rPr>
          <w:rFonts w:cs="Arial"/>
          <w:color w:val="000000"/>
          <w:shd w:val="clear" w:color="auto" w:fill="FFFFFF"/>
        </w:rPr>
        <w:t xml:space="preserve"> </w:t>
      </w:r>
      <w:r w:rsidRPr="00B72B6D">
        <w:rPr>
          <w:rFonts w:cs="Arial"/>
          <w:color w:val="000000"/>
          <w:shd w:val="clear" w:color="auto" w:fill="FFFFFF"/>
        </w:rPr>
        <w:t>Formal Written Submission</w:t>
      </w:r>
      <w:r w:rsidR="0064422B" w:rsidRPr="00B72B6D">
        <w:rPr>
          <w:rFonts w:cs="Arial"/>
        </w:rPr>
        <w:t xml:space="preserve"> </w:t>
      </w:r>
      <w:r w:rsidR="00064D99" w:rsidRPr="00B72B6D">
        <w:rPr>
          <w:rFonts w:cs="Arial"/>
        </w:rPr>
        <w:t>(</w:t>
      </w:r>
      <w:hyperlink r:id="rId14" w:tooltip="This link opens the January 2021 SBE Agenda Item." w:history="1">
        <w:r w:rsidR="00064D99" w:rsidRPr="00B72B6D">
          <w:rPr>
            <w:rStyle w:val="Hyperlink"/>
            <w:rFonts w:eastAsiaTheme="majorEastAsia" w:cs="Arial"/>
          </w:rPr>
          <w:t>https://www.cde.ca.gov/be/ag/ag/yr21/documents/jan21item03.docx</w:t>
        </w:r>
      </w:hyperlink>
      <w:r w:rsidR="00064D99" w:rsidRPr="00B72B6D">
        <w:rPr>
          <w:rFonts w:eastAsiaTheme="majorEastAsia" w:cs="Arial"/>
        </w:rPr>
        <w:t>).</w:t>
      </w:r>
      <w:r w:rsidRPr="00B72B6D">
        <w:rPr>
          <w:rFonts w:cs="Arial"/>
        </w:rPr>
        <w:t xml:space="preserve"> </w:t>
      </w:r>
    </w:p>
    <w:p w14:paraId="3B6DF29C" w14:textId="3E9BFCA1" w:rsidR="00486AF2" w:rsidRPr="00B72B6D" w:rsidRDefault="00064D99" w:rsidP="00B208E5">
      <w:pPr>
        <w:spacing w:before="240" w:after="240"/>
        <w:rPr>
          <w:rFonts w:cs="Arial"/>
          <w:color w:val="000000"/>
          <w:shd w:val="clear" w:color="auto" w:fill="FFFFFF"/>
        </w:rPr>
      </w:pPr>
      <w:r w:rsidRPr="00B72B6D">
        <w:rPr>
          <w:rFonts w:cs="Arial"/>
          <w:color w:val="000000"/>
          <w:shd w:val="clear" w:color="auto" w:fill="FFFFFF"/>
        </w:rPr>
        <w:t xml:space="preserve">In </w:t>
      </w:r>
      <w:r w:rsidR="00486AF2" w:rsidRPr="00B72B6D">
        <w:rPr>
          <w:rFonts w:cs="Arial"/>
          <w:color w:val="000000"/>
          <w:shd w:val="clear" w:color="auto" w:fill="FFFFFF"/>
        </w:rPr>
        <w:t>March 2020</w:t>
      </w:r>
      <w:r w:rsidRPr="00B72B6D">
        <w:rPr>
          <w:rFonts w:cs="Arial"/>
          <w:color w:val="000000"/>
          <w:shd w:val="clear" w:color="auto" w:fill="FFFFFF"/>
        </w:rPr>
        <w:t xml:space="preserve">, </w:t>
      </w:r>
      <w:r w:rsidR="00F81153" w:rsidRPr="00B72B6D">
        <w:rPr>
          <w:rFonts w:cs="Arial"/>
          <w:color w:val="000000"/>
          <w:shd w:val="clear" w:color="auto" w:fill="FFFFFF"/>
        </w:rPr>
        <w:t>t</w:t>
      </w:r>
      <w:r w:rsidR="00486AF2" w:rsidRPr="00B72B6D">
        <w:rPr>
          <w:rFonts w:cs="Arial"/>
          <w:color w:val="000000"/>
          <w:shd w:val="clear" w:color="auto" w:fill="FFFFFF"/>
        </w:rPr>
        <w:t xml:space="preserve">he </w:t>
      </w:r>
      <w:r w:rsidR="00F81153" w:rsidRPr="00B72B6D">
        <w:rPr>
          <w:rFonts w:cs="Arial"/>
          <w:color w:val="000000"/>
          <w:shd w:val="clear" w:color="auto" w:fill="FFFFFF"/>
        </w:rPr>
        <w:t xml:space="preserve">CDE presented the four-stage </w:t>
      </w:r>
      <w:r w:rsidR="00AE46AB" w:rsidRPr="00B72B6D">
        <w:rPr>
          <w:rFonts w:cs="Arial"/>
          <w:color w:val="000000"/>
          <w:shd w:val="clear" w:color="auto" w:fill="FFFFFF"/>
        </w:rPr>
        <w:t xml:space="preserve">procurement process for the California Assessment System </w:t>
      </w:r>
      <w:r w:rsidR="00F722D1" w:rsidRPr="00B72B6D">
        <w:rPr>
          <w:rFonts w:cs="Arial"/>
          <w:color w:val="000000"/>
          <w:shd w:val="clear" w:color="auto" w:fill="FFFFFF"/>
        </w:rPr>
        <w:t>RFQ</w:t>
      </w:r>
      <w:r w:rsidR="0064422B" w:rsidRPr="00B72B6D">
        <w:rPr>
          <w:rFonts w:cs="Arial"/>
          <w:color w:val="000000"/>
          <w:shd w:val="clear" w:color="auto" w:fill="FFFFFF"/>
        </w:rPr>
        <w:t xml:space="preserve"> </w:t>
      </w:r>
      <w:r w:rsidR="00AE46AB" w:rsidRPr="00B72B6D">
        <w:rPr>
          <w:rFonts w:cs="Arial"/>
        </w:rPr>
        <w:t>(</w:t>
      </w:r>
      <w:hyperlink r:id="rId15" w:tooltip="This link opens the March 2020 SBE Agenda Item." w:history="1">
        <w:r w:rsidR="00AE46AB" w:rsidRPr="00B72B6D">
          <w:rPr>
            <w:rStyle w:val="Hyperlink"/>
            <w:rFonts w:eastAsiaTheme="majorEastAsia" w:cs="Arial"/>
          </w:rPr>
          <w:t>https://www.cde.ca.gov/be/ag/ag/yr20/documents/mar20item07.docx</w:t>
        </w:r>
      </w:hyperlink>
      <w:r w:rsidR="00AE46AB" w:rsidRPr="00B72B6D">
        <w:rPr>
          <w:rFonts w:eastAsiaTheme="majorEastAsia" w:cs="Arial"/>
        </w:rPr>
        <w:t>).</w:t>
      </w:r>
      <w:r w:rsidR="00486AF2" w:rsidRPr="00B72B6D">
        <w:rPr>
          <w:rFonts w:cs="Arial"/>
        </w:rPr>
        <w:t xml:space="preserve"> </w:t>
      </w:r>
    </w:p>
    <w:p w14:paraId="040115E7" w14:textId="69B46A5C" w:rsidR="001F17A2" w:rsidRPr="00B72B6D" w:rsidRDefault="001F17A2" w:rsidP="003D4DF1">
      <w:pPr>
        <w:spacing w:before="240" w:after="240"/>
        <w:rPr>
          <w:rFonts w:eastAsiaTheme="majorEastAsia" w:cs="Arial"/>
          <w:color w:val="000000"/>
          <w:shd w:val="clear" w:color="auto" w:fill="FFFFFF"/>
        </w:rPr>
      </w:pPr>
      <w:r w:rsidRPr="00B72B6D">
        <w:rPr>
          <w:rFonts w:cs="Arial"/>
          <w:color w:val="000000"/>
          <w:shd w:val="clear" w:color="auto" w:fill="FFFFFF"/>
        </w:rPr>
        <w:t xml:space="preserve">In November 2018, </w:t>
      </w:r>
      <w:r w:rsidR="00144F53" w:rsidRPr="00B72B6D">
        <w:rPr>
          <w:rFonts w:cs="Arial"/>
          <w:color w:val="000000"/>
          <w:shd w:val="clear" w:color="auto" w:fill="FFFFFF"/>
        </w:rPr>
        <w:t>the SBE a</w:t>
      </w:r>
      <w:r w:rsidRPr="00B72B6D">
        <w:rPr>
          <w:rFonts w:cs="Arial"/>
          <w:color w:val="000000"/>
          <w:shd w:val="clear" w:color="auto" w:fill="FFFFFF"/>
        </w:rPr>
        <w:t>pprov</w:t>
      </w:r>
      <w:r w:rsidR="00144F53" w:rsidRPr="00B72B6D">
        <w:rPr>
          <w:rFonts w:cs="Arial"/>
          <w:color w:val="000000"/>
          <w:shd w:val="clear" w:color="auto" w:fill="FFFFFF"/>
        </w:rPr>
        <w:t>ed</w:t>
      </w:r>
      <w:r w:rsidRPr="00B72B6D">
        <w:rPr>
          <w:rFonts w:cs="Arial"/>
          <w:color w:val="000000"/>
          <w:shd w:val="clear" w:color="auto" w:fill="FFFFFF"/>
        </w:rPr>
        <w:t xml:space="preserve"> </w:t>
      </w:r>
      <w:r w:rsidR="00144F53" w:rsidRPr="00B72B6D">
        <w:rPr>
          <w:rFonts w:cs="Arial"/>
          <w:color w:val="000000"/>
          <w:shd w:val="clear" w:color="auto" w:fill="FFFFFF"/>
        </w:rPr>
        <w:t>t</w:t>
      </w:r>
      <w:r w:rsidRPr="00B72B6D">
        <w:rPr>
          <w:rFonts w:cs="Arial"/>
          <w:color w:val="000000"/>
          <w:shd w:val="clear" w:color="auto" w:fill="FFFFFF"/>
        </w:rPr>
        <w:t xml:space="preserve">he </w:t>
      </w:r>
      <w:r w:rsidR="00144F53" w:rsidRPr="00B72B6D">
        <w:rPr>
          <w:rFonts w:cs="Arial"/>
          <w:color w:val="000000"/>
          <w:shd w:val="clear" w:color="auto" w:fill="FFFFFF"/>
        </w:rPr>
        <w:t>c</w:t>
      </w:r>
      <w:r w:rsidRPr="00B72B6D">
        <w:rPr>
          <w:rFonts w:cs="Arial"/>
          <w:color w:val="000000"/>
          <w:shd w:val="clear" w:color="auto" w:fill="FFFFFF"/>
        </w:rPr>
        <w:t xml:space="preserve">ontract </w:t>
      </w:r>
      <w:r w:rsidR="00144F53" w:rsidRPr="00B72B6D">
        <w:rPr>
          <w:rFonts w:cs="Arial"/>
          <w:color w:val="000000"/>
          <w:shd w:val="clear" w:color="auto" w:fill="FFFFFF"/>
        </w:rPr>
        <w:t>a</w:t>
      </w:r>
      <w:r w:rsidRPr="00B72B6D">
        <w:rPr>
          <w:rFonts w:cs="Arial"/>
          <w:color w:val="000000"/>
          <w:shd w:val="clear" w:color="auto" w:fill="FFFFFF"/>
        </w:rPr>
        <w:t xml:space="preserve">mendment with </w:t>
      </w:r>
      <w:r w:rsidR="005F780F" w:rsidRPr="00B72B6D">
        <w:rPr>
          <w:rFonts w:cs="Arial"/>
          <w:color w:val="000000"/>
          <w:shd w:val="clear" w:color="auto" w:fill="FFFFFF"/>
        </w:rPr>
        <w:t>ETS</w:t>
      </w:r>
      <w:r w:rsidRPr="00B72B6D">
        <w:rPr>
          <w:rFonts w:cs="Arial"/>
          <w:color w:val="000000"/>
          <w:shd w:val="clear" w:color="auto" w:fill="FFFFFF"/>
        </w:rPr>
        <w:t xml:space="preserve">’s </w:t>
      </w:r>
      <w:r w:rsidR="00963E8E" w:rsidRPr="00B72B6D">
        <w:rPr>
          <w:rFonts w:cs="Arial"/>
          <w:color w:val="000000"/>
          <w:shd w:val="clear" w:color="auto" w:fill="FFFFFF"/>
        </w:rPr>
        <w:t>CAASPP</w:t>
      </w:r>
      <w:r w:rsidRPr="00B72B6D">
        <w:rPr>
          <w:rFonts w:cs="Arial"/>
          <w:color w:val="000000"/>
          <w:shd w:val="clear" w:color="auto" w:fill="FFFFFF"/>
        </w:rPr>
        <w:t xml:space="preserve"> </w:t>
      </w:r>
      <w:r w:rsidR="005F780F" w:rsidRPr="00B72B6D">
        <w:rPr>
          <w:rFonts w:cs="Arial"/>
          <w:color w:val="000000"/>
          <w:shd w:val="clear" w:color="auto" w:fill="FFFFFF"/>
        </w:rPr>
        <w:t>c</w:t>
      </w:r>
      <w:r w:rsidRPr="00B72B6D">
        <w:rPr>
          <w:rFonts w:cs="Arial"/>
          <w:color w:val="000000"/>
          <w:shd w:val="clear" w:color="auto" w:fill="FFFFFF"/>
        </w:rPr>
        <w:t xml:space="preserve">ontract to </w:t>
      </w:r>
      <w:r w:rsidR="00963E8E" w:rsidRPr="00B72B6D">
        <w:rPr>
          <w:rFonts w:cs="Arial"/>
          <w:color w:val="000000"/>
          <w:shd w:val="clear" w:color="auto" w:fill="FFFFFF"/>
        </w:rPr>
        <w:t>i</w:t>
      </w:r>
      <w:r w:rsidRPr="00B72B6D">
        <w:rPr>
          <w:rFonts w:cs="Arial"/>
          <w:color w:val="000000"/>
          <w:shd w:val="clear" w:color="auto" w:fill="FFFFFF"/>
        </w:rPr>
        <w:t xml:space="preserve">nclude the </w:t>
      </w:r>
      <w:r w:rsidR="00963E8E" w:rsidRPr="00B72B6D">
        <w:rPr>
          <w:rFonts w:cs="Arial"/>
          <w:color w:val="000000"/>
          <w:shd w:val="clear" w:color="auto" w:fill="FFFFFF"/>
        </w:rPr>
        <w:t>i</w:t>
      </w:r>
      <w:r w:rsidRPr="00B72B6D">
        <w:rPr>
          <w:rFonts w:cs="Arial"/>
          <w:color w:val="000000"/>
          <w:shd w:val="clear" w:color="auto" w:fill="FFFFFF"/>
        </w:rPr>
        <w:t xml:space="preserve">ntegration of the </w:t>
      </w:r>
      <w:r w:rsidR="00963E8E" w:rsidRPr="00B72B6D">
        <w:rPr>
          <w:rFonts w:cs="Arial"/>
          <w:color w:val="000000"/>
          <w:shd w:val="clear" w:color="auto" w:fill="FFFFFF"/>
        </w:rPr>
        <w:t>ELPAC</w:t>
      </w:r>
      <w:r w:rsidRPr="00B72B6D">
        <w:rPr>
          <w:rFonts w:cs="Arial"/>
          <w:color w:val="000000"/>
          <w:shd w:val="clear" w:color="auto" w:fill="FFFFFF"/>
        </w:rPr>
        <w:t xml:space="preserve"> </w:t>
      </w:r>
      <w:r w:rsidR="00963E8E" w:rsidRPr="00B72B6D">
        <w:rPr>
          <w:rFonts w:cs="Arial"/>
          <w:color w:val="000000"/>
          <w:shd w:val="clear" w:color="auto" w:fill="FFFFFF"/>
        </w:rPr>
        <w:t>(</w:t>
      </w:r>
      <w:hyperlink r:id="rId16" w:tooltip="This link opens the November 2018 SBE Agenda Item." w:history="1">
        <w:r w:rsidR="00963E8E" w:rsidRPr="00B72B6D">
          <w:rPr>
            <w:rStyle w:val="Hyperlink"/>
            <w:rFonts w:eastAsiaTheme="majorEastAsia" w:cs="Arial"/>
            <w:shd w:val="clear" w:color="auto" w:fill="FFFFFF"/>
          </w:rPr>
          <w:t>https://www.cde.ca.gov/be/ag/ag/yr18/documents/nov18item08.docx</w:t>
        </w:r>
      </w:hyperlink>
      <w:r w:rsidR="00963E8E" w:rsidRPr="00B72B6D">
        <w:rPr>
          <w:rFonts w:eastAsiaTheme="majorEastAsia" w:cs="Arial"/>
          <w:color w:val="000000"/>
          <w:shd w:val="clear" w:color="auto" w:fill="FFFFFF"/>
        </w:rPr>
        <w:t>).</w:t>
      </w:r>
    </w:p>
    <w:p w14:paraId="1E1B77B0" w14:textId="74CCF5E8" w:rsidR="002D09B0" w:rsidRPr="00B72B6D" w:rsidRDefault="006760D6" w:rsidP="006760D6">
      <w:pPr>
        <w:rPr>
          <w:rFonts w:cs="Arial"/>
          <w:sz w:val="21"/>
          <w:szCs w:val="21"/>
        </w:rPr>
      </w:pPr>
      <w:r w:rsidRPr="00B72B6D">
        <w:rPr>
          <w:rFonts w:cs="Arial"/>
        </w:rPr>
        <w:t xml:space="preserve">In March 2015, the SBE designated ETS as the CAASPP contractor, subject to conditions made in the SBE’s motion </w:t>
      </w:r>
      <w:r w:rsidR="0006515B" w:rsidRPr="00B72B6D">
        <w:rPr>
          <w:rFonts w:eastAsiaTheme="majorEastAsia" w:cs="Arial"/>
          <w:color w:val="000000"/>
          <w:shd w:val="clear" w:color="auto" w:fill="FFFFFF"/>
        </w:rPr>
        <w:t>(</w:t>
      </w:r>
      <w:hyperlink r:id="rId17" w:tooltip="This link opens the March 2018 SBE Agenda Item." w:history="1">
        <w:r w:rsidR="0006515B" w:rsidRPr="00B72B6D">
          <w:rPr>
            <w:rStyle w:val="Hyperlink"/>
            <w:rFonts w:eastAsiaTheme="majorEastAsia" w:cs="Arial"/>
            <w:shd w:val="clear" w:color="auto" w:fill="FFFFFF"/>
          </w:rPr>
          <w:t>https://www.cde.ca.gov/be/ag/ag/yr15/documents/mar15item04.doc</w:t>
        </w:r>
      </w:hyperlink>
      <w:r w:rsidR="0006515B" w:rsidRPr="00B72B6D">
        <w:rPr>
          <w:rFonts w:eastAsiaTheme="majorEastAsia" w:cs="Arial"/>
          <w:color w:val="000000"/>
          <w:shd w:val="clear" w:color="auto" w:fill="FFFFFF"/>
        </w:rPr>
        <w:t>).</w:t>
      </w:r>
    </w:p>
    <w:p w14:paraId="38B2007B" w14:textId="77777777" w:rsidR="003E4DF7" w:rsidRPr="00B72B6D" w:rsidRDefault="003E4DF7" w:rsidP="007D234B">
      <w:pPr>
        <w:pStyle w:val="Heading2"/>
      </w:pPr>
      <w:r w:rsidRPr="00B72B6D">
        <w:t>Fiscal Analysis (as appropriate)</w:t>
      </w:r>
    </w:p>
    <w:p w14:paraId="1FC9460D" w14:textId="77777777" w:rsidR="00117159" w:rsidRPr="00B72B6D" w:rsidRDefault="0CBB011B" w:rsidP="00F075CB">
      <w:pPr>
        <w:spacing w:after="480"/>
      </w:pPr>
      <w:r w:rsidRPr="00B72B6D">
        <w:rPr>
          <w:rFonts w:eastAsia="Arial" w:cs="Arial"/>
        </w:rPr>
        <w:t>The 2021–2022 Budget Act provides a total of $8</w:t>
      </w:r>
      <w:r w:rsidR="4FD92795" w:rsidRPr="00B72B6D">
        <w:rPr>
          <w:rFonts w:eastAsia="Arial" w:cs="Arial"/>
        </w:rPr>
        <w:t>6,977,000</w:t>
      </w:r>
      <w:r w:rsidRPr="00B72B6D">
        <w:rPr>
          <w:rFonts w:eastAsia="Arial" w:cs="Arial"/>
        </w:rPr>
        <w:t xml:space="preserve"> for CAASPP contract activities and $23,</w:t>
      </w:r>
      <w:r w:rsidR="7DB53F78" w:rsidRPr="00B72B6D">
        <w:rPr>
          <w:rFonts w:eastAsia="Arial" w:cs="Arial"/>
        </w:rPr>
        <w:t>720</w:t>
      </w:r>
      <w:r w:rsidRPr="00B72B6D">
        <w:rPr>
          <w:rFonts w:eastAsia="Arial" w:cs="Arial"/>
        </w:rPr>
        <w:t>,</w:t>
      </w:r>
      <w:r w:rsidR="21D36355" w:rsidRPr="00B72B6D">
        <w:rPr>
          <w:rFonts w:eastAsia="Arial" w:cs="Arial"/>
        </w:rPr>
        <w:t>000</w:t>
      </w:r>
      <w:r w:rsidRPr="00B72B6D">
        <w:rPr>
          <w:rFonts w:eastAsia="Arial" w:cs="Arial"/>
        </w:rPr>
        <w:t xml:space="preserve"> in funding for ELPAC contract activities. Funding for 202</w:t>
      </w:r>
      <w:r w:rsidR="56F13423" w:rsidRPr="00B72B6D">
        <w:rPr>
          <w:rFonts w:eastAsia="Arial" w:cs="Arial"/>
        </w:rPr>
        <w:t>2</w:t>
      </w:r>
      <w:r w:rsidRPr="00B72B6D">
        <w:rPr>
          <w:rFonts w:eastAsia="Arial" w:cs="Arial"/>
        </w:rPr>
        <w:t>–202</w:t>
      </w:r>
      <w:r w:rsidR="66E77466" w:rsidRPr="00B72B6D">
        <w:rPr>
          <w:rFonts w:eastAsia="Arial" w:cs="Arial"/>
        </w:rPr>
        <w:t>3</w:t>
      </w:r>
      <w:r w:rsidRPr="00B72B6D">
        <w:rPr>
          <w:rFonts w:eastAsia="Arial" w:cs="Arial"/>
        </w:rPr>
        <w:t xml:space="preserve"> and beyond will be contingent on an annual appropriation being made available from the Legislature in future fiscal years.</w:t>
      </w:r>
    </w:p>
    <w:p w14:paraId="079132A0" w14:textId="77777777" w:rsidR="00406F50" w:rsidRPr="00B72B6D" w:rsidRDefault="00406F50" w:rsidP="0092793D">
      <w:pPr>
        <w:pStyle w:val="Heading2"/>
        <w:rPr>
          <w:rFonts w:eastAsia="Arial" w:cs="Arial"/>
          <w:color w:val="000000" w:themeColor="text1"/>
        </w:rPr>
      </w:pPr>
      <w:r w:rsidRPr="00B72B6D">
        <w:t>Attachment(s)</w:t>
      </w:r>
    </w:p>
    <w:p w14:paraId="575FFF86" w14:textId="1B31A549" w:rsidR="00283BB9" w:rsidRPr="00B72B6D" w:rsidRDefault="00283BB9" w:rsidP="00283BB9">
      <w:pPr>
        <w:pStyle w:val="ListParagraph"/>
        <w:numPr>
          <w:ilvl w:val="0"/>
          <w:numId w:val="20"/>
        </w:numPr>
        <w:spacing w:after="480"/>
        <w:sectPr w:rsidR="00283BB9" w:rsidRPr="00B72B6D" w:rsidSect="00B91EC2">
          <w:headerReference w:type="default" r:id="rId18"/>
          <w:type w:val="continuous"/>
          <w:pgSz w:w="12240" w:h="15840"/>
          <w:pgMar w:top="720" w:right="1440" w:bottom="2160" w:left="1440" w:header="720" w:footer="720" w:gutter="0"/>
          <w:cols w:space="720"/>
          <w:docGrid w:linePitch="360"/>
        </w:sectPr>
      </w:pPr>
      <w:r w:rsidRPr="00B72B6D">
        <w:t xml:space="preserve">Attachment </w:t>
      </w:r>
      <w:r w:rsidR="00512BBE" w:rsidRPr="00B72B6D">
        <w:t>1</w:t>
      </w:r>
      <w:r w:rsidRPr="00B72B6D">
        <w:t xml:space="preserve">: </w:t>
      </w:r>
      <w:r w:rsidRPr="00B72B6D">
        <w:rPr>
          <w:rFonts w:eastAsiaTheme="majorEastAsia" w:cstheme="majorBidi"/>
        </w:rPr>
        <w:t xml:space="preserve">Summary of </w:t>
      </w:r>
      <w:r w:rsidR="004D3C71" w:rsidRPr="00B72B6D">
        <w:rPr>
          <w:rFonts w:eastAsiaTheme="majorEastAsia" w:cstheme="majorBidi"/>
        </w:rPr>
        <w:t xml:space="preserve">the </w:t>
      </w:r>
      <w:r w:rsidRPr="00B72B6D">
        <w:rPr>
          <w:rFonts w:eastAsiaTheme="majorEastAsia" w:cstheme="majorBidi"/>
        </w:rPr>
        <w:t xml:space="preserve">Evaluation Results </w:t>
      </w:r>
      <w:r w:rsidR="004D3C71" w:rsidRPr="00B72B6D">
        <w:rPr>
          <w:rFonts w:eastAsiaTheme="majorEastAsia" w:cstheme="majorBidi"/>
        </w:rPr>
        <w:t>of</w:t>
      </w:r>
      <w:r w:rsidRPr="00B72B6D">
        <w:rPr>
          <w:rFonts w:eastAsiaTheme="majorEastAsia" w:cstheme="majorBidi"/>
        </w:rPr>
        <w:t xml:space="preserve"> the California Assessment System Request for Qualifications, Stage One, Two</w:t>
      </w:r>
      <w:r w:rsidR="005649F6" w:rsidRPr="00B72B6D">
        <w:rPr>
          <w:rFonts w:eastAsiaTheme="majorEastAsia" w:cstheme="majorBidi"/>
        </w:rPr>
        <w:t>,</w:t>
      </w:r>
      <w:r w:rsidRPr="00B72B6D">
        <w:rPr>
          <w:rFonts w:eastAsiaTheme="majorEastAsia" w:cstheme="majorBidi"/>
        </w:rPr>
        <w:t xml:space="preserve"> and Three (10 Pages)</w:t>
      </w:r>
    </w:p>
    <w:p w14:paraId="6779B6F2" w14:textId="77777777" w:rsidR="00FB54A0" w:rsidRPr="00B72B6D" w:rsidRDefault="00FB54A0" w:rsidP="00FB54A0">
      <w:pPr>
        <w:pStyle w:val="Heading2"/>
      </w:pPr>
      <w:r w:rsidRPr="00B72B6D">
        <w:lastRenderedPageBreak/>
        <w:t>Summary of the Evaluation Results of the California Assessment System Request for Qualifications, Stages One, Two, and Three</w:t>
      </w:r>
    </w:p>
    <w:p w14:paraId="436C511C" w14:textId="71C40D78" w:rsidR="00FB54A0" w:rsidRPr="00B72B6D" w:rsidRDefault="00FB54A0" w:rsidP="00FB54A0">
      <w:pPr>
        <w:spacing w:before="240" w:after="240"/>
        <w:rPr>
          <w:rFonts w:cs="Arial"/>
        </w:rPr>
      </w:pPr>
      <w:r w:rsidRPr="00B72B6D">
        <w:rPr>
          <w:rFonts w:cs="Arial"/>
        </w:rPr>
        <w:t xml:space="preserve">The evaluation results of the first three stages of the California Assessment System Request for Qualifications (RFQ), a four-stage procurement process, are summarized in </w:t>
      </w:r>
      <w:r w:rsidR="00644560" w:rsidRPr="00B72B6D">
        <w:rPr>
          <w:rFonts w:cs="Arial"/>
        </w:rPr>
        <w:t>below</w:t>
      </w:r>
      <w:r w:rsidRPr="00B72B6D">
        <w:rPr>
          <w:rFonts w:cs="Arial"/>
        </w:rPr>
        <w:t>. The California Department of Education (CDE) is providing the results to the California State Board of Education (SBE) as part of the recommendation to approve the request to begin contract negotiations with the highest ranked potential contractor for the next assessment contract to cover five administrations of the California Assessment of Student Performance and Progress (CAASPP) and the English Language Proficiency Assessments for California (ELPAC), collectively known as the California Assessment System, beginning on July 1, 2022, and continuing through December 31, 2027.</w:t>
      </w:r>
    </w:p>
    <w:p w14:paraId="2D7067EE" w14:textId="77777777" w:rsidR="00FB54A0" w:rsidRPr="002435D5" w:rsidRDefault="00FB54A0" w:rsidP="002435D5">
      <w:pPr>
        <w:pStyle w:val="Heading3"/>
        <w:rPr>
          <w:sz w:val="28"/>
        </w:rPr>
      </w:pPr>
      <w:r w:rsidRPr="002435D5">
        <w:rPr>
          <w:sz w:val="28"/>
        </w:rPr>
        <w:t>California Assessment System Request for Qualifications—Stage One</w:t>
      </w:r>
    </w:p>
    <w:p w14:paraId="4C4FD73F" w14:textId="0EC47BAB" w:rsidR="00FB54A0" w:rsidRPr="00B72B6D" w:rsidRDefault="00FB54A0" w:rsidP="00FB54A0">
      <w:pPr>
        <w:spacing w:before="240" w:after="240"/>
        <w:rPr>
          <w:rFonts w:cs="Arial"/>
        </w:rPr>
      </w:pPr>
      <w:r w:rsidRPr="00B72B6D">
        <w:rPr>
          <w:rFonts w:cs="Arial"/>
        </w:rPr>
        <w:t xml:space="preserve">The evaluation rubric that the evaluation team used to score the California Assessment System RFQ—Stage One submissions is provided in </w:t>
      </w:r>
      <w:r w:rsidR="00D42627" w:rsidRPr="00B72B6D">
        <w:rPr>
          <w:rFonts w:cs="Arial"/>
        </w:rPr>
        <w:t>t</w:t>
      </w:r>
      <w:r w:rsidRPr="00B72B6D">
        <w:rPr>
          <w:rFonts w:cs="Arial"/>
        </w:rPr>
        <w:t>able 1. Table 2 display</w:t>
      </w:r>
      <w:r w:rsidR="00BA1CF6" w:rsidRPr="00B72B6D">
        <w:rPr>
          <w:rFonts w:cs="Arial"/>
        </w:rPr>
        <w:t>s</w:t>
      </w:r>
      <w:r w:rsidRPr="00B72B6D">
        <w:rPr>
          <w:rFonts w:cs="Arial"/>
        </w:rPr>
        <w:t xml:space="preserve"> the results for each of the </w:t>
      </w:r>
      <w:r w:rsidR="00D42627" w:rsidRPr="00B72B6D">
        <w:rPr>
          <w:rFonts w:cs="Arial"/>
        </w:rPr>
        <w:t xml:space="preserve">10 </w:t>
      </w:r>
      <w:r w:rsidRPr="00B72B6D">
        <w:rPr>
          <w:rFonts w:cs="Arial"/>
        </w:rPr>
        <w:t xml:space="preserve">qualification requirements of the Stage One evaluation for submissions provided by Educational Testing Service (ETS) and </w:t>
      </w:r>
      <w:r w:rsidRPr="00B72B6D">
        <w:rPr>
          <w:rFonts w:cs="Arial"/>
          <w:color w:val="000000" w:themeColor="text1"/>
        </w:rPr>
        <w:t>National Computer Systems (</w:t>
      </w:r>
      <w:r w:rsidRPr="00B72B6D">
        <w:rPr>
          <w:rFonts w:cs="Arial"/>
        </w:rPr>
        <w:t xml:space="preserve">NCS) Pearson, Inc. </w:t>
      </w:r>
    </w:p>
    <w:p w14:paraId="2E017829" w14:textId="77777777" w:rsidR="00FB54A0" w:rsidRPr="002435D5" w:rsidRDefault="00FB54A0" w:rsidP="002435D5">
      <w:r w:rsidRPr="002435D5">
        <w:br w:type="page"/>
      </w:r>
    </w:p>
    <w:p w14:paraId="096B826F" w14:textId="77777777" w:rsidR="00FB54A0" w:rsidRPr="002435D5" w:rsidRDefault="00FB54A0" w:rsidP="002435D5">
      <w:pPr>
        <w:pStyle w:val="Heading4"/>
        <w:spacing w:before="0" w:after="120"/>
        <w:rPr>
          <w:sz w:val="24"/>
        </w:rPr>
      </w:pPr>
      <w:r w:rsidRPr="002435D5">
        <w:rPr>
          <w:sz w:val="24"/>
        </w:rPr>
        <w:lastRenderedPageBreak/>
        <w:t>Table 1. Stage One: Evaluation Rubric</w:t>
      </w:r>
    </w:p>
    <w:tbl>
      <w:tblPr>
        <w:tblStyle w:val="TableGrid"/>
        <w:tblW w:w="0" w:type="auto"/>
        <w:tblLayout w:type="fixed"/>
        <w:tblLook w:val="04A0" w:firstRow="1" w:lastRow="0" w:firstColumn="1" w:lastColumn="0" w:noHBand="0" w:noVBand="1"/>
        <w:tblDescription w:val="Table 1. Stage One: Evaluation Rubric"/>
      </w:tblPr>
      <w:tblGrid>
        <w:gridCol w:w="2605"/>
        <w:gridCol w:w="1890"/>
        <w:gridCol w:w="4855"/>
      </w:tblGrid>
      <w:tr w:rsidR="00FB54A0" w:rsidRPr="00B72B6D" w14:paraId="6C11C4EC" w14:textId="77777777" w:rsidTr="00373089">
        <w:trPr>
          <w:cantSplit/>
          <w:tblHeader/>
        </w:trPr>
        <w:tc>
          <w:tcPr>
            <w:tcW w:w="2605" w:type="dxa"/>
            <w:shd w:val="clear" w:color="auto" w:fill="DEEAF6" w:themeFill="accent1" w:themeFillTint="33"/>
            <w:vAlign w:val="center"/>
          </w:tcPr>
          <w:p w14:paraId="7C777F03" w14:textId="77777777" w:rsidR="00FB54A0" w:rsidRPr="00B72B6D" w:rsidRDefault="00FB54A0" w:rsidP="00373089">
            <w:pPr>
              <w:spacing w:before="120" w:after="120"/>
              <w:ind w:right="374"/>
              <w:jc w:val="center"/>
              <w:rPr>
                <w:b/>
              </w:rPr>
            </w:pPr>
            <w:r w:rsidRPr="00B72B6D">
              <w:rPr>
                <w:b/>
              </w:rPr>
              <w:t>Percentage of Earned Points per Qualification</w:t>
            </w:r>
          </w:p>
        </w:tc>
        <w:tc>
          <w:tcPr>
            <w:tcW w:w="1890" w:type="dxa"/>
            <w:shd w:val="clear" w:color="auto" w:fill="DEEAF6" w:themeFill="accent1" w:themeFillTint="33"/>
            <w:vAlign w:val="center"/>
          </w:tcPr>
          <w:p w14:paraId="0F509A1E" w14:textId="77777777" w:rsidR="00FB54A0" w:rsidRPr="00B72B6D" w:rsidRDefault="00FB54A0" w:rsidP="00373089">
            <w:pPr>
              <w:spacing w:before="120" w:after="120"/>
              <w:ind w:right="374"/>
              <w:jc w:val="center"/>
              <w:rPr>
                <w:b/>
              </w:rPr>
            </w:pPr>
            <w:r w:rsidRPr="00B72B6D">
              <w:rPr>
                <w:b/>
              </w:rPr>
              <w:t>Category</w:t>
            </w:r>
          </w:p>
        </w:tc>
        <w:tc>
          <w:tcPr>
            <w:tcW w:w="4855" w:type="dxa"/>
            <w:shd w:val="clear" w:color="auto" w:fill="DEEAF6" w:themeFill="accent1" w:themeFillTint="33"/>
            <w:vAlign w:val="center"/>
          </w:tcPr>
          <w:p w14:paraId="22352679" w14:textId="77777777" w:rsidR="00FB54A0" w:rsidRPr="00B72B6D" w:rsidRDefault="00FB54A0" w:rsidP="00373089">
            <w:pPr>
              <w:spacing w:before="120" w:after="120"/>
              <w:ind w:right="374"/>
              <w:jc w:val="center"/>
              <w:rPr>
                <w:b/>
              </w:rPr>
            </w:pPr>
            <w:r w:rsidRPr="00B72B6D">
              <w:rPr>
                <w:b/>
              </w:rPr>
              <w:t>Description</w:t>
            </w:r>
          </w:p>
        </w:tc>
      </w:tr>
      <w:tr w:rsidR="00FB54A0" w:rsidRPr="00B72B6D" w14:paraId="01FAE89E" w14:textId="77777777" w:rsidTr="00373089">
        <w:trPr>
          <w:cantSplit/>
          <w:trHeight w:val="1610"/>
        </w:trPr>
        <w:tc>
          <w:tcPr>
            <w:tcW w:w="2605" w:type="dxa"/>
            <w:vAlign w:val="center"/>
          </w:tcPr>
          <w:p w14:paraId="00BC9131" w14:textId="77777777" w:rsidR="00FB54A0" w:rsidRPr="00B72B6D" w:rsidRDefault="00FB54A0" w:rsidP="006D513B">
            <w:pPr>
              <w:spacing w:before="120" w:after="120"/>
              <w:ind w:right="374" w:firstLine="519"/>
            </w:pPr>
            <w:r w:rsidRPr="00B72B6D">
              <w:t>90–100%</w:t>
            </w:r>
          </w:p>
        </w:tc>
        <w:tc>
          <w:tcPr>
            <w:tcW w:w="1890" w:type="dxa"/>
            <w:vAlign w:val="center"/>
          </w:tcPr>
          <w:p w14:paraId="5D1AB73A" w14:textId="77777777" w:rsidR="00FB54A0" w:rsidRPr="00B72B6D" w:rsidRDefault="00FB54A0" w:rsidP="006D513B">
            <w:pPr>
              <w:spacing w:before="120" w:after="120"/>
              <w:ind w:right="374"/>
            </w:pPr>
            <w:r w:rsidRPr="00B72B6D">
              <w:t>Exceeds</w:t>
            </w:r>
          </w:p>
        </w:tc>
        <w:tc>
          <w:tcPr>
            <w:tcW w:w="4855" w:type="dxa"/>
            <w:vAlign w:val="center"/>
          </w:tcPr>
          <w:p w14:paraId="64F40F46" w14:textId="77777777" w:rsidR="00FB54A0" w:rsidRPr="00B72B6D" w:rsidRDefault="00FB54A0" w:rsidP="00373089">
            <w:pPr>
              <w:spacing w:before="120" w:after="120"/>
              <w:ind w:right="374"/>
            </w:pPr>
            <w:r w:rsidRPr="00B72B6D">
              <w:t>The response is comprehensive, providing exceptional details and supporting evidence that the contractor thoroughly understands, meets, and exceeds the evaluation factors of the qualification.</w:t>
            </w:r>
          </w:p>
        </w:tc>
      </w:tr>
      <w:tr w:rsidR="00FB54A0" w:rsidRPr="00B72B6D" w14:paraId="087C64C6" w14:textId="77777777" w:rsidTr="00373089">
        <w:trPr>
          <w:cantSplit/>
          <w:trHeight w:val="1250"/>
        </w:trPr>
        <w:tc>
          <w:tcPr>
            <w:tcW w:w="2605" w:type="dxa"/>
            <w:vAlign w:val="center"/>
          </w:tcPr>
          <w:p w14:paraId="11BAB65D" w14:textId="77777777" w:rsidR="00FB54A0" w:rsidRPr="00B72B6D" w:rsidRDefault="00FB54A0" w:rsidP="006D513B">
            <w:pPr>
              <w:spacing w:before="120" w:after="120"/>
              <w:ind w:right="374" w:firstLine="519"/>
            </w:pPr>
            <w:r w:rsidRPr="00B72B6D">
              <w:t>80–89%</w:t>
            </w:r>
          </w:p>
        </w:tc>
        <w:tc>
          <w:tcPr>
            <w:tcW w:w="1890" w:type="dxa"/>
            <w:vAlign w:val="center"/>
          </w:tcPr>
          <w:p w14:paraId="42F2D3C5" w14:textId="77777777" w:rsidR="00FB54A0" w:rsidRPr="00B72B6D" w:rsidRDefault="00FB54A0" w:rsidP="006D513B">
            <w:pPr>
              <w:spacing w:before="120" w:after="120"/>
              <w:ind w:right="374"/>
            </w:pPr>
            <w:r w:rsidRPr="00B72B6D">
              <w:t>Fully Meets</w:t>
            </w:r>
          </w:p>
        </w:tc>
        <w:tc>
          <w:tcPr>
            <w:tcW w:w="4855" w:type="dxa"/>
            <w:vAlign w:val="center"/>
          </w:tcPr>
          <w:p w14:paraId="78B31011" w14:textId="77777777" w:rsidR="00FB54A0" w:rsidRPr="00B72B6D" w:rsidRDefault="00FB54A0" w:rsidP="00373089">
            <w:pPr>
              <w:spacing w:before="120" w:after="120"/>
              <w:ind w:right="374"/>
            </w:pPr>
            <w:r w:rsidRPr="00B72B6D">
              <w:t>The response provides sufficient details and supporting evidence that the contractor understands and meets the evaluation factors of the requirement.</w:t>
            </w:r>
          </w:p>
        </w:tc>
      </w:tr>
      <w:tr w:rsidR="00FB54A0" w:rsidRPr="00B72B6D" w14:paraId="55514A6B" w14:textId="77777777" w:rsidTr="00373089">
        <w:trPr>
          <w:cantSplit/>
          <w:trHeight w:val="1880"/>
        </w:trPr>
        <w:tc>
          <w:tcPr>
            <w:tcW w:w="2605" w:type="dxa"/>
            <w:vAlign w:val="center"/>
          </w:tcPr>
          <w:p w14:paraId="2732B881" w14:textId="77777777" w:rsidR="00FB54A0" w:rsidRPr="00B72B6D" w:rsidRDefault="00FB54A0" w:rsidP="006D513B">
            <w:pPr>
              <w:spacing w:before="120" w:after="120"/>
              <w:ind w:right="374" w:firstLine="609"/>
            </w:pPr>
            <w:r w:rsidRPr="00B72B6D">
              <w:t>70–79%</w:t>
            </w:r>
          </w:p>
        </w:tc>
        <w:tc>
          <w:tcPr>
            <w:tcW w:w="1890" w:type="dxa"/>
            <w:vAlign w:val="center"/>
          </w:tcPr>
          <w:p w14:paraId="5FDCE5A8" w14:textId="77777777" w:rsidR="00FB54A0" w:rsidRPr="00B72B6D" w:rsidRDefault="00FB54A0" w:rsidP="00373089">
            <w:pPr>
              <w:spacing w:before="120" w:after="120"/>
              <w:ind w:right="374"/>
            </w:pPr>
            <w:r w:rsidRPr="00B72B6D">
              <w:t>Partially Meets</w:t>
            </w:r>
          </w:p>
        </w:tc>
        <w:tc>
          <w:tcPr>
            <w:tcW w:w="4855" w:type="dxa"/>
            <w:vAlign w:val="center"/>
          </w:tcPr>
          <w:p w14:paraId="38635219" w14:textId="77777777" w:rsidR="00FB54A0" w:rsidRPr="00B72B6D" w:rsidRDefault="00FB54A0" w:rsidP="00373089">
            <w:pPr>
              <w:spacing w:before="120" w:after="120"/>
              <w:ind w:right="374"/>
            </w:pPr>
            <w:r w:rsidRPr="00B72B6D">
              <w:t>The response provides some detail and evidence of how the contract will meet some of the evaluation factors. It does not provide sufficient detail and supporting evidence that the contractor fully understands and can meet all the evaluation factors of the requirement.</w:t>
            </w:r>
          </w:p>
        </w:tc>
      </w:tr>
      <w:tr w:rsidR="00FB54A0" w:rsidRPr="00B72B6D" w14:paraId="029FEBCA" w14:textId="77777777" w:rsidTr="00373089">
        <w:trPr>
          <w:cantSplit/>
          <w:trHeight w:val="1340"/>
        </w:trPr>
        <w:tc>
          <w:tcPr>
            <w:tcW w:w="2605" w:type="dxa"/>
            <w:vAlign w:val="center"/>
          </w:tcPr>
          <w:p w14:paraId="2AA0D3B3" w14:textId="77777777" w:rsidR="00FB54A0" w:rsidRPr="00B72B6D" w:rsidRDefault="00FB54A0" w:rsidP="006D513B">
            <w:pPr>
              <w:spacing w:before="120" w:after="120"/>
              <w:ind w:right="374" w:firstLine="609"/>
            </w:pPr>
            <w:r w:rsidRPr="00B72B6D">
              <w:t>1–69%</w:t>
            </w:r>
          </w:p>
        </w:tc>
        <w:tc>
          <w:tcPr>
            <w:tcW w:w="1890" w:type="dxa"/>
            <w:vAlign w:val="center"/>
          </w:tcPr>
          <w:p w14:paraId="76E631EC" w14:textId="77777777" w:rsidR="00FB54A0" w:rsidRPr="00B72B6D" w:rsidRDefault="00FB54A0" w:rsidP="00373089">
            <w:pPr>
              <w:spacing w:before="120" w:after="120"/>
              <w:ind w:right="374"/>
            </w:pPr>
            <w:r w:rsidRPr="00B72B6D">
              <w:t>Does Not Sufficiently Meet</w:t>
            </w:r>
          </w:p>
        </w:tc>
        <w:tc>
          <w:tcPr>
            <w:tcW w:w="4855" w:type="dxa"/>
            <w:vAlign w:val="center"/>
          </w:tcPr>
          <w:p w14:paraId="781617E7" w14:textId="77777777" w:rsidR="00FB54A0" w:rsidRPr="00B72B6D" w:rsidRDefault="00FB54A0" w:rsidP="00373089">
            <w:pPr>
              <w:spacing w:before="120" w:after="120"/>
              <w:ind w:right="374"/>
            </w:pPr>
            <w:r w:rsidRPr="00B72B6D">
              <w:t>The response is inadequate, providing no or limited detail or supporting evidence that the contractor understands the evaluation factors of the requirement.</w:t>
            </w:r>
          </w:p>
        </w:tc>
      </w:tr>
      <w:tr w:rsidR="00FB54A0" w:rsidRPr="00B72B6D" w14:paraId="287332D4" w14:textId="77777777" w:rsidTr="00373089">
        <w:trPr>
          <w:cantSplit/>
          <w:trHeight w:val="710"/>
        </w:trPr>
        <w:tc>
          <w:tcPr>
            <w:tcW w:w="2605" w:type="dxa"/>
            <w:vAlign w:val="center"/>
          </w:tcPr>
          <w:p w14:paraId="4C254307" w14:textId="77777777" w:rsidR="00FB54A0" w:rsidRPr="00B72B6D" w:rsidRDefault="00FB54A0" w:rsidP="006D513B">
            <w:pPr>
              <w:spacing w:before="120" w:after="120"/>
              <w:ind w:right="374" w:firstLine="969"/>
            </w:pPr>
            <w:r w:rsidRPr="00B72B6D">
              <w:t>0</w:t>
            </w:r>
          </w:p>
        </w:tc>
        <w:tc>
          <w:tcPr>
            <w:tcW w:w="1890" w:type="dxa"/>
            <w:vAlign w:val="center"/>
          </w:tcPr>
          <w:p w14:paraId="4C89488C" w14:textId="77777777" w:rsidR="00FB54A0" w:rsidRPr="00B72B6D" w:rsidRDefault="00FB54A0" w:rsidP="00373089">
            <w:pPr>
              <w:spacing w:before="120" w:after="120"/>
              <w:ind w:right="374"/>
            </w:pPr>
            <w:r w:rsidRPr="00B72B6D">
              <w:t>Not Addressed</w:t>
            </w:r>
          </w:p>
        </w:tc>
        <w:tc>
          <w:tcPr>
            <w:tcW w:w="4855" w:type="dxa"/>
            <w:vAlign w:val="center"/>
          </w:tcPr>
          <w:p w14:paraId="49B10E02" w14:textId="77777777" w:rsidR="00FB54A0" w:rsidRPr="00B72B6D" w:rsidRDefault="00FB54A0" w:rsidP="00373089">
            <w:pPr>
              <w:spacing w:before="120" w:after="120"/>
              <w:ind w:right="374"/>
            </w:pPr>
            <w:r w:rsidRPr="00B72B6D">
              <w:t>The contractor did not provide a response to the evaluation factors of the requirement.</w:t>
            </w:r>
          </w:p>
        </w:tc>
      </w:tr>
    </w:tbl>
    <w:p w14:paraId="6671A928" w14:textId="77777777" w:rsidR="00FB54A0" w:rsidRPr="002435D5" w:rsidRDefault="00FB54A0" w:rsidP="002435D5"/>
    <w:p w14:paraId="317361F0" w14:textId="77777777" w:rsidR="00FB54A0" w:rsidRPr="002435D5" w:rsidRDefault="00FB54A0" w:rsidP="002435D5">
      <w:r w:rsidRPr="002435D5">
        <w:br w:type="page"/>
      </w:r>
    </w:p>
    <w:p w14:paraId="3280F813" w14:textId="3C91E3D8" w:rsidR="00FB54A0" w:rsidRPr="002435D5" w:rsidRDefault="00FB54A0" w:rsidP="002435D5">
      <w:pPr>
        <w:pStyle w:val="Heading4"/>
        <w:spacing w:before="0" w:after="120"/>
        <w:rPr>
          <w:sz w:val="24"/>
        </w:rPr>
      </w:pPr>
      <w:r w:rsidRPr="002435D5">
        <w:rPr>
          <w:sz w:val="24"/>
        </w:rPr>
        <w:lastRenderedPageBreak/>
        <w:t xml:space="preserve">Table 2. Stage One: Evaluation Results </w:t>
      </w:r>
      <w:r w:rsidR="00037A04" w:rsidRPr="002435D5">
        <w:rPr>
          <w:sz w:val="24"/>
        </w:rPr>
        <w:t xml:space="preserve">by Qualification Submission </w:t>
      </w:r>
      <w:r w:rsidRPr="002435D5">
        <w:rPr>
          <w:sz w:val="24"/>
        </w:rPr>
        <w:t>for ETS</w:t>
      </w:r>
      <w:r w:rsidR="00A07633" w:rsidRPr="002435D5">
        <w:rPr>
          <w:sz w:val="24"/>
        </w:rPr>
        <w:t xml:space="preserve"> and NCS Pearson, Inc.</w:t>
      </w:r>
    </w:p>
    <w:tbl>
      <w:tblPr>
        <w:tblStyle w:val="TableGrid11"/>
        <w:tblW w:w="9360" w:type="dxa"/>
        <w:tblInd w:w="0" w:type="dxa"/>
        <w:tblLook w:val="04A0" w:firstRow="1" w:lastRow="0" w:firstColumn="1" w:lastColumn="0" w:noHBand="0" w:noVBand="1"/>
        <w:tblDescription w:val="Table 2. Stage One: Evaluation Results for ETS and NCS Pearson, Inc."/>
      </w:tblPr>
      <w:tblGrid>
        <w:gridCol w:w="1670"/>
        <w:gridCol w:w="2646"/>
        <w:gridCol w:w="1254"/>
        <w:gridCol w:w="1912"/>
        <w:gridCol w:w="1878"/>
      </w:tblGrid>
      <w:tr w:rsidR="00FB54A0" w:rsidRPr="00B72B6D" w14:paraId="57DA81E6" w14:textId="1188B96E" w:rsidTr="00C678B0">
        <w:trPr>
          <w:trHeight w:val="600"/>
          <w:tblHeader/>
        </w:trPr>
        <w:tc>
          <w:tcPr>
            <w:tcW w:w="16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B9BA1C" w14:textId="77777777" w:rsidR="00FB54A0" w:rsidRPr="00B72B6D" w:rsidRDefault="00FB54A0" w:rsidP="00396DC7">
            <w:pPr>
              <w:widowControl w:val="0"/>
              <w:autoSpaceDN w:val="0"/>
              <w:spacing w:before="120" w:after="120"/>
              <w:jc w:val="center"/>
              <w:rPr>
                <w:rFonts w:cs="Arial"/>
                <w:b/>
                <w:bCs/>
                <w:color w:val="000000"/>
              </w:rPr>
            </w:pPr>
            <w:r w:rsidRPr="00B72B6D">
              <w:rPr>
                <w:rFonts w:cs="Arial"/>
                <w:b/>
                <w:bCs/>
                <w:color w:val="000000"/>
              </w:rPr>
              <w:t>Qualification</w:t>
            </w:r>
          </w:p>
        </w:tc>
        <w:tc>
          <w:tcPr>
            <w:tcW w:w="26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8258968" w14:textId="77777777" w:rsidR="00FB54A0" w:rsidRPr="00B72B6D" w:rsidRDefault="00FB54A0" w:rsidP="00396DC7">
            <w:pPr>
              <w:widowControl w:val="0"/>
              <w:autoSpaceDN w:val="0"/>
              <w:spacing w:before="120" w:after="120"/>
              <w:jc w:val="center"/>
              <w:rPr>
                <w:rFonts w:cs="Arial"/>
                <w:b/>
                <w:bCs/>
                <w:color w:val="000000"/>
              </w:rPr>
            </w:pPr>
            <w:r w:rsidRPr="00B72B6D">
              <w:rPr>
                <w:rFonts w:cs="Arial"/>
                <w:b/>
                <w:bCs/>
                <w:color w:val="000000"/>
              </w:rPr>
              <w:t>Subject</w:t>
            </w: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3152E54" w14:textId="77777777" w:rsidR="00FB54A0" w:rsidRPr="00B72B6D" w:rsidRDefault="00FB54A0" w:rsidP="00396DC7">
            <w:pPr>
              <w:widowControl w:val="0"/>
              <w:autoSpaceDN w:val="0"/>
              <w:spacing w:before="120" w:after="120"/>
              <w:jc w:val="center"/>
              <w:rPr>
                <w:rFonts w:cs="Arial"/>
                <w:b/>
                <w:bCs/>
                <w:color w:val="000000"/>
              </w:rPr>
            </w:pPr>
            <w:r w:rsidRPr="00B72B6D">
              <w:rPr>
                <w:rFonts w:cs="Arial"/>
                <w:b/>
                <w:bCs/>
                <w:color w:val="000000"/>
              </w:rPr>
              <w:t>Points Possible</w:t>
            </w:r>
          </w:p>
        </w:tc>
        <w:tc>
          <w:tcPr>
            <w:tcW w:w="19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E9F144D" w14:textId="004AF782" w:rsidR="00FB54A0" w:rsidRPr="00B72B6D" w:rsidRDefault="00FB54A0" w:rsidP="00396DC7">
            <w:pPr>
              <w:widowControl w:val="0"/>
              <w:autoSpaceDN w:val="0"/>
              <w:spacing w:before="120" w:after="120"/>
              <w:jc w:val="center"/>
              <w:rPr>
                <w:rFonts w:cs="Arial"/>
                <w:b/>
                <w:bCs/>
                <w:color w:val="000000"/>
              </w:rPr>
            </w:pPr>
            <w:r w:rsidRPr="00B72B6D">
              <w:rPr>
                <w:rFonts w:cs="Arial"/>
                <w:b/>
                <w:bCs/>
                <w:color w:val="000000"/>
              </w:rPr>
              <w:t>Rated Score</w:t>
            </w:r>
            <w:r w:rsidR="00C678B0" w:rsidRPr="00B72B6D">
              <w:rPr>
                <w:rFonts w:cs="Arial"/>
                <w:b/>
                <w:bCs/>
                <w:color w:val="000000"/>
              </w:rPr>
              <w:t xml:space="preserve"> for ETS</w:t>
            </w:r>
          </w:p>
        </w:tc>
        <w:tc>
          <w:tcPr>
            <w:tcW w:w="187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01AB39" w14:textId="0375C9C3" w:rsidR="34761050" w:rsidRPr="00B72B6D" w:rsidRDefault="00C678B0" w:rsidP="00396DC7">
            <w:pPr>
              <w:spacing w:before="120" w:after="120"/>
              <w:jc w:val="center"/>
              <w:rPr>
                <w:b/>
                <w:bCs/>
                <w:color w:val="000000" w:themeColor="text1"/>
              </w:rPr>
            </w:pPr>
            <w:r w:rsidRPr="00B72B6D">
              <w:rPr>
                <w:b/>
                <w:bCs/>
                <w:color w:val="000000" w:themeColor="text1"/>
              </w:rPr>
              <w:t>Rated Score for NCS, Pearson, Inc.</w:t>
            </w:r>
          </w:p>
        </w:tc>
      </w:tr>
      <w:tr w:rsidR="00C678B0" w:rsidRPr="00B72B6D" w14:paraId="798C3BF2" w14:textId="0915EB49" w:rsidTr="00C678B0">
        <w:trPr>
          <w:trHeight w:val="737"/>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74B629AC"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One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B699284" w14:textId="77777777" w:rsidR="00C678B0" w:rsidRPr="00B72B6D" w:rsidRDefault="00C678B0" w:rsidP="00396DC7">
            <w:pPr>
              <w:widowControl w:val="0"/>
              <w:autoSpaceDN w:val="0"/>
              <w:spacing w:before="120" w:after="120"/>
              <w:rPr>
                <w:rFonts w:cs="Arial"/>
                <w:color w:val="000000"/>
              </w:rPr>
            </w:pPr>
            <w:r w:rsidRPr="00B72B6D">
              <w:rPr>
                <w:rFonts w:cs="Arial"/>
                <w:color w:val="000000"/>
              </w:rPr>
              <w:t>Computer-based and adaptive assessments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6C267C23"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1B752EAC"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94</w:t>
            </w:r>
          </w:p>
        </w:tc>
        <w:tc>
          <w:tcPr>
            <w:tcW w:w="1878" w:type="dxa"/>
            <w:tcBorders>
              <w:top w:val="single" w:sz="4" w:space="0" w:color="auto"/>
              <w:left w:val="single" w:sz="4" w:space="0" w:color="auto"/>
              <w:bottom w:val="single" w:sz="4" w:space="0" w:color="auto"/>
              <w:right w:val="single" w:sz="4" w:space="0" w:color="auto"/>
            </w:tcBorders>
            <w:vAlign w:val="center"/>
          </w:tcPr>
          <w:p w14:paraId="7BB135A8" w14:textId="710E8F7E" w:rsidR="00C678B0" w:rsidRPr="00B72B6D" w:rsidRDefault="00C678B0" w:rsidP="00396DC7">
            <w:pPr>
              <w:spacing w:before="120" w:after="120"/>
              <w:jc w:val="right"/>
              <w:rPr>
                <w:color w:val="000000" w:themeColor="text1"/>
              </w:rPr>
            </w:pPr>
            <w:r w:rsidRPr="00B72B6D">
              <w:rPr>
                <w:rFonts w:cs="Arial"/>
                <w:color w:val="000000"/>
              </w:rPr>
              <w:t>86</w:t>
            </w:r>
          </w:p>
        </w:tc>
      </w:tr>
      <w:tr w:rsidR="00C678B0" w:rsidRPr="00B72B6D" w14:paraId="2D13752F" w14:textId="65410020" w:rsidTr="00C678B0">
        <w:trPr>
          <w:trHeight w:val="638"/>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13E4AD5A"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Two</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6DB01AE" w14:textId="77777777" w:rsidR="00C678B0" w:rsidRPr="00B72B6D" w:rsidRDefault="00C678B0" w:rsidP="00396DC7">
            <w:pPr>
              <w:widowControl w:val="0"/>
              <w:autoSpaceDN w:val="0"/>
              <w:spacing w:before="120" w:after="120"/>
              <w:rPr>
                <w:rFonts w:cs="Arial"/>
                <w:color w:val="000000"/>
              </w:rPr>
            </w:pPr>
            <w:r w:rsidRPr="00B72B6D">
              <w:rPr>
                <w:rFonts w:cs="Arial"/>
                <w:color w:val="000000"/>
              </w:rPr>
              <w:t xml:space="preserve">System access through a single </w:t>
            </w:r>
            <w:r w:rsidRPr="00B72B6D">
              <w:rPr>
                <w:rFonts w:cs="Arial"/>
                <w:color w:val="000000"/>
              </w:rPr>
              <w:br/>
              <w:t>sign-on</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5ADC3B96"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4DE6DF5B"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96</w:t>
            </w:r>
          </w:p>
        </w:tc>
        <w:tc>
          <w:tcPr>
            <w:tcW w:w="1878" w:type="dxa"/>
            <w:tcBorders>
              <w:top w:val="single" w:sz="4" w:space="0" w:color="auto"/>
              <w:left w:val="single" w:sz="4" w:space="0" w:color="auto"/>
              <w:bottom w:val="single" w:sz="4" w:space="0" w:color="auto"/>
              <w:right w:val="single" w:sz="4" w:space="0" w:color="auto"/>
            </w:tcBorders>
            <w:vAlign w:val="center"/>
          </w:tcPr>
          <w:p w14:paraId="58D5484E" w14:textId="56A3D08E" w:rsidR="00C678B0" w:rsidRPr="00B72B6D" w:rsidRDefault="00C678B0" w:rsidP="00396DC7">
            <w:pPr>
              <w:spacing w:before="120" w:after="120"/>
              <w:jc w:val="right"/>
              <w:rPr>
                <w:color w:val="000000" w:themeColor="text1"/>
              </w:rPr>
            </w:pPr>
            <w:r w:rsidRPr="00B72B6D">
              <w:rPr>
                <w:rFonts w:cs="Arial"/>
                <w:color w:val="000000"/>
              </w:rPr>
              <w:t>97</w:t>
            </w:r>
          </w:p>
        </w:tc>
      </w:tr>
      <w:tr w:rsidR="00C678B0" w:rsidRPr="00B72B6D" w14:paraId="4D8DC52F" w14:textId="6E7AA552" w:rsidTr="00C678B0">
        <w:trPr>
          <w:trHeight w:val="602"/>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5E835EB8"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Three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0D5A018" w14:textId="77777777" w:rsidR="00C678B0" w:rsidRPr="00B72B6D" w:rsidRDefault="00C678B0" w:rsidP="00396DC7">
            <w:pPr>
              <w:widowControl w:val="0"/>
              <w:autoSpaceDN w:val="0"/>
              <w:spacing w:before="120" w:after="120"/>
              <w:rPr>
                <w:rFonts w:cs="Arial"/>
                <w:color w:val="000000"/>
              </w:rPr>
            </w:pPr>
            <w:r w:rsidRPr="00B72B6D">
              <w:rPr>
                <w:rFonts w:cs="Arial"/>
                <w:color w:val="000000"/>
              </w:rPr>
              <w:t>Test delivery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4E6B9E19"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119CF5C8"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93</w:t>
            </w:r>
          </w:p>
        </w:tc>
        <w:tc>
          <w:tcPr>
            <w:tcW w:w="1878" w:type="dxa"/>
            <w:tcBorders>
              <w:top w:val="single" w:sz="4" w:space="0" w:color="auto"/>
              <w:left w:val="single" w:sz="4" w:space="0" w:color="auto"/>
              <w:bottom w:val="single" w:sz="4" w:space="0" w:color="auto"/>
              <w:right w:val="single" w:sz="4" w:space="0" w:color="auto"/>
            </w:tcBorders>
            <w:vAlign w:val="center"/>
          </w:tcPr>
          <w:p w14:paraId="1400DD47" w14:textId="6584B41F" w:rsidR="00C678B0" w:rsidRPr="00B72B6D" w:rsidRDefault="00C678B0" w:rsidP="00396DC7">
            <w:pPr>
              <w:spacing w:before="120" w:after="120"/>
              <w:jc w:val="right"/>
              <w:rPr>
                <w:color w:val="000000" w:themeColor="text1"/>
              </w:rPr>
            </w:pPr>
            <w:r w:rsidRPr="00B72B6D">
              <w:rPr>
                <w:rFonts w:cs="Arial"/>
                <w:color w:val="000000"/>
              </w:rPr>
              <w:t>90</w:t>
            </w:r>
          </w:p>
        </w:tc>
      </w:tr>
      <w:tr w:rsidR="00C678B0" w:rsidRPr="00B72B6D" w14:paraId="4C02FA65" w14:textId="66C27734" w:rsidTr="00C678B0">
        <w:trPr>
          <w:trHeight w:val="575"/>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52D27982"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Four</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F8C5D78" w14:textId="77777777" w:rsidR="00C678B0" w:rsidRPr="00B72B6D" w:rsidRDefault="00C678B0" w:rsidP="00396DC7">
            <w:pPr>
              <w:widowControl w:val="0"/>
              <w:autoSpaceDN w:val="0"/>
              <w:spacing w:before="120" w:after="120"/>
              <w:rPr>
                <w:rFonts w:cs="Arial"/>
                <w:color w:val="000000"/>
              </w:rPr>
            </w:pPr>
            <w:r w:rsidRPr="00B72B6D">
              <w:rPr>
                <w:rFonts w:cs="Arial"/>
                <w:color w:val="000000"/>
              </w:rPr>
              <w:t>Scoring and reporting</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76EABE59"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269562FB"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94</w:t>
            </w:r>
          </w:p>
        </w:tc>
        <w:tc>
          <w:tcPr>
            <w:tcW w:w="1878" w:type="dxa"/>
            <w:tcBorders>
              <w:top w:val="single" w:sz="4" w:space="0" w:color="auto"/>
              <w:left w:val="single" w:sz="4" w:space="0" w:color="auto"/>
              <w:bottom w:val="single" w:sz="4" w:space="0" w:color="auto"/>
              <w:right w:val="single" w:sz="4" w:space="0" w:color="auto"/>
            </w:tcBorders>
            <w:vAlign w:val="center"/>
          </w:tcPr>
          <w:p w14:paraId="26CE7874" w14:textId="2EFEEF9D" w:rsidR="00C678B0" w:rsidRPr="00B72B6D" w:rsidRDefault="00C678B0" w:rsidP="00396DC7">
            <w:pPr>
              <w:spacing w:before="120" w:after="120"/>
              <w:jc w:val="right"/>
              <w:rPr>
                <w:color w:val="000000" w:themeColor="text1"/>
              </w:rPr>
            </w:pPr>
            <w:r w:rsidRPr="00B72B6D">
              <w:rPr>
                <w:rFonts w:cs="Arial"/>
                <w:color w:val="000000"/>
              </w:rPr>
              <w:t>83</w:t>
            </w:r>
          </w:p>
        </w:tc>
      </w:tr>
      <w:tr w:rsidR="00C678B0" w:rsidRPr="00B72B6D" w14:paraId="2C2448D2" w14:textId="61E10EAD" w:rsidTr="00C678B0">
        <w:trPr>
          <w:trHeight w:val="530"/>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294CCBE9"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Five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2376D9C" w14:textId="77777777" w:rsidR="00C678B0" w:rsidRPr="00B72B6D" w:rsidRDefault="00C678B0" w:rsidP="00396DC7">
            <w:pPr>
              <w:widowControl w:val="0"/>
              <w:autoSpaceDN w:val="0"/>
              <w:spacing w:before="120" w:after="120"/>
              <w:rPr>
                <w:rFonts w:cs="Arial"/>
                <w:color w:val="000000"/>
              </w:rPr>
            </w:pPr>
            <w:r w:rsidRPr="00B72B6D">
              <w:rPr>
                <w:rFonts w:cs="Arial"/>
                <w:color w:val="000000"/>
              </w:rPr>
              <w:t>Secure browsers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374A37C"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4CB08D29"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100</w:t>
            </w:r>
          </w:p>
        </w:tc>
        <w:tc>
          <w:tcPr>
            <w:tcW w:w="1878" w:type="dxa"/>
            <w:tcBorders>
              <w:top w:val="single" w:sz="4" w:space="0" w:color="auto"/>
              <w:left w:val="single" w:sz="4" w:space="0" w:color="auto"/>
              <w:bottom w:val="single" w:sz="4" w:space="0" w:color="auto"/>
              <w:right w:val="single" w:sz="4" w:space="0" w:color="auto"/>
            </w:tcBorders>
            <w:vAlign w:val="center"/>
          </w:tcPr>
          <w:p w14:paraId="3777386C" w14:textId="053B3886" w:rsidR="00C678B0" w:rsidRPr="00B72B6D" w:rsidRDefault="00C678B0" w:rsidP="00396DC7">
            <w:pPr>
              <w:spacing w:before="120" w:after="120"/>
              <w:jc w:val="right"/>
              <w:rPr>
                <w:color w:val="000000" w:themeColor="text1"/>
              </w:rPr>
            </w:pPr>
            <w:r w:rsidRPr="00B72B6D">
              <w:rPr>
                <w:rFonts w:cs="Arial"/>
                <w:color w:val="000000"/>
              </w:rPr>
              <w:t>100</w:t>
            </w:r>
          </w:p>
        </w:tc>
      </w:tr>
      <w:tr w:rsidR="00C678B0" w:rsidRPr="00B72B6D" w14:paraId="6CAD34B8" w14:textId="35EB87D5" w:rsidTr="00C678B0">
        <w:trPr>
          <w:trHeight w:val="485"/>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070A5B7C"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Six</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3646A8E" w14:textId="77777777" w:rsidR="00C678B0" w:rsidRPr="00B72B6D" w:rsidRDefault="00C678B0" w:rsidP="00396DC7">
            <w:pPr>
              <w:widowControl w:val="0"/>
              <w:autoSpaceDN w:val="0"/>
              <w:spacing w:before="120" w:after="120"/>
              <w:rPr>
                <w:rFonts w:cs="Arial"/>
                <w:color w:val="000000"/>
              </w:rPr>
            </w:pPr>
            <w:r w:rsidRPr="00B72B6D">
              <w:rPr>
                <w:rFonts w:cs="Arial"/>
                <w:color w:val="000000"/>
              </w:rPr>
              <w:t>Reporting of test results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E58A081"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19124351"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94</w:t>
            </w:r>
          </w:p>
        </w:tc>
        <w:tc>
          <w:tcPr>
            <w:tcW w:w="1878" w:type="dxa"/>
            <w:tcBorders>
              <w:top w:val="single" w:sz="4" w:space="0" w:color="auto"/>
              <w:left w:val="single" w:sz="4" w:space="0" w:color="auto"/>
              <w:bottom w:val="single" w:sz="4" w:space="0" w:color="auto"/>
              <w:right w:val="single" w:sz="4" w:space="0" w:color="auto"/>
            </w:tcBorders>
            <w:vAlign w:val="center"/>
          </w:tcPr>
          <w:p w14:paraId="7C52A2EE" w14:textId="4BF42207" w:rsidR="00C678B0" w:rsidRPr="00B72B6D" w:rsidRDefault="00C678B0" w:rsidP="00396DC7">
            <w:pPr>
              <w:spacing w:before="120" w:after="120"/>
              <w:jc w:val="right"/>
              <w:rPr>
                <w:color w:val="000000" w:themeColor="text1"/>
              </w:rPr>
            </w:pPr>
            <w:r w:rsidRPr="00B72B6D">
              <w:rPr>
                <w:rFonts w:cs="Arial"/>
                <w:color w:val="000000"/>
              </w:rPr>
              <w:t>81</w:t>
            </w:r>
          </w:p>
        </w:tc>
      </w:tr>
      <w:tr w:rsidR="00C678B0" w:rsidRPr="00B72B6D" w14:paraId="410D308D" w14:textId="067A82EE" w:rsidTr="00C678B0">
        <w:trPr>
          <w:trHeight w:val="458"/>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4BCC5CD2"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Seven</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A11C65E" w14:textId="77777777" w:rsidR="00C678B0" w:rsidRPr="00B72B6D" w:rsidRDefault="00C678B0" w:rsidP="00396DC7">
            <w:pPr>
              <w:widowControl w:val="0"/>
              <w:autoSpaceDN w:val="0"/>
              <w:spacing w:before="120" w:after="120"/>
              <w:rPr>
                <w:rFonts w:cs="Arial"/>
                <w:color w:val="000000"/>
              </w:rPr>
            </w:pPr>
            <w:r w:rsidRPr="00B72B6D">
              <w:rPr>
                <w:rFonts w:cs="Arial"/>
                <w:color w:val="000000"/>
              </w:rPr>
              <w:t>Item types and standards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16F3FB70"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2901B1C2"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94</w:t>
            </w:r>
          </w:p>
        </w:tc>
        <w:tc>
          <w:tcPr>
            <w:tcW w:w="1878" w:type="dxa"/>
            <w:tcBorders>
              <w:top w:val="single" w:sz="4" w:space="0" w:color="auto"/>
              <w:left w:val="single" w:sz="4" w:space="0" w:color="auto"/>
              <w:bottom w:val="single" w:sz="4" w:space="0" w:color="auto"/>
              <w:right w:val="single" w:sz="4" w:space="0" w:color="auto"/>
            </w:tcBorders>
            <w:vAlign w:val="center"/>
          </w:tcPr>
          <w:p w14:paraId="71FB63F4" w14:textId="6FCA4CF8" w:rsidR="00C678B0" w:rsidRPr="00B72B6D" w:rsidRDefault="00C678B0" w:rsidP="00396DC7">
            <w:pPr>
              <w:spacing w:before="120" w:after="120"/>
              <w:jc w:val="right"/>
              <w:rPr>
                <w:color w:val="000000" w:themeColor="text1"/>
              </w:rPr>
            </w:pPr>
            <w:r w:rsidRPr="00B72B6D">
              <w:rPr>
                <w:rFonts w:cs="Arial"/>
                <w:color w:val="000000"/>
              </w:rPr>
              <w:t>93</w:t>
            </w:r>
          </w:p>
        </w:tc>
      </w:tr>
      <w:tr w:rsidR="00C678B0" w:rsidRPr="00B72B6D" w14:paraId="3C02ED17" w14:textId="24E363D8" w:rsidTr="00C678B0">
        <w:trPr>
          <w:trHeight w:val="503"/>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320C593B"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Eight</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EC7F544" w14:textId="77777777" w:rsidR="00C678B0" w:rsidRPr="00B72B6D" w:rsidRDefault="00C678B0" w:rsidP="00396DC7">
            <w:pPr>
              <w:widowControl w:val="0"/>
              <w:autoSpaceDN w:val="0"/>
              <w:spacing w:before="120" w:after="120"/>
              <w:rPr>
                <w:rFonts w:cs="Arial"/>
                <w:color w:val="000000"/>
              </w:rPr>
            </w:pPr>
            <w:r w:rsidRPr="00B72B6D">
              <w:rPr>
                <w:rFonts w:cs="Arial"/>
                <w:color w:val="000000"/>
              </w:rPr>
              <w:t>Item bank and test forms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7818FA75"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tcPr>
          <w:p w14:paraId="714D42A7"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87</w:t>
            </w:r>
          </w:p>
        </w:tc>
        <w:tc>
          <w:tcPr>
            <w:tcW w:w="1878" w:type="dxa"/>
            <w:tcBorders>
              <w:top w:val="single" w:sz="4" w:space="0" w:color="auto"/>
              <w:left w:val="single" w:sz="4" w:space="0" w:color="auto"/>
              <w:bottom w:val="single" w:sz="4" w:space="0" w:color="auto"/>
              <w:right w:val="single" w:sz="4" w:space="0" w:color="auto"/>
            </w:tcBorders>
            <w:vAlign w:val="center"/>
          </w:tcPr>
          <w:p w14:paraId="1D3CFA39" w14:textId="3EF7AB8C" w:rsidR="00C678B0" w:rsidRPr="00B72B6D" w:rsidRDefault="00C678B0" w:rsidP="00396DC7">
            <w:pPr>
              <w:spacing w:before="120" w:after="120"/>
              <w:jc w:val="right"/>
              <w:rPr>
                <w:color w:val="000000" w:themeColor="text1"/>
              </w:rPr>
            </w:pPr>
            <w:r w:rsidRPr="00B72B6D">
              <w:rPr>
                <w:rFonts w:cs="Arial"/>
                <w:color w:val="000000"/>
              </w:rPr>
              <w:t>91</w:t>
            </w:r>
          </w:p>
        </w:tc>
      </w:tr>
      <w:tr w:rsidR="00C678B0" w:rsidRPr="00B72B6D" w14:paraId="34883F65" w14:textId="704CA416" w:rsidTr="00C678B0">
        <w:trPr>
          <w:trHeight w:val="728"/>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574E5EE6"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Nine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49B8BB2" w14:textId="77777777" w:rsidR="00C678B0" w:rsidRPr="00B72B6D" w:rsidRDefault="00C678B0" w:rsidP="00396DC7">
            <w:pPr>
              <w:widowControl w:val="0"/>
              <w:autoSpaceDN w:val="0"/>
              <w:spacing w:before="120" w:after="120"/>
              <w:rPr>
                <w:rFonts w:cs="Arial"/>
                <w:color w:val="000000"/>
              </w:rPr>
            </w:pPr>
            <w:r w:rsidRPr="00B72B6D">
              <w:rPr>
                <w:rFonts w:cs="Arial"/>
                <w:color w:val="000000"/>
              </w:rPr>
              <w:t>Item development and review process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E4B2C52"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tcPr>
          <w:p w14:paraId="74EFF49E"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93</w:t>
            </w:r>
          </w:p>
        </w:tc>
        <w:tc>
          <w:tcPr>
            <w:tcW w:w="1878" w:type="dxa"/>
            <w:tcBorders>
              <w:top w:val="single" w:sz="4" w:space="0" w:color="auto"/>
              <w:left w:val="single" w:sz="4" w:space="0" w:color="auto"/>
              <w:bottom w:val="single" w:sz="4" w:space="0" w:color="auto"/>
              <w:right w:val="single" w:sz="4" w:space="0" w:color="auto"/>
            </w:tcBorders>
            <w:vAlign w:val="center"/>
          </w:tcPr>
          <w:p w14:paraId="68E1027E" w14:textId="3E7CF19A" w:rsidR="00C678B0" w:rsidRPr="00B72B6D" w:rsidRDefault="00C678B0" w:rsidP="00396DC7">
            <w:pPr>
              <w:spacing w:before="120" w:after="120"/>
              <w:jc w:val="right"/>
              <w:rPr>
                <w:color w:val="000000" w:themeColor="text1"/>
              </w:rPr>
            </w:pPr>
            <w:r w:rsidRPr="00B72B6D">
              <w:rPr>
                <w:rFonts w:cs="Arial"/>
                <w:color w:val="000000"/>
              </w:rPr>
              <w:t>94</w:t>
            </w:r>
          </w:p>
        </w:tc>
      </w:tr>
      <w:tr w:rsidR="00C678B0" w:rsidRPr="00B72B6D" w14:paraId="7319F62D" w14:textId="71B3C161" w:rsidTr="00C678B0">
        <w:trPr>
          <w:trHeight w:val="710"/>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69F4D20B" w14:textId="77777777" w:rsidR="00C678B0" w:rsidRPr="00B72B6D" w:rsidRDefault="00C678B0" w:rsidP="00396DC7">
            <w:pPr>
              <w:widowControl w:val="0"/>
              <w:autoSpaceDN w:val="0"/>
              <w:spacing w:before="120" w:after="120"/>
              <w:ind w:firstLine="429"/>
              <w:rPr>
                <w:rFonts w:cs="Arial"/>
                <w:color w:val="000000"/>
              </w:rPr>
            </w:pPr>
            <w:r w:rsidRPr="00B72B6D">
              <w:rPr>
                <w:rFonts w:cs="Arial"/>
                <w:color w:val="000000"/>
              </w:rPr>
              <w:t>Ten</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02ACD5B" w14:textId="77777777" w:rsidR="00C678B0" w:rsidRPr="00B72B6D" w:rsidRDefault="00C678B0" w:rsidP="00396DC7">
            <w:pPr>
              <w:widowControl w:val="0"/>
              <w:autoSpaceDN w:val="0"/>
              <w:spacing w:before="120" w:after="120"/>
              <w:rPr>
                <w:rFonts w:cs="Arial"/>
                <w:color w:val="000000"/>
              </w:rPr>
            </w:pPr>
            <w:r w:rsidRPr="00B72B6D">
              <w:rPr>
                <w:rFonts w:cs="Arial"/>
                <w:color w:val="000000"/>
              </w:rPr>
              <w:t>Universal tools, designated supports, and accommodations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5150256" w14:textId="77777777" w:rsidR="00C678B0" w:rsidRPr="00B72B6D" w:rsidRDefault="00C678B0" w:rsidP="00396DC7">
            <w:pPr>
              <w:widowControl w:val="0"/>
              <w:autoSpaceDN w:val="0"/>
              <w:spacing w:before="120" w:after="120"/>
              <w:ind w:right="274"/>
              <w:jc w:val="right"/>
              <w:rPr>
                <w:rFonts w:cs="Arial"/>
                <w:color w:val="000000"/>
              </w:rPr>
            </w:pPr>
            <w:r w:rsidRPr="00B72B6D">
              <w:rPr>
                <w:rFonts w:cs="Arial"/>
                <w:color w:val="000000"/>
              </w:rPr>
              <w:t>100</w:t>
            </w:r>
          </w:p>
        </w:tc>
        <w:tc>
          <w:tcPr>
            <w:tcW w:w="1912" w:type="dxa"/>
            <w:tcBorders>
              <w:top w:val="single" w:sz="4" w:space="0" w:color="auto"/>
              <w:left w:val="single" w:sz="4" w:space="0" w:color="auto"/>
              <w:bottom w:val="single" w:sz="4" w:space="0" w:color="auto"/>
              <w:right w:val="single" w:sz="4" w:space="0" w:color="auto"/>
            </w:tcBorders>
            <w:noWrap/>
            <w:vAlign w:val="center"/>
          </w:tcPr>
          <w:p w14:paraId="020774D6" w14:textId="77777777" w:rsidR="00C678B0" w:rsidRPr="00B72B6D" w:rsidRDefault="00C678B0" w:rsidP="00396DC7">
            <w:pPr>
              <w:widowControl w:val="0"/>
              <w:autoSpaceDN w:val="0"/>
              <w:spacing w:before="120" w:after="120"/>
              <w:ind w:right="253"/>
              <w:jc w:val="right"/>
              <w:rPr>
                <w:rFonts w:cs="Arial"/>
                <w:color w:val="000000"/>
              </w:rPr>
            </w:pPr>
            <w:r w:rsidRPr="00B72B6D">
              <w:rPr>
                <w:rFonts w:cs="Arial"/>
                <w:color w:val="000000"/>
              </w:rPr>
              <w:t>91</w:t>
            </w:r>
          </w:p>
        </w:tc>
        <w:tc>
          <w:tcPr>
            <w:tcW w:w="1878" w:type="dxa"/>
            <w:tcBorders>
              <w:top w:val="single" w:sz="4" w:space="0" w:color="auto"/>
              <w:left w:val="single" w:sz="4" w:space="0" w:color="auto"/>
              <w:bottom w:val="single" w:sz="4" w:space="0" w:color="auto"/>
              <w:right w:val="single" w:sz="4" w:space="0" w:color="auto"/>
            </w:tcBorders>
            <w:vAlign w:val="center"/>
          </w:tcPr>
          <w:p w14:paraId="06ABF521" w14:textId="5A4D6F52" w:rsidR="00C678B0" w:rsidRPr="00B72B6D" w:rsidRDefault="00C678B0" w:rsidP="00396DC7">
            <w:pPr>
              <w:spacing w:before="120" w:after="120"/>
              <w:jc w:val="right"/>
              <w:rPr>
                <w:color w:val="000000" w:themeColor="text1"/>
              </w:rPr>
            </w:pPr>
            <w:r w:rsidRPr="00B72B6D">
              <w:rPr>
                <w:rFonts w:cs="Arial"/>
                <w:color w:val="000000"/>
              </w:rPr>
              <w:t>92</w:t>
            </w:r>
          </w:p>
        </w:tc>
      </w:tr>
      <w:tr w:rsidR="00C678B0" w:rsidRPr="00B72B6D" w14:paraId="114D62FD" w14:textId="3B60D2AB" w:rsidTr="00C678B0">
        <w:trPr>
          <w:trHeight w:val="1115"/>
        </w:trPr>
        <w:tc>
          <w:tcPr>
            <w:tcW w:w="1670" w:type="dxa"/>
            <w:tcBorders>
              <w:top w:val="single" w:sz="4" w:space="0" w:color="auto"/>
              <w:left w:val="single" w:sz="4" w:space="0" w:color="auto"/>
              <w:bottom w:val="single" w:sz="4" w:space="0" w:color="auto"/>
              <w:right w:val="single" w:sz="4" w:space="0" w:color="auto"/>
            </w:tcBorders>
            <w:noWrap/>
            <w:vAlign w:val="center"/>
            <w:hideMark/>
          </w:tcPr>
          <w:p w14:paraId="460624A5" w14:textId="77777777" w:rsidR="00C678B0" w:rsidRPr="00B72B6D" w:rsidRDefault="00C678B0" w:rsidP="00396DC7">
            <w:pPr>
              <w:widowControl w:val="0"/>
              <w:tabs>
                <w:tab w:val="left" w:pos="6120"/>
              </w:tabs>
              <w:autoSpaceDN w:val="0"/>
              <w:spacing w:before="120" w:after="120"/>
              <w:ind w:firstLine="429"/>
              <w:rPr>
                <w:rFonts w:cs="Arial"/>
                <w:b/>
                <w:color w:val="000000"/>
              </w:rPr>
            </w:pPr>
            <w:r w:rsidRPr="00B72B6D">
              <w:rPr>
                <w:rFonts w:cs="Arial"/>
                <w:b/>
                <w:color w:val="000000"/>
              </w:rPr>
              <w:t>N/A</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4B8A7ED" w14:textId="77777777" w:rsidR="00C678B0" w:rsidRPr="00B72B6D" w:rsidRDefault="00C678B0" w:rsidP="00396DC7">
            <w:pPr>
              <w:widowControl w:val="0"/>
              <w:tabs>
                <w:tab w:val="left" w:pos="6120"/>
              </w:tabs>
              <w:autoSpaceDN w:val="0"/>
              <w:spacing w:before="120" w:after="120"/>
              <w:rPr>
                <w:rFonts w:cs="Arial"/>
                <w:color w:val="000000"/>
              </w:rPr>
            </w:pPr>
            <w:r w:rsidRPr="00B72B6D">
              <w:rPr>
                <w:rFonts w:cs="Arial"/>
                <w:b/>
                <w:bCs/>
                <w:color w:val="000000"/>
              </w:rPr>
              <w:t>Contractor Submission for Qualifications Total</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6B0F3511" w14:textId="77777777" w:rsidR="00C678B0" w:rsidRPr="00B72B6D" w:rsidRDefault="00C678B0" w:rsidP="00396DC7">
            <w:pPr>
              <w:widowControl w:val="0"/>
              <w:tabs>
                <w:tab w:val="left" w:pos="6120"/>
              </w:tabs>
              <w:autoSpaceDN w:val="0"/>
              <w:spacing w:before="120" w:after="120"/>
              <w:ind w:right="274"/>
              <w:jc w:val="right"/>
              <w:rPr>
                <w:rFonts w:cs="Arial"/>
                <w:color w:val="000000"/>
              </w:rPr>
            </w:pPr>
            <w:r w:rsidRPr="00B72B6D">
              <w:rPr>
                <w:rFonts w:cs="Arial"/>
                <w:b/>
                <w:bCs/>
                <w:color w:val="000000"/>
              </w:rPr>
              <w:t>1,000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14:paraId="4173C4B0" w14:textId="77777777" w:rsidR="00C678B0" w:rsidRPr="00B72B6D" w:rsidRDefault="00C678B0" w:rsidP="00396DC7">
            <w:pPr>
              <w:widowControl w:val="0"/>
              <w:tabs>
                <w:tab w:val="left" w:pos="6120"/>
              </w:tabs>
              <w:autoSpaceDN w:val="0"/>
              <w:spacing w:before="120" w:after="120"/>
              <w:ind w:right="253"/>
              <w:jc w:val="right"/>
              <w:rPr>
                <w:rFonts w:cs="Arial"/>
                <w:b/>
                <w:bCs/>
                <w:color w:val="000000"/>
              </w:rPr>
            </w:pPr>
            <w:r w:rsidRPr="00B72B6D">
              <w:rPr>
                <w:rFonts w:cs="Arial"/>
                <w:b/>
                <w:bCs/>
                <w:color w:val="000000"/>
              </w:rPr>
              <w:t>936</w:t>
            </w:r>
          </w:p>
        </w:tc>
        <w:tc>
          <w:tcPr>
            <w:tcW w:w="1878" w:type="dxa"/>
            <w:tcBorders>
              <w:top w:val="single" w:sz="4" w:space="0" w:color="auto"/>
              <w:left w:val="single" w:sz="4" w:space="0" w:color="auto"/>
              <w:bottom w:val="single" w:sz="4" w:space="0" w:color="auto"/>
              <w:right w:val="single" w:sz="4" w:space="0" w:color="auto"/>
            </w:tcBorders>
            <w:vAlign w:val="center"/>
          </w:tcPr>
          <w:p w14:paraId="3E516DF3" w14:textId="67B4767A" w:rsidR="00C678B0" w:rsidRPr="00B72B6D" w:rsidRDefault="00C678B0" w:rsidP="00396DC7">
            <w:pPr>
              <w:spacing w:before="120" w:after="120"/>
              <w:jc w:val="right"/>
              <w:rPr>
                <w:b/>
                <w:bCs/>
                <w:color w:val="000000" w:themeColor="text1"/>
              </w:rPr>
            </w:pPr>
            <w:r w:rsidRPr="00B72B6D">
              <w:rPr>
                <w:rFonts w:cs="Arial"/>
                <w:b/>
                <w:bCs/>
                <w:color w:val="000000"/>
              </w:rPr>
              <w:t>907</w:t>
            </w:r>
          </w:p>
        </w:tc>
      </w:tr>
    </w:tbl>
    <w:p w14:paraId="0F35EC93" w14:textId="1103AD42" w:rsidR="00FB54A0" w:rsidRPr="00B72B6D" w:rsidRDefault="00FB54A0" w:rsidP="00FB54A0">
      <w:pPr>
        <w:spacing w:after="160" w:line="259" w:lineRule="auto"/>
        <w:rPr>
          <w:rFonts w:eastAsia="Calibri" w:cs="Arial"/>
        </w:rPr>
      </w:pPr>
      <w:r w:rsidRPr="00B72B6D">
        <w:rPr>
          <w:rFonts w:eastAsia="Calibri" w:cs="Arial"/>
        </w:rPr>
        <w:br w:type="page"/>
      </w:r>
    </w:p>
    <w:p w14:paraId="22C1893D" w14:textId="77777777" w:rsidR="00FB54A0" w:rsidRPr="002435D5" w:rsidRDefault="00FB54A0" w:rsidP="002435D5">
      <w:pPr>
        <w:pStyle w:val="Heading3"/>
        <w:rPr>
          <w:sz w:val="28"/>
        </w:rPr>
      </w:pPr>
      <w:r w:rsidRPr="002435D5">
        <w:rPr>
          <w:sz w:val="28"/>
        </w:rPr>
        <w:lastRenderedPageBreak/>
        <w:t>California Assessment System Request for Qualifications—Stage Two</w:t>
      </w:r>
    </w:p>
    <w:p w14:paraId="75BAA7B9" w14:textId="7CA6183C" w:rsidR="00FB54A0" w:rsidRPr="00B72B6D" w:rsidRDefault="00FB54A0" w:rsidP="00396DC7">
      <w:pPr>
        <w:spacing w:after="240" w:line="259" w:lineRule="auto"/>
        <w:rPr>
          <w:rFonts w:eastAsia="Calibri" w:cs="Arial"/>
        </w:rPr>
      </w:pPr>
      <w:r w:rsidRPr="00B72B6D">
        <w:rPr>
          <w:rFonts w:cs="Arial"/>
        </w:rPr>
        <w:t xml:space="preserve">The evaluation rubric that the evaluation team used to score the California Assessment System RFQ—Stage Two submissions is provided in </w:t>
      </w:r>
      <w:r w:rsidR="00D42627" w:rsidRPr="00B72B6D">
        <w:rPr>
          <w:rFonts w:cs="Arial"/>
        </w:rPr>
        <w:t>t</w:t>
      </w:r>
      <w:r w:rsidRPr="00B72B6D">
        <w:rPr>
          <w:rFonts w:cs="Arial"/>
        </w:rPr>
        <w:t xml:space="preserve">able </w:t>
      </w:r>
      <w:r w:rsidR="008A72E8" w:rsidRPr="00B72B6D">
        <w:rPr>
          <w:rFonts w:cs="Arial"/>
        </w:rPr>
        <w:t>3</w:t>
      </w:r>
      <w:r w:rsidRPr="00B72B6D">
        <w:rPr>
          <w:rFonts w:eastAsia="Calibri" w:cs="Arial"/>
        </w:rPr>
        <w:t xml:space="preserve">. Table </w:t>
      </w:r>
      <w:r w:rsidRPr="00B72B6D" w:rsidDel="008A72E8">
        <w:rPr>
          <w:rFonts w:eastAsia="Calibri" w:cs="Arial"/>
        </w:rPr>
        <w:t>4</w:t>
      </w:r>
      <w:r w:rsidRPr="00B72B6D">
        <w:rPr>
          <w:rFonts w:eastAsia="Calibri" w:cs="Arial"/>
        </w:rPr>
        <w:t xml:space="preserve"> display</w:t>
      </w:r>
      <w:r w:rsidR="00496B8B" w:rsidRPr="00B72B6D">
        <w:rPr>
          <w:rFonts w:eastAsia="Calibri" w:cs="Arial"/>
        </w:rPr>
        <w:t>s</w:t>
      </w:r>
      <w:r w:rsidRPr="00B72B6D">
        <w:rPr>
          <w:rFonts w:eastAsia="Calibri" w:cs="Arial"/>
        </w:rPr>
        <w:t xml:space="preserve"> the results of the Stage Two evaluation for each of the five mandatory demonstration submissions provided by ETS and NCS Pearson, Inc.</w:t>
      </w:r>
    </w:p>
    <w:p w14:paraId="14C157C0" w14:textId="22A4E03F" w:rsidR="00FB54A0" w:rsidRPr="002435D5" w:rsidRDefault="00FB54A0" w:rsidP="002435D5">
      <w:pPr>
        <w:pStyle w:val="Heading4"/>
        <w:spacing w:before="0" w:after="120"/>
        <w:rPr>
          <w:sz w:val="24"/>
        </w:rPr>
      </w:pPr>
      <w:r w:rsidRPr="002435D5">
        <w:rPr>
          <w:sz w:val="24"/>
        </w:rPr>
        <w:t xml:space="preserve">Table </w:t>
      </w:r>
      <w:r w:rsidR="00673C54" w:rsidRPr="002435D5">
        <w:rPr>
          <w:sz w:val="24"/>
        </w:rPr>
        <w:t>3</w:t>
      </w:r>
      <w:r w:rsidRPr="002435D5">
        <w:rPr>
          <w:sz w:val="24"/>
        </w:rPr>
        <w:t>. Stage Two Evaluation Rubric</w:t>
      </w:r>
    </w:p>
    <w:tbl>
      <w:tblPr>
        <w:tblStyle w:val="TableGrid2"/>
        <w:tblW w:w="0" w:type="auto"/>
        <w:jc w:val="center"/>
        <w:tblLayout w:type="fixed"/>
        <w:tblLook w:val="04A0" w:firstRow="1" w:lastRow="0" w:firstColumn="1" w:lastColumn="0" w:noHBand="0" w:noVBand="1"/>
        <w:tblDescription w:val="Table 3. Stage Two Evaluation Rubric"/>
      </w:tblPr>
      <w:tblGrid>
        <w:gridCol w:w="2335"/>
        <w:gridCol w:w="1800"/>
        <w:gridCol w:w="5400"/>
      </w:tblGrid>
      <w:tr w:rsidR="00FB54A0" w:rsidRPr="00B72B6D" w14:paraId="21A7FA78" w14:textId="77777777" w:rsidTr="00373089">
        <w:trPr>
          <w:cantSplit/>
          <w:trHeight w:val="1277"/>
          <w:tblHeader/>
          <w:jc w:val="center"/>
        </w:trPr>
        <w:tc>
          <w:tcPr>
            <w:tcW w:w="2335" w:type="dxa"/>
            <w:shd w:val="clear" w:color="auto" w:fill="D9E2F3"/>
            <w:vAlign w:val="center"/>
          </w:tcPr>
          <w:p w14:paraId="585017D2" w14:textId="6B885B3C" w:rsidR="00FB54A0" w:rsidRPr="00B72B6D" w:rsidRDefault="00FB54A0" w:rsidP="00373089">
            <w:pPr>
              <w:ind w:right="374"/>
              <w:jc w:val="center"/>
              <w:rPr>
                <w:rFonts w:eastAsia="Calibri"/>
                <w:b/>
                <w:bCs/>
                <w:szCs w:val="22"/>
              </w:rPr>
            </w:pPr>
            <w:r w:rsidRPr="00B72B6D">
              <w:rPr>
                <w:rFonts w:eastAsia="Calibri"/>
                <w:b/>
                <w:bCs/>
                <w:szCs w:val="22"/>
              </w:rPr>
              <w:t xml:space="preserve">Percentage </w:t>
            </w:r>
            <w:r w:rsidR="005B4B43" w:rsidRPr="00B72B6D">
              <w:rPr>
                <w:rFonts w:eastAsia="Calibri"/>
                <w:b/>
                <w:szCs w:val="22"/>
              </w:rPr>
              <w:t xml:space="preserve">of </w:t>
            </w:r>
            <w:r w:rsidR="005B4B43" w:rsidRPr="00B72B6D">
              <w:rPr>
                <w:rFonts w:eastAsia="Calibri"/>
                <w:b/>
                <w:bCs/>
                <w:szCs w:val="22"/>
              </w:rPr>
              <w:t>Earned</w:t>
            </w:r>
            <w:r w:rsidRPr="00B72B6D">
              <w:rPr>
                <w:rFonts w:eastAsia="Calibri"/>
                <w:b/>
                <w:bCs/>
                <w:szCs w:val="22"/>
              </w:rPr>
              <w:t xml:space="preserve"> Points per Mandatory Demonstration</w:t>
            </w:r>
          </w:p>
        </w:tc>
        <w:tc>
          <w:tcPr>
            <w:tcW w:w="1800" w:type="dxa"/>
            <w:shd w:val="clear" w:color="auto" w:fill="D9E2F3"/>
            <w:vAlign w:val="center"/>
          </w:tcPr>
          <w:p w14:paraId="13AEC08A" w14:textId="77777777" w:rsidR="00FB54A0" w:rsidRPr="00B72B6D" w:rsidRDefault="00FB54A0" w:rsidP="00373089">
            <w:pPr>
              <w:ind w:right="374"/>
              <w:jc w:val="center"/>
              <w:rPr>
                <w:rFonts w:eastAsia="Calibri"/>
                <w:b/>
              </w:rPr>
            </w:pPr>
            <w:r w:rsidRPr="00B72B6D">
              <w:rPr>
                <w:rFonts w:eastAsia="Calibri"/>
                <w:b/>
              </w:rPr>
              <w:t>Category</w:t>
            </w:r>
          </w:p>
        </w:tc>
        <w:tc>
          <w:tcPr>
            <w:tcW w:w="5400" w:type="dxa"/>
            <w:shd w:val="clear" w:color="auto" w:fill="D9E2F3"/>
            <w:vAlign w:val="center"/>
          </w:tcPr>
          <w:p w14:paraId="321D1B2A" w14:textId="77777777" w:rsidR="00FB54A0" w:rsidRPr="00B72B6D" w:rsidRDefault="00FB54A0" w:rsidP="00373089">
            <w:pPr>
              <w:ind w:right="374"/>
              <w:jc w:val="center"/>
              <w:rPr>
                <w:rFonts w:eastAsia="Calibri"/>
                <w:b/>
              </w:rPr>
            </w:pPr>
            <w:r w:rsidRPr="00B72B6D">
              <w:rPr>
                <w:rFonts w:eastAsia="Calibri"/>
                <w:b/>
              </w:rPr>
              <w:t>Description</w:t>
            </w:r>
          </w:p>
        </w:tc>
      </w:tr>
      <w:tr w:rsidR="00FB54A0" w:rsidRPr="00B72B6D" w14:paraId="29106312" w14:textId="77777777" w:rsidTr="00373089">
        <w:trPr>
          <w:cantSplit/>
          <w:trHeight w:val="1610"/>
          <w:jc w:val="center"/>
        </w:trPr>
        <w:tc>
          <w:tcPr>
            <w:tcW w:w="2335" w:type="dxa"/>
            <w:vAlign w:val="center"/>
          </w:tcPr>
          <w:p w14:paraId="444089C3" w14:textId="77777777" w:rsidR="00FB54A0" w:rsidRPr="00B72B6D" w:rsidRDefault="00FB54A0" w:rsidP="00373089">
            <w:pPr>
              <w:ind w:right="374" w:firstLine="339"/>
              <w:rPr>
                <w:rFonts w:eastAsia="Calibri"/>
                <w:szCs w:val="22"/>
              </w:rPr>
            </w:pPr>
            <w:r w:rsidRPr="00B72B6D">
              <w:rPr>
                <w:rFonts w:eastAsia="Calibri"/>
                <w:szCs w:val="22"/>
              </w:rPr>
              <w:t>90–100%</w:t>
            </w:r>
          </w:p>
          <w:p w14:paraId="7AF1D235" w14:textId="77777777" w:rsidR="00FB54A0" w:rsidRPr="00B72B6D" w:rsidRDefault="00FB54A0" w:rsidP="00373089">
            <w:pPr>
              <w:ind w:right="374" w:firstLine="339"/>
              <w:rPr>
                <w:rFonts w:eastAsia="Calibri"/>
                <w:szCs w:val="22"/>
              </w:rPr>
            </w:pPr>
            <w:r w:rsidRPr="00B72B6D">
              <w:rPr>
                <w:rFonts w:eastAsia="Calibri"/>
                <w:szCs w:val="22"/>
              </w:rPr>
              <w:t>(180–200)</w:t>
            </w:r>
          </w:p>
        </w:tc>
        <w:tc>
          <w:tcPr>
            <w:tcW w:w="1800" w:type="dxa"/>
            <w:vAlign w:val="center"/>
          </w:tcPr>
          <w:p w14:paraId="2A1A2953" w14:textId="77777777" w:rsidR="00FB54A0" w:rsidRPr="00B72B6D" w:rsidRDefault="00FB54A0" w:rsidP="00373089">
            <w:pPr>
              <w:ind w:left="163" w:right="252"/>
              <w:rPr>
                <w:rFonts w:eastAsia="Calibri"/>
              </w:rPr>
            </w:pPr>
            <w:r w:rsidRPr="00B72B6D">
              <w:rPr>
                <w:rFonts w:eastAsia="Calibri"/>
              </w:rPr>
              <w:t>Exceeds</w:t>
            </w:r>
          </w:p>
        </w:tc>
        <w:tc>
          <w:tcPr>
            <w:tcW w:w="5400" w:type="dxa"/>
            <w:vAlign w:val="center"/>
          </w:tcPr>
          <w:p w14:paraId="48B0288C" w14:textId="77777777" w:rsidR="00FB54A0" w:rsidRPr="00B72B6D" w:rsidRDefault="00FB54A0" w:rsidP="00373089">
            <w:pPr>
              <w:spacing w:before="120" w:after="120"/>
              <w:ind w:right="374"/>
              <w:rPr>
                <w:rFonts w:eastAsia="Calibri"/>
              </w:rPr>
            </w:pPr>
            <w:r w:rsidRPr="00B72B6D">
              <w:rPr>
                <w:rFonts w:eastAsia="Calibri"/>
              </w:rPr>
              <w:t>The response is comprehensive, providing exceptional details and supporting evidence that the contractor thoroughly understands, meets, and exceeds the evaluation factors of the mandatory demonstration.</w:t>
            </w:r>
          </w:p>
        </w:tc>
      </w:tr>
      <w:tr w:rsidR="00FB54A0" w:rsidRPr="00B72B6D" w14:paraId="40C3256B" w14:textId="77777777" w:rsidTr="00373089">
        <w:trPr>
          <w:cantSplit/>
          <w:trHeight w:val="1340"/>
          <w:jc w:val="center"/>
        </w:trPr>
        <w:tc>
          <w:tcPr>
            <w:tcW w:w="2335" w:type="dxa"/>
            <w:vAlign w:val="center"/>
          </w:tcPr>
          <w:p w14:paraId="74B565B4" w14:textId="77777777" w:rsidR="00FB54A0" w:rsidRPr="00B72B6D" w:rsidRDefault="00FB54A0" w:rsidP="00373089">
            <w:pPr>
              <w:ind w:right="374" w:firstLine="339"/>
              <w:rPr>
                <w:rFonts w:eastAsia="Calibri"/>
                <w:szCs w:val="22"/>
              </w:rPr>
            </w:pPr>
            <w:r w:rsidRPr="00B72B6D">
              <w:rPr>
                <w:rFonts w:eastAsia="Calibri"/>
                <w:szCs w:val="22"/>
              </w:rPr>
              <w:t>80–89%</w:t>
            </w:r>
          </w:p>
          <w:p w14:paraId="6E0BA51F" w14:textId="77777777" w:rsidR="00FB54A0" w:rsidRPr="00B72B6D" w:rsidRDefault="00FB54A0" w:rsidP="00373089">
            <w:pPr>
              <w:ind w:right="374" w:firstLine="339"/>
              <w:rPr>
                <w:rFonts w:eastAsia="Calibri"/>
                <w:szCs w:val="22"/>
              </w:rPr>
            </w:pPr>
            <w:r w:rsidRPr="00B72B6D">
              <w:rPr>
                <w:rFonts w:eastAsia="Calibri"/>
              </w:rPr>
              <w:t>(160</w:t>
            </w:r>
            <w:r w:rsidRPr="00B72B6D">
              <w:rPr>
                <w:rFonts w:eastAsia="Calibri"/>
                <w:szCs w:val="22"/>
              </w:rPr>
              <w:t>–</w:t>
            </w:r>
            <w:r w:rsidRPr="00B72B6D">
              <w:rPr>
                <w:rFonts w:eastAsia="Calibri"/>
              </w:rPr>
              <w:t>179)</w:t>
            </w:r>
          </w:p>
        </w:tc>
        <w:tc>
          <w:tcPr>
            <w:tcW w:w="1800" w:type="dxa"/>
            <w:vAlign w:val="center"/>
          </w:tcPr>
          <w:p w14:paraId="4FCA847B" w14:textId="77777777" w:rsidR="00FB54A0" w:rsidRPr="00B72B6D" w:rsidRDefault="00FB54A0" w:rsidP="00373089">
            <w:pPr>
              <w:ind w:left="163" w:right="252"/>
              <w:rPr>
                <w:rFonts w:eastAsia="Calibri"/>
              </w:rPr>
            </w:pPr>
            <w:r w:rsidRPr="00B72B6D">
              <w:rPr>
                <w:rFonts w:eastAsia="Calibri"/>
              </w:rPr>
              <w:t>Fully Meets</w:t>
            </w:r>
          </w:p>
        </w:tc>
        <w:tc>
          <w:tcPr>
            <w:tcW w:w="5400" w:type="dxa"/>
            <w:vAlign w:val="center"/>
          </w:tcPr>
          <w:p w14:paraId="27494404" w14:textId="77777777" w:rsidR="00FB54A0" w:rsidRPr="00B72B6D" w:rsidRDefault="00FB54A0" w:rsidP="00373089">
            <w:pPr>
              <w:spacing w:before="120" w:after="120"/>
              <w:ind w:right="374"/>
              <w:rPr>
                <w:rFonts w:eastAsia="Calibri"/>
              </w:rPr>
            </w:pPr>
            <w:r w:rsidRPr="00B72B6D">
              <w:rPr>
                <w:rFonts w:eastAsia="Calibri"/>
              </w:rPr>
              <w:t>The response provides sufficient details and supporting evidence that the contractor understands and meets the evaluation factors of the mandatory demonstration.</w:t>
            </w:r>
          </w:p>
        </w:tc>
      </w:tr>
      <w:tr w:rsidR="00FB54A0" w:rsidRPr="00B72B6D" w14:paraId="50DFE0C7" w14:textId="77777777" w:rsidTr="00373089">
        <w:trPr>
          <w:cantSplit/>
          <w:trHeight w:val="1340"/>
          <w:jc w:val="center"/>
        </w:trPr>
        <w:tc>
          <w:tcPr>
            <w:tcW w:w="2335" w:type="dxa"/>
            <w:vAlign w:val="center"/>
          </w:tcPr>
          <w:p w14:paraId="197F5D27" w14:textId="77777777" w:rsidR="00FB54A0" w:rsidRPr="00B72B6D" w:rsidRDefault="00FB54A0" w:rsidP="00373089">
            <w:pPr>
              <w:ind w:right="374" w:firstLine="339"/>
              <w:rPr>
                <w:rFonts w:eastAsia="Calibri"/>
                <w:szCs w:val="22"/>
              </w:rPr>
            </w:pPr>
            <w:r w:rsidRPr="00B72B6D">
              <w:rPr>
                <w:rFonts w:eastAsia="Calibri"/>
                <w:szCs w:val="22"/>
              </w:rPr>
              <w:t>70–79%</w:t>
            </w:r>
          </w:p>
          <w:p w14:paraId="46256E7E" w14:textId="77777777" w:rsidR="00FB54A0" w:rsidRPr="00B72B6D" w:rsidRDefault="00FB54A0" w:rsidP="00373089">
            <w:pPr>
              <w:ind w:right="374" w:firstLine="339"/>
              <w:rPr>
                <w:rFonts w:eastAsia="Calibri"/>
                <w:szCs w:val="22"/>
              </w:rPr>
            </w:pPr>
            <w:r w:rsidRPr="00B72B6D">
              <w:rPr>
                <w:rFonts w:eastAsia="Calibri"/>
                <w:szCs w:val="22"/>
              </w:rPr>
              <w:t>(140–159)</w:t>
            </w:r>
          </w:p>
        </w:tc>
        <w:tc>
          <w:tcPr>
            <w:tcW w:w="1800" w:type="dxa"/>
            <w:vAlign w:val="center"/>
          </w:tcPr>
          <w:p w14:paraId="250CC2FF" w14:textId="77777777" w:rsidR="00FB54A0" w:rsidRPr="00B72B6D" w:rsidRDefault="00FB54A0" w:rsidP="00373089">
            <w:pPr>
              <w:ind w:left="163" w:right="252"/>
              <w:rPr>
                <w:rFonts w:eastAsia="Calibri"/>
              </w:rPr>
            </w:pPr>
            <w:r w:rsidRPr="00B72B6D">
              <w:rPr>
                <w:rFonts w:eastAsia="Calibri"/>
              </w:rPr>
              <w:t>Minimally Meets</w:t>
            </w:r>
          </w:p>
        </w:tc>
        <w:tc>
          <w:tcPr>
            <w:tcW w:w="5400" w:type="dxa"/>
            <w:vAlign w:val="center"/>
          </w:tcPr>
          <w:p w14:paraId="75A187B3" w14:textId="77777777" w:rsidR="00FB54A0" w:rsidRPr="00B72B6D" w:rsidRDefault="00FB54A0" w:rsidP="00373089">
            <w:pPr>
              <w:spacing w:before="120" w:after="120"/>
              <w:ind w:right="374"/>
              <w:rPr>
                <w:rFonts w:eastAsia="Calibri"/>
                <w:szCs w:val="22"/>
              </w:rPr>
            </w:pPr>
            <w:r w:rsidRPr="00B72B6D">
              <w:rPr>
                <w:rFonts w:eastAsia="Calibri"/>
                <w:szCs w:val="22"/>
              </w:rPr>
              <w:t xml:space="preserve">The response provides acceptable details and supporting evidence </w:t>
            </w:r>
            <w:r w:rsidRPr="00B72B6D">
              <w:rPr>
                <w:rFonts w:eastAsia="Calibri"/>
              </w:rPr>
              <w:t>that the contractor understands and meets the evaluation factors of the mandatory demonstration.</w:t>
            </w:r>
          </w:p>
        </w:tc>
      </w:tr>
      <w:tr w:rsidR="00FB54A0" w:rsidRPr="00B72B6D" w14:paraId="4F1FBFD0" w14:textId="77777777" w:rsidTr="00373089">
        <w:trPr>
          <w:cantSplit/>
          <w:trHeight w:val="1340"/>
          <w:jc w:val="center"/>
        </w:trPr>
        <w:tc>
          <w:tcPr>
            <w:tcW w:w="2335" w:type="dxa"/>
            <w:vAlign w:val="center"/>
          </w:tcPr>
          <w:p w14:paraId="37BF0AC9" w14:textId="77777777" w:rsidR="00FB54A0" w:rsidRPr="00B72B6D" w:rsidRDefault="00FB54A0" w:rsidP="00373089">
            <w:pPr>
              <w:ind w:right="374" w:firstLine="339"/>
              <w:rPr>
                <w:rFonts w:eastAsia="Calibri"/>
                <w:szCs w:val="22"/>
              </w:rPr>
            </w:pPr>
            <w:r w:rsidRPr="00B72B6D">
              <w:rPr>
                <w:rFonts w:eastAsia="Calibri"/>
                <w:szCs w:val="22"/>
              </w:rPr>
              <w:t>1–69%</w:t>
            </w:r>
          </w:p>
          <w:p w14:paraId="370D885A" w14:textId="77777777" w:rsidR="00FB54A0" w:rsidRPr="00B72B6D" w:rsidRDefault="00FB54A0" w:rsidP="00373089">
            <w:pPr>
              <w:ind w:right="374" w:firstLine="339"/>
              <w:rPr>
                <w:rFonts w:eastAsia="Calibri"/>
                <w:szCs w:val="22"/>
              </w:rPr>
            </w:pPr>
            <w:r w:rsidRPr="00B72B6D">
              <w:rPr>
                <w:rFonts w:eastAsia="Calibri"/>
              </w:rPr>
              <w:t>(&lt;140)</w:t>
            </w:r>
          </w:p>
        </w:tc>
        <w:tc>
          <w:tcPr>
            <w:tcW w:w="1800" w:type="dxa"/>
            <w:vAlign w:val="center"/>
          </w:tcPr>
          <w:p w14:paraId="1D34BB8A" w14:textId="77777777" w:rsidR="00FB54A0" w:rsidRPr="00B72B6D" w:rsidRDefault="00FB54A0" w:rsidP="00373089">
            <w:pPr>
              <w:ind w:left="163" w:right="252"/>
              <w:rPr>
                <w:rFonts w:eastAsia="Calibri"/>
              </w:rPr>
            </w:pPr>
            <w:r w:rsidRPr="00B72B6D">
              <w:rPr>
                <w:rFonts w:eastAsia="Calibri"/>
              </w:rPr>
              <w:t>Does Not Sufficiently Meet</w:t>
            </w:r>
          </w:p>
        </w:tc>
        <w:tc>
          <w:tcPr>
            <w:tcW w:w="5400" w:type="dxa"/>
            <w:vAlign w:val="center"/>
          </w:tcPr>
          <w:p w14:paraId="0B0B649E" w14:textId="77777777" w:rsidR="00FB54A0" w:rsidRPr="00B72B6D" w:rsidRDefault="00FB54A0" w:rsidP="00373089">
            <w:pPr>
              <w:spacing w:before="120" w:after="120"/>
              <w:ind w:right="374"/>
              <w:rPr>
                <w:rFonts w:eastAsia="Calibri"/>
              </w:rPr>
            </w:pPr>
            <w:r w:rsidRPr="00B72B6D">
              <w:rPr>
                <w:rFonts w:eastAsia="Calibri"/>
              </w:rPr>
              <w:t>The response is inadequate, providing no or limited detail or supporting evidence that the contractor understands the evaluation factors of the mandatory demonstration.</w:t>
            </w:r>
          </w:p>
        </w:tc>
      </w:tr>
      <w:tr w:rsidR="00FB54A0" w:rsidRPr="00B72B6D" w14:paraId="4EB7ED72" w14:textId="77777777" w:rsidTr="00373089">
        <w:trPr>
          <w:cantSplit/>
          <w:trHeight w:val="1025"/>
          <w:jc w:val="center"/>
        </w:trPr>
        <w:tc>
          <w:tcPr>
            <w:tcW w:w="2335" w:type="dxa"/>
            <w:vAlign w:val="center"/>
          </w:tcPr>
          <w:p w14:paraId="100E742B" w14:textId="77777777" w:rsidR="00FB54A0" w:rsidRPr="00B72B6D" w:rsidRDefault="00FB54A0" w:rsidP="00373089">
            <w:pPr>
              <w:ind w:right="374" w:firstLine="699"/>
              <w:rPr>
                <w:rFonts w:eastAsia="Calibri"/>
              </w:rPr>
            </w:pPr>
            <w:r w:rsidRPr="00B72B6D">
              <w:rPr>
                <w:rFonts w:eastAsia="Calibri"/>
              </w:rPr>
              <w:t>0</w:t>
            </w:r>
          </w:p>
        </w:tc>
        <w:tc>
          <w:tcPr>
            <w:tcW w:w="1800" w:type="dxa"/>
            <w:vAlign w:val="center"/>
          </w:tcPr>
          <w:p w14:paraId="158B54CA" w14:textId="77777777" w:rsidR="00FB54A0" w:rsidRPr="00B72B6D" w:rsidRDefault="00FB54A0" w:rsidP="00373089">
            <w:pPr>
              <w:ind w:left="163" w:right="252"/>
              <w:rPr>
                <w:rFonts w:eastAsia="Calibri"/>
              </w:rPr>
            </w:pPr>
            <w:r w:rsidRPr="00B72B6D">
              <w:rPr>
                <w:rFonts w:eastAsia="Calibri"/>
              </w:rPr>
              <w:t>Not Addressed</w:t>
            </w:r>
          </w:p>
        </w:tc>
        <w:tc>
          <w:tcPr>
            <w:tcW w:w="5400" w:type="dxa"/>
            <w:vAlign w:val="center"/>
          </w:tcPr>
          <w:p w14:paraId="1D408195" w14:textId="77777777" w:rsidR="00FB54A0" w:rsidRPr="00B72B6D" w:rsidRDefault="00FB54A0" w:rsidP="00373089">
            <w:pPr>
              <w:spacing w:before="120" w:after="120"/>
              <w:ind w:right="374"/>
              <w:rPr>
                <w:rFonts w:eastAsia="Calibri"/>
              </w:rPr>
            </w:pPr>
            <w:r w:rsidRPr="00B72B6D">
              <w:rPr>
                <w:rFonts w:eastAsia="Calibri"/>
              </w:rPr>
              <w:t>The contractor did not provide a response to the evaluation factors of the mandatory demonstration.</w:t>
            </w:r>
          </w:p>
        </w:tc>
      </w:tr>
    </w:tbl>
    <w:p w14:paraId="011D10B9" w14:textId="77777777" w:rsidR="00FB54A0" w:rsidRPr="00B72B6D" w:rsidRDefault="00FB54A0" w:rsidP="00FB54A0">
      <w:pPr>
        <w:spacing w:before="240" w:after="240"/>
        <w:rPr>
          <w:rFonts w:cs="Arial"/>
        </w:rPr>
      </w:pPr>
    </w:p>
    <w:p w14:paraId="531748AC" w14:textId="77777777" w:rsidR="00FB54A0" w:rsidRPr="00B72B6D" w:rsidRDefault="00FB54A0" w:rsidP="00FB54A0">
      <w:pPr>
        <w:spacing w:after="160" w:line="259" w:lineRule="auto"/>
        <w:rPr>
          <w:rFonts w:cs="Arial"/>
        </w:rPr>
      </w:pPr>
      <w:r w:rsidRPr="00B72B6D">
        <w:rPr>
          <w:rFonts w:cs="Arial"/>
        </w:rPr>
        <w:br w:type="page"/>
      </w:r>
    </w:p>
    <w:p w14:paraId="3F4BC28E" w14:textId="78B1F2BD" w:rsidR="00FB54A0" w:rsidRPr="002435D5" w:rsidRDefault="00FB54A0" w:rsidP="002435D5">
      <w:pPr>
        <w:pStyle w:val="Heading4"/>
        <w:spacing w:before="0" w:after="120"/>
        <w:rPr>
          <w:sz w:val="24"/>
        </w:rPr>
      </w:pPr>
      <w:r w:rsidRPr="002435D5">
        <w:rPr>
          <w:sz w:val="24"/>
        </w:rPr>
        <w:lastRenderedPageBreak/>
        <w:t xml:space="preserve">Table </w:t>
      </w:r>
      <w:r w:rsidR="00673C54" w:rsidRPr="002435D5">
        <w:rPr>
          <w:sz w:val="24"/>
        </w:rPr>
        <w:t>4</w:t>
      </w:r>
      <w:r w:rsidRPr="002435D5">
        <w:rPr>
          <w:sz w:val="24"/>
        </w:rPr>
        <w:t xml:space="preserve">. Stage Two Evaluation Results </w:t>
      </w:r>
      <w:r w:rsidR="00037A04" w:rsidRPr="002435D5">
        <w:rPr>
          <w:sz w:val="24"/>
        </w:rPr>
        <w:t xml:space="preserve">by Mandatory Demonstration Submission </w:t>
      </w:r>
      <w:r w:rsidRPr="002435D5">
        <w:rPr>
          <w:sz w:val="24"/>
        </w:rPr>
        <w:t>for ETS</w:t>
      </w:r>
      <w:r w:rsidR="00673C54" w:rsidRPr="002435D5">
        <w:rPr>
          <w:sz w:val="24"/>
        </w:rPr>
        <w:t xml:space="preserve"> and NCS Pearson, Inc. </w:t>
      </w:r>
    </w:p>
    <w:tbl>
      <w:tblPr>
        <w:tblStyle w:val="TableGrid13"/>
        <w:tblW w:w="0" w:type="auto"/>
        <w:jc w:val="center"/>
        <w:tblInd w:w="0" w:type="dxa"/>
        <w:tblLayout w:type="fixed"/>
        <w:tblLook w:val="04A0" w:firstRow="1" w:lastRow="0" w:firstColumn="1" w:lastColumn="0" w:noHBand="0" w:noVBand="1"/>
        <w:tblDescription w:val="Table 4. Stage Two Evaluation Results for ETS and NCS Pearson, Inc. "/>
      </w:tblPr>
      <w:tblGrid>
        <w:gridCol w:w="2155"/>
        <w:gridCol w:w="2430"/>
        <w:gridCol w:w="1350"/>
        <w:gridCol w:w="1620"/>
        <w:gridCol w:w="1795"/>
      </w:tblGrid>
      <w:tr w:rsidR="00443E3A" w:rsidRPr="00B72B6D" w14:paraId="0869F582" w14:textId="5C2153C9" w:rsidTr="00443E3A">
        <w:trPr>
          <w:cantSplit/>
          <w:trHeight w:val="683"/>
          <w:tblHeader/>
          <w:jc w:val="center"/>
        </w:trPr>
        <w:tc>
          <w:tcPr>
            <w:tcW w:w="2155" w:type="dxa"/>
            <w:shd w:val="clear" w:color="auto" w:fill="D9E2F3"/>
            <w:vAlign w:val="center"/>
            <w:hideMark/>
          </w:tcPr>
          <w:p w14:paraId="58739F3F" w14:textId="77777777" w:rsidR="00443E3A" w:rsidRPr="00B72B6D" w:rsidRDefault="00443E3A" w:rsidP="00396DC7">
            <w:pPr>
              <w:spacing w:before="120" w:after="120"/>
              <w:jc w:val="center"/>
              <w:rPr>
                <w:rFonts w:cs="Arial"/>
                <w:b/>
                <w:bCs/>
                <w:color w:val="000000"/>
              </w:rPr>
            </w:pPr>
            <w:r w:rsidRPr="00B72B6D">
              <w:rPr>
                <w:rFonts w:cs="Arial"/>
                <w:b/>
                <w:bCs/>
                <w:color w:val="000000"/>
              </w:rPr>
              <w:t>Mandatory Demonstration</w:t>
            </w:r>
          </w:p>
        </w:tc>
        <w:tc>
          <w:tcPr>
            <w:tcW w:w="2430" w:type="dxa"/>
            <w:shd w:val="clear" w:color="auto" w:fill="D9E2F3"/>
            <w:vAlign w:val="center"/>
            <w:hideMark/>
          </w:tcPr>
          <w:p w14:paraId="66B10FAC" w14:textId="77777777" w:rsidR="00443E3A" w:rsidRPr="00B72B6D" w:rsidRDefault="00443E3A" w:rsidP="00396DC7">
            <w:pPr>
              <w:spacing w:before="120" w:after="120"/>
              <w:jc w:val="center"/>
              <w:rPr>
                <w:rFonts w:cs="Arial"/>
                <w:b/>
                <w:bCs/>
                <w:color w:val="000000"/>
              </w:rPr>
            </w:pPr>
            <w:r w:rsidRPr="00B72B6D">
              <w:rPr>
                <w:rFonts w:cs="Arial"/>
                <w:b/>
                <w:bCs/>
                <w:color w:val="000000"/>
              </w:rPr>
              <w:t>Subject</w:t>
            </w:r>
          </w:p>
        </w:tc>
        <w:tc>
          <w:tcPr>
            <w:tcW w:w="1350" w:type="dxa"/>
            <w:shd w:val="clear" w:color="auto" w:fill="D9E2F3"/>
            <w:vAlign w:val="center"/>
            <w:hideMark/>
          </w:tcPr>
          <w:p w14:paraId="31B326E2" w14:textId="77777777" w:rsidR="00443E3A" w:rsidRPr="00B72B6D" w:rsidRDefault="00443E3A" w:rsidP="00396DC7">
            <w:pPr>
              <w:spacing w:before="120" w:after="120"/>
              <w:jc w:val="center"/>
              <w:rPr>
                <w:rFonts w:cs="Arial"/>
                <w:b/>
                <w:bCs/>
                <w:color w:val="000000"/>
              </w:rPr>
            </w:pPr>
            <w:r w:rsidRPr="00B72B6D">
              <w:rPr>
                <w:rFonts w:cs="Arial"/>
                <w:b/>
                <w:bCs/>
                <w:color w:val="000000"/>
              </w:rPr>
              <w:t>Points Possible</w:t>
            </w:r>
          </w:p>
        </w:tc>
        <w:tc>
          <w:tcPr>
            <w:tcW w:w="1620" w:type="dxa"/>
            <w:shd w:val="clear" w:color="auto" w:fill="D9E2F3"/>
            <w:vAlign w:val="center"/>
            <w:hideMark/>
          </w:tcPr>
          <w:p w14:paraId="40E76712" w14:textId="65F0AC99" w:rsidR="00443E3A" w:rsidRPr="00B72B6D" w:rsidRDefault="00443E3A" w:rsidP="00396DC7">
            <w:pPr>
              <w:spacing w:before="120" w:after="120"/>
              <w:jc w:val="center"/>
              <w:rPr>
                <w:rFonts w:cs="Arial"/>
                <w:b/>
                <w:bCs/>
                <w:color w:val="000000"/>
              </w:rPr>
            </w:pPr>
            <w:r w:rsidRPr="00B72B6D">
              <w:rPr>
                <w:rFonts w:cs="Arial"/>
                <w:b/>
                <w:bCs/>
                <w:color w:val="000000"/>
              </w:rPr>
              <w:t xml:space="preserve">Rated Score </w:t>
            </w:r>
            <w:r w:rsidRPr="00B72B6D">
              <w:rPr>
                <w:rFonts w:cs="Arial"/>
                <w:b/>
                <w:color w:val="000000"/>
              </w:rPr>
              <w:t>for ETS</w:t>
            </w:r>
          </w:p>
        </w:tc>
        <w:tc>
          <w:tcPr>
            <w:tcW w:w="1795" w:type="dxa"/>
            <w:shd w:val="clear" w:color="auto" w:fill="D9E2F3"/>
          </w:tcPr>
          <w:p w14:paraId="05982A0D" w14:textId="32C558F9" w:rsidR="00443E3A" w:rsidRPr="00B72B6D" w:rsidRDefault="00443E3A" w:rsidP="00396DC7">
            <w:pPr>
              <w:spacing w:before="120" w:after="120"/>
              <w:jc w:val="center"/>
              <w:rPr>
                <w:rFonts w:cs="Arial"/>
                <w:b/>
                <w:bCs/>
                <w:color w:val="000000"/>
              </w:rPr>
            </w:pPr>
            <w:r w:rsidRPr="00B72B6D">
              <w:rPr>
                <w:rFonts w:cs="Arial"/>
                <w:b/>
                <w:color w:val="000000"/>
              </w:rPr>
              <w:t>Rated Score for NCS Pearson, Inc.</w:t>
            </w:r>
          </w:p>
        </w:tc>
      </w:tr>
      <w:tr w:rsidR="00443E3A" w:rsidRPr="00B72B6D" w14:paraId="2C12AD25" w14:textId="1DE8567A" w:rsidTr="00443E3A">
        <w:trPr>
          <w:cantSplit/>
          <w:trHeight w:val="602"/>
          <w:jc w:val="center"/>
        </w:trPr>
        <w:tc>
          <w:tcPr>
            <w:tcW w:w="2155" w:type="dxa"/>
            <w:noWrap/>
            <w:vAlign w:val="center"/>
            <w:hideMark/>
          </w:tcPr>
          <w:p w14:paraId="63FC3924" w14:textId="77777777" w:rsidR="00443E3A" w:rsidRPr="00B72B6D" w:rsidRDefault="00443E3A" w:rsidP="00396DC7">
            <w:pPr>
              <w:spacing w:before="120" w:after="120"/>
              <w:rPr>
                <w:rFonts w:cs="Arial"/>
                <w:color w:val="000000"/>
              </w:rPr>
            </w:pPr>
            <w:r w:rsidRPr="00B72B6D">
              <w:rPr>
                <w:rFonts w:cs="Arial"/>
                <w:color w:val="000000"/>
              </w:rPr>
              <w:t>Attachment One</w:t>
            </w:r>
          </w:p>
        </w:tc>
        <w:tc>
          <w:tcPr>
            <w:tcW w:w="2430" w:type="dxa"/>
            <w:vAlign w:val="center"/>
          </w:tcPr>
          <w:p w14:paraId="5E290DC4" w14:textId="77777777" w:rsidR="00443E3A" w:rsidRPr="00B72B6D" w:rsidRDefault="00443E3A" w:rsidP="00396DC7">
            <w:pPr>
              <w:spacing w:before="120" w:after="120"/>
              <w:rPr>
                <w:rFonts w:cs="Arial"/>
                <w:color w:val="000000"/>
              </w:rPr>
            </w:pPr>
            <w:r w:rsidRPr="00B72B6D">
              <w:rPr>
                <w:rFonts w:eastAsia="Calibri" w:cs="Arial"/>
              </w:rPr>
              <w:t>Capacity and Performance</w:t>
            </w:r>
          </w:p>
        </w:tc>
        <w:tc>
          <w:tcPr>
            <w:tcW w:w="1350" w:type="dxa"/>
            <w:noWrap/>
            <w:vAlign w:val="center"/>
          </w:tcPr>
          <w:p w14:paraId="6802036C" w14:textId="77777777" w:rsidR="00443E3A" w:rsidRPr="00B72B6D" w:rsidRDefault="00443E3A" w:rsidP="00396DC7">
            <w:pPr>
              <w:spacing w:before="120" w:after="120"/>
              <w:ind w:right="162"/>
              <w:jc w:val="right"/>
              <w:rPr>
                <w:rFonts w:cs="Arial"/>
                <w:color w:val="000000"/>
              </w:rPr>
            </w:pPr>
            <w:r w:rsidRPr="00B72B6D">
              <w:rPr>
                <w:rFonts w:cs="Arial"/>
                <w:color w:val="000000"/>
              </w:rPr>
              <w:t>200</w:t>
            </w:r>
          </w:p>
        </w:tc>
        <w:tc>
          <w:tcPr>
            <w:tcW w:w="1620" w:type="dxa"/>
            <w:noWrap/>
            <w:vAlign w:val="center"/>
          </w:tcPr>
          <w:p w14:paraId="304A43AA" w14:textId="77777777" w:rsidR="00443E3A" w:rsidRPr="00B72B6D" w:rsidRDefault="00443E3A" w:rsidP="00396DC7">
            <w:pPr>
              <w:spacing w:before="120" w:after="120"/>
              <w:jc w:val="center"/>
              <w:rPr>
                <w:rFonts w:cs="Arial"/>
                <w:color w:val="000000"/>
              </w:rPr>
            </w:pPr>
            <w:r w:rsidRPr="00B72B6D">
              <w:rPr>
                <w:rFonts w:cs="Arial"/>
                <w:color w:val="000000"/>
              </w:rPr>
              <w:t>181</w:t>
            </w:r>
          </w:p>
        </w:tc>
        <w:tc>
          <w:tcPr>
            <w:tcW w:w="1795" w:type="dxa"/>
            <w:vAlign w:val="center"/>
          </w:tcPr>
          <w:p w14:paraId="754A3F7D" w14:textId="6675208F" w:rsidR="00443E3A" w:rsidRPr="00B72B6D" w:rsidRDefault="00443E3A" w:rsidP="00396DC7">
            <w:pPr>
              <w:spacing w:before="120" w:after="120"/>
              <w:jc w:val="center"/>
              <w:rPr>
                <w:rFonts w:cs="Arial"/>
                <w:color w:val="000000"/>
              </w:rPr>
            </w:pPr>
            <w:r w:rsidRPr="00B72B6D">
              <w:rPr>
                <w:rFonts w:cs="Arial"/>
                <w:color w:val="000000"/>
              </w:rPr>
              <w:t>163</w:t>
            </w:r>
          </w:p>
        </w:tc>
      </w:tr>
      <w:tr w:rsidR="00443E3A" w:rsidRPr="00B72B6D" w14:paraId="4A7F2378" w14:textId="4B994BBC" w:rsidTr="00443E3A">
        <w:trPr>
          <w:cantSplit/>
          <w:trHeight w:val="683"/>
          <w:jc w:val="center"/>
        </w:trPr>
        <w:tc>
          <w:tcPr>
            <w:tcW w:w="2155" w:type="dxa"/>
            <w:noWrap/>
            <w:vAlign w:val="center"/>
          </w:tcPr>
          <w:p w14:paraId="63893CDB" w14:textId="77777777" w:rsidR="00443E3A" w:rsidRPr="00B72B6D" w:rsidRDefault="00443E3A" w:rsidP="00396DC7">
            <w:pPr>
              <w:spacing w:before="120" w:after="120"/>
              <w:rPr>
                <w:rFonts w:cs="Arial"/>
                <w:color w:val="000000"/>
              </w:rPr>
            </w:pPr>
            <w:r w:rsidRPr="00B72B6D">
              <w:rPr>
                <w:rFonts w:cs="Arial"/>
                <w:color w:val="000000"/>
              </w:rPr>
              <w:t>Attachment Two</w:t>
            </w:r>
          </w:p>
        </w:tc>
        <w:tc>
          <w:tcPr>
            <w:tcW w:w="2430" w:type="dxa"/>
            <w:vAlign w:val="center"/>
          </w:tcPr>
          <w:p w14:paraId="22F0844A" w14:textId="77777777" w:rsidR="00443E3A" w:rsidRPr="00B72B6D" w:rsidRDefault="00443E3A" w:rsidP="00396DC7">
            <w:pPr>
              <w:spacing w:before="120" w:after="120"/>
              <w:rPr>
                <w:rFonts w:cs="Arial"/>
                <w:color w:val="000000"/>
              </w:rPr>
            </w:pPr>
            <w:r w:rsidRPr="00B72B6D">
              <w:rPr>
                <w:rFonts w:eastAsia="Calibri" w:cs="Arial"/>
              </w:rPr>
              <w:t>Item Types, Item Functioning and Rendering, and Item Banking</w:t>
            </w:r>
          </w:p>
        </w:tc>
        <w:tc>
          <w:tcPr>
            <w:tcW w:w="1350" w:type="dxa"/>
            <w:noWrap/>
            <w:vAlign w:val="center"/>
          </w:tcPr>
          <w:p w14:paraId="000FBF7D" w14:textId="77777777" w:rsidR="00443E3A" w:rsidRPr="00B72B6D" w:rsidRDefault="00443E3A" w:rsidP="00396DC7">
            <w:pPr>
              <w:spacing w:before="120" w:after="120"/>
              <w:ind w:right="162"/>
              <w:jc w:val="right"/>
              <w:rPr>
                <w:rFonts w:cs="Arial"/>
                <w:color w:val="000000"/>
              </w:rPr>
            </w:pPr>
            <w:r w:rsidRPr="00B72B6D">
              <w:rPr>
                <w:rFonts w:cs="Arial"/>
                <w:color w:val="000000"/>
              </w:rPr>
              <w:t>200</w:t>
            </w:r>
          </w:p>
        </w:tc>
        <w:tc>
          <w:tcPr>
            <w:tcW w:w="1620" w:type="dxa"/>
            <w:noWrap/>
            <w:vAlign w:val="center"/>
          </w:tcPr>
          <w:p w14:paraId="7731BF27" w14:textId="77777777" w:rsidR="00443E3A" w:rsidRPr="00B72B6D" w:rsidRDefault="00443E3A" w:rsidP="00396DC7">
            <w:pPr>
              <w:spacing w:before="120" w:after="120"/>
              <w:jc w:val="center"/>
              <w:rPr>
                <w:rFonts w:cs="Arial"/>
                <w:color w:val="000000"/>
              </w:rPr>
            </w:pPr>
            <w:r w:rsidRPr="00B72B6D">
              <w:rPr>
                <w:rFonts w:cs="Arial"/>
                <w:color w:val="000000"/>
              </w:rPr>
              <w:t>187</w:t>
            </w:r>
          </w:p>
        </w:tc>
        <w:tc>
          <w:tcPr>
            <w:tcW w:w="1795" w:type="dxa"/>
            <w:vAlign w:val="center"/>
          </w:tcPr>
          <w:p w14:paraId="52FB5612" w14:textId="366EEBAF" w:rsidR="00443E3A" w:rsidRPr="00B72B6D" w:rsidRDefault="00443E3A" w:rsidP="00396DC7">
            <w:pPr>
              <w:spacing w:before="120" w:after="120"/>
              <w:jc w:val="center"/>
              <w:rPr>
                <w:rFonts w:cs="Arial"/>
                <w:color w:val="000000"/>
              </w:rPr>
            </w:pPr>
            <w:r w:rsidRPr="00B72B6D">
              <w:rPr>
                <w:rFonts w:cs="Arial"/>
                <w:color w:val="000000"/>
              </w:rPr>
              <w:t>187</w:t>
            </w:r>
          </w:p>
        </w:tc>
      </w:tr>
      <w:tr w:rsidR="00443E3A" w:rsidRPr="00B72B6D" w14:paraId="4A7F33B2" w14:textId="4C50BB1C" w:rsidTr="00443E3A">
        <w:trPr>
          <w:cantSplit/>
          <w:trHeight w:val="620"/>
          <w:jc w:val="center"/>
        </w:trPr>
        <w:tc>
          <w:tcPr>
            <w:tcW w:w="2155" w:type="dxa"/>
            <w:noWrap/>
            <w:vAlign w:val="center"/>
          </w:tcPr>
          <w:p w14:paraId="0A80943B" w14:textId="77777777" w:rsidR="00443E3A" w:rsidRPr="00B72B6D" w:rsidRDefault="00443E3A" w:rsidP="00396DC7">
            <w:pPr>
              <w:spacing w:before="120" w:after="120"/>
              <w:rPr>
                <w:rFonts w:cs="Arial"/>
                <w:color w:val="000000"/>
              </w:rPr>
            </w:pPr>
            <w:r w:rsidRPr="00B72B6D">
              <w:rPr>
                <w:rFonts w:cs="Arial"/>
                <w:color w:val="000000"/>
              </w:rPr>
              <w:t>Attachment Three</w:t>
            </w:r>
          </w:p>
        </w:tc>
        <w:tc>
          <w:tcPr>
            <w:tcW w:w="2430" w:type="dxa"/>
            <w:vAlign w:val="center"/>
          </w:tcPr>
          <w:p w14:paraId="01C3428D" w14:textId="77777777" w:rsidR="00443E3A" w:rsidRPr="00B72B6D" w:rsidRDefault="00443E3A" w:rsidP="00396DC7">
            <w:pPr>
              <w:spacing w:before="120" w:after="120"/>
              <w:rPr>
                <w:rFonts w:eastAsia="Calibri" w:cs="Arial"/>
              </w:rPr>
            </w:pPr>
            <w:r w:rsidRPr="00B72B6D">
              <w:rPr>
                <w:rFonts w:eastAsia="Calibri" w:cs="Arial"/>
              </w:rPr>
              <w:t>Accessibility Resources</w:t>
            </w:r>
          </w:p>
        </w:tc>
        <w:tc>
          <w:tcPr>
            <w:tcW w:w="1350" w:type="dxa"/>
            <w:noWrap/>
            <w:vAlign w:val="center"/>
          </w:tcPr>
          <w:p w14:paraId="3ADCC7A8" w14:textId="77777777" w:rsidR="00443E3A" w:rsidRPr="00B72B6D" w:rsidRDefault="00443E3A" w:rsidP="00396DC7">
            <w:pPr>
              <w:spacing w:before="120" w:after="120"/>
              <w:ind w:right="162"/>
              <w:jc w:val="right"/>
              <w:rPr>
                <w:rFonts w:cs="Arial"/>
                <w:color w:val="000000"/>
              </w:rPr>
            </w:pPr>
            <w:r w:rsidRPr="00B72B6D">
              <w:rPr>
                <w:rFonts w:cs="Arial"/>
                <w:color w:val="000000"/>
              </w:rPr>
              <w:t>200</w:t>
            </w:r>
          </w:p>
        </w:tc>
        <w:tc>
          <w:tcPr>
            <w:tcW w:w="1620" w:type="dxa"/>
            <w:noWrap/>
            <w:vAlign w:val="center"/>
          </w:tcPr>
          <w:p w14:paraId="42E446DC" w14:textId="77777777" w:rsidR="00443E3A" w:rsidRPr="00B72B6D" w:rsidRDefault="00443E3A" w:rsidP="00396DC7">
            <w:pPr>
              <w:spacing w:before="120" w:after="120"/>
              <w:jc w:val="center"/>
              <w:rPr>
                <w:rFonts w:cs="Arial"/>
                <w:color w:val="000000"/>
              </w:rPr>
            </w:pPr>
            <w:r w:rsidRPr="00B72B6D">
              <w:rPr>
                <w:rFonts w:cs="Arial"/>
                <w:color w:val="000000"/>
              </w:rPr>
              <w:t>188</w:t>
            </w:r>
          </w:p>
        </w:tc>
        <w:tc>
          <w:tcPr>
            <w:tcW w:w="1795" w:type="dxa"/>
            <w:vAlign w:val="center"/>
          </w:tcPr>
          <w:p w14:paraId="5026F6AA" w14:textId="58547B54" w:rsidR="00443E3A" w:rsidRPr="00B72B6D" w:rsidRDefault="00443E3A" w:rsidP="00396DC7">
            <w:pPr>
              <w:spacing w:before="120" w:after="120"/>
              <w:jc w:val="center"/>
              <w:rPr>
                <w:rFonts w:cs="Arial"/>
                <w:color w:val="000000"/>
              </w:rPr>
            </w:pPr>
            <w:r w:rsidRPr="00B72B6D">
              <w:rPr>
                <w:rFonts w:cs="Arial"/>
                <w:color w:val="000000"/>
              </w:rPr>
              <w:t>188</w:t>
            </w:r>
          </w:p>
        </w:tc>
      </w:tr>
      <w:tr w:rsidR="00443E3A" w:rsidRPr="00B72B6D" w14:paraId="19371C99" w14:textId="23394EE7" w:rsidTr="00443E3A">
        <w:trPr>
          <w:cantSplit/>
          <w:trHeight w:val="620"/>
          <w:jc w:val="center"/>
        </w:trPr>
        <w:tc>
          <w:tcPr>
            <w:tcW w:w="2155" w:type="dxa"/>
            <w:noWrap/>
            <w:vAlign w:val="center"/>
          </w:tcPr>
          <w:p w14:paraId="0CEF2256" w14:textId="77777777" w:rsidR="00443E3A" w:rsidRPr="00B72B6D" w:rsidRDefault="00443E3A" w:rsidP="00396DC7">
            <w:pPr>
              <w:spacing w:before="120" w:after="120"/>
              <w:rPr>
                <w:rFonts w:cs="Arial"/>
                <w:color w:val="000000"/>
              </w:rPr>
            </w:pPr>
            <w:r w:rsidRPr="00B72B6D">
              <w:rPr>
                <w:rFonts w:cs="Arial"/>
                <w:color w:val="000000"/>
              </w:rPr>
              <w:t>Attachment Four</w:t>
            </w:r>
          </w:p>
        </w:tc>
        <w:tc>
          <w:tcPr>
            <w:tcW w:w="2430" w:type="dxa"/>
            <w:vAlign w:val="center"/>
          </w:tcPr>
          <w:p w14:paraId="4D04FB95" w14:textId="77777777" w:rsidR="00443E3A" w:rsidRPr="00B72B6D" w:rsidRDefault="00443E3A" w:rsidP="00396DC7">
            <w:pPr>
              <w:spacing w:before="120" w:after="120"/>
              <w:rPr>
                <w:rFonts w:eastAsia="Calibri" w:cs="Arial"/>
              </w:rPr>
            </w:pPr>
            <w:r w:rsidRPr="00B72B6D">
              <w:rPr>
                <w:rFonts w:eastAsia="Calibri" w:cs="Arial"/>
              </w:rPr>
              <w:t>Capture, Scoring, and Reporting</w:t>
            </w:r>
          </w:p>
        </w:tc>
        <w:tc>
          <w:tcPr>
            <w:tcW w:w="1350" w:type="dxa"/>
            <w:noWrap/>
            <w:vAlign w:val="center"/>
          </w:tcPr>
          <w:p w14:paraId="533461C3" w14:textId="77777777" w:rsidR="00443E3A" w:rsidRPr="00B72B6D" w:rsidRDefault="00443E3A" w:rsidP="00396DC7">
            <w:pPr>
              <w:spacing w:before="120" w:after="120"/>
              <w:ind w:right="162"/>
              <w:jc w:val="right"/>
              <w:rPr>
                <w:rFonts w:cs="Arial"/>
                <w:color w:val="000000"/>
              </w:rPr>
            </w:pPr>
            <w:r w:rsidRPr="00B72B6D">
              <w:rPr>
                <w:rFonts w:cs="Arial"/>
                <w:color w:val="000000"/>
              </w:rPr>
              <w:t>200</w:t>
            </w:r>
          </w:p>
        </w:tc>
        <w:tc>
          <w:tcPr>
            <w:tcW w:w="1620" w:type="dxa"/>
            <w:noWrap/>
            <w:vAlign w:val="center"/>
          </w:tcPr>
          <w:p w14:paraId="1B975F7E" w14:textId="77777777" w:rsidR="00443E3A" w:rsidRPr="00B72B6D" w:rsidRDefault="00443E3A" w:rsidP="00396DC7">
            <w:pPr>
              <w:spacing w:before="120" w:after="120"/>
              <w:jc w:val="center"/>
              <w:rPr>
                <w:rFonts w:cs="Arial"/>
                <w:color w:val="000000"/>
              </w:rPr>
            </w:pPr>
            <w:r w:rsidRPr="00B72B6D">
              <w:rPr>
                <w:rFonts w:cs="Arial"/>
                <w:color w:val="000000"/>
              </w:rPr>
              <w:t>199</w:t>
            </w:r>
          </w:p>
        </w:tc>
        <w:tc>
          <w:tcPr>
            <w:tcW w:w="1795" w:type="dxa"/>
            <w:vAlign w:val="center"/>
          </w:tcPr>
          <w:p w14:paraId="6894BCBF" w14:textId="3C0C2ECA" w:rsidR="00443E3A" w:rsidRPr="00B72B6D" w:rsidRDefault="00443E3A" w:rsidP="00396DC7">
            <w:pPr>
              <w:spacing w:before="120" w:after="120"/>
              <w:jc w:val="center"/>
              <w:rPr>
                <w:rFonts w:cs="Arial"/>
                <w:color w:val="000000"/>
              </w:rPr>
            </w:pPr>
            <w:r w:rsidRPr="00B72B6D">
              <w:rPr>
                <w:rFonts w:cs="Arial"/>
                <w:color w:val="000000"/>
              </w:rPr>
              <w:t>194</w:t>
            </w:r>
          </w:p>
        </w:tc>
      </w:tr>
      <w:tr w:rsidR="00443E3A" w:rsidRPr="00B72B6D" w14:paraId="3C1DFAB8" w14:textId="640FB25C" w:rsidTr="00443E3A">
        <w:trPr>
          <w:cantSplit/>
          <w:trHeight w:val="530"/>
          <w:jc w:val="center"/>
        </w:trPr>
        <w:tc>
          <w:tcPr>
            <w:tcW w:w="2155" w:type="dxa"/>
            <w:noWrap/>
            <w:vAlign w:val="center"/>
          </w:tcPr>
          <w:p w14:paraId="7250D96B" w14:textId="77777777" w:rsidR="00443E3A" w:rsidRPr="00B72B6D" w:rsidRDefault="00443E3A" w:rsidP="00396DC7">
            <w:pPr>
              <w:spacing w:before="120" w:after="120"/>
              <w:rPr>
                <w:rFonts w:cs="Arial"/>
                <w:color w:val="000000"/>
              </w:rPr>
            </w:pPr>
            <w:r w:rsidRPr="00B72B6D">
              <w:rPr>
                <w:rFonts w:cs="Arial"/>
                <w:color w:val="000000"/>
              </w:rPr>
              <w:t>Attachment Five</w:t>
            </w:r>
          </w:p>
        </w:tc>
        <w:tc>
          <w:tcPr>
            <w:tcW w:w="2430" w:type="dxa"/>
            <w:vAlign w:val="center"/>
          </w:tcPr>
          <w:p w14:paraId="22B1D4C9" w14:textId="77777777" w:rsidR="00443E3A" w:rsidRPr="00B72B6D" w:rsidRDefault="00443E3A" w:rsidP="00396DC7">
            <w:pPr>
              <w:spacing w:before="120" w:after="120"/>
              <w:rPr>
                <w:rFonts w:cs="Arial"/>
                <w:color w:val="000000"/>
              </w:rPr>
            </w:pPr>
            <w:r w:rsidRPr="00B72B6D">
              <w:rPr>
                <w:rFonts w:eastAsia="Calibri" w:cs="Arial"/>
              </w:rPr>
              <w:t>Single Sign-on</w:t>
            </w:r>
          </w:p>
        </w:tc>
        <w:tc>
          <w:tcPr>
            <w:tcW w:w="1350" w:type="dxa"/>
            <w:noWrap/>
            <w:vAlign w:val="center"/>
          </w:tcPr>
          <w:p w14:paraId="1B3CE0B0" w14:textId="77777777" w:rsidR="00443E3A" w:rsidRPr="00B72B6D" w:rsidRDefault="00443E3A" w:rsidP="00396DC7">
            <w:pPr>
              <w:spacing w:before="120" w:after="120"/>
              <w:ind w:right="162"/>
              <w:jc w:val="right"/>
              <w:rPr>
                <w:rFonts w:cs="Arial"/>
                <w:color w:val="000000"/>
              </w:rPr>
            </w:pPr>
            <w:r w:rsidRPr="00B72B6D">
              <w:rPr>
                <w:rFonts w:cs="Arial"/>
                <w:color w:val="000000"/>
              </w:rPr>
              <w:t>200</w:t>
            </w:r>
          </w:p>
        </w:tc>
        <w:tc>
          <w:tcPr>
            <w:tcW w:w="1620" w:type="dxa"/>
            <w:noWrap/>
            <w:vAlign w:val="center"/>
          </w:tcPr>
          <w:p w14:paraId="09848639" w14:textId="77777777" w:rsidR="00443E3A" w:rsidRPr="00B72B6D" w:rsidRDefault="00443E3A" w:rsidP="00396DC7">
            <w:pPr>
              <w:spacing w:before="120" w:after="120"/>
              <w:jc w:val="center"/>
              <w:rPr>
                <w:rFonts w:cs="Arial"/>
                <w:color w:val="000000"/>
              </w:rPr>
            </w:pPr>
            <w:r w:rsidRPr="00B72B6D">
              <w:rPr>
                <w:rFonts w:cs="Arial"/>
                <w:color w:val="000000"/>
              </w:rPr>
              <w:t>198</w:t>
            </w:r>
          </w:p>
        </w:tc>
        <w:tc>
          <w:tcPr>
            <w:tcW w:w="1795" w:type="dxa"/>
            <w:vAlign w:val="center"/>
          </w:tcPr>
          <w:p w14:paraId="493A5F52" w14:textId="3A6BDD17" w:rsidR="00443E3A" w:rsidRPr="00B72B6D" w:rsidRDefault="00443E3A" w:rsidP="00396DC7">
            <w:pPr>
              <w:spacing w:before="120" w:after="120"/>
              <w:jc w:val="center"/>
              <w:rPr>
                <w:rFonts w:cs="Arial"/>
                <w:color w:val="000000"/>
              </w:rPr>
            </w:pPr>
            <w:r w:rsidRPr="00B72B6D">
              <w:rPr>
                <w:rFonts w:cs="Arial"/>
                <w:color w:val="000000"/>
              </w:rPr>
              <w:t>160</w:t>
            </w:r>
          </w:p>
        </w:tc>
      </w:tr>
      <w:tr w:rsidR="00443E3A" w:rsidRPr="00B72B6D" w14:paraId="52F2D45D" w14:textId="3DBD96C7" w:rsidTr="00443E3A">
        <w:trPr>
          <w:cantSplit/>
          <w:trHeight w:val="962"/>
          <w:jc w:val="center"/>
        </w:trPr>
        <w:tc>
          <w:tcPr>
            <w:tcW w:w="2155" w:type="dxa"/>
            <w:noWrap/>
            <w:vAlign w:val="center"/>
          </w:tcPr>
          <w:p w14:paraId="65283FA8" w14:textId="77777777" w:rsidR="00443E3A" w:rsidRPr="00B72B6D" w:rsidRDefault="00443E3A" w:rsidP="00396DC7">
            <w:pPr>
              <w:spacing w:before="120" w:after="120"/>
              <w:jc w:val="center"/>
              <w:rPr>
                <w:rFonts w:cs="Arial"/>
                <w:b/>
                <w:color w:val="000000"/>
              </w:rPr>
            </w:pPr>
            <w:r w:rsidRPr="00B72B6D">
              <w:rPr>
                <w:rFonts w:cs="Arial"/>
                <w:b/>
                <w:color w:val="000000"/>
              </w:rPr>
              <w:t>N/A</w:t>
            </w:r>
          </w:p>
        </w:tc>
        <w:tc>
          <w:tcPr>
            <w:tcW w:w="2430" w:type="dxa"/>
            <w:vAlign w:val="center"/>
            <w:hideMark/>
          </w:tcPr>
          <w:p w14:paraId="541EEF90" w14:textId="77777777" w:rsidR="00443E3A" w:rsidRPr="00B72B6D" w:rsidRDefault="00443E3A" w:rsidP="00396DC7">
            <w:pPr>
              <w:spacing w:before="120" w:after="120"/>
              <w:rPr>
                <w:rFonts w:cs="Arial"/>
                <w:color w:val="000000"/>
              </w:rPr>
            </w:pPr>
            <w:r w:rsidRPr="00B72B6D">
              <w:rPr>
                <w:rFonts w:cs="Arial"/>
                <w:b/>
                <w:bCs/>
                <w:color w:val="000000"/>
              </w:rPr>
              <w:t>Submission for Mandatory Demonstrations Total</w:t>
            </w:r>
          </w:p>
        </w:tc>
        <w:tc>
          <w:tcPr>
            <w:tcW w:w="1350" w:type="dxa"/>
            <w:noWrap/>
            <w:vAlign w:val="center"/>
            <w:hideMark/>
          </w:tcPr>
          <w:p w14:paraId="41D957DB" w14:textId="77777777" w:rsidR="00443E3A" w:rsidRPr="00B72B6D" w:rsidRDefault="00443E3A" w:rsidP="00396DC7">
            <w:pPr>
              <w:spacing w:before="120" w:after="120"/>
              <w:ind w:right="162"/>
              <w:jc w:val="right"/>
              <w:rPr>
                <w:rFonts w:cs="Arial"/>
                <w:color w:val="000000"/>
              </w:rPr>
            </w:pPr>
            <w:r w:rsidRPr="00B72B6D">
              <w:rPr>
                <w:rFonts w:cs="Arial"/>
                <w:color w:val="000000"/>
              </w:rPr>
              <w:t>1,000</w:t>
            </w:r>
          </w:p>
        </w:tc>
        <w:tc>
          <w:tcPr>
            <w:tcW w:w="1620" w:type="dxa"/>
            <w:noWrap/>
            <w:vAlign w:val="center"/>
          </w:tcPr>
          <w:p w14:paraId="4A0C3FA7" w14:textId="77777777" w:rsidR="00443E3A" w:rsidRPr="00B72B6D" w:rsidRDefault="00443E3A" w:rsidP="00396DC7">
            <w:pPr>
              <w:spacing w:before="120" w:after="120"/>
              <w:jc w:val="center"/>
              <w:rPr>
                <w:rFonts w:cs="Arial"/>
                <w:color w:val="000000"/>
              </w:rPr>
            </w:pPr>
            <w:r w:rsidRPr="00B72B6D">
              <w:rPr>
                <w:rFonts w:cs="Arial"/>
                <w:color w:val="000000"/>
              </w:rPr>
              <w:t>953</w:t>
            </w:r>
          </w:p>
        </w:tc>
        <w:tc>
          <w:tcPr>
            <w:tcW w:w="1795" w:type="dxa"/>
            <w:vAlign w:val="center"/>
          </w:tcPr>
          <w:p w14:paraId="2D4E1754" w14:textId="570D8FCC" w:rsidR="00443E3A" w:rsidRPr="00B72B6D" w:rsidRDefault="00443E3A" w:rsidP="00396DC7">
            <w:pPr>
              <w:spacing w:before="120" w:after="120"/>
              <w:jc w:val="center"/>
              <w:rPr>
                <w:rFonts w:cs="Arial"/>
                <w:color w:val="000000"/>
              </w:rPr>
            </w:pPr>
            <w:r w:rsidRPr="00B72B6D">
              <w:rPr>
                <w:rFonts w:cs="Arial"/>
                <w:color w:val="000000"/>
              </w:rPr>
              <w:t>892</w:t>
            </w:r>
          </w:p>
        </w:tc>
      </w:tr>
    </w:tbl>
    <w:p w14:paraId="48C9E6CD" w14:textId="77777777" w:rsidR="00FB54A0" w:rsidRPr="00B72B6D" w:rsidRDefault="00FB54A0" w:rsidP="00FB54A0">
      <w:pPr>
        <w:spacing w:after="160" w:line="259" w:lineRule="auto"/>
        <w:rPr>
          <w:rFonts w:eastAsia="Calibri" w:cs="Arial"/>
        </w:rPr>
      </w:pPr>
    </w:p>
    <w:p w14:paraId="57B8A6F5" w14:textId="77777777" w:rsidR="00FB54A0" w:rsidRPr="00B72B6D" w:rsidRDefault="00FB54A0" w:rsidP="00FB54A0">
      <w:pPr>
        <w:spacing w:after="160" w:line="259" w:lineRule="auto"/>
        <w:rPr>
          <w:rFonts w:cs="Arial"/>
          <w:b/>
        </w:rPr>
      </w:pPr>
      <w:r w:rsidRPr="00B72B6D">
        <w:rPr>
          <w:rFonts w:cs="Arial"/>
          <w:b/>
        </w:rPr>
        <w:br w:type="page"/>
      </w:r>
    </w:p>
    <w:p w14:paraId="61E9E702" w14:textId="77777777" w:rsidR="00FB54A0" w:rsidRPr="002435D5" w:rsidRDefault="00FB54A0" w:rsidP="002435D5">
      <w:pPr>
        <w:pStyle w:val="Heading3"/>
        <w:rPr>
          <w:sz w:val="28"/>
        </w:rPr>
      </w:pPr>
      <w:r w:rsidRPr="002435D5">
        <w:rPr>
          <w:sz w:val="28"/>
        </w:rPr>
        <w:lastRenderedPageBreak/>
        <w:t>California Assessment System Request for Qualifications—Stage Three</w:t>
      </w:r>
    </w:p>
    <w:p w14:paraId="71C905D6" w14:textId="0AFCB4CE" w:rsidR="0070473D" w:rsidRPr="00B72B6D" w:rsidRDefault="00FB54A0" w:rsidP="00FB54A0">
      <w:pPr>
        <w:spacing w:before="240" w:after="240"/>
        <w:rPr>
          <w:rFonts w:cs="Arial"/>
        </w:rPr>
      </w:pPr>
      <w:r w:rsidRPr="00B72B6D">
        <w:rPr>
          <w:rFonts w:cs="Arial"/>
        </w:rPr>
        <w:t xml:space="preserve">The evaluation rubric that the evaluation team used to score the California Assessment System RFQ—Stage Three submissions is provided in </w:t>
      </w:r>
      <w:r w:rsidR="00D42627" w:rsidRPr="00B72B6D">
        <w:rPr>
          <w:rFonts w:cs="Arial"/>
        </w:rPr>
        <w:t>t</w:t>
      </w:r>
      <w:r w:rsidRPr="00B72B6D">
        <w:rPr>
          <w:rFonts w:cs="Arial"/>
        </w:rPr>
        <w:t xml:space="preserve">able </w:t>
      </w:r>
      <w:r w:rsidR="000C0C4B" w:rsidRPr="00B72B6D">
        <w:rPr>
          <w:rFonts w:cs="Arial"/>
        </w:rPr>
        <w:t>6</w:t>
      </w:r>
      <w:r w:rsidRPr="00B72B6D">
        <w:rPr>
          <w:rFonts w:eastAsia="Calibri" w:cs="Arial"/>
        </w:rPr>
        <w:t>.</w:t>
      </w:r>
      <w:r w:rsidRPr="00B72B6D">
        <w:rPr>
          <w:rFonts w:cs="Arial"/>
        </w:rPr>
        <w:t xml:space="preserve"> Table </w:t>
      </w:r>
      <w:r w:rsidR="000C0C4B" w:rsidRPr="00B72B6D">
        <w:rPr>
          <w:rFonts w:cs="Arial"/>
        </w:rPr>
        <w:t>7</w:t>
      </w:r>
      <w:r w:rsidR="00496B8B" w:rsidRPr="00B72B6D">
        <w:rPr>
          <w:rFonts w:cs="Arial"/>
        </w:rPr>
        <w:t xml:space="preserve"> </w:t>
      </w:r>
      <w:r w:rsidRPr="00B72B6D">
        <w:rPr>
          <w:rFonts w:cs="Arial"/>
        </w:rPr>
        <w:t>display</w:t>
      </w:r>
      <w:r w:rsidR="00730520" w:rsidRPr="00B72B6D">
        <w:rPr>
          <w:rFonts w:cs="Arial"/>
        </w:rPr>
        <w:t>s</w:t>
      </w:r>
      <w:r w:rsidRPr="00B72B6D">
        <w:rPr>
          <w:rFonts w:cs="Arial"/>
        </w:rPr>
        <w:t xml:space="preserve"> the results of the Stage Three technical evaluation for each of the task </w:t>
      </w:r>
      <w:r w:rsidR="00D043B8" w:rsidRPr="00B72B6D">
        <w:rPr>
          <w:rFonts w:cs="Arial"/>
        </w:rPr>
        <w:t xml:space="preserve">submissions </w:t>
      </w:r>
      <w:r w:rsidRPr="00B72B6D">
        <w:rPr>
          <w:rFonts w:cs="Arial"/>
        </w:rPr>
        <w:t xml:space="preserve">provided by ETS and NCS Pearson, Inc. </w:t>
      </w:r>
    </w:p>
    <w:p w14:paraId="14872B0A" w14:textId="3B475A92" w:rsidR="00044595" w:rsidRPr="00B72B6D" w:rsidRDefault="00044595" w:rsidP="004422E6">
      <w:pPr>
        <w:spacing w:before="240" w:after="240"/>
      </w:pPr>
      <w:r w:rsidRPr="00B72B6D">
        <w:t xml:space="preserve">The </w:t>
      </w:r>
      <w:r w:rsidR="00D42627" w:rsidRPr="00B72B6D">
        <w:t>number</w:t>
      </w:r>
      <w:r w:rsidRPr="00B72B6D">
        <w:t xml:space="preserve"> of points assigned for each task of the </w:t>
      </w:r>
      <w:r w:rsidR="00443973" w:rsidRPr="00B72B6D">
        <w:t>budget</w:t>
      </w:r>
      <w:r w:rsidRPr="00B72B6D">
        <w:t xml:space="preserve"> submission </w:t>
      </w:r>
      <w:r w:rsidR="0070473D" w:rsidRPr="00B72B6D">
        <w:t>was</w:t>
      </w:r>
      <w:r w:rsidRPr="00B72B6D">
        <w:t xml:space="preserve"> a percentage of the overall available points </w:t>
      </w:r>
      <w:r w:rsidR="00D42627" w:rsidRPr="00B72B6D">
        <w:t>similar to</w:t>
      </w:r>
      <w:r w:rsidRPr="00B72B6D">
        <w:t xml:space="preserve"> that used for technical scoring.</w:t>
      </w:r>
      <w:r w:rsidR="0070473D" w:rsidRPr="00B72B6D">
        <w:t xml:space="preserve"> </w:t>
      </w:r>
      <w:r w:rsidRPr="00B72B6D">
        <w:t xml:space="preserve">For each task, the potential contractor with the lowest cost for the task </w:t>
      </w:r>
      <w:r w:rsidR="00EC1BC6" w:rsidRPr="00B72B6D">
        <w:t>received</w:t>
      </w:r>
      <w:r w:rsidRPr="00B72B6D">
        <w:t xml:space="preserve"> 100</w:t>
      </w:r>
      <w:r w:rsidR="00D42627" w:rsidRPr="00B72B6D">
        <w:t xml:space="preserve"> percent </w:t>
      </w:r>
      <w:r w:rsidRPr="00B72B6D">
        <w:t>of the points. Potential contractors with higher costs receive</w:t>
      </w:r>
      <w:r w:rsidR="0070473D" w:rsidRPr="00B72B6D">
        <w:t>d</w:t>
      </w:r>
      <w:r w:rsidRPr="00B72B6D">
        <w:t xml:space="preserve"> fewer points on a prorated basis. </w:t>
      </w:r>
    </w:p>
    <w:p w14:paraId="208AE1EC" w14:textId="43DEA5F1" w:rsidR="00044595" w:rsidRPr="00B72B6D" w:rsidRDefault="00044595" w:rsidP="00044595">
      <w:pPr>
        <w:ind w:right="449"/>
        <w:textAlignment w:val="baseline"/>
      </w:pPr>
      <w:r w:rsidRPr="00B72B6D">
        <w:t xml:space="preserve">For example, task </w:t>
      </w:r>
      <w:r w:rsidR="00976256" w:rsidRPr="00B72B6D">
        <w:t>Y</w:t>
      </w:r>
      <w:r w:rsidRPr="00B72B6D">
        <w:t xml:space="preserve"> is worth 42 points. </w:t>
      </w:r>
      <w:r w:rsidR="00937317" w:rsidRPr="00B72B6D">
        <w:t>P</w:t>
      </w:r>
      <w:r w:rsidRPr="00B72B6D">
        <w:t xml:space="preserve">otential contractor A </w:t>
      </w:r>
      <w:r w:rsidR="00937317" w:rsidRPr="00B72B6D">
        <w:t>submitted a</w:t>
      </w:r>
      <w:r w:rsidRPr="00B72B6D">
        <w:t xml:space="preserve"> bid</w:t>
      </w:r>
      <w:r w:rsidR="00937317" w:rsidRPr="00B72B6D">
        <w:t xml:space="preserve"> of</w:t>
      </w:r>
      <w:r w:rsidRPr="00B72B6D">
        <w:t xml:space="preserve"> $1,000</w:t>
      </w:r>
      <w:r w:rsidR="00F23A83" w:rsidRPr="00B72B6D">
        <w:t>;</w:t>
      </w:r>
      <w:r w:rsidRPr="00B72B6D">
        <w:t xml:space="preserve"> potential contractor B </w:t>
      </w:r>
      <w:r w:rsidR="00937317" w:rsidRPr="00B72B6D">
        <w:t xml:space="preserve">submitted a </w:t>
      </w:r>
      <w:r w:rsidRPr="00B72B6D">
        <w:t>bid</w:t>
      </w:r>
      <w:r w:rsidR="00937317" w:rsidRPr="00B72B6D">
        <w:t xml:space="preserve"> of</w:t>
      </w:r>
      <w:r w:rsidRPr="00B72B6D">
        <w:t xml:space="preserve"> $1,500</w:t>
      </w:r>
      <w:r w:rsidR="00F23A83" w:rsidRPr="00B72B6D">
        <w:t>;</w:t>
      </w:r>
      <w:r w:rsidRPr="00B72B6D">
        <w:t xml:space="preserve"> and potential contractor C </w:t>
      </w:r>
      <w:r w:rsidR="00937317" w:rsidRPr="00B72B6D">
        <w:t xml:space="preserve">submitted a </w:t>
      </w:r>
      <w:r w:rsidRPr="00B72B6D">
        <w:t>bid</w:t>
      </w:r>
      <w:r w:rsidR="00937317" w:rsidRPr="00B72B6D">
        <w:t xml:space="preserve"> of</w:t>
      </w:r>
      <w:r w:rsidRPr="00B72B6D">
        <w:t xml:space="preserve"> $2,000</w:t>
      </w:r>
      <w:r w:rsidR="00937317" w:rsidRPr="00B72B6D">
        <w:t>.</w:t>
      </w:r>
      <w:r w:rsidRPr="00B72B6D">
        <w:t xml:space="preserve"> </w:t>
      </w:r>
      <w:r w:rsidR="00F23A83" w:rsidRPr="00B72B6D">
        <w:t>In this scenario,</w:t>
      </w:r>
      <w:r w:rsidRPr="00B72B6D">
        <w:t xml:space="preserve"> potential contractor A </w:t>
      </w:r>
      <w:r w:rsidR="00937317" w:rsidRPr="00B72B6D">
        <w:t>would</w:t>
      </w:r>
      <w:r w:rsidRPr="00B72B6D">
        <w:t xml:space="preserve"> receive 100</w:t>
      </w:r>
      <w:r w:rsidR="00F23A83" w:rsidRPr="00B72B6D">
        <w:t xml:space="preserve"> percent </w:t>
      </w:r>
      <w:r w:rsidRPr="00B72B6D">
        <w:t>of the 42 points possible for the task. Potential contractor B</w:t>
      </w:r>
      <w:r w:rsidR="00F23A83" w:rsidRPr="00B72B6D">
        <w:t xml:space="preserve">, whose </w:t>
      </w:r>
      <w:r w:rsidR="00937317" w:rsidRPr="00B72B6D">
        <w:t>bid is</w:t>
      </w:r>
      <w:r w:rsidRPr="00B72B6D">
        <w:t xml:space="preserve"> 66</w:t>
      </w:r>
      <w:r w:rsidR="00F23A83" w:rsidRPr="00B72B6D">
        <w:t xml:space="preserve"> percent </w:t>
      </w:r>
      <w:r w:rsidRPr="00B72B6D">
        <w:t>higher than the low</w:t>
      </w:r>
      <w:r w:rsidR="00BB76DF" w:rsidRPr="00B72B6D">
        <w:t>est</w:t>
      </w:r>
      <w:r w:rsidRPr="00B72B6D">
        <w:t xml:space="preserve"> bid</w:t>
      </w:r>
      <w:r w:rsidR="00F23A83" w:rsidRPr="00B72B6D">
        <w:t>,</w:t>
      </w:r>
      <w:r w:rsidRPr="00B72B6D">
        <w:t xml:space="preserve"> </w:t>
      </w:r>
      <w:r w:rsidR="00937317" w:rsidRPr="00B72B6D">
        <w:t>would</w:t>
      </w:r>
      <w:r w:rsidRPr="00B72B6D">
        <w:t xml:space="preserve"> receive 28 points. Potential contractor C</w:t>
      </w:r>
      <w:r w:rsidR="00F23A83" w:rsidRPr="00B72B6D">
        <w:t xml:space="preserve">, whose </w:t>
      </w:r>
      <w:r w:rsidR="00937317" w:rsidRPr="00B72B6D">
        <w:t>bid is</w:t>
      </w:r>
      <w:r w:rsidRPr="00B72B6D">
        <w:t xml:space="preserve"> 100</w:t>
      </w:r>
      <w:r w:rsidR="00F23A83" w:rsidRPr="00B72B6D">
        <w:t xml:space="preserve"> percent </w:t>
      </w:r>
      <w:r w:rsidRPr="00B72B6D">
        <w:t>higher than the low</w:t>
      </w:r>
      <w:r w:rsidR="00F1691A" w:rsidRPr="00B72B6D">
        <w:t>est</w:t>
      </w:r>
      <w:r w:rsidRPr="00B72B6D">
        <w:t xml:space="preserve"> bi</w:t>
      </w:r>
      <w:r w:rsidR="00E338C9" w:rsidRPr="00B72B6D">
        <w:t>d</w:t>
      </w:r>
      <w:r w:rsidR="00F23A83" w:rsidRPr="00B72B6D">
        <w:t>,</w:t>
      </w:r>
      <w:r w:rsidRPr="00B72B6D">
        <w:t xml:space="preserve"> </w:t>
      </w:r>
      <w:r w:rsidR="00937317" w:rsidRPr="00B72B6D">
        <w:t>would</w:t>
      </w:r>
      <w:r w:rsidRPr="00B72B6D">
        <w:t xml:space="preserve"> receive 21 points</w:t>
      </w:r>
      <w:r w:rsidR="00F23A83" w:rsidRPr="00B72B6D">
        <w:t>.</w:t>
      </w:r>
      <w:r w:rsidR="000C0C4B" w:rsidRPr="00B72B6D" w:rsidDel="00F23A83">
        <w:t xml:space="preserve"> </w:t>
      </w:r>
      <w:r w:rsidR="00F23A83" w:rsidRPr="00B72B6D">
        <w:t xml:space="preserve">This scoring calculation </w:t>
      </w:r>
      <w:r w:rsidR="00037A04" w:rsidRPr="00B72B6D">
        <w:t xml:space="preserve">example </w:t>
      </w:r>
      <w:r w:rsidR="00F23A83" w:rsidRPr="00B72B6D">
        <w:t xml:space="preserve">is </w:t>
      </w:r>
      <w:r w:rsidR="000C0C4B" w:rsidRPr="00B72B6D">
        <w:t xml:space="preserve">shown in </w:t>
      </w:r>
      <w:r w:rsidR="00C14F87" w:rsidRPr="00B72B6D">
        <w:t>t</w:t>
      </w:r>
      <w:r w:rsidR="000C0C4B" w:rsidRPr="00B72B6D">
        <w:t>able 5</w:t>
      </w:r>
      <w:r w:rsidRPr="00B72B6D">
        <w:t>.</w:t>
      </w:r>
    </w:p>
    <w:p w14:paraId="0B09D28F" w14:textId="77777777" w:rsidR="00044595" w:rsidRPr="00B72B6D" w:rsidRDefault="00044595" w:rsidP="00044595">
      <w:pPr>
        <w:ind w:right="449"/>
        <w:textAlignment w:val="baseline"/>
      </w:pPr>
    </w:p>
    <w:p w14:paraId="220350EF" w14:textId="6A77041A" w:rsidR="00044595" w:rsidRPr="002435D5" w:rsidRDefault="000C0C4B" w:rsidP="002435D5">
      <w:pPr>
        <w:pStyle w:val="Heading4"/>
        <w:spacing w:before="0" w:after="120"/>
        <w:rPr>
          <w:sz w:val="24"/>
        </w:rPr>
      </w:pPr>
      <w:r w:rsidRPr="002435D5">
        <w:rPr>
          <w:sz w:val="24"/>
        </w:rPr>
        <w:t>Table 5. Stage Three Budget Scoring Sample Calculation</w:t>
      </w:r>
    </w:p>
    <w:tbl>
      <w:tblPr>
        <w:tblStyle w:val="TableGrid1"/>
        <w:tblW w:w="0" w:type="auto"/>
        <w:tblLook w:val="04A0" w:firstRow="1" w:lastRow="0" w:firstColumn="1" w:lastColumn="0" w:noHBand="0" w:noVBand="1"/>
        <w:tblDescription w:val="Table 5. Stage Three Budget Scoring Sample Calculation"/>
      </w:tblPr>
      <w:tblGrid>
        <w:gridCol w:w="1681"/>
        <w:gridCol w:w="2094"/>
        <w:gridCol w:w="1350"/>
        <w:gridCol w:w="2352"/>
        <w:gridCol w:w="1873"/>
      </w:tblGrid>
      <w:tr w:rsidR="00044595" w:rsidRPr="00B72B6D" w14:paraId="685164DC" w14:textId="77777777" w:rsidTr="006D513B">
        <w:trPr>
          <w:tblHeader/>
        </w:trPr>
        <w:tc>
          <w:tcPr>
            <w:tcW w:w="1681" w:type="dxa"/>
            <w:shd w:val="clear" w:color="auto" w:fill="D9E2F3"/>
            <w:vAlign w:val="center"/>
          </w:tcPr>
          <w:p w14:paraId="74449E6A" w14:textId="77777777" w:rsidR="00044595" w:rsidRPr="00B72B6D" w:rsidRDefault="00044595" w:rsidP="0041719E">
            <w:pPr>
              <w:spacing w:before="120" w:after="120"/>
              <w:jc w:val="center"/>
            </w:pPr>
            <w:r w:rsidRPr="00B72B6D">
              <w:t>Potential Contractor</w:t>
            </w:r>
          </w:p>
        </w:tc>
        <w:tc>
          <w:tcPr>
            <w:tcW w:w="2094" w:type="dxa"/>
            <w:shd w:val="clear" w:color="auto" w:fill="D9E2F3"/>
            <w:vAlign w:val="center"/>
          </w:tcPr>
          <w:p w14:paraId="077E2E30" w14:textId="6A210B13" w:rsidR="00044595" w:rsidRPr="00B72B6D" w:rsidRDefault="00044595" w:rsidP="00037A04">
            <w:pPr>
              <w:spacing w:before="120" w:after="120"/>
              <w:jc w:val="center"/>
            </w:pPr>
            <w:r w:rsidRPr="00B72B6D">
              <w:t xml:space="preserve">Task </w:t>
            </w:r>
            <w:r w:rsidR="00037A04" w:rsidRPr="00B72B6D">
              <w:t xml:space="preserve">Y </w:t>
            </w:r>
            <w:r w:rsidRPr="00B72B6D">
              <w:t>Low Bid/Potential Contractor Bid</w:t>
            </w:r>
          </w:p>
        </w:tc>
        <w:tc>
          <w:tcPr>
            <w:tcW w:w="1350" w:type="dxa"/>
            <w:shd w:val="clear" w:color="auto" w:fill="D9E2F3"/>
            <w:vAlign w:val="center"/>
          </w:tcPr>
          <w:p w14:paraId="0EBEADA6" w14:textId="77777777" w:rsidR="00044595" w:rsidRPr="00B72B6D" w:rsidRDefault="00044595" w:rsidP="0041719E">
            <w:pPr>
              <w:spacing w:before="120" w:after="120"/>
              <w:jc w:val="center"/>
            </w:pPr>
            <w:r w:rsidRPr="00B72B6D">
              <w:t>Percent of Low Bid</w:t>
            </w:r>
          </w:p>
        </w:tc>
        <w:tc>
          <w:tcPr>
            <w:tcW w:w="2352" w:type="dxa"/>
            <w:shd w:val="clear" w:color="auto" w:fill="D9E2F3"/>
            <w:vAlign w:val="center"/>
          </w:tcPr>
          <w:p w14:paraId="44187459" w14:textId="26A34B3D" w:rsidR="00044595" w:rsidRPr="00B72B6D" w:rsidRDefault="00044595" w:rsidP="0041719E">
            <w:pPr>
              <w:spacing w:before="120" w:after="120"/>
              <w:jc w:val="center"/>
            </w:pPr>
            <w:r w:rsidRPr="00B72B6D">
              <w:t xml:space="preserve">Percent x Task </w:t>
            </w:r>
            <w:r w:rsidR="00976256" w:rsidRPr="00B72B6D">
              <w:t>Y</w:t>
            </w:r>
            <w:r w:rsidRPr="00B72B6D">
              <w:t xml:space="preserve"> Total Points</w:t>
            </w:r>
          </w:p>
        </w:tc>
        <w:tc>
          <w:tcPr>
            <w:tcW w:w="1873" w:type="dxa"/>
            <w:shd w:val="clear" w:color="auto" w:fill="D9E2F3"/>
            <w:vAlign w:val="center"/>
          </w:tcPr>
          <w:p w14:paraId="79345943" w14:textId="10B2BD22" w:rsidR="00044595" w:rsidRPr="00B72B6D" w:rsidRDefault="00044595" w:rsidP="00037A04">
            <w:pPr>
              <w:spacing w:before="120" w:after="120"/>
              <w:jc w:val="center"/>
            </w:pPr>
            <w:r w:rsidRPr="00B72B6D">
              <w:t xml:space="preserve">Task </w:t>
            </w:r>
            <w:r w:rsidR="00037A04" w:rsidRPr="00B72B6D">
              <w:t xml:space="preserve">Y </w:t>
            </w:r>
            <w:r w:rsidRPr="00B72B6D">
              <w:t>Points Earned</w:t>
            </w:r>
          </w:p>
        </w:tc>
      </w:tr>
      <w:tr w:rsidR="00044595" w:rsidRPr="00B72B6D" w14:paraId="142B1D9A" w14:textId="77777777" w:rsidTr="00D72C64">
        <w:tc>
          <w:tcPr>
            <w:tcW w:w="1681" w:type="dxa"/>
          </w:tcPr>
          <w:p w14:paraId="15974023" w14:textId="77777777" w:rsidR="00044595" w:rsidRPr="00B72B6D" w:rsidRDefault="00044595" w:rsidP="0041719E">
            <w:pPr>
              <w:spacing w:before="120" w:after="120"/>
            </w:pPr>
            <w:r w:rsidRPr="00B72B6D">
              <w:t>A</w:t>
            </w:r>
          </w:p>
        </w:tc>
        <w:tc>
          <w:tcPr>
            <w:tcW w:w="2094" w:type="dxa"/>
          </w:tcPr>
          <w:p w14:paraId="66844DFD" w14:textId="77777777" w:rsidR="00044595" w:rsidRPr="00B72B6D" w:rsidRDefault="00044595" w:rsidP="0041719E">
            <w:pPr>
              <w:spacing w:before="120" w:after="120"/>
            </w:pPr>
            <w:r w:rsidRPr="00B72B6D">
              <w:t>1000/1000</w:t>
            </w:r>
          </w:p>
        </w:tc>
        <w:tc>
          <w:tcPr>
            <w:tcW w:w="1350" w:type="dxa"/>
            <w:hideMark/>
          </w:tcPr>
          <w:p w14:paraId="7CB0C37D" w14:textId="77777777" w:rsidR="00044595" w:rsidRPr="00B72B6D" w:rsidRDefault="00044595" w:rsidP="0041719E">
            <w:pPr>
              <w:spacing w:before="120" w:after="120"/>
              <w:rPr>
                <w:sz w:val="22"/>
              </w:rPr>
            </w:pPr>
            <w:r w:rsidRPr="00B72B6D">
              <w:t>1</w:t>
            </w:r>
          </w:p>
        </w:tc>
        <w:tc>
          <w:tcPr>
            <w:tcW w:w="2352" w:type="dxa"/>
            <w:hideMark/>
          </w:tcPr>
          <w:p w14:paraId="244897C9" w14:textId="77777777" w:rsidR="00044595" w:rsidRPr="00B72B6D" w:rsidRDefault="00044595" w:rsidP="0041719E">
            <w:pPr>
              <w:spacing w:before="120" w:after="120"/>
            </w:pPr>
            <w:r w:rsidRPr="00B72B6D">
              <w:t>1 x 42 = 42</w:t>
            </w:r>
          </w:p>
        </w:tc>
        <w:tc>
          <w:tcPr>
            <w:tcW w:w="1873" w:type="dxa"/>
            <w:hideMark/>
          </w:tcPr>
          <w:p w14:paraId="0FF3B9C9" w14:textId="77777777" w:rsidR="00044595" w:rsidRPr="00B72B6D" w:rsidRDefault="00044595" w:rsidP="0041719E">
            <w:pPr>
              <w:spacing w:before="120" w:after="120"/>
            </w:pPr>
            <w:r w:rsidRPr="00B72B6D">
              <w:t xml:space="preserve">42 </w:t>
            </w:r>
          </w:p>
        </w:tc>
      </w:tr>
      <w:tr w:rsidR="00044595" w:rsidRPr="00B72B6D" w14:paraId="08026137" w14:textId="77777777" w:rsidTr="00D72C64">
        <w:tc>
          <w:tcPr>
            <w:tcW w:w="1681" w:type="dxa"/>
          </w:tcPr>
          <w:p w14:paraId="551B5EA8" w14:textId="77777777" w:rsidR="00044595" w:rsidRPr="00B72B6D" w:rsidRDefault="00044595" w:rsidP="0041719E">
            <w:pPr>
              <w:spacing w:before="120" w:after="120"/>
            </w:pPr>
            <w:r w:rsidRPr="00B72B6D">
              <w:t>B</w:t>
            </w:r>
          </w:p>
        </w:tc>
        <w:tc>
          <w:tcPr>
            <w:tcW w:w="2094" w:type="dxa"/>
          </w:tcPr>
          <w:p w14:paraId="160B3856" w14:textId="77777777" w:rsidR="00044595" w:rsidRPr="00B72B6D" w:rsidRDefault="00044595" w:rsidP="0041719E">
            <w:pPr>
              <w:spacing w:before="120" w:after="120"/>
            </w:pPr>
            <w:r w:rsidRPr="00B72B6D">
              <w:t>1000/1500</w:t>
            </w:r>
          </w:p>
        </w:tc>
        <w:tc>
          <w:tcPr>
            <w:tcW w:w="1350" w:type="dxa"/>
            <w:hideMark/>
          </w:tcPr>
          <w:p w14:paraId="477D04E6" w14:textId="77777777" w:rsidR="00044595" w:rsidRPr="00B72B6D" w:rsidRDefault="00044595" w:rsidP="0041719E">
            <w:pPr>
              <w:spacing w:before="120" w:after="120"/>
            </w:pPr>
            <w:r w:rsidRPr="00B72B6D">
              <w:t>.66</w:t>
            </w:r>
          </w:p>
        </w:tc>
        <w:tc>
          <w:tcPr>
            <w:tcW w:w="2352" w:type="dxa"/>
            <w:hideMark/>
          </w:tcPr>
          <w:p w14:paraId="2231B43D" w14:textId="77777777" w:rsidR="00044595" w:rsidRPr="00B72B6D" w:rsidRDefault="00044595" w:rsidP="0041719E">
            <w:pPr>
              <w:spacing w:before="120" w:after="120"/>
            </w:pPr>
            <w:r w:rsidRPr="00B72B6D">
              <w:t>.66 x 42 = 28</w:t>
            </w:r>
          </w:p>
        </w:tc>
        <w:tc>
          <w:tcPr>
            <w:tcW w:w="1873" w:type="dxa"/>
            <w:hideMark/>
          </w:tcPr>
          <w:p w14:paraId="67DC42FA" w14:textId="77777777" w:rsidR="00044595" w:rsidRPr="00B72B6D" w:rsidRDefault="00044595" w:rsidP="0041719E">
            <w:pPr>
              <w:spacing w:before="120" w:after="120"/>
            </w:pPr>
            <w:r w:rsidRPr="00B72B6D">
              <w:t xml:space="preserve">28 </w:t>
            </w:r>
          </w:p>
        </w:tc>
      </w:tr>
      <w:tr w:rsidR="00044595" w:rsidRPr="00B72B6D" w14:paraId="6C2EFB21" w14:textId="77777777" w:rsidTr="00D72C64">
        <w:tc>
          <w:tcPr>
            <w:tcW w:w="1681" w:type="dxa"/>
          </w:tcPr>
          <w:p w14:paraId="5E584023" w14:textId="77777777" w:rsidR="00044595" w:rsidRPr="00B72B6D" w:rsidRDefault="00044595" w:rsidP="0041719E">
            <w:pPr>
              <w:spacing w:before="120" w:after="120"/>
            </w:pPr>
            <w:r w:rsidRPr="00B72B6D">
              <w:t>C</w:t>
            </w:r>
          </w:p>
        </w:tc>
        <w:tc>
          <w:tcPr>
            <w:tcW w:w="2094" w:type="dxa"/>
          </w:tcPr>
          <w:p w14:paraId="7AA171A7" w14:textId="77777777" w:rsidR="00044595" w:rsidRPr="00B72B6D" w:rsidRDefault="00044595" w:rsidP="0041719E">
            <w:pPr>
              <w:spacing w:before="120" w:after="120"/>
            </w:pPr>
            <w:r w:rsidRPr="00B72B6D">
              <w:t>1000/2000</w:t>
            </w:r>
          </w:p>
        </w:tc>
        <w:tc>
          <w:tcPr>
            <w:tcW w:w="1350" w:type="dxa"/>
            <w:hideMark/>
          </w:tcPr>
          <w:p w14:paraId="1E9205F0" w14:textId="77777777" w:rsidR="00044595" w:rsidRPr="00B72B6D" w:rsidRDefault="00044595" w:rsidP="0041719E">
            <w:pPr>
              <w:spacing w:before="120" w:after="120"/>
            </w:pPr>
            <w:r w:rsidRPr="00B72B6D">
              <w:t>.5</w:t>
            </w:r>
          </w:p>
        </w:tc>
        <w:tc>
          <w:tcPr>
            <w:tcW w:w="2352" w:type="dxa"/>
            <w:hideMark/>
          </w:tcPr>
          <w:p w14:paraId="62FA7BD0" w14:textId="77777777" w:rsidR="00044595" w:rsidRPr="00B72B6D" w:rsidRDefault="00044595" w:rsidP="0041719E">
            <w:pPr>
              <w:spacing w:before="120" w:after="120"/>
            </w:pPr>
            <w:r w:rsidRPr="00B72B6D">
              <w:t>.5 x 42 = 21</w:t>
            </w:r>
          </w:p>
        </w:tc>
        <w:tc>
          <w:tcPr>
            <w:tcW w:w="1873" w:type="dxa"/>
            <w:hideMark/>
          </w:tcPr>
          <w:p w14:paraId="3E6CBA2C" w14:textId="77777777" w:rsidR="00044595" w:rsidRPr="00B72B6D" w:rsidRDefault="00044595" w:rsidP="0041719E">
            <w:pPr>
              <w:spacing w:before="120" w:after="120"/>
            </w:pPr>
            <w:r w:rsidRPr="00B72B6D">
              <w:t xml:space="preserve">21 </w:t>
            </w:r>
          </w:p>
        </w:tc>
      </w:tr>
    </w:tbl>
    <w:p w14:paraId="61651653" w14:textId="77777777" w:rsidR="00044595" w:rsidRPr="00B72B6D" w:rsidRDefault="00044595" w:rsidP="00044595">
      <w:pPr>
        <w:pStyle w:val="NormalWeb"/>
        <w:spacing w:before="0" w:beforeAutospacing="0" w:after="0" w:afterAutospacing="0"/>
        <w:rPr>
          <w:color w:val="000000"/>
        </w:rPr>
      </w:pPr>
    </w:p>
    <w:p w14:paraId="4F1D128D" w14:textId="674C566E" w:rsidR="00FB54A0" w:rsidRPr="00B72B6D" w:rsidRDefault="00FB54A0" w:rsidP="00FB54A0">
      <w:pPr>
        <w:spacing w:before="240" w:after="240"/>
        <w:rPr>
          <w:rFonts w:cs="Arial"/>
        </w:rPr>
      </w:pPr>
      <w:r w:rsidRPr="00B72B6D">
        <w:rPr>
          <w:rFonts w:cs="Arial"/>
        </w:rPr>
        <w:t xml:space="preserve">The </w:t>
      </w:r>
      <w:r w:rsidR="005F6498" w:rsidRPr="00B72B6D">
        <w:rPr>
          <w:rFonts w:cs="Arial"/>
        </w:rPr>
        <w:t xml:space="preserve">actual </w:t>
      </w:r>
      <w:r w:rsidRPr="00B72B6D">
        <w:rPr>
          <w:rFonts w:cs="Arial"/>
        </w:rPr>
        <w:t xml:space="preserve">budget scores for both ETS and NCS Pearson, Inc., are displayed in </w:t>
      </w:r>
      <w:r w:rsidR="00404300" w:rsidRPr="00B72B6D">
        <w:rPr>
          <w:rFonts w:cs="Arial"/>
        </w:rPr>
        <w:t>t</w:t>
      </w:r>
      <w:r w:rsidRPr="00B72B6D">
        <w:rPr>
          <w:rFonts w:cs="Arial"/>
        </w:rPr>
        <w:t>able</w:t>
      </w:r>
      <w:r w:rsidRPr="00B72B6D" w:rsidDel="00512CC2">
        <w:rPr>
          <w:rFonts w:cs="Arial"/>
        </w:rPr>
        <w:t xml:space="preserve"> </w:t>
      </w:r>
      <w:r w:rsidR="00512CC2" w:rsidRPr="00B72B6D">
        <w:rPr>
          <w:rFonts w:cs="Arial"/>
        </w:rPr>
        <w:t>8</w:t>
      </w:r>
      <w:r w:rsidRPr="00B72B6D">
        <w:rPr>
          <w:rFonts w:cs="Arial"/>
        </w:rPr>
        <w:t xml:space="preserve">. Table </w:t>
      </w:r>
      <w:r w:rsidR="000C0C4B" w:rsidRPr="00B72B6D">
        <w:rPr>
          <w:rFonts w:cs="Arial"/>
        </w:rPr>
        <w:t>9</w:t>
      </w:r>
      <w:r w:rsidRPr="00B72B6D">
        <w:rPr>
          <w:rFonts w:cs="Arial"/>
        </w:rPr>
        <w:t xml:space="preserve"> displays the combined technical submission evaluation scores from Stages One, Two, and Three</w:t>
      </w:r>
      <w:r w:rsidRPr="00B72B6D" w:rsidDel="00404300">
        <w:rPr>
          <w:rFonts w:cs="Arial"/>
        </w:rPr>
        <w:t>;</w:t>
      </w:r>
      <w:r w:rsidRPr="00B72B6D">
        <w:rPr>
          <w:rFonts w:cs="Arial"/>
        </w:rPr>
        <w:t xml:space="preserve"> and </w:t>
      </w:r>
      <w:r w:rsidR="00404300" w:rsidRPr="00B72B6D">
        <w:rPr>
          <w:rFonts w:cs="Arial"/>
        </w:rPr>
        <w:t>t</w:t>
      </w:r>
      <w:r w:rsidRPr="00B72B6D">
        <w:rPr>
          <w:rFonts w:cs="Arial"/>
        </w:rPr>
        <w:t xml:space="preserve">able </w:t>
      </w:r>
      <w:r w:rsidR="00BA1CF6" w:rsidRPr="00B72B6D">
        <w:rPr>
          <w:rFonts w:cs="Arial"/>
        </w:rPr>
        <w:t>10</w:t>
      </w:r>
      <w:r w:rsidR="00512CC2" w:rsidRPr="00B72B6D">
        <w:rPr>
          <w:rFonts w:cs="Arial"/>
        </w:rPr>
        <w:t xml:space="preserve"> </w:t>
      </w:r>
      <w:r w:rsidRPr="00B72B6D">
        <w:rPr>
          <w:rFonts w:cs="Arial"/>
        </w:rPr>
        <w:t xml:space="preserve">displays the </w:t>
      </w:r>
      <w:r w:rsidR="005F6498" w:rsidRPr="00B72B6D">
        <w:rPr>
          <w:rFonts w:cs="Arial"/>
        </w:rPr>
        <w:t xml:space="preserve">final </w:t>
      </w:r>
      <w:r w:rsidRPr="00B72B6D">
        <w:rPr>
          <w:rFonts w:cs="Arial"/>
        </w:rPr>
        <w:t>ranking of the submission results.</w:t>
      </w:r>
    </w:p>
    <w:p w14:paraId="44E3E80D" w14:textId="77777777" w:rsidR="006D513B" w:rsidRPr="00B72B6D" w:rsidRDefault="006D513B">
      <w:pPr>
        <w:spacing w:after="160" w:line="259" w:lineRule="auto"/>
        <w:rPr>
          <w:rFonts w:cs="Arial"/>
          <w:b/>
        </w:rPr>
      </w:pPr>
      <w:r w:rsidRPr="00B72B6D">
        <w:rPr>
          <w:rFonts w:cs="Arial"/>
          <w:b/>
        </w:rPr>
        <w:br w:type="page"/>
      </w:r>
    </w:p>
    <w:p w14:paraId="295D7BEC" w14:textId="763E08C8" w:rsidR="00FB54A0" w:rsidRPr="002435D5" w:rsidRDefault="00FB54A0" w:rsidP="002435D5">
      <w:pPr>
        <w:pStyle w:val="Heading4"/>
        <w:spacing w:before="0" w:after="120"/>
        <w:rPr>
          <w:sz w:val="24"/>
        </w:rPr>
      </w:pPr>
      <w:r w:rsidRPr="002435D5">
        <w:rPr>
          <w:sz w:val="24"/>
        </w:rPr>
        <w:lastRenderedPageBreak/>
        <w:t xml:space="preserve">Table </w:t>
      </w:r>
      <w:r w:rsidR="000C0C4B" w:rsidRPr="002435D5">
        <w:rPr>
          <w:sz w:val="24"/>
        </w:rPr>
        <w:t>6</w:t>
      </w:r>
      <w:r w:rsidRPr="002435D5">
        <w:rPr>
          <w:sz w:val="24"/>
        </w:rPr>
        <w:t>. Stage Three Evaluation Rubric</w:t>
      </w:r>
    </w:p>
    <w:tbl>
      <w:tblPr>
        <w:tblStyle w:val="TableGrid16"/>
        <w:tblW w:w="0" w:type="auto"/>
        <w:tblInd w:w="0" w:type="dxa"/>
        <w:tblLayout w:type="fixed"/>
        <w:tblLook w:val="04A0" w:firstRow="1" w:lastRow="0" w:firstColumn="1" w:lastColumn="0" w:noHBand="0" w:noVBand="1"/>
        <w:tblDescription w:val="Table 6. Stage Three Evaluation Rubric"/>
      </w:tblPr>
      <w:tblGrid>
        <w:gridCol w:w="2335"/>
        <w:gridCol w:w="1800"/>
        <w:gridCol w:w="5400"/>
      </w:tblGrid>
      <w:tr w:rsidR="00FB54A0" w:rsidRPr="00B72B6D" w14:paraId="0790D4C0" w14:textId="77777777" w:rsidTr="00373089">
        <w:trPr>
          <w:trHeight w:val="1277"/>
          <w:tblHeader/>
        </w:trPr>
        <w:tc>
          <w:tcPr>
            <w:tcW w:w="2335" w:type="dxa"/>
            <w:shd w:val="clear" w:color="auto" w:fill="D9E2F3"/>
            <w:vAlign w:val="center"/>
          </w:tcPr>
          <w:p w14:paraId="0267D844" w14:textId="12C562AC" w:rsidR="00FB54A0" w:rsidRPr="00B72B6D" w:rsidRDefault="00FB54A0" w:rsidP="00396DC7">
            <w:pPr>
              <w:spacing w:before="120" w:after="120"/>
              <w:ind w:right="374"/>
              <w:jc w:val="center"/>
              <w:rPr>
                <w:rFonts w:eastAsia="Calibri" w:cs="Arial"/>
                <w:b/>
                <w:bCs/>
              </w:rPr>
            </w:pPr>
            <w:r w:rsidRPr="00B72B6D">
              <w:rPr>
                <w:rFonts w:eastAsia="Calibri" w:cs="Arial"/>
                <w:b/>
                <w:bCs/>
              </w:rPr>
              <w:t xml:space="preserve">Percentage </w:t>
            </w:r>
            <w:r w:rsidR="00B3261B" w:rsidRPr="00B72B6D">
              <w:rPr>
                <w:rFonts w:eastAsia="Calibri" w:cs="Arial"/>
                <w:b/>
                <w:bCs/>
              </w:rPr>
              <w:t>of Earned</w:t>
            </w:r>
            <w:r w:rsidR="00B3261B" w:rsidRPr="00B72B6D">
              <w:rPr>
                <w:rFonts w:eastAsia="Calibri" w:cs="Arial"/>
                <w:b/>
              </w:rPr>
              <w:t xml:space="preserve"> </w:t>
            </w:r>
            <w:r w:rsidRPr="00B72B6D">
              <w:rPr>
                <w:rFonts w:eastAsia="Calibri" w:cs="Arial"/>
                <w:b/>
                <w:bCs/>
              </w:rPr>
              <w:t>Points per Mandatory Demonstration</w:t>
            </w:r>
          </w:p>
        </w:tc>
        <w:tc>
          <w:tcPr>
            <w:tcW w:w="1800" w:type="dxa"/>
            <w:shd w:val="clear" w:color="auto" w:fill="D9E2F3"/>
            <w:vAlign w:val="center"/>
          </w:tcPr>
          <w:p w14:paraId="64E05FC6" w14:textId="77777777" w:rsidR="00FB54A0" w:rsidRPr="00B72B6D" w:rsidRDefault="00FB54A0" w:rsidP="00396DC7">
            <w:pPr>
              <w:spacing w:before="120" w:after="120"/>
              <w:ind w:right="374"/>
              <w:jc w:val="center"/>
              <w:rPr>
                <w:rFonts w:eastAsia="Calibri" w:cs="Arial"/>
                <w:b/>
              </w:rPr>
            </w:pPr>
            <w:r w:rsidRPr="00B72B6D">
              <w:rPr>
                <w:rFonts w:eastAsia="Calibri" w:cs="Arial"/>
                <w:b/>
              </w:rPr>
              <w:t>Category</w:t>
            </w:r>
          </w:p>
        </w:tc>
        <w:tc>
          <w:tcPr>
            <w:tcW w:w="5400" w:type="dxa"/>
            <w:shd w:val="clear" w:color="auto" w:fill="D9E2F3"/>
            <w:vAlign w:val="center"/>
          </w:tcPr>
          <w:p w14:paraId="0EC71C2E" w14:textId="77777777" w:rsidR="00FB54A0" w:rsidRPr="00B72B6D" w:rsidRDefault="00FB54A0" w:rsidP="00396DC7">
            <w:pPr>
              <w:spacing w:before="120" w:after="120"/>
              <w:ind w:right="374"/>
              <w:jc w:val="center"/>
              <w:rPr>
                <w:rFonts w:eastAsia="Calibri" w:cs="Arial"/>
                <w:b/>
              </w:rPr>
            </w:pPr>
            <w:r w:rsidRPr="00B72B6D">
              <w:rPr>
                <w:rFonts w:eastAsia="Calibri" w:cs="Arial"/>
                <w:b/>
              </w:rPr>
              <w:t>Description</w:t>
            </w:r>
          </w:p>
        </w:tc>
      </w:tr>
      <w:tr w:rsidR="00FB54A0" w:rsidRPr="00B72B6D" w14:paraId="634DB66E" w14:textId="77777777" w:rsidTr="00373089">
        <w:trPr>
          <w:trHeight w:val="1610"/>
        </w:trPr>
        <w:tc>
          <w:tcPr>
            <w:tcW w:w="2335" w:type="dxa"/>
            <w:vAlign w:val="center"/>
          </w:tcPr>
          <w:p w14:paraId="5A3E7A87" w14:textId="77777777" w:rsidR="00FB54A0" w:rsidRPr="00B72B6D" w:rsidRDefault="00FB54A0" w:rsidP="00396DC7">
            <w:pPr>
              <w:spacing w:before="120" w:after="120"/>
              <w:ind w:left="429" w:right="374"/>
              <w:rPr>
                <w:rFonts w:eastAsia="Calibri" w:cs="Arial"/>
              </w:rPr>
            </w:pPr>
            <w:r w:rsidRPr="00B72B6D">
              <w:rPr>
                <w:rFonts w:eastAsia="Calibri" w:cs="Arial"/>
              </w:rPr>
              <w:t>90–100%</w:t>
            </w:r>
          </w:p>
        </w:tc>
        <w:tc>
          <w:tcPr>
            <w:tcW w:w="1800" w:type="dxa"/>
            <w:vAlign w:val="center"/>
          </w:tcPr>
          <w:p w14:paraId="29EF7066" w14:textId="77777777" w:rsidR="00FB54A0" w:rsidRPr="00B72B6D" w:rsidRDefault="00FB54A0" w:rsidP="00396DC7">
            <w:pPr>
              <w:spacing w:before="120" w:after="120"/>
              <w:ind w:right="374"/>
              <w:rPr>
                <w:rFonts w:eastAsia="Calibri" w:cs="Arial"/>
              </w:rPr>
            </w:pPr>
            <w:r w:rsidRPr="00B72B6D">
              <w:rPr>
                <w:rFonts w:eastAsia="Calibri" w:cs="Arial"/>
              </w:rPr>
              <w:t>Exceeds</w:t>
            </w:r>
          </w:p>
        </w:tc>
        <w:tc>
          <w:tcPr>
            <w:tcW w:w="5400" w:type="dxa"/>
            <w:vAlign w:val="center"/>
          </w:tcPr>
          <w:p w14:paraId="61B7CD59" w14:textId="77777777" w:rsidR="00FB54A0" w:rsidRPr="00B72B6D" w:rsidRDefault="00FB54A0" w:rsidP="00396DC7">
            <w:pPr>
              <w:spacing w:before="120" w:after="120"/>
              <w:ind w:right="374"/>
              <w:rPr>
                <w:rFonts w:eastAsia="Calibri" w:cs="Arial"/>
              </w:rPr>
            </w:pPr>
            <w:r w:rsidRPr="00B72B6D">
              <w:rPr>
                <w:rFonts w:eastAsia="Calibri" w:cs="Arial"/>
              </w:rPr>
              <w:t>The submission is comprehensive, providing exceptional details and supporting evidence that the contractor thoroughly understands, meets, and exceeds the evaluation factors of the task.</w:t>
            </w:r>
          </w:p>
        </w:tc>
      </w:tr>
      <w:tr w:rsidR="00FB54A0" w:rsidRPr="00B72B6D" w14:paraId="62810801" w14:textId="77777777" w:rsidTr="00373089">
        <w:trPr>
          <w:trHeight w:val="1340"/>
        </w:trPr>
        <w:tc>
          <w:tcPr>
            <w:tcW w:w="2335" w:type="dxa"/>
            <w:vAlign w:val="center"/>
          </w:tcPr>
          <w:p w14:paraId="375C97C4" w14:textId="77777777" w:rsidR="00FB54A0" w:rsidRPr="00B72B6D" w:rsidRDefault="00FB54A0" w:rsidP="00396DC7">
            <w:pPr>
              <w:spacing w:before="120" w:after="120"/>
              <w:ind w:left="429" w:right="374"/>
              <w:rPr>
                <w:rFonts w:eastAsia="Calibri" w:cs="Arial"/>
              </w:rPr>
            </w:pPr>
            <w:r w:rsidRPr="00B72B6D">
              <w:rPr>
                <w:rFonts w:eastAsia="Calibri" w:cs="Arial"/>
              </w:rPr>
              <w:t>80–89%</w:t>
            </w:r>
          </w:p>
        </w:tc>
        <w:tc>
          <w:tcPr>
            <w:tcW w:w="1800" w:type="dxa"/>
            <w:vAlign w:val="center"/>
          </w:tcPr>
          <w:p w14:paraId="76371311" w14:textId="77777777" w:rsidR="00FB54A0" w:rsidRPr="00B72B6D" w:rsidRDefault="00FB54A0" w:rsidP="00396DC7">
            <w:pPr>
              <w:spacing w:before="120" w:after="120"/>
              <w:ind w:right="374"/>
              <w:rPr>
                <w:rFonts w:eastAsia="Calibri" w:cs="Arial"/>
              </w:rPr>
            </w:pPr>
            <w:r w:rsidRPr="00B72B6D">
              <w:rPr>
                <w:rFonts w:eastAsia="Calibri" w:cs="Arial"/>
              </w:rPr>
              <w:t>Fully Meets</w:t>
            </w:r>
          </w:p>
        </w:tc>
        <w:tc>
          <w:tcPr>
            <w:tcW w:w="5400" w:type="dxa"/>
            <w:vAlign w:val="center"/>
          </w:tcPr>
          <w:p w14:paraId="39E35D5A" w14:textId="77777777" w:rsidR="00FB54A0" w:rsidRPr="00B72B6D" w:rsidRDefault="00FB54A0" w:rsidP="00396DC7">
            <w:pPr>
              <w:spacing w:before="120" w:after="120"/>
              <w:ind w:right="374"/>
              <w:rPr>
                <w:rFonts w:eastAsia="Calibri" w:cs="Arial"/>
              </w:rPr>
            </w:pPr>
            <w:r w:rsidRPr="00B72B6D">
              <w:rPr>
                <w:rFonts w:eastAsia="Calibri" w:cs="Arial"/>
              </w:rPr>
              <w:t>The response provides sufficient details and supporting evidence that the contractor understands and meets the evaluation factors of the task.</w:t>
            </w:r>
          </w:p>
        </w:tc>
      </w:tr>
      <w:tr w:rsidR="00FB54A0" w:rsidRPr="00B72B6D" w14:paraId="6BC702D4" w14:textId="77777777" w:rsidTr="00373089">
        <w:trPr>
          <w:trHeight w:val="1340"/>
        </w:trPr>
        <w:tc>
          <w:tcPr>
            <w:tcW w:w="2335" w:type="dxa"/>
            <w:vAlign w:val="center"/>
          </w:tcPr>
          <w:p w14:paraId="0B1D050E" w14:textId="77777777" w:rsidR="00FB54A0" w:rsidRPr="00B72B6D" w:rsidRDefault="00FB54A0" w:rsidP="00396DC7">
            <w:pPr>
              <w:spacing w:before="120" w:after="120"/>
              <w:ind w:left="429" w:right="374"/>
              <w:rPr>
                <w:rFonts w:eastAsia="Calibri" w:cs="Arial"/>
              </w:rPr>
            </w:pPr>
            <w:r w:rsidRPr="00B72B6D">
              <w:rPr>
                <w:rFonts w:eastAsia="Calibri" w:cs="Arial"/>
              </w:rPr>
              <w:t>70–79%</w:t>
            </w:r>
          </w:p>
        </w:tc>
        <w:tc>
          <w:tcPr>
            <w:tcW w:w="1800" w:type="dxa"/>
            <w:vAlign w:val="center"/>
          </w:tcPr>
          <w:p w14:paraId="735792C5" w14:textId="77777777" w:rsidR="00FB54A0" w:rsidRPr="00B72B6D" w:rsidRDefault="00FB54A0" w:rsidP="00396DC7">
            <w:pPr>
              <w:spacing w:before="120" w:after="120"/>
              <w:ind w:right="374"/>
              <w:rPr>
                <w:rFonts w:eastAsia="Calibri" w:cs="Arial"/>
              </w:rPr>
            </w:pPr>
            <w:r w:rsidRPr="00B72B6D">
              <w:rPr>
                <w:rFonts w:eastAsia="Calibri" w:cs="Arial"/>
              </w:rPr>
              <w:t>Minimally Meets</w:t>
            </w:r>
          </w:p>
        </w:tc>
        <w:tc>
          <w:tcPr>
            <w:tcW w:w="5400" w:type="dxa"/>
            <w:vAlign w:val="center"/>
          </w:tcPr>
          <w:p w14:paraId="01A6819D" w14:textId="77777777" w:rsidR="00FB54A0" w:rsidRPr="00B72B6D" w:rsidRDefault="00FB54A0" w:rsidP="00396DC7">
            <w:pPr>
              <w:spacing w:before="120" w:after="120"/>
              <w:ind w:right="374"/>
              <w:rPr>
                <w:rFonts w:eastAsia="Calibri" w:cs="Arial"/>
              </w:rPr>
            </w:pPr>
            <w:r w:rsidRPr="00B72B6D">
              <w:rPr>
                <w:rFonts w:eastAsia="Calibri" w:cs="Arial"/>
              </w:rPr>
              <w:t>The response provides acceptable details and supporting evidence that the contractor understands and meets the evaluation factors of the task.</w:t>
            </w:r>
          </w:p>
        </w:tc>
      </w:tr>
      <w:tr w:rsidR="00FB54A0" w:rsidRPr="00B72B6D" w14:paraId="6327B6F7" w14:textId="77777777" w:rsidTr="00373089">
        <w:trPr>
          <w:trHeight w:val="1340"/>
        </w:trPr>
        <w:tc>
          <w:tcPr>
            <w:tcW w:w="2335" w:type="dxa"/>
            <w:vAlign w:val="center"/>
          </w:tcPr>
          <w:p w14:paraId="4CC471F5" w14:textId="77777777" w:rsidR="00FB54A0" w:rsidRPr="00B72B6D" w:rsidRDefault="00FB54A0" w:rsidP="00396DC7">
            <w:pPr>
              <w:spacing w:before="120" w:after="120"/>
              <w:ind w:left="429" w:right="374"/>
              <w:rPr>
                <w:rFonts w:eastAsia="Calibri" w:cs="Arial"/>
              </w:rPr>
            </w:pPr>
            <w:r w:rsidRPr="00B72B6D">
              <w:rPr>
                <w:rFonts w:eastAsia="Calibri" w:cs="Arial"/>
              </w:rPr>
              <w:t>1–69%</w:t>
            </w:r>
          </w:p>
        </w:tc>
        <w:tc>
          <w:tcPr>
            <w:tcW w:w="1800" w:type="dxa"/>
            <w:vAlign w:val="center"/>
          </w:tcPr>
          <w:p w14:paraId="27549B72" w14:textId="77777777" w:rsidR="00FB54A0" w:rsidRPr="00B72B6D" w:rsidRDefault="00FB54A0" w:rsidP="00396DC7">
            <w:pPr>
              <w:spacing w:before="120" w:after="120"/>
              <w:ind w:right="374"/>
              <w:rPr>
                <w:rFonts w:eastAsia="Calibri" w:cs="Arial"/>
              </w:rPr>
            </w:pPr>
            <w:r w:rsidRPr="00B72B6D">
              <w:rPr>
                <w:rFonts w:eastAsia="Calibri" w:cs="Arial"/>
              </w:rPr>
              <w:t>Does Not Sufficiently Meet</w:t>
            </w:r>
          </w:p>
        </w:tc>
        <w:tc>
          <w:tcPr>
            <w:tcW w:w="5400" w:type="dxa"/>
            <w:vAlign w:val="center"/>
          </w:tcPr>
          <w:p w14:paraId="73DC3D47" w14:textId="77777777" w:rsidR="00FB54A0" w:rsidRPr="00B72B6D" w:rsidRDefault="00FB54A0" w:rsidP="00396DC7">
            <w:pPr>
              <w:spacing w:before="120" w:after="120"/>
              <w:ind w:right="374"/>
              <w:rPr>
                <w:rFonts w:eastAsia="Calibri" w:cs="Arial"/>
              </w:rPr>
            </w:pPr>
            <w:r w:rsidRPr="00B72B6D">
              <w:rPr>
                <w:rFonts w:eastAsia="Calibri" w:cs="Arial"/>
              </w:rPr>
              <w:t>The response is inadequate, providing no or limited detail or supporting evidence that the contractor understands the evaluation factors of the task.</w:t>
            </w:r>
          </w:p>
        </w:tc>
      </w:tr>
      <w:tr w:rsidR="00FB54A0" w:rsidRPr="00B72B6D" w14:paraId="05423D9A" w14:textId="77777777" w:rsidTr="00373089">
        <w:trPr>
          <w:trHeight w:val="1025"/>
        </w:trPr>
        <w:tc>
          <w:tcPr>
            <w:tcW w:w="2335" w:type="dxa"/>
            <w:vAlign w:val="center"/>
          </w:tcPr>
          <w:p w14:paraId="05A30A69" w14:textId="77777777" w:rsidR="00FB54A0" w:rsidRPr="00B72B6D" w:rsidRDefault="00FB54A0" w:rsidP="00396DC7">
            <w:pPr>
              <w:spacing w:before="120" w:after="120"/>
              <w:ind w:left="429" w:right="374" w:firstLine="270"/>
              <w:rPr>
                <w:rFonts w:eastAsia="Calibri" w:cs="Arial"/>
              </w:rPr>
            </w:pPr>
            <w:r w:rsidRPr="00B72B6D">
              <w:rPr>
                <w:rFonts w:eastAsia="Calibri" w:cs="Arial"/>
              </w:rPr>
              <w:t>0</w:t>
            </w:r>
          </w:p>
        </w:tc>
        <w:tc>
          <w:tcPr>
            <w:tcW w:w="1800" w:type="dxa"/>
            <w:vAlign w:val="center"/>
          </w:tcPr>
          <w:p w14:paraId="5AD3081A" w14:textId="77777777" w:rsidR="00FB54A0" w:rsidRPr="00B72B6D" w:rsidRDefault="00FB54A0" w:rsidP="00396DC7">
            <w:pPr>
              <w:spacing w:before="120" w:after="120"/>
              <w:ind w:right="374"/>
              <w:rPr>
                <w:rFonts w:eastAsia="Calibri" w:cs="Arial"/>
              </w:rPr>
            </w:pPr>
            <w:r w:rsidRPr="00B72B6D">
              <w:rPr>
                <w:rFonts w:eastAsia="Calibri" w:cs="Arial"/>
              </w:rPr>
              <w:t>Not Addressed</w:t>
            </w:r>
          </w:p>
        </w:tc>
        <w:tc>
          <w:tcPr>
            <w:tcW w:w="5400" w:type="dxa"/>
            <w:vAlign w:val="center"/>
          </w:tcPr>
          <w:p w14:paraId="6CEAC2DB" w14:textId="77777777" w:rsidR="00FB54A0" w:rsidRPr="00B72B6D" w:rsidRDefault="00FB54A0" w:rsidP="00396DC7">
            <w:pPr>
              <w:spacing w:before="120" w:after="120"/>
              <w:ind w:right="374"/>
              <w:rPr>
                <w:rFonts w:eastAsia="Calibri" w:cs="Arial"/>
              </w:rPr>
            </w:pPr>
            <w:r w:rsidRPr="00B72B6D">
              <w:rPr>
                <w:rFonts w:eastAsia="Calibri" w:cs="Arial"/>
              </w:rPr>
              <w:t>The contractor did not provide a response to the evaluation factors of the task.</w:t>
            </w:r>
          </w:p>
        </w:tc>
      </w:tr>
    </w:tbl>
    <w:p w14:paraId="5942021A" w14:textId="77777777" w:rsidR="00FB54A0" w:rsidRPr="00B72B6D" w:rsidRDefault="00FB54A0" w:rsidP="00FB54A0">
      <w:pPr>
        <w:spacing w:after="120"/>
        <w:rPr>
          <w:rFonts w:cs="Arial"/>
          <w:b/>
        </w:rPr>
      </w:pPr>
    </w:p>
    <w:p w14:paraId="54579262" w14:textId="764A1D40" w:rsidR="00FB54A0" w:rsidRPr="00B72B6D" w:rsidRDefault="006D513B">
      <w:pPr>
        <w:spacing w:after="160" w:line="259" w:lineRule="auto"/>
        <w:rPr>
          <w:rFonts w:cs="Arial"/>
          <w:b/>
        </w:rPr>
      </w:pPr>
      <w:r w:rsidRPr="00B72B6D">
        <w:rPr>
          <w:rFonts w:cs="Arial"/>
          <w:b/>
        </w:rPr>
        <w:br w:type="page"/>
      </w:r>
    </w:p>
    <w:p w14:paraId="3E97ABDE" w14:textId="32601718" w:rsidR="00FB54A0" w:rsidRPr="002435D5" w:rsidRDefault="00FB54A0" w:rsidP="002435D5">
      <w:pPr>
        <w:pStyle w:val="Heading4"/>
        <w:spacing w:before="0" w:after="120"/>
        <w:rPr>
          <w:sz w:val="24"/>
        </w:rPr>
      </w:pPr>
      <w:r w:rsidRPr="002435D5">
        <w:rPr>
          <w:sz w:val="24"/>
        </w:rPr>
        <w:lastRenderedPageBreak/>
        <w:t xml:space="preserve">Table </w:t>
      </w:r>
      <w:r w:rsidR="000C0C4B" w:rsidRPr="002435D5">
        <w:rPr>
          <w:sz w:val="24"/>
        </w:rPr>
        <w:t>7</w:t>
      </w:r>
      <w:r w:rsidRPr="002435D5">
        <w:rPr>
          <w:sz w:val="24"/>
        </w:rPr>
        <w:t xml:space="preserve">. Stage Three Technical Scoring </w:t>
      </w:r>
      <w:r w:rsidR="005F6498" w:rsidRPr="002435D5">
        <w:rPr>
          <w:sz w:val="24"/>
        </w:rPr>
        <w:t xml:space="preserve">Evaluation Results by Task </w:t>
      </w:r>
      <w:r w:rsidRPr="002435D5">
        <w:rPr>
          <w:sz w:val="24"/>
        </w:rPr>
        <w:t>for ETS</w:t>
      </w:r>
      <w:r w:rsidR="00F230AD" w:rsidRPr="002435D5">
        <w:rPr>
          <w:sz w:val="24"/>
        </w:rPr>
        <w:t xml:space="preserve"> and NCS Pearson, Inc. </w:t>
      </w:r>
    </w:p>
    <w:tbl>
      <w:tblPr>
        <w:tblStyle w:val="TableGrid17"/>
        <w:tblW w:w="0" w:type="auto"/>
        <w:tblInd w:w="0" w:type="dxa"/>
        <w:tblCellMar>
          <w:left w:w="115" w:type="dxa"/>
          <w:right w:w="115" w:type="dxa"/>
        </w:tblCellMar>
        <w:tblLook w:val="04A0" w:firstRow="1" w:lastRow="0" w:firstColumn="1" w:lastColumn="0" w:noHBand="0" w:noVBand="1"/>
        <w:tblDescription w:val="Table 7. Stage Three Technical Scoring for ETS and NCS Pearson, Inc. "/>
      </w:tblPr>
      <w:tblGrid>
        <w:gridCol w:w="1795"/>
        <w:gridCol w:w="2520"/>
        <w:gridCol w:w="1260"/>
        <w:gridCol w:w="1800"/>
        <w:gridCol w:w="1975"/>
      </w:tblGrid>
      <w:tr w:rsidR="009B5BFB" w:rsidRPr="00B72B6D" w14:paraId="39FDA431" w14:textId="49953708" w:rsidTr="009B5BFB">
        <w:trPr>
          <w:cantSplit/>
          <w:trHeight w:val="683"/>
          <w:tblHeader/>
        </w:trPr>
        <w:tc>
          <w:tcPr>
            <w:tcW w:w="179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BA93D90" w14:textId="77777777" w:rsidR="009B5BFB" w:rsidRPr="00B72B6D" w:rsidRDefault="009B5BFB" w:rsidP="00396DC7">
            <w:pPr>
              <w:spacing w:before="120" w:after="120"/>
              <w:jc w:val="center"/>
              <w:rPr>
                <w:rFonts w:cs="Arial"/>
                <w:b/>
                <w:bCs/>
                <w:color w:val="000000"/>
              </w:rPr>
            </w:pPr>
            <w:r w:rsidRPr="00B72B6D">
              <w:rPr>
                <w:rFonts w:cs="Arial"/>
                <w:b/>
                <w:bCs/>
                <w:color w:val="000000"/>
              </w:rPr>
              <w:t>Task</w:t>
            </w:r>
          </w:p>
        </w:tc>
        <w:tc>
          <w:tcPr>
            <w:tcW w:w="25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6AB95F5" w14:textId="77777777" w:rsidR="009B5BFB" w:rsidRPr="00B72B6D" w:rsidRDefault="009B5BFB" w:rsidP="00396DC7">
            <w:pPr>
              <w:spacing w:before="120" w:after="120"/>
              <w:jc w:val="center"/>
              <w:rPr>
                <w:rFonts w:cs="Arial"/>
                <w:b/>
                <w:bCs/>
                <w:color w:val="000000"/>
              </w:rPr>
            </w:pPr>
            <w:r w:rsidRPr="00B72B6D">
              <w:rPr>
                <w:rFonts w:cs="Arial"/>
                <w:b/>
                <w:bCs/>
                <w:color w:val="000000"/>
              </w:rPr>
              <w:t>Subject</w:t>
            </w:r>
          </w:p>
        </w:tc>
        <w:tc>
          <w:tcPr>
            <w:tcW w:w="126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A486E8" w14:textId="77777777" w:rsidR="009B5BFB" w:rsidRPr="00B72B6D" w:rsidRDefault="009B5BFB" w:rsidP="00396DC7">
            <w:pPr>
              <w:spacing w:before="120" w:after="120"/>
              <w:jc w:val="center"/>
              <w:rPr>
                <w:rFonts w:cs="Arial"/>
                <w:b/>
                <w:bCs/>
                <w:color w:val="000000"/>
              </w:rPr>
            </w:pPr>
            <w:r w:rsidRPr="00B72B6D">
              <w:rPr>
                <w:rFonts w:cs="Arial"/>
                <w:b/>
                <w:bCs/>
                <w:color w:val="000000"/>
              </w:rPr>
              <w:t>Points Possible</w:t>
            </w:r>
          </w:p>
        </w:tc>
        <w:tc>
          <w:tcPr>
            <w:tcW w:w="180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5D8673E" w14:textId="3C0AF4AA" w:rsidR="009B5BFB" w:rsidRPr="00B72B6D" w:rsidRDefault="009B5BFB" w:rsidP="00396DC7">
            <w:pPr>
              <w:spacing w:before="120" w:after="120"/>
              <w:jc w:val="center"/>
              <w:rPr>
                <w:rFonts w:cs="Arial"/>
                <w:b/>
                <w:bCs/>
                <w:color w:val="000000"/>
              </w:rPr>
            </w:pPr>
            <w:r w:rsidRPr="00B72B6D">
              <w:rPr>
                <w:rFonts w:cs="Arial"/>
                <w:b/>
                <w:bCs/>
                <w:color w:val="000000"/>
              </w:rPr>
              <w:t xml:space="preserve">Total Rated Score </w:t>
            </w:r>
            <w:r w:rsidRPr="00B72B6D">
              <w:rPr>
                <w:rFonts w:cs="Arial"/>
                <w:b/>
                <w:color w:val="000000"/>
              </w:rPr>
              <w:t>for ETS</w:t>
            </w:r>
          </w:p>
        </w:tc>
        <w:tc>
          <w:tcPr>
            <w:tcW w:w="1975" w:type="dxa"/>
            <w:tcBorders>
              <w:top w:val="single" w:sz="4" w:space="0" w:color="auto"/>
              <w:left w:val="single" w:sz="4" w:space="0" w:color="auto"/>
              <w:bottom w:val="single" w:sz="4" w:space="0" w:color="auto"/>
              <w:right w:val="single" w:sz="4" w:space="0" w:color="auto"/>
            </w:tcBorders>
            <w:shd w:val="clear" w:color="auto" w:fill="D9E2F3"/>
          </w:tcPr>
          <w:p w14:paraId="7C6D044C" w14:textId="6422DA4E" w:rsidR="009B5BFB" w:rsidRPr="00B72B6D" w:rsidRDefault="009B5BFB" w:rsidP="00396DC7">
            <w:pPr>
              <w:spacing w:before="120" w:after="120"/>
              <w:jc w:val="center"/>
              <w:rPr>
                <w:rFonts w:cs="Arial"/>
                <w:b/>
                <w:bCs/>
                <w:color w:val="000000"/>
              </w:rPr>
            </w:pPr>
            <w:r w:rsidRPr="00B72B6D">
              <w:rPr>
                <w:rFonts w:cs="Arial"/>
                <w:b/>
                <w:color w:val="000000"/>
              </w:rPr>
              <w:t>Total Rated Score for NCS Pearson, Inc.</w:t>
            </w:r>
          </w:p>
        </w:tc>
      </w:tr>
      <w:tr w:rsidR="009B5BFB" w:rsidRPr="00B72B6D" w14:paraId="6FA4A217" w14:textId="31123114" w:rsidTr="006B71B7">
        <w:trPr>
          <w:cantSplit/>
          <w:trHeight w:val="602"/>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5290D081" w14:textId="77777777" w:rsidR="009B5BFB" w:rsidRPr="00B72B6D" w:rsidRDefault="009B5BFB" w:rsidP="00396DC7">
            <w:pPr>
              <w:spacing w:before="120" w:after="120"/>
              <w:ind w:firstLine="238"/>
              <w:rPr>
                <w:rFonts w:cs="Arial"/>
                <w:b/>
                <w:bCs/>
                <w:i/>
                <w:iCs/>
                <w:color w:val="000000"/>
              </w:rPr>
            </w:pPr>
            <w:r w:rsidRPr="00B72B6D">
              <w:rPr>
                <w:rFonts w:cs="Arial"/>
                <w:color w:val="000000"/>
              </w:rPr>
              <w:t>Task 3.1.</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89BC380" w14:textId="77777777" w:rsidR="009B5BFB" w:rsidRPr="00B72B6D" w:rsidRDefault="009B5BFB" w:rsidP="00396DC7">
            <w:pPr>
              <w:spacing w:before="120" w:after="120"/>
              <w:rPr>
                <w:rFonts w:cs="Arial"/>
                <w:b/>
                <w:bCs/>
                <w:i/>
                <w:iCs/>
                <w:color w:val="000000"/>
              </w:rPr>
            </w:pPr>
            <w:r w:rsidRPr="00B72B6D">
              <w:rPr>
                <w:rFonts w:cs="Arial"/>
                <w:color w:val="000000"/>
              </w:rPr>
              <w:t>Comprehensive Plan and Schedule of Deliverables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AA7C8CA" w14:textId="77777777" w:rsidR="009B5BFB" w:rsidRPr="00B72B6D" w:rsidRDefault="009B5BFB" w:rsidP="00396DC7">
            <w:pPr>
              <w:spacing w:before="120" w:after="120"/>
              <w:ind w:right="151"/>
              <w:jc w:val="right"/>
              <w:rPr>
                <w:rFonts w:cs="Arial"/>
                <w:b/>
                <w:bCs/>
                <w:i/>
                <w:iCs/>
                <w:color w:val="000000"/>
              </w:rPr>
            </w:pPr>
            <w:r w:rsidRPr="00B72B6D">
              <w:rPr>
                <w:rFonts w:cs="Arial"/>
                <w:color w:val="000000"/>
              </w:rPr>
              <w:t>100</w:t>
            </w:r>
          </w:p>
        </w:tc>
        <w:tc>
          <w:tcPr>
            <w:tcW w:w="1800" w:type="dxa"/>
            <w:tcBorders>
              <w:top w:val="single" w:sz="4" w:space="0" w:color="auto"/>
              <w:left w:val="single" w:sz="4" w:space="0" w:color="auto"/>
              <w:bottom w:val="single" w:sz="4" w:space="0" w:color="auto"/>
              <w:right w:val="single" w:sz="4" w:space="0" w:color="auto"/>
            </w:tcBorders>
            <w:noWrap/>
            <w:vAlign w:val="center"/>
          </w:tcPr>
          <w:p w14:paraId="01CEA535" w14:textId="77777777" w:rsidR="009B5BFB" w:rsidRPr="00B72B6D" w:rsidRDefault="009B5BFB" w:rsidP="00396DC7">
            <w:pPr>
              <w:spacing w:before="120" w:after="120"/>
              <w:ind w:right="692"/>
              <w:jc w:val="right"/>
              <w:rPr>
                <w:rFonts w:cs="Arial"/>
                <w:color w:val="000000"/>
              </w:rPr>
            </w:pPr>
            <w:r w:rsidRPr="00B72B6D">
              <w:rPr>
                <w:rFonts w:cs="Arial"/>
                <w:color w:val="000000"/>
              </w:rPr>
              <w:t>95</w:t>
            </w:r>
          </w:p>
        </w:tc>
        <w:tc>
          <w:tcPr>
            <w:tcW w:w="1975" w:type="dxa"/>
            <w:tcBorders>
              <w:top w:val="single" w:sz="4" w:space="0" w:color="auto"/>
              <w:left w:val="single" w:sz="4" w:space="0" w:color="auto"/>
              <w:bottom w:val="single" w:sz="4" w:space="0" w:color="auto"/>
              <w:right w:val="single" w:sz="4" w:space="0" w:color="auto"/>
            </w:tcBorders>
            <w:vAlign w:val="center"/>
          </w:tcPr>
          <w:p w14:paraId="21F1A788" w14:textId="5EA4767E" w:rsidR="009B5BFB" w:rsidRPr="00B72B6D" w:rsidRDefault="009B5BFB" w:rsidP="00396DC7">
            <w:pPr>
              <w:spacing w:before="120" w:after="120"/>
              <w:ind w:right="692"/>
              <w:jc w:val="right"/>
              <w:rPr>
                <w:rFonts w:cs="Arial"/>
                <w:color w:val="000000"/>
              </w:rPr>
            </w:pPr>
            <w:r w:rsidRPr="00B72B6D">
              <w:rPr>
                <w:rFonts w:cs="Arial"/>
                <w:color w:val="000000"/>
              </w:rPr>
              <w:t>86</w:t>
            </w:r>
          </w:p>
        </w:tc>
      </w:tr>
      <w:tr w:rsidR="009B5BFB" w:rsidRPr="00B72B6D" w14:paraId="753734EF" w14:textId="349585FB" w:rsidTr="006B71B7">
        <w:trPr>
          <w:cantSplit/>
          <w:trHeight w:val="602"/>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19EB4346" w14:textId="77777777" w:rsidR="009B5BFB" w:rsidRPr="00B72B6D" w:rsidRDefault="009B5BFB" w:rsidP="00396DC7">
            <w:pPr>
              <w:spacing w:before="120" w:after="120"/>
              <w:ind w:firstLine="238"/>
              <w:rPr>
                <w:rFonts w:cs="Arial"/>
                <w:color w:val="000000"/>
              </w:rPr>
            </w:pPr>
            <w:r w:rsidRPr="00B72B6D">
              <w:rPr>
                <w:rFonts w:cs="Arial"/>
                <w:color w:val="000000"/>
              </w:rPr>
              <w:t>Task 3.2.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18082A8" w14:textId="77777777" w:rsidR="009B5BFB" w:rsidRPr="00B72B6D" w:rsidRDefault="009B5BFB" w:rsidP="00396DC7">
            <w:pPr>
              <w:spacing w:before="120" w:after="120"/>
              <w:rPr>
                <w:rFonts w:cs="Arial"/>
                <w:color w:val="000000"/>
              </w:rPr>
            </w:pPr>
            <w:r w:rsidRPr="00B72B6D">
              <w:rPr>
                <w:rFonts w:eastAsia="Calibri" w:cs="Arial"/>
              </w:rPr>
              <w:t>Program Support Services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A216A01" w14:textId="77777777" w:rsidR="009B5BFB" w:rsidRPr="00B72B6D" w:rsidRDefault="009B5BFB" w:rsidP="00396DC7">
            <w:pPr>
              <w:spacing w:before="120" w:after="120"/>
              <w:ind w:right="151"/>
              <w:jc w:val="right"/>
              <w:rPr>
                <w:rFonts w:cs="Arial"/>
                <w:color w:val="000000"/>
              </w:rPr>
            </w:pPr>
            <w:r w:rsidRPr="00B72B6D">
              <w:rPr>
                <w:rFonts w:cs="Arial"/>
                <w:color w:val="000000"/>
              </w:rPr>
              <w:t>100</w:t>
            </w:r>
          </w:p>
        </w:tc>
        <w:tc>
          <w:tcPr>
            <w:tcW w:w="1800" w:type="dxa"/>
            <w:tcBorders>
              <w:top w:val="single" w:sz="4" w:space="0" w:color="auto"/>
              <w:left w:val="single" w:sz="4" w:space="0" w:color="auto"/>
              <w:bottom w:val="single" w:sz="4" w:space="0" w:color="auto"/>
              <w:right w:val="single" w:sz="4" w:space="0" w:color="auto"/>
            </w:tcBorders>
            <w:noWrap/>
            <w:vAlign w:val="center"/>
          </w:tcPr>
          <w:p w14:paraId="1EEC95B0" w14:textId="77777777" w:rsidR="009B5BFB" w:rsidRPr="00B72B6D" w:rsidRDefault="009B5BFB" w:rsidP="00396DC7">
            <w:pPr>
              <w:spacing w:before="120" w:after="120"/>
              <w:ind w:right="692"/>
              <w:jc w:val="right"/>
              <w:rPr>
                <w:rFonts w:cs="Arial"/>
                <w:color w:val="000000"/>
              </w:rPr>
            </w:pPr>
            <w:r w:rsidRPr="00B72B6D">
              <w:rPr>
                <w:rFonts w:cs="Arial"/>
                <w:color w:val="000000"/>
              </w:rPr>
              <w:t>93</w:t>
            </w:r>
          </w:p>
        </w:tc>
        <w:tc>
          <w:tcPr>
            <w:tcW w:w="1975" w:type="dxa"/>
            <w:tcBorders>
              <w:top w:val="single" w:sz="4" w:space="0" w:color="auto"/>
              <w:left w:val="single" w:sz="4" w:space="0" w:color="auto"/>
              <w:bottom w:val="single" w:sz="4" w:space="0" w:color="auto"/>
              <w:right w:val="single" w:sz="4" w:space="0" w:color="auto"/>
            </w:tcBorders>
            <w:vAlign w:val="center"/>
          </w:tcPr>
          <w:p w14:paraId="6741C3C0" w14:textId="666296C3" w:rsidR="009B5BFB" w:rsidRPr="00B72B6D" w:rsidRDefault="009B5BFB" w:rsidP="00396DC7">
            <w:pPr>
              <w:spacing w:before="120" w:after="120"/>
              <w:ind w:right="692"/>
              <w:jc w:val="right"/>
              <w:rPr>
                <w:rFonts w:cs="Arial"/>
                <w:color w:val="000000"/>
              </w:rPr>
            </w:pPr>
            <w:r w:rsidRPr="00B72B6D">
              <w:rPr>
                <w:rFonts w:cs="Arial"/>
                <w:color w:val="000000"/>
              </w:rPr>
              <w:t>77</w:t>
            </w:r>
          </w:p>
        </w:tc>
      </w:tr>
      <w:tr w:rsidR="009B5BFB" w:rsidRPr="00B72B6D" w14:paraId="741977AF" w14:textId="27AEF829" w:rsidTr="006B71B7">
        <w:trPr>
          <w:cantSplit/>
          <w:trHeight w:val="602"/>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61F6B746" w14:textId="77777777" w:rsidR="009B5BFB" w:rsidRPr="00B72B6D" w:rsidRDefault="009B5BFB" w:rsidP="00396DC7">
            <w:pPr>
              <w:spacing w:before="120" w:after="120"/>
              <w:ind w:firstLine="238"/>
              <w:rPr>
                <w:rFonts w:cs="Arial"/>
                <w:color w:val="000000"/>
              </w:rPr>
            </w:pPr>
            <w:r w:rsidRPr="00B72B6D">
              <w:rPr>
                <w:rFonts w:cs="Arial"/>
                <w:color w:val="000000"/>
              </w:rPr>
              <w:t xml:space="preserve">Task 3.3.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0E1DB69" w14:textId="77777777" w:rsidR="009B5BFB" w:rsidRPr="00B72B6D" w:rsidRDefault="009B5BFB" w:rsidP="00396DC7">
            <w:pPr>
              <w:spacing w:before="120" w:after="120"/>
              <w:rPr>
                <w:rFonts w:cs="Arial"/>
                <w:color w:val="000000"/>
              </w:rPr>
            </w:pPr>
            <w:r w:rsidRPr="00B72B6D">
              <w:rPr>
                <w:rFonts w:eastAsia="Calibri" w:cs="Arial"/>
              </w:rPr>
              <w:t>Technology Services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3AB22F7" w14:textId="77777777" w:rsidR="009B5BFB" w:rsidRPr="00B72B6D" w:rsidRDefault="009B5BFB" w:rsidP="00396DC7">
            <w:pPr>
              <w:spacing w:before="120" w:after="120"/>
              <w:ind w:right="151"/>
              <w:jc w:val="right"/>
              <w:rPr>
                <w:rFonts w:cs="Arial"/>
                <w:color w:val="000000"/>
              </w:rPr>
            </w:pPr>
            <w:r w:rsidRPr="00B72B6D">
              <w:rPr>
                <w:rFonts w:cs="Arial"/>
                <w:color w:val="000000"/>
              </w:rPr>
              <w:t>400</w:t>
            </w:r>
          </w:p>
        </w:tc>
        <w:tc>
          <w:tcPr>
            <w:tcW w:w="1800" w:type="dxa"/>
            <w:tcBorders>
              <w:top w:val="single" w:sz="4" w:space="0" w:color="auto"/>
              <w:left w:val="single" w:sz="4" w:space="0" w:color="auto"/>
              <w:bottom w:val="single" w:sz="4" w:space="0" w:color="auto"/>
              <w:right w:val="single" w:sz="4" w:space="0" w:color="auto"/>
            </w:tcBorders>
            <w:noWrap/>
            <w:vAlign w:val="center"/>
          </w:tcPr>
          <w:p w14:paraId="57690CB6" w14:textId="77777777" w:rsidR="009B5BFB" w:rsidRPr="00B72B6D" w:rsidRDefault="009B5BFB" w:rsidP="00396DC7">
            <w:pPr>
              <w:spacing w:before="120" w:after="120"/>
              <w:ind w:right="692"/>
              <w:jc w:val="right"/>
              <w:rPr>
                <w:rFonts w:cs="Arial"/>
                <w:color w:val="000000"/>
              </w:rPr>
            </w:pPr>
            <w:r w:rsidRPr="00B72B6D">
              <w:rPr>
                <w:rFonts w:cs="Arial"/>
                <w:color w:val="000000"/>
              </w:rPr>
              <w:t>378</w:t>
            </w:r>
          </w:p>
        </w:tc>
        <w:tc>
          <w:tcPr>
            <w:tcW w:w="1975" w:type="dxa"/>
            <w:tcBorders>
              <w:top w:val="single" w:sz="4" w:space="0" w:color="auto"/>
              <w:left w:val="single" w:sz="4" w:space="0" w:color="auto"/>
              <w:bottom w:val="single" w:sz="4" w:space="0" w:color="auto"/>
              <w:right w:val="single" w:sz="4" w:space="0" w:color="auto"/>
            </w:tcBorders>
            <w:vAlign w:val="center"/>
          </w:tcPr>
          <w:p w14:paraId="7E73118F" w14:textId="6F3EB29E" w:rsidR="009B5BFB" w:rsidRPr="00B72B6D" w:rsidRDefault="009B5BFB" w:rsidP="00396DC7">
            <w:pPr>
              <w:spacing w:before="120" w:after="120"/>
              <w:ind w:right="692"/>
              <w:jc w:val="right"/>
              <w:rPr>
                <w:rFonts w:cs="Arial"/>
                <w:color w:val="000000"/>
              </w:rPr>
            </w:pPr>
            <w:r w:rsidRPr="00B72B6D">
              <w:rPr>
                <w:rFonts w:cs="Arial"/>
                <w:color w:val="000000"/>
              </w:rPr>
              <w:t>353</w:t>
            </w:r>
          </w:p>
        </w:tc>
      </w:tr>
      <w:tr w:rsidR="009B5BFB" w:rsidRPr="00B72B6D" w14:paraId="6A090D6E" w14:textId="6194CF26"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10115F0D" w14:textId="77777777" w:rsidR="009B5BFB" w:rsidRPr="00B72B6D" w:rsidRDefault="009B5BFB" w:rsidP="00396DC7">
            <w:pPr>
              <w:spacing w:before="120" w:after="120"/>
              <w:ind w:firstLine="238"/>
              <w:rPr>
                <w:rFonts w:cs="Arial"/>
                <w:i/>
                <w:iCs/>
                <w:color w:val="000000"/>
              </w:rPr>
            </w:pPr>
            <w:r w:rsidRPr="00B72B6D">
              <w:rPr>
                <w:rFonts w:cs="Arial"/>
                <w:color w:val="000000"/>
              </w:rPr>
              <w:t xml:space="preserve">Task 3.4.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5782D8C" w14:textId="77777777" w:rsidR="009B5BFB" w:rsidRPr="00B72B6D" w:rsidRDefault="009B5BFB" w:rsidP="00396DC7">
            <w:pPr>
              <w:spacing w:before="120" w:after="120"/>
              <w:rPr>
                <w:rFonts w:cs="Arial"/>
                <w:i/>
                <w:iCs/>
                <w:color w:val="000000"/>
              </w:rPr>
            </w:pPr>
            <w:r w:rsidRPr="00B72B6D">
              <w:rPr>
                <w:rFonts w:eastAsia="Calibri" w:cs="Arial"/>
              </w:rPr>
              <w:t>Test Security</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7813B2" w14:textId="77777777" w:rsidR="009B5BFB" w:rsidRPr="00B72B6D" w:rsidRDefault="009B5BFB" w:rsidP="00396DC7">
            <w:pPr>
              <w:spacing w:before="120" w:after="120"/>
              <w:ind w:right="151"/>
              <w:jc w:val="right"/>
              <w:rPr>
                <w:rFonts w:eastAsia="Calibri" w:cs="Arial"/>
                <w:i/>
                <w:iCs/>
                <w:color w:val="000000"/>
              </w:rPr>
            </w:pPr>
            <w:r w:rsidRPr="00B72B6D">
              <w:rPr>
                <w:rFonts w:cs="Arial"/>
                <w:color w:val="000000"/>
              </w:rPr>
              <w:t>100</w:t>
            </w:r>
          </w:p>
        </w:tc>
        <w:tc>
          <w:tcPr>
            <w:tcW w:w="1800" w:type="dxa"/>
            <w:tcBorders>
              <w:top w:val="single" w:sz="4" w:space="0" w:color="auto"/>
              <w:left w:val="single" w:sz="4" w:space="0" w:color="auto"/>
              <w:bottom w:val="single" w:sz="4" w:space="0" w:color="auto"/>
              <w:right w:val="single" w:sz="4" w:space="0" w:color="auto"/>
            </w:tcBorders>
            <w:noWrap/>
            <w:vAlign w:val="center"/>
          </w:tcPr>
          <w:p w14:paraId="0F988A94" w14:textId="77777777" w:rsidR="009B5BFB" w:rsidRPr="00B72B6D" w:rsidRDefault="009B5BFB" w:rsidP="00396DC7">
            <w:pPr>
              <w:spacing w:before="120" w:after="120"/>
              <w:ind w:right="692"/>
              <w:jc w:val="right"/>
              <w:rPr>
                <w:rFonts w:cs="Arial"/>
                <w:color w:val="000000"/>
              </w:rPr>
            </w:pPr>
            <w:r w:rsidRPr="00B72B6D">
              <w:rPr>
                <w:rFonts w:cs="Arial"/>
                <w:color w:val="000000"/>
              </w:rPr>
              <w:t>97</w:t>
            </w:r>
          </w:p>
        </w:tc>
        <w:tc>
          <w:tcPr>
            <w:tcW w:w="1975" w:type="dxa"/>
            <w:tcBorders>
              <w:top w:val="single" w:sz="4" w:space="0" w:color="auto"/>
              <w:left w:val="single" w:sz="4" w:space="0" w:color="auto"/>
              <w:bottom w:val="single" w:sz="4" w:space="0" w:color="auto"/>
              <w:right w:val="single" w:sz="4" w:space="0" w:color="auto"/>
            </w:tcBorders>
            <w:vAlign w:val="center"/>
          </w:tcPr>
          <w:p w14:paraId="24DBDF9D" w14:textId="53575A4C" w:rsidR="009B5BFB" w:rsidRPr="00B72B6D" w:rsidRDefault="009B5BFB" w:rsidP="00396DC7">
            <w:pPr>
              <w:spacing w:before="120" w:after="120"/>
              <w:ind w:right="692"/>
              <w:jc w:val="right"/>
              <w:rPr>
                <w:rFonts w:cs="Arial"/>
                <w:color w:val="000000"/>
              </w:rPr>
            </w:pPr>
            <w:r w:rsidRPr="00B72B6D">
              <w:rPr>
                <w:rFonts w:cs="Arial"/>
                <w:color w:val="000000"/>
              </w:rPr>
              <w:t>87</w:t>
            </w:r>
          </w:p>
        </w:tc>
      </w:tr>
      <w:tr w:rsidR="009B5BFB" w:rsidRPr="00B72B6D" w14:paraId="7CD65270" w14:textId="4491B60A"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7855219B" w14:textId="77777777" w:rsidR="009B5BFB" w:rsidRPr="00B72B6D" w:rsidRDefault="009B5BFB" w:rsidP="00396DC7">
            <w:pPr>
              <w:spacing w:before="120" w:after="120"/>
              <w:ind w:firstLine="238"/>
              <w:rPr>
                <w:rFonts w:cs="Arial"/>
                <w:color w:val="000000"/>
              </w:rPr>
            </w:pPr>
            <w:r w:rsidRPr="00B72B6D">
              <w:rPr>
                <w:rFonts w:cs="Arial"/>
                <w:color w:val="000000"/>
              </w:rPr>
              <w:t xml:space="preserve">Task 3.5.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F71FAE" w14:textId="77777777" w:rsidR="009B5BFB" w:rsidRPr="00B72B6D" w:rsidRDefault="009B5BFB" w:rsidP="00396DC7">
            <w:pPr>
              <w:spacing w:before="120" w:after="120"/>
              <w:rPr>
                <w:rFonts w:cs="Arial"/>
                <w:color w:val="000000"/>
              </w:rPr>
            </w:pPr>
            <w:r w:rsidRPr="00B72B6D">
              <w:rPr>
                <w:rFonts w:eastAsia="Calibri" w:cs="Arial"/>
              </w:rPr>
              <w:t>Accessibility and Accommodations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7875776" w14:textId="77777777" w:rsidR="009B5BFB" w:rsidRPr="00B72B6D" w:rsidRDefault="009B5BFB" w:rsidP="00396DC7">
            <w:pPr>
              <w:spacing w:before="120" w:after="120"/>
              <w:ind w:right="151"/>
              <w:jc w:val="right"/>
              <w:rPr>
                <w:rFonts w:cs="Arial"/>
                <w:color w:val="000000"/>
              </w:rPr>
            </w:pPr>
            <w:r w:rsidRPr="00B72B6D">
              <w:rPr>
                <w:rFonts w:cs="Arial"/>
                <w:color w:val="000000"/>
              </w:rPr>
              <w:t>100</w:t>
            </w:r>
          </w:p>
        </w:tc>
        <w:tc>
          <w:tcPr>
            <w:tcW w:w="1800" w:type="dxa"/>
            <w:tcBorders>
              <w:top w:val="single" w:sz="4" w:space="0" w:color="auto"/>
              <w:left w:val="single" w:sz="4" w:space="0" w:color="auto"/>
              <w:bottom w:val="single" w:sz="4" w:space="0" w:color="auto"/>
              <w:right w:val="single" w:sz="4" w:space="0" w:color="auto"/>
            </w:tcBorders>
            <w:noWrap/>
            <w:vAlign w:val="center"/>
          </w:tcPr>
          <w:p w14:paraId="2E333072" w14:textId="77777777" w:rsidR="009B5BFB" w:rsidRPr="00B72B6D" w:rsidRDefault="009B5BFB" w:rsidP="00396DC7">
            <w:pPr>
              <w:spacing w:before="120" w:after="120"/>
              <w:ind w:right="692"/>
              <w:jc w:val="right"/>
              <w:rPr>
                <w:rFonts w:eastAsia="Calibri" w:cs="Arial"/>
              </w:rPr>
            </w:pPr>
            <w:r w:rsidRPr="00B72B6D">
              <w:rPr>
                <w:rFonts w:eastAsia="Calibri" w:cs="Arial"/>
              </w:rPr>
              <w:t>96</w:t>
            </w:r>
          </w:p>
        </w:tc>
        <w:tc>
          <w:tcPr>
            <w:tcW w:w="1975" w:type="dxa"/>
            <w:tcBorders>
              <w:top w:val="single" w:sz="4" w:space="0" w:color="auto"/>
              <w:left w:val="single" w:sz="4" w:space="0" w:color="auto"/>
              <w:bottom w:val="single" w:sz="4" w:space="0" w:color="auto"/>
              <w:right w:val="single" w:sz="4" w:space="0" w:color="auto"/>
            </w:tcBorders>
            <w:vAlign w:val="center"/>
          </w:tcPr>
          <w:p w14:paraId="250180C4" w14:textId="592FFC09" w:rsidR="009B5BFB" w:rsidRPr="00B72B6D" w:rsidRDefault="009B5BFB" w:rsidP="00396DC7">
            <w:pPr>
              <w:spacing w:before="120" w:after="120"/>
              <w:ind w:right="692"/>
              <w:jc w:val="right"/>
              <w:rPr>
                <w:rFonts w:eastAsia="Calibri" w:cs="Arial"/>
              </w:rPr>
            </w:pPr>
            <w:r w:rsidRPr="00B72B6D">
              <w:rPr>
                <w:rFonts w:eastAsia="Calibri" w:cs="Arial"/>
              </w:rPr>
              <w:t>83</w:t>
            </w:r>
          </w:p>
        </w:tc>
      </w:tr>
      <w:tr w:rsidR="009B5BFB" w:rsidRPr="00B72B6D" w14:paraId="43F17F62" w14:textId="5A523B60"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45258866" w14:textId="77777777" w:rsidR="009B5BFB" w:rsidRPr="00B72B6D" w:rsidRDefault="009B5BFB" w:rsidP="00396DC7">
            <w:pPr>
              <w:spacing w:before="120" w:after="120"/>
              <w:ind w:firstLine="238"/>
              <w:rPr>
                <w:rFonts w:cs="Arial"/>
                <w:i/>
                <w:iCs/>
                <w:color w:val="000000"/>
              </w:rPr>
            </w:pPr>
            <w:r w:rsidRPr="00B72B6D">
              <w:rPr>
                <w:rFonts w:cs="Arial"/>
                <w:color w:val="000000"/>
              </w:rPr>
              <w:t>Task 3.6.</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EE98AE" w14:textId="77777777" w:rsidR="009B5BFB" w:rsidRPr="00B72B6D" w:rsidRDefault="009B5BFB" w:rsidP="00396DC7">
            <w:pPr>
              <w:spacing w:before="120" w:after="120"/>
              <w:rPr>
                <w:rFonts w:cs="Arial"/>
                <w:i/>
                <w:iCs/>
                <w:color w:val="000000"/>
              </w:rPr>
            </w:pPr>
            <w:r w:rsidRPr="00B72B6D">
              <w:rPr>
                <w:rFonts w:eastAsia="Calibri" w:cs="Arial"/>
              </w:rPr>
              <w:t>Assessment Development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642D12" w14:textId="77777777" w:rsidR="009B5BFB" w:rsidRPr="00B72B6D" w:rsidRDefault="009B5BFB" w:rsidP="00396DC7">
            <w:pPr>
              <w:spacing w:before="120" w:after="120"/>
              <w:ind w:right="151"/>
              <w:jc w:val="right"/>
              <w:rPr>
                <w:rFonts w:eastAsia="Calibri" w:cs="Arial"/>
                <w:i/>
                <w:iCs/>
                <w:color w:val="000000"/>
              </w:rPr>
            </w:pPr>
            <w:r w:rsidRPr="00B72B6D">
              <w:rPr>
                <w:rFonts w:cs="Arial"/>
                <w:color w:val="000000"/>
              </w:rPr>
              <w:t>500</w:t>
            </w:r>
          </w:p>
        </w:tc>
        <w:tc>
          <w:tcPr>
            <w:tcW w:w="1800" w:type="dxa"/>
            <w:tcBorders>
              <w:top w:val="single" w:sz="4" w:space="0" w:color="auto"/>
              <w:left w:val="single" w:sz="4" w:space="0" w:color="auto"/>
              <w:bottom w:val="single" w:sz="4" w:space="0" w:color="auto"/>
              <w:right w:val="single" w:sz="4" w:space="0" w:color="auto"/>
            </w:tcBorders>
            <w:noWrap/>
            <w:vAlign w:val="center"/>
          </w:tcPr>
          <w:p w14:paraId="6D21C78E" w14:textId="77777777" w:rsidR="009B5BFB" w:rsidRPr="00B72B6D" w:rsidRDefault="009B5BFB" w:rsidP="00396DC7">
            <w:pPr>
              <w:spacing w:before="120" w:after="120"/>
              <w:ind w:right="692"/>
              <w:jc w:val="right"/>
              <w:rPr>
                <w:rFonts w:cs="Arial"/>
                <w:color w:val="000000"/>
              </w:rPr>
            </w:pPr>
            <w:r w:rsidRPr="00B72B6D">
              <w:rPr>
                <w:rFonts w:cs="Arial"/>
                <w:color w:val="000000"/>
              </w:rPr>
              <w:t>480</w:t>
            </w:r>
          </w:p>
        </w:tc>
        <w:tc>
          <w:tcPr>
            <w:tcW w:w="1975" w:type="dxa"/>
            <w:tcBorders>
              <w:top w:val="single" w:sz="4" w:space="0" w:color="auto"/>
              <w:left w:val="single" w:sz="4" w:space="0" w:color="auto"/>
              <w:bottom w:val="single" w:sz="4" w:space="0" w:color="auto"/>
              <w:right w:val="single" w:sz="4" w:space="0" w:color="auto"/>
            </w:tcBorders>
            <w:vAlign w:val="center"/>
          </w:tcPr>
          <w:p w14:paraId="1FBCC844" w14:textId="20E4CABA" w:rsidR="009B5BFB" w:rsidRPr="00B72B6D" w:rsidRDefault="009B5BFB" w:rsidP="00396DC7">
            <w:pPr>
              <w:spacing w:before="120" w:after="120"/>
              <w:ind w:right="692"/>
              <w:jc w:val="right"/>
              <w:rPr>
                <w:rFonts w:cs="Arial"/>
                <w:color w:val="000000"/>
              </w:rPr>
            </w:pPr>
            <w:r w:rsidRPr="00B72B6D">
              <w:rPr>
                <w:rFonts w:cs="Arial"/>
                <w:color w:val="000000"/>
              </w:rPr>
              <w:t>424</w:t>
            </w:r>
          </w:p>
        </w:tc>
      </w:tr>
      <w:tr w:rsidR="009B5BFB" w:rsidRPr="00B72B6D" w14:paraId="7BA6611D" w14:textId="5F6BEB6D"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22B0A28D" w14:textId="77777777" w:rsidR="009B5BFB" w:rsidRPr="00B72B6D" w:rsidRDefault="009B5BFB" w:rsidP="00396DC7">
            <w:pPr>
              <w:spacing w:before="120" w:after="120"/>
              <w:ind w:firstLine="238"/>
              <w:rPr>
                <w:rFonts w:cs="Arial"/>
                <w:color w:val="000000"/>
              </w:rPr>
            </w:pPr>
            <w:r w:rsidRPr="00B72B6D">
              <w:rPr>
                <w:rFonts w:cs="Arial"/>
                <w:color w:val="000000"/>
              </w:rPr>
              <w:t>Task 3.7.</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D58CDCB" w14:textId="77777777" w:rsidR="009B5BFB" w:rsidRPr="00B72B6D" w:rsidRDefault="009B5BFB" w:rsidP="00396DC7">
            <w:pPr>
              <w:spacing w:before="120" w:after="120"/>
              <w:rPr>
                <w:rFonts w:cs="Arial"/>
                <w:color w:val="000000"/>
              </w:rPr>
            </w:pPr>
            <w:r w:rsidRPr="00B72B6D">
              <w:rPr>
                <w:rFonts w:eastAsia="Calibri" w:cs="Arial"/>
              </w:rPr>
              <w:t xml:space="preserve">Test Administration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DBC508" w14:textId="77777777" w:rsidR="009B5BFB" w:rsidRPr="00B72B6D" w:rsidRDefault="009B5BFB" w:rsidP="00396DC7">
            <w:pPr>
              <w:spacing w:before="120" w:after="120"/>
              <w:ind w:right="151"/>
              <w:jc w:val="right"/>
              <w:rPr>
                <w:rFonts w:cs="Arial"/>
                <w:color w:val="000000"/>
              </w:rPr>
            </w:pPr>
            <w:r w:rsidRPr="00B72B6D">
              <w:rPr>
                <w:rFonts w:cs="Arial"/>
                <w:color w:val="000000"/>
              </w:rPr>
              <w:t>500</w:t>
            </w:r>
          </w:p>
        </w:tc>
        <w:tc>
          <w:tcPr>
            <w:tcW w:w="1800" w:type="dxa"/>
            <w:tcBorders>
              <w:top w:val="single" w:sz="4" w:space="0" w:color="auto"/>
              <w:left w:val="single" w:sz="4" w:space="0" w:color="auto"/>
              <w:bottom w:val="single" w:sz="4" w:space="0" w:color="auto"/>
              <w:right w:val="single" w:sz="4" w:space="0" w:color="auto"/>
            </w:tcBorders>
            <w:noWrap/>
            <w:vAlign w:val="center"/>
          </w:tcPr>
          <w:p w14:paraId="4422871E" w14:textId="77777777" w:rsidR="009B5BFB" w:rsidRPr="00B72B6D" w:rsidRDefault="009B5BFB" w:rsidP="00396DC7">
            <w:pPr>
              <w:spacing w:before="120" w:after="120"/>
              <w:ind w:right="692"/>
              <w:jc w:val="right"/>
              <w:rPr>
                <w:rFonts w:cs="Arial"/>
                <w:color w:val="000000"/>
              </w:rPr>
            </w:pPr>
            <w:r w:rsidRPr="00B72B6D">
              <w:rPr>
                <w:rFonts w:cs="Arial"/>
                <w:color w:val="000000"/>
              </w:rPr>
              <w:t>484</w:t>
            </w:r>
          </w:p>
        </w:tc>
        <w:tc>
          <w:tcPr>
            <w:tcW w:w="1975" w:type="dxa"/>
            <w:tcBorders>
              <w:top w:val="single" w:sz="4" w:space="0" w:color="auto"/>
              <w:left w:val="single" w:sz="4" w:space="0" w:color="auto"/>
              <w:bottom w:val="single" w:sz="4" w:space="0" w:color="auto"/>
              <w:right w:val="single" w:sz="4" w:space="0" w:color="auto"/>
            </w:tcBorders>
            <w:vAlign w:val="center"/>
          </w:tcPr>
          <w:p w14:paraId="4A33A7B0" w14:textId="0441F2CD" w:rsidR="009B5BFB" w:rsidRPr="00B72B6D" w:rsidRDefault="009B5BFB" w:rsidP="00396DC7">
            <w:pPr>
              <w:spacing w:before="120" w:after="120"/>
              <w:ind w:right="692"/>
              <w:jc w:val="right"/>
              <w:rPr>
                <w:rFonts w:cs="Arial"/>
                <w:color w:val="000000"/>
              </w:rPr>
            </w:pPr>
            <w:r w:rsidRPr="00B72B6D">
              <w:rPr>
                <w:rFonts w:cs="Arial"/>
                <w:color w:val="000000"/>
              </w:rPr>
              <w:t>403</w:t>
            </w:r>
          </w:p>
        </w:tc>
      </w:tr>
      <w:tr w:rsidR="009B5BFB" w:rsidRPr="00B72B6D" w14:paraId="629AD7F0" w14:textId="0E3C1820"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38E896DD" w14:textId="77777777" w:rsidR="009B5BFB" w:rsidRPr="00B72B6D" w:rsidRDefault="009B5BFB" w:rsidP="00396DC7">
            <w:pPr>
              <w:spacing w:before="120" w:after="120"/>
              <w:ind w:firstLine="238"/>
              <w:rPr>
                <w:rFonts w:cs="Arial"/>
                <w:color w:val="000000"/>
              </w:rPr>
            </w:pPr>
            <w:r w:rsidRPr="00B72B6D">
              <w:rPr>
                <w:rFonts w:cs="Arial"/>
                <w:color w:val="000000"/>
              </w:rPr>
              <w:t>Task 3.8.</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DF0638B" w14:textId="77777777" w:rsidR="009B5BFB" w:rsidRPr="00B72B6D" w:rsidRDefault="009B5BFB" w:rsidP="00396DC7">
            <w:pPr>
              <w:spacing w:before="120" w:after="120"/>
              <w:rPr>
                <w:rFonts w:cs="Arial"/>
                <w:color w:val="000000"/>
              </w:rPr>
            </w:pPr>
            <w:r w:rsidRPr="00B72B6D">
              <w:rPr>
                <w:rFonts w:eastAsia="Calibri" w:cs="Arial"/>
              </w:rPr>
              <w:t>Scoring and Analysis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A279B5F" w14:textId="77777777" w:rsidR="009B5BFB" w:rsidRPr="00B72B6D" w:rsidRDefault="009B5BFB" w:rsidP="00396DC7">
            <w:pPr>
              <w:spacing w:before="120" w:after="120"/>
              <w:ind w:right="151"/>
              <w:jc w:val="right"/>
              <w:rPr>
                <w:rFonts w:cs="Arial"/>
                <w:color w:val="000000"/>
              </w:rPr>
            </w:pPr>
            <w:r w:rsidRPr="00B72B6D">
              <w:rPr>
                <w:rFonts w:cs="Arial"/>
                <w:color w:val="000000"/>
              </w:rPr>
              <w:t>400</w:t>
            </w:r>
          </w:p>
        </w:tc>
        <w:tc>
          <w:tcPr>
            <w:tcW w:w="1800" w:type="dxa"/>
            <w:tcBorders>
              <w:top w:val="single" w:sz="4" w:space="0" w:color="auto"/>
              <w:left w:val="single" w:sz="4" w:space="0" w:color="auto"/>
              <w:bottom w:val="single" w:sz="4" w:space="0" w:color="auto"/>
              <w:right w:val="single" w:sz="4" w:space="0" w:color="auto"/>
            </w:tcBorders>
            <w:noWrap/>
            <w:vAlign w:val="center"/>
          </w:tcPr>
          <w:p w14:paraId="7C80571C" w14:textId="77777777" w:rsidR="009B5BFB" w:rsidRPr="00B72B6D" w:rsidRDefault="009B5BFB" w:rsidP="00396DC7">
            <w:pPr>
              <w:spacing w:before="120" w:after="120"/>
              <w:ind w:right="692"/>
              <w:jc w:val="right"/>
              <w:rPr>
                <w:rFonts w:cs="Arial"/>
                <w:color w:val="000000"/>
              </w:rPr>
            </w:pPr>
            <w:r w:rsidRPr="00B72B6D">
              <w:rPr>
                <w:rFonts w:cs="Arial"/>
                <w:color w:val="000000"/>
              </w:rPr>
              <w:t>379</w:t>
            </w:r>
          </w:p>
        </w:tc>
        <w:tc>
          <w:tcPr>
            <w:tcW w:w="1975" w:type="dxa"/>
            <w:tcBorders>
              <w:top w:val="single" w:sz="4" w:space="0" w:color="auto"/>
              <w:left w:val="single" w:sz="4" w:space="0" w:color="auto"/>
              <w:bottom w:val="single" w:sz="4" w:space="0" w:color="auto"/>
              <w:right w:val="single" w:sz="4" w:space="0" w:color="auto"/>
            </w:tcBorders>
            <w:vAlign w:val="center"/>
          </w:tcPr>
          <w:p w14:paraId="32762B7D" w14:textId="710C62E9" w:rsidR="009B5BFB" w:rsidRPr="00B72B6D" w:rsidRDefault="009B5BFB" w:rsidP="00396DC7">
            <w:pPr>
              <w:spacing w:before="120" w:after="120"/>
              <w:ind w:right="692"/>
              <w:jc w:val="right"/>
              <w:rPr>
                <w:rFonts w:cs="Arial"/>
                <w:color w:val="000000"/>
              </w:rPr>
            </w:pPr>
            <w:r w:rsidRPr="00B72B6D">
              <w:rPr>
                <w:rFonts w:cs="Arial"/>
                <w:color w:val="000000"/>
              </w:rPr>
              <w:t>336</w:t>
            </w:r>
          </w:p>
        </w:tc>
      </w:tr>
      <w:tr w:rsidR="009B5BFB" w:rsidRPr="00B72B6D" w14:paraId="2D1170B0" w14:textId="50C20FD4"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695AFB4F" w14:textId="77777777" w:rsidR="009B5BFB" w:rsidRPr="00B72B6D" w:rsidRDefault="009B5BFB" w:rsidP="00396DC7">
            <w:pPr>
              <w:spacing w:before="120" w:after="120"/>
              <w:ind w:firstLine="238"/>
              <w:rPr>
                <w:rFonts w:cs="Arial"/>
                <w:color w:val="000000"/>
              </w:rPr>
            </w:pPr>
            <w:r w:rsidRPr="00B72B6D">
              <w:rPr>
                <w:rFonts w:cs="Arial"/>
                <w:color w:val="000000"/>
              </w:rPr>
              <w:t xml:space="preserve">Task 3.9.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267FFD5" w14:textId="77777777" w:rsidR="009B5BFB" w:rsidRPr="00B72B6D" w:rsidRDefault="009B5BFB" w:rsidP="00396DC7">
            <w:pPr>
              <w:spacing w:before="120" w:after="120"/>
              <w:rPr>
                <w:rFonts w:cs="Arial"/>
                <w:color w:val="000000"/>
              </w:rPr>
            </w:pPr>
            <w:r w:rsidRPr="00B72B6D">
              <w:rPr>
                <w:rFonts w:eastAsia="Calibri" w:cs="Arial"/>
              </w:rPr>
              <w:t>Reporting Results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ACE6B11" w14:textId="77777777" w:rsidR="009B5BFB" w:rsidRPr="00B72B6D" w:rsidRDefault="009B5BFB" w:rsidP="00396DC7">
            <w:pPr>
              <w:spacing w:before="120" w:after="120"/>
              <w:ind w:right="151"/>
              <w:jc w:val="right"/>
              <w:rPr>
                <w:rFonts w:cs="Arial"/>
                <w:color w:val="000000"/>
              </w:rPr>
            </w:pPr>
            <w:r w:rsidRPr="00B72B6D">
              <w:rPr>
                <w:rFonts w:cs="Arial"/>
                <w:color w:val="000000"/>
              </w:rPr>
              <w:t>400</w:t>
            </w:r>
          </w:p>
        </w:tc>
        <w:tc>
          <w:tcPr>
            <w:tcW w:w="1800" w:type="dxa"/>
            <w:tcBorders>
              <w:top w:val="single" w:sz="4" w:space="0" w:color="auto"/>
              <w:left w:val="single" w:sz="4" w:space="0" w:color="auto"/>
              <w:bottom w:val="single" w:sz="4" w:space="0" w:color="auto"/>
              <w:right w:val="single" w:sz="4" w:space="0" w:color="auto"/>
            </w:tcBorders>
            <w:noWrap/>
            <w:vAlign w:val="center"/>
          </w:tcPr>
          <w:p w14:paraId="6BEE3919" w14:textId="77777777" w:rsidR="009B5BFB" w:rsidRPr="00B72B6D" w:rsidRDefault="009B5BFB" w:rsidP="00396DC7">
            <w:pPr>
              <w:spacing w:before="120" w:after="120"/>
              <w:ind w:right="692"/>
              <w:jc w:val="right"/>
              <w:rPr>
                <w:rFonts w:cs="Arial"/>
                <w:color w:val="000000"/>
              </w:rPr>
            </w:pPr>
            <w:r w:rsidRPr="00B72B6D">
              <w:rPr>
                <w:rFonts w:cs="Arial"/>
                <w:color w:val="000000"/>
              </w:rPr>
              <w:t>391</w:t>
            </w:r>
          </w:p>
        </w:tc>
        <w:tc>
          <w:tcPr>
            <w:tcW w:w="1975" w:type="dxa"/>
            <w:tcBorders>
              <w:top w:val="single" w:sz="4" w:space="0" w:color="auto"/>
              <w:left w:val="single" w:sz="4" w:space="0" w:color="auto"/>
              <w:bottom w:val="single" w:sz="4" w:space="0" w:color="auto"/>
              <w:right w:val="single" w:sz="4" w:space="0" w:color="auto"/>
            </w:tcBorders>
            <w:vAlign w:val="center"/>
          </w:tcPr>
          <w:p w14:paraId="3FE61A79" w14:textId="033B6694" w:rsidR="009B5BFB" w:rsidRPr="00B72B6D" w:rsidRDefault="009B5BFB" w:rsidP="00396DC7">
            <w:pPr>
              <w:spacing w:before="120" w:after="120"/>
              <w:ind w:right="692"/>
              <w:jc w:val="right"/>
              <w:rPr>
                <w:rFonts w:cs="Arial"/>
                <w:color w:val="000000"/>
              </w:rPr>
            </w:pPr>
            <w:r w:rsidRPr="00B72B6D">
              <w:rPr>
                <w:rFonts w:cs="Arial"/>
                <w:color w:val="000000"/>
              </w:rPr>
              <w:t>348</w:t>
            </w:r>
          </w:p>
        </w:tc>
      </w:tr>
      <w:tr w:rsidR="009B5BFB" w:rsidRPr="00B72B6D" w14:paraId="6DFC8472" w14:textId="4A67B432"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tcPr>
          <w:p w14:paraId="111CEC7A" w14:textId="77777777" w:rsidR="009B5BFB" w:rsidRPr="00B72B6D" w:rsidRDefault="009B5BFB" w:rsidP="00396DC7">
            <w:pPr>
              <w:spacing w:before="120" w:after="120"/>
              <w:jc w:val="center"/>
              <w:rPr>
                <w:rFonts w:cs="Arial"/>
                <w:color w:val="000000"/>
              </w:rPr>
            </w:pPr>
            <w:r w:rsidRPr="00B72B6D">
              <w:rPr>
                <w:rFonts w:cs="Arial"/>
                <w:color w:val="000000"/>
              </w:rPr>
              <w:t>N/A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A8C450" w14:textId="77777777" w:rsidR="009B5BFB" w:rsidRPr="00B72B6D" w:rsidRDefault="009B5BFB" w:rsidP="00396DC7">
            <w:pPr>
              <w:spacing w:before="120" w:after="120"/>
              <w:rPr>
                <w:rFonts w:cs="Arial"/>
                <w:color w:val="000000"/>
              </w:rPr>
            </w:pPr>
            <w:r w:rsidRPr="00B72B6D">
              <w:rPr>
                <w:rFonts w:eastAsia="Calibri" w:cs="Arial"/>
              </w:rPr>
              <w:t xml:space="preserve">Staffing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7FE92E" w14:textId="77777777" w:rsidR="009B5BFB" w:rsidRPr="00B72B6D" w:rsidRDefault="009B5BFB" w:rsidP="00396DC7">
            <w:pPr>
              <w:spacing w:before="120" w:after="120"/>
              <w:ind w:right="151"/>
              <w:jc w:val="right"/>
              <w:rPr>
                <w:rFonts w:cs="Arial"/>
                <w:color w:val="000000"/>
              </w:rPr>
            </w:pPr>
            <w:r w:rsidRPr="00B72B6D">
              <w:rPr>
                <w:rFonts w:cs="Arial"/>
                <w:color w:val="000000"/>
              </w:rPr>
              <w:t>400</w:t>
            </w:r>
          </w:p>
        </w:tc>
        <w:tc>
          <w:tcPr>
            <w:tcW w:w="1800" w:type="dxa"/>
            <w:tcBorders>
              <w:top w:val="single" w:sz="4" w:space="0" w:color="auto"/>
              <w:left w:val="single" w:sz="4" w:space="0" w:color="auto"/>
              <w:bottom w:val="single" w:sz="4" w:space="0" w:color="auto"/>
              <w:right w:val="single" w:sz="4" w:space="0" w:color="auto"/>
            </w:tcBorders>
            <w:noWrap/>
            <w:vAlign w:val="center"/>
          </w:tcPr>
          <w:p w14:paraId="3C218BC9" w14:textId="77777777" w:rsidR="009B5BFB" w:rsidRPr="00B72B6D" w:rsidRDefault="009B5BFB" w:rsidP="00396DC7">
            <w:pPr>
              <w:spacing w:before="120" w:after="120"/>
              <w:ind w:right="692"/>
              <w:jc w:val="right"/>
              <w:rPr>
                <w:rFonts w:cs="Arial"/>
                <w:color w:val="000000"/>
              </w:rPr>
            </w:pPr>
            <w:r w:rsidRPr="00B72B6D">
              <w:rPr>
                <w:rFonts w:cs="Arial"/>
                <w:color w:val="000000"/>
              </w:rPr>
              <w:t>381</w:t>
            </w:r>
          </w:p>
        </w:tc>
        <w:tc>
          <w:tcPr>
            <w:tcW w:w="1975" w:type="dxa"/>
            <w:tcBorders>
              <w:top w:val="single" w:sz="4" w:space="0" w:color="auto"/>
              <w:left w:val="single" w:sz="4" w:space="0" w:color="auto"/>
              <w:bottom w:val="single" w:sz="4" w:space="0" w:color="auto"/>
              <w:right w:val="single" w:sz="4" w:space="0" w:color="auto"/>
            </w:tcBorders>
            <w:vAlign w:val="center"/>
          </w:tcPr>
          <w:p w14:paraId="0778BF01" w14:textId="18DAFED4" w:rsidR="009B5BFB" w:rsidRPr="00B72B6D" w:rsidRDefault="009B5BFB" w:rsidP="00396DC7">
            <w:pPr>
              <w:spacing w:before="120" w:after="120"/>
              <w:ind w:right="692"/>
              <w:jc w:val="right"/>
              <w:rPr>
                <w:rFonts w:cs="Arial"/>
                <w:color w:val="000000"/>
              </w:rPr>
            </w:pPr>
            <w:r w:rsidRPr="00B72B6D">
              <w:rPr>
                <w:rFonts w:cs="Arial"/>
                <w:color w:val="000000"/>
              </w:rPr>
              <w:t>315</w:t>
            </w:r>
          </w:p>
        </w:tc>
      </w:tr>
      <w:tr w:rsidR="009B5BFB" w:rsidRPr="00B72B6D" w14:paraId="75590470" w14:textId="532937BB" w:rsidTr="006B71B7">
        <w:trPr>
          <w:cantSplit/>
          <w:trHeight w:val="683"/>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0B71EEDF" w14:textId="77777777" w:rsidR="009B5BFB" w:rsidRPr="00B72B6D" w:rsidRDefault="009B5BFB" w:rsidP="00396DC7">
            <w:pPr>
              <w:spacing w:before="120" w:after="120"/>
              <w:jc w:val="center"/>
              <w:rPr>
                <w:rFonts w:cs="Arial"/>
                <w:color w:val="000000"/>
              </w:rPr>
            </w:pPr>
            <w:r w:rsidRPr="00B72B6D">
              <w:rPr>
                <w:rFonts w:cs="Arial"/>
                <w:b/>
                <w:color w:val="000000"/>
              </w:rPr>
              <w:t>N/A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CE59264" w14:textId="77777777" w:rsidR="009B5BFB" w:rsidRPr="00B72B6D" w:rsidRDefault="009B5BFB" w:rsidP="00396DC7">
            <w:pPr>
              <w:spacing w:before="120" w:after="120"/>
              <w:rPr>
                <w:rFonts w:cs="Arial"/>
                <w:color w:val="000000"/>
              </w:rPr>
            </w:pPr>
            <w:r w:rsidRPr="00B72B6D">
              <w:rPr>
                <w:rFonts w:cs="Arial"/>
                <w:b/>
                <w:bCs/>
                <w:color w:val="000000"/>
              </w:rPr>
              <w:t>Formal Written Submission Total</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E2DD4B3" w14:textId="77777777" w:rsidR="009B5BFB" w:rsidRPr="00B72B6D" w:rsidRDefault="009B5BFB" w:rsidP="00396DC7">
            <w:pPr>
              <w:spacing w:before="120" w:after="120"/>
              <w:ind w:right="151"/>
              <w:jc w:val="right"/>
              <w:rPr>
                <w:rFonts w:cs="Arial"/>
                <w:color w:val="000000"/>
              </w:rPr>
            </w:pPr>
            <w:r w:rsidRPr="00B72B6D">
              <w:rPr>
                <w:rFonts w:cs="Arial"/>
                <w:b/>
                <w:bCs/>
                <w:color w:val="000000"/>
              </w:rPr>
              <w:t>3,000</w:t>
            </w:r>
          </w:p>
        </w:tc>
        <w:tc>
          <w:tcPr>
            <w:tcW w:w="1800" w:type="dxa"/>
            <w:tcBorders>
              <w:top w:val="single" w:sz="4" w:space="0" w:color="auto"/>
              <w:left w:val="single" w:sz="4" w:space="0" w:color="auto"/>
              <w:bottom w:val="single" w:sz="4" w:space="0" w:color="auto"/>
              <w:right w:val="single" w:sz="4" w:space="0" w:color="auto"/>
            </w:tcBorders>
            <w:noWrap/>
            <w:vAlign w:val="center"/>
          </w:tcPr>
          <w:p w14:paraId="3F45D715" w14:textId="77777777" w:rsidR="009B5BFB" w:rsidRPr="00B72B6D" w:rsidRDefault="009B5BFB" w:rsidP="00396DC7">
            <w:pPr>
              <w:spacing w:before="120" w:after="120"/>
              <w:ind w:right="692"/>
              <w:jc w:val="right"/>
              <w:rPr>
                <w:rFonts w:cs="Arial"/>
                <w:b/>
                <w:bCs/>
                <w:color w:val="000000"/>
              </w:rPr>
            </w:pPr>
            <w:r w:rsidRPr="00B72B6D">
              <w:rPr>
                <w:rFonts w:cs="Arial"/>
                <w:b/>
                <w:bCs/>
                <w:color w:val="000000"/>
              </w:rPr>
              <w:t>2,874</w:t>
            </w:r>
          </w:p>
        </w:tc>
        <w:tc>
          <w:tcPr>
            <w:tcW w:w="1975" w:type="dxa"/>
            <w:tcBorders>
              <w:top w:val="single" w:sz="4" w:space="0" w:color="auto"/>
              <w:left w:val="single" w:sz="4" w:space="0" w:color="auto"/>
              <w:bottom w:val="single" w:sz="4" w:space="0" w:color="auto"/>
              <w:right w:val="single" w:sz="4" w:space="0" w:color="auto"/>
            </w:tcBorders>
            <w:vAlign w:val="center"/>
          </w:tcPr>
          <w:p w14:paraId="6F4BD946" w14:textId="246ED44D" w:rsidR="009B5BFB" w:rsidRPr="00B72B6D" w:rsidRDefault="009B5BFB" w:rsidP="00396DC7">
            <w:pPr>
              <w:spacing w:before="120" w:after="120"/>
              <w:ind w:right="692"/>
              <w:jc w:val="right"/>
              <w:rPr>
                <w:rFonts w:cs="Arial"/>
                <w:b/>
                <w:color w:val="000000"/>
              </w:rPr>
            </w:pPr>
            <w:r w:rsidRPr="00B72B6D">
              <w:rPr>
                <w:rFonts w:cs="Arial"/>
                <w:b/>
                <w:color w:val="000000"/>
              </w:rPr>
              <w:t>2,512</w:t>
            </w:r>
          </w:p>
        </w:tc>
      </w:tr>
    </w:tbl>
    <w:p w14:paraId="1F28FC93" w14:textId="3D1C8CD9" w:rsidR="00FB54A0" w:rsidRPr="00B72B6D" w:rsidRDefault="00FB54A0" w:rsidP="002435D5">
      <w:pPr>
        <w:pStyle w:val="Heading4"/>
        <w:spacing w:before="0" w:after="120"/>
        <w:rPr>
          <w:rFonts w:cs="Arial"/>
          <w:b w:val="0"/>
        </w:rPr>
      </w:pPr>
      <w:r w:rsidRPr="00B72B6D">
        <w:rPr>
          <w:rFonts w:cs="Arial"/>
        </w:rPr>
        <w:br w:type="page"/>
      </w:r>
      <w:r w:rsidRPr="002435D5" w:rsidDel="00D72B9D">
        <w:rPr>
          <w:sz w:val="24"/>
        </w:rPr>
        <w:lastRenderedPageBreak/>
        <w:t xml:space="preserve">Table </w:t>
      </w:r>
      <w:r w:rsidR="000C0C4B" w:rsidRPr="002435D5">
        <w:rPr>
          <w:sz w:val="24"/>
        </w:rPr>
        <w:t>8</w:t>
      </w:r>
      <w:r w:rsidRPr="002435D5">
        <w:rPr>
          <w:sz w:val="24"/>
        </w:rPr>
        <w:t xml:space="preserve">. Stage Three Budget Scoring </w:t>
      </w:r>
      <w:r w:rsidR="005F6498" w:rsidRPr="002435D5">
        <w:rPr>
          <w:sz w:val="24"/>
        </w:rPr>
        <w:t xml:space="preserve">Evaluation Results by Task </w:t>
      </w:r>
      <w:r w:rsidRPr="002435D5">
        <w:rPr>
          <w:sz w:val="24"/>
        </w:rPr>
        <w:t>for ETS and NCS Pearson, Inc.</w:t>
      </w:r>
    </w:p>
    <w:tbl>
      <w:tblPr>
        <w:tblStyle w:val="TableGrid19"/>
        <w:tblW w:w="0" w:type="auto"/>
        <w:tblInd w:w="0" w:type="dxa"/>
        <w:tblLook w:val="04A0" w:firstRow="1" w:lastRow="0" w:firstColumn="1" w:lastColumn="0" w:noHBand="0" w:noVBand="1"/>
        <w:tblDescription w:val="Table 8. Stage Three Budget Scoring for ETS and NCS Pearson, Inc."/>
      </w:tblPr>
      <w:tblGrid>
        <w:gridCol w:w="1255"/>
        <w:gridCol w:w="4048"/>
        <w:gridCol w:w="1259"/>
        <w:gridCol w:w="1336"/>
        <w:gridCol w:w="1452"/>
      </w:tblGrid>
      <w:tr w:rsidR="00FB54A0" w:rsidRPr="00B72B6D" w14:paraId="2E7A81F2" w14:textId="77777777" w:rsidTr="00373089">
        <w:trPr>
          <w:cantSplit/>
          <w:trHeight w:val="915"/>
          <w:tblHeader/>
        </w:trPr>
        <w:tc>
          <w:tcPr>
            <w:tcW w:w="1255"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26E6381" w14:textId="77777777" w:rsidR="00FB54A0" w:rsidRPr="00B72B6D" w:rsidRDefault="00FB54A0" w:rsidP="00396DC7">
            <w:pPr>
              <w:spacing w:before="120" w:after="120"/>
              <w:jc w:val="center"/>
              <w:rPr>
                <w:rFonts w:cs="Arial"/>
                <w:b/>
                <w:color w:val="000000"/>
              </w:rPr>
            </w:pPr>
            <w:r w:rsidRPr="00B72B6D">
              <w:rPr>
                <w:rFonts w:cs="Arial"/>
                <w:b/>
                <w:color w:val="000000"/>
              </w:rPr>
              <w:t>Task</w:t>
            </w:r>
          </w:p>
        </w:tc>
        <w:tc>
          <w:tcPr>
            <w:tcW w:w="4048"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FEC0602" w14:textId="77777777" w:rsidR="00FB54A0" w:rsidRPr="00B72B6D" w:rsidRDefault="00FB54A0" w:rsidP="00396DC7">
            <w:pPr>
              <w:spacing w:before="120" w:after="120"/>
              <w:jc w:val="center"/>
              <w:rPr>
                <w:rFonts w:cs="Arial"/>
                <w:b/>
                <w:color w:val="000000"/>
              </w:rPr>
            </w:pPr>
            <w:r w:rsidRPr="00B72B6D">
              <w:rPr>
                <w:rFonts w:cs="Arial"/>
                <w:b/>
                <w:color w:val="000000"/>
              </w:rPr>
              <w:t>Description</w:t>
            </w:r>
          </w:p>
        </w:tc>
        <w:tc>
          <w:tcPr>
            <w:tcW w:w="125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CAF52C4" w14:textId="77777777" w:rsidR="00FB54A0" w:rsidRPr="00B72B6D" w:rsidRDefault="00FB54A0" w:rsidP="00396DC7">
            <w:pPr>
              <w:spacing w:before="120" w:after="120"/>
              <w:jc w:val="center"/>
              <w:rPr>
                <w:rFonts w:cs="Arial"/>
                <w:b/>
                <w:color w:val="000000"/>
              </w:rPr>
            </w:pPr>
            <w:r w:rsidRPr="00B72B6D">
              <w:rPr>
                <w:rFonts w:cs="Arial"/>
                <w:b/>
                <w:color w:val="000000"/>
              </w:rPr>
              <w:t>Budget Points per Task</w:t>
            </w:r>
          </w:p>
        </w:tc>
        <w:tc>
          <w:tcPr>
            <w:tcW w:w="1336"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D072A74" w14:textId="77777777" w:rsidR="00FB54A0" w:rsidRPr="00B72B6D" w:rsidRDefault="00FB54A0" w:rsidP="00396DC7">
            <w:pPr>
              <w:spacing w:before="120" w:after="120"/>
              <w:jc w:val="center"/>
              <w:rPr>
                <w:rFonts w:cs="Arial"/>
                <w:b/>
                <w:color w:val="000000"/>
              </w:rPr>
            </w:pPr>
            <w:r w:rsidRPr="00B72B6D">
              <w:rPr>
                <w:rFonts w:cs="Arial"/>
                <w:b/>
                <w:color w:val="000000"/>
              </w:rPr>
              <w:t>ETS</w:t>
            </w:r>
          </w:p>
        </w:tc>
        <w:tc>
          <w:tcPr>
            <w:tcW w:w="145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46F48AB8" w14:textId="77777777" w:rsidR="00FB54A0" w:rsidRPr="00B72B6D" w:rsidRDefault="00FB54A0" w:rsidP="00396DC7">
            <w:pPr>
              <w:spacing w:before="120" w:after="120"/>
              <w:jc w:val="center"/>
              <w:rPr>
                <w:rFonts w:cs="Arial"/>
                <w:b/>
                <w:color w:val="000000"/>
              </w:rPr>
            </w:pPr>
            <w:r w:rsidRPr="00B72B6D">
              <w:rPr>
                <w:rFonts w:cs="Arial"/>
                <w:b/>
                <w:color w:val="000000"/>
              </w:rPr>
              <w:t xml:space="preserve">NCS Pearson, Inc. </w:t>
            </w:r>
          </w:p>
        </w:tc>
      </w:tr>
      <w:tr w:rsidR="00FB54A0" w:rsidRPr="00B72B6D" w14:paraId="7F6960DB"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2CD7F73C" w14:textId="77777777" w:rsidR="00FB54A0" w:rsidRPr="00B72B6D" w:rsidRDefault="00FB54A0" w:rsidP="00396DC7">
            <w:pPr>
              <w:spacing w:before="120" w:after="120"/>
              <w:ind w:hanging="21"/>
              <w:rPr>
                <w:rFonts w:cs="Arial"/>
                <w:color w:val="000000"/>
              </w:rPr>
            </w:pPr>
            <w:r w:rsidRPr="00B72B6D">
              <w:rPr>
                <w:rFonts w:cs="Arial"/>
                <w:color w:val="000000"/>
              </w:rPr>
              <w:t xml:space="preserve">Task 3.1. </w:t>
            </w:r>
          </w:p>
        </w:tc>
        <w:tc>
          <w:tcPr>
            <w:tcW w:w="4048" w:type="dxa"/>
            <w:tcBorders>
              <w:top w:val="single" w:sz="4" w:space="0" w:color="auto"/>
              <w:left w:val="single" w:sz="4" w:space="0" w:color="auto"/>
              <w:bottom w:val="single" w:sz="4" w:space="0" w:color="auto"/>
              <w:right w:val="single" w:sz="4" w:space="0" w:color="auto"/>
            </w:tcBorders>
            <w:noWrap/>
            <w:hideMark/>
          </w:tcPr>
          <w:p w14:paraId="743475DC" w14:textId="77777777" w:rsidR="00FB54A0" w:rsidRPr="00B72B6D" w:rsidRDefault="00FB54A0" w:rsidP="00396DC7">
            <w:pPr>
              <w:spacing w:before="120" w:after="120"/>
              <w:rPr>
                <w:rFonts w:cs="Arial"/>
                <w:color w:val="000000"/>
              </w:rPr>
            </w:pPr>
            <w:r w:rsidRPr="00B72B6D">
              <w:rPr>
                <w:rFonts w:cs="Arial"/>
                <w:color w:val="000000"/>
              </w:rPr>
              <w:t>Comprehensive Plan and Schedule of Deliverables</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1B9A7A8D" w14:textId="77777777" w:rsidR="00FB54A0" w:rsidRPr="00B72B6D" w:rsidRDefault="00FB54A0" w:rsidP="00396DC7">
            <w:pPr>
              <w:spacing w:before="120" w:after="120"/>
              <w:ind w:right="222"/>
              <w:jc w:val="right"/>
              <w:rPr>
                <w:rFonts w:cs="Arial"/>
                <w:color w:val="000000"/>
              </w:rPr>
            </w:pPr>
            <w:r w:rsidRPr="00B72B6D">
              <w:rPr>
                <w:rFonts w:cs="Arial"/>
                <w:color w:val="000000"/>
              </w:rPr>
              <w:t>42</w:t>
            </w:r>
          </w:p>
        </w:tc>
        <w:tc>
          <w:tcPr>
            <w:tcW w:w="1336" w:type="dxa"/>
            <w:tcBorders>
              <w:top w:val="single" w:sz="4" w:space="0" w:color="auto"/>
              <w:left w:val="single" w:sz="4" w:space="0" w:color="auto"/>
              <w:bottom w:val="single" w:sz="4" w:space="0" w:color="auto"/>
              <w:right w:val="single" w:sz="4" w:space="0" w:color="auto"/>
            </w:tcBorders>
            <w:noWrap/>
            <w:vAlign w:val="bottom"/>
          </w:tcPr>
          <w:p w14:paraId="105C2FFE" w14:textId="77777777" w:rsidR="00FB54A0" w:rsidRPr="00B72B6D" w:rsidRDefault="00FB54A0" w:rsidP="00396DC7">
            <w:pPr>
              <w:spacing w:before="120" w:after="120"/>
              <w:ind w:right="299"/>
              <w:jc w:val="right"/>
              <w:rPr>
                <w:rFonts w:cs="Arial"/>
                <w:color w:val="000000"/>
              </w:rPr>
            </w:pPr>
            <w:r w:rsidRPr="00B72B6D">
              <w:rPr>
                <w:rFonts w:cs="Arial"/>
                <w:color w:val="000000"/>
              </w:rPr>
              <w:t>28</w:t>
            </w:r>
          </w:p>
        </w:tc>
        <w:tc>
          <w:tcPr>
            <w:tcW w:w="1452" w:type="dxa"/>
            <w:tcBorders>
              <w:top w:val="single" w:sz="4" w:space="0" w:color="auto"/>
              <w:left w:val="single" w:sz="4" w:space="0" w:color="auto"/>
              <w:bottom w:val="single" w:sz="4" w:space="0" w:color="auto"/>
              <w:right w:val="single" w:sz="4" w:space="0" w:color="auto"/>
            </w:tcBorders>
            <w:noWrap/>
            <w:vAlign w:val="bottom"/>
          </w:tcPr>
          <w:p w14:paraId="3BA9E2AA" w14:textId="77777777" w:rsidR="00FB54A0" w:rsidRPr="00B72B6D" w:rsidRDefault="00FB54A0" w:rsidP="00396DC7">
            <w:pPr>
              <w:spacing w:before="120" w:after="120"/>
              <w:ind w:right="422"/>
              <w:jc w:val="right"/>
              <w:rPr>
                <w:rFonts w:cs="Arial"/>
                <w:color w:val="000000"/>
              </w:rPr>
            </w:pPr>
            <w:r w:rsidRPr="00B72B6D">
              <w:rPr>
                <w:rFonts w:cs="Arial"/>
                <w:color w:val="000000"/>
              </w:rPr>
              <w:t>42</w:t>
            </w:r>
          </w:p>
        </w:tc>
      </w:tr>
      <w:tr w:rsidR="00FB54A0" w:rsidRPr="00B72B6D" w14:paraId="66E07D6D"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08B5AE3E" w14:textId="77777777" w:rsidR="00FB54A0" w:rsidRPr="00B72B6D" w:rsidRDefault="00FB54A0" w:rsidP="00396DC7">
            <w:pPr>
              <w:spacing w:before="120" w:after="120"/>
              <w:ind w:hanging="21"/>
              <w:rPr>
                <w:rFonts w:cs="Arial"/>
                <w:color w:val="000000"/>
              </w:rPr>
            </w:pPr>
            <w:r w:rsidRPr="00B72B6D">
              <w:rPr>
                <w:rFonts w:cs="Arial"/>
                <w:color w:val="000000"/>
              </w:rPr>
              <w:t xml:space="preserve">Task 3.2. </w:t>
            </w:r>
          </w:p>
        </w:tc>
        <w:tc>
          <w:tcPr>
            <w:tcW w:w="4048" w:type="dxa"/>
            <w:tcBorders>
              <w:top w:val="single" w:sz="4" w:space="0" w:color="auto"/>
              <w:left w:val="single" w:sz="4" w:space="0" w:color="auto"/>
              <w:bottom w:val="single" w:sz="4" w:space="0" w:color="auto"/>
              <w:right w:val="single" w:sz="4" w:space="0" w:color="auto"/>
            </w:tcBorders>
            <w:noWrap/>
            <w:hideMark/>
          </w:tcPr>
          <w:p w14:paraId="3CEA3D97" w14:textId="77777777" w:rsidR="00FB54A0" w:rsidRPr="00B72B6D" w:rsidRDefault="00FB54A0" w:rsidP="00396DC7">
            <w:pPr>
              <w:spacing w:before="120" w:after="120"/>
              <w:rPr>
                <w:rFonts w:cs="Arial"/>
                <w:color w:val="000000"/>
              </w:rPr>
            </w:pPr>
            <w:r w:rsidRPr="00B72B6D">
              <w:rPr>
                <w:rFonts w:cs="Arial"/>
                <w:color w:val="000000"/>
              </w:rPr>
              <w:t>Program Support Services</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0149A51F" w14:textId="77777777" w:rsidR="00FB54A0" w:rsidRPr="00B72B6D" w:rsidRDefault="00FB54A0" w:rsidP="00396DC7">
            <w:pPr>
              <w:spacing w:before="120" w:after="120"/>
              <w:ind w:right="222"/>
              <w:jc w:val="right"/>
              <w:rPr>
                <w:rFonts w:cs="Arial"/>
                <w:color w:val="000000"/>
              </w:rPr>
            </w:pPr>
            <w:r w:rsidRPr="00B72B6D">
              <w:rPr>
                <w:rFonts w:cs="Arial"/>
                <w:color w:val="000000"/>
              </w:rPr>
              <w:t>42</w:t>
            </w:r>
          </w:p>
        </w:tc>
        <w:tc>
          <w:tcPr>
            <w:tcW w:w="1336" w:type="dxa"/>
            <w:tcBorders>
              <w:top w:val="single" w:sz="4" w:space="0" w:color="auto"/>
              <w:left w:val="single" w:sz="4" w:space="0" w:color="auto"/>
              <w:bottom w:val="single" w:sz="4" w:space="0" w:color="auto"/>
              <w:right w:val="single" w:sz="4" w:space="0" w:color="auto"/>
            </w:tcBorders>
            <w:noWrap/>
          </w:tcPr>
          <w:p w14:paraId="015052E2" w14:textId="77777777" w:rsidR="00FB54A0" w:rsidRPr="00B72B6D" w:rsidRDefault="00FB54A0" w:rsidP="00396DC7">
            <w:pPr>
              <w:spacing w:before="120" w:after="120"/>
              <w:ind w:right="299"/>
              <w:jc w:val="right"/>
              <w:rPr>
                <w:rFonts w:cs="Arial"/>
                <w:color w:val="000000"/>
              </w:rPr>
            </w:pPr>
            <w:r w:rsidRPr="00B72B6D">
              <w:rPr>
                <w:rFonts w:cs="Arial"/>
                <w:color w:val="000000"/>
              </w:rPr>
              <w:t>18</w:t>
            </w:r>
          </w:p>
        </w:tc>
        <w:tc>
          <w:tcPr>
            <w:tcW w:w="1452" w:type="dxa"/>
            <w:tcBorders>
              <w:top w:val="single" w:sz="4" w:space="0" w:color="auto"/>
              <w:left w:val="single" w:sz="4" w:space="0" w:color="auto"/>
              <w:bottom w:val="single" w:sz="4" w:space="0" w:color="auto"/>
              <w:right w:val="single" w:sz="4" w:space="0" w:color="auto"/>
            </w:tcBorders>
            <w:noWrap/>
          </w:tcPr>
          <w:p w14:paraId="0188598F" w14:textId="77777777" w:rsidR="00FB54A0" w:rsidRPr="00B72B6D" w:rsidRDefault="00FB54A0" w:rsidP="00396DC7">
            <w:pPr>
              <w:spacing w:before="120" w:after="120"/>
              <w:ind w:right="422"/>
              <w:jc w:val="right"/>
              <w:rPr>
                <w:rFonts w:cs="Arial"/>
                <w:color w:val="000000"/>
              </w:rPr>
            </w:pPr>
            <w:r w:rsidRPr="00B72B6D">
              <w:rPr>
                <w:rFonts w:cs="Arial"/>
                <w:color w:val="000000"/>
              </w:rPr>
              <w:t>42</w:t>
            </w:r>
          </w:p>
        </w:tc>
      </w:tr>
      <w:tr w:rsidR="00FB54A0" w:rsidRPr="00B72B6D" w14:paraId="6E22111D"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4D38B22F" w14:textId="77777777" w:rsidR="00FB54A0" w:rsidRPr="00B72B6D" w:rsidRDefault="00FB54A0" w:rsidP="00396DC7">
            <w:pPr>
              <w:spacing w:before="120" w:after="120"/>
              <w:ind w:hanging="21"/>
              <w:rPr>
                <w:rFonts w:cs="Arial"/>
                <w:color w:val="000000"/>
              </w:rPr>
            </w:pPr>
            <w:r w:rsidRPr="00B72B6D">
              <w:rPr>
                <w:rFonts w:cs="Arial"/>
                <w:color w:val="000000"/>
              </w:rPr>
              <w:t xml:space="preserve">Task 3.3. </w:t>
            </w:r>
          </w:p>
        </w:tc>
        <w:tc>
          <w:tcPr>
            <w:tcW w:w="4048" w:type="dxa"/>
            <w:tcBorders>
              <w:top w:val="single" w:sz="4" w:space="0" w:color="auto"/>
              <w:left w:val="single" w:sz="4" w:space="0" w:color="auto"/>
              <w:bottom w:val="single" w:sz="4" w:space="0" w:color="auto"/>
              <w:right w:val="single" w:sz="4" w:space="0" w:color="auto"/>
            </w:tcBorders>
            <w:noWrap/>
            <w:hideMark/>
          </w:tcPr>
          <w:p w14:paraId="13188673" w14:textId="77777777" w:rsidR="00FB54A0" w:rsidRPr="00B72B6D" w:rsidRDefault="00FB54A0" w:rsidP="00396DC7">
            <w:pPr>
              <w:spacing w:before="120" w:after="120"/>
              <w:rPr>
                <w:rFonts w:cs="Arial"/>
                <w:color w:val="000000"/>
              </w:rPr>
            </w:pPr>
            <w:r w:rsidRPr="00B72B6D">
              <w:rPr>
                <w:rFonts w:cs="Arial"/>
                <w:color w:val="000000"/>
              </w:rPr>
              <w:t>Technology Services</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2EEAA74B" w14:textId="77777777" w:rsidR="00FB54A0" w:rsidRPr="00B72B6D" w:rsidRDefault="00FB54A0" w:rsidP="00396DC7">
            <w:pPr>
              <w:spacing w:before="120" w:after="120"/>
              <w:ind w:right="222"/>
              <w:jc w:val="right"/>
              <w:rPr>
                <w:rFonts w:cs="Arial"/>
                <w:color w:val="000000"/>
              </w:rPr>
            </w:pPr>
            <w:r w:rsidRPr="00B72B6D">
              <w:rPr>
                <w:rFonts w:cs="Arial"/>
                <w:color w:val="000000"/>
              </w:rPr>
              <w:t>167</w:t>
            </w:r>
          </w:p>
        </w:tc>
        <w:tc>
          <w:tcPr>
            <w:tcW w:w="1336" w:type="dxa"/>
            <w:tcBorders>
              <w:top w:val="single" w:sz="4" w:space="0" w:color="auto"/>
              <w:left w:val="single" w:sz="4" w:space="0" w:color="auto"/>
              <w:bottom w:val="single" w:sz="4" w:space="0" w:color="auto"/>
              <w:right w:val="single" w:sz="4" w:space="0" w:color="auto"/>
            </w:tcBorders>
            <w:noWrap/>
          </w:tcPr>
          <w:p w14:paraId="7B20C6F4" w14:textId="77777777" w:rsidR="00FB54A0" w:rsidRPr="00B72B6D" w:rsidRDefault="00FB54A0" w:rsidP="00396DC7">
            <w:pPr>
              <w:spacing w:before="120" w:after="120"/>
              <w:ind w:right="299"/>
              <w:jc w:val="right"/>
              <w:rPr>
                <w:rFonts w:cs="Arial"/>
                <w:color w:val="000000"/>
              </w:rPr>
            </w:pPr>
            <w:r w:rsidRPr="00B72B6D">
              <w:rPr>
                <w:rFonts w:cs="Arial"/>
                <w:color w:val="000000"/>
              </w:rPr>
              <w:t>50</w:t>
            </w:r>
          </w:p>
        </w:tc>
        <w:tc>
          <w:tcPr>
            <w:tcW w:w="1452" w:type="dxa"/>
            <w:tcBorders>
              <w:top w:val="single" w:sz="4" w:space="0" w:color="auto"/>
              <w:left w:val="single" w:sz="4" w:space="0" w:color="auto"/>
              <w:bottom w:val="single" w:sz="4" w:space="0" w:color="auto"/>
              <w:right w:val="single" w:sz="4" w:space="0" w:color="auto"/>
            </w:tcBorders>
            <w:noWrap/>
          </w:tcPr>
          <w:p w14:paraId="337D6F42" w14:textId="77777777" w:rsidR="00FB54A0" w:rsidRPr="00B72B6D" w:rsidRDefault="00FB54A0" w:rsidP="00396DC7">
            <w:pPr>
              <w:spacing w:before="120" w:after="120"/>
              <w:ind w:right="422"/>
              <w:jc w:val="right"/>
              <w:rPr>
                <w:rFonts w:cs="Arial"/>
                <w:color w:val="000000"/>
              </w:rPr>
            </w:pPr>
            <w:r w:rsidRPr="00B72B6D">
              <w:rPr>
                <w:rFonts w:cs="Arial"/>
                <w:color w:val="000000"/>
              </w:rPr>
              <w:t>167</w:t>
            </w:r>
          </w:p>
        </w:tc>
      </w:tr>
      <w:tr w:rsidR="00FB54A0" w:rsidRPr="00B72B6D" w14:paraId="5CFA2C03"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2BF77315" w14:textId="77777777" w:rsidR="00FB54A0" w:rsidRPr="00B72B6D" w:rsidRDefault="00FB54A0" w:rsidP="00396DC7">
            <w:pPr>
              <w:spacing w:before="120" w:after="120"/>
              <w:ind w:hanging="21"/>
              <w:rPr>
                <w:rFonts w:cs="Arial"/>
                <w:color w:val="000000"/>
              </w:rPr>
            </w:pPr>
            <w:r w:rsidRPr="00B72B6D">
              <w:rPr>
                <w:rFonts w:cs="Arial"/>
                <w:color w:val="000000"/>
              </w:rPr>
              <w:t xml:space="preserve">Task 3.4. </w:t>
            </w:r>
          </w:p>
        </w:tc>
        <w:tc>
          <w:tcPr>
            <w:tcW w:w="4048" w:type="dxa"/>
            <w:tcBorders>
              <w:top w:val="single" w:sz="4" w:space="0" w:color="auto"/>
              <w:left w:val="single" w:sz="4" w:space="0" w:color="auto"/>
              <w:bottom w:val="single" w:sz="4" w:space="0" w:color="auto"/>
              <w:right w:val="single" w:sz="4" w:space="0" w:color="auto"/>
            </w:tcBorders>
            <w:noWrap/>
            <w:hideMark/>
          </w:tcPr>
          <w:p w14:paraId="4F06B5AF" w14:textId="77777777" w:rsidR="00FB54A0" w:rsidRPr="00B72B6D" w:rsidRDefault="00FB54A0" w:rsidP="00396DC7">
            <w:pPr>
              <w:spacing w:before="120" w:after="120"/>
              <w:rPr>
                <w:rFonts w:cs="Arial"/>
                <w:color w:val="000000"/>
              </w:rPr>
            </w:pPr>
            <w:r w:rsidRPr="00B72B6D">
              <w:rPr>
                <w:rFonts w:cs="Arial"/>
                <w:color w:val="000000"/>
              </w:rPr>
              <w:t>Test Security</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4F74D83C" w14:textId="77777777" w:rsidR="00FB54A0" w:rsidRPr="00B72B6D" w:rsidRDefault="00FB54A0" w:rsidP="00396DC7">
            <w:pPr>
              <w:spacing w:before="120" w:after="120"/>
              <w:ind w:right="222"/>
              <w:jc w:val="right"/>
              <w:rPr>
                <w:rFonts w:cs="Arial"/>
                <w:color w:val="000000"/>
              </w:rPr>
            </w:pPr>
            <w:r w:rsidRPr="00B72B6D">
              <w:rPr>
                <w:rFonts w:cs="Arial"/>
                <w:color w:val="000000"/>
              </w:rPr>
              <w:t>42</w:t>
            </w:r>
          </w:p>
        </w:tc>
        <w:tc>
          <w:tcPr>
            <w:tcW w:w="1336" w:type="dxa"/>
            <w:tcBorders>
              <w:top w:val="single" w:sz="4" w:space="0" w:color="auto"/>
              <w:left w:val="single" w:sz="4" w:space="0" w:color="auto"/>
              <w:bottom w:val="single" w:sz="4" w:space="0" w:color="auto"/>
              <w:right w:val="single" w:sz="4" w:space="0" w:color="auto"/>
            </w:tcBorders>
            <w:noWrap/>
          </w:tcPr>
          <w:p w14:paraId="50985195" w14:textId="77777777" w:rsidR="00FB54A0" w:rsidRPr="00B72B6D" w:rsidRDefault="00FB54A0" w:rsidP="00396DC7">
            <w:pPr>
              <w:spacing w:before="120" w:after="120"/>
              <w:ind w:right="299"/>
              <w:jc w:val="right"/>
              <w:rPr>
                <w:rFonts w:cs="Arial"/>
                <w:color w:val="000000"/>
              </w:rPr>
            </w:pPr>
            <w:r w:rsidRPr="00B72B6D">
              <w:rPr>
                <w:rFonts w:cs="Arial"/>
                <w:color w:val="000000"/>
              </w:rPr>
              <w:t>15</w:t>
            </w:r>
          </w:p>
        </w:tc>
        <w:tc>
          <w:tcPr>
            <w:tcW w:w="1452" w:type="dxa"/>
            <w:tcBorders>
              <w:top w:val="single" w:sz="4" w:space="0" w:color="auto"/>
              <w:left w:val="single" w:sz="4" w:space="0" w:color="auto"/>
              <w:bottom w:val="single" w:sz="4" w:space="0" w:color="auto"/>
              <w:right w:val="single" w:sz="4" w:space="0" w:color="auto"/>
            </w:tcBorders>
            <w:noWrap/>
          </w:tcPr>
          <w:p w14:paraId="7E7EAE85" w14:textId="77777777" w:rsidR="00FB54A0" w:rsidRPr="00B72B6D" w:rsidRDefault="00FB54A0" w:rsidP="00396DC7">
            <w:pPr>
              <w:spacing w:before="120" w:after="120"/>
              <w:ind w:right="422"/>
              <w:jc w:val="right"/>
              <w:rPr>
                <w:rFonts w:cs="Arial"/>
                <w:color w:val="000000"/>
              </w:rPr>
            </w:pPr>
            <w:r w:rsidRPr="00B72B6D">
              <w:rPr>
                <w:rFonts w:cs="Arial"/>
                <w:color w:val="000000"/>
              </w:rPr>
              <w:t>42</w:t>
            </w:r>
          </w:p>
        </w:tc>
      </w:tr>
      <w:tr w:rsidR="00FB54A0" w:rsidRPr="00B72B6D" w14:paraId="3DCD657A"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04774722" w14:textId="77777777" w:rsidR="00FB54A0" w:rsidRPr="00B72B6D" w:rsidRDefault="00FB54A0" w:rsidP="00396DC7">
            <w:pPr>
              <w:spacing w:before="120" w:after="120"/>
              <w:ind w:hanging="21"/>
              <w:rPr>
                <w:rFonts w:cs="Arial"/>
                <w:color w:val="000000"/>
              </w:rPr>
            </w:pPr>
            <w:r w:rsidRPr="00B72B6D">
              <w:rPr>
                <w:rFonts w:cs="Arial"/>
                <w:color w:val="000000"/>
              </w:rPr>
              <w:t xml:space="preserve">Task 3.5. </w:t>
            </w:r>
          </w:p>
        </w:tc>
        <w:tc>
          <w:tcPr>
            <w:tcW w:w="4048" w:type="dxa"/>
            <w:tcBorders>
              <w:top w:val="single" w:sz="4" w:space="0" w:color="auto"/>
              <w:left w:val="single" w:sz="4" w:space="0" w:color="auto"/>
              <w:bottom w:val="single" w:sz="4" w:space="0" w:color="auto"/>
              <w:right w:val="single" w:sz="4" w:space="0" w:color="auto"/>
            </w:tcBorders>
            <w:noWrap/>
            <w:hideMark/>
          </w:tcPr>
          <w:p w14:paraId="6EF0A73C" w14:textId="77777777" w:rsidR="00FB54A0" w:rsidRPr="00B72B6D" w:rsidRDefault="00FB54A0" w:rsidP="00396DC7">
            <w:pPr>
              <w:spacing w:before="120" w:after="120"/>
              <w:rPr>
                <w:rFonts w:cs="Arial"/>
                <w:color w:val="000000"/>
              </w:rPr>
            </w:pPr>
            <w:r w:rsidRPr="00B72B6D">
              <w:rPr>
                <w:rFonts w:cs="Arial"/>
                <w:color w:val="000000"/>
              </w:rPr>
              <w:t>Accessibility and Accommodations</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214C985E" w14:textId="77777777" w:rsidR="00FB54A0" w:rsidRPr="00B72B6D" w:rsidRDefault="00FB54A0" w:rsidP="00396DC7">
            <w:pPr>
              <w:spacing w:before="120" w:after="120"/>
              <w:ind w:right="222"/>
              <w:jc w:val="right"/>
              <w:rPr>
                <w:rFonts w:cs="Arial"/>
                <w:color w:val="000000"/>
              </w:rPr>
            </w:pPr>
            <w:r w:rsidRPr="00B72B6D">
              <w:rPr>
                <w:rFonts w:cs="Arial"/>
                <w:color w:val="000000"/>
              </w:rPr>
              <w:t>42</w:t>
            </w:r>
          </w:p>
        </w:tc>
        <w:tc>
          <w:tcPr>
            <w:tcW w:w="1336" w:type="dxa"/>
            <w:tcBorders>
              <w:top w:val="single" w:sz="4" w:space="0" w:color="auto"/>
              <w:left w:val="single" w:sz="4" w:space="0" w:color="auto"/>
              <w:bottom w:val="single" w:sz="4" w:space="0" w:color="auto"/>
              <w:right w:val="single" w:sz="4" w:space="0" w:color="auto"/>
            </w:tcBorders>
            <w:noWrap/>
          </w:tcPr>
          <w:p w14:paraId="127E1376" w14:textId="77777777" w:rsidR="00FB54A0" w:rsidRPr="00B72B6D" w:rsidRDefault="00FB54A0" w:rsidP="00396DC7">
            <w:pPr>
              <w:spacing w:before="120" w:after="120"/>
              <w:ind w:right="299"/>
              <w:jc w:val="right"/>
              <w:rPr>
                <w:rFonts w:cs="Arial"/>
                <w:color w:val="000000"/>
              </w:rPr>
            </w:pPr>
            <w:r w:rsidRPr="00B72B6D">
              <w:rPr>
                <w:rFonts w:cs="Arial"/>
                <w:color w:val="000000"/>
              </w:rPr>
              <w:t>8</w:t>
            </w:r>
          </w:p>
        </w:tc>
        <w:tc>
          <w:tcPr>
            <w:tcW w:w="1452" w:type="dxa"/>
            <w:tcBorders>
              <w:top w:val="single" w:sz="4" w:space="0" w:color="auto"/>
              <w:left w:val="single" w:sz="4" w:space="0" w:color="auto"/>
              <w:bottom w:val="single" w:sz="4" w:space="0" w:color="auto"/>
              <w:right w:val="single" w:sz="4" w:space="0" w:color="auto"/>
            </w:tcBorders>
            <w:noWrap/>
          </w:tcPr>
          <w:p w14:paraId="09BD4A05" w14:textId="77777777" w:rsidR="00FB54A0" w:rsidRPr="00B72B6D" w:rsidRDefault="00FB54A0" w:rsidP="00396DC7">
            <w:pPr>
              <w:spacing w:before="120" w:after="120"/>
              <w:ind w:right="422"/>
              <w:jc w:val="right"/>
              <w:rPr>
                <w:rFonts w:cs="Arial"/>
                <w:color w:val="000000"/>
              </w:rPr>
            </w:pPr>
            <w:r w:rsidRPr="00B72B6D">
              <w:rPr>
                <w:rFonts w:cs="Arial"/>
                <w:color w:val="000000"/>
              </w:rPr>
              <w:t>42</w:t>
            </w:r>
          </w:p>
        </w:tc>
      </w:tr>
      <w:tr w:rsidR="00FB54A0" w:rsidRPr="00B72B6D" w14:paraId="77A66DEE"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0BBAD3FD" w14:textId="77777777" w:rsidR="00FB54A0" w:rsidRPr="00B72B6D" w:rsidRDefault="00FB54A0" w:rsidP="00396DC7">
            <w:pPr>
              <w:spacing w:before="120" w:after="120"/>
              <w:ind w:hanging="21"/>
              <w:rPr>
                <w:rFonts w:cs="Arial"/>
                <w:color w:val="000000"/>
              </w:rPr>
            </w:pPr>
            <w:r w:rsidRPr="00B72B6D">
              <w:rPr>
                <w:rFonts w:cs="Arial"/>
                <w:color w:val="000000"/>
              </w:rPr>
              <w:t xml:space="preserve">Task 3.6. </w:t>
            </w:r>
          </w:p>
        </w:tc>
        <w:tc>
          <w:tcPr>
            <w:tcW w:w="4048" w:type="dxa"/>
            <w:tcBorders>
              <w:top w:val="single" w:sz="4" w:space="0" w:color="auto"/>
              <w:left w:val="single" w:sz="4" w:space="0" w:color="auto"/>
              <w:bottom w:val="single" w:sz="4" w:space="0" w:color="auto"/>
              <w:right w:val="single" w:sz="4" w:space="0" w:color="auto"/>
            </w:tcBorders>
            <w:noWrap/>
            <w:hideMark/>
          </w:tcPr>
          <w:p w14:paraId="19633C25" w14:textId="77777777" w:rsidR="00FB54A0" w:rsidRPr="00B72B6D" w:rsidRDefault="00FB54A0" w:rsidP="00396DC7">
            <w:pPr>
              <w:spacing w:before="120" w:after="120"/>
              <w:rPr>
                <w:rFonts w:cs="Arial"/>
                <w:color w:val="000000"/>
              </w:rPr>
            </w:pPr>
            <w:r w:rsidRPr="00B72B6D">
              <w:rPr>
                <w:rFonts w:cs="Arial"/>
                <w:color w:val="000000"/>
              </w:rPr>
              <w:t>Assessment Development</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0F0729DE" w14:textId="77777777" w:rsidR="00FB54A0" w:rsidRPr="00B72B6D" w:rsidRDefault="00FB54A0" w:rsidP="00396DC7">
            <w:pPr>
              <w:spacing w:before="120" w:after="120"/>
              <w:ind w:right="222"/>
              <w:jc w:val="right"/>
              <w:rPr>
                <w:rFonts w:cs="Arial"/>
                <w:color w:val="000000"/>
              </w:rPr>
            </w:pPr>
            <w:r w:rsidRPr="00B72B6D">
              <w:rPr>
                <w:rFonts w:cs="Arial"/>
                <w:color w:val="000000"/>
              </w:rPr>
              <w:t>2</w:t>
            </w:r>
            <w:r w:rsidRPr="00B72B6D">
              <w:rPr>
                <w:rFonts w:cs="Arial"/>
              </w:rPr>
              <w:t>07</w:t>
            </w:r>
          </w:p>
        </w:tc>
        <w:tc>
          <w:tcPr>
            <w:tcW w:w="1336" w:type="dxa"/>
            <w:tcBorders>
              <w:top w:val="single" w:sz="4" w:space="0" w:color="auto"/>
              <w:left w:val="single" w:sz="4" w:space="0" w:color="auto"/>
              <w:bottom w:val="single" w:sz="4" w:space="0" w:color="auto"/>
              <w:right w:val="single" w:sz="4" w:space="0" w:color="auto"/>
            </w:tcBorders>
            <w:noWrap/>
          </w:tcPr>
          <w:p w14:paraId="20DDD5A2" w14:textId="77777777" w:rsidR="00FB54A0" w:rsidRPr="00B72B6D" w:rsidRDefault="00FB54A0" w:rsidP="00396DC7">
            <w:pPr>
              <w:spacing w:before="120" w:after="120"/>
              <w:ind w:right="299"/>
              <w:jc w:val="right"/>
              <w:rPr>
                <w:rFonts w:cs="Arial"/>
                <w:color w:val="000000"/>
              </w:rPr>
            </w:pPr>
            <w:r w:rsidRPr="00B72B6D">
              <w:rPr>
                <w:rFonts w:cs="Arial"/>
                <w:color w:val="000000"/>
              </w:rPr>
              <w:t>149</w:t>
            </w:r>
          </w:p>
        </w:tc>
        <w:tc>
          <w:tcPr>
            <w:tcW w:w="1452" w:type="dxa"/>
            <w:tcBorders>
              <w:top w:val="single" w:sz="4" w:space="0" w:color="auto"/>
              <w:left w:val="single" w:sz="4" w:space="0" w:color="auto"/>
              <w:bottom w:val="single" w:sz="4" w:space="0" w:color="auto"/>
              <w:right w:val="single" w:sz="4" w:space="0" w:color="auto"/>
            </w:tcBorders>
            <w:noWrap/>
          </w:tcPr>
          <w:p w14:paraId="7959733A" w14:textId="77777777" w:rsidR="00FB54A0" w:rsidRPr="00B72B6D" w:rsidRDefault="00FB54A0" w:rsidP="00396DC7">
            <w:pPr>
              <w:spacing w:before="120" w:after="120"/>
              <w:ind w:right="422"/>
              <w:jc w:val="right"/>
              <w:rPr>
                <w:rFonts w:cs="Arial"/>
                <w:color w:val="000000"/>
              </w:rPr>
            </w:pPr>
            <w:r w:rsidRPr="00B72B6D">
              <w:rPr>
                <w:rFonts w:cs="Arial"/>
                <w:color w:val="000000"/>
              </w:rPr>
              <w:t>207</w:t>
            </w:r>
          </w:p>
        </w:tc>
      </w:tr>
      <w:tr w:rsidR="00FB54A0" w:rsidRPr="00B72B6D" w14:paraId="57032C0A"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46D43906" w14:textId="77777777" w:rsidR="00FB54A0" w:rsidRPr="00B72B6D" w:rsidRDefault="00FB54A0" w:rsidP="00396DC7">
            <w:pPr>
              <w:spacing w:before="120" w:after="120"/>
              <w:ind w:hanging="21"/>
              <w:rPr>
                <w:rFonts w:cs="Arial"/>
                <w:color w:val="000000"/>
              </w:rPr>
            </w:pPr>
            <w:r w:rsidRPr="00B72B6D">
              <w:rPr>
                <w:rFonts w:cs="Arial"/>
                <w:color w:val="000000"/>
              </w:rPr>
              <w:t xml:space="preserve">Task 3.7. </w:t>
            </w:r>
          </w:p>
        </w:tc>
        <w:tc>
          <w:tcPr>
            <w:tcW w:w="4048" w:type="dxa"/>
            <w:tcBorders>
              <w:top w:val="single" w:sz="4" w:space="0" w:color="auto"/>
              <w:left w:val="single" w:sz="4" w:space="0" w:color="auto"/>
              <w:bottom w:val="single" w:sz="4" w:space="0" w:color="auto"/>
              <w:right w:val="single" w:sz="4" w:space="0" w:color="auto"/>
            </w:tcBorders>
            <w:noWrap/>
            <w:hideMark/>
          </w:tcPr>
          <w:p w14:paraId="569C74DE" w14:textId="77777777" w:rsidR="00FB54A0" w:rsidRPr="00B72B6D" w:rsidRDefault="00FB54A0" w:rsidP="00396DC7">
            <w:pPr>
              <w:spacing w:before="120" w:after="120"/>
              <w:rPr>
                <w:rFonts w:cs="Arial"/>
                <w:color w:val="000000"/>
              </w:rPr>
            </w:pPr>
            <w:r w:rsidRPr="00B72B6D">
              <w:rPr>
                <w:rFonts w:cs="Arial"/>
                <w:color w:val="000000"/>
              </w:rPr>
              <w:t>Test Administration</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4B3C52BF" w14:textId="77777777" w:rsidR="00FB54A0" w:rsidRPr="00B72B6D" w:rsidRDefault="00FB54A0" w:rsidP="00396DC7">
            <w:pPr>
              <w:spacing w:before="120" w:after="120"/>
              <w:ind w:right="222"/>
              <w:jc w:val="right"/>
              <w:rPr>
                <w:rFonts w:cs="Arial"/>
                <w:color w:val="000000"/>
              </w:rPr>
            </w:pPr>
            <w:r w:rsidRPr="00B72B6D">
              <w:rPr>
                <w:rFonts w:cs="Arial"/>
                <w:color w:val="000000"/>
              </w:rPr>
              <w:t>2</w:t>
            </w:r>
            <w:r w:rsidRPr="00B72B6D">
              <w:rPr>
                <w:rFonts w:cs="Arial"/>
              </w:rPr>
              <w:t>07</w:t>
            </w:r>
          </w:p>
        </w:tc>
        <w:tc>
          <w:tcPr>
            <w:tcW w:w="1336" w:type="dxa"/>
            <w:tcBorders>
              <w:top w:val="single" w:sz="4" w:space="0" w:color="auto"/>
              <w:left w:val="single" w:sz="4" w:space="0" w:color="auto"/>
              <w:bottom w:val="single" w:sz="4" w:space="0" w:color="auto"/>
              <w:right w:val="single" w:sz="4" w:space="0" w:color="auto"/>
            </w:tcBorders>
            <w:noWrap/>
          </w:tcPr>
          <w:p w14:paraId="643F4B04" w14:textId="77777777" w:rsidR="00FB54A0" w:rsidRPr="00B72B6D" w:rsidRDefault="00FB54A0" w:rsidP="00396DC7">
            <w:pPr>
              <w:spacing w:before="120" w:after="120"/>
              <w:ind w:right="299"/>
              <w:jc w:val="right"/>
              <w:rPr>
                <w:rFonts w:cs="Arial"/>
                <w:color w:val="000000"/>
              </w:rPr>
            </w:pPr>
            <w:r w:rsidRPr="00B72B6D">
              <w:rPr>
                <w:rFonts w:cs="Arial"/>
                <w:color w:val="000000"/>
              </w:rPr>
              <w:t>207</w:t>
            </w:r>
          </w:p>
        </w:tc>
        <w:tc>
          <w:tcPr>
            <w:tcW w:w="1452" w:type="dxa"/>
            <w:tcBorders>
              <w:top w:val="single" w:sz="4" w:space="0" w:color="auto"/>
              <w:left w:val="single" w:sz="4" w:space="0" w:color="auto"/>
              <w:bottom w:val="single" w:sz="4" w:space="0" w:color="auto"/>
              <w:right w:val="single" w:sz="4" w:space="0" w:color="auto"/>
            </w:tcBorders>
            <w:noWrap/>
          </w:tcPr>
          <w:p w14:paraId="6B2DCC4A" w14:textId="77777777" w:rsidR="00FB54A0" w:rsidRPr="00B72B6D" w:rsidRDefault="00FB54A0" w:rsidP="00396DC7">
            <w:pPr>
              <w:spacing w:before="120" w:after="120"/>
              <w:ind w:right="422"/>
              <w:jc w:val="right"/>
              <w:rPr>
                <w:rFonts w:cs="Arial"/>
                <w:color w:val="000000"/>
              </w:rPr>
            </w:pPr>
            <w:r w:rsidRPr="00B72B6D">
              <w:rPr>
                <w:rFonts w:cs="Arial"/>
                <w:color w:val="000000"/>
              </w:rPr>
              <w:t>140</w:t>
            </w:r>
          </w:p>
        </w:tc>
      </w:tr>
      <w:tr w:rsidR="00FB54A0" w:rsidRPr="00B72B6D" w14:paraId="6DDA99C7"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2FBD70E6" w14:textId="77777777" w:rsidR="00FB54A0" w:rsidRPr="00B72B6D" w:rsidRDefault="00FB54A0" w:rsidP="00396DC7">
            <w:pPr>
              <w:spacing w:before="120" w:after="120"/>
              <w:ind w:hanging="21"/>
              <w:rPr>
                <w:rFonts w:cs="Arial"/>
                <w:color w:val="000000"/>
              </w:rPr>
            </w:pPr>
            <w:r w:rsidRPr="00B72B6D">
              <w:rPr>
                <w:rFonts w:cs="Arial"/>
                <w:color w:val="000000"/>
              </w:rPr>
              <w:t xml:space="preserve">Task 3.8. </w:t>
            </w:r>
          </w:p>
        </w:tc>
        <w:tc>
          <w:tcPr>
            <w:tcW w:w="4048" w:type="dxa"/>
            <w:tcBorders>
              <w:top w:val="single" w:sz="4" w:space="0" w:color="auto"/>
              <w:left w:val="single" w:sz="4" w:space="0" w:color="auto"/>
              <w:bottom w:val="single" w:sz="4" w:space="0" w:color="auto"/>
              <w:right w:val="single" w:sz="4" w:space="0" w:color="auto"/>
            </w:tcBorders>
            <w:noWrap/>
            <w:hideMark/>
          </w:tcPr>
          <w:p w14:paraId="11A0E54C" w14:textId="77777777" w:rsidR="00FB54A0" w:rsidRPr="00B72B6D" w:rsidRDefault="00FB54A0" w:rsidP="00396DC7">
            <w:pPr>
              <w:spacing w:before="120" w:after="120"/>
              <w:rPr>
                <w:rFonts w:cs="Arial"/>
                <w:color w:val="000000"/>
              </w:rPr>
            </w:pPr>
            <w:r w:rsidRPr="00B72B6D">
              <w:rPr>
                <w:rFonts w:cs="Arial"/>
                <w:color w:val="000000"/>
              </w:rPr>
              <w:t>Scoring and Analysis</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648961DC" w14:textId="77777777" w:rsidR="00FB54A0" w:rsidRPr="00B72B6D" w:rsidRDefault="00FB54A0" w:rsidP="00396DC7">
            <w:pPr>
              <w:spacing w:before="120" w:after="120"/>
              <w:ind w:right="222"/>
              <w:jc w:val="right"/>
              <w:rPr>
                <w:rFonts w:cs="Arial"/>
                <w:color w:val="000000"/>
              </w:rPr>
            </w:pPr>
            <w:r w:rsidRPr="00B72B6D">
              <w:rPr>
                <w:rFonts w:cs="Arial"/>
                <w:color w:val="000000"/>
              </w:rPr>
              <w:t>167</w:t>
            </w:r>
          </w:p>
        </w:tc>
        <w:tc>
          <w:tcPr>
            <w:tcW w:w="1336" w:type="dxa"/>
            <w:tcBorders>
              <w:top w:val="single" w:sz="4" w:space="0" w:color="auto"/>
              <w:left w:val="single" w:sz="4" w:space="0" w:color="auto"/>
              <w:bottom w:val="single" w:sz="4" w:space="0" w:color="auto"/>
              <w:right w:val="single" w:sz="4" w:space="0" w:color="auto"/>
            </w:tcBorders>
            <w:noWrap/>
          </w:tcPr>
          <w:p w14:paraId="057C192E" w14:textId="77777777" w:rsidR="00FB54A0" w:rsidRPr="00B72B6D" w:rsidRDefault="00FB54A0" w:rsidP="00396DC7">
            <w:pPr>
              <w:spacing w:before="120" w:after="120"/>
              <w:ind w:right="299"/>
              <w:jc w:val="right"/>
              <w:rPr>
                <w:rFonts w:cs="Arial"/>
                <w:color w:val="000000"/>
              </w:rPr>
            </w:pPr>
            <w:r w:rsidRPr="00B72B6D">
              <w:rPr>
                <w:rFonts w:cs="Arial"/>
                <w:color w:val="000000"/>
              </w:rPr>
              <w:t>167</w:t>
            </w:r>
          </w:p>
        </w:tc>
        <w:tc>
          <w:tcPr>
            <w:tcW w:w="1452" w:type="dxa"/>
            <w:tcBorders>
              <w:top w:val="single" w:sz="4" w:space="0" w:color="auto"/>
              <w:left w:val="single" w:sz="4" w:space="0" w:color="auto"/>
              <w:bottom w:val="single" w:sz="4" w:space="0" w:color="auto"/>
              <w:right w:val="single" w:sz="4" w:space="0" w:color="auto"/>
            </w:tcBorders>
            <w:noWrap/>
          </w:tcPr>
          <w:p w14:paraId="04DEAE8A" w14:textId="77777777" w:rsidR="00FB54A0" w:rsidRPr="00B72B6D" w:rsidRDefault="00FB54A0" w:rsidP="00396DC7">
            <w:pPr>
              <w:spacing w:before="120" w:after="120"/>
              <w:ind w:right="422"/>
              <w:jc w:val="right"/>
              <w:rPr>
                <w:rFonts w:cs="Arial"/>
                <w:color w:val="000000"/>
              </w:rPr>
            </w:pPr>
            <w:r w:rsidRPr="00B72B6D">
              <w:rPr>
                <w:rFonts w:cs="Arial"/>
                <w:color w:val="000000"/>
              </w:rPr>
              <w:t>149</w:t>
            </w:r>
          </w:p>
        </w:tc>
      </w:tr>
      <w:tr w:rsidR="00FB54A0" w:rsidRPr="00B72B6D" w14:paraId="10AD8289"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764A6997" w14:textId="77777777" w:rsidR="00FB54A0" w:rsidRPr="00B72B6D" w:rsidRDefault="00FB54A0" w:rsidP="00396DC7">
            <w:pPr>
              <w:spacing w:before="120" w:after="120"/>
              <w:ind w:hanging="21"/>
              <w:rPr>
                <w:rFonts w:cs="Arial"/>
                <w:color w:val="000000"/>
              </w:rPr>
            </w:pPr>
            <w:r w:rsidRPr="00B72B6D">
              <w:rPr>
                <w:rFonts w:cs="Arial"/>
                <w:color w:val="000000"/>
              </w:rPr>
              <w:t xml:space="preserve">Task 3.9. </w:t>
            </w:r>
          </w:p>
        </w:tc>
        <w:tc>
          <w:tcPr>
            <w:tcW w:w="4048" w:type="dxa"/>
            <w:tcBorders>
              <w:top w:val="single" w:sz="4" w:space="0" w:color="auto"/>
              <w:left w:val="single" w:sz="4" w:space="0" w:color="auto"/>
              <w:bottom w:val="single" w:sz="4" w:space="0" w:color="auto"/>
              <w:right w:val="single" w:sz="4" w:space="0" w:color="auto"/>
            </w:tcBorders>
            <w:noWrap/>
            <w:hideMark/>
          </w:tcPr>
          <w:p w14:paraId="1FC1C144" w14:textId="77777777" w:rsidR="00FB54A0" w:rsidRPr="00B72B6D" w:rsidRDefault="00FB54A0" w:rsidP="00396DC7">
            <w:pPr>
              <w:spacing w:before="120" w:after="120"/>
              <w:rPr>
                <w:rFonts w:cs="Arial"/>
                <w:color w:val="000000"/>
              </w:rPr>
            </w:pPr>
            <w:r w:rsidRPr="00B72B6D">
              <w:rPr>
                <w:rFonts w:cs="Arial"/>
                <w:color w:val="000000"/>
              </w:rPr>
              <w:t>Reporting</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67200779" w14:textId="77777777" w:rsidR="00FB54A0" w:rsidRPr="00B72B6D" w:rsidRDefault="00FB54A0" w:rsidP="00396DC7">
            <w:pPr>
              <w:spacing w:before="120" w:after="120"/>
              <w:ind w:right="222"/>
              <w:jc w:val="right"/>
              <w:rPr>
                <w:rFonts w:cs="Arial"/>
                <w:color w:val="000000"/>
              </w:rPr>
            </w:pPr>
            <w:r w:rsidRPr="00B72B6D">
              <w:rPr>
                <w:rFonts w:cs="Arial"/>
                <w:color w:val="000000"/>
              </w:rPr>
              <w:t>167</w:t>
            </w:r>
          </w:p>
        </w:tc>
        <w:tc>
          <w:tcPr>
            <w:tcW w:w="1336" w:type="dxa"/>
            <w:tcBorders>
              <w:top w:val="single" w:sz="4" w:space="0" w:color="auto"/>
              <w:left w:val="single" w:sz="4" w:space="0" w:color="auto"/>
              <w:bottom w:val="single" w:sz="4" w:space="0" w:color="auto"/>
              <w:right w:val="single" w:sz="4" w:space="0" w:color="auto"/>
            </w:tcBorders>
            <w:noWrap/>
          </w:tcPr>
          <w:p w14:paraId="52CB8885" w14:textId="77777777" w:rsidR="00FB54A0" w:rsidRPr="00B72B6D" w:rsidRDefault="00FB54A0" w:rsidP="00396DC7">
            <w:pPr>
              <w:spacing w:before="120" w:after="120"/>
              <w:ind w:right="299"/>
              <w:jc w:val="right"/>
              <w:rPr>
                <w:rFonts w:cs="Arial"/>
                <w:color w:val="000000"/>
              </w:rPr>
            </w:pPr>
            <w:r w:rsidRPr="00B72B6D">
              <w:rPr>
                <w:rFonts w:cs="Arial"/>
                <w:color w:val="000000"/>
              </w:rPr>
              <w:t>132</w:t>
            </w:r>
          </w:p>
        </w:tc>
        <w:tc>
          <w:tcPr>
            <w:tcW w:w="1452" w:type="dxa"/>
            <w:tcBorders>
              <w:top w:val="single" w:sz="4" w:space="0" w:color="auto"/>
              <w:left w:val="single" w:sz="4" w:space="0" w:color="auto"/>
              <w:bottom w:val="single" w:sz="4" w:space="0" w:color="auto"/>
              <w:right w:val="single" w:sz="4" w:space="0" w:color="auto"/>
            </w:tcBorders>
            <w:noWrap/>
          </w:tcPr>
          <w:p w14:paraId="65412ECE" w14:textId="77777777" w:rsidR="00FB54A0" w:rsidRPr="00B72B6D" w:rsidRDefault="00FB54A0" w:rsidP="00396DC7">
            <w:pPr>
              <w:spacing w:before="120" w:after="120"/>
              <w:ind w:right="422"/>
              <w:jc w:val="right"/>
              <w:rPr>
                <w:rFonts w:cs="Arial"/>
                <w:color w:val="000000"/>
              </w:rPr>
            </w:pPr>
            <w:r w:rsidRPr="00B72B6D">
              <w:rPr>
                <w:rFonts w:cs="Arial"/>
                <w:color w:val="000000"/>
              </w:rPr>
              <w:t>167</w:t>
            </w:r>
          </w:p>
        </w:tc>
      </w:tr>
      <w:tr w:rsidR="00FB54A0" w:rsidRPr="00B72B6D" w14:paraId="01A3F07B" w14:textId="77777777" w:rsidTr="00373089">
        <w:trPr>
          <w:cantSplit/>
          <w:trHeight w:val="300"/>
          <w:tblHeader/>
        </w:trPr>
        <w:tc>
          <w:tcPr>
            <w:tcW w:w="1255" w:type="dxa"/>
            <w:tcBorders>
              <w:top w:val="single" w:sz="4" w:space="0" w:color="auto"/>
              <w:left w:val="single" w:sz="4" w:space="0" w:color="auto"/>
              <w:bottom w:val="single" w:sz="4" w:space="0" w:color="auto"/>
              <w:right w:val="single" w:sz="4" w:space="0" w:color="auto"/>
            </w:tcBorders>
            <w:noWrap/>
            <w:hideMark/>
          </w:tcPr>
          <w:p w14:paraId="6B75723F" w14:textId="77777777" w:rsidR="00FB54A0" w:rsidRPr="00B72B6D" w:rsidRDefault="00FB54A0" w:rsidP="00396DC7">
            <w:pPr>
              <w:spacing w:before="120" w:after="120"/>
              <w:ind w:hanging="21"/>
              <w:rPr>
                <w:rFonts w:cs="Arial"/>
                <w:color w:val="000000"/>
              </w:rPr>
            </w:pPr>
            <w:r w:rsidRPr="00B72B6D">
              <w:rPr>
                <w:rFonts w:cs="Arial"/>
                <w:color w:val="000000"/>
              </w:rPr>
              <w:t>N/A</w:t>
            </w:r>
          </w:p>
        </w:tc>
        <w:tc>
          <w:tcPr>
            <w:tcW w:w="4048" w:type="dxa"/>
            <w:tcBorders>
              <w:top w:val="single" w:sz="4" w:space="0" w:color="auto"/>
              <w:left w:val="single" w:sz="4" w:space="0" w:color="auto"/>
              <w:bottom w:val="single" w:sz="4" w:space="0" w:color="auto"/>
              <w:right w:val="single" w:sz="4" w:space="0" w:color="auto"/>
            </w:tcBorders>
            <w:noWrap/>
            <w:hideMark/>
          </w:tcPr>
          <w:p w14:paraId="13ACC8BC" w14:textId="77777777" w:rsidR="00FB54A0" w:rsidRPr="00B72B6D" w:rsidRDefault="00FB54A0" w:rsidP="00396DC7">
            <w:pPr>
              <w:spacing w:before="120" w:after="120"/>
              <w:rPr>
                <w:rFonts w:cs="Arial"/>
                <w:color w:val="000000"/>
              </w:rPr>
            </w:pPr>
            <w:r w:rsidRPr="00B72B6D">
              <w:rPr>
                <w:rFonts w:cs="Arial"/>
                <w:color w:val="000000"/>
              </w:rPr>
              <w:t>Staffing</w:t>
            </w:r>
          </w:p>
        </w:tc>
        <w:tc>
          <w:tcPr>
            <w:tcW w:w="1259" w:type="dxa"/>
            <w:tcBorders>
              <w:top w:val="single" w:sz="4" w:space="0" w:color="auto"/>
              <w:left w:val="single" w:sz="4" w:space="0" w:color="auto"/>
              <w:bottom w:val="single" w:sz="4" w:space="0" w:color="auto"/>
              <w:right w:val="single" w:sz="4" w:space="0" w:color="auto"/>
            </w:tcBorders>
            <w:noWrap/>
            <w:vAlign w:val="bottom"/>
            <w:hideMark/>
          </w:tcPr>
          <w:p w14:paraId="669D92DC" w14:textId="77777777" w:rsidR="00FB54A0" w:rsidRPr="00B72B6D" w:rsidRDefault="00FB54A0" w:rsidP="00396DC7">
            <w:pPr>
              <w:spacing w:before="120" w:after="120"/>
              <w:ind w:right="222"/>
              <w:jc w:val="right"/>
              <w:rPr>
                <w:rFonts w:cs="Arial"/>
                <w:color w:val="000000"/>
              </w:rPr>
            </w:pPr>
            <w:r w:rsidRPr="00B72B6D">
              <w:rPr>
                <w:rFonts w:cs="Arial"/>
                <w:color w:val="000000"/>
              </w:rPr>
              <w:t>167</w:t>
            </w:r>
          </w:p>
        </w:tc>
        <w:tc>
          <w:tcPr>
            <w:tcW w:w="1336" w:type="dxa"/>
            <w:tcBorders>
              <w:top w:val="single" w:sz="4" w:space="0" w:color="auto"/>
              <w:left w:val="single" w:sz="4" w:space="0" w:color="auto"/>
              <w:bottom w:val="single" w:sz="4" w:space="0" w:color="auto"/>
              <w:right w:val="single" w:sz="4" w:space="0" w:color="auto"/>
            </w:tcBorders>
            <w:noWrap/>
          </w:tcPr>
          <w:p w14:paraId="4617F576" w14:textId="77777777" w:rsidR="00FB54A0" w:rsidRPr="00B72B6D" w:rsidRDefault="00FB54A0" w:rsidP="00396DC7">
            <w:pPr>
              <w:spacing w:before="120" w:after="120"/>
              <w:ind w:right="299"/>
              <w:jc w:val="right"/>
              <w:rPr>
                <w:rFonts w:cs="Arial"/>
                <w:color w:val="000000"/>
              </w:rPr>
            </w:pPr>
            <w:r w:rsidRPr="00B72B6D">
              <w:rPr>
                <w:rFonts w:cs="Arial"/>
                <w:color w:val="000000"/>
              </w:rPr>
              <w:t>114</w:t>
            </w:r>
          </w:p>
        </w:tc>
        <w:tc>
          <w:tcPr>
            <w:tcW w:w="1452" w:type="dxa"/>
            <w:tcBorders>
              <w:top w:val="single" w:sz="4" w:space="0" w:color="auto"/>
              <w:left w:val="single" w:sz="4" w:space="0" w:color="auto"/>
              <w:bottom w:val="single" w:sz="4" w:space="0" w:color="auto"/>
              <w:right w:val="single" w:sz="4" w:space="0" w:color="auto"/>
            </w:tcBorders>
            <w:noWrap/>
          </w:tcPr>
          <w:p w14:paraId="20308D28" w14:textId="77777777" w:rsidR="00FB54A0" w:rsidRPr="00B72B6D" w:rsidRDefault="00FB54A0" w:rsidP="00396DC7">
            <w:pPr>
              <w:spacing w:before="120" w:after="120"/>
              <w:ind w:right="422"/>
              <w:jc w:val="right"/>
              <w:rPr>
                <w:rFonts w:cs="Arial"/>
                <w:color w:val="000000"/>
              </w:rPr>
            </w:pPr>
            <w:r w:rsidRPr="00B72B6D">
              <w:rPr>
                <w:rFonts w:cs="Arial"/>
                <w:color w:val="000000"/>
              </w:rPr>
              <w:t>167</w:t>
            </w:r>
          </w:p>
        </w:tc>
      </w:tr>
      <w:tr w:rsidR="00FB54A0" w:rsidRPr="00B72B6D" w14:paraId="2C671CAE" w14:textId="77777777" w:rsidTr="00373089">
        <w:trPr>
          <w:cantSplit/>
          <w:trHeight w:val="315"/>
          <w:tblHeader/>
        </w:trPr>
        <w:tc>
          <w:tcPr>
            <w:tcW w:w="1255" w:type="dxa"/>
            <w:tcBorders>
              <w:top w:val="single" w:sz="4" w:space="0" w:color="auto"/>
              <w:left w:val="single" w:sz="4" w:space="0" w:color="auto"/>
              <w:bottom w:val="single" w:sz="4" w:space="0" w:color="auto"/>
              <w:right w:val="single" w:sz="4" w:space="0" w:color="auto"/>
            </w:tcBorders>
            <w:noWrap/>
            <w:hideMark/>
          </w:tcPr>
          <w:p w14:paraId="094D53F6" w14:textId="77777777" w:rsidR="00FB54A0" w:rsidRPr="00B72B6D" w:rsidRDefault="00FB54A0" w:rsidP="00396DC7">
            <w:pPr>
              <w:spacing w:before="120" w:after="120"/>
              <w:ind w:hanging="21"/>
              <w:rPr>
                <w:rFonts w:cs="Arial"/>
                <w:b/>
                <w:bCs/>
                <w:color w:val="000000"/>
              </w:rPr>
            </w:pPr>
            <w:r w:rsidRPr="00B72B6D">
              <w:rPr>
                <w:rFonts w:cs="Arial"/>
                <w:b/>
                <w:bCs/>
                <w:color w:val="000000"/>
              </w:rPr>
              <w:t>N/A</w:t>
            </w:r>
          </w:p>
        </w:tc>
        <w:tc>
          <w:tcPr>
            <w:tcW w:w="4048" w:type="dxa"/>
            <w:tcBorders>
              <w:top w:val="single" w:sz="4" w:space="0" w:color="auto"/>
              <w:left w:val="single" w:sz="4" w:space="0" w:color="auto"/>
              <w:bottom w:val="single" w:sz="4" w:space="0" w:color="auto"/>
              <w:right w:val="single" w:sz="4" w:space="0" w:color="auto"/>
            </w:tcBorders>
            <w:noWrap/>
            <w:hideMark/>
          </w:tcPr>
          <w:p w14:paraId="769ABD76" w14:textId="77777777" w:rsidR="00FB54A0" w:rsidRPr="00B72B6D" w:rsidRDefault="00FB54A0" w:rsidP="00396DC7">
            <w:pPr>
              <w:spacing w:before="120" w:after="120"/>
              <w:rPr>
                <w:rFonts w:cs="Arial"/>
                <w:b/>
                <w:bCs/>
                <w:color w:val="000000"/>
              </w:rPr>
            </w:pPr>
            <w:r w:rsidRPr="00B72B6D">
              <w:rPr>
                <w:rFonts w:cs="Arial"/>
                <w:b/>
                <w:bCs/>
                <w:color w:val="000000"/>
              </w:rPr>
              <w:t>Formal Written Submission Total</w:t>
            </w:r>
          </w:p>
        </w:tc>
        <w:tc>
          <w:tcPr>
            <w:tcW w:w="1259" w:type="dxa"/>
            <w:tcBorders>
              <w:top w:val="single" w:sz="4" w:space="0" w:color="auto"/>
              <w:left w:val="single" w:sz="4" w:space="0" w:color="auto"/>
              <w:bottom w:val="single" w:sz="4" w:space="0" w:color="auto"/>
              <w:right w:val="single" w:sz="4" w:space="0" w:color="auto"/>
            </w:tcBorders>
            <w:noWrap/>
            <w:hideMark/>
          </w:tcPr>
          <w:p w14:paraId="29634CF2" w14:textId="77777777" w:rsidR="00FB54A0" w:rsidRPr="00B72B6D" w:rsidRDefault="00FB54A0" w:rsidP="00396DC7">
            <w:pPr>
              <w:spacing w:before="120" w:after="120"/>
              <w:ind w:right="222"/>
              <w:jc w:val="right"/>
              <w:rPr>
                <w:rFonts w:cs="Arial"/>
                <w:b/>
                <w:bCs/>
                <w:color w:val="000000"/>
              </w:rPr>
            </w:pPr>
            <w:r w:rsidRPr="00B72B6D">
              <w:rPr>
                <w:rFonts w:cs="Arial"/>
                <w:b/>
                <w:bCs/>
                <w:color w:val="000000"/>
              </w:rPr>
              <w:t>1,250</w:t>
            </w:r>
          </w:p>
        </w:tc>
        <w:tc>
          <w:tcPr>
            <w:tcW w:w="1336" w:type="dxa"/>
            <w:tcBorders>
              <w:top w:val="single" w:sz="4" w:space="0" w:color="auto"/>
              <w:left w:val="single" w:sz="4" w:space="0" w:color="auto"/>
              <w:bottom w:val="single" w:sz="4" w:space="0" w:color="auto"/>
              <w:right w:val="single" w:sz="4" w:space="0" w:color="auto"/>
            </w:tcBorders>
            <w:noWrap/>
          </w:tcPr>
          <w:p w14:paraId="618B9F87" w14:textId="77777777" w:rsidR="00FB54A0" w:rsidRPr="00B72B6D" w:rsidRDefault="00FB54A0" w:rsidP="00396DC7">
            <w:pPr>
              <w:spacing w:before="120" w:after="120"/>
              <w:ind w:right="299"/>
              <w:jc w:val="right"/>
              <w:rPr>
                <w:rFonts w:cs="Arial"/>
                <w:b/>
                <w:bCs/>
                <w:color w:val="000000"/>
              </w:rPr>
            </w:pPr>
            <w:r w:rsidRPr="00B72B6D">
              <w:rPr>
                <w:rFonts w:cs="Arial"/>
                <w:b/>
                <w:bCs/>
                <w:color w:val="000000"/>
              </w:rPr>
              <w:t>888</w:t>
            </w:r>
          </w:p>
        </w:tc>
        <w:tc>
          <w:tcPr>
            <w:tcW w:w="1452" w:type="dxa"/>
            <w:tcBorders>
              <w:top w:val="single" w:sz="4" w:space="0" w:color="auto"/>
              <w:left w:val="single" w:sz="4" w:space="0" w:color="auto"/>
              <w:bottom w:val="single" w:sz="4" w:space="0" w:color="auto"/>
              <w:right w:val="single" w:sz="4" w:space="0" w:color="auto"/>
            </w:tcBorders>
            <w:noWrap/>
          </w:tcPr>
          <w:p w14:paraId="4473E00D" w14:textId="77777777" w:rsidR="00FB54A0" w:rsidRPr="00B72B6D" w:rsidRDefault="00FB54A0" w:rsidP="00396DC7">
            <w:pPr>
              <w:spacing w:before="120" w:after="120"/>
              <w:ind w:right="422"/>
              <w:jc w:val="right"/>
              <w:rPr>
                <w:rFonts w:cs="Arial"/>
                <w:b/>
                <w:bCs/>
                <w:color w:val="000000"/>
              </w:rPr>
            </w:pPr>
            <w:r w:rsidRPr="00B72B6D">
              <w:rPr>
                <w:rFonts w:cs="Arial"/>
                <w:b/>
                <w:bCs/>
                <w:color w:val="000000"/>
              </w:rPr>
              <w:t>1,165</w:t>
            </w:r>
          </w:p>
        </w:tc>
      </w:tr>
    </w:tbl>
    <w:p w14:paraId="0AC3FD68" w14:textId="77777777" w:rsidR="00FB54A0" w:rsidRPr="00B72B6D" w:rsidRDefault="00FB54A0" w:rsidP="00FB54A0"/>
    <w:p w14:paraId="1BDD291E" w14:textId="013C9EBC" w:rsidR="00FB54A0" w:rsidRPr="002435D5" w:rsidRDefault="00FB54A0" w:rsidP="002435D5">
      <w:pPr>
        <w:pStyle w:val="Heading4"/>
        <w:spacing w:after="120"/>
        <w:rPr>
          <w:sz w:val="24"/>
        </w:rPr>
      </w:pPr>
      <w:r w:rsidRPr="002435D5">
        <w:rPr>
          <w:sz w:val="24"/>
        </w:rPr>
        <w:t xml:space="preserve">Table </w:t>
      </w:r>
      <w:r w:rsidR="000C0C4B" w:rsidRPr="002435D5">
        <w:rPr>
          <w:sz w:val="24"/>
        </w:rPr>
        <w:t>9</w:t>
      </w:r>
      <w:r w:rsidRPr="002435D5">
        <w:rPr>
          <w:sz w:val="24"/>
        </w:rPr>
        <w:t xml:space="preserve">. Stage Three Overall Technical </w:t>
      </w:r>
      <w:r w:rsidR="009B1EF5" w:rsidRPr="002435D5">
        <w:rPr>
          <w:sz w:val="24"/>
        </w:rPr>
        <w:t xml:space="preserve">Scores </w:t>
      </w:r>
      <w:r w:rsidRPr="002435D5">
        <w:rPr>
          <w:sz w:val="24"/>
        </w:rPr>
        <w:t>for ETS and NCS Pearson, Inc.</w:t>
      </w:r>
    </w:p>
    <w:tbl>
      <w:tblPr>
        <w:tblStyle w:val="TableGrid19"/>
        <w:tblW w:w="9355" w:type="dxa"/>
        <w:tblInd w:w="0" w:type="dxa"/>
        <w:tblLook w:val="04A0" w:firstRow="1" w:lastRow="0" w:firstColumn="1" w:lastColumn="0" w:noHBand="0" w:noVBand="1"/>
        <w:tblDescription w:val="Table 9. Stage Three Overall Technical Scores for ETS and NCS Pearson, Inc."/>
      </w:tblPr>
      <w:tblGrid>
        <w:gridCol w:w="2515"/>
        <w:gridCol w:w="1710"/>
        <w:gridCol w:w="1710"/>
        <w:gridCol w:w="1710"/>
        <w:gridCol w:w="1710"/>
      </w:tblGrid>
      <w:tr w:rsidR="00FB54A0" w:rsidRPr="00B72B6D" w14:paraId="531F4233" w14:textId="77777777" w:rsidTr="00373089">
        <w:trPr>
          <w:cantSplit/>
          <w:trHeight w:val="915"/>
          <w:tblHeader/>
        </w:trPr>
        <w:tc>
          <w:tcPr>
            <w:tcW w:w="2515"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E7F2F6E" w14:textId="77777777" w:rsidR="00FB54A0" w:rsidRPr="00B72B6D" w:rsidRDefault="00FB54A0" w:rsidP="00396DC7">
            <w:pPr>
              <w:spacing w:before="120" w:after="120"/>
              <w:jc w:val="center"/>
              <w:rPr>
                <w:rFonts w:cs="Arial"/>
                <w:b/>
                <w:color w:val="000000"/>
              </w:rPr>
            </w:pPr>
            <w:r w:rsidRPr="00B72B6D">
              <w:rPr>
                <w:rFonts w:cs="Arial"/>
                <w:b/>
                <w:color w:val="000000"/>
              </w:rPr>
              <w:t>Contractor Name</w:t>
            </w:r>
          </w:p>
        </w:tc>
        <w:tc>
          <w:tcPr>
            <w:tcW w:w="171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04B4609" w14:textId="54DEF92F" w:rsidR="00FB54A0" w:rsidRPr="00B72B6D" w:rsidRDefault="00FB54A0" w:rsidP="00396DC7">
            <w:pPr>
              <w:spacing w:before="120" w:after="120"/>
              <w:jc w:val="center"/>
              <w:rPr>
                <w:rFonts w:cs="Arial"/>
                <w:b/>
                <w:color w:val="000000"/>
              </w:rPr>
            </w:pPr>
            <w:r w:rsidRPr="00B72B6D">
              <w:rPr>
                <w:rFonts w:cs="Arial"/>
                <w:b/>
              </w:rPr>
              <w:t xml:space="preserve">Stage One Score </w:t>
            </w:r>
            <w:r w:rsidRPr="00B72B6D">
              <w:rPr>
                <w:rFonts w:cs="Arial"/>
                <w:b/>
              </w:rPr>
              <w:br/>
            </w:r>
            <w:r w:rsidRPr="00B72B6D">
              <w:rPr>
                <w:rFonts w:cs="Arial"/>
              </w:rPr>
              <w:t>(1,000 points</w:t>
            </w:r>
            <w:r w:rsidRPr="00B72B6D" w:rsidDel="009B1EF5">
              <w:rPr>
                <w:rFonts w:cs="Arial"/>
              </w:rPr>
              <w:t xml:space="preserve"> </w:t>
            </w:r>
            <w:r w:rsidRPr="00B72B6D">
              <w:rPr>
                <w:rFonts w:cs="Arial"/>
              </w:rPr>
              <w:t>possible)</w:t>
            </w:r>
          </w:p>
        </w:tc>
        <w:tc>
          <w:tcPr>
            <w:tcW w:w="171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2CA8E27" w14:textId="77777777" w:rsidR="00FB54A0" w:rsidRPr="00B72B6D" w:rsidRDefault="00FB54A0" w:rsidP="00396DC7">
            <w:pPr>
              <w:spacing w:before="120" w:after="120"/>
              <w:jc w:val="center"/>
              <w:textAlignment w:val="baseline"/>
              <w:rPr>
                <w:rFonts w:cs="Arial"/>
                <w:b/>
              </w:rPr>
            </w:pPr>
            <w:r w:rsidRPr="00B72B6D">
              <w:rPr>
                <w:rFonts w:cs="Arial"/>
                <w:b/>
              </w:rPr>
              <w:t xml:space="preserve">Stage Two Score </w:t>
            </w:r>
          </w:p>
          <w:p w14:paraId="4FBC4190" w14:textId="77777777" w:rsidR="00FB54A0" w:rsidRPr="00B72B6D" w:rsidRDefault="00FB54A0" w:rsidP="00396DC7">
            <w:pPr>
              <w:spacing w:before="120" w:after="120"/>
              <w:jc w:val="center"/>
              <w:rPr>
                <w:rFonts w:cs="Arial"/>
                <w:color w:val="000000"/>
              </w:rPr>
            </w:pPr>
            <w:r w:rsidRPr="00B72B6D">
              <w:rPr>
                <w:rFonts w:cs="Arial"/>
              </w:rPr>
              <w:t xml:space="preserve">(1,000 points </w:t>
            </w:r>
            <w:r w:rsidRPr="00B72B6D">
              <w:rPr>
                <w:rFonts w:cs="Arial"/>
              </w:rPr>
              <w:br/>
              <w:t>possible)</w:t>
            </w:r>
          </w:p>
        </w:tc>
        <w:tc>
          <w:tcPr>
            <w:tcW w:w="171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42C1186" w14:textId="77777777" w:rsidR="00FB54A0" w:rsidRPr="00B72B6D" w:rsidRDefault="00FB54A0" w:rsidP="00396DC7">
            <w:pPr>
              <w:spacing w:before="120" w:after="120"/>
              <w:jc w:val="center"/>
              <w:rPr>
                <w:rFonts w:cs="Arial"/>
                <w:b/>
                <w:color w:val="000000"/>
              </w:rPr>
            </w:pPr>
            <w:r w:rsidRPr="00B72B6D">
              <w:rPr>
                <w:rFonts w:cs="Arial"/>
                <w:b/>
              </w:rPr>
              <w:t xml:space="preserve">Stage Three Score </w:t>
            </w:r>
            <w:r w:rsidRPr="00B72B6D">
              <w:rPr>
                <w:rFonts w:cs="Arial"/>
                <w:b/>
              </w:rPr>
              <w:br/>
            </w:r>
            <w:r w:rsidRPr="00B72B6D">
              <w:rPr>
                <w:rFonts w:cs="Arial"/>
              </w:rPr>
              <w:t>(3,000 points possible)</w:t>
            </w:r>
          </w:p>
        </w:tc>
        <w:tc>
          <w:tcPr>
            <w:tcW w:w="1710" w:type="dxa"/>
            <w:tcBorders>
              <w:top w:val="single" w:sz="4" w:space="0" w:color="auto"/>
              <w:left w:val="single" w:sz="4" w:space="0" w:color="auto"/>
              <w:bottom w:val="single" w:sz="4" w:space="0" w:color="auto"/>
              <w:right w:val="single" w:sz="4" w:space="0" w:color="auto"/>
            </w:tcBorders>
            <w:shd w:val="clear" w:color="auto" w:fill="D9E2F3"/>
          </w:tcPr>
          <w:p w14:paraId="29A8FDD9" w14:textId="77777777" w:rsidR="00FB54A0" w:rsidRPr="00B72B6D" w:rsidRDefault="00FB54A0" w:rsidP="00373089">
            <w:pPr>
              <w:spacing w:before="120" w:after="120"/>
              <w:jc w:val="center"/>
              <w:rPr>
                <w:rFonts w:cs="Arial"/>
                <w:b/>
                <w:color w:val="000000"/>
              </w:rPr>
            </w:pPr>
            <w:r w:rsidRPr="00B72B6D">
              <w:rPr>
                <w:rFonts w:cs="Arial"/>
                <w:b/>
              </w:rPr>
              <w:t>Total Score</w:t>
            </w:r>
            <w:r w:rsidRPr="00B72B6D">
              <w:rPr>
                <w:rFonts w:cs="Arial"/>
                <w:b/>
              </w:rPr>
              <w:br/>
            </w:r>
            <w:r w:rsidRPr="00B72B6D">
              <w:rPr>
                <w:rFonts w:cs="Arial"/>
              </w:rPr>
              <w:t>(5,000 points possible)</w:t>
            </w:r>
          </w:p>
        </w:tc>
      </w:tr>
      <w:tr w:rsidR="00FB54A0" w:rsidRPr="00B72B6D" w14:paraId="678DFCC4" w14:textId="77777777" w:rsidTr="00373089">
        <w:trPr>
          <w:cantSplit/>
          <w:trHeight w:val="300"/>
          <w:tblHeader/>
        </w:trPr>
        <w:tc>
          <w:tcPr>
            <w:tcW w:w="2515" w:type="dxa"/>
            <w:tcBorders>
              <w:top w:val="single" w:sz="4" w:space="0" w:color="auto"/>
              <w:left w:val="single" w:sz="4" w:space="0" w:color="auto"/>
              <w:bottom w:val="single" w:sz="4" w:space="0" w:color="auto"/>
              <w:right w:val="single" w:sz="4" w:space="0" w:color="auto"/>
            </w:tcBorders>
            <w:noWrap/>
            <w:hideMark/>
          </w:tcPr>
          <w:p w14:paraId="713B8C98" w14:textId="77777777" w:rsidR="00FB54A0" w:rsidRPr="00B72B6D" w:rsidRDefault="00FB54A0" w:rsidP="00396DC7">
            <w:pPr>
              <w:spacing w:before="120" w:after="120"/>
              <w:rPr>
                <w:rFonts w:cs="Arial"/>
                <w:color w:val="000000"/>
              </w:rPr>
            </w:pPr>
            <w:r w:rsidRPr="00B72B6D">
              <w:rPr>
                <w:rFonts w:cs="Arial"/>
                <w:color w:val="000000"/>
              </w:rPr>
              <w:t>ETS</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48D9CE8" w14:textId="77777777" w:rsidR="00FB54A0" w:rsidRPr="00B72B6D" w:rsidRDefault="00FB54A0" w:rsidP="00396DC7">
            <w:pPr>
              <w:spacing w:before="120" w:after="120"/>
              <w:ind w:right="430"/>
              <w:jc w:val="right"/>
              <w:rPr>
                <w:rFonts w:cs="Arial"/>
                <w:color w:val="000000"/>
              </w:rPr>
            </w:pPr>
            <w:r w:rsidRPr="00B72B6D">
              <w:rPr>
                <w:rFonts w:cs="Arial"/>
                <w:color w:val="000000"/>
              </w:rPr>
              <w:t>936</w:t>
            </w:r>
          </w:p>
        </w:tc>
        <w:tc>
          <w:tcPr>
            <w:tcW w:w="1710" w:type="dxa"/>
            <w:tcBorders>
              <w:top w:val="single" w:sz="4" w:space="0" w:color="auto"/>
              <w:left w:val="single" w:sz="4" w:space="0" w:color="auto"/>
              <w:bottom w:val="single" w:sz="4" w:space="0" w:color="auto"/>
              <w:right w:val="single" w:sz="4" w:space="0" w:color="auto"/>
            </w:tcBorders>
            <w:noWrap/>
            <w:vAlign w:val="bottom"/>
          </w:tcPr>
          <w:p w14:paraId="17C92329" w14:textId="77777777" w:rsidR="00FB54A0" w:rsidRPr="00B72B6D" w:rsidRDefault="00FB54A0" w:rsidP="00396DC7">
            <w:pPr>
              <w:spacing w:before="120" w:after="120"/>
              <w:ind w:right="347"/>
              <w:jc w:val="right"/>
              <w:rPr>
                <w:rFonts w:cs="Arial"/>
                <w:color w:val="000000"/>
              </w:rPr>
            </w:pPr>
            <w:r w:rsidRPr="00B72B6D">
              <w:rPr>
                <w:rFonts w:cs="Arial"/>
                <w:color w:val="000000"/>
              </w:rPr>
              <w:t>953</w:t>
            </w:r>
          </w:p>
        </w:tc>
        <w:tc>
          <w:tcPr>
            <w:tcW w:w="1710" w:type="dxa"/>
            <w:tcBorders>
              <w:top w:val="single" w:sz="4" w:space="0" w:color="auto"/>
              <w:left w:val="single" w:sz="4" w:space="0" w:color="auto"/>
              <w:bottom w:val="single" w:sz="4" w:space="0" w:color="auto"/>
              <w:right w:val="single" w:sz="4" w:space="0" w:color="auto"/>
            </w:tcBorders>
            <w:noWrap/>
            <w:vAlign w:val="bottom"/>
          </w:tcPr>
          <w:p w14:paraId="1A569C30" w14:textId="77777777" w:rsidR="00FB54A0" w:rsidRPr="00B72B6D" w:rsidRDefault="00FB54A0" w:rsidP="00396DC7">
            <w:pPr>
              <w:spacing w:before="120" w:after="120"/>
              <w:ind w:right="422"/>
              <w:jc w:val="right"/>
              <w:rPr>
                <w:rFonts w:cs="Arial"/>
                <w:color w:val="000000"/>
              </w:rPr>
            </w:pPr>
            <w:r w:rsidRPr="00B72B6D">
              <w:rPr>
                <w:rFonts w:cs="Arial"/>
                <w:color w:val="000000"/>
              </w:rPr>
              <w:t>2,874</w:t>
            </w:r>
          </w:p>
        </w:tc>
        <w:tc>
          <w:tcPr>
            <w:tcW w:w="1710" w:type="dxa"/>
            <w:tcBorders>
              <w:top w:val="single" w:sz="4" w:space="0" w:color="auto"/>
              <w:left w:val="single" w:sz="4" w:space="0" w:color="auto"/>
              <w:bottom w:val="single" w:sz="4" w:space="0" w:color="auto"/>
              <w:right w:val="single" w:sz="4" w:space="0" w:color="auto"/>
            </w:tcBorders>
          </w:tcPr>
          <w:p w14:paraId="07B28B13" w14:textId="77777777" w:rsidR="00FB54A0" w:rsidRPr="00B72B6D" w:rsidRDefault="00FB54A0" w:rsidP="00396DC7">
            <w:pPr>
              <w:spacing w:before="120" w:after="120"/>
              <w:ind w:right="422"/>
              <w:jc w:val="right"/>
              <w:rPr>
                <w:rFonts w:cs="Arial"/>
                <w:color w:val="000000"/>
              </w:rPr>
            </w:pPr>
            <w:r w:rsidRPr="00B72B6D">
              <w:rPr>
                <w:rFonts w:cs="Arial"/>
                <w:color w:val="000000"/>
              </w:rPr>
              <w:t>4,763</w:t>
            </w:r>
          </w:p>
        </w:tc>
      </w:tr>
      <w:tr w:rsidR="00FB54A0" w:rsidRPr="00B72B6D" w14:paraId="268796AD" w14:textId="77777777" w:rsidTr="00373089">
        <w:trPr>
          <w:cantSplit/>
          <w:trHeight w:val="300"/>
          <w:tblHeader/>
        </w:trPr>
        <w:tc>
          <w:tcPr>
            <w:tcW w:w="2515" w:type="dxa"/>
            <w:tcBorders>
              <w:top w:val="single" w:sz="4" w:space="0" w:color="auto"/>
              <w:left w:val="single" w:sz="4" w:space="0" w:color="auto"/>
              <w:bottom w:val="single" w:sz="4" w:space="0" w:color="auto"/>
              <w:right w:val="single" w:sz="4" w:space="0" w:color="auto"/>
            </w:tcBorders>
            <w:noWrap/>
            <w:hideMark/>
          </w:tcPr>
          <w:p w14:paraId="4D26D321" w14:textId="77777777" w:rsidR="00FB54A0" w:rsidRPr="00B72B6D" w:rsidRDefault="00FB54A0" w:rsidP="00396DC7">
            <w:pPr>
              <w:spacing w:before="120" w:after="120"/>
              <w:rPr>
                <w:rFonts w:cs="Arial"/>
                <w:color w:val="000000"/>
              </w:rPr>
            </w:pPr>
            <w:r w:rsidRPr="00B72B6D">
              <w:rPr>
                <w:rFonts w:cs="Arial"/>
                <w:color w:val="000000"/>
              </w:rPr>
              <w:t>NCS Pearson, Inc.</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57E705A" w14:textId="77777777" w:rsidR="00FB54A0" w:rsidRPr="00B72B6D" w:rsidRDefault="00FB54A0" w:rsidP="00396DC7">
            <w:pPr>
              <w:spacing w:before="120" w:after="120"/>
              <w:ind w:right="430"/>
              <w:jc w:val="right"/>
              <w:rPr>
                <w:rFonts w:cs="Arial"/>
                <w:color w:val="000000"/>
              </w:rPr>
            </w:pPr>
            <w:r w:rsidRPr="00B72B6D">
              <w:rPr>
                <w:rFonts w:cs="Arial"/>
                <w:color w:val="000000"/>
              </w:rPr>
              <w:t>907</w:t>
            </w:r>
          </w:p>
        </w:tc>
        <w:tc>
          <w:tcPr>
            <w:tcW w:w="1710" w:type="dxa"/>
            <w:tcBorders>
              <w:top w:val="single" w:sz="4" w:space="0" w:color="auto"/>
              <w:left w:val="single" w:sz="4" w:space="0" w:color="auto"/>
              <w:bottom w:val="single" w:sz="4" w:space="0" w:color="auto"/>
              <w:right w:val="single" w:sz="4" w:space="0" w:color="auto"/>
            </w:tcBorders>
            <w:noWrap/>
          </w:tcPr>
          <w:p w14:paraId="3EA924F5" w14:textId="77777777" w:rsidR="00FB54A0" w:rsidRPr="00B72B6D" w:rsidRDefault="00FB54A0" w:rsidP="00396DC7">
            <w:pPr>
              <w:spacing w:before="120" w:after="120"/>
              <w:ind w:right="347"/>
              <w:jc w:val="right"/>
              <w:rPr>
                <w:rFonts w:cs="Arial"/>
                <w:color w:val="000000"/>
              </w:rPr>
            </w:pPr>
            <w:r w:rsidRPr="00B72B6D">
              <w:rPr>
                <w:rFonts w:cs="Arial"/>
                <w:color w:val="000000"/>
              </w:rPr>
              <w:t>892</w:t>
            </w:r>
          </w:p>
        </w:tc>
        <w:tc>
          <w:tcPr>
            <w:tcW w:w="1710" w:type="dxa"/>
            <w:tcBorders>
              <w:top w:val="single" w:sz="4" w:space="0" w:color="auto"/>
              <w:left w:val="single" w:sz="4" w:space="0" w:color="auto"/>
              <w:bottom w:val="single" w:sz="4" w:space="0" w:color="auto"/>
              <w:right w:val="single" w:sz="4" w:space="0" w:color="auto"/>
            </w:tcBorders>
            <w:noWrap/>
          </w:tcPr>
          <w:p w14:paraId="79FB92EF" w14:textId="77777777" w:rsidR="00FB54A0" w:rsidRPr="00B72B6D" w:rsidRDefault="00FB54A0" w:rsidP="00396DC7">
            <w:pPr>
              <w:spacing w:before="120" w:after="120"/>
              <w:ind w:right="422"/>
              <w:jc w:val="right"/>
              <w:rPr>
                <w:rFonts w:cs="Arial"/>
                <w:color w:val="000000"/>
              </w:rPr>
            </w:pPr>
            <w:r w:rsidRPr="00B72B6D">
              <w:rPr>
                <w:rFonts w:cs="Arial"/>
                <w:color w:val="000000"/>
              </w:rPr>
              <w:t>2,512</w:t>
            </w:r>
          </w:p>
        </w:tc>
        <w:tc>
          <w:tcPr>
            <w:tcW w:w="1710" w:type="dxa"/>
            <w:tcBorders>
              <w:top w:val="single" w:sz="4" w:space="0" w:color="auto"/>
              <w:left w:val="single" w:sz="4" w:space="0" w:color="auto"/>
              <w:bottom w:val="single" w:sz="4" w:space="0" w:color="auto"/>
              <w:right w:val="single" w:sz="4" w:space="0" w:color="auto"/>
            </w:tcBorders>
          </w:tcPr>
          <w:p w14:paraId="4340C30D" w14:textId="77777777" w:rsidR="00FB54A0" w:rsidRPr="00B72B6D" w:rsidRDefault="00FB54A0" w:rsidP="00396DC7">
            <w:pPr>
              <w:spacing w:before="120" w:after="120"/>
              <w:ind w:right="422"/>
              <w:jc w:val="right"/>
              <w:rPr>
                <w:rFonts w:cs="Arial"/>
                <w:color w:val="000000"/>
              </w:rPr>
            </w:pPr>
            <w:r w:rsidRPr="00B72B6D">
              <w:rPr>
                <w:rFonts w:cs="Arial"/>
                <w:color w:val="000000"/>
              </w:rPr>
              <w:t>4,311</w:t>
            </w:r>
          </w:p>
        </w:tc>
      </w:tr>
    </w:tbl>
    <w:p w14:paraId="3AAC333B" w14:textId="08C24390" w:rsidR="00FB54A0" w:rsidRPr="00B72B6D" w:rsidRDefault="00396DC7" w:rsidP="00FB54A0">
      <w:r w:rsidRPr="00B72B6D">
        <w:br w:type="page"/>
      </w:r>
    </w:p>
    <w:p w14:paraId="7B3623BD" w14:textId="7C085907" w:rsidR="00FB54A0" w:rsidRPr="002435D5" w:rsidRDefault="00FB54A0" w:rsidP="002435D5">
      <w:pPr>
        <w:pStyle w:val="Heading4"/>
        <w:spacing w:before="0" w:after="120"/>
        <w:rPr>
          <w:sz w:val="24"/>
        </w:rPr>
      </w:pPr>
      <w:r w:rsidRPr="002435D5">
        <w:rPr>
          <w:sz w:val="24"/>
        </w:rPr>
        <w:lastRenderedPageBreak/>
        <w:t xml:space="preserve">Table </w:t>
      </w:r>
      <w:r w:rsidR="000C0C4B" w:rsidRPr="002435D5">
        <w:rPr>
          <w:sz w:val="24"/>
        </w:rPr>
        <w:t>10</w:t>
      </w:r>
      <w:r w:rsidRPr="002435D5">
        <w:rPr>
          <w:sz w:val="24"/>
        </w:rPr>
        <w:t xml:space="preserve">. Stage Three </w:t>
      </w:r>
      <w:r w:rsidR="005F6498" w:rsidRPr="002435D5">
        <w:rPr>
          <w:sz w:val="24"/>
        </w:rPr>
        <w:t xml:space="preserve">Final </w:t>
      </w:r>
      <w:r w:rsidRPr="002435D5">
        <w:rPr>
          <w:sz w:val="24"/>
        </w:rPr>
        <w:t>Ranking Determination</w:t>
      </w:r>
    </w:p>
    <w:tbl>
      <w:tblPr>
        <w:tblStyle w:val="TableGrid19"/>
        <w:tblW w:w="9355" w:type="dxa"/>
        <w:tblInd w:w="0" w:type="dxa"/>
        <w:tblLook w:val="04A0" w:firstRow="1" w:lastRow="0" w:firstColumn="1" w:lastColumn="0" w:noHBand="0" w:noVBand="1"/>
        <w:tblDescription w:val="Table 10. Stage Three Ranking Determination"/>
      </w:tblPr>
      <w:tblGrid>
        <w:gridCol w:w="2515"/>
        <w:gridCol w:w="1710"/>
        <w:gridCol w:w="1710"/>
        <w:gridCol w:w="1710"/>
        <w:gridCol w:w="1710"/>
      </w:tblGrid>
      <w:tr w:rsidR="00FB54A0" w:rsidRPr="00B72B6D" w14:paraId="2EC8F295" w14:textId="77777777" w:rsidTr="00373089">
        <w:trPr>
          <w:cantSplit/>
          <w:trHeight w:val="915"/>
          <w:tblHeader/>
        </w:trPr>
        <w:tc>
          <w:tcPr>
            <w:tcW w:w="2515"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7060A89" w14:textId="77777777" w:rsidR="00FB54A0" w:rsidRPr="00B72B6D" w:rsidRDefault="00FB54A0" w:rsidP="00396DC7">
            <w:pPr>
              <w:spacing w:before="120" w:after="120"/>
              <w:jc w:val="center"/>
              <w:rPr>
                <w:rFonts w:cs="Arial"/>
                <w:b/>
                <w:color w:val="000000"/>
              </w:rPr>
            </w:pPr>
            <w:r w:rsidRPr="00B72B6D">
              <w:rPr>
                <w:rFonts w:cs="Arial"/>
                <w:b/>
                <w:color w:val="000000"/>
              </w:rPr>
              <w:t>Contractor Name</w:t>
            </w:r>
          </w:p>
        </w:tc>
        <w:tc>
          <w:tcPr>
            <w:tcW w:w="171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CF13CA" w14:textId="77777777" w:rsidR="00FB54A0" w:rsidRPr="00B72B6D" w:rsidRDefault="00FB54A0" w:rsidP="00396DC7">
            <w:pPr>
              <w:spacing w:before="120" w:after="120"/>
              <w:jc w:val="center"/>
              <w:textAlignment w:val="baseline"/>
              <w:rPr>
                <w:rFonts w:cs="Arial"/>
                <w:b/>
              </w:rPr>
            </w:pPr>
            <w:r w:rsidRPr="00B72B6D">
              <w:rPr>
                <w:rFonts w:cs="Arial"/>
                <w:b/>
              </w:rPr>
              <w:t xml:space="preserve">Technical Score </w:t>
            </w:r>
          </w:p>
          <w:p w14:paraId="3C372D69" w14:textId="77777777" w:rsidR="00FB54A0" w:rsidRPr="00B72B6D" w:rsidRDefault="00FB54A0" w:rsidP="00396DC7">
            <w:pPr>
              <w:spacing w:before="120" w:after="120"/>
              <w:jc w:val="center"/>
              <w:textAlignment w:val="baseline"/>
              <w:rPr>
                <w:rFonts w:cs="Arial"/>
              </w:rPr>
            </w:pPr>
            <w:r w:rsidRPr="00B72B6D">
              <w:rPr>
                <w:rFonts w:cs="Arial"/>
              </w:rPr>
              <w:t xml:space="preserve"> (5,000 points</w:t>
            </w:r>
          </w:p>
          <w:p w14:paraId="2BD5E6E5" w14:textId="77777777" w:rsidR="00FB54A0" w:rsidRPr="00B72B6D" w:rsidRDefault="00FB54A0" w:rsidP="00396DC7">
            <w:pPr>
              <w:spacing w:before="120" w:after="120"/>
              <w:jc w:val="center"/>
              <w:rPr>
                <w:rFonts w:cs="Arial"/>
                <w:color w:val="000000"/>
              </w:rPr>
            </w:pPr>
            <w:r w:rsidRPr="00B72B6D">
              <w:rPr>
                <w:rFonts w:cs="Arial"/>
              </w:rPr>
              <w:t xml:space="preserve"> Possible)</w:t>
            </w:r>
          </w:p>
        </w:tc>
        <w:tc>
          <w:tcPr>
            <w:tcW w:w="171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48079930" w14:textId="77777777" w:rsidR="00FB54A0" w:rsidRPr="00B72B6D" w:rsidRDefault="00FB54A0" w:rsidP="00396DC7">
            <w:pPr>
              <w:spacing w:before="120" w:after="120"/>
              <w:jc w:val="center"/>
              <w:rPr>
                <w:rFonts w:cs="Arial"/>
                <w:color w:val="000000"/>
              </w:rPr>
            </w:pPr>
            <w:r w:rsidRPr="00B72B6D">
              <w:rPr>
                <w:rFonts w:cs="Arial"/>
                <w:b/>
              </w:rPr>
              <w:t>Budget Score</w:t>
            </w:r>
            <w:r w:rsidRPr="00B72B6D">
              <w:rPr>
                <w:rFonts w:cs="Arial"/>
              </w:rPr>
              <w:br/>
              <w:t>(1,250 points possible)</w:t>
            </w:r>
          </w:p>
        </w:tc>
        <w:tc>
          <w:tcPr>
            <w:tcW w:w="171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68C908A" w14:textId="77777777" w:rsidR="00FB54A0" w:rsidRPr="00B72B6D" w:rsidRDefault="00FB54A0" w:rsidP="00396DC7">
            <w:pPr>
              <w:spacing w:before="120" w:after="120"/>
              <w:jc w:val="center"/>
              <w:rPr>
                <w:rFonts w:cs="Arial"/>
                <w:color w:val="000000"/>
              </w:rPr>
            </w:pPr>
            <w:r w:rsidRPr="00B72B6D">
              <w:rPr>
                <w:rFonts w:cs="Arial"/>
                <w:b/>
              </w:rPr>
              <w:t xml:space="preserve">Overall Solution </w:t>
            </w:r>
            <w:r w:rsidRPr="00B72B6D">
              <w:rPr>
                <w:rFonts w:cs="Arial"/>
                <w:b/>
              </w:rPr>
              <w:br/>
              <w:t>Score</w:t>
            </w:r>
          </w:p>
        </w:tc>
        <w:tc>
          <w:tcPr>
            <w:tcW w:w="1710" w:type="dxa"/>
            <w:tcBorders>
              <w:top w:val="single" w:sz="4" w:space="0" w:color="auto"/>
              <w:left w:val="single" w:sz="4" w:space="0" w:color="auto"/>
              <w:bottom w:val="single" w:sz="4" w:space="0" w:color="auto"/>
              <w:right w:val="single" w:sz="4" w:space="0" w:color="auto"/>
            </w:tcBorders>
            <w:shd w:val="clear" w:color="auto" w:fill="D9E2F3"/>
          </w:tcPr>
          <w:p w14:paraId="3991F0A0" w14:textId="77777777" w:rsidR="00FB54A0" w:rsidRPr="00B72B6D" w:rsidRDefault="00FB54A0" w:rsidP="00373089">
            <w:pPr>
              <w:spacing w:before="120" w:after="120"/>
              <w:jc w:val="center"/>
              <w:rPr>
                <w:rFonts w:cs="Arial"/>
                <w:color w:val="000000"/>
              </w:rPr>
            </w:pPr>
            <w:r w:rsidRPr="00B72B6D">
              <w:rPr>
                <w:rFonts w:cs="Arial"/>
                <w:b/>
              </w:rPr>
              <w:t>Potential Contractor Ranking</w:t>
            </w:r>
          </w:p>
        </w:tc>
      </w:tr>
      <w:tr w:rsidR="00FB54A0" w:rsidRPr="00B72B6D" w14:paraId="6C7E47BC" w14:textId="77777777" w:rsidTr="00373089">
        <w:trPr>
          <w:cantSplit/>
          <w:trHeight w:val="300"/>
          <w:tblHeader/>
        </w:trPr>
        <w:tc>
          <w:tcPr>
            <w:tcW w:w="2515" w:type="dxa"/>
            <w:tcBorders>
              <w:top w:val="single" w:sz="4" w:space="0" w:color="auto"/>
              <w:left w:val="single" w:sz="4" w:space="0" w:color="auto"/>
              <w:bottom w:val="single" w:sz="4" w:space="0" w:color="auto"/>
              <w:right w:val="single" w:sz="4" w:space="0" w:color="auto"/>
            </w:tcBorders>
            <w:noWrap/>
            <w:hideMark/>
          </w:tcPr>
          <w:p w14:paraId="6E0F0A67" w14:textId="77777777" w:rsidR="00FB54A0" w:rsidRPr="00B72B6D" w:rsidRDefault="00FB54A0" w:rsidP="00396DC7">
            <w:pPr>
              <w:spacing w:before="120" w:after="120"/>
              <w:rPr>
                <w:rFonts w:cs="Arial"/>
                <w:color w:val="000000"/>
              </w:rPr>
            </w:pPr>
            <w:r w:rsidRPr="00B72B6D">
              <w:rPr>
                <w:rFonts w:cs="Arial"/>
                <w:color w:val="000000"/>
              </w:rPr>
              <w:t>ETS</w:t>
            </w:r>
          </w:p>
        </w:tc>
        <w:tc>
          <w:tcPr>
            <w:tcW w:w="1710" w:type="dxa"/>
            <w:tcBorders>
              <w:top w:val="single" w:sz="4" w:space="0" w:color="auto"/>
              <w:left w:val="single" w:sz="4" w:space="0" w:color="auto"/>
              <w:bottom w:val="single" w:sz="4" w:space="0" w:color="auto"/>
              <w:right w:val="single" w:sz="4" w:space="0" w:color="auto"/>
            </w:tcBorders>
            <w:noWrap/>
            <w:vAlign w:val="bottom"/>
          </w:tcPr>
          <w:p w14:paraId="520F0E2C" w14:textId="77777777" w:rsidR="00FB54A0" w:rsidRPr="00B72B6D" w:rsidRDefault="00FB54A0" w:rsidP="00396DC7">
            <w:pPr>
              <w:spacing w:before="120" w:after="120"/>
              <w:ind w:right="340"/>
              <w:jc w:val="right"/>
              <w:rPr>
                <w:rFonts w:cs="Arial"/>
                <w:color w:val="000000"/>
              </w:rPr>
            </w:pPr>
            <w:r w:rsidRPr="00B72B6D">
              <w:rPr>
                <w:rFonts w:cs="Arial"/>
                <w:color w:val="000000"/>
              </w:rPr>
              <w:t>4,763</w:t>
            </w:r>
          </w:p>
        </w:tc>
        <w:tc>
          <w:tcPr>
            <w:tcW w:w="1710" w:type="dxa"/>
            <w:tcBorders>
              <w:top w:val="single" w:sz="4" w:space="0" w:color="auto"/>
              <w:left w:val="single" w:sz="4" w:space="0" w:color="auto"/>
              <w:bottom w:val="single" w:sz="4" w:space="0" w:color="auto"/>
              <w:right w:val="single" w:sz="4" w:space="0" w:color="auto"/>
            </w:tcBorders>
            <w:noWrap/>
            <w:vAlign w:val="bottom"/>
          </w:tcPr>
          <w:p w14:paraId="269F9876" w14:textId="77777777" w:rsidR="00FB54A0" w:rsidRPr="00B72B6D" w:rsidRDefault="00FB54A0" w:rsidP="00396DC7">
            <w:pPr>
              <w:spacing w:before="120" w:after="120"/>
              <w:ind w:right="437"/>
              <w:jc w:val="right"/>
              <w:rPr>
                <w:rFonts w:cs="Arial"/>
                <w:color w:val="000000"/>
              </w:rPr>
            </w:pPr>
            <w:r w:rsidRPr="00B72B6D">
              <w:rPr>
                <w:rFonts w:cs="Arial"/>
                <w:color w:val="000000"/>
              </w:rPr>
              <w:t>888</w:t>
            </w:r>
          </w:p>
        </w:tc>
        <w:tc>
          <w:tcPr>
            <w:tcW w:w="1710" w:type="dxa"/>
            <w:tcBorders>
              <w:top w:val="single" w:sz="4" w:space="0" w:color="auto"/>
              <w:left w:val="single" w:sz="4" w:space="0" w:color="auto"/>
              <w:bottom w:val="single" w:sz="4" w:space="0" w:color="auto"/>
              <w:right w:val="single" w:sz="4" w:space="0" w:color="auto"/>
            </w:tcBorders>
            <w:noWrap/>
            <w:vAlign w:val="bottom"/>
          </w:tcPr>
          <w:p w14:paraId="53A89E9D" w14:textId="77777777" w:rsidR="00FB54A0" w:rsidRPr="00B72B6D" w:rsidRDefault="00FB54A0" w:rsidP="00396DC7">
            <w:pPr>
              <w:spacing w:before="120" w:after="120"/>
              <w:ind w:right="422"/>
              <w:jc w:val="right"/>
              <w:rPr>
                <w:rFonts w:cs="Arial"/>
                <w:color w:val="000000"/>
              </w:rPr>
            </w:pPr>
            <w:r w:rsidRPr="00B72B6D">
              <w:rPr>
                <w:rFonts w:cs="Arial"/>
                <w:color w:val="000000"/>
              </w:rPr>
              <w:t>5,651</w:t>
            </w:r>
          </w:p>
        </w:tc>
        <w:tc>
          <w:tcPr>
            <w:tcW w:w="1710" w:type="dxa"/>
            <w:tcBorders>
              <w:top w:val="single" w:sz="4" w:space="0" w:color="auto"/>
              <w:left w:val="single" w:sz="4" w:space="0" w:color="auto"/>
              <w:bottom w:val="single" w:sz="4" w:space="0" w:color="auto"/>
              <w:right w:val="single" w:sz="4" w:space="0" w:color="auto"/>
            </w:tcBorders>
          </w:tcPr>
          <w:p w14:paraId="06D9CC46" w14:textId="77777777" w:rsidR="00FB54A0" w:rsidRPr="00B72B6D" w:rsidRDefault="00FB54A0" w:rsidP="00396DC7">
            <w:pPr>
              <w:spacing w:before="120" w:after="120"/>
              <w:ind w:right="610"/>
              <w:jc w:val="right"/>
              <w:rPr>
                <w:rFonts w:cs="Arial"/>
                <w:color w:val="000000"/>
              </w:rPr>
            </w:pPr>
            <w:r w:rsidRPr="00B72B6D">
              <w:rPr>
                <w:rFonts w:cs="Arial"/>
                <w:color w:val="000000"/>
              </w:rPr>
              <w:t>1</w:t>
            </w:r>
          </w:p>
        </w:tc>
      </w:tr>
      <w:tr w:rsidR="00FB54A0" w:rsidRPr="00283BB9" w14:paraId="11362601" w14:textId="77777777" w:rsidTr="00373089">
        <w:trPr>
          <w:cantSplit/>
          <w:trHeight w:val="300"/>
          <w:tblHeader/>
        </w:trPr>
        <w:tc>
          <w:tcPr>
            <w:tcW w:w="2515" w:type="dxa"/>
            <w:tcBorders>
              <w:top w:val="single" w:sz="4" w:space="0" w:color="auto"/>
              <w:left w:val="single" w:sz="4" w:space="0" w:color="auto"/>
              <w:bottom w:val="single" w:sz="4" w:space="0" w:color="auto"/>
              <w:right w:val="single" w:sz="4" w:space="0" w:color="auto"/>
            </w:tcBorders>
            <w:noWrap/>
            <w:hideMark/>
          </w:tcPr>
          <w:p w14:paraId="4392DAE0" w14:textId="77777777" w:rsidR="00FB54A0" w:rsidRPr="00B72B6D" w:rsidRDefault="00FB54A0" w:rsidP="00396DC7">
            <w:pPr>
              <w:spacing w:before="120" w:after="120"/>
              <w:rPr>
                <w:rFonts w:cs="Arial"/>
                <w:color w:val="000000"/>
              </w:rPr>
            </w:pPr>
            <w:r w:rsidRPr="00B72B6D">
              <w:rPr>
                <w:rFonts w:cs="Arial"/>
                <w:color w:val="000000"/>
              </w:rPr>
              <w:t>NCS Pearson, Inc.</w:t>
            </w:r>
          </w:p>
        </w:tc>
        <w:tc>
          <w:tcPr>
            <w:tcW w:w="1710" w:type="dxa"/>
            <w:tcBorders>
              <w:top w:val="single" w:sz="4" w:space="0" w:color="auto"/>
              <w:left w:val="single" w:sz="4" w:space="0" w:color="auto"/>
              <w:bottom w:val="single" w:sz="4" w:space="0" w:color="auto"/>
              <w:right w:val="single" w:sz="4" w:space="0" w:color="auto"/>
            </w:tcBorders>
            <w:noWrap/>
            <w:vAlign w:val="bottom"/>
          </w:tcPr>
          <w:p w14:paraId="73E3ACA5" w14:textId="77777777" w:rsidR="00FB54A0" w:rsidRPr="00B72B6D" w:rsidRDefault="00FB54A0" w:rsidP="00396DC7">
            <w:pPr>
              <w:spacing w:before="120" w:after="120"/>
              <w:ind w:right="340"/>
              <w:jc w:val="right"/>
              <w:rPr>
                <w:rFonts w:cs="Arial"/>
                <w:color w:val="000000"/>
              </w:rPr>
            </w:pPr>
            <w:r w:rsidRPr="00B72B6D">
              <w:rPr>
                <w:rFonts w:cs="Arial"/>
                <w:color w:val="000000"/>
              </w:rPr>
              <w:t>4,311</w:t>
            </w:r>
          </w:p>
        </w:tc>
        <w:tc>
          <w:tcPr>
            <w:tcW w:w="1710" w:type="dxa"/>
            <w:tcBorders>
              <w:top w:val="single" w:sz="4" w:space="0" w:color="auto"/>
              <w:left w:val="single" w:sz="4" w:space="0" w:color="auto"/>
              <w:bottom w:val="single" w:sz="4" w:space="0" w:color="auto"/>
              <w:right w:val="single" w:sz="4" w:space="0" w:color="auto"/>
            </w:tcBorders>
            <w:noWrap/>
          </w:tcPr>
          <w:p w14:paraId="00633E04" w14:textId="77777777" w:rsidR="00FB54A0" w:rsidRPr="00B72B6D" w:rsidRDefault="00FB54A0" w:rsidP="00396DC7">
            <w:pPr>
              <w:spacing w:before="120" w:after="120"/>
              <w:ind w:right="437"/>
              <w:jc w:val="right"/>
              <w:rPr>
                <w:rFonts w:cs="Arial"/>
                <w:color w:val="000000"/>
              </w:rPr>
            </w:pPr>
            <w:r w:rsidRPr="00B72B6D">
              <w:rPr>
                <w:rFonts w:cs="Arial"/>
                <w:color w:val="000000"/>
              </w:rPr>
              <w:t>1,165</w:t>
            </w:r>
          </w:p>
        </w:tc>
        <w:tc>
          <w:tcPr>
            <w:tcW w:w="1710" w:type="dxa"/>
            <w:tcBorders>
              <w:top w:val="single" w:sz="4" w:space="0" w:color="auto"/>
              <w:left w:val="single" w:sz="4" w:space="0" w:color="auto"/>
              <w:bottom w:val="single" w:sz="4" w:space="0" w:color="auto"/>
              <w:right w:val="single" w:sz="4" w:space="0" w:color="auto"/>
            </w:tcBorders>
            <w:noWrap/>
          </w:tcPr>
          <w:p w14:paraId="7A4ECD88" w14:textId="77777777" w:rsidR="00FB54A0" w:rsidRPr="00B72B6D" w:rsidRDefault="00FB54A0" w:rsidP="00396DC7">
            <w:pPr>
              <w:spacing w:before="120" w:after="120"/>
              <w:ind w:right="422"/>
              <w:jc w:val="right"/>
              <w:rPr>
                <w:rFonts w:cs="Arial"/>
                <w:color w:val="000000"/>
              </w:rPr>
            </w:pPr>
            <w:r w:rsidRPr="00B72B6D">
              <w:rPr>
                <w:rFonts w:cs="Arial"/>
                <w:color w:val="000000"/>
              </w:rPr>
              <w:t>5,476</w:t>
            </w:r>
          </w:p>
        </w:tc>
        <w:tc>
          <w:tcPr>
            <w:tcW w:w="1710" w:type="dxa"/>
            <w:tcBorders>
              <w:top w:val="single" w:sz="4" w:space="0" w:color="auto"/>
              <w:left w:val="single" w:sz="4" w:space="0" w:color="auto"/>
              <w:bottom w:val="single" w:sz="4" w:space="0" w:color="auto"/>
              <w:right w:val="single" w:sz="4" w:space="0" w:color="auto"/>
            </w:tcBorders>
          </w:tcPr>
          <w:p w14:paraId="3C2FCF72" w14:textId="77777777" w:rsidR="00FB54A0" w:rsidRPr="00283BB9" w:rsidRDefault="00FB54A0" w:rsidP="00396DC7">
            <w:pPr>
              <w:spacing w:before="120" w:after="120"/>
              <w:ind w:right="610"/>
              <w:jc w:val="right"/>
              <w:rPr>
                <w:rFonts w:cs="Arial"/>
                <w:color w:val="000000"/>
              </w:rPr>
            </w:pPr>
            <w:r w:rsidRPr="00B72B6D">
              <w:rPr>
                <w:rFonts w:cs="Arial"/>
                <w:color w:val="000000"/>
              </w:rPr>
              <w:t>2</w:t>
            </w:r>
          </w:p>
        </w:tc>
      </w:tr>
    </w:tbl>
    <w:p w14:paraId="7FCA3231" w14:textId="77777777" w:rsidR="007A7446" w:rsidRPr="00D10965" w:rsidRDefault="007A7446" w:rsidP="00D10965"/>
    <w:sectPr w:rsidR="007A7446" w:rsidRPr="00D10965" w:rsidSect="007A7446">
      <w:headerReference w:type="default" r:id="rId19"/>
      <w:pgSz w:w="12240" w:h="15840"/>
      <w:pgMar w:top="72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1B9E" w16cex:dateUtc="2021-07-01T1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A831" w14:textId="77777777" w:rsidR="00E84BAD" w:rsidRDefault="00E84BAD" w:rsidP="000E09DC">
      <w:r>
        <w:separator/>
      </w:r>
    </w:p>
  </w:endnote>
  <w:endnote w:type="continuationSeparator" w:id="0">
    <w:p w14:paraId="54C828EC" w14:textId="77777777" w:rsidR="00E84BAD" w:rsidRDefault="00E84BAD" w:rsidP="000E09DC">
      <w:r>
        <w:continuationSeparator/>
      </w:r>
    </w:p>
  </w:endnote>
  <w:endnote w:type="continuationNotice" w:id="1">
    <w:p w14:paraId="53469326" w14:textId="77777777" w:rsidR="00E84BAD" w:rsidRDefault="00E8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A856" w14:textId="77777777" w:rsidR="00E84BAD" w:rsidRDefault="00E84BAD" w:rsidP="000E09DC">
      <w:r>
        <w:separator/>
      </w:r>
    </w:p>
  </w:footnote>
  <w:footnote w:type="continuationSeparator" w:id="0">
    <w:p w14:paraId="6B88BC33" w14:textId="77777777" w:rsidR="00E84BAD" w:rsidRDefault="00E84BAD" w:rsidP="000E09DC">
      <w:r>
        <w:continuationSeparator/>
      </w:r>
    </w:p>
  </w:footnote>
  <w:footnote w:type="continuationNotice" w:id="1">
    <w:p w14:paraId="2376524E" w14:textId="77777777" w:rsidR="00E84BAD" w:rsidRDefault="00E84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B6A3" w14:textId="77777777" w:rsidR="00037A04" w:rsidRPr="000E09DC" w:rsidRDefault="00037A04"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71C84A01" w14:textId="77777777" w:rsidR="00037A04" w:rsidRDefault="00037A04" w:rsidP="000E09DC">
    <w:pPr>
      <w:pStyle w:val="Header"/>
      <w:jc w:val="right"/>
      <w:rPr>
        <w:rFonts w:cs="Arial"/>
      </w:rPr>
    </w:pPr>
    <w:r w:rsidRPr="000E09DC">
      <w:rPr>
        <w:rFonts w:cs="Arial"/>
      </w:rPr>
      <w:t xml:space="preserve">Page </w:t>
    </w:r>
    <w:r w:rsidRPr="000E09DC">
      <w:rPr>
        <w:rFonts w:cs="Arial"/>
        <w:color w:val="2B579A"/>
        <w:shd w:val="clear" w:color="auto" w:fill="E6E6E6"/>
      </w:rPr>
      <w:fldChar w:fldCharType="begin"/>
    </w:r>
    <w:r w:rsidRPr="000E09DC">
      <w:rPr>
        <w:rFonts w:cs="Arial"/>
      </w:rPr>
      <w:instrText xml:space="preserve"> PAGE   \* MERGEFORMAT </w:instrText>
    </w:r>
    <w:r w:rsidRPr="000E09DC">
      <w:rPr>
        <w:rFonts w:cs="Arial"/>
        <w:color w:val="2B579A"/>
        <w:shd w:val="clear" w:color="auto" w:fill="E6E6E6"/>
      </w:rPr>
      <w:fldChar w:fldCharType="separate"/>
    </w:r>
    <w:r>
      <w:rPr>
        <w:rFonts w:cs="Arial"/>
        <w:noProof/>
      </w:rPr>
      <w:t>2</w:t>
    </w:r>
    <w:r w:rsidRPr="000E09DC">
      <w:rPr>
        <w:rFonts w:cs="Arial"/>
        <w:noProof/>
        <w:color w:val="2B579A"/>
        <w:shd w:val="clear" w:color="auto" w:fill="E6E6E6"/>
      </w:rPr>
      <w:fldChar w:fldCharType="end"/>
    </w:r>
    <w:r w:rsidRPr="000E09DC">
      <w:rPr>
        <w:rFonts w:cs="Arial"/>
      </w:rPr>
      <w:t xml:space="preserve"> of </w:t>
    </w:r>
    <w:r>
      <w:rPr>
        <w:rFonts w:cs="Arial"/>
      </w:rPr>
      <w:t>3</w:t>
    </w:r>
  </w:p>
  <w:p w14:paraId="2BCBEA72" w14:textId="77777777" w:rsidR="00037A04" w:rsidRPr="00527B0E" w:rsidRDefault="00037A04"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EB8B" w14:textId="404D534B" w:rsidR="00037A04" w:rsidRPr="0064422B" w:rsidRDefault="00037A04" w:rsidP="00120A9E">
    <w:pPr>
      <w:pStyle w:val="Header"/>
      <w:jc w:val="right"/>
    </w:pPr>
    <w:r w:rsidRPr="0064422B">
      <w:t>imb-adad-jul21item0</w:t>
    </w:r>
    <w:r>
      <w:t>2</w:t>
    </w:r>
  </w:p>
  <w:sdt>
    <w:sdtPr>
      <w:rPr>
        <w:color w:val="2B579A"/>
        <w:shd w:val="clear" w:color="auto" w:fill="E6E6E6"/>
      </w:rPr>
      <w:id w:val="98381352"/>
      <w:docPartObj>
        <w:docPartGallery w:val="Page Numbers (Top of Page)"/>
        <w:docPartUnique/>
      </w:docPartObj>
    </w:sdtPr>
    <w:sdtEndPr>
      <w:rPr>
        <w:shd w:val="clear" w:color="auto" w:fill="auto"/>
      </w:rPr>
    </w:sdtEndPr>
    <w:sdtContent>
      <w:p w14:paraId="33CE26D0" w14:textId="655FF844" w:rsidR="00037A04" w:rsidRPr="0064422B" w:rsidRDefault="00037A04" w:rsidP="0064422B">
        <w:pPr>
          <w:pStyle w:val="Header"/>
          <w:spacing w:after="360"/>
          <w:jc w:val="right"/>
        </w:pPr>
        <w:r w:rsidRPr="0064422B">
          <w:t xml:space="preserve">Page </w:t>
        </w:r>
        <w:r w:rsidRPr="00473BE8">
          <w:rPr>
            <w:color w:val="2B579A"/>
          </w:rPr>
          <w:fldChar w:fldCharType="begin"/>
        </w:r>
        <w:r w:rsidRPr="0064422B">
          <w:rPr>
            <w:bCs/>
          </w:rPr>
          <w:instrText xml:space="preserve"> PAGE </w:instrText>
        </w:r>
        <w:r w:rsidRPr="00473BE8">
          <w:rPr>
            <w:color w:val="2B579A"/>
          </w:rPr>
          <w:fldChar w:fldCharType="separate"/>
        </w:r>
        <w:r w:rsidR="00B72B6D">
          <w:rPr>
            <w:bCs/>
            <w:noProof/>
          </w:rPr>
          <w:t>4</w:t>
        </w:r>
        <w:r w:rsidRPr="00473BE8">
          <w:rPr>
            <w:color w:val="2B579A"/>
          </w:rPr>
          <w:fldChar w:fldCharType="end"/>
        </w:r>
        <w:r w:rsidRPr="0064422B">
          <w:t xml:space="preserve"> of </w:t>
        </w:r>
        <w:r>
          <w:rPr>
            <w:bCs/>
          </w:rPr>
          <w:t>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5AC1" w14:textId="768AC62E" w:rsidR="00037A04" w:rsidRDefault="00037A04" w:rsidP="00FC035D">
    <w:pPr>
      <w:pStyle w:val="Header"/>
      <w:jc w:val="right"/>
    </w:pPr>
    <w:r>
      <w:t>imb-adad-jul21item02</w:t>
    </w:r>
  </w:p>
  <w:p w14:paraId="5C7D83A7" w14:textId="0A239352" w:rsidR="00037A04" w:rsidRDefault="00037A04" w:rsidP="00FC035D">
    <w:pPr>
      <w:pStyle w:val="Header"/>
      <w:jc w:val="right"/>
    </w:pPr>
    <w:r>
      <w:t>Attachment 1</w:t>
    </w:r>
  </w:p>
  <w:sdt>
    <w:sdtPr>
      <w:id w:val="-1717880227"/>
      <w:docPartObj>
        <w:docPartGallery w:val="Page Numbers (Top of Page)"/>
        <w:docPartUnique/>
      </w:docPartObj>
    </w:sdtPr>
    <w:sdtEndPr/>
    <w:sdtContent>
      <w:p w14:paraId="4628EAC6" w14:textId="7FE2230B" w:rsidR="00037A04" w:rsidRPr="00120A9E" w:rsidRDefault="00037A04" w:rsidP="00FC035D">
        <w:pPr>
          <w:pStyle w:val="Header"/>
          <w:spacing w:after="360"/>
          <w:jc w:val="right"/>
        </w:pPr>
        <w:r w:rsidRPr="00FC035D">
          <w:t xml:space="preserve">Page </w:t>
        </w:r>
        <w:r w:rsidRPr="00FC035D">
          <w:rPr>
            <w:bCs/>
          </w:rPr>
          <w:fldChar w:fldCharType="begin"/>
        </w:r>
        <w:r w:rsidRPr="00FC035D">
          <w:rPr>
            <w:bCs/>
          </w:rPr>
          <w:instrText xml:space="preserve"> PAGE </w:instrText>
        </w:r>
        <w:r w:rsidRPr="00FC035D">
          <w:rPr>
            <w:bCs/>
          </w:rPr>
          <w:fldChar w:fldCharType="separate"/>
        </w:r>
        <w:r w:rsidR="00B72B6D">
          <w:rPr>
            <w:bCs/>
            <w:noProof/>
          </w:rPr>
          <w:t>10</w:t>
        </w:r>
        <w:r w:rsidRPr="00FC035D">
          <w:rPr>
            <w:bCs/>
          </w:rPr>
          <w:fldChar w:fldCharType="end"/>
        </w:r>
        <w:r w:rsidRPr="00FC035D">
          <w:t xml:space="preserve"> of </w:t>
        </w:r>
        <w:r>
          <w:rPr>
            <w:bCs/>
          </w:rPr>
          <w:t>10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B002E"/>
    <w:multiLevelType w:val="hybridMultilevel"/>
    <w:tmpl w:val="36D0536C"/>
    <w:lvl w:ilvl="0" w:tplc="CE4A8F80">
      <w:start w:val="1"/>
      <w:numFmt w:val="bullet"/>
      <w:lvlText w:val=""/>
      <w:lvlJc w:val="left"/>
      <w:pPr>
        <w:tabs>
          <w:tab w:val="num" w:pos="720"/>
        </w:tabs>
        <w:ind w:left="720" w:hanging="360"/>
      </w:pPr>
      <w:rPr>
        <w:rFonts w:ascii="Wingdings" w:hAnsi="Wingdings" w:hint="default"/>
      </w:rPr>
    </w:lvl>
    <w:lvl w:ilvl="1" w:tplc="A9A0E722">
      <w:start w:val="181"/>
      <w:numFmt w:val="bullet"/>
      <w:lvlText w:val="o"/>
      <w:lvlJc w:val="left"/>
      <w:pPr>
        <w:tabs>
          <w:tab w:val="num" w:pos="1440"/>
        </w:tabs>
        <w:ind w:left="1440" w:hanging="360"/>
      </w:pPr>
      <w:rPr>
        <w:rFonts w:ascii="Courier New" w:hAnsi="Courier New" w:hint="default"/>
      </w:rPr>
    </w:lvl>
    <w:lvl w:ilvl="2" w:tplc="89A85610" w:tentative="1">
      <w:start w:val="1"/>
      <w:numFmt w:val="bullet"/>
      <w:lvlText w:val=""/>
      <w:lvlJc w:val="left"/>
      <w:pPr>
        <w:tabs>
          <w:tab w:val="num" w:pos="2160"/>
        </w:tabs>
        <w:ind w:left="2160" w:hanging="360"/>
      </w:pPr>
      <w:rPr>
        <w:rFonts w:ascii="Wingdings" w:hAnsi="Wingdings" w:hint="default"/>
      </w:rPr>
    </w:lvl>
    <w:lvl w:ilvl="3" w:tplc="145ED6EE" w:tentative="1">
      <w:start w:val="1"/>
      <w:numFmt w:val="bullet"/>
      <w:lvlText w:val=""/>
      <w:lvlJc w:val="left"/>
      <w:pPr>
        <w:tabs>
          <w:tab w:val="num" w:pos="2880"/>
        </w:tabs>
        <w:ind w:left="2880" w:hanging="360"/>
      </w:pPr>
      <w:rPr>
        <w:rFonts w:ascii="Wingdings" w:hAnsi="Wingdings" w:hint="default"/>
      </w:rPr>
    </w:lvl>
    <w:lvl w:ilvl="4" w:tplc="11B47E7A" w:tentative="1">
      <w:start w:val="1"/>
      <w:numFmt w:val="bullet"/>
      <w:lvlText w:val=""/>
      <w:lvlJc w:val="left"/>
      <w:pPr>
        <w:tabs>
          <w:tab w:val="num" w:pos="3600"/>
        </w:tabs>
        <w:ind w:left="3600" w:hanging="360"/>
      </w:pPr>
      <w:rPr>
        <w:rFonts w:ascii="Wingdings" w:hAnsi="Wingdings" w:hint="default"/>
      </w:rPr>
    </w:lvl>
    <w:lvl w:ilvl="5" w:tplc="A4B092F4" w:tentative="1">
      <w:start w:val="1"/>
      <w:numFmt w:val="bullet"/>
      <w:lvlText w:val=""/>
      <w:lvlJc w:val="left"/>
      <w:pPr>
        <w:tabs>
          <w:tab w:val="num" w:pos="4320"/>
        </w:tabs>
        <w:ind w:left="4320" w:hanging="360"/>
      </w:pPr>
      <w:rPr>
        <w:rFonts w:ascii="Wingdings" w:hAnsi="Wingdings" w:hint="default"/>
      </w:rPr>
    </w:lvl>
    <w:lvl w:ilvl="6" w:tplc="29FE7554" w:tentative="1">
      <w:start w:val="1"/>
      <w:numFmt w:val="bullet"/>
      <w:lvlText w:val=""/>
      <w:lvlJc w:val="left"/>
      <w:pPr>
        <w:tabs>
          <w:tab w:val="num" w:pos="5040"/>
        </w:tabs>
        <w:ind w:left="5040" w:hanging="360"/>
      </w:pPr>
      <w:rPr>
        <w:rFonts w:ascii="Wingdings" w:hAnsi="Wingdings" w:hint="default"/>
      </w:rPr>
    </w:lvl>
    <w:lvl w:ilvl="7" w:tplc="7818AAC2" w:tentative="1">
      <w:start w:val="1"/>
      <w:numFmt w:val="bullet"/>
      <w:lvlText w:val=""/>
      <w:lvlJc w:val="left"/>
      <w:pPr>
        <w:tabs>
          <w:tab w:val="num" w:pos="5760"/>
        </w:tabs>
        <w:ind w:left="5760" w:hanging="360"/>
      </w:pPr>
      <w:rPr>
        <w:rFonts w:ascii="Wingdings" w:hAnsi="Wingdings" w:hint="default"/>
      </w:rPr>
    </w:lvl>
    <w:lvl w:ilvl="8" w:tplc="5538C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34912"/>
    <w:multiLevelType w:val="hybridMultilevel"/>
    <w:tmpl w:val="74E6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60537C"/>
    <w:multiLevelType w:val="multilevel"/>
    <w:tmpl w:val="F7FA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A108A"/>
    <w:multiLevelType w:val="multilevel"/>
    <w:tmpl w:val="43E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EC2AC0"/>
    <w:multiLevelType w:val="hybridMultilevel"/>
    <w:tmpl w:val="3234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730DF"/>
    <w:multiLevelType w:val="hybridMultilevel"/>
    <w:tmpl w:val="4A6E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6B735B"/>
    <w:multiLevelType w:val="multilevel"/>
    <w:tmpl w:val="741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12E95"/>
    <w:multiLevelType w:val="hybridMultilevel"/>
    <w:tmpl w:val="11741516"/>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12" w15:restartNumberingAfterBreak="0">
    <w:nsid w:val="49B84D87"/>
    <w:multiLevelType w:val="multilevel"/>
    <w:tmpl w:val="E4D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B7349"/>
    <w:multiLevelType w:val="hybridMultilevel"/>
    <w:tmpl w:val="235C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26A86"/>
    <w:multiLevelType w:val="hybridMultilevel"/>
    <w:tmpl w:val="CE0EA39A"/>
    <w:lvl w:ilvl="0" w:tplc="D0C0CE2E">
      <w:start w:val="1"/>
      <w:numFmt w:val="bullet"/>
      <w:lvlText w:val=""/>
      <w:lvlJc w:val="left"/>
      <w:pPr>
        <w:ind w:left="360" w:hanging="360"/>
      </w:pPr>
      <w:rPr>
        <w:rFonts w:ascii="Symbol" w:hAnsi="Symbol" w:hint="default"/>
      </w:rPr>
    </w:lvl>
    <w:lvl w:ilvl="1" w:tplc="3ECC63F2">
      <w:start w:val="1"/>
      <w:numFmt w:val="bullet"/>
      <w:lvlText w:val="o"/>
      <w:lvlJc w:val="left"/>
      <w:pPr>
        <w:ind w:left="1080" w:hanging="360"/>
      </w:pPr>
      <w:rPr>
        <w:rFonts w:ascii="Courier New" w:hAnsi="Courier New" w:hint="default"/>
      </w:rPr>
    </w:lvl>
    <w:lvl w:ilvl="2" w:tplc="9680299C">
      <w:start w:val="1"/>
      <w:numFmt w:val="bullet"/>
      <w:lvlText w:val=""/>
      <w:lvlJc w:val="left"/>
      <w:pPr>
        <w:ind w:left="1800" w:hanging="360"/>
      </w:pPr>
      <w:rPr>
        <w:rFonts w:ascii="Wingdings" w:hAnsi="Wingdings" w:hint="default"/>
      </w:rPr>
    </w:lvl>
    <w:lvl w:ilvl="3" w:tplc="B0B243FC">
      <w:start w:val="1"/>
      <w:numFmt w:val="bullet"/>
      <w:lvlText w:val=""/>
      <w:lvlJc w:val="left"/>
      <w:pPr>
        <w:ind w:left="2520" w:hanging="360"/>
      </w:pPr>
      <w:rPr>
        <w:rFonts w:ascii="Symbol" w:hAnsi="Symbol" w:hint="default"/>
      </w:rPr>
    </w:lvl>
    <w:lvl w:ilvl="4" w:tplc="9780A104">
      <w:start w:val="1"/>
      <w:numFmt w:val="bullet"/>
      <w:lvlText w:val="o"/>
      <w:lvlJc w:val="left"/>
      <w:pPr>
        <w:ind w:left="3240" w:hanging="360"/>
      </w:pPr>
      <w:rPr>
        <w:rFonts w:ascii="Courier New" w:hAnsi="Courier New" w:hint="default"/>
      </w:rPr>
    </w:lvl>
    <w:lvl w:ilvl="5" w:tplc="8F4A7D6E">
      <w:start w:val="1"/>
      <w:numFmt w:val="bullet"/>
      <w:lvlText w:val=""/>
      <w:lvlJc w:val="left"/>
      <w:pPr>
        <w:ind w:left="3960" w:hanging="360"/>
      </w:pPr>
      <w:rPr>
        <w:rFonts w:ascii="Wingdings" w:hAnsi="Wingdings" w:hint="default"/>
      </w:rPr>
    </w:lvl>
    <w:lvl w:ilvl="6" w:tplc="69F8BF78">
      <w:start w:val="1"/>
      <w:numFmt w:val="bullet"/>
      <w:lvlText w:val=""/>
      <w:lvlJc w:val="left"/>
      <w:pPr>
        <w:ind w:left="4680" w:hanging="360"/>
      </w:pPr>
      <w:rPr>
        <w:rFonts w:ascii="Symbol" w:hAnsi="Symbol" w:hint="default"/>
      </w:rPr>
    </w:lvl>
    <w:lvl w:ilvl="7" w:tplc="CE2ADD4C">
      <w:start w:val="1"/>
      <w:numFmt w:val="bullet"/>
      <w:lvlText w:val="o"/>
      <w:lvlJc w:val="left"/>
      <w:pPr>
        <w:ind w:left="5400" w:hanging="360"/>
      </w:pPr>
      <w:rPr>
        <w:rFonts w:ascii="Courier New" w:hAnsi="Courier New" w:hint="default"/>
      </w:rPr>
    </w:lvl>
    <w:lvl w:ilvl="8" w:tplc="29ECBF94">
      <w:start w:val="1"/>
      <w:numFmt w:val="bullet"/>
      <w:lvlText w:val=""/>
      <w:lvlJc w:val="left"/>
      <w:pPr>
        <w:ind w:left="6120" w:hanging="360"/>
      </w:pPr>
      <w:rPr>
        <w:rFonts w:ascii="Wingdings" w:hAnsi="Wingdings" w:hint="default"/>
      </w:rPr>
    </w:lvl>
  </w:abstractNum>
  <w:abstractNum w:abstractNumId="1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AA48C5"/>
    <w:multiLevelType w:val="hybridMultilevel"/>
    <w:tmpl w:val="FF96DD5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E6258BB"/>
    <w:multiLevelType w:val="multilevel"/>
    <w:tmpl w:val="679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6"/>
  </w:num>
  <w:num w:numId="4">
    <w:abstractNumId w:val="13"/>
  </w:num>
  <w:num w:numId="5">
    <w:abstractNumId w:val="14"/>
  </w:num>
  <w:num w:numId="6">
    <w:abstractNumId w:val="0"/>
  </w:num>
  <w:num w:numId="7">
    <w:abstractNumId w:val="8"/>
  </w:num>
  <w:num w:numId="8">
    <w:abstractNumId w:val="11"/>
  </w:num>
  <w:num w:numId="9">
    <w:abstractNumId w:val="2"/>
  </w:num>
  <w:num w:numId="10">
    <w:abstractNumId w:val="3"/>
  </w:num>
  <w:num w:numId="11">
    <w:abstractNumId w:val="19"/>
  </w:num>
  <w:num w:numId="12">
    <w:abstractNumId w:val="4"/>
  </w:num>
  <w:num w:numId="13">
    <w:abstractNumId w:val="10"/>
  </w:num>
  <w:num w:numId="14">
    <w:abstractNumId w:val="1"/>
  </w:num>
  <w:num w:numId="15">
    <w:abstractNumId w:val="18"/>
  </w:num>
  <w:num w:numId="16">
    <w:abstractNumId w:val="12"/>
  </w:num>
  <w:num w:numId="17">
    <w:abstractNumId w:val="7"/>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268E"/>
    <w:rsid w:val="0000305C"/>
    <w:rsid w:val="000040D5"/>
    <w:rsid w:val="00004D07"/>
    <w:rsid w:val="00005FFF"/>
    <w:rsid w:val="00007627"/>
    <w:rsid w:val="00007DB0"/>
    <w:rsid w:val="00010F8B"/>
    <w:rsid w:val="00011786"/>
    <w:rsid w:val="00011BA6"/>
    <w:rsid w:val="00012C27"/>
    <w:rsid w:val="00014E74"/>
    <w:rsid w:val="000164B8"/>
    <w:rsid w:val="00020642"/>
    <w:rsid w:val="00020BDA"/>
    <w:rsid w:val="00020EC0"/>
    <w:rsid w:val="000224C6"/>
    <w:rsid w:val="00024261"/>
    <w:rsid w:val="00026003"/>
    <w:rsid w:val="0002604B"/>
    <w:rsid w:val="00026D21"/>
    <w:rsid w:val="00027B24"/>
    <w:rsid w:val="00030236"/>
    <w:rsid w:val="00030B69"/>
    <w:rsid w:val="000318C3"/>
    <w:rsid w:val="000324AD"/>
    <w:rsid w:val="00032E6F"/>
    <w:rsid w:val="000330B5"/>
    <w:rsid w:val="00033118"/>
    <w:rsid w:val="00033422"/>
    <w:rsid w:val="000340A4"/>
    <w:rsid w:val="00035E0D"/>
    <w:rsid w:val="00036268"/>
    <w:rsid w:val="00037A04"/>
    <w:rsid w:val="00040C66"/>
    <w:rsid w:val="00041338"/>
    <w:rsid w:val="00041ECC"/>
    <w:rsid w:val="00041F29"/>
    <w:rsid w:val="000421CB"/>
    <w:rsid w:val="00042F85"/>
    <w:rsid w:val="0004317C"/>
    <w:rsid w:val="000438B4"/>
    <w:rsid w:val="00044595"/>
    <w:rsid w:val="00044926"/>
    <w:rsid w:val="00044A10"/>
    <w:rsid w:val="00045180"/>
    <w:rsid w:val="00045364"/>
    <w:rsid w:val="00045476"/>
    <w:rsid w:val="00046619"/>
    <w:rsid w:val="000466DB"/>
    <w:rsid w:val="000470C7"/>
    <w:rsid w:val="00047326"/>
    <w:rsid w:val="00050C22"/>
    <w:rsid w:val="000511A2"/>
    <w:rsid w:val="0005567F"/>
    <w:rsid w:val="000566EF"/>
    <w:rsid w:val="0006173E"/>
    <w:rsid w:val="000619D3"/>
    <w:rsid w:val="00062FF2"/>
    <w:rsid w:val="00064D99"/>
    <w:rsid w:val="0006515B"/>
    <w:rsid w:val="000652D9"/>
    <w:rsid w:val="0006555B"/>
    <w:rsid w:val="00065A44"/>
    <w:rsid w:val="00066372"/>
    <w:rsid w:val="0006725B"/>
    <w:rsid w:val="00067E7F"/>
    <w:rsid w:val="000700A7"/>
    <w:rsid w:val="00070595"/>
    <w:rsid w:val="000715A4"/>
    <w:rsid w:val="00071D16"/>
    <w:rsid w:val="000732CA"/>
    <w:rsid w:val="000735E1"/>
    <w:rsid w:val="0007497F"/>
    <w:rsid w:val="00075392"/>
    <w:rsid w:val="0007708A"/>
    <w:rsid w:val="00080FEC"/>
    <w:rsid w:val="000812AB"/>
    <w:rsid w:val="00082245"/>
    <w:rsid w:val="00083AEF"/>
    <w:rsid w:val="000846BB"/>
    <w:rsid w:val="0008548F"/>
    <w:rsid w:val="00086388"/>
    <w:rsid w:val="0008700C"/>
    <w:rsid w:val="000873D5"/>
    <w:rsid w:val="000932D8"/>
    <w:rsid w:val="00093471"/>
    <w:rsid w:val="00093F5A"/>
    <w:rsid w:val="000957B4"/>
    <w:rsid w:val="0009629A"/>
    <w:rsid w:val="0009684D"/>
    <w:rsid w:val="00096EFF"/>
    <w:rsid w:val="000A118B"/>
    <w:rsid w:val="000A289F"/>
    <w:rsid w:val="000A31B6"/>
    <w:rsid w:val="000A40EB"/>
    <w:rsid w:val="000A5528"/>
    <w:rsid w:val="000A5AA5"/>
    <w:rsid w:val="000A75E4"/>
    <w:rsid w:val="000B0F36"/>
    <w:rsid w:val="000B35EA"/>
    <w:rsid w:val="000B378E"/>
    <w:rsid w:val="000B3B73"/>
    <w:rsid w:val="000B4041"/>
    <w:rsid w:val="000B62C6"/>
    <w:rsid w:val="000C0C4B"/>
    <w:rsid w:val="000C2382"/>
    <w:rsid w:val="000C516C"/>
    <w:rsid w:val="000C555C"/>
    <w:rsid w:val="000D0BBA"/>
    <w:rsid w:val="000D29A0"/>
    <w:rsid w:val="000D2D09"/>
    <w:rsid w:val="000D370B"/>
    <w:rsid w:val="000D5EF4"/>
    <w:rsid w:val="000D6C49"/>
    <w:rsid w:val="000D79D8"/>
    <w:rsid w:val="000E0015"/>
    <w:rsid w:val="000E008B"/>
    <w:rsid w:val="000E09DC"/>
    <w:rsid w:val="000E0A72"/>
    <w:rsid w:val="000E3578"/>
    <w:rsid w:val="000E50AE"/>
    <w:rsid w:val="000E56F3"/>
    <w:rsid w:val="000E71B2"/>
    <w:rsid w:val="000E762A"/>
    <w:rsid w:val="000E776E"/>
    <w:rsid w:val="000F03A2"/>
    <w:rsid w:val="000F3B8C"/>
    <w:rsid w:val="000F5BAB"/>
    <w:rsid w:val="000F7FA3"/>
    <w:rsid w:val="00100857"/>
    <w:rsid w:val="001012A6"/>
    <w:rsid w:val="001029C5"/>
    <w:rsid w:val="001048F3"/>
    <w:rsid w:val="00105515"/>
    <w:rsid w:val="00112AE4"/>
    <w:rsid w:val="00112B83"/>
    <w:rsid w:val="00113A6C"/>
    <w:rsid w:val="00114E72"/>
    <w:rsid w:val="001154A8"/>
    <w:rsid w:val="00117159"/>
    <w:rsid w:val="0011768B"/>
    <w:rsid w:val="001208EC"/>
    <w:rsid w:val="00120A9E"/>
    <w:rsid w:val="001215AC"/>
    <w:rsid w:val="00123CB6"/>
    <w:rsid w:val="00124621"/>
    <w:rsid w:val="0012579F"/>
    <w:rsid w:val="001272E2"/>
    <w:rsid w:val="00130059"/>
    <w:rsid w:val="00131F7B"/>
    <w:rsid w:val="00132D8A"/>
    <w:rsid w:val="00132E90"/>
    <w:rsid w:val="001371C0"/>
    <w:rsid w:val="001373D6"/>
    <w:rsid w:val="001408A9"/>
    <w:rsid w:val="00142ACC"/>
    <w:rsid w:val="00142C59"/>
    <w:rsid w:val="00142D6F"/>
    <w:rsid w:val="00144F53"/>
    <w:rsid w:val="0014582D"/>
    <w:rsid w:val="00146AB1"/>
    <w:rsid w:val="00147007"/>
    <w:rsid w:val="00147CD5"/>
    <w:rsid w:val="001533E4"/>
    <w:rsid w:val="001537C1"/>
    <w:rsid w:val="00155ECF"/>
    <w:rsid w:val="00156904"/>
    <w:rsid w:val="00156F52"/>
    <w:rsid w:val="0015755D"/>
    <w:rsid w:val="0015761A"/>
    <w:rsid w:val="00161E4A"/>
    <w:rsid w:val="00163366"/>
    <w:rsid w:val="00164480"/>
    <w:rsid w:val="00164C81"/>
    <w:rsid w:val="001652D2"/>
    <w:rsid w:val="00166D96"/>
    <w:rsid w:val="00167974"/>
    <w:rsid w:val="00171CCA"/>
    <w:rsid w:val="00171F66"/>
    <w:rsid w:val="00171FF2"/>
    <w:rsid w:val="00172EEB"/>
    <w:rsid w:val="0017317D"/>
    <w:rsid w:val="00175EBD"/>
    <w:rsid w:val="00177744"/>
    <w:rsid w:val="00180E77"/>
    <w:rsid w:val="0018148D"/>
    <w:rsid w:val="00181D1B"/>
    <w:rsid w:val="00187CE4"/>
    <w:rsid w:val="00190E3B"/>
    <w:rsid w:val="00191971"/>
    <w:rsid w:val="0019237F"/>
    <w:rsid w:val="00193404"/>
    <w:rsid w:val="00193ABA"/>
    <w:rsid w:val="00194182"/>
    <w:rsid w:val="00194393"/>
    <w:rsid w:val="00195C1A"/>
    <w:rsid w:val="001963FE"/>
    <w:rsid w:val="001A029E"/>
    <w:rsid w:val="001A0423"/>
    <w:rsid w:val="001A0CA5"/>
    <w:rsid w:val="001A1E2A"/>
    <w:rsid w:val="001A38BB"/>
    <w:rsid w:val="001A47DA"/>
    <w:rsid w:val="001A52CA"/>
    <w:rsid w:val="001A5D4C"/>
    <w:rsid w:val="001A728B"/>
    <w:rsid w:val="001A736F"/>
    <w:rsid w:val="001B0377"/>
    <w:rsid w:val="001B2E16"/>
    <w:rsid w:val="001B3958"/>
    <w:rsid w:val="001B6024"/>
    <w:rsid w:val="001B624D"/>
    <w:rsid w:val="001B7119"/>
    <w:rsid w:val="001B7F1C"/>
    <w:rsid w:val="001C16AA"/>
    <w:rsid w:val="001C1766"/>
    <w:rsid w:val="001C2251"/>
    <w:rsid w:val="001C2E36"/>
    <w:rsid w:val="001C31BF"/>
    <w:rsid w:val="001C372B"/>
    <w:rsid w:val="001C449E"/>
    <w:rsid w:val="001C4CB6"/>
    <w:rsid w:val="001C5163"/>
    <w:rsid w:val="001C5333"/>
    <w:rsid w:val="001C5B5C"/>
    <w:rsid w:val="001C5E94"/>
    <w:rsid w:val="001C6208"/>
    <w:rsid w:val="001C6B4B"/>
    <w:rsid w:val="001C6E89"/>
    <w:rsid w:val="001C77C9"/>
    <w:rsid w:val="001C7F25"/>
    <w:rsid w:val="001D0160"/>
    <w:rsid w:val="001D02A6"/>
    <w:rsid w:val="001D0456"/>
    <w:rsid w:val="001D134F"/>
    <w:rsid w:val="001D3C0D"/>
    <w:rsid w:val="001D4A20"/>
    <w:rsid w:val="001D4D63"/>
    <w:rsid w:val="001D5D9C"/>
    <w:rsid w:val="001D7119"/>
    <w:rsid w:val="001D76BE"/>
    <w:rsid w:val="001D7857"/>
    <w:rsid w:val="001D7FE6"/>
    <w:rsid w:val="001E0EBA"/>
    <w:rsid w:val="001E1929"/>
    <w:rsid w:val="001E5728"/>
    <w:rsid w:val="001E5980"/>
    <w:rsid w:val="001E5EE6"/>
    <w:rsid w:val="001E5F44"/>
    <w:rsid w:val="001E6917"/>
    <w:rsid w:val="001F17A2"/>
    <w:rsid w:val="001F3200"/>
    <w:rsid w:val="001F3B98"/>
    <w:rsid w:val="001F42A8"/>
    <w:rsid w:val="001F4921"/>
    <w:rsid w:val="001F4B2D"/>
    <w:rsid w:val="001F5C1F"/>
    <w:rsid w:val="001F5DBF"/>
    <w:rsid w:val="001F6274"/>
    <w:rsid w:val="001F679D"/>
    <w:rsid w:val="001F7381"/>
    <w:rsid w:val="00201AEB"/>
    <w:rsid w:val="002105CB"/>
    <w:rsid w:val="00210769"/>
    <w:rsid w:val="00210B09"/>
    <w:rsid w:val="00210E34"/>
    <w:rsid w:val="0021132A"/>
    <w:rsid w:val="0021235E"/>
    <w:rsid w:val="00213B48"/>
    <w:rsid w:val="00214A75"/>
    <w:rsid w:val="0022006E"/>
    <w:rsid w:val="002207B4"/>
    <w:rsid w:val="00223112"/>
    <w:rsid w:val="0022366D"/>
    <w:rsid w:val="002300C9"/>
    <w:rsid w:val="002301F5"/>
    <w:rsid w:val="0023119A"/>
    <w:rsid w:val="00231804"/>
    <w:rsid w:val="00231EAB"/>
    <w:rsid w:val="002324D9"/>
    <w:rsid w:val="002329AC"/>
    <w:rsid w:val="002329DA"/>
    <w:rsid w:val="00233826"/>
    <w:rsid w:val="00233A05"/>
    <w:rsid w:val="0023467B"/>
    <w:rsid w:val="0023600F"/>
    <w:rsid w:val="00237827"/>
    <w:rsid w:val="00237A22"/>
    <w:rsid w:val="00240B26"/>
    <w:rsid w:val="00241964"/>
    <w:rsid w:val="002435D5"/>
    <w:rsid w:val="002439EB"/>
    <w:rsid w:val="00244AF3"/>
    <w:rsid w:val="00244C73"/>
    <w:rsid w:val="00245BE2"/>
    <w:rsid w:val="002462C8"/>
    <w:rsid w:val="0024666A"/>
    <w:rsid w:val="002466AB"/>
    <w:rsid w:val="00250081"/>
    <w:rsid w:val="00250144"/>
    <w:rsid w:val="0025142C"/>
    <w:rsid w:val="00251BD9"/>
    <w:rsid w:val="00252288"/>
    <w:rsid w:val="0025307D"/>
    <w:rsid w:val="00253A55"/>
    <w:rsid w:val="00253F0F"/>
    <w:rsid w:val="00254020"/>
    <w:rsid w:val="002565E3"/>
    <w:rsid w:val="0025776F"/>
    <w:rsid w:val="0025785C"/>
    <w:rsid w:val="00257A97"/>
    <w:rsid w:val="00260549"/>
    <w:rsid w:val="00260F8A"/>
    <w:rsid w:val="002623A1"/>
    <w:rsid w:val="00264CAA"/>
    <w:rsid w:val="00264D8F"/>
    <w:rsid w:val="0026570A"/>
    <w:rsid w:val="00265F00"/>
    <w:rsid w:val="002711F5"/>
    <w:rsid w:val="00273D3C"/>
    <w:rsid w:val="0027438E"/>
    <w:rsid w:val="00276D2B"/>
    <w:rsid w:val="002771DA"/>
    <w:rsid w:val="00280178"/>
    <w:rsid w:val="002806ED"/>
    <w:rsid w:val="00281346"/>
    <w:rsid w:val="00281A3C"/>
    <w:rsid w:val="002824FC"/>
    <w:rsid w:val="00283BB9"/>
    <w:rsid w:val="002858A4"/>
    <w:rsid w:val="00290530"/>
    <w:rsid w:val="00291050"/>
    <w:rsid w:val="00296B2C"/>
    <w:rsid w:val="002A01C4"/>
    <w:rsid w:val="002A0B3A"/>
    <w:rsid w:val="002A1114"/>
    <w:rsid w:val="002A139A"/>
    <w:rsid w:val="002A3255"/>
    <w:rsid w:val="002A469B"/>
    <w:rsid w:val="002A6222"/>
    <w:rsid w:val="002B3A81"/>
    <w:rsid w:val="002B4B14"/>
    <w:rsid w:val="002B5896"/>
    <w:rsid w:val="002B5BAA"/>
    <w:rsid w:val="002B5D6B"/>
    <w:rsid w:val="002B683E"/>
    <w:rsid w:val="002B6D9A"/>
    <w:rsid w:val="002B6E0E"/>
    <w:rsid w:val="002B6E49"/>
    <w:rsid w:val="002B7191"/>
    <w:rsid w:val="002B719B"/>
    <w:rsid w:val="002C0249"/>
    <w:rsid w:val="002C0F8A"/>
    <w:rsid w:val="002C17C7"/>
    <w:rsid w:val="002C1C18"/>
    <w:rsid w:val="002C1FBA"/>
    <w:rsid w:val="002C3A50"/>
    <w:rsid w:val="002C6256"/>
    <w:rsid w:val="002C629D"/>
    <w:rsid w:val="002C6730"/>
    <w:rsid w:val="002C7215"/>
    <w:rsid w:val="002C7E47"/>
    <w:rsid w:val="002D09B0"/>
    <w:rsid w:val="002D1A82"/>
    <w:rsid w:val="002D4BFF"/>
    <w:rsid w:val="002D4F32"/>
    <w:rsid w:val="002D5840"/>
    <w:rsid w:val="002D6D04"/>
    <w:rsid w:val="002D7EC2"/>
    <w:rsid w:val="002E0368"/>
    <w:rsid w:val="002E0D4A"/>
    <w:rsid w:val="002E17BE"/>
    <w:rsid w:val="002E3657"/>
    <w:rsid w:val="002E3DC0"/>
    <w:rsid w:val="002E4550"/>
    <w:rsid w:val="002E4CB5"/>
    <w:rsid w:val="002E5AA1"/>
    <w:rsid w:val="002E6FCA"/>
    <w:rsid w:val="002E7668"/>
    <w:rsid w:val="002E7E0D"/>
    <w:rsid w:val="002F2364"/>
    <w:rsid w:val="002F279B"/>
    <w:rsid w:val="002F3426"/>
    <w:rsid w:val="002F5914"/>
    <w:rsid w:val="002F6D62"/>
    <w:rsid w:val="002F7978"/>
    <w:rsid w:val="00300962"/>
    <w:rsid w:val="00301C87"/>
    <w:rsid w:val="00303856"/>
    <w:rsid w:val="003042EB"/>
    <w:rsid w:val="00305A55"/>
    <w:rsid w:val="0031079B"/>
    <w:rsid w:val="00313807"/>
    <w:rsid w:val="00314D67"/>
    <w:rsid w:val="00315131"/>
    <w:rsid w:val="00315C36"/>
    <w:rsid w:val="00316330"/>
    <w:rsid w:val="0032018E"/>
    <w:rsid w:val="00321398"/>
    <w:rsid w:val="0032228B"/>
    <w:rsid w:val="0032289A"/>
    <w:rsid w:val="00322CCE"/>
    <w:rsid w:val="00323172"/>
    <w:rsid w:val="00324F7F"/>
    <w:rsid w:val="00327827"/>
    <w:rsid w:val="00331A97"/>
    <w:rsid w:val="003351CC"/>
    <w:rsid w:val="00335705"/>
    <w:rsid w:val="00336408"/>
    <w:rsid w:val="003404F9"/>
    <w:rsid w:val="0034078E"/>
    <w:rsid w:val="00340E9E"/>
    <w:rsid w:val="00343312"/>
    <w:rsid w:val="0034359B"/>
    <w:rsid w:val="00344CB7"/>
    <w:rsid w:val="0034622E"/>
    <w:rsid w:val="00346D79"/>
    <w:rsid w:val="003512A2"/>
    <w:rsid w:val="00353897"/>
    <w:rsid w:val="0035468F"/>
    <w:rsid w:val="003556D3"/>
    <w:rsid w:val="00356B09"/>
    <w:rsid w:val="003575DD"/>
    <w:rsid w:val="00360CF9"/>
    <w:rsid w:val="0036112A"/>
    <w:rsid w:val="00361232"/>
    <w:rsid w:val="00363520"/>
    <w:rsid w:val="0036568A"/>
    <w:rsid w:val="00365E2A"/>
    <w:rsid w:val="0036691E"/>
    <w:rsid w:val="003705FC"/>
    <w:rsid w:val="00371370"/>
    <w:rsid w:val="00372AFE"/>
    <w:rsid w:val="00373089"/>
    <w:rsid w:val="003737CE"/>
    <w:rsid w:val="00376284"/>
    <w:rsid w:val="00376A08"/>
    <w:rsid w:val="00377A45"/>
    <w:rsid w:val="00377A52"/>
    <w:rsid w:val="00380E7F"/>
    <w:rsid w:val="00382D3E"/>
    <w:rsid w:val="00383106"/>
    <w:rsid w:val="00384ACF"/>
    <w:rsid w:val="00387263"/>
    <w:rsid w:val="003874A4"/>
    <w:rsid w:val="003924CC"/>
    <w:rsid w:val="00393894"/>
    <w:rsid w:val="00393FF5"/>
    <w:rsid w:val="0039402C"/>
    <w:rsid w:val="00396AF1"/>
    <w:rsid w:val="00396DC7"/>
    <w:rsid w:val="00397708"/>
    <w:rsid w:val="003A0445"/>
    <w:rsid w:val="003A08C2"/>
    <w:rsid w:val="003A0E4F"/>
    <w:rsid w:val="003A218B"/>
    <w:rsid w:val="003A27A5"/>
    <w:rsid w:val="003A51B6"/>
    <w:rsid w:val="003A5964"/>
    <w:rsid w:val="003A5CB7"/>
    <w:rsid w:val="003A6B96"/>
    <w:rsid w:val="003A7C8B"/>
    <w:rsid w:val="003B5D2C"/>
    <w:rsid w:val="003B7BCC"/>
    <w:rsid w:val="003C0A1D"/>
    <w:rsid w:val="003C1875"/>
    <w:rsid w:val="003C27E1"/>
    <w:rsid w:val="003C3D63"/>
    <w:rsid w:val="003C42AD"/>
    <w:rsid w:val="003C48C0"/>
    <w:rsid w:val="003C50AA"/>
    <w:rsid w:val="003C5C79"/>
    <w:rsid w:val="003C6120"/>
    <w:rsid w:val="003C6D10"/>
    <w:rsid w:val="003D0391"/>
    <w:rsid w:val="003D19E6"/>
    <w:rsid w:val="003D1DD7"/>
    <w:rsid w:val="003D1ECD"/>
    <w:rsid w:val="003D25D9"/>
    <w:rsid w:val="003D3C5D"/>
    <w:rsid w:val="003D437F"/>
    <w:rsid w:val="003D47F7"/>
    <w:rsid w:val="003D4C3B"/>
    <w:rsid w:val="003D4DF1"/>
    <w:rsid w:val="003D7CAA"/>
    <w:rsid w:val="003E057C"/>
    <w:rsid w:val="003E17D4"/>
    <w:rsid w:val="003E1E8D"/>
    <w:rsid w:val="003E2868"/>
    <w:rsid w:val="003E2AFE"/>
    <w:rsid w:val="003E46FF"/>
    <w:rsid w:val="003E4785"/>
    <w:rsid w:val="003E4DF7"/>
    <w:rsid w:val="003E6AC8"/>
    <w:rsid w:val="003E76F2"/>
    <w:rsid w:val="003F00A8"/>
    <w:rsid w:val="003F154C"/>
    <w:rsid w:val="003F1579"/>
    <w:rsid w:val="003F7B21"/>
    <w:rsid w:val="00400309"/>
    <w:rsid w:val="00402862"/>
    <w:rsid w:val="00403A48"/>
    <w:rsid w:val="00404300"/>
    <w:rsid w:val="004045C8"/>
    <w:rsid w:val="00405753"/>
    <w:rsid w:val="0040664C"/>
    <w:rsid w:val="004069BC"/>
    <w:rsid w:val="00406F50"/>
    <w:rsid w:val="00407A39"/>
    <w:rsid w:val="00407A76"/>
    <w:rsid w:val="00407E9B"/>
    <w:rsid w:val="00410D1B"/>
    <w:rsid w:val="004115C7"/>
    <w:rsid w:val="00411E49"/>
    <w:rsid w:val="004132A9"/>
    <w:rsid w:val="004144E1"/>
    <w:rsid w:val="00414617"/>
    <w:rsid w:val="00415129"/>
    <w:rsid w:val="00415587"/>
    <w:rsid w:val="0041719E"/>
    <w:rsid w:val="004203BC"/>
    <w:rsid w:val="004205F3"/>
    <w:rsid w:val="0042545F"/>
    <w:rsid w:val="004265D2"/>
    <w:rsid w:val="00433704"/>
    <w:rsid w:val="00433AC1"/>
    <w:rsid w:val="00435CD8"/>
    <w:rsid w:val="004404E6"/>
    <w:rsid w:val="00440E30"/>
    <w:rsid w:val="00441473"/>
    <w:rsid w:val="00441A69"/>
    <w:rsid w:val="004422E6"/>
    <w:rsid w:val="00443973"/>
    <w:rsid w:val="00443E3A"/>
    <w:rsid w:val="00443F7C"/>
    <w:rsid w:val="004448E3"/>
    <w:rsid w:val="0044495B"/>
    <w:rsid w:val="004455A7"/>
    <w:rsid w:val="0044670C"/>
    <w:rsid w:val="004469AC"/>
    <w:rsid w:val="00450378"/>
    <w:rsid w:val="004507E9"/>
    <w:rsid w:val="004508A9"/>
    <w:rsid w:val="00451C67"/>
    <w:rsid w:val="004522BC"/>
    <w:rsid w:val="0045297E"/>
    <w:rsid w:val="00452FE7"/>
    <w:rsid w:val="004536D6"/>
    <w:rsid w:val="004539C4"/>
    <w:rsid w:val="00453E55"/>
    <w:rsid w:val="00454E4E"/>
    <w:rsid w:val="0045512A"/>
    <w:rsid w:val="00460AAC"/>
    <w:rsid w:val="00460EEB"/>
    <w:rsid w:val="004612FA"/>
    <w:rsid w:val="004618D8"/>
    <w:rsid w:val="00461BBC"/>
    <w:rsid w:val="00462159"/>
    <w:rsid w:val="00462496"/>
    <w:rsid w:val="004624CE"/>
    <w:rsid w:val="00463863"/>
    <w:rsid w:val="0046460C"/>
    <w:rsid w:val="004652AE"/>
    <w:rsid w:val="004662E5"/>
    <w:rsid w:val="00467A45"/>
    <w:rsid w:val="00473BE8"/>
    <w:rsid w:val="00473CD8"/>
    <w:rsid w:val="0047534A"/>
    <w:rsid w:val="0047641E"/>
    <w:rsid w:val="0047B765"/>
    <w:rsid w:val="00480991"/>
    <w:rsid w:val="004826D8"/>
    <w:rsid w:val="0048489F"/>
    <w:rsid w:val="004858C3"/>
    <w:rsid w:val="00485D50"/>
    <w:rsid w:val="00486AF2"/>
    <w:rsid w:val="00487AA2"/>
    <w:rsid w:val="00490186"/>
    <w:rsid w:val="004928E0"/>
    <w:rsid w:val="00493C74"/>
    <w:rsid w:val="00494B2B"/>
    <w:rsid w:val="00495565"/>
    <w:rsid w:val="00496B8B"/>
    <w:rsid w:val="004A12A1"/>
    <w:rsid w:val="004A17B3"/>
    <w:rsid w:val="004A1908"/>
    <w:rsid w:val="004A1D51"/>
    <w:rsid w:val="004A1EFE"/>
    <w:rsid w:val="004A41F0"/>
    <w:rsid w:val="004A4EEE"/>
    <w:rsid w:val="004A5643"/>
    <w:rsid w:val="004B1C95"/>
    <w:rsid w:val="004B215F"/>
    <w:rsid w:val="004B24FD"/>
    <w:rsid w:val="004B2A1C"/>
    <w:rsid w:val="004B76CD"/>
    <w:rsid w:val="004C25A0"/>
    <w:rsid w:val="004C325A"/>
    <w:rsid w:val="004C332F"/>
    <w:rsid w:val="004C3462"/>
    <w:rsid w:val="004C34DC"/>
    <w:rsid w:val="004C55C9"/>
    <w:rsid w:val="004C6724"/>
    <w:rsid w:val="004D0BCC"/>
    <w:rsid w:val="004D2434"/>
    <w:rsid w:val="004D319F"/>
    <w:rsid w:val="004D3C71"/>
    <w:rsid w:val="004D5E20"/>
    <w:rsid w:val="004E029B"/>
    <w:rsid w:val="004E29E6"/>
    <w:rsid w:val="004E504F"/>
    <w:rsid w:val="004E50ED"/>
    <w:rsid w:val="004E5DFE"/>
    <w:rsid w:val="004E6307"/>
    <w:rsid w:val="004E76D8"/>
    <w:rsid w:val="004F04F5"/>
    <w:rsid w:val="004F222D"/>
    <w:rsid w:val="004F3676"/>
    <w:rsid w:val="004F3705"/>
    <w:rsid w:val="004F6A9C"/>
    <w:rsid w:val="004F70C9"/>
    <w:rsid w:val="00502767"/>
    <w:rsid w:val="00505009"/>
    <w:rsid w:val="00510049"/>
    <w:rsid w:val="00511BA3"/>
    <w:rsid w:val="00512BBE"/>
    <w:rsid w:val="00512CC2"/>
    <w:rsid w:val="00512D8D"/>
    <w:rsid w:val="0051400F"/>
    <w:rsid w:val="00515278"/>
    <w:rsid w:val="00515493"/>
    <w:rsid w:val="00517C00"/>
    <w:rsid w:val="00521CBD"/>
    <w:rsid w:val="00522443"/>
    <w:rsid w:val="00523F1C"/>
    <w:rsid w:val="00524415"/>
    <w:rsid w:val="0052476F"/>
    <w:rsid w:val="0052679D"/>
    <w:rsid w:val="00526F01"/>
    <w:rsid w:val="00527830"/>
    <w:rsid w:val="00527B0E"/>
    <w:rsid w:val="00531990"/>
    <w:rsid w:val="00532421"/>
    <w:rsid w:val="00534FE6"/>
    <w:rsid w:val="005354F9"/>
    <w:rsid w:val="005356CC"/>
    <w:rsid w:val="0053621C"/>
    <w:rsid w:val="00536700"/>
    <w:rsid w:val="005400CB"/>
    <w:rsid w:val="0054015C"/>
    <w:rsid w:val="005411D2"/>
    <w:rsid w:val="00541325"/>
    <w:rsid w:val="005414C4"/>
    <w:rsid w:val="00541C18"/>
    <w:rsid w:val="005434BF"/>
    <w:rsid w:val="005438FC"/>
    <w:rsid w:val="005443B4"/>
    <w:rsid w:val="00544539"/>
    <w:rsid w:val="00544E0C"/>
    <w:rsid w:val="00544E21"/>
    <w:rsid w:val="00545CC4"/>
    <w:rsid w:val="00546EBF"/>
    <w:rsid w:val="005475DE"/>
    <w:rsid w:val="005510CC"/>
    <w:rsid w:val="005533A9"/>
    <w:rsid w:val="005533BD"/>
    <w:rsid w:val="005545E8"/>
    <w:rsid w:val="005564AB"/>
    <w:rsid w:val="00556AAD"/>
    <w:rsid w:val="0055708B"/>
    <w:rsid w:val="00557C1C"/>
    <w:rsid w:val="005642AF"/>
    <w:rsid w:val="005644C9"/>
    <w:rsid w:val="005649F6"/>
    <w:rsid w:val="00565DBE"/>
    <w:rsid w:val="00567728"/>
    <w:rsid w:val="00570D78"/>
    <w:rsid w:val="00572234"/>
    <w:rsid w:val="0057395D"/>
    <w:rsid w:val="00573F30"/>
    <w:rsid w:val="00576510"/>
    <w:rsid w:val="005773E3"/>
    <w:rsid w:val="00577486"/>
    <w:rsid w:val="00581A26"/>
    <w:rsid w:val="00584642"/>
    <w:rsid w:val="00584647"/>
    <w:rsid w:val="0058488B"/>
    <w:rsid w:val="005853FB"/>
    <w:rsid w:val="00586BB9"/>
    <w:rsid w:val="00586D3A"/>
    <w:rsid w:val="00586FA9"/>
    <w:rsid w:val="00587CF6"/>
    <w:rsid w:val="00587DBB"/>
    <w:rsid w:val="00590C04"/>
    <w:rsid w:val="00592B5F"/>
    <w:rsid w:val="0059300D"/>
    <w:rsid w:val="00595536"/>
    <w:rsid w:val="00595B84"/>
    <w:rsid w:val="00596EF6"/>
    <w:rsid w:val="005975C1"/>
    <w:rsid w:val="00597F5A"/>
    <w:rsid w:val="005A1A26"/>
    <w:rsid w:val="005A1FD2"/>
    <w:rsid w:val="005A215B"/>
    <w:rsid w:val="005A367E"/>
    <w:rsid w:val="005A47DB"/>
    <w:rsid w:val="005A6128"/>
    <w:rsid w:val="005A7F5C"/>
    <w:rsid w:val="005A7FED"/>
    <w:rsid w:val="005B0E14"/>
    <w:rsid w:val="005B2A83"/>
    <w:rsid w:val="005B2E33"/>
    <w:rsid w:val="005B2EFB"/>
    <w:rsid w:val="005B363A"/>
    <w:rsid w:val="005B3DC1"/>
    <w:rsid w:val="005B4B43"/>
    <w:rsid w:val="005C1357"/>
    <w:rsid w:val="005C172D"/>
    <w:rsid w:val="005C3CEC"/>
    <w:rsid w:val="005C4327"/>
    <w:rsid w:val="005C6971"/>
    <w:rsid w:val="005C776E"/>
    <w:rsid w:val="005C7E82"/>
    <w:rsid w:val="005D2DA9"/>
    <w:rsid w:val="005D3B27"/>
    <w:rsid w:val="005D4783"/>
    <w:rsid w:val="005D5FDA"/>
    <w:rsid w:val="005D6849"/>
    <w:rsid w:val="005D717B"/>
    <w:rsid w:val="005D7B73"/>
    <w:rsid w:val="005E1F85"/>
    <w:rsid w:val="005E1FFB"/>
    <w:rsid w:val="005E2423"/>
    <w:rsid w:val="005E47B5"/>
    <w:rsid w:val="005E609F"/>
    <w:rsid w:val="005E6456"/>
    <w:rsid w:val="005F0BCC"/>
    <w:rsid w:val="005F20E2"/>
    <w:rsid w:val="005F2199"/>
    <w:rsid w:val="005F35F1"/>
    <w:rsid w:val="005F4397"/>
    <w:rsid w:val="005F4473"/>
    <w:rsid w:val="005F4E76"/>
    <w:rsid w:val="005F4F60"/>
    <w:rsid w:val="005F5F7B"/>
    <w:rsid w:val="005F6498"/>
    <w:rsid w:val="005F6C56"/>
    <w:rsid w:val="005F780F"/>
    <w:rsid w:val="005F7C9C"/>
    <w:rsid w:val="0060065F"/>
    <w:rsid w:val="00600CAF"/>
    <w:rsid w:val="00600D84"/>
    <w:rsid w:val="00601469"/>
    <w:rsid w:val="00601969"/>
    <w:rsid w:val="0060264B"/>
    <w:rsid w:val="006026BB"/>
    <w:rsid w:val="00602B5E"/>
    <w:rsid w:val="00602F89"/>
    <w:rsid w:val="00603204"/>
    <w:rsid w:val="006058FA"/>
    <w:rsid w:val="0060610A"/>
    <w:rsid w:val="006100A2"/>
    <w:rsid w:val="006103AF"/>
    <w:rsid w:val="00611436"/>
    <w:rsid w:val="006117E8"/>
    <w:rsid w:val="006125BC"/>
    <w:rsid w:val="00613F2F"/>
    <w:rsid w:val="00614E8E"/>
    <w:rsid w:val="00615EB9"/>
    <w:rsid w:val="00620338"/>
    <w:rsid w:val="006208F7"/>
    <w:rsid w:val="0062196B"/>
    <w:rsid w:val="00622266"/>
    <w:rsid w:val="00623E07"/>
    <w:rsid w:val="00624260"/>
    <w:rsid w:val="006245B0"/>
    <w:rsid w:val="00625740"/>
    <w:rsid w:val="00626A87"/>
    <w:rsid w:val="0062750C"/>
    <w:rsid w:val="00627ED1"/>
    <w:rsid w:val="006315A1"/>
    <w:rsid w:val="0063176D"/>
    <w:rsid w:val="00632101"/>
    <w:rsid w:val="00632E79"/>
    <w:rsid w:val="006332F4"/>
    <w:rsid w:val="006354D6"/>
    <w:rsid w:val="006358E1"/>
    <w:rsid w:val="00635935"/>
    <w:rsid w:val="00635C6F"/>
    <w:rsid w:val="0063649E"/>
    <w:rsid w:val="00636F8C"/>
    <w:rsid w:val="00637C71"/>
    <w:rsid w:val="00640064"/>
    <w:rsid w:val="0064422B"/>
    <w:rsid w:val="00644560"/>
    <w:rsid w:val="00645D7A"/>
    <w:rsid w:val="00646A5D"/>
    <w:rsid w:val="006476F4"/>
    <w:rsid w:val="00647ACD"/>
    <w:rsid w:val="0065013F"/>
    <w:rsid w:val="00650C33"/>
    <w:rsid w:val="00651369"/>
    <w:rsid w:val="00652E40"/>
    <w:rsid w:val="00652F1B"/>
    <w:rsid w:val="0065318F"/>
    <w:rsid w:val="00654107"/>
    <w:rsid w:val="00654B51"/>
    <w:rsid w:val="00655C6D"/>
    <w:rsid w:val="00656BD9"/>
    <w:rsid w:val="00657383"/>
    <w:rsid w:val="00657B9C"/>
    <w:rsid w:val="006604F1"/>
    <w:rsid w:val="00660A22"/>
    <w:rsid w:val="006615F5"/>
    <w:rsid w:val="00662CF4"/>
    <w:rsid w:val="00664276"/>
    <w:rsid w:val="00666E0C"/>
    <w:rsid w:val="00670CD1"/>
    <w:rsid w:val="006715D2"/>
    <w:rsid w:val="006717B1"/>
    <w:rsid w:val="006725C5"/>
    <w:rsid w:val="006726DF"/>
    <w:rsid w:val="006736C4"/>
    <w:rsid w:val="00673C54"/>
    <w:rsid w:val="00673D38"/>
    <w:rsid w:val="00674014"/>
    <w:rsid w:val="006760D6"/>
    <w:rsid w:val="00677F82"/>
    <w:rsid w:val="006818B8"/>
    <w:rsid w:val="00692300"/>
    <w:rsid w:val="00693335"/>
    <w:rsid w:val="00693951"/>
    <w:rsid w:val="00694B58"/>
    <w:rsid w:val="006A0AE2"/>
    <w:rsid w:val="006A1592"/>
    <w:rsid w:val="006A192B"/>
    <w:rsid w:val="006A3509"/>
    <w:rsid w:val="006A5080"/>
    <w:rsid w:val="006A5097"/>
    <w:rsid w:val="006A694B"/>
    <w:rsid w:val="006A6FE6"/>
    <w:rsid w:val="006A779D"/>
    <w:rsid w:val="006A780D"/>
    <w:rsid w:val="006B2111"/>
    <w:rsid w:val="006B27A2"/>
    <w:rsid w:val="006B2D35"/>
    <w:rsid w:val="006B3AF9"/>
    <w:rsid w:val="006B3FC9"/>
    <w:rsid w:val="006B4621"/>
    <w:rsid w:val="006B554D"/>
    <w:rsid w:val="006B57C4"/>
    <w:rsid w:val="006B692B"/>
    <w:rsid w:val="006B71B7"/>
    <w:rsid w:val="006B78E2"/>
    <w:rsid w:val="006C27E3"/>
    <w:rsid w:val="006C4A0F"/>
    <w:rsid w:val="006C4B38"/>
    <w:rsid w:val="006C5DEE"/>
    <w:rsid w:val="006C5FDC"/>
    <w:rsid w:val="006C66BF"/>
    <w:rsid w:val="006C75D8"/>
    <w:rsid w:val="006D0223"/>
    <w:rsid w:val="006D1938"/>
    <w:rsid w:val="006D24CD"/>
    <w:rsid w:val="006D269C"/>
    <w:rsid w:val="006D2DE3"/>
    <w:rsid w:val="006D3084"/>
    <w:rsid w:val="006D513B"/>
    <w:rsid w:val="006D5BA8"/>
    <w:rsid w:val="006D66FE"/>
    <w:rsid w:val="006D684F"/>
    <w:rsid w:val="006D697E"/>
    <w:rsid w:val="006E06C6"/>
    <w:rsid w:val="006E0FC6"/>
    <w:rsid w:val="006E3497"/>
    <w:rsid w:val="006E49DD"/>
    <w:rsid w:val="006E5AA7"/>
    <w:rsid w:val="006F040D"/>
    <w:rsid w:val="006F0CDC"/>
    <w:rsid w:val="006F145C"/>
    <w:rsid w:val="006F1487"/>
    <w:rsid w:val="006F17F8"/>
    <w:rsid w:val="006F1AE9"/>
    <w:rsid w:val="006F1EE3"/>
    <w:rsid w:val="006F2F2C"/>
    <w:rsid w:val="006F3A52"/>
    <w:rsid w:val="006F3FFA"/>
    <w:rsid w:val="006F5BA2"/>
    <w:rsid w:val="006F618D"/>
    <w:rsid w:val="006F6FD6"/>
    <w:rsid w:val="006F7353"/>
    <w:rsid w:val="006F796E"/>
    <w:rsid w:val="00701663"/>
    <w:rsid w:val="00701C30"/>
    <w:rsid w:val="0070473D"/>
    <w:rsid w:val="00706895"/>
    <w:rsid w:val="00706AF4"/>
    <w:rsid w:val="00710D1F"/>
    <w:rsid w:val="00711259"/>
    <w:rsid w:val="00711B5B"/>
    <w:rsid w:val="00711E4A"/>
    <w:rsid w:val="0071363D"/>
    <w:rsid w:val="00714B32"/>
    <w:rsid w:val="00714BA9"/>
    <w:rsid w:val="007155FF"/>
    <w:rsid w:val="0071589A"/>
    <w:rsid w:val="00716FE7"/>
    <w:rsid w:val="007176C6"/>
    <w:rsid w:val="00717798"/>
    <w:rsid w:val="007177B6"/>
    <w:rsid w:val="007202B3"/>
    <w:rsid w:val="00720AAB"/>
    <w:rsid w:val="00721078"/>
    <w:rsid w:val="0072115A"/>
    <w:rsid w:val="007222FF"/>
    <w:rsid w:val="007223D1"/>
    <w:rsid w:val="00722AE5"/>
    <w:rsid w:val="0072365C"/>
    <w:rsid w:val="007269E9"/>
    <w:rsid w:val="00726EDA"/>
    <w:rsid w:val="00730520"/>
    <w:rsid w:val="007305A9"/>
    <w:rsid w:val="007313A3"/>
    <w:rsid w:val="00731C7F"/>
    <w:rsid w:val="007333B5"/>
    <w:rsid w:val="007335A1"/>
    <w:rsid w:val="007340A3"/>
    <w:rsid w:val="00735CD2"/>
    <w:rsid w:val="007360FA"/>
    <w:rsid w:val="00737429"/>
    <w:rsid w:val="00737A40"/>
    <w:rsid w:val="00740FE3"/>
    <w:rsid w:val="007428A6"/>
    <w:rsid w:val="007428B8"/>
    <w:rsid w:val="0074370A"/>
    <w:rsid w:val="007454F5"/>
    <w:rsid w:val="0074559B"/>
    <w:rsid w:val="00745934"/>
    <w:rsid w:val="00746164"/>
    <w:rsid w:val="0074653E"/>
    <w:rsid w:val="00746784"/>
    <w:rsid w:val="00746BEE"/>
    <w:rsid w:val="00751962"/>
    <w:rsid w:val="00754017"/>
    <w:rsid w:val="007556F2"/>
    <w:rsid w:val="00755A64"/>
    <w:rsid w:val="00755F3E"/>
    <w:rsid w:val="00756176"/>
    <w:rsid w:val="0076020B"/>
    <w:rsid w:val="00760891"/>
    <w:rsid w:val="0076396B"/>
    <w:rsid w:val="00765505"/>
    <w:rsid w:val="0076586C"/>
    <w:rsid w:val="00765A13"/>
    <w:rsid w:val="00765C1E"/>
    <w:rsid w:val="00766CEF"/>
    <w:rsid w:val="00770CCA"/>
    <w:rsid w:val="007717D3"/>
    <w:rsid w:val="00771F7D"/>
    <w:rsid w:val="00774CB6"/>
    <w:rsid w:val="00780BB6"/>
    <w:rsid w:val="00780F87"/>
    <w:rsid w:val="0078121B"/>
    <w:rsid w:val="00783752"/>
    <w:rsid w:val="00784B66"/>
    <w:rsid w:val="00785BF9"/>
    <w:rsid w:val="007875C9"/>
    <w:rsid w:val="0079026C"/>
    <w:rsid w:val="00790677"/>
    <w:rsid w:val="007942A6"/>
    <w:rsid w:val="007945AE"/>
    <w:rsid w:val="00795937"/>
    <w:rsid w:val="00795B05"/>
    <w:rsid w:val="00796627"/>
    <w:rsid w:val="007A11F9"/>
    <w:rsid w:val="007A1C24"/>
    <w:rsid w:val="007A1D13"/>
    <w:rsid w:val="007A2B2C"/>
    <w:rsid w:val="007A3407"/>
    <w:rsid w:val="007A3753"/>
    <w:rsid w:val="007A7446"/>
    <w:rsid w:val="007B04A6"/>
    <w:rsid w:val="007B0D8D"/>
    <w:rsid w:val="007B220D"/>
    <w:rsid w:val="007B2239"/>
    <w:rsid w:val="007B225E"/>
    <w:rsid w:val="007B253B"/>
    <w:rsid w:val="007B3681"/>
    <w:rsid w:val="007B56CB"/>
    <w:rsid w:val="007C130A"/>
    <w:rsid w:val="007C131E"/>
    <w:rsid w:val="007C1E79"/>
    <w:rsid w:val="007C2063"/>
    <w:rsid w:val="007C23F9"/>
    <w:rsid w:val="007C2F28"/>
    <w:rsid w:val="007C316E"/>
    <w:rsid w:val="007C38F3"/>
    <w:rsid w:val="007C400C"/>
    <w:rsid w:val="007C477B"/>
    <w:rsid w:val="007C4BCA"/>
    <w:rsid w:val="007C5697"/>
    <w:rsid w:val="007C6DF5"/>
    <w:rsid w:val="007C7495"/>
    <w:rsid w:val="007C74CF"/>
    <w:rsid w:val="007D152C"/>
    <w:rsid w:val="007D234B"/>
    <w:rsid w:val="007D254C"/>
    <w:rsid w:val="007D4817"/>
    <w:rsid w:val="007D502C"/>
    <w:rsid w:val="007D6654"/>
    <w:rsid w:val="007D6A8F"/>
    <w:rsid w:val="007D720A"/>
    <w:rsid w:val="007E0BEC"/>
    <w:rsid w:val="007E0CB4"/>
    <w:rsid w:val="007E0E9B"/>
    <w:rsid w:val="007E1F08"/>
    <w:rsid w:val="007E5ECF"/>
    <w:rsid w:val="007E70B4"/>
    <w:rsid w:val="007E7935"/>
    <w:rsid w:val="007F1066"/>
    <w:rsid w:val="007F1334"/>
    <w:rsid w:val="007F1B16"/>
    <w:rsid w:val="007F2633"/>
    <w:rsid w:val="007F2835"/>
    <w:rsid w:val="007F5105"/>
    <w:rsid w:val="007F53DB"/>
    <w:rsid w:val="007F5588"/>
    <w:rsid w:val="007F620D"/>
    <w:rsid w:val="007F6CEC"/>
    <w:rsid w:val="007F74FA"/>
    <w:rsid w:val="008016DF"/>
    <w:rsid w:val="00802468"/>
    <w:rsid w:val="00804460"/>
    <w:rsid w:val="008045A9"/>
    <w:rsid w:val="00806A25"/>
    <w:rsid w:val="00810CAB"/>
    <w:rsid w:val="008127BE"/>
    <w:rsid w:val="00813142"/>
    <w:rsid w:val="008163D0"/>
    <w:rsid w:val="008164A4"/>
    <w:rsid w:val="0081758E"/>
    <w:rsid w:val="008203F3"/>
    <w:rsid w:val="008205C7"/>
    <w:rsid w:val="008213B7"/>
    <w:rsid w:val="00822100"/>
    <w:rsid w:val="00822E73"/>
    <w:rsid w:val="00823828"/>
    <w:rsid w:val="008243D5"/>
    <w:rsid w:val="00824D15"/>
    <w:rsid w:val="00826276"/>
    <w:rsid w:val="00826AC0"/>
    <w:rsid w:val="00827BE8"/>
    <w:rsid w:val="00830874"/>
    <w:rsid w:val="008316C0"/>
    <w:rsid w:val="00831B10"/>
    <w:rsid w:val="00832AEA"/>
    <w:rsid w:val="00834DAC"/>
    <w:rsid w:val="008363AB"/>
    <w:rsid w:val="00837E03"/>
    <w:rsid w:val="0084020A"/>
    <w:rsid w:val="00840902"/>
    <w:rsid w:val="008409ED"/>
    <w:rsid w:val="00842E08"/>
    <w:rsid w:val="0084317F"/>
    <w:rsid w:val="008434BE"/>
    <w:rsid w:val="008434D1"/>
    <w:rsid w:val="00844AFF"/>
    <w:rsid w:val="008455F5"/>
    <w:rsid w:val="00845D58"/>
    <w:rsid w:val="00845E2D"/>
    <w:rsid w:val="00846D7E"/>
    <w:rsid w:val="00847394"/>
    <w:rsid w:val="00847DCD"/>
    <w:rsid w:val="008508FE"/>
    <w:rsid w:val="00851C56"/>
    <w:rsid w:val="0085266E"/>
    <w:rsid w:val="00852844"/>
    <w:rsid w:val="00855295"/>
    <w:rsid w:val="00856A29"/>
    <w:rsid w:val="0085762D"/>
    <w:rsid w:val="00857747"/>
    <w:rsid w:val="008578CB"/>
    <w:rsid w:val="0086053C"/>
    <w:rsid w:val="00861296"/>
    <w:rsid w:val="00862544"/>
    <w:rsid w:val="00863256"/>
    <w:rsid w:val="0086440E"/>
    <w:rsid w:val="00871411"/>
    <w:rsid w:val="00871805"/>
    <w:rsid w:val="008723DE"/>
    <w:rsid w:val="008729FE"/>
    <w:rsid w:val="008738F7"/>
    <w:rsid w:val="00875992"/>
    <w:rsid w:val="00880F3F"/>
    <w:rsid w:val="0088141D"/>
    <w:rsid w:val="0088251E"/>
    <w:rsid w:val="0088359F"/>
    <w:rsid w:val="00884114"/>
    <w:rsid w:val="00884E28"/>
    <w:rsid w:val="00884E4D"/>
    <w:rsid w:val="00884E87"/>
    <w:rsid w:val="00885D9E"/>
    <w:rsid w:val="00886A7F"/>
    <w:rsid w:val="008909EE"/>
    <w:rsid w:val="00892AF8"/>
    <w:rsid w:val="008935FC"/>
    <w:rsid w:val="008936B1"/>
    <w:rsid w:val="008A0CFC"/>
    <w:rsid w:val="008A115D"/>
    <w:rsid w:val="008A1977"/>
    <w:rsid w:val="008A2523"/>
    <w:rsid w:val="008A28DA"/>
    <w:rsid w:val="008A2BA1"/>
    <w:rsid w:val="008A310E"/>
    <w:rsid w:val="008A4E1C"/>
    <w:rsid w:val="008A4F15"/>
    <w:rsid w:val="008A64C7"/>
    <w:rsid w:val="008A6B22"/>
    <w:rsid w:val="008A72E8"/>
    <w:rsid w:val="008A76B1"/>
    <w:rsid w:val="008B0BEC"/>
    <w:rsid w:val="008B1A2F"/>
    <w:rsid w:val="008B2B37"/>
    <w:rsid w:val="008B5709"/>
    <w:rsid w:val="008B7D37"/>
    <w:rsid w:val="008C0649"/>
    <w:rsid w:val="008C148D"/>
    <w:rsid w:val="008C2C3E"/>
    <w:rsid w:val="008C46BB"/>
    <w:rsid w:val="008C5573"/>
    <w:rsid w:val="008C5873"/>
    <w:rsid w:val="008C599F"/>
    <w:rsid w:val="008C5C99"/>
    <w:rsid w:val="008C6492"/>
    <w:rsid w:val="008C67C8"/>
    <w:rsid w:val="008D3154"/>
    <w:rsid w:val="008D3C45"/>
    <w:rsid w:val="008D43B2"/>
    <w:rsid w:val="008D4C4F"/>
    <w:rsid w:val="008D50A5"/>
    <w:rsid w:val="008D5294"/>
    <w:rsid w:val="008D710A"/>
    <w:rsid w:val="008D7A45"/>
    <w:rsid w:val="008E0009"/>
    <w:rsid w:val="008E5812"/>
    <w:rsid w:val="008E6176"/>
    <w:rsid w:val="008E6242"/>
    <w:rsid w:val="008E6597"/>
    <w:rsid w:val="008E6D5E"/>
    <w:rsid w:val="008E7B57"/>
    <w:rsid w:val="008F1E2D"/>
    <w:rsid w:val="008F1FEC"/>
    <w:rsid w:val="008F2A8B"/>
    <w:rsid w:val="008F2BE2"/>
    <w:rsid w:val="008F2EE2"/>
    <w:rsid w:val="008F572B"/>
    <w:rsid w:val="008F5EA1"/>
    <w:rsid w:val="008F70A3"/>
    <w:rsid w:val="008F7610"/>
    <w:rsid w:val="008F7A8F"/>
    <w:rsid w:val="008F7EB2"/>
    <w:rsid w:val="009009F2"/>
    <w:rsid w:val="00901936"/>
    <w:rsid w:val="0090274E"/>
    <w:rsid w:val="009028F4"/>
    <w:rsid w:val="00906E70"/>
    <w:rsid w:val="00907298"/>
    <w:rsid w:val="00907D75"/>
    <w:rsid w:val="00907F54"/>
    <w:rsid w:val="00911010"/>
    <w:rsid w:val="0091117B"/>
    <w:rsid w:val="00912FAF"/>
    <w:rsid w:val="009132F0"/>
    <w:rsid w:val="00915415"/>
    <w:rsid w:val="0091739D"/>
    <w:rsid w:val="0092110D"/>
    <w:rsid w:val="0092166D"/>
    <w:rsid w:val="00922326"/>
    <w:rsid w:val="00922AB3"/>
    <w:rsid w:val="00922C89"/>
    <w:rsid w:val="0092596A"/>
    <w:rsid w:val="00926E38"/>
    <w:rsid w:val="009274B3"/>
    <w:rsid w:val="0092793D"/>
    <w:rsid w:val="00927AD7"/>
    <w:rsid w:val="00930036"/>
    <w:rsid w:val="00930732"/>
    <w:rsid w:val="00930A30"/>
    <w:rsid w:val="0093112F"/>
    <w:rsid w:val="009327D9"/>
    <w:rsid w:val="009338BF"/>
    <w:rsid w:val="00934677"/>
    <w:rsid w:val="00936351"/>
    <w:rsid w:val="00937317"/>
    <w:rsid w:val="00941DD7"/>
    <w:rsid w:val="009445B0"/>
    <w:rsid w:val="00944923"/>
    <w:rsid w:val="009456FB"/>
    <w:rsid w:val="009469AE"/>
    <w:rsid w:val="00947A7B"/>
    <w:rsid w:val="009481A9"/>
    <w:rsid w:val="009518A1"/>
    <w:rsid w:val="00951D1E"/>
    <w:rsid w:val="009523B0"/>
    <w:rsid w:val="00955583"/>
    <w:rsid w:val="009613DA"/>
    <w:rsid w:val="00962336"/>
    <w:rsid w:val="009624ED"/>
    <w:rsid w:val="00963436"/>
    <w:rsid w:val="00963D50"/>
    <w:rsid w:val="00963E8E"/>
    <w:rsid w:val="009664E1"/>
    <w:rsid w:val="00970514"/>
    <w:rsid w:val="00971577"/>
    <w:rsid w:val="00971BA2"/>
    <w:rsid w:val="00971F55"/>
    <w:rsid w:val="00974B8F"/>
    <w:rsid w:val="00974BD5"/>
    <w:rsid w:val="00974DE3"/>
    <w:rsid w:val="0097563B"/>
    <w:rsid w:val="00975B46"/>
    <w:rsid w:val="00975BBC"/>
    <w:rsid w:val="00976256"/>
    <w:rsid w:val="00976E20"/>
    <w:rsid w:val="0097737B"/>
    <w:rsid w:val="00977BD6"/>
    <w:rsid w:val="009802AA"/>
    <w:rsid w:val="0098173D"/>
    <w:rsid w:val="009817F9"/>
    <w:rsid w:val="009821DE"/>
    <w:rsid w:val="009826B1"/>
    <w:rsid w:val="0098345D"/>
    <w:rsid w:val="00984B61"/>
    <w:rsid w:val="0098536A"/>
    <w:rsid w:val="00985D6B"/>
    <w:rsid w:val="00987997"/>
    <w:rsid w:val="00990797"/>
    <w:rsid w:val="00991205"/>
    <w:rsid w:val="0099162A"/>
    <w:rsid w:val="00991C5D"/>
    <w:rsid w:val="009923CE"/>
    <w:rsid w:val="00992F01"/>
    <w:rsid w:val="00994021"/>
    <w:rsid w:val="00994654"/>
    <w:rsid w:val="00995C73"/>
    <w:rsid w:val="009976A0"/>
    <w:rsid w:val="009A0433"/>
    <w:rsid w:val="009A0ACD"/>
    <w:rsid w:val="009A2036"/>
    <w:rsid w:val="009A2951"/>
    <w:rsid w:val="009A2C6F"/>
    <w:rsid w:val="009A79DC"/>
    <w:rsid w:val="009B04E1"/>
    <w:rsid w:val="009B071A"/>
    <w:rsid w:val="009B1397"/>
    <w:rsid w:val="009B1EF5"/>
    <w:rsid w:val="009B449E"/>
    <w:rsid w:val="009B4871"/>
    <w:rsid w:val="009B5BFB"/>
    <w:rsid w:val="009B6111"/>
    <w:rsid w:val="009C2A77"/>
    <w:rsid w:val="009C3169"/>
    <w:rsid w:val="009C35A7"/>
    <w:rsid w:val="009C4055"/>
    <w:rsid w:val="009C43E0"/>
    <w:rsid w:val="009C45D4"/>
    <w:rsid w:val="009C47A6"/>
    <w:rsid w:val="009C5EF6"/>
    <w:rsid w:val="009D063B"/>
    <w:rsid w:val="009D0B6B"/>
    <w:rsid w:val="009D0ED7"/>
    <w:rsid w:val="009D176F"/>
    <w:rsid w:val="009D1825"/>
    <w:rsid w:val="009D4152"/>
    <w:rsid w:val="009D5028"/>
    <w:rsid w:val="009D58E9"/>
    <w:rsid w:val="009D59E2"/>
    <w:rsid w:val="009D7457"/>
    <w:rsid w:val="009D7A45"/>
    <w:rsid w:val="009E065E"/>
    <w:rsid w:val="009E0C37"/>
    <w:rsid w:val="009E3DA2"/>
    <w:rsid w:val="009E3E02"/>
    <w:rsid w:val="009E5FCA"/>
    <w:rsid w:val="009F052C"/>
    <w:rsid w:val="009F1B47"/>
    <w:rsid w:val="009F2B01"/>
    <w:rsid w:val="009F45A0"/>
    <w:rsid w:val="009F47B9"/>
    <w:rsid w:val="009F5400"/>
    <w:rsid w:val="009F545F"/>
    <w:rsid w:val="009F5DA3"/>
    <w:rsid w:val="009F6DCF"/>
    <w:rsid w:val="009F78E2"/>
    <w:rsid w:val="009F7F3C"/>
    <w:rsid w:val="00A0156B"/>
    <w:rsid w:val="00A034E6"/>
    <w:rsid w:val="00A04E7F"/>
    <w:rsid w:val="00A065D4"/>
    <w:rsid w:val="00A07633"/>
    <w:rsid w:val="00A07F42"/>
    <w:rsid w:val="00A11EC4"/>
    <w:rsid w:val="00A13239"/>
    <w:rsid w:val="00A136BF"/>
    <w:rsid w:val="00A13806"/>
    <w:rsid w:val="00A15567"/>
    <w:rsid w:val="00A16315"/>
    <w:rsid w:val="00A16343"/>
    <w:rsid w:val="00A1697A"/>
    <w:rsid w:val="00A16AAA"/>
    <w:rsid w:val="00A16FF2"/>
    <w:rsid w:val="00A200D1"/>
    <w:rsid w:val="00A20A0A"/>
    <w:rsid w:val="00A20E6C"/>
    <w:rsid w:val="00A2257D"/>
    <w:rsid w:val="00A25A31"/>
    <w:rsid w:val="00A265C4"/>
    <w:rsid w:val="00A30B3C"/>
    <w:rsid w:val="00A322E5"/>
    <w:rsid w:val="00A349D0"/>
    <w:rsid w:val="00A3669A"/>
    <w:rsid w:val="00A3679D"/>
    <w:rsid w:val="00A36931"/>
    <w:rsid w:val="00A37425"/>
    <w:rsid w:val="00A37705"/>
    <w:rsid w:val="00A4302C"/>
    <w:rsid w:val="00A45241"/>
    <w:rsid w:val="00A45432"/>
    <w:rsid w:val="00A4623F"/>
    <w:rsid w:val="00A467AD"/>
    <w:rsid w:val="00A471EB"/>
    <w:rsid w:val="00A4770A"/>
    <w:rsid w:val="00A5097E"/>
    <w:rsid w:val="00A50C36"/>
    <w:rsid w:val="00A512A6"/>
    <w:rsid w:val="00A517EB"/>
    <w:rsid w:val="00A52476"/>
    <w:rsid w:val="00A56088"/>
    <w:rsid w:val="00A60F82"/>
    <w:rsid w:val="00A63280"/>
    <w:rsid w:val="00A63D53"/>
    <w:rsid w:val="00A641DC"/>
    <w:rsid w:val="00A64200"/>
    <w:rsid w:val="00A64D40"/>
    <w:rsid w:val="00A65D36"/>
    <w:rsid w:val="00A668B0"/>
    <w:rsid w:val="00A70E53"/>
    <w:rsid w:val="00A741F8"/>
    <w:rsid w:val="00A7625F"/>
    <w:rsid w:val="00A76714"/>
    <w:rsid w:val="00A774C4"/>
    <w:rsid w:val="00A81534"/>
    <w:rsid w:val="00A82BF7"/>
    <w:rsid w:val="00A8462A"/>
    <w:rsid w:val="00A8515D"/>
    <w:rsid w:val="00A85B74"/>
    <w:rsid w:val="00A87091"/>
    <w:rsid w:val="00A94E09"/>
    <w:rsid w:val="00A95CB0"/>
    <w:rsid w:val="00A97760"/>
    <w:rsid w:val="00A978C5"/>
    <w:rsid w:val="00A97A16"/>
    <w:rsid w:val="00AA2602"/>
    <w:rsid w:val="00AA2AF0"/>
    <w:rsid w:val="00AA4118"/>
    <w:rsid w:val="00AA4806"/>
    <w:rsid w:val="00AA4F32"/>
    <w:rsid w:val="00AA7E54"/>
    <w:rsid w:val="00AB1991"/>
    <w:rsid w:val="00AB1A5E"/>
    <w:rsid w:val="00AB1CC2"/>
    <w:rsid w:val="00AB55F0"/>
    <w:rsid w:val="00AB6B87"/>
    <w:rsid w:val="00AC0A5E"/>
    <w:rsid w:val="00AC2957"/>
    <w:rsid w:val="00AC2A31"/>
    <w:rsid w:val="00AC4A8E"/>
    <w:rsid w:val="00AC4CDF"/>
    <w:rsid w:val="00AC5D31"/>
    <w:rsid w:val="00AC6DFA"/>
    <w:rsid w:val="00AD2005"/>
    <w:rsid w:val="00AD286B"/>
    <w:rsid w:val="00AD3C79"/>
    <w:rsid w:val="00AD41A6"/>
    <w:rsid w:val="00AD526E"/>
    <w:rsid w:val="00AD5536"/>
    <w:rsid w:val="00AD7E5C"/>
    <w:rsid w:val="00AE0382"/>
    <w:rsid w:val="00AE0423"/>
    <w:rsid w:val="00AE1890"/>
    <w:rsid w:val="00AE1D10"/>
    <w:rsid w:val="00AE1E37"/>
    <w:rsid w:val="00AE2E54"/>
    <w:rsid w:val="00AE4605"/>
    <w:rsid w:val="00AE46AB"/>
    <w:rsid w:val="00AE4F46"/>
    <w:rsid w:val="00AE53AC"/>
    <w:rsid w:val="00AE60B7"/>
    <w:rsid w:val="00AF0631"/>
    <w:rsid w:val="00AF08C4"/>
    <w:rsid w:val="00AF13F6"/>
    <w:rsid w:val="00AF149E"/>
    <w:rsid w:val="00AF16F0"/>
    <w:rsid w:val="00AF2294"/>
    <w:rsid w:val="00AF2F89"/>
    <w:rsid w:val="00AF4051"/>
    <w:rsid w:val="00AF517C"/>
    <w:rsid w:val="00AF54EC"/>
    <w:rsid w:val="00AF5DE3"/>
    <w:rsid w:val="00AF66B1"/>
    <w:rsid w:val="00AF6808"/>
    <w:rsid w:val="00AF68D1"/>
    <w:rsid w:val="00AF73B2"/>
    <w:rsid w:val="00B007D3"/>
    <w:rsid w:val="00B01BA8"/>
    <w:rsid w:val="00B03772"/>
    <w:rsid w:val="00B0452E"/>
    <w:rsid w:val="00B048D9"/>
    <w:rsid w:val="00B0734A"/>
    <w:rsid w:val="00B074D6"/>
    <w:rsid w:val="00B07A3E"/>
    <w:rsid w:val="00B101AD"/>
    <w:rsid w:val="00B11EDF"/>
    <w:rsid w:val="00B11F5D"/>
    <w:rsid w:val="00B12070"/>
    <w:rsid w:val="00B14001"/>
    <w:rsid w:val="00B15330"/>
    <w:rsid w:val="00B163D4"/>
    <w:rsid w:val="00B207E9"/>
    <w:rsid w:val="00B208E5"/>
    <w:rsid w:val="00B211BE"/>
    <w:rsid w:val="00B25E7A"/>
    <w:rsid w:val="00B27C49"/>
    <w:rsid w:val="00B31AA2"/>
    <w:rsid w:val="00B321AE"/>
    <w:rsid w:val="00B3261B"/>
    <w:rsid w:val="00B3377C"/>
    <w:rsid w:val="00B3459E"/>
    <w:rsid w:val="00B357D2"/>
    <w:rsid w:val="00B35E41"/>
    <w:rsid w:val="00B35FF8"/>
    <w:rsid w:val="00B363B1"/>
    <w:rsid w:val="00B36D26"/>
    <w:rsid w:val="00B40A7A"/>
    <w:rsid w:val="00B40DE0"/>
    <w:rsid w:val="00B4128E"/>
    <w:rsid w:val="00B46547"/>
    <w:rsid w:val="00B4793E"/>
    <w:rsid w:val="00B51AA8"/>
    <w:rsid w:val="00B51E72"/>
    <w:rsid w:val="00B52DB9"/>
    <w:rsid w:val="00B5325A"/>
    <w:rsid w:val="00B53ACA"/>
    <w:rsid w:val="00B57263"/>
    <w:rsid w:val="00B57606"/>
    <w:rsid w:val="00B61294"/>
    <w:rsid w:val="00B61815"/>
    <w:rsid w:val="00B63026"/>
    <w:rsid w:val="00B636CA"/>
    <w:rsid w:val="00B64BBD"/>
    <w:rsid w:val="00B6597B"/>
    <w:rsid w:val="00B6645E"/>
    <w:rsid w:val="00B715F1"/>
    <w:rsid w:val="00B71E65"/>
    <w:rsid w:val="00B71ED7"/>
    <w:rsid w:val="00B723BE"/>
    <w:rsid w:val="00B72698"/>
    <w:rsid w:val="00B72ACB"/>
    <w:rsid w:val="00B72B6D"/>
    <w:rsid w:val="00B736A4"/>
    <w:rsid w:val="00B738C4"/>
    <w:rsid w:val="00B73D2B"/>
    <w:rsid w:val="00B73D98"/>
    <w:rsid w:val="00B74B70"/>
    <w:rsid w:val="00B7512A"/>
    <w:rsid w:val="00B763EF"/>
    <w:rsid w:val="00B766EC"/>
    <w:rsid w:val="00B815B6"/>
    <w:rsid w:val="00B8253D"/>
    <w:rsid w:val="00B82705"/>
    <w:rsid w:val="00B82E29"/>
    <w:rsid w:val="00B84215"/>
    <w:rsid w:val="00B84DBD"/>
    <w:rsid w:val="00B85214"/>
    <w:rsid w:val="00B852F9"/>
    <w:rsid w:val="00B85F74"/>
    <w:rsid w:val="00B86E67"/>
    <w:rsid w:val="00B91197"/>
    <w:rsid w:val="00B915EC"/>
    <w:rsid w:val="00B915FF"/>
    <w:rsid w:val="00B91EC2"/>
    <w:rsid w:val="00B93A5F"/>
    <w:rsid w:val="00B9417A"/>
    <w:rsid w:val="00B977EF"/>
    <w:rsid w:val="00BA082F"/>
    <w:rsid w:val="00BA1566"/>
    <w:rsid w:val="00BA1CF6"/>
    <w:rsid w:val="00BA286A"/>
    <w:rsid w:val="00BA3B0B"/>
    <w:rsid w:val="00BA4440"/>
    <w:rsid w:val="00BA7DD2"/>
    <w:rsid w:val="00BA7E1F"/>
    <w:rsid w:val="00BB0E48"/>
    <w:rsid w:val="00BB436E"/>
    <w:rsid w:val="00BB458A"/>
    <w:rsid w:val="00BB4721"/>
    <w:rsid w:val="00BB4EB1"/>
    <w:rsid w:val="00BB6345"/>
    <w:rsid w:val="00BB63E9"/>
    <w:rsid w:val="00BB6515"/>
    <w:rsid w:val="00BB76DF"/>
    <w:rsid w:val="00BC321A"/>
    <w:rsid w:val="00BC48DB"/>
    <w:rsid w:val="00BC517C"/>
    <w:rsid w:val="00BC5973"/>
    <w:rsid w:val="00BC7E95"/>
    <w:rsid w:val="00BD112B"/>
    <w:rsid w:val="00BD16F2"/>
    <w:rsid w:val="00BD2DCC"/>
    <w:rsid w:val="00BD3AAC"/>
    <w:rsid w:val="00BD3DF6"/>
    <w:rsid w:val="00BD52EE"/>
    <w:rsid w:val="00BD537A"/>
    <w:rsid w:val="00BD5D69"/>
    <w:rsid w:val="00BD5D7E"/>
    <w:rsid w:val="00BE1044"/>
    <w:rsid w:val="00BE128D"/>
    <w:rsid w:val="00BE2368"/>
    <w:rsid w:val="00BE4EAB"/>
    <w:rsid w:val="00BE567E"/>
    <w:rsid w:val="00BF3AAB"/>
    <w:rsid w:val="00BF6129"/>
    <w:rsid w:val="00BF6C02"/>
    <w:rsid w:val="00BF6C04"/>
    <w:rsid w:val="00C00220"/>
    <w:rsid w:val="00C02807"/>
    <w:rsid w:val="00C02FDB"/>
    <w:rsid w:val="00C0370F"/>
    <w:rsid w:val="00C0393A"/>
    <w:rsid w:val="00C0668C"/>
    <w:rsid w:val="00C1288E"/>
    <w:rsid w:val="00C12AA8"/>
    <w:rsid w:val="00C13ABB"/>
    <w:rsid w:val="00C142BD"/>
    <w:rsid w:val="00C14F87"/>
    <w:rsid w:val="00C153C5"/>
    <w:rsid w:val="00C1771F"/>
    <w:rsid w:val="00C212A4"/>
    <w:rsid w:val="00C21BB2"/>
    <w:rsid w:val="00C2421A"/>
    <w:rsid w:val="00C25EB3"/>
    <w:rsid w:val="00C27401"/>
    <w:rsid w:val="00C27D57"/>
    <w:rsid w:val="00C30991"/>
    <w:rsid w:val="00C31480"/>
    <w:rsid w:val="00C32296"/>
    <w:rsid w:val="00C329FC"/>
    <w:rsid w:val="00C32B26"/>
    <w:rsid w:val="00C33677"/>
    <w:rsid w:val="00C33D9E"/>
    <w:rsid w:val="00C34B34"/>
    <w:rsid w:val="00C37568"/>
    <w:rsid w:val="00C375AF"/>
    <w:rsid w:val="00C378D2"/>
    <w:rsid w:val="00C40472"/>
    <w:rsid w:val="00C40EFF"/>
    <w:rsid w:val="00C40F0B"/>
    <w:rsid w:val="00C41AF2"/>
    <w:rsid w:val="00C43CFE"/>
    <w:rsid w:val="00C4439A"/>
    <w:rsid w:val="00C4439B"/>
    <w:rsid w:val="00C45076"/>
    <w:rsid w:val="00C47C93"/>
    <w:rsid w:val="00C50A74"/>
    <w:rsid w:val="00C51BAB"/>
    <w:rsid w:val="00C522C4"/>
    <w:rsid w:val="00C52D45"/>
    <w:rsid w:val="00C5322C"/>
    <w:rsid w:val="00C53CBC"/>
    <w:rsid w:val="00C60947"/>
    <w:rsid w:val="00C62472"/>
    <w:rsid w:val="00C633B7"/>
    <w:rsid w:val="00C64366"/>
    <w:rsid w:val="00C64BCD"/>
    <w:rsid w:val="00C678B0"/>
    <w:rsid w:val="00C67A61"/>
    <w:rsid w:val="00C67B3E"/>
    <w:rsid w:val="00C67BBF"/>
    <w:rsid w:val="00C70159"/>
    <w:rsid w:val="00C706CC"/>
    <w:rsid w:val="00C71E8F"/>
    <w:rsid w:val="00C74DC3"/>
    <w:rsid w:val="00C7645F"/>
    <w:rsid w:val="00C77060"/>
    <w:rsid w:val="00C80925"/>
    <w:rsid w:val="00C81041"/>
    <w:rsid w:val="00C81CC2"/>
    <w:rsid w:val="00C82CBA"/>
    <w:rsid w:val="00C85B61"/>
    <w:rsid w:val="00C8718F"/>
    <w:rsid w:val="00C872BE"/>
    <w:rsid w:val="00C90E73"/>
    <w:rsid w:val="00C91D4D"/>
    <w:rsid w:val="00C926C8"/>
    <w:rsid w:val="00C92A60"/>
    <w:rsid w:val="00C92C2B"/>
    <w:rsid w:val="00C93AC3"/>
    <w:rsid w:val="00C9584C"/>
    <w:rsid w:val="00C97ED0"/>
    <w:rsid w:val="00CA1364"/>
    <w:rsid w:val="00CA1B59"/>
    <w:rsid w:val="00CA1BBD"/>
    <w:rsid w:val="00CA2002"/>
    <w:rsid w:val="00CA4382"/>
    <w:rsid w:val="00CA4C65"/>
    <w:rsid w:val="00CA4E28"/>
    <w:rsid w:val="00CA508E"/>
    <w:rsid w:val="00CA5E5C"/>
    <w:rsid w:val="00CA6026"/>
    <w:rsid w:val="00CA70A0"/>
    <w:rsid w:val="00CA7D7C"/>
    <w:rsid w:val="00CA7F53"/>
    <w:rsid w:val="00CB3D15"/>
    <w:rsid w:val="00CB4BF3"/>
    <w:rsid w:val="00CB4C32"/>
    <w:rsid w:val="00CB68BE"/>
    <w:rsid w:val="00CB6F9F"/>
    <w:rsid w:val="00CC229F"/>
    <w:rsid w:val="00CC4444"/>
    <w:rsid w:val="00CC4F6A"/>
    <w:rsid w:val="00CC5AD1"/>
    <w:rsid w:val="00CC6084"/>
    <w:rsid w:val="00CC6BB1"/>
    <w:rsid w:val="00CC7FF5"/>
    <w:rsid w:val="00CD0A5E"/>
    <w:rsid w:val="00CD259E"/>
    <w:rsid w:val="00CD28BF"/>
    <w:rsid w:val="00CD2922"/>
    <w:rsid w:val="00CD3719"/>
    <w:rsid w:val="00CD53D7"/>
    <w:rsid w:val="00CD64E3"/>
    <w:rsid w:val="00CE0D8A"/>
    <w:rsid w:val="00CE157E"/>
    <w:rsid w:val="00CE1C84"/>
    <w:rsid w:val="00CE2299"/>
    <w:rsid w:val="00CE4600"/>
    <w:rsid w:val="00CE64C1"/>
    <w:rsid w:val="00CE6ACB"/>
    <w:rsid w:val="00CE6F44"/>
    <w:rsid w:val="00CE7940"/>
    <w:rsid w:val="00CF0640"/>
    <w:rsid w:val="00CF11D3"/>
    <w:rsid w:val="00CF1697"/>
    <w:rsid w:val="00CF18FC"/>
    <w:rsid w:val="00CF2A6D"/>
    <w:rsid w:val="00CF3010"/>
    <w:rsid w:val="00CF61E1"/>
    <w:rsid w:val="00CF6412"/>
    <w:rsid w:val="00CF6693"/>
    <w:rsid w:val="00CF7463"/>
    <w:rsid w:val="00D01416"/>
    <w:rsid w:val="00D0196B"/>
    <w:rsid w:val="00D01A2F"/>
    <w:rsid w:val="00D01E49"/>
    <w:rsid w:val="00D02EE9"/>
    <w:rsid w:val="00D031DA"/>
    <w:rsid w:val="00D03701"/>
    <w:rsid w:val="00D043B8"/>
    <w:rsid w:val="00D05155"/>
    <w:rsid w:val="00D05464"/>
    <w:rsid w:val="00D061A5"/>
    <w:rsid w:val="00D07773"/>
    <w:rsid w:val="00D07845"/>
    <w:rsid w:val="00D07DF8"/>
    <w:rsid w:val="00D10965"/>
    <w:rsid w:val="00D118DA"/>
    <w:rsid w:val="00D11B5D"/>
    <w:rsid w:val="00D128E8"/>
    <w:rsid w:val="00D12CB1"/>
    <w:rsid w:val="00D200F2"/>
    <w:rsid w:val="00D217BF"/>
    <w:rsid w:val="00D2332A"/>
    <w:rsid w:val="00D2510B"/>
    <w:rsid w:val="00D264AF"/>
    <w:rsid w:val="00D27693"/>
    <w:rsid w:val="00D27D01"/>
    <w:rsid w:val="00D33A80"/>
    <w:rsid w:val="00D42627"/>
    <w:rsid w:val="00D436AA"/>
    <w:rsid w:val="00D44179"/>
    <w:rsid w:val="00D44674"/>
    <w:rsid w:val="00D45161"/>
    <w:rsid w:val="00D46135"/>
    <w:rsid w:val="00D47091"/>
    <w:rsid w:val="00D47DAB"/>
    <w:rsid w:val="00D5115F"/>
    <w:rsid w:val="00D5256A"/>
    <w:rsid w:val="00D52918"/>
    <w:rsid w:val="00D530AB"/>
    <w:rsid w:val="00D547FC"/>
    <w:rsid w:val="00D5496C"/>
    <w:rsid w:val="00D54BEE"/>
    <w:rsid w:val="00D54DB9"/>
    <w:rsid w:val="00D5542D"/>
    <w:rsid w:val="00D5740C"/>
    <w:rsid w:val="00D57D42"/>
    <w:rsid w:val="00D61113"/>
    <w:rsid w:val="00D61DCE"/>
    <w:rsid w:val="00D625BE"/>
    <w:rsid w:val="00D64604"/>
    <w:rsid w:val="00D65FA6"/>
    <w:rsid w:val="00D672D1"/>
    <w:rsid w:val="00D6D517"/>
    <w:rsid w:val="00D70E68"/>
    <w:rsid w:val="00D71859"/>
    <w:rsid w:val="00D71909"/>
    <w:rsid w:val="00D726D4"/>
    <w:rsid w:val="00D72B9D"/>
    <w:rsid w:val="00D72C64"/>
    <w:rsid w:val="00D7424D"/>
    <w:rsid w:val="00D749FE"/>
    <w:rsid w:val="00D7656C"/>
    <w:rsid w:val="00D777B8"/>
    <w:rsid w:val="00D834C5"/>
    <w:rsid w:val="00D8600C"/>
    <w:rsid w:val="00D8667C"/>
    <w:rsid w:val="00D86AB9"/>
    <w:rsid w:val="00D9177B"/>
    <w:rsid w:val="00D928CE"/>
    <w:rsid w:val="00D92E8F"/>
    <w:rsid w:val="00DA2BB2"/>
    <w:rsid w:val="00DA302B"/>
    <w:rsid w:val="00DA38AD"/>
    <w:rsid w:val="00DA46F1"/>
    <w:rsid w:val="00DA52C4"/>
    <w:rsid w:val="00DA56FB"/>
    <w:rsid w:val="00DA6142"/>
    <w:rsid w:val="00DB2A9F"/>
    <w:rsid w:val="00DB6066"/>
    <w:rsid w:val="00DB6A7D"/>
    <w:rsid w:val="00DB6C34"/>
    <w:rsid w:val="00DB7745"/>
    <w:rsid w:val="00DB7A79"/>
    <w:rsid w:val="00DC00C2"/>
    <w:rsid w:val="00DC012C"/>
    <w:rsid w:val="00DC1C56"/>
    <w:rsid w:val="00DC27EC"/>
    <w:rsid w:val="00DC2CA3"/>
    <w:rsid w:val="00DC31CE"/>
    <w:rsid w:val="00DC3DB3"/>
    <w:rsid w:val="00DC5F5F"/>
    <w:rsid w:val="00DC60F1"/>
    <w:rsid w:val="00DC6675"/>
    <w:rsid w:val="00DC7816"/>
    <w:rsid w:val="00DD0BE9"/>
    <w:rsid w:val="00DD1209"/>
    <w:rsid w:val="00DD29DA"/>
    <w:rsid w:val="00DD32F5"/>
    <w:rsid w:val="00DD4384"/>
    <w:rsid w:val="00DD530E"/>
    <w:rsid w:val="00DD7366"/>
    <w:rsid w:val="00DE0A1E"/>
    <w:rsid w:val="00DE0AC4"/>
    <w:rsid w:val="00DE4372"/>
    <w:rsid w:val="00DE7192"/>
    <w:rsid w:val="00DF38C8"/>
    <w:rsid w:val="00DF46EB"/>
    <w:rsid w:val="00DF4854"/>
    <w:rsid w:val="00DF4AC8"/>
    <w:rsid w:val="00DF4B90"/>
    <w:rsid w:val="00DF5567"/>
    <w:rsid w:val="00DF5C75"/>
    <w:rsid w:val="00DF6253"/>
    <w:rsid w:val="00E00B82"/>
    <w:rsid w:val="00E01E71"/>
    <w:rsid w:val="00E04A4F"/>
    <w:rsid w:val="00E076AD"/>
    <w:rsid w:val="00E10A23"/>
    <w:rsid w:val="00E1710A"/>
    <w:rsid w:val="00E1764F"/>
    <w:rsid w:val="00E205BD"/>
    <w:rsid w:val="00E20894"/>
    <w:rsid w:val="00E20C1B"/>
    <w:rsid w:val="00E210E2"/>
    <w:rsid w:val="00E2219A"/>
    <w:rsid w:val="00E2262A"/>
    <w:rsid w:val="00E22A0D"/>
    <w:rsid w:val="00E22A47"/>
    <w:rsid w:val="00E22E59"/>
    <w:rsid w:val="00E2388B"/>
    <w:rsid w:val="00E23C33"/>
    <w:rsid w:val="00E24EF1"/>
    <w:rsid w:val="00E27304"/>
    <w:rsid w:val="00E27869"/>
    <w:rsid w:val="00E303EB"/>
    <w:rsid w:val="00E307E6"/>
    <w:rsid w:val="00E30A98"/>
    <w:rsid w:val="00E31691"/>
    <w:rsid w:val="00E338C9"/>
    <w:rsid w:val="00E34233"/>
    <w:rsid w:val="00E355FC"/>
    <w:rsid w:val="00E36617"/>
    <w:rsid w:val="00E37F74"/>
    <w:rsid w:val="00E401AC"/>
    <w:rsid w:val="00E403A3"/>
    <w:rsid w:val="00E43D2F"/>
    <w:rsid w:val="00E445AC"/>
    <w:rsid w:val="00E4548D"/>
    <w:rsid w:val="00E45506"/>
    <w:rsid w:val="00E464FC"/>
    <w:rsid w:val="00E47629"/>
    <w:rsid w:val="00E50F19"/>
    <w:rsid w:val="00E52213"/>
    <w:rsid w:val="00E5237E"/>
    <w:rsid w:val="00E5360A"/>
    <w:rsid w:val="00E536B8"/>
    <w:rsid w:val="00E54B2E"/>
    <w:rsid w:val="00E5527F"/>
    <w:rsid w:val="00E56FEC"/>
    <w:rsid w:val="00E631C1"/>
    <w:rsid w:val="00E651FC"/>
    <w:rsid w:val="00E65BEE"/>
    <w:rsid w:val="00E6792A"/>
    <w:rsid w:val="00E707D4"/>
    <w:rsid w:val="00E71174"/>
    <w:rsid w:val="00E71176"/>
    <w:rsid w:val="00E71D85"/>
    <w:rsid w:val="00E72090"/>
    <w:rsid w:val="00E72397"/>
    <w:rsid w:val="00E72D72"/>
    <w:rsid w:val="00E74110"/>
    <w:rsid w:val="00E74285"/>
    <w:rsid w:val="00E75096"/>
    <w:rsid w:val="00E76127"/>
    <w:rsid w:val="00E7666C"/>
    <w:rsid w:val="00E77336"/>
    <w:rsid w:val="00E80A1B"/>
    <w:rsid w:val="00E83527"/>
    <w:rsid w:val="00E83733"/>
    <w:rsid w:val="00E83C61"/>
    <w:rsid w:val="00E84BAD"/>
    <w:rsid w:val="00E85842"/>
    <w:rsid w:val="00E86011"/>
    <w:rsid w:val="00E87D31"/>
    <w:rsid w:val="00E924E2"/>
    <w:rsid w:val="00E933DD"/>
    <w:rsid w:val="00E9654D"/>
    <w:rsid w:val="00E96AFF"/>
    <w:rsid w:val="00EA05CF"/>
    <w:rsid w:val="00EA1864"/>
    <w:rsid w:val="00EA1F65"/>
    <w:rsid w:val="00EA212B"/>
    <w:rsid w:val="00EA22E3"/>
    <w:rsid w:val="00EA260A"/>
    <w:rsid w:val="00EA441D"/>
    <w:rsid w:val="00EA5285"/>
    <w:rsid w:val="00EA666F"/>
    <w:rsid w:val="00EA6977"/>
    <w:rsid w:val="00EA6E04"/>
    <w:rsid w:val="00EA7173"/>
    <w:rsid w:val="00EA74C8"/>
    <w:rsid w:val="00EA7D4F"/>
    <w:rsid w:val="00EB0353"/>
    <w:rsid w:val="00EB16F7"/>
    <w:rsid w:val="00EB19CA"/>
    <w:rsid w:val="00EB3216"/>
    <w:rsid w:val="00EB3AFA"/>
    <w:rsid w:val="00EB4278"/>
    <w:rsid w:val="00EB4EC0"/>
    <w:rsid w:val="00EB6023"/>
    <w:rsid w:val="00EB6D8F"/>
    <w:rsid w:val="00EC017B"/>
    <w:rsid w:val="00EC05A7"/>
    <w:rsid w:val="00EC178A"/>
    <w:rsid w:val="00EC1BC6"/>
    <w:rsid w:val="00EC1C5D"/>
    <w:rsid w:val="00EC2EDC"/>
    <w:rsid w:val="00EC4481"/>
    <w:rsid w:val="00EC504C"/>
    <w:rsid w:val="00EC5437"/>
    <w:rsid w:val="00EC6AE4"/>
    <w:rsid w:val="00EC6AED"/>
    <w:rsid w:val="00EC6CC0"/>
    <w:rsid w:val="00ED0B16"/>
    <w:rsid w:val="00ED1DB7"/>
    <w:rsid w:val="00ED2F9F"/>
    <w:rsid w:val="00ED3A0D"/>
    <w:rsid w:val="00ED6D5D"/>
    <w:rsid w:val="00EE1112"/>
    <w:rsid w:val="00EE2B03"/>
    <w:rsid w:val="00EE35FD"/>
    <w:rsid w:val="00EE3EF5"/>
    <w:rsid w:val="00EE46CB"/>
    <w:rsid w:val="00EE4A02"/>
    <w:rsid w:val="00EE5630"/>
    <w:rsid w:val="00EE5EC8"/>
    <w:rsid w:val="00EE5F14"/>
    <w:rsid w:val="00EE6F88"/>
    <w:rsid w:val="00EE7E34"/>
    <w:rsid w:val="00EF1B9D"/>
    <w:rsid w:val="00EF2274"/>
    <w:rsid w:val="00EF2357"/>
    <w:rsid w:val="00EF2D2C"/>
    <w:rsid w:val="00EF524F"/>
    <w:rsid w:val="00EF6186"/>
    <w:rsid w:val="00F01A37"/>
    <w:rsid w:val="00F04E7B"/>
    <w:rsid w:val="00F04FBE"/>
    <w:rsid w:val="00F0527B"/>
    <w:rsid w:val="00F07295"/>
    <w:rsid w:val="00F075CB"/>
    <w:rsid w:val="00F07B50"/>
    <w:rsid w:val="00F110BA"/>
    <w:rsid w:val="00F12026"/>
    <w:rsid w:val="00F14CAC"/>
    <w:rsid w:val="00F152B3"/>
    <w:rsid w:val="00F15BE9"/>
    <w:rsid w:val="00F1691A"/>
    <w:rsid w:val="00F177B9"/>
    <w:rsid w:val="00F230AD"/>
    <w:rsid w:val="00F238B2"/>
    <w:rsid w:val="00F23A83"/>
    <w:rsid w:val="00F23C4A"/>
    <w:rsid w:val="00F23F43"/>
    <w:rsid w:val="00F25041"/>
    <w:rsid w:val="00F2634C"/>
    <w:rsid w:val="00F26522"/>
    <w:rsid w:val="00F26BCF"/>
    <w:rsid w:val="00F26EA0"/>
    <w:rsid w:val="00F30D60"/>
    <w:rsid w:val="00F32E8D"/>
    <w:rsid w:val="00F343C9"/>
    <w:rsid w:val="00F357C0"/>
    <w:rsid w:val="00F3596A"/>
    <w:rsid w:val="00F36BEF"/>
    <w:rsid w:val="00F3772D"/>
    <w:rsid w:val="00F40510"/>
    <w:rsid w:val="00F4054B"/>
    <w:rsid w:val="00F41495"/>
    <w:rsid w:val="00F422DF"/>
    <w:rsid w:val="00F437DB"/>
    <w:rsid w:val="00F46DE4"/>
    <w:rsid w:val="00F50084"/>
    <w:rsid w:val="00F50ADA"/>
    <w:rsid w:val="00F5191F"/>
    <w:rsid w:val="00F5198E"/>
    <w:rsid w:val="00F5221A"/>
    <w:rsid w:val="00F54F8D"/>
    <w:rsid w:val="00F5708C"/>
    <w:rsid w:val="00F5740D"/>
    <w:rsid w:val="00F600D7"/>
    <w:rsid w:val="00F6151A"/>
    <w:rsid w:val="00F622F0"/>
    <w:rsid w:val="00F629A8"/>
    <w:rsid w:val="00F64811"/>
    <w:rsid w:val="00F669B9"/>
    <w:rsid w:val="00F67C00"/>
    <w:rsid w:val="00F70060"/>
    <w:rsid w:val="00F70784"/>
    <w:rsid w:val="00F722D1"/>
    <w:rsid w:val="00F736AF"/>
    <w:rsid w:val="00F74973"/>
    <w:rsid w:val="00F74B90"/>
    <w:rsid w:val="00F750D0"/>
    <w:rsid w:val="00F75B23"/>
    <w:rsid w:val="00F7635E"/>
    <w:rsid w:val="00F7707C"/>
    <w:rsid w:val="00F7715B"/>
    <w:rsid w:val="00F7796F"/>
    <w:rsid w:val="00F801E9"/>
    <w:rsid w:val="00F809DB"/>
    <w:rsid w:val="00F81153"/>
    <w:rsid w:val="00F82EBB"/>
    <w:rsid w:val="00F83EB6"/>
    <w:rsid w:val="00F8472E"/>
    <w:rsid w:val="00F84835"/>
    <w:rsid w:val="00F84873"/>
    <w:rsid w:val="00F84E3D"/>
    <w:rsid w:val="00F8567C"/>
    <w:rsid w:val="00F858B3"/>
    <w:rsid w:val="00F85E7A"/>
    <w:rsid w:val="00F86CEB"/>
    <w:rsid w:val="00F87EAC"/>
    <w:rsid w:val="00F90727"/>
    <w:rsid w:val="00F922D4"/>
    <w:rsid w:val="00F936D7"/>
    <w:rsid w:val="00F9382D"/>
    <w:rsid w:val="00F949EB"/>
    <w:rsid w:val="00F94BA7"/>
    <w:rsid w:val="00F95911"/>
    <w:rsid w:val="00F961F1"/>
    <w:rsid w:val="00F96399"/>
    <w:rsid w:val="00F9740A"/>
    <w:rsid w:val="00FA0AD6"/>
    <w:rsid w:val="00FA2165"/>
    <w:rsid w:val="00FA25ED"/>
    <w:rsid w:val="00FA4CED"/>
    <w:rsid w:val="00FA5202"/>
    <w:rsid w:val="00FA55AF"/>
    <w:rsid w:val="00FA77DA"/>
    <w:rsid w:val="00FA7B7B"/>
    <w:rsid w:val="00FB029E"/>
    <w:rsid w:val="00FB275F"/>
    <w:rsid w:val="00FB3FEC"/>
    <w:rsid w:val="00FB458C"/>
    <w:rsid w:val="00FB54A0"/>
    <w:rsid w:val="00FB592F"/>
    <w:rsid w:val="00FB77FD"/>
    <w:rsid w:val="00FB7CF4"/>
    <w:rsid w:val="00FC035D"/>
    <w:rsid w:val="00FC1FCE"/>
    <w:rsid w:val="00FC32F3"/>
    <w:rsid w:val="00FC3E02"/>
    <w:rsid w:val="00FC50C3"/>
    <w:rsid w:val="00FC5CED"/>
    <w:rsid w:val="00FC6834"/>
    <w:rsid w:val="00FC7313"/>
    <w:rsid w:val="00FC77BE"/>
    <w:rsid w:val="00FD0EDE"/>
    <w:rsid w:val="00FD20F6"/>
    <w:rsid w:val="00FD36A8"/>
    <w:rsid w:val="00FD4049"/>
    <w:rsid w:val="00FD4A6D"/>
    <w:rsid w:val="00FD4E8E"/>
    <w:rsid w:val="00FD73D2"/>
    <w:rsid w:val="00FE0444"/>
    <w:rsid w:val="00FE0655"/>
    <w:rsid w:val="00FE1617"/>
    <w:rsid w:val="00FE18D8"/>
    <w:rsid w:val="00FE24A8"/>
    <w:rsid w:val="00FE3007"/>
    <w:rsid w:val="00FE3572"/>
    <w:rsid w:val="00FE377A"/>
    <w:rsid w:val="00FE4BD6"/>
    <w:rsid w:val="00FE54F8"/>
    <w:rsid w:val="00FE5FDD"/>
    <w:rsid w:val="00FF1252"/>
    <w:rsid w:val="00FF169F"/>
    <w:rsid w:val="00FF2606"/>
    <w:rsid w:val="00FF277C"/>
    <w:rsid w:val="00FF3214"/>
    <w:rsid w:val="00FF4A12"/>
    <w:rsid w:val="00FF4C16"/>
    <w:rsid w:val="00FF4DE6"/>
    <w:rsid w:val="00FF53AA"/>
    <w:rsid w:val="0108E341"/>
    <w:rsid w:val="010C9A99"/>
    <w:rsid w:val="012FA144"/>
    <w:rsid w:val="014DD2E9"/>
    <w:rsid w:val="0168ACB2"/>
    <w:rsid w:val="018D9920"/>
    <w:rsid w:val="019EDFFE"/>
    <w:rsid w:val="01A1D991"/>
    <w:rsid w:val="01D5A47F"/>
    <w:rsid w:val="01E0DF1F"/>
    <w:rsid w:val="02575A8B"/>
    <w:rsid w:val="026CD2D0"/>
    <w:rsid w:val="02779F97"/>
    <w:rsid w:val="02A48B8C"/>
    <w:rsid w:val="02BAF623"/>
    <w:rsid w:val="02C90437"/>
    <w:rsid w:val="02CA54BD"/>
    <w:rsid w:val="02D4508C"/>
    <w:rsid w:val="02D7BBF0"/>
    <w:rsid w:val="02DEEC4E"/>
    <w:rsid w:val="03320CCF"/>
    <w:rsid w:val="0371FCD1"/>
    <w:rsid w:val="03749E69"/>
    <w:rsid w:val="038A976F"/>
    <w:rsid w:val="03BE8879"/>
    <w:rsid w:val="03D9D82D"/>
    <w:rsid w:val="03F52A9D"/>
    <w:rsid w:val="042F677A"/>
    <w:rsid w:val="044F0BCF"/>
    <w:rsid w:val="04AA8DB7"/>
    <w:rsid w:val="04C39FD0"/>
    <w:rsid w:val="053F9926"/>
    <w:rsid w:val="056B653D"/>
    <w:rsid w:val="05739AC4"/>
    <w:rsid w:val="05EBB24A"/>
    <w:rsid w:val="06236318"/>
    <w:rsid w:val="062B873F"/>
    <w:rsid w:val="066D9180"/>
    <w:rsid w:val="0670F852"/>
    <w:rsid w:val="069331B8"/>
    <w:rsid w:val="0697BB3B"/>
    <w:rsid w:val="06B10328"/>
    <w:rsid w:val="06BE581B"/>
    <w:rsid w:val="06CB1619"/>
    <w:rsid w:val="06E35DC2"/>
    <w:rsid w:val="06E50986"/>
    <w:rsid w:val="06EFA653"/>
    <w:rsid w:val="076B633C"/>
    <w:rsid w:val="07772D58"/>
    <w:rsid w:val="078A8DA5"/>
    <w:rsid w:val="07ECBB8F"/>
    <w:rsid w:val="0821925F"/>
    <w:rsid w:val="085AED62"/>
    <w:rsid w:val="0884E3ED"/>
    <w:rsid w:val="08FD0255"/>
    <w:rsid w:val="0955E034"/>
    <w:rsid w:val="096CFBB1"/>
    <w:rsid w:val="0979EA9A"/>
    <w:rsid w:val="0988A94E"/>
    <w:rsid w:val="09919279"/>
    <w:rsid w:val="09A0ECBB"/>
    <w:rsid w:val="09B46318"/>
    <w:rsid w:val="09C48F41"/>
    <w:rsid w:val="09CC6000"/>
    <w:rsid w:val="09D9C957"/>
    <w:rsid w:val="09E24449"/>
    <w:rsid w:val="09E901EC"/>
    <w:rsid w:val="09F594DD"/>
    <w:rsid w:val="0A07CFB6"/>
    <w:rsid w:val="0A19D2A3"/>
    <w:rsid w:val="0A515AFD"/>
    <w:rsid w:val="0A518E92"/>
    <w:rsid w:val="0A5F2D8C"/>
    <w:rsid w:val="0A64C1D1"/>
    <w:rsid w:val="0AC76BF5"/>
    <w:rsid w:val="0AD0C1F5"/>
    <w:rsid w:val="0B112B3B"/>
    <w:rsid w:val="0B143031"/>
    <w:rsid w:val="0B1DC159"/>
    <w:rsid w:val="0B4CBDCF"/>
    <w:rsid w:val="0B973D07"/>
    <w:rsid w:val="0C001B6B"/>
    <w:rsid w:val="0C05EB21"/>
    <w:rsid w:val="0C08D7AC"/>
    <w:rsid w:val="0C09D469"/>
    <w:rsid w:val="0C32F37D"/>
    <w:rsid w:val="0C3C2590"/>
    <w:rsid w:val="0C527943"/>
    <w:rsid w:val="0C603575"/>
    <w:rsid w:val="0CB81484"/>
    <w:rsid w:val="0CBB011B"/>
    <w:rsid w:val="0CDF8C8B"/>
    <w:rsid w:val="0CE18144"/>
    <w:rsid w:val="0CE7AE7A"/>
    <w:rsid w:val="0D0FFC0C"/>
    <w:rsid w:val="0D76BA3D"/>
    <w:rsid w:val="0D7C3D17"/>
    <w:rsid w:val="0D7C4236"/>
    <w:rsid w:val="0D91769E"/>
    <w:rsid w:val="0D9C1FEC"/>
    <w:rsid w:val="0DBA3B61"/>
    <w:rsid w:val="0DC7468A"/>
    <w:rsid w:val="0E083B79"/>
    <w:rsid w:val="0E439799"/>
    <w:rsid w:val="0E511BD8"/>
    <w:rsid w:val="0E530C5F"/>
    <w:rsid w:val="0E566DDD"/>
    <w:rsid w:val="0E8BF586"/>
    <w:rsid w:val="0E8DB505"/>
    <w:rsid w:val="0EB12918"/>
    <w:rsid w:val="0EB3B7EC"/>
    <w:rsid w:val="0EBDA2F2"/>
    <w:rsid w:val="0ECCEA45"/>
    <w:rsid w:val="0EDA1F11"/>
    <w:rsid w:val="0EF4B690"/>
    <w:rsid w:val="0EFCAFD3"/>
    <w:rsid w:val="0F364649"/>
    <w:rsid w:val="0F49EC09"/>
    <w:rsid w:val="0F5C84A4"/>
    <w:rsid w:val="0FB06E7D"/>
    <w:rsid w:val="0FD29471"/>
    <w:rsid w:val="1002DAB4"/>
    <w:rsid w:val="10696F60"/>
    <w:rsid w:val="106F2657"/>
    <w:rsid w:val="107E4AC3"/>
    <w:rsid w:val="10ABDA9A"/>
    <w:rsid w:val="10B9C315"/>
    <w:rsid w:val="10F320EF"/>
    <w:rsid w:val="1124AE2A"/>
    <w:rsid w:val="11251FAA"/>
    <w:rsid w:val="11668662"/>
    <w:rsid w:val="116BF3FC"/>
    <w:rsid w:val="116FB1BF"/>
    <w:rsid w:val="11704A55"/>
    <w:rsid w:val="11745008"/>
    <w:rsid w:val="11806CBF"/>
    <w:rsid w:val="1189E9B5"/>
    <w:rsid w:val="118D2058"/>
    <w:rsid w:val="119F5EB7"/>
    <w:rsid w:val="11A42BA5"/>
    <w:rsid w:val="11ABE44F"/>
    <w:rsid w:val="11B8E370"/>
    <w:rsid w:val="11D96023"/>
    <w:rsid w:val="11F8017A"/>
    <w:rsid w:val="120BE198"/>
    <w:rsid w:val="1219AC5E"/>
    <w:rsid w:val="1249D8DE"/>
    <w:rsid w:val="1251ADD5"/>
    <w:rsid w:val="1286A8A1"/>
    <w:rsid w:val="1294EFC8"/>
    <w:rsid w:val="12C583F6"/>
    <w:rsid w:val="12F88B60"/>
    <w:rsid w:val="1309B995"/>
    <w:rsid w:val="132AB0F0"/>
    <w:rsid w:val="13842383"/>
    <w:rsid w:val="138B2B50"/>
    <w:rsid w:val="138F8630"/>
    <w:rsid w:val="13AA2148"/>
    <w:rsid w:val="13BE8341"/>
    <w:rsid w:val="13C90160"/>
    <w:rsid w:val="13F19F94"/>
    <w:rsid w:val="14004130"/>
    <w:rsid w:val="14227902"/>
    <w:rsid w:val="14C12DCF"/>
    <w:rsid w:val="14C4C3E4"/>
    <w:rsid w:val="14C514F3"/>
    <w:rsid w:val="14C68317"/>
    <w:rsid w:val="14E3CA2A"/>
    <w:rsid w:val="151437F5"/>
    <w:rsid w:val="151710D6"/>
    <w:rsid w:val="151CFEB5"/>
    <w:rsid w:val="15229145"/>
    <w:rsid w:val="154E2218"/>
    <w:rsid w:val="1551BE66"/>
    <w:rsid w:val="155C282C"/>
    <w:rsid w:val="15959574"/>
    <w:rsid w:val="15B3A5E8"/>
    <w:rsid w:val="15CE5AB6"/>
    <w:rsid w:val="15E5B20B"/>
    <w:rsid w:val="1631D20F"/>
    <w:rsid w:val="165FB3CB"/>
    <w:rsid w:val="1663DDA2"/>
    <w:rsid w:val="16943CB9"/>
    <w:rsid w:val="16BB64C7"/>
    <w:rsid w:val="16D839C2"/>
    <w:rsid w:val="16F98C0D"/>
    <w:rsid w:val="17024C31"/>
    <w:rsid w:val="17091E4D"/>
    <w:rsid w:val="1770E408"/>
    <w:rsid w:val="177D2672"/>
    <w:rsid w:val="1789CC91"/>
    <w:rsid w:val="178CA557"/>
    <w:rsid w:val="17988999"/>
    <w:rsid w:val="17A43433"/>
    <w:rsid w:val="17DCD2F6"/>
    <w:rsid w:val="17E4A636"/>
    <w:rsid w:val="17F0704F"/>
    <w:rsid w:val="17F47E27"/>
    <w:rsid w:val="181FB16A"/>
    <w:rsid w:val="182A9DCC"/>
    <w:rsid w:val="18339F10"/>
    <w:rsid w:val="18675809"/>
    <w:rsid w:val="18770B89"/>
    <w:rsid w:val="1881E8B4"/>
    <w:rsid w:val="1905B9E1"/>
    <w:rsid w:val="19176B99"/>
    <w:rsid w:val="194723E3"/>
    <w:rsid w:val="1962C8A2"/>
    <w:rsid w:val="1985825D"/>
    <w:rsid w:val="19BA21BC"/>
    <w:rsid w:val="19BAD5A4"/>
    <w:rsid w:val="1A08B4DE"/>
    <w:rsid w:val="1A655B3A"/>
    <w:rsid w:val="1A8A6DAA"/>
    <w:rsid w:val="1A99C87D"/>
    <w:rsid w:val="1AC8B0E9"/>
    <w:rsid w:val="1AD64EB0"/>
    <w:rsid w:val="1AE01BDE"/>
    <w:rsid w:val="1AE11C11"/>
    <w:rsid w:val="1AEC0FDC"/>
    <w:rsid w:val="1B0BB2B9"/>
    <w:rsid w:val="1B202603"/>
    <w:rsid w:val="1B2FF305"/>
    <w:rsid w:val="1B5869BD"/>
    <w:rsid w:val="1B7CDBFE"/>
    <w:rsid w:val="1B8ED5EA"/>
    <w:rsid w:val="1BB655E2"/>
    <w:rsid w:val="1BCD6435"/>
    <w:rsid w:val="1BDC00CB"/>
    <w:rsid w:val="1BE9A27B"/>
    <w:rsid w:val="1C101A95"/>
    <w:rsid w:val="1C50372E"/>
    <w:rsid w:val="1C5EA762"/>
    <w:rsid w:val="1C69F2DF"/>
    <w:rsid w:val="1C74204B"/>
    <w:rsid w:val="1CB7D840"/>
    <w:rsid w:val="1CE0AD0E"/>
    <w:rsid w:val="1CE48D7E"/>
    <w:rsid w:val="1CF4416B"/>
    <w:rsid w:val="1D047376"/>
    <w:rsid w:val="1D05641B"/>
    <w:rsid w:val="1D4F1FA1"/>
    <w:rsid w:val="1D53A956"/>
    <w:rsid w:val="1D548CAE"/>
    <w:rsid w:val="1D7535CA"/>
    <w:rsid w:val="1D8667F1"/>
    <w:rsid w:val="1D948872"/>
    <w:rsid w:val="1DA5F97B"/>
    <w:rsid w:val="1DE60D57"/>
    <w:rsid w:val="1E2AA329"/>
    <w:rsid w:val="1E53A8A1"/>
    <w:rsid w:val="1EA64735"/>
    <w:rsid w:val="1EAB109E"/>
    <w:rsid w:val="1EB1B226"/>
    <w:rsid w:val="1EC26167"/>
    <w:rsid w:val="1EE9A5A7"/>
    <w:rsid w:val="1EEE283F"/>
    <w:rsid w:val="1F295944"/>
    <w:rsid w:val="1F4C6A13"/>
    <w:rsid w:val="1F6D5044"/>
    <w:rsid w:val="1FA7A11E"/>
    <w:rsid w:val="1FAEDDA0"/>
    <w:rsid w:val="1FCE7FCD"/>
    <w:rsid w:val="203853D6"/>
    <w:rsid w:val="203DCA27"/>
    <w:rsid w:val="2043057D"/>
    <w:rsid w:val="206010F1"/>
    <w:rsid w:val="20BD0BD7"/>
    <w:rsid w:val="20CF1217"/>
    <w:rsid w:val="20E331CD"/>
    <w:rsid w:val="212BD356"/>
    <w:rsid w:val="212CAED8"/>
    <w:rsid w:val="21310956"/>
    <w:rsid w:val="2140B376"/>
    <w:rsid w:val="21922A0E"/>
    <w:rsid w:val="21A12712"/>
    <w:rsid w:val="21B45B95"/>
    <w:rsid w:val="21B7ABC8"/>
    <w:rsid w:val="21C85FB1"/>
    <w:rsid w:val="21D36355"/>
    <w:rsid w:val="21D76056"/>
    <w:rsid w:val="21DDA4BB"/>
    <w:rsid w:val="21E9E982"/>
    <w:rsid w:val="21F3323D"/>
    <w:rsid w:val="2202FB25"/>
    <w:rsid w:val="222F5199"/>
    <w:rsid w:val="22399A28"/>
    <w:rsid w:val="223DE1E2"/>
    <w:rsid w:val="22A93033"/>
    <w:rsid w:val="22AE605B"/>
    <w:rsid w:val="22B3BD30"/>
    <w:rsid w:val="231AD3CA"/>
    <w:rsid w:val="232F4B03"/>
    <w:rsid w:val="236E44D7"/>
    <w:rsid w:val="23725CBE"/>
    <w:rsid w:val="2372C521"/>
    <w:rsid w:val="23C2E138"/>
    <w:rsid w:val="23C91151"/>
    <w:rsid w:val="23E27550"/>
    <w:rsid w:val="23E57CEA"/>
    <w:rsid w:val="23E93951"/>
    <w:rsid w:val="243F00E0"/>
    <w:rsid w:val="24408A52"/>
    <w:rsid w:val="244A30BC"/>
    <w:rsid w:val="2469EBDC"/>
    <w:rsid w:val="24956793"/>
    <w:rsid w:val="24C1B881"/>
    <w:rsid w:val="24D5FC90"/>
    <w:rsid w:val="24DC3839"/>
    <w:rsid w:val="24EFE367"/>
    <w:rsid w:val="2510DBA2"/>
    <w:rsid w:val="252EE124"/>
    <w:rsid w:val="254EB9D3"/>
    <w:rsid w:val="256097B5"/>
    <w:rsid w:val="258C1694"/>
    <w:rsid w:val="259EAF4B"/>
    <w:rsid w:val="25AA6C2F"/>
    <w:rsid w:val="25B3266F"/>
    <w:rsid w:val="25C922F6"/>
    <w:rsid w:val="25EB838E"/>
    <w:rsid w:val="26090218"/>
    <w:rsid w:val="261CFED6"/>
    <w:rsid w:val="262FFC73"/>
    <w:rsid w:val="264D6EF3"/>
    <w:rsid w:val="264EAA3F"/>
    <w:rsid w:val="2656D433"/>
    <w:rsid w:val="266E1FFD"/>
    <w:rsid w:val="267E5DDF"/>
    <w:rsid w:val="268BE574"/>
    <w:rsid w:val="26A7257E"/>
    <w:rsid w:val="26B0DBC8"/>
    <w:rsid w:val="26D35DAD"/>
    <w:rsid w:val="26D6CE55"/>
    <w:rsid w:val="26DD8F50"/>
    <w:rsid w:val="26EC3A04"/>
    <w:rsid w:val="26EF1DBB"/>
    <w:rsid w:val="26F1E1FF"/>
    <w:rsid w:val="26F47668"/>
    <w:rsid w:val="2718A21B"/>
    <w:rsid w:val="274280E3"/>
    <w:rsid w:val="27497E03"/>
    <w:rsid w:val="275154DA"/>
    <w:rsid w:val="27558222"/>
    <w:rsid w:val="2773D9FC"/>
    <w:rsid w:val="27A0C5C7"/>
    <w:rsid w:val="28094259"/>
    <w:rsid w:val="28282F32"/>
    <w:rsid w:val="28294A31"/>
    <w:rsid w:val="283071AF"/>
    <w:rsid w:val="2836AC53"/>
    <w:rsid w:val="284858CF"/>
    <w:rsid w:val="285A2B92"/>
    <w:rsid w:val="286180A5"/>
    <w:rsid w:val="2896E24D"/>
    <w:rsid w:val="28C3A8AA"/>
    <w:rsid w:val="28C5BB36"/>
    <w:rsid w:val="28C7DDE5"/>
    <w:rsid w:val="28D3707D"/>
    <w:rsid w:val="28D44FEC"/>
    <w:rsid w:val="28F23067"/>
    <w:rsid w:val="2918CB33"/>
    <w:rsid w:val="2939A1B2"/>
    <w:rsid w:val="29414BEC"/>
    <w:rsid w:val="296062CB"/>
    <w:rsid w:val="2971BFB7"/>
    <w:rsid w:val="29860622"/>
    <w:rsid w:val="29B43F76"/>
    <w:rsid w:val="29C3FF93"/>
    <w:rsid w:val="29C5EA76"/>
    <w:rsid w:val="29E206A5"/>
    <w:rsid w:val="29F146E0"/>
    <w:rsid w:val="29F8C02B"/>
    <w:rsid w:val="29FB0F43"/>
    <w:rsid w:val="2A167963"/>
    <w:rsid w:val="2A23DAC6"/>
    <w:rsid w:val="2A2F2D50"/>
    <w:rsid w:val="2A405D33"/>
    <w:rsid w:val="2A47F00B"/>
    <w:rsid w:val="2A655C20"/>
    <w:rsid w:val="2A721CA8"/>
    <w:rsid w:val="2A802BF1"/>
    <w:rsid w:val="2AC7EC68"/>
    <w:rsid w:val="2AE5F6E2"/>
    <w:rsid w:val="2B282759"/>
    <w:rsid w:val="2B292C91"/>
    <w:rsid w:val="2B35BEB1"/>
    <w:rsid w:val="2B5BA595"/>
    <w:rsid w:val="2B6ECA09"/>
    <w:rsid w:val="2B705EF2"/>
    <w:rsid w:val="2B78EA38"/>
    <w:rsid w:val="2B8CEF57"/>
    <w:rsid w:val="2B905E9F"/>
    <w:rsid w:val="2BA5B5D1"/>
    <w:rsid w:val="2BB74158"/>
    <w:rsid w:val="2BE257C3"/>
    <w:rsid w:val="2C1E5A75"/>
    <w:rsid w:val="2C31E9F7"/>
    <w:rsid w:val="2C963C2B"/>
    <w:rsid w:val="2CC39C2C"/>
    <w:rsid w:val="2CE7BB86"/>
    <w:rsid w:val="2CFBA055"/>
    <w:rsid w:val="2D0C7AF9"/>
    <w:rsid w:val="2D10D395"/>
    <w:rsid w:val="2D19A767"/>
    <w:rsid w:val="2D379A07"/>
    <w:rsid w:val="2D435567"/>
    <w:rsid w:val="2D93F207"/>
    <w:rsid w:val="2DB7BC6C"/>
    <w:rsid w:val="2E012C7E"/>
    <w:rsid w:val="2E03252A"/>
    <w:rsid w:val="2E183CFA"/>
    <w:rsid w:val="2E44581E"/>
    <w:rsid w:val="2E6A25CA"/>
    <w:rsid w:val="2E71F92F"/>
    <w:rsid w:val="2EB1AC0D"/>
    <w:rsid w:val="2EC7FB08"/>
    <w:rsid w:val="2ECEEF60"/>
    <w:rsid w:val="2F047EA4"/>
    <w:rsid w:val="2F2D975B"/>
    <w:rsid w:val="2F387446"/>
    <w:rsid w:val="2F7A77AC"/>
    <w:rsid w:val="2F951B05"/>
    <w:rsid w:val="2F9EE2E5"/>
    <w:rsid w:val="2FDC0F58"/>
    <w:rsid w:val="2FF1BC0F"/>
    <w:rsid w:val="2FF77970"/>
    <w:rsid w:val="2FFA3C56"/>
    <w:rsid w:val="3004ABDB"/>
    <w:rsid w:val="304B587F"/>
    <w:rsid w:val="306FC96E"/>
    <w:rsid w:val="308467AD"/>
    <w:rsid w:val="30B244FF"/>
    <w:rsid w:val="30BD45EF"/>
    <w:rsid w:val="30C0D2AD"/>
    <w:rsid w:val="30F42288"/>
    <w:rsid w:val="3153B011"/>
    <w:rsid w:val="31A28F97"/>
    <w:rsid w:val="31AD3D40"/>
    <w:rsid w:val="31C55B1E"/>
    <w:rsid w:val="3206DBA2"/>
    <w:rsid w:val="32173FC6"/>
    <w:rsid w:val="322DF28C"/>
    <w:rsid w:val="324CEC1E"/>
    <w:rsid w:val="327B3232"/>
    <w:rsid w:val="32889902"/>
    <w:rsid w:val="329CF918"/>
    <w:rsid w:val="32D36FC0"/>
    <w:rsid w:val="32DE492F"/>
    <w:rsid w:val="32E4B40F"/>
    <w:rsid w:val="32FEF8AF"/>
    <w:rsid w:val="330A88E5"/>
    <w:rsid w:val="331D6380"/>
    <w:rsid w:val="3334D5EE"/>
    <w:rsid w:val="33530D3E"/>
    <w:rsid w:val="337CF40B"/>
    <w:rsid w:val="338BCA40"/>
    <w:rsid w:val="3392FF87"/>
    <w:rsid w:val="33BFE647"/>
    <w:rsid w:val="33EFD28D"/>
    <w:rsid w:val="340732B8"/>
    <w:rsid w:val="340C9A35"/>
    <w:rsid w:val="341043FD"/>
    <w:rsid w:val="34761050"/>
    <w:rsid w:val="34A521DB"/>
    <w:rsid w:val="3510E451"/>
    <w:rsid w:val="355CDBEE"/>
    <w:rsid w:val="355FD03F"/>
    <w:rsid w:val="35BC7BBC"/>
    <w:rsid w:val="35EC08F4"/>
    <w:rsid w:val="36040155"/>
    <w:rsid w:val="360B1082"/>
    <w:rsid w:val="361A9E43"/>
    <w:rsid w:val="363D927F"/>
    <w:rsid w:val="364A3E5D"/>
    <w:rsid w:val="36627C8E"/>
    <w:rsid w:val="366F230C"/>
    <w:rsid w:val="367C5253"/>
    <w:rsid w:val="369E82DC"/>
    <w:rsid w:val="36A306D7"/>
    <w:rsid w:val="36AE4671"/>
    <w:rsid w:val="36BDCB86"/>
    <w:rsid w:val="36C7DE4B"/>
    <w:rsid w:val="3725FBAE"/>
    <w:rsid w:val="37458F0A"/>
    <w:rsid w:val="374F6C33"/>
    <w:rsid w:val="3750A1E6"/>
    <w:rsid w:val="375C9697"/>
    <w:rsid w:val="37678E8C"/>
    <w:rsid w:val="37814041"/>
    <w:rsid w:val="37831298"/>
    <w:rsid w:val="37DFDC1B"/>
    <w:rsid w:val="38107470"/>
    <w:rsid w:val="381A551E"/>
    <w:rsid w:val="382693A0"/>
    <w:rsid w:val="38323397"/>
    <w:rsid w:val="38414B54"/>
    <w:rsid w:val="38728CE2"/>
    <w:rsid w:val="38A715F9"/>
    <w:rsid w:val="38A9C2CA"/>
    <w:rsid w:val="38B0D6DE"/>
    <w:rsid w:val="38D6D56B"/>
    <w:rsid w:val="38EB44E7"/>
    <w:rsid w:val="391B584A"/>
    <w:rsid w:val="393D8631"/>
    <w:rsid w:val="395B7808"/>
    <w:rsid w:val="396BD423"/>
    <w:rsid w:val="396D4962"/>
    <w:rsid w:val="3988F6D7"/>
    <w:rsid w:val="39963543"/>
    <w:rsid w:val="39DDDD07"/>
    <w:rsid w:val="39E1B747"/>
    <w:rsid w:val="39EC97B4"/>
    <w:rsid w:val="3A09064F"/>
    <w:rsid w:val="3A0C5E03"/>
    <w:rsid w:val="3A4C4564"/>
    <w:rsid w:val="3A500DD2"/>
    <w:rsid w:val="3A5AB6E1"/>
    <w:rsid w:val="3A7C609A"/>
    <w:rsid w:val="3A865FAB"/>
    <w:rsid w:val="3A9803DE"/>
    <w:rsid w:val="3AA27CD8"/>
    <w:rsid w:val="3ABC14D0"/>
    <w:rsid w:val="3ABEB0CF"/>
    <w:rsid w:val="3B08DE02"/>
    <w:rsid w:val="3B160ABD"/>
    <w:rsid w:val="3B3209CA"/>
    <w:rsid w:val="3B4A7559"/>
    <w:rsid w:val="3BAA510C"/>
    <w:rsid w:val="3BAF5835"/>
    <w:rsid w:val="3BAFC760"/>
    <w:rsid w:val="3BF82C28"/>
    <w:rsid w:val="3C27CBFA"/>
    <w:rsid w:val="3C27DEA5"/>
    <w:rsid w:val="3C3EAC71"/>
    <w:rsid w:val="3C6144E6"/>
    <w:rsid w:val="3C7A1B02"/>
    <w:rsid w:val="3C8851E2"/>
    <w:rsid w:val="3CA171E4"/>
    <w:rsid w:val="3CEE9322"/>
    <w:rsid w:val="3CEF50B4"/>
    <w:rsid w:val="3CF2401F"/>
    <w:rsid w:val="3CF35F9E"/>
    <w:rsid w:val="3D09A2DA"/>
    <w:rsid w:val="3D223252"/>
    <w:rsid w:val="3D34FA90"/>
    <w:rsid w:val="3DE2A040"/>
    <w:rsid w:val="3DEF7747"/>
    <w:rsid w:val="3E3B66E3"/>
    <w:rsid w:val="3E53D1BC"/>
    <w:rsid w:val="3E5A81DE"/>
    <w:rsid w:val="3E658AF9"/>
    <w:rsid w:val="3EC12C45"/>
    <w:rsid w:val="3ED0CAF1"/>
    <w:rsid w:val="3ED90070"/>
    <w:rsid w:val="3EDC4753"/>
    <w:rsid w:val="3EE02EBA"/>
    <w:rsid w:val="3EED4594"/>
    <w:rsid w:val="3F01D04C"/>
    <w:rsid w:val="3F07C42B"/>
    <w:rsid w:val="3F146ED4"/>
    <w:rsid w:val="3F1B1DDB"/>
    <w:rsid w:val="3F5970B9"/>
    <w:rsid w:val="3F5F3F8D"/>
    <w:rsid w:val="3F6D0177"/>
    <w:rsid w:val="3F8982D8"/>
    <w:rsid w:val="3F96EA6B"/>
    <w:rsid w:val="3FE45340"/>
    <w:rsid w:val="3FEA0517"/>
    <w:rsid w:val="3FF68BF8"/>
    <w:rsid w:val="3FFE3FC5"/>
    <w:rsid w:val="4009CBC2"/>
    <w:rsid w:val="403E3DB9"/>
    <w:rsid w:val="403F80E7"/>
    <w:rsid w:val="4040E44E"/>
    <w:rsid w:val="4051FE49"/>
    <w:rsid w:val="405FE1F4"/>
    <w:rsid w:val="40A116A1"/>
    <w:rsid w:val="40AFFE35"/>
    <w:rsid w:val="40B3B597"/>
    <w:rsid w:val="40CE6BD9"/>
    <w:rsid w:val="40E11591"/>
    <w:rsid w:val="40E124E2"/>
    <w:rsid w:val="40EF1620"/>
    <w:rsid w:val="411B906B"/>
    <w:rsid w:val="412FDD8C"/>
    <w:rsid w:val="414D7989"/>
    <w:rsid w:val="415BC305"/>
    <w:rsid w:val="417CA121"/>
    <w:rsid w:val="419D2BBB"/>
    <w:rsid w:val="41B619A3"/>
    <w:rsid w:val="41D30B5E"/>
    <w:rsid w:val="41E89C53"/>
    <w:rsid w:val="41F3A16C"/>
    <w:rsid w:val="41FB4D49"/>
    <w:rsid w:val="420A502C"/>
    <w:rsid w:val="424B9D5E"/>
    <w:rsid w:val="42C7538E"/>
    <w:rsid w:val="42E005CC"/>
    <w:rsid w:val="42F60088"/>
    <w:rsid w:val="42FDA485"/>
    <w:rsid w:val="43416C84"/>
    <w:rsid w:val="4374493A"/>
    <w:rsid w:val="437B3C39"/>
    <w:rsid w:val="439F2AD7"/>
    <w:rsid w:val="4406D6B8"/>
    <w:rsid w:val="44147494"/>
    <w:rsid w:val="4428D205"/>
    <w:rsid w:val="4461AAF9"/>
    <w:rsid w:val="447B71D0"/>
    <w:rsid w:val="4494F1AC"/>
    <w:rsid w:val="44975C0F"/>
    <w:rsid w:val="45324DC3"/>
    <w:rsid w:val="457217B1"/>
    <w:rsid w:val="4590E432"/>
    <w:rsid w:val="4598E3A7"/>
    <w:rsid w:val="45AE5F7E"/>
    <w:rsid w:val="45BE388A"/>
    <w:rsid w:val="45C3A5E6"/>
    <w:rsid w:val="45C9BD6F"/>
    <w:rsid w:val="45D354B3"/>
    <w:rsid w:val="45D5D7F9"/>
    <w:rsid w:val="45E6C531"/>
    <w:rsid w:val="460C7175"/>
    <w:rsid w:val="463721AE"/>
    <w:rsid w:val="464F4AF7"/>
    <w:rsid w:val="46574BCD"/>
    <w:rsid w:val="46A512A9"/>
    <w:rsid w:val="46A96564"/>
    <w:rsid w:val="46AC8335"/>
    <w:rsid w:val="46BC7117"/>
    <w:rsid w:val="46F00B21"/>
    <w:rsid w:val="46FC6FFC"/>
    <w:rsid w:val="473A18D3"/>
    <w:rsid w:val="4744F792"/>
    <w:rsid w:val="475B655B"/>
    <w:rsid w:val="47AFA4B1"/>
    <w:rsid w:val="47CE6E27"/>
    <w:rsid w:val="47EC5DD5"/>
    <w:rsid w:val="47FBB54A"/>
    <w:rsid w:val="47FFACD2"/>
    <w:rsid w:val="481F0593"/>
    <w:rsid w:val="48773C6E"/>
    <w:rsid w:val="48A75DEA"/>
    <w:rsid w:val="48A9B873"/>
    <w:rsid w:val="48B66700"/>
    <w:rsid w:val="48BDCC25"/>
    <w:rsid w:val="48E52F51"/>
    <w:rsid w:val="49017958"/>
    <w:rsid w:val="4911D214"/>
    <w:rsid w:val="49193EF0"/>
    <w:rsid w:val="491E2E7B"/>
    <w:rsid w:val="49360FD5"/>
    <w:rsid w:val="493F415F"/>
    <w:rsid w:val="496285C3"/>
    <w:rsid w:val="4971A954"/>
    <w:rsid w:val="49943618"/>
    <w:rsid w:val="49A8E3BF"/>
    <w:rsid w:val="49A9FF8B"/>
    <w:rsid w:val="49CF71DF"/>
    <w:rsid w:val="49F6D8D6"/>
    <w:rsid w:val="4A01B542"/>
    <w:rsid w:val="4A08BCE5"/>
    <w:rsid w:val="4A0DFB77"/>
    <w:rsid w:val="4A338847"/>
    <w:rsid w:val="4A61DFA6"/>
    <w:rsid w:val="4A67FE0F"/>
    <w:rsid w:val="4A68125B"/>
    <w:rsid w:val="4A77D8BD"/>
    <w:rsid w:val="4A9A071B"/>
    <w:rsid w:val="4A9D96D1"/>
    <w:rsid w:val="4ADA53C0"/>
    <w:rsid w:val="4AF2F859"/>
    <w:rsid w:val="4B1FBCD8"/>
    <w:rsid w:val="4B3B27FE"/>
    <w:rsid w:val="4BA48D46"/>
    <w:rsid w:val="4BA7F850"/>
    <w:rsid w:val="4BA823FE"/>
    <w:rsid w:val="4BB8975E"/>
    <w:rsid w:val="4BC71A97"/>
    <w:rsid w:val="4C0E9A1C"/>
    <w:rsid w:val="4C0FD52F"/>
    <w:rsid w:val="4C325C22"/>
    <w:rsid w:val="4C751736"/>
    <w:rsid w:val="4C7AEF40"/>
    <w:rsid w:val="4C8EE777"/>
    <w:rsid w:val="4CB4FCC8"/>
    <w:rsid w:val="4CBDA41B"/>
    <w:rsid w:val="4CD40121"/>
    <w:rsid w:val="4CE25716"/>
    <w:rsid w:val="4D1A0394"/>
    <w:rsid w:val="4D1C7BA0"/>
    <w:rsid w:val="4D315FED"/>
    <w:rsid w:val="4D31F5FD"/>
    <w:rsid w:val="4D62B78E"/>
    <w:rsid w:val="4D68DCAA"/>
    <w:rsid w:val="4D999BC1"/>
    <w:rsid w:val="4DBE9CF6"/>
    <w:rsid w:val="4DC5FC5F"/>
    <w:rsid w:val="4DCB9499"/>
    <w:rsid w:val="4E007FA9"/>
    <w:rsid w:val="4E663941"/>
    <w:rsid w:val="4E70A5A8"/>
    <w:rsid w:val="4E7EFA26"/>
    <w:rsid w:val="4EDFC4C0"/>
    <w:rsid w:val="4F06D470"/>
    <w:rsid w:val="4F06FC04"/>
    <w:rsid w:val="4F0DDD69"/>
    <w:rsid w:val="4F19F07A"/>
    <w:rsid w:val="4F236495"/>
    <w:rsid w:val="4F5D60A1"/>
    <w:rsid w:val="4FAF5C62"/>
    <w:rsid w:val="4FBA59E7"/>
    <w:rsid w:val="4FBC2188"/>
    <w:rsid w:val="4FC1A9D1"/>
    <w:rsid w:val="4FD92795"/>
    <w:rsid w:val="4FFA2340"/>
    <w:rsid w:val="501E4762"/>
    <w:rsid w:val="5081A39D"/>
    <w:rsid w:val="50D7B419"/>
    <w:rsid w:val="50F195B1"/>
    <w:rsid w:val="5118DC00"/>
    <w:rsid w:val="51205B16"/>
    <w:rsid w:val="51252A5A"/>
    <w:rsid w:val="512558B4"/>
    <w:rsid w:val="515A919D"/>
    <w:rsid w:val="515F296F"/>
    <w:rsid w:val="51886DEB"/>
    <w:rsid w:val="51CE11BE"/>
    <w:rsid w:val="51EFECC3"/>
    <w:rsid w:val="51F11BB3"/>
    <w:rsid w:val="5202FB69"/>
    <w:rsid w:val="520F58CC"/>
    <w:rsid w:val="5237C3EE"/>
    <w:rsid w:val="5237CD90"/>
    <w:rsid w:val="52746587"/>
    <w:rsid w:val="528F72B5"/>
    <w:rsid w:val="52ACF22F"/>
    <w:rsid w:val="52B56214"/>
    <w:rsid w:val="52CB7238"/>
    <w:rsid w:val="52D6BE5E"/>
    <w:rsid w:val="52F5AFC0"/>
    <w:rsid w:val="5325BB74"/>
    <w:rsid w:val="53303FCE"/>
    <w:rsid w:val="535AFA9A"/>
    <w:rsid w:val="5361F0B8"/>
    <w:rsid w:val="5366CC53"/>
    <w:rsid w:val="539A0D86"/>
    <w:rsid w:val="539CFED5"/>
    <w:rsid w:val="53CE954A"/>
    <w:rsid w:val="54139653"/>
    <w:rsid w:val="541E6B68"/>
    <w:rsid w:val="5442E2D9"/>
    <w:rsid w:val="5461EAED"/>
    <w:rsid w:val="548EF7A1"/>
    <w:rsid w:val="549E0298"/>
    <w:rsid w:val="54B17517"/>
    <w:rsid w:val="54B8FCD1"/>
    <w:rsid w:val="54DC14B9"/>
    <w:rsid w:val="5503C701"/>
    <w:rsid w:val="550F9513"/>
    <w:rsid w:val="55278D85"/>
    <w:rsid w:val="553130FA"/>
    <w:rsid w:val="5544904C"/>
    <w:rsid w:val="55C86227"/>
    <w:rsid w:val="56202FC1"/>
    <w:rsid w:val="566EC3E4"/>
    <w:rsid w:val="567972FF"/>
    <w:rsid w:val="56AD00E3"/>
    <w:rsid w:val="56D74614"/>
    <w:rsid w:val="56E442DB"/>
    <w:rsid w:val="56F13423"/>
    <w:rsid w:val="570FFCBC"/>
    <w:rsid w:val="571F5E69"/>
    <w:rsid w:val="5736F5FA"/>
    <w:rsid w:val="576BF69F"/>
    <w:rsid w:val="57973AE1"/>
    <w:rsid w:val="57B227E1"/>
    <w:rsid w:val="57D968E7"/>
    <w:rsid w:val="57E7B418"/>
    <w:rsid w:val="57ED768F"/>
    <w:rsid w:val="57F4D533"/>
    <w:rsid w:val="5820578E"/>
    <w:rsid w:val="582A7E8F"/>
    <w:rsid w:val="583FBDBE"/>
    <w:rsid w:val="5871E719"/>
    <w:rsid w:val="58720BAA"/>
    <w:rsid w:val="588DE6B7"/>
    <w:rsid w:val="58A63C92"/>
    <w:rsid w:val="58BB4558"/>
    <w:rsid w:val="58CCF4CB"/>
    <w:rsid w:val="58EF9B9B"/>
    <w:rsid w:val="59330B42"/>
    <w:rsid w:val="593FB090"/>
    <w:rsid w:val="594BB8E1"/>
    <w:rsid w:val="5964E02F"/>
    <w:rsid w:val="596F9DC9"/>
    <w:rsid w:val="59788D0A"/>
    <w:rsid w:val="599253F8"/>
    <w:rsid w:val="5999375E"/>
    <w:rsid w:val="59B1A3B5"/>
    <w:rsid w:val="5A1104FD"/>
    <w:rsid w:val="5A1FC692"/>
    <w:rsid w:val="5A510F81"/>
    <w:rsid w:val="5A61620E"/>
    <w:rsid w:val="5A7FAAEF"/>
    <w:rsid w:val="5A837E28"/>
    <w:rsid w:val="5AA5E75A"/>
    <w:rsid w:val="5B30A027"/>
    <w:rsid w:val="5B44AB60"/>
    <w:rsid w:val="5B50C0EA"/>
    <w:rsid w:val="5B514BC8"/>
    <w:rsid w:val="5B975061"/>
    <w:rsid w:val="5B9BA91C"/>
    <w:rsid w:val="5BDEAFD6"/>
    <w:rsid w:val="5BE48341"/>
    <w:rsid w:val="5BEF8DAA"/>
    <w:rsid w:val="5C4EE60A"/>
    <w:rsid w:val="5C964DBE"/>
    <w:rsid w:val="5CA76C60"/>
    <w:rsid w:val="5CBA164D"/>
    <w:rsid w:val="5CD26927"/>
    <w:rsid w:val="5D19BBEC"/>
    <w:rsid w:val="5D2E1571"/>
    <w:rsid w:val="5D306254"/>
    <w:rsid w:val="5D33B42C"/>
    <w:rsid w:val="5D40EFCC"/>
    <w:rsid w:val="5D47414B"/>
    <w:rsid w:val="5D61406D"/>
    <w:rsid w:val="5D696E6F"/>
    <w:rsid w:val="5D98CF71"/>
    <w:rsid w:val="5D98D643"/>
    <w:rsid w:val="5DB74BB1"/>
    <w:rsid w:val="5DD31576"/>
    <w:rsid w:val="5E16DD75"/>
    <w:rsid w:val="5E182204"/>
    <w:rsid w:val="5E257284"/>
    <w:rsid w:val="5E3BC7DC"/>
    <w:rsid w:val="5E3DD363"/>
    <w:rsid w:val="5E4BC1DA"/>
    <w:rsid w:val="5E8A8528"/>
    <w:rsid w:val="5E8C08F2"/>
    <w:rsid w:val="5E8E0288"/>
    <w:rsid w:val="5EDA0154"/>
    <w:rsid w:val="5EEFA045"/>
    <w:rsid w:val="5EFAD19C"/>
    <w:rsid w:val="5EFC9026"/>
    <w:rsid w:val="5F02D26C"/>
    <w:rsid w:val="5F457739"/>
    <w:rsid w:val="5F549C12"/>
    <w:rsid w:val="5F69D181"/>
    <w:rsid w:val="5F728225"/>
    <w:rsid w:val="5F8B58CB"/>
    <w:rsid w:val="5F916A53"/>
    <w:rsid w:val="5F97C840"/>
    <w:rsid w:val="5FB3F265"/>
    <w:rsid w:val="5FF40F15"/>
    <w:rsid w:val="600ABFF9"/>
    <w:rsid w:val="6019B248"/>
    <w:rsid w:val="602A8759"/>
    <w:rsid w:val="60396278"/>
    <w:rsid w:val="603C25E1"/>
    <w:rsid w:val="603D9F55"/>
    <w:rsid w:val="6043F42E"/>
    <w:rsid w:val="60B1A6AD"/>
    <w:rsid w:val="60B6A31A"/>
    <w:rsid w:val="60BC3A8D"/>
    <w:rsid w:val="60F37A38"/>
    <w:rsid w:val="61080C24"/>
    <w:rsid w:val="611150FB"/>
    <w:rsid w:val="6113337A"/>
    <w:rsid w:val="615E031F"/>
    <w:rsid w:val="616D82B4"/>
    <w:rsid w:val="61751E22"/>
    <w:rsid w:val="617CC984"/>
    <w:rsid w:val="61AAF6A5"/>
    <w:rsid w:val="61BEB898"/>
    <w:rsid w:val="61C15E7D"/>
    <w:rsid w:val="61C1A936"/>
    <w:rsid w:val="61CA807F"/>
    <w:rsid w:val="61CB6224"/>
    <w:rsid w:val="61D1B33A"/>
    <w:rsid w:val="61D66237"/>
    <w:rsid w:val="61D9461E"/>
    <w:rsid w:val="6206DBA9"/>
    <w:rsid w:val="620BCC5E"/>
    <w:rsid w:val="623A53A4"/>
    <w:rsid w:val="623A732E"/>
    <w:rsid w:val="625FA6C0"/>
    <w:rsid w:val="62AED301"/>
    <w:rsid w:val="62AF5718"/>
    <w:rsid w:val="62BBC830"/>
    <w:rsid w:val="62EFFDF5"/>
    <w:rsid w:val="63044EF9"/>
    <w:rsid w:val="633155C2"/>
    <w:rsid w:val="63424F9C"/>
    <w:rsid w:val="639A7512"/>
    <w:rsid w:val="63AE36AE"/>
    <w:rsid w:val="63B4881E"/>
    <w:rsid w:val="63D9AB67"/>
    <w:rsid w:val="63EF4C62"/>
    <w:rsid w:val="64028BFB"/>
    <w:rsid w:val="6423EC29"/>
    <w:rsid w:val="6435F338"/>
    <w:rsid w:val="6465BF01"/>
    <w:rsid w:val="646E3B2B"/>
    <w:rsid w:val="648875BF"/>
    <w:rsid w:val="64A17EA9"/>
    <w:rsid w:val="64A8A956"/>
    <w:rsid w:val="64BA6BCB"/>
    <w:rsid w:val="64BF9D49"/>
    <w:rsid w:val="64CB31B2"/>
    <w:rsid w:val="64D059FA"/>
    <w:rsid w:val="64DE1FFD"/>
    <w:rsid w:val="6533D7C5"/>
    <w:rsid w:val="65358CD1"/>
    <w:rsid w:val="653944F5"/>
    <w:rsid w:val="65769FD4"/>
    <w:rsid w:val="658FC9B0"/>
    <w:rsid w:val="65D89CB4"/>
    <w:rsid w:val="65EC873B"/>
    <w:rsid w:val="661DA8C9"/>
    <w:rsid w:val="66424713"/>
    <w:rsid w:val="66563C2C"/>
    <w:rsid w:val="66A12B69"/>
    <w:rsid w:val="66AC307F"/>
    <w:rsid w:val="66BCB36D"/>
    <w:rsid w:val="66C64E9B"/>
    <w:rsid w:val="66CDA6AD"/>
    <w:rsid w:val="66D52CD0"/>
    <w:rsid w:val="66DB4C4E"/>
    <w:rsid w:val="66E77466"/>
    <w:rsid w:val="66E899F7"/>
    <w:rsid w:val="6704BF3E"/>
    <w:rsid w:val="6755A15C"/>
    <w:rsid w:val="67627D9A"/>
    <w:rsid w:val="678CB517"/>
    <w:rsid w:val="67B69476"/>
    <w:rsid w:val="67FBB2F7"/>
    <w:rsid w:val="68101CC9"/>
    <w:rsid w:val="68110399"/>
    <w:rsid w:val="6824957B"/>
    <w:rsid w:val="68488EE4"/>
    <w:rsid w:val="684BFD23"/>
    <w:rsid w:val="68621EFC"/>
    <w:rsid w:val="68A40A81"/>
    <w:rsid w:val="68E5FC6C"/>
    <w:rsid w:val="68FCBF4A"/>
    <w:rsid w:val="68FF8D96"/>
    <w:rsid w:val="6919E4D6"/>
    <w:rsid w:val="694B3833"/>
    <w:rsid w:val="6968B0C7"/>
    <w:rsid w:val="697653F2"/>
    <w:rsid w:val="698DDCEE"/>
    <w:rsid w:val="69B1A236"/>
    <w:rsid w:val="69B5D80A"/>
    <w:rsid w:val="69BD4E8C"/>
    <w:rsid w:val="69FA74E1"/>
    <w:rsid w:val="6A1EC378"/>
    <w:rsid w:val="6A203AB9"/>
    <w:rsid w:val="6A47C868"/>
    <w:rsid w:val="6A632F45"/>
    <w:rsid w:val="6A894D12"/>
    <w:rsid w:val="6A903FB2"/>
    <w:rsid w:val="6AADEA51"/>
    <w:rsid w:val="6ABCB10C"/>
    <w:rsid w:val="6AC36A15"/>
    <w:rsid w:val="6AEE07CF"/>
    <w:rsid w:val="6B3D6521"/>
    <w:rsid w:val="6BD24BC8"/>
    <w:rsid w:val="6BE3A443"/>
    <w:rsid w:val="6C01C809"/>
    <w:rsid w:val="6C725DF9"/>
    <w:rsid w:val="6C79C937"/>
    <w:rsid w:val="6CA40AE6"/>
    <w:rsid w:val="6CA5FDEC"/>
    <w:rsid w:val="6CE69CBD"/>
    <w:rsid w:val="6CEF9239"/>
    <w:rsid w:val="6D173FF4"/>
    <w:rsid w:val="6D229383"/>
    <w:rsid w:val="6D910DC0"/>
    <w:rsid w:val="6D9237EF"/>
    <w:rsid w:val="6DB1A612"/>
    <w:rsid w:val="6DCAF87D"/>
    <w:rsid w:val="6DD09C2B"/>
    <w:rsid w:val="6DE8F593"/>
    <w:rsid w:val="6DF10D5B"/>
    <w:rsid w:val="6DF9915E"/>
    <w:rsid w:val="6E14F5DD"/>
    <w:rsid w:val="6E38D827"/>
    <w:rsid w:val="6E7ED735"/>
    <w:rsid w:val="6EB563A5"/>
    <w:rsid w:val="6F6A3E41"/>
    <w:rsid w:val="6F885B31"/>
    <w:rsid w:val="6FA64AAD"/>
    <w:rsid w:val="6FB3F6A1"/>
    <w:rsid w:val="6FD71F1D"/>
    <w:rsid w:val="6FD97F6E"/>
    <w:rsid w:val="6FF0BEE9"/>
    <w:rsid w:val="7002985D"/>
    <w:rsid w:val="7020FBE7"/>
    <w:rsid w:val="70262BCD"/>
    <w:rsid w:val="7036790F"/>
    <w:rsid w:val="707F9095"/>
    <w:rsid w:val="70B5650D"/>
    <w:rsid w:val="70D761F2"/>
    <w:rsid w:val="70EF12AE"/>
    <w:rsid w:val="70FD5EC5"/>
    <w:rsid w:val="7122AECD"/>
    <w:rsid w:val="71A7C69E"/>
    <w:rsid w:val="71B91D1D"/>
    <w:rsid w:val="71C7E016"/>
    <w:rsid w:val="71FDD5DF"/>
    <w:rsid w:val="721A7915"/>
    <w:rsid w:val="7222FCD5"/>
    <w:rsid w:val="723CD179"/>
    <w:rsid w:val="72817BF1"/>
    <w:rsid w:val="72878CD2"/>
    <w:rsid w:val="72B0770E"/>
    <w:rsid w:val="72E956F2"/>
    <w:rsid w:val="72F513AB"/>
    <w:rsid w:val="72F861D4"/>
    <w:rsid w:val="72FAE7BB"/>
    <w:rsid w:val="73013062"/>
    <w:rsid w:val="7334BF34"/>
    <w:rsid w:val="7351376A"/>
    <w:rsid w:val="7351B0F9"/>
    <w:rsid w:val="7354A444"/>
    <w:rsid w:val="73FEB66B"/>
    <w:rsid w:val="7402D2E1"/>
    <w:rsid w:val="74093FED"/>
    <w:rsid w:val="746B90E1"/>
    <w:rsid w:val="74987979"/>
    <w:rsid w:val="74B17D10"/>
    <w:rsid w:val="74CFF2EE"/>
    <w:rsid w:val="74DCD3F8"/>
    <w:rsid w:val="74E698B5"/>
    <w:rsid w:val="7509EBB8"/>
    <w:rsid w:val="754CFBB7"/>
    <w:rsid w:val="757633F5"/>
    <w:rsid w:val="7583B997"/>
    <w:rsid w:val="7596FC09"/>
    <w:rsid w:val="759EA342"/>
    <w:rsid w:val="75AC7836"/>
    <w:rsid w:val="75AE4A17"/>
    <w:rsid w:val="75C4FBF0"/>
    <w:rsid w:val="75DD2FB5"/>
    <w:rsid w:val="75E89D2B"/>
    <w:rsid w:val="75F9BFF7"/>
    <w:rsid w:val="764DA809"/>
    <w:rsid w:val="76CD3D76"/>
    <w:rsid w:val="76E80E18"/>
    <w:rsid w:val="76F66DF8"/>
    <w:rsid w:val="77063C54"/>
    <w:rsid w:val="774298F0"/>
    <w:rsid w:val="776B06A1"/>
    <w:rsid w:val="7770E2A5"/>
    <w:rsid w:val="77959058"/>
    <w:rsid w:val="779B815F"/>
    <w:rsid w:val="77A75499"/>
    <w:rsid w:val="77B040E8"/>
    <w:rsid w:val="77BD3E9D"/>
    <w:rsid w:val="77E5330B"/>
    <w:rsid w:val="78140C22"/>
    <w:rsid w:val="7816321C"/>
    <w:rsid w:val="7823D643"/>
    <w:rsid w:val="7831353E"/>
    <w:rsid w:val="7841EFBE"/>
    <w:rsid w:val="786C6457"/>
    <w:rsid w:val="7887E956"/>
    <w:rsid w:val="789742CA"/>
    <w:rsid w:val="78A30E3A"/>
    <w:rsid w:val="78D37D60"/>
    <w:rsid w:val="78F98E4A"/>
    <w:rsid w:val="79067F1F"/>
    <w:rsid w:val="79086DC0"/>
    <w:rsid w:val="790C9137"/>
    <w:rsid w:val="7951DCC4"/>
    <w:rsid w:val="797528B8"/>
    <w:rsid w:val="7985B3A9"/>
    <w:rsid w:val="79879FBE"/>
    <w:rsid w:val="79B56433"/>
    <w:rsid w:val="79C349C6"/>
    <w:rsid w:val="79D300C2"/>
    <w:rsid w:val="79E3BAF6"/>
    <w:rsid w:val="7A07447D"/>
    <w:rsid w:val="7A0E5A98"/>
    <w:rsid w:val="7A646189"/>
    <w:rsid w:val="7A96FE00"/>
    <w:rsid w:val="7AA7FCD8"/>
    <w:rsid w:val="7AA972A0"/>
    <w:rsid w:val="7ADCA819"/>
    <w:rsid w:val="7ADDE1A9"/>
    <w:rsid w:val="7AF27B74"/>
    <w:rsid w:val="7B2CCAB7"/>
    <w:rsid w:val="7B3C8685"/>
    <w:rsid w:val="7B47C7C9"/>
    <w:rsid w:val="7B48EE7A"/>
    <w:rsid w:val="7B669AF4"/>
    <w:rsid w:val="7BAC5E8D"/>
    <w:rsid w:val="7BB5EAF2"/>
    <w:rsid w:val="7BC2F9FF"/>
    <w:rsid w:val="7BDC0D1B"/>
    <w:rsid w:val="7BE09436"/>
    <w:rsid w:val="7BEAF9E7"/>
    <w:rsid w:val="7BFF3AC1"/>
    <w:rsid w:val="7C5C77B6"/>
    <w:rsid w:val="7C62DA5D"/>
    <w:rsid w:val="7C6778CD"/>
    <w:rsid w:val="7C6F3241"/>
    <w:rsid w:val="7C7438DE"/>
    <w:rsid w:val="7C84BB6D"/>
    <w:rsid w:val="7CFC0BDC"/>
    <w:rsid w:val="7D006280"/>
    <w:rsid w:val="7D070DAC"/>
    <w:rsid w:val="7D1DA835"/>
    <w:rsid w:val="7D5FF5CA"/>
    <w:rsid w:val="7D61A806"/>
    <w:rsid w:val="7D7888C1"/>
    <w:rsid w:val="7D8261F4"/>
    <w:rsid w:val="7D8CECE0"/>
    <w:rsid w:val="7D90844D"/>
    <w:rsid w:val="7D956E71"/>
    <w:rsid w:val="7DAE7BEC"/>
    <w:rsid w:val="7DB53F78"/>
    <w:rsid w:val="7DD4F9D6"/>
    <w:rsid w:val="7DE558DE"/>
    <w:rsid w:val="7DEB66DF"/>
    <w:rsid w:val="7E2B77D3"/>
    <w:rsid w:val="7E2C5B27"/>
    <w:rsid w:val="7E3CD051"/>
    <w:rsid w:val="7E56E977"/>
    <w:rsid w:val="7E7CC880"/>
    <w:rsid w:val="7E909B44"/>
    <w:rsid w:val="7E913A97"/>
    <w:rsid w:val="7EDDB55A"/>
    <w:rsid w:val="7EDFC131"/>
    <w:rsid w:val="7EE56C58"/>
    <w:rsid w:val="7EF16A0E"/>
    <w:rsid w:val="7EF31FFD"/>
    <w:rsid w:val="7EF94F41"/>
    <w:rsid w:val="7EFE3B3F"/>
    <w:rsid w:val="7F09943C"/>
    <w:rsid w:val="7F4841A3"/>
    <w:rsid w:val="7F7A2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BD69"/>
  <w15:chartTrackingRefBased/>
  <w15:docId w15:val="{750B02A5-B217-4A73-B24F-21912E9A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4F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D234B"/>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nhideWhenUsed/>
    <w:qFormat/>
    <w:rsid w:val="00CA1BBD"/>
    <w:pPr>
      <w:keepNext/>
      <w:keepLines/>
      <w:spacing w:before="240" w:after="240"/>
      <w:outlineLvl w:val="2"/>
    </w:pPr>
    <w:rPr>
      <w:rFonts w:eastAsia="Arial" w:cs="Arial"/>
      <w:b/>
      <w:sz w:val="32"/>
      <w:szCs w:val="32"/>
    </w:rPr>
  </w:style>
  <w:style w:type="paragraph" w:styleId="Heading4">
    <w:name w:val="heading 4"/>
    <w:basedOn w:val="Normal"/>
    <w:next w:val="Normal"/>
    <w:link w:val="Heading4Char"/>
    <w:uiPriority w:val="9"/>
    <w:unhideWhenUsed/>
    <w:qFormat/>
    <w:rsid w:val="006715D2"/>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1E5F44"/>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D234B"/>
    <w:rPr>
      <w:rFonts w:ascii="Arial" w:eastAsiaTheme="majorEastAsia" w:hAnsi="Arial" w:cstheme="majorBidi"/>
      <w:b/>
      <w:sz w:val="36"/>
      <w:szCs w:val="36"/>
    </w:rPr>
  </w:style>
  <w:style w:type="character" w:customStyle="1" w:styleId="Heading3Char">
    <w:name w:val="Heading 3 Char"/>
    <w:basedOn w:val="DefaultParagraphFont"/>
    <w:link w:val="Heading3"/>
    <w:rsid w:val="00CA1BBD"/>
    <w:rPr>
      <w:rFonts w:ascii="Arial" w:eastAsia="Arial" w:hAnsi="Arial" w:cs="Arial"/>
      <w:b/>
      <w:sz w:val="32"/>
      <w:szCs w:val="32"/>
    </w:rPr>
  </w:style>
  <w:style w:type="character" w:customStyle="1" w:styleId="Heading4Char">
    <w:name w:val="Heading 4 Char"/>
    <w:basedOn w:val="DefaultParagraphFont"/>
    <w:link w:val="Heading4"/>
    <w:uiPriority w:val="9"/>
    <w:rsid w:val="006715D2"/>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List1,List11,Step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CommentText">
    <w:name w:val="annotation text"/>
    <w:basedOn w:val="Normal"/>
    <w:link w:val="CommentTextChar"/>
    <w:uiPriority w:val="99"/>
    <w:unhideWhenUsed/>
    <w:rsid w:val="002D4BFF"/>
    <w:rPr>
      <w:sz w:val="20"/>
      <w:szCs w:val="20"/>
    </w:rPr>
  </w:style>
  <w:style w:type="character" w:customStyle="1" w:styleId="CommentTextChar">
    <w:name w:val="Comment Text Char"/>
    <w:basedOn w:val="DefaultParagraphFont"/>
    <w:link w:val="CommentText"/>
    <w:uiPriority w:val="99"/>
    <w:rsid w:val="002D4BFF"/>
    <w:rPr>
      <w:rFonts w:ascii="Arial" w:eastAsia="Times New Roman" w:hAnsi="Arial" w:cs="Times New Roman"/>
      <w:sz w:val="20"/>
      <w:szCs w:val="20"/>
    </w:rPr>
  </w:style>
  <w:style w:type="character" w:styleId="CommentReference">
    <w:name w:val="annotation reference"/>
    <w:basedOn w:val="DefaultParagraphFont"/>
    <w:unhideWhenUsed/>
    <w:rsid w:val="002D4BFF"/>
    <w:rPr>
      <w:sz w:val="16"/>
      <w:szCs w:val="16"/>
    </w:rPr>
  </w:style>
  <w:style w:type="character" w:customStyle="1" w:styleId="ListParagraphChar">
    <w:name w:val="List Paragraph Char"/>
    <w:aliases w:val="list Char,List1 Char,List11 Char,Step Paragraph Char"/>
    <w:link w:val="ListParagraph"/>
    <w:uiPriority w:val="34"/>
    <w:locked/>
    <w:rsid w:val="002D4BFF"/>
    <w:rPr>
      <w:rFonts w:ascii="Arial" w:eastAsia="Times New Roman" w:hAnsi="Arial" w:cs="Times New Roman"/>
      <w:sz w:val="24"/>
      <w:szCs w:val="24"/>
    </w:rPr>
  </w:style>
  <w:style w:type="paragraph" w:styleId="NormalWeb">
    <w:name w:val="Normal (Web)"/>
    <w:basedOn w:val="Normal"/>
    <w:uiPriority w:val="99"/>
    <w:unhideWhenUsed/>
    <w:rsid w:val="002D4BFF"/>
    <w:pPr>
      <w:spacing w:before="100" w:beforeAutospacing="1" w:after="100" w:afterAutospacing="1"/>
    </w:pPr>
    <w:rPr>
      <w:rFonts w:ascii="Times New Roman" w:hAnsi="Times New Roman"/>
    </w:rPr>
  </w:style>
  <w:style w:type="table" w:styleId="TableGrid">
    <w:name w:val="Table Grid"/>
    <w:basedOn w:val="TableNormal"/>
    <w:uiPriority w:val="39"/>
    <w:rsid w:val="002D4BFF"/>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08A9"/>
    <w:pPr>
      <w:spacing w:before="100" w:beforeAutospacing="1" w:after="100" w:afterAutospacing="1"/>
    </w:pPr>
    <w:rPr>
      <w:rFonts w:ascii="Times New Roman" w:hAnsi="Times New Roman"/>
    </w:rPr>
  </w:style>
  <w:style w:type="character" w:customStyle="1" w:styleId="normaltextrun">
    <w:name w:val="normaltextrun"/>
    <w:basedOn w:val="DefaultParagraphFont"/>
    <w:rsid w:val="004508A9"/>
  </w:style>
  <w:style w:type="character" w:customStyle="1" w:styleId="eop">
    <w:name w:val="eop"/>
    <w:basedOn w:val="DefaultParagraphFont"/>
    <w:rsid w:val="004508A9"/>
  </w:style>
  <w:style w:type="character" w:customStyle="1" w:styleId="UnresolvedMention1">
    <w:name w:val="Unresolved Mention1"/>
    <w:basedOn w:val="DefaultParagraphFont"/>
    <w:uiPriority w:val="99"/>
    <w:semiHidden/>
    <w:unhideWhenUsed/>
    <w:rsid w:val="00B07A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600F"/>
    <w:rPr>
      <w:b/>
      <w:bCs/>
    </w:rPr>
  </w:style>
  <w:style w:type="character" w:customStyle="1" w:styleId="CommentSubjectChar">
    <w:name w:val="Comment Subject Char"/>
    <w:basedOn w:val="CommentTextChar"/>
    <w:link w:val="CommentSubject"/>
    <w:uiPriority w:val="99"/>
    <w:semiHidden/>
    <w:rsid w:val="0023600F"/>
    <w:rPr>
      <w:rFonts w:ascii="Arial" w:eastAsia="Times New Roman" w:hAnsi="Arial"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A192B"/>
    <w:rPr>
      <w:color w:val="954F72" w:themeColor="followedHyperlink"/>
      <w:u w:val="single"/>
    </w:rPr>
  </w:style>
  <w:style w:type="paragraph" w:styleId="Revision">
    <w:name w:val="Revision"/>
    <w:hidden/>
    <w:uiPriority w:val="99"/>
    <w:semiHidden/>
    <w:rsid w:val="000C555C"/>
    <w:pPr>
      <w:spacing w:after="0" w:line="240" w:lineRule="auto"/>
    </w:pPr>
    <w:rPr>
      <w:rFonts w:ascii="Arial" w:eastAsia="Times New Roman" w:hAnsi="Arial" w:cs="Times New Roman"/>
      <w:sz w:val="24"/>
      <w:szCs w:val="24"/>
    </w:rPr>
  </w:style>
  <w:style w:type="table" w:customStyle="1" w:styleId="TableGrid11">
    <w:name w:val="Table Grid11"/>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3BB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283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rsid w:val="002C17C7"/>
    <w:rPr>
      <w:color w:val="2B579A"/>
      <w:shd w:val="clear" w:color="auto" w:fill="E6E6E6"/>
    </w:rPr>
  </w:style>
  <w:style w:type="table" w:customStyle="1" w:styleId="TableGrid1">
    <w:name w:val="Table Grid1"/>
    <w:basedOn w:val="TableNormal"/>
    <w:next w:val="TableGrid"/>
    <w:uiPriority w:val="39"/>
    <w:rsid w:val="0004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09B0"/>
    <w:rPr>
      <w:b/>
      <w:bCs/>
    </w:rPr>
  </w:style>
  <w:style w:type="character" w:styleId="Emphasis">
    <w:name w:val="Emphasis"/>
    <w:basedOn w:val="DefaultParagraphFont"/>
    <w:uiPriority w:val="20"/>
    <w:qFormat/>
    <w:rsid w:val="002D09B0"/>
    <w:rPr>
      <w:i/>
      <w:iCs/>
    </w:rPr>
  </w:style>
  <w:style w:type="character" w:customStyle="1" w:styleId="UnresolvedMention2">
    <w:name w:val="Unresolved Mention2"/>
    <w:basedOn w:val="DefaultParagraphFont"/>
    <w:uiPriority w:val="99"/>
    <w:semiHidden/>
    <w:unhideWhenUsed/>
    <w:rsid w:val="0006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46807">
      <w:bodyDiv w:val="1"/>
      <w:marLeft w:val="0"/>
      <w:marRight w:val="0"/>
      <w:marTop w:val="0"/>
      <w:marBottom w:val="0"/>
      <w:divBdr>
        <w:top w:val="none" w:sz="0" w:space="0" w:color="auto"/>
        <w:left w:val="none" w:sz="0" w:space="0" w:color="auto"/>
        <w:bottom w:val="none" w:sz="0" w:space="0" w:color="auto"/>
        <w:right w:val="none" w:sz="0" w:space="0" w:color="auto"/>
      </w:divBdr>
      <w:divsChild>
        <w:div w:id="863203250">
          <w:marLeft w:val="0"/>
          <w:marRight w:val="0"/>
          <w:marTop w:val="0"/>
          <w:marBottom w:val="0"/>
          <w:divBdr>
            <w:top w:val="none" w:sz="0" w:space="0" w:color="auto"/>
            <w:left w:val="none" w:sz="0" w:space="0" w:color="auto"/>
            <w:bottom w:val="none" w:sz="0" w:space="0" w:color="auto"/>
            <w:right w:val="none" w:sz="0" w:space="0" w:color="auto"/>
          </w:divBdr>
          <w:divsChild>
            <w:div w:id="1018317377">
              <w:marLeft w:val="0"/>
              <w:marRight w:val="0"/>
              <w:marTop w:val="0"/>
              <w:marBottom w:val="0"/>
              <w:divBdr>
                <w:top w:val="none" w:sz="0" w:space="0" w:color="auto"/>
                <w:left w:val="none" w:sz="0" w:space="0" w:color="auto"/>
                <w:bottom w:val="none" w:sz="0" w:space="0" w:color="auto"/>
                <w:right w:val="none" w:sz="0" w:space="0" w:color="auto"/>
              </w:divBdr>
            </w:div>
            <w:div w:id="1069613383">
              <w:marLeft w:val="0"/>
              <w:marRight w:val="0"/>
              <w:marTop w:val="0"/>
              <w:marBottom w:val="0"/>
              <w:divBdr>
                <w:top w:val="none" w:sz="0" w:space="0" w:color="auto"/>
                <w:left w:val="none" w:sz="0" w:space="0" w:color="auto"/>
                <w:bottom w:val="none" w:sz="0" w:space="0" w:color="auto"/>
                <w:right w:val="none" w:sz="0" w:space="0" w:color="auto"/>
              </w:divBdr>
            </w:div>
            <w:div w:id="1295989012">
              <w:marLeft w:val="0"/>
              <w:marRight w:val="0"/>
              <w:marTop w:val="0"/>
              <w:marBottom w:val="0"/>
              <w:divBdr>
                <w:top w:val="none" w:sz="0" w:space="0" w:color="auto"/>
                <w:left w:val="none" w:sz="0" w:space="0" w:color="auto"/>
                <w:bottom w:val="none" w:sz="0" w:space="0" w:color="auto"/>
                <w:right w:val="none" w:sz="0" w:space="0" w:color="auto"/>
              </w:divBdr>
            </w:div>
          </w:divsChild>
        </w:div>
        <w:div w:id="1292979390">
          <w:marLeft w:val="0"/>
          <w:marRight w:val="0"/>
          <w:marTop w:val="0"/>
          <w:marBottom w:val="0"/>
          <w:divBdr>
            <w:top w:val="none" w:sz="0" w:space="0" w:color="auto"/>
            <w:left w:val="none" w:sz="0" w:space="0" w:color="auto"/>
            <w:bottom w:val="none" w:sz="0" w:space="0" w:color="auto"/>
            <w:right w:val="none" w:sz="0" w:space="0" w:color="auto"/>
          </w:divBdr>
          <w:divsChild>
            <w:div w:id="711080329">
              <w:marLeft w:val="0"/>
              <w:marRight w:val="0"/>
              <w:marTop w:val="0"/>
              <w:marBottom w:val="0"/>
              <w:divBdr>
                <w:top w:val="none" w:sz="0" w:space="0" w:color="auto"/>
                <w:left w:val="none" w:sz="0" w:space="0" w:color="auto"/>
                <w:bottom w:val="none" w:sz="0" w:space="0" w:color="auto"/>
                <w:right w:val="none" w:sz="0" w:space="0" w:color="auto"/>
              </w:divBdr>
            </w:div>
          </w:divsChild>
        </w:div>
        <w:div w:id="1326082038">
          <w:marLeft w:val="0"/>
          <w:marRight w:val="0"/>
          <w:marTop w:val="0"/>
          <w:marBottom w:val="0"/>
          <w:divBdr>
            <w:top w:val="none" w:sz="0" w:space="0" w:color="auto"/>
            <w:left w:val="none" w:sz="0" w:space="0" w:color="auto"/>
            <w:bottom w:val="none" w:sz="0" w:space="0" w:color="auto"/>
            <w:right w:val="none" w:sz="0" w:space="0" w:color="auto"/>
          </w:divBdr>
          <w:divsChild>
            <w:div w:id="526679745">
              <w:marLeft w:val="0"/>
              <w:marRight w:val="0"/>
              <w:marTop w:val="0"/>
              <w:marBottom w:val="0"/>
              <w:divBdr>
                <w:top w:val="none" w:sz="0" w:space="0" w:color="auto"/>
                <w:left w:val="none" w:sz="0" w:space="0" w:color="auto"/>
                <w:bottom w:val="none" w:sz="0" w:space="0" w:color="auto"/>
                <w:right w:val="none" w:sz="0" w:space="0" w:color="auto"/>
              </w:divBdr>
            </w:div>
            <w:div w:id="9601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6153">
      <w:bodyDiv w:val="1"/>
      <w:marLeft w:val="0"/>
      <w:marRight w:val="0"/>
      <w:marTop w:val="0"/>
      <w:marBottom w:val="0"/>
      <w:divBdr>
        <w:top w:val="none" w:sz="0" w:space="0" w:color="auto"/>
        <w:left w:val="none" w:sz="0" w:space="0" w:color="auto"/>
        <w:bottom w:val="none" w:sz="0" w:space="0" w:color="auto"/>
        <w:right w:val="none" w:sz="0" w:space="0" w:color="auto"/>
      </w:divBdr>
    </w:div>
    <w:div w:id="1270697744">
      <w:bodyDiv w:val="1"/>
      <w:marLeft w:val="0"/>
      <w:marRight w:val="0"/>
      <w:marTop w:val="0"/>
      <w:marBottom w:val="0"/>
      <w:divBdr>
        <w:top w:val="none" w:sz="0" w:space="0" w:color="auto"/>
        <w:left w:val="none" w:sz="0" w:space="0" w:color="auto"/>
        <w:bottom w:val="none" w:sz="0" w:space="0" w:color="auto"/>
        <w:right w:val="none" w:sz="0" w:space="0" w:color="auto"/>
      </w:divBdr>
    </w:div>
    <w:div w:id="1332368992">
      <w:bodyDiv w:val="1"/>
      <w:marLeft w:val="0"/>
      <w:marRight w:val="0"/>
      <w:marTop w:val="0"/>
      <w:marBottom w:val="0"/>
      <w:divBdr>
        <w:top w:val="none" w:sz="0" w:space="0" w:color="auto"/>
        <w:left w:val="none" w:sz="0" w:space="0" w:color="auto"/>
        <w:bottom w:val="none" w:sz="0" w:space="0" w:color="auto"/>
        <w:right w:val="none" w:sz="0" w:space="0" w:color="auto"/>
      </w:divBdr>
    </w:div>
    <w:div w:id="1381243666">
      <w:bodyDiv w:val="1"/>
      <w:marLeft w:val="0"/>
      <w:marRight w:val="0"/>
      <w:marTop w:val="0"/>
      <w:marBottom w:val="0"/>
      <w:divBdr>
        <w:top w:val="none" w:sz="0" w:space="0" w:color="auto"/>
        <w:left w:val="none" w:sz="0" w:space="0" w:color="auto"/>
        <w:bottom w:val="none" w:sz="0" w:space="0" w:color="auto"/>
        <w:right w:val="none" w:sz="0" w:space="0" w:color="auto"/>
      </w:divBdr>
      <w:divsChild>
        <w:div w:id="270941274">
          <w:marLeft w:val="0"/>
          <w:marRight w:val="0"/>
          <w:marTop w:val="0"/>
          <w:marBottom w:val="0"/>
          <w:divBdr>
            <w:top w:val="none" w:sz="0" w:space="0" w:color="auto"/>
            <w:left w:val="none" w:sz="0" w:space="0" w:color="auto"/>
            <w:bottom w:val="none" w:sz="0" w:space="0" w:color="auto"/>
            <w:right w:val="none" w:sz="0" w:space="0" w:color="auto"/>
          </w:divBdr>
        </w:div>
      </w:divsChild>
    </w:div>
    <w:div w:id="1500119652">
      <w:bodyDiv w:val="1"/>
      <w:marLeft w:val="0"/>
      <w:marRight w:val="0"/>
      <w:marTop w:val="0"/>
      <w:marBottom w:val="0"/>
      <w:divBdr>
        <w:top w:val="none" w:sz="0" w:space="0" w:color="auto"/>
        <w:left w:val="none" w:sz="0" w:space="0" w:color="auto"/>
        <w:bottom w:val="none" w:sz="0" w:space="0" w:color="auto"/>
        <w:right w:val="none" w:sz="0" w:space="0" w:color="auto"/>
      </w:divBdr>
      <w:divsChild>
        <w:div w:id="309017366">
          <w:marLeft w:val="1166"/>
          <w:marRight w:val="0"/>
          <w:marTop w:val="0"/>
          <w:marBottom w:val="0"/>
          <w:divBdr>
            <w:top w:val="none" w:sz="0" w:space="0" w:color="auto"/>
            <w:left w:val="none" w:sz="0" w:space="0" w:color="auto"/>
            <w:bottom w:val="none" w:sz="0" w:space="0" w:color="auto"/>
            <w:right w:val="none" w:sz="0" w:space="0" w:color="auto"/>
          </w:divBdr>
        </w:div>
        <w:div w:id="812987982">
          <w:marLeft w:val="446"/>
          <w:marRight w:val="0"/>
          <w:marTop w:val="0"/>
          <w:marBottom w:val="0"/>
          <w:divBdr>
            <w:top w:val="none" w:sz="0" w:space="0" w:color="auto"/>
            <w:left w:val="none" w:sz="0" w:space="0" w:color="auto"/>
            <w:bottom w:val="none" w:sz="0" w:space="0" w:color="auto"/>
            <w:right w:val="none" w:sz="0" w:space="0" w:color="auto"/>
          </w:divBdr>
        </w:div>
        <w:div w:id="948242061">
          <w:marLeft w:val="1166"/>
          <w:marRight w:val="0"/>
          <w:marTop w:val="0"/>
          <w:marBottom w:val="0"/>
          <w:divBdr>
            <w:top w:val="none" w:sz="0" w:space="0" w:color="auto"/>
            <w:left w:val="none" w:sz="0" w:space="0" w:color="auto"/>
            <w:bottom w:val="none" w:sz="0" w:space="0" w:color="auto"/>
            <w:right w:val="none" w:sz="0" w:space="0" w:color="auto"/>
          </w:divBdr>
        </w:div>
        <w:div w:id="1011571339">
          <w:marLeft w:val="446"/>
          <w:marRight w:val="0"/>
          <w:marTop w:val="0"/>
          <w:marBottom w:val="0"/>
          <w:divBdr>
            <w:top w:val="none" w:sz="0" w:space="0" w:color="auto"/>
            <w:left w:val="none" w:sz="0" w:space="0" w:color="auto"/>
            <w:bottom w:val="none" w:sz="0" w:space="0" w:color="auto"/>
            <w:right w:val="none" w:sz="0" w:space="0" w:color="auto"/>
          </w:divBdr>
        </w:div>
        <w:div w:id="1301837658">
          <w:marLeft w:val="446"/>
          <w:marRight w:val="0"/>
          <w:marTop w:val="0"/>
          <w:marBottom w:val="0"/>
          <w:divBdr>
            <w:top w:val="none" w:sz="0" w:space="0" w:color="auto"/>
            <w:left w:val="none" w:sz="0" w:space="0" w:color="auto"/>
            <w:bottom w:val="none" w:sz="0" w:space="0" w:color="auto"/>
            <w:right w:val="none" w:sz="0" w:space="0" w:color="auto"/>
          </w:divBdr>
        </w:div>
      </w:divsChild>
    </w:div>
    <w:div w:id="1519004511">
      <w:bodyDiv w:val="1"/>
      <w:marLeft w:val="0"/>
      <w:marRight w:val="0"/>
      <w:marTop w:val="0"/>
      <w:marBottom w:val="0"/>
      <w:divBdr>
        <w:top w:val="none" w:sz="0" w:space="0" w:color="auto"/>
        <w:left w:val="none" w:sz="0" w:space="0" w:color="auto"/>
        <w:bottom w:val="none" w:sz="0" w:space="0" w:color="auto"/>
        <w:right w:val="none" w:sz="0" w:space="0" w:color="auto"/>
      </w:divBdr>
    </w:div>
    <w:div w:id="1712028739">
      <w:bodyDiv w:val="1"/>
      <w:marLeft w:val="0"/>
      <w:marRight w:val="0"/>
      <w:marTop w:val="0"/>
      <w:marBottom w:val="0"/>
      <w:divBdr>
        <w:top w:val="none" w:sz="0" w:space="0" w:color="auto"/>
        <w:left w:val="none" w:sz="0" w:space="0" w:color="auto"/>
        <w:bottom w:val="none" w:sz="0" w:space="0" w:color="auto"/>
        <w:right w:val="none" w:sz="0" w:space="0" w:color="auto"/>
      </w:divBdr>
      <w:divsChild>
        <w:div w:id="1509446194">
          <w:marLeft w:val="0"/>
          <w:marRight w:val="0"/>
          <w:marTop w:val="0"/>
          <w:marBottom w:val="0"/>
          <w:divBdr>
            <w:top w:val="none" w:sz="0" w:space="0" w:color="auto"/>
            <w:left w:val="none" w:sz="0" w:space="0" w:color="auto"/>
            <w:bottom w:val="none" w:sz="0" w:space="0" w:color="auto"/>
            <w:right w:val="none" w:sz="0" w:space="0" w:color="auto"/>
          </w:divBdr>
        </w:div>
      </w:divsChild>
    </w:div>
    <w:div w:id="1730877342">
      <w:bodyDiv w:val="1"/>
      <w:marLeft w:val="0"/>
      <w:marRight w:val="0"/>
      <w:marTop w:val="0"/>
      <w:marBottom w:val="0"/>
      <w:divBdr>
        <w:top w:val="none" w:sz="0" w:space="0" w:color="auto"/>
        <w:left w:val="none" w:sz="0" w:space="0" w:color="auto"/>
        <w:bottom w:val="none" w:sz="0" w:space="0" w:color="auto"/>
        <w:right w:val="none" w:sz="0" w:space="0" w:color="auto"/>
      </w:divBdr>
    </w:div>
    <w:div w:id="1839071963">
      <w:bodyDiv w:val="1"/>
      <w:marLeft w:val="0"/>
      <w:marRight w:val="0"/>
      <w:marTop w:val="0"/>
      <w:marBottom w:val="0"/>
      <w:divBdr>
        <w:top w:val="none" w:sz="0" w:space="0" w:color="auto"/>
        <w:left w:val="none" w:sz="0" w:space="0" w:color="auto"/>
        <w:bottom w:val="none" w:sz="0" w:space="0" w:color="auto"/>
        <w:right w:val="none" w:sz="0" w:space="0" w:color="auto"/>
      </w:divBdr>
    </w:div>
    <w:div w:id="1975942401">
      <w:bodyDiv w:val="1"/>
      <w:marLeft w:val="0"/>
      <w:marRight w:val="0"/>
      <w:marTop w:val="0"/>
      <w:marBottom w:val="0"/>
      <w:divBdr>
        <w:top w:val="none" w:sz="0" w:space="0" w:color="auto"/>
        <w:left w:val="none" w:sz="0" w:space="0" w:color="auto"/>
        <w:bottom w:val="none" w:sz="0" w:space="0" w:color="auto"/>
        <w:right w:val="none" w:sz="0" w:space="0" w:color="auto"/>
      </w:divBdr>
    </w:div>
    <w:div w:id="2005619542">
      <w:bodyDiv w:val="1"/>
      <w:marLeft w:val="0"/>
      <w:marRight w:val="0"/>
      <w:marTop w:val="0"/>
      <w:marBottom w:val="0"/>
      <w:divBdr>
        <w:top w:val="none" w:sz="0" w:space="0" w:color="auto"/>
        <w:left w:val="none" w:sz="0" w:space="0" w:color="auto"/>
        <w:bottom w:val="none" w:sz="0" w:space="0" w:color="auto"/>
        <w:right w:val="none" w:sz="0" w:space="0" w:color="auto"/>
      </w:divBdr>
    </w:div>
    <w:div w:id="2107342830">
      <w:bodyDiv w:val="1"/>
      <w:marLeft w:val="0"/>
      <w:marRight w:val="0"/>
      <w:marTop w:val="0"/>
      <w:marBottom w:val="0"/>
      <w:divBdr>
        <w:top w:val="none" w:sz="0" w:space="0" w:color="auto"/>
        <w:left w:val="none" w:sz="0" w:space="0" w:color="auto"/>
        <w:bottom w:val="none" w:sz="0" w:space="0" w:color="auto"/>
        <w:right w:val="none" w:sz="0" w:space="0" w:color="auto"/>
      </w:divBdr>
      <w:divsChild>
        <w:div w:id="111333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fg/fo/r19/caaspp20rfq.asp"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e.ca.gov/be/ag/ag/yr15/documents/mar15item04.doc" TargetMode="External"/><Relationship Id="rId2" Type="http://schemas.openxmlformats.org/officeDocument/2006/relationships/customXml" Target="../customXml/item2.xml"/><Relationship Id="rId16" Type="http://schemas.openxmlformats.org/officeDocument/2006/relationships/hyperlink" Target="https://www.cde.ca.gov/be/ag/ag/yr18/documents/nov18item08.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be/ag/ag/yr20/documents/mar20item07.doc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21/documents/jan21item03.docx"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0937664-5A1A-4C3B-BCD7-3912BF7C4E81}">
    <t:Anchor>
      <t:Comment id="1576218205"/>
    </t:Anchor>
    <t:History>
      <t:Event id="{0C750D88-6640-4CAC-BAF0-3D2ACBCA3A80}" time="2021-04-09T21:59:37Z">
        <t:Attribution userId="S::chudson@cde.ca.gov::60e836f3-086d-4d77-a502-597c1d1b80a8" userProvider="AD" userName="Charissa Hudson"/>
        <t:Anchor>
          <t:Comment id="1576218205"/>
        </t:Anchor>
        <t:Create/>
      </t:Event>
      <t:Event id="{641AB671-98E2-4128-855A-932CE12BF81C}" time="2021-04-09T21:59:37Z">
        <t:Attribution userId="S::chudson@cde.ca.gov::60e836f3-086d-4d77-a502-597c1d1b80a8" userProvider="AD" userName="Charissa Hudson"/>
        <t:Anchor>
          <t:Comment id="1576218205"/>
        </t:Anchor>
        <t:Assign userId="S::DBaumgartner@cde.ca.gov::6172b106-4e09-4e85-b12e-da6b9e64eebc" userProvider="AD" userName="Deborah Baumgartner"/>
      </t:Event>
      <t:Event id="{BCAFB6C3-E5A9-4662-BB70-62F2BCCFA50A}" time="2021-04-09T21:59:37Z">
        <t:Attribution userId="S::chudson@cde.ca.gov::60e836f3-086d-4d77-a502-597c1d1b80a8" userProvider="AD" userName="Charissa Hudson"/>
        <t:Anchor>
          <t:Comment id="1576218205"/>
        </t:Anchor>
        <t:SetTitle title="@Deborah Baumgartner Just a note to let you know that @Linda Hooper has approved the science articles."/>
      </t:Event>
    </t:History>
  </t:Task>
  <t:Task id="{C665F292-2BE1-446B-A9F6-80CFC7F6E880}">
    <t:Anchor>
      <t:Comment id="801085692"/>
    </t:Anchor>
    <t:History>
      <t:Event id="{416635C7-3F6C-478D-8F99-CFBC4E1FAC59}" time="2021-04-22T21:19:52Z">
        <t:Attribution userId="S::chudson@cde.ca.gov::60e836f3-086d-4d77-a502-597c1d1b80a8" userProvider="AD" userName="Charissa Hudson"/>
        <t:Anchor>
          <t:Comment id="801085692"/>
        </t:Anchor>
        <t:Create/>
      </t:Event>
      <t:Event id="{B06EAEB4-BF2C-4E0D-969C-9B6232E43D3C}" time="2021-04-22T21:19:52Z">
        <t:Attribution userId="S::chudson@cde.ca.gov::60e836f3-086d-4d77-a502-597c1d1b80a8" userProvider="AD" userName="Charissa Hudson"/>
        <t:Anchor>
          <t:Comment id="801085692"/>
        </t:Anchor>
        <t:Assign userId="S::VAsmundson@cde.ca.gov::e2c8e8fd-33de-48bc-8dc3-360f6d4eea07" userProvider="AD" userName="Vigdis Asmundson"/>
      </t:Event>
      <t:Event id="{B3B24E00-E5C1-43AC-95DD-AB76CC8528A2}" time="2021-04-22T21:19:52Z">
        <t:Attribution userId="S::chudson@cde.ca.gov::60e836f3-086d-4d77-a502-597c1d1b80a8" userProvider="AD" userName="Charissa Hudson"/>
        <t:Anchor>
          <t:Comment id="801085692"/>
        </t:Anchor>
        <t:SetTitle title="@Vigdis Asmundson please provide the number of attendees and check to ensure the subject and description are ok when things are finaliz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280d2f4ebf7ccb551f9425b3ec612b0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af047fc1c62598362d30920c33241113"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637F-46F6-434A-B7A6-875C0B973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42E9D5-92AE-44EE-96E3-4DF9D640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D7129-EA03-4A9F-8766-2FDE8C23BCAD}">
  <ds:schemaRefs>
    <ds:schemaRef ds:uri="http://schemas.microsoft.com/sharepoint/v3/contenttype/forms"/>
  </ds:schemaRefs>
</ds:datastoreItem>
</file>

<file path=customXml/itemProps4.xml><?xml version="1.0" encoding="utf-8"?>
<ds:datastoreItem xmlns:ds="http://schemas.openxmlformats.org/officeDocument/2006/customXml" ds:itemID="{ED776999-AE50-4A3C-A91E-3234C5ED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2698</Words>
  <Characters>15383</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July 2021 Agenda Item 00 - Meeting Agendas (CA State Board of Education)</vt:lpstr>
    </vt:vector>
  </TitlesOfParts>
  <Company>California State Board of Education</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2021 Agenda Item 04 - Meeting Agendas (CA State Board of Education)</dc:title>
  <dc:subject>The California Assessment of Student Performance and Progress and the English Language Proficiency Assessments for California: Request for Approval.</dc:subject>
  <dc:creator/>
  <cp:keywords/>
  <dc:description/>
  <cp:lastPrinted>2017-10-30T17:36:00Z</cp:lastPrinted>
  <dcterms:created xsi:type="dcterms:W3CDTF">2021-07-01T18:05:00Z</dcterms:created>
  <dcterms:modified xsi:type="dcterms:W3CDTF">2021-07-01T20:01:00Z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