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E363" w14:textId="77777777" w:rsidR="00EB3BC1" w:rsidRPr="001B7282" w:rsidRDefault="00EB3BC1" w:rsidP="00EB3BC1">
      <w:pPr>
        <w:pStyle w:val="Header"/>
        <w:rPr>
          <w:b w:val="0"/>
          <w:bCs/>
        </w:rPr>
      </w:pPr>
      <w:r w:rsidRPr="00D11620">
        <w:rPr>
          <w:i/>
          <w:iCs/>
          <w:color w:val="C00000"/>
        </w:rPr>
        <w:t>***DRAFT*** Exhibit B</w:t>
      </w:r>
      <w:r>
        <w:tab/>
      </w:r>
      <w:r>
        <w:tab/>
      </w:r>
      <w:r w:rsidRPr="001B7282">
        <w:rPr>
          <w:b w:val="0"/>
          <w:bCs/>
        </w:rPr>
        <w:t>im</w:t>
      </w:r>
      <w:r>
        <w:rPr>
          <w:b w:val="0"/>
          <w:bCs/>
        </w:rPr>
        <w:t>a</w:t>
      </w:r>
      <w:r w:rsidRPr="001B7282">
        <w:rPr>
          <w:b w:val="0"/>
          <w:bCs/>
        </w:rPr>
        <w:t>b-adad-nov21item</w:t>
      </w:r>
      <w:r>
        <w:rPr>
          <w:b w:val="0"/>
          <w:bCs/>
        </w:rPr>
        <w:t>0</w:t>
      </w:r>
      <w:r>
        <w:rPr>
          <w:b w:val="0"/>
        </w:rPr>
        <w:t>1a06</w:t>
      </w:r>
    </w:p>
    <w:p w14:paraId="095E41B5" w14:textId="77777777" w:rsidR="00EB3BC1" w:rsidRPr="001B7282" w:rsidRDefault="00EB3BC1" w:rsidP="00EB3BC1">
      <w:pPr>
        <w:pStyle w:val="Header"/>
        <w:rPr>
          <w:b w:val="0"/>
          <w:bCs/>
        </w:rPr>
      </w:pPr>
      <w:r w:rsidRPr="001843C8">
        <w:rPr>
          <w:i/>
          <w:iCs/>
          <w:color w:val="C00000"/>
        </w:rPr>
        <w:t>California Assessment System #CN220002</w:t>
      </w:r>
      <w:r w:rsidRPr="001B7282">
        <w:rPr>
          <w:b w:val="0"/>
          <w:bCs/>
        </w:rPr>
        <w:tab/>
        <w:t xml:space="preserve">Attachment </w:t>
      </w:r>
      <w:r>
        <w:rPr>
          <w:b w:val="0"/>
          <w:bCs/>
        </w:rPr>
        <w:t>6</w:t>
      </w:r>
    </w:p>
    <w:p w14:paraId="000B703C" w14:textId="77777777" w:rsidR="00EB3BC1" w:rsidRDefault="00EB3BC1" w:rsidP="00EB3BC1">
      <w:pPr>
        <w:pStyle w:val="Header"/>
        <w:rPr>
          <w:b w:val="0"/>
          <w:bCs/>
        </w:rPr>
      </w:pPr>
      <w:r w:rsidRPr="001B7282">
        <w:rPr>
          <w:b w:val="0"/>
          <w:bCs/>
        </w:rPr>
        <w:tab/>
      </w:r>
      <w:r w:rsidRPr="001B7282">
        <w:rPr>
          <w:b w:val="0"/>
          <w:bCs/>
        </w:rPr>
        <w:tab/>
        <w:t xml:space="preserve">Page </w:t>
      </w:r>
      <w:r w:rsidRPr="00D11620">
        <w:rPr>
          <w:b w:val="0"/>
          <w:bCs/>
        </w:rPr>
        <w:fldChar w:fldCharType="begin"/>
      </w:r>
      <w:r w:rsidRPr="00D11620">
        <w:rPr>
          <w:b w:val="0"/>
          <w:bCs/>
        </w:rPr>
        <w:instrText xml:space="preserve"> PAGE   \* MERGEFORMAT </w:instrText>
      </w:r>
      <w:r w:rsidRPr="00D11620">
        <w:rPr>
          <w:b w:val="0"/>
          <w:bCs/>
        </w:rPr>
        <w:fldChar w:fldCharType="separate"/>
      </w:r>
      <w:r>
        <w:rPr>
          <w:b w:val="0"/>
          <w:bCs/>
        </w:rPr>
        <w:t>1</w:t>
      </w:r>
      <w:r w:rsidRPr="00D11620">
        <w:rPr>
          <w:b w:val="0"/>
          <w:bCs/>
          <w:noProof/>
        </w:rPr>
        <w:fldChar w:fldCharType="end"/>
      </w:r>
      <w:r w:rsidRPr="001B7282">
        <w:rPr>
          <w:b w:val="0"/>
          <w:bCs/>
        </w:rPr>
        <w:t xml:space="preserve"> of </w:t>
      </w:r>
      <w:r>
        <w:rPr>
          <w:b w:val="0"/>
          <w:bCs/>
        </w:rPr>
        <w:fldChar w:fldCharType="begin"/>
      </w:r>
      <w:r>
        <w:rPr>
          <w:b w:val="0"/>
          <w:bCs/>
        </w:rPr>
        <w:instrText xml:space="preserve"> NUMPAGES   \* MERGEFORMAT </w:instrText>
      </w:r>
      <w:r>
        <w:rPr>
          <w:b w:val="0"/>
          <w:bCs/>
        </w:rPr>
        <w:fldChar w:fldCharType="separate"/>
      </w:r>
      <w:r>
        <w:rPr>
          <w:b w:val="0"/>
          <w:bCs/>
        </w:rPr>
        <w:t>4</w:t>
      </w:r>
      <w:r>
        <w:rPr>
          <w:b w:val="0"/>
          <w:bCs/>
        </w:rPr>
        <w:fldChar w:fldCharType="end"/>
      </w:r>
    </w:p>
    <w:p w14:paraId="2AAA83B6" w14:textId="77777777" w:rsidR="00EB3BC1" w:rsidRPr="00EB3BC1" w:rsidRDefault="00EB3BC1" w:rsidP="00EB3BC1"/>
    <w:p w14:paraId="3E993ED4" w14:textId="7A83BB04" w:rsidR="00FB77FF" w:rsidRPr="00C83162" w:rsidRDefault="00FB77FF" w:rsidP="00052BC4">
      <w:pPr>
        <w:pStyle w:val="Heading1"/>
      </w:pPr>
      <w:bookmarkStart w:id="0" w:name="_GoBack"/>
      <w:bookmarkEnd w:id="0"/>
      <w:r w:rsidRPr="00C83162">
        <w:t>EXHIBIT B</w:t>
      </w:r>
    </w:p>
    <w:p w14:paraId="180C31F8" w14:textId="77777777" w:rsidR="00FB77FF" w:rsidRPr="00C83162" w:rsidRDefault="00FB77FF" w:rsidP="00FB77FF">
      <w:pPr>
        <w:jc w:val="center"/>
        <w:rPr>
          <w:rFonts w:cs="Arial"/>
          <w:b w:val="0"/>
          <w:color w:val="000000"/>
        </w:rPr>
      </w:pPr>
    </w:p>
    <w:p w14:paraId="18CA07FB" w14:textId="3BA513CE" w:rsidR="00BB3DA3" w:rsidRDefault="00FB77FF" w:rsidP="00052BC4">
      <w:pPr>
        <w:pStyle w:val="Heading2"/>
      </w:pPr>
      <w:r w:rsidRPr="00C83162">
        <w:t>BUDGET DETAIL AND PAYMENT PROVISIONS</w:t>
      </w:r>
    </w:p>
    <w:p w14:paraId="46F599AE" w14:textId="1213D22C" w:rsidR="00FB77FF" w:rsidRDefault="00FB77FF" w:rsidP="00FB77FF">
      <w:pPr>
        <w:rPr>
          <w:bCs/>
        </w:rPr>
      </w:pPr>
    </w:p>
    <w:p w14:paraId="55BC9BDC" w14:textId="59A85F0F" w:rsidR="00FB77FF" w:rsidRPr="00052BC4" w:rsidRDefault="00FB77FF" w:rsidP="00052BC4">
      <w:pPr>
        <w:pStyle w:val="Heading3"/>
        <w:rPr>
          <w:rFonts w:eastAsia="Arial"/>
        </w:rPr>
      </w:pPr>
      <w:r w:rsidRPr="00052BC4">
        <w:rPr>
          <w:rFonts w:eastAsia="Arial"/>
        </w:rPr>
        <w:t>Invoicing and Payment</w:t>
      </w:r>
    </w:p>
    <w:p w14:paraId="2E0C8A09" w14:textId="695625D1" w:rsidR="003422D6" w:rsidRDefault="00FB77FF" w:rsidP="003422D6">
      <w:pPr>
        <w:pStyle w:val="ListParagraph"/>
        <w:widowControl w:val="0"/>
        <w:numPr>
          <w:ilvl w:val="1"/>
          <w:numId w:val="4"/>
        </w:numPr>
        <w:tabs>
          <w:tab w:val="left" w:pos="1440"/>
        </w:tabs>
        <w:suppressAutoHyphens/>
        <w:autoSpaceDE w:val="0"/>
        <w:autoSpaceDN w:val="0"/>
        <w:spacing w:after="240"/>
        <w:ind w:left="907"/>
        <w:contextualSpacing w:val="0"/>
        <w:rPr>
          <w:rFonts w:eastAsia="Arial" w:cs="Arial"/>
          <w:b w:val="0"/>
        </w:rPr>
      </w:pPr>
      <w:r w:rsidRPr="43635512">
        <w:rPr>
          <w:rFonts w:eastAsia="Arial" w:cs="Arial"/>
          <w:b w:val="0"/>
        </w:rPr>
        <w:t xml:space="preserve">For services satisfactorily rendered, and upon receipt and approval of the invoices, the CDE agrees to compensate the contractor for actual expenditures incurred in performance of this agreement not to exceed the amount budgeted in each fiscal year. Should legislation subsequent to execution of the Agreement make a task or activity set forth in the Agreement unnecessary, </w:t>
      </w:r>
      <w:r w:rsidR="00603516" w:rsidRPr="43635512">
        <w:rPr>
          <w:rFonts w:eastAsia="Arial" w:cs="Arial"/>
          <w:b w:val="0"/>
        </w:rPr>
        <w:t xml:space="preserve">the CDE will notify </w:t>
      </w:r>
      <w:r w:rsidRPr="43635512">
        <w:rPr>
          <w:rFonts w:eastAsia="Arial" w:cs="Arial"/>
          <w:b w:val="0"/>
        </w:rPr>
        <w:t xml:space="preserve">the contractor </w:t>
      </w:r>
      <w:r w:rsidR="00FC767F" w:rsidRPr="43635512">
        <w:rPr>
          <w:rFonts w:eastAsia="Arial" w:cs="Arial"/>
          <w:b w:val="0"/>
        </w:rPr>
        <w:t>of the change</w:t>
      </w:r>
      <w:r w:rsidR="00B629D6" w:rsidRPr="43635512">
        <w:rPr>
          <w:rFonts w:eastAsia="Arial" w:cs="Arial"/>
          <w:b w:val="0"/>
        </w:rPr>
        <w:t xml:space="preserve"> as soon as practicable</w:t>
      </w:r>
      <w:r w:rsidR="00FC767F" w:rsidRPr="43635512">
        <w:rPr>
          <w:rFonts w:eastAsia="Arial" w:cs="Arial"/>
          <w:b w:val="0"/>
        </w:rPr>
        <w:t xml:space="preserve">. The contractor </w:t>
      </w:r>
      <w:r w:rsidRPr="43635512">
        <w:rPr>
          <w:rFonts w:eastAsia="Arial" w:cs="Arial"/>
          <w:b w:val="0"/>
        </w:rPr>
        <w:t>will not be reimbursed for costs incurred after the relevant legislation becomes operative for the affected task or activity</w:t>
      </w:r>
      <w:r w:rsidR="00144B25" w:rsidRPr="43635512">
        <w:rPr>
          <w:rFonts w:eastAsia="Arial" w:cs="Arial"/>
          <w:b w:val="0"/>
        </w:rPr>
        <w:t>, or if such legislation is effective retroactively, the date that CDE issues a stop work order</w:t>
      </w:r>
      <w:r w:rsidRPr="43635512">
        <w:rPr>
          <w:rFonts w:eastAsia="Arial" w:cs="Arial"/>
          <w:b w:val="0"/>
        </w:rPr>
        <w:t>.</w:t>
      </w:r>
    </w:p>
    <w:p w14:paraId="52C2CE6E" w14:textId="77777777" w:rsidR="003422D6" w:rsidRDefault="00FB77FF" w:rsidP="003422D6">
      <w:pPr>
        <w:pStyle w:val="ListParagraph"/>
        <w:widowControl w:val="0"/>
        <w:numPr>
          <w:ilvl w:val="1"/>
          <w:numId w:val="4"/>
        </w:numPr>
        <w:tabs>
          <w:tab w:val="left" w:pos="1440"/>
        </w:tabs>
        <w:suppressAutoHyphens/>
        <w:autoSpaceDE w:val="0"/>
        <w:autoSpaceDN w:val="0"/>
        <w:spacing w:after="240"/>
        <w:ind w:left="907"/>
        <w:contextualSpacing w:val="0"/>
        <w:rPr>
          <w:rFonts w:eastAsia="Arial" w:cs="Arial"/>
          <w:b w:val="0"/>
        </w:rPr>
      </w:pPr>
      <w:r w:rsidRPr="003422D6">
        <w:rPr>
          <w:rFonts w:eastAsia="Arial" w:cs="Arial"/>
          <w:b w:val="0"/>
        </w:rPr>
        <w:t xml:space="preserve">Payment of the invoice will not be made until the CDE accepts and approves the invoice. To be approved the invoice must include the level of detail described in the Budget for each task and for the fiscal year in which the expense was incurred. Further, the invoice must be easily comparable by CDE staff to the Budget contained herein. The total costs invoiced for any fiscal year may not exceed the </w:t>
      </w:r>
      <w:r w:rsidR="00144B25" w:rsidRPr="003422D6">
        <w:rPr>
          <w:rFonts w:eastAsia="Arial" w:cs="Arial"/>
          <w:b w:val="0"/>
        </w:rPr>
        <w:t xml:space="preserve">total </w:t>
      </w:r>
      <w:r w:rsidRPr="003422D6">
        <w:rPr>
          <w:rFonts w:eastAsia="Arial" w:cs="Arial"/>
          <w:b w:val="0"/>
        </w:rPr>
        <w:t>amount for that fiscal year in the Budget.</w:t>
      </w:r>
    </w:p>
    <w:p w14:paraId="254C494D" w14:textId="77777777" w:rsidR="003422D6" w:rsidRDefault="00FB77FF" w:rsidP="003422D6">
      <w:pPr>
        <w:pStyle w:val="ListParagraph"/>
        <w:widowControl w:val="0"/>
        <w:numPr>
          <w:ilvl w:val="1"/>
          <w:numId w:val="4"/>
        </w:numPr>
        <w:tabs>
          <w:tab w:val="left" w:pos="1440"/>
        </w:tabs>
        <w:suppressAutoHyphens/>
        <w:autoSpaceDE w:val="0"/>
        <w:autoSpaceDN w:val="0"/>
        <w:spacing w:after="240"/>
        <w:ind w:left="907"/>
        <w:contextualSpacing w:val="0"/>
        <w:rPr>
          <w:rFonts w:eastAsia="Arial" w:cs="Arial"/>
          <w:b w:val="0"/>
        </w:rPr>
      </w:pPr>
      <w:r w:rsidRPr="003422D6">
        <w:rPr>
          <w:rFonts w:eastAsia="Arial" w:cs="Arial"/>
          <w:b w:val="0"/>
        </w:rPr>
        <w:t>With each monthly invoice submitted for reimbursement, the contractor must attach a written progress report</w:t>
      </w:r>
      <w:r w:rsidR="00144B25" w:rsidRPr="003422D6">
        <w:rPr>
          <w:rFonts w:eastAsia="Arial" w:cs="Arial"/>
          <w:b w:val="0"/>
        </w:rPr>
        <w:t xml:space="preserve"> containing the information set forth in Task 1.7</w:t>
      </w:r>
      <w:r w:rsidRPr="003422D6">
        <w:rPr>
          <w:rFonts w:eastAsia="Arial" w:cs="Arial"/>
          <w:b w:val="0"/>
        </w:rPr>
        <w:t xml:space="preserve">. </w:t>
      </w:r>
      <w:r w:rsidR="00144B25" w:rsidRPr="003422D6">
        <w:rPr>
          <w:rFonts w:eastAsia="Arial" w:cs="Arial"/>
          <w:b w:val="0"/>
        </w:rPr>
        <w:t xml:space="preserve">The </w:t>
      </w:r>
      <w:r w:rsidR="004B0A94" w:rsidRPr="003422D6">
        <w:rPr>
          <w:rFonts w:eastAsia="Arial" w:cs="Arial"/>
          <w:b w:val="0"/>
        </w:rPr>
        <w:t>progress</w:t>
      </w:r>
      <w:r w:rsidR="00144B25" w:rsidRPr="003422D6">
        <w:rPr>
          <w:rFonts w:eastAsia="Arial" w:cs="Arial"/>
          <w:b w:val="0"/>
        </w:rPr>
        <w:t xml:space="preserve"> report must be a detailed narrative, easily comparable to the invoice, and </w:t>
      </w:r>
      <w:r w:rsidRPr="003422D6">
        <w:rPr>
          <w:rFonts w:eastAsia="Arial" w:cs="Arial"/>
          <w:b w:val="0"/>
        </w:rPr>
        <w:t xml:space="preserve">must be easily comparable by CDE staff to the </w:t>
      </w:r>
      <w:r w:rsidR="00144B25" w:rsidRPr="003422D6">
        <w:rPr>
          <w:rFonts w:eastAsia="Arial" w:cs="Arial"/>
          <w:b w:val="0"/>
        </w:rPr>
        <w:t>Budget contained herein and delivered as a</w:t>
      </w:r>
      <w:r w:rsidR="4EEB073E" w:rsidRPr="003422D6">
        <w:rPr>
          <w:rFonts w:eastAsia="Arial" w:cs="Arial"/>
          <w:b w:val="0"/>
        </w:rPr>
        <w:t>n</w:t>
      </w:r>
      <w:r w:rsidR="081AADC0" w:rsidRPr="003422D6">
        <w:rPr>
          <w:rFonts w:eastAsia="Arial" w:cs="Arial"/>
          <w:b w:val="0"/>
        </w:rPr>
        <w:t xml:space="preserve"> </w:t>
      </w:r>
      <w:r w:rsidR="4EEB073E" w:rsidRPr="003422D6">
        <w:rPr>
          <w:rFonts w:eastAsia="Arial" w:cs="Arial"/>
          <w:b w:val="0"/>
        </w:rPr>
        <w:t>original</w:t>
      </w:r>
      <w:r w:rsidR="00144B25" w:rsidRPr="003422D6">
        <w:rPr>
          <w:rFonts w:eastAsia="Arial" w:cs="Arial"/>
          <w:b w:val="0"/>
        </w:rPr>
        <w:t xml:space="preserve"> hard copy </w:t>
      </w:r>
      <w:r w:rsidR="7C12B139" w:rsidRPr="003422D6">
        <w:rPr>
          <w:rFonts w:eastAsia="Arial" w:cs="Arial"/>
          <w:b w:val="0"/>
        </w:rPr>
        <w:t>or electronic</w:t>
      </w:r>
      <w:r w:rsidR="3246F74C" w:rsidRPr="003422D6">
        <w:rPr>
          <w:rFonts w:eastAsia="Arial" w:cs="Arial"/>
          <w:b w:val="0"/>
        </w:rPr>
        <w:t xml:space="preserve"> record,</w:t>
      </w:r>
      <w:r w:rsidR="7C12B139" w:rsidRPr="003422D6">
        <w:rPr>
          <w:rFonts w:eastAsia="Arial" w:cs="Arial"/>
          <w:b w:val="0"/>
        </w:rPr>
        <w:t xml:space="preserve"> as directed by the CDE</w:t>
      </w:r>
      <w:r w:rsidRPr="003422D6">
        <w:rPr>
          <w:rFonts w:eastAsia="Arial" w:cs="Arial"/>
          <w:b w:val="0"/>
        </w:rPr>
        <w:t>.</w:t>
      </w:r>
      <w:r w:rsidR="00144B25" w:rsidRPr="003422D6">
        <w:rPr>
          <w:rFonts w:eastAsia="Arial" w:cs="Arial"/>
          <w:b w:val="0"/>
        </w:rPr>
        <w:t xml:space="preserve"> In addition, t</w:t>
      </w:r>
      <w:r w:rsidRPr="003422D6">
        <w:rPr>
          <w:rFonts w:eastAsia="Arial" w:cs="Arial"/>
          <w:b w:val="0"/>
        </w:rPr>
        <w:t xml:space="preserve">he CDE will not approve an invoice for payment on this </w:t>
      </w:r>
      <w:r w:rsidR="00273BEE" w:rsidRPr="003422D6">
        <w:rPr>
          <w:rFonts w:eastAsia="Arial" w:cs="Arial"/>
          <w:b w:val="0"/>
        </w:rPr>
        <w:t xml:space="preserve">Agreement </w:t>
      </w:r>
      <w:r w:rsidRPr="003422D6">
        <w:rPr>
          <w:rFonts w:eastAsia="Arial" w:cs="Arial"/>
          <w:b w:val="0"/>
        </w:rPr>
        <w:t xml:space="preserve">until it has received </w:t>
      </w:r>
      <w:r w:rsidR="00144B25" w:rsidRPr="003422D6">
        <w:rPr>
          <w:rFonts w:eastAsia="Arial" w:cs="Arial"/>
          <w:b w:val="0"/>
        </w:rPr>
        <w:t xml:space="preserve">and approves </w:t>
      </w:r>
      <w:r w:rsidRPr="003422D6">
        <w:rPr>
          <w:rFonts w:eastAsia="Arial" w:cs="Arial"/>
          <w:b w:val="0"/>
        </w:rPr>
        <w:t>the monthly progress report</w:t>
      </w:r>
      <w:r w:rsidR="00144B25" w:rsidRPr="003422D6">
        <w:rPr>
          <w:rFonts w:eastAsia="Arial" w:cs="Arial"/>
          <w:b w:val="0"/>
        </w:rPr>
        <w:t xml:space="preserve"> as set forth in Exhibit B</w:t>
      </w:r>
      <w:r w:rsidRPr="003422D6">
        <w:rPr>
          <w:rFonts w:eastAsia="Arial" w:cs="Arial"/>
          <w:b w:val="0"/>
        </w:rPr>
        <w:t>.</w:t>
      </w:r>
    </w:p>
    <w:p w14:paraId="515F4C5D" w14:textId="77777777" w:rsidR="003422D6" w:rsidRDefault="00FB77FF" w:rsidP="003422D6">
      <w:pPr>
        <w:pStyle w:val="ListParagraph"/>
        <w:widowControl w:val="0"/>
        <w:numPr>
          <w:ilvl w:val="1"/>
          <w:numId w:val="4"/>
        </w:numPr>
        <w:tabs>
          <w:tab w:val="left" w:pos="1440"/>
        </w:tabs>
        <w:suppressAutoHyphens/>
        <w:autoSpaceDE w:val="0"/>
        <w:autoSpaceDN w:val="0"/>
        <w:spacing w:after="240"/>
        <w:ind w:left="907"/>
        <w:contextualSpacing w:val="0"/>
        <w:rPr>
          <w:rFonts w:eastAsia="Arial" w:cs="Arial"/>
          <w:b w:val="0"/>
        </w:rPr>
      </w:pPr>
      <w:r w:rsidRPr="003422D6">
        <w:rPr>
          <w:rFonts w:eastAsia="Arial" w:cs="Arial"/>
          <w:b w:val="0"/>
        </w:rPr>
        <w:t>The contractor must retain and update records and accounts</w:t>
      </w:r>
      <w:r w:rsidR="00144B25" w:rsidRPr="003422D6">
        <w:rPr>
          <w:rFonts w:eastAsia="Arial" w:cs="Arial"/>
          <w:b w:val="0"/>
        </w:rPr>
        <w:t>, including original source records, necessary to support all costs</w:t>
      </w:r>
      <w:r w:rsidRPr="003422D6">
        <w:rPr>
          <w:rFonts w:eastAsia="Arial" w:cs="Arial"/>
          <w:b w:val="0"/>
        </w:rPr>
        <w:t xml:space="preserve"> and must be able to prepare and submit statistical, narrative, and/or financial and program reports and summaries related to this </w:t>
      </w:r>
      <w:r w:rsidR="00273BEE" w:rsidRPr="003422D6">
        <w:rPr>
          <w:rFonts w:eastAsia="Arial" w:cs="Arial"/>
          <w:b w:val="0"/>
        </w:rPr>
        <w:t>Agreement</w:t>
      </w:r>
      <w:r w:rsidRPr="003422D6">
        <w:rPr>
          <w:rFonts w:eastAsia="Arial" w:cs="Arial"/>
          <w:b w:val="0"/>
        </w:rPr>
        <w:t xml:space="preserve"> as requested by CDE</w:t>
      </w:r>
      <w:r w:rsidR="00144B25" w:rsidRPr="003422D6">
        <w:rPr>
          <w:rFonts w:eastAsia="Arial" w:cs="Arial"/>
          <w:b w:val="0"/>
        </w:rPr>
        <w:t xml:space="preserve"> or by the SBE</w:t>
      </w:r>
      <w:r w:rsidRPr="003422D6">
        <w:rPr>
          <w:rFonts w:eastAsia="Arial" w:cs="Arial"/>
          <w:b w:val="0"/>
        </w:rPr>
        <w:t>.</w:t>
      </w:r>
    </w:p>
    <w:p w14:paraId="6F46E4E2" w14:textId="52E90B32" w:rsidR="00FB77FF" w:rsidRPr="003422D6" w:rsidRDefault="00FB77FF" w:rsidP="003422D6">
      <w:pPr>
        <w:pStyle w:val="ListParagraph"/>
        <w:widowControl w:val="0"/>
        <w:numPr>
          <w:ilvl w:val="1"/>
          <w:numId w:val="4"/>
        </w:numPr>
        <w:tabs>
          <w:tab w:val="left" w:pos="1440"/>
        </w:tabs>
        <w:suppressAutoHyphens/>
        <w:autoSpaceDE w:val="0"/>
        <w:autoSpaceDN w:val="0"/>
        <w:spacing w:after="240"/>
        <w:ind w:left="907" w:hanging="367"/>
        <w:contextualSpacing w:val="0"/>
        <w:rPr>
          <w:rFonts w:eastAsia="Arial" w:cs="Arial"/>
          <w:b w:val="0"/>
        </w:rPr>
      </w:pPr>
      <w:r w:rsidRPr="003422D6">
        <w:rPr>
          <w:rFonts w:eastAsia="Arial" w:cs="Arial"/>
          <w:b w:val="0"/>
        </w:rPr>
        <w:t xml:space="preserve">Invoices shall be itemized per </w:t>
      </w:r>
      <w:r w:rsidR="00144B25" w:rsidRPr="003422D6">
        <w:rPr>
          <w:rFonts w:eastAsia="Arial" w:cs="Arial"/>
          <w:b w:val="0"/>
        </w:rPr>
        <w:t>Exhibit B (Budget)</w:t>
      </w:r>
      <w:r w:rsidRPr="003422D6">
        <w:rPr>
          <w:rFonts w:eastAsia="Arial" w:cs="Arial"/>
          <w:b w:val="0"/>
        </w:rPr>
        <w:t xml:space="preserve"> and shall include the </w:t>
      </w:r>
      <w:r w:rsidRPr="003422D6">
        <w:rPr>
          <w:rFonts w:eastAsia="Arial" w:cs="Arial"/>
          <w:b w:val="0"/>
          <w:bCs/>
        </w:rPr>
        <w:t>Contract Number—CN220002</w:t>
      </w:r>
      <w:r w:rsidRPr="003422D6">
        <w:rPr>
          <w:rFonts w:eastAsia="Arial" w:cs="Arial"/>
          <w:b w:val="0"/>
        </w:rPr>
        <w:t>, dates of services, and shall be submitted in arrears</w:t>
      </w:r>
      <w:r w:rsidR="00144B25" w:rsidRPr="003422D6">
        <w:rPr>
          <w:rFonts w:eastAsia="Arial" w:cs="Arial"/>
          <w:b w:val="0"/>
        </w:rPr>
        <w:t>. Each invoice shall contain a</w:t>
      </w:r>
      <w:r w:rsidR="004B0A94" w:rsidRPr="003422D6">
        <w:rPr>
          <w:rFonts w:eastAsia="Arial" w:cs="Arial"/>
          <w:b w:val="0"/>
        </w:rPr>
        <w:t xml:space="preserve"> progress </w:t>
      </w:r>
      <w:r w:rsidR="00144B25" w:rsidRPr="003422D6">
        <w:rPr>
          <w:rFonts w:eastAsia="Arial" w:cs="Arial"/>
          <w:b w:val="0"/>
        </w:rPr>
        <w:t>report outlining the costs being invoiced per task and subtask, by fiscal year and by administrative test cycle. The tasks identified in the invoice must match the tasks set forth in the Budget. Invoices shall be sent</w:t>
      </w:r>
      <w:r w:rsidRPr="003422D6">
        <w:rPr>
          <w:rFonts w:eastAsia="Arial" w:cs="Arial"/>
          <w:b w:val="0"/>
        </w:rPr>
        <w:t>, along with a progress report (see task 1.</w:t>
      </w:r>
      <w:r w:rsidR="005177A7" w:rsidRPr="003422D6">
        <w:rPr>
          <w:rFonts w:eastAsia="Arial" w:cs="Arial"/>
          <w:b w:val="0"/>
        </w:rPr>
        <w:t>7</w:t>
      </w:r>
      <w:r w:rsidRPr="003422D6">
        <w:rPr>
          <w:rFonts w:eastAsia="Arial" w:cs="Arial"/>
          <w:b w:val="0"/>
        </w:rPr>
        <w:t xml:space="preserve">, Monthly Progress Reports), not more frequently than monthly </w:t>
      </w:r>
      <w:r w:rsidR="00144B25" w:rsidRPr="003422D6">
        <w:rPr>
          <w:rFonts w:eastAsia="Arial" w:cs="Arial"/>
          <w:b w:val="0"/>
        </w:rPr>
        <w:t xml:space="preserve">and </w:t>
      </w:r>
      <w:r w:rsidRPr="003422D6">
        <w:rPr>
          <w:rFonts w:eastAsia="Arial" w:cs="Arial"/>
          <w:b w:val="0"/>
        </w:rPr>
        <w:t>in duplicate to:</w:t>
      </w:r>
    </w:p>
    <w:p w14:paraId="0DC7A75E" w14:textId="77777777" w:rsidR="00FB77FF" w:rsidRPr="00052BC4" w:rsidRDefault="00FB77FF" w:rsidP="00FB77FF">
      <w:pPr>
        <w:keepNext/>
        <w:widowControl w:val="0"/>
        <w:tabs>
          <w:tab w:val="left" w:pos="-720"/>
          <w:tab w:val="left" w:pos="1440"/>
          <w:tab w:val="left" w:pos="2160"/>
        </w:tabs>
        <w:suppressAutoHyphens/>
        <w:autoSpaceDE w:val="0"/>
        <w:autoSpaceDN w:val="0"/>
        <w:ind w:left="1440" w:hanging="720"/>
        <w:jc w:val="center"/>
        <w:rPr>
          <w:rFonts w:eastAsia="Arial" w:cs="Arial"/>
          <w:b w:val="0"/>
          <w:bCs/>
        </w:rPr>
      </w:pPr>
      <w:r w:rsidRPr="00052BC4">
        <w:rPr>
          <w:rFonts w:eastAsia="Arial" w:cs="Arial"/>
          <w:b w:val="0"/>
          <w:bCs/>
        </w:rPr>
        <w:lastRenderedPageBreak/>
        <w:t>California Department of Education</w:t>
      </w:r>
    </w:p>
    <w:p w14:paraId="3F6C7EF7" w14:textId="77777777" w:rsidR="00FB77FF" w:rsidRPr="00052BC4" w:rsidRDefault="00FB77FF" w:rsidP="00FB77FF">
      <w:pPr>
        <w:keepNext/>
        <w:widowControl w:val="0"/>
        <w:tabs>
          <w:tab w:val="left" w:pos="-720"/>
          <w:tab w:val="left" w:pos="1440"/>
          <w:tab w:val="left" w:pos="2160"/>
        </w:tabs>
        <w:suppressAutoHyphens/>
        <w:autoSpaceDE w:val="0"/>
        <w:autoSpaceDN w:val="0"/>
        <w:ind w:left="1440" w:hanging="720"/>
        <w:jc w:val="center"/>
        <w:rPr>
          <w:rFonts w:eastAsia="Arial" w:cs="Arial"/>
          <w:b w:val="0"/>
          <w:bCs/>
        </w:rPr>
      </w:pPr>
      <w:r w:rsidRPr="00052BC4">
        <w:rPr>
          <w:rFonts w:eastAsia="Arial" w:cs="Arial"/>
          <w:b w:val="0"/>
          <w:bCs/>
        </w:rPr>
        <w:t>Assessment Development and Administration Division</w:t>
      </w:r>
    </w:p>
    <w:p w14:paraId="404F9DF3" w14:textId="77777777" w:rsidR="00FB77FF" w:rsidRPr="00052BC4" w:rsidRDefault="00FB77FF" w:rsidP="00FB77FF">
      <w:pPr>
        <w:keepNext/>
        <w:widowControl w:val="0"/>
        <w:tabs>
          <w:tab w:val="left" w:pos="-720"/>
          <w:tab w:val="left" w:pos="1440"/>
          <w:tab w:val="left" w:pos="2160"/>
        </w:tabs>
        <w:suppressAutoHyphens/>
        <w:autoSpaceDE w:val="0"/>
        <w:autoSpaceDN w:val="0"/>
        <w:ind w:left="1440" w:hanging="720"/>
        <w:jc w:val="center"/>
        <w:rPr>
          <w:rFonts w:eastAsia="Arial" w:cs="Arial"/>
          <w:b w:val="0"/>
          <w:bCs/>
        </w:rPr>
      </w:pPr>
      <w:r w:rsidRPr="00052BC4">
        <w:rPr>
          <w:rFonts w:eastAsia="Arial" w:cs="Arial"/>
          <w:b w:val="0"/>
          <w:bCs/>
        </w:rPr>
        <w:t>1430 N Street, Suite 4409</w:t>
      </w:r>
    </w:p>
    <w:p w14:paraId="496B5369" w14:textId="77777777" w:rsidR="00FB77FF" w:rsidRPr="00052BC4" w:rsidRDefault="00FB77FF" w:rsidP="00FB77FF">
      <w:pPr>
        <w:keepNext/>
        <w:widowControl w:val="0"/>
        <w:tabs>
          <w:tab w:val="left" w:pos="-720"/>
          <w:tab w:val="left" w:pos="1440"/>
          <w:tab w:val="left" w:pos="2160"/>
        </w:tabs>
        <w:suppressAutoHyphens/>
        <w:autoSpaceDE w:val="0"/>
        <w:autoSpaceDN w:val="0"/>
        <w:ind w:left="1440" w:hanging="720"/>
        <w:jc w:val="center"/>
        <w:rPr>
          <w:rFonts w:eastAsia="Arial" w:cs="Arial"/>
          <w:b w:val="0"/>
          <w:bCs/>
        </w:rPr>
      </w:pPr>
      <w:r w:rsidRPr="00052BC4">
        <w:rPr>
          <w:rFonts w:eastAsia="Arial" w:cs="Arial"/>
          <w:b w:val="0"/>
          <w:bCs/>
        </w:rPr>
        <w:t>Sacramento, CA 95814</w:t>
      </w:r>
    </w:p>
    <w:p w14:paraId="356BBEB5" w14:textId="77777777" w:rsidR="00FB77FF" w:rsidRPr="00052BC4" w:rsidRDefault="00FB77FF" w:rsidP="00FB77FF">
      <w:pPr>
        <w:keepNext/>
        <w:widowControl w:val="0"/>
        <w:tabs>
          <w:tab w:val="left" w:pos="1440"/>
          <w:tab w:val="left" w:pos="2160"/>
        </w:tabs>
        <w:suppressAutoHyphens/>
        <w:autoSpaceDE w:val="0"/>
        <w:autoSpaceDN w:val="0"/>
        <w:ind w:left="1440" w:hanging="720"/>
        <w:jc w:val="center"/>
        <w:rPr>
          <w:rFonts w:eastAsia="Arial" w:cs="Arial"/>
          <w:b w:val="0"/>
          <w:bCs/>
        </w:rPr>
      </w:pPr>
      <w:r w:rsidRPr="00052BC4">
        <w:rPr>
          <w:rFonts w:eastAsia="Arial" w:cs="Arial"/>
          <w:b w:val="0"/>
          <w:bCs/>
        </w:rPr>
        <w:t>Attention: Linda Hooper</w:t>
      </w:r>
    </w:p>
    <w:p w14:paraId="017FFE40" w14:textId="0500B710" w:rsidR="00FB77FF" w:rsidRPr="00052BC4" w:rsidRDefault="00FB77FF" w:rsidP="00FB77FF">
      <w:pPr>
        <w:keepNext/>
        <w:widowControl w:val="0"/>
        <w:tabs>
          <w:tab w:val="left" w:pos="1440"/>
          <w:tab w:val="left" w:pos="2160"/>
        </w:tabs>
        <w:suppressAutoHyphens/>
        <w:autoSpaceDE w:val="0"/>
        <w:autoSpaceDN w:val="0"/>
        <w:spacing w:after="240"/>
        <w:ind w:left="1440" w:hanging="720"/>
        <w:jc w:val="center"/>
        <w:rPr>
          <w:rFonts w:eastAsia="Arial" w:cs="Arial"/>
          <w:b w:val="0"/>
          <w:bCs/>
        </w:rPr>
      </w:pPr>
      <w:r w:rsidRPr="00052BC4">
        <w:rPr>
          <w:rFonts w:eastAsia="Arial" w:cs="Arial"/>
          <w:b w:val="0"/>
          <w:bCs/>
        </w:rPr>
        <w:t xml:space="preserve">Email: </w:t>
      </w:r>
      <w:hyperlink r:id="rId10" w:history="1">
        <w:r w:rsidR="00144B25" w:rsidRPr="00052BC4">
          <w:rPr>
            <w:rStyle w:val="Hyperlink"/>
            <w:rFonts w:eastAsia="Arial" w:cs="Arial"/>
            <w:b w:val="0"/>
            <w:bCs/>
          </w:rPr>
          <w:t>lhooper@cde.ca.gov</w:t>
        </w:r>
      </w:hyperlink>
      <w:r w:rsidR="00144B25" w:rsidRPr="00052BC4">
        <w:rPr>
          <w:rFonts w:eastAsia="Arial" w:cs="Arial"/>
          <w:b w:val="0"/>
          <w:bCs/>
        </w:rPr>
        <w:t xml:space="preserve"> </w:t>
      </w:r>
    </w:p>
    <w:p w14:paraId="26497E38" w14:textId="3D7383F0" w:rsidR="00FB77FF" w:rsidRPr="00052BC4" w:rsidRDefault="00FB77FF" w:rsidP="003422D6">
      <w:pPr>
        <w:pStyle w:val="Heading3"/>
        <w:rPr>
          <w:rFonts w:eastAsia="Arial"/>
        </w:rPr>
      </w:pPr>
      <w:bookmarkStart w:id="1" w:name="_Toc402193870"/>
      <w:bookmarkStart w:id="2" w:name="_Toc402205380"/>
      <w:r w:rsidRPr="00052BC4">
        <w:rPr>
          <w:rFonts w:eastAsia="Arial"/>
        </w:rPr>
        <w:t>Budget Contingency Clause</w:t>
      </w:r>
      <w:bookmarkEnd w:id="1"/>
      <w:bookmarkEnd w:id="2"/>
    </w:p>
    <w:p w14:paraId="112C1E62" w14:textId="77777777" w:rsidR="003422D6" w:rsidRDefault="00FB77FF" w:rsidP="003422D6">
      <w:pPr>
        <w:pStyle w:val="ListParagraph"/>
        <w:widowControl w:val="0"/>
        <w:numPr>
          <w:ilvl w:val="1"/>
          <w:numId w:val="5"/>
        </w:numPr>
        <w:tabs>
          <w:tab w:val="left" w:pos="900"/>
        </w:tabs>
        <w:autoSpaceDE w:val="0"/>
        <w:autoSpaceDN w:val="0"/>
        <w:adjustRightInd w:val="0"/>
        <w:spacing w:after="240"/>
        <w:ind w:left="907"/>
        <w:contextualSpacing w:val="0"/>
        <w:rPr>
          <w:rFonts w:eastAsia="Arial" w:cs="Arial"/>
          <w:b w:val="0"/>
        </w:rPr>
      </w:pPr>
      <w:r w:rsidRPr="003422D6">
        <w:rPr>
          <w:rFonts w:eastAsia="Arial" w:cs="Arial"/>
          <w:b w:val="0"/>
        </w:rPr>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29803A40" w14:textId="77777777" w:rsidR="003422D6" w:rsidRDefault="00FB77FF" w:rsidP="003422D6">
      <w:pPr>
        <w:pStyle w:val="ListParagraph"/>
        <w:widowControl w:val="0"/>
        <w:numPr>
          <w:ilvl w:val="1"/>
          <w:numId w:val="5"/>
        </w:numPr>
        <w:tabs>
          <w:tab w:val="left" w:pos="900"/>
        </w:tabs>
        <w:autoSpaceDE w:val="0"/>
        <w:autoSpaceDN w:val="0"/>
        <w:adjustRightInd w:val="0"/>
        <w:spacing w:after="240"/>
        <w:ind w:left="907"/>
        <w:contextualSpacing w:val="0"/>
        <w:rPr>
          <w:rFonts w:eastAsia="Arial" w:cs="Arial"/>
          <w:b w:val="0"/>
        </w:rPr>
      </w:pPr>
      <w:r w:rsidRPr="003422D6">
        <w:rPr>
          <w:rFonts w:eastAsia="Arial" w:cs="Arial"/>
          <w:b w:val="0"/>
        </w:rPr>
        <w:t>This Agreement is valid and enforceable only if sufficient funds are made available to the State by the United States Government or the California State Legislature</w:t>
      </w:r>
      <w:r w:rsidR="00D246BF" w:rsidRPr="003422D6">
        <w:rPr>
          <w:rFonts w:eastAsia="Arial" w:cs="Arial"/>
          <w:b w:val="0"/>
        </w:rPr>
        <w:t xml:space="preserve"> for fiscal </w:t>
      </w:r>
      <w:r w:rsidR="00FF2F99" w:rsidRPr="003422D6">
        <w:rPr>
          <w:rFonts w:eastAsia="Arial" w:cs="Arial"/>
          <w:b w:val="0"/>
        </w:rPr>
        <w:t xml:space="preserve">years covered by this agreement </w:t>
      </w:r>
      <w:r w:rsidRPr="003422D6">
        <w:rPr>
          <w:rFonts w:eastAsia="Arial" w:cs="Arial"/>
          <w:b w:val="0"/>
        </w:rPr>
        <w:t>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4A5748AD" w14:textId="6092C87D" w:rsidR="003422D6" w:rsidRDefault="00FB77FF" w:rsidP="003422D6">
      <w:pPr>
        <w:pStyle w:val="ListParagraph"/>
        <w:widowControl w:val="0"/>
        <w:numPr>
          <w:ilvl w:val="1"/>
          <w:numId w:val="5"/>
        </w:numPr>
        <w:tabs>
          <w:tab w:val="left" w:pos="900"/>
        </w:tabs>
        <w:autoSpaceDE w:val="0"/>
        <w:autoSpaceDN w:val="0"/>
        <w:adjustRightInd w:val="0"/>
        <w:spacing w:after="240"/>
        <w:ind w:left="907"/>
        <w:contextualSpacing w:val="0"/>
        <w:rPr>
          <w:rFonts w:eastAsia="Arial" w:cs="Arial"/>
          <w:b w:val="0"/>
        </w:rPr>
      </w:pPr>
      <w:r w:rsidRPr="43635512">
        <w:rPr>
          <w:rFonts w:eastAsia="Arial" w:cs="Arial"/>
          <w:b w:val="0"/>
        </w:rPr>
        <w:t>It is mutually agreed that if the Congress or the State Legislature does not appropriate sufficient funds for the program</w:t>
      </w:r>
      <w:r w:rsidR="00456259" w:rsidRPr="43635512">
        <w:rPr>
          <w:rFonts w:eastAsia="Arial" w:cs="Arial"/>
          <w:b w:val="0"/>
        </w:rPr>
        <w:t xml:space="preserve">, the </w:t>
      </w:r>
      <w:r w:rsidR="3947C833" w:rsidRPr="43635512">
        <w:rPr>
          <w:rFonts w:eastAsia="Arial" w:cs="Arial"/>
          <w:b w:val="0"/>
        </w:rPr>
        <w:t xml:space="preserve">CDE has the option to void the </w:t>
      </w:r>
      <w:r w:rsidR="00BB34DE" w:rsidRPr="43635512">
        <w:rPr>
          <w:rFonts w:eastAsia="Arial" w:cs="Arial"/>
          <w:b w:val="0"/>
        </w:rPr>
        <w:t>Agreement</w:t>
      </w:r>
      <w:r w:rsidR="3947C833" w:rsidRPr="43635512">
        <w:rPr>
          <w:rFonts w:eastAsia="Arial" w:cs="Arial"/>
          <w:b w:val="0"/>
        </w:rPr>
        <w:t xml:space="preserve"> under the 30-day termination clause</w:t>
      </w:r>
      <w:r w:rsidR="00B72A55" w:rsidRPr="43635512">
        <w:rPr>
          <w:rFonts w:eastAsia="Arial" w:cs="Arial"/>
          <w:b w:val="0"/>
        </w:rPr>
        <w:t xml:space="preserve"> </w:t>
      </w:r>
      <w:r w:rsidR="00E4309A" w:rsidRPr="43635512">
        <w:rPr>
          <w:rFonts w:eastAsia="Arial" w:cs="Arial"/>
          <w:b w:val="0"/>
        </w:rPr>
        <w:t xml:space="preserve">set forth in </w:t>
      </w:r>
      <w:r w:rsidR="00B35287" w:rsidRPr="43635512">
        <w:rPr>
          <w:rFonts w:eastAsia="Arial" w:cs="Arial"/>
          <w:b w:val="0"/>
        </w:rPr>
        <w:t>Exhibit D,</w:t>
      </w:r>
      <w:r w:rsidR="007C26DC" w:rsidRPr="43635512">
        <w:rPr>
          <w:rFonts w:eastAsia="Arial" w:cs="Arial"/>
          <w:b w:val="0"/>
        </w:rPr>
        <w:t xml:space="preserve"> Section VII,</w:t>
      </w:r>
      <w:r w:rsidR="3947C833" w:rsidRPr="43635512">
        <w:rPr>
          <w:rFonts w:eastAsia="Arial" w:cs="Arial"/>
          <w:b w:val="0"/>
        </w:rPr>
        <w:t xml:space="preserve"> or to amend the </w:t>
      </w:r>
      <w:r w:rsidR="00BB34DE" w:rsidRPr="43635512">
        <w:rPr>
          <w:rFonts w:eastAsia="Arial" w:cs="Arial"/>
          <w:b w:val="0"/>
        </w:rPr>
        <w:t>Agreement</w:t>
      </w:r>
      <w:r w:rsidR="3947C833" w:rsidRPr="43635512">
        <w:rPr>
          <w:rFonts w:eastAsia="Arial" w:cs="Arial"/>
          <w:b w:val="0"/>
        </w:rPr>
        <w:t xml:space="preserve"> to reflect any reduction of funds. If the CDE </w:t>
      </w:r>
      <w:r w:rsidR="4E9F55C0" w:rsidRPr="43635512">
        <w:rPr>
          <w:rFonts w:eastAsia="Arial" w:cs="Arial"/>
          <w:b w:val="0"/>
        </w:rPr>
        <w:t>terminates</w:t>
      </w:r>
      <w:r w:rsidR="3947C833" w:rsidRPr="43635512">
        <w:rPr>
          <w:rFonts w:eastAsia="Arial" w:cs="Arial"/>
          <w:b w:val="0"/>
        </w:rPr>
        <w:t xml:space="preserve"> the </w:t>
      </w:r>
      <w:r w:rsidR="00BB34DE" w:rsidRPr="43635512">
        <w:rPr>
          <w:rFonts w:eastAsia="Arial" w:cs="Arial"/>
          <w:b w:val="0"/>
        </w:rPr>
        <w:t>Agreement</w:t>
      </w:r>
      <w:r w:rsidR="3947C833" w:rsidRPr="43635512">
        <w:rPr>
          <w:rFonts w:eastAsia="Arial" w:cs="Arial"/>
          <w:b w:val="0"/>
        </w:rPr>
        <w:t xml:space="preserve">, it agrees to pay the contractor for work completed based on the contractor’s actual final invoice of actual expenses incurred, up to and including the day of </w:t>
      </w:r>
      <w:r w:rsidR="329B77BB" w:rsidRPr="43635512">
        <w:rPr>
          <w:rFonts w:eastAsia="Arial" w:cs="Arial"/>
          <w:b w:val="0"/>
        </w:rPr>
        <w:t>termination</w:t>
      </w:r>
      <w:r w:rsidR="3947C833" w:rsidRPr="43635512">
        <w:rPr>
          <w:rFonts w:eastAsia="Arial" w:cs="Arial"/>
          <w:b w:val="0"/>
        </w:rPr>
        <w:t>.</w:t>
      </w:r>
    </w:p>
    <w:p w14:paraId="3A6DDB84" w14:textId="77777777" w:rsidR="003422D6" w:rsidRDefault="00FB77FF" w:rsidP="003422D6">
      <w:pPr>
        <w:pStyle w:val="ListParagraph"/>
        <w:widowControl w:val="0"/>
        <w:numPr>
          <w:ilvl w:val="1"/>
          <w:numId w:val="5"/>
        </w:numPr>
        <w:tabs>
          <w:tab w:val="left" w:pos="900"/>
        </w:tabs>
        <w:autoSpaceDE w:val="0"/>
        <w:autoSpaceDN w:val="0"/>
        <w:adjustRightInd w:val="0"/>
        <w:spacing w:after="240"/>
        <w:ind w:left="907"/>
        <w:contextualSpacing w:val="0"/>
        <w:rPr>
          <w:rFonts w:eastAsia="Arial" w:cs="Arial"/>
          <w:b w:val="0"/>
        </w:rPr>
      </w:pPr>
      <w:r w:rsidRPr="003422D6">
        <w:rPr>
          <w:rFonts w:eastAsia="Arial" w:cs="Arial"/>
          <w:b w:val="0"/>
        </w:rPr>
        <w:t>Pursuant to Government Code (GC),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4AE5E96D" w14:textId="279B780E" w:rsidR="00022525" w:rsidRPr="003422D6" w:rsidRDefault="00022525" w:rsidP="003422D6">
      <w:pPr>
        <w:pStyle w:val="ListParagraph"/>
        <w:widowControl w:val="0"/>
        <w:numPr>
          <w:ilvl w:val="1"/>
          <w:numId w:val="5"/>
        </w:numPr>
        <w:tabs>
          <w:tab w:val="left" w:pos="900"/>
        </w:tabs>
        <w:autoSpaceDE w:val="0"/>
        <w:autoSpaceDN w:val="0"/>
        <w:adjustRightInd w:val="0"/>
        <w:spacing w:after="240"/>
        <w:ind w:left="907"/>
        <w:contextualSpacing w:val="0"/>
        <w:rPr>
          <w:rFonts w:eastAsia="Arial" w:cs="Arial"/>
          <w:b w:val="0"/>
        </w:rPr>
      </w:pPr>
      <w:r w:rsidRPr="003422D6">
        <w:rPr>
          <w:rFonts w:eastAsia="Arial" w:cs="Arial"/>
          <w:b w:val="0"/>
        </w:rPr>
        <w:t xml:space="preserve">The </w:t>
      </w:r>
      <w:r w:rsidR="217AF185" w:rsidRPr="003422D6">
        <w:rPr>
          <w:rFonts w:eastAsia="Arial" w:cs="Arial"/>
          <w:b w:val="0"/>
        </w:rPr>
        <w:t>contractor</w:t>
      </w:r>
      <w:r w:rsidRPr="003422D6">
        <w:rPr>
          <w:rFonts w:eastAsia="Arial" w:cs="Arial"/>
          <w:b w:val="0"/>
        </w:rPr>
        <w:t xml:space="preserve"> shall comply with reporting requirements set forth in OMB</w:t>
      </w:r>
      <w:r w:rsidR="003422D6">
        <w:rPr>
          <w:rFonts w:eastAsia="Arial" w:cs="Arial"/>
          <w:b w:val="0"/>
        </w:rPr>
        <w:t xml:space="preserve"> </w:t>
      </w:r>
      <w:r w:rsidRPr="003422D6">
        <w:rPr>
          <w:rFonts w:eastAsia="Arial" w:cs="Arial"/>
          <w:b w:val="0"/>
        </w:rPr>
        <w:t xml:space="preserve">Uniform Grants Guidance, subpart F at 2 CFR 200.500 et.seq. For purposes of this </w:t>
      </w:r>
      <w:r w:rsidR="00BB34DE" w:rsidRPr="003422D6">
        <w:rPr>
          <w:rFonts w:eastAsia="Arial" w:cs="Arial"/>
          <w:b w:val="0"/>
        </w:rPr>
        <w:t>Agreement</w:t>
      </w:r>
      <w:r w:rsidRPr="003422D6">
        <w:rPr>
          <w:rFonts w:eastAsia="Arial" w:cs="Arial"/>
          <w:b w:val="0"/>
        </w:rPr>
        <w:t xml:space="preserve">, ETS is considered a </w:t>
      </w:r>
      <w:r w:rsidR="5C92597F" w:rsidRPr="003422D6">
        <w:rPr>
          <w:rFonts w:eastAsia="Arial" w:cs="Arial"/>
          <w:b w:val="0"/>
        </w:rPr>
        <w:t>subcontract</w:t>
      </w:r>
      <w:r w:rsidRPr="003422D6">
        <w:rPr>
          <w:rFonts w:eastAsia="Arial" w:cs="Arial"/>
          <w:b w:val="0"/>
        </w:rPr>
        <w:t xml:space="preserve">or and not a sub-recipient. </w:t>
      </w:r>
    </w:p>
    <w:p w14:paraId="7F939963" w14:textId="1625D92C" w:rsidR="00FB77FF" w:rsidRPr="00052BC4" w:rsidRDefault="00FB77FF" w:rsidP="003422D6">
      <w:pPr>
        <w:pStyle w:val="Heading3"/>
        <w:rPr>
          <w:rFonts w:eastAsia="Arial"/>
        </w:rPr>
      </w:pPr>
      <w:bookmarkStart w:id="3" w:name="_Toc402193872"/>
      <w:bookmarkStart w:id="4" w:name="_Toc402205382"/>
      <w:r w:rsidRPr="00052BC4">
        <w:rPr>
          <w:rFonts w:eastAsia="Arial"/>
        </w:rPr>
        <w:t>Travel</w:t>
      </w:r>
      <w:bookmarkEnd w:id="3"/>
      <w:bookmarkEnd w:id="4"/>
      <w:r w:rsidRPr="00052BC4">
        <w:rPr>
          <w:rFonts w:eastAsia="Arial"/>
        </w:rPr>
        <w:t xml:space="preserve"> </w:t>
      </w:r>
    </w:p>
    <w:p w14:paraId="5C7074AF" w14:textId="16076ED3" w:rsidR="00FB77FF" w:rsidRPr="00052BC4" w:rsidRDefault="00FB77FF" w:rsidP="00FB77FF">
      <w:pPr>
        <w:widowControl w:val="0"/>
        <w:tabs>
          <w:tab w:val="left" w:pos="720"/>
          <w:tab w:val="left" w:pos="1440"/>
          <w:tab w:val="left" w:pos="2160"/>
        </w:tabs>
        <w:suppressAutoHyphens/>
        <w:autoSpaceDE w:val="0"/>
        <w:autoSpaceDN w:val="0"/>
        <w:spacing w:after="240"/>
        <w:rPr>
          <w:rFonts w:eastAsia="Arial" w:cs="Arial"/>
          <w:b w:val="0"/>
        </w:rPr>
      </w:pPr>
      <w:r w:rsidRPr="00052BC4">
        <w:rPr>
          <w:rFonts w:eastAsia="Arial" w:cs="Arial"/>
          <w:b w:val="0"/>
        </w:rPr>
        <w:t xml:space="preserve">All travel costs shall be reimbursed at rates not to exceed those established for the State of California’s non-represented employees, computed in accordance with and allowable pursuant to applicable California Department of Human Resources </w:t>
      </w:r>
      <w:r w:rsidR="00E2065E" w:rsidRPr="00052BC4">
        <w:rPr>
          <w:rFonts w:eastAsia="Arial" w:cs="Arial"/>
          <w:b w:val="0"/>
        </w:rPr>
        <w:t xml:space="preserve">(Cal HR) </w:t>
      </w:r>
      <w:r w:rsidRPr="00052BC4">
        <w:rPr>
          <w:rFonts w:eastAsia="Arial" w:cs="Arial"/>
          <w:b w:val="0"/>
        </w:rPr>
        <w:lastRenderedPageBreak/>
        <w:t>regulations</w:t>
      </w:r>
      <w:r w:rsidR="00E2065E" w:rsidRPr="00052BC4">
        <w:rPr>
          <w:rFonts w:eastAsia="Arial" w:cs="Arial"/>
          <w:b w:val="0"/>
        </w:rPr>
        <w:t xml:space="preserve"> as specified on the CalHR website. </w:t>
      </w:r>
    </w:p>
    <w:p w14:paraId="61393204" w14:textId="372D3896" w:rsidR="00FB77FF" w:rsidRPr="00052BC4" w:rsidRDefault="00FB77FF" w:rsidP="003422D6">
      <w:pPr>
        <w:pStyle w:val="Heading3"/>
        <w:rPr>
          <w:rFonts w:eastAsia="Arial"/>
        </w:rPr>
      </w:pPr>
      <w:bookmarkStart w:id="5" w:name="_Toc402193873"/>
      <w:bookmarkStart w:id="6" w:name="_Toc402205383"/>
      <w:r w:rsidRPr="00052BC4">
        <w:rPr>
          <w:rFonts w:eastAsia="Arial"/>
        </w:rPr>
        <w:t>Prior Approval of Out-of-State Travel</w:t>
      </w:r>
    </w:p>
    <w:p w14:paraId="6A40B87D" w14:textId="185F7DA1" w:rsidR="00FB77FF" w:rsidRPr="00052BC4" w:rsidRDefault="00FB77FF" w:rsidP="00A55F60">
      <w:pPr>
        <w:widowControl w:val="0"/>
        <w:autoSpaceDE w:val="0"/>
        <w:autoSpaceDN w:val="0"/>
        <w:spacing w:after="240"/>
        <w:rPr>
          <w:rFonts w:eastAsia="Arial" w:cs="Arial"/>
          <w:b w:val="0"/>
        </w:rPr>
      </w:pPr>
      <w:r w:rsidRPr="00052BC4">
        <w:rPr>
          <w:rFonts w:eastAsia="Arial" w:cs="Arial"/>
          <w:b w:val="0"/>
        </w:rPr>
        <w:t xml:space="preserve">All out-of-state travel by the contractor or subcontractor(s) for purposes of this </w:t>
      </w:r>
      <w:r w:rsidR="00BB34DE" w:rsidRPr="00052BC4">
        <w:rPr>
          <w:rFonts w:eastAsia="Arial" w:cs="Arial"/>
          <w:b w:val="0"/>
        </w:rPr>
        <w:t>Agreement</w:t>
      </w:r>
      <w:r w:rsidRPr="00052BC4">
        <w:rPr>
          <w:rFonts w:eastAsia="Arial" w:cs="Arial"/>
          <w:b w:val="0"/>
        </w:rPr>
        <w:t xml:space="preserve"> is subject to prior written approval by the CDE </w:t>
      </w:r>
      <w:r w:rsidR="00E2065E" w:rsidRPr="00052BC4">
        <w:rPr>
          <w:rFonts w:eastAsia="Arial" w:cs="Arial"/>
          <w:b w:val="0"/>
        </w:rPr>
        <w:t xml:space="preserve">Contract </w:t>
      </w:r>
      <w:r w:rsidRPr="00052BC4">
        <w:rPr>
          <w:rFonts w:eastAsia="Arial" w:cs="Arial"/>
          <w:b w:val="0"/>
        </w:rPr>
        <w:t xml:space="preserve">Monitor specified in this </w:t>
      </w:r>
      <w:r w:rsidR="00030044" w:rsidRPr="00052BC4">
        <w:rPr>
          <w:rFonts w:eastAsia="Arial" w:cs="Arial"/>
          <w:b w:val="0"/>
        </w:rPr>
        <w:t>Agreement</w:t>
      </w:r>
      <w:r w:rsidRPr="00052BC4">
        <w:rPr>
          <w:rFonts w:eastAsia="Arial" w:cs="Arial"/>
          <w:b w:val="0"/>
        </w:rPr>
        <w:t>.</w:t>
      </w:r>
    </w:p>
    <w:p w14:paraId="4FF288F9" w14:textId="5CE09900" w:rsidR="00FB77FF" w:rsidRPr="00052BC4" w:rsidRDefault="00FB77FF" w:rsidP="003422D6">
      <w:pPr>
        <w:pStyle w:val="Heading3"/>
        <w:rPr>
          <w:rFonts w:eastAsia="Arial"/>
        </w:rPr>
      </w:pPr>
      <w:r w:rsidRPr="00052BC4">
        <w:rPr>
          <w:rFonts w:eastAsia="Arial"/>
        </w:rPr>
        <w:t>Excise Tax</w:t>
      </w:r>
      <w:bookmarkEnd w:id="5"/>
      <w:bookmarkEnd w:id="6"/>
    </w:p>
    <w:p w14:paraId="267D9213" w14:textId="77777777" w:rsidR="00FB77FF" w:rsidRPr="00052BC4" w:rsidRDefault="00FB77FF" w:rsidP="00A55F60">
      <w:pPr>
        <w:widowControl w:val="0"/>
        <w:autoSpaceDE w:val="0"/>
        <w:autoSpaceDN w:val="0"/>
        <w:spacing w:after="240"/>
        <w:rPr>
          <w:rFonts w:eastAsia="Arial" w:cs="Arial"/>
          <w:b w:val="0"/>
        </w:rPr>
      </w:pPr>
      <w:r w:rsidRPr="00052BC4">
        <w:rPr>
          <w:rFonts w:eastAsia="Arial" w:cs="Arial"/>
          <w:b w:val="0"/>
        </w:rPr>
        <w:t>The State of California is exempt from federal excise taxes, and no payment will be made for any taxes levied on employees’ wages. California may pay any applicable sales and use tax imposed by another state.</w:t>
      </w:r>
    </w:p>
    <w:p w14:paraId="3A599FAB" w14:textId="17A07DD6" w:rsidR="00FB77FF" w:rsidRPr="00052BC4" w:rsidRDefault="00FB77FF" w:rsidP="003422D6">
      <w:pPr>
        <w:pStyle w:val="Heading3"/>
        <w:rPr>
          <w:rFonts w:eastAsia="Arial"/>
        </w:rPr>
      </w:pPr>
      <w:bookmarkStart w:id="7" w:name="_Toc402193874"/>
      <w:bookmarkStart w:id="8" w:name="_Toc402205384"/>
      <w:r w:rsidRPr="00052BC4">
        <w:rPr>
          <w:rFonts w:eastAsia="Arial"/>
        </w:rPr>
        <w:t>Budget Adjustments</w:t>
      </w:r>
      <w:bookmarkEnd w:id="7"/>
      <w:bookmarkEnd w:id="8"/>
    </w:p>
    <w:p w14:paraId="1B4F48E0" w14:textId="3A037E52" w:rsidR="00FB77FF" w:rsidRPr="00052BC4" w:rsidRDefault="00FB77FF" w:rsidP="00FB77FF">
      <w:pPr>
        <w:widowControl w:val="0"/>
        <w:autoSpaceDE w:val="0"/>
        <w:autoSpaceDN w:val="0"/>
        <w:spacing w:after="240"/>
        <w:rPr>
          <w:rFonts w:eastAsia="Arial" w:cs="Arial"/>
          <w:b w:val="0"/>
        </w:rPr>
      </w:pPr>
      <w:r w:rsidRPr="00052BC4">
        <w:rPr>
          <w:rFonts w:eastAsia="Arial" w:cs="Arial"/>
          <w:b w:val="0"/>
        </w:rPr>
        <w:t xml:space="preserve">Per </w:t>
      </w:r>
      <w:r w:rsidRPr="00052BC4">
        <w:rPr>
          <w:rFonts w:eastAsia="Arial" w:cs="Arial"/>
          <w:b w:val="0"/>
          <w:i/>
          <w:iCs/>
        </w:rPr>
        <w:t xml:space="preserve">EC </w:t>
      </w:r>
      <w:r w:rsidRPr="00052BC4">
        <w:rPr>
          <w:rFonts w:eastAsia="Arial" w:cs="Arial"/>
          <w:b w:val="0"/>
        </w:rPr>
        <w:t xml:space="preserve">Section 60643, the CDE, in consultation with the SBE, may make material amendments to the </w:t>
      </w:r>
      <w:r w:rsidR="00030044" w:rsidRPr="00052BC4">
        <w:rPr>
          <w:rFonts w:eastAsia="Arial" w:cs="Arial"/>
          <w:b w:val="0"/>
        </w:rPr>
        <w:t>Agreement</w:t>
      </w:r>
      <w:r w:rsidRPr="00052BC4">
        <w:rPr>
          <w:rFonts w:eastAsia="Arial" w:cs="Arial"/>
          <w:b w:val="0"/>
        </w:rPr>
        <w:t xml:space="preserve"> that do not increase the </w:t>
      </w:r>
      <w:r w:rsidR="00030044" w:rsidRPr="00052BC4">
        <w:rPr>
          <w:rFonts w:eastAsia="Arial" w:cs="Arial"/>
          <w:b w:val="0"/>
        </w:rPr>
        <w:t>Agreement</w:t>
      </w:r>
      <w:r w:rsidRPr="00052BC4">
        <w:rPr>
          <w:rFonts w:eastAsia="Arial" w:cs="Arial"/>
          <w:b w:val="0"/>
        </w:rPr>
        <w:t xml:space="preserve"> cost. </w:t>
      </w:r>
      <w:r w:rsidR="00030044" w:rsidRPr="00052BC4">
        <w:rPr>
          <w:rFonts w:eastAsia="Arial" w:cs="Arial"/>
          <w:b w:val="0"/>
        </w:rPr>
        <w:t>Agreement</w:t>
      </w:r>
      <w:r w:rsidRPr="00052BC4">
        <w:rPr>
          <w:rFonts w:eastAsia="Arial" w:cs="Arial"/>
          <w:b w:val="0"/>
        </w:rPr>
        <w:t xml:space="preserve"> amendments that increase </w:t>
      </w:r>
      <w:r w:rsidR="00030044" w:rsidRPr="00052BC4">
        <w:rPr>
          <w:rFonts w:eastAsia="Arial" w:cs="Arial"/>
          <w:b w:val="0"/>
        </w:rPr>
        <w:t>Agreement</w:t>
      </w:r>
      <w:r w:rsidRPr="00052BC4">
        <w:rPr>
          <w:rFonts w:eastAsia="Arial" w:cs="Arial"/>
          <w:b w:val="0"/>
        </w:rPr>
        <w:t xml:space="preserve"> costs may only be made with the approval of the CDE, the SBE, and the Department of Finance.</w:t>
      </w:r>
    </w:p>
    <w:p w14:paraId="4654A5B0" w14:textId="77DAE6C7" w:rsidR="006376CD" w:rsidRPr="00052BC4" w:rsidRDefault="006376CD" w:rsidP="003422D6">
      <w:pPr>
        <w:pStyle w:val="Heading3"/>
        <w:rPr>
          <w:rFonts w:eastAsia="Arial"/>
        </w:rPr>
      </w:pPr>
      <w:r w:rsidRPr="43635512">
        <w:rPr>
          <w:rFonts w:eastAsia="Arial"/>
        </w:rPr>
        <w:t>Liquidated Damages</w:t>
      </w:r>
    </w:p>
    <w:p w14:paraId="3DB04092" w14:textId="769688B3" w:rsidR="006376CD" w:rsidRPr="00052BC4" w:rsidRDefault="00E2065E" w:rsidP="43635512">
      <w:pPr>
        <w:widowControl w:val="0"/>
        <w:autoSpaceDE w:val="0"/>
        <w:autoSpaceDN w:val="0"/>
        <w:spacing w:after="240"/>
        <w:rPr>
          <w:rFonts w:eastAsia="Arial" w:cs="Arial"/>
          <w:b w:val="0"/>
        </w:rPr>
      </w:pPr>
      <w:r w:rsidRPr="43635512">
        <w:rPr>
          <w:rFonts w:cs="Arial"/>
          <w:b w:val="0"/>
          <w:color w:val="201F1E"/>
        </w:rPr>
        <w:t>The Contractor shall pay liquidated damages in the amount of up to 10 percent of the total cost of the Agreement for any component task per test administration that the contractor through its own fault or that of its subcontractors fails to substantially perform by the date specified in the Agreement</w:t>
      </w:r>
      <w:r w:rsidR="006376CD" w:rsidRPr="00052BC4">
        <w:rPr>
          <w:rFonts w:cs="Arial"/>
          <w:b w:val="0"/>
          <w:color w:val="201F1E"/>
          <w:bdr w:val="none" w:sz="0" w:space="0" w:color="auto" w:frame="1"/>
          <w:shd w:val="clear" w:color="auto" w:fill="FFFFFF"/>
        </w:rPr>
        <w:t>.</w:t>
      </w:r>
    </w:p>
    <w:p w14:paraId="4BAB867A" w14:textId="66374336" w:rsidR="00FB77FF" w:rsidRPr="00052BC4" w:rsidRDefault="00FB77FF" w:rsidP="003422D6">
      <w:pPr>
        <w:pStyle w:val="Heading3"/>
        <w:rPr>
          <w:rFonts w:eastAsia="Arial"/>
        </w:rPr>
      </w:pPr>
      <w:bookmarkStart w:id="9" w:name="_Toc402193875"/>
      <w:bookmarkStart w:id="10" w:name="_Toc402205385"/>
      <w:r w:rsidRPr="00052BC4">
        <w:rPr>
          <w:rFonts w:eastAsia="Arial"/>
        </w:rPr>
        <w:t>Prompt Payment Clause</w:t>
      </w:r>
      <w:bookmarkEnd w:id="9"/>
      <w:bookmarkEnd w:id="10"/>
    </w:p>
    <w:p w14:paraId="0E52CCA4" w14:textId="77777777" w:rsidR="00FB77FF" w:rsidRPr="00052BC4" w:rsidRDefault="00FB77FF" w:rsidP="00FB77FF">
      <w:pPr>
        <w:widowControl w:val="0"/>
        <w:autoSpaceDE w:val="0"/>
        <w:autoSpaceDN w:val="0"/>
        <w:spacing w:after="240"/>
        <w:jc w:val="both"/>
        <w:rPr>
          <w:rFonts w:eastAsia="Arial" w:cs="Arial"/>
          <w:b w:val="0"/>
        </w:rPr>
      </w:pPr>
      <w:r w:rsidRPr="00052BC4">
        <w:rPr>
          <w:rFonts w:eastAsia="Arial" w:cs="Arial"/>
          <w:b w:val="0"/>
        </w:rPr>
        <w:t>Payment will be made in accordance with, and within the time specified in Government Code (GC), Chapter 4.5, commencing with Section 927.</w:t>
      </w:r>
    </w:p>
    <w:p w14:paraId="19816CA6" w14:textId="3A5C7F15" w:rsidR="00FB77FF" w:rsidRPr="00052BC4" w:rsidRDefault="00FB77FF" w:rsidP="003422D6">
      <w:pPr>
        <w:pStyle w:val="Heading3"/>
        <w:rPr>
          <w:rFonts w:eastAsia="Arial"/>
        </w:rPr>
      </w:pPr>
      <w:bookmarkStart w:id="11" w:name="_Toc402193876"/>
      <w:bookmarkStart w:id="12" w:name="_Toc402205386"/>
      <w:r w:rsidRPr="00052BC4">
        <w:rPr>
          <w:rFonts w:eastAsia="Arial"/>
        </w:rPr>
        <w:t>Payment Withhold for Separate and Distinct Tasks</w:t>
      </w:r>
      <w:bookmarkEnd w:id="11"/>
      <w:bookmarkEnd w:id="12"/>
    </w:p>
    <w:p w14:paraId="1531D135" w14:textId="045BA756" w:rsidR="00FB77FF" w:rsidRPr="00052BC4" w:rsidRDefault="00FB77FF" w:rsidP="00FB77FF">
      <w:pPr>
        <w:widowControl w:val="0"/>
        <w:autoSpaceDE w:val="0"/>
        <w:autoSpaceDN w:val="0"/>
        <w:rPr>
          <w:rFonts w:eastAsia="Arial" w:cs="Arial"/>
          <w:b w:val="0"/>
          <w:color w:val="000000" w:themeColor="text1"/>
        </w:rPr>
      </w:pPr>
      <w:r w:rsidRPr="00052BC4">
        <w:rPr>
          <w:rFonts w:eastAsia="Arial" w:cs="Arial"/>
          <w:b w:val="0"/>
          <w:color w:val="000000" w:themeColor="text1"/>
        </w:rPr>
        <w:t xml:space="preserve">In accordance with </w:t>
      </w:r>
      <w:r w:rsidRPr="00052BC4">
        <w:rPr>
          <w:rFonts w:eastAsia="Arial" w:cs="Arial"/>
          <w:b w:val="0"/>
          <w:i/>
          <w:iCs/>
          <w:color w:val="000000" w:themeColor="text1"/>
        </w:rPr>
        <w:t>EC</w:t>
      </w:r>
      <w:r w:rsidRPr="00052BC4">
        <w:rPr>
          <w:rFonts w:eastAsia="Arial" w:cs="Arial"/>
          <w:b w:val="0"/>
          <w:color w:val="000000" w:themeColor="text1"/>
        </w:rPr>
        <w:t xml:space="preserve"> 60643</w:t>
      </w:r>
      <w:r w:rsidR="315F0080" w:rsidRPr="00052BC4">
        <w:rPr>
          <w:rFonts w:eastAsia="Arial" w:cs="Arial"/>
          <w:b w:val="0"/>
          <w:color w:val="000000" w:themeColor="text1"/>
        </w:rPr>
        <w:t xml:space="preserve"> and 60810</w:t>
      </w:r>
      <w:r w:rsidRPr="00052BC4">
        <w:rPr>
          <w:rFonts w:eastAsia="Arial" w:cs="Arial"/>
          <w:b w:val="0"/>
          <w:color w:val="000000" w:themeColor="text1"/>
        </w:rPr>
        <w:t xml:space="preserve">, the CAASPP and ELPAC </w:t>
      </w:r>
      <w:r w:rsidR="00BD46EA" w:rsidRPr="00052BC4">
        <w:rPr>
          <w:rFonts w:eastAsia="Arial" w:cs="Arial"/>
          <w:b w:val="0"/>
          <w:color w:val="000000" w:themeColor="text1"/>
        </w:rPr>
        <w:t>Agreement</w:t>
      </w:r>
      <w:r w:rsidRPr="00052BC4">
        <w:rPr>
          <w:rFonts w:eastAsia="Arial" w:cs="Arial"/>
          <w:b w:val="0"/>
          <w:color w:val="000000" w:themeColor="text1"/>
        </w:rPr>
        <w:t xml:space="preserve"> shall include a payment withhold for separate and distinct component tasks for work performed or costs incurred to be made to the contractor(s) in the performance of the </w:t>
      </w:r>
      <w:r w:rsidR="00BD46EA" w:rsidRPr="00052BC4">
        <w:rPr>
          <w:rFonts w:eastAsia="Arial" w:cs="Arial"/>
          <w:b w:val="0"/>
          <w:color w:val="000000" w:themeColor="text1"/>
        </w:rPr>
        <w:t>Agreement</w:t>
      </w:r>
      <w:r w:rsidRPr="00052BC4">
        <w:rPr>
          <w:rFonts w:eastAsia="Arial" w:cs="Arial"/>
          <w:b w:val="0"/>
          <w:color w:val="000000" w:themeColor="text1"/>
        </w:rPr>
        <w:t>.</w:t>
      </w:r>
    </w:p>
    <w:p w14:paraId="5A924C24" w14:textId="77777777" w:rsidR="00E2065E" w:rsidRPr="00052BC4" w:rsidRDefault="00E2065E" w:rsidP="00FB77FF">
      <w:pPr>
        <w:widowControl w:val="0"/>
        <w:autoSpaceDE w:val="0"/>
        <w:autoSpaceDN w:val="0"/>
        <w:rPr>
          <w:rFonts w:eastAsia="Arial" w:cs="Arial"/>
          <w:b w:val="0"/>
          <w:color w:val="000000"/>
        </w:rPr>
      </w:pPr>
    </w:p>
    <w:p w14:paraId="33339ADF" w14:textId="7A223B4C" w:rsidR="00FB77FF" w:rsidRPr="00052BC4" w:rsidRDefault="00FB77FF" w:rsidP="00FB77FF">
      <w:pPr>
        <w:widowControl w:val="0"/>
        <w:autoSpaceDE w:val="0"/>
        <w:autoSpaceDN w:val="0"/>
        <w:rPr>
          <w:rFonts w:eastAsia="Arial" w:cs="Arial"/>
          <w:b w:val="0"/>
          <w:color w:val="000000" w:themeColor="text1"/>
        </w:rPr>
      </w:pPr>
      <w:r w:rsidRPr="43635512">
        <w:rPr>
          <w:rFonts w:eastAsia="Arial" w:cs="Arial"/>
          <w:b w:val="0"/>
          <w:color w:val="000000" w:themeColor="text1"/>
        </w:rPr>
        <w:t>The CDE shall withhold 10 percent of each payment for each separate and distinct component task. Funds withheld for each separate and distinct Task will be withheld pending final completion of all component tasks by the Contractor for each test administration and will be paid upon satisfactory performance of each component task as determined by the SBE as described in Article X</w:t>
      </w:r>
      <w:r w:rsidR="00BD7713" w:rsidRPr="43635512">
        <w:rPr>
          <w:rFonts w:eastAsia="Arial" w:cs="Arial"/>
          <w:b w:val="0"/>
          <w:color w:val="000000" w:themeColor="text1"/>
        </w:rPr>
        <w:t>.</w:t>
      </w:r>
      <w:r w:rsidRPr="43635512">
        <w:rPr>
          <w:rFonts w:eastAsia="Arial" w:cs="Arial"/>
          <w:b w:val="0"/>
          <w:color w:val="000000" w:themeColor="text1"/>
        </w:rPr>
        <w:t xml:space="preserve"> Process for Release of Payment and Withhold. Those annual activities that are completed and repeated in their entirety each year shall be considered separate and distinct tasks that are to be paid following </w:t>
      </w:r>
      <w:r w:rsidRPr="43635512">
        <w:rPr>
          <w:rFonts w:eastAsia="Arial" w:cs="Arial"/>
          <w:b w:val="0"/>
          <w:color w:val="000000" w:themeColor="text1"/>
        </w:rPr>
        <w:lastRenderedPageBreak/>
        <w:t xml:space="preserve">satisfactory completion in each year of the </w:t>
      </w:r>
      <w:r w:rsidR="00BD46EA" w:rsidRPr="43635512">
        <w:rPr>
          <w:rFonts w:eastAsia="Arial" w:cs="Arial"/>
          <w:b w:val="0"/>
          <w:color w:val="000000" w:themeColor="text1"/>
        </w:rPr>
        <w:t>Agreement</w:t>
      </w:r>
      <w:r w:rsidRPr="43635512">
        <w:rPr>
          <w:rFonts w:eastAsia="Arial" w:cs="Arial"/>
          <w:b w:val="0"/>
          <w:color w:val="000000" w:themeColor="text1"/>
        </w:rPr>
        <w:t>.</w:t>
      </w:r>
    </w:p>
    <w:p w14:paraId="102DC981" w14:textId="77777777" w:rsidR="00BD7713" w:rsidRPr="00052BC4" w:rsidRDefault="00BD7713" w:rsidP="00FB77FF">
      <w:pPr>
        <w:widowControl w:val="0"/>
        <w:autoSpaceDE w:val="0"/>
        <w:autoSpaceDN w:val="0"/>
        <w:rPr>
          <w:rFonts w:eastAsia="Arial" w:cs="Arial"/>
          <w:b w:val="0"/>
          <w:color w:val="000000" w:themeColor="text1"/>
        </w:rPr>
      </w:pPr>
    </w:p>
    <w:p w14:paraId="5DC934D4" w14:textId="12DD0710" w:rsidR="00FB77FF" w:rsidRPr="00052BC4" w:rsidRDefault="00FB77FF" w:rsidP="00A55F60">
      <w:pPr>
        <w:widowControl w:val="0"/>
        <w:autoSpaceDE w:val="0"/>
        <w:autoSpaceDN w:val="0"/>
        <w:spacing w:after="240"/>
        <w:rPr>
          <w:rFonts w:eastAsia="Arial" w:cs="Arial"/>
          <w:b w:val="0"/>
          <w:color w:val="000000" w:themeColor="text1"/>
        </w:rPr>
      </w:pPr>
      <w:r w:rsidRPr="00052BC4">
        <w:rPr>
          <w:rFonts w:eastAsia="Arial" w:cs="Arial"/>
          <w:b w:val="0"/>
          <w:color w:val="000000" w:themeColor="text1"/>
        </w:rPr>
        <w:t>Final Payment is not a progress payment and is not subject to the 10 percent withholding.</w:t>
      </w:r>
    </w:p>
    <w:p w14:paraId="0AFC7E5D" w14:textId="7E6F3B8A" w:rsidR="00FB77FF" w:rsidRPr="00052BC4" w:rsidRDefault="00FB77FF" w:rsidP="003422D6">
      <w:pPr>
        <w:pStyle w:val="Heading3"/>
        <w:rPr>
          <w:rFonts w:eastAsia="Arial"/>
        </w:rPr>
      </w:pPr>
      <w:r w:rsidRPr="00052BC4">
        <w:rPr>
          <w:rFonts w:eastAsia="Arial"/>
        </w:rPr>
        <w:t>Process for Release of Payment and Withhold:</w:t>
      </w:r>
    </w:p>
    <w:p w14:paraId="138864FE" w14:textId="77777777" w:rsidR="00FB77FF" w:rsidRPr="00052BC4" w:rsidRDefault="00FB77FF" w:rsidP="00A55F60">
      <w:pPr>
        <w:widowControl w:val="0"/>
        <w:autoSpaceDE w:val="0"/>
        <w:autoSpaceDN w:val="0"/>
        <w:spacing w:after="240"/>
        <w:rPr>
          <w:rFonts w:eastAsia="Arial" w:cs="Arial"/>
          <w:b w:val="0"/>
          <w:bCs/>
        </w:rPr>
      </w:pPr>
      <w:r w:rsidRPr="00052BC4">
        <w:rPr>
          <w:rFonts w:eastAsia="Arial" w:cs="Arial"/>
          <w:b w:val="0"/>
          <w:color w:val="000000" w:themeColor="text1"/>
        </w:rPr>
        <w:t xml:space="preserve">Pursuant to EC 60643, the </w:t>
      </w:r>
      <w:r w:rsidRPr="00052BC4">
        <w:rPr>
          <w:rFonts w:eastAsia="Arial" w:cs="Arial"/>
          <w:b w:val="0"/>
          <w:bCs/>
        </w:rPr>
        <w:t>following establishes the process and criteria by which the successful completion of each component task shall be recommended by the CDE and approved by the SBE.</w:t>
      </w:r>
    </w:p>
    <w:p w14:paraId="72972861" w14:textId="77777777" w:rsidR="00FB77FF" w:rsidRPr="00052BC4" w:rsidRDefault="00FB77FF" w:rsidP="00A55F60">
      <w:pPr>
        <w:widowControl w:val="0"/>
        <w:autoSpaceDE w:val="0"/>
        <w:autoSpaceDN w:val="0"/>
        <w:spacing w:after="240"/>
        <w:ind w:left="720"/>
        <w:rPr>
          <w:rFonts w:eastAsia="Arial" w:cs="Arial"/>
          <w:b w:val="0"/>
          <w:bCs/>
        </w:rPr>
      </w:pPr>
      <w:r w:rsidRPr="00052BC4">
        <w:rPr>
          <w:rFonts w:eastAsia="Arial" w:cs="Arial"/>
          <w:b w:val="0"/>
          <w:bCs/>
        </w:rPr>
        <w:t>1. Process</w:t>
      </w:r>
    </w:p>
    <w:p w14:paraId="2BF515B7" w14:textId="77777777" w:rsidR="00FB77FF" w:rsidRPr="00052BC4" w:rsidRDefault="00FB77FF" w:rsidP="00FB77FF">
      <w:pPr>
        <w:widowControl w:val="0"/>
        <w:numPr>
          <w:ilvl w:val="0"/>
          <w:numId w:val="1"/>
        </w:numPr>
        <w:autoSpaceDE w:val="0"/>
        <w:autoSpaceDN w:val="0"/>
        <w:spacing w:after="240"/>
        <w:ind w:left="1440"/>
        <w:rPr>
          <w:rFonts w:eastAsia="Arial" w:cs="Arial"/>
          <w:b w:val="0"/>
        </w:rPr>
      </w:pPr>
      <w:r w:rsidRPr="00052BC4">
        <w:rPr>
          <w:rFonts w:eastAsia="Arial" w:cs="Arial"/>
          <w:b w:val="0"/>
        </w:rPr>
        <w:t>SBE Determination: During the term of the Agreement, based on the criteria set forth below, the SBE will consider at its November Board Meeting, or the next meeting thereafter if a November meeting is not held, whether the contractor has successfully completed each component task for the prior fiscal year. If the SBE determines the contractor has not successfully completed each component task for the prior fiscal year, it shall, within ten business days of its determination, notify the contractor and the CDE in writing which component tasks the SBE has determined that the contractor has failed to successfully complete. The contractor shall have ten days from receipt of the notice to respond in writing, and the response shall be promptly delivered to the CDE Contract Monitor.</w:t>
      </w:r>
    </w:p>
    <w:p w14:paraId="744EC659" w14:textId="550E705D" w:rsidR="00FB77FF" w:rsidRPr="00052BC4" w:rsidRDefault="00FB77FF" w:rsidP="00A55F60">
      <w:pPr>
        <w:widowControl w:val="0"/>
        <w:autoSpaceDE w:val="0"/>
        <w:autoSpaceDN w:val="0"/>
        <w:spacing w:after="240"/>
        <w:ind w:left="1440"/>
        <w:rPr>
          <w:rFonts w:eastAsia="Arial" w:cs="Arial"/>
          <w:b w:val="0"/>
        </w:rPr>
      </w:pPr>
      <w:r w:rsidRPr="00052BC4">
        <w:rPr>
          <w:rFonts w:eastAsia="Arial" w:cs="Arial"/>
          <w:b w:val="0"/>
        </w:rPr>
        <w:t>If the contractor contests the decision of the SBE, the CDE and the contractor will have an opportunity to discuss the issues before the SBE at the following SBE meeting. The SBE will, at that subsequent meeting, make its final determination based on the criteria set forth below, as to whether the contractor has successfully completed each task or component of a task for the prior fiscal year and releases the withholding for those component tasks.</w:t>
      </w:r>
    </w:p>
    <w:p w14:paraId="0D1C3F5E" w14:textId="7E84E39A" w:rsidR="00FB77FF" w:rsidRPr="00052BC4" w:rsidRDefault="00FB77FF" w:rsidP="00FB77FF">
      <w:pPr>
        <w:widowControl w:val="0"/>
        <w:numPr>
          <w:ilvl w:val="0"/>
          <w:numId w:val="1"/>
        </w:numPr>
        <w:autoSpaceDE w:val="0"/>
        <w:autoSpaceDN w:val="0"/>
        <w:spacing w:after="240"/>
        <w:ind w:left="1440"/>
        <w:rPr>
          <w:rFonts w:eastAsia="Arial" w:cs="Arial"/>
          <w:b w:val="0"/>
        </w:rPr>
      </w:pPr>
      <w:r w:rsidRPr="00052BC4">
        <w:rPr>
          <w:rFonts w:eastAsia="Arial" w:cs="Arial"/>
          <w:b w:val="0"/>
        </w:rPr>
        <w:t>Release: Once the SBE has determined that the contractor has successfully completed a component task, the 10 percent withheld from invoices for the component task for the prior fiscal year may be released by the CDE. The contractor must submit an invoice to CDE for the withheld amounts for each component task which SBE authorized release. The contractor must identify the prior invoice from which the money was withheld and the applicable component task in its invoice for the released withholding.</w:t>
      </w:r>
    </w:p>
    <w:p w14:paraId="3D25A18C" w14:textId="67B35465" w:rsidR="00EB3BC1" w:rsidRPr="00EB3BC1" w:rsidRDefault="00FB77FF" w:rsidP="00EB3BC1">
      <w:pPr>
        <w:pStyle w:val="Heading3"/>
        <w:keepNext w:val="0"/>
        <w:keepLines w:val="0"/>
        <w:widowControl w:val="0"/>
        <w:numPr>
          <w:ilvl w:val="0"/>
          <w:numId w:val="0"/>
        </w:numPr>
        <w:autoSpaceDE w:val="0"/>
        <w:autoSpaceDN w:val="0"/>
        <w:ind w:left="360"/>
        <w:rPr>
          <w:rFonts w:eastAsia="Arial" w:cs="Arial"/>
          <w:b w:val="0"/>
        </w:rPr>
      </w:pPr>
      <w:r w:rsidRPr="43635512">
        <w:rPr>
          <w:rFonts w:eastAsia="Arial" w:cs="Arial"/>
          <w:b w:val="0"/>
        </w:rPr>
        <w:t xml:space="preserve">2.  Criteria: The criteria by which CDE will recommend and the SBE will determine successful completion of each component task for payment of the final 10 percent will be set forth </w:t>
      </w:r>
      <w:r w:rsidR="00F239C7" w:rsidRPr="43635512">
        <w:rPr>
          <w:rFonts w:eastAsia="Arial" w:cs="Arial"/>
          <w:b w:val="0"/>
        </w:rPr>
        <w:t>in Exhibit E</w:t>
      </w:r>
      <w:r w:rsidR="0094676E">
        <w:rPr>
          <w:rFonts w:eastAsia="Arial" w:cs="Arial"/>
          <w:b w:val="0"/>
        </w:rPr>
        <w:t>.</w:t>
      </w:r>
    </w:p>
    <w:sectPr w:rsidR="00EB3BC1" w:rsidRPr="00EB3BC1" w:rsidSect="00EB3BC1">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9562" w14:textId="77777777" w:rsidR="00F50295" w:rsidRDefault="00F50295" w:rsidP="0030660A">
      <w:r>
        <w:separator/>
      </w:r>
    </w:p>
  </w:endnote>
  <w:endnote w:type="continuationSeparator" w:id="0">
    <w:p w14:paraId="4DA77E6A" w14:textId="77777777" w:rsidR="00F50295" w:rsidRDefault="00F50295" w:rsidP="0030660A">
      <w:r>
        <w:continuationSeparator/>
      </w:r>
    </w:p>
  </w:endnote>
  <w:endnote w:type="continuationNotice" w:id="1">
    <w:p w14:paraId="5D8F8442" w14:textId="77777777" w:rsidR="00F50295" w:rsidRDefault="00F50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7B6F" w14:textId="311097FD" w:rsidR="003E58D9" w:rsidRPr="003E58D9" w:rsidRDefault="003E58D9" w:rsidP="003E58D9">
    <w:pPr>
      <w:pStyle w:val="Footer"/>
      <w:jc w:val="right"/>
      <w:rPr>
        <w:b w:val="0"/>
      </w:rPr>
    </w:pPr>
    <w:r w:rsidRPr="003E58D9">
      <w:rPr>
        <w:b w:val="0"/>
      </w:rPr>
      <w:t>10/15/2021 4:53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647B" w14:textId="77777777" w:rsidR="00F50295" w:rsidRDefault="00F50295" w:rsidP="0030660A">
      <w:r>
        <w:separator/>
      </w:r>
    </w:p>
  </w:footnote>
  <w:footnote w:type="continuationSeparator" w:id="0">
    <w:p w14:paraId="74DB9077" w14:textId="77777777" w:rsidR="00F50295" w:rsidRDefault="00F50295" w:rsidP="0030660A">
      <w:r>
        <w:continuationSeparator/>
      </w:r>
    </w:p>
  </w:footnote>
  <w:footnote w:type="continuationNotice" w:id="1">
    <w:p w14:paraId="50AEBB93" w14:textId="77777777" w:rsidR="00F50295" w:rsidRDefault="00F50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2D68" w14:textId="028C1AC2" w:rsidR="001B7282" w:rsidRPr="001B7282" w:rsidRDefault="00351538" w:rsidP="001B7282">
    <w:pPr>
      <w:pStyle w:val="Header"/>
      <w:rPr>
        <w:b w:val="0"/>
        <w:bCs/>
      </w:rPr>
    </w:pPr>
    <w:r w:rsidRPr="00D11620">
      <w:rPr>
        <w:i/>
        <w:iCs/>
        <w:color w:val="C00000"/>
      </w:rPr>
      <w:t>***DRAFT*** Exhibit B</w:t>
    </w:r>
    <w:r w:rsidR="001B7282">
      <w:tab/>
    </w:r>
    <w:r w:rsidR="001B7282">
      <w:tab/>
    </w:r>
    <w:r w:rsidR="001B7282" w:rsidRPr="001B7282">
      <w:rPr>
        <w:b w:val="0"/>
        <w:bCs/>
      </w:rPr>
      <w:t>im</w:t>
    </w:r>
    <w:r w:rsidR="001B7282">
      <w:rPr>
        <w:b w:val="0"/>
        <w:bCs/>
      </w:rPr>
      <w:t>a</w:t>
    </w:r>
    <w:r w:rsidR="001B7282" w:rsidRPr="001B7282">
      <w:rPr>
        <w:b w:val="0"/>
        <w:bCs/>
      </w:rPr>
      <w:t>b-adad-nov21item</w:t>
    </w:r>
    <w:r w:rsidR="00A34078">
      <w:rPr>
        <w:b w:val="0"/>
        <w:bCs/>
      </w:rPr>
      <w:t>0</w:t>
    </w:r>
    <w:r w:rsidR="0001551E">
      <w:rPr>
        <w:b w:val="0"/>
      </w:rPr>
      <w:t>1a06</w:t>
    </w:r>
  </w:p>
  <w:p w14:paraId="280DD73C" w14:textId="7F782CC9" w:rsidR="001B7282" w:rsidRPr="001B7282" w:rsidRDefault="00351538" w:rsidP="001B7282">
    <w:pPr>
      <w:pStyle w:val="Header"/>
      <w:rPr>
        <w:b w:val="0"/>
        <w:bCs/>
      </w:rPr>
    </w:pPr>
    <w:r w:rsidRPr="001843C8">
      <w:rPr>
        <w:i/>
        <w:iCs/>
        <w:color w:val="C00000"/>
      </w:rPr>
      <w:t>California Assessment System #CN220002</w:t>
    </w:r>
    <w:r w:rsidR="001B7282" w:rsidRPr="001B7282">
      <w:rPr>
        <w:b w:val="0"/>
        <w:bCs/>
      </w:rPr>
      <w:tab/>
      <w:t xml:space="preserve">Attachment </w:t>
    </w:r>
    <w:r w:rsidR="00FB1FFF">
      <w:rPr>
        <w:b w:val="0"/>
        <w:bCs/>
      </w:rPr>
      <w:t>6</w:t>
    </w:r>
  </w:p>
  <w:p w14:paraId="63D7593D" w14:textId="692F6DFC" w:rsidR="0030660A" w:rsidRDefault="001B7282" w:rsidP="001B7282">
    <w:pPr>
      <w:pStyle w:val="Header"/>
      <w:rPr>
        <w:b w:val="0"/>
        <w:bCs/>
      </w:rPr>
    </w:pPr>
    <w:r w:rsidRPr="001B7282">
      <w:rPr>
        <w:b w:val="0"/>
        <w:bCs/>
      </w:rPr>
      <w:tab/>
    </w:r>
    <w:r w:rsidRPr="001B7282">
      <w:rPr>
        <w:b w:val="0"/>
        <w:bCs/>
      </w:rPr>
      <w:tab/>
      <w:t xml:space="preserve">Page </w:t>
    </w:r>
    <w:r w:rsidR="00D11620" w:rsidRPr="00D11620">
      <w:rPr>
        <w:b w:val="0"/>
        <w:bCs/>
      </w:rPr>
      <w:fldChar w:fldCharType="begin"/>
    </w:r>
    <w:r w:rsidR="00D11620" w:rsidRPr="00D11620">
      <w:rPr>
        <w:b w:val="0"/>
        <w:bCs/>
      </w:rPr>
      <w:instrText xml:space="preserve"> PAGE   \* MERGEFORMAT </w:instrText>
    </w:r>
    <w:r w:rsidR="00D11620" w:rsidRPr="00D11620">
      <w:rPr>
        <w:b w:val="0"/>
        <w:bCs/>
      </w:rPr>
      <w:fldChar w:fldCharType="separate"/>
    </w:r>
    <w:r w:rsidR="00D11620" w:rsidRPr="00D11620">
      <w:rPr>
        <w:b w:val="0"/>
        <w:bCs/>
        <w:noProof/>
      </w:rPr>
      <w:t>1</w:t>
    </w:r>
    <w:r w:rsidR="00D11620" w:rsidRPr="00D11620">
      <w:rPr>
        <w:b w:val="0"/>
        <w:bCs/>
        <w:noProof/>
      </w:rPr>
      <w:fldChar w:fldCharType="end"/>
    </w:r>
    <w:r w:rsidRPr="001B7282">
      <w:rPr>
        <w:b w:val="0"/>
        <w:bCs/>
      </w:rPr>
      <w:t xml:space="preserve"> of </w:t>
    </w:r>
    <w:r w:rsidR="00D11620">
      <w:rPr>
        <w:b w:val="0"/>
        <w:bCs/>
      </w:rPr>
      <w:fldChar w:fldCharType="begin"/>
    </w:r>
    <w:r w:rsidR="00D11620">
      <w:rPr>
        <w:b w:val="0"/>
        <w:bCs/>
      </w:rPr>
      <w:instrText xml:space="preserve"> NUMPAGES   \* MERGEFORMAT </w:instrText>
    </w:r>
    <w:r w:rsidR="00D11620">
      <w:rPr>
        <w:b w:val="0"/>
        <w:bCs/>
      </w:rPr>
      <w:fldChar w:fldCharType="separate"/>
    </w:r>
    <w:r w:rsidR="00D11620">
      <w:rPr>
        <w:b w:val="0"/>
        <w:bCs/>
        <w:noProof/>
      </w:rPr>
      <w:t>4</w:t>
    </w:r>
    <w:r w:rsidR="00D11620">
      <w:rPr>
        <w:b w:val="0"/>
        <w:bCs/>
      </w:rPr>
      <w:fldChar w:fldCharType="end"/>
    </w:r>
  </w:p>
  <w:p w14:paraId="4D94EBEA" w14:textId="77777777" w:rsidR="001B7282" w:rsidRPr="001B7282" w:rsidRDefault="001B7282" w:rsidP="001B7282">
    <w:pPr>
      <w:pStyle w:val="Heade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0BE4"/>
    <w:multiLevelType w:val="hybridMultilevel"/>
    <w:tmpl w:val="BCFEDD9A"/>
    <w:lvl w:ilvl="0" w:tplc="F098C1F2">
      <w:start w:val="1"/>
      <w:numFmt w:val="upperRoman"/>
      <w:pStyle w:val="Heading3"/>
      <w:lvlText w:val="%1."/>
      <w:lvlJc w:val="left"/>
      <w:pPr>
        <w:ind w:left="3330" w:hanging="360"/>
      </w:pPr>
      <w:rPr>
        <w:rFonts w:hint="default"/>
        <w14:numSpacing w14:val="proportional"/>
      </w:rPr>
    </w:lvl>
    <w:lvl w:ilvl="1" w:tplc="FD6483E2">
      <w:start w:val="1"/>
      <w:numFmt w:val="upperLetter"/>
      <w:lvlText w:val="%2."/>
      <w:lvlJc w:val="left"/>
      <w:pPr>
        <w:ind w:left="4410" w:hanging="360"/>
      </w:pPr>
      <w:rPr>
        <w:rFonts w:hint="default"/>
      </w:r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332D70AA"/>
    <w:multiLevelType w:val="hybridMultilevel"/>
    <w:tmpl w:val="EF623886"/>
    <w:lvl w:ilvl="0" w:tplc="04090015">
      <w:start w:val="1"/>
      <w:numFmt w:val="upperLetter"/>
      <w:lvlText w:val="%1."/>
      <w:lvlJc w:val="left"/>
      <w:pPr>
        <w:ind w:left="1080" w:hanging="360"/>
      </w:pPr>
    </w:lvl>
    <w:lvl w:ilvl="1" w:tplc="04090015">
      <w:start w:val="1"/>
      <w:numFmt w:val="upperLetter"/>
      <w:lvlText w:val="%2."/>
      <w:lvlJc w:val="left"/>
      <w:pPr>
        <w:ind w:left="27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5605E"/>
    <w:multiLevelType w:val="hybridMultilevel"/>
    <w:tmpl w:val="EEF48AD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1C135D"/>
    <w:multiLevelType w:val="hybridMultilevel"/>
    <w:tmpl w:val="39108E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6C833EDA"/>
    <w:multiLevelType w:val="hybridMultilevel"/>
    <w:tmpl w:val="DC428672"/>
    <w:lvl w:ilvl="0" w:tplc="44166AB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FF"/>
    <w:rsid w:val="0001551E"/>
    <w:rsid w:val="00022525"/>
    <w:rsid w:val="00030044"/>
    <w:rsid w:val="00037223"/>
    <w:rsid w:val="00043DE1"/>
    <w:rsid w:val="00052BC4"/>
    <w:rsid w:val="000760EF"/>
    <w:rsid w:val="000F4446"/>
    <w:rsid w:val="00132CA5"/>
    <w:rsid w:val="00144B25"/>
    <w:rsid w:val="001843C8"/>
    <w:rsid w:val="001B7282"/>
    <w:rsid w:val="001D113F"/>
    <w:rsid w:val="001D4285"/>
    <w:rsid w:val="001F1816"/>
    <w:rsid w:val="001F3C27"/>
    <w:rsid w:val="00273BEE"/>
    <w:rsid w:val="00287346"/>
    <w:rsid w:val="00291BBB"/>
    <w:rsid w:val="002B38C0"/>
    <w:rsid w:val="0030660A"/>
    <w:rsid w:val="003339E3"/>
    <w:rsid w:val="003422D6"/>
    <w:rsid w:val="00346284"/>
    <w:rsid w:val="003512AB"/>
    <w:rsid w:val="00351538"/>
    <w:rsid w:val="003636C0"/>
    <w:rsid w:val="003711EB"/>
    <w:rsid w:val="003722A7"/>
    <w:rsid w:val="003AD7C0"/>
    <w:rsid w:val="003E58D9"/>
    <w:rsid w:val="003F2A81"/>
    <w:rsid w:val="00425A81"/>
    <w:rsid w:val="00440A9B"/>
    <w:rsid w:val="00456259"/>
    <w:rsid w:val="004577E9"/>
    <w:rsid w:val="00464AAD"/>
    <w:rsid w:val="0049113B"/>
    <w:rsid w:val="004B0A94"/>
    <w:rsid w:val="004B4C7D"/>
    <w:rsid w:val="004D6AF9"/>
    <w:rsid w:val="00501324"/>
    <w:rsid w:val="00506AC1"/>
    <w:rsid w:val="005177A7"/>
    <w:rsid w:val="005531DC"/>
    <w:rsid w:val="00564119"/>
    <w:rsid w:val="00597735"/>
    <w:rsid w:val="005B418D"/>
    <w:rsid w:val="005D105D"/>
    <w:rsid w:val="005D1A11"/>
    <w:rsid w:val="005D1B4B"/>
    <w:rsid w:val="005E6CC2"/>
    <w:rsid w:val="005F1D4E"/>
    <w:rsid w:val="005F704F"/>
    <w:rsid w:val="00603516"/>
    <w:rsid w:val="00624386"/>
    <w:rsid w:val="006376CD"/>
    <w:rsid w:val="00642886"/>
    <w:rsid w:val="0064634F"/>
    <w:rsid w:val="006533D0"/>
    <w:rsid w:val="007325A7"/>
    <w:rsid w:val="00755596"/>
    <w:rsid w:val="0078527B"/>
    <w:rsid w:val="007C26DC"/>
    <w:rsid w:val="007E6DC1"/>
    <w:rsid w:val="008101BB"/>
    <w:rsid w:val="0087744D"/>
    <w:rsid w:val="008A29A8"/>
    <w:rsid w:val="008A799E"/>
    <w:rsid w:val="008E48BF"/>
    <w:rsid w:val="009045D7"/>
    <w:rsid w:val="00912C9E"/>
    <w:rsid w:val="0094676E"/>
    <w:rsid w:val="0096566B"/>
    <w:rsid w:val="0098106D"/>
    <w:rsid w:val="00A32D06"/>
    <w:rsid w:val="00A34078"/>
    <w:rsid w:val="00A55F60"/>
    <w:rsid w:val="00A907AA"/>
    <w:rsid w:val="00AA5118"/>
    <w:rsid w:val="00AC1FCE"/>
    <w:rsid w:val="00AC6689"/>
    <w:rsid w:val="00B35287"/>
    <w:rsid w:val="00B629D6"/>
    <w:rsid w:val="00B72A55"/>
    <w:rsid w:val="00B91D0E"/>
    <w:rsid w:val="00BA54FC"/>
    <w:rsid w:val="00BB34DE"/>
    <w:rsid w:val="00BB3DA3"/>
    <w:rsid w:val="00BC408D"/>
    <w:rsid w:val="00BD3ED5"/>
    <w:rsid w:val="00BD46EA"/>
    <w:rsid w:val="00BD7713"/>
    <w:rsid w:val="00BF2659"/>
    <w:rsid w:val="00C55B0C"/>
    <w:rsid w:val="00C76A54"/>
    <w:rsid w:val="00C806AF"/>
    <w:rsid w:val="00C9096B"/>
    <w:rsid w:val="00CA20B6"/>
    <w:rsid w:val="00CC24D6"/>
    <w:rsid w:val="00CE5A96"/>
    <w:rsid w:val="00D00A05"/>
    <w:rsid w:val="00D11620"/>
    <w:rsid w:val="00D246BF"/>
    <w:rsid w:val="00D856D0"/>
    <w:rsid w:val="00E2065E"/>
    <w:rsid w:val="00E24463"/>
    <w:rsid w:val="00E4309A"/>
    <w:rsid w:val="00E67346"/>
    <w:rsid w:val="00E8466A"/>
    <w:rsid w:val="00EA0754"/>
    <w:rsid w:val="00EB3BC1"/>
    <w:rsid w:val="00F239C7"/>
    <w:rsid w:val="00F500F2"/>
    <w:rsid w:val="00F50295"/>
    <w:rsid w:val="00F603FF"/>
    <w:rsid w:val="00F60B00"/>
    <w:rsid w:val="00F64188"/>
    <w:rsid w:val="00F770EC"/>
    <w:rsid w:val="00FA09C3"/>
    <w:rsid w:val="00FB0ED2"/>
    <w:rsid w:val="00FB1FFF"/>
    <w:rsid w:val="00FB77FF"/>
    <w:rsid w:val="00FC767F"/>
    <w:rsid w:val="00FD2532"/>
    <w:rsid w:val="00FE7FE7"/>
    <w:rsid w:val="00FF2F99"/>
    <w:rsid w:val="036F44FE"/>
    <w:rsid w:val="0588E994"/>
    <w:rsid w:val="081AADC0"/>
    <w:rsid w:val="0B596360"/>
    <w:rsid w:val="0D93893A"/>
    <w:rsid w:val="16C2905A"/>
    <w:rsid w:val="1D4539C6"/>
    <w:rsid w:val="217AF185"/>
    <w:rsid w:val="23B71C6C"/>
    <w:rsid w:val="2B32DAC8"/>
    <w:rsid w:val="2C617D10"/>
    <w:rsid w:val="315F0080"/>
    <w:rsid w:val="3246F74C"/>
    <w:rsid w:val="329B77BB"/>
    <w:rsid w:val="3799403C"/>
    <w:rsid w:val="3947C833"/>
    <w:rsid w:val="3B9AA864"/>
    <w:rsid w:val="43635512"/>
    <w:rsid w:val="454A417E"/>
    <w:rsid w:val="45903F24"/>
    <w:rsid w:val="4B6A0ED7"/>
    <w:rsid w:val="4E9F55C0"/>
    <w:rsid w:val="4EEB073E"/>
    <w:rsid w:val="4EF94020"/>
    <w:rsid w:val="56647A47"/>
    <w:rsid w:val="5C2390D5"/>
    <w:rsid w:val="5C92597F"/>
    <w:rsid w:val="5E6E5EA0"/>
    <w:rsid w:val="60C2369B"/>
    <w:rsid w:val="67D3CBAC"/>
    <w:rsid w:val="68D7A457"/>
    <w:rsid w:val="6DB4281F"/>
    <w:rsid w:val="7092D494"/>
    <w:rsid w:val="716203FA"/>
    <w:rsid w:val="718139B7"/>
    <w:rsid w:val="74CC108B"/>
    <w:rsid w:val="7C12B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0607"/>
  <w15:chartTrackingRefBased/>
  <w15:docId w15:val="{58D96914-FDDE-4A23-9AAD-32621659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BC4"/>
    <w:pPr>
      <w:spacing w:after="0" w:line="240" w:lineRule="auto"/>
    </w:pPr>
    <w:rPr>
      <w:rFonts w:ascii="Arial" w:eastAsia="Times New Roman" w:hAnsi="Arial" w:cs="Times New Roman"/>
      <w:b/>
      <w:sz w:val="24"/>
      <w:szCs w:val="24"/>
    </w:rPr>
  </w:style>
  <w:style w:type="paragraph" w:styleId="Heading1">
    <w:name w:val="heading 1"/>
    <w:basedOn w:val="Normal"/>
    <w:next w:val="Normal"/>
    <w:link w:val="Heading1Char"/>
    <w:uiPriority w:val="9"/>
    <w:qFormat/>
    <w:rsid w:val="00052BC4"/>
    <w:pPr>
      <w:keepNext/>
      <w:keepLines/>
      <w:spacing w:before="24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052BC4"/>
    <w:pPr>
      <w:keepNext/>
      <w:keepLines/>
      <w:spacing w:before="40"/>
      <w:jc w:val="center"/>
      <w:outlineLvl w:val="1"/>
    </w:pPr>
    <w:rPr>
      <w:rFonts w:eastAsiaTheme="majorEastAsia" w:cstheme="majorBidi"/>
      <w:color w:val="000000" w:themeColor="text1"/>
      <w:szCs w:val="26"/>
      <w:u w:val="single"/>
    </w:rPr>
  </w:style>
  <w:style w:type="paragraph" w:styleId="Heading3">
    <w:name w:val="heading 3"/>
    <w:basedOn w:val="Normal"/>
    <w:next w:val="Normal"/>
    <w:link w:val="Heading3Char"/>
    <w:autoRedefine/>
    <w:uiPriority w:val="9"/>
    <w:unhideWhenUsed/>
    <w:qFormat/>
    <w:rsid w:val="00052BC4"/>
    <w:pPr>
      <w:keepNext/>
      <w:keepLines/>
      <w:numPr>
        <w:numId w:val="3"/>
      </w:numPr>
      <w:spacing w:after="240"/>
      <w:ind w:left="540" w:hanging="5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25"/>
    <w:rPr>
      <w:rFonts w:ascii="Segoe UI" w:eastAsia="Times New Roman" w:hAnsi="Segoe UI" w:cs="Segoe UI"/>
      <w:sz w:val="18"/>
      <w:szCs w:val="18"/>
    </w:rPr>
  </w:style>
  <w:style w:type="character" w:styleId="Hyperlink">
    <w:name w:val="Hyperlink"/>
    <w:basedOn w:val="DefaultParagraphFont"/>
    <w:uiPriority w:val="99"/>
    <w:unhideWhenUsed/>
    <w:rsid w:val="00144B25"/>
    <w:rPr>
      <w:color w:val="0563C1" w:themeColor="hyperlink"/>
      <w:u w:val="single"/>
    </w:rPr>
  </w:style>
  <w:style w:type="character" w:styleId="UnresolvedMention">
    <w:name w:val="Unresolved Mention"/>
    <w:basedOn w:val="DefaultParagraphFont"/>
    <w:uiPriority w:val="99"/>
    <w:semiHidden/>
    <w:unhideWhenUsed/>
    <w:rsid w:val="00144B25"/>
    <w:rPr>
      <w:color w:val="605E5C"/>
      <w:shd w:val="clear" w:color="auto" w:fill="E1DFDD"/>
    </w:rPr>
  </w:style>
  <w:style w:type="character" w:styleId="CommentReference">
    <w:name w:val="annotation reference"/>
    <w:basedOn w:val="DefaultParagraphFont"/>
    <w:uiPriority w:val="99"/>
    <w:semiHidden/>
    <w:unhideWhenUsed/>
    <w:rsid w:val="005177A7"/>
    <w:rPr>
      <w:sz w:val="16"/>
      <w:szCs w:val="16"/>
    </w:rPr>
  </w:style>
  <w:style w:type="paragraph" w:styleId="CommentText">
    <w:name w:val="annotation text"/>
    <w:basedOn w:val="Normal"/>
    <w:link w:val="CommentTextChar"/>
    <w:uiPriority w:val="99"/>
    <w:semiHidden/>
    <w:unhideWhenUsed/>
    <w:rsid w:val="005177A7"/>
    <w:rPr>
      <w:sz w:val="20"/>
      <w:szCs w:val="20"/>
    </w:rPr>
  </w:style>
  <w:style w:type="character" w:customStyle="1" w:styleId="CommentTextChar">
    <w:name w:val="Comment Text Char"/>
    <w:basedOn w:val="DefaultParagraphFont"/>
    <w:link w:val="CommentText"/>
    <w:uiPriority w:val="99"/>
    <w:semiHidden/>
    <w:rsid w:val="00517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77A7"/>
    <w:rPr>
      <w:b w:val="0"/>
      <w:bCs/>
    </w:rPr>
  </w:style>
  <w:style w:type="character" w:customStyle="1" w:styleId="CommentSubjectChar">
    <w:name w:val="Comment Subject Char"/>
    <w:basedOn w:val="CommentTextChar"/>
    <w:link w:val="CommentSubject"/>
    <w:uiPriority w:val="99"/>
    <w:semiHidden/>
    <w:rsid w:val="005177A7"/>
    <w:rPr>
      <w:rFonts w:ascii="Times New Roman" w:eastAsia="Times New Roman" w:hAnsi="Times New Roman" w:cs="Times New Roman"/>
      <w:b/>
      <w:bCs/>
      <w:sz w:val="20"/>
      <w:szCs w:val="20"/>
    </w:rPr>
  </w:style>
  <w:style w:type="paragraph" w:styleId="ListParagraph">
    <w:name w:val="List Paragraph"/>
    <w:basedOn w:val="Normal"/>
    <w:uiPriority w:val="34"/>
    <w:qFormat/>
    <w:rsid w:val="00C806AF"/>
    <w:pPr>
      <w:ind w:left="720"/>
      <w:contextualSpacing/>
    </w:pPr>
  </w:style>
  <w:style w:type="character" w:customStyle="1" w:styleId="Heading1Char">
    <w:name w:val="Heading 1 Char"/>
    <w:basedOn w:val="DefaultParagraphFont"/>
    <w:link w:val="Heading1"/>
    <w:uiPriority w:val="9"/>
    <w:rsid w:val="00052BC4"/>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052BC4"/>
    <w:rPr>
      <w:rFonts w:ascii="Arial" w:eastAsiaTheme="majorEastAsia" w:hAnsi="Arial" w:cstheme="majorBidi"/>
      <w:b/>
      <w:color w:val="000000" w:themeColor="text1"/>
      <w:sz w:val="24"/>
      <w:szCs w:val="26"/>
      <w:u w:val="single"/>
    </w:rPr>
  </w:style>
  <w:style w:type="character" w:customStyle="1" w:styleId="Heading3Char">
    <w:name w:val="Heading 3 Char"/>
    <w:basedOn w:val="DefaultParagraphFont"/>
    <w:link w:val="Heading3"/>
    <w:uiPriority w:val="9"/>
    <w:rsid w:val="00052BC4"/>
    <w:rPr>
      <w:rFonts w:ascii="Arial" w:eastAsiaTheme="majorEastAsia" w:hAnsi="Arial" w:cstheme="majorBidi"/>
      <w:b/>
      <w:color w:val="000000" w:themeColor="text1"/>
      <w:sz w:val="24"/>
      <w:szCs w:val="24"/>
    </w:rPr>
  </w:style>
  <w:style w:type="paragraph" w:styleId="Header">
    <w:name w:val="header"/>
    <w:basedOn w:val="Normal"/>
    <w:link w:val="HeaderChar"/>
    <w:uiPriority w:val="99"/>
    <w:unhideWhenUsed/>
    <w:rsid w:val="0030660A"/>
    <w:pPr>
      <w:tabs>
        <w:tab w:val="center" w:pos="4680"/>
        <w:tab w:val="right" w:pos="9360"/>
      </w:tabs>
    </w:pPr>
  </w:style>
  <w:style w:type="character" w:customStyle="1" w:styleId="HeaderChar">
    <w:name w:val="Header Char"/>
    <w:basedOn w:val="DefaultParagraphFont"/>
    <w:link w:val="Header"/>
    <w:uiPriority w:val="99"/>
    <w:rsid w:val="0030660A"/>
    <w:rPr>
      <w:rFonts w:ascii="Arial" w:eastAsia="Times New Roman" w:hAnsi="Arial" w:cs="Times New Roman"/>
      <w:b/>
      <w:sz w:val="24"/>
      <w:szCs w:val="24"/>
    </w:rPr>
  </w:style>
  <w:style w:type="paragraph" w:styleId="Footer">
    <w:name w:val="footer"/>
    <w:basedOn w:val="Normal"/>
    <w:link w:val="FooterChar"/>
    <w:uiPriority w:val="99"/>
    <w:unhideWhenUsed/>
    <w:rsid w:val="0030660A"/>
    <w:pPr>
      <w:tabs>
        <w:tab w:val="center" w:pos="4680"/>
        <w:tab w:val="right" w:pos="9360"/>
      </w:tabs>
    </w:pPr>
  </w:style>
  <w:style w:type="character" w:customStyle="1" w:styleId="FooterChar">
    <w:name w:val="Footer Char"/>
    <w:basedOn w:val="DefaultParagraphFont"/>
    <w:link w:val="Footer"/>
    <w:uiPriority w:val="99"/>
    <w:rsid w:val="0030660A"/>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9392">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hooper@cd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3B341-AA46-4198-B271-E025FBBEE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781E8-07B8-45E3-9E50-0FB16B1905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CF466-B2A6-4B6D-B3CF-59F784734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8224</Characters>
  <DocSecurity>0</DocSecurity>
  <Lines>68</Lines>
  <Paragraphs>19</Paragraphs>
  <ScaleCrop>false</ScaleCrop>
  <HeadingPairs>
    <vt:vector size="2" baseType="variant">
      <vt:variant>
        <vt:lpstr>Title</vt:lpstr>
      </vt:variant>
      <vt:variant>
        <vt:i4>1</vt:i4>
      </vt:variant>
    </vt:vector>
  </HeadingPairs>
  <TitlesOfParts>
    <vt:vector size="1" baseType="lpstr">
      <vt:lpstr>November 2021 Agenda Item 04 Attachment 6 - Meeting Agendas (CA State Board of Education)</vt:lpstr>
    </vt:vector>
  </TitlesOfParts>
  <Company>California State Board of Education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04 Attachment 6 - Meeting Agendas (CA State Board of Education)</dc:title>
  <dc:subject>Exhibit B: Budget Detail and Payment Provisions. State Board Agenda Item Attachment.</dc:subject>
  <dc:creator/>
  <dc:description/>
  <cp:lastPrinted>2021-10-13T14:31:00Z</cp:lastPrinted>
  <dcterms:created xsi:type="dcterms:W3CDTF">2021-10-22T22:12:00Z</dcterms:created>
  <dcterms:modified xsi:type="dcterms:W3CDTF">2021-10-23T01:11:00Z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