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F1F4A" w:rsidP="00B723BE">
      <w:pPr>
        <w:jc w:val="right"/>
      </w:pPr>
      <w:r>
        <w:t>i</w:t>
      </w:r>
      <w:r w:rsidR="00AD371B">
        <w:t>t</w:t>
      </w:r>
      <w:r>
        <w:t>b</w:t>
      </w:r>
      <w:r w:rsidR="00AC6AA0">
        <w:t>-edmd-</w:t>
      </w:r>
      <w:r w:rsidR="001367E1">
        <w:t>mar</w:t>
      </w:r>
      <w:r>
        <w:t>2</w:t>
      </w:r>
      <w:r w:rsidR="00AD371B">
        <w:t>2</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367E1">
        <w:rPr>
          <w:sz w:val="40"/>
          <w:szCs w:val="40"/>
        </w:rPr>
        <w:t>March</w:t>
      </w:r>
      <w:r w:rsidR="00FF1F4A">
        <w:rPr>
          <w:sz w:val="40"/>
          <w:szCs w:val="40"/>
        </w:rPr>
        <w:t xml:space="preserve"> </w:t>
      </w:r>
      <w:r w:rsidR="00AC6AA0">
        <w:rPr>
          <w:sz w:val="40"/>
          <w:szCs w:val="40"/>
        </w:rPr>
        <w:t>20</w:t>
      </w:r>
      <w:r w:rsidR="00FF1F4A">
        <w:rPr>
          <w:sz w:val="40"/>
          <w:szCs w:val="40"/>
        </w:rPr>
        <w:t>2</w:t>
      </w:r>
      <w:r w:rsidR="00AD371B">
        <w:rPr>
          <w:sz w:val="40"/>
          <w:szCs w:val="40"/>
        </w:rPr>
        <w:t>2</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#0</w:t>
      </w:r>
      <w:r w:rsidR="00AF4E5B">
        <w:rPr>
          <w:sz w:val="40"/>
          <w:szCs w:val="40"/>
        </w:rPr>
        <w:t>9</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FF1F4A">
        <w:rPr>
          <w:rFonts w:cs="Arial"/>
        </w:rPr>
        <w:t>2</w:t>
      </w:r>
      <w:r w:rsidR="00AD371B">
        <w:rPr>
          <w:rFonts w:cs="Arial"/>
        </w:rPr>
        <w:t>1</w:t>
      </w:r>
      <w:r w:rsidRPr="00851E60">
        <w:rPr>
          <w:rFonts w:cs="Arial"/>
        </w:rPr>
        <w:t>–</w:t>
      </w:r>
      <w:r w:rsidR="00FF1F4A">
        <w:rPr>
          <w:rFonts w:cs="Arial"/>
        </w:rPr>
        <w:t>2</w:t>
      </w:r>
      <w:r w:rsidR="00AD371B">
        <w:rPr>
          <w:rFonts w:cs="Arial"/>
        </w:rPr>
        <w:t>2</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 xml:space="preserve">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AD371B">
        <w:rPr>
          <w:rFonts w:cs="Arial"/>
        </w:rPr>
        <w:t>9</w:t>
      </w:r>
      <w:r w:rsidRPr="00851E60">
        <w:rPr>
          <w:rFonts w:cs="Arial"/>
        </w:rPr>
        <w:t>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AD371B">
        <w:t>1</w:t>
      </w:r>
      <w:r w:rsidRPr="00851E60">
        <w:t>–</w:t>
      </w:r>
      <w:r w:rsidR="00FF1F4A">
        <w:t>2</w:t>
      </w:r>
      <w:r w:rsidR="00AD371B">
        <w:t>2</w:t>
      </w:r>
      <w:r w:rsidRPr="00851E60">
        <w:t xml:space="preserve">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w:t>
      </w:r>
      <w:r w:rsidR="00FF1F4A">
        <w:rPr>
          <w:rFonts w:cs="Arial"/>
        </w:rPr>
        <w:t>.1</w:t>
      </w:r>
      <w:r w:rsidRPr="00851E60">
        <w:rPr>
          <w:rFonts w:cs="Arial"/>
        </w:rPr>
        <w:t xml:space="preserve"> billion of federal funding is distributed annually through the ConApp process. The 20</w:t>
      </w:r>
      <w:r w:rsidR="00FF1F4A">
        <w:rPr>
          <w:rFonts w:cs="Arial"/>
        </w:rPr>
        <w:t>2</w:t>
      </w:r>
      <w:r w:rsidR="00AD371B">
        <w:rPr>
          <w:rFonts w:cs="Arial"/>
        </w:rPr>
        <w:t>1</w:t>
      </w:r>
      <w:r w:rsidRPr="00851E60">
        <w:rPr>
          <w:rFonts w:cs="Arial"/>
        </w:rPr>
        <w:t>–</w:t>
      </w:r>
      <w:r w:rsidR="00AD371B">
        <w:rPr>
          <w:rFonts w:cs="Arial"/>
        </w:rPr>
        <w:t>22</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r w:rsidRPr="00851E60">
        <w:rPr>
          <w:rFonts w:cs="Arial"/>
          <w:lang w:val="fr-FR"/>
        </w:rPr>
        <w:t xml:space="preserve">Title III, Part A (Immigrant); </w:t>
      </w:r>
    </w:p>
    <w:p w:rsidR="00F5125B" w:rsidRDefault="008A6F5A" w:rsidP="008A6F5A">
      <w:pPr>
        <w:numPr>
          <w:ilvl w:val="0"/>
          <w:numId w:val="8"/>
        </w:numPr>
        <w:rPr>
          <w:rFonts w:cs="Arial"/>
        </w:rPr>
      </w:pPr>
      <w:r w:rsidRPr="00851E60">
        <w:rPr>
          <w:rFonts w:cs="Arial"/>
        </w:rPr>
        <w:t xml:space="preserve">Title III, Part A (English Learner Students); </w:t>
      </w:r>
    </w:p>
    <w:p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one or two non-compliant issues that is/are fewer than 365 days non-compliant. The </w:t>
      </w:r>
      <w:r w:rsidR="00FF1F4A" w:rsidRPr="00FF1F4A">
        <w:rPr>
          <w:rFonts w:cs="Arial"/>
          <w:noProof/>
        </w:rPr>
        <w:t xml:space="preserve">The CDE recommends regular approval of the 2020–21 ConApp for these </w:t>
      </w:r>
      <w:r w:rsidR="001367E1">
        <w:rPr>
          <w:rFonts w:cs="Arial"/>
          <w:noProof/>
        </w:rPr>
        <w:t>eight</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20</w:t>
      </w:r>
      <w:r w:rsidR="00FF1F4A" w:rsidRPr="00FF1F4A">
        <w:rPr>
          <w:rFonts w:cs="Arial"/>
          <w:noProof/>
        </w:rPr>
        <w:t>–2</w:t>
      </w:r>
      <w:r w:rsidR="00AD371B">
        <w:rPr>
          <w:rFonts w:cs="Arial"/>
          <w:noProof/>
        </w:rPr>
        <w:t>1</w:t>
      </w:r>
      <w:r w:rsidR="00FF1F4A" w:rsidRPr="00FF1F4A">
        <w:rPr>
          <w:rFonts w:cs="Arial"/>
          <w:noProof/>
        </w:rPr>
        <w:t xml:space="preserve"> because the figures for 202</w:t>
      </w:r>
      <w:r w:rsidR="00AD371B">
        <w:rPr>
          <w:rFonts w:cs="Arial"/>
          <w:noProof/>
        </w:rPr>
        <w:t>1</w:t>
      </w:r>
      <w:r w:rsidR="00FF1F4A" w:rsidRPr="00FF1F4A">
        <w:rPr>
          <w:rFonts w:cs="Arial"/>
          <w:noProof/>
        </w:rPr>
        <w:t>–2</w:t>
      </w:r>
      <w:r w:rsidR="00AD371B">
        <w:rPr>
          <w:rFonts w:cs="Arial"/>
          <w:noProof/>
        </w:rPr>
        <w:t>2</w:t>
      </w:r>
      <w:r w:rsidR="00FF1F4A" w:rsidRPr="00FF1F4A">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AD371B">
        <w:t>1</w:t>
      </w:r>
      <w:r w:rsidR="00FF1F4A" w:rsidRPr="00AD371B">
        <w:t>–2</w:t>
      </w:r>
      <w:r w:rsidR="00AD371B">
        <w:t>2</w:t>
      </w:r>
      <w:r w:rsidR="00FF1F4A" w:rsidRPr="00AD371B">
        <w:t xml:space="preserve">, the SBE </w:t>
      </w:r>
      <w:r w:rsidR="00894FA3" w:rsidRPr="00AD371B">
        <w:t xml:space="preserve">has </w:t>
      </w:r>
      <w:r w:rsidR="00FF1F4A" w:rsidRPr="00AD371B">
        <w:t xml:space="preserve">approved </w:t>
      </w:r>
      <w:proofErr w:type="spellStart"/>
      <w:r w:rsidR="00FF1F4A" w:rsidRPr="00AD371B">
        <w:t>ConApps</w:t>
      </w:r>
      <w:proofErr w:type="spellEnd"/>
      <w:r w:rsidR="00FF1F4A" w:rsidRPr="00AD371B">
        <w:t xml:space="preserve"> for 1,</w:t>
      </w:r>
      <w:r w:rsidR="00AD371B">
        <w:t>8</w:t>
      </w:r>
      <w:r w:rsidR="001367E1">
        <w:t>6</w:t>
      </w:r>
      <w:r w:rsidR="00894FA3" w:rsidRPr="00AD371B">
        <w:t>4</w:t>
      </w:r>
      <w:r w:rsidR="00FF1F4A" w:rsidRPr="00AD371B">
        <w:t xml:space="preserve"> LEAs.</w:t>
      </w:r>
      <w:r w:rsidR="00FF1F4A" w:rsidRPr="00AD371B">
        <w:rPr>
          <w:rFonts w:cs="Arial"/>
        </w:rPr>
        <w:t xml:space="preserve"> Attachment 1 represents the </w:t>
      </w:r>
      <w:r w:rsidR="001367E1">
        <w:rPr>
          <w:rFonts w:cs="Arial"/>
        </w:rPr>
        <w:t>thir</w:t>
      </w:r>
      <w:r w:rsidR="00FF1F4A" w:rsidRPr="00AD371B">
        <w:rPr>
          <w:rFonts w:cs="Arial"/>
        </w:rPr>
        <w:t>d set of 202</w:t>
      </w:r>
      <w:r w:rsidR="00AD371B">
        <w:rPr>
          <w:rFonts w:cs="Arial"/>
        </w:rPr>
        <w:t>1</w:t>
      </w:r>
      <w:r w:rsidR="00FF1F4A" w:rsidRPr="00AD371B">
        <w:rPr>
          <w:rFonts w:cs="Arial"/>
        </w:rPr>
        <w:t>–2</w:t>
      </w:r>
      <w:r w:rsidR="00AD371B">
        <w:rPr>
          <w:rFonts w:cs="Arial"/>
        </w:rPr>
        <w:t>2</w:t>
      </w:r>
      <w:r w:rsidR="00FF1F4A" w:rsidRPr="00AD371B">
        <w:rPr>
          <w:rFonts w:cs="Arial"/>
        </w:rPr>
        <w:t xml:space="preserve"> </w:t>
      </w:r>
      <w:proofErr w:type="spellStart"/>
      <w:r w:rsidR="00FF1F4A" w:rsidRPr="00AD371B">
        <w:rPr>
          <w:rFonts w:cs="Arial"/>
        </w:rPr>
        <w:t>ConApps</w:t>
      </w:r>
      <w:proofErr w:type="spellEnd"/>
      <w:r w:rsidR="00FF1F4A" w:rsidRPr="00AD371B">
        <w:rPr>
          <w:rFonts w:cs="Arial"/>
        </w:rPr>
        <w:t xml:space="preserve"> presented to the SBE for approval.</w:t>
      </w:r>
    </w:p>
    <w:p w:rsidR="00256D92" w:rsidRPr="00851E60" w:rsidRDefault="00256D92" w:rsidP="002841E9">
      <w:pPr>
        <w:spacing w:after="480"/>
        <w:rPr>
          <w:rFonts w:cs="Arial"/>
        </w:rPr>
      </w:pP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7B6BF5">
        <w:rPr>
          <w:rFonts w:cs="Arial"/>
        </w:rPr>
        <w:t>9</w:t>
      </w:r>
      <w:r w:rsidRPr="00851E60">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7B6BF5">
        <w:t>1</w:t>
      </w:r>
      <w:r w:rsidRPr="00851E60">
        <w:t>–</w:t>
      </w:r>
      <w:r w:rsidR="00FF1F4A">
        <w:t>2</w:t>
      </w:r>
      <w:r w:rsidR="007B6BF5">
        <w:t>2</w:t>
      </w:r>
      <w:r w:rsidRPr="00851E60">
        <w:t xml:space="preserve">) </w:t>
      </w:r>
      <w:r w:rsidRPr="00B641AF">
        <w:rPr>
          <w:sz w:val="22"/>
          <w:szCs w:val="22"/>
        </w:rPr>
        <w:t>–</w:t>
      </w:r>
      <w:r w:rsidRPr="00851E60">
        <w:t xml:space="preserve"> Regular Approvals </w:t>
      </w:r>
      <w:r w:rsidR="00E91B1C">
        <w:br w:type="textWrapping" w:clear="all"/>
      </w:r>
      <w:r w:rsidRPr="00851E60">
        <w:t>(</w:t>
      </w:r>
      <w:r w:rsidR="001367E1">
        <w:t>1</w:t>
      </w:r>
      <w:r w:rsidRPr="00851E60">
        <w:t xml:space="preserve"> page)</w:t>
      </w:r>
    </w:p>
    <w:p w:rsidR="00FF1F4A" w:rsidRPr="00B641AF" w:rsidRDefault="00FF1F4A" w:rsidP="00E621FD">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7B6BF5">
        <w:rPr>
          <w:sz w:val="40"/>
          <w:szCs w:val="40"/>
        </w:rPr>
        <w:t>1</w:t>
      </w:r>
      <w:r w:rsidRPr="00B641AF">
        <w:rPr>
          <w:sz w:val="40"/>
          <w:szCs w:val="40"/>
        </w:rPr>
        <w:t>–</w:t>
      </w:r>
      <w:r>
        <w:rPr>
          <w:sz w:val="40"/>
          <w:szCs w:val="40"/>
        </w:rPr>
        <w:t>2</w:t>
      </w:r>
      <w:r w:rsidR="007B6BF5">
        <w:rPr>
          <w:sz w:val="40"/>
          <w:szCs w:val="40"/>
        </w:rPr>
        <w:t>2</w:t>
      </w:r>
      <w:r w:rsidRPr="00B641AF">
        <w:rPr>
          <w:sz w:val="40"/>
          <w:szCs w:val="40"/>
        </w:rPr>
        <w:t>) – Regular Approvals</w:t>
      </w:r>
    </w:p>
    <w:p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1367E1">
        <w:rPr>
          <w:rFonts w:cs="Arial"/>
        </w:rPr>
        <w:t>eight</w:t>
      </w:r>
      <w:r w:rsidRPr="0032288A">
        <w:rPr>
          <w:rFonts w:cs="Arial"/>
        </w:rPr>
        <w:t xml:space="preserve"> 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Pr>
          <w:rFonts w:cs="Arial"/>
          <w:noProof/>
        </w:rPr>
        <w:t>ve</w:t>
      </w:r>
      <w:r w:rsidRPr="00006128">
        <w:rPr>
          <w:rFonts w:cs="Arial"/>
          <w:noProof/>
        </w:rPr>
        <w:t xml:space="preserve"> no outstanding non</w:t>
      </w:r>
      <w:r>
        <w:rPr>
          <w:rFonts w:cs="Arial"/>
          <w:noProof/>
        </w:rPr>
        <w:t>-</w:t>
      </w:r>
      <w:r w:rsidRPr="00006128">
        <w:rPr>
          <w:rFonts w:cs="Arial"/>
          <w:noProof/>
        </w:rPr>
        <w:t>complian</w:t>
      </w:r>
      <w:r>
        <w:rPr>
          <w:rFonts w:cs="Arial"/>
          <w:noProof/>
        </w:rPr>
        <w:t>t</w:t>
      </w:r>
      <w:r w:rsidRPr="00006128">
        <w:rPr>
          <w:rFonts w:cs="Arial"/>
          <w:noProof/>
        </w:rPr>
        <w:t xml:space="preserve"> issues or </w:t>
      </w:r>
      <w:r>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these applications.</w:t>
      </w:r>
    </w:p>
    <w:tbl>
      <w:tblPr>
        <w:tblStyle w:val="TableGrid"/>
        <w:tblW w:w="12468"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23"/>
        <w:gridCol w:w="2085"/>
        <w:gridCol w:w="4460"/>
        <w:gridCol w:w="1660"/>
        <w:gridCol w:w="1580"/>
        <w:gridCol w:w="1560"/>
      </w:tblGrid>
      <w:tr w:rsidR="000369FC" w:rsidRPr="005D3127" w:rsidTr="00DA1949">
        <w:trPr>
          <w:cantSplit/>
          <w:trHeight w:val="1187"/>
          <w:tblHeader/>
        </w:trPr>
        <w:tc>
          <w:tcPr>
            <w:tcW w:w="1123" w:type="dxa"/>
            <w:hideMark/>
          </w:tcPr>
          <w:p w:rsidR="000369FC" w:rsidRPr="009F278B" w:rsidRDefault="000369FC" w:rsidP="000369FC">
            <w:pPr>
              <w:jc w:val="center"/>
              <w:rPr>
                <w:rFonts w:cs="Arial"/>
                <w:b/>
                <w:bCs/>
                <w:color w:val="000000"/>
              </w:rPr>
            </w:pPr>
            <w:r w:rsidRPr="009F278B">
              <w:rPr>
                <w:rFonts w:cs="Arial"/>
                <w:b/>
                <w:bCs/>
                <w:color w:val="000000"/>
              </w:rPr>
              <w:t>Number</w:t>
            </w:r>
          </w:p>
        </w:tc>
        <w:tc>
          <w:tcPr>
            <w:tcW w:w="2085" w:type="dxa"/>
            <w:hideMark/>
          </w:tcPr>
          <w:p w:rsidR="000369FC" w:rsidRPr="009F278B" w:rsidRDefault="000369FC" w:rsidP="000369FC">
            <w:pPr>
              <w:jc w:val="center"/>
              <w:rPr>
                <w:rFonts w:cs="Arial"/>
                <w:b/>
                <w:bCs/>
                <w:color w:val="000000"/>
              </w:rPr>
            </w:pPr>
            <w:r w:rsidRPr="009F278B">
              <w:rPr>
                <w:rFonts w:cs="Arial"/>
                <w:b/>
                <w:bCs/>
                <w:color w:val="000000"/>
              </w:rPr>
              <w:t>County-District-School Code</w:t>
            </w:r>
          </w:p>
        </w:tc>
        <w:tc>
          <w:tcPr>
            <w:tcW w:w="4460" w:type="dxa"/>
            <w:noWrap/>
            <w:hideMark/>
          </w:tcPr>
          <w:p w:rsidR="000369FC" w:rsidRPr="009F278B" w:rsidRDefault="000369FC" w:rsidP="000369FC">
            <w:pPr>
              <w:jc w:val="center"/>
              <w:rPr>
                <w:rFonts w:cs="Arial"/>
                <w:b/>
                <w:bCs/>
                <w:color w:val="000000"/>
              </w:rPr>
            </w:pPr>
            <w:r w:rsidRPr="009F278B">
              <w:rPr>
                <w:rFonts w:cs="Arial"/>
                <w:b/>
                <w:bCs/>
                <w:color w:val="000000"/>
              </w:rPr>
              <w:t>LEA Name</w:t>
            </w:r>
          </w:p>
        </w:tc>
        <w:tc>
          <w:tcPr>
            <w:tcW w:w="1660" w:type="dxa"/>
            <w:hideMark/>
          </w:tcPr>
          <w:p w:rsidR="000369FC" w:rsidRPr="009F278B" w:rsidRDefault="000369FC" w:rsidP="000369FC">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sidR="00FC7DC6">
              <w:rPr>
                <w:rFonts w:cs="Arial"/>
                <w:b/>
                <w:bCs/>
                <w:color w:val="000000"/>
              </w:rPr>
              <w:t>20</w:t>
            </w:r>
            <w:r w:rsidRPr="009F278B">
              <w:rPr>
                <w:rFonts w:cs="Arial"/>
                <w:b/>
                <w:bCs/>
                <w:color w:val="000000"/>
              </w:rPr>
              <w:t>–</w:t>
            </w:r>
            <w:r>
              <w:rPr>
                <w:rFonts w:cs="Arial"/>
                <w:b/>
                <w:bCs/>
                <w:color w:val="000000"/>
              </w:rPr>
              <w:t>2</w:t>
            </w:r>
            <w:r w:rsidR="00FC7DC6">
              <w:rPr>
                <w:rFonts w:cs="Arial"/>
                <w:b/>
                <w:bCs/>
                <w:color w:val="000000"/>
              </w:rPr>
              <w:t>1</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w:t>
            </w:r>
            <w:r w:rsidR="00FC7DC6">
              <w:rPr>
                <w:rFonts w:cs="Arial"/>
                <w:b/>
                <w:bCs/>
                <w:color w:val="000000"/>
              </w:rPr>
              <w:t>Allocation</w:t>
            </w:r>
          </w:p>
        </w:tc>
        <w:tc>
          <w:tcPr>
            <w:tcW w:w="1580" w:type="dxa"/>
            <w:hideMark/>
          </w:tcPr>
          <w:p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00FC7DC6" w:rsidRPr="009F278B">
              <w:rPr>
                <w:rFonts w:cs="Arial"/>
                <w:b/>
                <w:bCs/>
                <w:color w:val="000000"/>
              </w:rPr>
              <w:t xml:space="preserve"> </w:t>
            </w:r>
            <w:r w:rsidRPr="009F278B">
              <w:rPr>
                <w:rFonts w:cs="Arial"/>
                <w:b/>
                <w:bCs/>
                <w:color w:val="000000"/>
              </w:rPr>
              <w:t xml:space="preserve"> </w:t>
            </w:r>
            <w:r w:rsidR="00FC7DC6">
              <w:rPr>
                <w:rFonts w:cs="Arial"/>
                <w:b/>
                <w:bCs/>
                <w:color w:val="000000"/>
              </w:rPr>
              <w:t>Allocation</w:t>
            </w:r>
            <w:r w:rsidRPr="009F278B">
              <w:rPr>
                <w:rFonts w:cs="Arial"/>
                <w:b/>
                <w:bCs/>
                <w:color w:val="000000"/>
              </w:rPr>
              <w:br/>
              <w:t>Per Student</w:t>
            </w:r>
          </w:p>
        </w:tc>
        <w:tc>
          <w:tcPr>
            <w:tcW w:w="1560" w:type="dxa"/>
            <w:hideMark/>
          </w:tcPr>
          <w:p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FC7DC6" w:rsidRPr="009F278B">
              <w:rPr>
                <w:rFonts w:cs="Arial"/>
                <w:b/>
                <w:bCs/>
                <w:color w:val="000000"/>
              </w:rPr>
              <w:t>20</w:t>
            </w:r>
            <w:r w:rsidR="00FC7DC6">
              <w:rPr>
                <w:rFonts w:cs="Arial"/>
                <w:b/>
                <w:bCs/>
                <w:color w:val="000000"/>
              </w:rPr>
              <w:t>20</w:t>
            </w:r>
            <w:r w:rsidR="00FC7DC6" w:rsidRPr="009F278B">
              <w:rPr>
                <w:rFonts w:cs="Arial"/>
                <w:b/>
                <w:bCs/>
                <w:color w:val="000000"/>
              </w:rPr>
              <w:t>–</w:t>
            </w:r>
            <w:r w:rsidR="00FC7DC6">
              <w:rPr>
                <w:rFonts w:cs="Arial"/>
                <w:b/>
                <w:bCs/>
                <w:color w:val="000000"/>
              </w:rPr>
              <w:t>21</w:t>
            </w:r>
            <w:r w:rsidRPr="009F278B">
              <w:rPr>
                <w:rFonts w:cs="Arial"/>
                <w:b/>
                <w:bCs/>
                <w:color w:val="000000"/>
              </w:rPr>
              <w:br/>
              <w:t xml:space="preserve">Title I </w:t>
            </w:r>
            <w:r w:rsidR="00FC7DC6">
              <w:rPr>
                <w:rFonts w:cs="Arial"/>
                <w:b/>
                <w:bCs/>
                <w:color w:val="000000"/>
              </w:rPr>
              <w:t>Allocation</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1</w:t>
            </w:r>
          </w:p>
        </w:tc>
        <w:tc>
          <w:tcPr>
            <w:tcW w:w="2085" w:type="dxa"/>
            <w:noWrap/>
            <w:hideMark/>
          </w:tcPr>
          <w:p w:rsidR="00861775" w:rsidRDefault="00861775" w:rsidP="00861775">
            <w:pPr>
              <w:jc w:val="right"/>
              <w:rPr>
                <w:rFonts w:cs="Arial"/>
                <w:color w:val="000000"/>
              </w:rPr>
            </w:pPr>
            <w:r>
              <w:rPr>
                <w:rFonts w:cs="Arial"/>
                <w:color w:val="000000"/>
              </w:rPr>
              <w:t>36675870000000</w:t>
            </w:r>
          </w:p>
        </w:tc>
        <w:tc>
          <w:tcPr>
            <w:tcW w:w="4460" w:type="dxa"/>
            <w:noWrap/>
            <w:hideMark/>
          </w:tcPr>
          <w:p w:rsidR="00861775" w:rsidRDefault="00861775" w:rsidP="00861775">
            <w:pPr>
              <w:rPr>
                <w:rFonts w:cs="Arial"/>
                <w:color w:val="000000"/>
              </w:rPr>
            </w:pPr>
            <w:r>
              <w:rPr>
                <w:rFonts w:cs="Arial"/>
                <w:color w:val="000000"/>
              </w:rPr>
              <w:t>Adelanto Elementary</w:t>
            </w:r>
          </w:p>
        </w:tc>
        <w:tc>
          <w:tcPr>
            <w:tcW w:w="1660" w:type="dxa"/>
            <w:noWrap/>
            <w:hideMark/>
          </w:tcPr>
          <w:p w:rsidR="00861775" w:rsidRDefault="00861775" w:rsidP="00861775">
            <w:pPr>
              <w:jc w:val="right"/>
              <w:rPr>
                <w:rFonts w:cs="Arial"/>
                <w:color w:val="000000"/>
              </w:rPr>
            </w:pPr>
            <w:r>
              <w:rPr>
                <w:rFonts w:cs="Arial"/>
                <w:color w:val="000000"/>
              </w:rPr>
              <w:t>3,754,946</w:t>
            </w:r>
          </w:p>
        </w:tc>
        <w:tc>
          <w:tcPr>
            <w:tcW w:w="1580" w:type="dxa"/>
            <w:noWrap/>
            <w:hideMark/>
          </w:tcPr>
          <w:p w:rsidR="00861775" w:rsidRDefault="00861775" w:rsidP="00861775">
            <w:pPr>
              <w:jc w:val="right"/>
              <w:rPr>
                <w:rFonts w:cs="Arial"/>
                <w:color w:val="000000"/>
              </w:rPr>
            </w:pPr>
            <w:r>
              <w:rPr>
                <w:rFonts w:cs="Arial"/>
                <w:color w:val="000000"/>
              </w:rPr>
              <w:t>458</w:t>
            </w:r>
          </w:p>
        </w:tc>
        <w:tc>
          <w:tcPr>
            <w:tcW w:w="1560" w:type="dxa"/>
            <w:noWrap/>
            <w:hideMark/>
          </w:tcPr>
          <w:p w:rsidR="00861775" w:rsidRDefault="00861775" w:rsidP="00861775">
            <w:pPr>
              <w:jc w:val="right"/>
              <w:rPr>
                <w:rFonts w:cs="Arial"/>
                <w:color w:val="000000"/>
              </w:rPr>
            </w:pPr>
            <w:r>
              <w:rPr>
                <w:rFonts w:cs="Arial"/>
                <w:color w:val="000000"/>
              </w:rPr>
              <w:t>3,265,942</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2</w:t>
            </w:r>
          </w:p>
        </w:tc>
        <w:tc>
          <w:tcPr>
            <w:tcW w:w="2085" w:type="dxa"/>
            <w:noWrap/>
            <w:hideMark/>
          </w:tcPr>
          <w:p w:rsidR="00861775" w:rsidRDefault="00861775" w:rsidP="00861775">
            <w:pPr>
              <w:jc w:val="right"/>
              <w:rPr>
                <w:rFonts w:cs="Arial"/>
                <w:color w:val="000000"/>
              </w:rPr>
            </w:pPr>
            <w:r>
              <w:rPr>
                <w:rFonts w:cs="Arial"/>
                <w:color w:val="000000"/>
              </w:rPr>
              <w:t>33669850000000</w:t>
            </w:r>
          </w:p>
        </w:tc>
        <w:tc>
          <w:tcPr>
            <w:tcW w:w="4460" w:type="dxa"/>
            <w:noWrap/>
            <w:hideMark/>
          </w:tcPr>
          <w:p w:rsidR="00861775" w:rsidRDefault="00861775" w:rsidP="00861775">
            <w:pPr>
              <w:rPr>
                <w:rFonts w:cs="Arial"/>
                <w:color w:val="000000"/>
              </w:rPr>
            </w:pPr>
            <w:r>
              <w:rPr>
                <w:rFonts w:cs="Arial"/>
                <w:color w:val="000000"/>
              </w:rPr>
              <w:t>Banning Unified</w:t>
            </w:r>
          </w:p>
        </w:tc>
        <w:tc>
          <w:tcPr>
            <w:tcW w:w="1660" w:type="dxa"/>
            <w:noWrap/>
            <w:hideMark/>
          </w:tcPr>
          <w:p w:rsidR="00861775" w:rsidRDefault="00861775" w:rsidP="00861775">
            <w:pPr>
              <w:jc w:val="right"/>
              <w:rPr>
                <w:rFonts w:cs="Arial"/>
                <w:color w:val="000000"/>
              </w:rPr>
            </w:pPr>
            <w:r>
              <w:rPr>
                <w:rFonts w:cs="Arial"/>
                <w:color w:val="000000"/>
              </w:rPr>
              <w:t>2,444,477</w:t>
            </w:r>
          </w:p>
        </w:tc>
        <w:tc>
          <w:tcPr>
            <w:tcW w:w="1580" w:type="dxa"/>
            <w:noWrap/>
            <w:hideMark/>
          </w:tcPr>
          <w:p w:rsidR="00861775" w:rsidRDefault="00861775" w:rsidP="00861775">
            <w:pPr>
              <w:jc w:val="right"/>
              <w:rPr>
                <w:rFonts w:cs="Arial"/>
                <w:color w:val="000000"/>
              </w:rPr>
            </w:pPr>
            <w:r>
              <w:rPr>
                <w:rFonts w:cs="Arial"/>
                <w:color w:val="000000"/>
              </w:rPr>
              <w:t>566</w:t>
            </w:r>
          </w:p>
        </w:tc>
        <w:tc>
          <w:tcPr>
            <w:tcW w:w="1560" w:type="dxa"/>
            <w:noWrap/>
            <w:hideMark/>
          </w:tcPr>
          <w:p w:rsidR="00861775" w:rsidRDefault="00861775" w:rsidP="00861775">
            <w:pPr>
              <w:jc w:val="right"/>
              <w:rPr>
                <w:rFonts w:cs="Arial"/>
                <w:color w:val="000000"/>
              </w:rPr>
            </w:pPr>
            <w:r>
              <w:rPr>
                <w:rFonts w:cs="Arial"/>
                <w:color w:val="000000"/>
              </w:rPr>
              <w:t>2,077,865</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3</w:t>
            </w:r>
          </w:p>
        </w:tc>
        <w:tc>
          <w:tcPr>
            <w:tcW w:w="2085" w:type="dxa"/>
            <w:noWrap/>
            <w:hideMark/>
          </w:tcPr>
          <w:p w:rsidR="00861775" w:rsidRDefault="00861775" w:rsidP="00861775">
            <w:pPr>
              <w:jc w:val="right"/>
              <w:rPr>
                <w:rFonts w:cs="Arial"/>
                <w:color w:val="000000"/>
              </w:rPr>
            </w:pPr>
            <w:r>
              <w:rPr>
                <w:rFonts w:cs="Arial"/>
                <w:color w:val="000000"/>
              </w:rPr>
              <w:t>19647330101659</w:t>
            </w:r>
          </w:p>
        </w:tc>
        <w:tc>
          <w:tcPr>
            <w:tcW w:w="4460" w:type="dxa"/>
            <w:noWrap/>
            <w:hideMark/>
          </w:tcPr>
          <w:p w:rsidR="00861775" w:rsidRDefault="00861775" w:rsidP="00861775">
            <w:pPr>
              <w:rPr>
                <w:rFonts w:cs="Arial"/>
                <w:color w:val="000000"/>
              </w:rPr>
            </w:pPr>
            <w:r>
              <w:rPr>
                <w:rFonts w:cs="Arial"/>
                <w:color w:val="000000"/>
              </w:rPr>
              <w:t>CATCH Prep Charter High, Inc.</w:t>
            </w:r>
          </w:p>
        </w:tc>
        <w:tc>
          <w:tcPr>
            <w:tcW w:w="1660" w:type="dxa"/>
            <w:noWrap/>
            <w:hideMark/>
          </w:tcPr>
          <w:p w:rsidR="00861775" w:rsidRDefault="00861775" w:rsidP="00861775">
            <w:pPr>
              <w:jc w:val="right"/>
              <w:rPr>
                <w:rFonts w:cs="Arial"/>
                <w:color w:val="000000"/>
              </w:rPr>
            </w:pPr>
            <w:r>
              <w:rPr>
                <w:rFonts w:cs="Arial"/>
                <w:color w:val="000000"/>
              </w:rPr>
              <w:t>83,865</w:t>
            </w:r>
          </w:p>
        </w:tc>
        <w:tc>
          <w:tcPr>
            <w:tcW w:w="1580" w:type="dxa"/>
            <w:noWrap/>
            <w:hideMark/>
          </w:tcPr>
          <w:p w:rsidR="00861775" w:rsidRDefault="00861775" w:rsidP="00861775">
            <w:pPr>
              <w:jc w:val="right"/>
              <w:rPr>
                <w:rFonts w:cs="Arial"/>
                <w:color w:val="000000"/>
              </w:rPr>
            </w:pPr>
            <w:r>
              <w:rPr>
                <w:rFonts w:cs="Arial"/>
                <w:color w:val="000000"/>
              </w:rPr>
              <w:t>487</w:t>
            </w:r>
          </w:p>
        </w:tc>
        <w:tc>
          <w:tcPr>
            <w:tcW w:w="1560" w:type="dxa"/>
            <w:noWrap/>
            <w:hideMark/>
          </w:tcPr>
          <w:p w:rsidR="00861775" w:rsidRDefault="00861775" w:rsidP="00861775">
            <w:pPr>
              <w:jc w:val="right"/>
              <w:rPr>
                <w:rFonts w:cs="Arial"/>
                <w:color w:val="000000"/>
              </w:rPr>
            </w:pPr>
            <w:r>
              <w:rPr>
                <w:rFonts w:cs="Arial"/>
                <w:color w:val="000000"/>
              </w:rPr>
              <w:t>75,341</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4</w:t>
            </w:r>
          </w:p>
        </w:tc>
        <w:tc>
          <w:tcPr>
            <w:tcW w:w="2085" w:type="dxa"/>
            <w:noWrap/>
            <w:hideMark/>
          </w:tcPr>
          <w:p w:rsidR="00861775" w:rsidRDefault="00861775" w:rsidP="00861775">
            <w:pPr>
              <w:jc w:val="right"/>
              <w:rPr>
                <w:rFonts w:cs="Arial"/>
                <w:color w:val="000000"/>
              </w:rPr>
            </w:pPr>
            <w:r>
              <w:rPr>
                <w:rFonts w:cs="Arial"/>
                <w:color w:val="000000"/>
              </w:rPr>
              <w:t>01611680000000</w:t>
            </w:r>
          </w:p>
        </w:tc>
        <w:tc>
          <w:tcPr>
            <w:tcW w:w="4460" w:type="dxa"/>
            <w:noWrap/>
            <w:hideMark/>
          </w:tcPr>
          <w:p w:rsidR="00861775" w:rsidRDefault="00861775" w:rsidP="00861775">
            <w:pPr>
              <w:rPr>
                <w:rFonts w:cs="Arial"/>
                <w:color w:val="000000"/>
              </w:rPr>
            </w:pPr>
            <w:r>
              <w:rPr>
                <w:rFonts w:cs="Arial"/>
                <w:color w:val="000000"/>
              </w:rPr>
              <w:t>Emery Unified</w:t>
            </w:r>
          </w:p>
        </w:tc>
        <w:tc>
          <w:tcPr>
            <w:tcW w:w="1660" w:type="dxa"/>
            <w:noWrap/>
            <w:hideMark/>
          </w:tcPr>
          <w:p w:rsidR="00861775" w:rsidRDefault="00861775" w:rsidP="00861775">
            <w:pPr>
              <w:jc w:val="right"/>
              <w:rPr>
                <w:rFonts w:cs="Arial"/>
                <w:color w:val="000000"/>
              </w:rPr>
            </w:pPr>
            <w:r>
              <w:rPr>
                <w:rFonts w:cs="Arial"/>
                <w:color w:val="000000"/>
              </w:rPr>
              <w:t>131,036</w:t>
            </w:r>
          </w:p>
        </w:tc>
        <w:tc>
          <w:tcPr>
            <w:tcW w:w="1580" w:type="dxa"/>
            <w:noWrap/>
            <w:hideMark/>
          </w:tcPr>
          <w:p w:rsidR="00861775" w:rsidRDefault="00861775" w:rsidP="00861775">
            <w:pPr>
              <w:jc w:val="right"/>
              <w:rPr>
                <w:rFonts w:cs="Arial"/>
                <w:color w:val="000000"/>
              </w:rPr>
            </w:pPr>
            <w:r>
              <w:rPr>
                <w:rFonts w:cs="Arial"/>
                <w:color w:val="000000"/>
              </w:rPr>
              <w:t>188</w:t>
            </w:r>
          </w:p>
        </w:tc>
        <w:tc>
          <w:tcPr>
            <w:tcW w:w="1560" w:type="dxa"/>
            <w:noWrap/>
            <w:hideMark/>
          </w:tcPr>
          <w:p w:rsidR="00861775" w:rsidRDefault="00861775" w:rsidP="00861775">
            <w:pPr>
              <w:jc w:val="right"/>
              <w:rPr>
                <w:rFonts w:cs="Arial"/>
                <w:color w:val="000000"/>
              </w:rPr>
            </w:pPr>
            <w:r>
              <w:rPr>
                <w:rFonts w:cs="Arial"/>
                <w:color w:val="000000"/>
              </w:rPr>
              <w:t>95,119</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5</w:t>
            </w:r>
          </w:p>
        </w:tc>
        <w:tc>
          <w:tcPr>
            <w:tcW w:w="2085" w:type="dxa"/>
            <w:noWrap/>
            <w:hideMark/>
          </w:tcPr>
          <w:p w:rsidR="00861775" w:rsidRDefault="00861775" w:rsidP="00861775">
            <w:pPr>
              <w:jc w:val="right"/>
              <w:rPr>
                <w:rFonts w:cs="Arial"/>
                <w:color w:val="000000"/>
              </w:rPr>
            </w:pPr>
            <w:r>
              <w:rPr>
                <w:rFonts w:cs="Arial"/>
                <w:color w:val="000000"/>
              </w:rPr>
              <w:t>04614240118042</w:t>
            </w:r>
          </w:p>
        </w:tc>
        <w:tc>
          <w:tcPr>
            <w:tcW w:w="4460" w:type="dxa"/>
            <w:noWrap/>
            <w:hideMark/>
          </w:tcPr>
          <w:p w:rsidR="00861775" w:rsidRDefault="00861775" w:rsidP="00861775">
            <w:pPr>
              <w:rPr>
                <w:rFonts w:cs="Arial"/>
                <w:color w:val="000000"/>
              </w:rPr>
            </w:pPr>
            <w:r>
              <w:rPr>
                <w:rFonts w:cs="Arial"/>
                <w:color w:val="000000"/>
              </w:rPr>
              <w:t>Forest Ranch Charter</w:t>
            </w:r>
          </w:p>
        </w:tc>
        <w:tc>
          <w:tcPr>
            <w:tcW w:w="1660" w:type="dxa"/>
            <w:noWrap/>
            <w:hideMark/>
          </w:tcPr>
          <w:p w:rsidR="00861775" w:rsidRDefault="00861775" w:rsidP="00861775">
            <w:pPr>
              <w:jc w:val="right"/>
              <w:rPr>
                <w:rFonts w:cs="Arial"/>
                <w:color w:val="000000"/>
              </w:rPr>
            </w:pPr>
            <w:r>
              <w:rPr>
                <w:rFonts w:cs="Arial"/>
                <w:color w:val="000000"/>
              </w:rPr>
              <w:t>28,109</w:t>
            </w:r>
          </w:p>
        </w:tc>
        <w:tc>
          <w:tcPr>
            <w:tcW w:w="1580" w:type="dxa"/>
            <w:noWrap/>
            <w:hideMark/>
          </w:tcPr>
          <w:p w:rsidR="00861775" w:rsidRDefault="00861775" w:rsidP="00861775">
            <w:pPr>
              <w:jc w:val="right"/>
              <w:rPr>
                <w:rFonts w:cs="Arial"/>
                <w:color w:val="000000"/>
              </w:rPr>
            </w:pPr>
            <w:r>
              <w:rPr>
                <w:rFonts w:cs="Arial"/>
                <w:color w:val="000000"/>
              </w:rPr>
              <w:t>224</w:t>
            </w:r>
          </w:p>
        </w:tc>
        <w:tc>
          <w:tcPr>
            <w:tcW w:w="1560" w:type="dxa"/>
            <w:noWrap/>
            <w:hideMark/>
          </w:tcPr>
          <w:p w:rsidR="00861775" w:rsidRDefault="00861775" w:rsidP="00861775">
            <w:pPr>
              <w:jc w:val="right"/>
              <w:rPr>
                <w:rFonts w:cs="Arial"/>
                <w:color w:val="000000"/>
              </w:rPr>
            </w:pPr>
            <w:r>
              <w:rPr>
                <w:rFonts w:cs="Arial"/>
                <w:color w:val="000000"/>
              </w:rPr>
              <w:t>24,185</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6</w:t>
            </w:r>
          </w:p>
        </w:tc>
        <w:tc>
          <w:tcPr>
            <w:tcW w:w="2085" w:type="dxa"/>
            <w:noWrap/>
            <w:hideMark/>
          </w:tcPr>
          <w:p w:rsidR="00861775" w:rsidRDefault="00861775" w:rsidP="00861775">
            <w:pPr>
              <w:jc w:val="right"/>
              <w:rPr>
                <w:rFonts w:cs="Arial"/>
                <w:color w:val="000000"/>
              </w:rPr>
            </w:pPr>
            <w:r>
              <w:rPr>
                <w:rFonts w:cs="Arial"/>
                <w:color w:val="000000"/>
              </w:rPr>
              <w:t>34674470132399</w:t>
            </w:r>
          </w:p>
        </w:tc>
        <w:tc>
          <w:tcPr>
            <w:tcW w:w="4460" w:type="dxa"/>
            <w:noWrap/>
            <w:hideMark/>
          </w:tcPr>
          <w:p w:rsidR="00861775" w:rsidRDefault="00861775" w:rsidP="00861775">
            <w:pPr>
              <w:rPr>
                <w:rFonts w:cs="Arial"/>
                <w:color w:val="000000"/>
              </w:rPr>
            </w:pPr>
            <w:r>
              <w:rPr>
                <w:rFonts w:cs="Arial"/>
                <w:color w:val="000000"/>
              </w:rPr>
              <w:t>Golden Valley Orchard</w:t>
            </w:r>
          </w:p>
        </w:tc>
        <w:tc>
          <w:tcPr>
            <w:tcW w:w="1660" w:type="dxa"/>
            <w:noWrap/>
            <w:hideMark/>
          </w:tcPr>
          <w:p w:rsidR="00861775" w:rsidRDefault="00861775" w:rsidP="00861775">
            <w:pPr>
              <w:jc w:val="right"/>
              <w:rPr>
                <w:rFonts w:cs="Arial"/>
                <w:color w:val="000000"/>
              </w:rPr>
            </w:pPr>
            <w:r>
              <w:rPr>
                <w:rFonts w:cs="Arial"/>
                <w:color w:val="000000"/>
              </w:rPr>
              <w:t>0</w:t>
            </w:r>
          </w:p>
        </w:tc>
        <w:tc>
          <w:tcPr>
            <w:tcW w:w="1580" w:type="dxa"/>
            <w:noWrap/>
            <w:hideMark/>
          </w:tcPr>
          <w:p w:rsidR="00861775" w:rsidRDefault="00861775" w:rsidP="00861775">
            <w:pPr>
              <w:jc w:val="right"/>
              <w:rPr>
                <w:rFonts w:cs="Arial"/>
                <w:color w:val="000000"/>
              </w:rPr>
            </w:pPr>
            <w:r>
              <w:rPr>
                <w:rFonts w:cs="Arial"/>
                <w:color w:val="000000"/>
              </w:rPr>
              <w:t>0</w:t>
            </w:r>
          </w:p>
        </w:tc>
        <w:tc>
          <w:tcPr>
            <w:tcW w:w="1560" w:type="dxa"/>
            <w:noWrap/>
            <w:hideMark/>
          </w:tcPr>
          <w:p w:rsidR="00861775" w:rsidRDefault="00861775" w:rsidP="00861775">
            <w:pPr>
              <w:jc w:val="right"/>
              <w:rPr>
                <w:rFonts w:cs="Arial"/>
                <w:color w:val="000000"/>
              </w:rPr>
            </w:pPr>
            <w:r>
              <w:rPr>
                <w:rFonts w:cs="Arial"/>
                <w:color w:val="000000"/>
              </w:rPr>
              <w:t>0</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7</w:t>
            </w:r>
          </w:p>
        </w:tc>
        <w:tc>
          <w:tcPr>
            <w:tcW w:w="2085" w:type="dxa"/>
            <w:noWrap/>
            <w:hideMark/>
          </w:tcPr>
          <w:p w:rsidR="00861775" w:rsidRDefault="00861775" w:rsidP="00861775">
            <w:pPr>
              <w:jc w:val="right"/>
              <w:rPr>
                <w:rFonts w:cs="Arial"/>
                <w:color w:val="000000"/>
              </w:rPr>
            </w:pPr>
            <w:r>
              <w:rPr>
                <w:rFonts w:cs="Arial"/>
                <w:color w:val="000000"/>
              </w:rPr>
              <w:t>34674470114983</w:t>
            </w:r>
          </w:p>
        </w:tc>
        <w:tc>
          <w:tcPr>
            <w:tcW w:w="4460" w:type="dxa"/>
            <w:noWrap/>
            <w:hideMark/>
          </w:tcPr>
          <w:p w:rsidR="00861775" w:rsidRDefault="00861775" w:rsidP="00861775">
            <w:pPr>
              <w:rPr>
                <w:rFonts w:cs="Arial"/>
                <w:color w:val="000000"/>
              </w:rPr>
            </w:pPr>
            <w:r>
              <w:rPr>
                <w:rFonts w:cs="Arial"/>
                <w:color w:val="000000"/>
              </w:rPr>
              <w:t>Golden Valley River</w:t>
            </w:r>
          </w:p>
        </w:tc>
        <w:tc>
          <w:tcPr>
            <w:tcW w:w="1660" w:type="dxa"/>
            <w:noWrap/>
            <w:hideMark/>
          </w:tcPr>
          <w:p w:rsidR="00861775" w:rsidRDefault="00861775" w:rsidP="00861775">
            <w:pPr>
              <w:jc w:val="right"/>
              <w:rPr>
                <w:rFonts w:cs="Arial"/>
                <w:color w:val="000000"/>
              </w:rPr>
            </w:pPr>
            <w:r>
              <w:rPr>
                <w:rFonts w:cs="Arial"/>
                <w:color w:val="000000"/>
              </w:rPr>
              <w:t>0</w:t>
            </w:r>
          </w:p>
        </w:tc>
        <w:tc>
          <w:tcPr>
            <w:tcW w:w="1580" w:type="dxa"/>
            <w:noWrap/>
            <w:hideMark/>
          </w:tcPr>
          <w:p w:rsidR="00861775" w:rsidRDefault="00861775" w:rsidP="00861775">
            <w:pPr>
              <w:jc w:val="right"/>
              <w:rPr>
                <w:rFonts w:cs="Arial"/>
                <w:color w:val="000000"/>
              </w:rPr>
            </w:pPr>
            <w:r>
              <w:rPr>
                <w:rFonts w:cs="Arial"/>
                <w:color w:val="000000"/>
              </w:rPr>
              <w:t>0</w:t>
            </w:r>
          </w:p>
        </w:tc>
        <w:tc>
          <w:tcPr>
            <w:tcW w:w="1560" w:type="dxa"/>
            <w:noWrap/>
            <w:hideMark/>
          </w:tcPr>
          <w:p w:rsidR="00861775" w:rsidRDefault="00861775" w:rsidP="00861775">
            <w:pPr>
              <w:jc w:val="right"/>
              <w:rPr>
                <w:rFonts w:cs="Arial"/>
                <w:color w:val="000000"/>
              </w:rPr>
            </w:pPr>
            <w:r>
              <w:rPr>
                <w:rFonts w:cs="Arial"/>
                <w:color w:val="000000"/>
              </w:rPr>
              <w:t>0</w:t>
            </w:r>
          </w:p>
        </w:tc>
      </w:tr>
      <w:tr w:rsidR="00861775" w:rsidRPr="00032AAB" w:rsidTr="00DA1949">
        <w:trPr>
          <w:trHeight w:val="300"/>
        </w:trPr>
        <w:tc>
          <w:tcPr>
            <w:tcW w:w="1123" w:type="dxa"/>
            <w:noWrap/>
            <w:hideMark/>
          </w:tcPr>
          <w:p w:rsidR="00861775" w:rsidRDefault="00861775" w:rsidP="00861775">
            <w:pPr>
              <w:jc w:val="right"/>
              <w:rPr>
                <w:rFonts w:cs="Arial"/>
                <w:color w:val="000000"/>
              </w:rPr>
            </w:pPr>
            <w:r>
              <w:rPr>
                <w:rFonts w:cs="Arial"/>
                <w:color w:val="000000"/>
              </w:rPr>
              <w:t>8</w:t>
            </w:r>
          </w:p>
        </w:tc>
        <w:tc>
          <w:tcPr>
            <w:tcW w:w="2085" w:type="dxa"/>
            <w:noWrap/>
            <w:hideMark/>
          </w:tcPr>
          <w:p w:rsidR="00861775" w:rsidRDefault="00861775" w:rsidP="00861775">
            <w:pPr>
              <w:jc w:val="right"/>
              <w:rPr>
                <w:rFonts w:cs="Arial"/>
                <w:color w:val="000000"/>
              </w:rPr>
            </w:pPr>
            <w:r>
              <w:rPr>
                <w:rFonts w:cs="Arial"/>
                <w:color w:val="000000"/>
              </w:rPr>
              <w:t>04614240123810</w:t>
            </w:r>
          </w:p>
        </w:tc>
        <w:tc>
          <w:tcPr>
            <w:tcW w:w="4460" w:type="dxa"/>
            <w:noWrap/>
            <w:hideMark/>
          </w:tcPr>
          <w:p w:rsidR="00861775" w:rsidRDefault="00861775" w:rsidP="00861775">
            <w:pPr>
              <w:rPr>
                <w:rFonts w:cs="Arial"/>
                <w:color w:val="000000"/>
              </w:rPr>
            </w:pPr>
            <w:r>
              <w:rPr>
                <w:rFonts w:cs="Arial"/>
                <w:color w:val="000000"/>
              </w:rPr>
              <w:t>Wildflower Open Classroom</w:t>
            </w:r>
          </w:p>
        </w:tc>
        <w:tc>
          <w:tcPr>
            <w:tcW w:w="1660" w:type="dxa"/>
            <w:noWrap/>
            <w:hideMark/>
          </w:tcPr>
          <w:p w:rsidR="00861775" w:rsidRDefault="00861775" w:rsidP="00861775">
            <w:pPr>
              <w:jc w:val="right"/>
              <w:rPr>
                <w:rFonts w:cs="Arial"/>
                <w:color w:val="000000"/>
              </w:rPr>
            </w:pPr>
            <w:r>
              <w:rPr>
                <w:rFonts w:cs="Arial"/>
                <w:color w:val="000000"/>
              </w:rPr>
              <w:t>17,251</w:t>
            </w:r>
          </w:p>
        </w:tc>
        <w:tc>
          <w:tcPr>
            <w:tcW w:w="1580" w:type="dxa"/>
            <w:noWrap/>
            <w:hideMark/>
          </w:tcPr>
          <w:p w:rsidR="00861775" w:rsidRDefault="00861775" w:rsidP="00861775">
            <w:pPr>
              <w:jc w:val="right"/>
              <w:rPr>
                <w:rFonts w:cs="Arial"/>
                <w:color w:val="000000"/>
              </w:rPr>
            </w:pPr>
            <w:r>
              <w:rPr>
                <w:rFonts w:cs="Arial"/>
                <w:color w:val="000000"/>
              </w:rPr>
              <w:t>99</w:t>
            </w:r>
          </w:p>
        </w:tc>
        <w:tc>
          <w:tcPr>
            <w:tcW w:w="1560" w:type="dxa"/>
            <w:noWrap/>
            <w:hideMark/>
          </w:tcPr>
          <w:p w:rsidR="00861775" w:rsidRDefault="00861775" w:rsidP="00861775">
            <w:pPr>
              <w:jc w:val="right"/>
              <w:rPr>
                <w:rFonts w:cs="Arial"/>
                <w:color w:val="000000"/>
              </w:rPr>
            </w:pPr>
            <w:r>
              <w:rPr>
                <w:rFonts w:cs="Arial"/>
                <w:color w:val="000000"/>
              </w:rPr>
              <w:t>14,073</w:t>
            </w:r>
          </w:p>
        </w:tc>
      </w:tr>
    </w:tbl>
    <w:p w:rsidR="00FF1F4A" w:rsidRPr="00E5652B" w:rsidRDefault="00E5652B" w:rsidP="00FF1F4A">
      <w:pPr>
        <w:spacing w:before="360" w:after="240" w:line="259" w:lineRule="auto"/>
      </w:pPr>
      <w:r>
        <w:t>Crea</w:t>
      </w:r>
      <w:r w:rsidR="00F33D08" w:rsidRPr="00E5652B">
        <w:t>te</w:t>
      </w:r>
      <w:r w:rsidR="00FF1F4A" w:rsidRPr="00E5652B">
        <w:t xml:space="preserve">d by the California Department of Education </w:t>
      </w:r>
      <w:r w:rsidR="00861775">
        <w:t>January</w:t>
      </w:r>
      <w:r>
        <w:t xml:space="preserve"> </w:t>
      </w:r>
      <w:r w:rsidR="00861775">
        <w:t>6</w:t>
      </w:r>
      <w:r w:rsidR="00FF1F4A" w:rsidRPr="00E5652B">
        <w:t>, 202</w:t>
      </w:r>
      <w:r w:rsidR="00861775">
        <w:t>2</w:t>
      </w:r>
      <w:r w:rsidR="00FF1F4A" w:rsidRPr="00E5652B">
        <w:t>.</w:t>
      </w:r>
    </w:p>
    <w:p w:rsidR="00F510A8" w:rsidRPr="00C4744D" w:rsidRDefault="00FF1F4A" w:rsidP="00FF1F4A">
      <w:pPr>
        <w:spacing w:after="600" w:line="259" w:lineRule="auto"/>
        <w:rPr>
          <w:rFonts w:cs="Arial"/>
        </w:rPr>
      </w:pPr>
      <w:r w:rsidRPr="00E5652B">
        <w:rPr>
          <w:rFonts w:cs="Arial"/>
        </w:rPr>
        <w:t>Total 20</w:t>
      </w:r>
      <w:r w:rsidR="00E5652B">
        <w:rPr>
          <w:rFonts w:cs="Arial"/>
        </w:rPr>
        <w:t>20</w:t>
      </w:r>
      <w:r w:rsidRPr="00E5652B">
        <w:t>–2</w:t>
      </w:r>
      <w:r w:rsidR="00E5652B">
        <w:t>1</w:t>
      </w:r>
      <w:r w:rsidRPr="00E5652B">
        <w:rPr>
          <w:rFonts w:cs="Arial"/>
        </w:rPr>
        <w:t xml:space="preserve"> </w:t>
      </w:r>
      <w:proofErr w:type="spellStart"/>
      <w:r w:rsidRPr="00E5652B">
        <w:rPr>
          <w:rFonts w:cs="Arial"/>
        </w:rPr>
        <w:t>ConApp</w:t>
      </w:r>
      <w:proofErr w:type="spellEnd"/>
      <w:r w:rsidRPr="00E5652B">
        <w:rPr>
          <w:rFonts w:cs="Arial"/>
        </w:rPr>
        <w:t xml:space="preserve"> entitlement funds for above LEAs receiving regular approval: $</w:t>
      </w:r>
      <w:r w:rsidR="00861775">
        <w:rPr>
          <w:rFonts w:cs="Arial"/>
        </w:rPr>
        <w:t>6</w:t>
      </w:r>
      <w:r w:rsidRPr="00E5652B">
        <w:rPr>
          <w:rFonts w:cs="Arial"/>
        </w:rPr>
        <w:t>,</w:t>
      </w:r>
      <w:r w:rsidR="00861775">
        <w:rPr>
          <w:rFonts w:cs="Arial"/>
        </w:rPr>
        <w:t>459</w:t>
      </w:r>
      <w:r w:rsidRPr="00E5652B">
        <w:rPr>
          <w:rFonts w:cs="Arial"/>
        </w:rPr>
        <w:t>,6</w:t>
      </w:r>
      <w:r w:rsidR="00861775">
        <w:rPr>
          <w:rFonts w:cs="Arial"/>
        </w:rPr>
        <w:t>84</w:t>
      </w:r>
      <w:r w:rsidRPr="00E5652B">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E71" w:rsidRDefault="005D4E71" w:rsidP="000E09DC">
      <w:r>
        <w:separator/>
      </w:r>
    </w:p>
  </w:endnote>
  <w:endnote w:type="continuationSeparator" w:id="0">
    <w:p w:rsidR="005D4E71" w:rsidRDefault="005D4E7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E71" w:rsidRDefault="005D4E71" w:rsidP="000E09DC">
      <w:r>
        <w:separator/>
      </w:r>
    </w:p>
  </w:footnote>
  <w:footnote w:type="continuationSeparator" w:id="0">
    <w:p w:rsidR="005D4E71" w:rsidRDefault="005D4E7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7B6BF5">
      <w:t>t</w:t>
    </w:r>
    <w:r w:rsidR="00921A0E">
      <w:t>b-edmd-</w:t>
    </w:r>
    <w:r w:rsidR="001367E1">
      <w:t>mar</w:t>
    </w:r>
    <w:r>
      <w:t>2</w:t>
    </w:r>
    <w:r w:rsidR="007B6BF5">
      <w:t>2</w:t>
    </w:r>
    <w:r w:rsidR="00921A0E">
      <w:t>item01</w:t>
    </w:r>
  </w:p>
  <w:p w:rsidR="00921A0E" w:rsidRDefault="005D4E71" w:rsidP="00CD4723">
    <w:pPr>
      <w:pStyle w:val="Header"/>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p w:rsidR="00921A0E" w:rsidRPr="00E91B1C" w:rsidRDefault="00921A0E"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AD371B">
      <w:t>t</w:t>
    </w:r>
    <w:r w:rsidR="00921A0E">
      <w:t>b-edmd-</w:t>
    </w:r>
    <w:r w:rsidR="001367E1">
      <w:t>mar</w:t>
    </w:r>
    <w:r>
      <w:t>2</w:t>
    </w:r>
    <w:r w:rsidR="00AD371B">
      <w:t>2</w:t>
    </w:r>
    <w:r w:rsidR="00921A0E">
      <w:t>item01</w:t>
    </w:r>
  </w:p>
  <w:sdt>
    <w:sdtPr>
      <w:id w:val="-798676553"/>
      <w:docPartObj>
        <w:docPartGallery w:val="Page Numbers (Top of Page)"/>
        <w:docPartUnique/>
      </w:docPartObj>
    </w:sdtPr>
    <w:sdtEndPr/>
    <w:sdtContent>
      <w:p w:rsidR="00921A0E" w:rsidRDefault="00921A0E"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3318E3">
          <w:rPr>
            <w:bCs/>
            <w:noProof/>
          </w:rPr>
          <w:t>2</w:t>
        </w:r>
        <w:r w:rsidRPr="00E51E51">
          <w:rPr>
            <w:bCs/>
          </w:rPr>
          <w:fldChar w:fldCharType="end"/>
        </w:r>
        <w:r w:rsidRPr="00E51E51">
          <w:t xml:space="preserve"> of </w:t>
        </w:r>
        <w:r>
          <w:rPr>
            <w:bCs/>
          </w:rPr>
          <w:t>3</w:t>
        </w:r>
      </w:p>
      <w:p w:rsidR="00921A0E" w:rsidRPr="00CD4723" w:rsidRDefault="005D4E71"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306639">
    <w:pPr>
      <w:pStyle w:val="Header"/>
      <w:jc w:val="right"/>
    </w:pPr>
    <w:r>
      <w:t>i</w:t>
    </w:r>
    <w:r w:rsidR="00FC7DC6">
      <w:t>t</w:t>
    </w:r>
    <w:r>
      <w:t>b</w:t>
    </w:r>
    <w:r w:rsidR="00921A0E">
      <w:t>-edmd-</w:t>
    </w:r>
    <w:r>
      <w:t>jan2</w:t>
    </w:r>
    <w:r w:rsidR="00FC7DC6">
      <w:t>2</w:t>
    </w:r>
    <w:r w:rsidR="00921A0E">
      <w:t>item01</w:t>
    </w:r>
  </w:p>
  <w:p w:rsidR="00921A0E" w:rsidRDefault="005D4E71"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3318E3">
                  <w:rPr>
                    <w:rStyle w:val="PageNumber"/>
                    <w:rFonts w:eastAsiaTheme="majorEastAsia" w:cs="Arial"/>
                    <w:noProof/>
                  </w:rPr>
                  <w:t>4</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FC7DC6">
                  <w:rPr>
                    <w:rStyle w:val="PageNumber"/>
                    <w:rFonts w:eastAsiaTheme="majorEastAsia" w:cs="Arial"/>
                  </w:rPr>
                  <w:t>2</w:t>
                </w:r>
              </w:sdtContent>
            </w:sdt>
          </w:sdtContent>
        </w:sdt>
      </w:sdtContent>
    </w:sdt>
  </w:p>
  <w:p w:rsidR="00921A0E" w:rsidRPr="00E91B1C" w:rsidRDefault="00921A0E"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0E" w:rsidRDefault="00FF1F4A" w:rsidP="00E51E51">
    <w:pPr>
      <w:pStyle w:val="Header"/>
      <w:jc w:val="right"/>
    </w:pPr>
    <w:r>
      <w:t>i</w:t>
    </w:r>
    <w:r w:rsidR="007B6BF5">
      <w:t>t</w:t>
    </w:r>
    <w:r w:rsidR="00921A0E">
      <w:t>b-edmd-</w:t>
    </w:r>
    <w:r w:rsidR="00861775">
      <w:t>mar</w:t>
    </w:r>
    <w:r>
      <w:t>2</w:t>
    </w:r>
    <w:r w:rsidR="007B6BF5">
      <w:t>2</w:t>
    </w:r>
    <w:r w:rsidR="00921A0E">
      <w:t>item01</w:t>
    </w:r>
  </w:p>
  <w:p w:rsidR="00921A0E" w:rsidRDefault="005D4E71"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861775">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5739"/>
    <w:rsid w:val="00045A8A"/>
    <w:rsid w:val="0008249A"/>
    <w:rsid w:val="000C346E"/>
    <w:rsid w:val="000E09DC"/>
    <w:rsid w:val="0010032E"/>
    <w:rsid w:val="001048F3"/>
    <w:rsid w:val="001064A7"/>
    <w:rsid w:val="00122A04"/>
    <w:rsid w:val="00130059"/>
    <w:rsid w:val="001367E1"/>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841E9"/>
    <w:rsid w:val="00293DC5"/>
    <w:rsid w:val="002B15E3"/>
    <w:rsid w:val="002B4B14"/>
    <w:rsid w:val="002C3D78"/>
    <w:rsid w:val="002D1A82"/>
    <w:rsid w:val="002D5DBF"/>
    <w:rsid w:val="002E4CB5"/>
    <w:rsid w:val="002E6FCA"/>
    <w:rsid w:val="002F279B"/>
    <w:rsid w:val="00306639"/>
    <w:rsid w:val="00315131"/>
    <w:rsid w:val="003250E1"/>
    <w:rsid w:val="003318E3"/>
    <w:rsid w:val="00362D61"/>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670C"/>
    <w:rsid w:val="0047534A"/>
    <w:rsid w:val="004831D5"/>
    <w:rsid w:val="004A7F8C"/>
    <w:rsid w:val="004D3F62"/>
    <w:rsid w:val="004E029B"/>
    <w:rsid w:val="005063D7"/>
    <w:rsid w:val="00517C00"/>
    <w:rsid w:val="00527B0E"/>
    <w:rsid w:val="005355EE"/>
    <w:rsid w:val="005D4E71"/>
    <w:rsid w:val="0068413A"/>
    <w:rsid w:val="00692300"/>
    <w:rsid w:val="00693951"/>
    <w:rsid w:val="006B2111"/>
    <w:rsid w:val="006C3AB3"/>
    <w:rsid w:val="006D0223"/>
    <w:rsid w:val="006E06C6"/>
    <w:rsid w:val="00726EDA"/>
    <w:rsid w:val="007313A3"/>
    <w:rsid w:val="007428B8"/>
    <w:rsid w:val="00746164"/>
    <w:rsid w:val="007515D9"/>
    <w:rsid w:val="00777320"/>
    <w:rsid w:val="00780BB6"/>
    <w:rsid w:val="0079080B"/>
    <w:rsid w:val="00793676"/>
    <w:rsid w:val="007B6BF5"/>
    <w:rsid w:val="007C5697"/>
    <w:rsid w:val="007D6A8F"/>
    <w:rsid w:val="007F4763"/>
    <w:rsid w:val="007F6403"/>
    <w:rsid w:val="00861775"/>
    <w:rsid w:val="00862BAA"/>
    <w:rsid w:val="008909EE"/>
    <w:rsid w:val="00894FA3"/>
    <w:rsid w:val="008A6F5A"/>
    <w:rsid w:val="0091117B"/>
    <w:rsid w:val="00921A0E"/>
    <w:rsid w:val="009B04E1"/>
    <w:rsid w:val="009D5028"/>
    <w:rsid w:val="009F01C2"/>
    <w:rsid w:val="009F278B"/>
    <w:rsid w:val="009F4B55"/>
    <w:rsid w:val="00A07F42"/>
    <w:rsid w:val="00A16315"/>
    <w:rsid w:val="00A30B3C"/>
    <w:rsid w:val="00A74AAE"/>
    <w:rsid w:val="00AC6AA0"/>
    <w:rsid w:val="00AD371B"/>
    <w:rsid w:val="00AD5657"/>
    <w:rsid w:val="00AF4E5B"/>
    <w:rsid w:val="00AF6D22"/>
    <w:rsid w:val="00B174FF"/>
    <w:rsid w:val="00B641AF"/>
    <w:rsid w:val="00B723BE"/>
    <w:rsid w:val="00B82705"/>
    <w:rsid w:val="00B916B4"/>
    <w:rsid w:val="00BB4F18"/>
    <w:rsid w:val="00BE1852"/>
    <w:rsid w:val="00C01958"/>
    <w:rsid w:val="00C062C1"/>
    <w:rsid w:val="00C27D57"/>
    <w:rsid w:val="00C4744D"/>
    <w:rsid w:val="00C712EB"/>
    <w:rsid w:val="00C82CBA"/>
    <w:rsid w:val="00C83189"/>
    <w:rsid w:val="00CB142F"/>
    <w:rsid w:val="00CB69D5"/>
    <w:rsid w:val="00CD4723"/>
    <w:rsid w:val="00CE1C84"/>
    <w:rsid w:val="00D13C52"/>
    <w:rsid w:val="00D47DAB"/>
    <w:rsid w:val="00D5115F"/>
    <w:rsid w:val="00D8667C"/>
    <w:rsid w:val="00D86AB9"/>
    <w:rsid w:val="00DA1949"/>
    <w:rsid w:val="00DD0251"/>
    <w:rsid w:val="00DE175F"/>
    <w:rsid w:val="00E31A24"/>
    <w:rsid w:val="00E51E51"/>
    <w:rsid w:val="00E5652B"/>
    <w:rsid w:val="00E91B1C"/>
    <w:rsid w:val="00EA7D4F"/>
    <w:rsid w:val="00EB16F7"/>
    <w:rsid w:val="00EC504C"/>
    <w:rsid w:val="00EC73FA"/>
    <w:rsid w:val="00F11C4F"/>
    <w:rsid w:val="00F33D08"/>
    <w:rsid w:val="00F369A4"/>
    <w:rsid w:val="00F40510"/>
    <w:rsid w:val="00F510A8"/>
    <w:rsid w:val="00F5125B"/>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177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DA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958D4-38C0-4C68-93C8-8D88A258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825</Words>
  <Characters>4708</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March 2022 Agenda Item 08 - Meeting Agendas (CA State Board of Education)</vt:lpstr>
    </vt:vector>
  </TitlesOfParts>
  <Company>California State Board of Education</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09 - Meeting Agendas (CA State Board of Education)</dc:title>
  <dc:subject>Approval of 2021-22 Consolidated Applications.</dc:subject>
  <dc:creator/>
  <cp:keywords/>
  <dc:description/>
  <cp:lastPrinted>2020-12-15T01:33:00Z</cp:lastPrinted>
  <dcterms:created xsi:type="dcterms:W3CDTF">2020-12-15T00:54:00Z</dcterms:created>
  <dcterms:modified xsi:type="dcterms:W3CDTF">2022-02-24T19:13:00Z</dcterms:modified>
  <cp:category/>
</cp:coreProperties>
</file>