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6B7AF5">
        <w:t>ma</w:t>
      </w:r>
      <w:r w:rsidR="00366503">
        <w:t>y</w:t>
      </w:r>
      <w:r>
        <w:t>2</w:t>
      </w:r>
      <w:r w:rsidR="00DC1808">
        <w:t>2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B7AF5">
        <w:rPr>
          <w:sz w:val="40"/>
          <w:szCs w:val="40"/>
        </w:rPr>
        <w:t>Ma</w:t>
      </w:r>
      <w:r w:rsidR="00366503">
        <w:rPr>
          <w:sz w:val="40"/>
          <w:szCs w:val="40"/>
        </w:rPr>
        <w:t>y</w:t>
      </w:r>
      <w:r w:rsidR="00E62F6C">
        <w:rPr>
          <w:sz w:val="40"/>
          <w:szCs w:val="40"/>
        </w:rPr>
        <w:t xml:space="preserve"> 202</w:t>
      </w:r>
      <w:r w:rsidR="00DC180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8D14AE">
        <w:rPr>
          <w:sz w:val="40"/>
          <w:szCs w:val="40"/>
        </w:rPr>
        <w:t>1</w:t>
      </w:r>
      <w:r w:rsidR="00366503">
        <w:rPr>
          <w:sz w:val="40"/>
          <w:szCs w:val="40"/>
        </w:rPr>
        <w:t>2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Summary of Previous State Board of Education Discussion </w:t>
      </w:r>
      <w:bookmarkStart w:id="0" w:name="_GoBack"/>
      <w:bookmarkEnd w:id="0"/>
      <w:r>
        <w:rPr>
          <w:sz w:val="36"/>
          <w:szCs w:val="36"/>
        </w:rPr>
        <w:t>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6B7AF5">
      <w:t>ma</w:t>
    </w:r>
    <w:r w:rsidR="00366503">
      <w:t>y</w:t>
    </w:r>
    <w:r w:rsidR="00E62F6C">
      <w:t>2</w:t>
    </w:r>
    <w:r w:rsidR="00DC1808">
      <w:t>2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66503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62393A4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734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12 -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2022-05-03T15:45:00Z</dcterms:modified>
  <cp:category/>
</cp:coreProperties>
</file>