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704868" w:rsidRDefault="00D5115F" w:rsidP="00704868">
      <w:r w:rsidRPr="00704868">
        <w:rPr>
          <w:noProof/>
        </w:rPr>
        <w:drawing>
          <wp:inline distT="0" distB="0" distL="0" distR="0" wp14:anchorId="36EB24EC" wp14:editId="038E186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704868" w:rsidRDefault="00FC1FCE" w:rsidP="00704868">
      <w:pPr>
        <w:jc w:val="right"/>
      </w:pPr>
      <w:bookmarkStart w:id="0" w:name="_GoBack"/>
      <w:bookmarkEnd w:id="0"/>
      <w:r w:rsidRPr="00704868">
        <w:t>California Department of Education</w:t>
      </w:r>
    </w:p>
    <w:p w14:paraId="1CAF1CB7" w14:textId="77777777" w:rsidR="00B723BE" w:rsidRPr="00704868" w:rsidRDefault="00FC1FCE" w:rsidP="00704868">
      <w:pPr>
        <w:jc w:val="right"/>
      </w:pPr>
      <w:r w:rsidRPr="00704868">
        <w:t>Executive Office</w:t>
      </w:r>
    </w:p>
    <w:p w14:paraId="18A2FE91" w14:textId="77777777" w:rsidR="002B4B14" w:rsidRPr="00704868" w:rsidRDefault="00692300" w:rsidP="00704868">
      <w:pPr>
        <w:jc w:val="right"/>
      </w:pPr>
      <w:r w:rsidRPr="00704868">
        <w:t>SBE-00</w:t>
      </w:r>
      <w:r w:rsidR="000324AD" w:rsidRPr="00704868">
        <w:t>3</w:t>
      </w:r>
      <w:r w:rsidRPr="00704868">
        <w:t xml:space="preserve"> (REV. 1</w:t>
      </w:r>
      <w:r w:rsidR="00C27D57" w:rsidRPr="00704868">
        <w:t>1</w:t>
      </w:r>
      <w:r w:rsidRPr="00704868">
        <w:t>/2017</w:t>
      </w:r>
      <w:r w:rsidR="00FC1FCE" w:rsidRPr="00704868">
        <w:t>)</w:t>
      </w:r>
    </w:p>
    <w:p w14:paraId="0A37501D" w14:textId="53B4698B" w:rsidR="00B723BE" w:rsidRPr="00704868" w:rsidRDefault="0034235E" w:rsidP="00704868">
      <w:pPr>
        <w:jc w:val="right"/>
        <w:sectPr w:rsidR="00B723BE" w:rsidRPr="00704868" w:rsidSect="00C82CBA">
          <w:headerReference w:type="default" r:id="rId12"/>
          <w:type w:val="continuous"/>
          <w:pgSz w:w="12240" w:h="15840"/>
          <w:pgMar w:top="720" w:right="1440" w:bottom="1440" w:left="1440" w:header="720" w:footer="720" w:gutter="0"/>
          <w:cols w:num="2" w:space="720"/>
          <w:titlePg/>
          <w:docGrid w:linePitch="360"/>
        </w:sectPr>
      </w:pPr>
      <w:r w:rsidRPr="00704868">
        <w:t>imab-adad-</w:t>
      </w:r>
      <w:r w:rsidR="00997C80" w:rsidRPr="00704868">
        <w:t>nov</w:t>
      </w:r>
      <w:r w:rsidRPr="00704868">
        <w:t>22item02</w:t>
      </w:r>
    </w:p>
    <w:p w14:paraId="5DAB6C7B" w14:textId="77777777" w:rsidR="006E06C6" w:rsidRPr="00704868" w:rsidRDefault="006E06C6" w:rsidP="00704868">
      <w:pPr>
        <w:pStyle w:val="Heading1"/>
        <w:jc w:val="center"/>
        <w:rPr>
          <w:sz w:val="40"/>
          <w:szCs w:val="40"/>
        </w:rPr>
        <w:sectPr w:rsidR="006E06C6" w:rsidRPr="00704868" w:rsidSect="0091117B">
          <w:type w:val="continuous"/>
          <w:pgSz w:w="12240" w:h="15840"/>
          <w:pgMar w:top="720" w:right="1440" w:bottom="1440" w:left="1440" w:header="720" w:footer="720" w:gutter="0"/>
          <w:cols w:space="720"/>
          <w:docGrid w:linePitch="360"/>
        </w:sectPr>
      </w:pPr>
    </w:p>
    <w:p w14:paraId="3855EBBD" w14:textId="2D733636" w:rsidR="00FC1FCE" w:rsidRPr="00704868" w:rsidRDefault="0091117B" w:rsidP="00704868">
      <w:pPr>
        <w:pStyle w:val="Heading1"/>
        <w:spacing w:before="240" w:after="240"/>
        <w:jc w:val="center"/>
        <w:rPr>
          <w:sz w:val="40"/>
          <w:szCs w:val="40"/>
        </w:rPr>
      </w:pPr>
      <w:r w:rsidRPr="00704868">
        <w:rPr>
          <w:sz w:val="40"/>
          <w:szCs w:val="40"/>
        </w:rPr>
        <w:t>Californ</w:t>
      </w:r>
      <w:r w:rsidR="00693951" w:rsidRPr="00704868">
        <w:rPr>
          <w:sz w:val="40"/>
          <w:szCs w:val="40"/>
        </w:rPr>
        <w:t>ia State Board of Education</w:t>
      </w:r>
      <w:r w:rsidRPr="00704868">
        <w:br/>
      </w:r>
      <w:r w:rsidR="00997C80" w:rsidRPr="00704868">
        <w:rPr>
          <w:sz w:val="40"/>
          <w:szCs w:val="40"/>
        </w:rPr>
        <w:t>November</w:t>
      </w:r>
      <w:r w:rsidR="0034235E" w:rsidRPr="00704868">
        <w:rPr>
          <w:sz w:val="40"/>
          <w:szCs w:val="40"/>
        </w:rPr>
        <w:t xml:space="preserve"> 2022 Agenda</w:t>
      </w:r>
      <w:r w:rsidRPr="00704868">
        <w:br/>
      </w:r>
      <w:r w:rsidR="00FC1FCE" w:rsidRPr="00704868">
        <w:rPr>
          <w:sz w:val="40"/>
          <w:szCs w:val="40"/>
        </w:rPr>
        <w:t>Item</w:t>
      </w:r>
      <w:r w:rsidR="00692300" w:rsidRPr="00704868">
        <w:rPr>
          <w:sz w:val="40"/>
          <w:szCs w:val="40"/>
        </w:rPr>
        <w:t xml:space="preserve"> #</w:t>
      </w:r>
      <w:r w:rsidR="00130059" w:rsidRPr="00704868">
        <w:rPr>
          <w:sz w:val="40"/>
          <w:szCs w:val="40"/>
        </w:rPr>
        <w:t>0</w:t>
      </w:r>
      <w:r w:rsidR="00422D6C">
        <w:rPr>
          <w:sz w:val="40"/>
          <w:szCs w:val="40"/>
        </w:rPr>
        <w:t>6</w:t>
      </w:r>
    </w:p>
    <w:p w14:paraId="27B6226E" w14:textId="77777777" w:rsidR="00FC1FCE" w:rsidRPr="00704868" w:rsidRDefault="00FC1FCE" w:rsidP="00704868">
      <w:pPr>
        <w:pStyle w:val="Heading2"/>
        <w:spacing w:before="240" w:after="240"/>
        <w:rPr>
          <w:sz w:val="36"/>
          <w:szCs w:val="36"/>
        </w:rPr>
      </w:pPr>
      <w:r w:rsidRPr="00704868">
        <w:rPr>
          <w:sz w:val="36"/>
          <w:szCs w:val="36"/>
        </w:rPr>
        <w:t>Subject</w:t>
      </w:r>
    </w:p>
    <w:p w14:paraId="0A852F1B" w14:textId="7DF0C505" w:rsidR="00997C80" w:rsidRPr="00704868" w:rsidRDefault="00997C80" w:rsidP="00704868">
      <w:pPr>
        <w:spacing w:after="480"/>
        <w:rPr>
          <w:b/>
        </w:rPr>
      </w:pPr>
      <w:r w:rsidRPr="00704868">
        <w:t xml:space="preserve">California Assessment of Student Performance and Progress and English Language Proficiency Assessments for California: Determination of the Release of </w:t>
      </w:r>
      <w:r w:rsidR="0087007B" w:rsidRPr="00704868">
        <w:t>the</w:t>
      </w:r>
      <w:r w:rsidRPr="00704868">
        <w:t xml:space="preserve"> 10 Percent Withheld </w:t>
      </w:r>
      <w:r w:rsidR="008B6DE0" w:rsidRPr="00704868">
        <w:t xml:space="preserve">from the Educational Testing Service Contract </w:t>
      </w:r>
      <w:r w:rsidRPr="00704868">
        <w:t xml:space="preserve">for </w:t>
      </w:r>
      <w:r w:rsidR="008B6DE0" w:rsidRPr="00704868">
        <w:t xml:space="preserve">Fiscal Year </w:t>
      </w:r>
      <w:r w:rsidRPr="00704868">
        <w:t>2021–22.</w:t>
      </w:r>
    </w:p>
    <w:p w14:paraId="19FA46C3" w14:textId="39EB14AE" w:rsidR="00FC1FCE" w:rsidRPr="00704868" w:rsidRDefault="00FC1FCE" w:rsidP="00704868">
      <w:pPr>
        <w:pStyle w:val="Heading2"/>
        <w:spacing w:before="240" w:after="240"/>
        <w:rPr>
          <w:sz w:val="36"/>
          <w:szCs w:val="36"/>
        </w:rPr>
      </w:pPr>
      <w:r w:rsidRPr="00704868">
        <w:rPr>
          <w:sz w:val="36"/>
          <w:szCs w:val="36"/>
        </w:rPr>
        <w:t>Type of Action</w:t>
      </w:r>
    </w:p>
    <w:p w14:paraId="07254FFE" w14:textId="686D7225" w:rsidR="0091117B" w:rsidRPr="00704868" w:rsidRDefault="008909EE" w:rsidP="00704868">
      <w:pPr>
        <w:spacing w:after="480"/>
      </w:pPr>
      <w:r w:rsidRPr="00704868">
        <w:t>Action, Information</w:t>
      </w:r>
      <w:r w:rsidR="00422D6C">
        <w:t>, Consent</w:t>
      </w:r>
    </w:p>
    <w:p w14:paraId="2F54E36F" w14:textId="77777777" w:rsidR="00FC1FCE" w:rsidRPr="00704868" w:rsidRDefault="00FC1FCE" w:rsidP="00704868">
      <w:pPr>
        <w:pStyle w:val="Heading2"/>
        <w:spacing w:before="240" w:after="240"/>
        <w:rPr>
          <w:sz w:val="36"/>
          <w:szCs w:val="36"/>
        </w:rPr>
      </w:pPr>
      <w:r w:rsidRPr="00704868">
        <w:rPr>
          <w:sz w:val="36"/>
          <w:szCs w:val="36"/>
        </w:rPr>
        <w:t>Summary of the Issue(s)</w:t>
      </w:r>
    </w:p>
    <w:p w14:paraId="6320981C" w14:textId="45D7CDC5" w:rsidR="00017939" w:rsidRPr="00704868" w:rsidRDefault="00017939" w:rsidP="00704868">
      <w:pPr>
        <w:spacing w:before="240" w:after="240"/>
      </w:pPr>
      <w:r w:rsidRPr="00704868">
        <w:t xml:space="preserve">The </w:t>
      </w:r>
      <w:r w:rsidR="00F41676" w:rsidRPr="00704868">
        <w:t xml:space="preserve">state’s </w:t>
      </w:r>
      <w:r w:rsidRPr="00704868">
        <w:t>California Assessment System</w:t>
      </w:r>
      <w:r w:rsidR="008B6DE0" w:rsidRPr="00704868">
        <w:t xml:space="preserve"> </w:t>
      </w:r>
      <w:r w:rsidRPr="00704868">
        <w:t xml:space="preserve">contract with Educational Testing Service (ETS), covering the California Assessment of Student Performance and Progress (CAASPP) and </w:t>
      </w:r>
      <w:r w:rsidRPr="00704868">
        <w:rPr>
          <w:rFonts w:cs="Arial"/>
        </w:rPr>
        <w:t xml:space="preserve">the </w:t>
      </w:r>
      <w:r w:rsidRPr="00704868">
        <w:rPr>
          <w:rFonts w:eastAsia="Arial" w:cs="Arial"/>
        </w:rPr>
        <w:t>English Language Proficiency Assessments for California</w:t>
      </w:r>
      <w:r w:rsidRPr="00704868">
        <w:rPr>
          <w:rFonts w:cs="Arial"/>
        </w:rPr>
        <w:t xml:space="preserve"> (ELPAC), </w:t>
      </w:r>
      <w:r w:rsidRPr="00704868">
        <w:t xml:space="preserve">was approved by the California State Board of Education (SBE) </w:t>
      </w:r>
      <w:r w:rsidRPr="00704868">
        <w:rPr>
          <w:rFonts w:eastAsia="Arial" w:cs="Arial"/>
        </w:rPr>
        <w:t>on</w:t>
      </w:r>
      <w:r w:rsidRPr="00704868">
        <w:rPr>
          <w:rFonts w:eastAsia="Arial" w:cs="Arial"/>
          <w:color w:val="000000" w:themeColor="text1"/>
        </w:rPr>
        <w:t xml:space="preserve"> November </w:t>
      </w:r>
      <w:r w:rsidR="008B6DE0" w:rsidRPr="00704868">
        <w:rPr>
          <w:rFonts w:eastAsia="Arial" w:cs="Arial"/>
          <w:color w:val="000000" w:themeColor="text1"/>
        </w:rPr>
        <w:t>9</w:t>
      </w:r>
      <w:r w:rsidRPr="00704868">
        <w:rPr>
          <w:rFonts w:eastAsia="Arial" w:cs="Arial"/>
        </w:rPr>
        <w:t xml:space="preserve">, </w:t>
      </w:r>
      <w:r w:rsidR="008B6DE0" w:rsidRPr="00704868">
        <w:rPr>
          <w:rFonts w:eastAsia="Arial" w:cs="Arial"/>
        </w:rPr>
        <w:t>2018</w:t>
      </w:r>
      <w:r w:rsidRPr="00704868">
        <w:rPr>
          <w:rFonts w:eastAsia="Arial" w:cs="Arial"/>
        </w:rPr>
        <w:t>.</w:t>
      </w:r>
      <w:r w:rsidRPr="00704868">
        <w:t xml:space="preserve"> The contract specifies that on or before the annual November SBE meeting, the California Department of Education (CDE) shall present to the SBE a recommendation regarding ETS’s performance as to its compliance with the terms and conditions of the contract for the prior </w:t>
      </w:r>
      <w:r w:rsidR="000F6F77" w:rsidRPr="00704868">
        <w:t>fiscal year</w:t>
      </w:r>
      <w:r w:rsidR="00670C89" w:rsidRPr="00704868">
        <w:t xml:space="preserve"> (FY)</w:t>
      </w:r>
      <w:r w:rsidR="000F6F77" w:rsidRPr="00704868">
        <w:t xml:space="preserve"> </w:t>
      </w:r>
      <w:r w:rsidR="008B6DE0" w:rsidRPr="00704868">
        <w:t xml:space="preserve">for each </w:t>
      </w:r>
      <w:r w:rsidRPr="00704868">
        <w:t>test administration</w:t>
      </w:r>
      <w:r w:rsidR="000F6F77" w:rsidRPr="00704868">
        <w:t xml:space="preserve"> cycle</w:t>
      </w:r>
      <w:r w:rsidRPr="00704868">
        <w:t xml:space="preserve">. </w:t>
      </w:r>
      <w:r w:rsidR="0068530A" w:rsidRPr="00704868">
        <w:t>Contracted w</w:t>
      </w:r>
      <w:r w:rsidR="008B6DE0" w:rsidRPr="00704868">
        <w:t xml:space="preserve">ork completed for a test administration cycle </w:t>
      </w:r>
      <w:r w:rsidR="0068530A" w:rsidRPr="00704868">
        <w:t xml:space="preserve">spans multiple fiscal years; therefore, this item will present the work completed in </w:t>
      </w:r>
      <w:r w:rsidR="00491CAC" w:rsidRPr="00704868">
        <w:t>FY</w:t>
      </w:r>
      <w:r w:rsidR="00491CAC" w:rsidRPr="00704868" w:rsidDel="00491CAC">
        <w:t xml:space="preserve"> </w:t>
      </w:r>
      <w:r w:rsidR="0068530A" w:rsidRPr="00704868">
        <w:t>2021–22</w:t>
      </w:r>
      <w:r w:rsidR="002744F3" w:rsidRPr="00704868">
        <w:t>,</w:t>
      </w:r>
      <w:r w:rsidR="0068530A" w:rsidRPr="00704868">
        <w:t xml:space="preserve"> which includes work </w:t>
      </w:r>
      <w:r w:rsidR="00491CAC" w:rsidRPr="00704868">
        <w:t xml:space="preserve">that </w:t>
      </w:r>
      <w:r w:rsidR="00670C89" w:rsidRPr="00704868">
        <w:t xml:space="preserve">ETS </w:t>
      </w:r>
      <w:r w:rsidR="0068530A" w:rsidRPr="00704868">
        <w:t>completed for the 2021 and 2022 test administration cycles.</w:t>
      </w:r>
    </w:p>
    <w:p w14:paraId="7478589D" w14:textId="382EB924" w:rsidR="00017939" w:rsidRPr="00704868" w:rsidRDefault="00017939" w:rsidP="00704868">
      <w:pPr>
        <w:spacing w:before="240" w:after="240"/>
      </w:pPr>
      <w:r w:rsidRPr="00704868">
        <w:t xml:space="preserve">Per California </w:t>
      </w:r>
      <w:r w:rsidRPr="00704868">
        <w:rPr>
          <w:i/>
        </w:rPr>
        <w:t>Education Code</w:t>
      </w:r>
      <w:r w:rsidRPr="00704868">
        <w:t xml:space="preserve"> Section 60643, the CDE must withhold 10 percent from progress payments invoiced for each component task. The California Assessment System contract establishes the process and criteria by which the CDE recommends, and the SBE approves, the annual release of the 10 percent withheld from progress payments. </w:t>
      </w:r>
    </w:p>
    <w:p w14:paraId="4371CB2F" w14:textId="38283FCD" w:rsidR="00FF5E4D" w:rsidRPr="00704868" w:rsidRDefault="00017939" w:rsidP="00704868">
      <w:pPr>
        <w:spacing w:after="480"/>
      </w:pPr>
      <w:r w:rsidRPr="00704868">
        <w:t xml:space="preserve">The contractual California Assessment System completion criteria </w:t>
      </w:r>
      <w:r w:rsidR="00073675" w:rsidRPr="00704868">
        <w:t xml:space="preserve">for </w:t>
      </w:r>
      <w:r w:rsidRPr="00704868">
        <w:t>component tasks are provided in Attachment 1.</w:t>
      </w:r>
    </w:p>
    <w:p w14:paraId="08BF9F4B" w14:textId="77777777" w:rsidR="003E4DF7" w:rsidRPr="00704868" w:rsidRDefault="003E4DF7" w:rsidP="00704868">
      <w:pPr>
        <w:pStyle w:val="Heading2"/>
        <w:spacing w:before="240" w:after="240"/>
        <w:rPr>
          <w:sz w:val="36"/>
          <w:szCs w:val="36"/>
        </w:rPr>
      </w:pPr>
      <w:r w:rsidRPr="00704868">
        <w:rPr>
          <w:sz w:val="36"/>
          <w:szCs w:val="36"/>
        </w:rPr>
        <w:lastRenderedPageBreak/>
        <w:t>Recommendation</w:t>
      </w:r>
    </w:p>
    <w:p w14:paraId="4CCF456C" w14:textId="248BA6DF" w:rsidR="0068530A" w:rsidRPr="00704868" w:rsidRDefault="0068530A" w:rsidP="00704868">
      <w:pPr>
        <w:spacing w:before="240" w:after="240"/>
        <w:rPr>
          <w:rFonts w:cs="Arial"/>
        </w:rPr>
      </w:pPr>
      <w:r w:rsidRPr="00704868">
        <w:rPr>
          <w:rFonts w:cs="Arial"/>
        </w:rPr>
        <w:t>The CDE recommends releasing $</w:t>
      </w:r>
      <w:r w:rsidRPr="00704868">
        <w:rPr>
          <w:color w:val="000000"/>
        </w:rPr>
        <w:t xml:space="preserve">10,010,833.60 </w:t>
      </w:r>
      <w:r w:rsidRPr="00704868">
        <w:rPr>
          <w:rFonts w:cs="Arial"/>
        </w:rPr>
        <w:t xml:space="preserve">to ETS from funds withheld during </w:t>
      </w:r>
      <w:r w:rsidR="002D759C" w:rsidRPr="00704868">
        <w:rPr>
          <w:rFonts w:cs="Arial"/>
        </w:rPr>
        <w:t>FY </w:t>
      </w:r>
      <w:r w:rsidRPr="00704868">
        <w:rPr>
          <w:rFonts w:cs="Arial"/>
        </w:rPr>
        <w:t xml:space="preserve">2021–22 </w:t>
      </w:r>
      <w:r w:rsidR="00670C89" w:rsidRPr="00704868">
        <w:rPr>
          <w:rFonts w:cs="Arial"/>
        </w:rPr>
        <w:t xml:space="preserve">for the successful completion of component tasks as stated within the contract </w:t>
      </w:r>
      <w:r w:rsidR="00073675" w:rsidRPr="00704868">
        <w:rPr>
          <w:rFonts w:cs="Arial"/>
        </w:rPr>
        <w:t>s</w:t>
      </w:r>
      <w:r w:rsidR="00670C89" w:rsidRPr="00704868">
        <w:rPr>
          <w:rFonts w:cs="Arial"/>
        </w:rPr>
        <w:t xml:space="preserve">cope of </w:t>
      </w:r>
      <w:r w:rsidR="00073675" w:rsidRPr="00704868">
        <w:rPr>
          <w:rFonts w:cs="Arial"/>
        </w:rPr>
        <w:t>w</w:t>
      </w:r>
      <w:r w:rsidR="00670C89" w:rsidRPr="00704868">
        <w:rPr>
          <w:rFonts w:cs="Arial"/>
        </w:rPr>
        <w:t>ork (SOW).</w:t>
      </w:r>
      <w:r w:rsidRPr="00704868">
        <w:rPr>
          <w:rFonts w:cs="Arial"/>
        </w:rPr>
        <w:t xml:space="preserve"> The details of the amount per task</w:t>
      </w:r>
      <w:r w:rsidR="00073675" w:rsidRPr="00704868">
        <w:rPr>
          <w:rFonts w:cs="Arial"/>
        </w:rPr>
        <w:t>,</w:t>
      </w:r>
      <w:r w:rsidRPr="00704868">
        <w:rPr>
          <w:rFonts w:cs="Arial"/>
        </w:rPr>
        <w:t xml:space="preserve"> by </w:t>
      </w:r>
      <w:r w:rsidR="00073675" w:rsidRPr="00704868">
        <w:rPr>
          <w:rFonts w:cs="Arial"/>
        </w:rPr>
        <w:t>administration,</w:t>
      </w:r>
      <w:r w:rsidRPr="00704868">
        <w:rPr>
          <w:rFonts w:cs="Arial"/>
        </w:rPr>
        <w:t xml:space="preserve"> for FY 2021–22 are listed in Attachment 2.</w:t>
      </w:r>
    </w:p>
    <w:p w14:paraId="28788C28" w14:textId="18E3CDCC" w:rsidR="00F40510" w:rsidRPr="00704868" w:rsidRDefault="003E4DF7" w:rsidP="00704868">
      <w:pPr>
        <w:pStyle w:val="Heading2"/>
        <w:spacing w:before="240" w:after="240"/>
        <w:rPr>
          <w:sz w:val="36"/>
          <w:szCs w:val="36"/>
        </w:rPr>
      </w:pPr>
      <w:r w:rsidRPr="00704868">
        <w:rPr>
          <w:sz w:val="36"/>
          <w:szCs w:val="36"/>
        </w:rPr>
        <w:t>Brief History of Key Issues</w:t>
      </w:r>
    </w:p>
    <w:p w14:paraId="182818C1" w14:textId="5CB082B7" w:rsidR="00BB7B62" w:rsidRPr="00704868" w:rsidRDefault="00BB7B62" w:rsidP="00704868">
      <w:pPr>
        <w:spacing w:before="240" w:after="240"/>
        <w:rPr>
          <w:rFonts w:cs="Arial"/>
        </w:rPr>
      </w:pPr>
      <w:r w:rsidRPr="00704868">
        <w:rPr>
          <w:rFonts w:cs="Arial"/>
        </w:rPr>
        <w:t>The SOW encompasses both the CAASPP and the ELPAC.</w:t>
      </w:r>
      <w:r w:rsidRPr="00704868">
        <w:t xml:space="preserve"> </w:t>
      </w:r>
      <w:r w:rsidR="00F91EB8" w:rsidRPr="00704868">
        <w:t>It</w:t>
      </w:r>
      <w:r w:rsidRPr="00704868">
        <w:t xml:space="preserve"> </w:t>
      </w:r>
      <w:r w:rsidRPr="00704868">
        <w:rPr>
          <w:rFonts w:cs="Arial"/>
        </w:rPr>
        <w:t>describes the activities, assumptions, and requirements to manage and administer the California Assessment System for the 2018–19, 2019–20, 2020–21, and 2021–22 school years.</w:t>
      </w:r>
    </w:p>
    <w:p w14:paraId="554A5843" w14:textId="0BC615AA" w:rsidR="00BB7B62" w:rsidRPr="00704868" w:rsidRDefault="00BB7B62" w:rsidP="00704868">
      <w:pPr>
        <w:spacing w:after="240"/>
        <w:rPr>
          <w:rFonts w:cs="Arial"/>
        </w:rPr>
      </w:pPr>
      <w:r w:rsidRPr="00704868">
        <w:rPr>
          <w:rFonts w:cs="Arial"/>
        </w:rPr>
        <w:t xml:space="preserve">The CDE has reviewed ETS’s performance in complying with the </w:t>
      </w:r>
      <w:r w:rsidRPr="00704868">
        <w:t>California Assessment System</w:t>
      </w:r>
      <w:r w:rsidRPr="00704868">
        <w:rPr>
          <w:rFonts w:cs="Arial"/>
        </w:rPr>
        <w:t xml:space="preserve"> contract and has determined that ETS satisfactorily performed contract component tasks 1 through 9 of the </w:t>
      </w:r>
      <w:proofErr w:type="gramStart"/>
      <w:r w:rsidRPr="00704868">
        <w:rPr>
          <w:rFonts w:cs="Arial"/>
        </w:rPr>
        <w:t>SOW</w:t>
      </w:r>
      <w:proofErr w:type="gramEnd"/>
      <w:r w:rsidRPr="00704868">
        <w:rPr>
          <w:rFonts w:cs="Arial"/>
        </w:rPr>
        <w:t xml:space="preserve"> during </w:t>
      </w:r>
      <w:r w:rsidR="000F0912" w:rsidRPr="00704868">
        <w:rPr>
          <w:rFonts w:cs="Arial"/>
        </w:rPr>
        <w:t xml:space="preserve">FY </w:t>
      </w:r>
      <w:r w:rsidR="00717251" w:rsidRPr="00704868">
        <w:rPr>
          <w:rFonts w:cs="Arial"/>
        </w:rPr>
        <w:t>2021</w:t>
      </w:r>
      <w:r w:rsidRPr="00704868">
        <w:rPr>
          <w:rFonts w:cs="Arial"/>
        </w:rPr>
        <w:t>–</w:t>
      </w:r>
      <w:r w:rsidR="003531B2" w:rsidRPr="00704868">
        <w:rPr>
          <w:rFonts w:cs="Arial"/>
        </w:rPr>
        <w:t>22</w:t>
      </w:r>
      <w:r w:rsidRPr="00704868">
        <w:t xml:space="preserve">. Therefore, the CDE recommends the </w:t>
      </w:r>
      <w:r w:rsidR="003D6438" w:rsidRPr="00704868">
        <w:t>releas</w:t>
      </w:r>
      <w:r w:rsidR="00F41676" w:rsidRPr="00704868">
        <w:t>e of</w:t>
      </w:r>
      <w:r w:rsidR="003D6438" w:rsidRPr="00704868">
        <w:t xml:space="preserve"> </w:t>
      </w:r>
      <w:r w:rsidRPr="00704868">
        <w:t xml:space="preserve">the 10 percent </w:t>
      </w:r>
      <w:r w:rsidR="003D6438" w:rsidRPr="00704868">
        <w:t xml:space="preserve">of funds withheld from progress payments invoiced </w:t>
      </w:r>
      <w:r w:rsidRPr="00704868">
        <w:t>for those tasks</w:t>
      </w:r>
      <w:r w:rsidR="00F41676" w:rsidRPr="00704868">
        <w:t xml:space="preserve"> to ETS</w:t>
      </w:r>
      <w:r w:rsidRPr="00704868">
        <w:rPr>
          <w:rFonts w:cs="Arial"/>
        </w:rPr>
        <w:t>. Descriptions of the contract tasks are</w:t>
      </w:r>
      <w:r w:rsidR="0085646F" w:rsidRPr="00704868">
        <w:rPr>
          <w:rFonts w:cs="Arial"/>
        </w:rPr>
        <w:t xml:space="preserve"> provided</w:t>
      </w:r>
      <w:r w:rsidRPr="00704868">
        <w:rPr>
          <w:rFonts w:cs="Arial"/>
        </w:rPr>
        <w:t xml:space="preserve"> in Attachment 2.</w:t>
      </w:r>
    </w:p>
    <w:p w14:paraId="605AC3E7" w14:textId="76A998D0" w:rsidR="006B2BB4" w:rsidRPr="00704868" w:rsidRDefault="006B2BB4" w:rsidP="00704868">
      <w:pPr>
        <w:spacing w:after="480"/>
      </w:pPr>
      <w:r w:rsidRPr="00704868">
        <w:t xml:space="preserve">In 2018, 2019, and 2020, the SBE did not approve the full </w:t>
      </w:r>
      <w:r w:rsidR="008A3C02" w:rsidRPr="00704868">
        <w:t xml:space="preserve">10 </w:t>
      </w:r>
      <w:r w:rsidRPr="00704868">
        <w:t xml:space="preserve">percent withheld for release to ETS, due to </w:t>
      </w:r>
      <w:r w:rsidR="00937F22" w:rsidRPr="00704868">
        <w:t xml:space="preserve">specified </w:t>
      </w:r>
      <w:r w:rsidR="00720E99" w:rsidRPr="00704868">
        <w:t xml:space="preserve">work or deliverables </w:t>
      </w:r>
      <w:r w:rsidR="00E362B8" w:rsidRPr="00704868">
        <w:t>not meeting the requirements outlined in Attachment 1.</w:t>
      </w:r>
      <w:r w:rsidRPr="00704868">
        <w:t xml:space="preserve"> </w:t>
      </w:r>
      <w:r w:rsidR="001A1AF8" w:rsidRPr="00704868">
        <w:t xml:space="preserve">The </w:t>
      </w:r>
      <w:r w:rsidR="005A3ACC" w:rsidRPr="00704868">
        <w:t xml:space="preserve">SBE items for </w:t>
      </w:r>
      <w:r w:rsidR="00C056E2" w:rsidRPr="00704868">
        <w:t>November 2020,</w:t>
      </w:r>
      <w:r w:rsidR="007F4970" w:rsidRPr="00704868">
        <w:t xml:space="preserve"> September </w:t>
      </w:r>
      <w:r w:rsidR="00FA286C" w:rsidRPr="00704868">
        <w:t>2019, and November 2018</w:t>
      </w:r>
      <w:r w:rsidR="00332F57" w:rsidRPr="00704868">
        <w:t xml:space="preserve"> (</w:t>
      </w:r>
      <w:r w:rsidR="00A64018" w:rsidRPr="00704868">
        <w:t xml:space="preserve">see </w:t>
      </w:r>
      <w:r w:rsidR="00332F57" w:rsidRPr="00704868">
        <w:t>links below)</w:t>
      </w:r>
      <w:r w:rsidR="00FA286C" w:rsidRPr="00704868">
        <w:t xml:space="preserve"> </w:t>
      </w:r>
      <w:r w:rsidR="00A64018" w:rsidRPr="00704868">
        <w:t>provide</w:t>
      </w:r>
      <w:r w:rsidR="008E5B0C" w:rsidRPr="00704868">
        <w:t xml:space="preserve"> the </w:t>
      </w:r>
      <w:r w:rsidR="00A923E8" w:rsidRPr="00704868">
        <w:t xml:space="preserve">rationale </w:t>
      </w:r>
      <w:r w:rsidR="006202E5" w:rsidRPr="00704868">
        <w:t xml:space="preserve">for withholding </w:t>
      </w:r>
      <w:r w:rsidR="00397CF7" w:rsidRPr="00704868">
        <w:t>these</w:t>
      </w:r>
      <w:r w:rsidR="006202E5" w:rsidRPr="00704868">
        <w:t xml:space="preserve"> </w:t>
      </w:r>
      <w:r w:rsidR="00332F57" w:rsidRPr="00704868">
        <w:t>funds</w:t>
      </w:r>
      <w:r w:rsidR="00A923E8" w:rsidRPr="00704868">
        <w:t>.</w:t>
      </w:r>
      <w:r w:rsidR="00C056E2" w:rsidRPr="00704868">
        <w:t xml:space="preserve"> </w:t>
      </w:r>
      <w:r w:rsidR="00E80A61" w:rsidRPr="00704868">
        <w:t>I</w:t>
      </w:r>
      <w:r w:rsidRPr="00704868">
        <w:t xml:space="preserve">n 2022, the CDE has not identified any work </w:t>
      </w:r>
      <w:r w:rsidR="00292E4A" w:rsidRPr="00704868">
        <w:t xml:space="preserve">or deliverables </w:t>
      </w:r>
      <w:r w:rsidR="001C1C32" w:rsidRPr="00704868">
        <w:t xml:space="preserve">not meeting the criteria provided in Attachment 1. </w:t>
      </w:r>
      <w:r w:rsidR="00DB4A8A" w:rsidRPr="00704868">
        <w:t>The CDE is recommend</w:t>
      </w:r>
      <w:r w:rsidR="00E80A61" w:rsidRPr="00704868">
        <w:t>ing</w:t>
      </w:r>
      <w:r w:rsidR="00DB4A8A" w:rsidRPr="00704868">
        <w:t xml:space="preserve"> </w:t>
      </w:r>
      <w:r w:rsidR="008F7105" w:rsidRPr="00704868">
        <w:t>releasing</w:t>
      </w:r>
      <w:r w:rsidR="007E0C77" w:rsidRPr="00704868">
        <w:t xml:space="preserve"> </w:t>
      </w:r>
      <w:r w:rsidR="005A69FF" w:rsidRPr="00704868">
        <w:t xml:space="preserve">full payment of the withheld 10 percent </w:t>
      </w:r>
      <w:r w:rsidR="007E0C77" w:rsidRPr="00704868">
        <w:t xml:space="preserve">to ETS </w:t>
      </w:r>
      <w:r w:rsidR="005A69FF" w:rsidRPr="00704868">
        <w:t>for</w:t>
      </w:r>
      <w:r w:rsidR="00BE58F1" w:rsidRPr="00704868">
        <w:t xml:space="preserve"> FY </w:t>
      </w:r>
      <w:r w:rsidRPr="00704868">
        <w:t>2021</w:t>
      </w:r>
      <w:r w:rsidR="00DE7549" w:rsidRPr="00704868">
        <w:rPr>
          <w:rFonts w:cs="Arial"/>
        </w:rPr>
        <w:t>–</w:t>
      </w:r>
      <w:r w:rsidRPr="00704868">
        <w:t>22</w:t>
      </w:r>
      <w:r w:rsidR="00493F89" w:rsidRPr="00704868">
        <w:t>.</w:t>
      </w:r>
      <w:r w:rsidRPr="00704868">
        <w:t xml:space="preserve"> </w:t>
      </w:r>
    </w:p>
    <w:p w14:paraId="3D47E909" w14:textId="77777777" w:rsidR="003E4DF7" w:rsidRPr="00704868" w:rsidRDefault="003E4DF7" w:rsidP="00704868">
      <w:pPr>
        <w:pStyle w:val="Heading2"/>
        <w:spacing w:before="240" w:after="240"/>
        <w:rPr>
          <w:sz w:val="36"/>
          <w:szCs w:val="36"/>
        </w:rPr>
      </w:pPr>
      <w:r w:rsidRPr="00704868">
        <w:rPr>
          <w:sz w:val="36"/>
          <w:szCs w:val="36"/>
        </w:rPr>
        <w:t>Summary of Previous State Board of Education Discussion and Action</w:t>
      </w:r>
    </w:p>
    <w:p w14:paraId="6610BF90" w14:textId="0F20EEE5" w:rsidR="002B3076" w:rsidRPr="00704868" w:rsidRDefault="002B3076" w:rsidP="00704868">
      <w:pPr>
        <w:spacing w:after="240"/>
        <w:rPr>
          <w:rFonts w:cs="Arial"/>
          <w:color w:val="000000"/>
        </w:rPr>
      </w:pPr>
      <w:r w:rsidRPr="00704868">
        <w:rPr>
          <w:rFonts w:cs="Arial"/>
          <w:color w:val="000000"/>
        </w:rPr>
        <w:t>In November 202</w:t>
      </w:r>
      <w:r w:rsidR="00E54CBF" w:rsidRPr="00704868">
        <w:rPr>
          <w:rFonts w:cs="Arial"/>
          <w:color w:val="000000"/>
        </w:rPr>
        <w:t>1</w:t>
      </w:r>
      <w:r w:rsidRPr="00704868">
        <w:rPr>
          <w:rFonts w:cs="Arial"/>
          <w:color w:val="000000"/>
        </w:rPr>
        <w:t xml:space="preserve">, the SBE approved the release </w:t>
      </w:r>
      <w:r w:rsidR="00D4759F" w:rsidRPr="00704868">
        <w:rPr>
          <w:rFonts w:cs="Arial"/>
          <w:color w:val="000000"/>
        </w:rPr>
        <w:t>of the</w:t>
      </w:r>
      <w:r w:rsidRPr="00704868">
        <w:rPr>
          <w:rFonts w:cs="Arial"/>
          <w:color w:val="000000"/>
        </w:rPr>
        <w:t xml:space="preserve"> 10 percent withheld for the 20</w:t>
      </w:r>
      <w:r w:rsidR="00E54CBF" w:rsidRPr="00704868">
        <w:rPr>
          <w:rFonts w:cs="Arial"/>
          <w:color w:val="000000"/>
        </w:rPr>
        <w:t>20</w:t>
      </w:r>
      <w:r w:rsidRPr="00704868">
        <w:rPr>
          <w:rFonts w:cs="Arial"/>
          <w:color w:val="000000"/>
        </w:rPr>
        <w:t>–2</w:t>
      </w:r>
      <w:r w:rsidR="00E54CBF" w:rsidRPr="00704868">
        <w:rPr>
          <w:rFonts w:cs="Arial"/>
          <w:color w:val="000000"/>
        </w:rPr>
        <w:t>1</w:t>
      </w:r>
      <w:r w:rsidRPr="00704868">
        <w:rPr>
          <w:rFonts w:cs="Arial"/>
          <w:color w:val="000000"/>
        </w:rPr>
        <w:t xml:space="preserve"> ETS contract (</w:t>
      </w:r>
      <w:hyperlink r:id="rId13" w:tooltip="This link opens the November 2021 SBE Agenda Item." w:history="1">
        <w:r w:rsidRPr="00704868">
          <w:rPr>
            <w:rStyle w:val="Hyperlink"/>
            <w:rFonts w:cs="Arial"/>
          </w:rPr>
          <w:t>https://www.cde.ca.gov/be/ag/ag/yr21/documents/nov21item11.docx</w:t>
        </w:r>
      </w:hyperlink>
      <w:r w:rsidRPr="00704868">
        <w:rPr>
          <w:rFonts w:cs="Arial"/>
          <w:color w:val="000000"/>
        </w:rPr>
        <w:t>).</w:t>
      </w:r>
    </w:p>
    <w:p w14:paraId="6DEC8471" w14:textId="59E57ECC" w:rsidR="002B3076" w:rsidRPr="00704868" w:rsidRDefault="002B3076" w:rsidP="00704868">
      <w:pPr>
        <w:spacing w:after="240"/>
        <w:rPr>
          <w:rFonts w:cs="Arial"/>
          <w:color w:val="000000"/>
        </w:rPr>
      </w:pPr>
      <w:r w:rsidRPr="00704868">
        <w:rPr>
          <w:rFonts w:cs="Arial"/>
          <w:color w:val="000000"/>
        </w:rPr>
        <w:t xml:space="preserve">In November 2020, the SBE approved the release of </w:t>
      </w:r>
      <w:r w:rsidR="00F41676" w:rsidRPr="00704868">
        <w:rPr>
          <w:rFonts w:cs="Arial"/>
          <w:color w:val="000000"/>
        </w:rPr>
        <w:t>the</w:t>
      </w:r>
      <w:r w:rsidR="00704868" w:rsidRPr="00704868">
        <w:rPr>
          <w:rFonts w:cs="Arial"/>
          <w:color w:val="000000"/>
        </w:rPr>
        <w:t xml:space="preserve"> </w:t>
      </w:r>
      <w:r w:rsidRPr="00704868">
        <w:rPr>
          <w:rFonts w:cs="Arial"/>
          <w:color w:val="000000"/>
        </w:rPr>
        <w:t>10 percent withheld for the 2019–20 ETS contract</w:t>
      </w:r>
      <w:r w:rsidR="00F41676" w:rsidRPr="00704868">
        <w:rPr>
          <w:rFonts w:cs="Arial"/>
          <w:color w:val="000000"/>
        </w:rPr>
        <w:t>, less $119,807.41</w:t>
      </w:r>
      <w:r w:rsidRPr="00704868">
        <w:rPr>
          <w:rFonts w:cs="Arial"/>
          <w:color w:val="000000"/>
        </w:rPr>
        <w:t xml:space="preserve"> (</w:t>
      </w:r>
      <w:hyperlink r:id="rId14" w:tooltip="This link opens the November 2020 SBE Agenda Item." w:history="1">
        <w:r w:rsidRPr="00704868">
          <w:rPr>
            <w:rStyle w:val="Hyperlink"/>
            <w:rFonts w:cs="Arial"/>
          </w:rPr>
          <w:t>https://www.cde.ca.gov/be/ag/ag/yr20/documents/nov20item06.docx</w:t>
        </w:r>
      </w:hyperlink>
      <w:r w:rsidRPr="00704868">
        <w:rPr>
          <w:rFonts w:cs="Arial"/>
          <w:color w:val="000000"/>
        </w:rPr>
        <w:t>).</w:t>
      </w:r>
    </w:p>
    <w:p w14:paraId="25A1E20E" w14:textId="43636F33" w:rsidR="002B3076" w:rsidRPr="00704868" w:rsidRDefault="002B3076" w:rsidP="00704868">
      <w:pPr>
        <w:spacing w:after="240"/>
        <w:rPr>
          <w:rFonts w:cs="Arial"/>
          <w:color w:val="000000"/>
        </w:rPr>
      </w:pPr>
      <w:r w:rsidRPr="00704868">
        <w:rPr>
          <w:rFonts w:cs="Arial"/>
          <w:color w:val="000000"/>
        </w:rPr>
        <w:t>In June 2020, the CDE provided the SBE with an update on the revised scores for some of the grade six writing extended response (WER) items for the 2018–19 CAASPP Smarter Balanced English language arts/literacy (ELA) test and subsequent changes to the California School Dashboard (</w:t>
      </w:r>
      <w:hyperlink r:id="rId15" w:tooltip="This link opens the June 2020 SBE Information Memorandum." w:history="1">
        <w:r w:rsidRPr="00704868">
          <w:rPr>
            <w:rStyle w:val="Hyperlink"/>
            <w:rFonts w:cs="Arial"/>
          </w:rPr>
          <w:t>https://www.cde.ca.gov/be/pn/im/documents/memo-imb-adad-jun20item01.docx</w:t>
        </w:r>
      </w:hyperlink>
      <w:r w:rsidRPr="00704868">
        <w:rPr>
          <w:rFonts w:cs="Arial"/>
          <w:color w:val="000000"/>
        </w:rPr>
        <w:t>).</w:t>
      </w:r>
    </w:p>
    <w:p w14:paraId="4E6A086E" w14:textId="4CC5C5CF" w:rsidR="002B3076" w:rsidRPr="00704868" w:rsidRDefault="002B3076" w:rsidP="00704868">
      <w:pPr>
        <w:spacing w:after="240"/>
        <w:rPr>
          <w:rFonts w:cs="Arial"/>
          <w:color w:val="000000"/>
        </w:rPr>
      </w:pPr>
      <w:r w:rsidRPr="00704868">
        <w:rPr>
          <w:rFonts w:cs="Arial"/>
          <w:color w:val="000000"/>
        </w:rPr>
        <w:lastRenderedPageBreak/>
        <w:t>In February 2020, the CDE provided notification of an error with the scoring and reporting of the grade six WER items for the 2018–19 CAASPP Smarter Balanced ELA test and the CDE’s decision for remediation and a communication plan (</w:t>
      </w:r>
      <w:hyperlink r:id="rId16" w:tooltip="This link opens the February 2020 SBE Information Memorandum." w:history="1">
        <w:r w:rsidRPr="00704868">
          <w:rPr>
            <w:rStyle w:val="Hyperlink"/>
            <w:rFonts w:cs="Arial"/>
          </w:rPr>
          <w:t>https://www.cde.ca.gov/be/pn/im/documents/feb20memoadad03.docx</w:t>
        </w:r>
      </w:hyperlink>
      <w:r w:rsidRPr="00704868">
        <w:rPr>
          <w:rFonts w:cs="Arial"/>
          <w:color w:val="000000"/>
        </w:rPr>
        <w:t>).</w:t>
      </w:r>
    </w:p>
    <w:p w14:paraId="54D23987" w14:textId="0AAB1D3F" w:rsidR="002B3076" w:rsidRPr="00704868" w:rsidRDefault="002B3076" w:rsidP="00704868">
      <w:pPr>
        <w:spacing w:after="240"/>
        <w:rPr>
          <w:rFonts w:cs="Arial"/>
          <w:color w:val="000000"/>
        </w:rPr>
      </w:pPr>
      <w:r w:rsidRPr="00704868">
        <w:rPr>
          <w:rFonts w:cs="Arial"/>
          <w:color w:val="000000"/>
        </w:rPr>
        <w:t xml:space="preserve">In September 2019, the SBE approved the release </w:t>
      </w:r>
      <w:r w:rsidR="00D4759F" w:rsidRPr="00704868">
        <w:rPr>
          <w:rFonts w:cs="Arial"/>
          <w:color w:val="000000"/>
        </w:rPr>
        <w:t>of the</w:t>
      </w:r>
      <w:r w:rsidRPr="00704868">
        <w:rPr>
          <w:rFonts w:cs="Arial"/>
          <w:color w:val="000000"/>
        </w:rPr>
        <w:t xml:space="preserve"> 10 percent withheld for the 2018–19 ETS contract</w:t>
      </w:r>
      <w:r w:rsidR="00F41676" w:rsidRPr="00704868">
        <w:rPr>
          <w:rFonts w:cs="Arial"/>
          <w:color w:val="000000"/>
        </w:rPr>
        <w:t>, less $176,207.10</w:t>
      </w:r>
      <w:r w:rsidRPr="00704868">
        <w:rPr>
          <w:rFonts w:cs="Arial"/>
          <w:color w:val="000000"/>
        </w:rPr>
        <w:t xml:space="preserve"> (</w:t>
      </w:r>
      <w:hyperlink r:id="rId17" w:tooltip="This link opens the September 2019 SBE Agenda Item." w:history="1">
        <w:r w:rsidRPr="00704868">
          <w:rPr>
            <w:rStyle w:val="Hyperlink"/>
            <w:rFonts w:cs="Arial"/>
          </w:rPr>
          <w:t>https://www.cde.ca.gov/be/ag/ag/yr19/documents/sep19item06.docx</w:t>
        </w:r>
      </w:hyperlink>
      <w:r w:rsidRPr="00704868">
        <w:rPr>
          <w:rFonts w:cs="Arial"/>
          <w:color w:val="000000"/>
        </w:rPr>
        <w:t>).</w:t>
      </w:r>
    </w:p>
    <w:p w14:paraId="1FF5DA85" w14:textId="1266244A" w:rsidR="002B3076" w:rsidRPr="00704868" w:rsidRDefault="002B3076" w:rsidP="00704868">
      <w:pPr>
        <w:spacing w:after="240"/>
        <w:rPr>
          <w:rFonts w:cs="Arial"/>
          <w:color w:val="000000"/>
        </w:rPr>
      </w:pPr>
      <w:r w:rsidRPr="00704868">
        <w:rPr>
          <w:rFonts w:cs="Arial"/>
          <w:color w:val="000000"/>
        </w:rPr>
        <w:t xml:space="preserve">In November 2018, the SBE approved the release </w:t>
      </w:r>
      <w:r w:rsidR="00D4759F" w:rsidRPr="00704868">
        <w:rPr>
          <w:rFonts w:cs="Arial"/>
          <w:color w:val="000000"/>
        </w:rPr>
        <w:t>of</w:t>
      </w:r>
      <w:r w:rsidR="0087007B" w:rsidRPr="00704868">
        <w:rPr>
          <w:rFonts w:cs="Arial"/>
          <w:color w:val="000000"/>
        </w:rPr>
        <w:t xml:space="preserve"> </w:t>
      </w:r>
      <w:r w:rsidR="00D4759F" w:rsidRPr="00704868">
        <w:rPr>
          <w:rFonts w:cs="Arial"/>
          <w:color w:val="000000"/>
        </w:rPr>
        <w:t>the</w:t>
      </w:r>
      <w:r w:rsidRPr="00704868">
        <w:rPr>
          <w:rFonts w:cs="Arial"/>
          <w:color w:val="000000"/>
        </w:rPr>
        <w:t xml:space="preserve"> 10 percent withheld for the 2017–18 ETS contract</w:t>
      </w:r>
      <w:r w:rsidR="00F41676" w:rsidRPr="00704868">
        <w:rPr>
          <w:rFonts w:cs="Arial"/>
          <w:color w:val="000000"/>
        </w:rPr>
        <w:t>, less $21,587.00</w:t>
      </w:r>
      <w:r w:rsidRPr="00704868">
        <w:rPr>
          <w:rFonts w:cs="Arial"/>
          <w:color w:val="000000"/>
        </w:rPr>
        <w:t xml:space="preserve"> (</w:t>
      </w:r>
      <w:hyperlink r:id="rId18" w:tooltip="This link opens the November 2018 SBE Agenda Item." w:history="1">
        <w:r w:rsidRPr="00704868">
          <w:rPr>
            <w:rStyle w:val="Hyperlink"/>
            <w:rFonts w:cs="Arial"/>
          </w:rPr>
          <w:t>https://www.cde.ca.gov/be/ag/ag/yr18/documents/nov18item15.docx</w:t>
        </w:r>
      </w:hyperlink>
      <w:r w:rsidRPr="00704868">
        <w:rPr>
          <w:rFonts w:cs="Arial"/>
          <w:color w:val="000000"/>
        </w:rPr>
        <w:t>).</w:t>
      </w:r>
    </w:p>
    <w:p w14:paraId="35CCD810" w14:textId="2FEF6C77" w:rsidR="002B3076" w:rsidRPr="00704868" w:rsidRDefault="002B3076" w:rsidP="00704868">
      <w:pPr>
        <w:spacing w:after="240"/>
        <w:rPr>
          <w:rFonts w:cs="Arial"/>
          <w:color w:val="000000"/>
        </w:rPr>
      </w:pPr>
      <w:r w:rsidRPr="00704868">
        <w:rPr>
          <w:rFonts w:cs="Arial"/>
          <w:color w:val="000000"/>
        </w:rPr>
        <w:t>In July 2018, the SBE approved a request for authority to enter into negotiations to amend ETS’s CAASPP contract to include the integration of the ELPAC assessments and enter into negotiations with the University of California, Santa Cruz for an interagency agreement to provide an educator reporting system (</w:t>
      </w:r>
      <w:hyperlink r:id="rId19" w:tooltip="This link opens the July 2018 SBE Agenda Item." w:history="1">
        <w:r w:rsidRPr="00704868">
          <w:rPr>
            <w:rStyle w:val="Hyperlink"/>
            <w:rFonts w:cs="Arial"/>
          </w:rPr>
          <w:t>https://www.cde.ca.gov/be/ag/ag/yr18/documents/jul18item03.docx</w:t>
        </w:r>
      </w:hyperlink>
      <w:r w:rsidRPr="00704868">
        <w:rPr>
          <w:rFonts w:cs="Arial"/>
          <w:color w:val="000000"/>
        </w:rPr>
        <w:t>).</w:t>
      </w:r>
    </w:p>
    <w:p w14:paraId="0E89BD0D" w14:textId="0912BA4B" w:rsidR="002B3076" w:rsidRPr="00704868" w:rsidRDefault="002B3076" w:rsidP="00704868">
      <w:pPr>
        <w:spacing w:after="240"/>
        <w:rPr>
          <w:rFonts w:cs="Arial"/>
          <w:color w:val="000000"/>
        </w:rPr>
      </w:pPr>
      <w:r w:rsidRPr="00704868">
        <w:rPr>
          <w:rFonts w:cs="Arial"/>
          <w:color w:val="000000"/>
        </w:rPr>
        <w:t>In January 2018, the SBE approved the proposed contract renewal with ETS for the CAASPP (</w:t>
      </w:r>
      <w:hyperlink r:id="rId20" w:tooltip="This link opens the January 2018 2021 SBE Agenda Item." w:history="1">
        <w:r w:rsidRPr="00704868">
          <w:rPr>
            <w:rStyle w:val="Hyperlink"/>
            <w:rFonts w:cs="Arial"/>
          </w:rPr>
          <w:t>https://www.cde.ca.gov/be/ag/ag/yr18/documents/jan18item07.docx</w:t>
        </w:r>
      </w:hyperlink>
      <w:r w:rsidRPr="00704868">
        <w:rPr>
          <w:rFonts w:cs="Arial"/>
          <w:color w:val="000000"/>
        </w:rPr>
        <w:t>).</w:t>
      </w:r>
    </w:p>
    <w:p w14:paraId="55264A07" w14:textId="36924AC7" w:rsidR="002B3076" w:rsidRPr="00704868" w:rsidRDefault="002B3076" w:rsidP="00704868">
      <w:pPr>
        <w:spacing w:after="240"/>
        <w:rPr>
          <w:rFonts w:cs="Arial"/>
          <w:color w:val="000000"/>
        </w:rPr>
      </w:pPr>
      <w:r w:rsidRPr="00704868">
        <w:rPr>
          <w:rFonts w:cs="Arial"/>
          <w:color w:val="000000"/>
        </w:rPr>
        <w:t>In July 2017, the SBE gave the CDE the authority to begin the process of approving a renewal of ETS’s administration contract for an additional two years (</w:t>
      </w:r>
      <w:hyperlink r:id="rId21" w:tooltip="This link opens the July 2017 SBE Agenda Item." w:history="1">
        <w:r w:rsidRPr="00704868">
          <w:rPr>
            <w:rStyle w:val="Hyperlink"/>
            <w:rFonts w:cs="Arial"/>
          </w:rPr>
          <w:t>https://www.cde.ca.gov/be/ag/ag/yr17/documents/jul17item04.doc</w:t>
        </w:r>
      </w:hyperlink>
      <w:r w:rsidRPr="00704868">
        <w:rPr>
          <w:rFonts w:cs="Arial"/>
          <w:color w:val="000000"/>
        </w:rPr>
        <w:t>).</w:t>
      </w:r>
    </w:p>
    <w:p w14:paraId="38F2D220" w14:textId="189B3CD0" w:rsidR="002B3076" w:rsidRPr="00704868" w:rsidRDefault="002B3076" w:rsidP="00704868">
      <w:pPr>
        <w:spacing w:after="240"/>
        <w:rPr>
          <w:rFonts w:cs="Arial"/>
          <w:color w:val="000000"/>
        </w:rPr>
      </w:pPr>
      <w:r w:rsidRPr="00704868">
        <w:rPr>
          <w:rFonts w:cs="Arial"/>
          <w:color w:val="000000"/>
        </w:rPr>
        <w:t>In May 2017, the SBE approved the proposed contract amendment with ETS for the CAASPP contract (</w:t>
      </w:r>
      <w:hyperlink r:id="rId22" w:tooltip="This link opens the May 2017 SBE Agenda Item." w:history="1">
        <w:r w:rsidRPr="00704868">
          <w:rPr>
            <w:rStyle w:val="Hyperlink"/>
            <w:rFonts w:cs="Arial"/>
          </w:rPr>
          <w:t>https://www.cde.ca.gov/be/ag/ag/yr17/documents/may17item02.doc</w:t>
        </w:r>
      </w:hyperlink>
      <w:r w:rsidRPr="00704868">
        <w:rPr>
          <w:rFonts w:cs="Arial"/>
          <w:color w:val="000000"/>
        </w:rPr>
        <w:t>).</w:t>
      </w:r>
    </w:p>
    <w:p w14:paraId="5673D876" w14:textId="58BD9106" w:rsidR="002B3076" w:rsidRPr="00704868" w:rsidRDefault="002B3076" w:rsidP="00704868">
      <w:pPr>
        <w:spacing w:after="480"/>
        <w:rPr>
          <w:rFonts w:cs="Arial"/>
          <w:color w:val="000000"/>
        </w:rPr>
      </w:pPr>
      <w:r w:rsidRPr="00704868">
        <w:rPr>
          <w:rFonts w:cs="Arial"/>
          <w:color w:val="000000"/>
        </w:rPr>
        <w:t>In March 2017, the SBE gave the CDE the authority to begin negotiations with ETS to amend the existing SOW for the CAASPP contract (</w:t>
      </w:r>
      <w:hyperlink r:id="rId23" w:tooltip="This link opens the March 2017 SBE Agenda Item." w:history="1">
        <w:r w:rsidRPr="00704868">
          <w:rPr>
            <w:rStyle w:val="Hyperlink"/>
            <w:rFonts w:cs="Arial"/>
          </w:rPr>
          <w:t>https://www.cde.ca.gov/be/ag/ag/yr17/documents/mar17item06.doc</w:t>
        </w:r>
      </w:hyperlink>
      <w:r w:rsidRPr="00704868">
        <w:rPr>
          <w:rFonts w:cs="Arial"/>
          <w:color w:val="000000"/>
        </w:rPr>
        <w:t>).</w:t>
      </w:r>
    </w:p>
    <w:p w14:paraId="5E6B385F" w14:textId="77777777" w:rsidR="003E4DF7" w:rsidRPr="00704868" w:rsidRDefault="003E4DF7" w:rsidP="00704868">
      <w:pPr>
        <w:pStyle w:val="Heading2"/>
        <w:spacing w:before="240" w:after="240"/>
        <w:rPr>
          <w:sz w:val="36"/>
          <w:szCs w:val="36"/>
        </w:rPr>
      </w:pPr>
      <w:r w:rsidRPr="00704868">
        <w:rPr>
          <w:sz w:val="36"/>
          <w:szCs w:val="36"/>
        </w:rPr>
        <w:t>Fiscal Analysis (as appropriate)</w:t>
      </w:r>
    </w:p>
    <w:p w14:paraId="6344BF27" w14:textId="4BB6F3F8" w:rsidR="002B3076" w:rsidRPr="00704868" w:rsidRDefault="002B3076" w:rsidP="00704868">
      <w:pPr>
        <w:spacing w:after="480"/>
      </w:pPr>
      <w:r w:rsidRPr="00704868">
        <w:rPr>
          <w:color w:val="000000"/>
        </w:rPr>
        <w:t xml:space="preserve">The funds to be released were withheld during 2021–22 from invoices paid with existing California Assessment System contract funding, as shown in Attachment 2. The CDE recommends the release </w:t>
      </w:r>
      <w:r w:rsidR="00E82549" w:rsidRPr="00704868">
        <w:rPr>
          <w:color w:val="000000"/>
        </w:rPr>
        <w:t>of the 10 percent withh</w:t>
      </w:r>
      <w:r w:rsidR="00761007" w:rsidRPr="00704868">
        <w:rPr>
          <w:color w:val="000000"/>
        </w:rPr>
        <w:t>e</w:t>
      </w:r>
      <w:r w:rsidR="00E82549" w:rsidRPr="00704868">
        <w:rPr>
          <w:color w:val="000000"/>
        </w:rPr>
        <w:t>ld</w:t>
      </w:r>
      <w:r w:rsidR="00761007" w:rsidRPr="00704868">
        <w:rPr>
          <w:color w:val="000000"/>
        </w:rPr>
        <w:t>,</w:t>
      </w:r>
      <w:r w:rsidR="00E82549" w:rsidRPr="00704868">
        <w:rPr>
          <w:color w:val="000000"/>
        </w:rPr>
        <w:t xml:space="preserve"> </w:t>
      </w:r>
      <w:r w:rsidR="00761007" w:rsidRPr="00704868">
        <w:rPr>
          <w:color w:val="000000"/>
        </w:rPr>
        <w:t xml:space="preserve">a </w:t>
      </w:r>
      <w:r w:rsidR="00F411D9" w:rsidRPr="00704868">
        <w:rPr>
          <w:color w:val="000000"/>
        </w:rPr>
        <w:t>total</w:t>
      </w:r>
      <w:r w:rsidR="00E82549" w:rsidRPr="00704868">
        <w:rPr>
          <w:color w:val="000000"/>
        </w:rPr>
        <w:t xml:space="preserve"> </w:t>
      </w:r>
      <w:r w:rsidRPr="00704868">
        <w:rPr>
          <w:color w:val="000000"/>
        </w:rPr>
        <w:t xml:space="preserve">of </w:t>
      </w:r>
      <w:r w:rsidR="00EA2D33" w:rsidRPr="00704868">
        <w:rPr>
          <w:rFonts w:cs="Arial"/>
        </w:rPr>
        <w:t>$</w:t>
      </w:r>
      <w:r w:rsidR="00EA2D33" w:rsidRPr="00704868">
        <w:rPr>
          <w:color w:val="000000"/>
        </w:rPr>
        <w:t>10,010,833.60</w:t>
      </w:r>
      <w:r w:rsidR="00F411D9" w:rsidRPr="00704868">
        <w:rPr>
          <w:color w:val="000000"/>
        </w:rPr>
        <w:t xml:space="preserve">, </w:t>
      </w:r>
      <w:r w:rsidR="00B60961" w:rsidRPr="00704868">
        <w:rPr>
          <w:color w:val="000000"/>
        </w:rPr>
        <w:t xml:space="preserve">which includes </w:t>
      </w:r>
      <w:r w:rsidR="004E6AD2" w:rsidRPr="00704868">
        <w:rPr>
          <w:rFonts w:cs="Arial"/>
        </w:rPr>
        <w:t>$482,483.60 for the 2021 test administration cycle and $9,528,350.00 for the 2022 test administration cycle</w:t>
      </w:r>
      <w:r w:rsidR="00F411D9" w:rsidRPr="00704868">
        <w:rPr>
          <w:rFonts w:cs="Arial"/>
        </w:rPr>
        <w:t>.</w:t>
      </w:r>
      <w:r w:rsidR="004E6AD2" w:rsidRPr="00704868">
        <w:rPr>
          <w:rFonts w:cs="Arial"/>
        </w:rPr>
        <w:t xml:space="preserve"> </w:t>
      </w:r>
      <w:r w:rsidRPr="00704868">
        <w:rPr>
          <w:color w:val="000000"/>
        </w:rPr>
        <w:t>The amounts per task are listed in Attachment 2.</w:t>
      </w:r>
    </w:p>
    <w:p w14:paraId="679B1EC2" w14:textId="1C0F72C5" w:rsidR="00406F50" w:rsidRPr="00704868" w:rsidRDefault="00406F50" w:rsidP="00704868">
      <w:pPr>
        <w:pStyle w:val="Heading2"/>
        <w:spacing w:before="240" w:after="240"/>
        <w:rPr>
          <w:sz w:val="36"/>
          <w:szCs w:val="36"/>
        </w:rPr>
      </w:pPr>
      <w:r w:rsidRPr="00704868">
        <w:rPr>
          <w:sz w:val="36"/>
          <w:szCs w:val="36"/>
        </w:rPr>
        <w:lastRenderedPageBreak/>
        <w:t>Attachment(s)</w:t>
      </w:r>
    </w:p>
    <w:p w14:paraId="52F02383" w14:textId="70B19B50" w:rsidR="00C85594" w:rsidRPr="00704868" w:rsidRDefault="00C85594" w:rsidP="00704868">
      <w:pPr>
        <w:numPr>
          <w:ilvl w:val="0"/>
          <w:numId w:val="17"/>
        </w:numPr>
        <w:tabs>
          <w:tab w:val="left" w:pos="1800"/>
        </w:tabs>
        <w:spacing w:after="240"/>
        <w:rPr>
          <w:rFonts w:cs="Arial"/>
        </w:rPr>
      </w:pPr>
      <w:r w:rsidRPr="00704868">
        <w:rPr>
          <w:rFonts w:cs="Arial"/>
        </w:rPr>
        <w:t xml:space="preserve">Attachment 1: Educational Testing Service, CDE Agreement #CN150012, Exhibit E: </w:t>
      </w:r>
      <w:r w:rsidRPr="00704868">
        <w:rPr>
          <w:rFonts w:eastAsia="Arial" w:cs="Arial"/>
        </w:rPr>
        <w:t>California Assessment System for the California Assessment of Student Performance and Progress (CAASPP) and the English Language Proficiency Assessments for California (ELPAC) Completion Criteria</w:t>
      </w:r>
      <w:r w:rsidRPr="00704868">
        <w:rPr>
          <w:rFonts w:cs="Arial"/>
        </w:rPr>
        <w:t xml:space="preserve"> (5 Pages)</w:t>
      </w:r>
    </w:p>
    <w:p w14:paraId="69172BFC" w14:textId="3C5D006A" w:rsidR="0087007B" w:rsidRPr="00704868" w:rsidRDefault="00C85594" w:rsidP="00704868">
      <w:pPr>
        <w:numPr>
          <w:ilvl w:val="0"/>
          <w:numId w:val="17"/>
        </w:numPr>
        <w:tabs>
          <w:tab w:val="left" w:pos="1800"/>
        </w:tabs>
        <w:spacing w:after="240"/>
        <w:rPr>
          <w:rFonts w:cs="Arial"/>
        </w:rPr>
        <w:sectPr w:rsidR="0087007B" w:rsidRPr="00704868" w:rsidSect="00FB3655">
          <w:headerReference w:type="first" r:id="rId24"/>
          <w:type w:val="continuous"/>
          <w:pgSz w:w="12240" w:h="15840"/>
          <w:pgMar w:top="720" w:right="1440" w:bottom="1440" w:left="1440" w:header="720" w:footer="720" w:gutter="0"/>
          <w:cols w:space="720"/>
          <w:titlePg/>
          <w:docGrid w:linePitch="360"/>
        </w:sectPr>
      </w:pPr>
      <w:r w:rsidRPr="00704868">
        <w:rPr>
          <w:rFonts w:cs="Arial"/>
        </w:rPr>
        <w:t xml:space="preserve">Attachment 2: </w:t>
      </w:r>
      <w:r w:rsidR="00C81620" w:rsidRPr="00704868">
        <w:rPr>
          <w:rFonts w:eastAsiaTheme="majorEastAsia" w:cstheme="majorBidi"/>
        </w:rPr>
        <w:t>California Assessment System Contract for Fiscal Year 2021–22 by Test Administration Year and Component Task Budget</w:t>
      </w:r>
      <w:r w:rsidR="00C81620" w:rsidRPr="00704868">
        <w:rPr>
          <w:rFonts w:cs="Arial"/>
        </w:rPr>
        <w:t xml:space="preserve"> </w:t>
      </w:r>
      <w:r w:rsidRPr="00704868">
        <w:rPr>
          <w:rFonts w:cs="Arial"/>
        </w:rPr>
        <w:t>(</w:t>
      </w:r>
      <w:r w:rsidR="00EA2D33" w:rsidRPr="00704868">
        <w:rPr>
          <w:rFonts w:cs="Arial"/>
        </w:rPr>
        <w:t xml:space="preserve">3 </w:t>
      </w:r>
      <w:r w:rsidRPr="00704868">
        <w:rPr>
          <w:rFonts w:cs="Arial"/>
        </w:rPr>
        <w:t>Pages)</w:t>
      </w:r>
    </w:p>
    <w:p w14:paraId="0CB33079" w14:textId="77777777" w:rsidR="00C85594" w:rsidRPr="00704868" w:rsidRDefault="00C85594" w:rsidP="00704868">
      <w:pPr>
        <w:jc w:val="right"/>
        <w:rPr>
          <w:rFonts w:cs="Arial"/>
        </w:rPr>
      </w:pPr>
    </w:p>
    <w:p w14:paraId="189F17B8" w14:textId="4DDF5B02" w:rsidR="00C85594" w:rsidRPr="00704868" w:rsidRDefault="00C85594" w:rsidP="00704868">
      <w:pPr>
        <w:jc w:val="right"/>
        <w:rPr>
          <w:rFonts w:cs="Arial"/>
          <w:b/>
          <w:snapToGrid w:val="0"/>
          <w:color w:val="000000"/>
          <w:szCs w:val="20"/>
        </w:rPr>
      </w:pPr>
      <w:r w:rsidRPr="00704868">
        <w:rPr>
          <w:rFonts w:cs="Arial"/>
          <w:b/>
          <w:snapToGrid w:val="0"/>
          <w:color w:val="000000"/>
          <w:szCs w:val="20"/>
        </w:rPr>
        <w:t>Educational Testing Service</w:t>
      </w:r>
    </w:p>
    <w:p w14:paraId="2A5DA48B" w14:textId="77777777" w:rsidR="00C85594" w:rsidRPr="00704868" w:rsidRDefault="00C85594" w:rsidP="00704868">
      <w:pPr>
        <w:widowControl w:val="0"/>
        <w:ind w:hanging="90"/>
        <w:jc w:val="right"/>
        <w:rPr>
          <w:rFonts w:cs="Arial"/>
          <w:b/>
          <w:snapToGrid w:val="0"/>
          <w:color w:val="000000"/>
          <w:szCs w:val="20"/>
        </w:rPr>
      </w:pPr>
      <w:r w:rsidRPr="00704868">
        <w:rPr>
          <w:rFonts w:cs="Arial"/>
          <w:b/>
          <w:snapToGrid w:val="0"/>
          <w:color w:val="000000"/>
          <w:szCs w:val="20"/>
        </w:rPr>
        <w:t>CDE Agreement # CN150012</w:t>
      </w:r>
    </w:p>
    <w:p w14:paraId="657E32E6" w14:textId="77777777" w:rsidR="00C85594" w:rsidRPr="00704868" w:rsidRDefault="00C85594" w:rsidP="00704868">
      <w:pPr>
        <w:widowControl w:val="0"/>
        <w:ind w:hanging="90"/>
        <w:jc w:val="right"/>
        <w:rPr>
          <w:rFonts w:cs="Arial"/>
          <w:b/>
          <w:snapToGrid w:val="0"/>
          <w:color w:val="000000"/>
          <w:szCs w:val="20"/>
        </w:rPr>
      </w:pPr>
      <w:r w:rsidRPr="00704868">
        <w:rPr>
          <w:rFonts w:cs="Arial"/>
          <w:b/>
          <w:snapToGrid w:val="0"/>
          <w:color w:val="000000"/>
          <w:szCs w:val="20"/>
        </w:rPr>
        <w:t>Exhibit E</w:t>
      </w:r>
    </w:p>
    <w:p w14:paraId="3573898E" w14:textId="77777777" w:rsidR="00C85594" w:rsidRPr="00704868" w:rsidRDefault="00C85594" w:rsidP="00704868">
      <w:pPr>
        <w:keepNext/>
        <w:keepLines/>
        <w:spacing w:before="240" w:after="240"/>
        <w:jc w:val="center"/>
        <w:outlineLvl w:val="0"/>
        <w:rPr>
          <w:rFonts w:eastAsiaTheme="majorEastAsia" w:cstheme="majorBidi"/>
          <w:b/>
        </w:rPr>
      </w:pPr>
      <w:r w:rsidRPr="00704868">
        <w:rPr>
          <w:rFonts w:eastAsiaTheme="majorEastAsia" w:cstheme="majorBidi"/>
          <w:b/>
        </w:rPr>
        <w:t>Attachment 1: California Assessment System</w:t>
      </w:r>
      <w:r w:rsidRPr="00704868">
        <w:rPr>
          <w:rFonts w:eastAsiaTheme="majorEastAsia" w:cstheme="majorBidi"/>
          <w:b/>
        </w:rPr>
        <w:br/>
        <w:t xml:space="preserve"> for the California Assessment of Student Performance and Progress (CAASPP)</w:t>
      </w:r>
      <w:r w:rsidRPr="00704868">
        <w:rPr>
          <w:rFonts w:eastAsiaTheme="majorEastAsia" w:cstheme="majorBidi"/>
          <w:b/>
        </w:rPr>
        <w:br/>
        <w:t xml:space="preserve"> and the English Language Proficiency Assessments for California (ELPAC) Completion Criteria</w:t>
      </w:r>
    </w:p>
    <w:p w14:paraId="2C70EAEC" w14:textId="77777777" w:rsidR="00C85594" w:rsidRPr="00704868" w:rsidRDefault="00C85594" w:rsidP="00704868">
      <w:pPr>
        <w:spacing w:before="240" w:after="240"/>
        <w:rPr>
          <w:rFonts w:cs="Arial"/>
        </w:rPr>
      </w:pPr>
      <w:r w:rsidRPr="00704868">
        <w:rPr>
          <w:rFonts w:cs="Arial"/>
        </w:rPr>
        <w:t xml:space="preserve">The criteria by which the California Department of Education (CDE) will recommend and the State Board of Education (SBE) will determine the successful completion of each separate and distinct component task for payment of the final 10 percent is set forth in the following table for each test administration covered in Exhibit A, Scope of Work (SOW) of the Agreement. </w:t>
      </w:r>
    </w:p>
    <w:p w14:paraId="02F12D84" w14:textId="77777777" w:rsidR="00C85594" w:rsidRPr="00704868" w:rsidRDefault="00C85594" w:rsidP="00704868">
      <w:pPr>
        <w:spacing w:before="240" w:after="240"/>
        <w:rPr>
          <w:rFonts w:cs="Arial"/>
        </w:rPr>
      </w:pPr>
      <w:r w:rsidRPr="00704868">
        <w:rPr>
          <w:rFonts w:cs="Arial"/>
        </w:rPr>
        <w:t>If it is determined by the CDE that a certified deliverable submitted to the CDE by the contractor does not meet all of the criteria in Exhibit E, the CDE reserves the right to use this information as part of the criteria by which the CDE will recommend, and the SBE will determine, successful completion of each separate and distinct component task for payment of the final 10 percent for each applicable test administration as set forth in the attached California Assessment System Completion Criteria.</w:t>
      </w:r>
    </w:p>
    <w:p w14:paraId="796BC2E4" w14:textId="77777777" w:rsidR="00C85594" w:rsidRPr="00704868" w:rsidRDefault="00C85594" w:rsidP="00704868">
      <w:pPr>
        <w:keepNext/>
        <w:keepLines/>
        <w:spacing w:before="240" w:after="240"/>
        <w:outlineLvl w:val="1"/>
        <w:rPr>
          <w:rFonts w:eastAsiaTheme="majorEastAsia" w:cstheme="majorBidi"/>
          <w:b/>
        </w:rPr>
      </w:pPr>
      <w:r w:rsidRPr="00704868">
        <w:rPr>
          <w:rFonts w:eastAsiaTheme="majorEastAsia" w:cstheme="majorBidi"/>
          <w:b/>
        </w:rPr>
        <w:lastRenderedPageBreak/>
        <w:t>CRITERIA FOR SUCCESSFUL COMPLETION OF COMPONENT TASKS</w:t>
      </w:r>
    </w:p>
    <w:tbl>
      <w:tblPr>
        <w:tblStyle w:val="TableGrid1"/>
        <w:tblW w:w="5000" w:type="pct"/>
        <w:tblLayout w:type="fixed"/>
        <w:tblLook w:val="04A0" w:firstRow="1" w:lastRow="0" w:firstColumn="1" w:lastColumn="0" w:noHBand="0" w:noVBand="1"/>
        <w:tblCaption w:val="Attachment 1: Appendix E"/>
        <w:tblDescription w:val="This table outlines the criteria for successful completion of component tasks 1–9."/>
      </w:tblPr>
      <w:tblGrid>
        <w:gridCol w:w="2336"/>
        <w:gridCol w:w="7014"/>
      </w:tblGrid>
      <w:tr w:rsidR="00C85594" w:rsidRPr="00704868" w14:paraId="319C5A78" w14:textId="77777777">
        <w:trPr>
          <w:cantSplit/>
          <w:tblHeader/>
        </w:trPr>
        <w:tc>
          <w:tcPr>
            <w:tcW w:w="1249" w:type="pct"/>
            <w:shd w:val="clear" w:color="auto" w:fill="D9D9D9" w:themeFill="background1" w:themeFillShade="D9"/>
            <w:vAlign w:val="center"/>
          </w:tcPr>
          <w:p w14:paraId="3620AFE6" w14:textId="77777777" w:rsidR="00C85594" w:rsidRPr="00704868" w:rsidRDefault="00C85594" w:rsidP="00704868">
            <w:pPr>
              <w:tabs>
                <w:tab w:val="left" w:pos="630"/>
                <w:tab w:val="left" w:pos="990"/>
                <w:tab w:val="left" w:pos="1440"/>
                <w:tab w:val="left" w:pos="1710"/>
                <w:tab w:val="left" w:pos="2070"/>
                <w:tab w:val="left" w:pos="2160"/>
                <w:tab w:val="left" w:pos="2340"/>
              </w:tabs>
              <w:spacing w:before="120" w:after="120"/>
              <w:jc w:val="center"/>
              <w:rPr>
                <w:rFonts w:eastAsia="Calibri" w:cs="Arial"/>
                <w:b/>
                <w:szCs w:val="22"/>
              </w:rPr>
            </w:pPr>
            <w:r w:rsidRPr="00704868">
              <w:rPr>
                <w:rFonts w:eastAsia="Calibri" w:cs="Arial"/>
                <w:b/>
                <w:szCs w:val="22"/>
              </w:rPr>
              <w:t>Component Task</w:t>
            </w:r>
          </w:p>
        </w:tc>
        <w:tc>
          <w:tcPr>
            <w:tcW w:w="3751" w:type="pct"/>
            <w:shd w:val="clear" w:color="auto" w:fill="D9D9D9" w:themeFill="background1" w:themeFillShade="D9"/>
            <w:vAlign w:val="center"/>
          </w:tcPr>
          <w:p w14:paraId="1F08D9E8" w14:textId="77777777" w:rsidR="00C85594" w:rsidRPr="00704868" w:rsidRDefault="00C85594" w:rsidP="00704868">
            <w:pPr>
              <w:tabs>
                <w:tab w:val="left" w:pos="630"/>
                <w:tab w:val="left" w:pos="990"/>
                <w:tab w:val="left" w:pos="1440"/>
                <w:tab w:val="left" w:pos="1710"/>
                <w:tab w:val="left" w:pos="2070"/>
                <w:tab w:val="left" w:pos="2160"/>
                <w:tab w:val="left" w:pos="2340"/>
              </w:tabs>
              <w:spacing w:before="120" w:after="120"/>
              <w:jc w:val="center"/>
              <w:rPr>
                <w:rFonts w:eastAsia="Calibri" w:cs="Arial"/>
                <w:b/>
                <w:szCs w:val="22"/>
              </w:rPr>
            </w:pPr>
            <w:r w:rsidRPr="00704868">
              <w:rPr>
                <w:rFonts w:eastAsia="Calibri" w:cs="Arial"/>
                <w:b/>
                <w:szCs w:val="22"/>
              </w:rPr>
              <w:t>Criteria</w:t>
            </w:r>
          </w:p>
        </w:tc>
      </w:tr>
      <w:tr w:rsidR="00C85594" w:rsidRPr="00704868" w14:paraId="19F4FF83" w14:textId="77777777">
        <w:trPr>
          <w:cantSplit/>
        </w:trPr>
        <w:tc>
          <w:tcPr>
            <w:tcW w:w="1249" w:type="pct"/>
          </w:tcPr>
          <w:p w14:paraId="5647887B" w14:textId="77777777" w:rsidR="00C85594" w:rsidRPr="00704868" w:rsidRDefault="00C85594" w:rsidP="00704868">
            <w:pPr>
              <w:tabs>
                <w:tab w:val="left" w:pos="630"/>
                <w:tab w:val="left" w:pos="990"/>
                <w:tab w:val="left" w:pos="1440"/>
                <w:tab w:val="left" w:pos="1710"/>
                <w:tab w:val="left" w:pos="2070"/>
                <w:tab w:val="left" w:pos="2160"/>
                <w:tab w:val="left" w:pos="2340"/>
              </w:tabs>
              <w:spacing w:before="120" w:after="120"/>
              <w:rPr>
                <w:rFonts w:eastAsia="Calibri" w:cs="Arial"/>
              </w:rPr>
            </w:pPr>
            <w:r w:rsidRPr="00704868">
              <w:rPr>
                <w:rFonts w:eastAsia="Calibri" w:cs="Arial"/>
              </w:rPr>
              <w:t>Task 1: Comprehensive Plan and Schedule of Deliverables</w:t>
            </w:r>
          </w:p>
        </w:tc>
        <w:tc>
          <w:tcPr>
            <w:tcW w:w="3751" w:type="pct"/>
          </w:tcPr>
          <w:p w14:paraId="114BBD30"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provided all reports, plans and schedules required in the task as specified in the SOW.</w:t>
            </w:r>
          </w:p>
          <w:p w14:paraId="21A5A07F" w14:textId="77777777" w:rsidR="00C85594" w:rsidRPr="00704868" w:rsidRDefault="00C85594" w:rsidP="00704868">
            <w:pPr>
              <w:numPr>
                <w:ilvl w:val="0"/>
                <w:numId w:val="12"/>
              </w:numPr>
              <w:spacing w:before="120" w:after="120"/>
              <w:rPr>
                <w:rFonts w:eastAsia="Calibri" w:cs="Arial"/>
              </w:rPr>
            </w:pPr>
            <w:r w:rsidRPr="00704868">
              <w:rPr>
                <w:rFonts w:eastAsia="Calibri" w:cs="Arial"/>
              </w:rPr>
              <w:t>All materials, documents, and/or deliverables developed in conjunction with this contract were submitted to the CDE for approval.</w:t>
            </w:r>
          </w:p>
          <w:p w14:paraId="6A0AFB9B" w14:textId="368613AE" w:rsidR="00C85594" w:rsidRPr="00704868" w:rsidRDefault="00C85594" w:rsidP="00704868">
            <w:pPr>
              <w:numPr>
                <w:ilvl w:val="0"/>
                <w:numId w:val="12"/>
              </w:numPr>
              <w:spacing w:before="120" w:after="120"/>
              <w:rPr>
                <w:rFonts w:eastAsia="Calibri" w:cs="Arial"/>
              </w:rPr>
            </w:pPr>
            <w:r w:rsidRPr="00704868">
              <w:rPr>
                <w:rFonts w:eastAsia="Calibri" w:cs="Arial"/>
              </w:rPr>
              <w:t>The contractor provided the</w:t>
            </w:r>
            <w:r w:rsidR="00D2485D" w:rsidRPr="00704868">
              <w:rPr>
                <w:rFonts w:eastAsia="Calibri" w:cs="Arial"/>
              </w:rPr>
              <w:t xml:space="preserve"> local education agency (</w:t>
            </w:r>
            <w:r w:rsidRPr="00704868">
              <w:rPr>
                <w:rFonts w:eastAsia="Calibri" w:cs="Arial"/>
              </w:rPr>
              <w:t>LEA</w:t>
            </w:r>
            <w:r w:rsidR="00D2485D" w:rsidRPr="00704868">
              <w:rPr>
                <w:rFonts w:eastAsia="Calibri" w:cs="Arial"/>
              </w:rPr>
              <w:t>)</w:t>
            </w:r>
            <w:r w:rsidRPr="00704868">
              <w:rPr>
                <w:rFonts w:eastAsia="Calibri" w:cs="Arial"/>
              </w:rPr>
              <w:t xml:space="preserve"> Coordinators with all data, forms, and agreements as outlined in the SOW.</w:t>
            </w:r>
          </w:p>
          <w:p w14:paraId="4263507C"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provided and maintained a secure web-based project management system as specified in the SOW.</w:t>
            </w:r>
          </w:p>
          <w:p w14:paraId="77138374"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delivered all electronic data files and documentation as specified in the SOW.</w:t>
            </w:r>
          </w:p>
          <w:p w14:paraId="42A6F43F" w14:textId="77777777" w:rsidR="00C85594" w:rsidRPr="00704868" w:rsidRDefault="00C85594" w:rsidP="00704868">
            <w:pPr>
              <w:numPr>
                <w:ilvl w:val="0"/>
                <w:numId w:val="12"/>
              </w:numPr>
              <w:spacing w:before="120" w:after="120"/>
              <w:rPr>
                <w:rFonts w:eastAsia="Calibri" w:cs="Arial"/>
                <w:b/>
                <w:sz w:val="22"/>
                <w:szCs w:val="22"/>
                <w:u w:val="single"/>
              </w:rPr>
            </w:pPr>
            <w:r w:rsidRPr="00704868">
              <w:rPr>
                <w:rFonts w:eastAsia="Calibri" w:cs="Arial"/>
              </w:rPr>
              <w:t>At the end of the contract, should another vendor be selected as a result of the RFP process instead of ETS, ETS will develop and implement a plan and schedule for transition to another vendor, including the delivery of all California-owned materials, developed specifically for California Assessment System. This will not include any third party or previously developed, proprietary software embedded in the System.</w:t>
            </w:r>
          </w:p>
        </w:tc>
      </w:tr>
      <w:tr w:rsidR="00C85594" w:rsidRPr="00704868" w14:paraId="1A541A3F" w14:textId="77777777">
        <w:trPr>
          <w:cantSplit/>
        </w:trPr>
        <w:tc>
          <w:tcPr>
            <w:tcW w:w="1249" w:type="pct"/>
          </w:tcPr>
          <w:p w14:paraId="66FB0A45" w14:textId="77777777" w:rsidR="00C85594" w:rsidRPr="00704868" w:rsidRDefault="00C85594" w:rsidP="00704868">
            <w:pPr>
              <w:tabs>
                <w:tab w:val="left" w:pos="630"/>
                <w:tab w:val="left" w:pos="990"/>
                <w:tab w:val="left" w:pos="1440"/>
                <w:tab w:val="left" w:pos="1710"/>
                <w:tab w:val="left" w:pos="2070"/>
                <w:tab w:val="left" w:pos="2160"/>
                <w:tab w:val="left" w:pos="2340"/>
              </w:tabs>
              <w:spacing w:before="120" w:after="120"/>
              <w:rPr>
                <w:rFonts w:eastAsia="Calibri" w:cs="Arial"/>
              </w:rPr>
            </w:pPr>
            <w:r w:rsidRPr="00704868">
              <w:rPr>
                <w:rFonts w:eastAsia="Calibri" w:cs="Arial"/>
              </w:rPr>
              <w:t>Task 2: Program Support Services</w:t>
            </w:r>
          </w:p>
        </w:tc>
        <w:tc>
          <w:tcPr>
            <w:tcW w:w="3751" w:type="pct"/>
          </w:tcPr>
          <w:p w14:paraId="47C5F66C"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provided all trainings, focus groups, workshops, and webcasts as specified in the SOW.</w:t>
            </w:r>
          </w:p>
          <w:p w14:paraId="108B62A8"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California Technical Assistance Center (</w:t>
            </w:r>
            <w:proofErr w:type="spellStart"/>
            <w:r w:rsidRPr="00704868">
              <w:rPr>
                <w:rFonts w:eastAsia="Calibri" w:cs="Arial"/>
              </w:rPr>
              <w:t>CalTAC</w:t>
            </w:r>
            <w:proofErr w:type="spellEnd"/>
            <w:r w:rsidRPr="00704868">
              <w:rPr>
                <w:rFonts w:eastAsia="Calibri" w:cs="Arial"/>
              </w:rPr>
              <w:t xml:space="preserve">) </w:t>
            </w:r>
            <w:proofErr w:type="gramStart"/>
            <w:r w:rsidRPr="00704868">
              <w:rPr>
                <w:rFonts w:eastAsia="Calibri" w:cs="Arial"/>
              </w:rPr>
              <w:t>provided assistance to</w:t>
            </w:r>
            <w:proofErr w:type="gramEnd"/>
            <w:r w:rsidRPr="00704868">
              <w:rPr>
                <w:rFonts w:eastAsia="Calibri" w:cs="Arial"/>
              </w:rPr>
              <w:t xml:space="preserve"> local educational agencies as specified, and within the response times specified, in the SOW.</w:t>
            </w:r>
          </w:p>
          <w:p w14:paraId="4E547D34"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CDE and LEAs received electronic files and other reports as specified in the SOW.</w:t>
            </w:r>
          </w:p>
        </w:tc>
      </w:tr>
      <w:tr w:rsidR="00C85594" w:rsidRPr="00704868" w14:paraId="3ACBD0E8" w14:textId="77777777">
        <w:trPr>
          <w:cantSplit/>
        </w:trPr>
        <w:tc>
          <w:tcPr>
            <w:tcW w:w="1249" w:type="pct"/>
          </w:tcPr>
          <w:p w14:paraId="277F9B03" w14:textId="77777777" w:rsidR="00C85594" w:rsidRPr="00704868" w:rsidRDefault="00C85594" w:rsidP="00704868">
            <w:pPr>
              <w:tabs>
                <w:tab w:val="left" w:pos="630"/>
                <w:tab w:val="left" w:pos="990"/>
                <w:tab w:val="left" w:pos="1440"/>
                <w:tab w:val="left" w:pos="1710"/>
                <w:tab w:val="left" w:pos="2070"/>
                <w:tab w:val="left" w:pos="2160"/>
                <w:tab w:val="left" w:pos="2340"/>
              </w:tabs>
              <w:spacing w:before="120" w:after="120"/>
              <w:rPr>
                <w:rFonts w:eastAsia="Calibri" w:cs="Arial"/>
              </w:rPr>
            </w:pPr>
            <w:r w:rsidRPr="00704868">
              <w:rPr>
                <w:rFonts w:eastAsia="Calibri" w:cs="Arial"/>
              </w:rPr>
              <w:lastRenderedPageBreak/>
              <w:t xml:space="preserve">Task 3: </w:t>
            </w:r>
            <w:r w:rsidRPr="00704868">
              <w:rPr>
                <w:rFonts w:eastAsia="Calibri" w:cs="Arial"/>
              </w:rPr>
              <w:br/>
              <w:t>Technology Services</w:t>
            </w:r>
          </w:p>
        </w:tc>
        <w:tc>
          <w:tcPr>
            <w:tcW w:w="3751" w:type="pct"/>
          </w:tcPr>
          <w:p w14:paraId="656A7770"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Assessment Technology Platform meets all system requirements as specified in the SOW.</w:t>
            </w:r>
          </w:p>
          <w:p w14:paraId="4074EA1D"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provided an identity management system as detailed in the SOW.</w:t>
            </w:r>
          </w:p>
          <w:p w14:paraId="60463FFD" w14:textId="77777777" w:rsidR="00C85594" w:rsidRPr="00704868" w:rsidRDefault="00C85594" w:rsidP="00704868">
            <w:pPr>
              <w:numPr>
                <w:ilvl w:val="0"/>
                <w:numId w:val="12"/>
              </w:numPr>
              <w:spacing w:before="120" w:after="120"/>
              <w:rPr>
                <w:rFonts w:eastAsia="Calibri" w:cs="Arial"/>
              </w:rPr>
            </w:pPr>
            <w:r w:rsidRPr="00704868">
              <w:rPr>
                <w:rFonts w:eastAsia="Calibri" w:cs="Arial"/>
              </w:rPr>
              <w:t>Contractor provided and maintained a Project Management Plan as detailed in the SOW.</w:t>
            </w:r>
          </w:p>
          <w:p w14:paraId="0211A481"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Assessment Technology Platform supported up to 2 million concurrent users as specified in the SOW.</w:t>
            </w:r>
          </w:p>
          <w:p w14:paraId="79E0A94C"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Assessment Technology Platform system supported at least 99.982 percent availability as specified in the SOW.</w:t>
            </w:r>
          </w:p>
        </w:tc>
      </w:tr>
      <w:tr w:rsidR="00C85594" w:rsidRPr="00704868" w14:paraId="5055F184" w14:textId="77777777">
        <w:trPr>
          <w:cantSplit/>
        </w:trPr>
        <w:tc>
          <w:tcPr>
            <w:tcW w:w="1249" w:type="pct"/>
          </w:tcPr>
          <w:p w14:paraId="381A2E45" w14:textId="77777777" w:rsidR="00C85594" w:rsidRPr="00704868" w:rsidRDefault="00C85594" w:rsidP="00704868">
            <w:pPr>
              <w:tabs>
                <w:tab w:val="left" w:pos="630"/>
                <w:tab w:val="left" w:pos="990"/>
                <w:tab w:val="left" w:pos="1440"/>
                <w:tab w:val="left" w:pos="1710"/>
                <w:tab w:val="left" w:pos="2070"/>
                <w:tab w:val="left" w:pos="2160"/>
                <w:tab w:val="left" w:pos="2340"/>
              </w:tabs>
              <w:spacing w:before="120" w:after="120"/>
              <w:rPr>
                <w:rFonts w:eastAsia="Calibri" w:cs="Arial"/>
              </w:rPr>
            </w:pPr>
            <w:r w:rsidRPr="00704868">
              <w:rPr>
                <w:rFonts w:eastAsia="Calibri" w:cs="Arial"/>
              </w:rPr>
              <w:t>Task 4: Test Security</w:t>
            </w:r>
          </w:p>
        </w:tc>
        <w:tc>
          <w:tcPr>
            <w:tcW w:w="3751" w:type="pct"/>
          </w:tcPr>
          <w:p w14:paraId="5F6DECAC" w14:textId="77777777" w:rsidR="00C85594" w:rsidRPr="00704868" w:rsidRDefault="00C85594" w:rsidP="00704868">
            <w:pPr>
              <w:numPr>
                <w:ilvl w:val="0"/>
                <w:numId w:val="12"/>
              </w:numPr>
              <w:spacing w:before="120" w:after="120"/>
              <w:rPr>
                <w:rFonts w:eastAsia="Calibri" w:cs="Arial"/>
              </w:rPr>
            </w:pPr>
            <w:r w:rsidRPr="00704868">
              <w:rPr>
                <w:rFonts w:eastAsia="Calibri" w:cs="Arial"/>
              </w:rPr>
              <w:t>All test items, test materials, electronic files, data, (including student-identifiable data) were developed, used, transferred, delivered, and maintained in a secure manner as specified in the SOW.</w:t>
            </w:r>
          </w:p>
          <w:p w14:paraId="171D79FF"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completed all monitoring (including but not limited to on-site visits, social media monitoring, inventorying of materials) of schools before, during, and after testing as specified in the SOW.</w:t>
            </w:r>
          </w:p>
          <w:p w14:paraId="60DDFA9C"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conducted security breach investigations as specified in the SOW.</w:t>
            </w:r>
          </w:p>
          <w:p w14:paraId="3EE41DBF"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provided the CDE with summary reports of the results of each security breach investigation.</w:t>
            </w:r>
          </w:p>
        </w:tc>
      </w:tr>
      <w:tr w:rsidR="00C85594" w:rsidRPr="00704868" w14:paraId="5F95DAC3" w14:textId="77777777">
        <w:trPr>
          <w:cantSplit/>
          <w:trHeight w:val="665"/>
        </w:trPr>
        <w:tc>
          <w:tcPr>
            <w:tcW w:w="1249" w:type="pct"/>
          </w:tcPr>
          <w:p w14:paraId="0C1F3996" w14:textId="77777777" w:rsidR="00C85594" w:rsidRPr="00704868" w:rsidRDefault="00C85594" w:rsidP="00704868">
            <w:pPr>
              <w:tabs>
                <w:tab w:val="left" w:pos="630"/>
                <w:tab w:val="left" w:pos="990"/>
                <w:tab w:val="left" w:pos="1440"/>
                <w:tab w:val="left" w:pos="1710"/>
                <w:tab w:val="left" w:pos="2070"/>
                <w:tab w:val="left" w:pos="2160"/>
                <w:tab w:val="left" w:pos="2340"/>
              </w:tabs>
              <w:spacing w:before="120" w:after="120"/>
              <w:rPr>
                <w:rFonts w:eastAsia="Calibri" w:cs="Arial"/>
              </w:rPr>
            </w:pPr>
            <w:r w:rsidRPr="00704868">
              <w:rPr>
                <w:rFonts w:eastAsia="Calibri" w:cs="Arial"/>
              </w:rPr>
              <w:t>Task 5: Accessibility and Accommodations</w:t>
            </w:r>
          </w:p>
        </w:tc>
        <w:tc>
          <w:tcPr>
            <w:tcW w:w="3751" w:type="pct"/>
          </w:tcPr>
          <w:p w14:paraId="24F0E0CC"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provided all universal tools, designated supports, and accommodations as required in the SOW.</w:t>
            </w:r>
          </w:p>
          <w:p w14:paraId="47ECB984" w14:textId="77777777" w:rsidR="00C85594" w:rsidRPr="00704868" w:rsidRDefault="00C85594" w:rsidP="00704868">
            <w:pPr>
              <w:numPr>
                <w:ilvl w:val="0"/>
                <w:numId w:val="12"/>
              </w:numPr>
              <w:spacing w:before="120" w:after="120"/>
              <w:rPr>
                <w:rFonts w:eastAsia="Calibri" w:cs="Arial"/>
              </w:rPr>
            </w:pPr>
            <w:r w:rsidRPr="00704868">
              <w:rPr>
                <w:rFonts w:eastAsia="Calibri" w:cs="Arial"/>
              </w:rPr>
              <w:t>All items developed (as specified in Task 6) include all the embedded accessibility supports, functionality, and render within the test delivery system as specified in the SOW.</w:t>
            </w:r>
          </w:p>
        </w:tc>
      </w:tr>
      <w:tr w:rsidR="00C85594" w:rsidRPr="00704868" w14:paraId="634E1E78" w14:textId="77777777">
        <w:trPr>
          <w:cantSplit/>
        </w:trPr>
        <w:tc>
          <w:tcPr>
            <w:tcW w:w="1249" w:type="pct"/>
          </w:tcPr>
          <w:p w14:paraId="12F65491" w14:textId="77777777" w:rsidR="00C85594" w:rsidRPr="00704868" w:rsidRDefault="00C85594" w:rsidP="00704868">
            <w:pPr>
              <w:tabs>
                <w:tab w:val="left" w:pos="630"/>
                <w:tab w:val="left" w:pos="990"/>
                <w:tab w:val="left" w:pos="1440"/>
                <w:tab w:val="left" w:pos="1710"/>
                <w:tab w:val="left" w:pos="2070"/>
                <w:tab w:val="left" w:pos="2160"/>
                <w:tab w:val="left" w:pos="2340"/>
              </w:tabs>
              <w:spacing w:before="120" w:after="120"/>
              <w:rPr>
                <w:rFonts w:eastAsia="Calibri" w:cs="Arial"/>
              </w:rPr>
            </w:pPr>
            <w:r w:rsidRPr="00704868">
              <w:rPr>
                <w:rFonts w:eastAsia="Calibri" w:cs="Arial"/>
              </w:rPr>
              <w:lastRenderedPageBreak/>
              <w:t>Task 6: Assessment Development</w:t>
            </w:r>
          </w:p>
        </w:tc>
        <w:tc>
          <w:tcPr>
            <w:tcW w:w="3751" w:type="pct"/>
          </w:tcPr>
          <w:p w14:paraId="0F16FD78"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developed for all grades and subjects the number and types of items specified in the scope work.</w:t>
            </w:r>
          </w:p>
          <w:p w14:paraId="0006A051"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pilot tested or field tested the minimum required number of items as specified in the SOW.</w:t>
            </w:r>
          </w:p>
          <w:p w14:paraId="1940EDFD"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provided high-level test design and</w:t>
            </w:r>
            <w:r w:rsidRPr="00704868" w:rsidDel="00A501B4">
              <w:rPr>
                <w:rFonts w:eastAsia="Calibri" w:cs="Arial"/>
              </w:rPr>
              <w:t xml:space="preserve"> </w:t>
            </w:r>
            <w:r w:rsidRPr="00704868">
              <w:rPr>
                <w:rFonts w:eastAsia="Calibri" w:cs="Arial"/>
              </w:rPr>
              <w:t>blueprints for new assessments as specified in the scope work.</w:t>
            </w:r>
          </w:p>
          <w:p w14:paraId="6AF6BCFB" w14:textId="77777777" w:rsidR="00C85594" w:rsidRPr="00704868" w:rsidRDefault="00C85594" w:rsidP="00704868">
            <w:pPr>
              <w:numPr>
                <w:ilvl w:val="0"/>
                <w:numId w:val="12"/>
              </w:numPr>
              <w:spacing w:before="120" w:after="120"/>
              <w:rPr>
                <w:rFonts w:eastAsia="Calibri" w:cs="Arial"/>
              </w:rPr>
            </w:pPr>
            <w:r w:rsidRPr="00704868">
              <w:rPr>
                <w:rFonts w:eastAsia="Calibri" w:cs="Arial"/>
              </w:rPr>
              <w:t>A review of the scaling and equating processes showed items to meet or exceed industry standard.</w:t>
            </w:r>
          </w:p>
          <w:p w14:paraId="16BCC7EA"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performance and achievement level settings generated results for all content areas and performance levels were reported to local educational agencies and the CDE.</w:t>
            </w:r>
          </w:p>
        </w:tc>
      </w:tr>
      <w:tr w:rsidR="00C85594" w:rsidRPr="00704868" w14:paraId="545DCF33" w14:textId="77777777">
        <w:trPr>
          <w:cantSplit/>
        </w:trPr>
        <w:tc>
          <w:tcPr>
            <w:tcW w:w="1249" w:type="pct"/>
          </w:tcPr>
          <w:p w14:paraId="46F3BFDA" w14:textId="77777777" w:rsidR="00C85594" w:rsidRPr="00704868" w:rsidRDefault="00C85594" w:rsidP="00704868">
            <w:pPr>
              <w:tabs>
                <w:tab w:val="left" w:pos="630"/>
                <w:tab w:val="left" w:pos="990"/>
                <w:tab w:val="left" w:pos="1440"/>
                <w:tab w:val="left" w:pos="1710"/>
                <w:tab w:val="left" w:pos="2070"/>
                <w:tab w:val="left" w:pos="2160"/>
                <w:tab w:val="left" w:pos="2340"/>
              </w:tabs>
              <w:spacing w:before="120" w:after="120"/>
              <w:rPr>
                <w:rFonts w:eastAsia="Calibri" w:cs="Arial"/>
              </w:rPr>
            </w:pPr>
            <w:r w:rsidRPr="00704868">
              <w:rPr>
                <w:rFonts w:eastAsia="Calibri" w:cs="Arial"/>
              </w:rPr>
              <w:t>Task 7: Test Administration</w:t>
            </w:r>
          </w:p>
        </w:tc>
        <w:tc>
          <w:tcPr>
            <w:tcW w:w="3751" w:type="pct"/>
          </w:tcPr>
          <w:p w14:paraId="1013FB5E" w14:textId="77777777" w:rsidR="00C85594" w:rsidRPr="00704868" w:rsidRDefault="00C85594" w:rsidP="00704868">
            <w:pPr>
              <w:numPr>
                <w:ilvl w:val="0"/>
                <w:numId w:val="12"/>
              </w:numPr>
              <w:spacing w:before="120" w:after="120"/>
              <w:rPr>
                <w:rFonts w:eastAsia="Calibri" w:cs="Arial"/>
              </w:rPr>
            </w:pPr>
            <w:r w:rsidRPr="00704868">
              <w:rPr>
                <w:rFonts w:eastAsia="Calibri" w:cs="Arial"/>
              </w:rPr>
              <w:t>All test materials required in the SOW were produced on time and in sufficient quantities.</w:t>
            </w:r>
          </w:p>
          <w:p w14:paraId="699F1193" w14:textId="77777777" w:rsidR="00C85594" w:rsidRPr="00704868" w:rsidRDefault="00C85594" w:rsidP="00704868">
            <w:pPr>
              <w:numPr>
                <w:ilvl w:val="0"/>
                <w:numId w:val="12"/>
              </w:numPr>
              <w:spacing w:before="120" w:after="120"/>
              <w:rPr>
                <w:rFonts w:eastAsia="Calibri" w:cs="Arial"/>
              </w:rPr>
            </w:pPr>
            <w:r w:rsidRPr="00704868">
              <w:rPr>
                <w:rFonts w:eastAsia="Calibri" w:cs="Arial"/>
              </w:rPr>
              <w:t>All test materials were delivered to and retrieved from local educational agencies as specified in the SOW.</w:t>
            </w:r>
          </w:p>
          <w:p w14:paraId="167218BC"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hosted the Assessment Delivery System as specified in the SOW.</w:t>
            </w:r>
          </w:p>
          <w:p w14:paraId="322BA017"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hosting systems (TOMS, Appeals, and Assessment Delivery System) were operational and functioned as specified in the SOW, including the authentication of users.</w:t>
            </w:r>
          </w:p>
          <w:p w14:paraId="4EA96A3F" w14:textId="77777777" w:rsidR="00C85594" w:rsidRPr="00704868" w:rsidRDefault="00C85594" w:rsidP="00704868">
            <w:pPr>
              <w:numPr>
                <w:ilvl w:val="0"/>
                <w:numId w:val="12"/>
              </w:numPr>
              <w:spacing w:before="120" w:after="120"/>
              <w:rPr>
                <w:rFonts w:eastAsia="Calibri" w:cs="Arial"/>
              </w:rPr>
            </w:pPr>
            <w:r w:rsidRPr="00704868">
              <w:rPr>
                <w:rFonts w:eastAsia="Calibri" w:cs="Arial"/>
              </w:rPr>
              <w:t>Smarter Balanced Interim Assessments were hosted and scoring provided as specified in the SOW.</w:t>
            </w:r>
          </w:p>
        </w:tc>
      </w:tr>
      <w:tr w:rsidR="00C85594" w:rsidRPr="00704868" w14:paraId="102894FD" w14:textId="77777777">
        <w:trPr>
          <w:cantSplit/>
        </w:trPr>
        <w:tc>
          <w:tcPr>
            <w:tcW w:w="1249" w:type="pct"/>
          </w:tcPr>
          <w:p w14:paraId="2DE2A8FA" w14:textId="77777777" w:rsidR="00C85594" w:rsidRPr="00704868" w:rsidRDefault="00C85594" w:rsidP="00704868">
            <w:pPr>
              <w:tabs>
                <w:tab w:val="left" w:pos="630"/>
                <w:tab w:val="left" w:pos="990"/>
                <w:tab w:val="left" w:pos="1440"/>
                <w:tab w:val="left" w:pos="1710"/>
                <w:tab w:val="left" w:pos="2070"/>
                <w:tab w:val="left" w:pos="2160"/>
                <w:tab w:val="left" w:pos="2340"/>
              </w:tabs>
              <w:spacing w:before="120" w:after="120"/>
              <w:rPr>
                <w:rFonts w:eastAsia="Calibri" w:cs="Arial"/>
              </w:rPr>
            </w:pPr>
            <w:r w:rsidRPr="00704868">
              <w:rPr>
                <w:rFonts w:eastAsia="Calibri" w:cs="Arial"/>
              </w:rPr>
              <w:t>Task 8: Scoring and Analysis</w:t>
            </w:r>
          </w:p>
        </w:tc>
        <w:tc>
          <w:tcPr>
            <w:tcW w:w="3751" w:type="pct"/>
          </w:tcPr>
          <w:p w14:paraId="6B79434D" w14:textId="77777777" w:rsidR="00C85594" w:rsidRPr="00704868" w:rsidRDefault="00C85594" w:rsidP="00704868">
            <w:pPr>
              <w:numPr>
                <w:ilvl w:val="0"/>
                <w:numId w:val="12"/>
              </w:numPr>
              <w:spacing w:before="120" w:after="120"/>
              <w:rPr>
                <w:rFonts w:eastAsia="Calibri" w:cs="Arial"/>
              </w:rPr>
            </w:pPr>
            <w:r w:rsidRPr="00704868">
              <w:rPr>
                <w:rFonts w:eastAsia="Calibri" w:cs="Arial"/>
              </w:rPr>
              <w:t>All tests were correctly processed and scored within timelines specified in the SOW.</w:t>
            </w:r>
          </w:p>
          <w:p w14:paraId="2617E1ED" w14:textId="77777777" w:rsidR="00C85594" w:rsidRPr="00704868" w:rsidRDefault="00C85594" w:rsidP="00704868">
            <w:pPr>
              <w:numPr>
                <w:ilvl w:val="0"/>
                <w:numId w:val="12"/>
              </w:numPr>
              <w:spacing w:before="120" w:after="120"/>
              <w:rPr>
                <w:rFonts w:eastAsia="Calibri" w:cs="Arial"/>
              </w:rPr>
            </w:pPr>
            <w:r w:rsidRPr="00704868">
              <w:rPr>
                <w:rFonts w:eastAsia="Calibri" w:cs="Arial"/>
              </w:rPr>
              <w:t>All data analyses were completed as specified in the SOW.</w:t>
            </w:r>
          </w:p>
          <w:p w14:paraId="7D430BCC"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delivered all electronic data files and documentation as specified in the SOW.</w:t>
            </w:r>
          </w:p>
        </w:tc>
      </w:tr>
      <w:tr w:rsidR="00C85594" w:rsidRPr="00704868" w14:paraId="71EA64B8" w14:textId="77777777">
        <w:trPr>
          <w:cantSplit/>
        </w:trPr>
        <w:tc>
          <w:tcPr>
            <w:tcW w:w="1249" w:type="pct"/>
          </w:tcPr>
          <w:p w14:paraId="7FE85565" w14:textId="77777777" w:rsidR="00C85594" w:rsidRPr="00704868" w:rsidRDefault="00C85594" w:rsidP="00704868">
            <w:pPr>
              <w:tabs>
                <w:tab w:val="left" w:pos="630"/>
                <w:tab w:val="left" w:pos="990"/>
                <w:tab w:val="left" w:pos="1440"/>
                <w:tab w:val="left" w:pos="1710"/>
                <w:tab w:val="left" w:pos="2070"/>
                <w:tab w:val="left" w:pos="2160"/>
                <w:tab w:val="left" w:pos="2340"/>
              </w:tabs>
              <w:spacing w:before="120" w:after="120"/>
              <w:rPr>
                <w:rFonts w:eastAsia="Calibri" w:cs="Arial"/>
              </w:rPr>
            </w:pPr>
            <w:r w:rsidRPr="00704868">
              <w:rPr>
                <w:rFonts w:eastAsia="Calibri" w:cs="Arial"/>
              </w:rPr>
              <w:lastRenderedPageBreak/>
              <w:t>Task 9: Reporting Results</w:t>
            </w:r>
          </w:p>
        </w:tc>
        <w:tc>
          <w:tcPr>
            <w:tcW w:w="3751" w:type="pct"/>
          </w:tcPr>
          <w:p w14:paraId="0F20F955"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provided accurate and complete reports of test results to local educational agencies that met all reporting requirements as specified in the SOW.</w:t>
            </w:r>
          </w:p>
          <w:p w14:paraId="7F09EC3F"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provided accurate and complete data to the designated CDE vendor for the California Educator Reporting System that met all requirements as specified in the SOW.</w:t>
            </w:r>
          </w:p>
          <w:p w14:paraId="3AB919D5"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provided accurate and complete reports of test results for the public reporting Web sites that met all reporting requirements as specified in the SOW.</w:t>
            </w:r>
          </w:p>
          <w:p w14:paraId="6A20DE69"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contractor met all reporting requirements to the CDE as specified in the SOW.</w:t>
            </w:r>
          </w:p>
          <w:p w14:paraId="0A0160C7" w14:textId="77777777" w:rsidR="00C85594" w:rsidRPr="00704868" w:rsidRDefault="00C85594" w:rsidP="00704868">
            <w:pPr>
              <w:numPr>
                <w:ilvl w:val="0"/>
                <w:numId w:val="12"/>
              </w:numPr>
              <w:spacing w:before="120" w:after="120"/>
              <w:rPr>
                <w:rFonts w:eastAsia="Calibri" w:cs="Arial"/>
              </w:rPr>
            </w:pPr>
            <w:r w:rsidRPr="00704868">
              <w:rPr>
                <w:rFonts w:eastAsia="Calibri" w:cs="Arial"/>
              </w:rPr>
              <w:t>The annual technical reports were received by the CDE as specified in the SOW.</w:t>
            </w:r>
          </w:p>
        </w:tc>
      </w:tr>
    </w:tbl>
    <w:p w14:paraId="50B7119A" w14:textId="77777777" w:rsidR="00C85594" w:rsidRPr="00704868" w:rsidRDefault="00C85594" w:rsidP="00704868">
      <w:pPr>
        <w:keepNext/>
        <w:keepLines/>
        <w:spacing w:before="240" w:after="240"/>
        <w:jc w:val="center"/>
        <w:outlineLvl w:val="0"/>
        <w:rPr>
          <w:rFonts w:eastAsiaTheme="majorEastAsia" w:cstheme="majorBidi"/>
          <w:b/>
          <w:sz w:val="36"/>
          <w:szCs w:val="36"/>
        </w:rPr>
        <w:sectPr w:rsidR="00C85594" w:rsidRPr="00704868" w:rsidSect="00C85594">
          <w:headerReference w:type="default" r:id="rId25"/>
          <w:headerReference w:type="first" r:id="rId26"/>
          <w:pgSz w:w="12240" w:h="15840"/>
          <w:pgMar w:top="720" w:right="1440" w:bottom="1440" w:left="1440" w:header="720" w:footer="720" w:gutter="0"/>
          <w:pgNumType w:start="1"/>
          <w:cols w:space="720"/>
          <w:titlePg/>
          <w:docGrid w:linePitch="360"/>
        </w:sectPr>
      </w:pPr>
    </w:p>
    <w:p w14:paraId="13221B15" w14:textId="7F1A38E4" w:rsidR="00C85594" w:rsidRPr="00704868" w:rsidRDefault="00C85594" w:rsidP="00704868">
      <w:pPr>
        <w:keepNext/>
        <w:keepLines/>
        <w:spacing w:before="240" w:after="240"/>
        <w:jc w:val="center"/>
        <w:outlineLvl w:val="0"/>
        <w:rPr>
          <w:rFonts w:eastAsiaTheme="majorEastAsia" w:cstheme="majorBidi"/>
          <w:b/>
          <w:sz w:val="36"/>
          <w:szCs w:val="36"/>
        </w:rPr>
      </w:pPr>
      <w:r w:rsidRPr="00704868">
        <w:rPr>
          <w:rFonts w:eastAsiaTheme="majorEastAsia" w:cstheme="majorBidi"/>
          <w:b/>
          <w:sz w:val="36"/>
          <w:szCs w:val="36"/>
        </w:rPr>
        <w:lastRenderedPageBreak/>
        <w:t xml:space="preserve">Attachment 2: California Assessment System Contract </w:t>
      </w:r>
      <w:r w:rsidR="008235ED" w:rsidRPr="00704868">
        <w:rPr>
          <w:rFonts w:eastAsiaTheme="majorEastAsia" w:cstheme="majorBidi"/>
          <w:b/>
          <w:sz w:val="36"/>
          <w:szCs w:val="36"/>
        </w:rPr>
        <w:t xml:space="preserve">for </w:t>
      </w:r>
      <w:r w:rsidR="00E842CD" w:rsidRPr="00704868">
        <w:rPr>
          <w:rFonts w:eastAsiaTheme="majorEastAsia" w:cstheme="majorBidi"/>
          <w:b/>
          <w:sz w:val="36"/>
          <w:szCs w:val="36"/>
        </w:rPr>
        <w:t xml:space="preserve">Fiscal Year </w:t>
      </w:r>
      <w:r w:rsidR="008235ED" w:rsidRPr="00704868">
        <w:rPr>
          <w:rFonts w:eastAsiaTheme="majorEastAsia" w:cstheme="majorBidi"/>
          <w:b/>
          <w:sz w:val="36"/>
          <w:szCs w:val="36"/>
        </w:rPr>
        <w:t>2021–22</w:t>
      </w:r>
      <w:r w:rsidR="00597FE3" w:rsidRPr="00704868">
        <w:rPr>
          <w:rFonts w:eastAsiaTheme="majorEastAsia" w:cstheme="majorBidi"/>
          <w:b/>
          <w:sz w:val="36"/>
          <w:szCs w:val="36"/>
        </w:rPr>
        <w:t>,</w:t>
      </w:r>
      <w:r w:rsidR="008235ED" w:rsidRPr="00704868">
        <w:rPr>
          <w:rFonts w:eastAsiaTheme="majorEastAsia" w:cstheme="majorBidi"/>
          <w:b/>
          <w:sz w:val="36"/>
          <w:szCs w:val="36"/>
        </w:rPr>
        <w:t xml:space="preserve"> </w:t>
      </w:r>
      <w:r w:rsidR="00E842CD" w:rsidRPr="00704868">
        <w:rPr>
          <w:rFonts w:eastAsiaTheme="majorEastAsia" w:cstheme="majorBidi"/>
          <w:b/>
          <w:sz w:val="36"/>
          <w:szCs w:val="36"/>
        </w:rPr>
        <w:t xml:space="preserve">by </w:t>
      </w:r>
      <w:r w:rsidRPr="00704868">
        <w:rPr>
          <w:rFonts w:eastAsiaTheme="majorEastAsia" w:cstheme="majorBidi"/>
          <w:b/>
          <w:sz w:val="36"/>
          <w:szCs w:val="36"/>
        </w:rPr>
        <w:t>Test Administration</w:t>
      </w:r>
      <w:r w:rsidR="00D11FB7" w:rsidRPr="00704868">
        <w:rPr>
          <w:rFonts w:eastAsiaTheme="majorEastAsia" w:cstheme="majorBidi"/>
          <w:b/>
          <w:sz w:val="36"/>
          <w:szCs w:val="36"/>
        </w:rPr>
        <w:t xml:space="preserve"> Year and</w:t>
      </w:r>
      <w:r w:rsidRPr="00704868">
        <w:rPr>
          <w:rFonts w:eastAsiaTheme="majorEastAsia" w:cstheme="majorBidi"/>
          <w:b/>
          <w:sz w:val="36"/>
          <w:szCs w:val="36"/>
        </w:rPr>
        <w:t xml:space="preserve"> Component Task Budget</w:t>
      </w:r>
    </w:p>
    <w:p w14:paraId="5031139C" w14:textId="1AFA0999" w:rsidR="007554D9" w:rsidRPr="00704868" w:rsidRDefault="00C85594" w:rsidP="00704868">
      <w:pPr>
        <w:spacing w:before="240" w:after="240"/>
        <w:rPr>
          <w:rFonts w:cs="Arial"/>
        </w:rPr>
      </w:pPr>
      <w:r w:rsidRPr="00704868">
        <w:rPr>
          <w:rFonts w:cs="Arial"/>
        </w:rPr>
        <w:t xml:space="preserve">The California Department of Education (CDE) recommends releasing </w:t>
      </w:r>
      <w:r w:rsidR="00D11FB7" w:rsidRPr="00704868">
        <w:rPr>
          <w:rFonts w:cs="Arial"/>
        </w:rPr>
        <w:t xml:space="preserve">$482,483.60 for the 2021 </w:t>
      </w:r>
      <w:r w:rsidR="00597FE3" w:rsidRPr="00704868">
        <w:rPr>
          <w:rFonts w:cs="Arial"/>
        </w:rPr>
        <w:t xml:space="preserve">California Assessment System </w:t>
      </w:r>
      <w:r w:rsidR="00D11FB7" w:rsidRPr="00704868">
        <w:rPr>
          <w:rFonts w:cs="Arial"/>
        </w:rPr>
        <w:t xml:space="preserve">test administration cycle and $9,528,350.00 for the 2022 </w:t>
      </w:r>
      <w:r w:rsidR="00597FE3" w:rsidRPr="00704868">
        <w:rPr>
          <w:rFonts w:cs="Arial"/>
        </w:rPr>
        <w:t>California Assessment System</w:t>
      </w:r>
      <w:r w:rsidR="00D11FB7" w:rsidRPr="00704868">
        <w:rPr>
          <w:rFonts w:cs="Arial"/>
        </w:rPr>
        <w:t xml:space="preserve"> test administration cycle</w:t>
      </w:r>
      <w:r w:rsidR="00597FE3" w:rsidRPr="00704868">
        <w:rPr>
          <w:rFonts w:cs="Arial"/>
        </w:rPr>
        <w:t>,</w:t>
      </w:r>
      <w:r w:rsidR="00D11FB7" w:rsidRPr="00704868">
        <w:rPr>
          <w:rFonts w:cs="Arial"/>
        </w:rPr>
        <w:t xml:space="preserve"> for </w:t>
      </w:r>
      <w:r w:rsidRPr="00704868">
        <w:rPr>
          <w:rFonts w:cs="Arial"/>
        </w:rPr>
        <w:t xml:space="preserve">a total of </w:t>
      </w:r>
      <w:r w:rsidR="00FB3655" w:rsidRPr="00704868">
        <w:rPr>
          <w:color w:val="000000"/>
        </w:rPr>
        <w:t>$</w:t>
      </w:r>
      <w:r w:rsidR="00D11FB7" w:rsidRPr="00704868">
        <w:rPr>
          <w:color w:val="000000"/>
        </w:rPr>
        <w:t>10,010,833.60</w:t>
      </w:r>
      <w:r w:rsidR="00FB3655" w:rsidRPr="00704868">
        <w:rPr>
          <w:color w:val="000000"/>
        </w:rPr>
        <w:t xml:space="preserve"> </w:t>
      </w:r>
      <w:r w:rsidRPr="00704868">
        <w:rPr>
          <w:rFonts w:cs="Arial"/>
        </w:rPr>
        <w:t xml:space="preserve">to Educational Testing Service (ETS) from funds withheld during </w:t>
      </w:r>
      <w:r w:rsidR="00597FE3" w:rsidRPr="00704868">
        <w:rPr>
          <w:rFonts w:cs="Arial"/>
        </w:rPr>
        <w:t>fiscal year</w:t>
      </w:r>
      <w:r w:rsidR="00597FE3" w:rsidRPr="00704868" w:rsidDel="00597FE3">
        <w:rPr>
          <w:rFonts w:cs="Arial"/>
        </w:rPr>
        <w:t xml:space="preserve"> </w:t>
      </w:r>
      <w:r w:rsidR="00597FE3" w:rsidRPr="00704868">
        <w:rPr>
          <w:rFonts w:cs="Arial"/>
        </w:rPr>
        <w:t>(FY)</w:t>
      </w:r>
      <w:r w:rsidR="004E609B" w:rsidRPr="00704868">
        <w:rPr>
          <w:rFonts w:cs="Arial"/>
        </w:rPr>
        <w:t xml:space="preserve"> </w:t>
      </w:r>
      <w:r w:rsidRPr="00704868">
        <w:rPr>
          <w:rFonts w:cs="Arial"/>
        </w:rPr>
        <w:t>202</w:t>
      </w:r>
      <w:r w:rsidR="00FB3655" w:rsidRPr="00704868">
        <w:rPr>
          <w:rFonts w:cs="Arial"/>
        </w:rPr>
        <w:t>1</w:t>
      </w:r>
      <w:r w:rsidRPr="00704868">
        <w:rPr>
          <w:rFonts w:cs="Arial"/>
        </w:rPr>
        <w:t>–2</w:t>
      </w:r>
      <w:r w:rsidR="00FB3655" w:rsidRPr="00704868">
        <w:rPr>
          <w:rFonts w:cs="Arial"/>
        </w:rPr>
        <w:t>2</w:t>
      </w:r>
      <w:r w:rsidR="00D11FB7" w:rsidRPr="00704868">
        <w:rPr>
          <w:rFonts w:cs="Arial"/>
        </w:rPr>
        <w:t>.</w:t>
      </w:r>
      <w:r w:rsidR="004E609B" w:rsidRPr="00704868">
        <w:rPr>
          <w:rFonts w:cs="Arial"/>
        </w:rPr>
        <w:t xml:space="preserve"> </w:t>
      </w:r>
      <w:r w:rsidR="007554D9" w:rsidRPr="00704868">
        <w:rPr>
          <w:rFonts w:cs="Arial"/>
        </w:rPr>
        <w:t xml:space="preserve">Tables 1 and 2 display the </w:t>
      </w:r>
      <w:r w:rsidR="00A816AF" w:rsidRPr="00704868">
        <w:rPr>
          <w:rFonts w:cs="Arial"/>
        </w:rPr>
        <w:t xml:space="preserve">tasks </w:t>
      </w:r>
      <w:r w:rsidR="007554D9" w:rsidRPr="00704868">
        <w:rPr>
          <w:rFonts w:cs="Arial"/>
        </w:rPr>
        <w:t>performed and completed during FY 2021–22 for the 2021 and 2022 California Assessment System test administrations.</w:t>
      </w:r>
    </w:p>
    <w:p w14:paraId="25F7E05E" w14:textId="5B540827" w:rsidR="00C85594" w:rsidRPr="00D51D57" w:rsidRDefault="00C85594" w:rsidP="00D51D57">
      <w:pPr>
        <w:pStyle w:val="Heading2"/>
      </w:pPr>
      <w:r w:rsidRPr="00D51D57">
        <w:t>Table 1. Recommended Release of Amounts to ETS from Funds Withheld</w:t>
      </w:r>
      <w:r w:rsidR="007F47C8" w:rsidRPr="00D51D57">
        <w:t xml:space="preserve"> in FY 2021–22</w:t>
      </w:r>
      <w:r w:rsidRPr="00D51D57">
        <w:t xml:space="preserve"> </w:t>
      </w:r>
      <w:r w:rsidR="004E609B" w:rsidRPr="00D51D57">
        <w:t xml:space="preserve">for </w:t>
      </w:r>
      <w:r w:rsidRPr="00D51D57">
        <w:t xml:space="preserve">the </w:t>
      </w:r>
      <w:r w:rsidR="007F47C8" w:rsidRPr="00D51D57">
        <w:t>2021</w:t>
      </w:r>
      <w:r w:rsidR="00124BEF" w:rsidRPr="00D51D57">
        <w:t xml:space="preserve"> </w:t>
      </w:r>
      <w:r w:rsidR="008235ED" w:rsidRPr="00D51D57">
        <w:t>California Assessment System</w:t>
      </w:r>
      <w:r w:rsidRPr="00D51D57">
        <w:t xml:space="preserve"> Administration</w:t>
      </w:r>
      <w:r w:rsidR="008235ED" w:rsidRPr="00D51D57">
        <w:t>s</w:t>
      </w:r>
    </w:p>
    <w:tbl>
      <w:tblPr>
        <w:tblStyle w:val="TableGrid1"/>
        <w:tblW w:w="14184" w:type="dxa"/>
        <w:jc w:val="center"/>
        <w:tblLayout w:type="fixed"/>
        <w:tblLook w:val="00A0" w:firstRow="1" w:lastRow="0" w:firstColumn="1" w:lastColumn="0" w:noHBand="0" w:noVBand="0"/>
        <w:tblCaption w:val="California Assessment of Student Performance and Progress Contract 2021–22 Test Administration Component Task Budget"/>
        <w:tblDescription w:val="Table 1. Recommended Release of Amounts to ETS from Funds Withheld in FY 2021–22 for the 2021 California Assessment System Administrations."/>
      </w:tblPr>
      <w:tblGrid>
        <w:gridCol w:w="4405"/>
        <w:gridCol w:w="2070"/>
        <w:gridCol w:w="1890"/>
        <w:gridCol w:w="1980"/>
        <w:gridCol w:w="1964"/>
        <w:gridCol w:w="1875"/>
      </w:tblGrid>
      <w:tr w:rsidR="00C85594" w:rsidRPr="00704868" w14:paraId="6268E561" w14:textId="77777777" w:rsidTr="00D51D57">
        <w:trPr>
          <w:cantSplit/>
          <w:trHeight w:val="389"/>
          <w:tblHeader/>
          <w:jc w:val="center"/>
        </w:trPr>
        <w:tc>
          <w:tcPr>
            <w:tcW w:w="4405" w:type="dxa"/>
            <w:shd w:val="pct15" w:color="auto" w:fill="auto"/>
            <w:vAlign w:val="center"/>
          </w:tcPr>
          <w:p w14:paraId="31672FB2" w14:textId="3C8908CF" w:rsidR="00C85594" w:rsidRPr="00704868" w:rsidRDefault="00C85594" w:rsidP="00704868">
            <w:pPr>
              <w:spacing w:before="120" w:after="120"/>
              <w:ind w:left="-32"/>
              <w:jc w:val="center"/>
              <w:rPr>
                <w:rFonts w:cs="Arial"/>
                <w:b/>
              </w:rPr>
            </w:pPr>
            <w:r w:rsidRPr="00704868">
              <w:rPr>
                <w:rFonts w:cs="Arial"/>
                <w:b/>
              </w:rPr>
              <w:t>Component Task</w:t>
            </w:r>
            <w:r w:rsidRPr="00704868">
              <w:rPr>
                <w:rFonts w:cs="Arial"/>
                <w:b/>
              </w:rPr>
              <w:br/>
              <w:t xml:space="preserve">Scope of Work </w:t>
            </w:r>
          </w:p>
        </w:tc>
        <w:tc>
          <w:tcPr>
            <w:tcW w:w="2070" w:type="dxa"/>
            <w:shd w:val="pct15" w:color="auto" w:fill="auto"/>
            <w:vAlign w:val="center"/>
          </w:tcPr>
          <w:p w14:paraId="5E9D8652" w14:textId="76D8D11F" w:rsidR="00C85594" w:rsidRPr="00704868" w:rsidRDefault="00143A88" w:rsidP="00704868">
            <w:pPr>
              <w:spacing w:before="120" w:after="120"/>
              <w:ind w:left="-108" w:right="-108"/>
              <w:jc w:val="center"/>
              <w:rPr>
                <w:rFonts w:cs="Arial"/>
                <w:b/>
                <w:bCs/>
              </w:rPr>
            </w:pPr>
            <w:r w:rsidRPr="00704868">
              <w:rPr>
                <w:rFonts w:cs="Arial"/>
                <w:b/>
                <w:bCs/>
              </w:rPr>
              <w:t>202</w:t>
            </w:r>
            <w:r w:rsidR="0085334B" w:rsidRPr="00704868">
              <w:rPr>
                <w:rFonts w:cs="Arial"/>
                <w:b/>
                <w:bCs/>
              </w:rPr>
              <w:t>1</w:t>
            </w:r>
            <w:r w:rsidR="00AE6272" w:rsidRPr="00704868">
              <w:rPr>
                <w:rFonts w:cs="Arial"/>
                <w:b/>
                <w:bCs/>
              </w:rPr>
              <w:t xml:space="preserve"> </w:t>
            </w:r>
            <w:r w:rsidR="00C85594" w:rsidRPr="00704868">
              <w:rPr>
                <w:rFonts w:cs="Arial"/>
                <w:b/>
                <w:bCs/>
              </w:rPr>
              <w:t>Test Administration Budget</w:t>
            </w:r>
            <w:r w:rsidR="00AE6272" w:rsidRPr="00704868">
              <w:rPr>
                <w:rFonts w:cs="Arial"/>
                <w:b/>
                <w:bCs/>
              </w:rPr>
              <w:t xml:space="preserve"> for</w:t>
            </w:r>
            <w:r w:rsidR="00AE6272" w:rsidRPr="00704868">
              <w:rPr>
                <w:rFonts w:cs="Arial"/>
                <w:b/>
                <w:bCs/>
              </w:rPr>
              <w:br/>
              <w:t>FY 21–22</w:t>
            </w:r>
          </w:p>
        </w:tc>
        <w:tc>
          <w:tcPr>
            <w:tcW w:w="1890" w:type="dxa"/>
            <w:shd w:val="pct15" w:color="auto" w:fill="auto"/>
            <w:vAlign w:val="center"/>
          </w:tcPr>
          <w:p w14:paraId="5C36DCA4" w14:textId="178174F5" w:rsidR="00C85594" w:rsidRPr="00704868" w:rsidRDefault="00C85594" w:rsidP="00704868">
            <w:pPr>
              <w:spacing w:before="120" w:after="120"/>
              <w:ind w:left="-108" w:right="-132"/>
              <w:jc w:val="center"/>
              <w:rPr>
                <w:rFonts w:cs="Arial"/>
                <w:b/>
              </w:rPr>
            </w:pPr>
            <w:r w:rsidRPr="00704868">
              <w:rPr>
                <w:rFonts w:cs="Arial"/>
                <w:b/>
              </w:rPr>
              <w:t>Amount Paid</w:t>
            </w:r>
            <w:r w:rsidR="007F47C8" w:rsidRPr="00704868">
              <w:rPr>
                <w:rFonts w:cs="Arial"/>
                <w:b/>
              </w:rPr>
              <w:t xml:space="preserve"> </w:t>
            </w:r>
            <w:r w:rsidRPr="00704868">
              <w:rPr>
                <w:rFonts w:cs="Arial"/>
                <w:b/>
              </w:rPr>
              <w:t>from Progress Payments</w:t>
            </w:r>
          </w:p>
        </w:tc>
        <w:tc>
          <w:tcPr>
            <w:tcW w:w="1980" w:type="dxa"/>
            <w:shd w:val="pct15" w:color="auto" w:fill="auto"/>
            <w:vAlign w:val="center"/>
          </w:tcPr>
          <w:p w14:paraId="3FBB6C26" w14:textId="77777777" w:rsidR="00C85594" w:rsidRPr="00704868" w:rsidRDefault="00C85594" w:rsidP="00704868">
            <w:pPr>
              <w:spacing w:before="120" w:after="120"/>
              <w:ind w:left="-108" w:right="-132"/>
              <w:jc w:val="center"/>
              <w:rPr>
                <w:rFonts w:cs="Arial"/>
                <w:b/>
              </w:rPr>
            </w:pPr>
            <w:r w:rsidRPr="00704868">
              <w:rPr>
                <w:rFonts w:cs="Arial"/>
                <w:b/>
              </w:rPr>
              <w:t>10 Percent Withheld (Pending Release)</w:t>
            </w:r>
          </w:p>
        </w:tc>
        <w:tc>
          <w:tcPr>
            <w:tcW w:w="1964" w:type="dxa"/>
            <w:shd w:val="pct15" w:color="auto" w:fill="auto"/>
            <w:vAlign w:val="center"/>
          </w:tcPr>
          <w:p w14:paraId="1430CF37" w14:textId="77777777" w:rsidR="00C85594" w:rsidRPr="00704868" w:rsidRDefault="00C85594" w:rsidP="00704868">
            <w:pPr>
              <w:spacing w:before="120" w:after="120"/>
              <w:ind w:left="-108" w:right="-132"/>
              <w:jc w:val="center"/>
              <w:rPr>
                <w:rFonts w:cs="Arial"/>
                <w:b/>
              </w:rPr>
            </w:pPr>
            <w:r w:rsidRPr="00704868">
              <w:rPr>
                <w:rFonts w:cs="Arial"/>
                <w:b/>
              </w:rPr>
              <w:t xml:space="preserve">Recommended </w:t>
            </w:r>
            <w:r w:rsidRPr="00704868">
              <w:rPr>
                <w:rFonts w:cs="Arial"/>
                <w:b/>
                <w:bCs/>
              </w:rPr>
              <w:t>Release</w:t>
            </w:r>
          </w:p>
        </w:tc>
        <w:tc>
          <w:tcPr>
            <w:tcW w:w="1875" w:type="dxa"/>
            <w:shd w:val="pct15" w:color="auto" w:fill="auto"/>
            <w:vAlign w:val="center"/>
          </w:tcPr>
          <w:p w14:paraId="2F8A298D" w14:textId="77777777" w:rsidR="00C85594" w:rsidRPr="00704868" w:rsidRDefault="00C85594" w:rsidP="00704868">
            <w:pPr>
              <w:spacing w:before="120" w:after="120"/>
              <w:ind w:left="-108" w:right="-132"/>
              <w:jc w:val="center"/>
              <w:rPr>
                <w:rFonts w:cs="Arial"/>
                <w:b/>
              </w:rPr>
            </w:pPr>
            <w:r w:rsidRPr="00704868">
              <w:rPr>
                <w:rFonts w:cs="Arial"/>
                <w:b/>
              </w:rPr>
              <w:t>Recommended Withhold (</w:t>
            </w:r>
            <w:proofErr w:type="spellStart"/>
            <w:r w:rsidRPr="00704868">
              <w:rPr>
                <w:rFonts w:cs="Arial"/>
                <w:b/>
              </w:rPr>
              <w:t>Nonrelease</w:t>
            </w:r>
            <w:proofErr w:type="spellEnd"/>
            <w:r w:rsidRPr="00704868">
              <w:rPr>
                <w:rFonts w:cs="Arial"/>
                <w:b/>
              </w:rPr>
              <w:t>)</w:t>
            </w:r>
          </w:p>
        </w:tc>
      </w:tr>
      <w:tr w:rsidR="007F47C8" w:rsidRPr="00704868" w14:paraId="33087443" w14:textId="77777777" w:rsidTr="00D51D57">
        <w:trPr>
          <w:cantSplit/>
          <w:trHeight w:val="389"/>
          <w:jc w:val="center"/>
        </w:trPr>
        <w:tc>
          <w:tcPr>
            <w:tcW w:w="4405" w:type="dxa"/>
            <w:vAlign w:val="center"/>
          </w:tcPr>
          <w:p w14:paraId="6D34AE4D" w14:textId="77777777" w:rsidR="007F47C8" w:rsidRPr="00704868" w:rsidRDefault="007F47C8" w:rsidP="00704868">
            <w:pPr>
              <w:spacing w:before="120" w:after="120"/>
              <w:ind w:left="960" w:right="-108" w:hanging="888"/>
              <w:rPr>
                <w:rFonts w:cs="Arial"/>
              </w:rPr>
            </w:pPr>
            <w:r w:rsidRPr="00704868">
              <w:rPr>
                <w:rFonts w:cs="Arial"/>
              </w:rPr>
              <w:t>Task 1: Comprehensive Plan and Schedule of Deliverables</w:t>
            </w:r>
          </w:p>
        </w:tc>
        <w:tc>
          <w:tcPr>
            <w:tcW w:w="2070" w:type="dxa"/>
            <w:vAlign w:val="center"/>
          </w:tcPr>
          <w:p w14:paraId="190FA7AD" w14:textId="6A0C062E" w:rsidR="007F47C8" w:rsidRPr="00704868" w:rsidRDefault="007F47C8" w:rsidP="00704868">
            <w:pPr>
              <w:tabs>
                <w:tab w:val="decimal" w:pos="1329"/>
              </w:tabs>
              <w:spacing w:before="120" w:after="120"/>
              <w:rPr>
                <w:rFonts w:cs="Arial"/>
              </w:rPr>
            </w:pPr>
            <w:r w:rsidRPr="00704868">
              <w:rPr>
                <w:rFonts w:cs="Arial"/>
                <w:color w:val="000000"/>
              </w:rPr>
              <w:t>$1,551,725.00</w:t>
            </w:r>
          </w:p>
        </w:tc>
        <w:tc>
          <w:tcPr>
            <w:tcW w:w="1890" w:type="dxa"/>
            <w:vAlign w:val="center"/>
          </w:tcPr>
          <w:p w14:paraId="08A05A50" w14:textId="6A55FC35" w:rsidR="007F47C8" w:rsidRPr="00704868" w:rsidRDefault="007F47C8" w:rsidP="00704868">
            <w:pPr>
              <w:tabs>
                <w:tab w:val="decimal" w:pos="1356"/>
              </w:tabs>
              <w:spacing w:before="120" w:after="120"/>
              <w:rPr>
                <w:rFonts w:eastAsia="Arial" w:cs="Arial"/>
              </w:rPr>
            </w:pPr>
            <w:r w:rsidRPr="00704868">
              <w:rPr>
                <w:rFonts w:cs="Arial"/>
                <w:color w:val="000000"/>
              </w:rPr>
              <w:t>$1,396,552.50</w:t>
            </w:r>
          </w:p>
        </w:tc>
        <w:tc>
          <w:tcPr>
            <w:tcW w:w="1980" w:type="dxa"/>
            <w:vAlign w:val="center"/>
          </w:tcPr>
          <w:p w14:paraId="0AB566F6" w14:textId="7FB973DD" w:rsidR="007F47C8" w:rsidRPr="00704868" w:rsidRDefault="007F47C8" w:rsidP="00704868">
            <w:pPr>
              <w:tabs>
                <w:tab w:val="decimal" w:pos="1302"/>
              </w:tabs>
              <w:spacing w:before="120" w:after="120"/>
              <w:rPr>
                <w:rFonts w:cs="Arial"/>
              </w:rPr>
            </w:pPr>
            <w:r w:rsidRPr="00704868">
              <w:rPr>
                <w:rFonts w:cs="Arial"/>
                <w:color w:val="000000"/>
              </w:rPr>
              <w:t>$155,172.50</w:t>
            </w:r>
          </w:p>
        </w:tc>
        <w:tc>
          <w:tcPr>
            <w:tcW w:w="1964" w:type="dxa"/>
            <w:vAlign w:val="center"/>
          </w:tcPr>
          <w:p w14:paraId="6C3BB22C" w14:textId="089ED3BC" w:rsidR="007F47C8" w:rsidRPr="00704868" w:rsidRDefault="007F47C8" w:rsidP="00704868">
            <w:pPr>
              <w:tabs>
                <w:tab w:val="decimal" w:pos="1604"/>
              </w:tabs>
              <w:spacing w:before="120" w:after="120"/>
              <w:rPr>
                <w:rFonts w:cs="Arial"/>
              </w:rPr>
            </w:pPr>
            <w:r w:rsidRPr="00704868">
              <w:rPr>
                <w:rFonts w:cs="Arial"/>
                <w:color w:val="000000"/>
              </w:rPr>
              <w:t>$155,172.50</w:t>
            </w:r>
          </w:p>
        </w:tc>
        <w:tc>
          <w:tcPr>
            <w:tcW w:w="1875" w:type="dxa"/>
            <w:vAlign w:val="center"/>
          </w:tcPr>
          <w:p w14:paraId="492F34C6" w14:textId="77777777" w:rsidR="007F47C8" w:rsidRPr="00704868" w:rsidRDefault="007F47C8" w:rsidP="00704868">
            <w:pPr>
              <w:tabs>
                <w:tab w:val="decimal" w:pos="723"/>
              </w:tabs>
              <w:spacing w:before="120" w:after="120"/>
              <w:rPr>
                <w:rFonts w:cs="Arial"/>
              </w:rPr>
            </w:pPr>
            <w:r w:rsidRPr="00704868">
              <w:rPr>
                <w:rFonts w:cs="Arial"/>
              </w:rPr>
              <w:t>$0.00</w:t>
            </w:r>
          </w:p>
        </w:tc>
      </w:tr>
      <w:tr w:rsidR="007F47C8" w:rsidRPr="00704868" w14:paraId="1E5736CE" w14:textId="77777777" w:rsidTr="00D51D57">
        <w:trPr>
          <w:cantSplit/>
          <w:trHeight w:val="389"/>
          <w:jc w:val="center"/>
        </w:trPr>
        <w:tc>
          <w:tcPr>
            <w:tcW w:w="4405" w:type="dxa"/>
            <w:vAlign w:val="center"/>
          </w:tcPr>
          <w:p w14:paraId="6660EA21" w14:textId="77777777" w:rsidR="007F47C8" w:rsidRPr="00704868" w:rsidRDefault="007F47C8" w:rsidP="00704868">
            <w:pPr>
              <w:spacing w:before="120" w:after="120"/>
              <w:ind w:left="967" w:right="-108" w:hanging="895"/>
              <w:rPr>
                <w:rFonts w:cs="Arial"/>
              </w:rPr>
            </w:pPr>
            <w:r w:rsidRPr="00704868">
              <w:rPr>
                <w:rFonts w:cs="Arial"/>
              </w:rPr>
              <w:t>Task 2: Program Support Services</w:t>
            </w:r>
          </w:p>
        </w:tc>
        <w:tc>
          <w:tcPr>
            <w:tcW w:w="2070" w:type="dxa"/>
            <w:vAlign w:val="center"/>
          </w:tcPr>
          <w:p w14:paraId="2F02F23E" w14:textId="223432C7" w:rsidR="007F47C8" w:rsidRPr="00704868" w:rsidRDefault="007F47C8" w:rsidP="00704868">
            <w:pPr>
              <w:tabs>
                <w:tab w:val="decimal" w:pos="1329"/>
              </w:tabs>
              <w:spacing w:before="120" w:after="120"/>
              <w:rPr>
                <w:rFonts w:eastAsia="Arial" w:cs="Arial"/>
              </w:rPr>
            </w:pPr>
            <w:r w:rsidRPr="00704868">
              <w:rPr>
                <w:rFonts w:cs="Arial"/>
                <w:color w:val="000000"/>
              </w:rPr>
              <w:t>$394,478.00</w:t>
            </w:r>
          </w:p>
        </w:tc>
        <w:tc>
          <w:tcPr>
            <w:tcW w:w="1890" w:type="dxa"/>
            <w:vAlign w:val="center"/>
          </w:tcPr>
          <w:p w14:paraId="1F1410D6" w14:textId="478CD396" w:rsidR="007F47C8" w:rsidRPr="00704868" w:rsidRDefault="007F47C8" w:rsidP="00704868">
            <w:pPr>
              <w:tabs>
                <w:tab w:val="decimal" w:pos="1356"/>
              </w:tabs>
              <w:spacing w:before="120" w:after="120"/>
              <w:rPr>
                <w:rFonts w:eastAsia="Arial" w:cs="Arial"/>
              </w:rPr>
            </w:pPr>
            <w:r w:rsidRPr="00704868">
              <w:rPr>
                <w:rFonts w:cs="Arial"/>
                <w:color w:val="000000"/>
              </w:rPr>
              <w:t>$355,030.20</w:t>
            </w:r>
          </w:p>
        </w:tc>
        <w:tc>
          <w:tcPr>
            <w:tcW w:w="1980" w:type="dxa"/>
            <w:vAlign w:val="center"/>
          </w:tcPr>
          <w:p w14:paraId="5FD6B330" w14:textId="009DEC6D" w:rsidR="007F47C8" w:rsidRPr="00704868" w:rsidRDefault="007F47C8" w:rsidP="00704868">
            <w:pPr>
              <w:tabs>
                <w:tab w:val="decimal" w:pos="1302"/>
              </w:tabs>
              <w:spacing w:before="120" w:after="120"/>
              <w:rPr>
                <w:rFonts w:cs="Arial"/>
              </w:rPr>
            </w:pPr>
            <w:r w:rsidRPr="00704868">
              <w:rPr>
                <w:rFonts w:cs="Arial"/>
                <w:color w:val="000000"/>
              </w:rPr>
              <w:t>$39,447.80</w:t>
            </w:r>
          </w:p>
        </w:tc>
        <w:tc>
          <w:tcPr>
            <w:tcW w:w="1964" w:type="dxa"/>
            <w:vAlign w:val="center"/>
          </w:tcPr>
          <w:p w14:paraId="4AA52349" w14:textId="4583B749" w:rsidR="007F47C8" w:rsidRPr="00704868" w:rsidRDefault="007F47C8" w:rsidP="00704868">
            <w:pPr>
              <w:tabs>
                <w:tab w:val="decimal" w:pos="1604"/>
              </w:tabs>
              <w:spacing w:before="120" w:after="120"/>
              <w:rPr>
                <w:rFonts w:cs="Arial"/>
              </w:rPr>
            </w:pPr>
            <w:r w:rsidRPr="00704868">
              <w:rPr>
                <w:rFonts w:cs="Arial"/>
                <w:color w:val="000000"/>
              </w:rPr>
              <w:t>$39,447.80</w:t>
            </w:r>
          </w:p>
        </w:tc>
        <w:tc>
          <w:tcPr>
            <w:tcW w:w="1875" w:type="dxa"/>
            <w:vAlign w:val="center"/>
          </w:tcPr>
          <w:p w14:paraId="3C47821C" w14:textId="77777777" w:rsidR="007F47C8" w:rsidRPr="00704868" w:rsidRDefault="007F47C8" w:rsidP="00704868">
            <w:pPr>
              <w:tabs>
                <w:tab w:val="decimal" w:pos="723"/>
              </w:tabs>
              <w:spacing w:before="120" w:after="120"/>
              <w:rPr>
                <w:rFonts w:cs="Arial"/>
              </w:rPr>
            </w:pPr>
            <w:r w:rsidRPr="00704868">
              <w:rPr>
                <w:rFonts w:cs="Arial"/>
              </w:rPr>
              <w:t>$0.00</w:t>
            </w:r>
          </w:p>
        </w:tc>
      </w:tr>
      <w:tr w:rsidR="007F47C8" w:rsidRPr="00704868" w14:paraId="4012098A" w14:textId="77777777" w:rsidTr="00D51D57">
        <w:trPr>
          <w:cantSplit/>
          <w:trHeight w:val="389"/>
          <w:jc w:val="center"/>
        </w:trPr>
        <w:tc>
          <w:tcPr>
            <w:tcW w:w="4405" w:type="dxa"/>
            <w:vAlign w:val="center"/>
          </w:tcPr>
          <w:p w14:paraId="12DE2D05" w14:textId="77777777" w:rsidR="007F47C8" w:rsidRPr="00704868" w:rsidRDefault="007F47C8" w:rsidP="00704868">
            <w:pPr>
              <w:spacing w:before="120" w:after="120"/>
              <w:ind w:left="72" w:right="-108"/>
              <w:rPr>
                <w:rFonts w:cs="Arial"/>
              </w:rPr>
            </w:pPr>
            <w:r w:rsidRPr="00704868">
              <w:rPr>
                <w:rFonts w:cs="Arial"/>
              </w:rPr>
              <w:t>Task 3: Technology Services</w:t>
            </w:r>
          </w:p>
        </w:tc>
        <w:tc>
          <w:tcPr>
            <w:tcW w:w="2070" w:type="dxa"/>
            <w:vAlign w:val="center"/>
          </w:tcPr>
          <w:p w14:paraId="7071C46C" w14:textId="7D8D5595" w:rsidR="007F47C8" w:rsidRPr="00704868" w:rsidRDefault="007F47C8" w:rsidP="00704868">
            <w:pPr>
              <w:tabs>
                <w:tab w:val="decimal" w:pos="1329"/>
              </w:tabs>
              <w:spacing w:before="120" w:after="120"/>
              <w:rPr>
                <w:rFonts w:eastAsia="Arial" w:cs="Arial"/>
              </w:rPr>
            </w:pPr>
            <w:r w:rsidRPr="00704868">
              <w:rPr>
                <w:rFonts w:cs="Arial"/>
                <w:color w:val="000000"/>
              </w:rPr>
              <w:t>$352,719.00</w:t>
            </w:r>
          </w:p>
        </w:tc>
        <w:tc>
          <w:tcPr>
            <w:tcW w:w="1890" w:type="dxa"/>
            <w:vAlign w:val="center"/>
          </w:tcPr>
          <w:p w14:paraId="5789587F" w14:textId="321933D5" w:rsidR="007F47C8" w:rsidRPr="00704868" w:rsidRDefault="007F47C8" w:rsidP="00704868">
            <w:pPr>
              <w:tabs>
                <w:tab w:val="decimal" w:pos="1356"/>
              </w:tabs>
              <w:spacing w:before="120" w:after="120"/>
              <w:rPr>
                <w:rFonts w:eastAsia="Arial" w:cs="Arial"/>
              </w:rPr>
            </w:pPr>
            <w:r w:rsidRPr="00704868">
              <w:rPr>
                <w:rFonts w:cs="Arial"/>
                <w:color w:val="000000"/>
              </w:rPr>
              <w:t>$317,447.10</w:t>
            </w:r>
          </w:p>
        </w:tc>
        <w:tc>
          <w:tcPr>
            <w:tcW w:w="1980" w:type="dxa"/>
            <w:vAlign w:val="center"/>
          </w:tcPr>
          <w:p w14:paraId="4B14E451" w14:textId="0BE65237" w:rsidR="007F47C8" w:rsidRPr="00704868" w:rsidRDefault="007F47C8" w:rsidP="00704868">
            <w:pPr>
              <w:tabs>
                <w:tab w:val="decimal" w:pos="1302"/>
              </w:tabs>
              <w:spacing w:before="120" w:after="120"/>
              <w:rPr>
                <w:rFonts w:cs="Arial"/>
              </w:rPr>
            </w:pPr>
            <w:r w:rsidRPr="00704868">
              <w:rPr>
                <w:rFonts w:cs="Arial"/>
                <w:color w:val="000000"/>
              </w:rPr>
              <w:t>$35,271.90</w:t>
            </w:r>
          </w:p>
        </w:tc>
        <w:tc>
          <w:tcPr>
            <w:tcW w:w="1964" w:type="dxa"/>
            <w:vAlign w:val="center"/>
          </w:tcPr>
          <w:p w14:paraId="7B87CBA4" w14:textId="1DECC7AC" w:rsidR="007F47C8" w:rsidRPr="00704868" w:rsidRDefault="007F47C8" w:rsidP="00704868">
            <w:pPr>
              <w:tabs>
                <w:tab w:val="decimal" w:pos="1604"/>
              </w:tabs>
              <w:spacing w:before="120" w:after="120"/>
              <w:rPr>
                <w:rFonts w:cs="Arial"/>
              </w:rPr>
            </w:pPr>
            <w:r w:rsidRPr="00704868">
              <w:rPr>
                <w:rFonts w:cs="Arial"/>
                <w:color w:val="000000"/>
              </w:rPr>
              <w:t>$35,271.90</w:t>
            </w:r>
          </w:p>
        </w:tc>
        <w:tc>
          <w:tcPr>
            <w:tcW w:w="1875" w:type="dxa"/>
            <w:vAlign w:val="center"/>
          </w:tcPr>
          <w:p w14:paraId="239C5914" w14:textId="77777777" w:rsidR="007F47C8" w:rsidRPr="00704868" w:rsidRDefault="007F47C8" w:rsidP="00704868">
            <w:pPr>
              <w:tabs>
                <w:tab w:val="decimal" w:pos="723"/>
              </w:tabs>
              <w:spacing w:before="120" w:after="120"/>
              <w:rPr>
                <w:rFonts w:cs="Arial"/>
              </w:rPr>
            </w:pPr>
            <w:r w:rsidRPr="00704868">
              <w:rPr>
                <w:rFonts w:cs="Arial"/>
              </w:rPr>
              <w:t>$0.00</w:t>
            </w:r>
          </w:p>
        </w:tc>
      </w:tr>
      <w:tr w:rsidR="007F47C8" w:rsidRPr="00704868" w14:paraId="024C67E4" w14:textId="77777777" w:rsidTr="00D51D57">
        <w:trPr>
          <w:cantSplit/>
          <w:trHeight w:val="389"/>
          <w:jc w:val="center"/>
        </w:trPr>
        <w:tc>
          <w:tcPr>
            <w:tcW w:w="4405" w:type="dxa"/>
            <w:vAlign w:val="center"/>
          </w:tcPr>
          <w:p w14:paraId="0F04D298" w14:textId="77777777" w:rsidR="007F47C8" w:rsidRPr="00704868" w:rsidRDefault="007F47C8" w:rsidP="00704868">
            <w:pPr>
              <w:spacing w:before="120" w:after="120"/>
              <w:ind w:left="432" w:right="-108" w:hanging="360"/>
              <w:rPr>
                <w:rFonts w:cs="Arial"/>
              </w:rPr>
            </w:pPr>
            <w:r w:rsidRPr="00704868">
              <w:rPr>
                <w:rFonts w:cs="Arial"/>
              </w:rPr>
              <w:t>Task 4: Test Security</w:t>
            </w:r>
          </w:p>
        </w:tc>
        <w:tc>
          <w:tcPr>
            <w:tcW w:w="2070" w:type="dxa"/>
            <w:vAlign w:val="center"/>
          </w:tcPr>
          <w:p w14:paraId="470FD46E" w14:textId="278E8D71" w:rsidR="007F47C8" w:rsidRPr="00704868" w:rsidRDefault="007F47C8" w:rsidP="00704868">
            <w:pPr>
              <w:tabs>
                <w:tab w:val="decimal" w:pos="1329"/>
              </w:tabs>
              <w:spacing w:before="120" w:after="120"/>
              <w:rPr>
                <w:rFonts w:eastAsia="Arial" w:cs="Arial"/>
              </w:rPr>
            </w:pPr>
            <w:r w:rsidRPr="00704868">
              <w:rPr>
                <w:rFonts w:cs="Arial"/>
                <w:color w:val="000000"/>
              </w:rPr>
              <w:t>$13,188.00</w:t>
            </w:r>
          </w:p>
        </w:tc>
        <w:tc>
          <w:tcPr>
            <w:tcW w:w="1890" w:type="dxa"/>
            <w:vAlign w:val="center"/>
          </w:tcPr>
          <w:p w14:paraId="4555572D" w14:textId="22D4E605" w:rsidR="007F47C8" w:rsidRPr="00704868" w:rsidRDefault="007F47C8" w:rsidP="00704868">
            <w:pPr>
              <w:tabs>
                <w:tab w:val="decimal" w:pos="1356"/>
              </w:tabs>
              <w:spacing w:before="120" w:after="120"/>
              <w:rPr>
                <w:rFonts w:cs="Arial"/>
              </w:rPr>
            </w:pPr>
            <w:r w:rsidRPr="00704868">
              <w:rPr>
                <w:rFonts w:cs="Arial"/>
                <w:color w:val="000000"/>
              </w:rPr>
              <w:t>$11,869.20</w:t>
            </w:r>
          </w:p>
        </w:tc>
        <w:tc>
          <w:tcPr>
            <w:tcW w:w="1980" w:type="dxa"/>
            <w:vAlign w:val="center"/>
          </w:tcPr>
          <w:p w14:paraId="75FE43AB" w14:textId="5C89099C" w:rsidR="007F47C8" w:rsidRPr="00704868" w:rsidRDefault="007F47C8" w:rsidP="00704868">
            <w:pPr>
              <w:tabs>
                <w:tab w:val="decimal" w:pos="1302"/>
              </w:tabs>
              <w:spacing w:before="120" w:after="120"/>
              <w:rPr>
                <w:rFonts w:cs="Arial"/>
              </w:rPr>
            </w:pPr>
            <w:r w:rsidRPr="00704868">
              <w:rPr>
                <w:rFonts w:cs="Arial"/>
                <w:color w:val="000000"/>
              </w:rPr>
              <w:t>$1,318.80</w:t>
            </w:r>
          </w:p>
        </w:tc>
        <w:tc>
          <w:tcPr>
            <w:tcW w:w="1964" w:type="dxa"/>
            <w:vAlign w:val="center"/>
          </w:tcPr>
          <w:p w14:paraId="3676EDA9" w14:textId="10427D91" w:rsidR="007F47C8" w:rsidRPr="00704868" w:rsidRDefault="007F47C8" w:rsidP="00704868">
            <w:pPr>
              <w:tabs>
                <w:tab w:val="decimal" w:pos="1604"/>
              </w:tabs>
              <w:spacing w:before="120" w:after="120"/>
              <w:rPr>
                <w:rFonts w:cs="Arial"/>
              </w:rPr>
            </w:pPr>
            <w:r w:rsidRPr="00704868">
              <w:rPr>
                <w:rFonts w:cs="Arial"/>
                <w:color w:val="000000"/>
              </w:rPr>
              <w:t>$1,318.80</w:t>
            </w:r>
          </w:p>
        </w:tc>
        <w:tc>
          <w:tcPr>
            <w:tcW w:w="1875" w:type="dxa"/>
            <w:vAlign w:val="center"/>
          </w:tcPr>
          <w:p w14:paraId="0B882DA9" w14:textId="77777777" w:rsidR="007F47C8" w:rsidRPr="00704868" w:rsidRDefault="007F47C8" w:rsidP="00704868">
            <w:pPr>
              <w:tabs>
                <w:tab w:val="decimal" w:pos="723"/>
              </w:tabs>
              <w:spacing w:before="120" w:after="120"/>
              <w:rPr>
                <w:rFonts w:cs="Arial"/>
              </w:rPr>
            </w:pPr>
            <w:r w:rsidRPr="00704868">
              <w:rPr>
                <w:rFonts w:cs="Arial"/>
              </w:rPr>
              <w:t>$0.00</w:t>
            </w:r>
          </w:p>
        </w:tc>
      </w:tr>
      <w:tr w:rsidR="007F47C8" w:rsidRPr="00704868" w14:paraId="4988D3C2" w14:textId="77777777" w:rsidTr="00D51D57">
        <w:trPr>
          <w:cantSplit/>
          <w:trHeight w:val="389"/>
          <w:jc w:val="center"/>
        </w:trPr>
        <w:tc>
          <w:tcPr>
            <w:tcW w:w="4405" w:type="dxa"/>
            <w:vAlign w:val="center"/>
          </w:tcPr>
          <w:p w14:paraId="483A51D8" w14:textId="20D0C593" w:rsidR="007F47C8" w:rsidRPr="00704868" w:rsidRDefault="007F47C8" w:rsidP="00704868">
            <w:pPr>
              <w:spacing w:before="120" w:after="120"/>
              <w:ind w:left="970" w:right="-108" w:hanging="898"/>
              <w:rPr>
                <w:rFonts w:cs="Arial"/>
              </w:rPr>
            </w:pPr>
            <w:r w:rsidRPr="00704868">
              <w:rPr>
                <w:rFonts w:cs="Arial"/>
              </w:rPr>
              <w:t>Task 5: Accessibility and</w:t>
            </w:r>
            <w:r w:rsidR="00D1446A" w:rsidRPr="00704868">
              <w:rPr>
                <w:rFonts w:cs="Arial"/>
              </w:rPr>
              <w:t xml:space="preserve"> </w:t>
            </w:r>
            <w:r w:rsidRPr="00704868">
              <w:rPr>
                <w:rFonts w:cs="Arial"/>
              </w:rPr>
              <w:t>Accommodations</w:t>
            </w:r>
          </w:p>
        </w:tc>
        <w:tc>
          <w:tcPr>
            <w:tcW w:w="2070" w:type="dxa"/>
            <w:vAlign w:val="center"/>
          </w:tcPr>
          <w:p w14:paraId="0062B845" w14:textId="75763E0D" w:rsidR="007F47C8" w:rsidRPr="00704868" w:rsidRDefault="007F47C8" w:rsidP="00704868">
            <w:pPr>
              <w:tabs>
                <w:tab w:val="decimal" w:pos="1329"/>
              </w:tabs>
              <w:spacing w:before="120" w:after="120"/>
              <w:rPr>
                <w:rFonts w:eastAsia="Arial" w:cs="Arial"/>
              </w:rPr>
            </w:pPr>
            <w:r w:rsidRPr="00704868">
              <w:rPr>
                <w:rFonts w:cs="Arial"/>
                <w:color w:val="000000"/>
              </w:rPr>
              <w:t>$171,030.00</w:t>
            </w:r>
          </w:p>
        </w:tc>
        <w:tc>
          <w:tcPr>
            <w:tcW w:w="1890" w:type="dxa"/>
            <w:vAlign w:val="center"/>
          </w:tcPr>
          <w:p w14:paraId="6643EFA7" w14:textId="543769B7" w:rsidR="007F47C8" w:rsidRPr="00704868" w:rsidRDefault="007F47C8" w:rsidP="00704868">
            <w:pPr>
              <w:tabs>
                <w:tab w:val="decimal" w:pos="1356"/>
              </w:tabs>
              <w:spacing w:before="120" w:after="120"/>
              <w:rPr>
                <w:rFonts w:cs="Arial"/>
              </w:rPr>
            </w:pPr>
            <w:r w:rsidRPr="00704868">
              <w:rPr>
                <w:rFonts w:cs="Arial"/>
                <w:color w:val="000000"/>
              </w:rPr>
              <w:t>$153,927.00</w:t>
            </w:r>
          </w:p>
        </w:tc>
        <w:tc>
          <w:tcPr>
            <w:tcW w:w="1980" w:type="dxa"/>
            <w:vAlign w:val="center"/>
          </w:tcPr>
          <w:p w14:paraId="574DC989" w14:textId="6CDF7F19" w:rsidR="007F47C8" w:rsidRPr="00704868" w:rsidRDefault="007F47C8" w:rsidP="00704868">
            <w:pPr>
              <w:tabs>
                <w:tab w:val="decimal" w:pos="1302"/>
              </w:tabs>
              <w:spacing w:before="120" w:after="120"/>
              <w:rPr>
                <w:rFonts w:cs="Arial"/>
              </w:rPr>
            </w:pPr>
            <w:r w:rsidRPr="00704868">
              <w:rPr>
                <w:rFonts w:cs="Arial"/>
                <w:color w:val="000000"/>
              </w:rPr>
              <w:t>$17,103.00</w:t>
            </w:r>
          </w:p>
        </w:tc>
        <w:tc>
          <w:tcPr>
            <w:tcW w:w="1964" w:type="dxa"/>
            <w:vAlign w:val="center"/>
          </w:tcPr>
          <w:p w14:paraId="5E397C43" w14:textId="551BD851" w:rsidR="007F47C8" w:rsidRPr="00704868" w:rsidRDefault="007F47C8" w:rsidP="00704868">
            <w:pPr>
              <w:tabs>
                <w:tab w:val="decimal" w:pos="1604"/>
              </w:tabs>
              <w:spacing w:before="120" w:after="120"/>
              <w:rPr>
                <w:rFonts w:cs="Arial"/>
              </w:rPr>
            </w:pPr>
            <w:r w:rsidRPr="00704868">
              <w:rPr>
                <w:rFonts w:cs="Arial"/>
                <w:color w:val="000000"/>
              </w:rPr>
              <w:t>$17,103.00</w:t>
            </w:r>
          </w:p>
        </w:tc>
        <w:tc>
          <w:tcPr>
            <w:tcW w:w="1875" w:type="dxa"/>
            <w:vAlign w:val="center"/>
          </w:tcPr>
          <w:p w14:paraId="5E60FAF8" w14:textId="77777777" w:rsidR="007F47C8" w:rsidRPr="00704868" w:rsidRDefault="007F47C8" w:rsidP="00704868">
            <w:pPr>
              <w:tabs>
                <w:tab w:val="decimal" w:pos="723"/>
              </w:tabs>
              <w:spacing w:before="120" w:after="120"/>
              <w:rPr>
                <w:rFonts w:cs="Arial"/>
              </w:rPr>
            </w:pPr>
            <w:r w:rsidRPr="00704868">
              <w:rPr>
                <w:rFonts w:cs="Arial"/>
              </w:rPr>
              <w:t>$0.00</w:t>
            </w:r>
          </w:p>
        </w:tc>
      </w:tr>
      <w:tr w:rsidR="007F47C8" w:rsidRPr="00704868" w14:paraId="59E7E43D" w14:textId="77777777" w:rsidTr="00D51D57">
        <w:trPr>
          <w:cantSplit/>
          <w:trHeight w:val="389"/>
          <w:jc w:val="center"/>
        </w:trPr>
        <w:tc>
          <w:tcPr>
            <w:tcW w:w="4405" w:type="dxa"/>
            <w:vAlign w:val="center"/>
          </w:tcPr>
          <w:p w14:paraId="2130A740" w14:textId="77777777" w:rsidR="007F47C8" w:rsidRPr="00704868" w:rsidRDefault="007F47C8" w:rsidP="00704868">
            <w:pPr>
              <w:spacing w:before="120" w:after="120"/>
              <w:ind w:left="967" w:right="-108" w:hanging="895"/>
              <w:rPr>
                <w:rFonts w:cs="Arial"/>
              </w:rPr>
            </w:pPr>
            <w:r w:rsidRPr="00704868">
              <w:rPr>
                <w:rFonts w:cs="Arial"/>
              </w:rPr>
              <w:t>Task 6: Assessment Development</w:t>
            </w:r>
          </w:p>
        </w:tc>
        <w:tc>
          <w:tcPr>
            <w:tcW w:w="2070" w:type="dxa"/>
            <w:vAlign w:val="center"/>
          </w:tcPr>
          <w:p w14:paraId="628CF9B2" w14:textId="2ECC27A0" w:rsidR="007F47C8" w:rsidRPr="00704868" w:rsidRDefault="007F47C8" w:rsidP="00704868">
            <w:pPr>
              <w:tabs>
                <w:tab w:val="decimal" w:pos="1329"/>
              </w:tabs>
              <w:spacing w:before="120" w:after="120"/>
              <w:rPr>
                <w:rFonts w:eastAsia="Arial" w:cs="Arial"/>
              </w:rPr>
            </w:pPr>
            <w:r w:rsidRPr="00704868">
              <w:rPr>
                <w:rFonts w:cs="Arial"/>
                <w:color w:val="000000"/>
              </w:rPr>
              <w:t>$953,153.00</w:t>
            </w:r>
          </w:p>
        </w:tc>
        <w:tc>
          <w:tcPr>
            <w:tcW w:w="1890" w:type="dxa"/>
            <w:vAlign w:val="center"/>
          </w:tcPr>
          <w:p w14:paraId="55540B63" w14:textId="6918FAC4" w:rsidR="007F47C8" w:rsidRPr="00704868" w:rsidRDefault="007F47C8" w:rsidP="00704868">
            <w:pPr>
              <w:tabs>
                <w:tab w:val="decimal" w:pos="1356"/>
              </w:tabs>
              <w:spacing w:before="120" w:after="120"/>
              <w:rPr>
                <w:rFonts w:cs="Arial"/>
              </w:rPr>
            </w:pPr>
            <w:r w:rsidRPr="00704868">
              <w:rPr>
                <w:rFonts w:cs="Arial"/>
                <w:color w:val="000000"/>
              </w:rPr>
              <w:t>$857,837.70</w:t>
            </w:r>
          </w:p>
        </w:tc>
        <w:tc>
          <w:tcPr>
            <w:tcW w:w="1980" w:type="dxa"/>
            <w:vAlign w:val="center"/>
          </w:tcPr>
          <w:p w14:paraId="1445BA1F" w14:textId="7E5922A4" w:rsidR="007F47C8" w:rsidRPr="00704868" w:rsidRDefault="007F47C8" w:rsidP="00704868">
            <w:pPr>
              <w:tabs>
                <w:tab w:val="decimal" w:pos="1302"/>
              </w:tabs>
              <w:spacing w:before="120" w:after="120"/>
              <w:rPr>
                <w:rFonts w:cs="Arial"/>
              </w:rPr>
            </w:pPr>
            <w:r w:rsidRPr="00704868">
              <w:rPr>
                <w:rFonts w:cs="Arial"/>
                <w:color w:val="000000"/>
              </w:rPr>
              <w:t>$95,315.30</w:t>
            </w:r>
          </w:p>
        </w:tc>
        <w:tc>
          <w:tcPr>
            <w:tcW w:w="1964" w:type="dxa"/>
            <w:vAlign w:val="center"/>
          </w:tcPr>
          <w:p w14:paraId="5201F2FB" w14:textId="3C92EDEE" w:rsidR="007F47C8" w:rsidRPr="00704868" w:rsidRDefault="007F47C8" w:rsidP="00704868">
            <w:pPr>
              <w:tabs>
                <w:tab w:val="decimal" w:pos="1604"/>
              </w:tabs>
              <w:spacing w:before="120" w:after="120"/>
              <w:rPr>
                <w:rFonts w:cs="Arial"/>
              </w:rPr>
            </w:pPr>
            <w:r w:rsidRPr="00704868">
              <w:rPr>
                <w:rFonts w:cs="Arial"/>
                <w:color w:val="000000"/>
              </w:rPr>
              <w:t>$95,315.30</w:t>
            </w:r>
          </w:p>
        </w:tc>
        <w:tc>
          <w:tcPr>
            <w:tcW w:w="1875" w:type="dxa"/>
            <w:vAlign w:val="center"/>
          </w:tcPr>
          <w:p w14:paraId="2FD3581C" w14:textId="77777777" w:rsidR="007F47C8" w:rsidRPr="00704868" w:rsidRDefault="007F47C8" w:rsidP="00704868">
            <w:pPr>
              <w:tabs>
                <w:tab w:val="decimal" w:pos="723"/>
              </w:tabs>
              <w:spacing w:before="120" w:after="120"/>
              <w:rPr>
                <w:rFonts w:cs="Arial"/>
              </w:rPr>
            </w:pPr>
            <w:r w:rsidRPr="00704868">
              <w:rPr>
                <w:rFonts w:cs="Arial"/>
              </w:rPr>
              <w:t>$0.00</w:t>
            </w:r>
          </w:p>
        </w:tc>
      </w:tr>
      <w:tr w:rsidR="007F47C8" w:rsidRPr="00704868" w14:paraId="7DBF0741" w14:textId="77777777" w:rsidTr="00D51D57">
        <w:trPr>
          <w:cantSplit/>
          <w:trHeight w:val="389"/>
          <w:jc w:val="center"/>
        </w:trPr>
        <w:tc>
          <w:tcPr>
            <w:tcW w:w="4405" w:type="dxa"/>
            <w:vAlign w:val="center"/>
          </w:tcPr>
          <w:p w14:paraId="302BEF99" w14:textId="77777777" w:rsidR="007F47C8" w:rsidRPr="00704868" w:rsidRDefault="007F47C8" w:rsidP="00704868">
            <w:pPr>
              <w:spacing w:before="120" w:after="120"/>
              <w:ind w:left="72" w:right="-108"/>
              <w:rPr>
                <w:rFonts w:cs="Arial"/>
              </w:rPr>
            </w:pPr>
            <w:r w:rsidRPr="00704868">
              <w:rPr>
                <w:rFonts w:cs="Arial"/>
              </w:rPr>
              <w:lastRenderedPageBreak/>
              <w:t>Task 7: Test Administration</w:t>
            </w:r>
          </w:p>
        </w:tc>
        <w:tc>
          <w:tcPr>
            <w:tcW w:w="2070" w:type="dxa"/>
            <w:vAlign w:val="center"/>
          </w:tcPr>
          <w:p w14:paraId="20938897" w14:textId="1F81E5EC" w:rsidR="007F47C8" w:rsidRPr="00704868" w:rsidRDefault="007F47C8" w:rsidP="00704868">
            <w:pPr>
              <w:tabs>
                <w:tab w:val="decimal" w:pos="1329"/>
              </w:tabs>
              <w:spacing w:before="120" w:after="120"/>
              <w:rPr>
                <w:rFonts w:eastAsia="Arial" w:cs="Arial"/>
              </w:rPr>
            </w:pPr>
            <w:r w:rsidRPr="00704868">
              <w:rPr>
                <w:rFonts w:cs="Arial"/>
                <w:color w:val="000000"/>
              </w:rPr>
              <w:t>$44,871.00</w:t>
            </w:r>
          </w:p>
        </w:tc>
        <w:tc>
          <w:tcPr>
            <w:tcW w:w="1890" w:type="dxa"/>
            <w:vAlign w:val="center"/>
          </w:tcPr>
          <w:p w14:paraId="56EBD1AF" w14:textId="555E5457" w:rsidR="007F47C8" w:rsidRPr="00704868" w:rsidRDefault="007F47C8" w:rsidP="00704868">
            <w:pPr>
              <w:tabs>
                <w:tab w:val="decimal" w:pos="1356"/>
              </w:tabs>
              <w:spacing w:before="120" w:after="120"/>
              <w:rPr>
                <w:rFonts w:cs="Arial"/>
              </w:rPr>
            </w:pPr>
            <w:r w:rsidRPr="00704868">
              <w:rPr>
                <w:rFonts w:cs="Arial"/>
                <w:color w:val="000000"/>
              </w:rPr>
              <w:t>$40,383.90</w:t>
            </w:r>
          </w:p>
        </w:tc>
        <w:tc>
          <w:tcPr>
            <w:tcW w:w="1980" w:type="dxa"/>
            <w:vAlign w:val="center"/>
          </w:tcPr>
          <w:p w14:paraId="2FD815B2" w14:textId="1ED683FF" w:rsidR="007F47C8" w:rsidRPr="00704868" w:rsidRDefault="007F47C8" w:rsidP="00704868">
            <w:pPr>
              <w:tabs>
                <w:tab w:val="decimal" w:pos="1302"/>
              </w:tabs>
              <w:spacing w:before="120" w:after="120"/>
              <w:rPr>
                <w:rFonts w:cs="Arial"/>
              </w:rPr>
            </w:pPr>
            <w:r w:rsidRPr="00704868">
              <w:rPr>
                <w:rFonts w:cs="Arial"/>
                <w:color w:val="000000"/>
              </w:rPr>
              <w:t>$4,487.10</w:t>
            </w:r>
          </w:p>
        </w:tc>
        <w:tc>
          <w:tcPr>
            <w:tcW w:w="1964" w:type="dxa"/>
            <w:vAlign w:val="center"/>
          </w:tcPr>
          <w:p w14:paraId="0FC50F74" w14:textId="269280D1" w:rsidR="007F47C8" w:rsidRPr="00704868" w:rsidRDefault="007F47C8" w:rsidP="00704868">
            <w:pPr>
              <w:tabs>
                <w:tab w:val="decimal" w:pos="1604"/>
              </w:tabs>
              <w:spacing w:before="120" w:after="120"/>
              <w:rPr>
                <w:rFonts w:cs="Arial"/>
              </w:rPr>
            </w:pPr>
            <w:r w:rsidRPr="00704868">
              <w:rPr>
                <w:rFonts w:cs="Arial"/>
                <w:color w:val="000000"/>
              </w:rPr>
              <w:t>$4,487.10</w:t>
            </w:r>
          </w:p>
        </w:tc>
        <w:tc>
          <w:tcPr>
            <w:tcW w:w="1875" w:type="dxa"/>
            <w:vAlign w:val="center"/>
          </w:tcPr>
          <w:p w14:paraId="15EE9B0D" w14:textId="77777777" w:rsidR="007F47C8" w:rsidRPr="00704868" w:rsidRDefault="007F47C8" w:rsidP="00704868">
            <w:pPr>
              <w:tabs>
                <w:tab w:val="decimal" w:pos="723"/>
              </w:tabs>
              <w:spacing w:before="120" w:after="120"/>
              <w:rPr>
                <w:rFonts w:cs="Arial"/>
              </w:rPr>
            </w:pPr>
            <w:r w:rsidRPr="00704868">
              <w:rPr>
                <w:rFonts w:cs="Arial"/>
              </w:rPr>
              <w:t>$0.00</w:t>
            </w:r>
          </w:p>
        </w:tc>
      </w:tr>
      <w:tr w:rsidR="007F47C8" w:rsidRPr="00704868" w14:paraId="4EED14F7" w14:textId="77777777" w:rsidTr="00D51D57">
        <w:trPr>
          <w:cantSplit/>
          <w:trHeight w:val="389"/>
          <w:jc w:val="center"/>
        </w:trPr>
        <w:tc>
          <w:tcPr>
            <w:tcW w:w="4405" w:type="dxa"/>
            <w:vAlign w:val="center"/>
          </w:tcPr>
          <w:p w14:paraId="24863809" w14:textId="77777777" w:rsidR="007F47C8" w:rsidRPr="00704868" w:rsidRDefault="007F47C8" w:rsidP="00704868">
            <w:pPr>
              <w:spacing w:before="120" w:after="120"/>
              <w:ind w:left="72" w:right="-108"/>
              <w:rPr>
                <w:rFonts w:cs="Arial"/>
              </w:rPr>
            </w:pPr>
            <w:r w:rsidRPr="00704868">
              <w:rPr>
                <w:rFonts w:cs="Arial"/>
              </w:rPr>
              <w:t>Task 8: Scoring and Analysis</w:t>
            </w:r>
          </w:p>
        </w:tc>
        <w:tc>
          <w:tcPr>
            <w:tcW w:w="2070" w:type="dxa"/>
            <w:vAlign w:val="center"/>
          </w:tcPr>
          <w:p w14:paraId="4C2068A4" w14:textId="5F7F04E5" w:rsidR="007F47C8" w:rsidRPr="00704868" w:rsidRDefault="007F47C8" w:rsidP="00704868">
            <w:pPr>
              <w:tabs>
                <w:tab w:val="decimal" w:pos="1329"/>
              </w:tabs>
              <w:spacing w:before="120" w:after="120"/>
              <w:rPr>
                <w:rFonts w:eastAsia="Arial" w:cs="Arial"/>
              </w:rPr>
            </w:pPr>
            <w:r w:rsidRPr="00704868">
              <w:rPr>
                <w:rFonts w:cs="Arial"/>
                <w:color w:val="000000"/>
              </w:rPr>
              <w:t>$547,078.00</w:t>
            </w:r>
          </w:p>
        </w:tc>
        <w:tc>
          <w:tcPr>
            <w:tcW w:w="1890" w:type="dxa"/>
            <w:vAlign w:val="center"/>
          </w:tcPr>
          <w:p w14:paraId="125B3E56" w14:textId="26EBBD3A" w:rsidR="007F47C8" w:rsidRPr="00704868" w:rsidRDefault="007F47C8" w:rsidP="00704868">
            <w:pPr>
              <w:tabs>
                <w:tab w:val="decimal" w:pos="1356"/>
              </w:tabs>
              <w:spacing w:before="120" w:after="120"/>
              <w:rPr>
                <w:rFonts w:cs="Arial"/>
              </w:rPr>
            </w:pPr>
            <w:r w:rsidRPr="00704868">
              <w:rPr>
                <w:rFonts w:cs="Arial"/>
                <w:color w:val="000000"/>
              </w:rPr>
              <w:t>$492,370.20</w:t>
            </w:r>
          </w:p>
        </w:tc>
        <w:tc>
          <w:tcPr>
            <w:tcW w:w="1980" w:type="dxa"/>
            <w:vAlign w:val="center"/>
          </w:tcPr>
          <w:p w14:paraId="51732C27" w14:textId="3CC73376" w:rsidR="007F47C8" w:rsidRPr="00704868" w:rsidRDefault="007F47C8" w:rsidP="00704868">
            <w:pPr>
              <w:tabs>
                <w:tab w:val="decimal" w:pos="1302"/>
              </w:tabs>
              <w:spacing w:before="120" w:after="120"/>
              <w:rPr>
                <w:rFonts w:cs="Arial"/>
              </w:rPr>
            </w:pPr>
            <w:r w:rsidRPr="00704868">
              <w:rPr>
                <w:rFonts w:cs="Arial"/>
                <w:color w:val="000000"/>
              </w:rPr>
              <w:t>$54,707.80</w:t>
            </w:r>
          </w:p>
        </w:tc>
        <w:tc>
          <w:tcPr>
            <w:tcW w:w="1964" w:type="dxa"/>
            <w:vAlign w:val="center"/>
          </w:tcPr>
          <w:p w14:paraId="4A71B5E0" w14:textId="410E0418" w:rsidR="007F47C8" w:rsidRPr="00704868" w:rsidRDefault="007F47C8" w:rsidP="00704868">
            <w:pPr>
              <w:tabs>
                <w:tab w:val="decimal" w:pos="1604"/>
              </w:tabs>
              <w:spacing w:before="120" w:after="120"/>
              <w:rPr>
                <w:rFonts w:cs="Arial"/>
              </w:rPr>
            </w:pPr>
            <w:r w:rsidRPr="00704868">
              <w:rPr>
                <w:rFonts w:cs="Arial"/>
                <w:color w:val="000000"/>
              </w:rPr>
              <w:t>$54,707.80</w:t>
            </w:r>
          </w:p>
        </w:tc>
        <w:tc>
          <w:tcPr>
            <w:tcW w:w="1875" w:type="dxa"/>
            <w:vAlign w:val="center"/>
          </w:tcPr>
          <w:p w14:paraId="075B26D3" w14:textId="77777777" w:rsidR="007F47C8" w:rsidRPr="00704868" w:rsidRDefault="007F47C8" w:rsidP="00704868">
            <w:pPr>
              <w:tabs>
                <w:tab w:val="decimal" w:pos="723"/>
              </w:tabs>
              <w:spacing w:before="120" w:after="120"/>
              <w:rPr>
                <w:rFonts w:cs="Arial"/>
              </w:rPr>
            </w:pPr>
            <w:r w:rsidRPr="00704868">
              <w:rPr>
                <w:rFonts w:cs="Arial"/>
              </w:rPr>
              <w:t>$0.00</w:t>
            </w:r>
          </w:p>
        </w:tc>
      </w:tr>
      <w:tr w:rsidR="007F47C8" w:rsidRPr="00704868" w14:paraId="29AE5992" w14:textId="77777777" w:rsidTr="00D51D57">
        <w:trPr>
          <w:cantSplit/>
          <w:trHeight w:val="485"/>
          <w:jc w:val="center"/>
        </w:trPr>
        <w:tc>
          <w:tcPr>
            <w:tcW w:w="4405" w:type="dxa"/>
            <w:vAlign w:val="center"/>
          </w:tcPr>
          <w:p w14:paraId="784A16ED" w14:textId="77777777" w:rsidR="007F47C8" w:rsidRPr="00704868" w:rsidRDefault="007F47C8" w:rsidP="00704868">
            <w:pPr>
              <w:spacing w:before="120" w:after="120"/>
              <w:ind w:left="72" w:right="-108"/>
              <w:rPr>
                <w:rFonts w:cs="Arial"/>
              </w:rPr>
            </w:pPr>
            <w:r w:rsidRPr="00704868">
              <w:rPr>
                <w:rFonts w:cs="Arial"/>
              </w:rPr>
              <w:t>Task 9: Reporting</w:t>
            </w:r>
          </w:p>
        </w:tc>
        <w:tc>
          <w:tcPr>
            <w:tcW w:w="2070" w:type="dxa"/>
            <w:vAlign w:val="center"/>
          </w:tcPr>
          <w:p w14:paraId="4D5E8213" w14:textId="2ADE8E46" w:rsidR="007F47C8" w:rsidRPr="00704868" w:rsidRDefault="007F47C8" w:rsidP="00704868">
            <w:pPr>
              <w:tabs>
                <w:tab w:val="decimal" w:pos="1329"/>
              </w:tabs>
              <w:spacing w:before="120" w:after="120"/>
              <w:rPr>
                <w:rFonts w:eastAsia="Arial" w:cs="Arial"/>
              </w:rPr>
            </w:pPr>
            <w:r w:rsidRPr="00704868">
              <w:rPr>
                <w:rFonts w:cs="Arial"/>
                <w:color w:val="000000"/>
              </w:rPr>
              <w:t>$796,594.00</w:t>
            </w:r>
          </w:p>
        </w:tc>
        <w:tc>
          <w:tcPr>
            <w:tcW w:w="1890" w:type="dxa"/>
            <w:vAlign w:val="center"/>
          </w:tcPr>
          <w:p w14:paraId="3DB0F608" w14:textId="3704E913" w:rsidR="007F47C8" w:rsidRPr="00704868" w:rsidRDefault="007F47C8" w:rsidP="00704868">
            <w:pPr>
              <w:tabs>
                <w:tab w:val="decimal" w:pos="1356"/>
              </w:tabs>
              <w:spacing w:before="120" w:after="120"/>
              <w:rPr>
                <w:rFonts w:cs="Arial"/>
              </w:rPr>
            </w:pPr>
            <w:r w:rsidRPr="00704868">
              <w:rPr>
                <w:rFonts w:cs="Arial"/>
                <w:color w:val="000000"/>
              </w:rPr>
              <w:t>$716,934.60</w:t>
            </w:r>
          </w:p>
        </w:tc>
        <w:tc>
          <w:tcPr>
            <w:tcW w:w="1980" w:type="dxa"/>
            <w:vAlign w:val="center"/>
          </w:tcPr>
          <w:p w14:paraId="48DB76A9" w14:textId="526E48FB" w:rsidR="007F47C8" w:rsidRPr="00704868" w:rsidRDefault="007F47C8" w:rsidP="00704868">
            <w:pPr>
              <w:tabs>
                <w:tab w:val="decimal" w:pos="1302"/>
              </w:tabs>
              <w:spacing w:before="120" w:after="120"/>
              <w:rPr>
                <w:rFonts w:cs="Arial"/>
              </w:rPr>
            </w:pPr>
            <w:r w:rsidRPr="00704868">
              <w:rPr>
                <w:rFonts w:cs="Arial"/>
                <w:color w:val="000000"/>
              </w:rPr>
              <w:t>$79,659.40</w:t>
            </w:r>
          </w:p>
        </w:tc>
        <w:tc>
          <w:tcPr>
            <w:tcW w:w="1964" w:type="dxa"/>
            <w:vAlign w:val="center"/>
          </w:tcPr>
          <w:p w14:paraId="2663FE7F" w14:textId="6BF29F2C" w:rsidR="007F47C8" w:rsidRPr="00704868" w:rsidRDefault="007F47C8" w:rsidP="00704868">
            <w:pPr>
              <w:tabs>
                <w:tab w:val="decimal" w:pos="1690"/>
              </w:tabs>
              <w:spacing w:before="120" w:after="120"/>
              <w:rPr>
                <w:rFonts w:cs="Arial"/>
              </w:rPr>
            </w:pPr>
            <w:r w:rsidRPr="00704868">
              <w:rPr>
                <w:rFonts w:cs="Arial"/>
                <w:color w:val="000000"/>
              </w:rPr>
              <w:t>$79,659.40</w:t>
            </w:r>
          </w:p>
        </w:tc>
        <w:tc>
          <w:tcPr>
            <w:tcW w:w="1875" w:type="dxa"/>
            <w:vAlign w:val="center"/>
          </w:tcPr>
          <w:p w14:paraId="65272474" w14:textId="77777777" w:rsidR="007F47C8" w:rsidRPr="00704868" w:rsidRDefault="007F47C8" w:rsidP="00704868">
            <w:pPr>
              <w:tabs>
                <w:tab w:val="decimal" w:pos="723"/>
              </w:tabs>
              <w:spacing w:before="120" w:after="120"/>
              <w:rPr>
                <w:rFonts w:cs="Arial"/>
              </w:rPr>
            </w:pPr>
            <w:r w:rsidRPr="00704868">
              <w:rPr>
                <w:rFonts w:cs="Arial"/>
              </w:rPr>
              <w:t>$0.00</w:t>
            </w:r>
          </w:p>
        </w:tc>
      </w:tr>
      <w:tr w:rsidR="00717251" w:rsidRPr="00704868" w14:paraId="4841A827" w14:textId="77777777" w:rsidTr="00D51D57">
        <w:trPr>
          <w:cantSplit/>
          <w:trHeight w:val="389"/>
          <w:jc w:val="center"/>
        </w:trPr>
        <w:tc>
          <w:tcPr>
            <w:tcW w:w="4405" w:type="dxa"/>
            <w:vAlign w:val="center"/>
          </w:tcPr>
          <w:p w14:paraId="20AF114E" w14:textId="77777777" w:rsidR="00717251" w:rsidRPr="00704868" w:rsidRDefault="00717251" w:rsidP="00704868">
            <w:pPr>
              <w:spacing w:before="120" w:after="120"/>
              <w:rPr>
                <w:rFonts w:cs="Arial"/>
                <w:b/>
                <w:bCs/>
              </w:rPr>
            </w:pPr>
            <w:r w:rsidRPr="00704868">
              <w:rPr>
                <w:rFonts w:cs="Arial"/>
                <w:b/>
                <w:bCs/>
              </w:rPr>
              <w:t>Totals</w:t>
            </w:r>
          </w:p>
        </w:tc>
        <w:tc>
          <w:tcPr>
            <w:tcW w:w="2070" w:type="dxa"/>
            <w:vAlign w:val="center"/>
          </w:tcPr>
          <w:p w14:paraId="773799F3" w14:textId="26A21B60" w:rsidR="00717251" w:rsidRPr="00704868" w:rsidRDefault="00717251" w:rsidP="00704868">
            <w:pPr>
              <w:tabs>
                <w:tab w:val="decimal" w:pos="1329"/>
              </w:tabs>
              <w:spacing w:before="120" w:after="120"/>
              <w:rPr>
                <w:rFonts w:eastAsia="Arial" w:cs="Arial"/>
                <w:b/>
                <w:bCs/>
              </w:rPr>
            </w:pPr>
            <w:r w:rsidRPr="00704868">
              <w:rPr>
                <w:rFonts w:cs="Arial"/>
                <w:b/>
                <w:color w:val="000000"/>
              </w:rPr>
              <w:t>$</w:t>
            </w:r>
            <w:r w:rsidR="007F47C8" w:rsidRPr="00704868">
              <w:rPr>
                <w:rFonts w:cs="Arial"/>
                <w:b/>
                <w:color w:val="000000"/>
              </w:rPr>
              <w:t>4,824,836.00</w:t>
            </w:r>
          </w:p>
        </w:tc>
        <w:tc>
          <w:tcPr>
            <w:tcW w:w="1890" w:type="dxa"/>
            <w:vAlign w:val="center"/>
          </w:tcPr>
          <w:p w14:paraId="2B19FD75" w14:textId="3400F024" w:rsidR="00717251" w:rsidRPr="00704868" w:rsidRDefault="00717251" w:rsidP="00704868">
            <w:pPr>
              <w:tabs>
                <w:tab w:val="decimal" w:pos="1356"/>
              </w:tabs>
              <w:spacing w:before="120" w:after="120"/>
              <w:rPr>
                <w:rFonts w:cs="Arial"/>
                <w:b/>
                <w:bCs/>
              </w:rPr>
            </w:pPr>
            <w:r w:rsidRPr="00704868">
              <w:rPr>
                <w:rFonts w:cs="Arial"/>
                <w:b/>
                <w:color w:val="000000"/>
              </w:rPr>
              <w:t>$</w:t>
            </w:r>
            <w:r w:rsidR="007F47C8" w:rsidRPr="00704868">
              <w:rPr>
                <w:rFonts w:cs="Arial"/>
                <w:b/>
                <w:color w:val="000000"/>
              </w:rPr>
              <w:t>4,824,836</w:t>
            </w:r>
            <w:r w:rsidRPr="00704868">
              <w:rPr>
                <w:rFonts w:cs="Arial"/>
                <w:b/>
                <w:color w:val="000000"/>
              </w:rPr>
              <w:t>.00</w:t>
            </w:r>
          </w:p>
        </w:tc>
        <w:tc>
          <w:tcPr>
            <w:tcW w:w="1980" w:type="dxa"/>
            <w:vAlign w:val="center"/>
          </w:tcPr>
          <w:p w14:paraId="1F1D46D9" w14:textId="23096CBF" w:rsidR="00717251" w:rsidRPr="00704868" w:rsidRDefault="00717251" w:rsidP="00704868">
            <w:pPr>
              <w:tabs>
                <w:tab w:val="decimal" w:pos="1302"/>
              </w:tabs>
              <w:spacing w:before="120" w:after="120"/>
              <w:rPr>
                <w:rFonts w:cs="Arial"/>
                <w:b/>
                <w:bCs/>
              </w:rPr>
            </w:pPr>
            <w:r w:rsidRPr="00704868">
              <w:rPr>
                <w:rFonts w:cs="Arial"/>
                <w:b/>
                <w:color w:val="000000"/>
              </w:rPr>
              <w:t>$</w:t>
            </w:r>
            <w:r w:rsidR="007F47C8" w:rsidRPr="00704868">
              <w:rPr>
                <w:rFonts w:cs="Arial"/>
                <w:b/>
                <w:color w:val="000000"/>
              </w:rPr>
              <w:t>482,483.60</w:t>
            </w:r>
          </w:p>
        </w:tc>
        <w:tc>
          <w:tcPr>
            <w:tcW w:w="1964" w:type="dxa"/>
            <w:vAlign w:val="center"/>
          </w:tcPr>
          <w:p w14:paraId="4133C867" w14:textId="3B9DA2CB" w:rsidR="00717251" w:rsidRPr="00704868" w:rsidRDefault="007F47C8" w:rsidP="00704868">
            <w:pPr>
              <w:tabs>
                <w:tab w:val="decimal" w:pos="1604"/>
              </w:tabs>
              <w:spacing w:before="120" w:after="120"/>
              <w:rPr>
                <w:rFonts w:cs="Arial"/>
                <w:b/>
                <w:bCs/>
              </w:rPr>
            </w:pPr>
            <w:r w:rsidRPr="00704868">
              <w:rPr>
                <w:rFonts w:cs="Arial"/>
                <w:b/>
                <w:color w:val="000000"/>
              </w:rPr>
              <w:t>$482,483.60</w:t>
            </w:r>
          </w:p>
        </w:tc>
        <w:tc>
          <w:tcPr>
            <w:tcW w:w="1875" w:type="dxa"/>
            <w:vAlign w:val="center"/>
          </w:tcPr>
          <w:p w14:paraId="7A9BDB86" w14:textId="77777777" w:rsidR="00717251" w:rsidRPr="00704868" w:rsidRDefault="00717251" w:rsidP="00704868">
            <w:pPr>
              <w:tabs>
                <w:tab w:val="decimal" w:pos="723"/>
              </w:tabs>
              <w:spacing w:before="120" w:after="120"/>
              <w:rPr>
                <w:rFonts w:cs="Arial"/>
                <w:b/>
              </w:rPr>
            </w:pPr>
            <w:r w:rsidRPr="00704868">
              <w:rPr>
                <w:rFonts w:cs="Arial"/>
                <w:b/>
              </w:rPr>
              <w:t>$0.00</w:t>
            </w:r>
          </w:p>
        </w:tc>
      </w:tr>
    </w:tbl>
    <w:p w14:paraId="2F16D5A5" w14:textId="6B739D7E" w:rsidR="00E842CD" w:rsidRPr="00D51D57" w:rsidRDefault="00E842CD" w:rsidP="00D51D57">
      <w:pPr>
        <w:pStyle w:val="Heading2"/>
        <w:spacing w:before="240" w:after="240"/>
      </w:pPr>
      <w:r w:rsidRPr="00D51D57">
        <w:t xml:space="preserve">Table </w:t>
      </w:r>
      <w:r w:rsidR="007F47C8" w:rsidRPr="00D51D57">
        <w:t>2</w:t>
      </w:r>
      <w:r w:rsidRPr="00D51D57">
        <w:t xml:space="preserve">. </w:t>
      </w:r>
      <w:r w:rsidR="008235ED" w:rsidRPr="00D51D57">
        <w:t>Recommended Release of Amounts to ETS from Funds Withheld in FY 2021–22 for the 2022 California Assessment System Administrations</w:t>
      </w:r>
    </w:p>
    <w:tbl>
      <w:tblPr>
        <w:tblStyle w:val="TableGrid1"/>
        <w:tblW w:w="14184" w:type="dxa"/>
        <w:jc w:val="center"/>
        <w:tblLayout w:type="fixed"/>
        <w:tblLook w:val="00A0" w:firstRow="1" w:lastRow="0" w:firstColumn="1" w:lastColumn="0" w:noHBand="0" w:noVBand="0"/>
        <w:tblCaption w:val="California Assessment of Student Performance and Progress Contract 2021–2022 Test Administration Component Task Budget"/>
        <w:tblDescription w:val="Table 2. Recommended Release of Amounts to ETS from Funds Withheld in FY 2021–22 for the 2022 California Assessment System Administrations."/>
      </w:tblPr>
      <w:tblGrid>
        <w:gridCol w:w="4405"/>
        <w:gridCol w:w="2070"/>
        <w:gridCol w:w="1890"/>
        <w:gridCol w:w="1980"/>
        <w:gridCol w:w="1964"/>
        <w:gridCol w:w="1875"/>
      </w:tblGrid>
      <w:tr w:rsidR="00E842CD" w:rsidRPr="00704868" w14:paraId="2D38AD5D" w14:textId="77777777" w:rsidTr="00D51D57">
        <w:trPr>
          <w:cantSplit/>
          <w:trHeight w:val="389"/>
          <w:tblHeader/>
          <w:jc w:val="center"/>
        </w:trPr>
        <w:tc>
          <w:tcPr>
            <w:tcW w:w="4405" w:type="dxa"/>
            <w:shd w:val="pct15" w:color="auto" w:fill="auto"/>
            <w:vAlign w:val="center"/>
          </w:tcPr>
          <w:p w14:paraId="1A0ED490" w14:textId="113849EC" w:rsidR="00E842CD" w:rsidRPr="00704868" w:rsidRDefault="00E842CD" w:rsidP="00704868">
            <w:pPr>
              <w:spacing w:before="120" w:after="120"/>
              <w:ind w:left="-32"/>
              <w:jc w:val="center"/>
              <w:rPr>
                <w:rFonts w:cs="Arial"/>
                <w:b/>
              </w:rPr>
            </w:pPr>
            <w:r w:rsidRPr="00704868">
              <w:rPr>
                <w:rFonts w:cs="Arial"/>
                <w:b/>
              </w:rPr>
              <w:t>Component Task</w:t>
            </w:r>
            <w:r w:rsidRPr="00704868">
              <w:rPr>
                <w:rFonts w:cs="Arial"/>
                <w:b/>
              </w:rPr>
              <w:br/>
              <w:t>Scope of Work</w:t>
            </w:r>
          </w:p>
        </w:tc>
        <w:tc>
          <w:tcPr>
            <w:tcW w:w="2070" w:type="dxa"/>
            <w:shd w:val="pct15" w:color="auto" w:fill="auto"/>
            <w:vAlign w:val="center"/>
          </w:tcPr>
          <w:p w14:paraId="45FD65F0" w14:textId="4E43DA74" w:rsidR="00E842CD" w:rsidRPr="00704868" w:rsidRDefault="00E842CD" w:rsidP="00704868">
            <w:pPr>
              <w:spacing w:before="120" w:after="120"/>
              <w:ind w:left="-108" w:right="-108"/>
              <w:jc w:val="center"/>
              <w:rPr>
                <w:rFonts w:cs="Arial"/>
                <w:b/>
                <w:bCs/>
              </w:rPr>
            </w:pPr>
            <w:r w:rsidRPr="00704868">
              <w:rPr>
                <w:rFonts w:cs="Arial"/>
                <w:b/>
                <w:bCs/>
              </w:rPr>
              <w:t>2022</w:t>
            </w:r>
            <w:r w:rsidR="00B570F7" w:rsidRPr="00704868">
              <w:rPr>
                <w:rFonts w:cs="Arial"/>
                <w:b/>
                <w:bCs/>
              </w:rPr>
              <w:t xml:space="preserve"> </w:t>
            </w:r>
            <w:r w:rsidRPr="00704868">
              <w:rPr>
                <w:rFonts w:cs="Arial"/>
                <w:b/>
                <w:bCs/>
              </w:rPr>
              <w:t>Test Administration Budget</w:t>
            </w:r>
            <w:r w:rsidR="00D11FB7" w:rsidRPr="00704868">
              <w:rPr>
                <w:rFonts w:cs="Arial"/>
                <w:b/>
                <w:bCs/>
              </w:rPr>
              <w:t xml:space="preserve"> </w:t>
            </w:r>
            <w:r w:rsidR="00C04A0D" w:rsidRPr="00704868">
              <w:rPr>
                <w:rFonts w:cs="Arial"/>
                <w:b/>
                <w:bCs/>
              </w:rPr>
              <w:t>for</w:t>
            </w:r>
            <w:r w:rsidR="00C04A0D" w:rsidRPr="00704868">
              <w:rPr>
                <w:rFonts w:cs="Arial"/>
                <w:b/>
                <w:bCs/>
              </w:rPr>
              <w:br/>
            </w:r>
            <w:r w:rsidR="00D11FB7" w:rsidRPr="00704868">
              <w:rPr>
                <w:rFonts w:cs="Arial"/>
                <w:b/>
                <w:bCs/>
              </w:rPr>
              <w:t>FY 21–22</w:t>
            </w:r>
          </w:p>
        </w:tc>
        <w:tc>
          <w:tcPr>
            <w:tcW w:w="1890" w:type="dxa"/>
            <w:shd w:val="pct15" w:color="auto" w:fill="auto"/>
            <w:vAlign w:val="center"/>
          </w:tcPr>
          <w:p w14:paraId="253C88EC" w14:textId="546DDBCF" w:rsidR="00E842CD" w:rsidRPr="00704868" w:rsidRDefault="00E842CD" w:rsidP="00704868">
            <w:pPr>
              <w:spacing w:before="120" w:after="120"/>
              <w:ind w:left="-108" w:right="-132"/>
              <w:jc w:val="center"/>
              <w:rPr>
                <w:rFonts w:cs="Arial"/>
                <w:b/>
              </w:rPr>
            </w:pPr>
            <w:r w:rsidRPr="00704868">
              <w:rPr>
                <w:rFonts w:cs="Arial"/>
                <w:b/>
              </w:rPr>
              <w:t>Amount Paid Progress Payments</w:t>
            </w:r>
          </w:p>
        </w:tc>
        <w:tc>
          <w:tcPr>
            <w:tcW w:w="1980" w:type="dxa"/>
            <w:shd w:val="pct15" w:color="auto" w:fill="auto"/>
            <w:vAlign w:val="center"/>
          </w:tcPr>
          <w:p w14:paraId="1E5D8C52" w14:textId="77777777" w:rsidR="00E842CD" w:rsidRPr="00704868" w:rsidRDefault="00E842CD" w:rsidP="00704868">
            <w:pPr>
              <w:spacing w:before="120" w:after="120"/>
              <w:ind w:left="-108" w:right="-132"/>
              <w:jc w:val="center"/>
              <w:rPr>
                <w:rFonts w:cs="Arial"/>
                <w:b/>
              </w:rPr>
            </w:pPr>
            <w:r w:rsidRPr="00704868">
              <w:rPr>
                <w:rFonts w:cs="Arial"/>
                <w:b/>
              </w:rPr>
              <w:t>10 Percent Withheld (Pending Release)</w:t>
            </w:r>
          </w:p>
        </w:tc>
        <w:tc>
          <w:tcPr>
            <w:tcW w:w="1964" w:type="dxa"/>
            <w:shd w:val="pct15" w:color="auto" w:fill="auto"/>
            <w:vAlign w:val="center"/>
          </w:tcPr>
          <w:p w14:paraId="05DCDD51" w14:textId="77777777" w:rsidR="00E842CD" w:rsidRPr="00704868" w:rsidRDefault="00E842CD" w:rsidP="00704868">
            <w:pPr>
              <w:spacing w:before="120" w:after="120"/>
              <w:ind w:left="-108" w:right="-132"/>
              <w:jc w:val="center"/>
              <w:rPr>
                <w:rFonts w:cs="Arial"/>
                <w:b/>
              </w:rPr>
            </w:pPr>
            <w:r w:rsidRPr="00704868">
              <w:rPr>
                <w:rFonts w:cs="Arial"/>
                <w:b/>
              </w:rPr>
              <w:t xml:space="preserve">Recommended </w:t>
            </w:r>
            <w:r w:rsidRPr="00704868">
              <w:rPr>
                <w:rFonts w:cs="Arial"/>
                <w:b/>
                <w:bCs/>
              </w:rPr>
              <w:t>Release</w:t>
            </w:r>
          </w:p>
        </w:tc>
        <w:tc>
          <w:tcPr>
            <w:tcW w:w="1875" w:type="dxa"/>
            <w:shd w:val="pct15" w:color="auto" w:fill="auto"/>
            <w:vAlign w:val="center"/>
          </w:tcPr>
          <w:p w14:paraId="05231065" w14:textId="77777777" w:rsidR="00E842CD" w:rsidRPr="00704868" w:rsidRDefault="00E842CD" w:rsidP="00704868">
            <w:pPr>
              <w:spacing w:before="120" w:after="120"/>
              <w:ind w:left="-108" w:right="-132"/>
              <w:jc w:val="center"/>
              <w:rPr>
                <w:rFonts w:cs="Arial"/>
                <w:b/>
              </w:rPr>
            </w:pPr>
            <w:r w:rsidRPr="00704868">
              <w:rPr>
                <w:rFonts w:cs="Arial"/>
                <w:b/>
              </w:rPr>
              <w:t>Recommended Withhold (</w:t>
            </w:r>
            <w:proofErr w:type="spellStart"/>
            <w:r w:rsidRPr="00704868">
              <w:rPr>
                <w:rFonts w:cs="Arial"/>
                <w:b/>
              </w:rPr>
              <w:t>Nonrelease</w:t>
            </w:r>
            <w:proofErr w:type="spellEnd"/>
            <w:r w:rsidRPr="00704868">
              <w:rPr>
                <w:rFonts w:cs="Arial"/>
                <w:b/>
              </w:rPr>
              <w:t>)</w:t>
            </w:r>
          </w:p>
        </w:tc>
      </w:tr>
      <w:tr w:rsidR="00E842CD" w:rsidRPr="00704868" w14:paraId="2FDEC3EC" w14:textId="77777777" w:rsidTr="00D51D57">
        <w:trPr>
          <w:cantSplit/>
          <w:trHeight w:val="389"/>
          <w:jc w:val="center"/>
        </w:trPr>
        <w:tc>
          <w:tcPr>
            <w:tcW w:w="4405" w:type="dxa"/>
            <w:vAlign w:val="center"/>
          </w:tcPr>
          <w:p w14:paraId="725F84E0" w14:textId="77777777" w:rsidR="00E842CD" w:rsidRPr="00704868" w:rsidRDefault="00E842CD" w:rsidP="00704868">
            <w:pPr>
              <w:spacing w:before="120" w:after="120"/>
              <w:ind w:left="960" w:right="-108" w:hanging="888"/>
              <w:rPr>
                <w:rFonts w:cs="Arial"/>
              </w:rPr>
            </w:pPr>
            <w:r w:rsidRPr="00704868">
              <w:rPr>
                <w:rFonts w:cs="Arial"/>
              </w:rPr>
              <w:t>Task 1: Comprehensive Plan and Schedule of Deliverables</w:t>
            </w:r>
          </w:p>
        </w:tc>
        <w:tc>
          <w:tcPr>
            <w:tcW w:w="2070" w:type="dxa"/>
            <w:vAlign w:val="center"/>
          </w:tcPr>
          <w:p w14:paraId="55797923" w14:textId="77777777" w:rsidR="00E842CD" w:rsidRPr="00704868" w:rsidRDefault="00E842CD" w:rsidP="00704868">
            <w:pPr>
              <w:tabs>
                <w:tab w:val="decimal" w:pos="1329"/>
              </w:tabs>
              <w:spacing w:before="120" w:after="120"/>
              <w:rPr>
                <w:rFonts w:cs="Arial"/>
              </w:rPr>
            </w:pPr>
            <w:r w:rsidRPr="00704868">
              <w:rPr>
                <w:rFonts w:cs="Arial"/>
                <w:color w:val="000000"/>
              </w:rPr>
              <w:t>$7,089,064.00</w:t>
            </w:r>
          </w:p>
        </w:tc>
        <w:tc>
          <w:tcPr>
            <w:tcW w:w="1890" w:type="dxa"/>
            <w:vAlign w:val="center"/>
          </w:tcPr>
          <w:p w14:paraId="302925FB" w14:textId="77777777" w:rsidR="00E842CD" w:rsidRPr="00704868" w:rsidRDefault="00E842CD" w:rsidP="00704868">
            <w:pPr>
              <w:tabs>
                <w:tab w:val="decimal" w:pos="1356"/>
              </w:tabs>
              <w:spacing w:before="120" w:after="120"/>
              <w:rPr>
                <w:rFonts w:eastAsia="Arial" w:cs="Arial"/>
              </w:rPr>
            </w:pPr>
            <w:r w:rsidRPr="00704868">
              <w:rPr>
                <w:rFonts w:cs="Arial"/>
                <w:color w:val="000000"/>
              </w:rPr>
              <w:t>$6,380,157.60</w:t>
            </w:r>
          </w:p>
        </w:tc>
        <w:tc>
          <w:tcPr>
            <w:tcW w:w="1980" w:type="dxa"/>
            <w:vAlign w:val="center"/>
          </w:tcPr>
          <w:p w14:paraId="35A2E819" w14:textId="77777777" w:rsidR="00E842CD" w:rsidRPr="00704868" w:rsidRDefault="00E842CD" w:rsidP="00704868">
            <w:pPr>
              <w:tabs>
                <w:tab w:val="decimal" w:pos="1302"/>
              </w:tabs>
              <w:spacing w:before="120" w:after="120"/>
              <w:rPr>
                <w:rFonts w:cs="Arial"/>
              </w:rPr>
            </w:pPr>
            <w:r w:rsidRPr="00704868">
              <w:rPr>
                <w:rFonts w:cs="Arial"/>
                <w:color w:val="000000"/>
              </w:rPr>
              <w:t>$708,906.40</w:t>
            </w:r>
          </w:p>
        </w:tc>
        <w:tc>
          <w:tcPr>
            <w:tcW w:w="1964" w:type="dxa"/>
            <w:vAlign w:val="center"/>
          </w:tcPr>
          <w:p w14:paraId="45AEDFB9" w14:textId="77777777" w:rsidR="00E842CD" w:rsidRPr="00704868" w:rsidRDefault="00E842CD" w:rsidP="00704868">
            <w:pPr>
              <w:tabs>
                <w:tab w:val="decimal" w:pos="1604"/>
              </w:tabs>
              <w:spacing w:before="120" w:after="120"/>
              <w:rPr>
                <w:rFonts w:cs="Arial"/>
              </w:rPr>
            </w:pPr>
            <w:r w:rsidRPr="00704868">
              <w:rPr>
                <w:rFonts w:cs="Arial"/>
                <w:color w:val="000000"/>
              </w:rPr>
              <w:t>$708,906.40</w:t>
            </w:r>
          </w:p>
        </w:tc>
        <w:tc>
          <w:tcPr>
            <w:tcW w:w="1875" w:type="dxa"/>
            <w:vAlign w:val="center"/>
          </w:tcPr>
          <w:p w14:paraId="60C99179" w14:textId="77777777" w:rsidR="00E842CD" w:rsidRPr="00704868" w:rsidRDefault="00E842CD" w:rsidP="00704868">
            <w:pPr>
              <w:tabs>
                <w:tab w:val="decimal" w:pos="723"/>
              </w:tabs>
              <w:spacing w:before="120" w:after="120"/>
              <w:rPr>
                <w:rFonts w:cs="Arial"/>
              </w:rPr>
            </w:pPr>
            <w:r w:rsidRPr="00704868">
              <w:rPr>
                <w:rFonts w:cs="Arial"/>
              </w:rPr>
              <w:t>$0.00</w:t>
            </w:r>
          </w:p>
        </w:tc>
      </w:tr>
      <w:tr w:rsidR="00E842CD" w:rsidRPr="00704868" w14:paraId="3375804E" w14:textId="77777777" w:rsidTr="00D51D57">
        <w:trPr>
          <w:cantSplit/>
          <w:trHeight w:val="389"/>
          <w:jc w:val="center"/>
        </w:trPr>
        <w:tc>
          <w:tcPr>
            <w:tcW w:w="4405" w:type="dxa"/>
            <w:vAlign w:val="center"/>
          </w:tcPr>
          <w:p w14:paraId="100EFCF8" w14:textId="77777777" w:rsidR="00E842CD" w:rsidRPr="00704868" w:rsidRDefault="00E842CD" w:rsidP="00704868">
            <w:pPr>
              <w:spacing w:before="120" w:after="120"/>
              <w:ind w:left="967" w:right="-108" w:hanging="895"/>
              <w:rPr>
                <w:rFonts w:cs="Arial"/>
              </w:rPr>
            </w:pPr>
            <w:r w:rsidRPr="00704868">
              <w:rPr>
                <w:rFonts w:cs="Arial"/>
              </w:rPr>
              <w:t>Task 2: Program Support Services</w:t>
            </w:r>
          </w:p>
        </w:tc>
        <w:tc>
          <w:tcPr>
            <w:tcW w:w="2070" w:type="dxa"/>
            <w:vAlign w:val="center"/>
          </w:tcPr>
          <w:p w14:paraId="2A0B6D78" w14:textId="77777777" w:rsidR="00E842CD" w:rsidRPr="00704868" w:rsidRDefault="00E842CD" w:rsidP="00704868">
            <w:pPr>
              <w:tabs>
                <w:tab w:val="decimal" w:pos="1329"/>
              </w:tabs>
              <w:spacing w:before="120" w:after="120"/>
              <w:rPr>
                <w:rFonts w:eastAsia="Arial" w:cs="Arial"/>
              </w:rPr>
            </w:pPr>
            <w:r w:rsidRPr="00704868">
              <w:rPr>
                <w:rFonts w:cs="Arial"/>
                <w:color w:val="000000"/>
              </w:rPr>
              <w:t>$9,699,836.00</w:t>
            </w:r>
          </w:p>
        </w:tc>
        <w:tc>
          <w:tcPr>
            <w:tcW w:w="1890" w:type="dxa"/>
            <w:vAlign w:val="center"/>
          </w:tcPr>
          <w:p w14:paraId="137350FD" w14:textId="77777777" w:rsidR="00E842CD" w:rsidRPr="00704868" w:rsidRDefault="00E842CD" w:rsidP="00704868">
            <w:pPr>
              <w:tabs>
                <w:tab w:val="decimal" w:pos="1356"/>
              </w:tabs>
              <w:spacing w:before="120" w:after="120"/>
              <w:rPr>
                <w:rFonts w:eastAsia="Arial" w:cs="Arial"/>
              </w:rPr>
            </w:pPr>
            <w:r w:rsidRPr="00704868">
              <w:rPr>
                <w:rFonts w:cs="Arial"/>
                <w:color w:val="000000"/>
              </w:rPr>
              <w:t>$8,729,852.40</w:t>
            </w:r>
          </w:p>
        </w:tc>
        <w:tc>
          <w:tcPr>
            <w:tcW w:w="1980" w:type="dxa"/>
            <w:vAlign w:val="center"/>
          </w:tcPr>
          <w:p w14:paraId="49F6BCD2" w14:textId="77777777" w:rsidR="00E842CD" w:rsidRPr="00704868" w:rsidRDefault="00E842CD" w:rsidP="00704868">
            <w:pPr>
              <w:tabs>
                <w:tab w:val="decimal" w:pos="1302"/>
              </w:tabs>
              <w:spacing w:before="120" w:after="120"/>
              <w:rPr>
                <w:rFonts w:cs="Arial"/>
              </w:rPr>
            </w:pPr>
            <w:r w:rsidRPr="00704868">
              <w:rPr>
                <w:rFonts w:cs="Arial"/>
                <w:color w:val="000000"/>
              </w:rPr>
              <w:t>$969,983.60</w:t>
            </w:r>
          </w:p>
        </w:tc>
        <w:tc>
          <w:tcPr>
            <w:tcW w:w="1964" w:type="dxa"/>
            <w:vAlign w:val="center"/>
          </w:tcPr>
          <w:p w14:paraId="19B6A600" w14:textId="77777777" w:rsidR="00E842CD" w:rsidRPr="00704868" w:rsidRDefault="00E842CD" w:rsidP="00704868">
            <w:pPr>
              <w:tabs>
                <w:tab w:val="decimal" w:pos="1604"/>
              </w:tabs>
              <w:spacing w:before="120" w:after="120"/>
              <w:rPr>
                <w:rFonts w:cs="Arial"/>
              </w:rPr>
            </w:pPr>
            <w:r w:rsidRPr="00704868">
              <w:rPr>
                <w:rFonts w:cs="Arial"/>
                <w:color w:val="000000"/>
              </w:rPr>
              <w:t>$969,983.60</w:t>
            </w:r>
          </w:p>
        </w:tc>
        <w:tc>
          <w:tcPr>
            <w:tcW w:w="1875" w:type="dxa"/>
            <w:vAlign w:val="center"/>
          </w:tcPr>
          <w:p w14:paraId="0F0AFC16" w14:textId="77777777" w:rsidR="00E842CD" w:rsidRPr="00704868" w:rsidRDefault="00E842CD" w:rsidP="00704868">
            <w:pPr>
              <w:tabs>
                <w:tab w:val="decimal" w:pos="723"/>
              </w:tabs>
              <w:spacing w:before="120" w:after="120"/>
              <w:rPr>
                <w:rFonts w:cs="Arial"/>
              </w:rPr>
            </w:pPr>
            <w:r w:rsidRPr="00704868">
              <w:rPr>
                <w:rFonts w:cs="Arial"/>
              </w:rPr>
              <w:t>$0.00</w:t>
            </w:r>
          </w:p>
        </w:tc>
      </w:tr>
      <w:tr w:rsidR="00E842CD" w:rsidRPr="00704868" w14:paraId="1C81E0A8" w14:textId="77777777" w:rsidTr="00D51D57">
        <w:trPr>
          <w:cantSplit/>
          <w:trHeight w:val="389"/>
          <w:jc w:val="center"/>
        </w:trPr>
        <w:tc>
          <w:tcPr>
            <w:tcW w:w="4405" w:type="dxa"/>
            <w:vAlign w:val="center"/>
          </w:tcPr>
          <w:p w14:paraId="3DC7FF89" w14:textId="77777777" w:rsidR="00E842CD" w:rsidRPr="00704868" w:rsidRDefault="00E842CD" w:rsidP="00704868">
            <w:pPr>
              <w:spacing w:before="120" w:after="120"/>
              <w:ind w:left="72" w:right="-108"/>
              <w:rPr>
                <w:rFonts w:cs="Arial"/>
              </w:rPr>
            </w:pPr>
            <w:r w:rsidRPr="00704868">
              <w:rPr>
                <w:rFonts w:cs="Arial"/>
              </w:rPr>
              <w:t>Task 3: Technology Services</w:t>
            </w:r>
          </w:p>
        </w:tc>
        <w:tc>
          <w:tcPr>
            <w:tcW w:w="2070" w:type="dxa"/>
            <w:vAlign w:val="center"/>
          </w:tcPr>
          <w:p w14:paraId="3CA30462" w14:textId="77777777" w:rsidR="00E842CD" w:rsidRPr="00704868" w:rsidRDefault="00E842CD" w:rsidP="00704868">
            <w:pPr>
              <w:tabs>
                <w:tab w:val="decimal" w:pos="1329"/>
              </w:tabs>
              <w:spacing w:before="120" w:after="120"/>
              <w:rPr>
                <w:rFonts w:eastAsia="Arial" w:cs="Arial"/>
              </w:rPr>
            </w:pPr>
            <w:r w:rsidRPr="00704868">
              <w:rPr>
                <w:rFonts w:cs="Arial"/>
                <w:color w:val="000000"/>
              </w:rPr>
              <w:t>$5,844,509.00</w:t>
            </w:r>
          </w:p>
        </w:tc>
        <w:tc>
          <w:tcPr>
            <w:tcW w:w="1890" w:type="dxa"/>
            <w:vAlign w:val="center"/>
          </w:tcPr>
          <w:p w14:paraId="54EC06BB" w14:textId="77777777" w:rsidR="00E842CD" w:rsidRPr="00704868" w:rsidRDefault="00E842CD" w:rsidP="00704868">
            <w:pPr>
              <w:tabs>
                <w:tab w:val="decimal" w:pos="1356"/>
              </w:tabs>
              <w:spacing w:before="120" w:after="120"/>
              <w:rPr>
                <w:rFonts w:eastAsia="Arial" w:cs="Arial"/>
              </w:rPr>
            </w:pPr>
            <w:r w:rsidRPr="00704868">
              <w:rPr>
                <w:rFonts w:cs="Arial"/>
                <w:color w:val="000000"/>
              </w:rPr>
              <w:t>$5,260,058.10</w:t>
            </w:r>
          </w:p>
        </w:tc>
        <w:tc>
          <w:tcPr>
            <w:tcW w:w="1980" w:type="dxa"/>
            <w:vAlign w:val="center"/>
          </w:tcPr>
          <w:p w14:paraId="7DCB19AF" w14:textId="77777777" w:rsidR="00E842CD" w:rsidRPr="00704868" w:rsidRDefault="00E842CD" w:rsidP="00704868">
            <w:pPr>
              <w:tabs>
                <w:tab w:val="decimal" w:pos="1302"/>
              </w:tabs>
              <w:spacing w:before="120" w:after="120"/>
              <w:rPr>
                <w:rFonts w:cs="Arial"/>
              </w:rPr>
            </w:pPr>
            <w:r w:rsidRPr="00704868">
              <w:rPr>
                <w:rFonts w:cs="Arial"/>
                <w:color w:val="000000"/>
              </w:rPr>
              <w:t>$584,450.90</w:t>
            </w:r>
          </w:p>
        </w:tc>
        <w:tc>
          <w:tcPr>
            <w:tcW w:w="1964" w:type="dxa"/>
            <w:vAlign w:val="center"/>
          </w:tcPr>
          <w:p w14:paraId="73A54209" w14:textId="77777777" w:rsidR="00E842CD" w:rsidRPr="00704868" w:rsidRDefault="00E842CD" w:rsidP="00704868">
            <w:pPr>
              <w:tabs>
                <w:tab w:val="decimal" w:pos="1604"/>
              </w:tabs>
              <w:spacing w:before="120" w:after="120"/>
              <w:rPr>
                <w:rFonts w:cs="Arial"/>
              </w:rPr>
            </w:pPr>
            <w:r w:rsidRPr="00704868">
              <w:rPr>
                <w:rFonts w:cs="Arial"/>
                <w:color w:val="000000"/>
              </w:rPr>
              <w:t>$584,450.90</w:t>
            </w:r>
          </w:p>
        </w:tc>
        <w:tc>
          <w:tcPr>
            <w:tcW w:w="1875" w:type="dxa"/>
            <w:vAlign w:val="center"/>
          </w:tcPr>
          <w:p w14:paraId="25E35007" w14:textId="77777777" w:rsidR="00E842CD" w:rsidRPr="00704868" w:rsidRDefault="00E842CD" w:rsidP="00704868">
            <w:pPr>
              <w:tabs>
                <w:tab w:val="decimal" w:pos="723"/>
              </w:tabs>
              <w:spacing w:before="120" w:after="120"/>
              <w:rPr>
                <w:rFonts w:cs="Arial"/>
              </w:rPr>
            </w:pPr>
            <w:r w:rsidRPr="00704868">
              <w:rPr>
                <w:rFonts w:cs="Arial"/>
              </w:rPr>
              <w:t>$0.00</w:t>
            </w:r>
          </w:p>
        </w:tc>
      </w:tr>
      <w:tr w:rsidR="00E842CD" w:rsidRPr="00704868" w14:paraId="2D785E27" w14:textId="77777777" w:rsidTr="00D51D57">
        <w:trPr>
          <w:cantSplit/>
          <w:trHeight w:val="389"/>
          <w:jc w:val="center"/>
        </w:trPr>
        <w:tc>
          <w:tcPr>
            <w:tcW w:w="4405" w:type="dxa"/>
            <w:vAlign w:val="center"/>
          </w:tcPr>
          <w:p w14:paraId="3D9444C7" w14:textId="77777777" w:rsidR="00E842CD" w:rsidRPr="00704868" w:rsidRDefault="00E842CD" w:rsidP="00704868">
            <w:pPr>
              <w:spacing w:before="120" w:after="120"/>
              <w:ind w:left="432" w:right="-108" w:hanging="360"/>
              <w:rPr>
                <w:rFonts w:cs="Arial"/>
              </w:rPr>
            </w:pPr>
            <w:r w:rsidRPr="00704868">
              <w:rPr>
                <w:rFonts w:cs="Arial"/>
              </w:rPr>
              <w:t>Task 4: Test Security</w:t>
            </w:r>
          </w:p>
        </w:tc>
        <w:tc>
          <w:tcPr>
            <w:tcW w:w="2070" w:type="dxa"/>
            <w:vAlign w:val="center"/>
          </w:tcPr>
          <w:p w14:paraId="7C1F6586" w14:textId="77777777" w:rsidR="00E842CD" w:rsidRPr="00704868" w:rsidRDefault="00E842CD" w:rsidP="00704868">
            <w:pPr>
              <w:tabs>
                <w:tab w:val="decimal" w:pos="1329"/>
              </w:tabs>
              <w:spacing w:before="120" w:after="120"/>
              <w:rPr>
                <w:rFonts w:eastAsia="Arial" w:cs="Arial"/>
              </w:rPr>
            </w:pPr>
            <w:r w:rsidRPr="00704868">
              <w:rPr>
                <w:rFonts w:cs="Arial"/>
                <w:color w:val="000000"/>
              </w:rPr>
              <w:t>$256,108.00</w:t>
            </w:r>
          </w:p>
        </w:tc>
        <w:tc>
          <w:tcPr>
            <w:tcW w:w="1890" w:type="dxa"/>
            <w:vAlign w:val="center"/>
          </w:tcPr>
          <w:p w14:paraId="5B86C0B6" w14:textId="77777777" w:rsidR="00E842CD" w:rsidRPr="00704868" w:rsidRDefault="00E842CD" w:rsidP="00704868">
            <w:pPr>
              <w:tabs>
                <w:tab w:val="decimal" w:pos="1356"/>
              </w:tabs>
              <w:spacing w:before="120" w:after="120"/>
              <w:rPr>
                <w:rFonts w:cs="Arial"/>
              </w:rPr>
            </w:pPr>
            <w:r w:rsidRPr="00704868">
              <w:rPr>
                <w:rFonts w:cs="Arial"/>
                <w:color w:val="000000"/>
              </w:rPr>
              <w:t>$230,497.20</w:t>
            </w:r>
          </w:p>
        </w:tc>
        <w:tc>
          <w:tcPr>
            <w:tcW w:w="1980" w:type="dxa"/>
            <w:vAlign w:val="center"/>
          </w:tcPr>
          <w:p w14:paraId="5B9BE9D8" w14:textId="77777777" w:rsidR="00E842CD" w:rsidRPr="00704868" w:rsidRDefault="00E842CD" w:rsidP="00704868">
            <w:pPr>
              <w:tabs>
                <w:tab w:val="decimal" w:pos="1302"/>
              </w:tabs>
              <w:spacing w:before="120" w:after="120"/>
              <w:rPr>
                <w:rFonts w:cs="Arial"/>
              </w:rPr>
            </w:pPr>
            <w:r w:rsidRPr="00704868">
              <w:rPr>
                <w:rFonts w:cs="Arial"/>
                <w:color w:val="000000"/>
              </w:rPr>
              <w:t>$25,610.80</w:t>
            </w:r>
          </w:p>
        </w:tc>
        <w:tc>
          <w:tcPr>
            <w:tcW w:w="1964" w:type="dxa"/>
            <w:vAlign w:val="center"/>
          </w:tcPr>
          <w:p w14:paraId="0766FA9C" w14:textId="77777777" w:rsidR="00E842CD" w:rsidRPr="00704868" w:rsidRDefault="00E842CD" w:rsidP="00704868">
            <w:pPr>
              <w:tabs>
                <w:tab w:val="decimal" w:pos="1604"/>
              </w:tabs>
              <w:spacing w:before="120" w:after="120"/>
              <w:rPr>
                <w:rFonts w:cs="Arial"/>
              </w:rPr>
            </w:pPr>
            <w:r w:rsidRPr="00704868">
              <w:rPr>
                <w:rFonts w:cs="Arial"/>
                <w:color w:val="000000"/>
              </w:rPr>
              <w:t>$25,610.80</w:t>
            </w:r>
          </w:p>
        </w:tc>
        <w:tc>
          <w:tcPr>
            <w:tcW w:w="1875" w:type="dxa"/>
            <w:vAlign w:val="center"/>
          </w:tcPr>
          <w:p w14:paraId="14A8DECF" w14:textId="77777777" w:rsidR="00E842CD" w:rsidRPr="00704868" w:rsidRDefault="00E842CD" w:rsidP="00704868">
            <w:pPr>
              <w:tabs>
                <w:tab w:val="decimal" w:pos="723"/>
              </w:tabs>
              <w:spacing w:before="120" w:after="120"/>
              <w:rPr>
                <w:rFonts w:cs="Arial"/>
              </w:rPr>
            </w:pPr>
            <w:r w:rsidRPr="00704868">
              <w:rPr>
                <w:rFonts w:cs="Arial"/>
              </w:rPr>
              <w:t>$0.00</w:t>
            </w:r>
          </w:p>
        </w:tc>
      </w:tr>
      <w:tr w:rsidR="00E842CD" w:rsidRPr="00704868" w14:paraId="455B48E0" w14:textId="77777777" w:rsidTr="00D51D57">
        <w:trPr>
          <w:cantSplit/>
          <w:trHeight w:val="389"/>
          <w:jc w:val="center"/>
        </w:trPr>
        <w:tc>
          <w:tcPr>
            <w:tcW w:w="4405" w:type="dxa"/>
            <w:vAlign w:val="center"/>
          </w:tcPr>
          <w:p w14:paraId="7DC0C56C" w14:textId="77777777" w:rsidR="00E842CD" w:rsidRPr="00704868" w:rsidRDefault="00E842CD" w:rsidP="00704868">
            <w:pPr>
              <w:spacing w:before="120" w:after="120"/>
              <w:ind w:left="960" w:right="-108" w:hanging="888"/>
              <w:rPr>
                <w:rFonts w:cs="Arial"/>
              </w:rPr>
            </w:pPr>
            <w:r w:rsidRPr="00704868">
              <w:rPr>
                <w:rFonts w:cs="Arial"/>
              </w:rPr>
              <w:lastRenderedPageBreak/>
              <w:t>Task 5: Accessibility and Accommodations</w:t>
            </w:r>
          </w:p>
        </w:tc>
        <w:tc>
          <w:tcPr>
            <w:tcW w:w="2070" w:type="dxa"/>
            <w:vAlign w:val="center"/>
          </w:tcPr>
          <w:p w14:paraId="6762B678" w14:textId="77777777" w:rsidR="00E842CD" w:rsidRPr="00704868" w:rsidRDefault="00E842CD" w:rsidP="00704868">
            <w:pPr>
              <w:tabs>
                <w:tab w:val="decimal" w:pos="1329"/>
              </w:tabs>
              <w:spacing w:before="120" w:after="120"/>
              <w:rPr>
                <w:rFonts w:eastAsia="Arial" w:cs="Arial"/>
              </w:rPr>
            </w:pPr>
            <w:r w:rsidRPr="00704868">
              <w:rPr>
                <w:rFonts w:cs="Arial"/>
                <w:color w:val="000000"/>
              </w:rPr>
              <w:t>$22,517.00</w:t>
            </w:r>
          </w:p>
        </w:tc>
        <w:tc>
          <w:tcPr>
            <w:tcW w:w="1890" w:type="dxa"/>
            <w:vAlign w:val="center"/>
          </w:tcPr>
          <w:p w14:paraId="50FF0BB5" w14:textId="77777777" w:rsidR="00E842CD" w:rsidRPr="00704868" w:rsidRDefault="00E842CD" w:rsidP="00704868">
            <w:pPr>
              <w:tabs>
                <w:tab w:val="decimal" w:pos="1356"/>
              </w:tabs>
              <w:spacing w:before="120" w:after="120"/>
              <w:rPr>
                <w:rFonts w:cs="Arial"/>
              </w:rPr>
            </w:pPr>
            <w:r w:rsidRPr="00704868">
              <w:rPr>
                <w:rFonts w:cs="Arial"/>
                <w:color w:val="000000"/>
              </w:rPr>
              <w:t>$20,265.30</w:t>
            </w:r>
          </w:p>
        </w:tc>
        <w:tc>
          <w:tcPr>
            <w:tcW w:w="1980" w:type="dxa"/>
            <w:vAlign w:val="center"/>
          </w:tcPr>
          <w:p w14:paraId="63711118" w14:textId="77777777" w:rsidR="00E842CD" w:rsidRPr="00704868" w:rsidRDefault="00E842CD" w:rsidP="00704868">
            <w:pPr>
              <w:tabs>
                <w:tab w:val="decimal" w:pos="1302"/>
              </w:tabs>
              <w:spacing w:before="120" w:after="120"/>
              <w:rPr>
                <w:rFonts w:cs="Arial"/>
              </w:rPr>
            </w:pPr>
            <w:r w:rsidRPr="00704868">
              <w:rPr>
                <w:rFonts w:cs="Arial"/>
                <w:color w:val="000000"/>
              </w:rPr>
              <w:t>$2,251.70</w:t>
            </w:r>
          </w:p>
        </w:tc>
        <w:tc>
          <w:tcPr>
            <w:tcW w:w="1964" w:type="dxa"/>
            <w:vAlign w:val="center"/>
          </w:tcPr>
          <w:p w14:paraId="03A9A69B" w14:textId="77777777" w:rsidR="00E842CD" w:rsidRPr="00704868" w:rsidRDefault="00E842CD" w:rsidP="00704868">
            <w:pPr>
              <w:tabs>
                <w:tab w:val="decimal" w:pos="1604"/>
              </w:tabs>
              <w:spacing w:before="120" w:after="120"/>
              <w:rPr>
                <w:rFonts w:cs="Arial"/>
              </w:rPr>
            </w:pPr>
            <w:r w:rsidRPr="00704868">
              <w:rPr>
                <w:rFonts w:cs="Arial"/>
                <w:color w:val="000000"/>
              </w:rPr>
              <w:t>$2,251.70</w:t>
            </w:r>
          </w:p>
        </w:tc>
        <w:tc>
          <w:tcPr>
            <w:tcW w:w="1875" w:type="dxa"/>
            <w:vAlign w:val="center"/>
          </w:tcPr>
          <w:p w14:paraId="1E693678" w14:textId="77777777" w:rsidR="00E842CD" w:rsidRPr="00704868" w:rsidRDefault="00E842CD" w:rsidP="00704868">
            <w:pPr>
              <w:tabs>
                <w:tab w:val="decimal" w:pos="723"/>
              </w:tabs>
              <w:spacing w:before="120" w:after="120"/>
              <w:rPr>
                <w:rFonts w:cs="Arial"/>
              </w:rPr>
            </w:pPr>
            <w:r w:rsidRPr="00704868">
              <w:rPr>
                <w:rFonts w:cs="Arial"/>
              </w:rPr>
              <w:t>$0.00</w:t>
            </w:r>
          </w:p>
        </w:tc>
      </w:tr>
      <w:tr w:rsidR="00E842CD" w:rsidRPr="00704868" w14:paraId="36C83A31" w14:textId="77777777" w:rsidTr="00D51D57">
        <w:trPr>
          <w:cantSplit/>
          <w:trHeight w:val="389"/>
          <w:jc w:val="center"/>
        </w:trPr>
        <w:tc>
          <w:tcPr>
            <w:tcW w:w="4405" w:type="dxa"/>
            <w:vAlign w:val="center"/>
          </w:tcPr>
          <w:p w14:paraId="5A078474" w14:textId="77777777" w:rsidR="00E842CD" w:rsidRPr="00704868" w:rsidRDefault="00E842CD" w:rsidP="00704868">
            <w:pPr>
              <w:spacing w:before="120" w:after="120"/>
              <w:ind w:left="967" w:right="-108" w:hanging="895"/>
              <w:rPr>
                <w:rFonts w:cs="Arial"/>
              </w:rPr>
            </w:pPr>
            <w:r w:rsidRPr="00704868">
              <w:rPr>
                <w:rFonts w:cs="Arial"/>
              </w:rPr>
              <w:t>Task 6: Assessment Development</w:t>
            </w:r>
          </w:p>
        </w:tc>
        <w:tc>
          <w:tcPr>
            <w:tcW w:w="2070" w:type="dxa"/>
            <w:vAlign w:val="center"/>
          </w:tcPr>
          <w:p w14:paraId="6D713021" w14:textId="77777777" w:rsidR="00E842CD" w:rsidRPr="00704868" w:rsidRDefault="00E842CD" w:rsidP="00704868">
            <w:pPr>
              <w:tabs>
                <w:tab w:val="decimal" w:pos="1329"/>
              </w:tabs>
              <w:spacing w:before="120" w:after="120"/>
              <w:rPr>
                <w:rFonts w:eastAsia="Arial" w:cs="Arial"/>
              </w:rPr>
            </w:pPr>
            <w:r w:rsidRPr="00704868">
              <w:rPr>
                <w:rFonts w:cs="Arial"/>
                <w:color w:val="000000"/>
              </w:rPr>
              <w:t>$6,689,623.00</w:t>
            </w:r>
          </w:p>
        </w:tc>
        <w:tc>
          <w:tcPr>
            <w:tcW w:w="1890" w:type="dxa"/>
            <w:vAlign w:val="center"/>
          </w:tcPr>
          <w:p w14:paraId="2A504199" w14:textId="77777777" w:rsidR="00E842CD" w:rsidRPr="00704868" w:rsidRDefault="00E842CD" w:rsidP="00704868">
            <w:pPr>
              <w:tabs>
                <w:tab w:val="decimal" w:pos="1356"/>
              </w:tabs>
              <w:spacing w:before="120" w:after="120"/>
              <w:rPr>
                <w:rFonts w:cs="Arial"/>
              </w:rPr>
            </w:pPr>
            <w:r w:rsidRPr="00704868">
              <w:rPr>
                <w:rFonts w:cs="Arial"/>
                <w:color w:val="000000"/>
              </w:rPr>
              <w:t>$6,020,660.70</w:t>
            </w:r>
          </w:p>
        </w:tc>
        <w:tc>
          <w:tcPr>
            <w:tcW w:w="1980" w:type="dxa"/>
            <w:vAlign w:val="center"/>
          </w:tcPr>
          <w:p w14:paraId="63F15BBA" w14:textId="77777777" w:rsidR="00E842CD" w:rsidRPr="00704868" w:rsidRDefault="00E842CD" w:rsidP="00704868">
            <w:pPr>
              <w:tabs>
                <w:tab w:val="decimal" w:pos="1302"/>
              </w:tabs>
              <w:spacing w:before="120" w:after="120"/>
              <w:rPr>
                <w:rFonts w:cs="Arial"/>
              </w:rPr>
            </w:pPr>
            <w:r w:rsidRPr="00704868">
              <w:rPr>
                <w:rFonts w:cs="Arial"/>
                <w:color w:val="000000"/>
              </w:rPr>
              <w:t>$668,962.30</w:t>
            </w:r>
          </w:p>
        </w:tc>
        <w:tc>
          <w:tcPr>
            <w:tcW w:w="1964" w:type="dxa"/>
            <w:vAlign w:val="center"/>
          </w:tcPr>
          <w:p w14:paraId="3D58E3E9" w14:textId="77777777" w:rsidR="00E842CD" w:rsidRPr="00704868" w:rsidRDefault="00E842CD" w:rsidP="00704868">
            <w:pPr>
              <w:tabs>
                <w:tab w:val="decimal" w:pos="1604"/>
              </w:tabs>
              <w:spacing w:before="120" w:after="120"/>
              <w:rPr>
                <w:rFonts w:cs="Arial"/>
              </w:rPr>
            </w:pPr>
            <w:r w:rsidRPr="00704868">
              <w:rPr>
                <w:rFonts w:cs="Arial"/>
                <w:color w:val="000000"/>
              </w:rPr>
              <w:t>$668,962.30</w:t>
            </w:r>
          </w:p>
        </w:tc>
        <w:tc>
          <w:tcPr>
            <w:tcW w:w="1875" w:type="dxa"/>
            <w:vAlign w:val="center"/>
          </w:tcPr>
          <w:p w14:paraId="162C265B" w14:textId="77777777" w:rsidR="00E842CD" w:rsidRPr="00704868" w:rsidRDefault="00E842CD" w:rsidP="00704868">
            <w:pPr>
              <w:tabs>
                <w:tab w:val="decimal" w:pos="723"/>
              </w:tabs>
              <w:spacing w:before="120" w:after="120"/>
              <w:rPr>
                <w:rFonts w:cs="Arial"/>
              </w:rPr>
            </w:pPr>
            <w:r w:rsidRPr="00704868">
              <w:rPr>
                <w:rFonts w:cs="Arial"/>
              </w:rPr>
              <w:t>$0.00</w:t>
            </w:r>
          </w:p>
        </w:tc>
      </w:tr>
      <w:tr w:rsidR="00E842CD" w:rsidRPr="00704868" w14:paraId="0DD3AA6D" w14:textId="77777777" w:rsidTr="00D51D57">
        <w:trPr>
          <w:cantSplit/>
          <w:trHeight w:val="389"/>
          <w:jc w:val="center"/>
        </w:trPr>
        <w:tc>
          <w:tcPr>
            <w:tcW w:w="4405" w:type="dxa"/>
            <w:vAlign w:val="center"/>
          </w:tcPr>
          <w:p w14:paraId="3A6D2811" w14:textId="77777777" w:rsidR="00E842CD" w:rsidRPr="00704868" w:rsidRDefault="00E842CD" w:rsidP="00704868">
            <w:pPr>
              <w:spacing w:before="120" w:after="120"/>
              <w:ind w:left="72" w:right="-108"/>
              <w:rPr>
                <w:rFonts w:cs="Arial"/>
              </w:rPr>
            </w:pPr>
            <w:r w:rsidRPr="00704868">
              <w:rPr>
                <w:rFonts w:cs="Arial"/>
              </w:rPr>
              <w:t>Task 7: Test Administration</w:t>
            </w:r>
          </w:p>
        </w:tc>
        <w:tc>
          <w:tcPr>
            <w:tcW w:w="2070" w:type="dxa"/>
            <w:vAlign w:val="center"/>
          </w:tcPr>
          <w:p w14:paraId="08A6EBD8" w14:textId="77777777" w:rsidR="00E842CD" w:rsidRPr="00704868" w:rsidRDefault="00E842CD" w:rsidP="00704868">
            <w:pPr>
              <w:tabs>
                <w:tab w:val="decimal" w:pos="1329"/>
              </w:tabs>
              <w:spacing w:before="120" w:after="120"/>
              <w:rPr>
                <w:rFonts w:eastAsia="Arial" w:cs="Arial"/>
              </w:rPr>
            </w:pPr>
            <w:r w:rsidRPr="00704868">
              <w:rPr>
                <w:rFonts w:cs="Arial"/>
                <w:color w:val="000000"/>
              </w:rPr>
              <w:t>$36,746,744.00</w:t>
            </w:r>
          </w:p>
        </w:tc>
        <w:tc>
          <w:tcPr>
            <w:tcW w:w="1890" w:type="dxa"/>
            <w:vAlign w:val="center"/>
          </w:tcPr>
          <w:p w14:paraId="06B284E1" w14:textId="77777777" w:rsidR="00E842CD" w:rsidRPr="00704868" w:rsidRDefault="00E842CD" w:rsidP="00704868">
            <w:pPr>
              <w:tabs>
                <w:tab w:val="decimal" w:pos="1356"/>
              </w:tabs>
              <w:spacing w:before="120" w:after="120"/>
              <w:rPr>
                <w:rFonts w:cs="Arial"/>
              </w:rPr>
            </w:pPr>
            <w:r w:rsidRPr="00704868">
              <w:rPr>
                <w:rFonts w:cs="Arial"/>
                <w:color w:val="000000"/>
              </w:rPr>
              <w:t>$33,072,069.60</w:t>
            </w:r>
          </w:p>
        </w:tc>
        <w:tc>
          <w:tcPr>
            <w:tcW w:w="1980" w:type="dxa"/>
            <w:vAlign w:val="center"/>
          </w:tcPr>
          <w:p w14:paraId="09A06330" w14:textId="77777777" w:rsidR="00E842CD" w:rsidRPr="00704868" w:rsidRDefault="00E842CD" w:rsidP="00704868">
            <w:pPr>
              <w:tabs>
                <w:tab w:val="decimal" w:pos="1302"/>
              </w:tabs>
              <w:spacing w:before="120" w:after="120"/>
              <w:rPr>
                <w:rFonts w:cs="Arial"/>
              </w:rPr>
            </w:pPr>
            <w:r w:rsidRPr="00704868">
              <w:rPr>
                <w:rFonts w:cs="Arial"/>
                <w:color w:val="000000"/>
              </w:rPr>
              <w:t>$3,674,674.40</w:t>
            </w:r>
          </w:p>
        </w:tc>
        <w:tc>
          <w:tcPr>
            <w:tcW w:w="1964" w:type="dxa"/>
            <w:vAlign w:val="center"/>
          </w:tcPr>
          <w:p w14:paraId="6909EBCC" w14:textId="77777777" w:rsidR="00E842CD" w:rsidRPr="00704868" w:rsidRDefault="00E842CD" w:rsidP="00704868">
            <w:pPr>
              <w:tabs>
                <w:tab w:val="decimal" w:pos="1604"/>
              </w:tabs>
              <w:spacing w:before="120" w:after="120"/>
              <w:rPr>
                <w:rFonts w:cs="Arial"/>
              </w:rPr>
            </w:pPr>
            <w:r w:rsidRPr="00704868">
              <w:rPr>
                <w:rFonts w:cs="Arial"/>
                <w:color w:val="000000"/>
              </w:rPr>
              <w:t>$3,674,674.40</w:t>
            </w:r>
          </w:p>
        </w:tc>
        <w:tc>
          <w:tcPr>
            <w:tcW w:w="1875" w:type="dxa"/>
            <w:vAlign w:val="center"/>
          </w:tcPr>
          <w:p w14:paraId="3CA7D643" w14:textId="77777777" w:rsidR="00E842CD" w:rsidRPr="00704868" w:rsidRDefault="00E842CD" w:rsidP="00704868">
            <w:pPr>
              <w:tabs>
                <w:tab w:val="decimal" w:pos="723"/>
              </w:tabs>
              <w:spacing w:before="120" w:after="120"/>
              <w:rPr>
                <w:rFonts w:cs="Arial"/>
              </w:rPr>
            </w:pPr>
            <w:r w:rsidRPr="00704868">
              <w:rPr>
                <w:rFonts w:cs="Arial"/>
              </w:rPr>
              <w:t>$0.00</w:t>
            </w:r>
          </w:p>
        </w:tc>
      </w:tr>
      <w:tr w:rsidR="00E842CD" w:rsidRPr="00704868" w14:paraId="0114FABA" w14:textId="77777777" w:rsidTr="00D51D57">
        <w:trPr>
          <w:cantSplit/>
          <w:trHeight w:val="389"/>
          <w:jc w:val="center"/>
        </w:trPr>
        <w:tc>
          <w:tcPr>
            <w:tcW w:w="4405" w:type="dxa"/>
            <w:vAlign w:val="center"/>
          </w:tcPr>
          <w:p w14:paraId="0C3DC229" w14:textId="77777777" w:rsidR="00E842CD" w:rsidRPr="00704868" w:rsidRDefault="00E842CD" w:rsidP="00704868">
            <w:pPr>
              <w:spacing w:before="120" w:after="120"/>
              <w:ind w:left="72" w:right="-108"/>
              <w:rPr>
                <w:rFonts w:cs="Arial"/>
              </w:rPr>
            </w:pPr>
            <w:r w:rsidRPr="00704868">
              <w:rPr>
                <w:rFonts w:cs="Arial"/>
              </w:rPr>
              <w:t>Task 8: Scoring and Analysis</w:t>
            </w:r>
          </w:p>
        </w:tc>
        <w:tc>
          <w:tcPr>
            <w:tcW w:w="2070" w:type="dxa"/>
            <w:vAlign w:val="center"/>
          </w:tcPr>
          <w:p w14:paraId="384E58F7" w14:textId="77777777" w:rsidR="00E842CD" w:rsidRPr="00704868" w:rsidRDefault="00E842CD" w:rsidP="00704868">
            <w:pPr>
              <w:tabs>
                <w:tab w:val="decimal" w:pos="1329"/>
              </w:tabs>
              <w:spacing w:before="120" w:after="120"/>
              <w:rPr>
                <w:rFonts w:eastAsia="Arial" w:cs="Arial"/>
              </w:rPr>
            </w:pPr>
            <w:r w:rsidRPr="00704868">
              <w:rPr>
                <w:rFonts w:cs="Arial"/>
                <w:color w:val="000000"/>
              </w:rPr>
              <w:t>$25,955,855.00</w:t>
            </w:r>
          </w:p>
        </w:tc>
        <w:tc>
          <w:tcPr>
            <w:tcW w:w="1890" w:type="dxa"/>
            <w:vAlign w:val="center"/>
          </w:tcPr>
          <w:p w14:paraId="30B7CCCE" w14:textId="77777777" w:rsidR="00E842CD" w:rsidRPr="00704868" w:rsidRDefault="00E842CD" w:rsidP="00704868">
            <w:pPr>
              <w:tabs>
                <w:tab w:val="decimal" w:pos="1356"/>
              </w:tabs>
              <w:spacing w:before="120" w:after="120"/>
              <w:rPr>
                <w:rFonts w:cs="Arial"/>
              </w:rPr>
            </w:pPr>
            <w:r w:rsidRPr="00704868">
              <w:rPr>
                <w:rFonts w:cs="Arial"/>
                <w:color w:val="000000"/>
              </w:rPr>
              <w:t>$23,360,269.50</w:t>
            </w:r>
          </w:p>
        </w:tc>
        <w:tc>
          <w:tcPr>
            <w:tcW w:w="1980" w:type="dxa"/>
            <w:vAlign w:val="center"/>
          </w:tcPr>
          <w:p w14:paraId="1638C2D8" w14:textId="77777777" w:rsidR="00E842CD" w:rsidRPr="00704868" w:rsidRDefault="00E842CD" w:rsidP="00704868">
            <w:pPr>
              <w:tabs>
                <w:tab w:val="decimal" w:pos="1302"/>
              </w:tabs>
              <w:spacing w:before="120" w:after="120"/>
              <w:rPr>
                <w:rFonts w:cs="Arial"/>
              </w:rPr>
            </w:pPr>
            <w:r w:rsidRPr="00704868">
              <w:rPr>
                <w:rFonts w:cs="Arial"/>
                <w:color w:val="000000"/>
              </w:rPr>
              <w:t>$2,595,585.50</w:t>
            </w:r>
          </w:p>
        </w:tc>
        <w:tc>
          <w:tcPr>
            <w:tcW w:w="1964" w:type="dxa"/>
            <w:vAlign w:val="center"/>
          </w:tcPr>
          <w:p w14:paraId="1A97A14D" w14:textId="77777777" w:rsidR="00E842CD" w:rsidRPr="00704868" w:rsidRDefault="00E842CD" w:rsidP="00704868">
            <w:pPr>
              <w:tabs>
                <w:tab w:val="decimal" w:pos="1604"/>
              </w:tabs>
              <w:spacing w:before="120" w:after="120"/>
              <w:rPr>
                <w:rFonts w:cs="Arial"/>
              </w:rPr>
            </w:pPr>
            <w:r w:rsidRPr="00704868">
              <w:rPr>
                <w:rFonts w:cs="Arial"/>
                <w:color w:val="000000"/>
              </w:rPr>
              <w:t>$2,595,585.50</w:t>
            </w:r>
          </w:p>
        </w:tc>
        <w:tc>
          <w:tcPr>
            <w:tcW w:w="1875" w:type="dxa"/>
            <w:vAlign w:val="center"/>
          </w:tcPr>
          <w:p w14:paraId="4613CFBA" w14:textId="77777777" w:rsidR="00E842CD" w:rsidRPr="00704868" w:rsidRDefault="00E842CD" w:rsidP="00704868">
            <w:pPr>
              <w:tabs>
                <w:tab w:val="decimal" w:pos="723"/>
              </w:tabs>
              <w:spacing w:before="120" w:after="120"/>
              <w:rPr>
                <w:rFonts w:cs="Arial"/>
              </w:rPr>
            </w:pPr>
            <w:r w:rsidRPr="00704868">
              <w:rPr>
                <w:rFonts w:cs="Arial"/>
              </w:rPr>
              <w:t>$0.00</w:t>
            </w:r>
          </w:p>
        </w:tc>
      </w:tr>
      <w:tr w:rsidR="00E842CD" w:rsidRPr="00704868" w14:paraId="0374FC3B" w14:textId="77777777" w:rsidTr="00D51D57">
        <w:trPr>
          <w:cantSplit/>
          <w:trHeight w:val="485"/>
          <w:jc w:val="center"/>
        </w:trPr>
        <w:tc>
          <w:tcPr>
            <w:tcW w:w="4405" w:type="dxa"/>
            <w:vAlign w:val="center"/>
          </w:tcPr>
          <w:p w14:paraId="1CE3511E" w14:textId="77777777" w:rsidR="00E842CD" w:rsidRPr="00704868" w:rsidRDefault="00E842CD" w:rsidP="00704868">
            <w:pPr>
              <w:spacing w:before="120" w:after="120"/>
              <w:ind w:left="72" w:right="-108"/>
              <w:rPr>
                <w:rFonts w:cs="Arial"/>
              </w:rPr>
            </w:pPr>
            <w:r w:rsidRPr="00704868">
              <w:rPr>
                <w:rFonts w:cs="Arial"/>
              </w:rPr>
              <w:t>Task 9: Reporting</w:t>
            </w:r>
          </w:p>
        </w:tc>
        <w:tc>
          <w:tcPr>
            <w:tcW w:w="2070" w:type="dxa"/>
            <w:vAlign w:val="center"/>
          </w:tcPr>
          <w:p w14:paraId="57ABB16F" w14:textId="77777777" w:rsidR="00E842CD" w:rsidRPr="00704868" w:rsidRDefault="00E842CD" w:rsidP="00704868">
            <w:pPr>
              <w:tabs>
                <w:tab w:val="decimal" w:pos="1329"/>
              </w:tabs>
              <w:spacing w:before="120" w:after="120"/>
              <w:rPr>
                <w:rFonts w:eastAsia="Arial" w:cs="Arial"/>
              </w:rPr>
            </w:pPr>
            <w:r w:rsidRPr="00704868">
              <w:rPr>
                <w:rFonts w:cs="Arial"/>
                <w:color w:val="000000"/>
              </w:rPr>
              <w:t>$2,979,244.00</w:t>
            </w:r>
          </w:p>
        </w:tc>
        <w:tc>
          <w:tcPr>
            <w:tcW w:w="1890" w:type="dxa"/>
            <w:vAlign w:val="center"/>
          </w:tcPr>
          <w:p w14:paraId="70C2C3E1" w14:textId="77777777" w:rsidR="00E842CD" w:rsidRPr="00704868" w:rsidRDefault="00E842CD" w:rsidP="00704868">
            <w:pPr>
              <w:tabs>
                <w:tab w:val="decimal" w:pos="1356"/>
              </w:tabs>
              <w:spacing w:before="120" w:after="120"/>
              <w:rPr>
                <w:rFonts w:cs="Arial"/>
              </w:rPr>
            </w:pPr>
            <w:r w:rsidRPr="00704868">
              <w:rPr>
                <w:rFonts w:cs="Arial"/>
                <w:color w:val="000000"/>
              </w:rPr>
              <w:t>$2,681,319.60</w:t>
            </w:r>
          </w:p>
        </w:tc>
        <w:tc>
          <w:tcPr>
            <w:tcW w:w="1980" w:type="dxa"/>
            <w:vAlign w:val="center"/>
          </w:tcPr>
          <w:p w14:paraId="7AE17B15" w14:textId="77777777" w:rsidR="00E842CD" w:rsidRPr="00704868" w:rsidRDefault="00E842CD" w:rsidP="00704868">
            <w:pPr>
              <w:tabs>
                <w:tab w:val="decimal" w:pos="1302"/>
              </w:tabs>
              <w:spacing w:before="120" w:after="120"/>
              <w:rPr>
                <w:rFonts w:cs="Arial"/>
              </w:rPr>
            </w:pPr>
            <w:r w:rsidRPr="00704868">
              <w:rPr>
                <w:rFonts w:cs="Arial"/>
                <w:color w:val="000000"/>
              </w:rPr>
              <w:t>$297,924.40</w:t>
            </w:r>
          </w:p>
        </w:tc>
        <w:tc>
          <w:tcPr>
            <w:tcW w:w="1964" w:type="dxa"/>
            <w:vAlign w:val="center"/>
          </w:tcPr>
          <w:p w14:paraId="373BC7A5" w14:textId="77777777" w:rsidR="00E842CD" w:rsidRPr="00704868" w:rsidRDefault="00E842CD" w:rsidP="00704868">
            <w:pPr>
              <w:tabs>
                <w:tab w:val="decimal" w:pos="1600"/>
              </w:tabs>
              <w:spacing w:before="120" w:after="120"/>
              <w:rPr>
                <w:rFonts w:cs="Arial"/>
              </w:rPr>
            </w:pPr>
            <w:r w:rsidRPr="00704868">
              <w:rPr>
                <w:rFonts w:cs="Arial"/>
                <w:color w:val="000000"/>
              </w:rPr>
              <w:t>$297,924.40</w:t>
            </w:r>
          </w:p>
        </w:tc>
        <w:tc>
          <w:tcPr>
            <w:tcW w:w="1875" w:type="dxa"/>
            <w:vAlign w:val="center"/>
          </w:tcPr>
          <w:p w14:paraId="0B66D7E4" w14:textId="77777777" w:rsidR="00E842CD" w:rsidRPr="00704868" w:rsidRDefault="00E842CD" w:rsidP="00704868">
            <w:pPr>
              <w:tabs>
                <w:tab w:val="decimal" w:pos="723"/>
              </w:tabs>
              <w:spacing w:before="120" w:after="120"/>
              <w:rPr>
                <w:rFonts w:cs="Arial"/>
              </w:rPr>
            </w:pPr>
            <w:r w:rsidRPr="00704868">
              <w:rPr>
                <w:rFonts w:cs="Arial"/>
              </w:rPr>
              <w:t>$0.00</w:t>
            </w:r>
          </w:p>
        </w:tc>
      </w:tr>
      <w:tr w:rsidR="00E842CD" w:rsidRPr="00C85594" w14:paraId="2C67DE97" w14:textId="77777777" w:rsidTr="00D51D57">
        <w:trPr>
          <w:cantSplit/>
          <w:trHeight w:val="389"/>
          <w:jc w:val="center"/>
        </w:trPr>
        <w:tc>
          <w:tcPr>
            <w:tcW w:w="4405" w:type="dxa"/>
            <w:vAlign w:val="center"/>
          </w:tcPr>
          <w:p w14:paraId="39FD11F7" w14:textId="77777777" w:rsidR="00E842CD" w:rsidRPr="00704868" w:rsidRDefault="00E842CD" w:rsidP="00704868">
            <w:pPr>
              <w:spacing w:before="120" w:after="120"/>
              <w:rPr>
                <w:rFonts w:cs="Arial"/>
                <w:b/>
                <w:bCs/>
              </w:rPr>
            </w:pPr>
            <w:r w:rsidRPr="00704868">
              <w:rPr>
                <w:rFonts w:cs="Arial"/>
                <w:b/>
                <w:bCs/>
              </w:rPr>
              <w:t>Totals</w:t>
            </w:r>
          </w:p>
        </w:tc>
        <w:tc>
          <w:tcPr>
            <w:tcW w:w="2070" w:type="dxa"/>
            <w:vAlign w:val="center"/>
          </w:tcPr>
          <w:p w14:paraId="3CA702DA" w14:textId="6DEB6029" w:rsidR="00E842CD" w:rsidRPr="00704868" w:rsidRDefault="00E842CD" w:rsidP="00704868">
            <w:pPr>
              <w:tabs>
                <w:tab w:val="decimal" w:pos="1329"/>
              </w:tabs>
              <w:spacing w:before="120" w:after="120"/>
              <w:rPr>
                <w:rFonts w:eastAsia="Arial" w:cs="Arial"/>
                <w:b/>
                <w:bCs/>
              </w:rPr>
            </w:pPr>
            <w:r w:rsidRPr="00704868">
              <w:rPr>
                <w:rFonts w:cs="Arial"/>
                <w:b/>
                <w:color w:val="000000"/>
              </w:rPr>
              <w:t>$95,283,500.00</w:t>
            </w:r>
          </w:p>
        </w:tc>
        <w:tc>
          <w:tcPr>
            <w:tcW w:w="1890" w:type="dxa"/>
            <w:vAlign w:val="center"/>
          </w:tcPr>
          <w:p w14:paraId="6E254207" w14:textId="77777777" w:rsidR="00E842CD" w:rsidRPr="00704868" w:rsidRDefault="00E842CD" w:rsidP="00704868">
            <w:pPr>
              <w:tabs>
                <w:tab w:val="decimal" w:pos="1356"/>
              </w:tabs>
              <w:spacing w:before="120" w:after="120"/>
              <w:rPr>
                <w:rFonts w:cs="Arial"/>
                <w:b/>
                <w:bCs/>
              </w:rPr>
            </w:pPr>
            <w:r w:rsidRPr="00704868">
              <w:rPr>
                <w:rFonts w:cs="Arial"/>
                <w:b/>
                <w:color w:val="000000"/>
              </w:rPr>
              <w:t>$85,755,150.00</w:t>
            </w:r>
          </w:p>
        </w:tc>
        <w:tc>
          <w:tcPr>
            <w:tcW w:w="1980" w:type="dxa"/>
            <w:vAlign w:val="center"/>
          </w:tcPr>
          <w:p w14:paraId="266308C5" w14:textId="77777777" w:rsidR="00E842CD" w:rsidRPr="00704868" w:rsidRDefault="00E842CD" w:rsidP="00704868">
            <w:pPr>
              <w:tabs>
                <w:tab w:val="decimal" w:pos="1302"/>
              </w:tabs>
              <w:spacing w:before="120" w:after="120"/>
              <w:rPr>
                <w:rFonts w:cs="Arial"/>
                <w:b/>
                <w:bCs/>
              </w:rPr>
            </w:pPr>
            <w:r w:rsidRPr="00704868">
              <w:rPr>
                <w:rFonts w:cs="Arial"/>
                <w:b/>
                <w:color w:val="000000"/>
              </w:rPr>
              <w:t>$9,528,350.00</w:t>
            </w:r>
          </w:p>
        </w:tc>
        <w:tc>
          <w:tcPr>
            <w:tcW w:w="1964" w:type="dxa"/>
            <w:vAlign w:val="center"/>
          </w:tcPr>
          <w:p w14:paraId="40543BB8" w14:textId="77777777" w:rsidR="00E842CD" w:rsidRPr="00704868" w:rsidRDefault="00E842CD" w:rsidP="00704868">
            <w:pPr>
              <w:tabs>
                <w:tab w:val="decimal" w:pos="1604"/>
              </w:tabs>
              <w:spacing w:before="120" w:after="120"/>
              <w:rPr>
                <w:rFonts w:cs="Arial"/>
                <w:b/>
                <w:bCs/>
              </w:rPr>
            </w:pPr>
            <w:r w:rsidRPr="00704868">
              <w:rPr>
                <w:rFonts w:cs="Arial"/>
                <w:b/>
                <w:color w:val="000000"/>
              </w:rPr>
              <w:t>$9,528,350.00</w:t>
            </w:r>
          </w:p>
        </w:tc>
        <w:tc>
          <w:tcPr>
            <w:tcW w:w="1875" w:type="dxa"/>
            <w:vAlign w:val="center"/>
          </w:tcPr>
          <w:p w14:paraId="7A83C6A0" w14:textId="77777777" w:rsidR="00E842CD" w:rsidRPr="008235ED" w:rsidRDefault="00E842CD" w:rsidP="00704868">
            <w:pPr>
              <w:tabs>
                <w:tab w:val="decimal" w:pos="723"/>
              </w:tabs>
              <w:spacing w:before="120" w:after="120"/>
              <w:rPr>
                <w:rFonts w:cs="Arial"/>
                <w:b/>
              </w:rPr>
            </w:pPr>
            <w:r w:rsidRPr="00704868">
              <w:rPr>
                <w:rFonts w:cs="Arial"/>
                <w:b/>
              </w:rPr>
              <w:t>$0.00</w:t>
            </w:r>
          </w:p>
        </w:tc>
      </w:tr>
    </w:tbl>
    <w:p w14:paraId="2F7D4E4F" w14:textId="61B95A99" w:rsidR="00B54EA1" w:rsidRPr="000F6F77" w:rsidRDefault="00B54EA1" w:rsidP="00704868">
      <w:pPr>
        <w:spacing w:after="240"/>
      </w:pPr>
    </w:p>
    <w:sectPr w:rsidR="00B54EA1" w:rsidRPr="000F6F77" w:rsidSect="004E609B">
      <w:headerReference w:type="default" r:id="rId27"/>
      <w:headerReference w:type="first" r:id="rId28"/>
      <w:pgSz w:w="15840" w:h="12240" w:orient="landscape"/>
      <w:pgMar w:top="1440" w:right="72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B8AB" w16cex:dateUtc="2022-10-14T17:30:00Z"/>
  <w16cex:commentExtensible w16cex:durableId="26F3B8B6" w16cex:dateUtc="2022-10-14T1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8327" w14:textId="77777777" w:rsidR="00ED5ED5" w:rsidRDefault="00ED5ED5" w:rsidP="000E09DC">
      <w:r>
        <w:separator/>
      </w:r>
    </w:p>
  </w:endnote>
  <w:endnote w:type="continuationSeparator" w:id="0">
    <w:p w14:paraId="22555068" w14:textId="77777777" w:rsidR="00ED5ED5" w:rsidRDefault="00ED5ED5" w:rsidP="000E09DC">
      <w:r>
        <w:continuationSeparator/>
      </w:r>
    </w:p>
  </w:endnote>
  <w:endnote w:type="continuationNotice" w:id="1">
    <w:p w14:paraId="4A66F1D1" w14:textId="77777777" w:rsidR="00ED5ED5" w:rsidRDefault="00ED5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D812A" w14:textId="77777777" w:rsidR="00ED5ED5" w:rsidRDefault="00ED5ED5" w:rsidP="000E09DC">
      <w:r>
        <w:separator/>
      </w:r>
    </w:p>
  </w:footnote>
  <w:footnote w:type="continuationSeparator" w:id="0">
    <w:p w14:paraId="7FCD7B7D" w14:textId="77777777" w:rsidR="00ED5ED5" w:rsidRDefault="00ED5ED5" w:rsidP="000E09DC">
      <w:r>
        <w:continuationSeparator/>
      </w:r>
    </w:p>
  </w:footnote>
  <w:footnote w:type="continuationNotice" w:id="1">
    <w:p w14:paraId="7E5DC616" w14:textId="77777777" w:rsidR="00ED5ED5" w:rsidRDefault="00ED5E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BC90" w14:textId="321FD134" w:rsidR="0034235E" w:rsidRPr="0034235E" w:rsidRDefault="0034235E" w:rsidP="0034235E">
    <w:pPr>
      <w:jc w:val="right"/>
    </w:pPr>
    <w:r w:rsidRPr="0034235E">
      <w:t>imab-adad-</w:t>
    </w:r>
    <w:r w:rsidR="00997C80">
      <w:t>nov</w:t>
    </w:r>
    <w:r w:rsidRPr="0034235E">
      <w:t>22item02</w:t>
    </w:r>
  </w:p>
  <w:p w14:paraId="03AB83D6" w14:textId="567F92FF" w:rsidR="002D4BFF" w:rsidRDefault="002D4BFF" w:rsidP="002B3076">
    <w:pPr>
      <w:pStyle w:val="Header"/>
      <w:spacing w:after="360"/>
      <w:jc w:val="right"/>
      <w:rPr>
        <w:rFonts w:cs="Arial"/>
      </w:rPr>
    </w:pPr>
    <w:r w:rsidRPr="0034235E">
      <w:rPr>
        <w:rFonts w:cs="Arial"/>
      </w:rPr>
      <w:t xml:space="preserve">Page </w:t>
    </w:r>
    <w:r w:rsidRPr="0034235E">
      <w:rPr>
        <w:rFonts w:cs="Arial"/>
      </w:rPr>
      <w:fldChar w:fldCharType="begin"/>
    </w:r>
    <w:r w:rsidRPr="0034235E">
      <w:rPr>
        <w:rFonts w:cs="Arial"/>
      </w:rPr>
      <w:instrText xml:space="preserve"> PAGE   \* MERGEFORMAT </w:instrText>
    </w:r>
    <w:r w:rsidRPr="0034235E">
      <w:rPr>
        <w:rFonts w:cs="Arial"/>
      </w:rPr>
      <w:fldChar w:fldCharType="separate"/>
    </w:r>
    <w:r w:rsidRPr="0034235E">
      <w:rPr>
        <w:rFonts w:cs="Arial"/>
        <w:noProof/>
      </w:rPr>
      <w:t>2</w:t>
    </w:r>
    <w:r w:rsidRPr="0034235E">
      <w:rPr>
        <w:rFonts w:cs="Arial"/>
        <w:noProof/>
      </w:rPr>
      <w:fldChar w:fldCharType="end"/>
    </w:r>
    <w:r w:rsidRPr="0034235E">
      <w:rPr>
        <w:rFonts w:cs="Arial"/>
      </w:rPr>
      <w:t xml:space="preserve"> of </w:t>
    </w:r>
    <w:r w:rsidR="00856C55">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706060"/>
      <w:docPartObj>
        <w:docPartGallery w:val="Page Numbers (Top of Page)"/>
        <w:docPartUnique/>
      </w:docPartObj>
    </w:sdtPr>
    <w:sdtEndPr/>
    <w:sdtContent>
      <w:p w14:paraId="540A40FF" w14:textId="77777777" w:rsidR="00AA5644" w:rsidRPr="002B3076" w:rsidRDefault="00AA5644" w:rsidP="002B3076">
        <w:pPr>
          <w:pStyle w:val="Header"/>
          <w:jc w:val="right"/>
        </w:pPr>
        <w:r w:rsidRPr="002B3076">
          <w:t>imab-adad-nov22item02</w:t>
        </w:r>
      </w:p>
      <w:p w14:paraId="286C4B62" w14:textId="77777777" w:rsidR="00AA5644" w:rsidRPr="002B3076" w:rsidRDefault="00AA5644" w:rsidP="002B3076">
        <w:pPr>
          <w:pStyle w:val="Header"/>
          <w:jc w:val="right"/>
        </w:pPr>
        <w:r w:rsidRPr="002B3076">
          <w:t xml:space="preserve">Attachment </w:t>
        </w:r>
        <w:r>
          <w:t>2</w:t>
        </w:r>
      </w:p>
      <w:p w14:paraId="5D94B2C9" w14:textId="77777777" w:rsidR="00AA5644" w:rsidRDefault="00AA5644" w:rsidP="002B3076">
        <w:pPr>
          <w:pStyle w:val="Header"/>
          <w:spacing w:after="360"/>
          <w:jc w:val="right"/>
        </w:pPr>
        <w:r w:rsidRPr="002B3076">
          <w:t xml:space="preserve">Page </w:t>
        </w:r>
        <w:r w:rsidRPr="002B3076">
          <w:rPr>
            <w:bCs/>
          </w:rPr>
          <w:fldChar w:fldCharType="begin"/>
        </w:r>
        <w:r w:rsidRPr="002B3076">
          <w:rPr>
            <w:bCs/>
          </w:rPr>
          <w:instrText xml:space="preserve"> PAGE </w:instrText>
        </w:r>
        <w:r w:rsidRPr="002B3076">
          <w:rPr>
            <w:bCs/>
          </w:rPr>
          <w:fldChar w:fldCharType="separate"/>
        </w:r>
        <w:r w:rsidRPr="002B3076">
          <w:rPr>
            <w:bCs/>
            <w:noProof/>
          </w:rPr>
          <w:t>2</w:t>
        </w:r>
        <w:r w:rsidRPr="002B3076">
          <w:rPr>
            <w:bCs/>
          </w:rPr>
          <w:fldChar w:fldCharType="end"/>
        </w:r>
        <w:r w:rsidRPr="002B3076">
          <w:t xml:space="preserve"> of </w:t>
        </w:r>
        <w:r>
          <w:rPr>
            <w:bCs/>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E46E" w14:textId="77777777" w:rsidR="00FB3655" w:rsidRPr="0034235E" w:rsidRDefault="00FB3655" w:rsidP="0034235E">
    <w:pPr>
      <w:jc w:val="right"/>
    </w:pPr>
    <w:r w:rsidRPr="0034235E">
      <w:t>imab-adad-</w:t>
    </w:r>
    <w:r>
      <w:t>nov</w:t>
    </w:r>
    <w:r w:rsidRPr="0034235E">
      <w:t>22item02</w:t>
    </w:r>
  </w:p>
  <w:p w14:paraId="6EFF6AFE" w14:textId="2CE3AB88" w:rsidR="00FB3655" w:rsidRDefault="00FB3655" w:rsidP="00FB3655">
    <w:pPr>
      <w:pStyle w:val="Header"/>
      <w:jc w:val="right"/>
      <w:rPr>
        <w:rFonts w:cs="Arial"/>
      </w:rPr>
    </w:pPr>
    <w:r>
      <w:rPr>
        <w:rFonts w:cs="Arial"/>
      </w:rPr>
      <w:t>Attachment 1</w:t>
    </w:r>
  </w:p>
  <w:p w14:paraId="5F673556" w14:textId="16B1CB7F" w:rsidR="00FB3655" w:rsidRDefault="00FB3655" w:rsidP="002B3076">
    <w:pPr>
      <w:pStyle w:val="Header"/>
      <w:spacing w:after="360"/>
      <w:jc w:val="right"/>
      <w:rPr>
        <w:rFonts w:cs="Arial"/>
      </w:rPr>
    </w:pPr>
    <w:r w:rsidRPr="0034235E">
      <w:rPr>
        <w:rFonts w:cs="Arial"/>
      </w:rPr>
      <w:t xml:space="preserve">Page </w:t>
    </w:r>
    <w:r w:rsidRPr="0034235E">
      <w:rPr>
        <w:rFonts w:cs="Arial"/>
      </w:rPr>
      <w:fldChar w:fldCharType="begin"/>
    </w:r>
    <w:r w:rsidRPr="0034235E">
      <w:rPr>
        <w:rFonts w:cs="Arial"/>
      </w:rPr>
      <w:instrText xml:space="preserve"> PAGE   \* MERGEFORMAT </w:instrText>
    </w:r>
    <w:r w:rsidRPr="0034235E">
      <w:rPr>
        <w:rFonts w:cs="Arial"/>
      </w:rPr>
      <w:fldChar w:fldCharType="separate"/>
    </w:r>
    <w:r w:rsidRPr="0034235E">
      <w:rPr>
        <w:rFonts w:cs="Arial"/>
        <w:noProof/>
      </w:rPr>
      <w:t>2</w:t>
    </w:r>
    <w:r w:rsidRPr="0034235E">
      <w:rPr>
        <w:rFonts w:cs="Arial"/>
        <w:noProof/>
      </w:rPr>
      <w:fldChar w:fldCharType="end"/>
    </w:r>
    <w:r w:rsidRPr="0034235E">
      <w:rPr>
        <w:rFonts w:cs="Arial"/>
      </w:rPr>
      <w:t xml:space="preserve"> of </w:t>
    </w:r>
    <w:r>
      <w:rPr>
        <w:rFonts w:cs="Arial"/>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57789"/>
      <w:docPartObj>
        <w:docPartGallery w:val="Page Numbers (Top of Page)"/>
        <w:docPartUnique/>
      </w:docPartObj>
    </w:sdtPr>
    <w:sdtEndPr/>
    <w:sdtContent>
      <w:p w14:paraId="01E3A179" w14:textId="77777777" w:rsidR="00C85594" w:rsidRPr="002B3076" w:rsidRDefault="00C85594" w:rsidP="002B3076">
        <w:pPr>
          <w:pStyle w:val="Header"/>
          <w:jc w:val="right"/>
        </w:pPr>
        <w:r w:rsidRPr="002B3076">
          <w:t>imab-adad-nov22item02</w:t>
        </w:r>
      </w:p>
      <w:p w14:paraId="14B65894" w14:textId="77C34136" w:rsidR="00C85594" w:rsidRPr="002B3076" w:rsidRDefault="00C85594" w:rsidP="002B3076">
        <w:pPr>
          <w:pStyle w:val="Header"/>
          <w:jc w:val="right"/>
        </w:pPr>
        <w:r w:rsidRPr="002B3076">
          <w:t xml:space="preserve">Attachment </w:t>
        </w:r>
        <w:r w:rsidR="00FB3655">
          <w:t>1</w:t>
        </w:r>
      </w:p>
      <w:p w14:paraId="3270F365" w14:textId="1E30B3B6" w:rsidR="00C85594" w:rsidRDefault="00C85594" w:rsidP="002B3076">
        <w:pPr>
          <w:pStyle w:val="Header"/>
          <w:spacing w:after="360"/>
          <w:jc w:val="right"/>
        </w:pPr>
        <w:r w:rsidRPr="002B3076">
          <w:t xml:space="preserve">Page </w:t>
        </w:r>
        <w:r w:rsidRPr="002B3076">
          <w:rPr>
            <w:bCs/>
          </w:rPr>
          <w:fldChar w:fldCharType="begin"/>
        </w:r>
        <w:r w:rsidRPr="002B3076">
          <w:rPr>
            <w:bCs/>
          </w:rPr>
          <w:instrText xml:space="preserve"> PAGE </w:instrText>
        </w:r>
        <w:r w:rsidRPr="002B3076">
          <w:rPr>
            <w:bCs/>
          </w:rPr>
          <w:fldChar w:fldCharType="separate"/>
        </w:r>
        <w:r w:rsidRPr="002B3076">
          <w:rPr>
            <w:bCs/>
            <w:noProof/>
          </w:rPr>
          <w:t>2</w:t>
        </w:r>
        <w:r w:rsidRPr="002B3076">
          <w:rPr>
            <w:bCs/>
          </w:rPr>
          <w:fldChar w:fldCharType="end"/>
        </w:r>
        <w:r w:rsidRPr="002B3076">
          <w:t xml:space="preserve"> of </w:t>
        </w:r>
        <w:r w:rsidR="00FB3655">
          <w:rPr>
            <w:bCs/>
          </w:rPr>
          <w:t>5</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E421" w14:textId="77777777" w:rsidR="004E609B" w:rsidRPr="0034235E" w:rsidRDefault="004E609B" w:rsidP="0034235E">
    <w:pPr>
      <w:jc w:val="right"/>
    </w:pPr>
    <w:r w:rsidRPr="0034235E">
      <w:t>imab-adad-</w:t>
    </w:r>
    <w:r>
      <w:t>nov</w:t>
    </w:r>
    <w:r w:rsidRPr="0034235E">
      <w:t>22item02</w:t>
    </w:r>
  </w:p>
  <w:p w14:paraId="359F8275" w14:textId="360A2B42" w:rsidR="004E609B" w:rsidRDefault="004E609B" w:rsidP="00FB3655">
    <w:pPr>
      <w:pStyle w:val="Header"/>
      <w:jc w:val="right"/>
      <w:rPr>
        <w:rFonts w:cs="Arial"/>
      </w:rPr>
    </w:pPr>
    <w:r>
      <w:rPr>
        <w:rFonts w:cs="Arial"/>
      </w:rPr>
      <w:t>Attachment 2</w:t>
    </w:r>
  </w:p>
  <w:p w14:paraId="435C8C62" w14:textId="0CE13D6E" w:rsidR="004E609B" w:rsidRDefault="004E609B" w:rsidP="002B3076">
    <w:pPr>
      <w:pStyle w:val="Header"/>
      <w:spacing w:after="360"/>
      <w:jc w:val="right"/>
      <w:rPr>
        <w:rFonts w:cs="Arial"/>
      </w:rPr>
    </w:pPr>
    <w:r w:rsidRPr="0034235E">
      <w:rPr>
        <w:rFonts w:cs="Arial"/>
      </w:rPr>
      <w:t xml:space="preserve">Page </w:t>
    </w:r>
    <w:r w:rsidRPr="0034235E">
      <w:rPr>
        <w:rFonts w:cs="Arial"/>
      </w:rPr>
      <w:fldChar w:fldCharType="begin"/>
    </w:r>
    <w:r w:rsidRPr="0034235E">
      <w:rPr>
        <w:rFonts w:cs="Arial"/>
      </w:rPr>
      <w:instrText xml:space="preserve"> PAGE   \* MERGEFORMAT </w:instrText>
    </w:r>
    <w:r w:rsidRPr="0034235E">
      <w:rPr>
        <w:rFonts w:cs="Arial"/>
      </w:rPr>
      <w:fldChar w:fldCharType="separate"/>
    </w:r>
    <w:r w:rsidRPr="0034235E">
      <w:rPr>
        <w:rFonts w:cs="Arial"/>
        <w:noProof/>
      </w:rPr>
      <w:t>2</w:t>
    </w:r>
    <w:r w:rsidRPr="0034235E">
      <w:rPr>
        <w:rFonts w:cs="Arial"/>
        <w:noProof/>
      </w:rPr>
      <w:fldChar w:fldCharType="end"/>
    </w:r>
    <w:r w:rsidRPr="0034235E">
      <w:rPr>
        <w:rFonts w:cs="Arial"/>
      </w:rPr>
      <w:t xml:space="preserve"> of </w:t>
    </w:r>
    <w:r w:rsidR="0087007B">
      <w:rPr>
        <w:rFonts w:cs="Arial"/>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897209"/>
      <w:docPartObj>
        <w:docPartGallery w:val="Page Numbers (Top of Page)"/>
        <w:docPartUnique/>
      </w:docPartObj>
    </w:sdtPr>
    <w:sdtEndPr/>
    <w:sdtContent>
      <w:p w14:paraId="251FFC77" w14:textId="77777777" w:rsidR="00C85594" w:rsidRPr="002B3076" w:rsidRDefault="00C85594" w:rsidP="002B3076">
        <w:pPr>
          <w:pStyle w:val="Header"/>
          <w:jc w:val="right"/>
        </w:pPr>
        <w:r w:rsidRPr="002B3076">
          <w:t>imab-adad-nov22item02</w:t>
        </w:r>
      </w:p>
      <w:p w14:paraId="57253380" w14:textId="77777777" w:rsidR="00C85594" w:rsidRPr="002B3076" w:rsidRDefault="00C85594" w:rsidP="002B3076">
        <w:pPr>
          <w:pStyle w:val="Header"/>
          <w:jc w:val="right"/>
        </w:pPr>
        <w:r w:rsidRPr="002B3076">
          <w:t xml:space="preserve">Attachment </w:t>
        </w:r>
        <w:r>
          <w:t>2</w:t>
        </w:r>
      </w:p>
      <w:p w14:paraId="4935A046" w14:textId="664B7145" w:rsidR="00C85594" w:rsidRDefault="00C85594" w:rsidP="002B3076">
        <w:pPr>
          <w:pStyle w:val="Header"/>
          <w:spacing w:after="360"/>
          <w:jc w:val="right"/>
        </w:pPr>
        <w:r w:rsidRPr="002B3076">
          <w:t xml:space="preserve">Page </w:t>
        </w:r>
        <w:r w:rsidR="004E609B">
          <w:rPr>
            <w:bCs/>
          </w:rPr>
          <w:fldChar w:fldCharType="begin"/>
        </w:r>
        <w:r w:rsidR="004E609B">
          <w:rPr>
            <w:bCs/>
          </w:rPr>
          <w:instrText xml:space="preserve"> PAGE  </w:instrText>
        </w:r>
        <w:r w:rsidR="004E609B">
          <w:rPr>
            <w:bCs/>
          </w:rPr>
          <w:fldChar w:fldCharType="separate"/>
        </w:r>
        <w:r w:rsidR="004E609B">
          <w:rPr>
            <w:bCs/>
            <w:noProof/>
          </w:rPr>
          <w:t>7</w:t>
        </w:r>
        <w:r w:rsidR="004E609B">
          <w:rPr>
            <w:bCs/>
          </w:rPr>
          <w:fldChar w:fldCharType="end"/>
        </w:r>
        <w:r w:rsidRPr="002B3076">
          <w:t xml:space="preserve"> of </w:t>
        </w:r>
        <w:r w:rsidR="00C81620">
          <w:rPr>
            <w:bCs/>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31361"/>
    <w:multiLevelType w:val="hybridMultilevel"/>
    <w:tmpl w:val="5994F408"/>
    <w:lvl w:ilvl="0" w:tplc="774ADBA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93305"/>
    <w:multiLevelType w:val="hybridMultilevel"/>
    <w:tmpl w:val="20EC5668"/>
    <w:lvl w:ilvl="0" w:tplc="774ADBA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7C7397"/>
    <w:multiLevelType w:val="hybridMultilevel"/>
    <w:tmpl w:val="7BACD854"/>
    <w:lvl w:ilvl="0" w:tplc="774ADBA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BC5CD0"/>
    <w:multiLevelType w:val="hybridMultilevel"/>
    <w:tmpl w:val="BEFC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24CA"/>
    <w:multiLevelType w:val="hybridMultilevel"/>
    <w:tmpl w:val="3E0E326A"/>
    <w:lvl w:ilvl="0" w:tplc="774ADB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A26E2"/>
    <w:multiLevelType w:val="hybridMultilevel"/>
    <w:tmpl w:val="BBA08A06"/>
    <w:lvl w:ilvl="0" w:tplc="774ADBA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290365"/>
    <w:multiLevelType w:val="hybridMultilevel"/>
    <w:tmpl w:val="B144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C0BC1"/>
    <w:multiLevelType w:val="multilevel"/>
    <w:tmpl w:val="2C94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5"/>
  </w:num>
  <w:num w:numId="4">
    <w:abstractNumId w:val="11"/>
  </w:num>
  <w:num w:numId="5">
    <w:abstractNumId w:val="12"/>
  </w:num>
  <w:num w:numId="6">
    <w:abstractNumId w:val="0"/>
  </w:num>
  <w:num w:numId="7">
    <w:abstractNumId w:val="6"/>
  </w:num>
  <w:num w:numId="8">
    <w:abstractNumId w:val="10"/>
  </w:num>
  <w:num w:numId="9">
    <w:abstractNumId w:val="3"/>
  </w:num>
  <w:num w:numId="10">
    <w:abstractNumId w:val="16"/>
  </w:num>
  <w:num w:numId="11">
    <w:abstractNumId w:val="8"/>
  </w:num>
  <w:num w:numId="12">
    <w:abstractNumId w:val="1"/>
  </w:num>
  <w:num w:numId="13">
    <w:abstractNumId w:val="13"/>
  </w:num>
  <w:num w:numId="14">
    <w:abstractNumId w:val="2"/>
  </w:num>
  <w:num w:numId="15">
    <w:abstractNumId w:val="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04EB"/>
    <w:rsid w:val="00017939"/>
    <w:rsid w:val="00024373"/>
    <w:rsid w:val="000324AD"/>
    <w:rsid w:val="00034C24"/>
    <w:rsid w:val="00042D93"/>
    <w:rsid w:val="000502BF"/>
    <w:rsid w:val="0005067A"/>
    <w:rsid w:val="00073675"/>
    <w:rsid w:val="00086F15"/>
    <w:rsid w:val="00093C04"/>
    <w:rsid w:val="000E09DC"/>
    <w:rsid w:val="000E1666"/>
    <w:rsid w:val="000E4677"/>
    <w:rsid w:val="000F0912"/>
    <w:rsid w:val="000F6F77"/>
    <w:rsid w:val="001048F3"/>
    <w:rsid w:val="00107283"/>
    <w:rsid w:val="00111092"/>
    <w:rsid w:val="00111529"/>
    <w:rsid w:val="00120A9E"/>
    <w:rsid w:val="00124BEF"/>
    <w:rsid w:val="00130059"/>
    <w:rsid w:val="00143A88"/>
    <w:rsid w:val="0016460D"/>
    <w:rsid w:val="001764B6"/>
    <w:rsid w:val="0018148D"/>
    <w:rsid w:val="001A0154"/>
    <w:rsid w:val="001A0CA5"/>
    <w:rsid w:val="001A1AF8"/>
    <w:rsid w:val="001B2182"/>
    <w:rsid w:val="001B3958"/>
    <w:rsid w:val="001C1270"/>
    <w:rsid w:val="001C1C32"/>
    <w:rsid w:val="001C33BC"/>
    <w:rsid w:val="001E1929"/>
    <w:rsid w:val="001E2A30"/>
    <w:rsid w:val="001E486D"/>
    <w:rsid w:val="001F36AF"/>
    <w:rsid w:val="00201ADD"/>
    <w:rsid w:val="002178E3"/>
    <w:rsid w:val="00223112"/>
    <w:rsid w:val="00240B26"/>
    <w:rsid w:val="002744F3"/>
    <w:rsid w:val="00292E4A"/>
    <w:rsid w:val="002956DB"/>
    <w:rsid w:val="002A7FF3"/>
    <w:rsid w:val="002B3076"/>
    <w:rsid w:val="002B4B14"/>
    <w:rsid w:val="002B650D"/>
    <w:rsid w:val="002C1C4F"/>
    <w:rsid w:val="002C5367"/>
    <w:rsid w:val="002D1A82"/>
    <w:rsid w:val="002D4BFF"/>
    <w:rsid w:val="002D759C"/>
    <w:rsid w:val="002E261A"/>
    <w:rsid w:val="002E4CB5"/>
    <w:rsid w:val="002E6FCA"/>
    <w:rsid w:val="002F279B"/>
    <w:rsid w:val="00313391"/>
    <w:rsid w:val="00315131"/>
    <w:rsid w:val="00324078"/>
    <w:rsid w:val="00332F57"/>
    <w:rsid w:val="00337B82"/>
    <w:rsid w:val="0034235E"/>
    <w:rsid w:val="003531B2"/>
    <w:rsid w:val="00363520"/>
    <w:rsid w:val="003705FC"/>
    <w:rsid w:val="00384ACF"/>
    <w:rsid w:val="0039464E"/>
    <w:rsid w:val="00395FE2"/>
    <w:rsid w:val="00397CF7"/>
    <w:rsid w:val="003A0523"/>
    <w:rsid w:val="003A1E08"/>
    <w:rsid w:val="003C5568"/>
    <w:rsid w:val="003D1ECD"/>
    <w:rsid w:val="003D4F44"/>
    <w:rsid w:val="003D6438"/>
    <w:rsid w:val="003E1E8D"/>
    <w:rsid w:val="003E4DF7"/>
    <w:rsid w:val="003E7EB5"/>
    <w:rsid w:val="003F0826"/>
    <w:rsid w:val="00406F50"/>
    <w:rsid w:val="00407E9B"/>
    <w:rsid w:val="004203BC"/>
    <w:rsid w:val="00422D6C"/>
    <w:rsid w:val="00424CA4"/>
    <w:rsid w:val="00433AC1"/>
    <w:rsid w:val="0044670C"/>
    <w:rsid w:val="00451223"/>
    <w:rsid w:val="0047534A"/>
    <w:rsid w:val="00476621"/>
    <w:rsid w:val="00483585"/>
    <w:rsid w:val="00491CAC"/>
    <w:rsid w:val="00493F89"/>
    <w:rsid w:val="004E029B"/>
    <w:rsid w:val="004E609B"/>
    <w:rsid w:val="004E6AD2"/>
    <w:rsid w:val="004E6C5C"/>
    <w:rsid w:val="004F4291"/>
    <w:rsid w:val="005033CA"/>
    <w:rsid w:val="00517C00"/>
    <w:rsid w:val="00527B0E"/>
    <w:rsid w:val="005331B2"/>
    <w:rsid w:val="00555DD4"/>
    <w:rsid w:val="0058364C"/>
    <w:rsid w:val="005844B8"/>
    <w:rsid w:val="00592576"/>
    <w:rsid w:val="005962EE"/>
    <w:rsid w:val="00597FE3"/>
    <w:rsid w:val="005A3ACC"/>
    <w:rsid w:val="005A69FF"/>
    <w:rsid w:val="005C74E8"/>
    <w:rsid w:val="005D58BF"/>
    <w:rsid w:val="005E3108"/>
    <w:rsid w:val="00610F9A"/>
    <w:rsid w:val="00614DA5"/>
    <w:rsid w:val="00617A6A"/>
    <w:rsid w:val="006202E5"/>
    <w:rsid w:val="006312B1"/>
    <w:rsid w:val="0063366F"/>
    <w:rsid w:val="00640B2C"/>
    <w:rsid w:val="00653F30"/>
    <w:rsid w:val="00655F32"/>
    <w:rsid w:val="00657389"/>
    <w:rsid w:val="00670C89"/>
    <w:rsid w:val="00684965"/>
    <w:rsid w:val="0068530A"/>
    <w:rsid w:val="00692300"/>
    <w:rsid w:val="00693951"/>
    <w:rsid w:val="006A4469"/>
    <w:rsid w:val="006A44CD"/>
    <w:rsid w:val="006B2111"/>
    <w:rsid w:val="006B2BB4"/>
    <w:rsid w:val="006D0223"/>
    <w:rsid w:val="006E06C6"/>
    <w:rsid w:val="006F6C41"/>
    <w:rsid w:val="00704868"/>
    <w:rsid w:val="007123F9"/>
    <w:rsid w:val="00717178"/>
    <w:rsid w:val="00717251"/>
    <w:rsid w:val="00720E99"/>
    <w:rsid w:val="00726EDA"/>
    <w:rsid w:val="007313A3"/>
    <w:rsid w:val="0074082A"/>
    <w:rsid w:val="007428B8"/>
    <w:rsid w:val="00746164"/>
    <w:rsid w:val="00751011"/>
    <w:rsid w:val="007554D9"/>
    <w:rsid w:val="00761007"/>
    <w:rsid w:val="00766BBC"/>
    <w:rsid w:val="00780BB6"/>
    <w:rsid w:val="007B220D"/>
    <w:rsid w:val="007C2F72"/>
    <w:rsid w:val="007C5697"/>
    <w:rsid w:val="007D6A8F"/>
    <w:rsid w:val="007E0C77"/>
    <w:rsid w:val="007F47C8"/>
    <w:rsid w:val="007F4970"/>
    <w:rsid w:val="00802ED7"/>
    <w:rsid w:val="00806A03"/>
    <w:rsid w:val="008235ED"/>
    <w:rsid w:val="00844B82"/>
    <w:rsid w:val="0085334B"/>
    <w:rsid w:val="0085646F"/>
    <w:rsid w:val="00856C55"/>
    <w:rsid w:val="0087007B"/>
    <w:rsid w:val="0087256C"/>
    <w:rsid w:val="00882730"/>
    <w:rsid w:val="008909EE"/>
    <w:rsid w:val="0089291F"/>
    <w:rsid w:val="008A3C02"/>
    <w:rsid w:val="008B6DE0"/>
    <w:rsid w:val="008B7811"/>
    <w:rsid w:val="008E4E44"/>
    <w:rsid w:val="008E5B0C"/>
    <w:rsid w:val="008F7105"/>
    <w:rsid w:val="008F7DDC"/>
    <w:rsid w:val="00907E94"/>
    <w:rsid w:val="0091117B"/>
    <w:rsid w:val="0093631E"/>
    <w:rsid w:val="0093667E"/>
    <w:rsid w:val="00937F22"/>
    <w:rsid w:val="00952852"/>
    <w:rsid w:val="00991181"/>
    <w:rsid w:val="00997C80"/>
    <w:rsid w:val="009B04E1"/>
    <w:rsid w:val="009B624B"/>
    <w:rsid w:val="009C2A77"/>
    <w:rsid w:val="009C6F05"/>
    <w:rsid w:val="009C6FF3"/>
    <w:rsid w:val="009D5028"/>
    <w:rsid w:val="009D74E8"/>
    <w:rsid w:val="009F7FE5"/>
    <w:rsid w:val="00A07E82"/>
    <w:rsid w:val="00A07F42"/>
    <w:rsid w:val="00A10AC1"/>
    <w:rsid w:val="00A16315"/>
    <w:rsid w:val="00A16CC1"/>
    <w:rsid w:val="00A26C3B"/>
    <w:rsid w:val="00A30B3C"/>
    <w:rsid w:val="00A33D4E"/>
    <w:rsid w:val="00A64018"/>
    <w:rsid w:val="00A7557D"/>
    <w:rsid w:val="00A75DEA"/>
    <w:rsid w:val="00A816AF"/>
    <w:rsid w:val="00A874AC"/>
    <w:rsid w:val="00A923E8"/>
    <w:rsid w:val="00A9328E"/>
    <w:rsid w:val="00AA4E85"/>
    <w:rsid w:val="00AA5644"/>
    <w:rsid w:val="00AB43F6"/>
    <w:rsid w:val="00AC0FED"/>
    <w:rsid w:val="00AE6272"/>
    <w:rsid w:val="00B0012F"/>
    <w:rsid w:val="00B0135B"/>
    <w:rsid w:val="00B02CF6"/>
    <w:rsid w:val="00B276F9"/>
    <w:rsid w:val="00B40E19"/>
    <w:rsid w:val="00B54EA1"/>
    <w:rsid w:val="00B557D2"/>
    <w:rsid w:val="00B570F7"/>
    <w:rsid w:val="00B60961"/>
    <w:rsid w:val="00B712F9"/>
    <w:rsid w:val="00B723BE"/>
    <w:rsid w:val="00B82705"/>
    <w:rsid w:val="00BA2C8B"/>
    <w:rsid w:val="00BB7B62"/>
    <w:rsid w:val="00BD1ED6"/>
    <w:rsid w:val="00BE2A16"/>
    <w:rsid w:val="00BE58F1"/>
    <w:rsid w:val="00BF2B22"/>
    <w:rsid w:val="00BF3ADB"/>
    <w:rsid w:val="00C04A0D"/>
    <w:rsid w:val="00C056E2"/>
    <w:rsid w:val="00C22120"/>
    <w:rsid w:val="00C25FB8"/>
    <w:rsid w:val="00C267CB"/>
    <w:rsid w:val="00C27D57"/>
    <w:rsid w:val="00C43CFE"/>
    <w:rsid w:val="00C740FA"/>
    <w:rsid w:val="00C81620"/>
    <w:rsid w:val="00C82CBA"/>
    <w:rsid w:val="00C85594"/>
    <w:rsid w:val="00C923A8"/>
    <w:rsid w:val="00CC72B4"/>
    <w:rsid w:val="00CC7A44"/>
    <w:rsid w:val="00CE1C84"/>
    <w:rsid w:val="00CE5449"/>
    <w:rsid w:val="00CF3D14"/>
    <w:rsid w:val="00D03D0B"/>
    <w:rsid w:val="00D11FB7"/>
    <w:rsid w:val="00D1446A"/>
    <w:rsid w:val="00D2485D"/>
    <w:rsid w:val="00D24D70"/>
    <w:rsid w:val="00D46D6C"/>
    <w:rsid w:val="00D4759F"/>
    <w:rsid w:val="00D47DAB"/>
    <w:rsid w:val="00D5115F"/>
    <w:rsid w:val="00D51D57"/>
    <w:rsid w:val="00D52272"/>
    <w:rsid w:val="00D56253"/>
    <w:rsid w:val="00D74F15"/>
    <w:rsid w:val="00D8667C"/>
    <w:rsid w:val="00D86AB9"/>
    <w:rsid w:val="00DB27C3"/>
    <w:rsid w:val="00DB4A8A"/>
    <w:rsid w:val="00DB6066"/>
    <w:rsid w:val="00DE7549"/>
    <w:rsid w:val="00E139DA"/>
    <w:rsid w:val="00E268F0"/>
    <w:rsid w:val="00E33F38"/>
    <w:rsid w:val="00E362B8"/>
    <w:rsid w:val="00E51489"/>
    <w:rsid w:val="00E54CBF"/>
    <w:rsid w:val="00E72A7B"/>
    <w:rsid w:val="00E80A61"/>
    <w:rsid w:val="00E82549"/>
    <w:rsid w:val="00E842CD"/>
    <w:rsid w:val="00EA112E"/>
    <w:rsid w:val="00EA2D33"/>
    <w:rsid w:val="00EA47DF"/>
    <w:rsid w:val="00EA7D4F"/>
    <w:rsid w:val="00EB16F7"/>
    <w:rsid w:val="00EB2842"/>
    <w:rsid w:val="00EC504C"/>
    <w:rsid w:val="00ED5314"/>
    <w:rsid w:val="00ED582F"/>
    <w:rsid w:val="00ED5ED5"/>
    <w:rsid w:val="00ED6186"/>
    <w:rsid w:val="00EF2855"/>
    <w:rsid w:val="00F13D9E"/>
    <w:rsid w:val="00F40510"/>
    <w:rsid w:val="00F411D9"/>
    <w:rsid w:val="00F41676"/>
    <w:rsid w:val="00F555AC"/>
    <w:rsid w:val="00F61D13"/>
    <w:rsid w:val="00F91EB8"/>
    <w:rsid w:val="00FA286C"/>
    <w:rsid w:val="00FB3655"/>
    <w:rsid w:val="00FC1FCE"/>
    <w:rsid w:val="00FD23FD"/>
    <w:rsid w:val="00FD6844"/>
    <w:rsid w:val="00FE3007"/>
    <w:rsid w:val="00FE4BD6"/>
    <w:rsid w:val="00FE7B1B"/>
    <w:rsid w:val="00FF277C"/>
    <w:rsid w:val="00FF5E4D"/>
    <w:rsid w:val="038E1869"/>
    <w:rsid w:val="0D4A2D6E"/>
    <w:rsid w:val="5A56700B"/>
    <w:rsid w:val="79C1C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4782"/>
  <w15:chartTrackingRefBased/>
  <w15:docId w15:val="{6E996C34-B895-4187-9FFE-ADEB2E1E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30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D4BFF"/>
    <w:rPr>
      <w:sz w:val="16"/>
      <w:szCs w:val="16"/>
    </w:rPr>
  </w:style>
  <w:style w:type="character" w:customStyle="1" w:styleId="ListParagraphChar">
    <w:name w:val="List Paragraph Char"/>
    <w:aliases w:val="list Char,List1 Char,List11 Char,Step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semiHidden/>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3076"/>
    <w:rPr>
      <w:color w:val="605E5C"/>
      <w:shd w:val="clear" w:color="auto" w:fill="E1DFDD"/>
    </w:rPr>
  </w:style>
  <w:style w:type="character" w:styleId="FollowedHyperlink">
    <w:name w:val="FollowedHyperlink"/>
    <w:basedOn w:val="DefaultParagraphFont"/>
    <w:uiPriority w:val="99"/>
    <w:semiHidden/>
    <w:unhideWhenUsed/>
    <w:rsid w:val="002B3076"/>
    <w:rPr>
      <w:color w:val="954F72" w:themeColor="followedHyperlink"/>
      <w:u w:val="single"/>
    </w:rPr>
  </w:style>
  <w:style w:type="table" w:customStyle="1" w:styleId="TableGrid1">
    <w:name w:val="Table Grid1"/>
    <w:basedOn w:val="TableNormal"/>
    <w:next w:val="TableGrid"/>
    <w:rsid w:val="00C8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D582F"/>
    <w:rPr>
      <w:b/>
      <w:bCs/>
    </w:rPr>
  </w:style>
  <w:style w:type="character" w:customStyle="1" w:styleId="CommentSubjectChar">
    <w:name w:val="Comment Subject Char"/>
    <w:basedOn w:val="CommentTextChar"/>
    <w:link w:val="CommentSubject"/>
    <w:uiPriority w:val="99"/>
    <w:semiHidden/>
    <w:rsid w:val="00ED582F"/>
    <w:rPr>
      <w:rFonts w:ascii="Arial" w:eastAsia="Times New Roman" w:hAnsi="Arial" w:cs="Times New Roman"/>
      <w:b/>
      <w:bCs/>
      <w:sz w:val="20"/>
      <w:szCs w:val="20"/>
    </w:rPr>
  </w:style>
  <w:style w:type="paragraph" w:styleId="Revision">
    <w:name w:val="Revision"/>
    <w:hidden/>
    <w:uiPriority w:val="99"/>
    <w:semiHidden/>
    <w:rsid w:val="00034C24"/>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592156">
      <w:bodyDiv w:val="1"/>
      <w:marLeft w:val="0"/>
      <w:marRight w:val="0"/>
      <w:marTop w:val="0"/>
      <w:marBottom w:val="0"/>
      <w:divBdr>
        <w:top w:val="none" w:sz="0" w:space="0" w:color="auto"/>
        <w:left w:val="none" w:sz="0" w:space="0" w:color="auto"/>
        <w:bottom w:val="none" w:sz="0" w:space="0" w:color="auto"/>
        <w:right w:val="none" w:sz="0" w:space="0" w:color="auto"/>
      </w:divBdr>
    </w:div>
    <w:div w:id="1136335017">
      <w:bodyDiv w:val="1"/>
      <w:marLeft w:val="0"/>
      <w:marRight w:val="0"/>
      <w:marTop w:val="0"/>
      <w:marBottom w:val="0"/>
      <w:divBdr>
        <w:top w:val="none" w:sz="0" w:space="0" w:color="auto"/>
        <w:left w:val="none" w:sz="0" w:space="0" w:color="auto"/>
        <w:bottom w:val="none" w:sz="0" w:space="0" w:color="auto"/>
        <w:right w:val="none" w:sz="0" w:space="0" w:color="auto"/>
      </w:divBdr>
    </w:div>
    <w:div w:id="11717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1/documents/nov21item11.docx" TargetMode="External"/><Relationship Id="rId18" Type="http://schemas.openxmlformats.org/officeDocument/2006/relationships/hyperlink" Target="https://www.cde.ca.gov/be/ag/ag/yr18/documents/nov18item15.docx"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cde.ca.gov/be/ag/ag/yr17/documents/jul17item04.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9/documents/sep19item06.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e.ca.gov/be/pn/im/documents/feb20memoadad03.docx" TargetMode="External"/><Relationship Id="rId20" Type="http://schemas.openxmlformats.org/officeDocument/2006/relationships/hyperlink" Target="https://www.cde.ca.gov/be/ag/ag/yr18/documents/jan18item07.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e.ca.gov/be/pn/im/documents/memo-imb-adad-jun20item01.docx" TargetMode="External"/><Relationship Id="rId23" Type="http://schemas.openxmlformats.org/officeDocument/2006/relationships/hyperlink" Target="https://www.cde.ca.gov/be/ag/ag/yr17/documents/mar17item06.doc"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cde.ca.gov/be/ag/ag/yr18/documents/jul18item0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0/documents/nov20item06.docx" TargetMode="External"/><Relationship Id="rId22" Type="http://schemas.openxmlformats.org/officeDocument/2006/relationships/hyperlink" Target="https://www.cde.ca.gov/be/ag/ag/yr17/documents/may17item02.doc" TargetMode="External"/><Relationship Id="rId27" Type="http://schemas.openxmlformats.org/officeDocument/2006/relationships/header" Target="header5.xml"/><Relationship Id="rId30" Type="http://schemas.openxmlformats.org/officeDocument/2006/relationships/theme" Target="theme/theme1.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2984-61F9-4E2D-B529-40AB4F66E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3.xml><?xml version="1.0" encoding="utf-8"?>
<ds:datastoreItem xmlns:ds="http://schemas.openxmlformats.org/officeDocument/2006/customXml" ds:itemID="{C1DC637F-46F6-434A-B7A6-875C0B973A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2F619-2478-4981-AFD0-1B6F833A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2625</Words>
  <Characters>14964</Characters>
  <DocSecurity>0</DocSecurity>
  <Lines>124</Lines>
  <Paragraphs>35</Paragraphs>
  <ScaleCrop>false</ScaleCrop>
  <HeadingPairs>
    <vt:vector size="2" baseType="variant">
      <vt:variant>
        <vt:lpstr>Title</vt:lpstr>
      </vt:variant>
      <vt:variant>
        <vt:i4>1</vt:i4>
      </vt:variant>
    </vt:vector>
  </HeadingPairs>
  <TitlesOfParts>
    <vt:vector size="1" baseType="lpstr">
      <vt:lpstr>November 2022 Agenda Item 00 - Meeting Agendas (CA State Board of Education)</vt:lpstr>
    </vt:vector>
  </TitlesOfParts>
  <Company>California State Board of Education</Company>
  <LinksUpToDate>false</LinksUpToDate>
  <CharactersWithSpaces>17554</CharactersWithSpaces>
  <SharedDoc>false</SharedDoc>
  <HLinks>
    <vt:vector size="66" baseType="variant">
      <vt:variant>
        <vt:i4>2359401</vt:i4>
      </vt:variant>
      <vt:variant>
        <vt:i4>30</vt:i4>
      </vt:variant>
      <vt:variant>
        <vt:i4>0</vt:i4>
      </vt:variant>
      <vt:variant>
        <vt:i4>5</vt:i4>
      </vt:variant>
      <vt:variant>
        <vt:lpwstr>https://www.cde.ca.gov/be/ag/ag/yr17/documents/mar17item06.doc</vt:lpwstr>
      </vt:variant>
      <vt:variant>
        <vt:lpwstr/>
      </vt:variant>
      <vt:variant>
        <vt:i4>2818153</vt:i4>
      </vt:variant>
      <vt:variant>
        <vt:i4>27</vt:i4>
      </vt:variant>
      <vt:variant>
        <vt:i4>0</vt:i4>
      </vt:variant>
      <vt:variant>
        <vt:i4>5</vt:i4>
      </vt:variant>
      <vt:variant>
        <vt:lpwstr>https://www.cde.ca.gov/be/ag/ag/yr17/documents/may17item02.doc</vt:lpwstr>
      </vt:variant>
      <vt:variant>
        <vt:lpwstr/>
      </vt:variant>
      <vt:variant>
        <vt:i4>4128893</vt:i4>
      </vt:variant>
      <vt:variant>
        <vt:i4>24</vt:i4>
      </vt:variant>
      <vt:variant>
        <vt:i4>0</vt:i4>
      </vt:variant>
      <vt:variant>
        <vt:i4>5</vt:i4>
      </vt:variant>
      <vt:variant>
        <vt:lpwstr>https://www.cde.ca.gov/be/ag/ag/yr17/documents/jul17item04.doc</vt:lpwstr>
      </vt:variant>
      <vt:variant>
        <vt:lpwstr/>
      </vt:variant>
      <vt:variant>
        <vt:i4>4063337</vt:i4>
      </vt:variant>
      <vt:variant>
        <vt:i4>21</vt:i4>
      </vt:variant>
      <vt:variant>
        <vt:i4>0</vt:i4>
      </vt:variant>
      <vt:variant>
        <vt:i4>5</vt:i4>
      </vt:variant>
      <vt:variant>
        <vt:lpwstr>https://www.cde.ca.gov/be/ag/ag/yr18/documents/jan18item07.docx</vt:lpwstr>
      </vt:variant>
      <vt:variant>
        <vt:lpwstr/>
      </vt:variant>
      <vt:variant>
        <vt:i4>3670141</vt:i4>
      </vt:variant>
      <vt:variant>
        <vt:i4>18</vt:i4>
      </vt:variant>
      <vt:variant>
        <vt:i4>0</vt:i4>
      </vt:variant>
      <vt:variant>
        <vt:i4>5</vt:i4>
      </vt:variant>
      <vt:variant>
        <vt:lpwstr>https://www.cde.ca.gov/be/ag/ag/yr18/documents/jul18item03.docx</vt:lpwstr>
      </vt:variant>
      <vt:variant>
        <vt:lpwstr/>
      </vt:variant>
      <vt:variant>
        <vt:i4>2097254</vt:i4>
      </vt:variant>
      <vt:variant>
        <vt:i4>15</vt:i4>
      </vt:variant>
      <vt:variant>
        <vt:i4>0</vt:i4>
      </vt:variant>
      <vt:variant>
        <vt:i4>5</vt:i4>
      </vt:variant>
      <vt:variant>
        <vt:lpwstr>https://www.cde.ca.gov/be/ag/ag/yr18/documents/nov18item15.docx</vt:lpwstr>
      </vt:variant>
      <vt:variant>
        <vt:lpwstr/>
      </vt:variant>
      <vt:variant>
        <vt:i4>3670125</vt:i4>
      </vt:variant>
      <vt:variant>
        <vt:i4>12</vt:i4>
      </vt:variant>
      <vt:variant>
        <vt:i4>0</vt:i4>
      </vt:variant>
      <vt:variant>
        <vt:i4>5</vt:i4>
      </vt:variant>
      <vt:variant>
        <vt:lpwstr>https://www.cde.ca.gov/be/ag/ag/yr19/documents/sep19item06.docx</vt:lpwstr>
      </vt:variant>
      <vt:variant>
        <vt:lpwstr/>
      </vt:variant>
      <vt:variant>
        <vt:i4>7143521</vt:i4>
      </vt:variant>
      <vt:variant>
        <vt:i4>9</vt:i4>
      </vt:variant>
      <vt:variant>
        <vt:i4>0</vt:i4>
      </vt:variant>
      <vt:variant>
        <vt:i4>5</vt:i4>
      </vt:variant>
      <vt:variant>
        <vt:lpwstr>https://www.cde.ca.gov/be/pn/im/documents/feb20memoadad03.docx</vt:lpwstr>
      </vt:variant>
      <vt:variant>
        <vt:lpwstr/>
      </vt:variant>
      <vt:variant>
        <vt:i4>6094877</vt:i4>
      </vt:variant>
      <vt:variant>
        <vt:i4>6</vt:i4>
      </vt:variant>
      <vt:variant>
        <vt:i4>0</vt:i4>
      </vt:variant>
      <vt:variant>
        <vt:i4>5</vt:i4>
      </vt:variant>
      <vt:variant>
        <vt:lpwstr>https://www.cde.ca.gov/be/pn/im/documents/memo-imb-adad-jun20item01.docx</vt:lpwstr>
      </vt:variant>
      <vt:variant>
        <vt:lpwstr/>
      </vt:variant>
      <vt:variant>
        <vt:i4>2293863</vt:i4>
      </vt:variant>
      <vt:variant>
        <vt:i4>3</vt:i4>
      </vt:variant>
      <vt:variant>
        <vt:i4>0</vt:i4>
      </vt:variant>
      <vt:variant>
        <vt:i4>5</vt:i4>
      </vt:variant>
      <vt:variant>
        <vt:lpwstr>https://www.cde.ca.gov/be/ag/ag/yr20/documents/nov20item06.docx</vt:lpwstr>
      </vt:variant>
      <vt:variant>
        <vt:lpwstr/>
      </vt:variant>
      <vt:variant>
        <vt:i4>2359398</vt:i4>
      </vt:variant>
      <vt:variant>
        <vt:i4>0</vt:i4>
      </vt:variant>
      <vt:variant>
        <vt:i4>0</vt:i4>
      </vt:variant>
      <vt:variant>
        <vt:i4>5</vt:i4>
      </vt:variant>
      <vt:variant>
        <vt:lpwstr>https://www.cde.ca.gov/be/ag/ag/yr21/documents/nov21item11.docx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Agenda Item 06 - Meeting Agendas (CA State Board of Education)</dc:title>
  <dc:subject>California Assessment of Student Performance and Progress and English Language Proficiency Assessments for California: Determination of the Release of the 10 Percent Withheld.</dc:subject>
  <dc:creator/>
  <cp:keywords/>
  <dc:description/>
  <cp:lastPrinted>2017-10-30T17:36:00Z</cp:lastPrinted>
  <dcterms:created xsi:type="dcterms:W3CDTF">2022-10-13T21:17:00Z</dcterms:created>
  <dcterms:modified xsi:type="dcterms:W3CDTF">2022-10-20T19:07:00Z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