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6E06C6" w:rsidRPr="00CC139F" w:rsidRDefault="00D5115F" w:rsidP="00B723BE">
      <w:r w:rsidRPr="00CC139F">
        <w:rPr>
          <w:noProof/>
        </w:rPr>
        <w:drawing>
          <wp:inline distT="0" distB="0" distL="0" distR="0" wp14:anchorId="36EB24EC" wp14:editId="038E1869">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41731" cy="942975"/>
                    </a:xfrm>
                    <a:prstGeom prst="rect">
                      <a:avLst/>
                    </a:prstGeom>
                  </pic:spPr>
                </pic:pic>
              </a:graphicData>
            </a:graphic>
          </wp:inline>
        </w:drawing>
      </w:r>
    </w:p>
    <w:p w14:paraId="2C784A02" w14:textId="77777777" w:rsidR="00B723BE" w:rsidRPr="00CC139F" w:rsidRDefault="00FC1FCE" w:rsidP="00B723BE">
      <w:pPr>
        <w:jc w:val="right"/>
      </w:pPr>
      <w:bookmarkStart w:id="0" w:name="_GoBack"/>
      <w:bookmarkEnd w:id="0"/>
      <w:r w:rsidRPr="00CC139F">
        <w:t>California Department of Education</w:t>
      </w:r>
    </w:p>
    <w:p w14:paraId="1CAF1CB7" w14:textId="77777777" w:rsidR="00B723BE" w:rsidRPr="00CC139F" w:rsidRDefault="00FC1FCE" w:rsidP="00B723BE">
      <w:pPr>
        <w:jc w:val="right"/>
      </w:pPr>
      <w:r w:rsidRPr="00CC139F">
        <w:t>Executive Office</w:t>
      </w:r>
    </w:p>
    <w:p w14:paraId="18A2FE91" w14:textId="77777777" w:rsidR="002B4B14" w:rsidRPr="00CC139F" w:rsidRDefault="00692300" w:rsidP="00B723BE">
      <w:pPr>
        <w:jc w:val="right"/>
      </w:pPr>
      <w:r w:rsidRPr="00CC139F">
        <w:t>SBE-00</w:t>
      </w:r>
      <w:r w:rsidR="000324AD" w:rsidRPr="00CC139F">
        <w:t>3</w:t>
      </w:r>
      <w:r w:rsidRPr="00CC139F">
        <w:t xml:space="preserve"> (REV. 1</w:t>
      </w:r>
      <w:r w:rsidR="00C27D57" w:rsidRPr="00CC139F">
        <w:t>1</w:t>
      </w:r>
      <w:r w:rsidRPr="00CC139F">
        <w:t>/2017</w:t>
      </w:r>
      <w:r w:rsidR="00FC1FCE" w:rsidRPr="00CC139F">
        <w:t>)</w:t>
      </w:r>
    </w:p>
    <w:p w14:paraId="0A37501D" w14:textId="480B33ED" w:rsidR="00B723BE" w:rsidRPr="00CC139F" w:rsidRDefault="0034235E" w:rsidP="0034235E">
      <w:pPr>
        <w:jc w:val="right"/>
        <w:sectPr w:rsidR="00B723BE" w:rsidRPr="00CC139F" w:rsidSect="00C82CBA">
          <w:headerReference w:type="default" r:id="rId11"/>
          <w:type w:val="continuous"/>
          <w:pgSz w:w="12240" w:h="15840"/>
          <w:pgMar w:top="720" w:right="1440" w:bottom="1440" w:left="1440" w:header="720" w:footer="720" w:gutter="0"/>
          <w:cols w:num="2" w:space="720"/>
          <w:titlePg/>
          <w:docGrid w:linePitch="360"/>
        </w:sectPr>
      </w:pPr>
      <w:r w:rsidRPr="00CC139F">
        <w:t>imab-adad-</w:t>
      </w:r>
      <w:r w:rsidR="00997C80" w:rsidRPr="00CC139F">
        <w:t>nov</w:t>
      </w:r>
      <w:r w:rsidRPr="00CC139F">
        <w:t>22item0</w:t>
      </w:r>
      <w:r w:rsidR="004B3C53" w:rsidRPr="00CC139F">
        <w:t>3</w:t>
      </w:r>
    </w:p>
    <w:p w14:paraId="5DAB6C7B" w14:textId="77777777" w:rsidR="006E06C6" w:rsidRPr="00CC139F" w:rsidRDefault="006E06C6" w:rsidP="00FC1FCE">
      <w:pPr>
        <w:pStyle w:val="Heading1"/>
        <w:jc w:val="center"/>
        <w:rPr>
          <w:sz w:val="40"/>
          <w:szCs w:val="40"/>
        </w:rPr>
        <w:sectPr w:rsidR="006E06C6" w:rsidRPr="00CC139F" w:rsidSect="0091117B">
          <w:type w:val="continuous"/>
          <w:pgSz w:w="12240" w:h="15840"/>
          <w:pgMar w:top="720" w:right="1440" w:bottom="1440" w:left="1440" w:header="720" w:footer="720" w:gutter="0"/>
          <w:cols w:space="720"/>
          <w:docGrid w:linePitch="360"/>
        </w:sectPr>
      </w:pPr>
    </w:p>
    <w:p w14:paraId="3855EBBD" w14:textId="3D7B95D7" w:rsidR="00FC1FCE" w:rsidRPr="00CC139F" w:rsidRDefault="0091117B" w:rsidP="002B4B14">
      <w:pPr>
        <w:pStyle w:val="Heading1"/>
        <w:spacing w:before="240" w:after="240"/>
        <w:jc w:val="center"/>
        <w:rPr>
          <w:sz w:val="40"/>
          <w:szCs w:val="40"/>
        </w:rPr>
      </w:pPr>
      <w:r w:rsidRPr="00CC139F">
        <w:rPr>
          <w:sz w:val="40"/>
          <w:szCs w:val="40"/>
        </w:rPr>
        <w:t>Californ</w:t>
      </w:r>
      <w:r w:rsidR="00693951" w:rsidRPr="00CC139F">
        <w:rPr>
          <w:sz w:val="40"/>
          <w:szCs w:val="40"/>
        </w:rPr>
        <w:t>ia State Board of Education</w:t>
      </w:r>
      <w:r w:rsidRPr="00CC139F">
        <w:br/>
      </w:r>
      <w:r w:rsidR="00997C80" w:rsidRPr="00CC139F">
        <w:rPr>
          <w:sz w:val="40"/>
          <w:szCs w:val="40"/>
        </w:rPr>
        <w:t>November</w:t>
      </w:r>
      <w:r w:rsidR="0034235E" w:rsidRPr="00CC139F">
        <w:rPr>
          <w:sz w:val="40"/>
          <w:szCs w:val="40"/>
        </w:rPr>
        <w:t xml:space="preserve"> 2022 Agenda</w:t>
      </w:r>
      <w:r w:rsidRPr="00CC139F">
        <w:br/>
      </w:r>
      <w:r w:rsidR="00FC1FCE" w:rsidRPr="00CC139F">
        <w:rPr>
          <w:sz w:val="40"/>
          <w:szCs w:val="40"/>
        </w:rPr>
        <w:t>Item</w:t>
      </w:r>
      <w:r w:rsidR="00692300" w:rsidRPr="00CC139F">
        <w:rPr>
          <w:sz w:val="40"/>
          <w:szCs w:val="40"/>
        </w:rPr>
        <w:t xml:space="preserve"> #</w:t>
      </w:r>
      <w:r w:rsidR="00130059" w:rsidRPr="00CC139F">
        <w:rPr>
          <w:sz w:val="40"/>
          <w:szCs w:val="40"/>
        </w:rPr>
        <w:t>0</w:t>
      </w:r>
      <w:r w:rsidR="00687615">
        <w:rPr>
          <w:sz w:val="40"/>
          <w:szCs w:val="40"/>
        </w:rPr>
        <w:t>7</w:t>
      </w:r>
    </w:p>
    <w:p w14:paraId="27B6226E" w14:textId="77777777" w:rsidR="00FC1FCE" w:rsidRPr="00CC139F" w:rsidRDefault="00FC1FCE" w:rsidP="002B4B14">
      <w:pPr>
        <w:pStyle w:val="Heading2"/>
        <w:spacing w:before="240" w:after="240"/>
        <w:rPr>
          <w:sz w:val="36"/>
          <w:szCs w:val="36"/>
        </w:rPr>
      </w:pPr>
      <w:r w:rsidRPr="00CC139F">
        <w:rPr>
          <w:sz w:val="36"/>
          <w:szCs w:val="36"/>
        </w:rPr>
        <w:t>Subject</w:t>
      </w:r>
    </w:p>
    <w:p w14:paraId="496623A2" w14:textId="30753D7B" w:rsidR="004B3C53" w:rsidRPr="00CC139F" w:rsidRDefault="004B3C53" w:rsidP="00132A68">
      <w:pPr>
        <w:spacing w:after="480"/>
        <w:rPr>
          <w:b/>
        </w:rPr>
      </w:pPr>
      <w:bookmarkStart w:id="1" w:name="_Hlk117150319"/>
      <w:r w:rsidRPr="00CC139F">
        <w:t>California Assessment of Student Performance and Progress and English Language Proficiency Assessments for California: Determination of the Release of Up to 10 Percent Withheld for the 2021–22 Regents of the University of California, Santa Cruz Contract.</w:t>
      </w:r>
    </w:p>
    <w:bookmarkEnd w:id="1"/>
    <w:p w14:paraId="19FA46C3" w14:textId="221637C4" w:rsidR="00FC1FCE" w:rsidRPr="00CC139F" w:rsidRDefault="00FC1FCE" w:rsidP="002B4B14">
      <w:pPr>
        <w:pStyle w:val="Heading2"/>
        <w:spacing w:before="240" w:after="240"/>
        <w:rPr>
          <w:sz w:val="36"/>
          <w:szCs w:val="36"/>
        </w:rPr>
      </w:pPr>
      <w:r w:rsidRPr="00CC139F">
        <w:rPr>
          <w:sz w:val="36"/>
          <w:szCs w:val="36"/>
        </w:rPr>
        <w:t>Type of Action</w:t>
      </w:r>
    </w:p>
    <w:p w14:paraId="07254FFE" w14:textId="2898F9F5" w:rsidR="0091117B" w:rsidRPr="00CC139F" w:rsidRDefault="008909EE" w:rsidP="000E09DC">
      <w:pPr>
        <w:spacing w:after="480"/>
      </w:pPr>
      <w:r w:rsidRPr="00CC139F">
        <w:t>Action, Information</w:t>
      </w:r>
      <w:r w:rsidR="00532B66" w:rsidRPr="00CC139F">
        <w:t>, Consent</w:t>
      </w:r>
    </w:p>
    <w:p w14:paraId="2F54E36F" w14:textId="77777777" w:rsidR="00FC1FCE" w:rsidRPr="00CC139F" w:rsidRDefault="00FC1FCE" w:rsidP="002B4B14">
      <w:pPr>
        <w:pStyle w:val="Heading2"/>
        <w:spacing w:before="240" w:after="240"/>
        <w:rPr>
          <w:sz w:val="36"/>
          <w:szCs w:val="36"/>
        </w:rPr>
      </w:pPr>
      <w:r w:rsidRPr="00CC139F">
        <w:rPr>
          <w:sz w:val="36"/>
          <w:szCs w:val="36"/>
        </w:rPr>
        <w:t>Summary of the Issue(s)</w:t>
      </w:r>
    </w:p>
    <w:p w14:paraId="377B96FB" w14:textId="2299897D" w:rsidR="00D31E15" w:rsidRPr="00CC139F" w:rsidRDefault="00D31E15" w:rsidP="00D31E15">
      <w:pPr>
        <w:spacing w:after="480"/>
      </w:pPr>
      <w:r w:rsidRPr="00CC139F">
        <w:t>California</w:t>
      </w:r>
      <w:r w:rsidRPr="00CC139F">
        <w:rPr>
          <w:i/>
          <w:iCs/>
        </w:rPr>
        <w:t xml:space="preserve"> Education Code</w:t>
      </w:r>
      <w:r w:rsidRPr="00CC139F">
        <w:t xml:space="preserve"> Section 60643 requires the California Department of Education (CDE) to withhold 10 percent from progress payments invoiced for each component task </w:t>
      </w:r>
      <w:r w:rsidR="002E33EA" w:rsidRPr="00CC139F">
        <w:t xml:space="preserve">of </w:t>
      </w:r>
      <w:r w:rsidRPr="00CC139F">
        <w:t>the California Assessment of Student Performance and Progress (CAASPP) and English Language Proficiency Assessments for California (ELPAC) System contract</w:t>
      </w:r>
      <w:r w:rsidR="000E142C" w:rsidRPr="00CC139F">
        <w:t xml:space="preserve">, pending </w:t>
      </w:r>
      <w:r w:rsidR="009D4B02" w:rsidRPr="00CC139F">
        <w:t>approval by the California State Board of Education (SBE)</w:t>
      </w:r>
      <w:r w:rsidRPr="00CC139F">
        <w:t xml:space="preserve">. The contract with the Regents of the University of California, Santa Cruz (UCSC) establishes the process by which the CDE approves invoices on services successfully rendered for component tasks 1, 2, and 4 of the </w:t>
      </w:r>
      <w:proofErr w:type="gramStart"/>
      <w:r w:rsidRPr="00CC139F">
        <w:t>contract</w:t>
      </w:r>
      <w:proofErr w:type="gramEnd"/>
      <w:r w:rsidRPr="00CC139F">
        <w:t>, which was approved by the SBE in November 2018.</w:t>
      </w:r>
    </w:p>
    <w:p w14:paraId="08BF9F4B" w14:textId="77777777" w:rsidR="003E4DF7" w:rsidRPr="00CC139F" w:rsidRDefault="003E4DF7" w:rsidP="002B4B14">
      <w:pPr>
        <w:pStyle w:val="Heading2"/>
        <w:spacing w:before="240" w:after="240"/>
        <w:rPr>
          <w:sz w:val="36"/>
          <w:szCs w:val="36"/>
        </w:rPr>
      </w:pPr>
      <w:r w:rsidRPr="00CC139F">
        <w:rPr>
          <w:sz w:val="36"/>
          <w:szCs w:val="36"/>
        </w:rPr>
        <w:t>Recommendation</w:t>
      </w:r>
    </w:p>
    <w:p w14:paraId="1D93EF07" w14:textId="5C651A34" w:rsidR="00D31E15" w:rsidRPr="00CC139F" w:rsidRDefault="00D31E15" w:rsidP="00D31E15">
      <w:pPr>
        <w:spacing w:after="480"/>
        <w:rPr>
          <w:rFonts w:cs="Arial"/>
          <w:spacing w:val="-1"/>
        </w:rPr>
      </w:pPr>
      <w:r w:rsidRPr="00CC139F">
        <w:rPr>
          <w:rFonts w:cs="Arial"/>
        </w:rPr>
        <w:t xml:space="preserve">The CDE recommends the release of the full amount of </w:t>
      </w:r>
      <w:r w:rsidRPr="00CC139F">
        <w:rPr>
          <w:rFonts w:cs="Arial"/>
          <w:spacing w:val="-1"/>
        </w:rPr>
        <w:t>$</w:t>
      </w:r>
      <w:r w:rsidR="0091095C" w:rsidRPr="00CC139F">
        <w:rPr>
          <w:rFonts w:eastAsia="Arial" w:cs="Arial"/>
          <w:color w:val="000000" w:themeColor="text1"/>
        </w:rPr>
        <w:t>71</w:t>
      </w:r>
      <w:r w:rsidRPr="00CC139F">
        <w:rPr>
          <w:rFonts w:eastAsia="Arial" w:cs="Arial"/>
          <w:color w:val="000000" w:themeColor="text1"/>
        </w:rPr>
        <w:t>,</w:t>
      </w:r>
      <w:r w:rsidR="0091095C" w:rsidRPr="00CC139F">
        <w:rPr>
          <w:rFonts w:eastAsia="Arial" w:cs="Arial"/>
          <w:color w:val="000000" w:themeColor="text1"/>
        </w:rPr>
        <w:t>104</w:t>
      </w:r>
      <w:r w:rsidRPr="00CC139F">
        <w:rPr>
          <w:rFonts w:eastAsia="Arial" w:cs="Arial"/>
          <w:color w:val="000000" w:themeColor="text1"/>
        </w:rPr>
        <w:t>.</w:t>
      </w:r>
      <w:r w:rsidR="0091095C" w:rsidRPr="00CC139F">
        <w:rPr>
          <w:rFonts w:cs="Arial"/>
          <w:spacing w:val="-1"/>
        </w:rPr>
        <w:t>98</w:t>
      </w:r>
      <w:r w:rsidR="009D4B02" w:rsidRPr="00CC139F">
        <w:rPr>
          <w:rFonts w:cs="Arial"/>
          <w:spacing w:val="-1"/>
        </w:rPr>
        <w:t>, representing the 10 percent</w:t>
      </w:r>
      <w:r w:rsidRPr="00CC139F">
        <w:rPr>
          <w:rFonts w:cs="Arial"/>
          <w:spacing w:val="-1"/>
        </w:rPr>
        <w:t xml:space="preserve"> withheld from the UCSC contract for activities to develop the California Educator Reporting System</w:t>
      </w:r>
      <w:r w:rsidR="00EA61FF" w:rsidRPr="00CC139F">
        <w:rPr>
          <w:rFonts w:cs="Arial"/>
          <w:spacing w:val="-1"/>
        </w:rPr>
        <w:t xml:space="preserve"> (CERS)</w:t>
      </w:r>
      <w:r w:rsidRPr="00CC139F">
        <w:rPr>
          <w:rFonts w:cs="Arial"/>
          <w:spacing w:val="-1"/>
        </w:rPr>
        <w:t xml:space="preserve"> for the CAASPP and the ELPAC. These funds were withheld during fiscal year (FY) 2021–2</w:t>
      </w:r>
      <w:r w:rsidR="502E9499" w:rsidRPr="00CC139F">
        <w:rPr>
          <w:rFonts w:cs="Arial"/>
          <w:spacing w:val="-1"/>
        </w:rPr>
        <w:t>2</w:t>
      </w:r>
      <w:r w:rsidRPr="00CC139F">
        <w:rPr>
          <w:rFonts w:cs="Arial"/>
          <w:spacing w:val="-1"/>
        </w:rPr>
        <w:t xml:space="preserve"> from invoices paid with existing CAASPP and ELPAC System contract funding.</w:t>
      </w:r>
      <w:r w:rsidRPr="00CC139F">
        <w:rPr>
          <w:rFonts w:cs="Arial"/>
        </w:rPr>
        <w:t xml:space="preserve"> </w:t>
      </w:r>
      <w:r w:rsidRPr="00CC139F">
        <w:rPr>
          <w:rFonts w:cs="Arial"/>
          <w:spacing w:val="-1"/>
        </w:rPr>
        <w:t>The amounts per task are listed in Attachment 1.</w:t>
      </w:r>
    </w:p>
    <w:p w14:paraId="28788C28" w14:textId="77777777" w:rsidR="00F40510" w:rsidRPr="00CC139F" w:rsidRDefault="003E4DF7" w:rsidP="002B4B14">
      <w:pPr>
        <w:pStyle w:val="Heading2"/>
        <w:spacing w:before="240" w:after="240"/>
        <w:rPr>
          <w:sz w:val="36"/>
          <w:szCs w:val="36"/>
        </w:rPr>
      </w:pPr>
      <w:r w:rsidRPr="00CC139F">
        <w:rPr>
          <w:sz w:val="36"/>
          <w:szCs w:val="36"/>
        </w:rPr>
        <w:lastRenderedPageBreak/>
        <w:t>Brief History of Key Issues</w:t>
      </w:r>
    </w:p>
    <w:p w14:paraId="57CD77F5" w14:textId="332DA26D" w:rsidR="003E4DF7" w:rsidRPr="00CC139F" w:rsidRDefault="514F882B" w:rsidP="514F882B">
      <w:pPr>
        <w:spacing w:after="480"/>
      </w:pPr>
      <w:r w:rsidRPr="00CC139F">
        <w:t>In November 2018, the SBE approved an amendment to the CDE’s interagency agreement with UCSC for membership in the Consortium to include the customization, configuration, and implementation of CERS for CAASPP non-Smarter Balanced assessments and ELPAC assessments. The amendment to the interagency agreement included the contract term from July 1, 2018, through June 30, 2022.</w:t>
      </w:r>
    </w:p>
    <w:p w14:paraId="3D47E909" w14:textId="77777777" w:rsidR="003E4DF7" w:rsidRPr="00CC139F" w:rsidRDefault="003E4DF7" w:rsidP="002B4B14">
      <w:pPr>
        <w:pStyle w:val="Heading2"/>
        <w:spacing w:before="240" w:after="240"/>
        <w:rPr>
          <w:sz w:val="36"/>
          <w:szCs w:val="36"/>
        </w:rPr>
      </w:pPr>
      <w:r w:rsidRPr="00CC139F">
        <w:rPr>
          <w:sz w:val="36"/>
          <w:szCs w:val="36"/>
        </w:rPr>
        <w:t>Summary of Previous State Board of Education Discussion and Action</w:t>
      </w:r>
    </w:p>
    <w:p w14:paraId="03618E2E" w14:textId="78BD0CE1" w:rsidR="00C05106" w:rsidRPr="00CC139F" w:rsidRDefault="00C05106" w:rsidP="00C05106">
      <w:pPr>
        <w:spacing w:before="240" w:after="240"/>
      </w:pPr>
      <w:r w:rsidRPr="00CC139F">
        <w:t>In November 2021, the SBE approved the release of up to 10 percent withheld for the 2020–21 UCSC contract (</w:t>
      </w:r>
      <w:hyperlink r:id="rId12" w:tooltip="This link opens the November 2021 SBE Agenda Item." w:history="1">
        <w:r w:rsidRPr="00CC139F">
          <w:rPr>
            <w:rStyle w:val="Hyperlink"/>
          </w:rPr>
          <w:t>https://www.cde.ca.gov/be/ag/ag/yr21/documents/nov21item12.docx</w:t>
        </w:r>
      </w:hyperlink>
      <w:r w:rsidRPr="00CC139F">
        <w:t>).</w:t>
      </w:r>
    </w:p>
    <w:p w14:paraId="20F33410" w14:textId="07A4196A" w:rsidR="00C05106" w:rsidRPr="00CC139F" w:rsidRDefault="00C05106" w:rsidP="00C05106">
      <w:pPr>
        <w:spacing w:before="240" w:after="240"/>
      </w:pPr>
      <w:r w:rsidRPr="00CC139F">
        <w:t>In November 2020, the SBE approved the release of up to 10 percent withheld for the 2019–20 UCSC contract (</w:t>
      </w:r>
      <w:hyperlink r:id="rId13" w:tooltip="This link opens the November 2020 SBE Agenda Item.">
        <w:r w:rsidRPr="00CC139F">
          <w:rPr>
            <w:rStyle w:val="Hyperlink"/>
          </w:rPr>
          <w:t>https://www.cde.ca.gov/be/ag/ag/yr20/documents/nov20item07.docx</w:t>
        </w:r>
      </w:hyperlink>
      <w:r w:rsidRPr="00CC139F">
        <w:rPr>
          <w:rStyle w:val="Hyperlink"/>
          <w:color w:val="auto"/>
          <w:u w:val="none"/>
        </w:rPr>
        <w:t>).</w:t>
      </w:r>
    </w:p>
    <w:p w14:paraId="2D210F1F" w14:textId="3D6FACC8" w:rsidR="00C05106" w:rsidRPr="00CC139F" w:rsidRDefault="00C05106" w:rsidP="00C05106">
      <w:pPr>
        <w:spacing w:before="240" w:after="240"/>
      </w:pPr>
      <w:r w:rsidRPr="00CC139F">
        <w:t>In November 2019, the SBE approved the release of up to 10 percent withheld for the 2018–19 UCSC contract (</w:t>
      </w:r>
      <w:hyperlink r:id="rId14" w:tooltip="This link opens the November 2019 SBE Agenda Item.">
        <w:r w:rsidRPr="00CC139F">
          <w:rPr>
            <w:rStyle w:val="Hyperlink"/>
          </w:rPr>
          <w:t>https://www.cde.ca.gov/be/ag/ag/yr19/documents/nov19item07.docx</w:t>
        </w:r>
      </w:hyperlink>
      <w:r w:rsidRPr="00CC139F">
        <w:rPr>
          <w:rStyle w:val="Hyperlink"/>
          <w:color w:val="auto"/>
          <w:u w:val="none"/>
        </w:rPr>
        <w:t>).</w:t>
      </w:r>
    </w:p>
    <w:p w14:paraId="684DF2C6" w14:textId="77777777" w:rsidR="00C05106" w:rsidRPr="00CC139F" w:rsidRDefault="00C05106" w:rsidP="00C05106">
      <w:pPr>
        <w:spacing w:after="480"/>
      </w:pPr>
      <w:r w:rsidRPr="00CC139F">
        <w:t>In November 2018, the SBE approved the contract amendment with the UCSC interagency agreement to provide an educator reporting system, increasing the overall contract with UCSC by $2,593,819 (</w:t>
      </w:r>
      <w:hyperlink r:id="rId15" w:tooltip="This link opens the November 2018 SBE Agenda Item." w:history="1">
        <w:r w:rsidRPr="00CC139F">
          <w:rPr>
            <w:rStyle w:val="Hyperlink"/>
            <w:rFonts w:cs="Arial"/>
          </w:rPr>
          <w:t>https://www.cde.ca.gov/be/ag/ag/yr18/documents/nov18item08.docx</w:t>
        </w:r>
      </w:hyperlink>
      <w:r w:rsidRPr="00CC139F">
        <w:t>).</w:t>
      </w:r>
    </w:p>
    <w:p w14:paraId="5E6B385F" w14:textId="77777777" w:rsidR="003E4DF7" w:rsidRPr="00CC139F" w:rsidRDefault="003E4DF7" w:rsidP="002B4B14">
      <w:pPr>
        <w:pStyle w:val="Heading2"/>
        <w:spacing w:before="240" w:after="240"/>
        <w:rPr>
          <w:sz w:val="36"/>
          <w:szCs w:val="36"/>
        </w:rPr>
      </w:pPr>
      <w:r w:rsidRPr="00CC139F">
        <w:rPr>
          <w:sz w:val="36"/>
          <w:szCs w:val="36"/>
        </w:rPr>
        <w:t>Fiscal Analysis (as appropriate)</w:t>
      </w:r>
    </w:p>
    <w:p w14:paraId="0A6ED034" w14:textId="108F4085" w:rsidR="00C05106" w:rsidRPr="00CC139F" w:rsidRDefault="00C05106" w:rsidP="00C05106">
      <w:pPr>
        <w:spacing w:after="480"/>
        <w:rPr>
          <w:rFonts w:cs="Arial"/>
        </w:rPr>
      </w:pPr>
      <w:r w:rsidRPr="00CC139F">
        <w:rPr>
          <w:rFonts w:cs="Arial"/>
          <w:spacing w:val="-1"/>
        </w:rPr>
        <w:t xml:space="preserve">The funds to be released for the UCSC CERS contract activities were withheld during </w:t>
      </w:r>
      <w:r w:rsidR="00970555" w:rsidRPr="00CC139F">
        <w:rPr>
          <w:rFonts w:cs="Arial"/>
          <w:spacing w:val="-1"/>
        </w:rPr>
        <w:t>FY </w:t>
      </w:r>
      <w:r w:rsidRPr="00CC139F">
        <w:rPr>
          <w:rFonts w:cs="Arial"/>
          <w:spacing w:val="-1"/>
        </w:rPr>
        <w:t>2021–22 from invoices paid with existing contract funding as shown in Attachment 1. The CDE recommends the release of $</w:t>
      </w:r>
      <w:r w:rsidR="0091095C" w:rsidRPr="00CC139F">
        <w:rPr>
          <w:rFonts w:eastAsia="Arial" w:cs="Arial"/>
          <w:color w:val="000000" w:themeColor="text1"/>
        </w:rPr>
        <w:t>71,104.98</w:t>
      </w:r>
      <w:r w:rsidRPr="00CC139F">
        <w:rPr>
          <w:rFonts w:cs="Arial"/>
          <w:spacing w:val="-1"/>
        </w:rPr>
        <w:t>, which is the full 10 percent of funds withheld.</w:t>
      </w:r>
      <w:r w:rsidRPr="00CC139F">
        <w:rPr>
          <w:rFonts w:cs="Arial"/>
        </w:rPr>
        <w:t xml:space="preserve"> </w:t>
      </w:r>
    </w:p>
    <w:p w14:paraId="679B1EC2" w14:textId="1C0F72C5" w:rsidR="00406F50" w:rsidRPr="00CC139F" w:rsidRDefault="00406F50" w:rsidP="002B4B14">
      <w:pPr>
        <w:pStyle w:val="Heading2"/>
        <w:spacing w:before="240" w:after="240"/>
        <w:rPr>
          <w:sz w:val="36"/>
          <w:szCs w:val="36"/>
        </w:rPr>
      </w:pPr>
      <w:r w:rsidRPr="00CC139F">
        <w:rPr>
          <w:sz w:val="36"/>
          <w:szCs w:val="36"/>
        </w:rPr>
        <w:t>Attachment(s)</w:t>
      </w:r>
    </w:p>
    <w:p w14:paraId="1D5E8206" w14:textId="7AD41C58" w:rsidR="00C05106" w:rsidRPr="00CC139F" w:rsidRDefault="00C05106" w:rsidP="006273ED">
      <w:pPr>
        <w:pStyle w:val="ListParagraph"/>
        <w:numPr>
          <w:ilvl w:val="0"/>
          <w:numId w:val="11"/>
        </w:numPr>
        <w:spacing w:after="480"/>
        <w:rPr>
          <w:rFonts w:cs="Arial"/>
        </w:rPr>
        <w:sectPr w:rsidR="00C05106" w:rsidRPr="00CC139F" w:rsidSect="0034235E">
          <w:type w:val="continuous"/>
          <w:pgSz w:w="12240" w:h="15840"/>
          <w:pgMar w:top="720" w:right="1440" w:bottom="1440" w:left="1440" w:header="720" w:footer="720" w:gutter="0"/>
          <w:cols w:space="720"/>
          <w:titlePg/>
          <w:docGrid w:linePitch="360"/>
        </w:sectPr>
      </w:pPr>
      <w:r w:rsidRPr="00CC139F">
        <w:rPr>
          <w:rFonts w:cs="Arial"/>
        </w:rPr>
        <w:t xml:space="preserve">Attachment 1: Regents of the University of California, Santa Cruz Contract </w:t>
      </w:r>
      <w:r w:rsidR="00561E0F" w:rsidRPr="00CC139F">
        <w:rPr>
          <w:rFonts w:cs="Arial"/>
        </w:rPr>
        <w:br/>
      </w:r>
      <w:r w:rsidRPr="00CC139F">
        <w:rPr>
          <w:rFonts w:cs="Arial"/>
        </w:rPr>
        <w:t>202</w:t>
      </w:r>
      <w:r w:rsidR="00BA6846" w:rsidRPr="00CC139F">
        <w:rPr>
          <w:rFonts w:cs="Arial"/>
        </w:rPr>
        <w:t>1</w:t>
      </w:r>
      <w:r w:rsidR="00561E0F" w:rsidRPr="00CC139F">
        <w:rPr>
          <w:rFonts w:cs="Arial"/>
        </w:rPr>
        <w:t>–</w:t>
      </w:r>
      <w:r w:rsidRPr="00CC139F">
        <w:rPr>
          <w:rFonts w:cs="Arial"/>
        </w:rPr>
        <w:t>2</w:t>
      </w:r>
      <w:r w:rsidR="00BA6846" w:rsidRPr="00CC139F">
        <w:rPr>
          <w:rFonts w:cs="Arial"/>
        </w:rPr>
        <w:t>2</w:t>
      </w:r>
      <w:r w:rsidRPr="00CC139F">
        <w:rPr>
          <w:rFonts w:cs="Arial"/>
        </w:rPr>
        <w:t xml:space="preserve"> Task Budget and Recommended Release (1 Page)</w:t>
      </w:r>
    </w:p>
    <w:p w14:paraId="2121B75B" w14:textId="52DE89AC" w:rsidR="008A469E" w:rsidRPr="00CC139F" w:rsidRDefault="008A469E" w:rsidP="008A469E">
      <w:pPr>
        <w:pStyle w:val="Heading1"/>
        <w:spacing w:before="240" w:after="240"/>
        <w:jc w:val="center"/>
        <w:rPr>
          <w:sz w:val="36"/>
          <w:szCs w:val="36"/>
        </w:rPr>
      </w:pPr>
      <w:r w:rsidRPr="00CC139F">
        <w:rPr>
          <w:sz w:val="36"/>
          <w:szCs w:val="36"/>
        </w:rPr>
        <w:lastRenderedPageBreak/>
        <w:t>Regents of the University of California, Santa Cruz Contract 202</w:t>
      </w:r>
      <w:r w:rsidR="00951A1D" w:rsidRPr="00CC139F">
        <w:rPr>
          <w:sz w:val="36"/>
          <w:szCs w:val="36"/>
        </w:rPr>
        <w:t>1</w:t>
      </w:r>
      <w:r w:rsidRPr="00CC139F">
        <w:rPr>
          <w:sz w:val="36"/>
          <w:szCs w:val="36"/>
        </w:rPr>
        <w:t>–2</w:t>
      </w:r>
      <w:r w:rsidR="00951A1D" w:rsidRPr="00CC139F">
        <w:rPr>
          <w:sz w:val="36"/>
          <w:szCs w:val="36"/>
        </w:rPr>
        <w:t>2</w:t>
      </w:r>
      <w:r w:rsidRPr="00CC139F">
        <w:rPr>
          <w:sz w:val="36"/>
          <w:szCs w:val="36"/>
        </w:rPr>
        <w:t xml:space="preserve"> Task Budget and Recommended Release</w:t>
      </w:r>
    </w:p>
    <w:p w14:paraId="2583E88A" w14:textId="62AAE9F5" w:rsidR="008A469E" w:rsidRPr="00CC139F" w:rsidRDefault="008A469E" w:rsidP="008A469E">
      <w:pPr>
        <w:spacing w:after="240"/>
        <w:rPr>
          <w:rFonts w:cs="Arial"/>
          <w:sz w:val="16"/>
          <w:szCs w:val="16"/>
        </w:rPr>
      </w:pPr>
      <w:r w:rsidRPr="00CC139F">
        <w:rPr>
          <w:rFonts w:cs="Arial"/>
        </w:rPr>
        <w:t>The California Department of Education (CDE) recommends the release of a total of $</w:t>
      </w:r>
      <w:r w:rsidR="005D44A2" w:rsidRPr="00CC139F">
        <w:rPr>
          <w:rFonts w:cs="Arial"/>
        </w:rPr>
        <w:t>71</w:t>
      </w:r>
      <w:r w:rsidRPr="00CC139F">
        <w:rPr>
          <w:rFonts w:cs="Arial"/>
        </w:rPr>
        <w:t>,</w:t>
      </w:r>
      <w:r w:rsidR="005D44A2" w:rsidRPr="00CC139F">
        <w:rPr>
          <w:rFonts w:cs="Arial"/>
        </w:rPr>
        <w:t>104</w:t>
      </w:r>
      <w:r w:rsidRPr="00CC139F">
        <w:rPr>
          <w:rFonts w:cs="Arial"/>
        </w:rPr>
        <w:t>.</w:t>
      </w:r>
      <w:r w:rsidR="005D44A2" w:rsidRPr="00CC139F">
        <w:rPr>
          <w:rFonts w:cs="Arial"/>
        </w:rPr>
        <w:t>98</w:t>
      </w:r>
      <w:r w:rsidRPr="00CC139F">
        <w:rPr>
          <w:rFonts w:cs="Arial"/>
        </w:rPr>
        <w:t xml:space="preserve"> to the Regents of the University of California, Santa Cruz from funds withheld during the 202</w:t>
      </w:r>
      <w:r w:rsidR="00951A1D" w:rsidRPr="00CC139F">
        <w:rPr>
          <w:rFonts w:cs="Arial"/>
        </w:rPr>
        <w:t>1</w:t>
      </w:r>
      <w:r w:rsidRPr="00CC139F">
        <w:rPr>
          <w:rFonts w:cs="Arial"/>
        </w:rPr>
        <w:t>–2</w:t>
      </w:r>
      <w:r w:rsidR="00951A1D" w:rsidRPr="00CC139F">
        <w:rPr>
          <w:rFonts w:cs="Arial"/>
        </w:rPr>
        <w:t>2</w:t>
      </w:r>
      <w:r w:rsidRPr="00CC139F">
        <w:rPr>
          <w:rFonts w:cs="Arial"/>
        </w:rPr>
        <w:t xml:space="preserve"> fiscal year</w:t>
      </w:r>
      <w:r w:rsidRPr="00CC139F">
        <w:rPr>
          <w:rFonts w:cs="Arial"/>
          <w:spacing w:val="-1"/>
        </w:rPr>
        <w:t xml:space="preserve"> </w:t>
      </w:r>
      <w:r w:rsidRPr="00CC139F">
        <w:rPr>
          <w:rFonts w:cs="Arial"/>
        </w:rPr>
        <w:t>for activities to develop the California Educator Reporting System for the English Language Proficiency Assessments for California (ELPAC)</w:t>
      </w:r>
      <w:r w:rsidRPr="00CC139F">
        <w:rPr>
          <w:rFonts w:ascii="Helvetica" w:hAnsi="Helvetica" w:cs="Helvetica"/>
          <w:color w:val="000000"/>
          <w:sz w:val="21"/>
          <w:szCs w:val="21"/>
          <w:lang w:val="en"/>
        </w:rPr>
        <w:t xml:space="preserve"> </w:t>
      </w:r>
      <w:r w:rsidRPr="00CC139F">
        <w:rPr>
          <w:rFonts w:cs="Arial"/>
        </w:rPr>
        <w:t xml:space="preserve">and </w:t>
      </w:r>
      <w:r w:rsidRPr="00CC139F">
        <w:rPr>
          <w:rFonts w:cs="Arial"/>
          <w:color w:val="000000"/>
        </w:rPr>
        <w:t>the California Assessment of Student Performance and Progress (CAASPP)</w:t>
      </w:r>
      <w:r w:rsidRPr="00CC139F">
        <w:rPr>
          <w:rFonts w:cs="Arial"/>
        </w:rPr>
        <w:t>.</w:t>
      </w:r>
    </w:p>
    <w:tbl>
      <w:tblPr>
        <w:tblStyle w:val="TableGrid6"/>
        <w:tblW w:w="5535" w:type="pct"/>
        <w:jc w:val="center"/>
        <w:tblLayout w:type="fixed"/>
        <w:tblLook w:val="00A0" w:firstRow="1" w:lastRow="0" w:firstColumn="1" w:lastColumn="0" w:noHBand="0" w:noVBand="0"/>
        <w:tblDescription w:val="This table displays the Regents of the University of California, Santa Cruz Contract 2021–2022 Task Budget and Recommended Release."/>
      </w:tblPr>
      <w:tblGrid>
        <w:gridCol w:w="2335"/>
        <w:gridCol w:w="1981"/>
        <w:gridCol w:w="1979"/>
        <w:gridCol w:w="1985"/>
        <w:gridCol w:w="2070"/>
      </w:tblGrid>
      <w:tr w:rsidR="008A469E" w:rsidRPr="00CC139F" w14:paraId="12013E0C" w14:textId="77777777" w:rsidTr="00B10A30">
        <w:trPr>
          <w:cantSplit/>
          <w:trHeight w:val="389"/>
          <w:tblHeader/>
          <w:jc w:val="center"/>
        </w:trPr>
        <w:tc>
          <w:tcPr>
            <w:tcW w:w="1128" w:type="pct"/>
            <w:shd w:val="pct15" w:color="auto" w:fill="auto"/>
            <w:vAlign w:val="center"/>
          </w:tcPr>
          <w:p w14:paraId="507CBEBD" w14:textId="007CFEE8" w:rsidR="008A469E" w:rsidRPr="00CC139F" w:rsidRDefault="008A469E" w:rsidP="00B10A30">
            <w:pPr>
              <w:spacing w:before="120" w:after="120"/>
              <w:jc w:val="center"/>
              <w:rPr>
                <w:rFonts w:cs="Arial"/>
                <w:b/>
              </w:rPr>
            </w:pPr>
            <w:r w:rsidRPr="00CC139F">
              <w:rPr>
                <w:rFonts w:cs="Arial"/>
                <w:b/>
              </w:rPr>
              <w:t>Component Task</w:t>
            </w:r>
            <w:r w:rsidRPr="00CC139F">
              <w:rPr>
                <w:rFonts w:cs="Arial"/>
                <w:b/>
              </w:rPr>
              <w:br/>
              <w:t>Scope of Work</w:t>
            </w:r>
          </w:p>
        </w:tc>
        <w:tc>
          <w:tcPr>
            <w:tcW w:w="957" w:type="pct"/>
            <w:shd w:val="pct15" w:color="auto" w:fill="auto"/>
            <w:vAlign w:val="center"/>
          </w:tcPr>
          <w:p w14:paraId="5CAE32DF" w14:textId="5E062D73" w:rsidR="008A469E" w:rsidRPr="00CC139F" w:rsidRDefault="008A469E" w:rsidP="00B10A30">
            <w:pPr>
              <w:spacing w:before="120" w:after="120"/>
              <w:jc w:val="center"/>
              <w:rPr>
                <w:rFonts w:cs="Arial"/>
                <w:b/>
              </w:rPr>
            </w:pPr>
            <w:r w:rsidRPr="00CC139F">
              <w:rPr>
                <w:rFonts w:cs="Arial"/>
                <w:b/>
              </w:rPr>
              <w:t>Total</w:t>
            </w:r>
            <w:r w:rsidRPr="00CC139F">
              <w:rPr>
                <w:rFonts w:cs="Arial"/>
                <w:b/>
              </w:rPr>
              <w:br/>
              <w:t>202</w:t>
            </w:r>
            <w:r w:rsidR="00951A1D" w:rsidRPr="00CC139F">
              <w:rPr>
                <w:rFonts w:cs="Arial"/>
                <w:b/>
              </w:rPr>
              <w:t>1</w:t>
            </w:r>
            <w:r w:rsidRPr="00CC139F">
              <w:rPr>
                <w:rFonts w:cs="Arial"/>
                <w:b/>
              </w:rPr>
              <w:t>–2</w:t>
            </w:r>
            <w:r w:rsidR="00951A1D" w:rsidRPr="00CC139F">
              <w:rPr>
                <w:rFonts w:cs="Arial"/>
                <w:b/>
              </w:rPr>
              <w:t>2</w:t>
            </w:r>
            <w:r w:rsidRPr="00CC139F">
              <w:rPr>
                <w:rFonts w:cs="Arial"/>
                <w:b/>
              </w:rPr>
              <w:br/>
              <w:t>Test Administration Budget</w:t>
            </w:r>
          </w:p>
        </w:tc>
        <w:tc>
          <w:tcPr>
            <w:tcW w:w="956" w:type="pct"/>
            <w:shd w:val="pct15" w:color="auto" w:fill="auto"/>
            <w:vAlign w:val="center"/>
          </w:tcPr>
          <w:p w14:paraId="21E28987" w14:textId="77777777" w:rsidR="008A469E" w:rsidRPr="00CC139F" w:rsidRDefault="008A469E" w:rsidP="00B10A30">
            <w:pPr>
              <w:spacing w:before="120" w:after="120"/>
              <w:jc w:val="center"/>
              <w:rPr>
                <w:rFonts w:cs="Arial"/>
                <w:b/>
              </w:rPr>
            </w:pPr>
            <w:r w:rsidRPr="00CC139F">
              <w:rPr>
                <w:rFonts w:cs="Arial"/>
                <w:b/>
              </w:rPr>
              <w:t>Amount Paid/</w:t>
            </w:r>
            <w:r w:rsidRPr="00CC139F">
              <w:rPr>
                <w:rFonts w:cs="Arial"/>
                <w:b/>
              </w:rPr>
              <w:br/>
            </w:r>
            <w:r w:rsidRPr="00CC139F">
              <w:rPr>
                <w:rFonts w:cs="Arial"/>
                <w:b/>
                <w:bCs/>
              </w:rPr>
              <w:t>to Be Paid from Progress Payments</w:t>
            </w:r>
          </w:p>
        </w:tc>
        <w:tc>
          <w:tcPr>
            <w:tcW w:w="959" w:type="pct"/>
            <w:shd w:val="pct15" w:color="auto" w:fill="auto"/>
            <w:vAlign w:val="center"/>
          </w:tcPr>
          <w:p w14:paraId="0AC2C4D5" w14:textId="77777777" w:rsidR="008A469E" w:rsidRPr="00CC139F" w:rsidRDefault="008A469E" w:rsidP="00B10A30">
            <w:pPr>
              <w:spacing w:before="120" w:after="120"/>
              <w:jc w:val="center"/>
              <w:rPr>
                <w:rFonts w:cs="Arial"/>
                <w:b/>
              </w:rPr>
            </w:pPr>
            <w:r w:rsidRPr="00CC139F">
              <w:rPr>
                <w:rFonts w:cs="Arial"/>
                <w:b/>
              </w:rPr>
              <w:t>10 Percent Withheld (Pending</w:t>
            </w:r>
            <w:r w:rsidRPr="00CC139F">
              <w:rPr>
                <w:rFonts w:cs="Arial"/>
                <w:b/>
              </w:rPr>
              <w:br/>
              <w:t>Release)</w:t>
            </w:r>
          </w:p>
        </w:tc>
        <w:tc>
          <w:tcPr>
            <w:tcW w:w="1000" w:type="pct"/>
            <w:shd w:val="pct15" w:color="auto" w:fill="auto"/>
            <w:vAlign w:val="center"/>
          </w:tcPr>
          <w:p w14:paraId="6D05C91D" w14:textId="77777777" w:rsidR="008A469E" w:rsidRPr="00CC139F" w:rsidRDefault="008A469E" w:rsidP="00B10A30">
            <w:pPr>
              <w:spacing w:before="120" w:after="120"/>
              <w:jc w:val="center"/>
              <w:rPr>
                <w:rFonts w:cs="Arial"/>
                <w:b/>
              </w:rPr>
            </w:pPr>
            <w:r w:rsidRPr="00CC139F">
              <w:rPr>
                <w:rFonts w:cs="Arial"/>
                <w:b/>
              </w:rPr>
              <w:t>Recommended</w:t>
            </w:r>
            <w:r w:rsidRPr="00CC139F">
              <w:rPr>
                <w:rFonts w:cs="Arial"/>
                <w:b/>
              </w:rPr>
              <w:br/>
              <w:t>(Release)</w:t>
            </w:r>
          </w:p>
        </w:tc>
      </w:tr>
      <w:tr w:rsidR="008A469E" w:rsidRPr="00CC139F" w14:paraId="7A063E5D" w14:textId="77777777" w:rsidTr="00B10A30">
        <w:trPr>
          <w:cantSplit/>
          <w:trHeight w:val="389"/>
          <w:jc w:val="center"/>
        </w:trPr>
        <w:tc>
          <w:tcPr>
            <w:tcW w:w="1128" w:type="pct"/>
          </w:tcPr>
          <w:p w14:paraId="54B60409" w14:textId="77777777" w:rsidR="008A469E" w:rsidRPr="00CC139F" w:rsidRDefault="008A469E" w:rsidP="00B10A30">
            <w:pPr>
              <w:spacing w:before="120" w:after="120"/>
              <w:ind w:firstLine="5"/>
              <w:rPr>
                <w:rFonts w:eastAsia="Arial" w:cs="Arial"/>
              </w:rPr>
            </w:pPr>
            <w:r w:rsidRPr="00CC139F">
              <w:rPr>
                <w:rFonts w:eastAsia="Arial" w:cs="Arial"/>
              </w:rPr>
              <w:t xml:space="preserve">Task 1: </w:t>
            </w:r>
            <w:r w:rsidRPr="00CC139F">
              <w:rPr>
                <w:rFonts w:eastAsia="Arial" w:cs="Arial"/>
              </w:rPr>
              <w:br/>
              <w:t>Summative and Alternate ELPAC Educator Reporting</w:t>
            </w:r>
          </w:p>
        </w:tc>
        <w:tc>
          <w:tcPr>
            <w:tcW w:w="957" w:type="pct"/>
          </w:tcPr>
          <w:p w14:paraId="65C5B784" w14:textId="4A968CE6" w:rsidR="008A469E" w:rsidRPr="00CC139F" w:rsidRDefault="008A469E" w:rsidP="00B10A30">
            <w:pPr>
              <w:spacing w:before="120" w:after="120"/>
              <w:jc w:val="right"/>
              <w:rPr>
                <w:rFonts w:eastAsia="Arial" w:cs="Arial"/>
              </w:rPr>
            </w:pPr>
            <w:r w:rsidRPr="00CC139F">
              <w:rPr>
                <w:rFonts w:eastAsia="Arial" w:cs="Arial"/>
                <w:color w:val="000000" w:themeColor="text1"/>
              </w:rPr>
              <w:t>$</w:t>
            </w:r>
            <w:r w:rsidR="00EB7127" w:rsidRPr="00CC139F">
              <w:rPr>
                <w:rFonts w:eastAsia="Arial" w:cs="Arial"/>
                <w:color w:val="000000" w:themeColor="text1"/>
              </w:rPr>
              <w:t>153,656.34</w:t>
            </w:r>
          </w:p>
        </w:tc>
        <w:tc>
          <w:tcPr>
            <w:tcW w:w="956" w:type="pct"/>
          </w:tcPr>
          <w:p w14:paraId="6D1E3285" w14:textId="2CB0F8DA" w:rsidR="008A469E" w:rsidRPr="00CC139F" w:rsidRDefault="008A469E" w:rsidP="00B10A30">
            <w:pPr>
              <w:spacing w:before="120" w:after="120"/>
              <w:jc w:val="right"/>
              <w:rPr>
                <w:rFonts w:eastAsia="Arial" w:cs="Arial"/>
              </w:rPr>
            </w:pPr>
            <w:r w:rsidRPr="00CC139F">
              <w:rPr>
                <w:rFonts w:eastAsia="Arial" w:cs="Arial"/>
                <w:color w:val="000000" w:themeColor="text1"/>
              </w:rPr>
              <w:t>$</w:t>
            </w:r>
            <w:r w:rsidR="00C86315" w:rsidRPr="00CC139F">
              <w:rPr>
                <w:rFonts w:eastAsia="Arial" w:cs="Arial"/>
                <w:color w:val="000000" w:themeColor="text1"/>
              </w:rPr>
              <w:t>138,290.7</w:t>
            </w:r>
            <w:r w:rsidR="002778A0" w:rsidRPr="00CC139F">
              <w:rPr>
                <w:rFonts w:eastAsia="Arial" w:cs="Arial"/>
                <w:color w:val="000000" w:themeColor="text1"/>
              </w:rPr>
              <w:t>0</w:t>
            </w:r>
          </w:p>
        </w:tc>
        <w:tc>
          <w:tcPr>
            <w:tcW w:w="959" w:type="pct"/>
          </w:tcPr>
          <w:p w14:paraId="3A8503EA" w14:textId="5848298C" w:rsidR="008A469E" w:rsidRPr="00CC139F" w:rsidRDefault="008A469E" w:rsidP="00B10A30">
            <w:pPr>
              <w:spacing w:before="120" w:after="120"/>
              <w:jc w:val="right"/>
              <w:rPr>
                <w:rFonts w:eastAsia="Arial" w:cs="Arial"/>
              </w:rPr>
            </w:pPr>
            <w:r w:rsidRPr="00CC139F">
              <w:rPr>
                <w:rFonts w:eastAsia="Arial" w:cs="Arial"/>
                <w:color w:val="000000" w:themeColor="text1"/>
              </w:rPr>
              <w:t>$</w:t>
            </w:r>
            <w:r w:rsidR="00C86315" w:rsidRPr="00CC139F">
              <w:rPr>
                <w:rFonts w:eastAsia="Arial" w:cs="Arial"/>
                <w:color w:val="000000" w:themeColor="text1"/>
              </w:rPr>
              <w:t>15,365.6</w:t>
            </w:r>
            <w:r w:rsidR="002778A0" w:rsidRPr="00CC139F">
              <w:rPr>
                <w:rFonts w:eastAsia="Arial" w:cs="Arial"/>
                <w:color w:val="000000" w:themeColor="text1"/>
              </w:rPr>
              <w:t>4</w:t>
            </w:r>
          </w:p>
        </w:tc>
        <w:tc>
          <w:tcPr>
            <w:tcW w:w="1000" w:type="pct"/>
          </w:tcPr>
          <w:p w14:paraId="1BF3FB8E" w14:textId="03CCD23F" w:rsidR="008A469E" w:rsidRPr="00CC139F" w:rsidRDefault="008A469E" w:rsidP="00B10A30">
            <w:pPr>
              <w:spacing w:before="120" w:after="120"/>
              <w:jc w:val="right"/>
              <w:rPr>
                <w:rFonts w:eastAsia="Arial" w:cs="Arial"/>
              </w:rPr>
            </w:pPr>
            <w:r w:rsidRPr="00CC139F">
              <w:rPr>
                <w:rFonts w:eastAsia="Arial" w:cs="Arial"/>
                <w:color w:val="000000" w:themeColor="text1"/>
              </w:rPr>
              <w:t>$</w:t>
            </w:r>
            <w:r w:rsidR="002778A0" w:rsidRPr="00CC139F">
              <w:rPr>
                <w:rFonts w:eastAsia="Arial" w:cs="Arial"/>
                <w:color w:val="000000" w:themeColor="text1"/>
              </w:rPr>
              <w:t>15,365.64</w:t>
            </w:r>
          </w:p>
        </w:tc>
      </w:tr>
      <w:tr w:rsidR="008A469E" w:rsidRPr="00CC139F" w14:paraId="048544FC" w14:textId="77777777" w:rsidTr="00B10A30">
        <w:trPr>
          <w:cantSplit/>
          <w:trHeight w:val="389"/>
          <w:jc w:val="center"/>
        </w:trPr>
        <w:tc>
          <w:tcPr>
            <w:tcW w:w="1128" w:type="pct"/>
          </w:tcPr>
          <w:p w14:paraId="5C937670" w14:textId="77777777" w:rsidR="008A469E" w:rsidRPr="00CC139F" w:rsidRDefault="008A469E" w:rsidP="00B10A30">
            <w:pPr>
              <w:spacing w:before="120" w:after="120"/>
              <w:ind w:firstLine="5"/>
              <w:rPr>
                <w:rFonts w:eastAsia="Arial" w:cs="Arial"/>
              </w:rPr>
            </w:pPr>
            <w:r w:rsidRPr="00CC139F">
              <w:rPr>
                <w:rFonts w:eastAsia="Arial" w:cs="Arial"/>
              </w:rPr>
              <w:t xml:space="preserve">Task 2: </w:t>
            </w:r>
            <w:r w:rsidRPr="00CC139F">
              <w:rPr>
                <w:rFonts w:eastAsia="Arial" w:cs="Arial"/>
              </w:rPr>
              <w:br/>
              <w:t>CAASPP Non-Smarter Balanced Assessment Educator Reporting</w:t>
            </w:r>
          </w:p>
        </w:tc>
        <w:tc>
          <w:tcPr>
            <w:tcW w:w="957" w:type="pct"/>
          </w:tcPr>
          <w:p w14:paraId="20337BE2" w14:textId="23FF6C22" w:rsidR="008A469E" w:rsidRPr="00CC139F" w:rsidRDefault="008A469E" w:rsidP="00B10A30">
            <w:pPr>
              <w:spacing w:before="120" w:after="120"/>
              <w:jc w:val="right"/>
              <w:rPr>
                <w:rFonts w:eastAsia="Arial" w:cs="Arial"/>
              </w:rPr>
            </w:pPr>
            <w:r w:rsidRPr="00CC139F">
              <w:rPr>
                <w:rFonts w:eastAsia="Arial" w:cs="Arial"/>
                <w:color w:val="000000" w:themeColor="text1"/>
              </w:rPr>
              <w:t>$</w:t>
            </w:r>
            <w:r w:rsidR="001467F0" w:rsidRPr="00CC139F">
              <w:rPr>
                <w:rFonts w:eastAsia="Arial" w:cs="Arial"/>
                <w:color w:val="000000" w:themeColor="text1"/>
              </w:rPr>
              <w:t>349,920.42</w:t>
            </w:r>
          </w:p>
        </w:tc>
        <w:tc>
          <w:tcPr>
            <w:tcW w:w="956" w:type="pct"/>
          </w:tcPr>
          <w:p w14:paraId="722454BB" w14:textId="0412EE7F" w:rsidR="008A469E" w:rsidRPr="00CC139F" w:rsidRDefault="008A469E" w:rsidP="00B10A30">
            <w:pPr>
              <w:spacing w:before="120" w:after="120"/>
              <w:jc w:val="right"/>
              <w:rPr>
                <w:rFonts w:eastAsia="Arial" w:cs="Arial"/>
              </w:rPr>
            </w:pPr>
            <w:r w:rsidRPr="00CC139F">
              <w:rPr>
                <w:rFonts w:eastAsia="Arial" w:cs="Arial"/>
                <w:color w:val="000000" w:themeColor="text1"/>
              </w:rPr>
              <w:t>$</w:t>
            </w:r>
            <w:r w:rsidR="002778A0" w:rsidRPr="00CC139F">
              <w:rPr>
                <w:rFonts w:eastAsia="Arial" w:cs="Arial"/>
                <w:color w:val="000000" w:themeColor="text1"/>
              </w:rPr>
              <w:t>314,928.38</w:t>
            </w:r>
          </w:p>
        </w:tc>
        <w:tc>
          <w:tcPr>
            <w:tcW w:w="959" w:type="pct"/>
          </w:tcPr>
          <w:p w14:paraId="76D37CA5" w14:textId="75F4D763" w:rsidR="008A469E" w:rsidRPr="00CC139F" w:rsidRDefault="008A469E" w:rsidP="00B10A30">
            <w:pPr>
              <w:spacing w:before="120" w:after="120"/>
              <w:jc w:val="right"/>
              <w:rPr>
                <w:rFonts w:eastAsia="Arial" w:cs="Arial"/>
                <w:color w:val="000000" w:themeColor="text1"/>
              </w:rPr>
            </w:pPr>
            <w:r w:rsidRPr="00CC139F">
              <w:rPr>
                <w:rFonts w:eastAsia="Arial" w:cs="Arial"/>
              </w:rPr>
              <w:t>$</w:t>
            </w:r>
            <w:r w:rsidR="00C86315" w:rsidRPr="00CC139F">
              <w:rPr>
                <w:rFonts w:eastAsia="Arial" w:cs="Arial"/>
              </w:rPr>
              <w:t>34,992.04</w:t>
            </w:r>
          </w:p>
        </w:tc>
        <w:tc>
          <w:tcPr>
            <w:tcW w:w="1000" w:type="pct"/>
          </w:tcPr>
          <w:p w14:paraId="2A61C9BE" w14:textId="2FE3A5CF" w:rsidR="008A469E" w:rsidRPr="00CC139F" w:rsidRDefault="008A469E" w:rsidP="00B10A30">
            <w:pPr>
              <w:spacing w:before="120" w:after="120"/>
              <w:jc w:val="right"/>
              <w:rPr>
                <w:rFonts w:eastAsia="Arial" w:cs="Arial"/>
              </w:rPr>
            </w:pPr>
            <w:r w:rsidRPr="00CC139F">
              <w:rPr>
                <w:rFonts w:eastAsia="Arial" w:cs="Arial"/>
                <w:color w:val="000000" w:themeColor="text1"/>
              </w:rPr>
              <w:t>$</w:t>
            </w:r>
            <w:r w:rsidR="002778A0" w:rsidRPr="00CC139F">
              <w:rPr>
                <w:rFonts w:eastAsia="Arial" w:cs="Arial"/>
                <w:color w:val="000000" w:themeColor="text1"/>
              </w:rPr>
              <w:t>34,992.04</w:t>
            </w:r>
          </w:p>
        </w:tc>
      </w:tr>
      <w:tr w:rsidR="008A469E" w:rsidRPr="00CC139F" w14:paraId="0DA005E8" w14:textId="77777777" w:rsidTr="00B10A30">
        <w:trPr>
          <w:cantSplit/>
          <w:trHeight w:val="389"/>
          <w:jc w:val="center"/>
        </w:trPr>
        <w:tc>
          <w:tcPr>
            <w:tcW w:w="1128" w:type="pct"/>
          </w:tcPr>
          <w:p w14:paraId="07B42B8D" w14:textId="77777777" w:rsidR="008A469E" w:rsidRPr="00CC139F" w:rsidRDefault="008A469E" w:rsidP="00B10A30">
            <w:pPr>
              <w:spacing w:before="120" w:after="120"/>
              <w:rPr>
                <w:rFonts w:eastAsia="Arial" w:cs="Arial"/>
              </w:rPr>
            </w:pPr>
            <w:r w:rsidRPr="00CC139F">
              <w:rPr>
                <w:rFonts w:eastAsia="Arial" w:cs="Arial"/>
              </w:rPr>
              <w:t>Task 4: Coordination and Communication with the CDE</w:t>
            </w:r>
          </w:p>
        </w:tc>
        <w:tc>
          <w:tcPr>
            <w:tcW w:w="957" w:type="pct"/>
          </w:tcPr>
          <w:p w14:paraId="25F775F3" w14:textId="321348C5" w:rsidR="008A469E" w:rsidRPr="00CC139F" w:rsidRDefault="008A469E" w:rsidP="00B10A30">
            <w:pPr>
              <w:spacing w:before="120" w:after="120"/>
              <w:jc w:val="right"/>
              <w:rPr>
                <w:rFonts w:eastAsia="Arial" w:cs="Arial"/>
              </w:rPr>
            </w:pPr>
            <w:r w:rsidRPr="00CC139F">
              <w:rPr>
                <w:rFonts w:eastAsia="Arial" w:cs="Arial"/>
                <w:color w:val="000000" w:themeColor="text1"/>
              </w:rPr>
              <w:t>$</w:t>
            </w:r>
            <w:r w:rsidR="006E432D" w:rsidRPr="00CC139F">
              <w:rPr>
                <w:rFonts w:eastAsia="Arial" w:cs="Arial"/>
                <w:color w:val="000000" w:themeColor="text1"/>
              </w:rPr>
              <w:t>207,473</w:t>
            </w:r>
            <w:r w:rsidR="002778A0" w:rsidRPr="00CC139F">
              <w:rPr>
                <w:rFonts w:eastAsia="Arial" w:cs="Arial"/>
                <w:color w:val="000000" w:themeColor="text1"/>
              </w:rPr>
              <w:t>.00</w:t>
            </w:r>
          </w:p>
        </w:tc>
        <w:tc>
          <w:tcPr>
            <w:tcW w:w="956" w:type="pct"/>
          </w:tcPr>
          <w:p w14:paraId="2174A7D2" w14:textId="19D64E1F" w:rsidR="008A469E" w:rsidRPr="00CC139F" w:rsidRDefault="008A469E" w:rsidP="00B10A30">
            <w:pPr>
              <w:spacing w:before="120" w:after="120"/>
              <w:jc w:val="right"/>
              <w:rPr>
                <w:rFonts w:eastAsia="Arial" w:cs="Arial"/>
              </w:rPr>
            </w:pPr>
            <w:r w:rsidRPr="00CC139F">
              <w:rPr>
                <w:rFonts w:eastAsia="Arial" w:cs="Arial"/>
                <w:color w:val="000000" w:themeColor="text1"/>
              </w:rPr>
              <w:t>$</w:t>
            </w:r>
            <w:r w:rsidR="002778A0" w:rsidRPr="00CC139F">
              <w:rPr>
                <w:rFonts w:eastAsia="Arial" w:cs="Arial"/>
                <w:color w:val="000000" w:themeColor="text1"/>
              </w:rPr>
              <w:t>186,725.70</w:t>
            </w:r>
          </w:p>
        </w:tc>
        <w:tc>
          <w:tcPr>
            <w:tcW w:w="959" w:type="pct"/>
          </w:tcPr>
          <w:p w14:paraId="1356F424" w14:textId="28DB7D11" w:rsidR="008A469E" w:rsidRPr="00CC139F" w:rsidRDefault="008A469E" w:rsidP="00B10A30">
            <w:pPr>
              <w:spacing w:before="120" w:after="120"/>
              <w:jc w:val="right"/>
              <w:rPr>
                <w:rFonts w:eastAsia="Arial" w:cs="Arial"/>
              </w:rPr>
            </w:pPr>
            <w:r w:rsidRPr="00CC139F">
              <w:rPr>
                <w:rFonts w:eastAsia="Arial" w:cs="Arial"/>
                <w:color w:val="000000" w:themeColor="text1"/>
              </w:rPr>
              <w:t>$</w:t>
            </w:r>
            <w:r w:rsidR="00C86315" w:rsidRPr="00CC139F">
              <w:rPr>
                <w:rFonts w:eastAsia="Arial" w:cs="Arial"/>
                <w:color w:val="000000" w:themeColor="text1"/>
              </w:rPr>
              <w:t>20,747.3</w:t>
            </w:r>
            <w:r w:rsidR="002778A0" w:rsidRPr="00CC139F">
              <w:rPr>
                <w:rFonts w:eastAsia="Arial" w:cs="Arial"/>
                <w:color w:val="000000" w:themeColor="text1"/>
              </w:rPr>
              <w:t>0</w:t>
            </w:r>
          </w:p>
        </w:tc>
        <w:tc>
          <w:tcPr>
            <w:tcW w:w="1000" w:type="pct"/>
          </w:tcPr>
          <w:p w14:paraId="09E0BC2F" w14:textId="483348B9" w:rsidR="008A469E" w:rsidRPr="00CC139F" w:rsidRDefault="008A469E" w:rsidP="00B10A30">
            <w:pPr>
              <w:spacing w:before="120" w:after="120"/>
              <w:jc w:val="right"/>
              <w:rPr>
                <w:rFonts w:eastAsia="Arial" w:cs="Arial"/>
              </w:rPr>
            </w:pPr>
            <w:r w:rsidRPr="00CC139F">
              <w:rPr>
                <w:rFonts w:eastAsia="Arial" w:cs="Arial"/>
                <w:color w:val="000000" w:themeColor="text1"/>
              </w:rPr>
              <w:t>$</w:t>
            </w:r>
            <w:r w:rsidR="002778A0" w:rsidRPr="00CC139F">
              <w:rPr>
                <w:rFonts w:eastAsia="Arial" w:cs="Arial"/>
                <w:color w:val="000000" w:themeColor="text1"/>
              </w:rPr>
              <w:t>20,747.30</w:t>
            </w:r>
          </w:p>
        </w:tc>
      </w:tr>
      <w:tr w:rsidR="008A469E" w:rsidRPr="004B1693" w14:paraId="11411671" w14:textId="77777777" w:rsidTr="00B10A30">
        <w:trPr>
          <w:cantSplit/>
          <w:trHeight w:val="389"/>
          <w:jc w:val="center"/>
        </w:trPr>
        <w:tc>
          <w:tcPr>
            <w:tcW w:w="1128" w:type="pct"/>
          </w:tcPr>
          <w:p w14:paraId="4F0F5CE9" w14:textId="77777777" w:rsidR="008A469E" w:rsidRPr="00CC139F" w:rsidRDefault="008A469E" w:rsidP="00B10A30">
            <w:pPr>
              <w:spacing w:before="120" w:after="120"/>
              <w:rPr>
                <w:rFonts w:eastAsia="Arial" w:cs="Arial"/>
                <w:b/>
              </w:rPr>
            </w:pPr>
            <w:r w:rsidRPr="00CC139F">
              <w:rPr>
                <w:rFonts w:eastAsia="Arial" w:cs="Arial"/>
                <w:b/>
              </w:rPr>
              <w:t>Total</w:t>
            </w:r>
          </w:p>
        </w:tc>
        <w:tc>
          <w:tcPr>
            <w:tcW w:w="957" w:type="pct"/>
          </w:tcPr>
          <w:p w14:paraId="1B6C495D" w14:textId="2B4F4710" w:rsidR="008A469E" w:rsidRPr="00CC139F" w:rsidRDefault="008A469E" w:rsidP="00B10A30">
            <w:pPr>
              <w:spacing w:before="120" w:after="120"/>
              <w:jc w:val="right"/>
              <w:rPr>
                <w:rFonts w:eastAsia="Arial" w:cs="Arial"/>
                <w:b/>
              </w:rPr>
            </w:pPr>
            <w:r w:rsidRPr="00CC139F">
              <w:rPr>
                <w:rFonts w:eastAsia="Arial" w:cs="Arial"/>
                <w:b/>
                <w:color w:val="000000" w:themeColor="text1"/>
              </w:rPr>
              <w:t>$</w:t>
            </w:r>
            <w:r w:rsidR="006E432D" w:rsidRPr="00CC139F">
              <w:rPr>
                <w:rFonts w:eastAsia="Arial" w:cs="Arial"/>
                <w:b/>
                <w:color w:val="000000" w:themeColor="text1"/>
              </w:rPr>
              <w:t>711,049.76</w:t>
            </w:r>
          </w:p>
        </w:tc>
        <w:tc>
          <w:tcPr>
            <w:tcW w:w="956" w:type="pct"/>
          </w:tcPr>
          <w:p w14:paraId="24472BC9" w14:textId="7A40A608" w:rsidR="008A469E" w:rsidRPr="00CC139F" w:rsidRDefault="008A469E" w:rsidP="00B10A30">
            <w:pPr>
              <w:spacing w:before="120" w:after="120"/>
              <w:jc w:val="right"/>
              <w:rPr>
                <w:rFonts w:eastAsia="Arial" w:cs="Arial"/>
                <w:b/>
              </w:rPr>
            </w:pPr>
            <w:r w:rsidRPr="00CC139F">
              <w:rPr>
                <w:rFonts w:eastAsia="Arial" w:cs="Arial"/>
                <w:b/>
                <w:color w:val="000000" w:themeColor="text1"/>
              </w:rPr>
              <w:t>$</w:t>
            </w:r>
            <w:r w:rsidR="002778A0" w:rsidRPr="00CC139F">
              <w:rPr>
                <w:rFonts w:eastAsia="Arial" w:cs="Arial"/>
                <w:b/>
                <w:color w:val="000000" w:themeColor="text1"/>
              </w:rPr>
              <w:t>639,944.78</w:t>
            </w:r>
          </w:p>
        </w:tc>
        <w:tc>
          <w:tcPr>
            <w:tcW w:w="959" w:type="pct"/>
          </w:tcPr>
          <w:p w14:paraId="59677DEF" w14:textId="066AD9A9" w:rsidR="008A469E" w:rsidRPr="00CC139F" w:rsidRDefault="008A469E" w:rsidP="00B10A30">
            <w:pPr>
              <w:spacing w:before="120" w:after="120"/>
              <w:jc w:val="right"/>
              <w:rPr>
                <w:rFonts w:eastAsia="Arial" w:cs="Arial"/>
                <w:b/>
              </w:rPr>
            </w:pPr>
            <w:r w:rsidRPr="00CC139F">
              <w:rPr>
                <w:rFonts w:eastAsia="Arial" w:cs="Arial"/>
                <w:b/>
                <w:color w:val="000000" w:themeColor="text1"/>
              </w:rPr>
              <w:t>$</w:t>
            </w:r>
            <w:r w:rsidR="00C86315" w:rsidRPr="00CC139F">
              <w:rPr>
                <w:rFonts w:eastAsia="Arial" w:cs="Arial"/>
                <w:b/>
                <w:color w:val="000000" w:themeColor="text1"/>
              </w:rPr>
              <w:t>71,104.9</w:t>
            </w:r>
            <w:r w:rsidR="00A83FC7" w:rsidRPr="00CC139F">
              <w:rPr>
                <w:rFonts w:eastAsia="Arial" w:cs="Arial"/>
                <w:b/>
                <w:color w:val="000000" w:themeColor="text1"/>
              </w:rPr>
              <w:t>8</w:t>
            </w:r>
          </w:p>
        </w:tc>
        <w:tc>
          <w:tcPr>
            <w:tcW w:w="1000" w:type="pct"/>
          </w:tcPr>
          <w:p w14:paraId="72571156" w14:textId="678A171A" w:rsidR="008A469E" w:rsidRPr="004F0084" w:rsidRDefault="008A469E" w:rsidP="00B10A30">
            <w:pPr>
              <w:spacing w:before="120" w:after="120"/>
              <w:jc w:val="right"/>
              <w:rPr>
                <w:rFonts w:eastAsia="Arial" w:cs="Arial"/>
                <w:b/>
              </w:rPr>
            </w:pPr>
            <w:r w:rsidRPr="00CC139F">
              <w:rPr>
                <w:rFonts w:eastAsia="Arial" w:cs="Arial"/>
                <w:b/>
                <w:color w:val="000000" w:themeColor="text1"/>
              </w:rPr>
              <w:t>$</w:t>
            </w:r>
            <w:r w:rsidR="002778A0" w:rsidRPr="00CC139F">
              <w:rPr>
                <w:rFonts w:eastAsia="Arial" w:cs="Arial"/>
                <w:b/>
                <w:color w:val="000000" w:themeColor="text1"/>
              </w:rPr>
              <w:t>71,104.98</w:t>
            </w:r>
          </w:p>
        </w:tc>
      </w:tr>
    </w:tbl>
    <w:p w14:paraId="17B2ACEF" w14:textId="30F0B50D" w:rsidR="00BD1ED6" w:rsidRPr="00BD1ED6" w:rsidRDefault="00BD1ED6" w:rsidP="00C05106">
      <w:pPr>
        <w:spacing w:after="480"/>
        <w:rPr>
          <w:b/>
        </w:rPr>
      </w:pPr>
    </w:p>
    <w:sectPr w:rsidR="00BD1ED6" w:rsidRPr="00BD1ED6" w:rsidSect="008A469E">
      <w:headerReference w:type="default" r:id="rId16"/>
      <w:headerReference w:type="first" r:id="rId17"/>
      <w:pgSz w:w="12240" w:h="15840"/>
      <w:pgMar w:top="72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FF1BCB" w14:textId="77777777" w:rsidR="00C63086" w:rsidRDefault="00C63086" w:rsidP="000E09DC">
      <w:r>
        <w:separator/>
      </w:r>
    </w:p>
  </w:endnote>
  <w:endnote w:type="continuationSeparator" w:id="0">
    <w:p w14:paraId="354F7E77" w14:textId="77777777" w:rsidR="00C63086" w:rsidRDefault="00C63086"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85B900" w14:textId="77777777" w:rsidR="00C63086" w:rsidRDefault="00C63086" w:rsidP="000E09DC">
      <w:r>
        <w:separator/>
      </w:r>
    </w:p>
  </w:footnote>
  <w:footnote w:type="continuationSeparator" w:id="0">
    <w:p w14:paraId="436776DB" w14:textId="77777777" w:rsidR="00C63086" w:rsidRDefault="00C63086" w:rsidP="000E09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4ABC90" w14:textId="2077F275" w:rsidR="0034235E" w:rsidRPr="0034235E" w:rsidRDefault="0034235E" w:rsidP="0034235E">
    <w:pPr>
      <w:jc w:val="right"/>
    </w:pPr>
    <w:r w:rsidRPr="0034235E">
      <w:t>imab-adad-</w:t>
    </w:r>
    <w:r w:rsidR="00997C80">
      <w:t>nov</w:t>
    </w:r>
    <w:r w:rsidRPr="0034235E">
      <w:t>22item0</w:t>
    </w:r>
    <w:r w:rsidR="004B3C53">
      <w:t>3</w:t>
    </w:r>
  </w:p>
  <w:p w14:paraId="03AB83D6" w14:textId="3A97B79E" w:rsidR="002D4BFF" w:rsidRDefault="002D4BFF" w:rsidP="004B3C53">
    <w:pPr>
      <w:pStyle w:val="Header"/>
      <w:spacing w:after="360"/>
      <w:jc w:val="right"/>
      <w:rPr>
        <w:rFonts w:cs="Arial"/>
      </w:rPr>
    </w:pPr>
    <w:r w:rsidRPr="0034235E">
      <w:rPr>
        <w:rFonts w:cs="Arial"/>
      </w:rPr>
      <w:t xml:space="preserve">Page </w:t>
    </w:r>
    <w:r w:rsidRPr="0034235E">
      <w:rPr>
        <w:rFonts w:cs="Arial"/>
      </w:rPr>
      <w:fldChar w:fldCharType="begin"/>
    </w:r>
    <w:r w:rsidRPr="0034235E">
      <w:rPr>
        <w:rFonts w:cs="Arial"/>
      </w:rPr>
      <w:instrText xml:space="preserve"> PAGE   \* MERGEFORMAT </w:instrText>
    </w:r>
    <w:r w:rsidRPr="0034235E">
      <w:rPr>
        <w:rFonts w:cs="Arial"/>
      </w:rPr>
      <w:fldChar w:fldCharType="separate"/>
    </w:r>
    <w:r w:rsidRPr="0034235E">
      <w:rPr>
        <w:rFonts w:cs="Arial"/>
        <w:noProof/>
      </w:rPr>
      <w:t>2</w:t>
    </w:r>
    <w:r w:rsidRPr="0034235E">
      <w:rPr>
        <w:rFonts w:cs="Arial"/>
        <w:noProof/>
      </w:rPr>
      <w:fldChar w:fldCharType="end"/>
    </w:r>
    <w:r w:rsidRPr="0034235E">
      <w:rPr>
        <w:rFonts w:cs="Arial"/>
      </w:rPr>
      <w:t xml:space="preserve"> of </w:t>
    </w:r>
    <w:r w:rsidR="0034235E">
      <w:rPr>
        <w:rFonts w:cs="Arial"/>
      </w:rPr>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61627F" w14:textId="77777777" w:rsidR="008A469E" w:rsidRPr="0034235E" w:rsidRDefault="008A469E" w:rsidP="0034235E">
    <w:pPr>
      <w:jc w:val="right"/>
    </w:pPr>
    <w:r w:rsidRPr="0034235E">
      <w:t>imab-adad-</w:t>
    </w:r>
    <w:r>
      <w:t>nov</w:t>
    </w:r>
    <w:r w:rsidRPr="0034235E">
      <w:t>22item0</w:t>
    </w:r>
    <w:r>
      <w:t>3</w:t>
    </w:r>
  </w:p>
  <w:p w14:paraId="4701E278" w14:textId="018CFA62" w:rsidR="008A469E" w:rsidRDefault="008A469E" w:rsidP="008A469E">
    <w:pPr>
      <w:pStyle w:val="Header"/>
      <w:jc w:val="right"/>
      <w:rPr>
        <w:rFonts w:cs="Arial"/>
      </w:rPr>
    </w:pPr>
    <w:r>
      <w:rPr>
        <w:rFonts w:cs="Arial"/>
      </w:rPr>
      <w:t>Attachment 1</w:t>
    </w:r>
  </w:p>
  <w:p w14:paraId="7C0C77B4" w14:textId="1D8522F3" w:rsidR="008A469E" w:rsidRDefault="008A469E" w:rsidP="004B3C53">
    <w:pPr>
      <w:pStyle w:val="Header"/>
      <w:spacing w:after="360"/>
      <w:jc w:val="right"/>
      <w:rPr>
        <w:rFonts w:cs="Arial"/>
      </w:rPr>
    </w:pPr>
    <w:r w:rsidRPr="0034235E">
      <w:rPr>
        <w:rFonts w:cs="Arial"/>
      </w:rPr>
      <w:t xml:space="preserve">Page </w:t>
    </w:r>
    <w:r w:rsidRPr="0034235E">
      <w:rPr>
        <w:rFonts w:cs="Arial"/>
      </w:rPr>
      <w:fldChar w:fldCharType="begin"/>
    </w:r>
    <w:r w:rsidRPr="0034235E">
      <w:rPr>
        <w:rFonts w:cs="Arial"/>
      </w:rPr>
      <w:instrText xml:space="preserve"> PAGE   \* MERGEFORMAT </w:instrText>
    </w:r>
    <w:r w:rsidRPr="0034235E">
      <w:rPr>
        <w:rFonts w:cs="Arial"/>
      </w:rPr>
      <w:fldChar w:fldCharType="separate"/>
    </w:r>
    <w:r w:rsidRPr="0034235E">
      <w:rPr>
        <w:rFonts w:cs="Arial"/>
        <w:noProof/>
      </w:rPr>
      <w:t>2</w:t>
    </w:r>
    <w:r w:rsidRPr="0034235E">
      <w:rPr>
        <w:rFonts w:cs="Arial"/>
        <w:noProof/>
      </w:rPr>
      <w:fldChar w:fldCharType="end"/>
    </w:r>
    <w:r w:rsidRPr="0034235E">
      <w:rPr>
        <w:rFonts w:cs="Arial"/>
      </w:rPr>
      <w:t xml:space="preserve"> of </w:t>
    </w:r>
    <w:r>
      <w:rPr>
        <w:rFonts w:cs="Arial"/>
      </w:rPr>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3F3968" w14:textId="77777777" w:rsidR="008A469E" w:rsidRDefault="008A46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F34912"/>
    <w:multiLevelType w:val="hybridMultilevel"/>
    <w:tmpl w:val="74E62C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B612E95"/>
    <w:multiLevelType w:val="hybridMultilevel"/>
    <w:tmpl w:val="11741516"/>
    <w:lvl w:ilvl="0" w:tplc="9D6829E2">
      <w:start w:val="1"/>
      <w:numFmt w:val="bullet"/>
      <w:lvlText w:val="·"/>
      <w:lvlJc w:val="left"/>
      <w:pPr>
        <w:ind w:left="720" w:hanging="360"/>
      </w:pPr>
      <w:rPr>
        <w:rFonts w:ascii="Symbol" w:hAnsi="Symbol" w:hint="default"/>
      </w:rPr>
    </w:lvl>
    <w:lvl w:ilvl="1" w:tplc="1D383E30">
      <w:start w:val="1"/>
      <w:numFmt w:val="bullet"/>
      <w:lvlText w:val="o"/>
      <w:lvlJc w:val="left"/>
      <w:pPr>
        <w:ind w:left="1440" w:hanging="360"/>
      </w:pPr>
      <w:rPr>
        <w:rFonts w:ascii="Courier New" w:hAnsi="Courier New" w:hint="default"/>
      </w:rPr>
    </w:lvl>
    <w:lvl w:ilvl="2" w:tplc="21285796">
      <w:start w:val="1"/>
      <w:numFmt w:val="bullet"/>
      <w:lvlText w:val=""/>
      <w:lvlJc w:val="left"/>
      <w:pPr>
        <w:ind w:left="2160" w:hanging="360"/>
      </w:pPr>
      <w:rPr>
        <w:rFonts w:ascii="Wingdings" w:hAnsi="Wingdings" w:hint="default"/>
      </w:rPr>
    </w:lvl>
    <w:lvl w:ilvl="3" w:tplc="670E05BE">
      <w:start w:val="1"/>
      <w:numFmt w:val="bullet"/>
      <w:lvlText w:val=""/>
      <w:lvlJc w:val="left"/>
      <w:pPr>
        <w:ind w:left="2880" w:hanging="360"/>
      </w:pPr>
      <w:rPr>
        <w:rFonts w:ascii="Symbol" w:hAnsi="Symbol" w:hint="default"/>
      </w:rPr>
    </w:lvl>
    <w:lvl w:ilvl="4" w:tplc="832A6A58">
      <w:start w:val="1"/>
      <w:numFmt w:val="bullet"/>
      <w:lvlText w:val="o"/>
      <w:lvlJc w:val="left"/>
      <w:pPr>
        <w:ind w:left="3600" w:hanging="360"/>
      </w:pPr>
      <w:rPr>
        <w:rFonts w:ascii="Courier New" w:hAnsi="Courier New" w:hint="default"/>
      </w:rPr>
    </w:lvl>
    <w:lvl w:ilvl="5" w:tplc="3CF27204">
      <w:start w:val="1"/>
      <w:numFmt w:val="bullet"/>
      <w:lvlText w:val=""/>
      <w:lvlJc w:val="left"/>
      <w:pPr>
        <w:ind w:left="4320" w:hanging="360"/>
      </w:pPr>
      <w:rPr>
        <w:rFonts w:ascii="Wingdings" w:hAnsi="Wingdings" w:hint="default"/>
      </w:rPr>
    </w:lvl>
    <w:lvl w:ilvl="6" w:tplc="6296A198">
      <w:start w:val="1"/>
      <w:numFmt w:val="bullet"/>
      <w:lvlText w:val=""/>
      <w:lvlJc w:val="left"/>
      <w:pPr>
        <w:ind w:left="5040" w:hanging="360"/>
      </w:pPr>
      <w:rPr>
        <w:rFonts w:ascii="Symbol" w:hAnsi="Symbol" w:hint="default"/>
      </w:rPr>
    </w:lvl>
    <w:lvl w:ilvl="7" w:tplc="F5508D52">
      <w:start w:val="1"/>
      <w:numFmt w:val="bullet"/>
      <w:lvlText w:val="o"/>
      <w:lvlJc w:val="left"/>
      <w:pPr>
        <w:ind w:left="5760" w:hanging="360"/>
      </w:pPr>
      <w:rPr>
        <w:rFonts w:ascii="Courier New" w:hAnsi="Courier New" w:hint="default"/>
      </w:rPr>
    </w:lvl>
    <w:lvl w:ilvl="8" w:tplc="FD00A710">
      <w:start w:val="1"/>
      <w:numFmt w:val="bullet"/>
      <w:lvlText w:val=""/>
      <w:lvlJc w:val="left"/>
      <w:pPr>
        <w:ind w:left="6480" w:hanging="360"/>
      </w:pPr>
      <w:rPr>
        <w:rFonts w:ascii="Wingdings" w:hAnsi="Wingdings" w:hint="default"/>
      </w:rPr>
    </w:lvl>
  </w:abstractNum>
  <w:abstractNum w:abstractNumId="6" w15:restartNumberingAfterBreak="0">
    <w:nsid w:val="480B0D63"/>
    <w:multiLevelType w:val="hybridMultilevel"/>
    <w:tmpl w:val="738C2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D0C0BC1"/>
    <w:multiLevelType w:val="multilevel"/>
    <w:tmpl w:val="2C9478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9"/>
  </w:num>
  <w:num w:numId="3">
    <w:abstractNumId w:val="2"/>
  </w:num>
  <w:num w:numId="4">
    <w:abstractNumId w:val="7"/>
  </w:num>
  <w:num w:numId="5">
    <w:abstractNumId w:val="8"/>
  </w:num>
  <w:num w:numId="6">
    <w:abstractNumId w:val="0"/>
  </w:num>
  <w:num w:numId="7">
    <w:abstractNumId w:val="3"/>
  </w:num>
  <w:num w:numId="8">
    <w:abstractNumId w:val="5"/>
  </w:num>
  <w:num w:numId="9">
    <w:abstractNumId w:val="1"/>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17B"/>
    <w:rsid w:val="000040D5"/>
    <w:rsid w:val="000324AD"/>
    <w:rsid w:val="00036FD9"/>
    <w:rsid w:val="000E09DC"/>
    <w:rsid w:val="000E142C"/>
    <w:rsid w:val="001048F3"/>
    <w:rsid w:val="00120A9E"/>
    <w:rsid w:val="00130059"/>
    <w:rsid w:val="00132A68"/>
    <w:rsid w:val="001467F0"/>
    <w:rsid w:val="001802FD"/>
    <w:rsid w:val="0018148D"/>
    <w:rsid w:val="001A0CA5"/>
    <w:rsid w:val="001B3958"/>
    <w:rsid w:val="001C5088"/>
    <w:rsid w:val="001E1929"/>
    <w:rsid w:val="00223112"/>
    <w:rsid w:val="00240B26"/>
    <w:rsid w:val="002778A0"/>
    <w:rsid w:val="002B4B14"/>
    <w:rsid w:val="002C1C4F"/>
    <w:rsid w:val="002D1A82"/>
    <w:rsid w:val="002D4BFF"/>
    <w:rsid w:val="002E33EA"/>
    <w:rsid w:val="002E4CB5"/>
    <w:rsid w:val="002E6FCA"/>
    <w:rsid w:val="002F279B"/>
    <w:rsid w:val="00315131"/>
    <w:rsid w:val="0034235E"/>
    <w:rsid w:val="00363520"/>
    <w:rsid w:val="003705FC"/>
    <w:rsid w:val="00384ACF"/>
    <w:rsid w:val="003912C0"/>
    <w:rsid w:val="0039464E"/>
    <w:rsid w:val="003D1ECD"/>
    <w:rsid w:val="003E1E8D"/>
    <w:rsid w:val="003E4DF7"/>
    <w:rsid w:val="003F0826"/>
    <w:rsid w:val="00406F50"/>
    <w:rsid w:val="00407E9B"/>
    <w:rsid w:val="004203BC"/>
    <w:rsid w:val="00422A89"/>
    <w:rsid w:val="00433AC1"/>
    <w:rsid w:val="0044670C"/>
    <w:rsid w:val="0047534A"/>
    <w:rsid w:val="00476621"/>
    <w:rsid w:val="004B3C53"/>
    <w:rsid w:val="004E029B"/>
    <w:rsid w:val="00513C3C"/>
    <w:rsid w:val="00517C00"/>
    <w:rsid w:val="00527B0E"/>
    <w:rsid w:val="00532B66"/>
    <w:rsid w:val="00551782"/>
    <w:rsid w:val="00561E0F"/>
    <w:rsid w:val="005D00E1"/>
    <w:rsid w:val="005D44A2"/>
    <w:rsid w:val="006166C4"/>
    <w:rsid w:val="006273ED"/>
    <w:rsid w:val="006312B1"/>
    <w:rsid w:val="006376E8"/>
    <w:rsid w:val="00687615"/>
    <w:rsid w:val="00692300"/>
    <w:rsid w:val="00693951"/>
    <w:rsid w:val="006B2111"/>
    <w:rsid w:val="006D0223"/>
    <w:rsid w:val="006E06C6"/>
    <w:rsid w:val="006E432D"/>
    <w:rsid w:val="00704497"/>
    <w:rsid w:val="00717178"/>
    <w:rsid w:val="00726EDA"/>
    <w:rsid w:val="007313A3"/>
    <w:rsid w:val="007428B8"/>
    <w:rsid w:val="00746164"/>
    <w:rsid w:val="00780BB6"/>
    <w:rsid w:val="007A0AA4"/>
    <w:rsid w:val="007B220D"/>
    <w:rsid w:val="007C5697"/>
    <w:rsid w:val="007D6A8F"/>
    <w:rsid w:val="00802ED7"/>
    <w:rsid w:val="00806A03"/>
    <w:rsid w:val="008718E7"/>
    <w:rsid w:val="00882730"/>
    <w:rsid w:val="008909EE"/>
    <w:rsid w:val="008A469E"/>
    <w:rsid w:val="008C7EBF"/>
    <w:rsid w:val="008F0F90"/>
    <w:rsid w:val="008F7DDC"/>
    <w:rsid w:val="00907E94"/>
    <w:rsid w:val="0091095C"/>
    <w:rsid w:val="0091117B"/>
    <w:rsid w:val="0092240C"/>
    <w:rsid w:val="0093667E"/>
    <w:rsid w:val="00951A1D"/>
    <w:rsid w:val="00970555"/>
    <w:rsid w:val="00997C80"/>
    <w:rsid w:val="009B04E1"/>
    <w:rsid w:val="009C2A77"/>
    <w:rsid w:val="009C6FF3"/>
    <w:rsid w:val="009D4B02"/>
    <w:rsid w:val="009D5028"/>
    <w:rsid w:val="00A07F42"/>
    <w:rsid w:val="00A10AC1"/>
    <w:rsid w:val="00A16315"/>
    <w:rsid w:val="00A30B3C"/>
    <w:rsid w:val="00A72DEA"/>
    <w:rsid w:val="00A83FC7"/>
    <w:rsid w:val="00AA4E85"/>
    <w:rsid w:val="00B02CF6"/>
    <w:rsid w:val="00B06FF7"/>
    <w:rsid w:val="00B723BE"/>
    <w:rsid w:val="00B82705"/>
    <w:rsid w:val="00BA6846"/>
    <w:rsid w:val="00BD1ED6"/>
    <w:rsid w:val="00C05106"/>
    <w:rsid w:val="00C17615"/>
    <w:rsid w:val="00C22120"/>
    <w:rsid w:val="00C27D57"/>
    <w:rsid w:val="00C43CFE"/>
    <w:rsid w:val="00C63086"/>
    <w:rsid w:val="00C70D4E"/>
    <w:rsid w:val="00C82CBA"/>
    <w:rsid w:val="00C86315"/>
    <w:rsid w:val="00CC139F"/>
    <w:rsid w:val="00CE1C84"/>
    <w:rsid w:val="00D31E15"/>
    <w:rsid w:val="00D47DAB"/>
    <w:rsid w:val="00D5115F"/>
    <w:rsid w:val="00D52272"/>
    <w:rsid w:val="00D56253"/>
    <w:rsid w:val="00D8667C"/>
    <w:rsid w:val="00D86AB9"/>
    <w:rsid w:val="00DB6066"/>
    <w:rsid w:val="00E60F62"/>
    <w:rsid w:val="00E641F6"/>
    <w:rsid w:val="00E72A7B"/>
    <w:rsid w:val="00EA61FF"/>
    <w:rsid w:val="00EA7D4F"/>
    <w:rsid w:val="00EB16F7"/>
    <w:rsid w:val="00EB7127"/>
    <w:rsid w:val="00EC504C"/>
    <w:rsid w:val="00F13D9E"/>
    <w:rsid w:val="00F274B4"/>
    <w:rsid w:val="00F40510"/>
    <w:rsid w:val="00F555AC"/>
    <w:rsid w:val="00FC1FCE"/>
    <w:rsid w:val="00FD6844"/>
    <w:rsid w:val="00FE1F70"/>
    <w:rsid w:val="00FE3007"/>
    <w:rsid w:val="00FE4BD6"/>
    <w:rsid w:val="00FF277C"/>
    <w:rsid w:val="038E1869"/>
    <w:rsid w:val="0D4A2D6E"/>
    <w:rsid w:val="28A65F91"/>
    <w:rsid w:val="31E78C4B"/>
    <w:rsid w:val="3AD7070C"/>
    <w:rsid w:val="455FF079"/>
    <w:rsid w:val="502E9499"/>
    <w:rsid w:val="514F882B"/>
    <w:rsid w:val="528E6830"/>
    <w:rsid w:val="5A56700B"/>
    <w:rsid w:val="5ADD4214"/>
    <w:rsid w:val="5BED434D"/>
    <w:rsid w:val="74A7A25C"/>
    <w:rsid w:val="79C1C0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F14782"/>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aliases w:val="list,List1,List11,Step Paragraph"/>
    <w:basedOn w:val="Normal"/>
    <w:link w:val="ListParagraphChar"/>
    <w:uiPriority w:val="34"/>
    <w:qFormat/>
    <w:rsid w:val="00406F50"/>
    <w:pPr>
      <w:ind w:left="720"/>
      <w:contextualSpacing/>
    </w:pPr>
  </w:style>
  <w:style w:type="paragraph" w:styleId="Header">
    <w:name w:val="header"/>
    <w:basedOn w:val="Normal"/>
    <w:link w:val="HeaderChar"/>
    <w:uiPriority w:val="99"/>
    <w:unhideWhenUsed/>
    <w:rsid w:val="000E09DC"/>
    <w:pPr>
      <w:tabs>
        <w:tab w:val="center" w:pos="4680"/>
        <w:tab w:val="right" w:pos="9360"/>
      </w:tabs>
    </w:pPr>
  </w:style>
  <w:style w:type="character" w:customStyle="1" w:styleId="HeaderChar">
    <w:name w:val="Header Char"/>
    <w:basedOn w:val="DefaultParagraphFont"/>
    <w:link w:val="Header"/>
    <w:uiPriority w:val="99"/>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A30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B3C"/>
    <w:rPr>
      <w:rFonts w:ascii="Segoe UI" w:eastAsia="Times New Roman" w:hAnsi="Segoe UI" w:cs="Segoe UI"/>
      <w:sz w:val="18"/>
      <w:szCs w:val="18"/>
    </w:rPr>
  </w:style>
  <w:style w:type="paragraph" w:styleId="CommentText">
    <w:name w:val="annotation text"/>
    <w:basedOn w:val="Normal"/>
    <w:link w:val="CommentTextChar"/>
    <w:uiPriority w:val="99"/>
    <w:semiHidden/>
    <w:unhideWhenUsed/>
    <w:rsid w:val="002D4BFF"/>
    <w:rPr>
      <w:sz w:val="20"/>
      <w:szCs w:val="20"/>
    </w:rPr>
  </w:style>
  <w:style w:type="character" w:customStyle="1" w:styleId="CommentTextChar">
    <w:name w:val="Comment Text Char"/>
    <w:basedOn w:val="DefaultParagraphFont"/>
    <w:link w:val="CommentText"/>
    <w:uiPriority w:val="99"/>
    <w:semiHidden/>
    <w:rsid w:val="002D4BFF"/>
    <w:rPr>
      <w:rFonts w:ascii="Arial" w:eastAsia="Times New Roman" w:hAnsi="Arial" w:cs="Times New Roman"/>
      <w:sz w:val="20"/>
      <w:szCs w:val="20"/>
    </w:rPr>
  </w:style>
  <w:style w:type="character" w:styleId="CommentReference">
    <w:name w:val="annotation reference"/>
    <w:basedOn w:val="DefaultParagraphFont"/>
    <w:uiPriority w:val="99"/>
    <w:semiHidden/>
    <w:unhideWhenUsed/>
    <w:rsid w:val="002D4BFF"/>
    <w:rPr>
      <w:sz w:val="16"/>
      <w:szCs w:val="16"/>
    </w:rPr>
  </w:style>
  <w:style w:type="character" w:customStyle="1" w:styleId="ListParagraphChar">
    <w:name w:val="List Paragraph Char"/>
    <w:aliases w:val="list Char,List1 Char,List11 Char,Step Paragraph Char"/>
    <w:link w:val="ListParagraph"/>
    <w:uiPriority w:val="34"/>
    <w:locked/>
    <w:rsid w:val="002D4BFF"/>
    <w:rPr>
      <w:rFonts w:ascii="Arial" w:eastAsia="Times New Roman" w:hAnsi="Arial" w:cs="Times New Roman"/>
      <w:sz w:val="24"/>
      <w:szCs w:val="24"/>
    </w:rPr>
  </w:style>
  <w:style w:type="paragraph" w:styleId="NormalWeb">
    <w:name w:val="Normal (Web)"/>
    <w:basedOn w:val="Normal"/>
    <w:uiPriority w:val="99"/>
    <w:semiHidden/>
    <w:unhideWhenUsed/>
    <w:rsid w:val="002D4BFF"/>
    <w:pPr>
      <w:spacing w:before="100" w:beforeAutospacing="1" w:after="100" w:afterAutospacing="1"/>
    </w:pPr>
    <w:rPr>
      <w:rFonts w:ascii="Times New Roman" w:hAnsi="Times New Roman"/>
    </w:rPr>
  </w:style>
  <w:style w:type="table" w:styleId="TableGrid">
    <w:name w:val="Table Grid"/>
    <w:basedOn w:val="TableNormal"/>
    <w:uiPriority w:val="39"/>
    <w:rsid w:val="002D4BFF"/>
    <w:pPr>
      <w:spacing w:before="24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05106"/>
    <w:rPr>
      <w:color w:val="605E5C"/>
      <w:shd w:val="clear" w:color="auto" w:fill="E1DFDD"/>
    </w:rPr>
  </w:style>
  <w:style w:type="table" w:customStyle="1" w:styleId="TableGrid6">
    <w:name w:val="Table Grid6"/>
    <w:basedOn w:val="TableNormal"/>
    <w:next w:val="TableGrid"/>
    <w:rsid w:val="008A46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31E15"/>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7A0AA4"/>
    <w:rPr>
      <w:b/>
      <w:bCs/>
    </w:rPr>
  </w:style>
  <w:style w:type="character" w:customStyle="1" w:styleId="CommentSubjectChar">
    <w:name w:val="Comment Subject Char"/>
    <w:basedOn w:val="CommentTextChar"/>
    <w:link w:val="CommentSubject"/>
    <w:uiPriority w:val="99"/>
    <w:semiHidden/>
    <w:rsid w:val="007A0AA4"/>
    <w:rPr>
      <w:rFonts w:ascii="Arial" w:eastAsia="Times New Roman" w:hAnsi="Arial" w:cs="Times New Roman"/>
      <w:b/>
      <w:bCs/>
      <w:sz w:val="20"/>
      <w:szCs w:val="20"/>
    </w:rPr>
  </w:style>
  <w:style w:type="paragraph" w:styleId="Revision">
    <w:name w:val="Revision"/>
    <w:hidden/>
    <w:uiPriority w:val="99"/>
    <w:semiHidden/>
    <w:rsid w:val="008C7EBF"/>
    <w:pPr>
      <w:spacing w:after="0" w:line="240" w:lineRule="auto"/>
    </w:pPr>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3592156">
      <w:bodyDiv w:val="1"/>
      <w:marLeft w:val="0"/>
      <w:marRight w:val="0"/>
      <w:marTop w:val="0"/>
      <w:marBottom w:val="0"/>
      <w:divBdr>
        <w:top w:val="none" w:sz="0" w:space="0" w:color="auto"/>
        <w:left w:val="none" w:sz="0" w:space="0" w:color="auto"/>
        <w:bottom w:val="none" w:sz="0" w:space="0" w:color="auto"/>
        <w:right w:val="none" w:sz="0" w:space="0" w:color="auto"/>
      </w:divBdr>
    </w:div>
    <w:div w:id="1171792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de.ca.gov/be/ag/ag/yr20/documents/nov20item07.docx"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de.ca.gov/be/ag/ag/yr21/documents/nov21item12.docx"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s://www.cde.ca.gov/be/ag/ag/yr18/documents/nov18item08.docx" TargetMode="Externa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de.ca.gov/be/ag/ag/yr19/documents/nov19item07.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534ED83EA0B5E468033F72E96A6CA4D" ma:contentTypeVersion="9" ma:contentTypeDescription="Create a new document." ma:contentTypeScope="" ma:versionID="fa343b666238b0856af313b226b43208">
  <xsd:schema xmlns:xsd="http://www.w3.org/2001/XMLSchema" xmlns:xs="http://www.w3.org/2001/XMLSchema" xmlns:p="http://schemas.microsoft.com/office/2006/metadata/properties" xmlns:ns2="1aae30ff-d7bc-47e3-882e-cd3423d00d62" xmlns:ns3="f89dec18-d0c2-45d2-8a15-31051f2519f8" targetNamespace="http://schemas.microsoft.com/office/2006/metadata/properties" ma:root="true" ma:fieldsID="9a58c1f7c58f005b60310e52beb88771" ns2:_="" ns3:_="">
    <xsd:import namespace="1aae30ff-d7bc-47e3-882e-cd3423d00d62"/>
    <xsd:import namespace="f89dec18-d0c2-45d2-8a15-31051f2519f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ae30ff-d7bc-47e3-882e-cd3423d00d6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89dec18-d0c2-45d2-8a15-31051f2519f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1DC637F-46F6-434A-B7A6-875C0B973A6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35C568B-74DC-4EC9-9FEB-77EFF23B4B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ae30ff-d7bc-47e3-882e-cd3423d00d62"/>
    <ds:schemaRef ds:uri="f89dec18-d0c2-45d2-8a15-31051f2519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D9D7129-EA03-4A9F-8766-2FDE8C23BCA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732</Words>
  <Characters>4175</Characters>
  <DocSecurity>0</DocSecurity>
  <Lines>34</Lines>
  <Paragraphs>9</Paragraphs>
  <ScaleCrop>false</ScaleCrop>
  <HeadingPairs>
    <vt:vector size="2" baseType="variant">
      <vt:variant>
        <vt:lpstr>Title</vt:lpstr>
      </vt:variant>
      <vt:variant>
        <vt:i4>1</vt:i4>
      </vt:variant>
    </vt:vector>
  </HeadingPairs>
  <TitlesOfParts>
    <vt:vector size="1" baseType="lpstr">
      <vt:lpstr>November 2022 Agenda Item 00 - Meeting Agendas (CA State Board of Education)</vt:lpstr>
    </vt:vector>
  </TitlesOfParts>
  <Company>California State Board of Education</Company>
  <LinksUpToDate>false</LinksUpToDate>
  <CharactersWithSpaces>4898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November 2022 Agenda Item 07 - Meeting Agendas (CA State Board of Education)</dc:title>
  <dc:subject>California Assessment of Student Performance and Progress and English Language Proficiency Assessments for California: Determination of the Release of Up to 10 Percent Withheld.</dc:subject>
  <dc:creator/>
  <cp:keywords/>
  <dc:description/>
  <cp:lastPrinted>2017-10-30T17:36:00Z</cp:lastPrinted>
  <dcterms:created xsi:type="dcterms:W3CDTF">2022-10-13T23:30:00Z</dcterms:created>
  <dcterms:modified xsi:type="dcterms:W3CDTF">2022-10-20T19:10:00Z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0x0101003534ED83EA0B5E468033F72E96A6CA4D</vt:lpwstr>
  </property>
</Properties>
</file>