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631EB" w14:textId="77777777" w:rsidR="006E06C6" w:rsidRPr="00731386" w:rsidRDefault="00D5115F" w:rsidP="00B723BE">
      <w:r w:rsidRPr="00731386">
        <w:rPr>
          <w:noProof/>
        </w:rPr>
        <w:drawing>
          <wp:inline distT="0" distB="0" distL="0" distR="0" wp14:anchorId="09197859" wp14:editId="312A92F9">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315BE96" w14:textId="77777777" w:rsidR="00B723BE" w:rsidRPr="00731386" w:rsidRDefault="00FC1FCE" w:rsidP="00B723BE">
      <w:pPr>
        <w:jc w:val="right"/>
      </w:pPr>
      <w:r w:rsidRPr="00731386">
        <w:t>California Department of Education</w:t>
      </w:r>
    </w:p>
    <w:p w14:paraId="243D85DE" w14:textId="77777777" w:rsidR="00B723BE" w:rsidRPr="00731386" w:rsidRDefault="00FC1FCE" w:rsidP="00B723BE">
      <w:pPr>
        <w:jc w:val="right"/>
      </w:pPr>
      <w:r w:rsidRPr="00731386">
        <w:t>Executive Office</w:t>
      </w:r>
    </w:p>
    <w:p w14:paraId="67455569" w14:textId="77777777" w:rsidR="002B4B14" w:rsidRPr="00731386" w:rsidRDefault="00692300" w:rsidP="00B723BE">
      <w:pPr>
        <w:jc w:val="right"/>
      </w:pPr>
      <w:r>
        <w:t>SBE-00</w:t>
      </w:r>
      <w:r w:rsidR="000324AD">
        <w:t>3</w:t>
      </w:r>
      <w:r>
        <w:t xml:space="preserve"> (REV. 1</w:t>
      </w:r>
      <w:r w:rsidR="00C27D57">
        <w:t>1</w:t>
      </w:r>
      <w:r>
        <w:t>/2017</w:t>
      </w:r>
      <w:r w:rsidR="00FC1FCE">
        <w:t>)</w:t>
      </w:r>
    </w:p>
    <w:p w14:paraId="3CA10F48" w14:textId="38609359" w:rsidR="00B723BE" w:rsidRPr="00731386" w:rsidRDefault="200DE439" w:rsidP="004736E6">
      <w:pPr>
        <w:jc w:val="right"/>
        <w:rPr>
          <w:rFonts w:eastAsia="Arial"/>
        </w:rPr>
      </w:pPr>
      <w:r w:rsidRPr="020CDD71">
        <w:rPr>
          <w:rFonts w:eastAsia="Arial"/>
        </w:rPr>
        <w:t>imab-adad-jan24item0</w:t>
      </w:r>
      <w:r w:rsidR="008102F1">
        <w:rPr>
          <w:rFonts w:eastAsia="Arial"/>
        </w:rPr>
        <w:t>1</w:t>
      </w:r>
    </w:p>
    <w:p w14:paraId="69EA8D16" w14:textId="02354E33" w:rsidR="00B723BE" w:rsidRPr="00731386" w:rsidRDefault="00B723BE" w:rsidP="004736E6">
      <w:pPr>
        <w:jc w:val="right"/>
      </w:pPr>
    </w:p>
    <w:p w14:paraId="66336D11" w14:textId="77777777" w:rsidR="00B723BE" w:rsidRPr="00731386" w:rsidRDefault="00B723BE" w:rsidP="00FC1FCE">
      <w:pPr>
        <w:pStyle w:val="Heading1"/>
        <w:jc w:val="center"/>
        <w:rPr>
          <w:sz w:val="40"/>
          <w:szCs w:val="40"/>
        </w:rPr>
        <w:sectPr w:rsidR="00B723BE" w:rsidRPr="00731386" w:rsidSect="00C82CBA">
          <w:headerReference w:type="default" r:id="rId11"/>
          <w:type w:val="continuous"/>
          <w:pgSz w:w="12240" w:h="15840"/>
          <w:pgMar w:top="720" w:right="1440" w:bottom="1440" w:left="1440" w:header="720" w:footer="720" w:gutter="0"/>
          <w:cols w:num="2" w:space="720"/>
          <w:titlePg/>
          <w:docGrid w:linePitch="360"/>
        </w:sectPr>
      </w:pPr>
    </w:p>
    <w:p w14:paraId="5DEC0A7A" w14:textId="77777777" w:rsidR="006E06C6" w:rsidRPr="00731386" w:rsidRDefault="006E06C6" w:rsidP="00FC1FCE">
      <w:pPr>
        <w:pStyle w:val="Heading1"/>
        <w:jc w:val="center"/>
        <w:rPr>
          <w:sz w:val="40"/>
          <w:szCs w:val="40"/>
        </w:rPr>
        <w:sectPr w:rsidR="006E06C6" w:rsidRPr="00731386" w:rsidSect="0091117B">
          <w:type w:val="continuous"/>
          <w:pgSz w:w="12240" w:h="15840"/>
          <w:pgMar w:top="720" w:right="1440" w:bottom="1440" w:left="1440" w:header="720" w:footer="720" w:gutter="0"/>
          <w:cols w:space="720"/>
          <w:docGrid w:linePitch="360"/>
        </w:sectPr>
      </w:pPr>
    </w:p>
    <w:p w14:paraId="435ADA57" w14:textId="6E2EA25D" w:rsidR="00FC1FCE" w:rsidRPr="00731386" w:rsidRDefault="0091117B" w:rsidP="002B4B14">
      <w:pPr>
        <w:pStyle w:val="Heading1"/>
        <w:spacing w:before="240" w:after="240"/>
        <w:jc w:val="center"/>
        <w:rPr>
          <w:sz w:val="40"/>
          <w:szCs w:val="40"/>
        </w:rPr>
      </w:pPr>
      <w:r w:rsidRPr="00731386">
        <w:rPr>
          <w:sz w:val="40"/>
          <w:szCs w:val="40"/>
        </w:rPr>
        <w:t>Californ</w:t>
      </w:r>
      <w:r w:rsidR="00693951" w:rsidRPr="00731386">
        <w:rPr>
          <w:sz w:val="40"/>
          <w:szCs w:val="40"/>
        </w:rPr>
        <w:t>ia State Board of Education</w:t>
      </w:r>
      <w:r w:rsidR="00693951" w:rsidRPr="00731386">
        <w:rPr>
          <w:sz w:val="40"/>
          <w:szCs w:val="40"/>
        </w:rPr>
        <w:br/>
      </w:r>
      <w:r w:rsidR="00647866" w:rsidRPr="00B22A53">
        <w:rPr>
          <w:bCs/>
          <w:sz w:val="40"/>
          <w:szCs w:val="40"/>
        </w:rPr>
        <w:t>January 2024</w:t>
      </w:r>
      <w:r w:rsidRPr="00731386">
        <w:rPr>
          <w:sz w:val="40"/>
          <w:szCs w:val="40"/>
        </w:rPr>
        <w:t xml:space="preserve"> Agenda</w:t>
      </w:r>
      <w:r w:rsidR="00FC1FCE" w:rsidRPr="00731386">
        <w:rPr>
          <w:sz w:val="40"/>
          <w:szCs w:val="40"/>
        </w:rPr>
        <w:br/>
        <w:t>Item</w:t>
      </w:r>
      <w:r w:rsidR="00692300" w:rsidRPr="00731386">
        <w:rPr>
          <w:sz w:val="40"/>
          <w:szCs w:val="40"/>
        </w:rPr>
        <w:t xml:space="preserve"> #</w:t>
      </w:r>
      <w:r w:rsidR="00E45580">
        <w:rPr>
          <w:sz w:val="40"/>
          <w:szCs w:val="40"/>
        </w:rPr>
        <w:t>09</w:t>
      </w:r>
    </w:p>
    <w:p w14:paraId="0F77044A" w14:textId="77777777" w:rsidR="00FC1FCE" w:rsidRPr="00731386" w:rsidRDefault="00FC1FCE" w:rsidP="002B4B14">
      <w:pPr>
        <w:pStyle w:val="Heading2"/>
        <w:spacing w:before="240" w:after="240"/>
        <w:rPr>
          <w:sz w:val="36"/>
          <w:szCs w:val="36"/>
        </w:rPr>
      </w:pPr>
      <w:r w:rsidRPr="00731386">
        <w:rPr>
          <w:sz w:val="36"/>
          <w:szCs w:val="36"/>
        </w:rPr>
        <w:t>Subject</w:t>
      </w:r>
    </w:p>
    <w:p w14:paraId="63EC45B3" w14:textId="5C4BE196" w:rsidR="005C188F" w:rsidRPr="00647866" w:rsidRDefault="00647866" w:rsidP="00F64D35">
      <w:pPr>
        <w:spacing w:after="240"/>
        <w:rPr>
          <w:rFonts w:cs="Arial"/>
        </w:rPr>
      </w:pPr>
      <w:r w:rsidRPr="020CDD71">
        <w:rPr>
          <w:rFonts w:cs="Arial"/>
          <w:color w:val="000000" w:themeColor="text1"/>
        </w:rPr>
        <w:t>California High School Proficiency Examination</w:t>
      </w:r>
      <w:r w:rsidRPr="020CDD71">
        <w:rPr>
          <w:rFonts w:cs="Arial"/>
        </w:rPr>
        <w:t xml:space="preserve">: </w:t>
      </w:r>
      <w:r w:rsidR="00AA7659">
        <w:rPr>
          <w:rFonts w:cs="Arial"/>
        </w:rPr>
        <w:t xml:space="preserve">Adopt the Final Statement of Reasons and </w:t>
      </w:r>
      <w:r w:rsidR="00AA7659">
        <w:rPr>
          <w:rFonts w:eastAsia="Arial" w:cs="Arial"/>
          <w:color w:val="000000" w:themeColor="text1"/>
        </w:rPr>
        <w:t>the</w:t>
      </w:r>
      <w:r w:rsidR="64952DAC" w:rsidRPr="020CDD71">
        <w:rPr>
          <w:rFonts w:eastAsia="Arial" w:cs="Arial"/>
          <w:color w:val="000000" w:themeColor="text1"/>
        </w:rPr>
        <w:t xml:space="preserve"> Proposed</w:t>
      </w:r>
      <w:r>
        <w:t xml:space="preserve"> </w:t>
      </w:r>
      <w:r w:rsidR="00AA7659">
        <w:t xml:space="preserve">Amendments to the </w:t>
      </w:r>
      <w:r w:rsidRPr="020CDD71">
        <w:rPr>
          <w:rStyle w:val="Emphasis"/>
        </w:rPr>
        <w:t xml:space="preserve">California Code of Regulations, </w:t>
      </w:r>
      <w:r>
        <w:t xml:space="preserve">Title 5, </w:t>
      </w:r>
      <w:r w:rsidRPr="020CDD71">
        <w:rPr>
          <w:rFonts w:cs="Arial"/>
        </w:rPr>
        <w:t>Section 11520.</w:t>
      </w:r>
    </w:p>
    <w:p w14:paraId="7A3AD46B" w14:textId="77777777" w:rsidR="00FC1FCE" w:rsidRPr="00731386" w:rsidRDefault="00FC1FCE" w:rsidP="00F64D35">
      <w:pPr>
        <w:pStyle w:val="Heading2"/>
        <w:spacing w:before="480" w:after="240"/>
        <w:rPr>
          <w:sz w:val="36"/>
          <w:szCs w:val="36"/>
        </w:rPr>
      </w:pPr>
      <w:r w:rsidRPr="00731386">
        <w:rPr>
          <w:sz w:val="36"/>
          <w:szCs w:val="36"/>
        </w:rPr>
        <w:t>Type of Action</w:t>
      </w:r>
    </w:p>
    <w:p w14:paraId="3DF3F865" w14:textId="020D1F77" w:rsidR="0091117B" w:rsidRPr="00731386" w:rsidRDefault="006D10AC" w:rsidP="00F64D35">
      <w:pPr>
        <w:spacing w:after="240"/>
      </w:pPr>
      <w:r w:rsidRPr="00731386">
        <w:t>Action, Information</w:t>
      </w:r>
      <w:r w:rsidR="002B1198">
        <w:t>, Consent</w:t>
      </w:r>
    </w:p>
    <w:p w14:paraId="538D0758" w14:textId="77777777" w:rsidR="00FC1FCE" w:rsidRPr="00731386" w:rsidRDefault="00FC1FCE" w:rsidP="00F64D35">
      <w:pPr>
        <w:pStyle w:val="Heading2"/>
        <w:spacing w:before="480" w:after="240"/>
        <w:rPr>
          <w:sz w:val="36"/>
          <w:szCs w:val="36"/>
        </w:rPr>
      </w:pPr>
      <w:r w:rsidRPr="00731386">
        <w:rPr>
          <w:sz w:val="36"/>
          <w:szCs w:val="36"/>
        </w:rPr>
        <w:t>Summary of the Issue(s)</w:t>
      </w:r>
    </w:p>
    <w:p w14:paraId="71ED8544" w14:textId="1024A7BB" w:rsidR="001021BA" w:rsidRPr="00821066" w:rsidRDefault="00647866" w:rsidP="001021BA">
      <w:pPr>
        <w:rPr>
          <w:rFonts w:cs="Arial"/>
        </w:rPr>
      </w:pPr>
      <w:r w:rsidRPr="00E850CC">
        <w:rPr>
          <w:rFonts w:cs="Arial"/>
          <w:iCs/>
        </w:rPr>
        <w:t>The</w:t>
      </w:r>
      <w:r>
        <w:rPr>
          <w:rFonts w:cs="Arial"/>
          <w:i/>
        </w:rPr>
        <w:t xml:space="preserve"> </w:t>
      </w:r>
      <w:r w:rsidRPr="00460BC5">
        <w:rPr>
          <w:rFonts w:cs="Arial"/>
          <w:i/>
        </w:rPr>
        <w:t>California Code of Regulations</w:t>
      </w:r>
      <w:r>
        <w:rPr>
          <w:rFonts w:cs="Arial"/>
        </w:rPr>
        <w:t xml:space="preserve">, Title 5, (5 </w:t>
      </w:r>
      <w:r w:rsidRPr="00460BC5">
        <w:rPr>
          <w:rFonts w:cs="Arial"/>
          <w:i/>
        </w:rPr>
        <w:t>CCR</w:t>
      </w:r>
      <w:r>
        <w:rPr>
          <w:rFonts w:cs="Arial"/>
        </w:rPr>
        <w:t xml:space="preserve">) Section 11520 must be updated and revised to include definitions that </w:t>
      </w:r>
      <w:r w:rsidRPr="00751B7C">
        <w:rPr>
          <w:rFonts w:cs="Arial"/>
        </w:rPr>
        <w:t>clarify</w:t>
      </w:r>
      <w:r>
        <w:rPr>
          <w:rFonts w:cs="Arial"/>
        </w:rPr>
        <w:t xml:space="preserve"> a student’s eligibility to take the proficiency examination and the administration costs associated with the fee.</w:t>
      </w:r>
    </w:p>
    <w:p w14:paraId="2030B8CA" w14:textId="77777777" w:rsidR="003E4DF7" w:rsidRPr="00731386" w:rsidRDefault="003E4DF7" w:rsidP="00F64D35">
      <w:pPr>
        <w:pStyle w:val="Heading2"/>
        <w:spacing w:before="480" w:after="240"/>
        <w:rPr>
          <w:sz w:val="36"/>
          <w:szCs w:val="36"/>
        </w:rPr>
      </w:pPr>
      <w:r w:rsidRPr="020CDD71">
        <w:rPr>
          <w:sz w:val="36"/>
          <w:szCs w:val="36"/>
        </w:rPr>
        <w:t>Recommendation</w:t>
      </w:r>
    </w:p>
    <w:p w14:paraId="1422FEE7" w14:textId="2AB6065F" w:rsidR="00C32AA5" w:rsidRPr="00F64D35" w:rsidRDefault="00C32AA5" w:rsidP="00F64D35">
      <w:pPr>
        <w:spacing w:after="240"/>
      </w:pPr>
      <w:r w:rsidRPr="006B03A4">
        <w:t>The California Department of Education (CDE) recommends the State Board of Education (SBE) take the following actions:</w:t>
      </w:r>
    </w:p>
    <w:p w14:paraId="2AF550F9" w14:textId="08F1062C" w:rsidR="00C32AA5" w:rsidRPr="006B03A4" w:rsidRDefault="00C32AA5" w:rsidP="00F64D35">
      <w:pPr>
        <w:numPr>
          <w:ilvl w:val="0"/>
          <w:numId w:val="8"/>
        </w:numPr>
        <w:spacing w:after="240"/>
      </w:pPr>
      <w:r w:rsidRPr="006B03A4">
        <w:t>Approve</w:t>
      </w:r>
      <w:r>
        <w:t xml:space="preserve"> the Final Statement of Reasons</w:t>
      </w:r>
    </w:p>
    <w:p w14:paraId="73C0B838" w14:textId="661E348E" w:rsidR="00C32AA5" w:rsidRPr="006B03A4" w:rsidRDefault="00C32AA5" w:rsidP="00F64D35">
      <w:pPr>
        <w:numPr>
          <w:ilvl w:val="0"/>
          <w:numId w:val="8"/>
        </w:numPr>
        <w:spacing w:after="240"/>
      </w:pPr>
      <w:r w:rsidRPr="006B03A4">
        <w:t xml:space="preserve">Adopt the proposed </w:t>
      </w:r>
      <w:proofErr w:type="gramStart"/>
      <w:r w:rsidRPr="006B03A4">
        <w:t>regulations</w:t>
      </w:r>
      <w:proofErr w:type="gramEnd"/>
    </w:p>
    <w:p w14:paraId="0D2ACB13" w14:textId="1923A61B" w:rsidR="00C82B78" w:rsidRPr="00F64D35" w:rsidRDefault="7AB08AE7" w:rsidP="00C82B78">
      <w:pPr>
        <w:numPr>
          <w:ilvl w:val="0"/>
          <w:numId w:val="8"/>
        </w:numPr>
        <w:spacing w:after="240"/>
        <w:rPr>
          <w:rFonts w:eastAsia="Arial" w:cs="Arial"/>
        </w:rPr>
      </w:pPr>
      <w:r w:rsidRPr="020CDD71">
        <w:rPr>
          <w:rFonts w:eastAsia="Arial" w:cs="Arial"/>
          <w:color w:val="000000" w:themeColor="text1"/>
        </w:rPr>
        <w:t>Authorize the CDE to take any necessary action to respond to any direction or concern expressed by the Office of Administrative Law during its review of the Final Statement of Reasons.</w:t>
      </w:r>
    </w:p>
    <w:p w14:paraId="3DBD54E5" w14:textId="77777777" w:rsidR="00F40510" w:rsidRPr="00731386" w:rsidRDefault="003E4DF7" w:rsidP="00F64D35">
      <w:pPr>
        <w:pStyle w:val="Heading2"/>
        <w:spacing w:before="480" w:after="240"/>
        <w:rPr>
          <w:sz w:val="36"/>
          <w:szCs w:val="36"/>
        </w:rPr>
      </w:pPr>
      <w:r w:rsidRPr="00731386">
        <w:rPr>
          <w:sz w:val="36"/>
          <w:szCs w:val="36"/>
        </w:rPr>
        <w:lastRenderedPageBreak/>
        <w:t>Brief History of Key Issues</w:t>
      </w:r>
    </w:p>
    <w:p w14:paraId="1D86FA4B" w14:textId="77777777" w:rsidR="00647866" w:rsidRPr="00B87666" w:rsidRDefault="00647866" w:rsidP="00647866">
      <w:pPr>
        <w:spacing w:after="240"/>
        <w:rPr>
          <w:bdr w:val="none" w:sz="0" w:space="0" w:color="auto" w:frame="1"/>
        </w:rPr>
      </w:pPr>
      <w:r w:rsidRPr="00751B7C">
        <w:rPr>
          <w:rStyle w:val="normaltextrun"/>
          <w:rFonts w:eastAsiaTheme="majorEastAsia" w:cs="Arial"/>
          <w:iCs/>
          <w:shd w:val="clear" w:color="auto" w:fill="FFFFFF"/>
        </w:rPr>
        <w:t xml:space="preserve">California </w:t>
      </w:r>
      <w:r w:rsidRPr="00751B7C">
        <w:rPr>
          <w:rStyle w:val="normaltextrun"/>
          <w:rFonts w:eastAsiaTheme="majorEastAsia" w:cs="Arial"/>
          <w:i/>
          <w:iCs/>
          <w:shd w:val="clear" w:color="auto" w:fill="FFFFFF"/>
        </w:rPr>
        <w:t>Education Code</w:t>
      </w:r>
      <w:r w:rsidRPr="00751B7C">
        <w:rPr>
          <w:rStyle w:val="normaltextrun"/>
          <w:rFonts w:eastAsiaTheme="majorEastAsia" w:cs="Arial"/>
          <w:shd w:val="clear" w:color="auto" w:fill="FFFFFF"/>
        </w:rPr>
        <w:t xml:space="preserve"> (</w:t>
      </w:r>
      <w:r w:rsidRPr="00751B7C">
        <w:rPr>
          <w:rStyle w:val="normaltextrun"/>
          <w:rFonts w:eastAsiaTheme="majorEastAsia" w:cs="Arial"/>
          <w:i/>
          <w:iCs/>
          <w:shd w:val="clear" w:color="auto" w:fill="FFFFFF"/>
        </w:rPr>
        <w:t>EC</w:t>
      </w:r>
      <w:r w:rsidRPr="00751B7C">
        <w:rPr>
          <w:rStyle w:val="normaltextrun"/>
          <w:rFonts w:eastAsiaTheme="majorEastAsia" w:cs="Arial"/>
          <w:shd w:val="clear" w:color="auto" w:fill="FFFFFF"/>
        </w:rPr>
        <w:t>) Section</w:t>
      </w:r>
      <w:r w:rsidRPr="007B76E8">
        <w:rPr>
          <w:rStyle w:val="normaltextrun"/>
          <w:rFonts w:eastAsiaTheme="majorEastAsia" w:cs="Arial"/>
          <w:shd w:val="clear" w:color="auto" w:fill="FFFFFF"/>
        </w:rPr>
        <w:t xml:space="preserve"> 48412 provides for the administration of an examination to verify an eligible test taker’s proficiency in basic skills taught in high school. </w:t>
      </w:r>
      <w:r w:rsidRPr="00796E07">
        <w:rPr>
          <w:bdr w:val="none" w:sz="0" w:space="0" w:color="auto" w:frame="1"/>
        </w:rPr>
        <w:t xml:space="preserve">The law requires the </w:t>
      </w:r>
      <w:r>
        <w:rPr>
          <w:bdr w:val="none" w:sz="0" w:space="0" w:color="auto" w:frame="1"/>
        </w:rPr>
        <w:t>SBE</w:t>
      </w:r>
      <w:r w:rsidRPr="00796E07">
        <w:rPr>
          <w:bdr w:val="none" w:sz="0" w:space="0" w:color="auto" w:frame="1"/>
        </w:rPr>
        <w:t xml:space="preserve"> to award a certificate of proficiency to persons who demonstrate that proficiency. The law further requires the CDE to develop standards of competency in basic skills taught in public high schools and to provide for the administration of examinations prepared by, or with the approval of, the CDE to verify competency.</w:t>
      </w:r>
    </w:p>
    <w:p w14:paraId="5E3CC57E" w14:textId="77777777" w:rsidR="00647866" w:rsidRPr="00D570FD" w:rsidRDefault="00647866" w:rsidP="00647866">
      <w:pPr>
        <w:autoSpaceDE w:val="0"/>
        <w:autoSpaceDN w:val="0"/>
        <w:adjustRightInd w:val="0"/>
        <w:spacing w:after="240"/>
        <w:rPr>
          <w:rFonts w:eastAsiaTheme="minorEastAsia" w:cs="Arial"/>
        </w:rPr>
      </w:pPr>
      <w:r w:rsidRPr="00D570FD">
        <w:rPr>
          <w:rFonts w:eastAsiaTheme="minorEastAsia" w:cs="Arial"/>
        </w:rPr>
        <w:t xml:space="preserve">New definitions are needed to align 5 </w:t>
      </w:r>
      <w:r w:rsidRPr="00D570FD">
        <w:rPr>
          <w:rFonts w:eastAsiaTheme="minorEastAsia" w:cs="Arial"/>
          <w:i/>
        </w:rPr>
        <w:t>CCR</w:t>
      </w:r>
      <w:r w:rsidRPr="00D570FD">
        <w:rPr>
          <w:rFonts w:eastAsiaTheme="minorEastAsia" w:cs="Arial"/>
        </w:rPr>
        <w:t xml:space="preserve"> Section 11520 with the eligibility criteria in </w:t>
      </w:r>
      <w:r w:rsidRPr="00D570FD">
        <w:rPr>
          <w:rFonts w:eastAsiaTheme="minorEastAsia" w:cs="Arial"/>
          <w:i/>
        </w:rPr>
        <w:t>EC</w:t>
      </w:r>
      <w:r w:rsidRPr="00D570FD">
        <w:rPr>
          <w:rFonts w:eastAsiaTheme="minorEastAsia" w:cs="Arial"/>
        </w:rPr>
        <w:t xml:space="preserve"> Section 48412(a)(1)</w:t>
      </w:r>
      <w:r>
        <w:rPr>
          <w:rFonts w:eastAsiaTheme="minorEastAsia" w:cs="Arial"/>
        </w:rPr>
        <w:t xml:space="preserve">. </w:t>
      </w:r>
      <w:r w:rsidRPr="00751B7C">
        <w:rPr>
          <w:rFonts w:eastAsiaTheme="minorEastAsia" w:cs="Arial"/>
        </w:rPr>
        <w:t>This is</w:t>
      </w:r>
      <w:r w:rsidRPr="00D570FD">
        <w:rPr>
          <w:rFonts w:eastAsiaTheme="minorEastAsia" w:cs="Arial"/>
        </w:rPr>
        <w:t xml:space="preserve"> to clarify that payment is required at the time of the examination registration or when requesting services</w:t>
      </w:r>
      <w:r w:rsidRPr="00751B7C">
        <w:rPr>
          <w:rFonts w:eastAsiaTheme="minorEastAsia" w:cs="Arial"/>
        </w:rPr>
        <w:t>,</w:t>
      </w:r>
      <w:r w:rsidRPr="00D570FD">
        <w:rPr>
          <w:rFonts w:eastAsiaTheme="minorEastAsia" w:cs="Arial"/>
        </w:rPr>
        <w:t xml:space="preserve"> and administration fees are comprised of different costs. </w:t>
      </w:r>
    </w:p>
    <w:p w14:paraId="5C716018" w14:textId="77777777" w:rsidR="00647866" w:rsidRDefault="00647866" w:rsidP="00647866">
      <w:pPr>
        <w:autoSpaceDE w:val="0"/>
        <w:autoSpaceDN w:val="0"/>
        <w:adjustRightInd w:val="0"/>
        <w:spacing w:after="240"/>
        <w:rPr>
          <w:rFonts w:eastAsiaTheme="minorEastAsia" w:cs="Arial"/>
        </w:rPr>
      </w:pPr>
      <w:r w:rsidRPr="00D570FD">
        <w:t>The objective</w:t>
      </w:r>
      <w:r>
        <w:t xml:space="preserve"> </w:t>
      </w:r>
      <w:r w:rsidRPr="00751B7C">
        <w:t>of</w:t>
      </w:r>
      <w:r w:rsidRPr="00D570FD">
        <w:t xml:space="preserve"> the proposed definition for “eligibility” </w:t>
      </w:r>
      <w:r w:rsidRPr="00A32820">
        <w:t xml:space="preserve">is to confirm how the student shall demonstrate enrollment as required in </w:t>
      </w:r>
      <w:r w:rsidRPr="00A32820">
        <w:rPr>
          <w:i/>
        </w:rPr>
        <w:t>EC</w:t>
      </w:r>
      <w:r w:rsidRPr="00A32820">
        <w:t xml:space="preserve"> Section 48412(a)(1).</w:t>
      </w:r>
    </w:p>
    <w:p w14:paraId="04805316" w14:textId="77777777" w:rsidR="00647866" w:rsidRDefault="00647866" w:rsidP="00647866">
      <w:pPr>
        <w:autoSpaceDE w:val="0"/>
        <w:autoSpaceDN w:val="0"/>
        <w:adjustRightInd w:val="0"/>
        <w:spacing w:after="240"/>
        <w:rPr>
          <w:rStyle w:val="normaltextrun"/>
          <w:rFonts w:eastAsiaTheme="majorEastAsia" w:cs="Arial"/>
          <w:shd w:val="clear" w:color="auto" w:fill="FFFFFF"/>
        </w:rPr>
      </w:pPr>
      <w:r w:rsidRPr="7BCBC2D9">
        <w:rPr>
          <w:rFonts w:eastAsiaTheme="minorEastAsia" w:cs="Arial"/>
        </w:rPr>
        <w:t xml:space="preserve">In </w:t>
      </w:r>
      <w:r w:rsidRPr="00D11E1F">
        <w:rPr>
          <w:rFonts w:eastAsiaTheme="minorEastAsia" w:cs="Arial"/>
          <w:i/>
          <w:iCs/>
        </w:rPr>
        <w:t>EC</w:t>
      </w:r>
      <w:r w:rsidRPr="7BCBC2D9">
        <w:rPr>
          <w:rFonts w:eastAsiaTheme="minorEastAsia" w:cs="Arial"/>
        </w:rPr>
        <w:t xml:space="preserve"> </w:t>
      </w:r>
      <w:r>
        <w:rPr>
          <w:rFonts w:eastAsiaTheme="minorEastAsia" w:cs="Arial"/>
        </w:rPr>
        <w:t>S</w:t>
      </w:r>
      <w:r w:rsidRPr="7BCBC2D9">
        <w:rPr>
          <w:rFonts w:eastAsiaTheme="minorEastAsia" w:cs="Arial"/>
        </w:rPr>
        <w:t>ection 48412</w:t>
      </w:r>
      <w:r>
        <w:rPr>
          <w:rFonts w:eastAsiaTheme="minorEastAsia" w:cs="Arial"/>
        </w:rPr>
        <w:t>(c)(1)</w:t>
      </w:r>
      <w:r w:rsidRPr="7BCBC2D9">
        <w:rPr>
          <w:rFonts w:eastAsiaTheme="minorEastAsia" w:cs="Arial"/>
        </w:rPr>
        <w:t xml:space="preserve">, </w:t>
      </w:r>
      <w:r>
        <w:rPr>
          <w:rFonts w:eastAsiaTheme="minorEastAsia" w:cs="Arial"/>
        </w:rPr>
        <w:t>“f</w:t>
      </w:r>
      <w:r w:rsidRPr="7BCBC2D9">
        <w:rPr>
          <w:rFonts w:eastAsiaTheme="minorEastAsia" w:cs="Arial"/>
        </w:rPr>
        <w:t>ee</w:t>
      </w:r>
      <w:r>
        <w:rPr>
          <w:rFonts w:eastAsiaTheme="minorEastAsia" w:cs="Arial"/>
        </w:rPr>
        <w:t>”</w:t>
      </w:r>
      <w:r w:rsidRPr="7BCBC2D9">
        <w:rPr>
          <w:rFonts w:eastAsiaTheme="minorEastAsia" w:cs="Arial"/>
        </w:rPr>
        <w:t xml:space="preserve"> is </w:t>
      </w:r>
      <w:r>
        <w:rPr>
          <w:rFonts w:eastAsiaTheme="minorEastAsia" w:cs="Arial"/>
        </w:rPr>
        <w:t>defined to be “an amount sufficient to recover the costs” to administer the test. This amount is a</w:t>
      </w:r>
      <w:r w:rsidRPr="7BCBC2D9">
        <w:rPr>
          <w:rFonts w:eastAsiaTheme="minorEastAsia" w:cs="Arial"/>
        </w:rPr>
        <w:t xml:space="preserve"> combination of costs</w:t>
      </w:r>
      <w:r>
        <w:rPr>
          <w:rFonts w:eastAsiaTheme="minorEastAsia" w:cs="Arial"/>
        </w:rPr>
        <w:t>, which includes</w:t>
      </w:r>
      <w:r w:rsidRPr="7BCBC2D9">
        <w:rPr>
          <w:rFonts w:eastAsiaTheme="minorEastAsia" w:cs="Arial"/>
        </w:rPr>
        <w:t xml:space="preserve"> </w:t>
      </w:r>
      <w:r w:rsidRPr="00751B7C">
        <w:rPr>
          <w:rFonts w:eastAsiaTheme="minorEastAsia" w:cs="Arial"/>
        </w:rPr>
        <w:t>vendor, testing center,</w:t>
      </w:r>
      <w:r w:rsidRPr="7BCBC2D9">
        <w:rPr>
          <w:rFonts w:eastAsiaTheme="minorEastAsia" w:cs="Arial"/>
        </w:rPr>
        <w:t xml:space="preserve"> and state administration costs</w:t>
      </w:r>
      <w:r>
        <w:rPr>
          <w:rFonts w:eastAsiaTheme="minorEastAsia" w:cs="Arial"/>
        </w:rPr>
        <w:t xml:space="preserve">, as well as </w:t>
      </w:r>
      <w:r w:rsidRPr="00923149">
        <w:rPr>
          <w:rFonts w:eastAsiaTheme="minorEastAsia" w:cs="Arial"/>
        </w:rPr>
        <w:t>costs</w:t>
      </w:r>
      <w:r>
        <w:rPr>
          <w:rFonts w:eastAsiaTheme="minorEastAsia" w:cs="Arial"/>
        </w:rPr>
        <w:t xml:space="preserve"> for additional score reports or certificates if needed.</w:t>
      </w:r>
    </w:p>
    <w:p w14:paraId="108732FC" w14:textId="0326D764" w:rsidR="00D8667C" w:rsidRPr="00647866" w:rsidRDefault="00647866" w:rsidP="00647866">
      <w:pPr>
        <w:spacing w:after="240"/>
        <w:rPr>
          <w:rFonts w:cs="Arial"/>
        </w:rPr>
      </w:pPr>
      <w:r>
        <w:rPr>
          <w:rStyle w:val="normaltextrun"/>
          <w:rFonts w:eastAsiaTheme="majorEastAsia" w:cs="Arial"/>
          <w:shd w:val="clear" w:color="auto" w:fill="FFFFFF"/>
        </w:rPr>
        <w:t>Thus, 5</w:t>
      </w:r>
      <w:r w:rsidRPr="007B76E8">
        <w:rPr>
          <w:rStyle w:val="normaltextrun"/>
          <w:rFonts w:eastAsiaTheme="majorEastAsia" w:cs="Arial"/>
          <w:i/>
          <w:iCs/>
          <w:shd w:val="clear" w:color="auto" w:fill="FFFFFF"/>
        </w:rPr>
        <w:t xml:space="preserve"> CCR</w:t>
      </w:r>
      <w:r w:rsidRPr="007B76E8">
        <w:rPr>
          <w:rStyle w:val="normaltextrun"/>
          <w:rFonts w:eastAsiaTheme="majorEastAsia" w:cs="Arial"/>
          <w:shd w:val="clear" w:color="auto" w:fill="FFFFFF"/>
        </w:rPr>
        <w:t xml:space="preserve"> </w:t>
      </w:r>
      <w:r>
        <w:rPr>
          <w:rStyle w:val="normaltextrun"/>
          <w:rFonts w:eastAsiaTheme="majorEastAsia" w:cs="Arial"/>
          <w:shd w:val="clear" w:color="auto" w:fill="FFFFFF"/>
        </w:rPr>
        <w:t>S</w:t>
      </w:r>
      <w:r w:rsidRPr="007B76E8">
        <w:rPr>
          <w:rStyle w:val="normaltextrun"/>
          <w:rFonts w:eastAsiaTheme="majorEastAsia" w:cs="Arial"/>
          <w:shd w:val="clear" w:color="auto" w:fill="FFFFFF"/>
        </w:rPr>
        <w:t>ection 11520 must be updated to ensure that the public understands what is necessary to verify eligibility to take the examination and that the administration fee (cost of the examination) is made up of multiple fees.</w:t>
      </w:r>
    </w:p>
    <w:p w14:paraId="2DBB993B" w14:textId="77777777" w:rsidR="003E4DF7" w:rsidRPr="00731386" w:rsidRDefault="003E4DF7" w:rsidP="0054700C">
      <w:pPr>
        <w:pStyle w:val="Heading2"/>
        <w:spacing w:before="480" w:after="240"/>
        <w:rPr>
          <w:sz w:val="36"/>
          <w:szCs w:val="36"/>
        </w:rPr>
      </w:pPr>
      <w:r w:rsidRPr="020CDD71">
        <w:rPr>
          <w:sz w:val="36"/>
          <w:szCs w:val="36"/>
        </w:rPr>
        <w:t>Summary of Previous State Board of Education Discussion and Action</w:t>
      </w:r>
    </w:p>
    <w:p w14:paraId="0BA339A0" w14:textId="26DAC31A" w:rsidR="00647866" w:rsidRPr="00647866" w:rsidRDefault="3165CED2" w:rsidP="640193C4">
      <w:pPr>
        <w:pStyle w:val="paragraph"/>
        <w:spacing w:before="0" w:beforeAutospacing="0" w:after="240" w:afterAutospacing="0"/>
        <w:textAlignment w:val="baseline"/>
        <w:rPr>
          <w:rFonts w:ascii="Arial" w:eastAsia="Arial" w:hAnsi="Arial" w:cs="Arial"/>
          <w:color w:val="000000" w:themeColor="text1"/>
        </w:rPr>
      </w:pPr>
      <w:r w:rsidRPr="640193C4">
        <w:rPr>
          <w:rFonts w:ascii="Arial" w:eastAsia="Arial" w:hAnsi="Arial" w:cs="Arial"/>
          <w:color w:val="000000" w:themeColor="text1"/>
        </w:rPr>
        <w:t>In July 2023, the SBE authorized the beginning of the rulemaking process</w:t>
      </w:r>
      <w:r w:rsidR="0929F972" w:rsidRPr="640193C4">
        <w:rPr>
          <w:rFonts w:ascii="Arial" w:eastAsia="Arial" w:hAnsi="Arial" w:cs="Arial"/>
          <w:color w:val="000000" w:themeColor="text1"/>
        </w:rPr>
        <w:t xml:space="preserve"> and</w:t>
      </w:r>
      <w:r w:rsidRPr="640193C4">
        <w:rPr>
          <w:rFonts w:ascii="Arial" w:eastAsia="Arial" w:hAnsi="Arial" w:cs="Arial"/>
          <w:color w:val="000000" w:themeColor="text1"/>
        </w:rPr>
        <w:t xml:space="preserve"> </w:t>
      </w:r>
      <w:r w:rsidR="6101F21A" w:rsidRPr="640193C4">
        <w:rPr>
          <w:rFonts w:ascii="Arial" w:eastAsia="Arial" w:hAnsi="Arial" w:cs="Arial"/>
          <w:color w:val="000000" w:themeColor="text1"/>
        </w:rPr>
        <w:t>c</w:t>
      </w:r>
      <w:r w:rsidRPr="640193C4">
        <w:rPr>
          <w:rFonts w:ascii="Arial" w:eastAsia="Arial" w:hAnsi="Arial" w:cs="Arial"/>
          <w:color w:val="000000" w:themeColor="text1"/>
        </w:rPr>
        <w:t>ommencement of a 45-Day Public Comment Period for Proposed Amendments to</w:t>
      </w:r>
      <w:r w:rsidR="00CD1E67">
        <w:rPr>
          <w:rFonts w:ascii="Arial" w:eastAsia="Arial" w:hAnsi="Arial" w:cs="Arial"/>
          <w:color w:val="000000" w:themeColor="text1"/>
        </w:rPr>
        <w:br/>
      </w:r>
      <w:r w:rsidR="00F75FC9">
        <w:rPr>
          <w:rFonts w:ascii="Arial" w:eastAsia="Arial" w:hAnsi="Arial" w:cs="Arial"/>
          <w:color w:val="000000" w:themeColor="text1"/>
        </w:rPr>
        <w:t xml:space="preserve">5 </w:t>
      </w:r>
      <w:r w:rsidR="00F75FC9" w:rsidRPr="00F75FC9">
        <w:rPr>
          <w:rFonts w:ascii="Arial" w:eastAsia="Arial" w:hAnsi="Arial" w:cs="Arial"/>
          <w:i/>
          <w:iCs/>
          <w:color w:val="000000" w:themeColor="text1"/>
        </w:rPr>
        <w:t>CCR</w:t>
      </w:r>
      <w:r w:rsidRPr="00F75FC9">
        <w:rPr>
          <w:rFonts w:ascii="Arial" w:eastAsia="Arial" w:hAnsi="Arial" w:cs="Arial"/>
          <w:i/>
          <w:iCs/>
          <w:color w:val="000000" w:themeColor="text1"/>
        </w:rPr>
        <w:t>,</w:t>
      </w:r>
      <w:r w:rsidRPr="640193C4">
        <w:rPr>
          <w:rFonts w:ascii="Arial" w:eastAsia="Arial" w:hAnsi="Arial" w:cs="Arial"/>
          <w:color w:val="000000" w:themeColor="text1"/>
        </w:rPr>
        <w:t xml:space="preserve"> Section 11520</w:t>
      </w:r>
      <w:r w:rsidR="00AB1A9E">
        <w:t xml:space="preserve"> </w:t>
      </w:r>
      <w:r w:rsidR="33730BD7" w:rsidRPr="640193C4">
        <w:rPr>
          <w:rFonts w:ascii="Arial" w:eastAsia="Arial" w:hAnsi="Arial" w:cs="Arial"/>
          <w:color w:val="000000" w:themeColor="text1"/>
        </w:rPr>
        <w:t>(</w:t>
      </w:r>
      <w:hyperlink r:id="rId12" w:tooltip="This link opens the July 2023 SBE Agenda Item.">
        <w:r w:rsidR="33730BD7" w:rsidRPr="640193C4">
          <w:rPr>
            <w:rStyle w:val="Hyperlink"/>
            <w:rFonts w:ascii="Arial" w:eastAsia="Arial" w:hAnsi="Arial" w:cs="Arial"/>
          </w:rPr>
          <w:t>https://www.cde.ca.gov/be/ag/ag/yr23/documents/jul23item05.docx</w:t>
        </w:r>
      </w:hyperlink>
      <w:r w:rsidR="33730BD7" w:rsidRPr="640193C4">
        <w:rPr>
          <w:rFonts w:ascii="Arial" w:eastAsia="Arial" w:hAnsi="Arial" w:cs="Arial"/>
          <w:color w:val="000000" w:themeColor="text1"/>
        </w:rPr>
        <w:t>).</w:t>
      </w:r>
    </w:p>
    <w:p w14:paraId="3E8759C8" w14:textId="22136CBF" w:rsidR="00647866" w:rsidRPr="00647866" w:rsidRDefault="00647866" w:rsidP="020CDD71">
      <w:pPr>
        <w:pStyle w:val="paragraph"/>
        <w:spacing w:before="0" w:beforeAutospacing="0" w:after="240" w:afterAutospacing="0"/>
        <w:textAlignment w:val="baseline"/>
        <w:rPr>
          <w:rStyle w:val="eop"/>
          <w:rFonts w:ascii="Arial" w:hAnsi="Arial" w:cs="Arial"/>
        </w:rPr>
      </w:pPr>
      <w:bookmarkStart w:id="0" w:name="_Hlk125042754"/>
      <w:r w:rsidRPr="020CDD71">
        <w:rPr>
          <w:rStyle w:val="normaltextrun"/>
          <w:rFonts w:ascii="Arial" w:eastAsiaTheme="majorEastAsia" w:hAnsi="Arial" w:cs="Arial"/>
        </w:rPr>
        <w:t>In October 2022, the CDE notified the SBE that on July 1, 2023, the California High School Proficiency Exam</w:t>
      </w:r>
      <w:r w:rsidR="00F75FC9">
        <w:rPr>
          <w:rStyle w:val="normaltextrun"/>
          <w:rFonts w:ascii="Arial" w:eastAsiaTheme="majorEastAsia" w:hAnsi="Arial" w:cs="Arial"/>
        </w:rPr>
        <w:t>ination</w:t>
      </w:r>
      <w:r w:rsidRPr="020CDD71">
        <w:rPr>
          <w:rStyle w:val="normaltextrun"/>
          <w:rFonts w:ascii="Arial" w:eastAsiaTheme="majorEastAsia" w:hAnsi="Arial" w:cs="Arial"/>
        </w:rPr>
        <w:t xml:space="preserve"> will transition to the use of the high school equivalency (HSE) subtests for language arts and mathematics </w:t>
      </w:r>
      <w:r w:rsidRPr="020CDD71">
        <w:rPr>
          <w:rStyle w:val="normaltextrun"/>
          <w:rFonts w:ascii="Arial" w:eastAsiaTheme="majorEastAsia" w:hAnsi="Arial" w:cs="Arial"/>
          <w:color w:val="000000"/>
          <w:shd w:val="clear" w:color="auto" w:fill="FFFFFF"/>
        </w:rPr>
        <w:t>to demonstrate their basic proficiency (</w:t>
      </w:r>
      <w:hyperlink r:id="rId13" w:tgtFrame="_blank" w:tooltip="This link opens the October SBE Information Memorandum." w:history="1">
        <w:r w:rsidRPr="020CDD71">
          <w:rPr>
            <w:rStyle w:val="Hyperlink"/>
            <w:rFonts w:ascii="Arial" w:eastAsiaTheme="majorEastAsia" w:hAnsi="Arial" w:cs="Arial"/>
            <w:shd w:val="clear" w:color="auto" w:fill="FFFFFF"/>
          </w:rPr>
          <w:t>https://www.cde.ca.gov/be/pn/im/documents/oct22memoadad02.docx</w:t>
        </w:r>
      </w:hyperlink>
      <w:r w:rsidRPr="020CDD71">
        <w:rPr>
          <w:rStyle w:val="normaltextrun"/>
          <w:rFonts w:ascii="Arial" w:eastAsiaTheme="majorEastAsia" w:hAnsi="Arial" w:cs="Arial"/>
        </w:rPr>
        <w:t>).</w:t>
      </w:r>
    </w:p>
    <w:p w14:paraId="698C1267" w14:textId="77806583" w:rsidR="00647866" w:rsidRPr="00647866" w:rsidRDefault="00647866" w:rsidP="00647866">
      <w:pPr>
        <w:pStyle w:val="paragraph"/>
        <w:spacing w:before="0" w:beforeAutospacing="0" w:after="240" w:afterAutospacing="0"/>
        <w:textAlignment w:val="baseline"/>
        <w:rPr>
          <w:rStyle w:val="eop"/>
          <w:rFonts w:ascii="Arial" w:hAnsi="Arial" w:cs="Arial"/>
        </w:rPr>
      </w:pPr>
      <w:r w:rsidRPr="00647866">
        <w:rPr>
          <w:rStyle w:val="eop"/>
          <w:rFonts w:ascii="Arial" w:hAnsi="Arial" w:cs="Arial"/>
        </w:rPr>
        <w:t>In June 2019, the CDE notified the SBE of the status of the three HSE testing programs (</w:t>
      </w:r>
      <w:hyperlink r:id="rId14" w:tooltip="This link opens the June 2019 SBE Information Memorandum." w:history="1">
        <w:r w:rsidRPr="00647866">
          <w:rPr>
            <w:rStyle w:val="Hyperlink"/>
            <w:rFonts w:ascii="Arial" w:hAnsi="Arial" w:cs="Arial"/>
          </w:rPr>
          <w:t>https://www.cde.ca.gov/be/pn/im/documents/memo-pptb-adad-jun19item01.docx</w:t>
        </w:r>
      </w:hyperlink>
      <w:r w:rsidRPr="00647866">
        <w:rPr>
          <w:rStyle w:val="eop"/>
          <w:rFonts w:ascii="Arial" w:hAnsi="Arial" w:cs="Arial"/>
        </w:rPr>
        <w:t>).</w:t>
      </w:r>
    </w:p>
    <w:p w14:paraId="3DAAD92D" w14:textId="02336442" w:rsidR="00647866" w:rsidRPr="0054700C" w:rsidRDefault="00647866" w:rsidP="00647866">
      <w:pPr>
        <w:pStyle w:val="paragraph"/>
        <w:spacing w:before="0" w:beforeAutospacing="0" w:after="240" w:afterAutospacing="0"/>
        <w:textAlignment w:val="baseline"/>
        <w:rPr>
          <w:rFonts w:ascii="Arial" w:hAnsi="Arial" w:cs="Arial"/>
        </w:rPr>
      </w:pPr>
      <w:r w:rsidRPr="00647866">
        <w:rPr>
          <w:rStyle w:val="normaltextrun"/>
          <w:rFonts w:ascii="Arial" w:eastAsiaTheme="majorEastAsia" w:hAnsi="Arial" w:cs="Arial"/>
        </w:rPr>
        <w:t>In March 2014, the SBE authorized the use of the official tests for the HSE Exam</w:t>
      </w:r>
      <w:r w:rsidR="00F75FC9">
        <w:rPr>
          <w:rStyle w:val="normaltextrun"/>
          <w:rFonts w:ascii="Arial" w:eastAsiaTheme="majorEastAsia" w:hAnsi="Arial" w:cs="Arial"/>
        </w:rPr>
        <w:t>ination</w:t>
      </w:r>
      <w:r w:rsidRPr="00647866">
        <w:rPr>
          <w:rStyle w:val="normaltextrun"/>
          <w:rFonts w:ascii="Arial" w:eastAsiaTheme="majorEastAsia" w:hAnsi="Arial" w:cs="Arial"/>
        </w:rPr>
        <w:t xml:space="preserve"> (</w:t>
      </w:r>
      <w:hyperlink r:id="rId15" w:tooltip="This link opens the March 2014 SBE Agenda Item." w:history="1">
        <w:r w:rsidR="0054700C" w:rsidRPr="00BF3C37">
          <w:rPr>
            <w:rStyle w:val="Hyperlink"/>
            <w:rFonts w:ascii="Arial" w:hAnsi="Arial" w:cs="Arial"/>
          </w:rPr>
          <w:t>https://www.cde.ca.gov/be/ag/ag/yr14/documents/mar14item12.doc</w:t>
        </w:r>
      </w:hyperlink>
      <w:r w:rsidR="0054700C">
        <w:rPr>
          <w:rFonts w:ascii="Arial" w:hAnsi="Arial" w:cs="Arial"/>
        </w:rPr>
        <w:t>).</w:t>
      </w:r>
    </w:p>
    <w:bookmarkEnd w:id="0"/>
    <w:p w14:paraId="05AD71B8" w14:textId="51B51245" w:rsidR="003E4DF7" w:rsidRPr="00731386" w:rsidRDefault="003E4DF7" w:rsidP="0054700C">
      <w:pPr>
        <w:pStyle w:val="Heading2"/>
        <w:spacing w:before="480" w:after="240"/>
        <w:rPr>
          <w:sz w:val="36"/>
          <w:szCs w:val="36"/>
        </w:rPr>
      </w:pPr>
      <w:r w:rsidRPr="6EA2819B">
        <w:rPr>
          <w:sz w:val="36"/>
          <w:szCs w:val="36"/>
        </w:rPr>
        <w:lastRenderedPageBreak/>
        <w:t xml:space="preserve">Fiscal Analysis </w:t>
      </w:r>
    </w:p>
    <w:p w14:paraId="3D21A21F" w14:textId="3FE0D794" w:rsidR="001021BA" w:rsidRPr="00821066" w:rsidRDefault="001021BA" w:rsidP="0054700C">
      <w:pPr>
        <w:spacing w:after="240"/>
        <w:rPr>
          <w:rFonts w:cs="Arial"/>
        </w:rPr>
      </w:pPr>
      <w:r w:rsidRPr="0D6DB666">
        <w:rPr>
          <w:rFonts w:cs="Arial"/>
        </w:rPr>
        <w:t xml:space="preserve">An Economic and Fiscal Impact Statement is provided as Attachment </w:t>
      </w:r>
      <w:r w:rsidR="005C6F4E">
        <w:rPr>
          <w:rFonts w:cs="Arial"/>
        </w:rPr>
        <w:t>3</w:t>
      </w:r>
      <w:r w:rsidRPr="0D6DB666">
        <w:rPr>
          <w:rFonts w:cs="Arial"/>
        </w:rPr>
        <w:t>.</w:t>
      </w:r>
    </w:p>
    <w:p w14:paraId="164324BC" w14:textId="763F3CAA" w:rsidR="00406F50" w:rsidRPr="00731386" w:rsidRDefault="00170FBB" w:rsidP="0054700C">
      <w:pPr>
        <w:pStyle w:val="Heading2"/>
        <w:spacing w:before="480" w:after="240"/>
        <w:rPr>
          <w:sz w:val="36"/>
          <w:szCs w:val="36"/>
        </w:rPr>
      </w:pPr>
      <w:r w:rsidRPr="00731386">
        <w:rPr>
          <w:sz w:val="36"/>
          <w:szCs w:val="36"/>
        </w:rPr>
        <w:t>A</w:t>
      </w:r>
      <w:r w:rsidR="00406F50" w:rsidRPr="00731386">
        <w:rPr>
          <w:sz w:val="36"/>
          <w:szCs w:val="36"/>
        </w:rPr>
        <w:t>ttachment(s)</w:t>
      </w:r>
    </w:p>
    <w:p w14:paraId="7D01248D" w14:textId="2C4147AF" w:rsidR="00C32AA5" w:rsidRPr="0054700C" w:rsidRDefault="00C32AA5" w:rsidP="0054700C">
      <w:pPr>
        <w:pStyle w:val="ListParagraph"/>
        <w:numPr>
          <w:ilvl w:val="0"/>
          <w:numId w:val="11"/>
        </w:numPr>
        <w:spacing w:after="240"/>
        <w:contextualSpacing w:val="0"/>
        <w:rPr>
          <w:rFonts w:cs="Arial"/>
        </w:rPr>
      </w:pPr>
      <w:r w:rsidRPr="0054700C">
        <w:rPr>
          <w:rFonts w:cs="Arial"/>
        </w:rPr>
        <w:t>Attachment 1: Final Statement of Reasons (</w:t>
      </w:r>
      <w:r w:rsidR="38E94813" w:rsidRPr="0054700C">
        <w:rPr>
          <w:rFonts w:cs="Arial"/>
        </w:rPr>
        <w:t>1</w:t>
      </w:r>
      <w:r w:rsidRPr="0054700C">
        <w:rPr>
          <w:rFonts w:cs="Arial"/>
        </w:rPr>
        <w:t xml:space="preserve"> page)</w:t>
      </w:r>
    </w:p>
    <w:p w14:paraId="5FFC72B0" w14:textId="77F18B39" w:rsidR="00C32AA5" w:rsidRPr="0054700C" w:rsidRDefault="00C32AA5" w:rsidP="0054700C">
      <w:pPr>
        <w:pStyle w:val="ListParagraph"/>
        <w:numPr>
          <w:ilvl w:val="0"/>
          <w:numId w:val="11"/>
        </w:numPr>
        <w:spacing w:after="240"/>
        <w:contextualSpacing w:val="0"/>
        <w:rPr>
          <w:rFonts w:cs="Arial"/>
        </w:rPr>
      </w:pPr>
      <w:r w:rsidRPr="0054700C">
        <w:rPr>
          <w:rFonts w:cs="Arial"/>
        </w:rPr>
        <w:t>Attachment 2: Proposed Regulations (</w:t>
      </w:r>
      <w:r w:rsidR="47DA3F3C" w:rsidRPr="0054700C">
        <w:rPr>
          <w:rFonts w:cs="Arial"/>
        </w:rPr>
        <w:t>1</w:t>
      </w:r>
      <w:r w:rsidRPr="0054700C">
        <w:rPr>
          <w:rFonts w:cs="Arial"/>
        </w:rPr>
        <w:t xml:space="preserve"> page)</w:t>
      </w:r>
    </w:p>
    <w:p w14:paraId="1FB54B61" w14:textId="7393C57B" w:rsidR="009B04E1" w:rsidRDefault="00C32AA5" w:rsidP="0054700C">
      <w:pPr>
        <w:pStyle w:val="ListParagraph"/>
        <w:numPr>
          <w:ilvl w:val="0"/>
          <w:numId w:val="11"/>
        </w:numPr>
        <w:spacing w:after="240"/>
        <w:contextualSpacing w:val="0"/>
        <w:rPr>
          <w:rFonts w:cs="Arial"/>
        </w:rPr>
      </w:pPr>
      <w:r w:rsidRPr="0054700C">
        <w:rPr>
          <w:rFonts w:cs="Arial"/>
        </w:rPr>
        <w:t xml:space="preserve">Attachment 3: </w:t>
      </w:r>
      <w:r w:rsidR="306ECBAD" w:rsidRPr="0054700C">
        <w:rPr>
          <w:rFonts w:cs="Arial"/>
        </w:rPr>
        <w:t>Economic and Fiscal Impact Statement (STD. 399) (5 pages)</w:t>
      </w:r>
    </w:p>
    <w:p w14:paraId="0E46E321" w14:textId="77777777" w:rsidR="00CD1E67" w:rsidRDefault="00CD1E67" w:rsidP="00CD1E67">
      <w:pPr>
        <w:spacing w:after="240"/>
        <w:rPr>
          <w:rFonts w:cs="Arial"/>
        </w:rPr>
        <w:sectPr w:rsidR="00CD1E67" w:rsidSect="0054700C">
          <w:headerReference w:type="default" r:id="rId16"/>
          <w:type w:val="continuous"/>
          <w:pgSz w:w="12240" w:h="15840"/>
          <w:pgMar w:top="720" w:right="1440" w:bottom="1440" w:left="1440" w:header="720" w:footer="720" w:gutter="0"/>
          <w:cols w:space="720"/>
          <w:titlePg/>
          <w:docGrid w:linePitch="360"/>
        </w:sectPr>
      </w:pPr>
    </w:p>
    <w:p w14:paraId="37078B04" w14:textId="77777777" w:rsidR="00CD1E67" w:rsidRPr="00CD1E67" w:rsidRDefault="00CD1E67" w:rsidP="00CD1E67">
      <w:pPr>
        <w:keepNext/>
        <w:jc w:val="center"/>
        <w:outlineLvl w:val="0"/>
        <w:rPr>
          <w:b/>
        </w:rPr>
      </w:pPr>
      <w:r w:rsidRPr="00CD1E67">
        <w:rPr>
          <w:b/>
        </w:rPr>
        <w:lastRenderedPageBreak/>
        <w:t>FINAL STATEMENT OF REASONS</w:t>
      </w:r>
    </w:p>
    <w:p w14:paraId="376CDD50" w14:textId="77777777" w:rsidR="00CD1E67" w:rsidRPr="00CD1E67" w:rsidRDefault="00CD1E67" w:rsidP="00CD1E67">
      <w:pPr>
        <w:jc w:val="center"/>
        <w:rPr>
          <w:rFonts w:eastAsia="Arial" w:cs="Arial"/>
        </w:rPr>
      </w:pPr>
      <w:r w:rsidRPr="00CD1E67">
        <w:rPr>
          <w:rFonts w:eastAsia="Arial" w:cs="Arial"/>
          <w:color w:val="000000" w:themeColor="text1"/>
        </w:rPr>
        <w:t>High School Proficiency Program</w:t>
      </w:r>
    </w:p>
    <w:p w14:paraId="66731D21" w14:textId="77777777" w:rsidR="00CD1E67" w:rsidRPr="00CD1E67" w:rsidRDefault="00CD1E67" w:rsidP="00CD1E67">
      <w:pPr>
        <w:jc w:val="center"/>
        <w:rPr>
          <w:rFonts w:cs="Arial"/>
          <w:b/>
        </w:rPr>
      </w:pPr>
    </w:p>
    <w:p w14:paraId="6931575F" w14:textId="77777777" w:rsidR="00CD1E67" w:rsidRPr="00CD1E67" w:rsidRDefault="00CD1E67" w:rsidP="00CD1E67">
      <w:pPr>
        <w:keepNext/>
        <w:keepLines/>
        <w:spacing w:before="40"/>
        <w:outlineLvl w:val="1"/>
        <w:rPr>
          <w:rFonts w:eastAsiaTheme="majorEastAsia" w:cstheme="majorBidi"/>
          <w:b/>
          <w:szCs w:val="26"/>
        </w:rPr>
      </w:pPr>
      <w:r w:rsidRPr="00CD1E67">
        <w:rPr>
          <w:rFonts w:eastAsiaTheme="majorEastAsia" w:cstheme="majorBidi"/>
          <w:b/>
          <w:szCs w:val="26"/>
        </w:rPr>
        <w:t>UPDATE OF INITIAL STATEMENT OF REASONS</w:t>
      </w:r>
    </w:p>
    <w:p w14:paraId="24F1D64B" w14:textId="77777777" w:rsidR="00CD1E67" w:rsidRPr="00CD1E67" w:rsidRDefault="00CD1E67" w:rsidP="00CD1E67">
      <w:pPr>
        <w:rPr>
          <w:rFonts w:cs="Arial"/>
          <w:b/>
        </w:rPr>
      </w:pPr>
    </w:p>
    <w:p w14:paraId="6CB6BB9B" w14:textId="77777777" w:rsidR="00CD1E67" w:rsidRPr="00CD1E67" w:rsidRDefault="00CD1E67" w:rsidP="00CD1E67">
      <w:pPr>
        <w:rPr>
          <w:rFonts w:cs="Arial"/>
        </w:rPr>
      </w:pPr>
      <w:r w:rsidRPr="00CD1E67">
        <w:rPr>
          <w:rFonts w:cs="Arial"/>
        </w:rPr>
        <w:t>The original proposed text was made available for public comment for at least 45 days from August 11, 2023, through September 26, 2023, inclusive. No individuals provided comments during the 45-day comment period.</w:t>
      </w:r>
    </w:p>
    <w:p w14:paraId="39482AA3" w14:textId="77777777" w:rsidR="00CD1E67" w:rsidRPr="00CD1E67" w:rsidRDefault="00CD1E67" w:rsidP="00CD1E67">
      <w:pPr>
        <w:rPr>
          <w:rFonts w:cs="Arial"/>
        </w:rPr>
      </w:pPr>
    </w:p>
    <w:p w14:paraId="20987679" w14:textId="77777777" w:rsidR="00CD1E67" w:rsidRPr="00CD1E67" w:rsidRDefault="00CD1E67" w:rsidP="00CD1E67">
      <w:pPr>
        <w:rPr>
          <w:rFonts w:ascii="Times New Roman" w:hAnsi="Times New Roman"/>
        </w:rPr>
      </w:pPr>
      <w:r w:rsidRPr="00CD1E67">
        <w:rPr>
          <w:rFonts w:eastAsia="Arial" w:cs="Arial"/>
        </w:rPr>
        <w:t>A public hearing was held via videoconference on September 26, 2023, at 9:30 A.M.</w:t>
      </w:r>
      <w:r w:rsidRPr="00CD1E67">
        <w:rPr>
          <w:rFonts w:eastAsia="Arial" w:cs="Arial"/>
          <w:i/>
          <w:iCs/>
        </w:rPr>
        <w:t xml:space="preserve"> </w:t>
      </w:r>
      <w:r w:rsidRPr="00CD1E67">
        <w:rPr>
          <w:rFonts w:eastAsia="Arial" w:cs="Arial"/>
        </w:rPr>
        <w:t>Seven individuals attended the public hearing, and no oral comments were received at the public hearing.</w:t>
      </w:r>
    </w:p>
    <w:p w14:paraId="1405CFD5" w14:textId="067AB91A" w:rsidR="00CD1E67" w:rsidRPr="00CD1E67" w:rsidRDefault="00CD1E67" w:rsidP="00CD1E67">
      <w:pPr>
        <w:rPr>
          <w:rFonts w:cs="Arial"/>
          <w:b/>
          <w:bCs/>
        </w:rPr>
      </w:pPr>
    </w:p>
    <w:p w14:paraId="3E02E9FB" w14:textId="77777777" w:rsidR="00CD1E67" w:rsidRPr="00CD1E67" w:rsidRDefault="00CD1E67" w:rsidP="00CD1E67">
      <w:pPr>
        <w:keepNext/>
        <w:keepLines/>
        <w:spacing w:before="40"/>
        <w:outlineLvl w:val="1"/>
        <w:rPr>
          <w:rFonts w:eastAsiaTheme="majorEastAsia" w:cstheme="majorBidi"/>
          <w:b/>
          <w:szCs w:val="26"/>
        </w:rPr>
      </w:pPr>
      <w:r w:rsidRPr="00CD1E67">
        <w:rPr>
          <w:rFonts w:eastAsiaTheme="majorEastAsia" w:cstheme="majorBidi"/>
          <w:b/>
          <w:szCs w:val="26"/>
        </w:rPr>
        <w:t>ALTERNATIVES DETERMINATION</w:t>
      </w:r>
    </w:p>
    <w:p w14:paraId="10D72697" w14:textId="77777777" w:rsidR="00CD1E67" w:rsidRPr="00CD1E67" w:rsidRDefault="00CD1E67" w:rsidP="00CD1E67">
      <w:pPr>
        <w:rPr>
          <w:rFonts w:ascii="Times New Roman" w:hAnsi="Times New Roman"/>
        </w:rPr>
      </w:pPr>
    </w:p>
    <w:p w14:paraId="28F0319E" w14:textId="77777777" w:rsidR="00CD1E67" w:rsidRPr="00CD1E67" w:rsidRDefault="00CD1E67" w:rsidP="00CD1E67">
      <w:pPr>
        <w:rPr>
          <w:rFonts w:cs="Arial"/>
        </w:rPr>
      </w:pPr>
      <w:r w:rsidRPr="00CD1E67">
        <w:rPr>
          <w:rFonts w:cs="Arial"/>
        </w:rPr>
        <w:t>The State Superintendent of Public Instruction has determined that no alternative would be more effective in carrying out the purpose for which the regulation is proposed or would be as effective and less burdensome to affected private persons than the proposed regulation or would be more cost effective to affected private persons and equally effective in implementing the statutory policy or other provisions of law.</w:t>
      </w:r>
    </w:p>
    <w:p w14:paraId="21AC4E2C" w14:textId="77777777" w:rsidR="00CD1E67" w:rsidRPr="00CD1E67" w:rsidRDefault="00CD1E67" w:rsidP="00CD1E67">
      <w:pPr>
        <w:rPr>
          <w:rFonts w:cs="Arial"/>
        </w:rPr>
      </w:pPr>
    </w:p>
    <w:p w14:paraId="6A3FA44E" w14:textId="77777777" w:rsidR="00CD1E67" w:rsidRPr="00CD1E67" w:rsidRDefault="00CD1E67" w:rsidP="00CD1E67">
      <w:pPr>
        <w:rPr>
          <w:rFonts w:cs="Arial"/>
        </w:rPr>
      </w:pPr>
      <w:r w:rsidRPr="00CD1E67">
        <w:rPr>
          <w:rFonts w:cs="Arial"/>
        </w:rPr>
        <w:t>No alternatives have been brought to the agency’s attention and given the underlying statutory requirements; the agency has been unable to come up with any reasonable alternatives.</w:t>
      </w:r>
    </w:p>
    <w:p w14:paraId="268F38A0" w14:textId="77777777" w:rsidR="00CD1E67" w:rsidRPr="00CD1E67" w:rsidRDefault="00CD1E67" w:rsidP="00CD1E67">
      <w:pPr>
        <w:rPr>
          <w:rFonts w:cs="Arial"/>
          <w:i/>
          <w:iCs/>
        </w:rPr>
      </w:pPr>
    </w:p>
    <w:p w14:paraId="5F7C285E" w14:textId="1E7E41FD" w:rsidR="00CD1E67" w:rsidRPr="00CD1E67" w:rsidRDefault="00CD1E67" w:rsidP="00CD1E67">
      <w:pPr>
        <w:rPr>
          <w:rFonts w:cs="Arial"/>
        </w:rPr>
      </w:pPr>
      <w:r w:rsidRPr="00CD1E67">
        <w:rPr>
          <w:rFonts w:cs="Arial"/>
        </w:rPr>
        <w:t xml:space="preserve">The </w:t>
      </w:r>
      <w:proofErr w:type="spellStart"/>
      <w:r w:rsidRPr="00CD1E67">
        <w:rPr>
          <w:rFonts w:cs="Arial"/>
        </w:rPr>
        <w:t>nonadoption</w:t>
      </w:r>
      <w:proofErr w:type="spellEnd"/>
      <w:r w:rsidRPr="00CD1E67">
        <w:rPr>
          <w:rFonts w:cs="Arial"/>
        </w:rPr>
        <w:t xml:space="preserve"> of these changes is not a suitable alternative because the benefits of using these definitions provide the public consistency and clarity regarding the criteria for eligibility to take a test of proficiency, and what costs are included in the fee charged to the test taker to register for an examination.</w:t>
      </w:r>
    </w:p>
    <w:p w14:paraId="39257A9C" w14:textId="77777777" w:rsidR="00CD1E67" w:rsidRPr="00CD1E67" w:rsidRDefault="00CD1E67" w:rsidP="00CD1E67">
      <w:pPr>
        <w:rPr>
          <w:rFonts w:cs="Arial"/>
          <w:i/>
          <w:iCs/>
        </w:rPr>
      </w:pPr>
    </w:p>
    <w:p w14:paraId="6DDD920E" w14:textId="77777777" w:rsidR="00CD1E67" w:rsidRPr="00CD1E67" w:rsidRDefault="00CD1E67" w:rsidP="00CD1E67">
      <w:pPr>
        <w:keepNext/>
        <w:keepLines/>
        <w:spacing w:before="40"/>
        <w:outlineLvl w:val="1"/>
        <w:rPr>
          <w:rFonts w:eastAsiaTheme="majorEastAsia" w:cstheme="majorBidi"/>
          <w:b/>
          <w:szCs w:val="26"/>
        </w:rPr>
      </w:pPr>
      <w:r w:rsidRPr="00CD1E67">
        <w:rPr>
          <w:rFonts w:eastAsiaTheme="majorEastAsia" w:cstheme="majorBidi"/>
          <w:b/>
          <w:szCs w:val="26"/>
        </w:rPr>
        <w:t xml:space="preserve">LOCAL MANDATE DETERMINATION </w:t>
      </w:r>
    </w:p>
    <w:p w14:paraId="683905B0" w14:textId="77777777" w:rsidR="00CD1E67" w:rsidRPr="00CD1E67" w:rsidRDefault="00CD1E67" w:rsidP="00CD1E67">
      <w:pPr>
        <w:rPr>
          <w:rFonts w:cs="Arial"/>
          <w:bCs/>
        </w:rPr>
      </w:pPr>
    </w:p>
    <w:p w14:paraId="6E9C32A3" w14:textId="77777777" w:rsidR="00CD1E67" w:rsidRPr="00CD1E67" w:rsidRDefault="00CD1E67" w:rsidP="00CD1E67">
      <w:pPr>
        <w:rPr>
          <w:rFonts w:cs="Arial"/>
          <w:bCs/>
        </w:rPr>
      </w:pPr>
      <w:r w:rsidRPr="00CD1E67">
        <w:rPr>
          <w:rFonts w:cs="Arial"/>
          <w:bCs/>
        </w:rPr>
        <w:t>The proposed regulations do not impose any mandate on local agencies or school districts.</w:t>
      </w:r>
    </w:p>
    <w:p w14:paraId="794F8129" w14:textId="77777777" w:rsidR="00CD1E67" w:rsidRPr="00CD1E67" w:rsidRDefault="00CD1E67" w:rsidP="00CD1E67">
      <w:pPr>
        <w:rPr>
          <w:rFonts w:cs="Arial"/>
          <w:b/>
          <w:bCs/>
        </w:rPr>
      </w:pPr>
    </w:p>
    <w:p w14:paraId="7A1AFC19" w14:textId="77777777" w:rsidR="00CD1E67" w:rsidRPr="00CD1E67" w:rsidRDefault="00CD1E67" w:rsidP="00CD1E67">
      <w:pPr>
        <w:rPr>
          <w:rFonts w:cs="Arial"/>
          <w:szCs w:val="20"/>
        </w:rPr>
      </w:pPr>
      <w:r w:rsidRPr="00CD1E67">
        <w:rPr>
          <w:rFonts w:cs="Arial"/>
          <w:szCs w:val="20"/>
        </w:rPr>
        <w:t>10-18-2023 [California Department of Education]</w:t>
      </w:r>
    </w:p>
    <w:p w14:paraId="01A032EC" w14:textId="77777777" w:rsidR="00CD1E67" w:rsidRDefault="00CD1E67" w:rsidP="00CD1E67">
      <w:pPr>
        <w:spacing w:after="240"/>
        <w:rPr>
          <w:rFonts w:cs="Arial"/>
        </w:rPr>
        <w:sectPr w:rsidR="00CD1E67" w:rsidSect="00CD1E67">
          <w:headerReference w:type="default" r:id="rId17"/>
          <w:pgSz w:w="12240" w:h="15840" w:code="1"/>
          <w:pgMar w:top="1440" w:right="1440" w:bottom="1296" w:left="1440" w:header="720" w:footer="720" w:gutter="0"/>
          <w:pgNumType w:start="1"/>
          <w:cols w:space="720"/>
          <w:docGrid w:linePitch="360"/>
        </w:sectPr>
      </w:pPr>
    </w:p>
    <w:p w14:paraId="6822AC47" w14:textId="77777777" w:rsidR="00CD1E67" w:rsidRPr="00CD1E67" w:rsidRDefault="00CD1E67" w:rsidP="005E0E84">
      <w:pPr>
        <w:widowControl w:val="0"/>
        <w:ind w:right="-72"/>
        <w:rPr>
          <w:b/>
        </w:rPr>
      </w:pPr>
      <w:r w:rsidRPr="00CD1E67">
        <w:rPr>
          <w:rFonts w:cs="Arial"/>
        </w:rPr>
        <w:lastRenderedPageBreak/>
        <w:t xml:space="preserve">The State Board of Education has illustrated changes to the original text in the following manner: text originally proposed to be added is </w:t>
      </w:r>
      <w:r w:rsidRPr="00CD1E67">
        <w:rPr>
          <w:rFonts w:cs="Arial"/>
          <w:u w:val="single"/>
        </w:rPr>
        <w:t>underlined</w:t>
      </w:r>
      <w:r w:rsidRPr="00CD1E67">
        <w:rPr>
          <w:rFonts w:cs="Arial"/>
        </w:rPr>
        <w:t xml:space="preserve">; text proposed to be deleted is displayed in </w:t>
      </w:r>
      <w:r w:rsidRPr="00CD1E67">
        <w:rPr>
          <w:rFonts w:cs="Arial"/>
          <w:strike/>
        </w:rPr>
        <w:t>strikeout</w:t>
      </w:r>
      <w:r w:rsidRPr="00CD1E67">
        <w:rPr>
          <w:rFonts w:cs="Arial"/>
        </w:rPr>
        <w:t>.</w:t>
      </w:r>
    </w:p>
    <w:p w14:paraId="15381715" w14:textId="77777777" w:rsidR="00CD1E67" w:rsidRPr="00CD1E67" w:rsidRDefault="00CD1E67" w:rsidP="00CD1E67">
      <w:pPr>
        <w:widowControl w:val="0"/>
        <w:ind w:right="-72"/>
        <w:rPr>
          <w:b/>
        </w:rPr>
      </w:pPr>
    </w:p>
    <w:p w14:paraId="47817466" w14:textId="09FA67B8" w:rsidR="005E0E84" w:rsidRPr="005E0E84" w:rsidRDefault="00CD1E67" w:rsidP="005E0E84">
      <w:pPr>
        <w:pStyle w:val="Heading1"/>
        <w:jc w:val="center"/>
        <w:rPr>
          <w:sz w:val="24"/>
          <w:szCs w:val="24"/>
        </w:rPr>
      </w:pPr>
      <w:r w:rsidRPr="005E0E84">
        <w:rPr>
          <w:sz w:val="24"/>
          <w:szCs w:val="24"/>
        </w:rPr>
        <w:t>Title 5. EDUCATION</w:t>
      </w:r>
    </w:p>
    <w:p w14:paraId="1A231045" w14:textId="77777777" w:rsidR="005E0E84" w:rsidRPr="005E0E84" w:rsidRDefault="00CD1E67" w:rsidP="005E0E84">
      <w:pPr>
        <w:pStyle w:val="Heading2"/>
        <w:jc w:val="center"/>
        <w:rPr>
          <w:sz w:val="24"/>
          <w:szCs w:val="24"/>
        </w:rPr>
      </w:pPr>
      <w:r w:rsidRPr="005E0E84">
        <w:rPr>
          <w:sz w:val="24"/>
          <w:szCs w:val="24"/>
        </w:rPr>
        <w:t>Division 1. California Department of Education</w:t>
      </w:r>
    </w:p>
    <w:p w14:paraId="152A38EB" w14:textId="77777777" w:rsidR="005E0E84" w:rsidRDefault="00CD1E67" w:rsidP="005E0E84">
      <w:pPr>
        <w:pStyle w:val="Heading3"/>
        <w:jc w:val="center"/>
      </w:pPr>
      <w:r w:rsidRPr="00CD1E67">
        <w:t>Chapter 11. Special Programs</w:t>
      </w:r>
    </w:p>
    <w:p w14:paraId="521E8136" w14:textId="77777777" w:rsidR="005E0E84" w:rsidRPr="005E0E84" w:rsidRDefault="00CD1E67" w:rsidP="005E0E84">
      <w:pPr>
        <w:pStyle w:val="Heading4"/>
        <w:jc w:val="center"/>
        <w:rPr>
          <w:b/>
          <w:bCs/>
          <w:i w:val="0"/>
          <w:iCs w:val="0"/>
          <w:szCs w:val="32"/>
        </w:rPr>
      </w:pPr>
      <w:r w:rsidRPr="005E0E84">
        <w:rPr>
          <w:b/>
          <w:bCs/>
          <w:i w:val="0"/>
          <w:iCs w:val="0"/>
        </w:rPr>
        <w:t>Subchapter 8. High School Proficiency Certificates</w:t>
      </w:r>
    </w:p>
    <w:p w14:paraId="63F8CB73" w14:textId="4D65B6B1" w:rsidR="00CD1E67" w:rsidRPr="005E0E84" w:rsidRDefault="00CD1E67" w:rsidP="005E0E84">
      <w:pPr>
        <w:pStyle w:val="Heading5"/>
        <w:jc w:val="center"/>
        <w:rPr>
          <w:b/>
          <w:bCs/>
          <w:szCs w:val="32"/>
        </w:rPr>
      </w:pPr>
      <w:r w:rsidRPr="005E0E84">
        <w:rPr>
          <w:b/>
          <w:bCs/>
        </w:rPr>
        <w:t>Article 1. Certificate of Proficiency</w:t>
      </w:r>
    </w:p>
    <w:p w14:paraId="5AA1E9F8" w14:textId="77777777" w:rsidR="00CD1E67" w:rsidRPr="005E0E84" w:rsidRDefault="00CD1E67" w:rsidP="005E0E84">
      <w:pPr>
        <w:pStyle w:val="Heading6"/>
        <w:spacing w:after="120"/>
        <w:rPr>
          <w:b/>
          <w:bCs/>
        </w:rPr>
      </w:pPr>
      <w:r w:rsidRPr="005E0E84">
        <w:rPr>
          <w:b/>
          <w:bCs/>
        </w:rPr>
        <w:t>§ 11520. Definitions.</w:t>
      </w:r>
    </w:p>
    <w:p w14:paraId="1099BE37" w14:textId="77777777" w:rsidR="00CD1E67" w:rsidRPr="00CD1E67" w:rsidRDefault="00CD1E67" w:rsidP="00CD1E67">
      <w:pPr>
        <w:shd w:val="clear" w:color="auto" w:fill="FFFFFF"/>
        <w:tabs>
          <w:tab w:val="left" w:pos="360"/>
        </w:tabs>
        <w:spacing w:line="360" w:lineRule="auto"/>
        <w:rPr>
          <w:rFonts w:eastAsiaTheme="majorEastAsia" w:cstheme="majorBidi"/>
          <w:iCs/>
          <w:lang w:val="en"/>
        </w:rPr>
      </w:pPr>
      <w:r w:rsidRPr="00CD1E67">
        <w:rPr>
          <w:rFonts w:eastAsiaTheme="majorEastAsia" w:cstheme="majorBidi"/>
          <w:iCs/>
          <w:lang w:val="en"/>
        </w:rPr>
        <w:tab/>
        <w:t>(a) “Certificate” means a certificate of proficiency awarded by the State Board of Education (SBE) as described in Education Code section 48412(a)(2).</w:t>
      </w:r>
    </w:p>
    <w:p w14:paraId="752305C4" w14:textId="77777777" w:rsidR="00CD1E67" w:rsidRPr="00CD1E67" w:rsidRDefault="00CD1E67" w:rsidP="00CD1E67">
      <w:pPr>
        <w:shd w:val="clear" w:color="auto" w:fill="FFFFFF"/>
        <w:tabs>
          <w:tab w:val="left" w:pos="360"/>
        </w:tabs>
        <w:spacing w:line="360" w:lineRule="auto"/>
        <w:rPr>
          <w:rFonts w:eastAsiaTheme="majorEastAsia" w:cstheme="majorBidi"/>
          <w:iCs/>
          <w:lang w:val="en"/>
        </w:rPr>
      </w:pPr>
      <w:r w:rsidRPr="00CD1E67">
        <w:rPr>
          <w:rFonts w:eastAsiaTheme="majorEastAsia" w:cstheme="majorBidi"/>
          <w:lang w:val="en"/>
        </w:rPr>
        <w:tab/>
        <w:t>(b) “Certification” means documentation from a services provider, or a county or state agency, certifying the examinee is a homeless youth or a foster youth.</w:t>
      </w:r>
    </w:p>
    <w:p w14:paraId="5BA11C79" w14:textId="77777777" w:rsidR="00CD1E67" w:rsidRPr="00CD1E67" w:rsidRDefault="00CD1E67" w:rsidP="00CD1E67">
      <w:pPr>
        <w:shd w:val="clear" w:color="auto" w:fill="FFFFFF" w:themeFill="background1"/>
        <w:tabs>
          <w:tab w:val="left" w:pos="360"/>
        </w:tabs>
        <w:spacing w:line="360" w:lineRule="auto"/>
        <w:rPr>
          <w:rFonts w:cs="Arial"/>
          <w:color w:val="333333"/>
          <w:u w:val="single"/>
          <w:shd w:val="clear" w:color="auto" w:fill="FFFFFF"/>
        </w:rPr>
      </w:pPr>
      <w:r w:rsidRPr="00CD1E67">
        <w:rPr>
          <w:rFonts w:eastAsiaTheme="majorEastAsia" w:cs="Arial"/>
          <w:lang w:val="en"/>
        </w:rPr>
        <w:tab/>
      </w:r>
      <w:r w:rsidRPr="00CD1E67">
        <w:rPr>
          <w:rFonts w:eastAsiaTheme="majorEastAsia" w:cs="Arial"/>
          <w:u w:val="single"/>
          <w:lang w:val="en"/>
        </w:rPr>
        <w:t>(c) “Eligibility” shall</w:t>
      </w:r>
      <w:r w:rsidRPr="00CD1E67">
        <w:rPr>
          <w:rFonts w:cs="Arial"/>
          <w:color w:val="333333"/>
          <w:u w:val="single"/>
          <w:shd w:val="clear" w:color="auto" w:fill="FFFFFF"/>
        </w:rPr>
        <w:t xml:space="preserve"> be verified by the student’s demonstration of a local educational agency-issued official or unofficial transcript showing current enrollment.</w:t>
      </w:r>
    </w:p>
    <w:p w14:paraId="4ECE39EE" w14:textId="77777777" w:rsidR="00CD1E67" w:rsidRPr="00CD1E67" w:rsidRDefault="00CD1E67" w:rsidP="00CD1E67">
      <w:pPr>
        <w:shd w:val="clear" w:color="auto" w:fill="FFFFFF" w:themeFill="background1"/>
        <w:tabs>
          <w:tab w:val="left" w:pos="360"/>
        </w:tabs>
        <w:spacing w:line="360" w:lineRule="auto"/>
        <w:rPr>
          <w:rFonts w:cs="Arial"/>
          <w:color w:val="212121"/>
          <w:u w:val="single"/>
        </w:rPr>
      </w:pPr>
      <w:r w:rsidRPr="00CD1E67">
        <w:rPr>
          <w:rFonts w:eastAsiaTheme="majorEastAsia" w:cstheme="majorBidi"/>
          <w:lang w:val="en"/>
        </w:rPr>
        <w:tab/>
      </w:r>
      <w:r w:rsidRPr="00CD1E67">
        <w:rPr>
          <w:rFonts w:cs="Arial"/>
          <w:color w:val="212121"/>
          <w:u w:val="single"/>
        </w:rPr>
        <w:t>(d) “Fee” refers to a payment that shall be submitted at the time of registration or when requesting services such as ordering additional score reports or certificates.</w:t>
      </w:r>
    </w:p>
    <w:p w14:paraId="58912F7C" w14:textId="77777777" w:rsidR="00CD1E67" w:rsidRPr="00CD1E67" w:rsidRDefault="00CD1E67" w:rsidP="00CD1E67">
      <w:pPr>
        <w:shd w:val="clear" w:color="auto" w:fill="FFFFFF" w:themeFill="background1"/>
        <w:tabs>
          <w:tab w:val="left" w:pos="360"/>
        </w:tabs>
        <w:spacing w:line="360" w:lineRule="auto"/>
        <w:rPr>
          <w:rFonts w:eastAsiaTheme="majorEastAsia" w:cstheme="majorBidi"/>
          <w:lang w:val="en"/>
        </w:rPr>
      </w:pPr>
      <w:r w:rsidRPr="00CD1E67">
        <w:rPr>
          <w:rFonts w:eastAsiaTheme="majorEastAsia" w:cstheme="majorBidi"/>
          <w:lang w:val="en"/>
        </w:rPr>
        <w:tab/>
        <w:t>(</w:t>
      </w:r>
      <w:proofErr w:type="spellStart"/>
      <w:r w:rsidRPr="00CD1E67">
        <w:rPr>
          <w:rFonts w:eastAsiaTheme="majorEastAsia" w:cstheme="majorBidi"/>
          <w:strike/>
          <w:lang w:val="en"/>
        </w:rPr>
        <w:t>c</w:t>
      </w:r>
      <w:r w:rsidRPr="00CD1E67">
        <w:rPr>
          <w:rFonts w:eastAsiaTheme="majorEastAsia" w:cstheme="majorBidi"/>
          <w:u w:val="single"/>
          <w:lang w:val="en"/>
        </w:rPr>
        <w:t>e</w:t>
      </w:r>
      <w:proofErr w:type="spellEnd"/>
      <w:r w:rsidRPr="00CD1E67">
        <w:rPr>
          <w:rFonts w:eastAsiaTheme="majorEastAsia" w:cstheme="majorBidi"/>
          <w:lang w:val="en"/>
        </w:rPr>
        <w:t>) “Parent” as used in Education Code section 48410(e), relating to verified parental approval, means the natural parent, or adoptive parent or legal guardian, having legal custody of the pupil.</w:t>
      </w:r>
    </w:p>
    <w:p w14:paraId="54D78196" w14:textId="77777777" w:rsidR="00CD1E67" w:rsidRPr="00CD1E67" w:rsidRDefault="00CD1E67" w:rsidP="00CD1E67">
      <w:pPr>
        <w:shd w:val="clear" w:color="auto" w:fill="FFFFFF" w:themeFill="background1"/>
        <w:tabs>
          <w:tab w:val="left" w:pos="360"/>
        </w:tabs>
        <w:spacing w:line="360" w:lineRule="auto"/>
        <w:rPr>
          <w:rFonts w:eastAsiaTheme="majorEastAsia" w:cstheme="majorBidi"/>
          <w:lang w:val="en"/>
        </w:rPr>
      </w:pPr>
      <w:r w:rsidRPr="00CD1E67">
        <w:rPr>
          <w:rFonts w:eastAsiaTheme="majorEastAsia" w:cstheme="majorBidi"/>
          <w:lang w:val="en"/>
        </w:rPr>
        <w:tab/>
        <w:t>(</w:t>
      </w:r>
      <w:proofErr w:type="spellStart"/>
      <w:r w:rsidRPr="00CD1E67">
        <w:rPr>
          <w:rFonts w:eastAsiaTheme="majorEastAsia" w:cstheme="majorBidi"/>
          <w:strike/>
          <w:lang w:val="en"/>
        </w:rPr>
        <w:t>d</w:t>
      </w:r>
      <w:r w:rsidRPr="00CD1E67">
        <w:rPr>
          <w:rFonts w:eastAsiaTheme="majorEastAsia" w:cstheme="majorBidi"/>
          <w:u w:val="single"/>
          <w:lang w:val="en"/>
        </w:rPr>
        <w:t>f</w:t>
      </w:r>
      <w:proofErr w:type="spellEnd"/>
      <w:r w:rsidRPr="00CD1E67">
        <w:rPr>
          <w:rFonts w:eastAsiaTheme="majorEastAsia" w:cstheme="majorBidi"/>
          <w:lang w:val="en"/>
        </w:rPr>
        <w:t>) “Testing accommodations” means any variation in the assessment environment or process that does not fundamentally alter what the test measures or affect the comparability of scores.</w:t>
      </w:r>
    </w:p>
    <w:p w14:paraId="6A9333A7" w14:textId="77777777" w:rsidR="00CD1E67" w:rsidRPr="00CD1E67" w:rsidRDefault="00CD1E67" w:rsidP="00CD1E67">
      <w:pPr>
        <w:shd w:val="clear" w:color="auto" w:fill="FFFFFF"/>
        <w:tabs>
          <w:tab w:val="left" w:pos="360"/>
        </w:tabs>
        <w:spacing w:line="360" w:lineRule="auto"/>
        <w:rPr>
          <w:rFonts w:cs="Arial"/>
          <w:color w:val="212121"/>
          <w:lang w:val="en"/>
        </w:rPr>
      </w:pPr>
      <w:r w:rsidRPr="00CD1E67">
        <w:rPr>
          <w:rFonts w:eastAsiaTheme="majorEastAsia" w:cs="Arial"/>
          <w:iCs/>
          <w:lang w:val="en"/>
        </w:rPr>
        <w:t>NOTE: Authority cited: Sections 48410 and 48412, Education Code. Reference: Sections 48410 and 48412, Education Code.</w:t>
      </w:r>
      <w:r w:rsidRPr="00CD1E67">
        <w:rPr>
          <w:rFonts w:cs="Arial"/>
          <w:color w:val="212121"/>
          <w:lang w:val="en"/>
        </w:rPr>
        <w:t xml:space="preserve"> </w:t>
      </w:r>
    </w:p>
    <w:p w14:paraId="2C31778B" w14:textId="77777777" w:rsidR="00CD1E67" w:rsidRPr="00CD1E67" w:rsidRDefault="00CD1E67" w:rsidP="00CD1E67">
      <w:pPr>
        <w:shd w:val="clear" w:color="auto" w:fill="FFFFFF"/>
        <w:tabs>
          <w:tab w:val="left" w:pos="360"/>
        </w:tabs>
        <w:spacing w:line="360" w:lineRule="auto"/>
        <w:rPr>
          <w:rFonts w:cs="Arial"/>
          <w:color w:val="212121"/>
          <w:lang w:val="en"/>
        </w:rPr>
      </w:pPr>
    </w:p>
    <w:p w14:paraId="69B4A1D0" w14:textId="53BB0BB9" w:rsidR="00CD1E67" w:rsidRPr="00CD1E67" w:rsidRDefault="00CD1E67" w:rsidP="000F2B37">
      <w:pPr>
        <w:tabs>
          <w:tab w:val="left" w:pos="360"/>
          <w:tab w:val="left" w:pos="720"/>
          <w:tab w:val="left" w:pos="900"/>
        </w:tabs>
        <w:spacing w:line="360" w:lineRule="auto"/>
        <w:rPr>
          <w:rFonts w:cs="Arial"/>
        </w:rPr>
      </w:pPr>
      <w:r w:rsidRPr="00CD1E67">
        <w:rPr>
          <w:rFonts w:cs="Arial"/>
        </w:rPr>
        <w:t>06-20-2023 [California Department of Education]</w:t>
      </w:r>
    </w:p>
    <w:sectPr w:rsidR="00CD1E67" w:rsidRPr="00CD1E67" w:rsidSect="00CD1E67">
      <w:headerReference w:type="even" r:id="rId18"/>
      <w:headerReference w:type="default" r:id="rId19"/>
      <w:footerReference w:type="even" r:id="rId20"/>
      <w:footerReference w:type="default" r:id="rId21"/>
      <w:headerReference w:type="first" r:id="rId22"/>
      <w:footerReference w:type="first" r:id="rId23"/>
      <w:pgSz w:w="12240" w:h="15840" w:code="1"/>
      <w:pgMar w:top="1152" w:right="1152" w:bottom="1152" w:left="180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0BC9C" w14:textId="77777777" w:rsidR="00B33350" w:rsidRDefault="00B33350" w:rsidP="000E09DC">
      <w:r>
        <w:separator/>
      </w:r>
    </w:p>
  </w:endnote>
  <w:endnote w:type="continuationSeparator" w:id="0">
    <w:p w14:paraId="687AEFCE" w14:textId="77777777" w:rsidR="00B33350" w:rsidRDefault="00B33350"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F808" w14:textId="77777777" w:rsidR="00C65A96" w:rsidRDefault="00C65A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6C72B" w14:textId="4F1B5E80" w:rsidR="00C65A96" w:rsidRDefault="00C65A96" w:rsidP="00CE66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354F6" w14:textId="77777777" w:rsidR="00C65A96" w:rsidRDefault="00C65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00BFF" w14:textId="77777777" w:rsidR="00B33350" w:rsidRDefault="00B33350" w:rsidP="000E09DC">
      <w:r>
        <w:separator/>
      </w:r>
    </w:p>
  </w:footnote>
  <w:footnote w:type="continuationSeparator" w:id="0">
    <w:p w14:paraId="49C434E1" w14:textId="77777777" w:rsidR="00B33350" w:rsidRDefault="00B33350"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8EF9" w14:textId="77777777"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03D69A16" w14:textId="77777777"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AE0811">
      <w:rPr>
        <w:rFonts w:cs="Arial"/>
        <w:noProof/>
      </w:rPr>
      <w:t>5</w:t>
    </w:r>
    <w:r w:rsidRPr="000E09DC">
      <w:rPr>
        <w:rFonts w:cs="Arial"/>
        <w:noProof/>
      </w:rPr>
      <w:fldChar w:fldCharType="end"/>
    </w:r>
    <w:r w:rsidRPr="000E09DC">
      <w:rPr>
        <w:rFonts w:cs="Arial"/>
      </w:rPr>
      <w:t xml:space="preserve"> of </w:t>
    </w:r>
    <w:r w:rsidR="00527B0E">
      <w:rPr>
        <w:rFonts w:cs="Arial"/>
      </w:rPr>
      <w:t>3</w:t>
    </w:r>
  </w:p>
  <w:p w14:paraId="5AE1F73C" w14:textId="77777777" w:rsidR="00527B0E" w:rsidRPr="00527B0E" w:rsidRDefault="00527B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0E6F" w14:textId="5E3DB9E6" w:rsidR="0054700C" w:rsidRPr="0054700C" w:rsidRDefault="0054700C" w:rsidP="0054700C">
    <w:pPr>
      <w:pStyle w:val="Header"/>
      <w:jc w:val="right"/>
    </w:pPr>
    <w:r w:rsidRPr="0054700C">
      <w:t>imab-adad-jan24item0</w:t>
    </w:r>
    <w:r w:rsidR="008102F1">
      <w:t>1</w:t>
    </w:r>
  </w:p>
  <w:sdt>
    <w:sdtPr>
      <w:id w:val="98381352"/>
      <w:docPartObj>
        <w:docPartGallery w:val="Page Numbers (Top of Page)"/>
        <w:docPartUnique/>
      </w:docPartObj>
    </w:sdtPr>
    <w:sdtContent>
      <w:p w14:paraId="4518D28F" w14:textId="4F4A6E43" w:rsidR="00223112" w:rsidRPr="0054700C" w:rsidRDefault="0054700C" w:rsidP="0054700C">
        <w:pPr>
          <w:pStyle w:val="Header"/>
          <w:spacing w:after="360"/>
          <w:jc w:val="right"/>
        </w:pPr>
        <w:r w:rsidRPr="0054700C">
          <w:t xml:space="preserve">Page </w:t>
        </w:r>
        <w:r w:rsidRPr="0054700C">
          <w:fldChar w:fldCharType="begin"/>
        </w:r>
        <w:r w:rsidRPr="0054700C">
          <w:instrText xml:space="preserve"> PAGE </w:instrText>
        </w:r>
        <w:r w:rsidRPr="0054700C">
          <w:fldChar w:fldCharType="separate"/>
        </w:r>
        <w:r w:rsidRPr="0054700C">
          <w:rPr>
            <w:noProof/>
          </w:rPr>
          <w:t>2</w:t>
        </w:r>
        <w:r w:rsidRPr="0054700C">
          <w:fldChar w:fldCharType="end"/>
        </w:r>
        <w:r w:rsidRPr="0054700C">
          <w:t xml:space="preserve"> of </w:t>
        </w:r>
        <w:r w:rsidR="00CD1E67">
          <w:t>3</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86DEC" w14:textId="7D22BC69" w:rsidR="00CD1E67" w:rsidRDefault="00CD1E67">
    <w:pPr>
      <w:pStyle w:val="Header"/>
      <w:jc w:val="right"/>
    </w:pPr>
    <w:r>
      <w:t>imab-adad-jan24item01</w:t>
    </w:r>
  </w:p>
  <w:p w14:paraId="3120D59C" w14:textId="22855B78" w:rsidR="00CD1E67" w:rsidRDefault="00CD1E67">
    <w:pPr>
      <w:pStyle w:val="Header"/>
      <w:jc w:val="right"/>
    </w:pPr>
    <w:r>
      <w:t>Attachment 1</w:t>
    </w:r>
  </w:p>
  <w:sdt>
    <w:sdtPr>
      <w:id w:val="-1318336367"/>
      <w:docPartObj>
        <w:docPartGallery w:val="Page Numbers (Top of Page)"/>
        <w:docPartUnique/>
      </w:docPartObj>
    </w:sdtPr>
    <w:sdtContent>
      <w:p w14:paraId="49A70CF4" w14:textId="6588FE03" w:rsidR="00CD1E67" w:rsidRPr="00CD1E67" w:rsidRDefault="00CD1E67" w:rsidP="00CD1E67">
        <w:pPr>
          <w:pStyle w:val="Header"/>
          <w:spacing w:after="360"/>
          <w:jc w:val="right"/>
        </w:pPr>
        <w:r w:rsidRPr="00CD1E67">
          <w:t xml:space="preserve">Page </w:t>
        </w:r>
        <w:r w:rsidRPr="00CD1E67">
          <w:fldChar w:fldCharType="begin"/>
        </w:r>
        <w:r w:rsidRPr="00CD1E67">
          <w:instrText xml:space="preserve"> PAGE </w:instrText>
        </w:r>
        <w:r w:rsidRPr="00CD1E67">
          <w:fldChar w:fldCharType="separate"/>
        </w:r>
        <w:r w:rsidRPr="00CD1E67">
          <w:rPr>
            <w:noProof/>
          </w:rPr>
          <w:t>2</w:t>
        </w:r>
        <w:r w:rsidRPr="00CD1E67">
          <w:fldChar w:fldCharType="end"/>
        </w:r>
        <w:r w:rsidRPr="00CD1E67">
          <w:t xml:space="preserve"> of </w:t>
        </w:r>
        <w:r>
          <w:t>1</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4508B" w14:textId="77777777" w:rsidR="00C65A96" w:rsidRDefault="00C65A9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7E655" w14:textId="63B139CC" w:rsidR="00CD1E67" w:rsidRDefault="00CD1E67">
    <w:pPr>
      <w:pStyle w:val="Header"/>
      <w:jc w:val="right"/>
    </w:pPr>
    <w:r>
      <w:t>imab-adad-jan24item01</w:t>
    </w:r>
  </w:p>
  <w:p w14:paraId="2841738C" w14:textId="28B3930D" w:rsidR="00CD1E67" w:rsidRDefault="00CD1E67">
    <w:pPr>
      <w:pStyle w:val="Header"/>
      <w:jc w:val="right"/>
    </w:pPr>
    <w:r>
      <w:t>Attachment 2</w:t>
    </w:r>
  </w:p>
  <w:sdt>
    <w:sdtPr>
      <w:id w:val="568474422"/>
      <w:docPartObj>
        <w:docPartGallery w:val="Page Numbers (Top of Page)"/>
        <w:docPartUnique/>
      </w:docPartObj>
    </w:sdtPr>
    <w:sdtContent>
      <w:p w14:paraId="65178219" w14:textId="5FD89BDC" w:rsidR="00CD1E67" w:rsidRPr="00CD1E67" w:rsidRDefault="00CD1E67" w:rsidP="00CD1E67">
        <w:pPr>
          <w:pStyle w:val="Header"/>
          <w:spacing w:after="360"/>
          <w:jc w:val="right"/>
        </w:pPr>
        <w:r w:rsidRPr="00CD1E67">
          <w:t xml:space="preserve">Page </w:t>
        </w:r>
        <w:r w:rsidRPr="00CD1E67">
          <w:fldChar w:fldCharType="begin"/>
        </w:r>
        <w:r w:rsidRPr="00CD1E67">
          <w:instrText xml:space="preserve"> PAGE </w:instrText>
        </w:r>
        <w:r w:rsidRPr="00CD1E67">
          <w:fldChar w:fldCharType="separate"/>
        </w:r>
        <w:r w:rsidRPr="00CD1E67">
          <w:rPr>
            <w:noProof/>
          </w:rPr>
          <w:t>2</w:t>
        </w:r>
        <w:r w:rsidRPr="00CD1E67">
          <w:fldChar w:fldCharType="end"/>
        </w:r>
        <w:r w:rsidRPr="00CD1E67">
          <w:t xml:space="preserve"> of </w:t>
        </w:r>
        <w:r>
          <w:t>1</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208F4" w14:textId="77777777" w:rsidR="00C65A96" w:rsidRDefault="00C65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24E0B"/>
    <w:multiLevelType w:val="hybridMultilevel"/>
    <w:tmpl w:val="857EA72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025073"/>
    <w:multiLevelType w:val="hybridMultilevel"/>
    <w:tmpl w:val="11D6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07224B"/>
    <w:multiLevelType w:val="hybridMultilevel"/>
    <w:tmpl w:val="AE301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F07B64"/>
    <w:multiLevelType w:val="hybridMultilevel"/>
    <w:tmpl w:val="FBE65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CE088E"/>
    <w:multiLevelType w:val="hybridMultilevel"/>
    <w:tmpl w:val="A5645D8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15088295">
    <w:abstractNumId w:val="4"/>
  </w:num>
  <w:num w:numId="2" w16cid:durableId="1071004191">
    <w:abstractNumId w:val="11"/>
  </w:num>
  <w:num w:numId="3" w16cid:durableId="2084641968">
    <w:abstractNumId w:val="2"/>
  </w:num>
  <w:num w:numId="4" w16cid:durableId="1367439689">
    <w:abstractNumId w:val="7"/>
  </w:num>
  <w:num w:numId="5" w16cid:durableId="2037270772">
    <w:abstractNumId w:val="8"/>
  </w:num>
  <w:num w:numId="6" w16cid:durableId="554317231">
    <w:abstractNumId w:val="0"/>
  </w:num>
  <w:num w:numId="7" w16cid:durableId="1622569035">
    <w:abstractNumId w:val="3"/>
  </w:num>
  <w:num w:numId="8" w16cid:durableId="2136294301">
    <w:abstractNumId w:val="10"/>
  </w:num>
  <w:num w:numId="9" w16cid:durableId="164325774">
    <w:abstractNumId w:val="9"/>
  </w:num>
  <w:num w:numId="10" w16cid:durableId="753555903">
    <w:abstractNumId w:val="1"/>
  </w:num>
  <w:num w:numId="11" w16cid:durableId="2147114565">
    <w:abstractNumId w:val="6"/>
  </w:num>
  <w:num w:numId="12" w16cid:durableId="17234077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BD2"/>
    <w:rsid w:val="000040D5"/>
    <w:rsid w:val="00012A7F"/>
    <w:rsid w:val="000324AD"/>
    <w:rsid w:val="000D59C4"/>
    <w:rsid w:val="000E09DC"/>
    <w:rsid w:val="000F2B37"/>
    <w:rsid w:val="0010212B"/>
    <w:rsid w:val="001021BA"/>
    <w:rsid w:val="001048F3"/>
    <w:rsid w:val="001272CD"/>
    <w:rsid w:val="00130059"/>
    <w:rsid w:val="00161D90"/>
    <w:rsid w:val="00170FBB"/>
    <w:rsid w:val="0018148D"/>
    <w:rsid w:val="001A0CA5"/>
    <w:rsid w:val="001B3958"/>
    <w:rsid w:val="001E1929"/>
    <w:rsid w:val="00223112"/>
    <w:rsid w:val="00240B26"/>
    <w:rsid w:val="00265A91"/>
    <w:rsid w:val="00280919"/>
    <w:rsid w:val="00286D21"/>
    <w:rsid w:val="002A3AAB"/>
    <w:rsid w:val="002B1198"/>
    <w:rsid w:val="002B4B14"/>
    <w:rsid w:val="002D1A82"/>
    <w:rsid w:val="002E4CB5"/>
    <w:rsid w:val="002E6FCA"/>
    <w:rsid w:val="002F279B"/>
    <w:rsid w:val="00315131"/>
    <w:rsid w:val="00350BE8"/>
    <w:rsid w:val="00363520"/>
    <w:rsid w:val="003705FC"/>
    <w:rsid w:val="00384ACF"/>
    <w:rsid w:val="003D1ECD"/>
    <w:rsid w:val="003E1E8D"/>
    <w:rsid w:val="003E4DF7"/>
    <w:rsid w:val="00406F50"/>
    <w:rsid w:val="00407E9B"/>
    <w:rsid w:val="00415A72"/>
    <w:rsid w:val="004203BC"/>
    <w:rsid w:val="0044670C"/>
    <w:rsid w:val="004736E6"/>
    <w:rsid w:val="00474DEA"/>
    <w:rsid w:val="0047534A"/>
    <w:rsid w:val="004A5136"/>
    <w:rsid w:val="004B29F5"/>
    <w:rsid w:val="004E029B"/>
    <w:rsid w:val="004E54C7"/>
    <w:rsid w:val="0050327B"/>
    <w:rsid w:val="00505DC6"/>
    <w:rsid w:val="00517C00"/>
    <w:rsid w:val="00527B0E"/>
    <w:rsid w:val="0054700C"/>
    <w:rsid w:val="00583F98"/>
    <w:rsid w:val="00585D68"/>
    <w:rsid w:val="00592284"/>
    <w:rsid w:val="005C188F"/>
    <w:rsid w:val="005C6F4E"/>
    <w:rsid w:val="005E0E84"/>
    <w:rsid w:val="00617765"/>
    <w:rsid w:val="00641927"/>
    <w:rsid w:val="00647866"/>
    <w:rsid w:val="0065267E"/>
    <w:rsid w:val="00690A10"/>
    <w:rsid w:val="00692300"/>
    <w:rsid w:val="00693951"/>
    <w:rsid w:val="006A00AF"/>
    <w:rsid w:val="006A4E34"/>
    <w:rsid w:val="006B2111"/>
    <w:rsid w:val="006D0223"/>
    <w:rsid w:val="006D10AC"/>
    <w:rsid w:val="006E06C6"/>
    <w:rsid w:val="00726EDA"/>
    <w:rsid w:val="00731386"/>
    <w:rsid w:val="007313A3"/>
    <w:rsid w:val="007428B8"/>
    <w:rsid w:val="00746164"/>
    <w:rsid w:val="00773DF0"/>
    <w:rsid w:val="00780BB6"/>
    <w:rsid w:val="00797CE8"/>
    <w:rsid w:val="007C5697"/>
    <w:rsid w:val="007D6A8F"/>
    <w:rsid w:val="008075E7"/>
    <w:rsid w:val="008102F1"/>
    <w:rsid w:val="00821BD4"/>
    <w:rsid w:val="00854F44"/>
    <w:rsid w:val="00863853"/>
    <w:rsid w:val="00886471"/>
    <w:rsid w:val="008909EE"/>
    <w:rsid w:val="008A127B"/>
    <w:rsid w:val="0091117B"/>
    <w:rsid w:val="009A4B37"/>
    <w:rsid w:val="009B04E1"/>
    <w:rsid w:val="009D5028"/>
    <w:rsid w:val="00A0210D"/>
    <w:rsid w:val="00A03EBA"/>
    <w:rsid w:val="00A07F42"/>
    <w:rsid w:val="00A16315"/>
    <w:rsid w:val="00A30B3C"/>
    <w:rsid w:val="00AA7659"/>
    <w:rsid w:val="00AB1A9E"/>
    <w:rsid w:val="00AB6816"/>
    <w:rsid w:val="00AE0811"/>
    <w:rsid w:val="00AF0A17"/>
    <w:rsid w:val="00B33350"/>
    <w:rsid w:val="00B616EA"/>
    <w:rsid w:val="00B673A1"/>
    <w:rsid w:val="00B723BE"/>
    <w:rsid w:val="00B82705"/>
    <w:rsid w:val="00BF4A9A"/>
    <w:rsid w:val="00C06834"/>
    <w:rsid w:val="00C27D57"/>
    <w:rsid w:val="00C32AA5"/>
    <w:rsid w:val="00C54D8A"/>
    <w:rsid w:val="00C65A96"/>
    <w:rsid w:val="00C82B78"/>
    <w:rsid w:val="00C82CBA"/>
    <w:rsid w:val="00CD1E67"/>
    <w:rsid w:val="00CE1C84"/>
    <w:rsid w:val="00CE66E5"/>
    <w:rsid w:val="00D46183"/>
    <w:rsid w:val="00D47DAB"/>
    <w:rsid w:val="00D5115F"/>
    <w:rsid w:val="00D707CD"/>
    <w:rsid w:val="00D8667C"/>
    <w:rsid w:val="00D86AB9"/>
    <w:rsid w:val="00DA33D8"/>
    <w:rsid w:val="00DD75AD"/>
    <w:rsid w:val="00E45580"/>
    <w:rsid w:val="00E50288"/>
    <w:rsid w:val="00E8775B"/>
    <w:rsid w:val="00EA7D4F"/>
    <w:rsid w:val="00EB16F7"/>
    <w:rsid w:val="00EC48E4"/>
    <w:rsid w:val="00EC504C"/>
    <w:rsid w:val="00EE0953"/>
    <w:rsid w:val="00EE3350"/>
    <w:rsid w:val="00F40510"/>
    <w:rsid w:val="00F64D35"/>
    <w:rsid w:val="00F66875"/>
    <w:rsid w:val="00F75CF4"/>
    <w:rsid w:val="00F75FC9"/>
    <w:rsid w:val="00F76267"/>
    <w:rsid w:val="00F77AF1"/>
    <w:rsid w:val="00F84F46"/>
    <w:rsid w:val="00FC1FCE"/>
    <w:rsid w:val="00FD5EE4"/>
    <w:rsid w:val="00FE1E31"/>
    <w:rsid w:val="00FE3007"/>
    <w:rsid w:val="00FE4BD6"/>
    <w:rsid w:val="00FF277C"/>
    <w:rsid w:val="020CDD71"/>
    <w:rsid w:val="0929F972"/>
    <w:rsid w:val="0B6DCCA9"/>
    <w:rsid w:val="0D6DB666"/>
    <w:rsid w:val="0E43530B"/>
    <w:rsid w:val="184B4842"/>
    <w:rsid w:val="200DE439"/>
    <w:rsid w:val="306ECBAD"/>
    <w:rsid w:val="3165CED2"/>
    <w:rsid w:val="33730BD7"/>
    <w:rsid w:val="38E94813"/>
    <w:rsid w:val="42E8D94A"/>
    <w:rsid w:val="44228F4B"/>
    <w:rsid w:val="47DA3F3C"/>
    <w:rsid w:val="6101F21A"/>
    <w:rsid w:val="640193C4"/>
    <w:rsid w:val="64952DAC"/>
    <w:rsid w:val="6EA2819B"/>
    <w:rsid w:val="7AB08AE7"/>
    <w:rsid w:val="7ED53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40755"/>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0327B"/>
    <w:rPr>
      <w:sz w:val="16"/>
      <w:szCs w:val="16"/>
    </w:rPr>
  </w:style>
  <w:style w:type="paragraph" w:styleId="CommentText">
    <w:name w:val="annotation text"/>
    <w:basedOn w:val="Normal"/>
    <w:link w:val="CommentTextChar"/>
    <w:uiPriority w:val="99"/>
    <w:semiHidden/>
    <w:unhideWhenUsed/>
    <w:rsid w:val="0050327B"/>
    <w:rPr>
      <w:sz w:val="20"/>
      <w:szCs w:val="20"/>
    </w:rPr>
  </w:style>
  <w:style w:type="character" w:customStyle="1" w:styleId="CommentTextChar">
    <w:name w:val="Comment Text Char"/>
    <w:basedOn w:val="DefaultParagraphFont"/>
    <w:link w:val="CommentText"/>
    <w:uiPriority w:val="99"/>
    <w:semiHidden/>
    <w:rsid w:val="0050327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0327B"/>
    <w:rPr>
      <w:b/>
      <w:bCs/>
    </w:rPr>
  </w:style>
  <w:style w:type="character" w:customStyle="1" w:styleId="CommentSubjectChar">
    <w:name w:val="Comment Subject Char"/>
    <w:basedOn w:val="CommentTextChar"/>
    <w:link w:val="CommentSubject"/>
    <w:uiPriority w:val="99"/>
    <w:semiHidden/>
    <w:rsid w:val="0050327B"/>
    <w:rPr>
      <w:rFonts w:ascii="Arial" w:eastAsia="Times New Roman" w:hAnsi="Arial" w:cs="Times New Roman"/>
      <w:b/>
      <w:bCs/>
      <w:sz w:val="20"/>
      <w:szCs w:val="20"/>
    </w:rPr>
  </w:style>
  <w:style w:type="character" w:styleId="Emphasis">
    <w:name w:val="Emphasis"/>
    <w:qFormat/>
    <w:rsid w:val="00647866"/>
    <w:rPr>
      <w:i/>
      <w:iCs/>
    </w:rPr>
  </w:style>
  <w:style w:type="character" w:customStyle="1" w:styleId="normaltextrun">
    <w:name w:val="normaltextrun"/>
    <w:basedOn w:val="DefaultParagraphFont"/>
    <w:rsid w:val="00647866"/>
  </w:style>
  <w:style w:type="paragraph" w:customStyle="1" w:styleId="paragraph">
    <w:name w:val="paragraph"/>
    <w:basedOn w:val="Normal"/>
    <w:rsid w:val="00647866"/>
    <w:pPr>
      <w:spacing w:before="100" w:beforeAutospacing="1" w:after="100" w:afterAutospacing="1"/>
    </w:pPr>
    <w:rPr>
      <w:rFonts w:ascii="Times New Roman" w:hAnsi="Times New Roman"/>
    </w:rPr>
  </w:style>
  <w:style w:type="character" w:customStyle="1" w:styleId="eop">
    <w:name w:val="eop"/>
    <w:basedOn w:val="DefaultParagraphFont"/>
    <w:rsid w:val="00647866"/>
  </w:style>
  <w:style w:type="character" w:styleId="UnresolvedMention">
    <w:name w:val="Unresolved Mention"/>
    <w:basedOn w:val="DefaultParagraphFont"/>
    <w:uiPriority w:val="99"/>
    <w:semiHidden/>
    <w:unhideWhenUsed/>
    <w:rsid w:val="0054700C"/>
    <w:rPr>
      <w:color w:val="605E5C"/>
      <w:shd w:val="clear" w:color="auto" w:fill="E1DFDD"/>
    </w:rPr>
  </w:style>
  <w:style w:type="character" w:styleId="FollowedHyperlink">
    <w:name w:val="FollowedHyperlink"/>
    <w:basedOn w:val="DefaultParagraphFont"/>
    <w:uiPriority w:val="99"/>
    <w:semiHidden/>
    <w:unhideWhenUsed/>
    <w:rsid w:val="0054700C"/>
    <w:rPr>
      <w:color w:val="954F72" w:themeColor="followedHyperlink"/>
      <w:u w:val="single"/>
    </w:rPr>
  </w:style>
  <w:style w:type="paragraph" w:styleId="Revision">
    <w:name w:val="Revision"/>
    <w:hidden/>
    <w:uiPriority w:val="99"/>
    <w:semiHidden/>
    <w:rsid w:val="00AA7659"/>
    <w:pPr>
      <w:spacing w:after="0" w:line="240" w:lineRule="auto"/>
    </w:pPr>
    <w:rPr>
      <w:rFonts w:ascii="Arial" w:eastAsia="Times New Roman" w:hAnsi="Arial" w:cs="Times New Roman"/>
      <w:sz w:val="24"/>
      <w:szCs w:val="24"/>
    </w:rPr>
  </w:style>
  <w:style w:type="character" w:styleId="LineNumber">
    <w:name w:val="line number"/>
    <w:basedOn w:val="DefaultParagraphFont"/>
    <w:uiPriority w:val="99"/>
    <w:semiHidden/>
    <w:unhideWhenUsed/>
    <w:rsid w:val="00CD1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60348">
      <w:bodyDiv w:val="1"/>
      <w:marLeft w:val="0"/>
      <w:marRight w:val="0"/>
      <w:marTop w:val="0"/>
      <w:marBottom w:val="0"/>
      <w:divBdr>
        <w:top w:val="none" w:sz="0" w:space="0" w:color="auto"/>
        <w:left w:val="none" w:sz="0" w:space="0" w:color="auto"/>
        <w:bottom w:val="none" w:sz="0" w:space="0" w:color="auto"/>
        <w:right w:val="none" w:sz="0" w:space="0" w:color="auto"/>
      </w:divBdr>
    </w:div>
    <w:div w:id="580991094">
      <w:bodyDiv w:val="1"/>
      <w:marLeft w:val="0"/>
      <w:marRight w:val="0"/>
      <w:marTop w:val="0"/>
      <w:marBottom w:val="0"/>
      <w:divBdr>
        <w:top w:val="none" w:sz="0" w:space="0" w:color="auto"/>
        <w:left w:val="none" w:sz="0" w:space="0" w:color="auto"/>
        <w:bottom w:val="none" w:sz="0" w:space="0" w:color="auto"/>
        <w:right w:val="none" w:sz="0" w:space="0" w:color="auto"/>
      </w:divBdr>
    </w:div>
    <w:div w:id="132916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e.ca.gov/be/pn/im/documents/oct22memoadad02.docx" TargetMode="Externa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cde.ca.gov/be/ag/ag/yr23/documents/jul23item05.docx"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cde.ca.gov/be/ag/ag/yr14/documents/mar14item12.doc"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e.ca.gov/be/pn/im/documents/memo-pptb-adad-jun19item01.docx"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ae30ff-d7bc-47e3-882e-cd3423d00d62" xsi:nil="true"/>
    <lcf76f155ced4ddcb4097134ff3c332f xmlns="f89dec18-d0c2-45d2-8a15-31051f2519f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6" ma:contentTypeDescription="Create a new document." ma:contentTypeScope="" ma:versionID="dc1e19d986c2fe70a399e415967d2097">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6b08a6b6153081e8f43452056213bd49"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030727d-e339-4747-a48e-d67eefbe9f9f}"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95AB32-2567-4640-89F1-8DAB729A3AFB}">
  <ds:schemaRefs>
    <ds:schemaRef ds:uri="http://schemas.microsoft.com/office/2006/metadata/properties"/>
    <ds:schemaRef ds:uri="http://schemas.microsoft.com/office/infopath/2007/PartnerControls"/>
    <ds:schemaRef ds:uri="1aae30ff-d7bc-47e3-882e-cd3423d00d62"/>
    <ds:schemaRef ds:uri="f89dec18-d0c2-45d2-8a15-31051f2519f8"/>
  </ds:schemaRefs>
</ds:datastoreItem>
</file>

<file path=customXml/itemProps2.xml><?xml version="1.0" encoding="utf-8"?>
<ds:datastoreItem xmlns:ds="http://schemas.openxmlformats.org/officeDocument/2006/customXml" ds:itemID="{85C64D97-962C-4A41-A84D-E0C7BF9DC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2148DD-770E-4EB6-9610-4C06F02A61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1135</Words>
  <Characters>6476</Characters>
  <DocSecurity>0</DocSecurity>
  <Lines>53</Lines>
  <Paragraphs>15</Paragraphs>
  <ScaleCrop>false</ScaleCrop>
  <HeadingPairs>
    <vt:vector size="2" baseType="variant">
      <vt:variant>
        <vt:lpstr>Title</vt:lpstr>
      </vt:variant>
      <vt:variant>
        <vt:i4>1</vt:i4>
      </vt:variant>
    </vt:vector>
  </HeadingPairs>
  <TitlesOfParts>
    <vt:vector size="1" baseType="lpstr">
      <vt:lpstr>January 2024 Agenda Item 09 - Meeting Agendas (CA State Board of Education)</vt:lpstr>
    </vt:vector>
  </TitlesOfParts>
  <Company>California State Board of Education</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2024 Agenda Item 09 - Meeting Agendas (CA State Board of Education)</dc:title>
  <dc:subject>California High School Proficiency Examination: Adopt the Final Statement of Reasons and the Proposed Amendments to the California Code of Regulations, Title 5, Section 11520.</dc:subject>
  <cp:keywords/>
  <dc:description/>
  <cp:lastPrinted>2018-02-26T21:29:00Z</cp:lastPrinted>
  <dcterms:created xsi:type="dcterms:W3CDTF">2023-11-29T20:06:00Z</dcterms:created>
  <dcterms:modified xsi:type="dcterms:W3CDTF">2024-01-04T05:15:00Z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