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7781A" w14:textId="77777777" w:rsidR="006E06C6" w:rsidRPr="00F44BBC" w:rsidRDefault="00D5115F" w:rsidP="00C22632">
      <w:pPr>
        <w:pStyle w:val="NoSpacing"/>
        <w:rPr>
          <w:rFonts w:eastAsia="Times New Roman" w:cs="Times New Roman"/>
          <w:noProof/>
          <w:szCs w:val="24"/>
        </w:rPr>
      </w:pPr>
      <w:r w:rsidRPr="00F44BBC">
        <w:rPr>
          <w:rFonts w:eastAsia="Times New Roman" w:cs="Times New Roman"/>
          <w:noProof/>
          <w:szCs w:val="24"/>
        </w:rPr>
        <w:drawing>
          <wp:inline distT="0" distB="0" distL="0" distR="0" wp14:anchorId="53534A57" wp14:editId="3D57CBE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B5761D9" w14:textId="77777777" w:rsidR="00B723BE" w:rsidRPr="00F44BBC" w:rsidRDefault="00FC1FCE" w:rsidP="00B723BE">
      <w:pPr>
        <w:jc w:val="right"/>
      </w:pPr>
      <w:r w:rsidRPr="00F44BBC">
        <w:t>California Department of Education</w:t>
      </w:r>
    </w:p>
    <w:p w14:paraId="7251AAF4" w14:textId="77777777" w:rsidR="00B723BE" w:rsidRPr="00F44BBC" w:rsidRDefault="00FC1FCE" w:rsidP="00B723BE">
      <w:pPr>
        <w:jc w:val="right"/>
      </w:pPr>
      <w:r w:rsidRPr="00F44BBC">
        <w:t>Executive Office</w:t>
      </w:r>
    </w:p>
    <w:p w14:paraId="42184CC6" w14:textId="77777777" w:rsidR="002B4B14" w:rsidRPr="00F44BBC" w:rsidRDefault="00692300" w:rsidP="00B723BE">
      <w:pPr>
        <w:jc w:val="right"/>
      </w:pPr>
      <w:r w:rsidRPr="00F44BBC">
        <w:t>SBE-00</w:t>
      </w:r>
      <w:r w:rsidR="000324AD" w:rsidRPr="00F44BBC">
        <w:t>3</w:t>
      </w:r>
      <w:r w:rsidRPr="00F44BBC">
        <w:t xml:space="preserve"> (REV. 1</w:t>
      </w:r>
      <w:r w:rsidR="00C27D57" w:rsidRPr="00F44BBC">
        <w:t>1</w:t>
      </w:r>
      <w:r w:rsidRPr="00F44BBC">
        <w:t>/2017</w:t>
      </w:r>
      <w:r w:rsidR="00FC1FCE" w:rsidRPr="00F44BBC">
        <w:t>)</w:t>
      </w:r>
    </w:p>
    <w:p w14:paraId="6DD0A9DC" w14:textId="69624C23" w:rsidR="00A610A5" w:rsidRPr="00F44BBC" w:rsidRDefault="00A610A5" w:rsidP="00A610A5">
      <w:pPr>
        <w:jc w:val="right"/>
      </w:pPr>
      <w:r w:rsidRPr="00F44BBC">
        <w:t>oab-sfsd-jan24item</w:t>
      </w:r>
      <w:r w:rsidR="00473250" w:rsidRPr="00F44BBC">
        <w:t>01</w:t>
      </w:r>
    </w:p>
    <w:p w14:paraId="52FD4F10" w14:textId="40BAE1A4" w:rsidR="00B723BE" w:rsidRPr="00F44BBC" w:rsidRDefault="00B723BE" w:rsidP="00A610A5">
      <w:pPr>
        <w:sectPr w:rsidR="00B723BE" w:rsidRPr="00F44BBC" w:rsidSect="00C82CBA">
          <w:headerReference w:type="default" r:id="rId9"/>
          <w:type w:val="continuous"/>
          <w:pgSz w:w="12240" w:h="15840"/>
          <w:pgMar w:top="720" w:right="1440" w:bottom="1440" w:left="1440" w:header="720" w:footer="720" w:gutter="0"/>
          <w:cols w:num="2" w:space="720"/>
          <w:titlePg/>
          <w:docGrid w:linePitch="360"/>
        </w:sectPr>
      </w:pPr>
    </w:p>
    <w:p w14:paraId="5ACF0D2D" w14:textId="77777777" w:rsidR="006E06C6" w:rsidRPr="00F44BBC" w:rsidRDefault="006E06C6" w:rsidP="00FC1FCE">
      <w:pPr>
        <w:pStyle w:val="Heading1"/>
        <w:jc w:val="center"/>
        <w:rPr>
          <w:sz w:val="40"/>
          <w:szCs w:val="40"/>
        </w:rPr>
        <w:sectPr w:rsidR="006E06C6" w:rsidRPr="00F44BBC" w:rsidSect="0091117B">
          <w:type w:val="continuous"/>
          <w:pgSz w:w="12240" w:h="15840"/>
          <w:pgMar w:top="720" w:right="1440" w:bottom="1440" w:left="1440" w:header="720" w:footer="720" w:gutter="0"/>
          <w:cols w:space="720"/>
          <w:docGrid w:linePitch="360"/>
        </w:sectPr>
      </w:pPr>
    </w:p>
    <w:p w14:paraId="5439548F" w14:textId="59A9E7C0" w:rsidR="00FC1FCE" w:rsidRPr="00F44BBC" w:rsidRDefault="0091117B" w:rsidP="002B4B14">
      <w:pPr>
        <w:pStyle w:val="Heading1"/>
        <w:spacing w:before="240" w:after="240"/>
        <w:jc w:val="center"/>
        <w:rPr>
          <w:sz w:val="40"/>
          <w:szCs w:val="40"/>
        </w:rPr>
      </w:pPr>
      <w:r w:rsidRPr="00F44BBC">
        <w:rPr>
          <w:sz w:val="40"/>
          <w:szCs w:val="40"/>
        </w:rPr>
        <w:t>Californ</w:t>
      </w:r>
      <w:r w:rsidR="00693951" w:rsidRPr="00F44BBC">
        <w:rPr>
          <w:sz w:val="40"/>
          <w:szCs w:val="40"/>
        </w:rPr>
        <w:t>ia State Board of Education</w:t>
      </w:r>
      <w:r w:rsidR="00693951" w:rsidRPr="00F44BBC">
        <w:rPr>
          <w:sz w:val="40"/>
          <w:szCs w:val="40"/>
        </w:rPr>
        <w:br/>
      </w:r>
      <w:r w:rsidR="00E45E0D" w:rsidRPr="00F44BBC">
        <w:rPr>
          <w:sz w:val="40"/>
          <w:szCs w:val="40"/>
        </w:rPr>
        <w:t>January</w:t>
      </w:r>
      <w:r w:rsidR="00130059" w:rsidRPr="00F44BBC">
        <w:rPr>
          <w:sz w:val="40"/>
          <w:szCs w:val="40"/>
        </w:rPr>
        <w:t xml:space="preserve"> </w:t>
      </w:r>
      <w:r w:rsidR="00E45E0D" w:rsidRPr="00F44BBC">
        <w:rPr>
          <w:sz w:val="40"/>
          <w:szCs w:val="40"/>
        </w:rPr>
        <w:t>2024</w:t>
      </w:r>
      <w:r w:rsidRPr="00F44BBC">
        <w:rPr>
          <w:sz w:val="40"/>
          <w:szCs w:val="40"/>
        </w:rPr>
        <w:t xml:space="preserve"> Agenda</w:t>
      </w:r>
      <w:r w:rsidR="00FC1FCE" w:rsidRPr="00F44BBC">
        <w:rPr>
          <w:sz w:val="40"/>
          <w:szCs w:val="40"/>
        </w:rPr>
        <w:br/>
        <w:t>Item</w:t>
      </w:r>
      <w:r w:rsidR="00692300" w:rsidRPr="00F44BBC">
        <w:rPr>
          <w:sz w:val="40"/>
          <w:szCs w:val="40"/>
        </w:rPr>
        <w:t xml:space="preserve"> #</w:t>
      </w:r>
      <w:r w:rsidR="00F44BBC" w:rsidRPr="00F44BBC">
        <w:rPr>
          <w:sz w:val="40"/>
          <w:szCs w:val="40"/>
        </w:rPr>
        <w:t>17</w:t>
      </w:r>
    </w:p>
    <w:p w14:paraId="366DCA4A" w14:textId="77777777" w:rsidR="00FC1FCE" w:rsidRPr="00F44BBC" w:rsidRDefault="00FC1FCE" w:rsidP="00F44BBC">
      <w:pPr>
        <w:pStyle w:val="Heading2"/>
        <w:spacing w:before="240" w:after="240"/>
        <w:rPr>
          <w:sz w:val="36"/>
          <w:szCs w:val="36"/>
        </w:rPr>
      </w:pPr>
      <w:r w:rsidRPr="00F44BBC">
        <w:rPr>
          <w:sz w:val="36"/>
          <w:szCs w:val="36"/>
        </w:rPr>
        <w:t>Subject</w:t>
      </w:r>
    </w:p>
    <w:p w14:paraId="2CF658A5" w14:textId="4EE3150E" w:rsidR="00692300" w:rsidRPr="00F44BBC" w:rsidRDefault="006A6053" w:rsidP="00F44BBC">
      <w:pPr>
        <w:spacing w:after="480"/>
      </w:pPr>
      <w:r w:rsidRPr="00F44BBC">
        <w:rPr>
          <w:rFonts w:cs="Arial"/>
        </w:rPr>
        <w:t>Request to approve revisions to the criteria and standards for local educational agency fiscal stability.</w:t>
      </w:r>
    </w:p>
    <w:p w14:paraId="01B36AAB" w14:textId="77777777" w:rsidR="00FC1FCE" w:rsidRPr="00F44BBC" w:rsidRDefault="00FC1FCE" w:rsidP="00F44BBC">
      <w:pPr>
        <w:pStyle w:val="Heading2"/>
        <w:spacing w:before="240" w:after="240"/>
        <w:rPr>
          <w:sz w:val="36"/>
          <w:szCs w:val="36"/>
        </w:rPr>
      </w:pPr>
      <w:r w:rsidRPr="00F44BBC">
        <w:rPr>
          <w:sz w:val="36"/>
          <w:szCs w:val="36"/>
        </w:rPr>
        <w:t>Type of Action</w:t>
      </w:r>
    </w:p>
    <w:p w14:paraId="5B0FC27D" w14:textId="4892DAC9" w:rsidR="0091117B" w:rsidRPr="00F44BBC" w:rsidRDefault="008909EE" w:rsidP="00F44BBC">
      <w:pPr>
        <w:spacing w:after="480"/>
      </w:pPr>
      <w:r w:rsidRPr="00F44BBC">
        <w:t>Action, Information</w:t>
      </w:r>
    </w:p>
    <w:p w14:paraId="06A5213D" w14:textId="77777777" w:rsidR="00FC1FCE" w:rsidRPr="00F44BBC" w:rsidRDefault="00FC1FCE" w:rsidP="00F44BBC">
      <w:pPr>
        <w:pStyle w:val="Heading2"/>
        <w:spacing w:before="240" w:after="240"/>
        <w:rPr>
          <w:sz w:val="36"/>
          <w:szCs w:val="36"/>
        </w:rPr>
      </w:pPr>
      <w:r w:rsidRPr="00F44BBC">
        <w:rPr>
          <w:sz w:val="36"/>
          <w:szCs w:val="36"/>
        </w:rPr>
        <w:t>Summary of the Issue(s)</w:t>
      </w:r>
    </w:p>
    <w:p w14:paraId="118CF422" w14:textId="144FB2A5" w:rsidR="006A6053" w:rsidRPr="00F44BBC" w:rsidRDefault="006A6053" w:rsidP="00F44BBC">
      <w:pPr>
        <w:spacing w:after="240"/>
      </w:pPr>
      <w:r w:rsidRPr="00F44BBC">
        <w:rPr>
          <w:rStyle w:val="normaltextrun"/>
          <w:rFonts w:eastAsiaTheme="majorEastAsia" w:cs="Arial"/>
          <w:color w:val="000000"/>
          <w:shd w:val="clear" w:color="auto" w:fill="FFFFFF"/>
        </w:rPr>
        <w:t>The California Department of Education (CDE) requests the State Board of Education</w:t>
      </w:r>
      <w:r w:rsidR="00E075A9" w:rsidRPr="00F44BBC">
        <w:rPr>
          <w:rStyle w:val="normaltextrun"/>
          <w:rFonts w:eastAsiaTheme="majorEastAsia" w:cs="Arial"/>
          <w:color w:val="000000"/>
          <w:shd w:val="clear" w:color="auto" w:fill="FFFFFF"/>
        </w:rPr>
        <w:t xml:space="preserve"> (SBE) </w:t>
      </w:r>
      <w:r w:rsidRPr="00F44BBC">
        <w:rPr>
          <w:rStyle w:val="normaltextrun"/>
          <w:rFonts w:eastAsiaTheme="majorEastAsia" w:cs="Arial"/>
          <w:color w:val="000000"/>
          <w:shd w:val="clear" w:color="auto" w:fill="FFFFFF"/>
        </w:rPr>
        <w:t>approve the proposed revisions to the criteria and standards. The criteria and standards monitor fiscal solvency for school districts and county offices of education</w:t>
      </w:r>
      <w:r w:rsidR="00E075A9" w:rsidRPr="00F44BBC">
        <w:rPr>
          <w:rStyle w:val="normaltextrun"/>
          <w:rFonts w:eastAsiaTheme="majorEastAsia" w:cs="Arial"/>
          <w:color w:val="000000"/>
          <w:shd w:val="clear" w:color="auto" w:fill="FFFFFF"/>
        </w:rPr>
        <w:t xml:space="preserve"> (COEs)</w:t>
      </w:r>
      <w:r w:rsidRPr="00F44BBC">
        <w:rPr>
          <w:rStyle w:val="normaltextrun"/>
          <w:rFonts w:eastAsiaTheme="majorEastAsia" w:cs="Arial"/>
          <w:color w:val="000000"/>
          <w:shd w:val="clear" w:color="auto" w:fill="FFFFFF"/>
        </w:rPr>
        <w:t xml:space="preserve"> and the proposed revisions reflect a change in </w:t>
      </w:r>
      <w:r w:rsidRPr="00F44BBC">
        <w:rPr>
          <w:rStyle w:val="normaltextrun"/>
          <w:rFonts w:eastAsiaTheme="majorEastAsia" w:cs="Arial"/>
          <w:i/>
          <w:iCs/>
          <w:color w:val="000000"/>
          <w:shd w:val="clear" w:color="auto" w:fill="FFFFFF"/>
        </w:rPr>
        <w:t xml:space="preserve">Education Code </w:t>
      </w:r>
      <w:r w:rsidRPr="00F44BBC">
        <w:rPr>
          <w:rStyle w:val="normaltextrun"/>
          <w:rFonts w:eastAsiaTheme="majorEastAsia" w:cs="Arial"/>
          <w:color w:val="000000"/>
          <w:shd w:val="clear" w:color="auto" w:fill="FFFFFF"/>
        </w:rPr>
        <w:t>(</w:t>
      </w:r>
      <w:r w:rsidRPr="00F44BBC">
        <w:rPr>
          <w:rStyle w:val="normaltextrun"/>
          <w:rFonts w:eastAsiaTheme="majorEastAsia" w:cs="Arial"/>
          <w:i/>
          <w:iCs/>
          <w:color w:val="000000"/>
          <w:shd w:val="clear" w:color="auto" w:fill="FFFFFF"/>
        </w:rPr>
        <w:t>EC</w:t>
      </w:r>
      <w:r w:rsidRPr="00F44BBC">
        <w:rPr>
          <w:rStyle w:val="normaltextrun"/>
          <w:rFonts w:eastAsiaTheme="majorEastAsia" w:cs="Arial"/>
          <w:color w:val="000000"/>
          <w:shd w:val="clear" w:color="auto" w:fill="FFFFFF"/>
        </w:rPr>
        <w:t>)</w:t>
      </w:r>
      <w:r w:rsidRPr="00F44BBC">
        <w:rPr>
          <w:rStyle w:val="normaltextrun"/>
          <w:rFonts w:eastAsiaTheme="majorEastAsia" w:cs="Arial"/>
          <w:i/>
          <w:iCs/>
          <w:color w:val="000000"/>
          <w:shd w:val="clear" w:color="auto" w:fill="FFFFFF"/>
        </w:rPr>
        <w:t xml:space="preserve">, </w:t>
      </w:r>
      <w:r w:rsidRPr="00F44BBC">
        <w:rPr>
          <w:rStyle w:val="normaltextrun"/>
          <w:rFonts w:eastAsiaTheme="majorEastAsia" w:cs="Arial"/>
          <w:color w:val="000000"/>
          <w:shd w:val="clear" w:color="auto" w:fill="FFFFFF"/>
        </w:rPr>
        <w:t xml:space="preserve">terminology changes to conform to new accounting standards, removing terminology no longer applicable to the Local Control Funding Formula (LCFF), and other technical changes to improve fiscal monitoring reviews. Most notably, Senate Bill 913 (Chapter 920, Statutes 2022) modified several </w:t>
      </w:r>
      <w:r w:rsidRPr="00F44BBC">
        <w:rPr>
          <w:rStyle w:val="normaltextrun"/>
          <w:rFonts w:eastAsiaTheme="majorEastAsia" w:cs="Arial"/>
          <w:i/>
          <w:iCs/>
          <w:color w:val="000000"/>
          <w:shd w:val="clear" w:color="auto" w:fill="FFFFFF"/>
        </w:rPr>
        <w:t xml:space="preserve">EC </w:t>
      </w:r>
      <w:r w:rsidRPr="00F44BBC">
        <w:rPr>
          <w:rStyle w:val="normaltextrun"/>
          <w:rFonts w:eastAsiaTheme="majorEastAsia" w:cs="Arial"/>
          <w:color w:val="000000"/>
          <w:shd w:val="clear" w:color="auto" w:fill="FFFFFF"/>
        </w:rPr>
        <w:t xml:space="preserve">sections that provide flexibility to very large school districts based on the size of average daily attendance (ADA) by changing the ADA threshold from 400,000 to 250,000 to account for enrollment declines in the state’s largest school district. Attachment 1 provides a comprehensive summary of all the changes being proposed. </w:t>
      </w:r>
      <w:r w:rsidRPr="00F44BBC">
        <w:rPr>
          <w:color w:val="000000"/>
        </w:rPr>
        <w:t>Attachment</w:t>
      </w:r>
      <w:r w:rsidR="00E075A9" w:rsidRPr="00F44BBC">
        <w:rPr>
          <w:color w:val="000000"/>
        </w:rPr>
        <w:t>s</w:t>
      </w:r>
      <w:r w:rsidRPr="00F44BBC">
        <w:rPr>
          <w:color w:val="000000"/>
        </w:rPr>
        <w:t xml:space="preserve"> </w:t>
      </w:r>
      <w:r w:rsidR="00F949A4" w:rsidRPr="00F44BBC">
        <w:rPr>
          <w:color w:val="000000"/>
        </w:rPr>
        <w:t>4</w:t>
      </w:r>
      <w:r w:rsidRPr="00F44BBC">
        <w:rPr>
          <w:color w:val="000000"/>
        </w:rPr>
        <w:t xml:space="preserve"> through </w:t>
      </w:r>
      <w:r w:rsidR="00F949A4" w:rsidRPr="00F44BBC">
        <w:rPr>
          <w:color w:val="000000"/>
        </w:rPr>
        <w:t>7</w:t>
      </w:r>
      <w:r w:rsidRPr="00F44BBC">
        <w:rPr>
          <w:color w:val="000000"/>
        </w:rPr>
        <w:t xml:space="preserve"> reflect the final version of the criteria and standards that will be posted on CDE’s website for school districts and </w:t>
      </w:r>
      <w:r w:rsidR="00E075A9" w:rsidRPr="00F44BBC">
        <w:rPr>
          <w:color w:val="000000"/>
        </w:rPr>
        <w:t>COEs.</w:t>
      </w:r>
    </w:p>
    <w:p w14:paraId="677E64BC" w14:textId="787DAB0E" w:rsidR="006A6053" w:rsidRPr="00F44BBC" w:rsidRDefault="006A6053" w:rsidP="00F44BBC">
      <w:pPr>
        <w:spacing w:after="240"/>
        <w:rPr>
          <w:rStyle w:val="normaltextrun"/>
          <w:rFonts w:eastAsiaTheme="majorEastAsia" w:cs="Arial"/>
          <w:color w:val="000000"/>
          <w:shd w:val="clear" w:color="auto" w:fill="FFFFFF"/>
        </w:rPr>
      </w:pPr>
      <w:r w:rsidRPr="00F44BBC">
        <w:rPr>
          <w:rStyle w:val="normaltextrun"/>
          <w:rFonts w:eastAsiaTheme="majorEastAsia" w:cs="Arial"/>
          <w:color w:val="000000"/>
          <w:shd w:val="clear" w:color="auto" w:fill="FFFFFF"/>
        </w:rPr>
        <w:t xml:space="preserve">Revisions to the criteria and standards require an advisory committee to be formed to review the changes prior to review and adoption by the SBE pursuant to </w:t>
      </w:r>
      <w:r w:rsidRPr="00F44BBC">
        <w:rPr>
          <w:rStyle w:val="normaltextrun"/>
          <w:rFonts w:eastAsiaTheme="majorEastAsia" w:cs="Arial"/>
          <w:i/>
          <w:iCs/>
          <w:color w:val="000000"/>
          <w:shd w:val="clear" w:color="auto" w:fill="FFFFFF"/>
        </w:rPr>
        <w:t xml:space="preserve">EC </w:t>
      </w:r>
      <w:r w:rsidRPr="00F44BBC">
        <w:rPr>
          <w:rStyle w:val="normaltextrun"/>
          <w:rFonts w:eastAsiaTheme="majorEastAsia" w:cs="Arial"/>
          <w:color w:val="000000"/>
          <w:shd w:val="clear" w:color="auto" w:fill="FFFFFF"/>
        </w:rPr>
        <w:t>Section 33127. On September 18, 2023, CDE staff met with the advisory committee and no concerns were raised about the proposed changes. The committee did not address any other policy matters or changes to the criteria and standards.</w:t>
      </w:r>
    </w:p>
    <w:p w14:paraId="0DC07386" w14:textId="081842A2" w:rsidR="00E45E0D" w:rsidRPr="00F44BBC" w:rsidRDefault="006A6053" w:rsidP="00F44BBC">
      <w:pPr>
        <w:spacing w:after="240"/>
        <w:rPr>
          <w:rFonts w:eastAsiaTheme="majorEastAsia" w:cs="Arial"/>
          <w:color w:val="000000"/>
          <w:shd w:val="clear" w:color="auto" w:fill="FFFFFF"/>
        </w:rPr>
      </w:pPr>
      <w:r w:rsidRPr="00F44BBC">
        <w:lastRenderedPageBreak/>
        <w:t xml:space="preserve">The criteria and standards are codified in the </w:t>
      </w:r>
      <w:r w:rsidRPr="00F44BBC">
        <w:rPr>
          <w:i/>
        </w:rPr>
        <w:t>California Code of Regulations</w:t>
      </w:r>
      <w:r w:rsidRPr="00F44BBC">
        <w:rPr>
          <w:iCs/>
        </w:rPr>
        <w:t xml:space="preserve">, Title 5 (5 </w:t>
      </w:r>
      <w:r w:rsidRPr="00F44BBC">
        <w:rPr>
          <w:i/>
        </w:rPr>
        <w:t>CCR</w:t>
      </w:r>
      <w:r w:rsidRPr="00F44BBC">
        <w:rPr>
          <w:iCs/>
        </w:rPr>
        <w:t>)</w:t>
      </w:r>
      <w:r w:rsidRPr="00F44BBC">
        <w:t xml:space="preserve"> and are exempt from the Administrative Procedure Act pursuant to </w:t>
      </w:r>
      <w:r w:rsidRPr="00F44BBC">
        <w:rPr>
          <w:i/>
          <w:iCs/>
        </w:rPr>
        <w:t>EC</w:t>
      </w:r>
      <w:r w:rsidRPr="00F44BBC">
        <w:t xml:space="preserve"> Section 33131.</w:t>
      </w:r>
    </w:p>
    <w:p w14:paraId="6FE5842D" w14:textId="21D1EEBC" w:rsidR="003E4DF7" w:rsidRPr="00F44BBC" w:rsidRDefault="003E4DF7" w:rsidP="00F44BBC">
      <w:pPr>
        <w:pStyle w:val="Heading2"/>
        <w:spacing w:before="240" w:after="240"/>
        <w:rPr>
          <w:sz w:val="36"/>
          <w:szCs w:val="36"/>
        </w:rPr>
      </w:pPr>
      <w:r w:rsidRPr="00F44BBC">
        <w:rPr>
          <w:sz w:val="36"/>
          <w:szCs w:val="36"/>
        </w:rPr>
        <w:t>Recommendation</w:t>
      </w:r>
    </w:p>
    <w:p w14:paraId="214D9F5A" w14:textId="25C0EEC9" w:rsidR="00E45E0D" w:rsidRPr="00F44BBC" w:rsidRDefault="006A6053" w:rsidP="00F44BBC">
      <w:r w:rsidRPr="00F44BBC">
        <w:rPr>
          <w:rFonts w:cs="Arial"/>
        </w:rPr>
        <w:t xml:space="preserve">The CDE recommends that the SBE </w:t>
      </w:r>
      <w:r w:rsidRPr="00F44BBC">
        <w:t xml:space="preserve">adopt the attached revisions to the criteria and standards for the 2024–25 fiscal year. Once adopted, the revisions will be incorporated into </w:t>
      </w:r>
      <w:r w:rsidRPr="00F44BBC">
        <w:rPr>
          <w:i/>
        </w:rPr>
        <w:t>5</w:t>
      </w:r>
      <w:r w:rsidRPr="00F44BBC">
        <w:rPr>
          <w:iCs/>
        </w:rPr>
        <w:t xml:space="preserve"> </w:t>
      </w:r>
      <w:r w:rsidRPr="00F44BBC">
        <w:rPr>
          <w:i/>
        </w:rPr>
        <w:t xml:space="preserve">CCR </w:t>
      </w:r>
      <w:r w:rsidRPr="00F44BBC">
        <w:t xml:space="preserve">as shown in Attachments </w:t>
      </w:r>
      <w:r w:rsidR="00F949A4" w:rsidRPr="00F44BBC">
        <w:t>2</w:t>
      </w:r>
      <w:r w:rsidRPr="00F44BBC">
        <w:t xml:space="preserve"> and </w:t>
      </w:r>
      <w:r w:rsidR="00F949A4" w:rsidRPr="00F44BBC">
        <w:t>3</w:t>
      </w:r>
      <w:r w:rsidRPr="00F44BBC">
        <w:t>.</w:t>
      </w:r>
    </w:p>
    <w:p w14:paraId="298698D5" w14:textId="01B8C8AB" w:rsidR="00F40510" w:rsidRPr="00F44BBC" w:rsidRDefault="003E4DF7" w:rsidP="00F44BBC">
      <w:pPr>
        <w:pStyle w:val="Heading2"/>
        <w:spacing w:before="240" w:after="240"/>
        <w:rPr>
          <w:sz w:val="36"/>
          <w:szCs w:val="36"/>
        </w:rPr>
      </w:pPr>
      <w:r w:rsidRPr="00F44BBC">
        <w:rPr>
          <w:sz w:val="36"/>
          <w:szCs w:val="36"/>
        </w:rPr>
        <w:t>Brief History of Key Issues</w:t>
      </w:r>
    </w:p>
    <w:p w14:paraId="12892C99" w14:textId="759555C1" w:rsidR="00F949A4" w:rsidRPr="00F44BBC" w:rsidRDefault="00F949A4" w:rsidP="00F44BBC">
      <w:pPr>
        <w:spacing w:after="240"/>
      </w:pPr>
      <w:r w:rsidRPr="00F44BBC">
        <w:t xml:space="preserve">In accordance with Assembly Bill 1200 (Chapter 1213, Statutes of 1991), county superintendents of schools have fiscal oversight responsibility over the school districts in the county and the State Superintendent of Public Instruction (SSPI) has fiscal oversight responsibility over </w:t>
      </w:r>
      <w:r w:rsidR="00E075A9" w:rsidRPr="00F44BBC">
        <w:t>COEs</w:t>
      </w:r>
      <w:r w:rsidRPr="00F44BBC">
        <w:t xml:space="preserve">. The criteria and standards for fiscal solvency used to develop, review, and assess school district and </w:t>
      </w:r>
      <w:r w:rsidR="00E075A9" w:rsidRPr="00F44BBC">
        <w:t>COE</w:t>
      </w:r>
      <w:r w:rsidRPr="00F44BBC">
        <w:t xml:space="preserve"> budgets and interim reports were originally developed in 1989 through the collaborative effort of an advisory committee that included representatives from a variety of local educational agency (LEA) associations and state agencies. The criteria and standards have undergone periodic revisions since then, most recently for the 2014</w:t>
      </w:r>
      <w:r w:rsidR="005427BD" w:rsidRPr="00F44BBC">
        <w:t>–</w:t>
      </w:r>
      <w:r w:rsidRPr="00F44BBC">
        <w:t>15 fiscal year with the inception of the LCFF.</w:t>
      </w:r>
    </w:p>
    <w:p w14:paraId="3380B3DB" w14:textId="7D07CAEA" w:rsidR="00F949A4" w:rsidRPr="00F44BBC" w:rsidRDefault="00F949A4" w:rsidP="00F44BBC">
      <w:pPr>
        <w:spacing w:after="240"/>
      </w:pPr>
      <w:r w:rsidRPr="00F44BBC">
        <w:t>The criteria and standards guide LEAs in developing their budgets and in their periodic self-evaluations of fiscal solvency, known as interim reports, and are used by the county superintendent of schools and the SSPI in their monitoring and fiscal oversight roles and responsibilities.</w:t>
      </w:r>
    </w:p>
    <w:p w14:paraId="6B80AAC5" w14:textId="77777777" w:rsidR="00F949A4" w:rsidRPr="00F44BBC" w:rsidRDefault="00F949A4" w:rsidP="00F44BBC">
      <w:pPr>
        <w:spacing w:after="240"/>
      </w:pPr>
      <w:r w:rsidRPr="00F44BBC">
        <w:t xml:space="preserve">The complex analytical tools used to apply the criteria and standards are automated within CDE’s standardized account code structure (SACS) web-based financial reporting system which LEAs use to </w:t>
      </w:r>
      <w:r w:rsidRPr="00F44BBC">
        <w:rPr>
          <w:rFonts w:cs="Arial"/>
          <w:bCs/>
          <w:szCs w:val="22"/>
        </w:rPr>
        <w:t>prepare, validate, and submit their budgets and interim reports to their reviewing agencies and to submit their year-end financial data to CDE</w:t>
      </w:r>
      <w:r w:rsidRPr="00F44BBC">
        <w:t>.</w:t>
      </w:r>
    </w:p>
    <w:p w14:paraId="422449DE" w14:textId="77777777" w:rsidR="00F949A4" w:rsidRPr="00F44BBC" w:rsidRDefault="00F949A4" w:rsidP="00F44BBC">
      <w:pPr>
        <w:spacing w:after="240"/>
        <w:rPr>
          <w:rFonts w:eastAsia="MS Mincho"/>
        </w:rPr>
      </w:pPr>
      <w:r w:rsidRPr="00F44BBC">
        <w:rPr>
          <w:rFonts w:eastAsia="MS Mincho"/>
        </w:rPr>
        <w:t>The criteria and standards committee that developed the revisions presented herein was composed of representatives from the following organizations and agencies:</w:t>
      </w:r>
    </w:p>
    <w:p w14:paraId="05329EB2" w14:textId="77777777" w:rsidR="00F949A4" w:rsidRPr="00F44BBC" w:rsidRDefault="00F949A4" w:rsidP="00F44BBC">
      <w:pPr>
        <w:pStyle w:val="ListParagraph"/>
        <w:numPr>
          <w:ilvl w:val="0"/>
          <w:numId w:val="14"/>
        </w:numPr>
      </w:pPr>
      <w:r w:rsidRPr="00F44BBC">
        <w:t>California County Superintendents</w:t>
      </w:r>
    </w:p>
    <w:p w14:paraId="01FECC5D" w14:textId="77777777" w:rsidR="00F949A4" w:rsidRPr="00F44BBC" w:rsidRDefault="00F949A4" w:rsidP="00F44BBC">
      <w:pPr>
        <w:pStyle w:val="ListParagraph"/>
        <w:numPr>
          <w:ilvl w:val="0"/>
          <w:numId w:val="14"/>
        </w:numPr>
        <w:spacing w:after="240"/>
      </w:pPr>
      <w:r w:rsidRPr="00F44BBC">
        <w:t>California Federation of Teachers</w:t>
      </w:r>
    </w:p>
    <w:p w14:paraId="26F2BA05" w14:textId="77777777" w:rsidR="00F949A4" w:rsidRPr="00F44BBC" w:rsidRDefault="00F949A4" w:rsidP="00F44BBC">
      <w:pPr>
        <w:pStyle w:val="ListParagraph"/>
        <w:numPr>
          <w:ilvl w:val="0"/>
          <w:numId w:val="14"/>
        </w:numPr>
        <w:spacing w:after="240"/>
      </w:pPr>
      <w:r w:rsidRPr="00F44BBC">
        <w:t xml:space="preserve">Local Educational Agencies </w:t>
      </w:r>
    </w:p>
    <w:p w14:paraId="48D70811" w14:textId="77777777" w:rsidR="00F949A4" w:rsidRPr="00F44BBC" w:rsidRDefault="00F949A4" w:rsidP="00F44BBC">
      <w:pPr>
        <w:pStyle w:val="ListParagraph"/>
        <w:numPr>
          <w:ilvl w:val="0"/>
          <w:numId w:val="14"/>
        </w:numPr>
        <w:spacing w:after="240"/>
      </w:pPr>
      <w:r w:rsidRPr="00F44BBC">
        <w:t>Fiscal Crisis and Management Assistance Team</w:t>
      </w:r>
    </w:p>
    <w:p w14:paraId="7C5D5222" w14:textId="77777777" w:rsidR="00F949A4" w:rsidRPr="00F44BBC" w:rsidRDefault="00F949A4" w:rsidP="00F44BBC">
      <w:pPr>
        <w:pStyle w:val="ListParagraph"/>
        <w:numPr>
          <w:ilvl w:val="0"/>
          <w:numId w:val="14"/>
        </w:numPr>
        <w:spacing w:after="240"/>
      </w:pPr>
      <w:r w:rsidRPr="00F44BBC">
        <w:t>California Department of Finance</w:t>
      </w:r>
    </w:p>
    <w:p w14:paraId="2324DA04" w14:textId="77777777" w:rsidR="00F949A4" w:rsidRPr="00F44BBC" w:rsidRDefault="00F949A4" w:rsidP="00F44BBC">
      <w:pPr>
        <w:pStyle w:val="ListParagraph"/>
        <w:numPr>
          <w:ilvl w:val="0"/>
          <w:numId w:val="14"/>
        </w:numPr>
        <w:spacing w:after="240"/>
      </w:pPr>
      <w:r w:rsidRPr="00F44BBC">
        <w:t>Legislative Analyst’s Office</w:t>
      </w:r>
    </w:p>
    <w:p w14:paraId="57CC8213" w14:textId="77777777" w:rsidR="00F949A4" w:rsidRPr="00F44BBC" w:rsidRDefault="00F949A4" w:rsidP="00F44BBC">
      <w:pPr>
        <w:pStyle w:val="ListParagraph"/>
        <w:numPr>
          <w:ilvl w:val="0"/>
          <w:numId w:val="14"/>
        </w:numPr>
        <w:spacing w:after="240"/>
      </w:pPr>
      <w:r w:rsidRPr="00F44BBC">
        <w:t>State Board of Education</w:t>
      </w:r>
    </w:p>
    <w:p w14:paraId="5BA6FCB3" w14:textId="77777777" w:rsidR="00F949A4" w:rsidRPr="00F44BBC" w:rsidRDefault="00F949A4" w:rsidP="00F44BBC">
      <w:pPr>
        <w:pStyle w:val="ListParagraph"/>
        <w:numPr>
          <w:ilvl w:val="0"/>
          <w:numId w:val="14"/>
        </w:numPr>
        <w:spacing w:after="240"/>
      </w:pPr>
      <w:r w:rsidRPr="00F44BBC">
        <w:t>California State Controller’s Office</w:t>
      </w:r>
    </w:p>
    <w:p w14:paraId="30394B26" w14:textId="77777777" w:rsidR="00F949A4" w:rsidRPr="00F44BBC" w:rsidRDefault="00F949A4" w:rsidP="00F44BBC">
      <w:pPr>
        <w:pStyle w:val="ListParagraph"/>
        <w:numPr>
          <w:ilvl w:val="0"/>
          <w:numId w:val="14"/>
        </w:numPr>
        <w:spacing w:after="240"/>
      </w:pPr>
      <w:r w:rsidRPr="00F44BBC">
        <w:lastRenderedPageBreak/>
        <w:t>California Department of Education</w:t>
      </w:r>
    </w:p>
    <w:p w14:paraId="2104CEC4" w14:textId="77777777" w:rsidR="00F949A4" w:rsidRPr="00F44BBC" w:rsidRDefault="00F949A4" w:rsidP="00F44BBC">
      <w:pPr>
        <w:spacing w:after="240"/>
      </w:pPr>
      <w:r w:rsidRPr="00F44BBC">
        <w:t>Also invited, but not in attendance, were the following organizations and agencies:</w:t>
      </w:r>
    </w:p>
    <w:p w14:paraId="507D0680" w14:textId="2F007250" w:rsidR="00F949A4" w:rsidRPr="00F44BBC" w:rsidRDefault="00F949A4" w:rsidP="00F44BBC">
      <w:pPr>
        <w:pStyle w:val="ListParagraph"/>
        <w:numPr>
          <w:ilvl w:val="0"/>
          <w:numId w:val="15"/>
        </w:numPr>
      </w:pPr>
      <w:r w:rsidRPr="00F44BBC">
        <w:t>California School Board Association</w:t>
      </w:r>
    </w:p>
    <w:p w14:paraId="676F3969" w14:textId="3F2E31EB" w:rsidR="00F949A4" w:rsidRPr="00F44BBC" w:rsidRDefault="00F949A4" w:rsidP="00F44BBC">
      <w:pPr>
        <w:pStyle w:val="ListParagraph"/>
        <w:numPr>
          <w:ilvl w:val="0"/>
          <w:numId w:val="15"/>
        </w:numPr>
        <w:spacing w:after="240"/>
      </w:pPr>
      <w:r w:rsidRPr="00F44BBC">
        <w:t>California Association of School Business Officials</w:t>
      </w:r>
    </w:p>
    <w:p w14:paraId="30FA53FA" w14:textId="77777777" w:rsidR="00F949A4" w:rsidRPr="00F44BBC" w:rsidRDefault="00F949A4" w:rsidP="00F44BBC">
      <w:pPr>
        <w:pStyle w:val="ListParagraph"/>
        <w:numPr>
          <w:ilvl w:val="0"/>
          <w:numId w:val="15"/>
        </w:numPr>
        <w:spacing w:after="240"/>
      </w:pPr>
      <w:r w:rsidRPr="00F44BBC">
        <w:t>California School Employees Association</w:t>
      </w:r>
    </w:p>
    <w:p w14:paraId="0E7467B4" w14:textId="77777777" w:rsidR="00F949A4" w:rsidRPr="00F44BBC" w:rsidRDefault="00F949A4" w:rsidP="00F44BBC">
      <w:pPr>
        <w:pStyle w:val="ListParagraph"/>
        <w:numPr>
          <w:ilvl w:val="0"/>
          <w:numId w:val="15"/>
        </w:numPr>
        <w:spacing w:after="240"/>
      </w:pPr>
      <w:r w:rsidRPr="00F44BBC">
        <w:t>California Teachers Association</w:t>
      </w:r>
    </w:p>
    <w:p w14:paraId="703BCAAC" w14:textId="1EEF25F6" w:rsidR="00D818B8" w:rsidRPr="00F44BBC" w:rsidRDefault="00F949A4" w:rsidP="00F44BBC">
      <w:pPr>
        <w:pStyle w:val="ListParagraph"/>
        <w:numPr>
          <w:ilvl w:val="0"/>
          <w:numId w:val="15"/>
        </w:numPr>
        <w:spacing w:after="240"/>
      </w:pPr>
      <w:r w:rsidRPr="00F44BBC">
        <w:t>Small School Districts’ Association</w:t>
      </w:r>
    </w:p>
    <w:p w14:paraId="31100AD3" w14:textId="1477A50C" w:rsidR="003E4DF7" w:rsidRPr="00F44BBC" w:rsidRDefault="003E4DF7" w:rsidP="00F44BBC">
      <w:pPr>
        <w:pStyle w:val="Heading2"/>
        <w:spacing w:before="240" w:after="240"/>
        <w:rPr>
          <w:sz w:val="36"/>
          <w:szCs w:val="36"/>
        </w:rPr>
      </w:pPr>
      <w:r w:rsidRPr="00F44BBC">
        <w:rPr>
          <w:sz w:val="36"/>
          <w:szCs w:val="36"/>
        </w:rPr>
        <w:t>Summary of Previous State Board of Education Discussion and Action</w:t>
      </w:r>
    </w:p>
    <w:p w14:paraId="6959C8D0" w14:textId="6A3DC974" w:rsidR="00E45E0D" w:rsidRPr="00F44BBC" w:rsidRDefault="00E45E0D" w:rsidP="00F44BBC">
      <w:pPr>
        <w:rPr>
          <w:bCs/>
        </w:rPr>
      </w:pPr>
      <w:r w:rsidRPr="00F44BBC">
        <w:rPr>
          <w:bCs/>
        </w:rPr>
        <w:t>The fiscal criteria and standards were originally adopted by the SBE in May 1989 (Chapter 1462, Statutes of 1988). They were revised in 1999, 2000, 2005, 2008, and 201</w:t>
      </w:r>
      <w:r w:rsidR="006A6053" w:rsidRPr="00F44BBC">
        <w:rPr>
          <w:bCs/>
        </w:rPr>
        <w:t>3</w:t>
      </w:r>
      <w:r w:rsidRPr="00F44BBC">
        <w:rPr>
          <w:bCs/>
        </w:rPr>
        <w:t>.</w:t>
      </w:r>
    </w:p>
    <w:p w14:paraId="63624FDD" w14:textId="0B557AEF" w:rsidR="003E4DF7" w:rsidRPr="00F44BBC" w:rsidRDefault="003E4DF7" w:rsidP="00F44BBC">
      <w:pPr>
        <w:pStyle w:val="Heading2"/>
        <w:spacing w:before="240" w:after="240"/>
        <w:rPr>
          <w:sz w:val="36"/>
          <w:szCs w:val="36"/>
        </w:rPr>
      </w:pPr>
      <w:r w:rsidRPr="00F44BBC">
        <w:rPr>
          <w:sz w:val="36"/>
          <w:szCs w:val="36"/>
        </w:rPr>
        <w:t>Fiscal Analysis (as appropriate)</w:t>
      </w:r>
    </w:p>
    <w:p w14:paraId="0D451046" w14:textId="26FEE1DD" w:rsidR="00D72DE1" w:rsidRPr="00F44BBC" w:rsidRDefault="00F949A4" w:rsidP="00F44BBC">
      <w:pPr>
        <w:rPr>
          <w:rFonts w:cs="Arial"/>
        </w:rPr>
      </w:pPr>
      <w:r w:rsidRPr="00F44BBC">
        <w:rPr>
          <w:rFonts w:cs="Arial"/>
        </w:rPr>
        <w:t>Revisions to the criteria and standards will be included in the annual software maintenance cycle for the SACS web-based financial reporting system. There will be no additional costs to the State.</w:t>
      </w:r>
    </w:p>
    <w:p w14:paraId="5C5F6D8D" w14:textId="09FD978E" w:rsidR="00406F50" w:rsidRPr="00F44BBC" w:rsidRDefault="00406F50" w:rsidP="00F44BBC">
      <w:pPr>
        <w:pStyle w:val="Heading2"/>
        <w:spacing w:before="240" w:after="240"/>
        <w:rPr>
          <w:sz w:val="36"/>
          <w:szCs w:val="36"/>
        </w:rPr>
      </w:pPr>
      <w:r w:rsidRPr="00F44BBC">
        <w:rPr>
          <w:sz w:val="36"/>
          <w:szCs w:val="36"/>
        </w:rPr>
        <w:t>Attachment(s)</w:t>
      </w:r>
    </w:p>
    <w:p w14:paraId="1513B21D" w14:textId="5F30D045" w:rsidR="00F949A4" w:rsidRPr="00F44BBC" w:rsidRDefault="00F949A4" w:rsidP="00F44BBC">
      <w:pPr>
        <w:spacing w:after="240"/>
        <w:ind w:left="1800" w:hanging="1800"/>
        <w:rPr>
          <w:noProof/>
        </w:rPr>
      </w:pPr>
      <w:r w:rsidRPr="00F44BBC">
        <w:rPr>
          <w:noProof/>
        </w:rPr>
        <w:t>Attachment 1:</w:t>
      </w:r>
      <w:r w:rsidRPr="00F44BBC">
        <w:rPr>
          <w:noProof/>
        </w:rPr>
        <w:tab/>
        <w:t xml:space="preserve">Summary of </w:t>
      </w:r>
      <w:r w:rsidR="00C060A8" w:rsidRPr="00F44BBC">
        <w:rPr>
          <w:noProof/>
        </w:rPr>
        <w:t xml:space="preserve">Revisions </w:t>
      </w:r>
      <w:r w:rsidRPr="00F44BBC">
        <w:rPr>
          <w:noProof/>
        </w:rPr>
        <w:t>to Criteria and Standards (</w:t>
      </w:r>
      <w:r w:rsidR="00FE7615" w:rsidRPr="00F44BBC">
        <w:rPr>
          <w:noProof/>
        </w:rPr>
        <w:t>4</w:t>
      </w:r>
      <w:r w:rsidRPr="00F44BBC">
        <w:rPr>
          <w:noProof/>
        </w:rPr>
        <w:t xml:space="preserve"> Pages)</w:t>
      </w:r>
    </w:p>
    <w:p w14:paraId="2FA4B02B" w14:textId="47506291" w:rsidR="00F949A4" w:rsidRPr="00F44BBC" w:rsidRDefault="00F949A4" w:rsidP="00F44BBC">
      <w:pPr>
        <w:spacing w:after="240"/>
        <w:ind w:left="1800" w:hanging="1800"/>
        <w:rPr>
          <w:noProof/>
        </w:rPr>
      </w:pPr>
      <w:r w:rsidRPr="00F44BBC">
        <w:rPr>
          <w:noProof/>
        </w:rPr>
        <w:t>Attachment 2:</w:t>
      </w:r>
      <w:r w:rsidRPr="00F44BBC">
        <w:rPr>
          <w:noProof/>
        </w:rPr>
        <w:tab/>
        <w:t xml:space="preserve">Proposed Revisions to the 5 </w:t>
      </w:r>
      <w:r w:rsidRPr="00F44BBC">
        <w:rPr>
          <w:i/>
          <w:iCs/>
          <w:noProof/>
        </w:rPr>
        <w:t>CCR,</w:t>
      </w:r>
      <w:r w:rsidRPr="00F44BBC">
        <w:rPr>
          <w:noProof/>
        </w:rPr>
        <w:t xml:space="preserve"> School District Budgets and Interim Reports (1</w:t>
      </w:r>
      <w:r w:rsidR="00C05332">
        <w:rPr>
          <w:noProof/>
        </w:rPr>
        <w:t>7</w:t>
      </w:r>
      <w:r w:rsidRPr="00F44BBC">
        <w:rPr>
          <w:noProof/>
        </w:rPr>
        <w:t xml:space="preserve"> Pages)</w:t>
      </w:r>
    </w:p>
    <w:p w14:paraId="5C072CD9" w14:textId="77777777" w:rsidR="00F949A4" w:rsidRPr="00F44BBC" w:rsidRDefault="00F949A4" w:rsidP="00F44BBC">
      <w:pPr>
        <w:spacing w:after="240"/>
        <w:ind w:left="1800" w:hanging="1800"/>
        <w:rPr>
          <w:noProof/>
        </w:rPr>
      </w:pPr>
      <w:r w:rsidRPr="00F44BBC">
        <w:rPr>
          <w:noProof/>
        </w:rPr>
        <w:t>Attachment 3:</w:t>
      </w:r>
      <w:r w:rsidRPr="00F44BBC">
        <w:rPr>
          <w:noProof/>
        </w:rPr>
        <w:tab/>
        <w:t>Proposed Revisions to the 5</w:t>
      </w:r>
      <w:r w:rsidRPr="00F44BBC">
        <w:rPr>
          <w:i/>
          <w:noProof/>
        </w:rPr>
        <w:t xml:space="preserve"> CCR</w:t>
      </w:r>
      <w:r w:rsidRPr="00F44BBC">
        <w:rPr>
          <w:noProof/>
        </w:rPr>
        <w:t>, County Office of Education Budgets and Interim Reports (15 Pages)</w:t>
      </w:r>
    </w:p>
    <w:p w14:paraId="1A5068C3" w14:textId="77777777" w:rsidR="00F949A4" w:rsidRPr="00F44BBC" w:rsidRDefault="00F949A4" w:rsidP="00F44BBC">
      <w:pPr>
        <w:spacing w:after="240"/>
        <w:ind w:left="1800" w:hanging="1800"/>
        <w:rPr>
          <w:noProof/>
        </w:rPr>
      </w:pPr>
      <w:r w:rsidRPr="00F44BBC">
        <w:rPr>
          <w:noProof/>
        </w:rPr>
        <w:t>Attachment 4:</w:t>
      </w:r>
      <w:r w:rsidRPr="00F44BBC">
        <w:rPr>
          <w:noProof/>
        </w:rPr>
        <w:tab/>
        <w:t>Criteria and Standards for School District Budgets (6 Pages)</w:t>
      </w:r>
    </w:p>
    <w:p w14:paraId="19CFB1D8" w14:textId="77777777" w:rsidR="00F949A4" w:rsidRPr="00F44BBC" w:rsidRDefault="00F949A4" w:rsidP="00F44BBC">
      <w:pPr>
        <w:spacing w:after="240"/>
        <w:ind w:left="1800" w:hanging="1800"/>
        <w:rPr>
          <w:noProof/>
        </w:rPr>
      </w:pPr>
      <w:r w:rsidRPr="00F44BBC">
        <w:rPr>
          <w:noProof/>
        </w:rPr>
        <w:t>Attachment 5:</w:t>
      </w:r>
      <w:r w:rsidRPr="00F44BBC">
        <w:rPr>
          <w:noProof/>
        </w:rPr>
        <w:tab/>
        <w:t>Criteria and Standards for School District Interim Reports (6 Pages)</w:t>
      </w:r>
    </w:p>
    <w:p w14:paraId="4FE67D5D" w14:textId="77777777" w:rsidR="00F949A4" w:rsidRPr="00F44BBC" w:rsidRDefault="00F949A4" w:rsidP="00F44BBC">
      <w:pPr>
        <w:spacing w:after="240"/>
        <w:ind w:left="1800" w:hanging="1800"/>
        <w:rPr>
          <w:noProof/>
        </w:rPr>
      </w:pPr>
      <w:r w:rsidRPr="00F44BBC">
        <w:rPr>
          <w:noProof/>
        </w:rPr>
        <w:t>Attachment 6:</w:t>
      </w:r>
      <w:r w:rsidRPr="00F44BBC">
        <w:rPr>
          <w:noProof/>
        </w:rPr>
        <w:tab/>
        <w:t xml:space="preserve">Criteria and Standards for County Office of Education Budgets </w:t>
      </w:r>
      <w:r w:rsidRPr="00F44BBC">
        <w:rPr>
          <w:noProof/>
        </w:rPr>
        <w:br/>
        <w:t>(6 Pages)</w:t>
      </w:r>
    </w:p>
    <w:p w14:paraId="1D87612A" w14:textId="67354AAD" w:rsidR="001923EA" w:rsidRPr="00F44BBC" w:rsidRDefault="00F949A4" w:rsidP="00F44BBC">
      <w:pPr>
        <w:tabs>
          <w:tab w:val="left" w:pos="1800"/>
        </w:tabs>
        <w:spacing w:after="240"/>
        <w:ind w:left="1800" w:hanging="1800"/>
        <w:rPr>
          <w:noProof/>
        </w:rPr>
      </w:pPr>
      <w:r w:rsidRPr="00F44BBC">
        <w:rPr>
          <w:noProof/>
        </w:rPr>
        <w:t>Attachment 7:</w:t>
      </w:r>
      <w:r w:rsidRPr="00F44BBC">
        <w:rPr>
          <w:noProof/>
        </w:rPr>
        <w:tab/>
        <w:t xml:space="preserve">Criteria and Standards for County Office of Education Interim Reports </w:t>
      </w:r>
      <w:r w:rsidRPr="00F44BBC">
        <w:rPr>
          <w:noProof/>
        </w:rPr>
        <w:br/>
        <w:t>(</w:t>
      </w:r>
      <w:r w:rsidR="00EF63CB">
        <w:rPr>
          <w:noProof/>
        </w:rPr>
        <w:t>6</w:t>
      </w:r>
      <w:r w:rsidRPr="00F44BBC">
        <w:rPr>
          <w:noProof/>
        </w:rPr>
        <w:t xml:space="preserve"> Pages)</w:t>
      </w:r>
    </w:p>
    <w:sectPr w:rsidR="001923EA" w:rsidRPr="00F44BBC" w:rsidSect="00407E9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87A9" w14:textId="77777777" w:rsidR="00191A20" w:rsidRDefault="00191A20" w:rsidP="000E09DC">
      <w:r>
        <w:separator/>
      </w:r>
    </w:p>
  </w:endnote>
  <w:endnote w:type="continuationSeparator" w:id="0">
    <w:p w14:paraId="3A96E62D" w14:textId="77777777" w:rsidR="00191A20" w:rsidRDefault="00191A2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8082" w14:textId="77777777" w:rsidR="00191A20" w:rsidRDefault="00191A20" w:rsidP="000E09DC">
      <w:r>
        <w:separator/>
      </w:r>
    </w:p>
  </w:footnote>
  <w:footnote w:type="continuationSeparator" w:id="0">
    <w:p w14:paraId="1BE20236" w14:textId="77777777" w:rsidR="00191A20" w:rsidRDefault="00191A2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56AD"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47F0C7B"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590E9829"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9EE9" w14:textId="7C78956D" w:rsidR="0042587C" w:rsidRPr="00F44BBC" w:rsidRDefault="00C95DEA" w:rsidP="00F95B59">
    <w:pPr>
      <w:pStyle w:val="Header"/>
      <w:spacing w:after="480"/>
      <w:jc w:val="right"/>
      <w:rPr>
        <w:rFonts w:cs="Arial"/>
      </w:rPr>
    </w:pPr>
    <w:r>
      <w:t>oab-sfsd-jan24item</w:t>
    </w:r>
    <w:r w:rsidR="00473250">
      <w:t>01</w:t>
    </w:r>
    <w:r w:rsidR="009B04E1" w:rsidRPr="000E09DC">
      <w:rPr>
        <w:rFonts w:cs="Arial"/>
      </w:rPr>
      <w:t xml:space="preserve"> </w:t>
    </w:r>
    <w:r w:rsidR="009B04E1">
      <w:rPr>
        <w:rFonts w:cs="Arial"/>
      </w:rPr>
      <w:br/>
    </w:r>
    <w:r w:rsidR="0042587C" w:rsidRPr="00F44BBC">
      <w:rPr>
        <w:rFonts w:cs="Arial"/>
      </w:rPr>
      <w:t xml:space="preserve">Page </w:t>
    </w:r>
    <w:r w:rsidR="0042587C" w:rsidRPr="00F44BBC">
      <w:rPr>
        <w:rFonts w:cs="Arial"/>
      </w:rPr>
      <w:fldChar w:fldCharType="begin"/>
    </w:r>
    <w:r w:rsidR="0042587C" w:rsidRPr="00F44BBC">
      <w:rPr>
        <w:rFonts w:cs="Arial"/>
      </w:rPr>
      <w:instrText xml:space="preserve"> PAGE  \* Arabic  \* MERGEFORMAT </w:instrText>
    </w:r>
    <w:r w:rsidR="0042587C" w:rsidRPr="00F44BBC">
      <w:rPr>
        <w:rFonts w:cs="Arial"/>
      </w:rPr>
      <w:fldChar w:fldCharType="separate"/>
    </w:r>
    <w:r w:rsidR="0042587C" w:rsidRPr="00F44BBC">
      <w:rPr>
        <w:rFonts w:cs="Arial"/>
        <w:noProof/>
      </w:rPr>
      <w:t>1</w:t>
    </w:r>
    <w:r w:rsidR="0042587C" w:rsidRPr="00F44BBC">
      <w:rPr>
        <w:rFonts w:cs="Arial"/>
      </w:rPr>
      <w:fldChar w:fldCharType="end"/>
    </w:r>
    <w:r w:rsidR="0042587C" w:rsidRPr="00F44BBC">
      <w:rPr>
        <w:rFonts w:cs="Arial"/>
      </w:rPr>
      <w:t xml:space="preserve"> of </w:t>
    </w:r>
    <w:r w:rsidR="0042587C" w:rsidRPr="00F44BBC">
      <w:rPr>
        <w:rFonts w:cs="Arial"/>
      </w:rPr>
      <w:fldChar w:fldCharType="begin"/>
    </w:r>
    <w:r w:rsidR="0042587C" w:rsidRPr="00F44BBC">
      <w:rPr>
        <w:rFonts w:cs="Arial"/>
      </w:rPr>
      <w:instrText xml:space="preserve"> NUMPAGES  \* Arabic  \* MERGEFORMAT </w:instrText>
    </w:r>
    <w:r w:rsidR="0042587C" w:rsidRPr="00F44BBC">
      <w:rPr>
        <w:rFonts w:cs="Arial"/>
      </w:rPr>
      <w:fldChar w:fldCharType="separate"/>
    </w:r>
    <w:r w:rsidR="0042587C" w:rsidRPr="00F44BBC">
      <w:rPr>
        <w:rFonts w:cs="Arial"/>
        <w:noProof/>
      </w:rPr>
      <w:t>2</w:t>
    </w:r>
    <w:r w:rsidR="0042587C" w:rsidRPr="00F44BBC">
      <w:rPr>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C78"/>
    <w:multiLevelType w:val="hybridMultilevel"/>
    <w:tmpl w:val="2E54DAF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81D30"/>
    <w:multiLevelType w:val="hybridMultilevel"/>
    <w:tmpl w:val="EB3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0686"/>
    <w:multiLevelType w:val="hybridMultilevel"/>
    <w:tmpl w:val="E75A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565EE"/>
    <w:multiLevelType w:val="hybridMultilevel"/>
    <w:tmpl w:val="32F405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9E5DE9"/>
    <w:multiLevelType w:val="hybridMultilevel"/>
    <w:tmpl w:val="117C0A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8316C"/>
    <w:multiLevelType w:val="hybridMultilevel"/>
    <w:tmpl w:val="93C0C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81AE6"/>
    <w:multiLevelType w:val="hybridMultilevel"/>
    <w:tmpl w:val="601E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3374F"/>
    <w:multiLevelType w:val="hybridMultilevel"/>
    <w:tmpl w:val="728617F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0914155">
    <w:abstractNumId w:val="7"/>
  </w:num>
  <w:num w:numId="2" w16cid:durableId="239145683">
    <w:abstractNumId w:val="14"/>
  </w:num>
  <w:num w:numId="3" w16cid:durableId="269245134">
    <w:abstractNumId w:val="4"/>
  </w:num>
  <w:num w:numId="4" w16cid:durableId="1078092186">
    <w:abstractNumId w:val="10"/>
  </w:num>
  <w:num w:numId="5" w16cid:durableId="1065645483">
    <w:abstractNumId w:val="13"/>
  </w:num>
  <w:num w:numId="6" w16cid:durableId="1078208122">
    <w:abstractNumId w:val="1"/>
  </w:num>
  <w:num w:numId="7" w16cid:durableId="1658337461">
    <w:abstractNumId w:val="5"/>
  </w:num>
  <w:num w:numId="8" w16cid:durableId="1102066094">
    <w:abstractNumId w:val="2"/>
  </w:num>
  <w:num w:numId="9" w16cid:durableId="2117746459">
    <w:abstractNumId w:val="12"/>
  </w:num>
  <w:num w:numId="10" w16cid:durableId="124201151">
    <w:abstractNumId w:val="9"/>
  </w:num>
  <w:num w:numId="11" w16cid:durableId="1468550816">
    <w:abstractNumId w:val="0"/>
  </w:num>
  <w:num w:numId="12" w16cid:durableId="1377004998">
    <w:abstractNumId w:val="3"/>
  </w:num>
  <w:num w:numId="13" w16cid:durableId="2102680263">
    <w:abstractNumId w:val="11"/>
  </w:num>
  <w:num w:numId="14" w16cid:durableId="938178980">
    <w:abstractNumId w:val="8"/>
  </w:num>
  <w:num w:numId="15" w16cid:durableId="2045790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49AF"/>
    <w:rsid w:val="000E09DC"/>
    <w:rsid w:val="001048F3"/>
    <w:rsid w:val="00130059"/>
    <w:rsid w:val="0018148D"/>
    <w:rsid w:val="00191A20"/>
    <w:rsid w:val="001923EA"/>
    <w:rsid w:val="0019493F"/>
    <w:rsid w:val="001A0CA5"/>
    <w:rsid w:val="001B3958"/>
    <w:rsid w:val="001E1929"/>
    <w:rsid w:val="00223112"/>
    <w:rsid w:val="00232714"/>
    <w:rsid w:val="00240B26"/>
    <w:rsid w:val="002B4B14"/>
    <w:rsid w:val="002C35E2"/>
    <w:rsid w:val="002D1A82"/>
    <w:rsid w:val="002E4CB5"/>
    <w:rsid w:val="002E6FCA"/>
    <w:rsid w:val="002F279B"/>
    <w:rsid w:val="00315131"/>
    <w:rsid w:val="00363520"/>
    <w:rsid w:val="003705FC"/>
    <w:rsid w:val="00384ACF"/>
    <w:rsid w:val="003D1ECD"/>
    <w:rsid w:val="003E0528"/>
    <w:rsid w:val="003E1E8D"/>
    <w:rsid w:val="003E4DF7"/>
    <w:rsid w:val="00406F50"/>
    <w:rsid w:val="00407E9B"/>
    <w:rsid w:val="004203BC"/>
    <w:rsid w:val="004220AA"/>
    <w:rsid w:val="0042587C"/>
    <w:rsid w:val="0044670C"/>
    <w:rsid w:val="00473250"/>
    <w:rsid w:val="0047534A"/>
    <w:rsid w:val="004E029B"/>
    <w:rsid w:val="00517C00"/>
    <w:rsid w:val="00527B0E"/>
    <w:rsid w:val="005427BD"/>
    <w:rsid w:val="005459A1"/>
    <w:rsid w:val="005D17A2"/>
    <w:rsid w:val="00607DE1"/>
    <w:rsid w:val="00643F19"/>
    <w:rsid w:val="00686DF7"/>
    <w:rsid w:val="00692300"/>
    <w:rsid w:val="00693951"/>
    <w:rsid w:val="006A6053"/>
    <w:rsid w:val="006B2111"/>
    <w:rsid w:val="006D0223"/>
    <w:rsid w:val="006E06C6"/>
    <w:rsid w:val="006E1555"/>
    <w:rsid w:val="006E4B04"/>
    <w:rsid w:val="006E707F"/>
    <w:rsid w:val="00726EDA"/>
    <w:rsid w:val="007313A3"/>
    <w:rsid w:val="007428B8"/>
    <w:rsid w:val="00746164"/>
    <w:rsid w:val="00780BB6"/>
    <w:rsid w:val="00784944"/>
    <w:rsid w:val="007C5697"/>
    <w:rsid w:val="007D6A8F"/>
    <w:rsid w:val="00807F44"/>
    <w:rsid w:val="00873017"/>
    <w:rsid w:val="008909EE"/>
    <w:rsid w:val="0091117B"/>
    <w:rsid w:val="009361AE"/>
    <w:rsid w:val="0099174B"/>
    <w:rsid w:val="009B04E1"/>
    <w:rsid w:val="009D5028"/>
    <w:rsid w:val="00A07F42"/>
    <w:rsid w:val="00A16315"/>
    <w:rsid w:val="00A30B3C"/>
    <w:rsid w:val="00A610A5"/>
    <w:rsid w:val="00AB793F"/>
    <w:rsid w:val="00B723BE"/>
    <w:rsid w:val="00B82705"/>
    <w:rsid w:val="00C05332"/>
    <w:rsid w:val="00C060A8"/>
    <w:rsid w:val="00C14187"/>
    <w:rsid w:val="00C22632"/>
    <w:rsid w:val="00C27D57"/>
    <w:rsid w:val="00C82CBA"/>
    <w:rsid w:val="00C95DEA"/>
    <w:rsid w:val="00CD2E7E"/>
    <w:rsid w:val="00CE1C84"/>
    <w:rsid w:val="00CE578E"/>
    <w:rsid w:val="00CF3E6E"/>
    <w:rsid w:val="00D16CB5"/>
    <w:rsid w:val="00D1798B"/>
    <w:rsid w:val="00D47DAB"/>
    <w:rsid w:val="00D5115F"/>
    <w:rsid w:val="00D51C26"/>
    <w:rsid w:val="00D72DE1"/>
    <w:rsid w:val="00D818B8"/>
    <w:rsid w:val="00D8667C"/>
    <w:rsid w:val="00D86AB9"/>
    <w:rsid w:val="00DF5910"/>
    <w:rsid w:val="00E075A9"/>
    <w:rsid w:val="00E45E0D"/>
    <w:rsid w:val="00EA7D4F"/>
    <w:rsid w:val="00EB16F7"/>
    <w:rsid w:val="00EC504C"/>
    <w:rsid w:val="00EF63CB"/>
    <w:rsid w:val="00F40510"/>
    <w:rsid w:val="00F44BBC"/>
    <w:rsid w:val="00F949A4"/>
    <w:rsid w:val="00F95B59"/>
    <w:rsid w:val="00FC1FCE"/>
    <w:rsid w:val="00FE3007"/>
    <w:rsid w:val="00FE4BD6"/>
    <w:rsid w:val="00FE7615"/>
    <w:rsid w:val="00FF277C"/>
    <w:rsid w:val="00FF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E921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normaltextrun">
    <w:name w:val="normaltextrun"/>
    <w:rsid w:val="00E45E0D"/>
  </w:style>
  <w:style w:type="paragraph" w:styleId="BodyTextIndent">
    <w:name w:val="Body Text Indent"/>
    <w:basedOn w:val="Normal"/>
    <w:link w:val="BodyTextIndentChar"/>
    <w:uiPriority w:val="99"/>
    <w:unhideWhenUsed/>
    <w:rsid w:val="009361AE"/>
    <w:pPr>
      <w:tabs>
        <w:tab w:val="left" w:pos="1800"/>
      </w:tabs>
      <w:ind w:left="1800" w:hanging="1800"/>
    </w:pPr>
    <w:rPr>
      <w:noProof/>
    </w:rPr>
  </w:style>
  <w:style w:type="character" w:customStyle="1" w:styleId="BodyTextIndentChar">
    <w:name w:val="Body Text Indent Char"/>
    <w:basedOn w:val="DefaultParagraphFont"/>
    <w:link w:val="BodyTextIndent"/>
    <w:uiPriority w:val="99"/>
    <w:rsid w:val="009361AE"/>
    <w:rPr>
      <w:rFonts w:ascii="Arial" w:eastAsia="Times New Roman" w:hAnsi="Arial" w:cs="Times New Roman"/>
      <w:noProof/>
      <w:sz w:val="24"/>
      <w:szCs w:val="24"/>
    </w:rPr>
  </w:style>
  <w:style w:type="character" w:styleId="CommentReference">
    <w:name w:val="annotation reference"/>
    <w:basedOn w:val="DefaultParagraphFont"/>
    <w:uiPriority w:val="99"/>
    <w:semiHidden/>
    <w:unhideWhenUsed/>
    <w:rsid w:val="006A6053"/>
    <w:rPr>
      <w:sz w:val="16"/>
      <w:szCs w:val="16"/>
    </w:rPr>
  </w:style>
  <w:style w:type="paragraph" w:styleId="CommentText">
    <w:name w:val="annotation text"/>
    <w:basedOn w:val="Normal"/>
    <w:link w:val="CommentTextChar"/>
    <w:uiPriority w:val="99"/>
    <w:unhideWhenUsed/>
    <w:rsid w:val="006A6053"/>
    <w:rPr>
      <w:sz w:val="20"/>
      <w:szCs w:val="20"/>
    </w:rPr>
  </w:style>
  <w:style w:type="character" w:customStyle="1" w:styleId="CommentTextChar">
    <w:name w:val="Comment Text Char"/>
    <w:basedOn w:val="DefaultParagraphFont"/>
    <w:link w:val="CommentText"/>
    <w:uiPriority w:val="99"/>
    <w:rsid w:val="006A605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060A8"/>
    <w:rPr>
      <w:b/>
      <w:bCs/>
    </w:rPr>
  </w:style>
  <w:style w:type="character" w:customStyle="1" w:styleId="CommentSubjectChar">
    <w:name w:val="Comment Subject Char"/>
    <w:basedOn w:val="CommentTextChar"/>
    <w:link w:val="CommentSubject"/>
    <w:uiPriority w:val="99"/>
    <w:semiHidden/>
    <w:rsid w:val="00C060A8"/>
    <w:rPr>
      <w:rFonts w:ascii="Arial" w:eastAsia="Times New Roman" w:hAnsi="Arial" w:cs="Times New Roman"/>
      <w:b/>
      <w:bCs/>
      <w:sz w:val="20"/>
      <w:szCs w:val="20"/>
    </w:rPr>
  </w:style>
  <w:style w:type="paragraph" w:styleId="Revision">
    <w:name w:val="Revision"/>
    <w:hidden/>
    <w:uiPriority w:val="99"/>
    <w:semiHidden/>
    <w:rsid w:val="00C060A8"/>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1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B3589-B20D-4CA7-B060-56BE64FC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Pages>
  <Words>822</Words>
  <Characters>4688</Characters>
  <DocSecurity>0</DocSecurity>
  <Lines>39</Lines>
  <Paragraphs>10</Paragraphs>
  <ScaleCrop>false</ScaleCrop>
  <HeadingPairs>
    <vt:vector size="2" baseType="variant">
      <vt:variant>
        <vt:lpstr>Title</vt:lpstr>
      </vt:variant>
      <vt:variant>
        <vt:i4>1</vt:i4>
      </vt:variant>
    </vt:vector>
  </HeadingPairs>
  <TitlesOfParts>
    <vt:vector size="1" baseType="lpstr">
      <vt:lpstr>SBE Agenda Item - Template</vt:lpstr>
    </vt:vector>
  </TitlesOfParts>
  <Company>California State Board of Education</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17 - Meeting Agendas (CA State Board of Education)</dc:title>
  <dc:subject>Request to approve revisions to the criteria and standards for local educational agency fiscal stability.</dc:subject>
  <cp:keywords/>
  <dc:description/>
  <cp:lastPrinted>2017-10-30T17:36:00Z</cp:lastPrinted>
  <dcterms:created xsi:type="dcterms:W3CDTF">2023-09-28T16:58:00Z</dcterms:created>
  <dcterms:modified xsi:type="dcterms:W3CDTF">2024-01-04T05:44:00Z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8ac05be35fb97ade7ef5768a62061cb1ccd33407694318b95fe5a5dd101162c3</vt:lpwstr>
  </property>
</Properties>
</file>