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5167FD" w14:textId="77777777" w:rsidR="006029FF" w:rsidRDefault="006029FF" w:rsidP="00996116">
      <w:pPr>
        <w:spacing w:after="240"/>
      </w:pPr>
    </w:p>
    <w:p w14:paraId="4232279F" w14:textId="77777777" w:rsidR="006E06C6" w:rsidRPr="00B548D2" w:rsidRDefault="00D5115F" w:rsidP="00996116">
      <w:pPr>
        <w:spacing w:after="240"/>
      </w:pPr>
      <w:r w:rsidRPr="00B548D2">
        <w:rPr>
          <w:noProof/>
          <w:lang w:eastAsia="ja-JP"/>
        </w:rPr>
        <w:drawing>
          <wp:inline distT="0" distB="0" distL="0" distR="0" wp14:anchorId="423228C7" wp14:editId="423228C8">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23227A0" w14:textId="77777777" w:rsidR="00B723BE" w:rsidRPr="00B548D2" w:rsidRDefault="00FC1FCE" w:rsidP="0042150F">
      <w:pPr>
        <w:jc w:val="right"/>
        <w:rPr>
          <w:rFonts w:cs="Arial"/>
        </w:rPr>
      </w:pPr>
      <w:r w:rsidRPr="00B548D2">
        <w:rPr>
          <w:rFonts w:cs="Arial"/>
        </w:rPr>
        <w:t>California Department of Education</w:t>
      </w:r>
    </w:p>
    <w:p w14:paraId="423227A1" w14:textId="77777777" w:rsidR="00B723BE" w:rsidRPr="00B548D2" w:rsidRDefault="00FC1FCE" w:rsidP="0042150F">
      <w:pPr>
        <w:jc w:val="right"/>
        <w:rPr>
          <w:rFonts w:cs="Arial"/>
        </w:rPr>
      </w:pPr>
      <w:r w:rsidRPr="00B548D2">
        <w:rPr>
          <w:rFonts w:cs="Arial"/>
        </w:rPr>
        <w:t>Executive Office</w:t>
      </w:r>
    </w:p>
    <w:p w14:paraId="423227A2" w14:textId="77777777" w:rsidR="002B4B14" w:rsidRPr="00B548D2" w:rsidRDefault="00692300" w:rsidP="0042150F">
      <w:pPr>
        <w:jc w:val="right"/>
        <w:rPr>
          <w:rFonts w:cs="Arial"/>
        </w:rPr>
      </w:pPr>
      <w:r w:rsidRPr="00B548D2">
        <w:rPr>
          <w:rFonts w:cs="Arial"/>
        </w:rPr>
        <w:t>SBE-00</w:t>
      </w:r>
      <w:r w:rsidR="000324AD" w:rsidRPr="00B548D2">
        <w:rPr>
          <w:rFonts w:cs="Arial"/>
        </w:rPr>
        <w:t>3</w:t>
      </w:r>
      <w:r w:rsidRPr="00B548D2">
        <w:rPr>
          <w:rFonts w:cs="Arial"/>
        </w:rPr>
        <w:t xml:space="preserve"> (REV. 1</w:t>
      </w:r>
      <w:r w:rsidR="00C27D57" w:rsidRPr="00B548D2">
        <w:rPr>
          <w:rFonts w:cs="Arial"/>
        </w:rPr>
        <w:t>1</w:t>
      </w:r>
      <w:r w:rsidRPr="00B548D2">
        <w:rPr>
          <w:rFonts w:cs="Arial"/>
        </w:rPr>
        <w:t>/2017</w:t>
      </w:r>
      <w:r w:rsidR="00FC1FCE" w:rsidRPr="00B548D2">
        <w:rPr>
          <w:rFonts w:cs="Arial"/>
        </w:rPr>
        <w:t>)</w:t>
      </w:r>
    </w:p>
    <w:p w14:paraId="423227A4" w14:textId="128AC936" w:rsidR="00B723BE" w:rsidRPr="00B548D2" w:rsidRDefault="64370FA4" w:rsidP="00332EE7">
      <w:pPr>
        <w:jc w:val="right"/>
        <w:rPr>
          <w:rFonts w:cs="Arial"/>
        </w:rPr>
        <w:sectPr w:rsidR="00B723BE" w:rsidRPr="00B548D2" w:rsidSect="005148EE">
          <w:headerReference w:type="default" r:id="rId12"/>
          <w:footerReference w:type="default" r:id="rId13"/>
          <w:pgSz w:w="12240" w:h="15840"/>
          <w:pgMar w:top="720" w:right="1440" w:bottom="1440" w:left="1440" w:header="720" w:footer="720" w:gutter="0"/>
          <w:cols w:num="2" w:space="720"/>
          <w:titlePg/>
          <w:docGrid w:linePitch="360"/>
        </w:sectPr>
      </w:pPr>
      <w:r w:rsidRPr="00B548D2">
        <w:rPr>
          <w:rFonts w:cs="Arial"/>
        </w:rPr>
        <w:t>i</w:t>
      </w:r>
      <w:r w:rsidR="00E23745" w:rsidRPr="00B548D2">
        <w:rPr>
          <w:rFonts w:cs="Arial"/>
        </w:rPr>
        <w:t>t</w:t>
      </w:r>
      <w:r w:rsidRPr="00B548D2">
        <w:rPr>
          <w:rFonts w:cs="Arial"/>
        </w:rPr>
        <w:t>b</w:t>
      </w:r>
      <w:r w:rsidR="00820B71" w:rsidRPr="00B548D2">
        <w:rPr>
          <w:rFonts w:cs="Arial"/>
        </w:rPr>
        <w:t>-amard-</w:t>
      </w:r>
      <w:r w:rsidR="000269ED" w:rsidRPr="00B548D2">
        <w:rPr>
          <w:rFonts w:cs="Arial"/>
        </w:rPr>
        <w:t>jul</w:t>
      </w:r>
      <w:r w:rsidR="00552355" w:rsidRPr="00B548D2">
        <w:rPr>
          <w:rFonts w:cs="Arial"/>
        </w:rPr>
        <w:t>2</w:t>
      </w:r>
      <w:r w:rsidR="3BA0D518" w:rsidRPr="00B548D2">
        <w:rPr>
          <w:rFonts w:cs="Arial"/>
        </w:rPr>
        <w:t>4</w:t>
      </w:r>
      <w:r w:rsidR="00820B71" w:rsidRPr="00B548D2">
        <w:rPr>
          <w:rFonts w:cs="Arial"/>
        </w:rPr>
        <w:t>item</w:t>
      </w:r>
      <w:r w:rsidR="0779AEC6" w:rsidRPr="00B548D2">
        <w:rPr>
          <w:rFonts w:cs="Arial"/>
        </w:rPr>
        <w:t>01</w:t>
      </w:r>
    </w:p>
    <w:p w14:paraId="423227A5" w14:textId="77777777" w:rsidR="006E06C6" w:rsidRPr="00B548D2" w:rsidRDefault="006E06C6" w:rsidP="00996116">
      <w:pPr>
        <w:keepNext/>
        <w:keepLines/>
        <w:spacing w:before="120" w:after="240"/>
        <w:jc w:val="center"/>
        <w:outlineLvl w:val="0"/>
        <w:rPr>
          <w:b/>
          <w:sz w:val="40"/>
        </w:rPr>
        <w:sectPr w:rsidR="006E06C6" w:rsidRPr="00B548D2" w:rsidSect="005148EE">
          <w:footerReference w:type="default" r:id="rId14"/>
          <w:headerReference w:type="first" r:id="rId15"/>
          <w:footerReference w:type="first" r:id="rId16"/>
          <w:type w:val="continuous"/>
          <w:pgSz w:w="12240" w:h="15840"/>
          <w:pgMar w:top="720" w:right="1440" w:bottom="1440" w:left="1440" w:header="720" w:footer="720" w:gutter="0"/>
          <w:cols w:space="720"/>
          <w:docGrid w:linePitch="360"/>
        </w:sectPr>
      </w:pPr>
    </w:p>
    <w:p w14:paraId="78C7CC59" w14:textId="59D916ED" w:rsidR="000269ED" w:rsidRPr="00B548D2" w:rsidRDefault="000269ED" w:rsidP="000269ED">
      <w:pPr>
        <w:pStyle w:val="Heading1"/>
        <w:spacing w:after="0"/>
      </w:pPr>
      <w:r w:rsidRPr="00B548D2">
        <w:t>California State Board of Education</w:t>
      </w:r>
      <w:r w:rsidRPr="00B548D2">
        <w:br/>
        <w:t>July 2024 Agenda</w:t>
      </w:r>
      <w:r w:rsidRPr="00B548D2">
        <w:br/>
        <w:t>Item</w:t>
      </w:r>
      <w:r w:rsidRPr="00B548D2">
        <w:rPr>
          <w:b w:val="0"/>
        </w:rPr>
        <w:t xml:space="preserve"> </w:t>
      </w:r>
      <w:r w:rsidRPr="00B548D2">
        <w:rPr>
          <w:bCs/>
        </w:rPr>
        <w:t>#</w:t>
      </w:r>
      <w:r w:rsidR="00B548D2" w:rsidRPr="00B548D2">
        <w:rPr>
          <w:bCs/>
        </w:rPr>
        <w:t>02</w:t>
      </w:r>
    </w:p>
    <w:p w14:paraId="23F77768" w14:textId="77777777" w:rsidR="000269ED" w:rsidRPr="00B548D2" w:rsidRDefault="000269ED" w:rsidP="000269ED">
      <w:pPr>
        <w:pStyle w:val="Heading2"/>
        <w:rPr>
          <w:szCs w:val="36"/>
        </w:rPr>
      </w:pPr>
      <w:r w:rsidRPr="00B548D2">
        <w:rPr>
          <w:szCs w:val="36"/>
        </w:rPr>
        <w:t>Subject</w:t>
      </w:r>
    </w:p>
    <w:p w14:paraId="67AC9B08" w14:textId="77777777" w:rsidR="000269ED" w:rsidRPr="00B548D2" w:rsidRDefault="000269ED" w:rsidP="000269ED">
      <w:pPr>
        <w:spacing w:after="240"/>
      </w:pPr>
      <w:r w:rsidRPr="00B548D2">
        <w:t>Update on the Implementation of the Integrated Local, State, and Federal Accountability and Continuous Improvement System: Action to Implement the 2024 Accountability Workplan and Updates on Continuing Work for Future Dashboards.</w:t>
      </w:r>
    </w:p>
    <w:p w14:paraId="270235F3" w14:textId="380399DC" w:rsidR="00844B33" w:rsidRPr="00B548D2" w:rsidRDefault="00844B33" w:rsidP="00AD4E04">
      <w:pPr>
        <w:pStyle w:val="Heading2"/>
      </w:pPr>
      <w:r w:rsidRPr="00B548D2">
        <w:t xml:space="preserve">Type of Action: </w:t>
      </w:r>
    </w:p>
    <w:p w14:paraId="24A6C30A" w14:textId="0BD303FD" w:rsidR="00844B33" w:rsidRPr="00B548D2" w:rsidRDefault="00844B33" w:rsidP="00844B33">
      <w:r w:rsidRPr="00B548D2">
        <w:t>Action, Information</w:t>
      </w:r>
    </w:p>
    <w:p w14:paraId="056BF3AA" w14:textId="77777777" w:rsidR="00844B33" w:rsidRPr="00B548D2" w:rsidRDefault="00844B33" w:rsidP="00AD4E04"/>
    <w:p w14:paraId="63C48255" w14:textId="77777777" w:rsidR="000269ED" w:rsidRPr="00B548D2" w:rsidRDefault="000269ED" w:rsidP="000269ED">
      <w:pPr>
        <w:pStyle w:val="Heading2"/>
        <w:spacing w:before="0"/>
      </w:pPr>
      <w:r w:rsidRPr="00B548D2">
        <w:t>Summary of the Issue(s)</w:t>
      </w:r>
    </w:p>
    <w:p w14:paraId="04C8DD76" w14:textId="3CA653E9" w:rsidR="000269ED" w:rsidRPr="00B548D2" w:rsidRDefault="000269ED" w:rsidP="000269ED">
      <w:pPr>
        <w:spacing w:after="240"/>
        <w:rPr>
          <w:rFonts w:eastAsia="Arial" w:cs="Arial"/>
        </w:rPr>
      </w:pPr>
      <w:r w:rsidRPr="00B548D2">
        <w:rPr>
          <w:rFonts w:eastAsia="Arial" w:cs="Arial"/>
        </w:rPr>
        <w:t xml:space="preserve">This item is a follow up to the annual workplan that was presented to the State Board of Education (SBE) at their March 2024 meeting for consideration in the 2024 California School Dashboard (Dashboard). </w:t>
      </w:r>
      <w:r w:rsidRPr="00B548D2">
        <w:t xml:space="preserve">This item provides a recommendation for updates to the 2024 Dashboard which includes adding a science metric based on the science assessment data to the Dashboard, addressing transitional kindergarten and Long-Term English learner (LTEL) students on the Dashboard, releasing student level growth model data, continuing to monitor state level data within Priority 1, and incorporation of new requirements in the Differentiated Assistance eligibility criteria. </w:t>
      </w:r>
      <w:r w:rsidRPr="00B548D2">
        <w:rPr>
          <w:rFonts w:cs="Arial"/>
        </w:rPr>
        <w:t>Attachment 1 is an overview of the Accountability Workplan and Attachment 2 is an overview on the California School Dashboard Educational Outreach Activities.</w:t>
      </w:r>
    </w:p>
    <w:p w14:paraId="37088553" w14:textId="0C98E655" w:rsidR="000269ED" w:rsidRPr="00B548D2" w:rsidRDefault="000269ED" w:rsidP="6BAD8D24">
      <w:pPr>
        <w:spacing w:after="240"/>
        <w:rPr>
          <w:rFonts w:eastAsia="Arial" w:cs="Arial"/>
        </w:rPr>
      </w:pPr>
      <w:r w:rsidRPr="00B548D2">
        <w:rPr>
          <w:rFonts w:cs="Arial"/>
        </w:rPr>
        <w:t xml:space="preserve">Attachment 1 summarizes the progress made in preparation for the release of a </w:t>
      </w:r>
      <w:proofErr w:type="gramStart"/>
      <w:r w:rsidRPr="00B548D2">
        <w:rPr>
          <w:rFonts w:cs="Arial"/>
        </w:rPr>
        <w:t>Science</w:t>
      </w:r>
      <w:proofErr w:type="gramEnd"/>
      <w:r w:rsidRPr="00B548D2">
        <w:rPr>
          <w:rFonts w:cs="Arial"/>
        </w:rPr>
        <w:t xml:space="preserve"> </w:t>
      </w:r>
      <w:r w:rsidR="007C086B" w:rsidRPr="00B548D2">
        <w:rPr>
          <w:rFonts w:cs="Arial"/>
        </w:rPr>
        <w:t xml:space="preserve">metric </w:t>
      </w:r>
      <w:r w:rsidRPr="00B548D2">
        <w:rPr>
          <w:rFonts w:cs="Arial"/>
        </w:rPr>
        <w:t xml:space="preserve">on the 2024 Dashboard. Following the SBE March 2024 meeting, the CDE provided a timeline for the </w:t>
      </w:r>
      <w:r w:rsidR="006C2FCB" w:rsidRPr="00B548D2">
        <w:rPr>
          <w:rFonts w:cs="Arial"/>
        </w:rPr>
        <w:t xml:space="preserve">development of a </w:t>
      </w:r>
      <w:r w:rsidRPr="00B548D2">
        <w:rPr>
          <w:rFonts w:cs="Arial"/>
        </w:rPr>
        <w:t>Science Indicator</w:t>
      </w:r>
      <w:r w:rsidR="00844B33" w:rsidRPr="00B548D2">
        <w:rPr>
          <w:rFonts w:cs="Arial"/>
        </w:rPr>
        <w:t>. This timeline outlined the work to</w:t>
      </w:r>
      <w:r w:rsidRPr="00B548D2">
        <w:rPr>
          <w:rFonts w:cs="Arial"/>
        </w:rPr>
        <w:t xml:space="preserve"> creat</w:t>
      </w:r>
      <w:r w:rsidR="00844B33" w:rsidRPr="00B548D2">
        <w:rPr>
          <w:rFonts w:cs="Arial"/>
        </w:rPr>
        <w:t>e</w:t>
      </w:r>
      <w:r w:rsidRPr="00B548D2">
        <w:rPr>
          <w:rFonts w:cs="Arial"/>
        </w:rPr>
        <w:t xml:space="preserve"> a metric to measure science assessment performance on the Dashboard </w:t>
      </w:r>
      <w:proofErr w:type="gramStart"/>
      <w:r w:rsidR="002D76FD" w:rsidRPr="00B548D2">
        <w:rPr>
          <w:rFonts w:cs="Arial"/>
        </w:rPr>
        <w:t xml:space="preserve">in order </w:t>
      </w:r>
      <w:r w:rsidRPr="00B548D2">
        <w:rPr>
          <w:rFonts w:cs="Arial"/>
        </w:rPr>
        <w:t>to</w:t>
      </w:r>
      <w:proofErr w:type="gramEnd"/>
      <w:r w:rsidRPr="00B548D2">
        <w:rPr>
          <w:rFonts w:cs="Arial"/>
        </w:rPr>
        <w:t xml:space="preserve"> present</w:t>
      </w:r>
      <w:r w:rsidR="00AD4E04" w:rsidRPr="00B548D2">
        <w:rPr>
          <w:rFonts w:cs="Arial"/>
        </w:rPr>
        <w:t xml:space="preserve"> </w:t>
      </w:r>
      <w:r w:rsidR="002D76FD" w:rsidRPr="00B548D2">
        <w:rPr>
          <w:rFonts w:cs="Arial"/>
        </w:rPr>
        <w:t xml:space="preserve">the metric </w:t>
      </w:r>
      <w:r w:rsidRPr="00B548D2">
        <w:rPr>
          <w:rFonts w:cs="Arial"/>
        </w:rPr>
        <w:t xml:space="preserve">to the SBE in July 2025 for approval. </w:t>
      </w:r>
      <w:r w:rsidR="002D76FD" w:rsidRPr="00B548D2">
        <w:rPr>
          <w:rFonts w:cs="Arial"/>
        </w:rPr>
        <w:t>Attachment 1</w:t>
      </w:r>
      <w:r w:rsidR="2F4D4633" w:rsidRPr="00B548D2">
        <w:rPr>
          <w:rFonts w:cs="Arial"/>
        </w:rPr>
        <w:t xml:space="preserve"> also shares the criteria for the proposed Local Control Funding Formula (LCFF) support identification criteria </w:t>
      </w:r>
      <w:r w:rsidR="34BBE2C0" w:rsidRPr="00B548D2">
        <w:rPr>
          <w:rFonts w:cs="Arial"/>
        </w:rPr>
        <w:t>for the 2024 Dashboard.</w:t>
      </w:r>
      <w:r w:rsidR="2F4D4633" w:rsidRPr="00B548D2">
        <w:rPr>
          <w:rFonts w:cs="Arial"/>
        </w:rPr>
        <w:t xml:space="preserve"> </w:t>
      </w:r>
      <w:r w:rsidRPr="00B548D2">
        <w:rPr>
          <w:rFonts w:cs="Arial"/>
        </w:rPr>
        <w:t>Additionally</w:t>
      </w:r>
      <w:r w:rsidRPr="00B548D2">
        <w:rPr>
          <w:rFonts w:eastAsia="Arial" w:cs="Arial"/>
        </w:rPr>
        <w:t>,</w:t>
      </w:r>
      <w:r w:rsidR="2AA81976" w:rsidRPr="00B548D2">
        <w:rPr>
          <w:rFonts w:eastAsia="Arial" w:cs="Arial"/>
        </w:rPr>
        <w:t xml:space="preserve"> information </w:t>
      </w:r>
      <w:r w:rsidR="2DC8756B" w:rsidRPr="00B548D2">
        <w:rPr>
          <w:rFonts w:eastAsia="Arial" w:cs="Arial"/>
        </w:rPr>
        <w:t>is provided on the work CDE has done to operationali</w:t>
      </w:r>
      <w:r w:rsidR="2F5E49C1" w:rsidRPr="00B548D2">
        <w:rPr>
          <w:rFonts w:eastAsia="Arial" w:cs="Arial"/>
        </w:rPr>
        <w:t>ze</w:t>
      </w:r>
      <w:r w:rsidR="2DC8756B" w:rsidRPr="00B548D2">
        <w:rPr>
          <w:rFonts w:eastAsia="Arial" w:cs="Arial"/>
        </w:rPr>
        <w:t xml:space="preserve"> the LTEL student group</w:t>
      </w:r>
      <w:r w:rsidR="160B53BE" w:rsidRPr="00B548D2">
        <w:rPr>
          <w:rFonts w:eastAsia="Arial" w:cs="Arial"/>
        </w:rPr>
        <w:t xml:space="preserve"> and how </w:t>
      </w:r>
      <w:r w:rsidR="160B53BE" w:rsidRPr="00B548D2">
        <w:rPr>
          <w:rFonts w:eastAsia="Arial" w:cs="Arial"/>
        </w:rPr>
        <w:lastRenderedPageBreak/>
        <w:t>it is preparing to identify schools for federal support for Targeted Support and Improvement (TSI).</w:t>
      </w:r>
    </w:p>
    <w:p w14:paraId="28E49E88" w14:textId="0F94213B" w:rsidR="000269ED" w:rsidRPr="00B548D2" w:rsidRDefault="00E46013" w:rsidP="000269ED">
      <w:pPr>
        <w:spacing w:after="240"/>
        <w:rPr>
          <w:rFonts w:eastAsia="Arial" w:cs="Arial"/>
        </w:rPr>
      </w:pPr>
      <w:r w:rsidRPr="00B548D2">
        <w:rPr>
          <w:rFonts w:eastAsia="Arial" w:cs="Arial"/>
        </w:rPr>
        <w:t>Attachment 2 is an overview o</w:t>
      </w:r>
      <w:r w:rsidR="0008058C" w:rsidRPr="00B548D2">
        <w:rPr>
          <w:rFonts w:eastAsia="Arial" w:cs="Arial"/>
        </w:rPr>
        <w:t>f</w:t>
      </w:r>
      <w:r w:rsidRPr="00B548D2">
        <w:rPr>
          <w:rFonts w:eastAsia="Arial" w:cs="Arial"/>
        </w:rPr>
        <w:t xml:space="preserve"> the outreach activities completed to date in support of the Dashboard.</w:t>
      </w:r>
    </w:p>
    <w:p w14:paraId="65A296C1" w14:textId="77777777" w:rsidR="000269ED" w:rsidRPr="00B548D2" w:rsidRDefault="000269ED" w:rsidP="000269ED">
      <w:pPr>
        <w:pStyle w:val="Heading3"/>
      </w:pPr>
      <w:r w:rsidRPr="00B548D2">
        <w:t>Recommendation</w:t>
      </w:r>
    </w:p>
    <w:p w14:paraId="0DD5411B" w14:textId="2B164EA2" w:rsidR="00B261C5" w:rsidRPr="00B548D2" w:rsidRDefault="000269ED" w:rsidP="000269ED">
      <w:pPr>
        <w:spacing w:after="240"/>
      </w:pPr>
      <w:r w:rsidRPr="00B548D2">
        <w:t xml:space="preserve">The CDE recommends that the SBE </w:t>
      </w:r>
      <w:r w:rsidR="00B261C5" w:rsidRPr="00B548D2">
        <w:t xml:space="preserve">adopt a </w:t>
      </w:r>
      <w:r w:rsidR="00F24154" w:rsidRPr="00B548D2">
        <w:t xml:space="preserve">unit of measurement for the </w:t>
      </w:r>
      <w:r w:rsidR="00B261C5" w:rsidRPr="00B548D2">
        <w:t>science</w:t>
      </w:r>
      <w:r w:rsidR="00F24154" w:rsidRPr="00B548D2">
        <w:t xml:space="preserve"> indicator, decide how to combine </w:t>
      </w:r>
      <w:r w:rsidR="00B261C5" w:rsidRPr="00B548D2">
        <w:t>high school</w:t>
      </w:r>
      <w:r w:rsidR="00F24154" w:rsidRPr="00B548D2">
        <w:t xml:space="preserve"> scores for the science indicator,</w:t>
      </w:r>
      <w:r w:rsidR="00B261C5" w:rsidRPr="00B548D2">
        <w:t xml:space="preserve"> and determine </w:t>
      </w:r>
      <w:r w:rsidR="005D710F" w:rsidRPr="00B548D2">
        <w:t>whether</w:t>
      </w:r>
      <w:r w:rsidR="00B261C5" w:rsidRPr="00B548D2">
        <w:t xml:space="preserve"> a participation rate will factor into the science indicator results. Below are the options for each of the decision points related to the science indicator. </w:t>
      </w:r>
    </w:p>
    <w:p w14:paraId="38667E66" w14:textId="56E0F4A2" w:rsidR="00B261C5" w:rsidRPr="00B548D2" w:rsidRDefault="00F24154" w:rsidP="00843539">
      <w:pPr>
        <w:spacing w:after="240"/>
        <w:ind w:left="720"/>
        <w:rPr>
          <w:b/>
          <w:bCs/>
        </w:rPr>
      </w:pPr>
      <w:r w:rsidRPr="00B548D2">
        <w:rPr>
          <w:b/>
          <w:bCs/>
        </w:rPr>
        <w:t>Unit of Measurement</w:t>
      </w:r>
      <w:r w:rsidR="00B261C5" w:rsidRPr="00B548D2">
        <w:rPr>
          <w:b/>
          <w:bCs/>
        </w:rPr>
        <w:t xml:space="preserve">: </w:t>
      </w:r>
    </w:p>
    <w:p w14:paraId="15E457BA" w14:textId="7E83A375" w:rsidR="00B261C5" w:rsidRPr="00B548D2" w:rsidRDefault="00B261C5" w:rsidP="00843539">
      <w:pPr>
        <w:spacing w:after="240"/>
        <w:ind w:left="720"/>
      </w:pPr>
      <w:r w:rsidRPr="00B548D2">
        <w:t xml:space="preserve">Option 1: </w:t>
      </w:r>
      <w:r w:rsidR="007824F0" w:rsidRPr="00B548D2">
        <w:t>Distance from Standard</w:t>
      </w:r>
      <w:r w:rsidRPr="00B548D2">
        <w:t xml:space="preserve"> methodology</w:t>
      </w:r>
      <w:r w:rsidR="005D710F" w:rsidRPr="00B548D2">
        <w:t>; or</w:t>
      </w:r>
    </w:p>
    <w:p w14:paraId="73BD4096" w14:textId="77777777" w:rsidR="00B261C5" w:rsidRPr="00B548D2" w:rsidRDefault="00B261C5" w:rsidP="00843539">
      <w:pPr>
        <w:spacing w:after="240"/>
        <w:ind w:left="720"/>
      </w:pPr>
      <w:r w:rsidRPr="00B548D2">
        <w:t xml:space="preserve">Option 2: </w:t>
      </w:r>
      <w:r w:rsidR="007824F0" w:rsidRPr="00B548D2">
        <w:t>Percent Met/Exceeds Standard</w:t>
      </w:r>
      <w:r w:rsidR="000269ED" w:rsidRPr="00B548D2">
        <w:t xml:space="preserve"> methodology</w:t>
      </w:r>
    </w:p>
    <w:p w14:paraId="0A6362DE" w14:textId="7A16B02C" w:rsidR="00B261C5" w:rsidRPr="00B548D2" w:rsidRDefault="00F24154" w:rsidP="00843539">
      <w:pPr>
        <w:spacing w:after="240"/>
        <w:ind w:left="720"/>
        <w:rPr>
          <w:b/>
          <w:bCs/>
        </w:rPr>
      </w:pPr>
      <w:r w:rsidRPr="00B548D2">
        <w:rPr>
          <w:b/>
          <w:bCs/>
        </w:rPr>
        <w:t xml:space="preserve">Combining </w:t>
      </w:r>
      <w:r w:rsidR="008A27F3" w:rsidRPr="00B548D2">
        <w:rPr>
          <w:b/>
          <w:bCs/>
        </w:rPr>
        <w:t>high school</w:t>
      </w:r>
      <w:r w:rsidRPr="00B548D2">
        <w:rPr>
          <w:b/>
          <w:bCs/>
        </w:rPr>
        <w:t xml:space="preserve"> scores</w:t>
      </w:r>
      <w:r w:rsidR="00B261C5" w:rsidRPr="00B548D2">
        <w:rPr>
          <w:b/>
          <w:bCs/>
        </w:rPr>
        <w:t xml:space="preserve">: </w:t>
      </w:r>
    </w:p>
    <w:p w14:paraId="670F5107" w14:textId="4038AEF2" w:rsidR="00B261C5" w:rsidRPr="00B548D2" w:rsidRDefault="00B261C5" w:rsidP="00843539">
      <w:pPr>
        <w:spacing w:after="240"/>
        <w:ind w:left="720"/>
      </w:pPr>
      <w:r w:rsidRPr="00B548D2">
        <w:t xml:space="preserve">Option 1: report high school </w:t>
      </w:r>
      <w:r w:rsidR="008A27F3" w:rsidRPr="00B548D2">
        <w:t>results in the current year</w:t>
      </w:r>
      <w:r w:rsidR="005D710F" w:rsidRPr="00B548D2">
        <w:t>; or</w:t>
      </w:r>
    </w:p>
    <w:p w14:paraId="0E9A74F3" w14:textId="5A0189AD" w:rsidR="00B261C5" w:rsidRPr="00B548D2" w:rsidRDefault="00B261C5" w:rsidP="00843539">
      <w:pPr>
        <w:spacing w:after="240"/>
        <w:ind w:left="720"/>
      </w:pPr>
      <w:r w:rsidRPr="00B548D2">
        <w:t xml:space="preserve">Option 2: report high school results </w:t>
      </w:r>
      <w:r w:rsidR="008A27F3" w:rsidRPr="00B548D2">
        <w:t>cumulative</w:t>
      </w:r>
      <w:r w:rsidR="004A2E5D" w:rsidRPr="00B548D2">
        <w:t>ly</w:t>
      </w:r>
    </w:p>
    <w:p w14:paraId="145A211B" w14:textId="1B3AB068" w:rsidR="005D710F" w:rsidRPr="00B548D2" w:rsidRDefault="00B261C5" w:rsidP="00843539">
      <w:pPr>
        <w:spacing w:after="240"/>
        <w:ind w:left="720"/>
        <w:rPr>
          <w:b/>
          <w:bCs/>
        </w:rPr>
      </w:pPr>
      <w:r w:rsidRPr="00B548D2">
        <w:rPr>
          <w:b/>
          <w:bCs/>
        </w:rPr>
        <w:t xml:space="preserve">Participation Rate: </w:t>
      </w:r>
    </w:p>
    <w:p w14:paraId="0A7568C1" w14:textId="16CFCB99" w:rsidR="005D710F" w:rsidRPr="00B548D2" w:rsidRDefault="005D710F" w:rsidP="00843539">
      <w:pPr>
        <w:spacing w:after="240"/>
        <w:ind w:left="720"/>
      </w:pPr>
      <w:r w:rsidRPr="00B548D2">
        <w:t xml:space="preserve">Option 1: </w:t>
      </w:r>
      <w:r w:rsidR="00B261C5" w:rsidRPr="00B548D2">
        <w:t>include</w:t>
      </w:r>
      <w:r w:rsidRPr="00B548D2">
        <w:t xml:space="preserve"> a participation rate within the metric; or</w:t>
      </w:r>
    </w:p>
    <w:p w14:paraId="72E982AA" w14:textId="37F5A385" w:rsidR="005D710F" w:rsidRPr="00B548D2" w:rsidRDefault="005D710F" w:rsidP="00843539">
      <w:pPr>
        <w:spacing w:after="240"/>
        <w:ind w:left="720"/>
      </w:pPr>
      <w:r w:rsidRPr="00B548D2">
        <w:t xml:space="preserve">Option 2: </w:t>
      </w:r>
      <w:r w:rsidR="008A27F3" w:rsidRPr="00B548D2">
        <w:t>exclude a participation rate within the metric</w:t>
      </w:r>
    </w:p>
    <w:p w14:paraId="6E0FC1A5" w14:textId="689AFCA8" w:rsidR="000269ED" w:rsidRPr="00B548D2" w:rsidRDefault="005D710F" w:rsidP="000269ED">
      <w:pPr>
        <w:spacing w:after="240"/>
      </w:pPr>
      <w:r w:rsidRPr="00B548D2">
        <w:t xml:space="preserve">Additionally, CDE recommends that the SBE adopt the eligibility criteria for the Local Control Funding Formula (LCFF) support determinations for the 2024 Dashboard.  </w:t>
      </w:r>
    </w:p>
    <w:p w14:paraId="1864847A" w14:textId="37224940" w:rsidR="000269ED" w:rsidRPr="00B548D2" w:rsidRDefault="000269ED" w:rsidP="000269ED">
      <w:pPr>
        <w:pStyle w:val="Heading2"/>
        <w:spacing w:before="0"/>
      </w:pPr>
      <w:r w:rsidRPr="00B548D2">
        <w:t>Summary of Previous State Board of Education Discussion and Action</w:t>
      </w:r>
    </w:p>
    <w:p w14:paraId="633AE980" w14:textId="77777777" w:rsidR="000269ED" w:rsidRPr="00B548D2" w:rsidRDefault="000269ED" w:rsidP="00657555">
      <w:pPr>
        <w:pStyle w:val="Heading3"/>
      </w:pPr>
      <w:r w:rsidRPr="00B548D2">
        <w:t>California Science Test Results</w:t>
      </w:r>
    </w:p>
    <w:p w14:paraId="661CC1A5" w14:textId="6C36FA0B" w:rsidR="000269ED" w:rsidRPr="00B548D2" w:rsidRDefault="000269ED" w:rsidP="000269ED">
      <w:pPr>
        <w:spacing w:after="240"/>
        <w:rPr>
          <w:rFonts w:eastAsia="Arial" w:cs="Arial"/>
          <w:u w:val="single"/>
        </w:rPr>
      </w:pPr>
      <w:r w:rsidRPr="00B548D2">
        <w:rPr>
          <w:rFonts w:eastAsia="Arial" w:cs="Arial"/>
        </w:rPr>
        <w:t>In March 2016, the SBE approved a design for the LCFF evaluation rubrics that includes the following key indicators: (i) student test scores on English Language Arts and Math, including a measure of individual student growth, and results on the Next Generation Science Standards (NGSS) assessment, (ii) progress of ELs toward English language proficiency; (iii) high school graduation rate; and (iv) measures of student engagement, including suspension rates by grade span and chronic absence. (</w:t>
      </w:r>
      <w:hyperlink r:id="rId17" w:tooltip="In March 2016 SBE approved design for the LCFF evaluation rubrics">
        <w:r w:rsidRPr="00B548D2">
          <w:rPr>
            <w:rFonts w:eastAsia="Arial" w:cs="Arial"/>
            <w:color w:val="0000FF"/>
            <w:u w:val="single"/>
          </w:rPr>
          <w:t>https://www.cde.ca.gov/be/ag/ag/yr16/documents/may16item02.doc</w:t>
        </w:r>
      </w:hyperlink>
      <w:r w:rsidRPr="00B548D2">
        <w:rPr>
          <w:rFonts w:eastAsia="Arial" w:cs="Arial"/>
        </w:rPr>
        <w:t>).</w:t>
      </w:r>
    </w:p>
    <w:p w14:paraId="783DB13A" w14:textId="27EE45A0" w:rsidR="000269ED" w:rsidRPr="00B548D2" w:rsidRDefault="000269ED" w:rsidP="000269ED">
      <w:pPr>
        <w:spacing w:after="240"/>
        <w:rPr>
          <w:rFonts w:eastAsia="Arial" w:cs="Arial"/>
          <w:u w:val="single"/>
        </w:rPr>
      </w:pPr>
      <w:r w:rsidRPr="00B548D2">
        <w:rPr>
          <w:rFonts w:eastAsia="Calibri" w:cs="Arial"/>
        </w:rPr>
        <w:lastRenderedPageBreak/>
        <w:t>In March 2020, the SBE received the annual Dashboard update, which included potential revisions that the CDE was considering for the Dashboard beyond 2020, including the inclusion of the science assessment results</w:t>
      </w:r>
      <w:r w:rsidR="3F306784" w:rsidRPr="00B548D2">
        <w:rPr>
          <w:rFonts w:eastAsia="Calibri" w:cs="Arial"/>
        </w:rPr>
        <w:t>.</w:t>
      </w:r>
      <w:r w:rsidRPr="00B548D2">
        <w:rPr>
          <w:rFonts w:eastAsia="Calibri" w:cs="Arial"/>
        </w:rPr>
        <w:t xml:space="preserve"> (</w:t>
      </w:r>
      <w:hyperlink r:id="rId18" w:tooltip="In March 2020 the SBE received the annual Dashboard update">
        <w:r w:rsidRPr="00B548D2">
          <w:rPr>
            <w:rFonts w:eastAsia="Arial" w:cs="Arial"/>
            <w:color w:val="0000FF"/>
            <w:u w:val="single"/>
          </w:rPr>
          <w:t>https://www.cde.ca.gov/be/ag/ag/yr20/documents/mar20item05.docx</w:t>
        </w:r>
      </w:hyperlink>
      <w:r w:rsidRPr="00B548D2">
        <w:rPr>
          <w:rFonts w:eastAsia="Arial" w:cs="Arial"/>
        </w:rPr>
        <w:t>).</w:t>
      </w:r>
    </w:p>
    <w:p w14:paraId="1AED4DD0" w14:textId="77777777" w:rsidR="000C20C6" w:rsidRPr="00B548D2" w:rsidRDefault="000269ED" w:rsidP="000C20C6">
      <w:pPr>
        <w:rPr>
          <w:rFonts w:eastAsia="Calibri" w:cs="Arial"/>
        </w:rPr>
      </w:pPr>
      <w:r w:rsidRPr="00B548D2">
        <w:rPr>
          <w:rFonts w:eastAsia="Calibri" w:cs="Arial"/>
        </w:rPr>
        <w:t>In March 2022, the CDE provided an update on the feasibility of when the science results could be incorporated into the Dashboard given the low participation on the science test during 2020–21, the use of the revised blueprint for the 2021–22 administration of the California Science Test (CAST), and the gaps in implementing the science instructional materials due to the challenges that schools faced because of COVID-19</w:t>
      </w:r>
      <w:r w:rsidR="2C59993F" w:rsidRPr="00B548D2">
        <w:rPr>
          <w:rFonts w:eastAsia="Calibri" w:cs="Arial"/>
        </w:rPr>
        <w:t>.</w:t>
      </w:r>
    </w:p>
    <w:p w14:paraId="71C4F98D" w14:textId="5F742F92" w:rsidR="000269ED" w:rsidRPr="00B548D2" w:rsidRDefault="000269ED" w:rsidP="000269ED">
      <w:pPr>
        <w:spacing w:after="240"/>
        <w:rPr>
          <w:rFonts w:eastAsia="Calibri" w:cs="Arial"/>
        </w:rPr>
      </w:pPr>
      <w:r w:rsidRPr="00B548D2">
        <w:rPr>
          <w:rFonts w:eastAsia="Calibri" w:cs="Arial"/>
        </w:rPr>
        <w:t>(</w:t>
      </w:r>
      <w:hyperlink r:id="rId19" w:tooltip="In March 2022 the CDE provided an update on the feasibility of when the science results could be incorporated into the Dashboard">
        <w:r w:rsidRPr="00B548D2">
          <w:rPr>
            <w:rFonts w:eastAsia="Arial" w:cs="Arial"/>
            <w:color w:val="0000FF"/>
            <w:u w:val="single"/>
          </w:rPr>
          <w:t>https://www.cde.ca.gov/be/ag/ag/yr22/documents/mar22item04.docx</w:t>
        </w:r>
      </w:hyperlink>
      <w:r w:rsidRPr="00B548D2">
        <w:rPr>
          <w:rFonts w:eastAsia="Calibri" w:cs="Arial"/>
        </w:rPr>
        <w:t>).</w:t>
      </w:r>
    </w:p>
    <w:p w14:paraId="2CA67D40" w14:textId="32A8744E" w:rsidR="000269ED" w:rsidRPr="00B548D2" w:rsidRDefault="000269ED" w:rsidP="000C20C6">
      <w:pPr>
        <w:spacing w:after="240"/>
        <w:rPr>
          <w:rFonts w:eastAsia="Calibri" w:cs="Arial"/>
        </w:rPr>
      </w:pPr>
      <w:r w:rsidRPr="00B548D2">
        <w:rPr>
          <w:rFonts w:eastAsiaTheme="minorEastAsia" w:cs="Arial"/>
        </w:rPr>
        <w:t>In March 2023, the CDE recommended providing a link to each school/LEA’s CAASPP science results. With two years of results from the 2021–22 and 2022–23 CAST assessments based on the revised blueprint, the CDE provided an update on the use of these results for accountability purposes and options toward inclusion of this test on the Dashboard</w:t>
      </w:r>
      <w:r w:rsidR="18323FAA" w:rsidRPr="00B548D2">
        <w:rPr>
          <w:rFonts w:eastAsiaTheme="minorEastAsia" w:cs="Arial"/>
        </w:rPr>
        <w:t>.</w:t>
      </w:r>
      <w:r w:rsidRPr="00B548D2">
        <w:rPr>
          <w:rFonts w:eastAsia="Calibri" w:cs="Arial"/>
        </w:rPr>
        <w:t>(</w:t>
      </w:r>
      <w:hyperlink r:id="rId20" w:tooltip="In March 2023 the CDE recommended providing a link to each school/LEA’s CAASPP science results">
        <w:r w:rsidRPr="00B548D2">
          <w:rPr>
            <w:rFonts w:eastAsia="Calibri" w:cs="Arial"/>
            <w:color w:val="0000FF"/>
            <w:u w:val="single"/>
          </w:rPr>
          <w:t>https://www.cde.ca.gov/be/ag/ag/yr23/documents/mar23item03.docx</w:t>
        </w:r>
      </w:hyperlink>
      <w:r w:rsidRPr="00B548D2">
        <w:rPr>
          <w:rFonts w:eastAsia="Calibri" w:cs="Arial"/>
        </w:rPr>
        <w:t>).</w:t>
      </w:r>
    </w:p>
    <w:p w14:paraId="34AEE1DD" w14:textId="505B95A7" w:rsidR="006C5003" w:rsidRPr="00B548D2" w:rsidRDefault="00872521" w:rsidP="000C20C6">
      <w:pPr>
        <w:spacing w:after="240"/>
        <w:rPr>
          <w:rFonts w:eastAsia="Calibri" w:cs="Arial"/>
        </w:rPr>
      </w:pPr>
      <w:r w:rsidRPr="00B548D2">
        <w:rPr>
          <w:rFonts w:eastAsia="Calibri" w:cs="Arial"/>
        </w:rPr>
        <w:t xml:space="preserve">In March 2024, </w:t>
      </w:r>
      <w:r w:rsidR="000E676E" w:rsidRPr="00B548D2">
        <w:rPr>
          <w:rFonts w:eastAsia="Calibri" w:cs="Arial"/>
        </w:rPr>
        <w:t>The CDE provided the SBE with a timeline for</w:t>
      </w:r>
      <w:r w:rsidR="00F35069" w:rsidRPr="00B548D2">
        <w:rPr>
          <w:rFonts w:eastAsia="Calibri" w:cs="Arial"/>
        </w:rPr>
        <w:t xml:space="preserve"> a workplan for</w:t>
      </w:r>
      <w:r w:rsidR="000E676E" w:rsidRPr="00B548D2">
        <w:rPr>
          <w:rFonts w:eastAsia="Calibri" w:cs="Arial"/>
        </w:rPr>
        <w:t xml:space="preserve"> the Science Indicator </w:t>
      </w:r>
      <w:r w:rsidR="00DF222D" w:rsidRPr="00B548D2">
        <w:rPr>
          <w:rFonts w:eastAsia="Calibri" w:cs="Arial"/>
        </w:rPr>
        <w:t xml:space="preserve">which </w:t>
      </w:r>
      <w:r w:rsidR="000E676E" w:rsidRPr="00B548D2">
        <w:rPr>
          <w:rFonts w:eastAsia="Calibri" w:cs="Arial"/>
        </w:rPr>
        <w:t>includ</w:t>
      </w:r>
      <w:r w:rsidR="00DF222D" w:rsidRPr="00B548D2">
        <w:rPr>
          <w:rFonts w:eastAsia="Calibri" w:cs="Arial"/>
        </w:rPr>
        <w:t>es</w:t>
      </w:r>
      <w:r w:rsidR="000E676E" w:rsidRPr="00B548D2">
        <w:rPr>
          <w:rFonts w:eastAsia="Calibri" w:cs="Arial"/>
        </w:rPr>
        <w:t xml:space="preserve"> six individual decision points</w:t>
      </w:r>
      <w:r w:rsidR="00EC79F8" w:rsidRPr="00B548D2">
        <w:rPr>
          <w:rFonts w:eastAsia="Calibri" w:cs="Arial"/>
        </w:rPr>
        <w:t>. The workplan</w:t>
      </w:r>
      <w:r w:rsidR="000E676E" w:rsidRPr="00B548D2">
        <w:rPr>
          <w:rFonts w:eastAsia="Calibri" w:cs="Arial"/>
        </w:rPr>
        <w:t xml:space="preserve"> will be operationalized and brought </w:t>
      </w:r>
      <w:r w:rsidR="00F3486E" w:rsidRPr="00B548D2">
        <w:rPr>
          <w:rFonts w:eastAsia="Calibri" w:cs="Arial"/>
        </w:rPr>
        <w:t xml:space="preserve">to the SBE </w:t>
      </w:r>
      <w:r w:rsidR="009D1162" w:rsidRPr="00B548D2">
        <w:rPr>
          <w:rFonts w:eastAsia="Calibri" w:cs="Arial"/>
        </w:rPr>
        <w:t xml:space="preserve">in stages </w:t>
      </w:r>
      <w:r w:rsidR="000E676E" w:rsidRPr="00B548D2">
        <w:rPr>
          <w:rFonts w:eastAsia="Calibri" w:cs="Arial"/>
        </w:rPr>
        <w:t>for approval</w:t>
      </w:r>
      <w:r w:rsidR="009D1162" w:rsidRPr="00B548D2">
        <w:rPr>
          <w:rFonts w:eastAsia="Calibri" w:cs="Arial"/>
        </w:rPr>
        <w:t>s</w:t>
      </w:r>
      <w:r w:rsidR="000E676E" w:rsidRPr="00B548D2">
        <w:rPr>
          <w:rFonts w:eastAsia="Calibri" w:cs="Arial"/>
        </w:rPr>
        <w:t xml:space="preserve"> from February 2024 through July 2025.</w:t>
      </w:r>
      <w:r w:rsidR="000C20C6" w:rsidRPr="00B548D2">
        <w:rPr>
          <w:rFonts w:eastAsia="Calibri" w:cs="Arial"/>
        </w:rPr>
        <w:t xml:space="preserve"> </w:t>
      </w:r>
      <w:r w:rsidR="00F36135" w:rsidRPr="00B548D2">
        <w:rPr>
          <w:rFonts w:eastAsia="Calibri" w:cs="Arial"/>
        </w:rPr>
        <w:t>(</w:t>
      </w:r>
      <w:hyperlink r:id="rId21" w:tooltip="In March 2024 the CDE provided the SBE with a timeline for a workplan for the Science Indicator" w:history="1">
        <w:r w:rsidR="006C5003" w:rsidRPr="00B548D2">
          <w:rPr>
            <w:rStyle w:val="Hyperlink"/>
            <w:rFonts w:eastAsia="Calibri" w:cs="Arial"/>
          </w:rPr>
          <w:t>https://www.cde.ca.gov/be/ag/ag/yr24/documents/mar24item02.docx</w:t>
        </w:r>
      </w:hyperlink>
      <w:r w:rsidR="00767E6A" w:rsidRPr="00B548D2">
        <w:rPr>
          <w:rFonts w:eastAsia="Calibri" w:cs="Arial"/>
        </w:rPr>
        <w:t>)</w:t>
      </w:r>
    </w:p>
    <w:p w14:paraId="0A1FD0CD" w14:textId="77777777" w:rsidR="000269ED" w:rsidRPr="00B548D2" w:rsidRDefault="000269ED" w:rsidP="000269ED">
      <w:pPr>
        <w:pStyle w:val="Heading3"/>
        <w:rPr>
          <w:szCs w:val="32"/>
        </w:rPr>
      </w:pPr>
      <w:r w:rsidRPr="00B548D2">
        <w:rPr>
          <w:szCs w:val="32"/>
        </w:rPr>
        <w:t>Long Term English Learners</w:t>
      </w:r>
    </w:p>
    <w:p w14:paraId="019A0611" w14:textId="59AA3EB4" w:rsidR="000269ED" w:rsidRPr="00B548D2" w:rsidRDefault="000269ED" w:rsidP="000269ED">
      <w:pPr>
        <w:spacing w:after="240"/>
        <w:rPr>
          <w:rFonts w:eastAsia="Arial" w:cs="Arial"/>
          <w:color w:val="000000" w:themeColor="text1"/>
        </w:rPr>
      </w:pPr>
      <w:r w:rsidRPr="00B548D2">
        <w:rPr>
          <w:rFonts w:eastAsia="Arial" w:cs="Arial"/>
          <w:color w:val="000000" w:themeColor="text1"/>
        </w:rPr>
        <w:t>In May 2016, the SBE approved a proposed design of the Local Control Funding Formula (LCFF) Evaluation Rubrics to include a state level indicator which measures English learner (EL) progress. The SBE directed the CDE staff to provide options for incorporating a composite measure of EL proficiency, including EL proficiency rates, reclassification rates, and long-term English learner (LTEL) rates into the LCFF Evaluation Rubrics (</w:t>
      </w:r>
      <w:hyperlink r:id="rId22" w:tooltip="In May 2016 the SBE approved a proposed design of the Local Control Funding Formula Evaluation Rubrics">
        <w:r w:rsidRPr="00B548D2">
          <w:rPr>
            <w:rStyle w:val="Hyperlink"/>
            <w:rFonts w:eastAsia="Arial" w:cs="Arial"/>
          </w:rPr>
          <w:t>https://www.cde.ca.gov/be/ag/ag/yr16/documents/may16item02.doc</w:t>
        </w:r>
      </w:hyperlink>
      <w:r w:rsidRPr="00B548D2">
        <w:rPr>
          <w:rFonts w:eastAsia="Arial" w:cs="Arial"/>
          <w:color w:val="000000" w:themeColor="text1"/>
        </w:rPr>
        <w:t>).</w:t>
      </w:r>
    </w:p>
    <w:p w14:paraId="0CE7797E" w14:textId="379B0B2C" w:rsidR="000269ED" w:rsidRPr="00B548D2" w:rsidRDefault="000269ED" w:rsidP="000269ED">
      <w:pPr>
        <w:spacing w:after="240"/>
        <w:rPr>
          <w:rFonts w:eastAsia="Arial" w:cs="Arial"/>
          <w:color w:val="000000" w:themeColor="text1"/>
        </w:rPr>
      </w:pPr>
      <w:r w:rsidRPr="00B548D2">
        <w:rPr>
          <w:rFonts w:eastAsia="Arial" w:cs="Arial"/>
          <w:color w:val="000000" w:themeColor="text1"/>
        </w:rPr>
        <w:t>In June 2016, the SBE received an Information Memorandum showcasing options for a composite measure, including LTELs, for the English Learner Progress Indicator (ELPI) (</w:t>
      </w:r>
      <w:hyperlink r:id="rId23" w:tooltip="In June 2016 the SBE received an Information Memorandum showcasing options for a composite measure">
        <w:r w:rsidRPr="00B548D2">
          <w:rPr>
            <w:rStyle w:val="Hyperlink"/>
            <w:rFonts w:eastAsia="Arial" w:cs="Arial"/>
          </w:rPr>
          <w:t>https://www.cde.ca.gov/be/pn/im/documents/memo-sbe-jun16item01.doc</w:t>
        </w:r>
      </w:hyperlink>
      <w:r w:rsidRPr="00B548D2">
        <w:rPr>
          <w:rFonts w:eastAsia="Arial" w:cs="Arial"/>
          <w:color w:val="000000" w:themeColor="text1"/>
        </w:rPr>
        <w:t>).</w:t>
      </w:r>
    </w:p>
    <w:p w14:paraId="272C9CE9" w14:textId="025A4C7E" w:rsidR="000269ED" w:rsidRPr="00B548D2" w:rsidRDefault="000269ED" w:rsidP="000269ED">
      <w:pPr>
        <w:spacing w:after="240"/>
        <w:rPr>
          <w:rFonts w:eastAsia="Arial" w:cs="Arial"/>
          <w:color w:val="000000" w:themeColor="text1"/>
        </w:rPr>
      </w:pPr>
      <w:r w:rsidRPr="00B548D2">
        <w:rPr>
          <w:rFonts w:eastAsia="Arial" w:cs="Arial"/>
          <w:color w:val="000000" w:themeColor="text1"/>
        </w:rPr>
        <w:t>In July 2016, the SBE approved the CDE to convene a Workgroup of practitioners and technical experts, in partnership with the California Comprehensive Center (CA CC) at WestEd, to explore the possible inclusion of LTEL data into the ELPI. Additionally, the CDE presented options for incorporating EL proficiency rates and reclassification rates for the ELPI to the SBE (</w:t>
      </w:r>
      <w:hyperlink r:id="rId24" w:tooltip="In July 2016 the SBE approved the CDE to convene a Workgroup to explore the possible inclusion of LTEL data into the ELPI">
        <w:r w:rsidRPr="00B548D2">
          <w:rPr>
            <w:rStyle w:val="Hyperlink"/>
            <w:rFonts w:eastAsia="Arial" w:cs="Arial"/>
          </w:rPr>
          <w:t>http://www.cde.ca.gov/be/ag/ag/yr16/documents/jul16item02.doc</w:t>
        </w:r>
      </w:hyperlink>
      <w:r w:rsidRPr="00B548D2">
        <w:rPr>
          <w:rFonts w:eastAsia="Arial" w:cs="Arial"/>
          <w:color w:val="000000" w:themeColor="text1"/>
        </w:rPr>
        <w:t>).</w:t>
      </w:r>
    </w:p>
    <w:p w14:paraId="758C5638" w14:textId="2F61B72F" w:rsidR="000269ED" w:rsidRPr="00B548D2" w:rsidRDefault="000269ED" w:rsidP="000269ED">
      <w:pPr>
        <w:spacing w:after="240"/>
        <w:rPr>
          <w:rFonts w:eastAsia="Arial" w:cs="Arial"/>
          <w:color w:val="000000" w:themeColor="text1"/>
        </w:rPr>
      </w:pPr>
      <w:r w:rsidRPr="00B548D2">
        <w:rPr>
          <w:rFonts w:eastAsia="Arial" w:cs="Arial"/>
          <w:color w:val="000000" w:themeColor="text1"/>
        </w:rPr>
        <w:lastRenderedPageBreak/>
        <w:t>In October 2016, the SBE received an Information Memorandum with an overview of the ELPI Workgroup’s role and responsibilities (</w:t>
      </w:r>
      <w:hyperlink r:id="rId25" w:tooltip="In October 2016 the SBE received an Information Memorandum with an overview of the ELPI Workgroup’s role and responsibilities">
        <w:r w:rsidRPr="00B548D2">
          <w:rPr>
            <w:rStyle w:val="Hyperlink"/>
            <w:rFonts w:eastAsia="Arial" w:cs="Arial"/>
          </w:rPr>
          <w:t>https://www.cde.ca.gov/be/pn/im/documents/memo-dsib-amard-oct16item02.doc</w:t>
        </w:r>
      </w:hyperlink>
      <w:r w:rsidRPr="00B548D2">
        <w:rPr>
          <w:rFonts w:eastAsia="Arial" w:cs="Arial"/>
          <w:color w:val="000000" w:themeColor="text1"/>
        </w:rPr>
        <w:t>).</w:t>
      </w:r>
    </w:p>
    <w:p w14:paraId="23D4940D" w14:textId="75234F20" w:rsidR="000269ED" w:rsidRPr="00B548D2" w:rsidRDefault="000269ED" w:rsidP="000269ED">
      <w:pPr>
        <w:spacing w:after="240"/>
        <w:rPr>
          <w:rFonts w:eastAsia="Arial" w:cs="Arial"/>
          <w:color w:val="000000" w:themeColor="text1"/>
        </w:rPr>
      </w:pPr>
      <w:r w:rsidRPr="00B548D2">
        <w:rPr>
          <w:rFonts w:eastAsia="Arial" w:cs="Arial"/>
          <w:color w:val="000000" w:themeColor="text1"/>
        </w:rPr>
        <w:t xml:space="preserve">In November 2016, January 2017, and March 2017, SBE received updates on the ELPI Workgroup and the Technical Design Group (TDG) activities regarding the incorporation of LTELs into the ELPI </w:t>
      </w:r>
      <w:r w:rsidRPr="00B548D2">
        <w:rPr>
          <w:rStyle w:val="Hyperlink"/>
          <w:rFonts w:eastAsia="Arial" w:cs="Arial"/>
        </w:rPr>
        <w:t>(</w:t>
      </w:r>
      <w:hyperlink r:id="rId26" w:tooltip="November 2016 SBE received updates on the ELPI Workgroup and the Technical Design Group activities regarding the incorporation of LTELs into the ELPI">
        <w:r w:rsidRPr="00B548D2">
          <w:rPr>
            <w:rStyle w:val="Hyperlink"/>
            <w:rFonts w:eastAsia="Arial" w:cs="Arial"/>
          </w:rPr>
          <w:t>https://www.cde.ca.gov/be/ag/ag/yr16/documents/nov16item03.doc</w:t>
        </w:r>
      </w:hyperlink>
      <w:r w:rsidRPr="00B548D2">
        <w:rPr>
          <w:rFonts w:eastAsia="Arial" w:cs="Arial"/>
          <w:color w:val="000000" w:themeColor="text1"/>
        </w:rPr>
        <w:t>)</w:t>
      </w:r>
      <w:r w:rsidRPr="00B548D2">
        <w:rPr>
          <w:rStyle w:val="Hyperlink"/>
          <w:rFonts w:eastAsia="Arial" w:cs="Arial"/>
        </w:rPr>
        <w:t xml:space="preserve"> </w:t>
      </w:r>
      <w:r w:rsidRPr="00B548D2">
        <w:rPr>
          <w:rFonts w:eastAsia="Arial" w:cs="Arial"/>
          <w:color w:val="000000" w:themeColor="text1"/>
        </w:rPr>
        <w:t>(</w:t>
      </w:r>
      <w:hyperlink r:id="rId27" w:tooltip="January 2017 SBE received updates on the ELPI Workgroup and the Technical Design Group activities regarding the incorporation of LTELs into the ELPI">
        <w:r w:rsidRPr="00B548D2">
          <w:rPr>
            <w:rStyle w:val="Hyperlink"/>
            <w:rFonts w:eastAsia="Arial" w:cs="Arial"/>
          </w:rPr>
          <w:t>https://www.cde.ca.gov/be/ag/ag/yr17/documents/jan17item02.doc</w:t>
        </w:r>
      </w:hyperlink>
      <w:r w:rsidRPr="00B548D2">
        <w:rPr>
          <w:rFonts w:eastAsia="Arial" w:cs="Arial"/>
          <w:color w:val="000000" w:themeColor="text1"/>
        </w:rPr>
        <w:t>) (</w:t>
      </w:r>
      <w:hyperlink r:id="rId28" w:tooltip="March 2017 SBE received updates on the ELPI Workgroup and the Technical Design Group activities regarding the incorporation of LTELs into the ELPI">
        <w:r w:rsidRPr="00B548D2">
          <w:rPr>
            <w:rStyle w:val="Hyperlink"/>
            <w:rFonts w:eastAsia="Arial" w:cs="Arial"/>
          </w:rPr>
          <w:t>https://www.cde.ca.gov/be/ag/ag/yr17/documents/mar17item02.doc</w:t>
        </w:r>
      </w:hyperlink>
      <w:r w:rsidRPr="00B548D2">
        <w:rPr>
          <w:rFonts w:eastAsia="Arial" w:cs="Arial"/>
          <w:color w:val="000000" w:themeColor="text1"/>
        </w:rPr>
        <w:t>)</w:t>
      </w:r>
    </w:p>
    <w:p w14:paraId="2D406F98" w14:textId="59112FA6" w:rsidR="000269ED" w:rsidRPr="00B548D2" w:rsidRDefault="000269ED" w:rsidP="000269ED">
      <w:pPr>
        <w:spacing w:after="240"/>
        <w:rPr>
          <w:rFonts w:eastAsia="Arial" w:cs="Arial"/>
          <w:color w:val="000000" w:themeColor="text1"/>
        </w:rPr>
      </w:pPr>
      <w:r w:rsidRPr="00B548D2">
        <w:rPr>
          <w:rStyle w:val="eop"/>
          <w:rFonts w:eastAsia="Arial" w:cs="Arial"/>
          <w:color w:val="000000" w:themeColor="text1"/>
        </w:rPr>
        <w:t>In September 2017, the SBE adopted the Inclusion of LTEL students in the ELPI through a revised ELPI formula to include LTEL’s in its numerator (</w:t>
      </w:r>
      <w:hyperlink r:id="rId29" w:tooltip="In September 2017 the SBE adopted the Inclusion of LTEL students in the ELPI through a revised ELPI formula">
        <w:r w:rsidRPr="00B548D2">
          <w:rPr>
            <w:rStyle w:val="Hyperlink"/>
            <w:rFonts w:eastAsia="Arial" w:cs="Arial"/>
          </w:rPr>
          <w:t>https://www.cde.ca.gov/be/ag/ag/yr17/documents/sep17item02.doc</w:t>
        </w:r>
      </w:hyperlink>
      <w:r w:rsidRPr="00B548D2">
        <w:rPr>
          <w:rFonts w:eastAsia="Arial" w:cs="Arial"/>
          <w:color w:val="000000" w:themeColor="text1"/>
        </w:rPr>
        <w:t>).</w:t>
      </w:r>
    </w:p>
    <w:p w14:paraId="1C05EEE4" w14:textId="2E3F2B77" w:rsidR="000269ED" w:rsidRPr="00B548D2" w:rsidRDefault="000269ED" w:rsidP="000269ED">
      <w:pPr>
        <w:spacing w:after="240"/>
        <w:rPr>
          <w:rFonts w:eastAsia="Arial" w:cs="Arial"/>
          <w:color w:val="000000" w:themeColor="text1"/>
        </w:rPr>
      </w:pPr>
      <w:r w:rsidRPr="00B548D2">
        <w:rPr>
          <w:rFonts w:eastAsia="Arial" w:cs="Arial"/>
          <w:color w:val="000000" w:themeColor="text1"/>
        </w:rPr>
        <w:t xml:space="preserve">In April 2017, the SBE received an Information Memorandum discussing ELPI and a way to increase incentive for LTEL performance improvement by adding extra credit to the performance of LTEL students in the CELDT </w:t>
      </w:r>
      <w:r w:rsidRPr="00B548D2">
        <w:rPr>
          <w:rFonts w:eastAsia="Arial" w:cs="Arial"/>
          <w:color w:val="000000" w:themeColor="text1"/>
          <w:u w:val="single"/>
        </w:rPr>
        <w:t>(</w:t>
      </w:r>
      <w:hyperlink r:id="rId30" w:tooltip="In April 2017 the SBE received an Information Memorandum discussing ELPI and a way to increase incentive for LTEL performance">
        <w:r w:rsidRPr="00B548D2">
          <w:rPr>
            <w:rStyle w:val="Hyperlink"/>
            <w:rFonts w:eastAsia="Arial" w:cs="Arial"/>
          </w:rPr>
          <w:t>https://www.cde.ca.gov/be/pn/im/documents/memo-dsib-amard-apr17item01.doc</w:t>
        </w:r>
      </w:hyperlink>
      <w:r w:rsidRPr="00B548D2">
        <w:rPr>
          <w:rFonts w:eastAsia="Arial" w:cs="Arial"/>
          <w:color w:val="000000" w:themeColor="text1"/>
          <w:u w:val="single"/>
        </w:rPr>
        <w:t>)</w:t>
      </w:r>
      <w:r w:rsidRPr="00B548D2">
        <w:rPr>
          <w:rFonts w:eastAsia="Arial" w:cs="Arial"/>
          <w:color w:val="000000" w:themeColor="text1"/>
        </w:rPr>
        <w:t>.</w:t>
      </w:r>
    </w:p>
    <w:p w14:paraId="2AAA5E0C" w14:textId="44906C2D" w:rsidR="000269ED" w:rsidRPr="00B548D2" w:rsidRDefault="000269ED" w:rsidP="000269ED">
      <w:pPr>
        <w:spacing w:after="240"/>
        <w:rPr>
          <w:rFonts w:eastAsia="Arial" w:cs="Arial"/>
          <w:color w:val="000000" w:themeColor="text1"/>
        </w:rPr>
      </w:pPr>
      <w:r w:rsidRPr="00B548D2">
        <w:rPr>
          <w:rFonts w:eastAsia="Arial" w:cs="Arial"/>
          <w:color w:val="000000" w:themeColor="text1"/>
        </w:rPr>
        <w:t>In April 2018, the SBE directed the CDE to request an ESSA waiver from the U.S. Department of Education (ED) regarding the inclusion of RFEPs and LTELs in the ELPI (</w:t>
      </w:r>
      <w:hyperlink r:id="rId31" w:tooltip="In April 2018 the SBE directed the CDE to request an ESSA waiver from the U.S. Department of Education">
        <w:r w:rsidRPr="00B548D2">
          <w:rPr>
            <w:rStyle w:val="Hyperlink"/>
            <w:rFonts w:eastAsia="Arial" w:cs="Arial"/>
          </w:rPr>
          <w:t>https://www.cde.ca.gov/be/ag/ag/yr18/documents/apr18item01.docx</w:t>
        </w:r>
      </w:hyperlink>
      <w:r w:rsidRPr="00B548D2">
        <w:rPr>
          <w:rFonts w:eastAsia="Arial" w:cs="Arial"/>
          <w:color w:val="000000" w:themeColor="text1"/>
        </w:rPr>
        <w:t>).</w:t>
      </w:r>
    </w:p>
    <w:p w14:paraId="64E6B532" w14:textId="79F023B5" w:rsidR="000269ED" w:rsidRPr="00B548D2" w:rsidRDefault="000269ED" w:rsidP="000269ED">
      <w:pPr>
        <w:spacing w:after="240"/>
        <w:rPr>
          <w:rFonts w:eastAsia="Arial" w:cs="Arial"/>
          <w:color w:val="000000" w:themeColor="text1"/>
        </w:rPr>
      </w:pPr>
      <w:r w:rsidRPr="00B548D2">
        <w:rPr>
          <w:rFonts w:eastAsia="Arial" w:cs="Arial"/>
          <w:color w:val="000000" w:themeColor="text1"/>
        </w:rPr>
        <w:t xml:space="preserve">In April 2019, the SBE received an Information Memorandum about a final determination of a disapproval letter from the </w:t>
      </w:r>
      <w:r w:rsidRPr="00B548D2">
        <w:rPr>
          <w:rFonts w:eastAsia="Calibri" w:cs="Arial"/>
          <w:color w:val="000000" w:themeColor="text1"/>
        </w:rPr>
        <w:t>ED</w:t>
      </w:r>
      <w:r w:rsidRPr="00B548D2">
        <w:rPr>
          <w:rFonts w:eastAsia="Arial" w:cs="Arial"/>
          <w:color w:val="000000" w:themeColor="text1"/>
        </w:rPr>
        <w:t xml:space="preserve"> related to California’s request for a waiver to allow an additional weight in the ELPI calculation for LTELs who advanced at least one level on California’s English Proficiency assessment (</w:t>
      </w:r>
      <w:hyperlink r:id="rId32" w:tooltip="In April 2019 the SBE received an Information Memorandum about a final determination of a disapproval letter from the ED">
        <w:r w:rsidRPr="00B548D2">
          <w:rPr>
            <w:rStyle w:val="Hyperlink"/>
            <w:rFonts w:eastAsia="Arial" w:cs="Arial"/>
          </w:rPr>
          <w:t>https://www.cde.ca.gov/be/pn/im/documents/memo-gad-lao-apr19item02.docx</w:t>
        </w:r>
      </w:hyperlink>
      <w:r w:rsidRPr="00B548D2">
        <w:rPr>
          <w:rFonts w:eastAsia="Arial" w:cs="Arial"/>
          <w:color w:val="000000" w:themeColor="text1"/>
        </w:rPr>
        <w:t>).</w:t>
      </w:r>
    </w:p>
    <w:p w14:paraId="01C219E8" w14:textId="77777777" w:rsidR="000269ED" w:rsidRPr="00B548D2" w:rsidRDefault="000269ED" w:rsidP="000269ED">
      <w:pPr>
        <w:rPr>
          <w:rFonts w:eastAsia="Arial" w:cs="Arial"/>
          <w:color w:val="000000" w:themeColor="text1"/>
        </w:rPr>
      </w:pPr>
      <w:r w:rsidRPr="00B548D2">
        <w:rPr>
          <w:rFonts w:eastAsia="Arial" w:cs="Arial"/>
          <w:color w:val="000000" w:themeColor="text1"/>
        </w:rPr>
        <w:t xml:space="preserve">In July 2019, the CDE determined that after convening with the ELPI Workgroup on May 20, 2019, members agreed that the CDE had exhausted all available options </w:t>
      </w:r>
      <w:proofErr w:type="gramStart"/>
      <w:r w:rsidRPr="00B548D2">
        <w:rPr>
          <w:rFonts w:eastAsia="Arial" w:cs="Arial"/>
          <w:color w:val="000000" w:themeColor="text1"/>
        </w:rPr>
        <w:t>in an attempt to</w:t>
      </w:r>
      <w:proofErr w:type="gramEnd"/>
      <w:r w:rsidRPr="00B548D2">
        <w:rPr>
          <w:rFonts w:eastAsia="Arial" w:cs="Arial"/>
          <w:color w:val="000000" w:themeColor="text1"/>
        </w:rPr>
        <w:t xml:space="preserve"> include RFEP and LTEL students into the final ELPI </w:t>
      </w:r>
    </w:p>
    <w:p w14:paraId="0E688B7D" w14:textId="30FF559F" w:rsidR="000269ED" w:rsidRPr="00B548D2" w:rsidRDefault="000269ED" w:rsidP="000269ED">
      <w:pPr>
        <w:spacing w:after="240"/>
        <w:rPr>
          <w:rFonts w:eastAsia="Arial" w:cs="Arial"/>
          <w:color w:val="000000" w:themeColor="text1"/>
        </w:rPr>
      </w:pPr>
      <w:r w:rsidRPr="00B548D2">
        <w:rPr>
          <w:rFonts w:eastAsia="Arial" w:cs="Arial"/>
          <w:color w:val="000000" w:themeColor="text1"/>
        </w:rPr>
        <w:t>(</w:t>
      </w:r>
      <w:hyperlink r:id="rId33" w:tooltip="In July 2019 the CDE members agreed that the CDE had exhausted all options in an attempt to include RFEP and LTEL students into the final ELPI">
        <w:r w:rsidRPr="00B548D2">
          <w:rPr>
            <w:rStyle w:val="Hyperlink"/>
            <w:rFonts w:eastAsia="Arial" w:cs="Arial"/>
          </w:rPr>
          <w:t>https://www.cde.ca.gov/be/ag/ag/yr19/documents/jul19item01.docx</w:t>
        </w:r>
      </w:hyperlink>
      <w:r w:rsidRPr="00B548D2">
        <w:rPr>
          <w:rFonts w:eastAsia="Arial" w:cs="Arial"/>
          <w:color w:val="000000" w:themeColor="text1"/>
        </w:rPr>
        <w:t>).</w:t>
      </w:r>
    </w:p>
    <w:p w14:paraId="5BBBE259" w14:textId="66956CC1" w:rsidR="000269ED" w:rsidRPr="00B548D2" w:rsidRDefault="000269ED" w:rsidP="000269ED">
      <w:pPr>
        <w:spacing w:after="240"/>
        <w:rPr>
          <w:rFonts w:eastAsia="Arial" w:cs="Arial"/>
          <w:color w:val="000000" w:themeColor="text1"/>
        </w:rPr>
      </w:pPr>
      <w:r w:rsidRPr="00B548D2">
        <w:rPr>
          <w:rFonts w:eastAsia="Arial" w:cs="Arial"/>
          <w:color w:val="000000" w:themeColor="text1"/>
        </w:rPr>
        <w:t>In September 2023, the SBE approved the 2023 workplan for the ELPI. The CDE discusses the waiver rejection by the U.S. Department of Education (ED) in which LTEL bonus criteria could not be included in the ELPI in subsequent years (</w:t>
      </w:r>
      <w:hyperlink r:id="rId34" w:tooltip="In September 2023 the SBE approved the 2023 workplan for the ELPI">
        <w:r w:rsidRPr="00B548D2">
          <w:rPr>
            <w:rStyle w:val="Hyperlink"/>
            <w:rFonts w:eastAsia="Arial" w:cs="Arial"/>
          </w:rPr>
          <w:t>https://www.cde.ca.gov/be/ag/ag/yr23/documents/sep23item02.docx</w:t>
        </w:r>
      </w:hyperlink>
      <w:r w:rsidRPr="00B548D2">
        <w:rPr>
          <w:rFonts w:eastAsia="Arial" w:cs="Arial"/>
          <w:color w:val="000000" w:themeColor="text1"/>
        </w:rPr>
        <w:t>).</w:t>
      </w:r>
    </w:p>
    <w:p w14:paraId="51E75A0E" w14:textId="71100795" w:rsidR="000269ED" w:rsidRPr="00B548D2" w:rsidRDefault="000269ED" w:rsidP="000269ED">
      <w:pPr>
        <w:spacing w:after="240"/>
        <w:rPr>
          <w:rFonts w:eastAsia="Arial" w:cs="Arial"/>
          <w:color w:val="000000" w:themeColor="text1"/>
        </w:rPr>
      </w:pPr>
      <w:r w:rsidRPr="00B548D2">
        <w:rPr>
          <w:rFonts w:eastAsia="Arial" w:cs="Arial"/>
          <w:color w:val="000000" w:themeColor="text1"/>
        </w:rPr>
        <w:t>In December 2023, the SBE received an Information Memorandum containing an introduction about LTELs, as a student population that will be a part of the 2024 Dashboard, along with policy considerations (</w:t>
      </w:r>
      <w:hyperlink r:id="rId35" w:tooltip="In December 2023 the SBE received an Information Memorandum containing an introduction about LTELs as a student population">
        <w:r w:rsidRPr="00B548D2">
          <w:rPr>
            <w:rStyle w:val="Hyperlink"/>
            <w:rFonts w:eastAsia="Arial" w:cs="Arial"/>
          </w:rPr>
          <w:t>https://www.cde.ca.gov/be/pn/im/documents/dec23memoamard01.docx</w:t>
        </w:r>
      </w:hyperlink>
      <w:r w:rsidRPr="00B548D2">
        <w:rPr>
          <w:rFonts w:eastAsia="Arial" w:cs="Arial"/>
          <w:color w:val="000000" w:themeColor="text1"/>
        </w:rPr>
        <w:t>).</w:t>
      </w:r>
    </w:p>
    <w:p w14:paraId="3376B03D" w14:textId="714EC139" w:rsidR="000269ED" w:rsidRPr="00B548D2" w:rsidRDefault="000269ED" w:rsidP="000269ED">
      <w:pPr>
        <w:rPr>
          <w:rFonts w:eastAsia="Arial" w:cs="Arial"/>
          <w:color w:val="000000" w:themeColor="text1"/>
        </w:rPr>
      </w:pPr>
      <w:r w:rsidRPr="00B548D2">
        <w:rPr>
          <w:rFonts w:eastAsia="Arial" w:cs="Arial"/>
          <w:color w:val="000000" w:themeColor="text1"/>
        </w:rPr>
        <w:t>In March 202</w:t>
      </w:r>
      <w:r w:rsidR="1FB4161B" w:rsidRPr="00B548D2">
        <w:rPr>
          <w:rFonts w:eastAsia="Arial" w:cs="Arial"/>
          <w:color w:val="000000" w:themeColor="text1"/>
        </w:rPr>
        <w:t>4</w:t>
      </w:r>
      <w:r w:rsidRPr="00B548D2">
        <w:rPr>
          <w:rFonts w:eastAsia="Arial" w:cs="Arial"/>
          <w:color w:val="000000" w:themeColor="text1"/>
        </w:rPr>
        <w:t xml:space="preserve">, the SBE received a workplan which operationalize the inclusion of the LTEL student group to be added across all indicators (Suspension Rate, Graduation </w:t>
      </w:r>
      <w:r w:rsidRPr="00B548D2">
        <w:rPr>
          <w:rFonts w:eastAsia="Arial" w:cs="Arial"/>
          <w:color w:val="000000" w:themeColor="text1"/>
        </w:rPr>
        <w:lastRenderedPageBreak/>
        <w:t>Rate, College/Career, Chronic Absenteeism and Academic Indicators) in the 2024 Dashboard</w:t>
      </w:r>
    </w:p>
    <w:p w14:paraId="6B53F63D" w14:textId="100E156C" w:rsidR="000269ED" w:rsidRPr="00B548D2" w:rsidRDefault="000269ED" w:rsidP="000269ED">
      <w:pPr>
        <w:spacing w:after="240"/>
        <w:rPr>
          <w:rFonts w:eastAsia="Arial"/>
          <w:color w:val="0000FF"/>
          <w:u w:val="single"/>
        </w:rPr>
      </w:pPr>
      <w:r w:rsidRPr="00B548D2">
        <w:rPr>
          <w:rFonts w:eastAsia="Arial" w:cs="Arial"/>
          <w:color w:val="000000" w:themeColor="text1"/>
        </w:rPr>
        <w:t>(</w:t>
      </w:r>
      <w:hyperlink r:id="rId36" w:tooltip="In March 2024 the SBE received a workplan which operationalize the inclusion of the LTEL student group" w:history="1">
        <w:r w:rsidRPr="00B548D2">
          <w:rPr>
            <w:rStyle w:val="Hyperlink"/>
            <w:rFonts w:eastAsia="Arial"/>
          </w:rPr>
          <w:t>https://www.cde.ca.gov/be/ag/ag/yr24/documents/mar24item02.docx</w:t>
        </w:r>
      </w:hyperlink>
      <w:r w:rsidRPr="00B548D2">
        <w:rPr>
          <w:rFonts w:eastAsia="Arial" w:cs="Arial"/>
          <w:color w:val="000000" w:themeColor="text1"/>
        </w:rPr>
        <w:t>)</w:t>
      </w:r>
    </w:p>
    <w:p w14:paraId="0F1A7973" w14:textId="77777777" w:rsidR="000269ED" w:rsidRPr="00B548D2" w:rsidRDefault="000269ED" w:rsidP="000269ED">
      <w:pPr>
        <w:keepNext/>
        <w:keepLines/>
        <w:spacing w:before="240" w:after="240"/>
        <w:outlineLvl w:val="2"/>
        <w:rPr>
          <w:rFonts w:eastAsiaTheme="majorEastAsia" w:cstheme="majorBidi"/>
          <w:b/>
          <w:sz w:val="32"/>
        </w:rPr>
      </w:pPr>
      <w:r w:rsidRPr="00B548D2">
        <w:rPr>
          <w:rFonts w:eastAsiaTheme="majorEastAsia" w:cstheme="majorBidi"/>
          <w:b/>
          <w:sz w:val="32"/>
        </w:rPr>
        <w:t>Student Growth Model</w:t>
      </w:r>
    </w:p>
    <w:p w14:paraId="05B1EADA" w14:textId="2648A7F2" w:rsidR="000269ED" w:rsidRPr="00B548D2" w:rsidRDefault="000269ED" w:rsidP="000269ED">
      <w:pPr>
        <w:spacing w:after="240"/>
        <w:rPr>
          <w:rFonts w:eastAsia="Calibri" w:cs="Arial"/>
        </w:rPr>
      </w:pPr>
      <w:r w:rsidRPr="00B548D2">
        <w:rPr>
          <w:rFonts w:eastAsia="Calibri" w:cs="Arial"/>
        </w:rPr>
        <w:t>In a June 2016 Information Memorandum, the CDE provided a progress update and clarified key issues related to the design of a school- and district-level accountability model, as opposed to reporting individual student-level growth and performance (</w:t>
      </w:r>
      <w:hyperlink r:id="rId37" w:tooltip="June 2016 SBE Item 01">
        <w:r w:rsidRPr="00B548D2">
          <w:rPr>
            <w:rFonts w:eastAsia="Calibri" w:cs="Arial"/>
            <w:color w:val="0000FF"/>
            <w:u w:val="single"/>
          </w:rPr>
          <w:t>https://www.cde.ca.gov/be/pn/im/documents/memo-dsib-amard-jun16item01.doc</w:t>
        </w:r>
      </w:hyperlink>
      <w:r w:rsidRPr="00B548D2">
        <w:rPr>
          <w:rFonts w:eastAsia="Calibri" w:cs="Arial"/>
        </w:rPr>
        <w:t>).</w:t>
      </w:r>
    </w:p>
    <w:p w14:paraId="158B57E8" w14:textId="77777777" w:rsidR="000269ED" w:rsidRPr="00B548D2" w:rsidRDefault="000269ED" w:rsidP="000269ED">
      <w:pPr>
        <w:spacing w:after="240"/>
        <w:rPr>
          <w:rFonts w:eastAsia="Calibri" w:cs="Arial"/>
        </w:rPr>
      </w:pPr>
      <w:r w:rsidRPr="00B548D2">
        <w:rPr>
          <w:rFonts w:eastAsia="Calibri" w:cs="Arial"/>
        </w:rPr>
        <w:t>In February 2016, the SBE received an Information Memorandum that provided an overview of student-level growth models that can be used to communicate Smarter Balanced Summative Assessment results  (</w:t>
      </w:r>
      <w:hyperlink r:id="rId38" w:tooltip="SBE, February 2016 Item 01">
        <w:r w:rsidRPr="00B548D2">
          <w:rPr>
            <w:rFonts w:eastAsia="Calibri" w:cs="Arial"/>
            <w:color w:val="0000FF"/>
            <w:u w:val="single"/>
          </w:rPr>
          <w:t>https://www.cde.ca.gov/be/pn/im/documents/memo-dsib-amard-feb16item01.doc</w:t>
        </w:r>
      </w:hyperlink>
      <w:r w:rsidRPr="00B548D2">
        <w:rPr>
          <w:rFonts w:eastAsia="Calibri" w:cs="Arial"/>
        </w:rPr>
        <w:t>).</w:t>
      </w:r>
    </w:p>
    <w:p w14:paraId="1DB8274A" w14:textId="77777777" w:rsidR="000269ED" w:rsidRPr="00B548D2" w:rsidRDefault="000269ED" w:rsidP="000269ED">
      <w:pPr>
        <w:spacing w:after="240"/>
        <w:rPr>
          <w:rFonts w:eastAsia="Calibri" w:cs="Arial"/>
        </w:rPr>
      </w:pPr>
      <w:r w:rsidRPr="00B548D2">
        <w:rPr>
          <w:rFonts w:eastAsia="Calibri" w:cs="Arial"/>
        </w:rPr>
        <w:t>In January 2017, the SBE discussed criteria for selecting a growth model used for school and district accountability (</w:t>
      </w:r>
      <w:hyperlink r:id="rId39" w:tooltip="SBE January 2017">
        <w:r w:rsidRPr="00B548D2">
          <w:rPr>
            <w:rFonts w:eastAsia="Calibri" w:cs="Arial"/>
            <w:color w:val="0000FF"/>
            <w:u w:val="single"/>
          </w:rPr>
          <w:t>https://www.cde.ca.gov/be/ag/ag/yr17/documents/jan17item02.doc</w:t>
        </w:r>
      </w:hyperlink>
      <w:r w:rsidRPr="00B548D2">
        <w:rPr>
          <w:rFonts w:eastAsia="Calibri" w:cs="Arial"/>
        </w:rPr>
        <w:t>).</w:t>
      </w:r>
    </w:p>
    <w:p w14:paraId="3CC80AB7" w14:textId="77777777" w:rsidR="000269ED" w:rsidRPr="00B548D2" w:rsidRDefault="000269ED" w:rsidP="000269ED">
      <w:pPr>
        <w:rPr>
          <w:rFonts w:eastAsia="Calibri" w:cs="Arial"/>
        </w:rPr>
      </w:pPr>
      <w:r w:rsidRPr="00B548D2">
        <w:rPr>
          <w:rFonts w:eastAsia="Calibri" w:cs="Arial"/>
        </w:rPr>
        <w:t>Following the SBE discussion in January 2017, the CDE further consulted with Educational Testing Service (ETS), the Technical Design Group, the California Assessment of Student Performance and Progress (CAASPP) Technical Advisory Group (TAG), and the Statewide Assessment Stakeholder Group, regarding potential growth models. Three models were selected for simulation. The discussion and recommendations of the groups were summarized and presented to the SBE in a June 2017 Information Memorandum</w:t>
      </w:r>
    </w:p>
    <w:p w14:paraId="614FD73C" w14:textId="77777777" w:rsidR="000269ED" w:rsidRPr="00B548D2" w:rsidRDefault="000269ED" w:rsidP="000269ED">
      <w:pPr>
        <w:spacing w:after="240"/>
        <w:rPr>
          <w:rFonts w:eastAsia="Calibri" w:cs="Arial"/>
        </w:rPr>
      </w:pPr>
      <w:r w:rsidRPr="00B548D2">
        <w:rPr>
          <w:rFonts w:eastAsia="Calibri" w:cs="Arial"/>
        </w:rPr>
        <w:t>(</w:t>
      </w:r>
      <w:hyperlink r:id="rId40" w:tooltip="SBE, June 2017 Item 03">
        <w:r w:rsidRPr="00B548D2">
          <w:rPr>
            <w:rFonts w:eastAsia="Calibri" w:cs="Arial"/>
            <w:color w:val="0000FF"/>
            <w:u w:val="single"/>
          </w:rPr>
          <w:t>https://www.cde.ca.gov/be/pn/im/documents/memo-asb-adad-jun17item03.doc</w:t>
        </w:r>
      </w:hyperlink>
      <w:r w:rsidRPr="00B548D2">
        <w:rPr>
          <w:rFonts w:eastAsia="Calibri" w:cs="Arial"/>
        </w:rPr>
        <w:t>).</w:t>
      </w:r>
    </w:p>
    <w:p w14:paraId="4F0100F2" w14:textId="4C5FC648" w:rsidR="000269ED" w:rsidRPr="00B548D2" w:rsidRDefault="000269ED" w:rsidP="000269ED">
      <w:pPr>
        <w:rPr>
          <w:rFonts w:eastAsia="Calibri" w:cs="Arial"/>
        </w:rPr>
      </w:pPr>
      <w:r w:rsidRPr="00B548D2">
        <w:rPr>
          <w:rFonts w:eastAsia="Calibri" w:cs="Arial"/>
        </w:rPr>
        <w:t>In February 2018, the SBE received an Information Memorandum with the results of the ETS Growth Study, which provided a statistical analysis of three proposed growth models</w:t>
      </w:r>
    </w:p>
    <w:p w14:paraId="748E302F" w14:textId="77777777" w:rsidR="000269ED" w:rsidRPr="00B548D2" w:rsidRDefault="000269ED" w:rsidP="000269ED">
      <w:pPr>
        <w:spacing w:after="240"/>
        <w:rPr>
          <w:rFonts w:eastAsia="Calibri" w:cs="Arial"/>
        </w:rPr>
      </w:pPr>
      <w:r w:rsidRPr="00B548D2">
        <w:rPr>
          <w:rFonts w:eastAsia="Calibri" w:cs="Arial"/>
        </w:rPr>
        <w:t>(</w:t>
      </w:r>
      <w:hyperlink r:id="rId41" w:tooltip="SBE, February 2018 Item 01">
        <w:r w:rsidRPr="00B548D2">
          <w:rPr>
            <w:rFonts w:cs="Arial"/>
            <w:color w:val="0000FF"/>
            <w:u w:val="single"/>
          </w:rPr>
          <w:t>https://www.cde.ca.gov/be/pn/im/documents/memo-pptb-amard-feb18item01.docx</w:t>
        </w:r>
      </w:hyperlink>
      <w:r w:rsidRPr="00B548D2">
        <w:rPr>
          <w:rFonts w:eastAsia="Calibri" w:cs="Arial"/>
        </w:rPr>
        <w:t>).</w:t>
      </w:r>
    </w:p>
    <w:p w14:paraId="0DDB66F9" w14:textId="77777777" w:rsidR="000269ED" w:rsidRPr="00B548D2" w:rsidRDefault="000269ED" w:rsidP="000269ED">
      <w:pPr>
        <w:spacing w:after="240"/>
        <w:rPr>
          <w:rFonts w:eastAsia="Calibri" w:cs="Arial"/>
        </w:rPr>
      </w:pPr>
      <w:r w:rsidRPr="00B548D2">
        <w:rPr>
          <w:rFonts w:eastAsia="Calibri" w:cs="Arial"/>
        </w:rPr>
        <w:t>In May 2018, the SBE reviewed analyses of the three student-level growth models conducted by ETS and directed the CDE to further explore the Residual Gain model for possible inclusion in the Dashboard (</w:t>
      </w:r>
      <w:hyperlink r:id="rId42" w:tooltip="SBE, May 2018 Item 02">
        <w:r w:rsidRPr="00B548D2">
          <w:rPr>
            <w:rFonts w:cs="Arial"/>
            <w:color w:val="0000FF"/>
            <w:u w:val="single"/>
          </w:rPr>
          <w:t>https://www.cde.ca.gov/be/ag/ag/yr18/documents/may18item02.docx</w:t>
        </w:r>
      </w:hyperlink>
      <w:r w:rsidRPr="00B548D2">
        <w:rPr>
          <w:rFonts w:eastAsia="Calibri" w:cs="Arial"/>
        </w:rPr>
        <w:t>).</w:t>
      </w:r>
    </w:p>
    <w:p w14:paraId="350A2783" w14:textId="77777777" w:rsidR="000269ED" w:rsidRPr="00B548D2" w:rsidRDefault="000269ED" w:rsidP="000269ED">
      <w:pPr>
        <w:spacing w:after="240"/>
        <w:rPr>
          <w:rFonts w:eastAsia="Calibri" w:cs="Arial"/>
        </w:rPr>
      </w:pPr>
      <w:r w:rsidRPr="00B548D2">
        <w:rPr>
          <w:rFonts w:eastAsia="Calibri" w:cs="Arial"/>
        </w:rPr>
        <w:t>At its July 2018 meeting, the SBE directed the CDE to conduct further analyses on the Residual Growth model, including the impact of future years of assessment data, changes in the model to reduce year-to-year volatility, consideration of additional growth models or options, and an examination of growth models implemented in other states (</w:t>
      </w:r>
      <w:hyperlink r:id="rId43" w:tooltip="SBE, July 2018 Item 01">
        <w:r w:rsidRPr="00B548D2">
          <w:rPr>
            <w:rFonts w:cs="Arial"/>
            <w:color w:val="0000FF"/>
            <w:u w:val="single"/>
          </w:rPr>
          <w:t>https://www.cde.ca.gov/be/ag/ag/yr18/documents/jul18item01.docx</w:t>
        </w:r>
      </w:hyperlink>
      <w:r w:rsidRPr="00B548D2">
        <w:rPr>
          <w:rFonts w:eastAsia="Calibri" w:cs="Arial"/>
        </w:rPr>
        <w:t>).</w:t>
      </w:r>
    </w:p>
    <w:p w14:paraId="619AAA40" w14:textId="77777777" w:rsidR="000269ED" w:rsidRPr="00B548D2" w:rsidRDefault="000269ED" w:rsidP="000269ED">
      <w:pPr>
        <w:rPr>
          <w:rFonts w:eastAsia="Calibri"/>
        </w:rPr>
      </w:pPr>
      <w:r w:rsidRPr="00B548D2">
        <w:rPr>
          <w:rFonts w:eastAsia="Calibri"/>
        </w:rPr>
        <w:lastRenderedPageBreak/>
        <w:t>The CDE engaged the California Comprehensive Center to conduct research and facilitate a stakeholder process on the future direction of this work. In February 2019, the SBE received an Information Memorandum, providing a summary of the first student growth model stakeholder meeting</w:t>
      </w:r>
    </w:p>
    <w:p w14:paraId="0582350B" w14:textId="77777777" w:rsidR="000269ED" w:rsidRPr="00B548D2" w:rsidRDefault="000269ED" w:rsidP="000269ED">
      <w:pPr>
        <w:spacing w:after="240"/>
        <w:rPr>
          <w:rFonts w:eastAsia="Calibri" w:cs="Arial"/>
        </w:rPr>
      </w:pPr>
      <w:r w:rsidRPr="00B548D2">
        <w:rPr>
          <w:rFonts w:eastAsia="Calibri" w:cs="Arial"/>
          <w:color w:val="000000" w:themeColor="text1"/>
        </w:rPr>
        <w:t>(</w:t>
      </w:r>
      <w:hyperlink r:id="rId44" w:tooltip="SBE, February 2019 Item 03">
        <w:r w:rsidRPr="00B548D2">
          <w:rPr>
            <w:rFonts w:cs="Arial"/>
            <w:color w:val="0000FF"/>
            <w:u w:val="single"/>
          </w:rPr>
          <w:t>https://www.cde.ca.gov/be/pn/im/documents/memo-pptb-amard-feb19item03.docx</w:t>
        </w:r>
      </w:hyperlink>
      <w:r w:rsidRPr="00B548D2">
        <w:rPr>
          <w:rFonts w:eastAsia="Calibri" w:cs="Arial"/>
          <w:color w:val="000000" w:themeColor="text1"/>
        </w:rPr>
        <w:t>).</w:t>
      </w:r>
    </w:p>
    <w:p w14:paraId="6F3987AA" w14:textId="77777777" w:rsidR="000269ED" w:rsidRPr="00B548D2" w:rsidRDefault="000269ED" w:rsidP="000269ED">
      <w:pPr>
        <w:spacing w:before="240" w:after="240"/>
        <w:rPr>
          <w:rFonts w:eastAsia="Calibri" w:cs="Arial"/>
          <w:color w:val="000000"/>
        </w:rPr>
      </w:pPr>
      <w:r w:rsidRPr="00B548D2">
        <w:rPr>
          <w:rFonts w:eastAsia="Calibri" w:cs="Arial"/>
          <w:color w:val="000000" w:themeColor="text1"/>
        </w:rPr>
        <w:t>In April 2019, the SBE received an Information Memorandum, providing a summary of the second growth model stakeholder feedback group meeting (</w:t>
      </w:r>
      <w:hyperlink r:id="rId45" w:tooltip="SBE, April 2019 Item 02">
        <w:r w:rsidRPr="00B548D2">
          <w:rPr>
            <w:rFonts w:cs="Arial"/>
            <w:color w:val="0000FF"/>
            <w:u w:val="single"/>
          </w:rPr>
          <w:t>https://www.cde.ca.gov/be/pn/im/documents/memo-pptb-amard-apr19item02.docx</w:t>
        </w:r>
      </w:hyperlink>
      <w:r w:rsidRPr="00B548D2">
        <w:rPr>
          <w:rFonts w:eastAsia="Calibri" w:cs="Arial"/>
          <w:color w:val="000000" w:themeColor="text1"/>
        </w:rPr>
        <w:t>).</w:t>
      </w:r>
    </w:p>
    <w:p w14:paraId="0D166618" w14:textId="77777777" w:rsidR="000269ED" w:rsidRPr="00B548D2" w:rsidRDefault="000269ED" w:rsidP="000269ED">
      <w:pPr>
        <w:spacing w:before="240" w:after="240"/>
        <w:rPr>
          <w:rFonts w:eastAsia="Calibri" w:cs="Arial"/>
          <w:color w:val="000000"/>
          <w:szCs w:val="22"/>
        </w:rPr>
      </w:pPr>
      <w:r w:rsidRPr="00B548D2">
        <w:rPr>
          <w:rFonts w:eastAsia="Calibri" w:cs="Arial"/>
          <w:color w:val="000000"/>
          <w:szCs w:val="22"/>
        </w:rPr>
        <w:t>In November 2019, the SBE received an Information Memorandum, providing a summary of the growth model stakeholder feedback group process (</w:t>
      </w:r>
      <w:hyperlink r:id="rId46" w:tooltip="SBE, November 2019 Memo 01">
        <w:r w:rsidRPr="00B548D2">
          <w:rPr>
            <w:rFonts w:cs="Arial"/>
            <w:color w:val="0000FF"/>
            <w:u w:val="single"/>
          </w:rPr>
          <w:t>https://www.cde.ca.gov/be/pn/im/documents/nov19memoamard01.docx</w:t>
        </w:r>
      </w:hyperlink>
      <w:r w:rsidRPr="00B548D2">
        <w:rPr>
          <w:rFonts w:eastAsia="Calibri" w:cs="Arial"/>
          <w:color w:val="000000"/>
          <w:szCs w:val="22"/>
        </w:rPr>
        <w:t>).</w:t>
      </w:r>
    </w:p>
    <w:p w14:paraId="2F575866" w14:textId="77777777" w:rsidR="000269ED" w:rsidRPr="00B548D2" w:rsidRDefault="000269ED" w:rsidP="000269ED">
      <w:pPr>
        <w:spacing w:after="240"/>
        <w:rPr>
          <w:rFonts w:eastAsia="Calibri" w:cs="Arial"/>
        </w:rPr>
      </w:pPr>
      <w:r w:rsidRPr="00B548D2">
        <w:rPr>
          <w:rFonts w:eastAsia="Calibri" w:cs="Arial"/>
          <w:color w:val="000000" w:themeColor="text1"/>
        </w:rPr>
        <w:t>At the March 2020 meeting, the SBE directed the CDE to provide a presentation at the May 2020 meeting regarding the work conducted to date on the development of a student-level growth model. Due to the national health crisis, this presentation was postponed until the July 2020 SBE meeting (</w:t>
      </w:r>
      <w:hyperlink r:id="rId47" w:tooltip="SBE, March 2020 Item 05">
        <w:r w:rsidRPr="00B548D2">
          <w:rPr>
            <w:rFonts w:cs="Arial"/>
            <w:color w:val="0000FF"/>
            <w:u w:val="single"/>
          </w:rPr>
          <w:t>https://www.cde.ca.gov/be/ag/ag/yr20/documents/mar20item05.docx</w:t>
        </w:r>
      </w:hyperlink>
      <w:r w:rsidRPr="00B548D2">
        <w:rPr>
          <w:rFonts w:eastAsia="Calibri" w:cs="Arial"/>
        </w:rPr>
        <w:t>).</w:t>
      </w:r>
    </w:p>
    <w:p w14:paraId="44E704F1" w14:textId="77777777" w:rsidR="000269ED" w:rsidRPr="00B548D2" w:rsidRDefault="000269ED" w:rsidP="000269ED">
      <w:pPr>
        <w:spacing w:after="240"/>
        <w:rPr>
          <w:rFonts w:eastAsia="Calibri" w:cs="Arial"/>
        </w:rPr>
      </w:pPr>
      <w:r w:rsidRPr="00B548D2">
        <w:rPr>
          <w:rFonts w:eastAsia="Calibri" w:cs="Arial"/>
          <w:color w:val="000000" w:themeColor="text1"/>
        </w:rPr>
        <w:t xml:space="preserve">In June 2020, the SBE received an Information Memorandum, </w:t>
      </w:r>
      <w:r w:rsidRPr="00B548D2">
        <w:rPr>
          <w:rFonts w:eastAsia="Calibri" w:cs="Arial"/>
        </w:rPr>
        <w:t>providing the history and background on the student growth model work to date (</w:t>
      </w:r>
      <w:hyperlink r:id="rId48" w:tooltip="SBE June 2020 Information Memorandum">
        <w:r w:rsidRPr="00B548D2">
          <w:rPr>
            <w:rFonts w:cs="Arial"/>
            <w:color w:val="0000FF"/>
            <w:u w:val="single"/>
          </w:rPr>
          <w:t>https://www.cde.ca.gov/be/pn/im/documents/memo-imb-amard-june20item01.docx</w:t>
        </w:r>
      </w:hyperlink>
      <w:r w:rsidRPr="00B548D2">
        <w:rPr>
          <w:rFonts w:eastAsia="Calibri" w:cs="Arial"/>
        </w:rPr>
        <w:t>).</w:t>
      </w:r>
    </w:p>
    <w:p w14:paraId="6DB55AC1" w14:textId="77777777" w:rsidR="000269ED" w:rsidRPr="00B548D2" w:rsidRDefault="000269ED" w:rsidP="000269ED">
      <w:pPr>
        <w:spacing w:after="240"/>
        <w:rPr>
          <w:rFonts w:eastAsia="Calibri" w:cs="Arial"/>
        </w:rPr>
      </w:pPr>
      <w:r w:rsidRPr="00B548D2">
        <w:rPr>
          <w:rFonts w:eastAsia="Calibri" w:cs="Arial"/>
        </w:rPr>
        <w:t>At the July 2020 SBE meeting, the CDE provided a presentation regarding the work conducted to data on the development of a student-level growth model (</w:t>
      </w:r>
      <w:hyperlink r:id="rId49" w:tooltip="Data on the development of a student-level growth model">
        <w:r w:rsidRPr="00B548D2">
          <w:rPr>
            <w:rFonts w:cs="Arial"/>
            <w:color w:val="0000FF"/>
            <w:u w:val="single"/>
          </w:rPr>
          <w:t>https://www.cde.ca.gov/be/ag/ag/yr20/documents/jul20item02.docx</w:t>
        </w:r>
      </w:hyperlink>
      <w:r w:rsidRPr="00B548D2">
        <w:rPr>
          <w:rFonts w:eastAsia="Calibri" w:cs="Arial"/>
        </w:rPr>
        <w:t>).</w:t>
      </w:r>
    </w:p>
    <w:p w14:paraId="616789B5" w14:textId="77777777" w:rsidR="000269ED" w:rsidRPr="00B548D2" w:rsidRDefault="000269ED" w:rsidP="000269ED">
      <w:pPr>
        <w:spacing w:after="240"/>
        <w:rPr>
          <w:rFonts w:eastAsia="Calibri" w:cs="Arial"/>
        </w:rPr>
      </w:pPr>
      <w:r w:rsidRPr="00B548D2">
        <w:rPr>
          <w:rFonts w:eastAsia="Calibri" w:cs="Arial"/>
        </w:rPr>
        <w:t xml:space="preserve">In September 2020, the CDE presented </w:t>
      </w:r>
      <w:r w:rsidRPr="00B548D2">
        <w:rPr>
          <w:rFonts w:cs="Arial"/>
          <w:color w:val="000000"/>
          <w:bdr w:val="none" w:sz="0" w:space="0" w:color="auto" w:frame="1"/>
        </w:rPr>
        <w:t xml:space="preserve">an update on the progress by the CDE on refining the statistical methodology used to develop a student growth model. In addition, the ETS presented the results of its study on the potential of the </w:t>
      </w:r>
      <w:r w:rsidRPr="00B548D2">
        <w:rPr>
          <w:rFonts w:cs="Arial"/>
          <w:color w:val="000000"/>
          <w:shd w:val="clear" w:color="auto" w:fill="FFFFFF"/>
        </w:rPr>
        <w:t xml:space="preserve">EBLP method to estimate aggregate growth measures for LEAs and schools </w:t>
      </w:r>
      <w:r w:rsidRPr="00B548D2">
        <w:rPr>
          <w:rFonts w:eastAsia="Calibri" w:cs="Arial"/>
        </w:rPr>
        <w:t>(</w:t>
      </w:r>
      <w:hyperlink r:id="rId50" w:tooltip="SBE, September 2020 Item 02">
        <w:r w:rsidRPr="00B548D2">
          <w:rPr>
            <w:rFonts w:eastAsia="Calibri" w:cs="Arial"/>
            <w:color w:val="0000FF"/>
            <w:u w:val="single"/>
          </w:rPr>
          <w:t>https://www.cde.ca.gov/be/ag/ag/yr20/documents/sep20item02.docx</w:t>
        </w:r>
      </w:hyperlink>
      <w:r w:rsidRPr="00B548D2">
        <w:rPr>
          <w:rFonts w:eastAsia="Calibri" w:cs="Arial"/>
        </w:rPr>
        <w:t>).</w:t>
      </w:r>
    </w:p>
    <w:p w14:paraId="5C1ADEA9" w14:textId="77777777" w:rsidR="000269ED" w:rsidRPr="00B548D2" w:rsidRDefault="000269ED" w:rsidP="000269ED">
      <w:pPr>
        <w:spacing w:after="240"/>
        <w:rPr>
          <w:rFonts w:eastAsia="Calibri" w:cs="Arial"/>
        </w:rPr>
      </w:pPr>
      <w:r w:rsidRPr="00B548D2">
        <w:rPr>
          <w:rFonts w:eastAsia="Calibri" w:cs="Arial"/>
        </w:rPr>
        <w:t xml:space="preserve">In November 2020, the CDE presented an item recommending that the SBE adopt a single subject </w:t>
      </w:r>
      <w:r w:rsidRPr="00B548D2">
        <w:rPr>
          <w:rFonts w:eastAsia="Arial" w:cs="Arial"/>
          <w:color w:val="000000" w:themeColor="text1"/>
        </w:rPr>
        <w:t>Empirical Best Linear Prediction (EBLP)</w:t>
      </w:r>
      <w:r w:rsidRPr="00B548D2">
        <w:rPr>
          <w:rFonts w:eastAsia="Calibri" w:cs="Arial"/>
        </w:rPr>
        <w:t xml:space="preserve"> methodology to improve growth model communication (</w:t>
      </w:r>
      <w:hyperlink r:id="rId51" w:tooltip="SBE, November 2020 Item 06">
        <w:r w:rsidRPr="00B548D2">
          <w:rPr>
            <w:rFonts w:cs="Arial"/>
            <w:color w:val="0000FF"/>
            <w:u w:val="single"/>
          </w:rPr>
          <w:t>https://www.cde.ca.gov/be/ag/ag/yr20/documents/nov20item06.docx</w:t>
        </w:r>
      </w:hyperlink>
      <w:r w:rsidRPr="00B548D2">
        <w:rPr>
          <w:rFonts w:eastAsia="Calibri" w:cs="Arial"/>
        </w:rPr>
        <w:t>).</w:t>
      </w:r>
    </w:p>
    <w:p w14:paraId="0DDCE78B" w14:textId="77777777" w:rsidR="000269ED" w:rsidRPr="00B548D2" w:rsidRDefault="000269ED" w:rsidP="000269ED">
      <w:pPr>
        <w:spacing w:after="240"/>
        <w:rPr>
          <w:rFonts w:eastAsia="Calibri" w:cs="Arial"/>
        </w:rPr>
      </w:pPr>
      <w:r w:rsidRPr="00B548D2">
        <w:rPr>
          <w:rFonts w:eastAsia="Calibri" w:cs="Arial"/>
        </w:rPr>
        <w:t>In February 2021, the SBE received an Information Memorandum, providing the final ETS report on the student growth model and recommendations for criteria for determining the assignment of the EBLP or simple average (</w:t>
      </w:r>
      <w:hyperlink r:id="rId52" w:tooltip="ETS report on the student growth model and recommendations for criteria for determining the assignment of the EBLP or simple average">
        <w:r w:rsidRPr="00B548D2">
          <w:rPr>
            <w:rFonts w:eastAsia="Calibri" w:cs="Arial"/>
            <w:color w:val="0000FF"/>
            <w:u w:val="single"/>
          </w:rPr>
          <w:t>https://www.cde.ca.gov/be/pn/im/documents/feb21memoamard02.docx</w:t>
        </w:r>
      </w:hyperlink>
      <w:r w:rsidRPr="00B548D2">
        <w:rPr>
          <w:rFonts w:eastAsia="Calibri" w:cs="Arial"/>
        </w:rPr>
        <w:t>).</w:t>
      </w:r>
    </w:p>
    <w:p w14:paraId="6EAB736B" w14:textId="77777777" w:rsidR="000269ED" w:rsidRPr="00B548D2" w:rsidRDefault="000269ED" w:rsidP="000269ED">
      <w:pPr>
        <w:rPr>
          <w:rFonts w:eastAsia="Calibri" w:cs="Arial"/>
        </w:rPr>
      </w:pPr>
      <w:r w:rsidRPr="00B548D2">
        <w:rPr>
          <w:rFonts w:eastAsia="Calibri" w:cs="Arial"/>
        </w:rPr>
        <w:t>In May 2021, the SBE adopted the student growth model methodology, which includes using residual gain (RG) scores and the EBLP hybrid approach to report aggregated student growth</w:t>
      </w:r>
    </w:p>
    <w:p w14:paraId="4277CB5A" w14:textId="77777777" w:rsidR="000269ED" w:rsidRPr="00B548D2" w:rsidRDefault="000269ED" w:rsidP="000269ED">
      <w:pPr>
        <w:spacing w:after="240"/>
        <w:rPr>
          <w:rFonts w:eastAsia="Calibri" w:cs="Arial"/>
        </w:rPr>
      </w:pPr>
      <w:r w:rsidRPr="00B548D2">
        <w:rPr>
          <w:rFonts w:eastAsia="Arial" w:cs="Arial"/>
          <w:color w:val="000000" w:themeColor="text1"/>
        </w:rPr>
        <w:lastRenderedPageBreak/>
        <w:t>(</w:t>
      </w:r>
      <w:hyperlink r:id="rId53" w:tooltip="SBE, May 2021 Item 03">
        <w:r w:rsidRPr="00B548D2">
          <w:rPr>
            <w:rFonts w:eastAsia="Arial" w:cs="Arial"/>
            <w:color w:val="0000FF"/>
            <w:u w:val="single"/>
          </w:rPr>
          <w:t>https://www.cde.ca.gov/be/ag/ag/yr21/documents/may21item03.docx</w:t>
        </w:r>
      </w:hyperlink>
      <w:r w:rsidRPr="00B548D2">
        <w:rPr>
          <w:rFonts w:eastAsia="Arial" w:cs="Arial"/>
          <w:color w:val="000000" w:themeColor="text1"/>
        </w:rPr>
        <w:t>).</w:t>
      </w:r>
    </w:p>
    <w:p w14:paraId="08C122BA" w14:textId="77777777" w:rsidR="000269ED" w:rsidRPr="00B548D2" w:rsidRDefault="000269ED" w:rsidP="000269ED">
      <w:pPr>
        <w:spacing w:after="240"/>
        <w:rPr>
          <w:rFonts w:eastAsia="Calibri" w:cs="Arial"/>
        </w:rPr>
      </w:pPr>
      <w:r w:rsidRPr="00B548D2">
        <w:rPr>
          <w:rFonts w:eastAsia="Calibri" w:cs="Arial"/>
        </w:rPr>
        <w:t>In October 2021, the SBE received an Information Memorandum with information on CDE’s September 2021 release of historical growth scores from 2016–19, as well as a timeline for next release of growth scores from 2021–24 (</w:t>
      </w:r>
      <w:hyperlink r:id="rId54" w:tooltip="CDE’s September 2021 release of historical growth scores from 2016–19, as well as a timeline for next release of growth scores from 2021–24">
        <w:r w:rsidRPr="00B548D2">
          <w:rPr>
            <w:rFonts w:eastAsia="Calibri" w:cs="Arial"/>
            <w:color w:val="0000FF"/>
            <w:u w:val="single"/>
          </w:rPr>
          <w:t>https://www.cde.ca.gov/be/pn/im/documents/oct21memoamard01.docx</w:t>
        </w:r>
      </w:hyperlink>
      <w:r w:rsidRPr="00B548D2">
        <w:rPr>
          <w:rFonts w:eastAsia="Calibri" w:cs="Arial"/>
        </w:rPr>
        <w:t>).</w:t>
      </w:r>
    </w:p>
    <w:p w14:paraId="745DE3AD" w14:textId="77777777" w:rsidR="000269ED" w:rsidRPr="00B548D2" w:rsidRDefault="000269ED" w:rsidP="000269ED">
      <w:pPr>
        <w:spacing w:after="240"/>
      </w:pPr>
      <w:r w:rsidRPr="00B548D2">
        <w:rPr>
          <w:rFonts w:eastAsia="Arial" w:cs="Arial"/>
        </w:rPr>
        <w:t>In January 2022, the SBE was provided a December 2021 Information Memorandum on data reporting for the 2020–21 school year (</w:t>
      </w:r>
      <w:hyperlink r:id="rId55" w:tooltip="SBE, December 2021 Memo 01">
        <w:r w:rsidRPr="00B548D2">
          <w:rPr>
            <w:rFonts w:eastAsia="Arial" w:cs="Arial"/>
            <w:color w:val="0000FF"/>
            <w:u w:val="single"/>
          </w:rPr>
          <w:t>https://www.cde.ca.gov/be/pn/im/documents/dec21memoamard01.docx</w:t>
        </w:r>
      </w:hyperlink>
      <w:r w:rsidRPr="00B548D2">
        <w:rPr>
          <w:rFonts w:eastAsia="Arial" w:cs="Arial"/>
        </w:rPr>
        <w:t>).</w:t>
      </w:r>
    </w:p>
    <w:p w14:paraId="50F46732" w14:textId="77777777" w:rsidR="000269ED" w:rsidRPr="00B548D2" w:rsidRDefault="000269ED" w:rsidP="000269ED">
      <w:pPr>
        <w:rPr>
          <w:rFonts w:cs="Arial"/>
          <w:color w:val="000000" w:themeColor="text1"/>
          <w:lang w:val="en"/>
        </w:rPr>
      </w:pPr>
      <w:r w:rsidRPr="00B548D2">
        <w:rPr>
          <w:rFonts w:eastAsia="Calibri" w:cs="Arial"/>
        </w:rPr>
        <w:t>In February 2022, the SBE received an update on the exploration</w:t>
      </w:r>
      <w:r w:rsidRPr="00B548D2">
        <w:rPr>
          <w:rFonts w:cs="Arial"/>
          <w:color w:val="000000" w:themeColor="text1"/>
          <w:lang w:val="en"/>
        </w:rPr>
        <w:t xml:space="preserve"> into reporting academic student growth by English Language Proficiency Assessments for California Achievement Level</w:t>
      </w:r>
    </w:p>
    <w:p w14:paraId="4B27D30A" w14:textId="77777777" w:rsidR="000269ED" w:rsidRPr="00B548D2" w:rsidRDefault="000269ED" w:rsidP="000269ED">
      <w:pPr>
        <w:spacing w:after="240"/>
        <w:rPr>
          <w:rFonts w:eastAsia="Calibri" w:cs="Arial"/>
        </w:rPr>
      </w:pPr>
      <w:r w:rsidRPr="00B548D2">
        <w:rPr>
          <w:rFonts w:cs="Arial"/>
          <w:color w:val="000000" w:themeColor="text1"/>
          <w:lang w:val="en"/>
        </w:rPr>
        <w:t>(</w:t>
      </w:r>
      <w:hyperlink r:id="rId56" w:tooltip="SBE, Information Memorandum 2022">
        <w:r w:rsidRPr="00B548D2">
          <w:rPr>
            <w:rFonts w:eastAsia="Calibri" w:cs="Arial"/>
            <w:color w:val="0000FF"/>
            <w:u w:val="single"/>
          </w:rPr>
          <w:t>https://www.cde.ca.gov/be/pn/im/infomemofeb2022.asp</w:t>
        </w:r>
      </w:hyperlink>
      <w:r w:rsidRPr="00B548D2">
        <w:rPr>
          <w:rFonts w:eastAsia="Calibri" w:cs="Arial"/>
        </w:rPr>
        <w:t>).</w:t>
      </w:r>
    </w:p>
    <w:p w14:paraId="51D7F35C" w14:textId="77777777" w:rsidR="000269ED" w:rsidRPr="00B548D2" w:rsidRDefault="000269ED" w:rsidP="000269ED">
      <w:pPr>
        <w:spacing w:after="240"/>
        <w:rPr>
          <w:rFonts w:cs="Arial"/>
        </w:rPr>
      </w:pPr>
      <w:r w:rsidRPr="00B548D2">
        <w:rPr>
          <w:rFonts w:eastAsia="Arial" w:cs="Arial"/>
        </w:rPr>
        <w:t xml:space="preserve">In March 2022, the SBE </w:t>
      </w:r>
      <w:r w:rsidRPr="00B548D2">
        <w:rPr>
          <w:rFonts w:eastAsia="Arial" w:cs="Arial"/>
          <w:color w:val="000000" w:themeColor="text1"/>
        </w:rPr>
        <w:t>received an annual update on items that were being considered by the CDE for the 2022 Dashboard (</w:t>
      </w:r>
      <w:hyperlink r:id="rId57" w:tooltip="SBE, March 2022 Item 04">
        <w:r w:rsidRPr="00B548D2">
          <w:rPr>
            <w:rFonts w:eastAsia="Arial" w:cs="Arial"/>
            <w:color w:val="0000FF"/>
            <w:u w:val="single"/>
          </w:rPr>
          <w:t>https://www.cde.ca.gov/be/ag/ag/yr22/documents/mar22item04.docx</w:t>
        </w:r>
      </w:hyperlink>
      <w:r w:rsidRPr="00B548D2">
        <w:rPr>
          <w:rFonts w:eastAsia="Arial" w:cs="Arial"/>
          <w:color w:val="000000" w:themeColor="text1"/>
        </w:rPr>
        <w:t>).</w:t>
      </w:r>
    </w:p>
    <w:p w14:paraId="649FEA42" w14:textId="77777777" w:rsidR="000269ED" w:rsidRPr="00B548D2" w:rsidRDefault="000269ED" w:rsidP="000269ED">
      <w:pPr>
        <w:spacing w:after="240"/>
      </w:pPr>
      <w:r w:rsidRPr="00B548D2">
        <w:rPr>
          <w:rFonts w:eastAsia="Arial" w:cs="Arial"/>
        </w:rPr>
        <w:t xml:space="preserve">In July 2022, the CDE presented </w:t>
      </w:r>
      <w:r w:rsidRPr="00B548D2">
        <w:rPr>
          <w:rFonts w:eastAsia="Arial" w:cs="Arial"/>
          <w:color w:val="000000" w:themeColor="text1"/>
        </w:rPr>
        <w:t>an update on</w:t>
      </w:r>
      <w:r w:rsidRPr="00B548D2">
        <w:rPr>
          <w:rFonts w:eastAsia="Arial" w:cs="Arial"/>
        </w:rPr>
        <w:t xml:space="preserve"> </w:t>
      </w:r>
      <w:r w:rsidRPr="00B548D2">
        <w:rPr>
          <w:rFonts w:eastAsia="Arial" w:cs="Arial"/>
          <w:color w:val="000000" w:themeColor="text1"/>
        </w:rPr>
        <w:t xml:space="preserve">the Implementation of the Integrated Local, State, and Federal Accountability and Continuous Improvement System </w:t>
      </w:r>
      <w:r w:rsidRPr="00B548D2">
        <w:rPr>
          <w:rFonts w:eastAsia="Arial" w:cs="Arial"/>
        </w:rPr>
        <w:t>(</w:t>
      </w:r>
      <w:hyperlink r:id="rId58" w:tooltip="SBE, July 2022 Item 02">
        <w:r w:rsidRPr="00B548D2">
          <w:rPr>
            <w:rFonts w:eastAsia="Arial" w:cs="Arial"/>
            <w:color w:val="0000FF"/>
            <w:u w:val="single"/>
          </w:rPr>
          <w:t>https://www.cde.ca.gov/be/ag/ag/yr22/documents/jul22item02.docx</w:t>
        </w:r>
      </w:hyperlink>
      <w:r w:rsidRPr="00B548D2">
        <w:rPr>
          <w:rFonts w:eastAsia="Arial" w:cs="Arial"/>
        </w:rPr>
        <w:t>).</w:t>
      </w:r>
    </w:p>
    <w:p w14:paraId="65EADE02" w14:textId="33BB21C3" w:rsidR="000269ED" w:rsidRPr="00B548D2" w:rsidRDefault="000269ED" w:rsidP="000269ED">
      <w:pPr>
        <w:spacing w:before="240" w:after="240"/>
        <w:rPr>
          <w:rFonts w:eastAsia="Arial" w:cs="Arial"/>
          <w:color w:val="000000" w:themeColor="text1"/>
        </w:rPr>
      </w:pPr>
      <w:r w:rsidRPr="00B548D2">
        <w:rPr>
          <w:rFonts w:eastAsia="Arial" w:cs="Arial"/>
          <w:color w:val="000000" w:themeColor="text1"/>
        </w:rPr>
        <w:t>In September 2023, the CDE provide</w:t>
      </w:r>
      <w:r w:rsidR="00E97C1D" w:rsidRPr="00B548D2">
        <w:rPr>
          <w:rFonts w:eastAsia="Arial" w:cs="Arial"/>
          <w:color w:val="000000" w:themeColor="text1"/>
        </w:rPr>
        <w:t>d</w:t>
      </w:r>
      <w:r w:rsidRPr="00B548D2">
        <w:rPr>
          <w:rFonts w:eastAsia="Arial" w:cs="Arial"/>
          <w:color w:val="000000" w:themeColor="text1"/>
        </w:rPr>
        <w:t xml:space="preserve"> a workplan for 2023 about the student growth model for California’s schools and LEAs. It includes identifying key audiences, receiving feedback from focus groups, CPAG, and TDG, and an anticipated date which average growth scores can be officially reported is December 2024 (</w:t>
      </w:r>
      <w:hyperlink r:id="rId59" w:tooltip="SBE, September 2023 Item 08">
        <w:r w:rsidRPr="00B548D2">
          <w:rPr>
            <w:rFonts w:eastAsia="Arial" w:cs="Arial"/>
            <w:color w:val="0000FF"/>
            <w:u w:val="single"/>
          </w:rPr>
          <w:t>https://www.cde.ca.gov/be/ag/ag/yr23/documents/sep23item08.docx</w:t>
        </w:r>
      </w:hyperlink>
      <w:r w:rsidRPr="00B548D2">
        <w:rPr>
          <w:rFonts w:eastAsia="Arial" w:cs="Arial"/>
        </w:rPr>
        <w:t>).</w:t>
      </w:r>
    </w:p>
    <w:p w14:paraId="7E53F27A" w14:textId="60E410A2" w:rsidR="000269ED" w:rsidRPr="00B548D2" w:rsidRDefault="000269ED" w:rsidP="000269ED">
      <w:pPr>
        <w:spacing w:before="240"/>
        <w:rPr>
          <w:rFonts w:eastAsiaTheme="minorEastAsia"/>
        </w:rPr>
      </w:pPr>
      <w:r w:rsidRPr="00B548D2">
        <w:rPr>
          <w:rFonts w:eastAsiaTheme="minorEastAsia" w:cs="Arial"/>
          <w:color w:val="000000" w:themeColor="text1"/>
        </w:rPr>
        <w:t xml:space="preserve">In March 2023, the CDE reported about the communications toolkit and its purpose. Additionally, the CDE works with California’s assessment contractor, ETS, to evaluate and analyze visualizations and communications tools to appropriately display growth data to multiple audiences. The CDE continues to solicit feedback from focus groups, educational partners, and the SBE on the best approach to display these data and communicate about the approved methodology in the future </w:t>
      </w:r>
      <w:r w:rsidRPr="00B548D2">
        <w:rPr>
          <w:rFonts w:eastAsiaTheme="minorEastAsia"/>
          <w:color w:val="000000" w:themeColor="text1"/>
        </w:rPr>
        <w:t>(</w:t>
      </w:r>
      <w:hyperlink r:id="rId60" w:tooltip="March 2023 Item 03">
        <w:r w:rsidRPr="00B548D2">
          <w:rPr>
            <w:rFonts w:eastAsiaTheme="minorEastAsia"/>
            <w:color w:val="0000FF"/>
            <w:u w:val="single"/>
          </w:rPr>
          <w:t>https://www.cde.ca.gov/be/ag/ag/yr23/documents/mar23item03.docx</w:t>
        </w:r>
      </w:hyperlink>
      <w:r w:rsidRPr="00B548D2">
        <w:rPr>
          <w:rFonts w:eastAsiaTheme="minorEastAsia" w:cs="Arial"/>
        </w:rPr>
        <w:t>)</w:t>
      </w:r>
      <w:r w:rsidRPr="00B548D2">
        <w:rPr>
          <w:rFonts w:eastAsiaTheme="minorEastAsia"/>
        </w:rPr>
        <w:t>.</w:t>
      </w:r>
    </w:p>
    <w:p w14:paraId="118DF523" w14:textId="73346690" w:rsidR="00736B73" w:rsidRPr="00B548D2" w:rsidRDefault="000F3C43" w:rsidP="000269ED">
      <w:pPr>
        <w:spacing w:before="240"/>
        <w:rPr>
          <w:rFonts w:eastAsiaTheme="minorEastAsia" w:cs="Arial"/>
          <w:color w:val="000000" w:themeColor="text1"/>
        </w:rPr>
      </w:pPr>
      <w:r w:rsidRPr="00B548D2">
        <w:rPr>
          <w:rFonts w:eastAsiaTheme="minorEastAsia" w:cs="Arial"/>
          <w:color w:val="000000" w:themeColor="text1"/>
        </w:rPr>
        <w:t xml:space="preserve">In March 2024, The CDE provided information regarding the Growth Model incorporation in the 2024 Dashboard. Additionally, the CDE </w:t>
      </w:r>
      <w:r w:rsidR="00C86DCB" w:rsidRPr="00B548D2">
        <w:rPr>
          <w:rFonts w:eastAsiaTheme="minorEastAsia" w:cs="Arial"/>
          <w:color w:val="000000" w:themeColor="text1"/>
        </w:rPr>
        <w:t>presented a</w:t>
      </w:r>
      <w:r w:rsidRPr="00B548D2">
        <w:rPr>
          <w:rFonts w:eastAsiaTheme="minorEastAsia" w:cs="Arial"/>
          <w:color w:val="000000" w:themeColor="text1"/>
        </w:rPr>
        <w:t xml:space="preserve"> communications webpage to support educational communities.</w:t>
      </w:r>
    </w:p>
    <w:p w14:paraId="32539F50" w14:textId="50E2F5C7" w:rsidR="00682AA9" w:rsidRPr="00B548D2" w:rsidRDefault="00682AA9" w:rsidP="00682AA9">
      <w:pPr>
        <w:spacing w:after="240"/>
        <w:rPr>
          <w:rFonts w:eastAsia="Arial"/>
          <w:u w:val="single"/>
        </w:rPr>
      </w:pPr>
      <w:bookmarkStart w:id="0" w:name="_Hlk169096560"/>
      <w:r w:rsidRPr="00B548D2">
        <w:rPr>
          <w:rFonts w:eastAsia="Arial" w:cs="Arial"/>
          <w:color w:val="000000" w:themeColor="text1"/>
        </w:rPr>
        <w:t>(</w:t>
      </w:r>
      <w:hyperlink r:id="rId61" w:tooltip="In March 2024 the CDE provided information regarding the Growth Model incorporation in the 2024 Dashboard" w:history="1">
        <w:r w:rsidRPr="00B548D2">
          <w:rPr>
            <w:rStyle w:val="Hyperlink"/>
            <w:rFonts w:eastAsia="Arial"/>
          </w:rPr>
          <w:t>https://www.cde.ca.gov/be/ag/ag/yr24/documents/mar24item02.docx</w:t>
        </w:r>
      </w:hyperlink>
      <w:r w:rsidRPr="00B548D2">
        <w:rPr>
          <w:rFonts w:eastAsia="Arial" w:cs="Arial"/>
          <w:color w:val="000000" w:themeColor="text1"/>
        </w:rPr>
        <w:t>).</w:t>
      </w:r>
    </w:p>
    <w:bookmarkEnd w:id="0"/>
    <w:p w14:paraId="758A26E8" w14:textId="77777777" w:rsidR="000269ED" w:rsidRPr="00B548D2" w:rsidRDefault="000269ED" w:rsidP="000269ED">
      <w:pPr>
        <w:keepNext/>
        <w:keepLines/>
        <w:spacing w:before="240" w:after="240"/>
        <w:outlineLvl w:val="2"/>
        <w:rPr>
          <w:rFonts w:eastAsia="Arial" w:cs="Arial"/>
          <w:color w:val="000000" w:themeColor="text1"/>
        </w:rPr>
      </w:pPr>
      <w:r w:rsidRPr="00B548D2">
        <w:rPr>
          <w:rFonts w:eastAsiaTheme="majorEastAsia" w:cs="Arial"/>
          <w:b/>
          <w:bCs/>
          <w:sz w:val="32"/>
          <w:szCs w:val="32"/>
        </w:rPr>
        <w:lastRenderedPageBreak/>
        <w:t>Priority 1 Assignment of Teachers</w:t>
      </w:r>
    </w:p>
    <w:p w14:paraId="50038465" w14:textId="77777777" w:rsidR="000269ED" w:rsidRPr="00B548D2" w:rsidRDefault="000269ED" w:rsidP="000269ED">
      <w:pPr>
        <w:spacing w:before="240" w:after="240"/>
        <w:rPr>
          <w:rFonts w:eastAsia="Arial" w:cs="Arial"/>
          <w:color w:val="000000" w:themeColor="text1"/>
        </w:rPr>
      </w:pPr>
      <w:r w:rsidRPr="00B548D2">
        <w:rPr>
          <w:rFonts w:eastAsia="Arial" w:cs="Arial"/>
          <w:color w:val="000000" w:themeColor="text1"/>
        </w:rPr>
        <w:t>In November 2019, the SBE adopted updated teacher equity definitions under Every Student Succeeds Act and state reporting requirements based on feedback from LEAs (</w:t>
      </w:r>
      <w:hyperlink r:id="rId62" w:tooltip="SBE, November 2019 Item 05">
        <w:r w:rsidRPr="00B548D2">
          <w:rPr>
            <w:rFonts w:eastAsia="Arial" w:cs="Arial"/>
            <w:color w:val="0000FF"/>
            <w:u w:val="single"/>
          </w:rPr>
          <w:t>https://www.cde.ca.gov/be/ag/ag/yr19/documents/nov19item05rev.docx</w:t>
        </w:r>
      </w:hyperlink>
      <w:r w:rsidRPr="00B548D2">
        <w:rPr>
          <w:rFonts w:eastAsia="Arial" w:cs="Arial"/>
          <w:color w:val="000000" w:themeColor="text1"/>
        </w:rPr>
        <w:t>).</w:t>
      </w:r>
    </w:p>
    <w:p w14:paraId="31FB091C" w14:textId="77777777" w:rsidR="000269ED" w:rsidRPr="00B548D2" w:rsidRDefault="000269ED" w:rsidP="000269ED">
      <w:pPr>
        <w:spacing w:before="240" w:after="240"/>
        <w:rPr>
          <w:rFonts w:eastAsia="Arial" w:cs="Arial"/>
          <w:color w:val="000000" w:themeColor="text1"/>
        </w:rPr>
      </w:pPr>
      <w:r w:rsidRPr="00B548D2">
        <w:rPr>
          <w:rFonts w:eastAsia="Arial" w:cs="Arial"/>
          <w:color w:val="000000" w:themeColor="text1"/>
        </w:rPr>
        <w:t>In August 2020, the SBE received an Information Memorandum which provided background information and an implementation plan for Education Code 52064.5 related to the Standards for Local Indicators (</w:t>
      </w:r>
      <w:hyperlink r:id="rId63" w:tooltip="SBE, August 2020 Item 01">
        <w:r w:rsidRPr="00B548D2">
          <w:rPr>
            <w:rFonts w:eastAsia="Arial" w:cs="Arial"/>
            <w:color w:val="0000FF"/>
            <w:u w:val="single"/>
          </w:rPr>
          <w:t>https://www.cde.ca.gov/be/pn/im/documents/aug20amard01.docx</w:t>
        </w:r>
      </w:hyperlink>
      <w:r w:rsidRPr="00B548D2">
        <w:rPr>
          <w:rFonts w:eastAsia="Arial" w:cs="Arial"/>
          <w:color w:val="000000" w:themeColor="text1"/>
        </w:rPr>
        <w:t>).</w:t>
      </w:r>
    </w:p>
    <w:p w14:paraId="069938AA" w14:textId="77777777" w:rsidR="000269ED" w:rsidRPr="00B548D2" w:rsidRDefault="000269ED" w:rsidP="000269ED">
      <w:pPr>
        <w:spacing w:before="240" w:after="240"/>
        <w:rPr>
          <w:rFonts w:eastAsia="Arial" w:cs="Arial"/>
          <w:color w:val="000000" w:themeColor="text1"/>
        </w:rPr>
      </w:pPr>
      <w:r w:rsidRPr="00B548D2">
        <w:rPr>
          <w:rFonts w:eastAsia="Arial" w:cs="Arial"/>
          <w:color w:val="000000" w:themeColor="text1"/>
        </w:rPr>
        <w:t>In September 2020, the CDE presented an update on the implementation of Education Code (EC) Section 52064.5, related to local indicators. (</w:t>
      </w:r>
      <w:hyperlink r:id="rId64" w:tooltip="SBE, September 2020 Item 02">
        <w:r w:rsidRPr="00B548D2">
          <w:rPr>
            <w:rFonts w:eastAsia="Arial" w:cs="Arial"/>
            <w:color w:val="0000FF"/>
            <w:u w:val="single"/>
          </w:rPr>
          <w:t>https://www.cde.ca.gov/be/ag/ag/yr20/documents/sep20item02.docx</w:t>
        </w:r>
      </w:hyperlink>
      <w:r w:rsidRPr="00B548D2">
        <w:rPr>
          <w:rFonts w:eastAsia="Arial" w:cs="Arial"/>
          <w:color w:val="000000" w:themeColor="text1"/>
        </w:rPr>
        <w:t>).</w:t>
      </w:r>
    </w:p>
    <w:p w14:paraId="3F1F7BCB" w14:textId="77777777" w:rsidR="000269ED" w:rsidRPr="00B548D2" w:rsidRDefault="000269ED" w:rsidP="000269ED">
      <w:pPr>
        <w:spacing w:before="240" w:after="240"/>
        <w:rPr>
          <w:rFonts w:eastAsia="Arial" w:cs="Arial"/>
          <w:color w:val="000000" w:themeColor="text1"/>
        </w:rPr>
      </w:pPr>
      <w:r w:rsidRPr="00B548D2">
        <w:rPr>
          <w:rFonts w:eastAsia="Arial" w:cs="Arial"/>
          <w:color w:val="000000" w:themeColor="text1"/>
        </w:rPr>
        <w:t>In November 2021, the CDE presented an update on ESSA state plan amendments and proposed changes to data tables related to ineffective teachers. (</w:t>
      </w:r>
      <w:hyperlink r:id="rId65" w:tooltip="SBE, November 2021 Item 06">
        <w:r w:rsidRPr="00B548D2">
          <w:rPr>
            <w:rFonts w:eastAsia="Arial" w:cs="Arial"/>
            <w:color w:val="0000FF"/>
            <w:u w:val="single"/>
          </w:rPr>
          <w:t>https://www.cde.ca.gov/be/ag/ag/yr21/documents/nov21item06.docx</w:t>
        </w:r>
      </w:hyperlink>
      <w:r w:rsidRPr="00B548D2">
        <w:rPr>
          <w:rFonts w:eastAsia="Arial" w:cs="Arial"/>
          <w:color w:val="000000" w:themeColor="text1"/>
        </w:rPr>
        <w:t>).</w:t>
      </w:r>
    </w:p>
    <w:p w14:paraId="35DCF0C4" w14:textId="77777777" w:rsidR="000269ED" w:rsidRPr="00B548D2" w:rsidRDefault="000269ED" w:rsidP="000269ED">
      <w:pPr>
        <w:spacing w:before="240" w:after="240"/>
        <w:rPr>
          <w:rFonts w:eastAsia="Arial" w:cs="Arial"/>
          <w:color w:val="000000" w:themeColor="text1"/>
        </w:rPr>
      </w:pPr>
      <w:r w:rsidRPr="00B548D2">
        <w:rPr>
          <w:rFonts w:eastAsia="Arial" w:cs="Arial"/>
          <w:color w:val="000000" w:themeColor="text1"/>
        </w:rPr>
        <w:t>In June 2022, the SBE received an Information Memorandum that announced the release of the Teaching Assignment Monitoring Outcome (AMO) by Full-Time Equivalency (FTE) reports on DataQuest. (</w:t>
      </w:r>
      <w:hyperlink r:id="rId66" w:tooltip="SBE, June 2022 Memo 01">
        <w:r w:rsidRPr="00B548D2">
          <w:rPr>
            <w:rFonts w:eastAsia="Arial" w:cs="Arial"/>
            <w:color w:val="0000FF"/>
            <w:u w:val="single"/>
          </w:rPr>
          <w:t>https://www.cde.ca.gov/be/pn/im/documents/jun22memoamard01.docx</w:t>
        </w:r>
      </w:hyperlink>
      <w:r w:rsidRPr="00B548D2">
        <w:rPr>
          <w:rFonts w:eastAsia="Arial" w:cs="Arial"/>
          <w:color w:val="000000" w:themeColor="text1"/>
        </w:rPr>
        <w:t>)</w:t>
      </w:r>
    </w:p>
    <w:p w14:paraId="780D56C2" w14:textId="77777777" w:rsidR="000269ED" w:rsidRPr="00B548D2" w:rsidRDefault="000269ED" w:rsidP="000269ED">
      <w:pPr>
        <w:spacing w:before="240" w:after="240"/>
        <w:rPr>
          <w:rFonts w:eastAsia="Arial" w:cs="Arial"/>
          <w:color w:val="000000" w:themeColor="text1"/>
        </w:rPr>
      </w:pPr>
      <w:r w:rsidRPr="00B548D2">
        <w:rPr>
          <w:rFonts w:eastAsia="Arial" w:cs="Arial"/>
          <w:color w:val="000000" w:themeColor="text1"/>
        </w:rPr>
        <w:t>In September 2022, the SBE adopted the inclusion of a link to the Teacher Assignment Monitoring Outcomes data on the Dashboard (</w:t>
      </w:r>
      <w:hyperlink r:id="rId67" w:tooltip="SBE, June 2022 Memorandum 01">
        <w:r w:rsidRPr="00B548D2">
          <w:rPr>
            <w:rFonts w:eastAsia="Arial" w:cs="Arial"/>
            <w:color w:val="0000FF"/>
            <w:u w:val="single"/>
          </w:rPr>
          <w:t>https://www.cde.ca.gov/be/pn/im/documents/jun22memoamard01.docx</w:t>
        </w:r>
      </w:hyperlink>
      <w:r w:rsidRPr="00B548D2">
        <w:rPr>
          <w:rFonts w:eastAsia="Arial" w:cs="Arial"/>
          <w:color w:val="000000" w:themeColor="text1"/>
        </w:rPr>
        <w:t>) (</w:t>
      </w:r>
      <w:hyperlink r:id="rId68" w:tooltip="SBE, September 2022 Revised Item 02">
        <w:r w:rsidRPr="00B548D2">
          <w:rPr>
            <w:rFonts w:eastAsia="Arial" w:cs="Arial"/>
            <w:color w:val="0000FF"/>
            <w:u w:val="single"/>
          </w:rPr>
          <w:t>https://www.cde.ca.gov/be/ag/ag/yr22/documents/sep22item02rev.docx</w:t>
        </w:r>
      </w:hyperlink>
      <w:r w:rsidRPr="00B548D2">
        <w:rPr>
          <w:rFonts w:eastAsia="Arial" w:cs="Arial"/>
          <w:color w:val="000000" w:themeColor="text1"/>
        </w:rPr>
        <w:t>)</w:t>
      </w:r>
    </w:p>
    <w:p w14:paraId="32C63C39" w14:textId="5374D449" w:rsidR="000269ED" w:rsidRPr="00B548D2" w:rsidRDefault="000269ED" w:rsidP="000269ED">
      <w:pPr>
        <w:spacing w:after="240"/>
        <w:rPr>
          <w:rFonts w:eastAsia="Arial" w:cs="Arial"/>
        </w:rPr>
      </w:pPr>
      <w:r w:rsidRPr="00B548D2">
        <w:rPr>
          <w:rFonts w:eastAsia="Arial" w:cs="Arial"/>
          <w:color w:val="000000" w:themeColor="text1"/>
        </w:rPr>
        <w:t xml:space="preserve">In November 2023, </w:t>
      </w:r>
      <w:r w:rsidRPr="00B548D2">
        <w:t xml:space="preserve">the SBE approved a revision of the self-reflection tool for Priority 1 to reflect the approved objective criteria from the September 2023 SBE; the 2021–22 Teacher Assignment Outcomes within Priority 1 </w:t>
      </w:r>
      <w:r w:rsidRPr="00B548D2">
        <w:rPr>
          <w:rFonts w:eastAsia="Arial" w:cs="Arial"/>
        </w:rPr>
        <w:t>(</w:t>
      </w:r>
      <w:hyperlink r:id="rId69" w:tooltip="In November 2023 the SBE approved a revision of the self-reflection tool for Priority 1">
        <w:r w:rsidRPr="00B548D2">
          <w:rPr>
            <w:rFonts w:eastAsia="Arial" w:cs="Arial"/>
            <w:color w:val="0000FF"/>
            <w:u w:val="single"/>
          </w:rPr>
          <w:t>https://www.cde.ca.gov/be/ag/ag/yr23/documents/nov23item08.docx</w:t>
        </w:r>
      </w:hyperlink>
      <w:r w:rsidRPr="00B548D2">
        <w:rPr>
          <w:rFonts w:eastAsia="Arial" w:cs="Arial"/>
        </w:rPr>
        <w:t>).</w:t>
      </w:r>
    </w:p>
    <w:p w14:paraId="05CFB76E" w14:textId="70DED8D5" w:rsidR="00B801DA" w:rsidRPr="00B548D2" w:rsidRDefault="002565CE" w:rsidP="000269ED">
      <w:pPr>
        <w:spacing w:after="240"/>
        <w:rPr>
          <w:rFonts w:eastAsia="Arial" w:cs="Arial"/>
        </w:rPr>
      </w:pPr>
      <w:r w:rsidRPr="00B548D2">
        <w:rPr>
          <w:rFonts w:eastAsia="Arial" w:cs="Arial"/>
        </w:rPr>
        <w:t>In March 2023, the CDE conveyed the need to re-engage the Ad-Hoc Workgroup and technical experts to develop objective criteria for the SBE to consider pursuant to California Education Code Section 52064.5 for use on the 2023 Dashboard and beyond.</w:t>
      </w:r>
      <w:r w:rsidR="00606D85" w:rsidRPr="00B548D2">
        <w:rPr>
          <w:rFonts w:eastAsia="Arial" w:cs="Arial"/>
        </w:rPr>
        <w:t xml:space="preserve"> </w:t>
      </w:r>
      <w:r w:rsidR="0097650A" w:rsidRPr="00B548D2">
        <w:rPr>
          <w:rFonts w:eastAsia="Calibri" w:cs="Arial"/>
        </w:rPr>
        <w:t xml:space="preserve"> </w:t>
      </w:r>
      <w:r w:rsidR="00B801DA" w:rsidRPr="00B548D2">
        <w:rPr>
          <w:rFonts w:eastAsia="Calibri" w:cs="Arial"/>
        </w:rPr>
        <w:t>(</w:t>
      </w:r>
      <w:hyperlink r:id="rId70" w:tooltip="In March 2023 the CDE conveyed the need to re-engage the Ad-Hoc Workgroup and technical experts to develop objective criteria">
        <w:r w:rsidR="00B801DA" w:rsidRPr="00B548D2">
          <w:rPr>
            <w:rFonts w:eastAsia="Calibri" w:cs="Arial"/>
            <w:color w:val="0000FF"/>
            <w:u w:val="single"/>
          </w:rPr>
          <w:t>https://www.cde.ca.gov/be/ag/ag/yr23/documents/mar23item03.docx</w:t>
        </w:r>
      </w:hyperlink>
      <w:r w:rsidR="00B801DA" w:rsidRPr="00B548D2">
        <w:rPr>
          <w:rFonts w:eastAsia="Calibri" w:cs="Arial"/>
        </w:rPr>
        <w:t>).</w:t>
      </w:r>
    </w:p>
    <w:p w14:paraId="0602ADF9" w14:textId="4F70C51B" w:rsidR="00B801DA" w:rsidRPr="00B548D2" w:rsidRDefault="000269ED" w:rsidP="00B801DA">
      <w:pPr>
        <w:spacing w:after="240"/>
        <w:rPr>
          <w:rFonts w:eastAsia="Arial"/>
          <w:u w:val="single"/>
        </w:rPr>
      </w:pPr>
      <w:r w:rsidRPr="00B548D2">
        <w:rPr>
          <w:rFonts w:eastAsia="Arial" w:cs="Arial"/>
        </w:rPr>
        <w:t>In March 202</w:t>
      </w:r>
      <w:r w:rsidR="00B801DA" w:rsidRPr="00B548D2">
        <w:rPr>
          <w:rFonts w:eastAsia="Arial" w:cs="Arial"/>
        </w:rPr>
        <w:t>4</w:t>
      </w:r>
      <w:r w:rsidRPr="00B548D2">
        <w:rPr>
          <w:rFonts w:eastAsia="Arial" w:cs="Arial"/>
        </w:rPr>
        <w:t>, the SBE received an update about the 2024 Workplan for the Priority 1-Teacher Data. The CDE reported an increased need for technical and policy support for these new reports and similar reports on the School Accountability Report Card (SARC)</w:t>
      </w:r>
      <w:r w:rsidR="00B801DA" w:rsidRPr="00B548D2">
        <w:rPr>
          <w:rFonts w:eastAsia="Arial" w:cs="Arial"/>
          <w:color w:val="000000" w:themeColor="text1"/>
        </w:rPr>
        <w:t>(</w:t>
      </w:r>
      <w:hyperlink r:id="rId71" w:tooltip="In March 2024 the SBE received an update about the 2024 Workplan for the Priority 1-Teacher Data">
        <w:r w:rsidR="00B801DA" w:rsidRPr="00B548D2">
          <w:rPr>
            <w:rStyle w:val="Hyperlink"/>
            <w:rFonts w:eastAsia="Arial"/>
          </w:rPr>
          <w:t>https://www.cde.ca.gov/be/ag/ag/yr24/documents/mar24item02.docx</w:t>
        </w:r>
      </w:hyperlink>
      <w:bookmarkStart w:id="1" w:name="_Hlk169098089"/>
      <w:r w:rsidR="00B801DA" w:rsidRPr="00B548D2">
        <w:rPr>
          <w:rFonts w:eastAsia="Arial" w:cs="Arial"/>
          <w:color w:val="000000" w:themeColor="text1"/>
        </w:rPr>
        <w:t>).</w:t>
      </w:r>
      <w:bookmarkEnd w:id="1"/>
    </w:p>
    <w:p w14:paraId="1BDB2F15" w14:textId="77777777" w:rsidR="000269ED" w:rsidRPr="00B548D2" w:rsidRDefault="000269ED" w:rsidP="000269ED">
      <w:pPr>
        <w:keepNext/>
        <w:keepLines/>
        <w:spacing w:after="240"/>
        <w:outlineLvl w:val="2"/>
        <w:rPr>
          <w:rFonts w:eastAsiaTheme="majorEastAsia" w:cstheme="majorBidi"/>
          <w:b/>
          <w:sz w:val="32"/>
        </w:rPr>
      </w:pPr>
      <w:r w:rsidRPr="00B548D2">
        <w:rPr>
          <w:rFonts w:eastAsiaTheme="majorEastAsia" w:cstheme="majorBidi"/>
          <w:b/>
          <w:sz w:val="32"/>
        </w:rPr>
        <w:lastRenderedPageBreak/>
        <w:t>Eligibility Criteria for Differentiated Assistance</w:t>
      </w:r>
    </w:p>
    <w:p w14:paraId="42AA0B93" w14:textId="77777777" w:rsidR="000269ED" w:rsidRPr="00B548D2" w:rsidRDefault="000269ED" w:rsidP="000269ED">
      <w:pPr>
        <w:spacing w:after="240"/>
        <w:rPr>
          <w:rFonts w:eastAsia="Calibri" w:cs="Arial"/>
          <w:szCs w:val="22"/>
        </w:rPr>
      </w:pPr>
      <w:r w:rsidRPr="00B548D2">
        <w:rPr>
          <w:rFonts w:eastAsia="Calibri" w:cs="Arial"/>
          <w:szCs w:val="22"/>
        </w:rPr>
        <w:t>In August 2016, an information memorandum provided a proposal for how the proposed performance levels on state indicators and local performance indicators will assist in identifying LEAs eligible for differentiated assistance and intensive intervention. (</w:t>
      </w:r>
      <w:hyperlink r:id="rId72" w:tooltip="California State Board August 2016 Item" w:history="1">
        <w:r w:rsidRPr="00B548D2">
          <w:rPr>
            <w:rFonts w:eastAsia="Calibri" w:cs="Arial"/>
            <w:color w:val="0000FF"/>
            <w:szCs w:val="22"/>
            <w:u w:val="single"/>
          </w:rPr>
          <w:t>http://www.cde.ca.gov/be/pn/im/documents/memo-sbe-aug16item02.doc</w:t>
        </w:r>
      </w:hyperlink>
      <w:r w:rsidRPr="00B548D2">
        <w:rPr>
          <w:rFonts w:eastAsia="Calibri" w:cs="Arial"/>
          <w:szCs w:val="22"/>
        </w:rPr>
        <w:t>).</w:t>
      </w:r>
    </w:p>
    <w:p w14:paraId="108AE32B" w14:textId="77777777" w:rsidR="000269ED" w:rsidRPr="00B548D2" w:rsidRDefault="000269ED" w:rsidP="000269ED">
      <w:pPr>
        <w:spacing w:after="240"/>
        <w:rPr>
          <w:rFonts w:eastAsia="Calibri" w:cs="Arial"/>
          <w:szCs w:val="22"/>
        </w:rPr>
      </w:pPr>
      <w:r w:rsidRPr="00B548D2">
        <w:rPr>
          <w:rFonts w:eastAsia="Calibri" w:cs="Arial"/>
          <w:szCs w:val="22"/>
        </w:rPr>
        <w:t xml:space="preserve">In September 2016, the SBE adopts the Local Control Funding Formula Evaluation Rubrics and Update on Local Control and Accountability Plan and Annual Update Template Revisions and Progress on </w:t>
      </w:r>
      <w:proofErr w:type="gramStart"/>
      <w:r w:rsidRPr="00B548D2">
        <w:rPr>
          <w:rFonts w:eastAsia="Calibri" w:cs="Arial"/>
          <w:szCs w:val="22"/>
        </w:rPr>
        <w:t>the Every</w:t>
      </w:r>
      <w:proofErr w:type="gramEnd"/>
      <w:r w:rsidRPr="00B548D2">
        <w:rPr>
          <w:rFonts w:eastAsia="Calibri" w:cs="Arial"/>
          <w:szCs w:val="22"/>
        </w:rPr>
        <w:t xml:space="preserve"> Student Succeeds Act State Plan. </w:t>
      </w:r>
      <w:r w:rsidRPr="00B548D2">
        <w:rPr>
          <w:rFonts w:eastAsia="Calibri" w:cs="Arial"/>
          <w:color w:val="0000FF"/>
          <w:szCs w:val="22"/>
          <w:u w:val="single"/>
        </w:rPr>
        <w:t>(</w:t>
      </w:r>
      <w:hyperlink r:id="rId73" w:tooltip="California State Board September 2016 Item" w:history="1">
        <w:r w:rsidRPr="00B548D2">
          <w:rPr>
            <w:rFonts w:eastAsia="Calibri" w:cs="Arial"/>
            <w:color w:val="0000FF"/>
            <w:szCs w:val="22"/>
            <w:u w:val="single"/>
          </w:rPr>
          <w:t>https://www.cde.ca.gov/be/ag/ag/yr16/documents/sep16item01.doc</w:t>
        </w:r>
      </w:hyperlink>
      <w:r w:rsidRPr="00B548D2">
        <w:rPr>
          <w:rFonts w:eastAsia="Calibri" w:cs="Arial"/>
          <w:color w:val="0000FF"/>
          <w:szCs w:val="22"/>
          <w:u w:val="single"/>
        </w:rPr>
        <w:t>)</w:t>
      </w:r>
    </w:p>
    <w:p w14:paraId="1E888EDC" w14:textId="77777777" w:rsidR="009227D0" w:rsidRPr="00B548D2" w:rsidRDefault="000269ED" w:rsidP="009227D0">
      <w:pPr>
        <w:rPr>
          <w:rFonts w:eastAsia="Calibri" w:cs="Arial"/>
          <w:szCs w:val="22"/>
        </w:rPr>
      </w:pPr>
      <w:r w:rsidRPr="00B548D2">
        <w:rPr>
          <w:rFonts w:eastAsia="Calibri" w:cs="Arial"/>
          <w:szCs w:val="22"/>
        </w:rPr>
        <w:t>In November 2016, the SBE further clarified the applicability of the criteria to charter schools.</w:t>
      </w:r>
    </w:p>
    <w:p w14:paraId="3B399727" w14:textId="1F9126C1" w:rsidR="000269ED" w:rsidRPr="00B548D2" w:rsidRDefault="000269ED" w:rsidP="000269ED">
      <w:pPr>
        <w:spacing w:after="240"/>
        <w:rPr>
          <w:rFonts w:eastAsia="Arial" w:cs="Arial"/>
          <w:szCs w:val="22"/>
        </w:rPr>
      </w:pPr>
      <w:r w:rsidRPr="00B548D2">
        <w:rPr>
          <w:rFonts w:eastAsia="Calibri" w:cs="Arial"/>
          <w:szCs w:val="22"/>
          <w:u w:val="single"/>
        </w:rPr>
        <w:t>(</w:t>
      </w:r>
      <w:hyperlink r:id="rId74" w:tooltip="California State Board November 2016 Item" w:history="1">
        <w:r w:rsidRPr="00B548D2">
          <w:rPr>
            <w:rFonts w:eastAsia="Calibri" w:cs="Arial"/>
            <w:color w:val="0000FF"/>
            <w:szCs w:val="22"/>
            <w:u w:val="single"/>
          </w:rPr>
          <w:t>https://www.cde.ca.gov/be/ag/ag/yr16/documents/nov16item03.doc)</w:t>
        </w:r>
      </w:hyperlink>
    </w:p>
    <w:p w14:paraId="2B68854A" w14:textId="77777777" w:rsidR="000269ED" w:rsidRPr="00B548D2" w:rsidRDefault="000269ED" w:rsidP="000269ED">
      <w:pPr>
        <w:spacing w:after="240"/>
        <w:rPr>
          <w:rFonts w:eastAsia="Arial" w:cs="Arial"/>
        </w:rPr>
      </w:pPr>
      <w:r w:rsidRPr="00B548D2">
        <w:rPr>
          <w:rFonts w:eastAsia="Arial" w:cs="Arial"/>
        </w:rPr>
        <w:t>In December 2017, the California Department of Education identified, in an Information Memorandum for the SBE, 228 LEAs that were eligible for differentiated assistance based on the Fall 2017 California School Dashboard (Dashboard) release. (</w:t>
      </w:r>
      <w:hyperlink r:id="rId75" w:tooltip="California State Board December 2017 Item" w:history="1">
        <w:r w:rsidRPr="00B548D2">
          <w:rPr>
            <w:rFonts w:eastAsia="Calibri" w:cs="Arial"/>
            <w:color w:val="0000FF"/>
            <w:szCs w:val="22"/>
            <w:u w:val="single"/>
          </w:rPr>
          <w:t>https://www.cde.ca.gov/be/pn/im/documents/memo-pptb-amard-dec17item02rev.docx</w:t>
        </w:r>
      </w:hyperlink>
      <w:r w:rsidRPr="00B548D2">
        <w:rPr>
          <w:rFonts w:eastAsia="Arial" w:cs="Arial"/>
        </w:rPr>
        <w:t>)</w:t>
      </w:r>
    </w:p>
    <w:p w14:paraId="63CE44B8" w14:textId="77777777" w:rsidR="000269ED" w:rsidRPr="00B548D2" w:rsidRDefault="000269ED" w:rsidP="000269ED">
      <w:pPr>
        <w:spacing w:after="240"/>
        <w:rPr>
          <w:rFonts w:eastAsia="Arial" w:cs="Arial"/>
        </w:rPr>
      </w:pPr>
      <w:r w:rsidRPr="00B548D2">
        <w:rPr>
          <w:rFonts w:eastAsia="Arial" w:cs="Arial"/>
        </w:rPr>
        <w:t xml:space="preserve">In March 2018, the CDE provided an update on the Implementation of the Local, State and Federal Accountability and Continuous Improvement System: Local Control Funding Formula Identification of Local Educational Agencies for Differentiated Assistance. </w:t>
      </w:r>
      <w:r w:rsidRPr="00B548D2">
        <w:rPr>
          <w:rFonts w:eastAsia="Calibri" w:cs="Arial"/>
          <w:szCs w:val="22"/>
        </w:rPr>
        <w:t>(</w:t>
      </w:r>
      <w:hyperlink r:id="rId76" w:tooltip="California State Board March 2018 Item" w:history="1">
        <w:r w:rsidRPr="00B548D2">
          <w:rPr>
            <w:rFonts w:eastAsia="Calibri" w:cs="Arial"/>
            <w:color w:val="0000FF"/>
            <w:szCs w:val="22"/>
            <w:u w:val="single"/>
          </w:rPr>
          <w:t>https://www.cde.ca.gov/be/ag/ag/yr18/documents/mar18item01.docx</w:t>
        </w:r>
      </w:hyperlink>
      <w:r w:rsidRPr="00B548D2">
        <w:rPr>
          <w:rFonts w:eastAsia="Calibri" w:cs="Arial"/>
          <w:szCs w:val="22"/>
        </w:rPr>
        <w:t>)</w:t>
      </w:r>
    </w:p>
    <w:p w14:paraId="7B2F22B4" w14:textId="77777777" w:rsidR="000269ED" w:rsidRPr="00B548D2" w:rsidRDefault="000269ED" w:rsidP="000269ED">
      <w:pPr>
        <w:tabs>
          <w:tab w:val="left" w:pos="450"/>
        </w:tabs>
        <w:spacing w:after="240"/>
        <w:rPr>
          <w:rFonts w:cs="Arial"/>
        </w:rPr>
      </w:pPr>
      <w:r w:rsidRPr="00B548D2">
        <w:rPr>
          <w:rFonts w:eastAsia="Arial" w:cs="Arial"/>
        </w:rPr>
        <w:t xml:space="preserve">In November 2018, the SBE approved the use of the ELPI Status for 2019 Local Control Funding Formula differentiated assistance and Every Student Succeeds Act (ESSA) school assistance eligibility </w:t>
      </w:r>
      <w:bookmarkStart w:id="2" w:name="_Int_oSjAT05a"/>
      <w:r w:rsidRPr="00B548D2">
        <w:rPr>
          <w:rFonts w:eastAsia="Arial" w:cs="Arial"/>
        </w:rPr>
        <w:t>determinations</w:t>
      </w:r>
      <w:bookmarkEnd w:id="2"/>
      <w:r w:rsidRPr="00B548D2">
        <w:rPr>
          <w:rFonts w:eastAsia="Arial" w:cs="Arial"/>
        </w:rPr>
        <w:t xml:space="preserve"> (</w:t>
      </w:r>
      <w:hyperlink r:id="rId77" w:tooltip="California State Board November 2018 Item">
        <w:r w:rsidRPr="00B548D2">
          <w:rPr>
            <w:rFonts w:eastAsia="Arial" w:cs="Arial"/>
            <w:color w:val="0000FF"/>
            <w:u w:val="single"/>
          </w:rPr>
          <w:t>https://www.cde.ca.gov/be/ag/ag/yr18/documents/nov18item04.docx</w:t>
        </w:r>
      </w:hyperlink>
      <w:r w:rsidRPr="00B548D2">
        <w:rPr>
          <w:rFonts w:eastAsia="Arial" w:cs="Arial"/>
        </w:rPr>
        <w:t>).</w:t>
      </w:r>
    </w:p>
    <w:p w14:paraId="5A5347C1" w14:textId="77777777" w:rsidR="000269ED" w:rsidRPr="00B548D2" w:rsidRDefault="000269ED" w:rsidP="000269ED">
      <w:pPr>
        <w:spacing w:after="240"/>
        <w:rPr>
          <w:rFonts w:eastAsia="Arial" w:cs="Arial"/>
        </w:rPr>
      </w:pPr>
      <w:r w:rsidRPr="00B548D2">
        <w:rPr>
          <w:rFonts w:eastAsia="Arial" w:cs="Arial"/>
        </w:rPr>
        <w:t>In September 2019, the SBE approved the criteria for determining LEA eligibility for differentiated assistance at its September 2016 meeting. (</w:t>
      </w:r>
      <w:hyperlink r:id="rId78" w:tooltip="California State Board September 2019 Item" w:history="1">
        <w:r w:rsidRPr="00B548D2">
          <w:rPr>
            <w:rFonts w:eastAsia="Calibri" w:cs="Arial"/>
            <w:color w:val="0000FF"/>
            <w:szCs w:val="22"/>
            <w:u w:val="single"/>
          </w:rPr>
          <w:t>https://www.cde.ca.gov/be/ag/ag/yr16/documents/sep16item01.doc</w:t>
        </w:r>
      </w:hyperlink>
      <w:r w:rsidRPr="00B548D2">
        <w:rPr>
          <w:rFonts w:eastAsia="Arial" w:cs="Arial"/>
        </w:rPr>
        <w:t>)</w:t>
      </w:r>
    </w:p>
    <w:p w14:paraId="47F49466" w14:textId="77777777" w:rsidR="000269ED" w:rsidRPr="00B548D2" w:rsidRDefault="000269ED" w:rsidP="000269ED">
      <w:pPr>
        <w:spacing w:after="240"/>
        <w:rPr>
          <w:rFonts w:eastAsia="Arial" w:cs="Arial"/>
        </w:rPr>
      </w:pPr>
      <w:r w:rsidRPr="00B548D2">
        <w:rPr>
          <w:rFonts w:eastAsia="Arial" w:cs="Arial"/>
        </w:rPr>
        <w:t>In December 2019, the CDE provided an update regarding LEAs that were eligible for differentiated assistance under Local Control Funding Formula (LCFF) in 2019 (</w:t>
      </w:r>
      <w:hyperlink r:id="rId79" w:tooltip="California State Board December 2019 Item">
        <w:r w:rsidRPr="00B548D2">
          <w:rPr>
            <w:rFonts w:eastAsia="Arial" w:cs="Arial"/>
            <w:color w:val="0000FF"/>
            <w:u w:val="single"/>
          </w:rPr>
          <w:t>https://www.cde.ca.gov/be/pn/im/documents/apr20memoamard01.docx</w:t>
        </w:r>
      </w:hyperlink>
      <w:r w:rsidRPr="00B548D2">
        <w:rPr>
          <w:rFonts w:eastAsia="Arial" w:cs="Arial"/>
        </w:rPr>
        <w:t>).</w:t>
      </w:r>
    </w:p>
    <w:p w14:paraId="0CEDEC5E" w14:textId="77777777" w:rsidR="000269ED" w:rsidRPr="00B548D2" w:rsidRDefault="000269ED" w:rsidP="000269ED">
      <w:pPr>
        <w:spacing w:after="240"/>
        <w:rPr>
          <w:rFonts w:eastAsia="Arial" w:cs="Arial"/>
          <w:szCs w:val="22"/>
        </w:rPr>
      </w:pPr>
      <w:r w:rsidRPr="00B548D2">
        <w:rPr>
          <w:rFonts w:eastAsia="Arial" w:cs="Arial"/>
          <w:szCs w:val="22"/>
        </w:rPr>
        <w:t>In March 2020, the CDE provided an update on the Implementation of the Local, State and Federal Accountability and Continuous Improvement System: Local Control Funding Formula Eligibility for Differentiated Assistance for Districts, County Offices of Education, and Charter Schools (</w:t>
      </w:r>
      <w:hyperlink r:id="rId80" w:tooltip="California State Board March 2020 Item" w:history="1">
        <w:r w:rsidRPr="00B548D2">
          <w:rPr>
            <w:rFonts w:eastAsia="Arial" w:cs="Arial"/>
            <w:color w:val="0000FF"/>
            <w:szCs w:val="22"/>
            <w:u w:val="single"/>
          </w:rPr>
          <w:t>https://www.cde.ca.gov/be/ag/ag/yr20/documents/mar20item05.docx</w:t>
        </w:r>
      </w:hyperlink>
      <w:r w:rsidRPr="00B548D2">
        <w:rPr>
          <w:rFonts w:eastAsia="Arial" w:cs="Arial"/>
          <w:szCs w:val="22"/>
        </w:rPr>
        <w:t>)</w:t>
      </w:r>
    </w:p>
    <w:p w14:paraId="1E91876D" w14:textId="77777777" w:rsidR="000269ED" w:rsidRPr="00B548D2" w:rsidRDefault="000269ED" w:rsidP="000269ED">
      <w:pPr>
        <w:rPr>
          <w:rFonts w:eastAsia="Arial" w:cs="Arial"/>
          <w:szCs w:val="22"/>
        </w:rPr>
      </w:pPr>
      <w:r w:rsidRPr="00B548D2">
        <w:rPr>
          <w:rFonts w:eastAsia="Arial" w:cs="Arial"/>
          <w:szCs w:val="22"/>
        </w:rPr>
        <w:lastRenderedPageBreak/>
        <w:t xml:space="preserve">In October 2021, the CDE Consistently Low-Performing Student Groups Per California Education Code Section 52064(e)(6)(A) and Consistently Low-Performing Schools Per California </w:t>
      </w:r>
      <w:r w:rsidRPr="00B548D2">
        <w:rPr>
          <w:rFonts w:eastAsia="Arial" w:cs="Arial"/>
          <w:i/>
          <w:szCs w:val="22"/>
        </w:rPr>
        <w:t>Education Code</w:t>
      </w:r>
      <w:r w:rsidRPr="00B548D2">
        <w:rPr>
          <w:rFonts w:eastAsia="Arial" w:cs="Arial"/>
          <w:szCs w:val="22"/>
        </w:rPr>
        <w:t xml:space="preserve"> Section 52064(e)(6)(B)</w:t>
      </w:r>
    </w:p>
    <w:p w14:paraId="500519B1" w14:textId="77777777" w:rsidR="000269ED" w:rsidRPr="00B548D2" w:rsidRDefault="000269ED" w:rsidP="000269ED">
      <w:pPr>
        <w:spacing w:after="240"/>
        <w:rPr>
          <w:rFonts w:eastAsia="Calibri" w:cs="Arial"/>
          <w:szCs w:val="22"/>
        </w:rPr>
      </w:pPr>
      <w:r w:rsidRPr="00B548D2">
        <w:rPr>
          <w:rFonts w:eastAsia="Arial" w:cs="Arial"/>
          <w:szCs w:val="22"/>
        </w:rPr>
        <w:t>(</w:t>
      </w:r>
      <w:hyperlink r:id="rId81" w:tooltip="California State Board October 2021 Item" w:history="1">
        <w:r w:rsidRPr="00B548D2">
          <w:rPr>
            <w:rFonts w:eastAsia="Calibri" w:cs="Arial"/>
            <w:color w:val="0000FF"/>
            <w:szCs w:val="22"/>
            <w:u w:val="single"/>
          </w:rPr>
          <w:t>https://www.cde.ca.gov/be/pn/im/documents/oct21memoamard01.docx</w:t>
        </w:r>
      </w:hyperlink>
      <w:r w:rsidRPr="00B548D2">
        <w:rPr>
          <w:rFonts w:eastAsia="Calibri" w:cs="Arial"/>
          <w:szCs w:val="22"/>
        </w:rPr>
        <w:t>)</w:t>
      </w:r>
    </w:p>
    <w:p w14:paraId="6EB784DF" w14:textId="77777777" w:rsidR="000269ED" w:rsidRPr="00B548D2" w:rsidRDefault="000269ED" w:rsidP="000269ED">
      <w:pPr>
        <w:spacing w:after="240"/>
        <w:rPr>
          <w:rFonts w:asciiTheme="minorBidi" w:hAnsiTheme="minorBidi" w:cstheme="minorBidi"/>
        </w:rPr>
      </w:pPr>
      <w:r w:rsidRPr="00B548D2">
        <w:rPr>
          <w:rFonts w:eastAsia="Calibri" w:cs="Arial"/>
          <w:szCs w:val="22"/>
        </w:rPr>
        <w:t xml:space="preserve">In September 2022, the SBE adopted the </w:t>
      </w:r>
      <w:r w:rsidRPr="00B548D2">
        <w:t>use of the lowest Status level as a proxy for Red as reported on the 2022 Dashboard to determine county offices of education and districts eligible for Differentiated Assistance (</w:t>
      </w:r>
      <w:hyperlink r:id="rId82" w:tooltip="County offices of education and districts eligible for Differentiated Assistance" w:history="1">
        <w:r w:rsidRPr="00B548D2">
          <w:rPr>
            <w:rFonts w:asciiTheme="minorBidi" w:hAnsiTheme="minorBidi" w:cstheme="minorBidi"/>
            <w:color w:val="0000FF"/>
            <w:u w:val="single"/>
          </w:rPr>
          <w:t>https://www.cde.ca.gov/be/ag/ag/yr22/documents/sep22item03.docx</w:t>
        </w:r>
      </w:hyperlink>
      <w:r w:rsidRPr="00B548D2">
        <w:rPr>
          <w:rFonts w:asciiTheme="minorBidi" w:hAnsiTheme="minorBidi" w:cstheme="minorBidi"/>
        </w:rPr>
        <w:t>).</w:t>
      </w:r>
    </w:p>
    <w:p w14:paraId="11715C98" w14:textId="77777777" w:rsidR="000269ED" w:rsidRPr="00B548D2" w:rsidRDefault="000269ED" w:rsidP="000269ED">
      <w:pPr>
        <w:spacing w:after="240"/>
        <w:rPr>
          <w:rFonts w:eastAsia="Arial" w:cs="Arial"/>
        </w:rPr>
      </w:pPr>
      <w:r w:rsidRPr="00B548D2">
        <w:rPr>
          <w:rFonts w:eastAsia="Arial" w:cs="Arial"/>
        </w:rPr>
        <w:t>In December 2022, the CDE provided an update regarding LEAs that were eligible for differentiated assistance under LCFF in 2022. A revised update to this memo was provided to the SBE in February 2023 (</w:t>
      </w:r>
      <w:hyperlink r:id="rId83" w:tooltip="CSI/ATSI SBE Information Memorandum February 2023" w:history="1">
        <w:r w:rsidRPr="00B548D2">
          <w:rPr>
            <w:color w:val="0000FF"/>
            <w:u w:val="single"/>
          </w:rPr>
          <w:t>https://www.cde.ca.gov/be/pn/im/documents/feb23memoamard01revb.docx</w:t>
        </w:r>
      </w:hyperlink>
      <w:r w:rsidRPr="00B548D2">
        <w:rPr>
          <w:rFonts w:eastAsia="Arial" w:cs="Arial"/>
        </w:rPr>
        <w:t>).</w:t>
      </w:r>
    </w:p>
    <w:p w14:paraId="44F9F72E" w14:textId="77777777" w:rsidR="000269ED" w:rsidRPr="00B548D2" w:rsidRDefault="000269ED" w:rsidP="000269ED">
      <w:pPr>
        <w:spacing w:before="240" w:after="240"/>
        <w:rPr>
          <w:rFonts w:eastAsia="Arial" w:cs="Arial"/>
        </w:rPr>
      </w:pPr>
      <w:r w:rsidRPr="00B548D2">
        <w:rPr>
          <w:rFonts w:eastAsia="Arial" w:cs="Arial"/>
          <w:color w:val="000000" w:themeColor="text1"/>
        </w:rPr>
        <w:t xml:space="preserve">In September 2023, the CDE presented the workplan for the differentiated assistance criteria and recommended inclusion of using </w:t>
      </w:r>
      <w:r w:rsidRPr="00B548D2">
        <w:t xml:space="preserve">the status of College/Career indicator on the 2023 Dashboard in the criteria. </w:t>
      </w:r>
      <w:r w:rsidRPr="00B548D2">
        <w:rPr>
          <w:rFonts w:asciiTheme="minorHAnsi" w:eastAsiaTheme="minorEastAsia" w:hAnsiTheme="minorHAnsi" w:cstheme="minorBidi"/>
          <w:color w:val="000000" w:themeColor="text1"/>
        </w:rPr>
        <w:t>(</w:t>
      </w:r>
      <w:hyperlink r:id="rId84" w:tooltip="September 2023 SBE Item 8" w:history="1">
        <w:r w:rsidRPr="00B548D2">
          <w:rPr>
            <w:rFonts w:eastAsiaTheme="minorEastAsia" w:cs="Arial"/>
            <w:color w:val="0000FF"/>
            <w:u w:val="single"/>
          </w:rPr>
          <w:t>https://www.cde.ca.gov/be/ag/ag/yr23/documents/sep23item08.docx</w:t>
        </w:r>
      </w:hyperlink>
      <w:r w:rsidRPr="00B548D2">
        <w:rPr>
          <w:rFonts w:eastAsia="Arial" w:cs="Arial"/>
        </w:rPr>
        <w:t>)</w:t>
      </w:r>
    </w:p>
    <w:p w14:paraId="1725EFAF" w14:textId="77777777" w:rsidR="009227D0" w:rsidRPr="00B548D2" w:rsidRDefault="007A198B" w:rsidP="009227D0">
      <w:pPr>
        <w:spacing w:line="259" w:lineRule="auto"/>
        <w:rPr>
          <w:rFonts w:eastAsia="Arial" w:cs="Arial"/>
          <w:color w:val="000000" w:themeColor="text1"/>
        </w:rPr>
      </w:pPr>
      <w:r w:rsidRPr="00B548D2">
        <w:rPr>
          <w:rFonts w:eastAsia="Arial" w:cs="Arial"/>
          <w:color w:val="000000" w:themeColor="text1"/>
        </w:rPr>
        <w:t>In March 2024, the SBE discussed the 2024 Workplan for Differentiated Assistance Criteria. The CDE will work to incorporate a new metric into the differentiated assistance criteria for the SBE to adopt at their July meeting.</w:t>
      </w:r>
    </w:p>
    <w:p w14:paraId="5695AE62" w14:textId="244571A8" w:rsidR="007A198B" w:rsidRPr="00B548D2" w:rsidRDefault="007A198B" w:rsidP="007A198B">
      <w:pPr>
        <w:spacing w:after="160" w:line="259" w:lineRule="auto"/>
        <w:rPr>
          <w:rFonts w:eastAsia="Arial" w:cs="Arial"/>
          <w:color w:val="000000" w:themeColor="text1"/>
        </w:rPr>
      </w:pPr>
      <w:r w:rsidRPr="00B548D2">
        <w:rPr>
          <w:rFonts w:eastAsia="Arial" w:cs="Arial"/>
          <w:color w:val="000000" w:themeColor="text1"/>
        </w:rPr>
        <w:t>(</w:t>
      </w:r>
      <w:hyperlink r:id="rId85" w:history="1">
        <w:r w:rsidRPr="00B548D2">
          <w:rPr>
            <w:rStyle w:val="Hyperlink"/>
            <w:rFonts w:eastAsia="Arial"/>
          </w:rPr>
          <w:t>https://www.cde.ca.gov/be/ag/ag/yr24/documents/mar24item02.docx</w:t>
        </w:r>
      </w:hyperlink>
      <w:r w:rsidRPr="00B548D2">
        <w:rPr>
          <w:rFonts w:eastAsia="Arial" w:cs="Arial"/>
          <w:color w:val="000000" w:themeColor="text1"/>
        </w:rPr>
        <w:t>).</w:t>
      </w:r>
    </w:p>
    <w:p w14:paraId="448C6FE2" w14:textId="77777777" w:rsidR="000269ED" w:rsidRPr="00B548D2" w:rsidRDefault="000269ED" w:rsidP="000269ED">
      <w:pPr>
        <w:pStyle w:val="Heading2"/>
        <w:spacing w:before="0"/>
        <w:rPr>
          <w:szCs w:val="36"/>
        </w:rPr>
      </w:pPr>
      <w:r w:rsidRPr="00B548D2">
        <w:rPr>
          <w:szCs w:val="36"/>
        </w:rPr>
        <w:t>Fiscal Analysis (as appropriate)</w:t>
      </w:r>
    </w:p>
    <w:p w14:paraId="5AAD1894" w14:textId="77777777" w:rsidR="000269ED" w:rsidRPr="00B548D2" w:rsidRDefault="000269ED" w:rsidP="000269ED">
      <w:pPr>
        <w:spacing w:beforeAutospacing="1" w:afterAutospacing="1"/>
        <w:rPr>
          <w:rFonts w:cs="Arial"/>
          <w:color w:val="000000" w:themeColor="text1"/>
        </w:rPr>
      </w:pPr>
      <w:r w:rsidRPr="00B548D2">
        <w:rPr>
          <w:rFonts w:cs="Arial"/>
          <w:color w:val="000000" w:themeColor="text1"/>
        </w:rPr>
        <w:t>California’s total kindergarten through grade twelve funding within the 2023–24 California Budget Act is $127.8 billion from the following sources:</w:t>
      </w:r>
    </w:p>
    <w:p w14:paraId="3D94B9B0" w14:textId="77777777" w:rsidR="000269ED" w:rsidRPr="00B548D2" w:rsidRDefault="000269ED" w:rsidP="00B058BC">
      <w:pPr>
        <w:pStyle w:val="ListParagraph"/>
        <w:numPr>
          <w:ilvl w:val="0"/>
          <w:numId w:val="12"/>
        </w:numPr>
        <w:spacing w:beforeAutospacing="1" w:after="0" w:afterAutospacing="1"/>
        <w:contextualSpacing/>
        <w:rPr>
          <w:rFonts w:cs="Arial"/>
          <w:color w:val="000000" w:themeColor="text1"/>
        </w:rPr>
      </w:pPr>
      <w:r w:rsidRPr="00B548D2">
        <w:rPr>
          <w:rFonts w:cs="Arial"/>
          <w:color w:val="000000" w:themeColor="text1"/>
        </w:rPr>
        <w:t>State: $80.0 billion (62.6 percent)</w:t>
      </w:r>
    </w:p>
    <w:p w14:paraId="0DA45933" w14:textId="77777777" w:rsidR="000269ED" w:rsidRPr="00B548D2" w:rsidRDefault="000269ED" w:rsidP="00B058BC">
      <w:pPr>
        <w:pStyle w:val="ListParagraph"/>
        <w:numPr>
          <w:ilvl w:val="0"/>
          <w:numId w:val="11"/>
        </w:numPr>
        <w:spacing w:beforeAutospacing="1" w:after="0" w:afterAutospacing="1"/>
        <w:contextualSpacing/>
        <w:rPr>
          <w:rFonts w:cs="Arial"/>
          <w:color w:val="000000" w:themeColor="text1"/>
        </w:rPr>
      </w:pPr>
      <w:r w:rsidRPr="00B548D2">
        <w:rPr>
          <w:rFonts w:cs="Arial"/>
          <w:color w:val="000000" w:themeColor="text1"/>
        </w:rPr>
        <w:t>Federal: $8.4 billion (6.6 percent)</w:t>
      </w:r>
    </w:p>
    <w:p w14:paraId="74FEBF35" w14:textId="77777777" w:rsidR="000269ED" w:rsidRPr="00B548D2" w:rsidRDefault="000269ED" w:rsidP="00936AE7">
      <w:pPr>
        <w:pStyle w:val="ListParagraph"/>
        <w:numPr>
          <w:ilvl w:val="0"/>
          <w:numId w:val="10"/>
        </w:numPr>
        <w:spacing w:before="100" w:beforeAutospacing="1" w:after="100" w:afterAutospacing="1"/>
        <w:contextualSpacing/>
        <w:rPr>
          <w:rFonts w:cs="Arial"/>
          <w:color w:val="000000" w:themeColor="text1"/>
        </w:rPr>
      </w:pPr>
      <w:r w:rsidRPr="00B548D2">
        <w:rPr>
          <w:rFonts w:cs="Arial"/>
          <w:color w:val="000000" w:themeColor="text1"/>
        </w:rPr>
        <w:t>Local: $38.0 billion (29.7 percent)</w:t>
      </w:r>
    </w:p>
    <w:p w14:paraId="6BFA519B" w14:textId="77777777" w:rsidR="000269ED" w:rsidRPr="00B548D2" w:rsidRDefault="000269ED" w:rsidP="000269ED">
      <w:pPr>
        <w:pStyle w:val="Heading2"/>
        <w:spacing w:before="0"/>
        <w:rPr>
          <w:szCs w:val="36"/>
        </w:rPr>
      </w:pPr>
      <w:r w:rsidRPr="00B548D2">
        <w:rPr>
          <w:szCs w:val="36"/>
        </w:rPr>
        <w:t>Attachment(s)</w:t>
      </w:r>
    </w:p>
    <w:p w14:paraId="7D19A329" w14:textId="1000CAC9" w:rsidR="000269ED" w:rsidRPr="00B548D2" w:rsidRDefault="000269ED" w:rsidP="00B058BC">
      <w:pPr>
        <w:pStyle w:val="ListParagraph"/>
        <w:numPr>
          <w:ilvl w:val="0"/>
          <w:numId w:val="22"/>
        </w:numPr>
        <w:rPr>
          <w:rFonts w:cs="Arial"/>
          <w:szCs w:val="36"/>
        </w:rPr>
      </w:pPr>
      <w:r w:rsidRPr="00B548D2">
        <w:t>Attachment 1: Revisions Under Consideration and Updates for the 2024 California School Dashboard</w:t>
      </w:r>
      <w:r w:rsidRPr="00B548D2" w:rsidDel="005A19CD">
        <w:t xml:space="preserve"> </w:t>
      </w:r>
      <w:r w:rsidRPr="00B548D2">
        <w:t>(1</w:t>
      </w:r>
      <w:r w:rsidR="0087459C">
        <w:t>5</w:t>
      </w:r>
      <w:r w:rsidRPr="00B548D2">
        <w:t xml:space="preserve"> Pages)</w:t>
      </w:r>
    </w:p>
    <w:p w14:paraId="127C67B9" w14:textId="7755D2C7" w:rsidR="000269ED" w:rsidRPr="00B548D2" w:rsidRDefault="000269ED" w:rsidP="00B058BC">
      <w:pPr>
        <w:pStyle w:val="ListParagraph"/>
        <w:numPr>
          <w:ilvl w:val="0"/>
          <w:numId w:val="22"/>
        </w:numPr>
        <w:spacing w:after="0"/>
        <w:contextualSpacing/>
        <w:rPr>
          <w:rFonts w:eastAsia="Arial"/>
        </w:rPr>
      </w:pPr>
      <w:r w:rsidRPr="00B548D2">
        <w:t xml:space="preserve">Attachment 2: </w:t>
      </w:r>
      <w:r w:rsidRPr="00B548D2">
        <w:rPr>
          <w:rFonts w:eastAsia="Arial"/>
        </w:rPr>
        <w:t>California School Dashboard Educational Outreach Activities (</w:t>
      </w:r>
      <w:r w:rsidR="00B9358D">
        <w:rPr>
          <w:rFonts w:eastAsia="Arial"/>
        </w:rPr>
        <w:t>3</w:t>
      </w:r>
      <w:r w:rsidRPr="00B548D2">
        <w:rPr>
          <w:rFonts w:eastAsia="Arial"/>
        </w:rPr>
        <w:t xml:space="preserve"> Pages)</w:t>
      </w:r>
    </w:p>
    <w:p w14:paraId="424127B7" w14:textId="77777777" w:rsidR="00B44163" w:rsidRPr="00B548D2" w:rsidRDefault="0054460C" w:rsidP="0054460C">
      <w:pPr>
        <w:contextualSpacing/>
        <w:rPr>
          <w:rFonts w:eastAsia="Arial"/>
        </w:rPr>
        <w:sectPr w:rsidR="00B44163" w:rsidRPr="00B548D2" w:rsidSect="0005784D">
          <w:headerReference w:type="default" r:id="rId86"/>
          <w:headerReference w:type="first" r:id="rId87"/>
          <w:footerReference w:type="first" r:id="rId88"/>
          <w:type w:val="continuous"/>
          <w:pgSz w:w="12240" w:h="15840"/>
          <w:pgMar w:top="1440" w:right="1440" w:bottom="1440" w:left="1440" w:header="720" w:footer="720" w:gutter="0"/>
          <w:pgNumType w:start="1"/>
          <w:cols w:space="720"/>
          <w:titlePg/>
          <w:docGrid w:linePitch="360"/>
        </w:sectPr>
      </w:pPr>
      <w:r w:rsidRPr="00B548D2">
        <w:rPr>
          <w:rFonts w:eastAsia="Arial"/>
        </w:rPr>
        <w:br w:type="page"/>
      </w:r>
    </w:p>
    <w:p w14:paraId="3683F729" w14:textId="11FA2C29" w:rsidR="000269ED" w:rsidRPr="009C2DDF" w:rsidRDefault="000269ED" w:rsidP="009C2DDF">
      <w:pPr>
        <w:pStyle w:val="Heading1"/>
        <w:spacing w:after="120"/>
        <w:jc w:val="left"/>
        <w:rPr>
          <w:rFonts w:eastAsia="Arial" w:cs="Arial"/>
          <w:bCs/>
          <w:color w:val="000000" w:themeColor="text1"/>
          <w:szCs w:val="40"/>
        </w:rPr>
      </w:pPr>
      <w:r w:rsidRPr="00B548D2">
        <w:rPr>
          <w:rFonts w:eastAsia="Arial" w:cs="Arial"/>
          <w:bCs/>
          <w:color w:val="000000" w:themeColor="text1"/>
          <w:szCs w:val="40"/>
        </w:rPr>
        <w:lastRenderedPageBreak/>
        <w:t>Attachment 1:</w:t>
      </w:r>
      <w:r w:rsidR="009C2DDF">
        <w:rPr>
          <w:rFonts w:eastAsia="Arial" w:cs="Arial"/>
          <w:bCs/>
          <w:color w:val="000000" w:themeColor="text1"/>
          <w:szCs w:val="40"/>
        </w:rPr>
        <w:br/>
      </w:r>
      <w:r w:rsidRPr="00B548D2">
        <w:rPr>
          <w:rFonts w:eastAsia="Arial" w:cs="Arial"/>
          <w:bCs/>
          <w:color w:val="000000" w:themeColor="text1"/>
          <w:szCs w:val="40"/>
        </w:rPr>
        <w:t>Revisions Under Consideration and Updates for the 2024 California School Dashboard</w:t>
      </w:r>
    </w:p>
    <w:p w14:paraId="7FADB456" w14:textId="77777777" w:rsidR="000269ED" w:rsidRPr="00B548D2" w:rsidRDefault="000269ED" w:rsidP="000269ED">
      <w:r w:rsidRPr="00B548D2">
        <w:t>The State Board of Education (SBE) annually reviews the California School Dashboard (Dashboard) indicators and performance standards to consider whether changes or improvements are needed based on newly available data, recent research, and feedback from educational partners. The annual review process requires that the California Department of Education (CDE) update the SBE at their March meeting on which indicators are under consideration for review and/or revisions for action by the SBE. The CDE proposed the following indicators and topics in March 2024 annual workplan to bring back to the SBE for further review:</w:t>
      </w:r>
    </w:p>
    <w:p w14:paraId="45EC3C48" w14:textId="12D3F3B5" w:rsidR="000269ED" w:rsidRPr="00B548D2" w:rsidRDefault="000269ED" w:rsidP="00B058BC">
      <w:pPr>
        <w:pStyle w:val="ListParagraph"/>
        <w:numPr>
          <w:ilvl w:val="0"/>
          <w:numId w:val="9"/>
        </w:numPr>
        <w:spacing w:before="240" w:after="0"/>
        <w:contextualSpacing/>
      </w:pPr>
      <w:r w:rsidRPr="00B548D2">
        <w:t>Incorporation of the Science Assessment Results into the Dashboard</w:t>
      </w:r>
    </w:p>
    <w:p w14:paraId="12D16582" w14:textId="68392026" w:rsidR="000269ED" w:rsidRPr="00B548D2" w:rsidRDefault="000269ED" w:rsidP="00B058BC">
      <w:pPr>
        <w:pStyle w:val="ListParagraph"/>
        <w:numPr>
          <w:ilvl w:val="0"/>
          <w:numId w:val="9"/>
        </w:numPr>
        <w:spacing w:before="240" w:after="0"/>
        <w:contextualSpacing/>
      </w:pPr>
      <w:r w:rsidRPr="00B548D2">
        <w:t>New Student Population: Long-Term English Learners</w:t>
      </w:r>
    </w:p>
    <w:p w14:paraId="062FED6B" w14:textId="692205EA" w:rsidR="000269ED" w:rsidRPr="00B548D2" w:rsidRDefault="000269ED" w:rsidP="00B058BC">
      <w:pPr>
        <w:pStyle w:val="ListParagraph"/>
        <w:numPr>
          <w:ilvl w:val="0"/>
          <w:numId w:val="9"/>
        </w:numPr>
        <w:spacing w:before="240" w:after="0"/>
        <w:contextualSpacing/>
      </w:pPr>
      <w:r w:rsidRPr="00B548D2">
        <w:t>Criteria for 2024 Differentiated Assistance Identification</w:t>
      </w:r>
    </w:p>
    <w:p w14:paraId="697B0673" w14:textId="63D4B07F" w:rsidR="47441F0E" w:rsidRPr="00B548D2" w:rsidRDefault="47441F0E" w:rsidP="6C728352">
      <w:pPr>
        <w:spacing w:before="240"/>
        <w:contextualSpacing/>
      </w:pPr>
      <w:r w:rsidRPr="00B548D2">
        <w:t xml:space="preserve">Additionally, </w:t>
      </w:r>
      <w:r w:rsidR="092079AD" w:rsidRPr="00B548D2">
        <w:t>there were items in the March 2024 annual</w:t>
      </w:r>
      <w:r w:rsidR="000F3FC6" w:rsidRPr="00B548D2">
        <w:t xml:space="preserve"> Accountability</w:t>
      </w:r>
      <w:r w:rsidR="092079AD" w:rsidRPr="00B548D2">
        <w:t xml:space="preserve"> workplan that required no additional review. W</w:t>
      </w:r>
      <w:r w:rsidRPr="00B548D2">
        <w:t xml:space="preserve">e </w:t>
      </w:r>
      <w:r w:rsidR="5F793D84" w:rsidRPr="00B548D2">
        <w:t>will continue our work</w:t>
      </w:r>
      <w:r w:rsidR="000F3FC6" w:rsidRPr="00B548D2">
        <w:t xml:space="preserve"> supporting the field</w:t>
      </w:r>
      <w:r w:rsidR="5F793D84" w:rsidRPr="00B548D2">
        <w:t xml:space="preserve"> on the following topics </w:t>
      </w:r>
      <w:r w:rsidR="0D0BDECE" w:rsidRPr="00B548D2">
        <w:t xml:space="preserve">as described in </w:t>
      </w:r>
      <w:r w:rsidR="5F793D84" w:rsidRPr="00B548D2">
        <w:t xml:space="preserve">the </w:t>
      </w:r>
      <w:r w:rsidR="547D7601" w:rsidRPr="00B548D2">
        <w:t xml:space="preserve">Accountability </w:t>
      </w:r>
      <w:r w:rsidR="5F793D84" w:rsidRPr="00B548D2">
        <w:t>workplan:</w:t>
      </w:r>
    </w:p>
    <w:p w14:paraId="31D870C7" w14:textId="654A295F" w:rsidR="60295D41" w:rsidRPr="00B548D2" w:rsidRDefault="60295D41" w:rsidP="6C728352">
      <w:pPr>
        <w:pStyle w:val="ListParagraph"/>
        <w:numPr>
          <w:ilvl w:val="0"/>
          <w:numId w:val="27"/>
        </w:numPr>
        <w:spacing w:before="240" w:after="0"/>
        <w:contextualSpacing/>
      </w:pPr>
      <w:r w:rsidRPr="00B548D2">
        <w:t>New student population: Transitional Kindergarteners (TK)</w:t>
      </w:r>
    </w:p>
    <w:p w14:paraId="700347BC" w14:textId="0BDD9CBE" w:rsidR="60295D41" w:rsidRPr="00B548D2" w:rsidRDefault="60295D41" w:rsidP="6C728352">
      <w:pPr>
        <w:pStyle w:val="ListParagraph"/>
        <w:numPr>
          <w:ilvl w:val="0"/>
          <w:numId w:val="27"/>
        </w:numPr>
        <w:spacing w:before="240" w:after="0"/>
        <w:contextualSpacing/>
      </w:pPr>
      <w:r w:rsidRPr="00B548D2">
        <w:t>College/Career Indicator (CCI)</w:t>
      </w:r>
    </w:p>
    <w:p w14:paraId="0CA31D92" w14:textId="42427DB7" w:rsidR="60295D41" w:rsidRPr="00B548D2" w:rsidRDefault="60295D41" w:rsidP="6C728352">
      <w:pPr>
        <w:pStyle w:val="ListParagraph"/>
        <w:numPr>
          <w:ilvl w:val="0"/>
          <w:numId w:val="27"/>
        </w:numPr>
        <w:spacing w:before="240" w:after="0"/>
        <w:contextualSpacing/>
      </w:pPr>
      <w:r w:rsidRPr="00B548D2">
        <w:t>Student level growth model data</w:t>
      </w:r>
    </w:p>
    <w:p w14:paraId="2A9DDF0C" w14:textId="72E79245" w:rsidR="60295D41" w:rsidRPr="00B548D2" w:rsidRDefault="60295D41" w:rsidP="6C728352">
      <w:pPr>
        <w:pStyle w:val="ListParagraph"/>
        <w:numPr>
          <w:ilvl w:val="0"/>
          <w:numId w:val="27"/>
        </w:numPr>
        <w:spacing w:before="240" w:after="0"/>
        <w:contextualSpacing/>
      </w:pPr>
      <w:r w:rsidRPr="00B548D2">
        <w:t>Priority 1: State level data</w:t>
      </w:r>
    </w:p>
    <w:p w14:paraId="77B3D665" w14:textId="77777777" w:rsidR="000269ED" w:rsidRPr="00B548D2" w:rsidRDefault="000269ED" w:rsidP="000269ED">
      <w:pPr>
        <w:pStyle w:val="Heading2"/>
        <w:rPr>
          <w:rFonts w:eastAsia="Arial" w:cs="Arial"/>
          <w:sz w:val="24"/>
          <w:szCs w:val="24"/>
        </w:rPr>
      </w:pPr>
      <w:r w:rsidRPr="00B548D2">
        <w:rPr>
          <w:rFonts w:eastAsia="Arial" w:cs="Arial"/>
          <w:bCs/>
          <w:color w:val="000000" w:themeColor="text1"/>
          <w:szCs w:val="36"/>
        </w:rPr>
        <w:t xml:space="preserve">Incorporate Science Assessment Results </w:t>
      </w:r>
      <w:proofErr w:type="gramStart"/>
      <w:r w:rsidRPr="00B548D2">
        <w:rPr>
          <w:rFonts w:eastAsia="Arial" w:cs="Arial"/>
          <w:bCs/>
          <w:color w:val="000000" w:themeColor="text1"/>
          <w:szCs w:val="36"/>
        </w:rPr>
        <w:t>Into</w:t>
      </w:r>
      <w:proofErr w:type="gramEnd"/>
      <w:r w:rsidRPr="00B548D2">
        <w:rPr>
          <w:rFonts w:eastAsia="Arial" w:cs="Arial"/>
          <w:bCs/>
          <w:color w:val="000000" w:themeColor="text1"/>
          <w:szCs w:val="36"/>
        </w:rPr>
        <w:t xml:space="preserve"> the Dashboard</w:t>
      </w:r>
    </w:p>
    <w:p w14:paraId="4934C731" w14:textId="449D8148" w:rsidR="000269ED" w:rsidRPr="00B548D2" w:rsidRDefault="000269ED" w:rsidP="000269ED">
      <w:r w:rsidRPr="00B548D2">
        <w:t>The CDE presented Table 1, which outlines a two-year timeline</w:t>
      </w:r>
      <w:r w:rsidR="00074B2D" w:rsidRPr="00B548D2">
        <w:t>,</w:t>
      </w:r>
      <w:r w:rsidRPr="00B548D2">
        <w:t xml:space="preserve"> to the SBE in March 2024 for adding Science to the Dashboard. The metric is based on results from the California Science Test (CAST) and California Alternate Assessment for Science (CAA-Science). In 2024, the CDE worked to complete the first phase of work to find an accurate, reliable and valid metric to use on the Dashboard</w:t>
      </w:r>
      <w:r w:rsidR="0034ADE1" w:rsidRPr="00B548D2">
        <w:t xml:space="preserve"> and</w:t>
      </w:r>
      <w:r w:rsidRPr="00B548D2">
        <w:t xml:space="preserve"> options to display the results.</w:t>
      </w:r>
    </w:p>
    <w:p w14:paraId="08CA8F3A" w14:textId="77777777" w:rsidR="000269ED" w:rsidRPr="00B548D2" w:rsidRDefault="000269ED" w:rsidP="000269ED">
      <w:pPr>
        <w:pStyle w:val="Heading3"/>
        <w:rPr>
          <w:sz w:val="24"/>
        </w:rPr>
      </w:pPr>
      <w:r w:rsidRPr="00B548D2">
        <w:t>Dashboard Principles</w:t>
      </w:r>
    </w:p>
    <w:p w14:paraId="5DE5512D" w14:textId="77777777" w:rsidR="000269ED" w:rsidRPr="00B548D2" w:rsidRDefault="000269ED" w:rsidP="000269ED">
      <w:pPr>
        <w:spacing w:after="240"/>
        <w:rPr>
          <w:rFonts w:eastAsia="Arial" w:cs="Arial"/>
          <w:color w:val="000000" w:themeColor="text1"/>
        </w:rPr>
      </w:pPr>
      <w:r w:rsidRPr="00B548D2">
        <w:rPr>
          <w:rFonts w:eastAsia="Arial" w:cs="Arial"/>
          <w:color w:val="000000" w:themeColor="text1"/>
        </w:rPr>
        <w:t>The work on this state indicator aligns with the following Dashboard Principles:</w:t>
      </w:r>
    </w:p>
    <w:p w14:paraId="41681286" w14:textId="77777777" w:rsidR="000269ED" w:rsidRPr="00B548D2" w:rsidRDefault="000269ED" w:rsidP="00B058BC">
      <w:pPr>
        <w:pStyle w:val="Default"/>
        <w:numPr>
          <w:ilvl w:val="0"/>
          <w:numId w:val="23"/>
        </w:numPr>
        <w:spacing w:after="240"/>
        <w:rPr>
          <w:rFonts w:eastAsia="Arial"/>
          <w:color w:val="000000" w:themeColor="text1"/>
        </w:rPr>
      </w:pPr>
      <w:r w:rsidRPr="00B548D2">
        <w:rPr>
          <w:rFonts w:eastAsia="Arial"/>
          <w:color w:val="000000" w:themeColor="text1"/>
        </w:rPr>
        <w:t>Principle 5: Values high performance and growth equally.</w:t>
      </w:r>
    </w:p>
    <w:p w14:paraId="509B7D17" w14:textId="77777777" w:rsidR="000269ED" w:rsidRPr="00B548D2" w:rsidRDefault="000269ED" w:rsidP="00B058BC">
      <w:pPr>
        <w:pStyle w:val="Default"/>
        <w:numPr>
          <w:ilvl w:val="0"/>
          <w:numId w:val="23"/>
        </w:numPr>
        <w:spacing w:after="240"/>
        <w:rPr>
          <w:rFonts w:eastAsia="Arial"/>
          <w:color w:val="000000" w:themeColor="text1"/>
        </w:rPr>
      </w:pPr>
      <w:r w:rsidRPr="00B548D2">
        <w:rPr>
          <w:rFonts w:eastAsia="Arial"/>
          <w:color w:val="000000" w:themeColor="text1"/>
        </w:rPr>
        <w:lastRenderedPageBreak/>
        <w:t>Principle 8: Reflects technical quality through measures that are valid and reliable.</w:t>
      </w:r>
    </w:p>
    <w:p w14:paraId="781AB019" w14:textId="77777777" w:rsidR="000269ED" w:rsidRPr="00B548D2" w:rsidRDefault="000269ED" w:rsidP="00B058BC">
      <w:pPr>
        <w:pStyle w:val="Default"/>
        <w:numPr>
          <w:ilvl w:val="0"/>
          <w:numId w:val="23"/>
        </w:numPr>
        <w:spacing w:after="240"/>
        <w:rPr>
          <w:rFonts w:eastAsia="Arial"/>
          <w:color w:val="000000" w:themeColor="text1"/>
        </w:rPr>
      </w:pPr>
      <w:r w:rsidRPr="00B548D2">
        <w:rPr>
          <w:rFonts w:eastAsia="Arial"/>
          <w:color w:val="000000" w:themeColor="text1"/>
        </w:rPr>
        <w:t>Principle 11: Is subject to continuous revision and improvement.</w:t>
      </w:r>
    </w:p>
    <w:p w14:paraId="32E299A2" w14:textId="7D63F630" w:rsidR="000269ED" w:rsidRPr="00B548D2" w:rsidRDefault="000269ED" w:rsidP="000269ED">
      <w:pPr>
        <w:pStyle w:val="Heading3"/>
      </w:pPr>
      <w:r w:rsidRPr="00B548D2">
        <w:t>Workplan for the Science Metric and the Dashboard</w:t>
      </w:r>
    </w:p>
    <w:p w14:paraId="3A2C9AB8" w14:textId="3C4FA716" w:rsidR="000269ED" w:rsidRPr="00B548D2" w:rsidRDefault="000269ED" w:rsidP="000269ED">
      <w:r w:rsidRPr="00B548D2">
        <w:t>Adding Science as a State Indicator to the Dashboard will require the SBE to consider six individual decision points over the next two years, as displayed in Table 1.</w:t>
      </w:r>
    </w:p>
    <w:p w14:paraId="5C384787" w14:textId="3890F2B5" w:rsidR="000269ED" w:rsidRPr="00B548D2" w:rsidRDefault="000269ED" w:rsidP="000269ED">
      <w:pPr>
        <w:pStyle w:val="Heading4"/>
        <w:rPr>
          <w:i/>
          <w:szCs w:val="22"/>
        </w:rPr>
      </w:pPr>
      <w:r w:rsidRPr="00B548D2">
        <w:rPr>
          <w:szCs w:val="22"/>
        </w:rPr>
        <w:t>Table 1: Science Assessment Work Timeframe and Decision Points</w:t>
      </w:r>
    </w:p>
    <w:tbl>
      <w:tblPr>
        <w:tblStyle w:val="TableGrid"/>
        <w:tblW w:w="9350" w:type="dxa"/>
        <w:tblLook w:val="04A0" w:firstRow="1" w:lastRow="0" w:firstColumn="1" w:lastColumn="0" w:noHBand="0" w:noVBand="1"/>
        <w:tblCaption w:val="Table 1: Science Assessment Work Timeframe and Decision Points"/>
        <w:tblDescription w:val="Table 1: Science Assessment Work Timeframe and Decision Points"/>
      </w:tblPr>
      <w:tblGrid>
        <w:gridCol w:w="3415"/>
        <w:gridCol w:w="2160"/>
        <w:gridCol w:w="2144"/>
        <w:gridCol w:w="1631"/>
      </w:tblGrid>
      <w:tr w:rsidR="000269ED" w:rsidRPr="00B548D2" w14:paraId="09975F14" w14:textId="77777777">
        <w:trPr>
          <w:cantSplit/>
          <w:trHeight w:val="791"/>
          <w:tblHeader/>
        </w:trPr>
        <w:tc>
          <w:tcPr>
            <w:tcW w:w="3415" w:type="dxa"/>
          </w:tcPr>
          <w:p w14:paraId="761CF934" w14:textId="77777777" w:rsidR="000269ED" w:rsidRPr="00B548D2" w:rsidRDefault="000269ED">
            <w:pPr>
              <w:spacing w:after="240"/>
              <w:rPr>
                <w:rFonts w:eastAsiaTheme="majorEastAsia" w:cstheme="majorBidi"/>
                <w:b/>
                <w:bCs/>
              </w:rPr>
            </w:pPr>
            <w:r w:rsidRPr="00B548D2">
              <w:rPr>
                <w:rFonts w:eastAsiaTheme="majorEastAsia" w:cstheme="majorBidi"/>
                <w:b/>
                <w:bCs/>
              </w:rPr>
              <w:t>Phase and Decision Point(s)</w:t>
            </w:r>
          </w:p>
        </w:tc>
        <w:tc>
          <w:tcPr>
            <w:tcW w:w="2160" w:type="dxa"/>
          </w:tcPr>
          <w:p w14:paraId="50914710" w14:textId="77777777" w:rsidR="000269ED" w:rsidRPr="00B548D2" w:rsidRDefault="000269ED">
            <w:pPr>
              <w:spacing w:after="240"/>
              <w:rPr>
                <w:rFonts w:eastAsiaTheme="majorEastAsia" w:cstheme="majorBidi"/>
              </w:rPr>
            </w:pPr>
            <w:r w:rsidRPr="00B548D2">
              <w:rPr>
                <w:rFonts w:eastAsiaTheme="majorEastAsia" w:cstheme="majorBidi"/>
                <w:b/>
                <w:bCs/>
              </w:rPr>
              <w:t>CDE Work Timeframe</w:t>
            </w:r>
          </w:p>
        </w:tc>
        <w:tc>
          <w:tcPr>
            <w:tcW w:w="2144" w:type="dxa"/>
          </w:tcPr>
          <w:p w14:paraId="705FFE5C" w14:textId="77777777" w:rsidR="000269ED" w:rsidRPr="00B548D2" w:rsidRDefault="000269ED">
            <w:pPr>
              <w:spacing w:after="240"/>
              <w:rPr>
                <w:rFonts w:eastAsiaTheme="majorEastAsia" w:cstheme="majorBidi"/>
              </w:rPr>
            </w:pPr>
            <w:r w:rsidRPr="00B548D2">
              <w:rPr>
                <w:rFonts w:eastAsiaTheme="majorEastAsia" w:cstheme="majorBidi"/>
                <w:b/>
                <w:bCs/>
              </w:rPr>
              <w:t>California Practitioners Advisory Group</w:t>
            </w:r>
          </w:p>
        </w:tc>
        <w:tc>
          <w:tcPr>
            <w:tcW w:w="1631" w:type="dxa"/>
          </w:tcPr>
          <w:p w14:paraId="2DAE0F8D" w14:textId="77777777" w:rsidR="000269ED" w:rsidRPr="00B548D2" w:rsidRDefault="000269ED">
            <w:pPr>
              <w:spacing w:after="240"/>
              <w:rPr>
                <w:rFonts w:eastAsiaTheme="majorEastAsia" w:cstheme="majorBidi"/>
              </w:rPr>
            </w:pPr>
            <w:r w:rsidRPr="00B548D2">
              <w:rPr>
                <w:rFonts w:eastAsiaTheme="majorEastAsia" w:cstheme="majorBidi"/>
                <w:b/>
                <w:bCs/>
              </w:rPr>
              <w:t>SBE Meeting Approval</w:t>
            </w:r>
          </w:p>
        </w:tc>
      </w:tr>
      <w:tr w:rsidR="000269ED" w:rsidRPr="00B548D2" w14:paraId="425C5487" w14:textId="77777777">
        <w:trPr>
          <w:cantSplit/>
        </w:trPr>
        <w:tc>
          <w:tcPr>
            <w:tcW w:w="3415" w:type="dxa"/>
          </w:tcPr>
          <w:p w14:paraId="0F27475A" w14:textId="77777777" w:rsidR="000269ED" w:rsidRPr="00B548D2" w:rsidRDefault="000269ED">
            <w:pPr>
              <w:spacing w:after="240"/>
              <w:rPr>
                <w:rFonts w:eastAsiaTheme="majorEastAsia" w:cstheme="majorBidi"/>
              </w:rPr>
            </w:pPr>
            <w:r w:rsidRPr="00B548D2">
              <w:rPr>
                <w:rFonts w:eastAsiaTheme="majorEastAsia" w:cstheme="majorBidi"/>
              </w:rPr>
              <w:t xml:space="preserve">Phase I, Decisions Point 1: </w:t>
            </w:r>
            <w:r w:rsidRPr="00B548D2">
              <w:rPr>
                <w:rFonts w:eastAsia="Arial" w:cs="Arial"/>
              </w:rPr>
              <w:t>Approval of a Metric to Measure Science Assessment Performance for Use on the Dashboard</w:t>
            </w:r>
          </w:p>
        </w:tc>
        <w:tc>
          <w:tcPr>
            <w:tcW w:w="2160" w:type="dxa"/>
          </w:tcPr>
          <w:p w14:paraId="70E90D4D" w14:textId="77777777" w:rsidR="000269ED" w:rsidRPr="00B548D2" w:rsidRDefault="000269ED">
            <w:pPr>
              <w:spacing w:after="240"/>
              <w:rPr>
                <w:rFonts w:eastAsiaTheme="majorEastAsia" w:cstheme="majorBidi"/>
              </w:rPr>
            </w:pPr>
            <w:r w:rsidRPr="00B548D2">
              <w:rPr>
                <w:rFonts w:eastAsiaTheme="majorEastAsia" w:cstheme="majorBidi"/>
              </w:rPr>
              <w:t>February 2024 – May 2024</w:t>
            </w:r>
          </w:p>
        </w:tc>
        <w:tc>
          <w:tcPr>
            <w:tcW w:w="2144" w:type="dxa"/>
          </w:tcPr>
          <w:p w14:paraId="37B0395C" w14:textId="77777777" w:rsidR="000269ED" w:rsidRPr="00B548D2" w:rsidRDefault="000269ED">
            <w:pPr>
              <w:spacing w:after="240"/>
              <w:rPr>
                <w:rFonts w:eastAsiaTheme="majorEastAsia" w:cstheme="majorBidi"/>
              </w:rPr>
            </w:pPr>
            <w:r w:rsidRPr="00B548D2">
              <w:rPr>
                <w:rFonts w:eastAsiaTheme="majorEastAsia" w:cstheme="majorBidi"/>
              </w:rPr>
              <w:t>June 2024</w:t>
            </w:r>
          </w:p>
        </w:tc>
        <w:tc>
          <w:tcPr>
            <w:tcW w:w="1631" w:type="dxa"/>
          </w:tcPr>
          <w:p w14:paraId="7E9557F5" w14:textId="77777777" w:rsidR="000269ED" w:rsidRPr="00B548D2" w:rsidRDefault="000269ED">
            <w:pPr>
              <w:spacing w:after="240"/>
              <w:rPr>
                <w:rFonts w:eastAsiaTheme="majorEastAsia" w:cstheme="majorBidi"/>
              </w:rPr>
            </w:pPr>
            <w:r w:rsidRPr="00B548D2">
              <w:rPr>
                <w:rFonts w:eastAsiaTheme="majorEastAsia" w:cstheme="majorBidi"/>
              </w:rPr>
              <w:t>July 2024</w:t>
            </w:r>
          </w:p>
        </w:tc>
      </w:tr>
      <w:tr w:rsidR="000269ED" w:rsidRPr="00B548D2" w14:paraId="1C6998B1" w14:textId="77777777">
        <w:trPr>
          <w:cantSplit/>
        </w:trPr>
        <w:tc>
          <w:tcPr>
            <w:tcW w:w="3415" w:type="dxa"/>
          </w:tcPr>
          <w:p w14:paraId="6B23A910" w14:textId="77777777" w:rsidR="000269ED" w:rsidRPr="00B548D2" w:rsidRDefault="000269ED">
            <w:pPr>
              <w:spacing w:after="240"/>
              <w:rPr>
                <w:rFonts w:eastAsia="Arial" w:cs="Arial"/>
              </w:rPr>
            </w:pPr>
            <w:r w:rsidRPr="00B548D2">
              <w:rPr>
                <w:rFonts w:eastAsia="Arial" w:cs="Arial"/>
              </w:rPr>
              <w:t>Phase II, Decision Point 2: Approval of Status Cut Points</w:t>
            </w:r>
          </w:p>
        </w:tc>
        <w:tc>
          <w:tcPr>
            <w:tcW w:w="2160" w:type="dxa"/>
          </w:tcPr>
          <w:p w14:paraId="5219CBD7" w14:textId="77777777" w:rsidR="000269ED" w:rsidRPr="00B548D2" w:rsidRDefault="000269ED">
            <w:pPr>
              <w:spacing w:after="240"/>
              <w:rPr>
                <w:rFonts w:eastAsiaTheme="majorEastAsia" w:cstheme="majorBidi"/>
              </w:rPr>
            </w:pPr>
            <w:r w:rsidRPr="00B548D2">
              <w:rPr>
                <w:rFonts w:eastAsiaTheme="majorEastAsia" w:cstheme="majorBidi"/>
              </w:rPr>
              <w:t>January 2025 – May 2025</w:t>
            </w:r>
          </w:p>
        </w:tc>
        <w:tc>
          <w:tcPr>
            <w:tcW w:w="2144" w:type="dxa"/>
          </w:tcPr>
          <w:p w14:paraId="42ADC8DA" w14:textId="77777777" w:rsidR="000269ED" w:rsidRPr="00B548D2" w:rsidRDefault="000269ED">
            <w:pPr>
              <w:spacing w:after="240"/>
              <w:rPr>
                <w:rFonts w:eastAsiaTheme="majorEastAsia" w:cstheme="majorBidi"/>
              </w:rPr>
            </w:pPr>
            <w:r w:rsidRPr="00B548D2">
              <w:rPr>
                <w:rFonts w:eastAsiaTheme="majorEastAsia" w:cstheme="majorBidi"/>
              </w:rPr>
              <w:t>June 2025</w:t>
            </w:r>
          </w:p>
        </w:tc>
        <w:tc>
          <w:tcPr>
            <w:tcW w:w="1631" w:type="dxa"/>
          </w:tcPr>
          <w:p w14:paraId="1FFF338E" w14:textId="77777777" w:rsidR="000269ED" w:rsidRPr="00B548D2" w:rsidRDefault="000269ED">
            <w:pPr>
              <w:spacing w:after="240"/>
              <w:rPr>
                <w:rFonts w:eastAsiaTheme="majorEastAsia" w:cstheme="majorBidi"/>
              </w:rPr>
            </w:pPr>
            <w:r w:rsidRPr="00B548D2">
              <w:rPr>
                <w:rFonts w:eastAsiaTheme="majorEastAsia" w:cstheme="majorBidi"/>
              </w:rPr>
              <w:t>July 2025</w:t>
            </w:r>
          </w:p>
        </w:tc>
      </w:tr>
      <w:tr w:rsidR="000269ED" w:rsidRPr="00B548D2" w14:paraId="0615CB4F" w14:textId="77777777">
        <w:trPr>
          <w:cantSplit/>
        </w:trPr>
        <w:tc>
          <w:tcPr>
            <w:tcW w:w="3415" w:type="dxa"/>
          </w:tcPr>
          <w:p w14:paraId="1A138A6E" w14:textId="77777777" w:rsidR="000269ED" w:rsidRPr="00B548D2" w:rsidRDefault="000269ED">
            <w:pPr>
              <w:spacing w:after="240"/>
              <w:rPr>
                <w:rFonts w:eastAsia="Arial" w:cs="Arial"/>
              </w:rPr>
            </w:pPr>
            <w:r w:rsidRPr="00B548D2">
              <w:rPr>
                <w:rFonts w:eastAsia="Arial" w:cs="Arial"/>
              </w:rPr>
              <w:t>Phase II, Decision Point 3: Approval of Change Cut Points</w:t>
            </w:r>
          </w:p>
        </w:tc>
        <w:tc>
          <w:tcPr>
            <w:tcW w:w="2160" w:type="dxa"/>
          </w:tcPr>
          <w:p w14:paraId="7AB2666A" w14:textId="77777777" w:rsidR="000269ED" w:rsidRPr="00B548D2" w:rsidRDefault="000269ED">
            <w:pPr>
              <w:spacing w:after="240"/>
              <w:rPr>
                <w:rFonts w:eastAsiaTheme="majorEastAsia" w:cstheme="majorBidi"/>
              </w:rPr>
            </w:pPr>
            <w:r w:rsidRPr="00B548D2">
              <w:rPr>
                <w:rFonts w:eastAsiaTheme="majorEastAsia" w:cstheme="majorBidi"/>
              </w:rPr>
              <w:t>January 2025 – May 2025</w:t>
            </w:r>
          </w:p>
        </w:tc>
        <w:tc>
          <w:tcPr>
            <w:tcW w:w="2144" w:type="dxa"/>
          </w:tcPr>
          <w:p w14:paraId="290FE326" w14:textId="77777777" w:rsidR="000269ED" w:rsidRPr="00B548D2" w:rsidRDefault="000269ED">
            <w:pPr>
              <w:spacing w:after="240"/>
              <w:rPr>
                <w:rFonts w:eastAsiaTheme="majorEastAsia" w:cstheme="majorBidi"/>
              </w:rPr>
            </w:pPr>
            <w:r w:rsidRPr="00B548D2">
              <w:rPr>
                <w:rFonts w:eastAsiaTheme="majorEastAsia" w:cstheme="majorBidi"/>
              </w:rPr>
              <w:t>June 2025</w:t>
            </w:r>
          </w:p>
        </w:tc>
        <w:tc>
          <w:tcPr>
            <w:tcW w:w="1631" w:type="dxa"/>
          </w:tcPr>
          <w:p w14:paraId="6189FF58" w14:textId="77777777" w:rsidR="000269ED" w:rsidRPr="00B548D2" w:rsidRDefault="000269ED">
            <w:pPr>
              <w:spacing w:after="240"/>
              <w:rPr>
                <w:rFonts w:eastAsiaTheme="majorEastAsia" w:cstheme="majorBidi"/>
              </w:rPr>
            </w:pPr>
            <w:r w:rsidRPr="00B548D2">
              <w:rPr>
                <w:rFonts w:eastAsiaTheme="majorEastAsia" w:cstheme="majorBidi"/>
              </w:rPr>
              <w:t>July 2025</w:t>
            </w:r>
          </w:p>
        </w:tc>
      </w:tr>
      <w:tr w:rsidR="000269ED" w:rsidRPr="00B548D2" w14:paraId="089B5391" w14:textId="77777777">
        <w:trPr>
          <w:cantSplit/>
        </w:trPr>
        <w:tc>
          <w:tcPr>
            <w:tcW w:w="3415" w:type="dxa"/>
          </w:tcPr>
          <w:p w14:paraId="0D253E3D" w14:textId="77777777" w:rsidR="000269ED" w:rsidRPr="00B548D2" w:rsidRDefault="000269ED">
            <w:pPr>
              <w:spacing w:after="240"/>
              <w:rPr>
                <w:rFonts w:eastAsia="Arial" w:cs="Arial"/>
              </w:rPr>
            </w:pPr>
            <w:r w:rsidRPr="00B548D2">
              <w:rPr>
                <w:rFonts w:eastAsia="Arial" w:cs="Arial"/>
              </w:rPr>
              <w:t>Phase II, Decision Point 4: Approval of a Color Scheme for the Five-by-Five Color Grid</w:t>
            </w:r>
          </w:p>
        </w:tc>
        <w:tc>
          <w:tcPr>
            <w:tcW w:w="2160" w:type="dxa"/>
          </w:tcPr>
          <w:p w14:paraId="68D167E6" w14:textId="77777777" w:rsidR="000269ED" w:rsidRPr="00B548D2" w:rsidRDefault="000269ED">
            <w:pPr>
              <w:spacing w:after="240"/>
              <w:rPr>
                <w:rFonts w:eastAsiaTheme="majorEastAsia" w:cstheme="majorBidi"/>
              </w:rPr>
            </w:pPr>
            <w:r w:rsidRPr="00B548D2">
              <w:rPr>
                <w:rFonts w:eastAsiaTheme="majorEastAsia" w:cstheme="majorBidi"/>
              </w:rPr>
              <w:t>January 2025 – May 2025</w:t>
            </w:r>
          </w:p>
        </w:tc>
        <w:tc>
          <w:tcPr>
            <w:tcW w:w="2144" w:type="dxa"/>
          </w:tcPr>
          <w:p w14:paraId="448BD62B" w14:textId="77777777" w:rsidR="000269ED" w:rsidRPr="00B548D2" w:rsidRDefault="000269ED">
            <w:pPr>
              <w:spacing w:after="240"/>
              <w:rPr>
                <w:rFonts w:eastAsiaTheme="majorEastAsia" w:cstheme="majorBidi"/>
              </w:rPr>
            </w:pPr>
            <w:r w:rsidRPr="00B548D2">
              <w:rPr>
                <w:rFonts w:eastAsiaTheme="majorEastAsia" w:cstheme="majorBidi"/>
              </w:rPr>
              <w:t>June 2025</w:t>
            </w:r>
          </w:p>
        </w:tc>
        <w:tc>
          <w:tcPr>
            <w:tcW w:w="1631" w:type="dxa"/>
          </w:tcPr>
          <w:p w14:paraId="43A413E0" w14:textId="77777777" w:rsidR="000269ED" w:rsidRPr="00B548D2" w:rsidRDefault="000269ED">
            <w:pPr>
              <w:spacing w:after="240"/>
              <w:rPr>
                <w:rFonts w:eastAsiaTheme="majorEastAsia" w:cstheme="majorBidi"/>
              </w:rPr>
            </w:pPr>
            <w:r w:rsidRPr="00B548D2">
              <w:rPr>
                <w:rFonts w:eastAsiaTheme="majorEastAsia" w:cstheme="majorBidi"/>
              </w:rPr>
              <w:t>July 2025</w:t>
            </w:r>
          </w:p>
        </w:tc>
      </w:tr>
      <w:tr w:rsidR="000269ED" w:rsidRPr="00B548D2" w14:paraId="551FEA0E" w14:textId="77777777">
        <w:trPr>
          <w:cantSplit/>
        </w:trPr>
        <w:tc>
          <w:tcPr>
            <w:tcW w:w="3415" w:type="dxa"/>
          </w:tcPr>
          <w:p w14:paraId="49E19753" w14:textId="77777777" w:rsidR="000269ED" w:rsidRPr="00B548D2" w:rsidRDefault="000269ED">
            <w:pPr>
              <w:spacing w:after="240"/>
              <w:rPr>
                <w:rFonts w:eastAsia="Arial" w:cs="Arial"/>
              </w:rPr>
            </w:pPr>
            <w:r w:rsidRPr="00B548D2">
              <w:rPr>
                <w:rFonts w:eastAsia="Arial" w:cs="Arial"/>
              </w:rPr>
              <w:t>Phase II, Decision Point 5: Inclusion of the Indicator within the State Accountability System through Differentiated Assistance Criteria</w:t>
            </w:r>
          </w:p>
        </w:tc>
        <w:tc>
          <w:tcPr>
            <w:tcW w:w="2160" w:type="dxa"/>
          </w:tcPr>
          <w:p w14:paraId="6E772716" w14:textId="77777777" w:rsidR="000269ED" w:rsidRPr="00B548D2" w:rsidRDefault="000269ED">
            <w:pPr>
              <w:spacing w:after="240"/>
              <w:rPr>
                <w:rFonts w:eastAsiaTheme="majorEastAsia" w:cstheme="majorBidi"/>
              </w:rPr>
            </w:pPr>
            <w:r w:rsidRPr="00B548D2">
              <w:rPr>
                <w:rFonts w:eastAsiaTheme="majorEastAsia" w:cstheme="majorBidi"/>
              </w:rPr>
              <w:t>January 2025 – May 2025</w:t>
            </w:r>
          </w:p>
        </w:tc>
        <w:tc>
          <w:tcPr>
            <w:tcW w:w="2144" w:type="dxa"/>
          </w:tcPr>
          <w:p w14:paraId="6C237252" w14:textId="77777777" w:rsidR="000269ED" w:rsidRPr="00B548D2" w:rsidRDefault="000269ED">
            <w:pPr>
              <w:spacing w:after="240"/>
              <w:rPr>
                <w:rFonts w:eastAsiaTheme="majorEastAsia" w:cstheme="majorBidi"/>
              </w:rPr>
            </w:pPr>
            <w:r w:rsidRPr="00B548D2">
              <w:rPr>
                <w:rFonts w:eastAsiaTheme="majorEastAsia" w:cstheme="majorBidi"/>
              </w:rPr>
              <w:t>June 2025</w:t>
            </w:r>
          </w:p>
        </w:tc>
        <w:tc>
          <w:tcPr>
            <w:tcW w:w="1631" w:type="dxa"/>
          </w:tcPr>
          <w:p w14:paraId="26E5B365" w14:textId="77777777" w:rsidR="000269ED" w:rsidRPr="00B548D2" w:rsidRDefault="000269ED">
            <w:pPr>
              <w:spacing w:after="240"/>
              <w:rPr>
                <w:rFonts w:eastAsiaTheme="majorEastAsia" w:cstheme="majorBidi"/>
              </w:rPr>
            </w:pPr>
            <w:r w:rsidRPr="00B548D2">
              <w:rPr>
                <w:rFonts w:eastAsiaTheme="majorEastAsia" w:cstheme="majorBidi"/>
              </w:rPr>
              <w:t>July 2025</w:t>
            </w:r>
          </w:p>
        </w:tc>
      </w:tr>
      <w:tr w:rsidR="000269ED" w:rsidRPr="00B548D2" w14:paraId="75363DB8" w14:textId="77777777">
        <w:trPr>
          <w:cantSplit/>
        </w:trPr>
        <w:tc>
          <w:tcPr>
            <w:tcW w:w="3415" w:type="dxa"/>
          </w:tcPr>
          <w:p w14:paraId="4462F60D" w14:textId="77777777" w:rsidR="000269ED" w:rsidRPr="00B548D2" w:rsidRDefault="000269ED">
            <w:pPr>
              <w:spacing w:after="240"/>
              <w:rPr>
                <w:rFonts w:eastAsia="Arial" w:cs="Arial"/>
              </w:rPr>
            </w:pPr>
            <w:r w:rsidRPr="00B548D2">
              <w:rPr>
                <w:rFonts w:eastAsia="Arial" w:cs="Arial"/>
              </w:rPr>
              <w:lastRenderedPageBreak/>
              <w:t>Phase II, Decision Point 6: Inclusion of the Indicator within the Federal Accountability System through ESSA Eligibility Identification</w:t>
            </w:r>
          </w:p>
        </w:tc>
        <w:tc>
          <w:tcPr>
            <w:tcW w:w="2160" w:type="dxa"/>
          </w:tcPr>
          <w:p w14:paraId="238617D5" w14:textId="77777777" w:rsidR="000269ED" w:rsidRPr="00B548D2" w:rsidRDefault="000269ED">
            <w:pPr>
              <w:spacing w:after="240"/>
              <w:rPr>
                <w:rFonts w:eastAsiaTheme="majorEastAsia" w:cstheme="majorBidi"/>
              </w:rPr>
            </w:pPr>
            <w:r w:rsidRPr="00B548D2">
              <w:rPr>
                <w:rFonts w:eastAsiaTheme="majorEastAsia" w:cstheme="majorBidi"/>
              </w:rPr>
              <w:t>January 2025 – May 2025</w:t>
            </w:r>
          </w:p>
        </w:tc>
        <w:tc>
          <w:tcPr>
            <w:tcW w:w="2144" w:type="dxa"/>
          </w:tcPr>
          <w:p w14:paraId="6A4D0850" w14:textId="77777777" w:rsidR="000269ED" w:rsidRPr="00B548D2" w:rsidRDefault="000269ED">
            <w:pPr>
              <w:spacing w:after="240"/>
              <w:rPr>
                <w:rFonts w:eastAsiaTheme="majorEastAsia" w:cstheme="majorBidi"/>
              </w:rPr>
            </w:pPr>
            <w:r w:rsidRPr="00B548D2">
              <w:rPr>
                <w:rFonts w:eastAsiaTheme="majorEastAsia" w:cstheme="majorBidi"/>
              </w:rPr>
              <w:t>June 2025</w:t>
            </w:r>
          </w:p>
        </w:tc>
        <w:tc>
          <w:tcPr>
            <w:tcW w:w="1631" w:type="dxa"/>
          </w:tcPr>
          <w:p w14:paraId="2844DF46" w14:textId="77777777" w:rsidR="000269ED" w:rsidRPr="00B548D2" w:rsidRDefault="000269ED">
            <w:pPr>
              <w:spacing w:after="240"/>
              <w:rPr>
                <w:rFonts w:eastAsiaTheme="majorEastAsia" w:cstheme="majorBidi"/>
              </w:rPr>
            </w:pPr>
            <w:r w:rsidRPr="00B548D2">
              <w:rPr>
                <w:rFonts w:eastAsiaTheme="majorEastAsia" w:cstheme="majorBidi"/>
              </w:rPr>
              <w:t>July 2025; subsequently submit amendments to ED effective in 2026</w:t>
            </w:r>
          </w:p>
        </w:tc>
      </w:tr>
    </w:tbl>
    <w:p w14:paraId="3CEAAC03" w14:textId="77777777" w:rsidR="000269ED" w:rsidRPr="00B548D2" w:rsidRDefault="000269ED" w:rsidP="000269ED">
      <w:pPr>
        <w:spacing w:after="240"/>
        <w:rPr>
          <w:rFonts w:eastAsiaTheme="majorEastAsia" w:cstheme="majorBidi"/>
        </w:rPr>
      </w:pPr>
    </w:p>
    <w:p w14:paraId="11D5C5C9" w14:textId="77777777" w:rsidR="000269ED" w:rsidRPr="00B548D2" w:rsidRDefault="000269ED" w:rsidP="000269ED">
      <w:pPr>
        <w:pStyle w:val="Heading4"/>
      </w:pPr>
      <w:r w:rsidRPr="00B548D2">
        <w:t>Decision Point 1: Approval of a Metric to Measure Science Assessment Performance for Use on the Dashboard</w:t>
      </w:r>
    </w:p>
    <w:p w14:paraId="51116990" w14:textId="1FA0C8E3" w:rsidR="000269ED" w:rsidRPr="00B548D2" w:rsidRDefault="000269ED" w:rsidP="000269ED">
      <w:pPr>
        <w:spacing w:after="240"/>
      </w:pPr>
      <w:r w:rsidRPr="00B548D2">
        <w:t xml:space="preserve">The first step in the development of a </w:t>
      </w:r>
      <w:proofErr w:type="gramStart"/>
      <w:r w:rsidRPr="00B548D2">
        <w:t>Science</w:t>
      </w:r>
      <w:proofErr w:type="gramEnd"/>
      <w:r w:rsidRPr="00B548D2">
        <w:t xml:space="preserve"> metric was for the CDE to evaluate the following components of the Science metric:</w:t>
      </w:r>
    </w:p>
    <w:p w14:paraId="240BA656" w14:textId="56C9CBBC" w:rsidR="000269ED" w:rsidRPr="00B548D2" w:rsidRDefault="000269ED" w:rsidP="00B058BC">
      <w:pPr>
        <w:pStyle w:val="ListParagraph"/>
        <w:numPr>
          <w:ilvl w:val="0"/>
          <w:numId w:val="19"/>
        </w:numPr>
        <w:contextualSpacing/>
      </w:pPr>
      <w:r w:rsidRPr="00B548D2">
        <w:t>Choosing a Unit of Measurement</w:t>
      </w:r>
    </w:p>
    <w:p w14:paraId="6DF8EFBB" w14:textId="77777777" w:rsidR="000269ED" w:rsidRPr="00B548D2" w:rsidRDefault="000269ED" w:rsidP="00B058BC">
      <w:pPr>
        <w:pStyle w:val="ListParagraph"/>
        <w:numPr>
          <w:ilvl w:val="0"/>
          <w:numId w:val="19"/>
        </w:numPr>
        <w:contextualSpacing/>
      </w:pPr>
      <w:r w:rsidRPr="00B548D2">
        <w:t>How to Combine High School Scores</w:t>
      </w:r>
    </w:p>
    <w:p w14:paraId="0211C582" w14:textId="1699D5D9" w:rsidR="000269ED" w:rsidRPr="00B548D2" w:rsidRDefault="000269ED" w:rsidP="00B058BC">
      <w:pPr>
        <w:pStyle w:val="ListParagraph"/>
        <w:numPr>
          <w:ilvl w:val="0"/>
          <w:numId w:val="19"/>
        </w:numPr>
        <w:contextualSpacing/>
      </w:pPr>
      <w:r w:rsidRPr="00B548D2">
        <w:t>Participation Rates</w:t>
      </w:r>
    </w:p>
    <w:p w14:paraId="7ED2C757" w14:textId="3FF2F26F" w:rsidR="000269ED" w:rsidRPr="00B548D2" w:rsidRDefault="000269ED" w:rsidP="000269ED">
      <w:pPr>
        <w:spacing w:after="240"/>
        <w:rPr>
          <w:b/>
          <w:bCs/>
          <w:i/>
          <w:iCs/>
        </w:rPr>
      </w:pPr>
      <w:r w:rsidRPr="00B548D2">
        <w:rPr>
          <w:b/>
          <w:bCs/>
          <w:i/>
          <w:iCs/>
        </w:rPr>
        <w:t>A. Choosing a Unit of Measurement</w:t>
      </w:r>
    </w:p>
    <w:p w14:paraId="773660DF" w14:textId="3C3FB185" w:rsidR="000269ED" w:rsidRPr="00B548D2" w:rsidRDefault="000269ED" w:rsidP="000269ED">
      <w:pPr>
        <w:spacing w:after="240"/>
      </w:pPr>
      <w:r w:rsidRPr="00B548D2">
        <w:t xml:space="preserve">Two methodologies to measure Science assessment outcomes were considered and evaluated: (1) Distance from Standard (DFS), which is the metric used for the Academic Indicators for English Language Arts (ELA) and Mathematics, </w:t>
      </w:r>
      <w:r w:rsidRPr="00B548D2" w:rsidDel="00005F0D">
        <w:t>and</w:t>
      </w:r>
      <w:r w:rsidRPr="00B548D2">
        <w:t xml:space="preserve"> (2) Percent Met/Exceeded Standard, which is the metric used on the Test Results for California’s Assessments webpage.</w:t>
      </w:r>
    </w:p>
    <w:p w14:paraId="7C2F3D20" w14:textId="728A2244" w:rsidR="000269ED" w:rsidRPr="00B548D2" w:rsidRDefault="000269ED" w:rsidP="000269ED">
      <w:pPr>
        <w:spacing w:after="240"/>
      </w:pPr>
      <w:r w:rsidRPr="00B548D2">
        <w:t>Outcomes from the two methodologies would result in different units of measurement. DFS would report Science outcomes in points while Percent Met/Exceeded Standard would report Science outcomes in a percentage rate. For comparison, Table 2 displays the current State Indicators on the Dashboard, along with the metrics used and the units that they are measured in.</w:t>
      </w:r>
    </w:p>
    <w:p w14:paraId="3B48E70B" w14:textId="77777777" w:rsidR="000269ED" w:rsidRPr="00B548D2" w:rsidRDefault="000269ED" w:rsidP="000C53A3">
      <w:pPr>
        <w:pStyle w:val="Heading4"/>
      </w:pPr>
      <w:r w:rsidRPr="00B548D2">
        <w:t>Table 2: Dashboard Metrics and Measurements</w:t>
      </w:r>
    </w:p>
    <w:tbl>
      <w:tblPr>
        <w:tblStyle w:val="TableGrid"/>
        <w:tblW w:w="0" w:type="auto"/>
        <w:tblLook w:val="04A0" w:firstRow="1" w:lastRow="0" w:firstColumn="1" w:lastColumn="0" w:noHBand="0" w:noVBand="1"/>
        <w:tblCaption w:val="Table 2: Dashboard Metrics and Measurements"/>
        <w:tblDescription w:val="Table 2: Dashboard Metrics and Measurements"/>
      </w:tblPr>
      <w:tblGrid>
        <w:gridCol w:w="3116"/>
        <w:gridCol w:w="3117"/>
        <w:gridCol w:w="3117"/>
      </w:tblGrid>
      <w:tr w:rsidR="000269ED" w:rsidRPr="00B548D2" w14:paraId="059CBFD4" w14:textId="77777777" w:rsidTr="000C53A3">
        <w:trPr>
          <w:cantSplit/>
          <w:tblHeader/>
        </w:trPr>
        <w:tc>
          <w:tcPr>
            <w:tcW w:w="3116" w:type="dxa"/>
          </w:tcPr>
          <w:p w14:paraId="76D4528E" w14:textId="77777777" w:rsidR="000269ED" w:rsidRPr="00B548D2" w:rsidRDefault="000269ED">
            <w:pPr>
              <w:rPr>
                <w:b/>
                <w:bCs/>
              </w:rPr>
            </w:pPr>
            <w:r w:rsidRPr="00B548D2">
              <w:rPr>
                <w:b/>
                <w:bCs/>
              </w:rPr>
              <w:t>State Indicator</w:t>
            </w:r>
          </w:p>
        </w:tc>
        <w:tc>
          <w:tcPr>
            <w:tcW w:w="3117" w:type="dxa"/>
          </w:tcPr>
          <w:p w14:paraId="4A700F51" w14:textId="77777777" w:rsidR="000269ED" w:rsidRPr="00B548D2" w:rsidRDefault="000269ED">
            <w:pPr>
              <w:rPr>
                <w:b/>
                <w:bCs/>
              </w:rPr>
            </w:pPr>
            <w:r w:rsidRPr="00B548D2">
              <w:rPr>
                <w:b/>
                <w:bCs/>
              </w:rPr>
              <w:t>Dashboard Metric</w:t>
            </w:r>
          </w:p>
        </w:tc>
        <w:tc>
          <w:tcPr>
            <w:tcW w:w="3117" w:type="dxa"/>
          </w:tcPr>
          <w:p w14:paraId="48086879" w14:textId="77777777" w:rsidR="000269ED" w:rsidRPr="00B548D2" w:rsidRDefault="000269ED">
            <w:pPr>
              <w:rPr>
                <w:b/>
                <w:bCs/>
              </w:rPr>
            </w:pPr>
            <w:r w:rsidRPr="00B548D2">
              <w:rPr>
                <w:b/>
                <w:bCs/>
              </w:rPr>
              <w:t>Unit of Measurement</w:t>
            </w:r>
          </w:p>
        </w:tc>
      </w:tr>
      <w:tr w:rsidR="000269ED" w:rsidRPr="00B548D2" w14:paraId="684AA5B0" w14:textId="77777777" w:rsidTr="000C53A3">
        <w:trPr>
          <w:cantSplit/>
        </w:trPr>
        <w:tc>
          <w:tcPr>
            <w:tcW w:w="3116" w:type="dxa"/>
          </w:tcPr>
          <w:p w14:paraId="6977E1A2" w14:textId="77777777" w:rsidR="000269ED" w:rsidRPr="00B548D2" w:rsidRDefault="000269ED">
            <w:r w:rsidRPr="00B548D2">
              <w:t>Academic – ELA</w:t>
            </w:r>
          </w:p>
        </w:tc>
        <w:tc>
          <w:tcPr>
            <w:tcW w:w="3117" w:type="dxa"/>
          </w:tcPr>
          <w:p w14:paraId="3717F7D7" w14:textId="77777777" w:rsidR="000269ED" w:rsidRPr="00B548D2" w:rsidRDefault="000269ED">
            <w:r w:rsidRPr="00B548D2">
              <w:t>Distance from Standard</w:t>
            </w:r>
          </w:p>
        </w:tc>
        <w:tc>
          <w:tcPr>
            <w:tcW w:w="3117" w:type="dxa"/>
          </w:tcPr>
          <w:p w14:paraId="2D8BD3D7" w14:textId="77777777" w:rsidR="000269ED" w:rsidRPr="00B548D2" w:rsidRDefault="000269ED">
            <w:r w:rsidRPr="00B548D2">
              <w:t>Points</w:t>
            </w:r>
          </w:p>
        </w:tc>
      </w:tr>
      <w:tr w:rsidR="000269ED" w:rsidRPr="00B548D2" w14:paraId="7586746F" w14:textId="77777777" w:rsidTr="000C53A3">
        <w:trPr>
          <w:cantSplit/>
        </w:trPr>
        <w:tc>
          <w:tcPr>
            <w:tcW w:w="3116" w:type="dxa"/>
          </w:tcPr>
          <w:p w14:paraId="12C32ED3" w14:textId="26ADA48D" w:rsidR="000269ED" w:rsidRPr="00B548D2" w:rsidRDefault="000269ED">
            <w:r w:rsidRPr="00B548D2">
              <w:t>Academic – Mathematics</w:t>
            </w:r>
          </w:p>
        </w:tc>
        <w:tc>
          <w:tcPr>
            <w:tcW w:w="3117" w:type="dxa"/>
          </w:tcPr>
          <w:p w14:paraId="64E81EFB" w14:textId="77777777" w:rsidR="000269ED" w:rsidRPr="00B548D2" w:rsidRDefault="000269ED">
            <w:r w:rsidRPr="00B548D2">
              <w:t>Distance from Standard</w:t>
            </w:r>
          </w:p>
        </w:tc>
        <w:tc>
          <w:tcPr>
            <w:tcW w:w="3117" w:type="dxa"/>
          </w:tcPr>
          <w:p w14:paraId="37F96437" w14:textId="77777777" w:rsidR="000269ED" w:rsidRPr="00B548D2" w:rsidRDefault="000269ED">
            <w:r w:rsidRPr="00B548D2">
              <w:t>Points</w:t>
            </w:r>
          </w:p>
        </w:tc>
      </w:tr>
      <w:tr w:rsidR="000269ED" w:rsidRPr="00B548D2" w14:paraId="243AFC78" w14:textId="77777777" w:rsidTr="000C53A3">
        <w:trPr>
          <w:cantSplit/>
        </w:trPr>
        <w:tc>
          <w:tcPr>
            <w:tcW w:w="3116" w:type="dxa"/>
          </w:tcPr>
          <w:p w14:paraId="422DBA17" w14:textId="77777777" w:rsidR="000269ED" w:rsidRPr="00B548D2" w:rsidRDefault="000269ED">
            <w:r w:rsidRPr="00B548D2">
              <w:t>Suspension Rate</w:t>
            </w:r>
          </w:p>
        </w:tc>
        <w:tc>
          <w:tcPr>
            <w:tcW w:w="3117" w:type="dxa"/>
          </w:tcPr>
          <w:p w14:paraId="6F48D041" w14:textId="77777777" w:rsidR="000269ED" w:rsidRPr="00B548D2" w:rsidRDefault="000269ED">
            <w:r w:rsidRPr="00B548D2">
              <w:t>Percent Suspended</w:t>
            </w:r>
          </w:p>
        </w:tc>
        <w:tc>
          <w:tcPr>
            <w:tcW w:w="3117" w:type="dxa"/>
          </w:tcPr>
          <w:p w14:paraId="576A4DE4" w14:textId="77777777" w:rsidR="000269ED" w:rsidRPr="00B548D2" w:rsidRDefault="000269ED">
            <w:r w:rsidRPr="00B548D2">
              <w:t>Percentage Rate</w:t>
            </w:r>
          </w:p>
        </w:tc>
      </w:tr>
      <w:tr w:rsidR="000269ED" w:rsidRPr="00B548D2" w14:paraId="195FBE67" w14:textId="77777777" w:rsidTr="000C53A3">
        <w:trPr>
          <w:cantSplit/>
        </w:trPr>
        <w:tc>
          <w:tcPr>
            <w:tcW w:w="3116" w:type="dxa"/>
          </w:tcPr>
          <w:p w14:paraId="05F45CDE" w14:textId="77777777" w:rsidR="000269ED" w:rsidRPr="00B548D2" w:rsidRDefault="000269ED">
            <w:r w:rsidRPr="00B548D2">
              <w:t>Chronic Absenteeism</w:t>
            </w:r>
          </w:p>
        </w:tc>
        <w:tc>
          <w:tcPr>
            <w:tcW w:w="3117" w:type="dxa"/>
          </w:tcPr>
          <w:p w14:paraId="0A9B58E3" w14:textId="77777777" w:rsidR="000269ED" w:rsidRPr="00B548D2" w:rsidRDefault="000269ED">
            <w:r w:rsidRPr="00B548D2">
              <w:t>Percent Chronically Absent</w:t>
            </w:r>
          </w:p>
        </w:tc>
        <w:tc>
          <w:tcPr>
            <w:tcW w:w="3117" w:type="dxa"/>
          </w:tcPr>
          <w:p w14:paraId="04ADC4B3" w14:textId="77777777" w:rsidR="000269ED" w:rsidRPr="00B548D2" w:rsidRDefault="000269ED">
            <w:r w:rsidRPr="00B548D2">
              <w:t>Percentage Rate</w:t>
            </w:r>
          </w:p>
        </w:tc>
      </w:tr>
      <w:tr w:rsidR="000269ED" w:rsidRPr="00B548D2" w14:paraId="5CD13834" w14:textId="77777777" w:rsidTr="000C53A3">
        <w:trPr>
          <w:cantSplit/>
        </w:trPr>
        <w:tc>
          <w:tcPr>
            <w:tcW w:w="3116" w:type="dxa"/>
          </w:tcPr>
          <w:p w14:paraId="091831D0" w14:textId="77777777" w:rsidR="000269ED" w:rsidRPr="00B548D2" w:rsidRDefault="000269ED">
            <w:r w:rsidRPr="00B548D2">
              <w:lastRenderedPageBreak/>
              <w:t>Graduate Rate</w:t>
            </w:r>
          </w:p>
        </w:tc>
        <w:tc>
          <w:tcPr>
            <w:tcW w:w="3117" w:type="dxa"/>
          </w:tcPr>
          <w:p w14:paraId="003BBB7A" w14:textId="77777777" w:rsidR="000269ED" w:rsidRPr="00B548D2" w:rsidRDefault="000269ED">
            <w:r w:rsidRPr="00B548D2">
              <w:t>Percent Graduated</w:t>
            </w:r>
          </w:p>
        </w:tc>
        <w:tc>
          <w:tcPr>
            <w:tcW w:w="3117" w:type="dxa"/>
          </w:tcPr>
          <w:p w14:paraId="0E93F2AB" w14:textId="77777777" w:rsidR="000269ED" w:rsidRPr="00B548D2" w:rsidRDefault="000269ED">
            <w:r w:rsidRPr="00B548D2">
              <w:t>Percentage Rate</w:t>
            </w:r>
          </w:p>
        </w:tc>
      </w:tr>
      <w:tr w:rsidR="000269ED" w:rsidRPr="00B548D2" w14:paraId="054E4266" w14:textId="77777777" w:rsidTr="000C53A3">
        <w:trPr>
          <w:cantSplit/>
        </w:trPr>
        <w:tc>
          <w:tcPr>
            <w:tcW w:w="3116" w:type="dxa"/>
          </w:tcPr>
          <w:p w14:paraId="6165FFEE" w14:textId="77777777" w:rsidR="000269ED" w:rsidRPr="00B548D2" w:rsidRDefault="000269ED">
            <w:r w:rsidRPr="00B548D2">
              <w:t>College/Career</w:t>
            </w:r>
          </w:p>
        </w:tc>
        <w:tc>
          <w:tcPr>
            <w:tcW w:w="3117" w:type="dxa"/>
          </w:tcPr>
          <w:p w14:paraId="21184619" w14:textId="77777777" w:rsidR="000269ED" w:rsidRPr="00B548D2" w:rsidRDefault="000269ED">
            <w:r w:rsidRPr="00B548D2">
              <w:t>Percent Prepared by School/LEA</w:t>
            </w:r>
          </w:p>
        </w:tc>
        <w:tc>
          <w:tcPr>
            <w:tcW w:w="3117" w:type="dxa"/>
          </w:tcPr>
          <w:p w14:paraId="3B45F17E" w14:textId="77777777" w:rsidR="000269ED" w:rsidRPr="00B548D2" w:rsidRDefault="000269ED">
            <w:r w:rsidRPr="00B548D2">
              <w:t>Percentage Rate</w:t>
            </w:r>
          </w:p>
        </w:tc>
      </w:tr>
      <w:tr w:rsidR="000269ED" w:rsidRPr="00B548D2" w14:paraId="686EEE3F" w14:textId="77777777" w:rsidTr="000C53A3">
        <w:trPr>
          <w:cantSplit/>
        </w:trPr>
        <w:tc>
          <w:tcPr>
            <w:tcW w:w="3116" w:type="dxa"/>
          </w:tcPr>
          <w:p w14:paraId="2655EB71" w14:textId="77777777" w:rsidR="000269ED" w:rsidRPr="00B548D2" w:rsidRDefault="000269ED">
            <w:r w:rsidRPr="00B548D2">
              <w:t>English Learner Progress</w:t>
            </w:r>
          </w:p>
        </w:tc>
        <w:tc>
          <w:tcPr>
            <w:tcW w:w="3117" w:type="dxa"/>
          </w:tcPr>
          <w:p w14:paraId="49362438" w14:textId="77777777" w:rsidR="000269ED" w:rsidRPr="00B548D2" w:rsidRDefault="000269ED">
            <w:r w:rsidRPr="00B548D2">
              <w:t>Percent Progressed</w:t>
            </w:r>
          </w:p>
        </w:tc>
        <w:tc>
          <w:tcPr>
            <w:tcW w:w="3117" w:type="dxa"/>
          </w:tcPr>
          <w:p w14:paraId="3D184DD6" w14:textId="77777777" w:rsidR="000269ED" w:rsidRPr="00B548D2" w:rsidRDefault="000269ED">
            <w:r w:rsidRPr="00B548D2">
              <w:t>Percentage Rate</w:t>
            </w:r>
          </w:p>
        </w:tc>
      </w:tr>
    </w:tbl>
    <w:p w14:paraId="02B6C91F" w14:textId="77777777" w:rsidR="000269ED" w:rsidRPr="00B548D2" w:rsidRDefault="000269ED" w:rsidP="000C53A3">
      <w:pPr>
        <w:pStyle w:val="Heading5"/>
      </w:pPr>
      <w:r w:rsidRPr="00B548D2">
        <w:t>Technical Evaluation of Science Outcomes</w:t>
      </w:r>
    </w:p>
    <w:p w14:paraId="394E62C2" w14:textId="5BDB9166" w:rsidR="000269ED" w:rsidRPr="00B548D2" w:rsidRDefault="000269ED" w:rsidP="000269ED">
      <w:pPr>
        <w:spacing w:after="240"/>
      </w:pPr>
      <w:r w:rsidRPr="00B548D2">
        <w:t>CDE used the CAST results from the 2021</w:t>
      </w:r>
      <w:r w:rsidRPr="00B548D2">
        <w:rPr>
          <w:rFonts w:cs="Arial"/>
        </w:rPr>
        <w:t>–</w:t>
      </w:r>
      <w:r w:rsidRPr="00B548D2">
        <w:t>22 and 2022</w:t>
      </w:r>
      <w:r w:rsidRPr="00B548D2">
        <w:rPr>
          <w:rFonts w:cs="Arial"/>
        </w:rPr>
        <w:t>–</w:t>
      </w:r>
      <w:r w:rsidRPr="00B548D2">
        <w:t>23 administrations</w:t>
      </w:r>
      <w:r w:rsidRPr="00B548D2" w:rsidDel="00187DEE">
        <w:t xml:space="preserve"> </w:t>
      </w:r>
      <w:r w:rsidRPr="00B548D2">
        <w:t>to evaluate options for a metric to measure Science assessment performance on the Dashboard in a fair, valid and reliable manner. (Note: While CAA-Science results were not used in the preliminary evaluation of the metrics, they will be incorporated into the outcomes reported on the 2024 Dashboard.) Accountability rules were applied, and scores were limited to those from students who met the Accountability requirements of being continuously enrolled from Fall Census Day (first Wednesday in October) through testing day. Scores for both methodologies were then aggregated at the school, district, state and student group levels for technical evaluation.</w:t>
      </w:r>
    </w:p>
    <w:p w14:paraId="0F2F84AC" w14:textId="1165F031" w:rsidR="000269ED" w:rsidRPr="00B548D2" w:rsidRDefault="000269ED" w:rsidP="000269ED">
      <w:pPr>
        <w:spacing w:after="240"/>
      </w:pPr>
      <w:r w:rsidRPr="00B548D2">
        <w:t>Each methodology was also evaluated using the information on the Science assessment’s unique nature, especially in comparison to the current ELA and Mathematics assessments. The information provided in Table 3 was used to provide context to the results as they were being evaluated for their technical strengths and weaknesses.</w:t>
      </w:r>
    </w:p>
    <w:p w14:paraId="2D017CF2" w14:textId="77777777" w:rsidR="000269ED" w:rsidRPr="00B548D2" w:rsidRDefault="000269ED" w:rsidP="000C53A3">
      <w:pPr>
        <w:pStyle w:val="Heading4"/>
      </w:pPr>
      <w:r w:rsidRPr="00B548D2">
        <w:t xml:space="preserve">Table </w:t>
      </w:r>
      <w:r w:rsidRPr="00B548D2">
        <w:rPr>
          <w:bCs/>
        </w:rPr>
        <w:t>3: Differences in Administration and Scoring Between Science and ELA/Mathematics Assessments</w:t>
      </w:r>
    </w:p>
    <w:tbl>
      <w:tblPr>
        <w:tblStyle w:val="TableGrid"/>
        <w:tblW w:w="0" w:type="auto"/>
        <w:tblLook w:val="04A0" w:firstRow="1" w:lastRow="0" w:firstColumn="1" w:lastColumn="0" w:noHBand="0" w:noVBand="1"/>
        <w:tblCaption w:val="Table 3: Differences in Administration and Scoring Between Science and ELA/Mathematics Assessments"/>
        <w:tblDescription w:val="Table 3: Differences in Administration and Scoring Between Science and ELA/Mathematics Assessments"/>
      </w:tblPr>
      <w:tblGrid>
        <w:gridCol w:w="2606"/>
        <w:gridCol w:w="3477"/>
        <w:gridCol w:w="3267"/>
      </w:tblGrid>
      <w:tr w:rsidR="000269ED" w:rsidRPr="00B548D2" w14:paraId="69255055" w14:textId="77777777" w:rsidTr="000C53A3">
        <w:trPr>
          <w:cantSplit/>
          <w:tblHeader/>
        </w:trPr>
        <w:tc>
          <w:tcPr>
            <w:tcW w:w="2606" w:type="dxa"/>
          </w:tcPr>
          <w:p w14:paraId="2D232E2D" w14:textId="77777777" w:rsidR="000269ED" w:rsidRPr="00B548D2" w:rsidRDefault="000269ED">
            <w:pPr>
              <w:rPr>
                <w:b/>
                <w:bCs/>
              </w:rPr>
            </w:pPr>
            <w:r w:rsidRPr="00B548D2">
              <w:rPr>
                <w:b/>
                <w:bCs/>
              </w:rPr>
              <w:t>Category of Differences</w:t>
            </w:r>
          </w:p>
        </w:tc>
        <w:tc>
          <w:tcPr>
            <w:tcW w:w="3477" w:type="dxa"/>
          </w:tcPr>
          <w:p w14:paraId="39AF3B28" w14:textId="77777777" w:rsidR="000269ED" w:rsidRPr="00B548D2" w:rsidRDefault="000269ED">
            <w:pPr>
              <w:rPr>
                <w:b/>
                <w:bCs/>
              </w:rPr>
            </w:pPr>
            <w:r w:rsidRPr="00B548D2">
              <w:rPr>
                <w:b/>
                <w:bCs/>
              </w:rPr>
              <w:t>ELA/Mathematics Assessments</w:t>
            </w:r>
          </w:p>
        </w:tc>
        <w:tc>
          <w:tcPr>
            <w:tcW w:w="3267" w:type="dxa"/>
          </w:tcPr>
          <w:p w14:paraId="127D39F6" w14:textId="77777777" w:rsidR="000269ED" w:rsidRPr="00B548D2" w:rsidRDefault="000269ED">
            <w:pPr>
              <w:rPr>
                <w:b/>
                <w:bCs/>
              </w:rPr>
            </w:pPr>
            <w:r w:rsidRPr="00B548D2">
              <w:rPr>
                <w:b/>
                <w:bCs/>
              </w:rPr>
              <w:t>Science Assessments</w:t>
            </w:r>
          </w:p>
        </w:tc>
      </w:tr>
      <w:tr w:rsidR="000269ED" w:rsidRPr="00B548D2" w14:paraId="7DD203B3" w14:textId="77777777">
        <w:tc>
          <w:tcPr>
            <w:tcW w:w="2606" w:type="dxa"/>
          </w:tcPr>
          <w:p w14:paraId="5787AF09" w14:textId="77777777" w:rsidR="000269ED" w:rsidRPr="00B548D2" w:rsidRDefault="000269ED">
            <w:r w:rsidRPr="00B548D2">
              <w:t>How often is the assessment administered?</w:t>
            </w:r>
          </w:p>
        </w:tc>
        <w:tc>
          <w:tcPr>
            <w:tcW w:w="3477" w:type="dxa"/>
          </w:tcPr>
          <w:p w14:paraId="0B52C42A" w14:textId="77777777" w:rsidR="000269ED" w:rsidRPr="00B548D2" w:rsidRDefault="000269ED">
            <w:r w:rsidRPr="00B548D2">
              <w:t>Administered every year from Grades 3-8 and in Grade 11</w:t>
            </w:r>
          </w:p>
        </w:tc>
        <w:tc>
          <w:tcPr>
            <w:tcW w:w="3267" w:type="dxa"/>
          </w:tcPr>
          <w:p w14:paraId="013C3536" w14:textId="77777777" w:rsidR="000269ED" w:rsidRPr="00B548D2" w:rsidRDefault="000269ED">
            <w:r w:rsidRPr="00B548D2">
              <w:t>Administered in Grade 5, Grade 8 and once in either Grade 10, 11 or 12</w:t>
            </w:r>
          </w:p>
        </w:tc>
      </w:tr>
      <w:tr w:rsidR="000269ED" w:rsidRPr="00B548D2" w14:paraId="1AAE3013" w14:textId="77777777">
        <w:tc>
          <w:tcPr>
            <w:tcW w:w="2606" w:type="dxa"/>
          </w:tcPr>
          <w:p w14:paraId="7CE4D4DF" w14:textId="77777777" w:rsidR="000269ED" w:rsidRPr="00B548D2" w:rsidRDefault="000269ED">
            <w:r w:rsidRPr="00B548D2">
              <w:t>Is the scale continuous?</w:t>
            </w:r>
          </w:p>
        </w:tc>
        <w:tc>
          <w:tcPr>
            <w:tcW w:w="3477" w:type="dxa"/>
          </w:tcPr>
          <w:p w14:paraId="71C77B80" w14:textId="77777777" w:rsidR="000269ED" w:rsidRPr="00B548D2" w:rsidRDefault="000269ED">
            <w:r w:rsidRPr="00B548D2">
              <w:t>Yes. The scale is continuous from Grade 3 through Grade 11 and increases every year.</w:t>
            </w:r>
          </w:p>
        </w:tc>
        <w:tc>
          <w:tcPr>
            <w:tcW w:w="3267" w:type="dxa"/>
          </w:tcPr>
          <w:p w14:paraId="0CD9CD85" w14:textId="77777777" w:rsidR="000269ED" w:rsidRPr="00B548D2" w:rsidRDefault="000269ED">
            <w:r w:rsidRPr="00B548D2">
              <w:t>No.</w:t>
            </w:r>
          </w:p>
        </w:tc>
      </w:tr>
      <w:tr w:rsidR="000269ED" w:rsidRPr="00B548D2" w14:paraId="168EC83A" w14:textId="77777777">
        <w:tc>
          <w:tcPr>
            <w:tcW w:w="2606" w:type="dxa"/>
          </w:tcPr>
          <w:p w14:paraId="27770AB1" w14:textId="77777777" w:rsidR="000269ED" w:rsidRPr="00B548D2" w:rsidRDefault="000269ED">
            <w:r w:rsidRPr="00B548D2">
              <w:t>How many scale score points are available?</w:t>
            </w:r>
          </w:p>
        </w:tc>
        <w:tc>
          <w:tcPr>
            <w:tcW w:w="3477" w:type="dxa"/>
          </w:tcPr>
          <w:p w14:paraId="1CE1EE36" w14:textId="77777777" w:rsidR="000269ED" w:rsidRPr="00B548D2" w:rsidRDefault="000269ED">
            <w:r w:rsidRPr="00B548D2">
              <w:t>The scale is different for every grade, but ranges from 467 points to 617 points.</w:t>
            </w:r>
          </w:p>
        </w:tc>
        <w:tc>
          <w:tcPr>
            <w:tcW w:w="3267" w:type="dxa"/>
          </w:tcPr>
          <w:p w14:paraId="227C5327" w14:textId="77777777" w:rsidR="000269ED" w:rsidRPr="00B548D2" w:rsidRDefault="000269ED">
            <w:r w:rsidRPr="00B548D2">
              <w:t>100 scale score points are available for every grade.</w:t>
            </w:r>
          </w:p>
        </w:tc>
      </w:tr>
      <w:tr w:rsidR="000269ED" w:rsidRPr="00B548D2" w14:paraId="08C9B4A0" w14:textId="77777777">
        <w:tc>
          <w:tcPr>
            <w:tcW w:w="2606" w:type="dxa"/>
          </w:tcPr>
          <w:p w14:paraId="7EA4105D" w14:textId="77777777" w:rsidR="000269ED" w:rsidRPr="00B548D2" w:rsidRDefault="000269ED">
            <w:r w:rsidRPr="00B548D2">
              <w:t>Where is “standard met” on the scale?</w:t>
            </w:r>
          </w:p>
        </w:tc>
        <w:tc>
          <w:tcPr>
            <w:tcW w:w="3477" w:type="dxa"/>
          </w:tcPr>
          <w:p w14:paraId="7714C1EF" w14:textId="77777777" w:rsidR="000269ED" w:rsidRPr="00B548D2" w:rsidRDefault="000269ED">
            <w:r w:rsidRPr="00B548D2">
              <w:t>Standard met is at the 55</w:t>
            </w:r>
            <w:r w:rsidRPr="00B548D2">
              <w:rPr>
                <w:vertAlign w:val="superscript"/>
              </w:rPr>
              <w:t>th</w:t>
            </w:r>
            <w:r w:rsidRPr="00B548D2">
              <w:t xml:space="preserve"> percentile of each grade’s scale</w:t>
            </w:r>
          </w:p>
        </w:tc>
        <w:tc>
          <w:tcPr>
            <w:tcW w:w="3267" w:type="dxa"/>
          </w:tcPr>
          <w:p w14:paraId="7260DB4B" w14:textId="77777777" w:rsidR="000269ED" w:rsidRPr="00B548D2" w:rsidRDefault="000269ED">
            <w:r w:rsidRPr="00B548D2">
              <w:t>Standard met is at the 65</w:t>
            </w:r>
            <w:r w:rsidRPr="00B548D2">
              <w:rPr>
                <w:vertAlign w:val="superscript"/>
              </w:rPr>
              <w:t>th</w:t>
            </w:r>
            <w:r w:rsidRPr="00B548D2">
              <w:t xml:space="preserve"> percentile of the scale.</w:t>
            </w:r>
          </w:p>
        </w:tc>
      </w:tr>
    </w:tbl>
    <w:p w14:paraId="3C2004EF" w14:textId="77777777" w:rsidR="000C53A3" w:rsidRPr="00B548D2" w:rsidRDefault="000C53A3">
      <w:pPr>
        <w:spacing w:after="160" w:line="259" w:lineRule="auto"/>
        <w:rPr>
          <w:i/>
          <w:iCs/>
        </w:rPr>
      </w:pPr>
      <w:r w:rsidRPr="00B548D2">
        <w:rPr>
          <w:i/>
          <w:iCs/>
        </w:rPr>
        <w:br w:type="page"/>
      </w:r>
    </w:p>
    <w:p w14:paraId="3D2312A6" w14:textId="2ABDBC70" w:rsidR="000269ED" w:rsidRPr="00B548D2" w:rsidRDefault="000269ED" w:rsidP="000C53A3">
      <w:pPr>
        <w:pStyle w:val="Heading5"/>
      </w:pPr>
      <w:r w:rsidRPr="00B548D2">
        <w:lastRenderedPageBreak/>
        <w:t>Technical Feedback f</w:t>
      </w:r>
      <w:r w:rsidR="00734718" w:rsidRPr="00B548D2">
        <w:t>or</w:t>
      </w:r>
      <w:r w:rsidRPr="00B548D2">
        <w:t xml:space="preserve"> </w:t>
      </w:r>
      <w:r w:rsidR="00734718" w:rsidRPr="00B548D2">
        <w:t>U</w:t>
      </w:r>
      <w:r w:rsidRPr="00B548D2">
        <w:t>sing Distance from Standard</w:t>
      </w:r>
    </w:p>
    <w:p w14:paraId="058F50CF" w14:textId="3A65D674" w:rsidR="000269ED" w:rsidRPr="00B548D2" w:rsidRDefault="000269ED" w:rsidP="000269ED">
      <w:pPr>
        <w:spacing w:after="240"/>
      </w:pPr>
      <w:r w:rsidRPr="00B548D2">
        <w:t>The CDE’s technical advisory group, the Technical Design Group (TDG), evaluated the DFS aggregated values for validity and reliability within the Accountability system and found that DFS would not be valid for use with the Science assessment results. They observed that the scores for DFS were clustered together and not spread across the full range of 100 possible scores, which would cause issues in setting cut scores in Phase II in 2025. The TDG expressed</w:t>
      </w:r>
      <w:r w:rsidRPr="00B548D2" w:rsidDel="00FA42B7">
        <w:t xml:space="preserve"> </w:t>
      </w:r>
      <w:r w:rsidRPr="00B548D2">
        <w:t xml:space="preserve">additional validity concerns due to the confusion that could be caused among wide ELA/Mathematics scale expectations and narrow Science scale score expectations. Since the scale length for ELA/Mathematics can exceed 600 points, but the Science scale length is only 100 points, the </w:t>
      </w:r>
      <w:r w:rsidR="00DD150F" w:rsidRPr="00B548D2">
        <w:t>two-point</w:t>
      </w:r>
      <w:r w:rsidRPr="00B548D2">
        <w:t xml:space="preserve"> measures were not considered to be comparable to each other.</w:t>
      </w:r>
    </w:p>
    <w:p w14:paraId="661BDB41" w14:textId="78C61F8B" w:rsidR="000269ED" w:rsidRPr="00B548D2" w:rsidRDefault="000269ED" w:rsidP="000C53A3">
      <w:pPr>
        <w:pStyle w:val="Heading5"/>
      </w:pPr>
      <w:r w:rsidRPr="00B548D2">
        <w:t>Technical Feedback from Using Percent Met/Exceeds Standard</w:t>
      </w:r>
    </w:p>
    <w:p w14:paraId="55B74672" w14:textId="01131B37" w:rsidR="000269ED" w:rsidRPr="00B548D2" w:rsidRDefault="000269ED" w:rsidP="000269ED">
      <w:pPr>
        <w:spacing w:after="240"/>
        <w:rPr>
          <w:i/>
          <w:iCs/>
        </w:rPr>
      </w:pPr>
      <w:r w:rsidRPr="00B548D2">
        <w:t xml:space="preserve">The TDG evaluated the aggregated values for Percent Met/Exceeds Standard and found that the methodology to be valid and reliable for </w:t>
      </w:r>
      <w:r w:rsidR="004D3EC8" w:rsidRPr="00B548D2">
        <w:t xml:space="preserve">the </w:t>
      </w:r>
      <w:r w:rsidRPr="00B548D2">
        <w:t>Science</w:t>
      </w:r>
      <w:r w:rsidR="004D3EC8" w:rsidRPr="00B548D2">
        <w:t xml:space="preserve"> metric</w:t>
      </w:r>
      <w:r w:rsidRPr="00B548D2">
        <w:t xml:space="preserve">. They observed that there was wide variation in the score outcomes across the school, district, state and student group levels. They also expressed that the scores would be easy to interpret and use since parents, teachers and schools would likely be familiar with the measurement since </w:t>
      </w:r>
      <w:r w:rsidR="00DD150F" w:rsidRPr="00B548D2">
        <w:t>it’s</w:t>
      </w:r>
      <w:r w:rsidRPr="00B548D2">
        <w:t xml:space="preserve"> currently used in student score reports.</w:t>
      </w:r>
    </w:p>
    <w:p w14:paraId="73166A96" w14:textId="63B51CA4" w:rsidR="000269ED" w:rsidRPr="00B548D2" w:rsidRDefault="000269ED" w:rsidP="000C53A3">
      <w:pPr>
        <w:pStyle w:val="Heading5"/>
      </w:pPr>
      <w:r w:rsidRPr="00B548D2">
        <w:t>Feedback from Educational Partners on Using Percent Met/Exceeds Standard</w:t>
      </w:r>
    </w:p>
    <w:p w14:paraId="3E040144" w14:textId="06F5021D" w:rsidR="000269ED" w:rsidRPr="00B548D2" w:rsidRDefault="000269ED" w:rsidP="000269ED">
      <w:pPr>
        <w:spacing w:after="240"/>
      </w:pPr>
      <w:r w:rsidRPr="00B548D2">
        <w:t>Following the technical feedback received from TDG, the CDE had the opportunity to gather feedback from educational partners a</w:t>
      </w:r>
      <w:r w:rsidR="00695E41" w:rsidRPr="00B548D2">
        <w:t xml:space="preserve">bout the </w:t>
      </w:r>
      <w:r w:rsidRPr="00B548D2">
        <w:t>concerns with using Percent Met/Exceeds Standard for the Science metric. Some educational partners shared concerns that Science would be seen as “less important” than ELA/Mathematics if the results were shown on the Dashboard using a different metric. Additionally, other comments centered around the familiarity with the scores in Percent Met/Exceeds Standard for families and teachers.</w:t>
      </w:r>
    </w:p>
    <w:p w14:paraId="67D3F615" w14:textId="4EBC622F" w:rsidR="000269ED" w:rsidRPr="00B548D2" w:rsidRDefault="000269ED" w:rsidP="00B60CF1">
      <w:pPr>
        <w:spacing w:after="240"/>
        <w:rPr>
          <w:rFonts w:eastAsia="Arial" w:cs="Arial"/>
          <w:color w:val="000000" w:themeColor="text1"/>
        </w:rPr>
      </w:pPr>
      <w:r w:rsidRPr="00B548D2">
        <w:t xml:space="preserve">The California Practitioners Advisory Group </w:t>
      </w:r>
      <w:r w:rsidR="00B60CF1" w:rsidRPr="00B548D2">
        <w:t xml:space="preserve">(CPAG) </w:t>
      </w:r>
      <w:r w:rsidRPr="00B548D2">
        <w:t xml:space="preserve">shared </w:t>
      </w:r>
      <w:r w:rsidR="3F63F5D5" w:rsidRPr="00B548D2">
        <w:rPr>
          <w:rFonts w:eastAsia="Arial" w:cs="Arial"/>
          <w:color w:val="000000" w:themeColor="text1"/>
        </w:rPr>
        <w:t>that the</w:t>
      </w:r>
      <w:r w:rsidR="67840E30" w:rsidRPr="00B548D2">
        <w:rPr>
          <w:rFonts w:eastAsia="Arial" w:cs="Arial"/>
          <w:color w:val="000000" w:themeColor="text1"/>
        </w:rPr>
        <w:t xml:space="preserve">y understood </w:t>
      </w:r>
      <w:r w:rsidR="00764FEA" w:rsidRPr="00B548D2">
        <w:rPr>
          <w:rFonts w:eastAsia="Arial" w:cs="Arial"/>
          <w:color w:val="000000" w:themeColor="text1"/>
        </w:rPr>
        <w:t xml:space="preserve">the limitations </w:t>
      </w:r>
      <w:r w:rsidR="003C762F" w:rsidRPr="00B548D2">
        <w:rPr>
          <w:rFonts w:eastAsia="Arial" w:cs="Arial"/>
          <w:color w:val="000000" w:themeColor="text1"/>
        </w:rPr>
        <w:t xml:space="preserve">of using DFS </w:t>
      </w:r>
      <w:r w:rsidR="00764FEA" w:rsidRPr="00B548D2">
        <w:rPr>
          <w:rFonts w:eastAsia="Arial" w:cs="Arial"/>
          <w:color w:val="000000" w:themeColor="text1"/>
        </w:rPr>
        <w:t>for th</w:t>
      </w:r>
      <w:r w:rsidR="3F63F5D5" w:rsidRPr="00B548D2">
        <w:rPr>
          <w:rFonts w:eastAsia="Arial" w:cs="Arial"/>
          <w:color w:val="000000" w:themeColor="text1"/>
        </w:rPr>
        <w:t>e Science methodology</w:t>
      </w:r>
      <w:r w:rsidR="002B7BB9" w:rsidRPr="00B548D2">
        <w:rPr>
          <w:rFonts w:eastAsia="Arial" w:cs="Arial"/>
          <w:color w:val="000000" w:themeColor="text1"/>
        </w:rPr>
        <w:t>. Specifically,</w:t>
      </w:r>
      <w:r w:rsidR="3F63F5D5" w:rsidRPr="00B548D2">
        <w:rPr>
          <w:rFonts w:eastAsia="Arial" w:cs="Arial"/>
          <w:color w:val="000000" w:themeColor="text1"/>
        </w:rPr>
        <w:t xml:space="preserve"> </w:t>
      </w:r>
      <w:r w:rsidR="002B7BB9" w:rsidRPr="00B548D2">
        <w:rPr>
          <w:rFonts w:eastAsia="Arial" w:cs="Arial"/>
          <w:color w:val="000000" w:themeColor="text1"/>
        </w:rPr>
        <w:t>the</w:t>
      </w:r>
      <w:r w:rsidR="002F313C" w:rsidRPr="00B548D2">
        <w:rPr>
          <w:rFonts w:eastAsia="Arial" w:cs="Arial"/>
          <w:color w:val="000000" w:themeColor="text1"/>
        </w:rPr>
        <w:t>y expressed that due to these technical</w:t>
      </w:r>
      <w:r w:rsidR="002B7BB9" w:rsidRPr="00B548D2">
        <w:rPr>
          <w:rFonts w:eastAsia="Arial" w:cs="Arial"/>
          <w:color w:val="000000" w:themeColor="text1"/>
        </w:rPr>
        <w:t xml:space="preserve"> </w:t>
      </w:r>
      <w:r w:rsidR="007F3F4B" w:rsidRPr="00B548D2">
        <w:rPr>
          <w:rFonts w:eastAsia="Arial" w:cs="Arial"/>
          <w:color w:val="000000" w:themeColor="text1"/>
        </w:rPr>
        <w:t xml:space="preserve">constraints </w:t>
      </w:r>
      <w:r w:rsidR="00FE2B5F" w:rsidRPr="00B548D2">
        <w:rPr>
          <w:rFonts w:eastAsia="Arial" w:cs="Arial"/>
          <w:color w:val="000000" w:themeColor="text1"/>
        </w:rPr>
        <w:t xml:space="preserve">there was a </w:t>
      </w:r>
      <w:r w:rsidR="7CAC5FAA" w:rsidRPr="00B548D2">
        <w:rPr>
          <w:rFonts w:eastAsia="Arial" w:cs="Arial"/>
          <w:color w:val="000000" w:themeColor="text1"/>
        </w:rPr>
        <w:t>pre</w:t>
      </w:r>
      <w:r w:rsidR="0066033E" w:rsidRPr="00B548D2">
        <w:rPr>
          <w:rFonts w:eastAsia="Arial" w:cs="Arial"/>
          <w:color w:val="000000" w:themeColor="text1"/>
        </w:rPr>
        <w:t>f</w:t>
      </w:r>
      <w:r w:rsidR="7CAC5FAA" w:rsidRPr="00B548D2">
        <w:rPr>
          <w:rFonts w:eastAsia="Arial" w:cs="Arial"/>
          <w:color w:val="000000" w:themeColor="text1"/>
        </w:rPr>
        <w:t>er</w:t>
      </w:r>
      <w:r w:rsidR="0066033E" w:rsidRPr="00B548D2">
        <w:rPr>
          <w:rFonts w:eastAsia="Arial" w:cs="Arial"/>
          <w:color w:val="000000" w:themeColor="text1"/>
        </w:rPr>
        <w:t>e</w:t>
      </w:r>
      <w:r w:rsidR="007F3F4B" w:rsidRPr="00B548D2">
        <w:rPr>
          <w:rFonts w:eastAsia="Arial" w:cs="Arial"/>
          <w:color w:val="000000" w:themeColor="text1"/>
        </w:rPr>
        <w:t>nce for the use of</w:t>
      </w:r>
      <w:r w:rsidR="7CAC5FAA" w:rsidRPr="00B548D2">
        <w:rPr>
          <w:rFonts w:eastAsia="Arial" w:cs="Arial"/>
          <w:color w:val="000000" w:themeColor="text1"/>
        </w:rPr>
        <w:t xml:space="preserve"> </w:t>
      </w:r>
      <w:r w:rsidR="039396E4" w:rsidRPr="00B548D2">
        <w:rPr>
          <w:rFonts w:eastAsia="Arial" w:cs="Arial"/>
          <w:color w:val="000000" w:themeColor="text1"/>
        </w:rPr>
        <w:t>Stan</w:t>
      </w:r>
      <w:r w:rsidR="1C1F2375" w:rsidRPr="00B548D2">
        <w:rPr>
          <w:rFonts w:eastAsia="Arial" w:cs="Arial"/>
          <w:color w:val="000000" w:themeColor="text1"/>
        </w:rPr>
        <w:t>d</w:t>
      </w:r>
      <w:r w:rsidR="039396E4" w:rsidRPr="00B548D2">
        <w:rPr>
          <w:rFonts w:eastAsia="Arial" w:cs="Arial"/>
          <w:color w:val="000000" w:themeColor="text1"/>
        </w:rPr>
        <w:t xml:space="preserve">ard </w:t>
      </w:r>
      <w:r w:rsidR="3F63F5D5" w:rsidRPr="00B548D2">
        <w:rPr>
          <w:rFonts w:eastAsia="Arial" w:cs="Arial"/>
          <w:color w:val="000000" w:themeColor="text1"/>
        </w:rPr>
        <w:t xml:space="preserve">Met/Exceed </w:t>
      </w:r>
      <w:r w:rsidR="68D37982" w:rsidRPr="00B548D2">
        <w:rPr>
          <w:rFonts w:eastAsia="Arial" w:cs="Arial"/>
          <w:color w:val="000000" w:themeColor="text1"/>
        </w:rPr>
        <w:t xml:space="preserve">as the </w:t>
      </w:r>
      <w:r w:rsidR="3F63F5D5" w:rsidRPr="00B548D2">
        <w:rPr>
          <w:rFonts w:eastAsia="Arial" w:cs="Arial"/>
          <w:color w:val="000000" w:themeColor="text1"/>
        </w:rPr>
        <w:t>metric</w:t>
      </w:r>
      <w:r w:rsidR="7B863853" w:rsidRPr="00B548D2">
        <w:rPr>
          <w:rFonts w:eastAsia="Arial" w:cs="Arial"/>
          <w:color w:val="000000" w:themeColor="text1"/>
        </w:rPr>
        <w:t xml:space="preserve"> for Science on the Dashboard</w:t>
      </w:r>
      <w:r w:rsidR="3F63F5D5" w:rsidRPr="00B548D2">
        <w:rPr>
          <w:rFonts w:eastAsia="Arial" w:cs="Arial"/>
          <w:color w:val="000000" w:themeColor="text1"/>
        </w:rPr>
        <w:t xml:space="preserve">. With that, members expressed the need to </w:t>
      </w:r>
      <w:r w:rsidR="00A0750B" w:rsidRPr="00B548D2">
        <w:rPr>
          <w:rFonts w:eastAsia="Arial" w:cs="Arial"/>
          <w:color w:val="000000" w:themeColor="text1"/>
        </w:rPr>
        <w:t xml:space="preserve">provide resources to </w:t>
      </w:r>
      <w:r w:rsidR="3F63F5D5" w:rsidRPr="00B548D2">
        <w:rPr>
          <w:rFonts w:eastAsia="Arial" w:cs="Arial"/>
          <w:color w:val="000000" w:themeColor="text1"/>
        </w:rPr>
        <w:t xml:space="preserve">communicate </w:t>
      </w:r>
      <w:r w:rsidR="00A0750B" w:rsidRPr="00B548D2">
        <w:rPr>
          <w:rFonts w:eastAsia="Arial" w:cs="Arial"/>
          <w:color w:val="000000" w:themeColor="text1"/>
        </w:rPr>
        <w:t xml:space="preserve">to the field </w:t>
      </w:r>
      <w:r w:rsidR="5809F7E6" w:rsidRPr="00B548D2">
        <w:rPr>
          <w:rFonts w:eastAsia="Arial" w:cs="Arial"/>
          <w:color w:val="000000" w:themeColor="text1"/>
        </w:rPr>
        <w:t>th</w:t>
      </w:r>
      <w:r w:rsidR="002855FB" w:rsidRPr="00B548D2">
        <w:rPr>
          <w:rFonts w:eastAsia="Arial" w:cs="Arial"/>
          <w:color w:val="000000" w:themeColor="text1"/>
        </w:rPr>
        <w:t xml:space="preserve">e </w:t>
      </w:r>
      <w:r w:rsidR="00A0750B" w:rsidRPr="00B548D2">
        <w:rPr>
          <w:rFonts w:eastAsia="Arial" w:cs="Arial"/>
          <w:color w:val="000000" w:themeColor="text1"/>
        </w:rPr>
        <w:t xml:space="preserve">purpose of the </w:t>
      </w:r>
      <w:r w:rsidR="002855FB" w:rsidRPr="00B548D2">
        <w:rPr>
          <w:rFonts w:eastAsia="Arial" w:cs="Arial"/>
          <w:color w:val="000000" w:themeColor="text1"/>
        </w:rPr>
        <w:t>Science</w:t>
      </w:r>
      <w:r w:rsidR="5809F7E6" w:rsidRPr="00B548D2">
        <w:rPr>
          <w:rFonts w:eastAsia="Arial" w:cs="Arial"/>
          <w:color w:val="000000" w:themeColor="text1"/>
        </w:rPr>
        <w:t xml:space="preserve"> metric </w:t>
      </w:r>
      <w:r w:rsidR="00A0750B" w:rsidRPr="00B548D2">
        <w:rPr>
          <w:rFonts w:eastAsia="Arial" w:cs="Arial"/>
          <w:color w:val="000000" w:themeColor="text1"/>
        </w:rPr>
        <w:t xml:space="preserve">and </w:t>
      </w:r>
      <w:r w:rsidR="5809F7E6" w:rsidRPr="00B548D2">
        <w:rPr>
          <w:rFonts w:eastAsia="Arial" w:cs="Arial"/>
          <w:color w:val="000000" w:themeColor="text1"/>
        </w:rPr>
        <w:t>differe</w:t>
      </w:r>
      <w:r w:rsidR="002855FB" w:rsidRPr="00B548D2">
        <w:rPr>
          <w:rFonts w:eastAsia="Arial" w:cs="Arial"/>
          <w:color w:val="000000" w:themeColor="text1"/>
        </w:rPr>
        <w:t>n</w:t>
      </w:r>
      <w:r w:rsidR="00A0750B" w:rsidRPr="00B548D2">
        <w:rPr>
          <w:rFonts w:eastAsia="Arial" w:cs="Arial"/>
          <w:color w:val="000000" w:themeColor="text1"/>
        </w:rPr>
        <w:t>ces</w:t>
      </w:r>
      <w:r w:rsidR="5809F7E6" w:rsidRPr="00B548D2">
        <w:rPr>
          <w:rFonts w:eastAsia="Arial" w:cs="Arial"/>
          <w:color w:val="000000" w:themeColor="text1"/>
        </w:rPr>
        <w:t xml:space="preserve"> from </w:t>
      </w:r>
      <w:r w:rsidR="002855FB" w:rsidRPr="00B548D2">
        <w:rPr>
          <w:rFonts w:eastAsia="Arial" w:cs="Arial"/>
          <w:color w:val="000000" w:themeColor="text1"/>
        </w:rPr>
        <w:t xml:space="preserve">the </w:t>
      </w:r>
      <w:r w:rsidR="5809F7E6" w:rsidRPr="00B548D2">
        <w:rPr>
          <w:rFonts w:eastAsia="Arial" w:cs="Arial"/>
          <w:color w:val="000000" w:themeColor="text1"/>
        </w:rPr>
        <w:t xml:space="preserve">ELA/Mathematics </w:t>
      </w:r>
      <w:r w:rsidR="002855FB" w:rsidRPr="00B548D2">
        <w:rPr>
          <w:rFonts w:eastAsia="Arial" w:cs="Arial"/>
          <w:color w:val="000000" w:themeColor="text1"/>
        </w:rPr>
        <w:t>Indicators</w:t>
      </w:r>
      <w:r w:rsidR="3F63F5D5" w:rsidRPr="00B548D2">
        <w:rPr>
          <w:rFonts w:eastAsia="Arial" w:cs="Arial"/>
          <w:color w:val="000000" w:themeColor="text1"/>
        </w:rPr>
        <w:t>.</w:t>
      </w:r>
    </w:p>
    <w:p w14:paraId="421A99F6" w14:textId="44FD9910" w:rsidR="000269ED" w:rsidRPr="00B548D2" w:rsidRDefault="000269ED" w:rsidP="591099FD">
      <w:pPr>
        <w:spacing w:after="160" w:line="257" w:lineRule="auto"/>
        <w:rPr>
          <w:b/>
          <w:bCs/>
          <w:i/>
          <w:iCs/>
        </w:rPr>
      </w:pPr>
      <w:r w:rsidRPr="00B548D2">
        <w:rPr>
          <w:b/>
          <w:bCs/>
          <w:i/>
          <w:iCs/>
        </w:rPr>
        <w:t>B. How to Combine High School Scores</w:t>
      </w:r>
    </w:p>
    <w:p w14:paraId="11915773" w14:textId="01E9B1E5" w:rsidR="000269ED" w:rsidRPr="00B548D2" w:rsidRDefault="000269ED" w:rsidP="000269ED">
      <w:pPr>
        <w:spacing w:after="240"/>
      </w:pPr>
      <w:r w:rsidRPr="00B548D2">
        <w:t xml:space="preserve">Unlike the ELA and Mathematics assessments which are administered in a specific high school grade, Grade 11, the Science assessment can be administered to students in either grades 10, 11 or 12. To report on high school performance on the Science assessments, </w:t>
      </w:r>
      <w:r w:rsidR="00771446" w:rsidRPr="00B548D2">
        <w:t xml:space="preserve">a decision must be made on </w:t>
      </w:r>
      <w:r w:rsidRPr="00B548D2">
        <w:t>how to combine and organize the scores across the three grade levels.</w:t>
      </w:r>
    </w:p>
    <w:p w14:paraId="0FD48B88" w14:textId="38F19DB2" w:rsidR="000269ED" w:rsidRPr="00B548D2" w:rsidRDefault="00771446" w:rsidP="000269ED">
      <w:pPr>
        <w:spacing w:after="240"/>
      </w:pPr>
      <w:r w:rsidRPr="00B548D2">
        <w:lastRenderedPageBreak/>
        <w:t xml:space="preserve">The </w:t>
      </w:r>
      <w:r w:rsidR="000269ED" w:rsidRPr="00B548D2">
        <w:t>CDE evaluated two options for combining high school scores for the Science Indicator:</w:t>
      </w:r>
    </w:p>
    <w:p w14:paraId="67F98F16" w14:textId="3499B9BD" w:rsidR="000269ED" w:rsidRPr="00B548D2" w:rsidRDefault="009E23F7" w:rsidP="00B058BC">
      <w:pPr>
        <w:pStyle w:val="ListParagraph"/>
        <w:numPr>
          <w:ilvl w:val="0"/>
          <w:numId w:val="20"/>
        </w:numPr>
      </w:pPr>
      <w:r w:rsidRPr="00B548D2">
        <w:t xml:space="preserve">Option 1: </w:t>
      </w:r>
      <w:r w:rsidR="000269ED" w:rsidRPr="00B548D2">
        <w:t>Current Year scores</w:t>
      </w:r>
    </w:p>
    <w:p w14:paraId="6BF31F0C" w14:textId="77777777" w:rsidR="000269ED" w:rsidRPr="00B548D2" w:rsidRDefault="000269ED" w:rsidP="00B058BC">
      <w:pPr>
        <w:pStyle w:val="ListParagraph"/>
        <w:numPr>
          <w:ilvl w:val="1"/>
          <w:numId w:val="20"/>
        </w:numPr>
      </w:pPr>
      <w:r w:rsidRPr="00B548D2">
        <w:t>All High schoolers tested in 2023</w:t>
      </w:r>
      <w:r w:rsidRPr="00B548D2">
        <w:rPr>
          <w:rFonts w:cs="Arial"/>
        </w:rPr>
        <w:t>–</w:t>
      </w:r>
      <w:r w:rsidRPr="00B548D2">
        <w:t>24 (i.e. all 10</w:t>
      </w:r>
      <w:r w:rsidRPr="00B548D2">
        <w:rPr>
          <w:vertAlign w:val="superscript"/>
        </w:rPr>
        <w:t>th</w:t>
      </w:r>
      <w:r w:rsidRPr="00B548D2">
        <w:t xml:space="preserve"> graders, 11</w:t>
      </w:r>
      <w:r w:rsidRPr="00B548D2">
        <w:rPr>
          <w:vertAlign w:val="superscript"/>
        </w:rPr>
        <w:t>th</w:t>
      </w:r>
      <w:r w:rsidRPr="00B548D2">
        <w:t xml:space="preserve"> graders and 12</w:t>
      </w:r>
      <w:r w:rsidRPr="00B548D2">
        <w:rPr>
          <w:vertAlign w:val="superscript"/>
        </w:rPr>
        <w:t>th</w:t>
      </w:r>
      <w:r w:rsidRPr="00B548D2">
        <w:t xml:space="preserve"> graders in 2023</w:t>
      </w:r>
      <w:r w:rsidRPr="00B548D2">
        <w:rPr>
          <w:rFonts w:cs="Arial"/>
        </w:rPr>
        <w:t>–</w:t>
      </w:r>
      <w:r w:rsidRPr="00B548D2">
        <w:t>24)</w:t>
      </w:r>
    </w:p>
    <w:p w14:paraId="68FB0A51" w14:textId="7A4FA678" w:rsidR="000269ED" w:rsidRPr="00B548D2" w:rsidRDefault="009E23F7" w:rsidP="00B058BC">
      <w:pPr>
        <w:pStyle w:val="ListParagraph"/>
        <w:numPr>
          <w:ilvl w:val="0"/>
          <w:numId w:val="20"/>
        </w:numPr>
      </w:pPr>
      <w:r w:rsidRPr="00B548D2">
        <w:t xml:space="preserve">Option 2: </w:t>
      </w:r>
      <w:r w:rsidR="000269ED" w:rsidRPr="00B548D2">
        <w:t>Cumulative scores</w:t>
      </w:r>
    </w:p>
    <w:p w14:paraId="01C7A21E" w14:textId="77777777" w:rsidR="000269ED" w:rsidRPr="00B548D2" w:rsidRDefault="000269ED" w:rsidP="00B058BC">
      <w:pPr>
        <w:pStyle w:val="ListParagraph"/>
        <w:numPr>
          <w:ilvl w:val="1"/>
          <w:numId w:val="20"/>
        </w:numPr>
      </w:pPr>
      <w:r w:rsidRPr="00B548D2">
        <w:t>All 12</w:t>
      </w:r>
      <w:r w:rsidRPr="00B548D2">
        <w:rPr>
          <w:vertAlign w:val="superscript"/>
        </w:rPr>
        <w:t>th</w:t>
      </w:r>
      <w:r w:rsidRPr="00B548D2">
        <w:t xml:space="preserve"> graders who tested within the past 3 years (i.e. 10</w:t>
      </w:r>
      <w:r w:rsidRPr="00B548D2">
        <w:rPr>
          <w:vertAlign w:val="superscript"/>
        </w:rPr>
        <w:t>th</w:t>
      </w:r>
      <w:r w:rsidRPr="00B548D2">
        <w:t xml:space="preserve"> graders who tested in 2021</w:t>
      </w:r>
      <w:r w:rsidRPr="00B548D2">
        <w:rPr>
          <w:rFonts w:cs="Arial"/>
        </w:rPr>
        <w:t>–</w:t>
      </w:r>
      <w:r w:rsidRPr="00B548D2">
        <w:t>22, 11</w:t>
      </w:r>
      <w:r w:rsidRPr="00B548D2">
        <w:rPr>
          <w:vertAlign w:val="superscript"/>
        </w:rPr>
        <w:t>th</w:t>
      </w:r>
      <w:r w:rsidRPr="00B548D2">
        <w:t xml:space="preserve"> graders who tested in 2022</w:t>
      </w:r>
      <w:r w:rsidRPr="00B548D2">
        <w:rPr>
          <w:rFonts w:cs="Arial"/>
        </w:rPr>
        <w:t>–</w:t>
      </w:r>
      <w:r w:rsidRPr="00B548D2">
        <w:t>23, 12</w:t>
      </w:r>
      <w:r w:rsidRPr="00B548D2">
        <w:rPr>
          <w:vertAlign w:val="superscript"/>
        </w:rPr>
        <w:t>th</w:t>
      </w:r>
      <w:r w:rsidRPr="00B548D2">
        <w:t xml:space="preserve"> graders who tested in 2023</w:t>
      </w:r>
      <w:r w:rsidRPr="00B548D2">
        <w:rPr>
          <w:rFonts w:cs="Arial"/>
        </w:rPr>
        <w:t>–</w:t>
      </w:r>
      <w:r w:rsidRPr="00B548D2">
        <w:t>24)</w:t>
      </w:r>
    </w:p>
    <w:p w14:paraId="62A30075" w14:textId="0B24361D" w:rsidR="000269ED" w:rsidRPr="00B548D2" w:rsidRDefault="000269ED" w:rsidP="000269ED">
      <w:pPr>
        <w:spacing w:after="240"/>
      </w:pPr>
      <w:r w:rsidRPr="00B548D2">
        <w:t xml:space="preserve">The TDG’s technical analysis supported the use of </w:t>
      </w:r>
      <w:proofErr w:type="gramStart"/>
      <w:r w:rsidRPr="00B548D2">
        <w:t xml:space="preserve">the </w:t>
      </w:r>
      <w:r w:rsidR="009E23F7" w:rsidRPr="00B548D2">
        <w:t>Option</w:t>
      </w:r>
      <w:proofErr w:type="gramEnd"/>
      <w:r w:rsidR="009E23F7" w:rsidRPr="00B548D2">
        <w:t xml:space="preserve"> 1: </w:t>
      </w:r>
      <w:r w:rsidRPr="00B548D2">
        <w:t>Current Year combination for high school scores. T</w:t>
      </w:r>
      <w:r w:rsidR="00DD150F" w:rsidRPr="00B548D2">
        <w:t>DG</w:t>
      </w:r>
      <w:r w:rsidRPr="00B548D2">
        <w:t xml:space="preserve"> expressed the option would provide the most validity as it would alleviate any issues that may arise in combining scores across years. Additionally, if the Science scores were going to be used for support determinations in the future, the results would all be from the most recent year. Educational partners also had an overwhelming preference for </w:t>
      </w:r>
      <w:proofErr w:type="gramStart"/>
      <w:r w:rsidRPr="00B548D2">
        <w:t xml:space="preserve">the </w:t>
      </w:r>
      <w:r w:rsidR="009E23F7" w:rsidRPr="00B548D2">
        <w:t>Option</w:t>
      </w:r>
      <w:proofErr w:type="gramEnd"/>
      <w:r w:rsidR="009E23F7" w:rsidRPr="00B548D2">
        <w:t xml:space="preserve"> 1: </w:t>
      </w:r>
      <w:r w:rsidRPr="00B548D2">
        <w:t xml:space="preserve">Current Year method, as it was the closest to ‘real time’ data. CPAG </w:t>
      </w:r>
      <w:r w:rsidR="006441F5" w:rsidRPr="00B548D2">
        <w:t xml:space="preserve">members </w:t>
      </w:r>
      <w:r w:rsidRPr="00B548D2">
        <w:t xml:space="preserve">shared </w:t>
      </w:r>
      <w:r w:rsidR="006441F5" w:rsidRPr="00B548D2">
        <w:t>support</w:t>
      </w:r>
      <w:r w:rsidR="00CA3901" w:rsidRPr="00B548D2">
        <w:t xml:space="preserve"> for Option 1</w:t>
      </w:r>
      <w:r w:rsidR="00521C76" w:rsidRPr="00B548D2">
        <w:t>.</w:t>
      </w:r>
    </w:p>
    <w:p w14:paraId="2255851D" w14:textId="703AD022" w:rsidR="000269ED" w:rsidRPr="00B548D2" w:rsidRDefault="000269ED" w:rsidP="000269ED">
      <w:pPr>
        <w:spacing w:after="240"/>
        <w:rPr>
          <w:b/>
          <w:bCs/>
          <w:i/>
          <w:iCs/>
        </w:rPr>
      </w:pPr>
      <w:r w:rsidRPr="00B548D2">
        <w:rPr>
          <w:b/>
          <w:bCs/>
          <w:i/>
          <w:iCs/>
        </w:rPr>
        <w:t>C. Evaluating Participation Rates</w:t>
      </w:r>
    </w:p>
    <w:p w14:paraId="45E076A3" w14:textId="0AB6A577" w:rsidR="000269ED" w:rsidRPr="00B548D2" w:rsidRDefault="000269ED" w:rsidP="000269ED">
      <w:pPr>
        <w:spacing w:after="240"/>
      </w:pPr>
      <w:proofErr w:type="gramStart"/>
      <w:r w:rsidRPr="00B548D2">
        <w:t>The Every</w:t>
      </w:r>
      <w:proofErr w:type="gramEnd"/>
      <w:r w:rsidRPr="00B548D2">
        <w:t xml:space="preserve"> Student Succeeds Act (ESSA) requires that states annually assess 95 percent of all students at the school/district/student group levels on both the English Language Arts (ELA) and Mathematics annual assessments. </w:t>
      </w:r>
      <w:r w:rsidR="00CF7D15" w:rsidRPr="00B548D2">
        <w:t>ESSA</w:t>
      </w:r>
      <w:r w:rsidR="00047220" w:rsidRPr="00B548D2">
        <w:t xml:space="preserve"> also requires states to factor the participation rate into their accountability systems, which, for California, is the Academic Indicator. The Academic Indicator is based on the Smarter Balanced Summative Assessments and the California Alternate Assessments for ELA and mathematics. </w:t>
      </w:r>
      <w:r w:rsidR="00CF7D15" w:rsidRPr="00B548D2">
        <w:t xml:space="preserve">Specially, </w:t>
      </w:r>
      <w:r w:rsidR="00E3078C" w:rsidRPr="00B548D2">
        <w:t xml:space="preserve">ESSA </w:t>
      </w:r>
      <w:r w:rsidR="00CF7D15" w:rsidRPr="00B548D2">
        <w:t>s</w:t>
      </w:r>
      <w:r w:rsidRPr="00B548D2">
        <w:t>tates that choose to report on additional subject-matter assessments are not required to include or incorporate any participation rate into those indicators; therefore</w:t>
      </w:r>
      <w:r w:rsidR="00F85289" w:rsidRPr="00B548D2">
        <w:t>,</w:t>
      </w:r>
      <w:r w:rsidRPr="00B548D2">
        <w:t xml:space="preserve"> California </w:t>
      </w:r>
      <w:r w:rsidR="00D90808" w:rsidRPr="00B548D2">
        <w:t xml:space="preserve">has flexibility on whether </w:t>
      </w:r>
      <w:r w:rsidRPr="00B548D2">
        <w:t xml:space="preserve">to include </w:t>
      </w:r>
      <w:r w:rsidR="00547D1D" w:rsidRPr="00B548D2">
        <w:t>participation rate</w:t>
      </w:r>
      <w:r w:rsidRPr="00B548D2">
        <w:t xml:space="preserve"> in </w:t>
      </w:r>
      <w:r w:rsidR="00547D1D" w:rsidRPr="00B548D2">
        <w:t>the Science</w:t>
      </w:r>
      <w:r w:rsidRPr="00B548D2">
        <w:t xml:space="preserve"> metric. </w:t>
      </w:r>
      <w:r w:rsidR="00547D1D" w:rsidRPr="00B548D2">
        <w:t>In addition to the Academic Indicators for ELA and Mathematics</w:t>
      </w:r>
      <w:r w:rsidR="005E1ED4" w:rsidRPr="00B548D2">
        <w:t xml:space="preserve">, California’s </w:t>
      </w:r>
      <w:r w:rsidRPr="00B548D2">
        <w:t xml:space="preserve">Accountability system </w:t>
      </w:r>
      <w:r w:rsidR="005E1ED4" w:rsidRPr="00B548D2">
        <w:t xml:space="preserve">also </w:t>
      </w:r>
      <w:r w:rsidRPr="00B548D2">
        <w:t xml:space="preserve">incorporates </w:t>
      </w:r>
      <w:r w:rsidR="005E1ED4" w:rsidRPr="00B548D2">
        <w:t xml:space="preserve">the </w:t>
      </w:r>
      <w:r w:rsidRPr="00B548D2">
        <w:t xml:space="preserve">participation rate </w:t>
      </w:r>
      <w:r w:rsidR="005E1ED4" w:rsidRPr="00B548D2">
        <w:t xml:space="preserve">as a factor in </w:t>
      </w:r>
      <w:r w:rsidRPr="00B548D2">
        <w:t>the English Learner Progress Indicator (ELPI).</w:t>
      </w:r>
    </w:p>
    <w:p w14:paraId="4F342188" w14:textId="77777777" w:rsidR="000269ED" w:rsidRPr="00B548D2" w:rsidRDefault="000269ED" w:rsidP="000C53A3">
      <w:pPr>
        <w:pStyle w:val="Heading4"/>
      </w:pPr>
      <w:r w:rsidRPr="00B548D2">
        <w:t>Table 4: 2023 School Participation Rate Distribution for Assessments</w:t>
      </w:r>
    </w:p>
    <w:tbl>
      <w:tblPr>
        <w:tblStyle w:val="TableGrid"/>
        <w:tblW w:w="0" w:type="auto"/>
        <w:tblLook w:val="04A0" w:firstRow="1" w:lastRow="0" w:firstColumn="1" w:lastColumn="0" w:noHBand="0" w:noVBand="1"/>
        <w:tblCaption w:val="Table 4: 2023 School Participation Rate Distribution for Assessments"/>
        <w:tblDescription w:val="Table 4: 2023 School Participation Rate Distribution for Assessments"/>
      </w:tblPr>
      <w:tblGrid>
        <w:gridCol w:w="2670"/>
        <w:gridCol w:w="1670"/>
        <w:gridCol w:w="1670"/>
        <w:gridCol w:w="1670"/>
        <w:gridCol w:w="1670"/>
      </w:tblGrid>
      <w:tr w:rsidR="000269ED" w:rsidRPr="00B548D2" w14:paraId="17E1061A" w14:textId="77777777" w:rsidTr="000C53A3">
        <w:trPr>
          <w:cantSplit/>
          <w:tblHeader/>
        </w:trPr>
        <w:tc>
          <w:tcPr>
            <w:tcW w:w="4945" w:type="dxa"/>
            <w:tcBorders>
              <w:bottom w:val="single" w:sz="24" w:space="0" w:color="auto"/>
            </w:tcBorders>
          </w:tcPr>
          <w:p w14:paraId="1DF741D7" w14:textId="77777777" w:rsidR="000269ED" w:rsidRPr="00B548D2" w:rsidRDefault="000269ED" w:rsidP="00B017CE">
            <w:pPr>
              <w:rPr>
                <w:b/>
                <w:bCs/>
              </w:rPr>
            </w:pPr>
            <w:r w:rsidRPr="00B548D2">
              <w:rPr>
                <w:b/>
                <w:bCs/>
              </w:rPr>
              <w:t>Assessment</w:t>
            </w:r>
          </w:p>
        </w:tc>
        <w:tc>
          <w:tcPr>
            <w:tcW w:w="1080" w:type="dxa"/>
            <w:tcBorders>
              <w:bottom w:val="single" w:sz="24" w:space="0" w:color="auto"/>
            </w:tcBorders>
          </w:tcPr>
          <w:p w14:paraId="31A58A02" w14:textId="77777777" w:rsidR="000269ED" w:rsidRPr="00B548D2" w:rsidRDefault="000269ED">
            <w:pPr>
              <w:keepNext/>
              <w:keepLines/>
              <w:rPr>
                <w:b/>
                <w:bCs/>
              </w:rPr>
            </w:pPr>
            <w:r w:rsidRPr="00B548D2">
              <w:rPr>
                <w:b/>
                <w:bCs/>
              </w:rPr>
              <w:t>95.0-100% Participation Rate</w:t>
            </w:r>
          </w:p>
        </w:tc>
        <w:tc>
          <w:tcPr>
            <w:tcW w:w="990" w:type="dxa"/>
            <w:tcBorders>
              <w:bottom w:val="single" w:sz="24" w:space="0" w:color="auto"/>
            </w:tcBorders>
          </w:tcPr>
          <w:p w14:paraId="36AC2B58" w14:textId="77777777" w:rsidR="000269ED" w:rsidRPr="00B548D2" w:rsidRDefault="000269ED">
            <w:pPr>
              <w:keepNext/>
              <w:keepLines/>
              <w:rPr>
                <w:b/>
                <w:bCs/>
              </w:rPr>
            </w:pPr>
            <w:r w:rsidRPr="00B548D2">
              <w:rPr>
                <w:b/>
                <w:bCs/>
              </w:rPr>
              <w:t>90.0-94.9%</w:t>
            </w:r>
          </w:p>
          <w:p w14:paraId="0607A6CA" w14:textId="77777777" w:rsidR="000269ED" w:rsidRPr="00B548D2" w:rsidRDefault="000269ED">
            <w:pPr>
              <w:keepNext/>
              <w:keepLines/>
              <w:rPr>
                <w:b/>
                <w:bCs/>
              </w:rPr>
            </w:pPr>
            <w:r w:rsidRPr="00B548D2">
              <w:rPr>
                <w:b/>
                <w:bCs/>
              </w:rPr>
              <w:t>Participation Rate</w:t>
            </w:r>
          </w:p>
        </w:tc>
        <w:tc>
          <w:tcPr>
            <w:tcW w:w="990" w:type="dxa"/>
            <w:tcBorders>
              <w:bottom w:val="single" w:sz="24" w:space="0" w:color="auto"/>
            </w:tcBorders>
          </w:tcPr>
          <w:p w14:paraId="6E96425C" w14:textId="77777777" w:rsidR="000269ED" w:rsidRPr="00B548D2" w:rsidRDefault="000269ED">
            <w:pPr>
              <w:keepNext/>
              <w:keepLines/>
              <w:rPr>
                <w:b/>
                <w:bCs/>
              </w:rPr>
            </w:pPr>
            <w:r w:rsidRPr="00B548D2">
              <w:rPr>
                <w:b/>
                <w:bCs/>
              </w:rPr>
              <w:t>85.0-89.9%</w:t>
            </w:r>
          </w:p>
          <w:p w14:paraId="157CBF5B" w14:textId="77777777" w:rsidR="000269ED" w:rsidRPr="00B548D2" w:rsidRDefault="000269ED">
            <w:pPr>
              <w:keepNext/>
              <w:keepLines/>
              <w:rPr>
                <w:b/>
                <w:bCs/>
              </w:rPr>
            </w:pPr>
            <w:r w:rsidRPr="00B548D2">
              <w:rPr>
                <w:b/>
                <w:bCs/>
              </w:rPr>
              <w:t>Participation Rate</w:t>
            </w:r>
          </w:p>
        </w:tc>
        <w:tc>
          <w:tcPr>
            <w:tcW w:w="1345" w:type="dxa"/>
            <w:tcBorders>
              <w:bottom w:val="single" w:sz="24" w:space="0" w:color="auto"/>
            </w:tcBorders>
          </w:tcPr>
          <w:p w14:paraId="6DC5CA51" w14:textId="77777777" w:rsidR="000269ED" w:rsidRPr="00B548D2" w:rsidRDefault="000269ED">
            <w:pPr>
              <w:keepNext/>
              <w:keepLines/>
              <w:rPr>
                <w:b/>
                <w:bCs/>
              </w:rPr>
            </w:pPr>
            <w:r w:rsidRPr="00B548D2">
              <w:rPr>
                <w:b/>
                <w:bCs/>
              </w:rPr>
              <w:t>Less than 85%</w:t>
            </w:r>
          </w:p>
          <w:p w14:paraId="57EF7179" w14:textId="77777777" w:rsidR="000269ED" w:rsidRPr="00B548D2" w:rsidRDefault="000269ED">
            <w:pPr>
              <w:keepNext/>
              <w:keepLines/>
              <w:rPr>
                <w:b/>
                <w:bCs/>
              </w:rPr>
            </w:pPr>
            <w:r w:rsidRPr="00B548D2">
              <w:rPr>
                <w:b/>
                <w:bCs/>
              </w:rPr>
              <w:t>Participation Rate</w:t>
            </w:r>
          </w:p>
        </w:tc>
      </w:tr>
      <w:tr w:rsidR="000269ED" w:rsidRPr="00B548D2" w14:paraId="2B067E7B" w14:textId="77777777" w:rsidTr="000C53A3">
        <w:trPr>
          <w:cantSplit/>
        </w:trPr>
        <w:tc>
          <w:tcPr>
            <w:tcW w:w="4945" w:type="dxa"/>
            <w:tcBorders>
              <w:top w:val="single" w:sz="24" w:space="0" w:color="auto"/>
            </w:tcBorders>
          </w:tcPr>
          <w:p w14:paraId="2EB3D070" w14:textId="77777777" w:rsidR="000269ED" w:rsidRPr="00B548D2" w:rsidRDefault="000269ED" w:rsidP="00B017CE">
            <w:r w:rsidRPr="00B548D2">
              <w:t>Science (All Grades)</w:t>
            </w:r>
          </w:p>
        </w:tc>
        <w:tc>
          <w:tcPr>
            <w:tcW w:w="1080" w:type="dxa"/>
            <w:tcBorders>
              <w:top w:val="single" w:sz="24" w:space="0" w:color="auto"/>
            </w:tcBorders>
          </w:tcPr>
          <w:p w14:paraId="43502CFB" w14:textId="77777777" w:rsidR="000269ED" w:rsidRPr="00B548D2" w:rsidRDefault="000269ED">
            <w:pPr>
              <w:keepNext/>
              <w:keepLines/>
            </w:pPr>
            <w:r w:rsidRPr="00B548D2">
              <w:t>82.8%</w:t>
            </w:r>
          </w:p>
        </w:tc>
        <w:tc>
          <w:tcPr>
            <w:tcW w:w="990" w:type="dxa"/>
            <w:tcBorders>
              <w:top w:val="single" w:sz="24" w:space="0" w:color="auto"/>
            </w:tcBorders>
          </w:tcPr>
          <w:p w14:paraId="75DA8048" w14:textId="77777777" w:rsidR="000269ED" w:rsidRPr="00B548D2" w:rsidRDefault="000269ED">
            <w:pPr>
              <w:keepNext/>
              <w:keepLines/>
            </w:pPr>
            <w:r w:rsidRPr="00B548D2">
              <w:t>8.4%</w:t>
            </w:r>
          </w:p>
        </w:tc>
        <w:tc>
          <w:tcPr>
            <w:tcW w:w="990" w:type="dxa"/>
            <w:tcBorders>
              <w:top w:val="single" w:sz="24" w:space="0" w:color="auto"/>
            </w:tcBorders>
          </w:tcPr>
          <w:p w14:paraId="5A7847F6" w14:textId="77777777" w:rsidR="000269ED" w:rsidRPr="00B548D2" w:rsidRDefault="000269ED">
            <w:pPr>
              <w:keepNext/>
              <w:keepLines/>
            </w:pPr>
            <w:r w:rsidRPr="00B548D2">
              <w:t>2.9%</w:t>
            </w:r>
          </w:p>
        </w:tc>
        <w:tc>
          <w:tcPr>
            <w:tcW w:w="1345" w:type="dxa"/>
            <w:tcBorders>
              <w:top w:val="single" w:sz="24" w:space="0" w:color="auto"/>
            </w:tcBorders>
          </w:tcPr>
          <w:p w14:paraId="536D814E" w14:textId="77777777" w:rsidR="000269ED" w:rsidRPr="00B548D2" w:rsidRDefault="000269ED">
            <w:pPr>
              <w:keepNext/>
              <w:keepLines/>
            </w:pPr>
            <w:r w:rsidRPr="00B548D2">
              <w:t>5.9%</w:t>
            </w:r>
          </w:p>
        </w:tc>
      </w:tr>
      <w:tr w:rsidR="000269ED" w:rsidRPr="00B548D2" w14:paraId="0FDE1BAE" w14:textId="77777777" w:rsidTr="000C53A3">
        <w:trPr>
          <w:cantSplit/>
        </w:trPr>
        <w:tc>
          <w:tcPr>
            <w:tcW w:w="4945" w:type="dxa"/>
          </w:tcPr>
          <w:p w14:paraId="332EF2CD" w14:textId="77777777" w:rsidR="000269ED" w:rsidRPr="00B548D2" w:rsidRDefault="000269ED" w:rsidP="00B017CE">
            <w:r w:rsidRPr="00B548D2">
              <w:t>ELA (All Grades)</w:t>
            </w:r>
          </w:p>
        </w:tc>
        <w:tc>
          <w:tcPr>
            <w:tcW w:w="1080" w:type="dxa"/>
          </w:tcPr>
          <w:p w14:paraId="2B256C34" w14:textId="77777777" w:rsidR="000269ED" w:rsidRPr="00B548D2" w:rsidRDefault="000269ED">
            <w:pPr>
              <w:keepNext/>
              <w:keepLines/>
            </w:pPr>
            <w:r w:rsidRPr="00B548D2">
              <w:t>91.0%</w:t>
            </w:r>
          </w:p>
        </w:tc>
        <w:tc>
          <w:tcPr>
            <w:tcW w:w="990" w:type="dxa"/>
          </w:tcPr>
          <w:p w14:paraId="55B4D68A" w14:textId="77777777" w:rsidR="000269ED" w:rsidRPr="00B548D2" w:rsidRDefault="000269ED">
            <w:pPr>
              <w:keepNext/>
              <w:keepLines/>
            </w:pPr>
            <w:r w:rsidRPr="00B548D2">
              <w:t>4.8%</w:t>
            </w:r>
          </w:p>
        </w:tc>
        <w:tc>
          <w:tcPr>
            <w:tcW w:w="990" w:type="dxa"/>
          </w:tcPr>
          <w:p w14:paraId="15974932" w14:textId="77777777" w:rsidR="000269ED" w:rsidRPr="00B548D2" w:rsidRDefault="000269ED">
            <w:pPr>
              <w:keepNext/>
              <w:keepLines/>
            </w:pPr>
            <w:r w:rsidRPr="00B548D2">
              <w:t>1.3%</w:t>
            </w:r>
          </w:p>
        </w:tc>
        <w:tc>
          <w:tcPr>
            <w:tcW w:w="1345" w:type="dxa"/>
          </w:tcPr>
          <w:p w14:paraId="67DFCD91" w14:textId="77777777" w:rsidR="000269ED" w:rsidRPr="00B548D2" w:rsidRDefault="000269ED">
            <w:pPr>
              <w:keepNext/>
              <w:keepLines/>
            </w:pPr>
            <w:r w:rsidRPr="00B548D2">
              <w:t>2.9%</w:t>
            </w:r>
          </w:p>
        </w:tc>
      </w:tr>
      <w:tr w:rsidR="000269ED" w:rsidRPr="00B548D2" w14:paraId="37637754" w14:textId="77777777" w:rsidTr="000C53A3">
        <w:trPr>
          <w:cantSplit/>
        </w:trPr>
        <w:tc>
          <w:tcPr>
            <w:tcW w:w="4945" w:type="dxa"/>
            <w:tcBorders>
              <w:bottom w:val="single" w:sz="24" w:space="0" w:color="auto"/>
            </w:tcBorders>
          </w:tcPr>
          <w:p w14:paraId="56D89A2E" w14:textId="77777777" w:rsidR="000269ED" w:rsidRPr="00B548D2" w:rsidRDefault="000269ED" w:rsidP="00B017CE">
            <w:r w:rsidRPr="00B548D2">
              <w:lastRenderedPageBreak/>
              <w:t>Mathematics (All Grades)</w:t>
            </w:r>
          </w:p>
        </w:tc>
        <w:tc>
          <w:tcPr>
            <w:tcW w:w="1080" w:type="dxa"/>
            <w:tcBorders>
              <w:bottom w:val="single" w:sz="24" w:space="0" w:color="auto"/>
            </w:tcBorders>
          </w:tcPr>
          <w:p w14:paraId="4E9FCAD9" w14:textId="77777777" w:rsidR="000269ED" w:rsidRPr="00B548D2" w:rsidRDefault="000269ED">
            <w:pPr>
              <w:keepNext/>
              <w:keepLines/>
            </w:pPr>
            <w:r w:rsidRPr="00B548D2">
              <w:t>89.8%</w:t>
            </w:r>
          </w:p>
        </w:tc>
        <w:tc>
          <w:tcPr>
            <w:tcW w:w="990" w:type="dxa"/>
            <w:tcBorders>
              <w:bottom w:val="single" w:sz="24" w:space="0" w:color="auto"/>
            </w:tcBorders>
          </w:tcPr>
          <w:p w14:paraId="6335D580" w14:textId="77777777" w:rsidR="000269ED" w:rsidRPr="00B548D2" w:rsidRDefault="000269ED">
            <w:pPr>
              <w:keepNext/>
              <w:keepLines/>
            </w:pPr>
            <w:r w:rsidRPr="00B548D2">
              <w:t>5.5%</w:t>
            </w:r>
          </w:p>
        </w:tc>
        <w:tc>
          <w:tcPr>
            <w:tcW w:w="990" w:type="dxa"/>
            <w:tcBorders>
              <w:bottom w:val="single" w:sz="24" w:space="0" w:color="auto"/>
            </w:tcBorders>
          </w:tcPr>
          <w:p w14:paraId="234C7435" w14:textId="77777777" w:rsidR="000269ED" w:rsidRPr="00B548D2" w:rsidRDefault="000269ED">
            <w:pPr>
              <w:keepNext/>
              <w:keepLines/>
            </w:pPr>
            <w:r w:rsidRPr="00B548D2">
              <w:t>1.4%</w:t>
            </w:r>
          </w:p>
        </w:tc>
        <w:tc>
          <w:tcPr>
            <w:tcW w:w="1345" w:type="dxa"/>
            <w:tcBorders>
              <w:bottom w:val="single" w:sz="24" w:space="0" w:color="auto"/>
            </w:tcBorders>
          </w:tcPr>
          <w:p w14:paraId="4712CD86" w14:textId="77777777" w:rsidR="000269ED" w:rsidRPr="00B548D2" w:rsidRDefault="000269ED">
            <w:pPr>
              <w:keepNext/>
              <w:keepLines/>
            </w:pPr>
            <w:r w:rsidRPr="00B548D2">
              <w:t>3.2%</w:t>
            </w:r>
          </w:p>
        </w:tc>
      </w:tr>
      <w:tr w:rsidR="000269ED" w:rsidRPr="00B548D2" w14:paraId="7D1DFEDD" w14:textId="77777777" w:rsidTr="000C53A3">
        <w:trPr>
          <w:cantSplit/>
        </w:trPr>
        <w:tc>
          <w:tcPr>
            <w:tcW w:w="4945" w:type="dxa"/>
            <w:tcBorders>
              <w:top w:val="single" w:sz="24" w:space="0" w:color="auto"/>
            </w:tcBorders>
          </w:tcPr>
          <w:p w14:paraId="7DE5AFB2" w14:textId="77777777" w:rsidR="000269ED" w:rsidRPr="00B548D2" w:rsidRDefault="000269ED" w:rsidP="00B017CE">
            <w:r w:rsidRPr="00B548D2">
              <w:t>Science (5</w:t>
            </w:r>
            <w:r w:rsidRPr="00B548D2">
              <w:rPr>
                <w:vertAlign w:val="superscript"/>
              </w:rPr>
              <w:t>th</w:t>
            </w:r>
            <w:r w:rsidRPr="00B548D2">
              <w:t xml:space="preserve"> &amp; 8</w:t>
            </w:r>
            <w:r w:rsidRPr="00B548D2">
              <w:rPr>
                <w:vertAlign w:val="superscript"/>
              </w:rPr>
              <w:t>th</w:t>
            </w:r>
            <w:r w:rsidRPr="00B548D2">
              <w:t xml:space="preserve"> Grade)</w:t>
            </w:r>
          </w:p>
        </w:tc>
        <w:tc>
          <w:tcPr>
            <w:tcW w:w="1080" w:type="dxa"/>
            <w:tcBorders>
              <w:top w:val="single" w:sz="24" w:space="0" w:color="auto"/>
            </w:tcBorders>
          </w:tcPr>
          <w:p w14:paraId="6F924C3A" w14:textId="77777777" w:rsidR="000269ED" w:rsidRPr="00B548D2" w:rsidRDefault="000269ED">
            <w:pPr>
              <w:keepNext/>
              <w:keepLines/>
            </w:pPr>
            <w:r w:rsidRPr="00B548D2">
              <w:t>89.4%</w:t>
            </w:r>
          </w:p>
        </w:tc>
        <w:tc>
          <w:tcPr>
            <w:tcW w:w="990" w:type="dxa"/>
            <w:tcBorders>
              <w:top w:val="single" w:sz="24" w:space="0" w:color="auto"/>
            </w:tcBorders>
          </w:tcPr>
          <w:p w14:paraId="5A8343FB" w14:textId="77777777" w:rsidR="000269ED" w:rsidRPr="00B548D2" w:rsidRDefault="000269ED">
            <w:pPr>
              <w:keepNext/>
              <w:keepLines/>
            </w:pPr>
            <w:r w:rsidRPr="00B548D2">
              <w:t>6.4%</w:t>
            </w:r>
          </w:p>
        </w:tc>
        <w:tc>
          <w:tcPr>
            <w:tcW w:w="990" w:type="dxa"/>
            <w:tcBorders>
              <w:top w:val="single" w:sz="24" w:space="0" w:color="auto"/>
            </w:tcBorders>
          </w:tcPr>
          <w:p w14:paraId="78D3D836" w14:textId="77777777" w:rsidR="000269ED" w:rsidRPr="00B548D2" w:rsidRDefault="000269ED">
            <w:pPr>
              <w:keepNext/>
              <w:keepLines/>
            </w:pPr>
            <w:r w:rsidRPr="00B548D2">
              <w:t>1.5%</w:t>
            </w:r>
          </w:p>
        </w:tc>
        <w:tc>
          <w:tcPr>
            <w:tcW w:w="1345" w:type="dxa"/>
            <w:tcBorders>
              <w:top w:val="single" w:sz="24" w:space="0" w:color="auto"/>
            </w:tcBorders>
          </w:tcPr>
          <w:p w14:paraId="721A7C43" w14:textId="77777777" w:rsidR="000269ED" w:rsidRPr="00B548D2" w:rsidRDefault="000269ED">
            <w:pPr>
              <w:keepNext/>
              <w:keepLines/>
            </w:pPr>
            <w:r w:rsidRPr="00B548D2">
              <w:t>2.8%</w:t>
            </w:r>
          </w:p>
        </w:tc>
      </w:tr>
      <w:tr w:rsidR="000269ED" w:rsidRPr="00B548D2" w14:paraId="702611B8" w14:textId="77777777" w:rsidTr="000C53A3">
        <w:trPr>
          <w:cantSplit/>
        </w:trPr>
        <w:tc>
          <w:tcPr>
            <w:tcW w:w="4945" w:type="dxa"/>
          </w:tcPr>
          <w:p w14:paraId="02C74D1D" w14:textId="77777777" w:rsidR="000269ED" w:rsidRPr="00B548D2" w:rsidRDefault="000269ED" w:rsidP="00B017CE">
            <w:r w:rsidRPr="00B548D2">
              <w:t>ELA (3</w:t>
            </w:r>
            <w:r w:rsidRPr="00B548D2">
              <w:rPr>
                <w:vertAlign w:val="superscript"/>
              </w:rPr>
              <w:t>rd</w:t>
            </w:r>
            <w:r w:rsidRPr="00B548D2">
              <w:t>-8</w:t>
            </w:r>
            <w:r w:rsidRPr="00B548D2">
              <w:rPr>
                <w:vertAlign w:val="superscript"/>
              </w:rPr>
              <w:t>th</w:t>
            </w:r>
            <w:r w:rsidRPr="00B548D2">
              <w:t xml:space="preserve"> Grade)</w:t>
            </w:r>
          </w:p>
        </w:tc>
        <w:tc>
          <w:tcPr>
            <w:tcW w:w="1080" w:type="dxa"/>
          </w:tcPr>
          <w:p w14:paraId="32E60982" w14:textId="77777777" w:rsidR="000269ED" w:rsidRPr="00B548D2" w:rsidRDefault="000269ED">
            <w:pPr>
              <w:keepNext/>
              <w:keepLines/>
            </w:pPr>
            <w:r w:rsidRPr="00B548D2">
              <w:t>94.5%</w:t>
            </w:r>
          </w:p>
        </w:tc>
        <w:tc>
          <w:tcPr>
            <w:tcW w:w="990" w:type="dxa"/>
          </w:tcPr>
          <w:p w14:paraId="3E078E01" w14:textId="77777777" w:rsidR="000269ED" w:rsidRPr="00B548D2" w:rsidRDefault="000269ED">
            <w:pPr>
              <w:keepNext/>
              <w:keepLines/>
            </w:pPr>
            <w:r w:rsidRPr="00B548D2">
              <w:t>2.8%</w:t>
            </w:r>
          </w:p>
        </w:tc>
        <w:tc>
          <w:tcPr>
            <w:tcW w:w="990" w:type="dxa"/>
          </w:tcPr>
          <w:p w14:paraId="42DF9BAC" w14:textId="77777777" w:rsidR="000269ED" w:rsidRPr="00B548D2" w:rsidRDefault="000269ED">
            <w:pPr>
              <w:keepNext/>
              <w:keepLines/>
            </w:pPr>
            <w:r w:rsidRPr="00B548D2">
              <w:t>0.7%</w:t>
            </w:r>
          </w:p>
        </w:tc>
        <w:tc>
          <w:tcPr>
            <w:tcW w:w="1345" w:type="dxa"/>
          </w:tcPr>
          <w:p w14:paraId="1763F120" w14:textId="77777777" w:rsidR="000269ED" w:rsidRPr="00B548D2" w:rsidRDefault="000269ED">
            <w:pPr>
              <w:keepNext/>
              <w:keepLines/>
            </w:pPr>
            <w:r w:rsidRPr="00B548D2">
              <w:t>2.0%</w:t>
            </w:r>
          </w:p>
        </w:tc>
      </w:tr>
      <w:tr w:rsidR="000269ED" w:rsidRPr="00B548D2" w14:paraId="23E2C9F1" w14:textId="77777777" w:rsidTr="000C53A3">
        <w:trPr>
          <w:cantSplit/>
        </w:trPr>
        <w:tc>
          <w:tcPr>
            <w:tcW w:w="4945" w:type="dxa"/>
            <w:tcBorders>
              <w:bottom w:val="single" w:sz="24" w:space="0" w:color="auto"/>
            </w:tcBorders>
          </w:tcPr>
          <w:p w14:paraId="7F82A96A" w14:textId="77777777" w:rsidR="000269ED" w:rsidRPr="00B548D2" w:rsidRDefault="000269ED" w:rsidP="00B017CE">
            <w:r w:rsidRPr="00B548D2">
              <w:t>Mathematics (3</w:t>
            </w:r>
            <w:r w:rsidRPr="00B548D2">
              <w:rPr>
                <w:vertAlign w:val="superscript"/>
              </w:rPr>
              <w:t>rd</w:t>
            </w:r>
            <w:r w:rsidRPr="00B548D2">
              <w:t>-8</w:t>
            </w:r>
            <w:r w:rsidRPr="00B548D2">
              <w:rPr>
                <w:vertAlign w:val="superscript"/>
              </w:rPr>
              <w:t>th</w:t>
            </w:r>
            <w:r w:rsidRPr="00B548D2">
              <w:t xml:space="preserve"> Grade)</w:t>
            </w:r>
          </w:p>
        </w:tc>
        <w:tc>
          <w:tcPr>
            <w:tcW w:w="1080" w:type="dxa"/>
            <w:tcBorders>
              <w:bottom w:val="single" w:sz="24" w:space="0" w:color="auto"/>
            </w:tcBorders>
          </w:tcPr>
          <w:p w14:paraId="52AA4529" w14:textId="77777777" w:rsidR="000269ED" w:rsidRPr="00B548D2" w:rsidRDefault="000269ED">
            <w:pPr>
              <w:keepNext/>
              <w:keepLines/>
            </w:pPr>
            <w:r w:rsidRPr="00B548D2">
              <w:t>93.8%</w:t>
            </w:r>
          </w:p>
        </w:tc>
        <w:tc>
          <w:tcPr>
            <w:tcW w:w="990" w:type="dxa"/>
            <w:tcBorders>
              <w:bottom w:val="single" w:sz="24" w:space="0" w:color="auto"/>
            </w:tcBorders>
          </w:tcPr>
          <w:p w14:paraId="692C2742" w14:textId="77777777" w:rsidR="000269ED" w:rsidRPr="00B548D2" w:rsidRDefault="000269ED">
            <w:pPr>
              <w:keepNext/>
              <w:keepLines/>
            </w:pPr>
            <w:r w:rsidRPr="00B548D2">
              <w:t>3.4%</w:t>
            </w:r>
          </w:p>
        </w:tc>
        <w:tc>
          <w:tcPr>
            <w:tcW w:w="990" w:type="dxa"/>
            <w:tcBorders>
              <w:bottom w:val="single" w:sz="24" w:space="0" w:color="auto"/>
            </w:tcBorders>
          </w:tcPr>
          <w:p w14:paraId="5DEB085C" w14:textId="77777777" w:rsidR="000269ED" w:rsidRPr="00B548D2" w:rsidRDefault="000269ED">
            <w:pPr>
              <w:keepNext/>
              <w:keepLines/>
            </w:pPr>
            <w:r w:rsidRPr="00B548D2">
              <w:t>0.8%</w:t>
            </w:r>
          </w:p>
        </w:tc>
        <w:tc>
          <w:tcPr>
            <w:tcW w:w="1345" w:type="dxa"/>
            <w:tcBorders>
              <w:bottom w:val="single" w:sz="24" w:space="0" w:color="auto"/>
            </w:tcBorders>
          </w:tcPr>
          <w:p w14:paraId="1CAC9527" w14:textId="77777777" w:rsidR="000269ED" w:rsidRPr="00B548D2" w:rsidRDefault="000269ED">
            <w:pPr>
              <w:keepNext/>
              <w:keepLines/>
            </w:pPr>
            <w:r w:rsidRPr="00B548D2">
              <w:t>2.1%</w:t>
            </w:r>
          </w:p>
        </w:tc>
      </w:tr>
      <w:tr w:rsidR="000269ED" w:rsidRPr="00B548D2" w14:paraId="03A670C1" w14:textId="77777777" w:rsidTr="000C53A3">
        <w:trPr>
          <w:cantSplit/>
        </w:trPr>
        <w:tc>
          <w:tcPr>
            <w:tcW w:w="4945" w:type="dxa"/>
            <w:tcBorders>
              <w:top w:val="single" w:sz="24" w:space="0" w:color="auto"/>
            </w:tcBorders>
          </w:tcPr>
          <w:p w14:paraId="4E69F50C" w14:textId="77777777" w:rsidR="000269ED" w:rsidRPr="00B548D2" w:rsidRDefault="000269ED" w:rsidP="00B017CE">
            <w:r w:rsidRPr="00B548D2">
              <w:t>Science (High School)</w:t>
            </w:r>
          </w:p>
        </w:tc>
        <w:tc>
          <w:tcPr>
            <w:tcW w:w="1080" w:type="dxa"/>
            <w:tcBorders>
              <w:top w:val="single" w:sz="24" w:space="0" w:color="auto"/>
            </w:tcBorders>
          </w:tcPr>
          <w:p w14:paraId="51EAA6AC" w14:textId="77777777" w:rsidR="000269ED" w:rsidRPr="00B548D2" w:rsidRDefault="000269ED">
            <w:pPr>
              <w:keepNext/>
              <w:keepLines/>
            </w:pPr>
            <w:r w:rsidRPr="00B548D2">
              <w:t>50.9%</w:t>
            </w:r>
          </w:p>
        </w:tc>
        <w:tc>
          <w:tcPr>
            <w:tcW w:w="990" w:type="dxa"/>
            <w:tcBorders>
              <w:top w:val="single" w:sz="24" w:space="0" w:color="auto"/>
            </w:tcBorders>
          </w:tcPr>
          <w:p w14:paraId="3209021B" w14:textId="77777777" w:rsidR="000269ED" w:rsidRPr="00B548D2" w:rsidRDefault="000269ED">
            <w:pPr>
              <w:keepNext/>
              <w:keepLines/>
            </w:pPr>
            <w:r w:rsidRPr="00B548D2">
              <w:t>18.2%</w:t>
            </w:r>
          </w:p>
        </w:tc>
        <w:tc>
          <w:tcPr>
            <w:tcW w:w="990" w:type="dxa"/>
            <w:tcBorders>
              <w:top w:val="single" w:sz="24" w:space="0" w:color="auto"/>
            </w:tcBorders>
          </w:tcPr>
          <w:p w14:paraId="1EA295AF" w14:textId="77777777" w:rsidR="000269ED" w:rsidRPr="00B548D2" w:rsidRDefault="000269ED">
            <w:pPr>
              <w:keepNext/>
              <w:keepLines/>
            </w:pPr>
            <w:r w:rsidRPr="00B548D2">
              <w:t>9.8%</w:t>
            </w:r>
          </w:p>
        </w:tc>
        <w:tc>
          <w:tcPr>
            <w:tcW w:w="1345" w:type="dxa"/>
            <w:tcBorders>
              <w:top w:val="single" w:sz="24" w:space="0" w:color="auto"/>
            </w:tcBorders>
          </w:tcPr>
          <w:p w14:paraId="5E55262D" w14:textId="77777777" w:rsidR="000269ED" w:rsidRPr="00B548D2" w:rsidRDefault="000269ED">
            <w:pPr>
              <w:keepNext/>
              <w:keepLines/>
            </w:pPr>
            <w:r w:rsidRPr="00B548D2">
              <w:t>21.0%</w:t>
            </w:r>
          </w:p>
        </w:tc>
      </w:tr>
      <w:tr w:rsidR="000269ED" w:rsidRPr="00B548D2" w14:paraId="49BE429A" w14:textId="77777777" w:rsidTr="000C53A3">
        <w:trPr>
          <w:cantSplit/>
        </w:trPr>
        <w:tc>
          <w:tcPr>
            <w:tcW w:w="4945" w:type="dxa"/>
          </w:tcPr>
          <w:p w14:paraId="23405EE0" w14:textId="77777777" w:rsidR="000269ED" w:rsidRPr="00B548D2" w:rsidRDefault="000269ED" w:rsidP="00B017CE">
            <w:r w:rsidRPr="00B548D2">
              <w:t>ELA (11</w:t>
            </w:r>
            <w:r w:rsidRPr="00B548D2">
              <w:rPr>
                <w:vertAlign w:val="superscript"/>
              </w:rPr>
              <w:t>th</w:t>
            </w:r>
            <w:r w:rsidRPr="00B548D2">
              <w:t xml:space="preserve"> Grade)</w:t>
            </w:r>
          </w:p>
        </w:tc>
        <w:tc>
          <w:tcPr>
            <w:tcW w:w="1080" w:type="dxa"/>
          </w:tcPr>
          <w:p w14:paraId="77848B24" w14:textId="77777777" w:rsidR="000269ED" w:rsidRPr="00B548D2" w:rsidRDefault="000269ED">
            <w:pPr>
              <w:keepNext/>
              <w:keepLines/>
            </w:pPr>
            <w:r w:rsidRPr="00B548D2">
              <w:t>72.7%</w:t>
            </w:r>
          </w:p>
        </w:tc>
        <w:tc>
          <w:tcPr>
            <w:tcW w:w="990" w:type="dxa"/>
          </w:tcPr>
          <w:p w14:paraId="32DAE721" w14:textId="77777777" w:rsidR="000269ED" w:rsidRPr="00B548D2" w:rsidRDefault="000269ED">
            <w:pPr>
              <w:keepNext/>
              <w:keepLines/>
            </w:pPr>
            <w:r w:rsidRPr="00B548D2">
              <w:t>15.2%</w:t>
            </w:r>
          </w:p>
        </w:tc>
        <w:tc>
          <w:tcPr>
            <w:tcW w:w="990" w:type="dxa"/>
          </w:tcPr>
          <w:p w14:paraId="12E1AAFE" w14:textId="77777777" w:rsidR="000269ED" w:rsidRPr="00B548D2" w:rsidRDefault="000269ED">
            <w:pPr>
              <w:keepNext/>
              <w:keepLines/>
            </w:pPr>
            <w:r w:rsidRPr="00B548D2">
              <w:t>4.4%</w:t>
            </w:r>
          </w:p>
        </w:tc>
        <w:tc>
          <w:tcPr>
            <w:tcW w:w="1345" w:type="dxa"/>
          </w:tcPr>
          <w:p w14:paraId="7669891E" w14:textId="77777777" w:rsidR="000269ED" w:rsidRPr="00B548D2" w:rsidRDefault="000269ED">
            <w:pPr>
              <w:keepNext/>
              <w:keepLines/>
            </w:pPr>
            <w:r w:rsidRPr="00B548D2">
              <w:t>7.7%</w:t>
            </w:r>
          </w:p>
        </w:tc>
      </w:tr>
      <w:tr w:rsidR="000269ED" w:rsidRPr="00B548D2" w14:paraId="3B060E9A" w14:textId="77777777" w:rsidTr="000C53A3">
        <w:trPr>
          <w:cantSplit/>
        </w:trPr>
        <w:tc>
          <w:tcPr>
            <w:tcW w:w="4945" w:type="dxa"/>
          </w:tcPr>
          <w:p w14:paraId="230DEDC8" w14:textId="77777777" w:rsidR="000269ED" w:rsidRPr="00B548D2" w:rsidRDefault="000269ED" w:rsidP="00B017CE">
            <w:r w:rsidRPr="00B548D2">
              <w:t>Mathematics (11</w:t>
            </w:r>
            <w:r w:rsidRPr="00B548D2">
              <w:rPr>
                <w:vertAlign w:val="superscript"/>
              </w:rPr>
              <w:t>th</w:t>
            </w:r>
            <w:r w:rsidRPr="00B548D2">
              <w:t xml:space="preserve"> Grade)</w:t>
            </w:r>
          </w:p>
        </w:tc>
        <w:tc>
          <w:tcPr>
            <w:tcW w:w="1080" w:type="dxa"/>
          </w:tcPr>
          <w:p w14:paraId="6867D158" w14:textId="77777777" w:rsidR="000269ED" w:rsidRPr="00B548D2" w:rsidRDefault="000269ED">
            <w:pPr>
              <w:keepNext/>
              <w:keepLines/>
            </w:pPr>
            <w:r w:rsidRPr="00B548D2">
              <w:t>68.7%</w:t>
            </w:r>
          </w:p>
        </w:tc>
        <w:tc>
          <w:tcPr>
            <w:tcW w:w="990" w:type="dxa"/>
          </w:tcPr>
          <w:p w14:paraId="71D705F1" w14:textId="77777777" w:rsidR="000269ED" w:rsidRPr="00B548D2" w:rsidRDefault="000269ED">
            <w:pPr>
              <w:keepNext/>
              <w:keepLines/>
            </w:pPr>
            <w:r w:rsidRPr="00B548D2">
              <w:t>17.1%</w:t>
            </w:r>
          </w:p>
        </w:tc>
        <w:tc>
          <w:tcPr>
            <w:tcW w:w="990" w:type="dxa"/>
          </w:tcPr>
          <w:p w14:paraId="610BDABF" w14:textId="77777777" w:rsidR="000269ED" w:rsidRPr="00B548D2" w:rsidRDefault="000269ED">
            <w:pPr>
              <w:keepNext/>
              <w:keepLines/>
            </w:pPr>
            <w:r w:rsidRPr="00B548D2">
              <w:t>5.0%</w:t>
            </w:r>
          </w:p>
        </w:tc>
        <w:tc>
          <w:tcPr>
            <w:tcW w:w="1345" w:type="dxa"/>
          </w:tcPr>
          <w:p w14:paraId="1ED3B651" w14:textId="77777777" w:rsidR="000269ED" w:rsidRPr="00B548D2" w:rsidRDefault="000269ED">
            <w:pPr>
              <w:keepNext/>
              <w:keepLines/>
            </w:pPr>
            <w:r w:rsidRPr="00B548D2">
              <w:t>9.1%</w:t>
            </w:r>
          </w:p>
        </w:tc>
      </w:tr>
    </w:tbl>
    <w:p w14:paraId="726B073A" w14:textId="276FF56A" w:rsidR="000269ED" w:rsidRPr="00B548D2" w:rsidRDefault="000269ED" w:rsidP="000269ED">
      <w:pPr>
        <w:spacing w:before="240" w:after="240"/>
      </w:pPr>
      <w:r w:rsidRPr="00B548D2">
        <w:t xml:space="preserve">Table 4 displays the 2023 Science participation rates across various grade spans. Overall, the fewer schools have a participation rate of 95 percent or higher within </w:t>
      </w:r>
      <w:r w:rsidR="000241AF" w:rsidRPr="00B548D2">
        <w:t xml:space="preserve">the </w:t>
      </w:r>
      <w:r w:rsidRPr="00B548D2">
        <w:t>Science</w:t>
      </w:r>
      <w:r w:rsidR="000241AF" w:rsidRPr="00B548D2">
        <w:t xml:space="preserve"> metric</w:t>
      </w:r>
      <w:r w:rsidRPr="00B548D2">
        <w:t>, regardless of grade span, in comparison to the participation rates for the annual ELA and Mathematics assessments. Beginning in 2022, with the implementation of an updated participation rate penalty, California experienced an overall increase in the participation of students across all grades</w:t>
      </w:r>
      <w:r w:rsidRPr="00B548D2" w:rsidDel="005565DE">
        <w:t xml:space="preserve"> </w:t>
      </w:r>
      <w:r w:rsidRPr="00B548D2">
        <w:t>within the ELA and Mathematics Indicators.</w:t>
      </w:r>
    </w:p>
    <w:p w14:paraId="3E43F1A9" w14:textId="5AA1C77F" w:rsidR="000269ED" w:rsidRPr="00B548D2" w:rsidRDefault="000269ED" w:rsidP="000269ED">
      <w:r w:rsidRPr="00B548D2">
        <w:t xml:space="preserve">From a technical perspective, the TDG advised that the Science </w:t>
      </w:r>
      <w:r w:rsidR="003E44E8" w:rsidRPr="00B548D2">
        <w:t>metric</w:t>
      </w:r>
      <w:r w:rsidRPr="00B548D2">
        <w:t xml:space="preserve"> would remain valid either with or without the inclusion of a participation rate. Educational partners shared overwhelming support for aligning the high expectations for participation for ELA and Mathematics assessments with the expectation for participation on the Science assessment. CPAG</w:t>
      </w:r>
      <w:r w:rsidR="00785FFC" w:rsidRPr="00B548D2">
        <w:t xml:space="preserve"> members</w:t>
      </w:r>
      <w:r w:rsidRPr="00B548D2">
        <w:t xml:space="preserve"> shared </w:t>
      </w:r>
      <w:r w:rsidR="008E5702" w:rsidRPr="00B548D2">
        <w:t xml:space="preserve">concerns with </w:t>
      </w:r>
      <w:r w:rsidR="005230EB" w:rsidRPr="00B548D2">
        <w:t>the</w:t>
      </w:r>
      <w:r w:rsidR="00AD5FBF" w:rsidRPr="00B548D2">
        <w:t xml:space="preserve"> </w:t>
      </w:r>
      <w:r w:rsidR="009A12BA" w:rsidRPr="00B548D2">
        <w:t xml:space="preserve">low </w:t>
      </w:r>
      <w:r w:rsidR="005230EB" w:rsidRPr="00B548D2">
        <w:t>participation rate</w:t>
      </w:r>
      <w:r w:rsidR="00AD5FBF" w:rsidRPr="00B548D2">
        <w:t xml:space="preserve">s for </w:t>
      </w:r>
      <w:r w:rsidR="0055189C" w:rsidRPr="00B548D2">
        <w:t xml:space="preserve">high schools and </w:t>
      </w:r>
      <w:r w:rsidR="00BA310C" w:rsidRPr="00B548D2">
        <w:t>requested</w:t>
      </w:r>
      <w:r w:rsidR="000F3640" w:rsidRPr="00B548D2">
        <w:t xml:space="preserve"> that the</w:t>
      </w:r>
      <w:r w:rsidR="00BA310C" w:rsidRPr="00B548D2">
        <w:t xml:space="preserve"> CDE monitor the impact of any participation rate</w:t>
      </w:r>
      <w:r w:rsidR="00822578" w:rsidRPr="00B548D2">
        <w:t xml:space="preserve"> inclusion on small schools</w:t>
      </w:r>
      <w:r w:rsidRPr="00B548D2">
        <w:t>.</w:t>
      </w:r>
    </w:p>
    <w:p w14:paraId="4F9ABFDA" w14:textId="77777777" w:rsidR="000269ED" w:rsidRPr="00B548D2" w:rsidRDefault="000269ED" w:rsidP="000269ED">
      <w:pPr>
        <w:pStyle w:val="Heading4"/>
      </w:pPr>
      <w:r w:rsidRPr="00B548D2">
        <w:t>Displaying the Science Metric on the 2024 Dashboard</w:t>
      </w:r>
    </w:p>
    <w:p w14:paraId="7EBEF7C4" w14:textId="1EE0B536" w:rsidR="000269ED" w:rsidRPr="00B548D2" w:rsidRDefault="000269ED" w:rsidP="000269ED">
      <w:pPr>
        <w:spacing w:before="240" w:after="240"/>
      </w:pPr>
      <w:r w:rsidRPr="00B548D2">
        <w:t>The 2024 Dashboard will display data for the Science metric on both current year status as well as change from the prior year. While this data will appear like there is full information to make a performance level determination, the SBE will not adopt any status or change cut scores until Phase II and 2025. The Dashboard has previously posted Dashboard cards with limited information on the Dashboard in prior years for the ELPI (2018) as well as the College/Career Indicator in 2017 and 2022.</w:t>
      </w:r>
    </w:p>
    <w:p w14:paraId="7F3417C8" w14:textId="69AFB14B" w:rsidR="000269ED" w:rsidRPr="00B548D2" w:rsidRDefault="000269ED" w:rsidP="000269ED">
      <w:pPr>
        <w:spacing w:before="240" w:after="240"/>
      </w:pPr>
      <w:r w:rsidRPr="00B548D2">
        <w:t xml:space="preserve">The CDE is proposing to create a unique Science Indicator card to display among the other Academic </w:t>
      </w:r>
      <w:r w:rsidR="681C6965" w:rsidRPr="00B548D2">
        <w:t xml:space="preserve">Performance </w:t>
      </w:r>
      <w:r w:rsidRPr="00B548D2">
        <w:t>Indicators on the main page of the Dashboard, as well as full student group information on the secondary page of the Dashboard.</w:t>
      </w:r>
    </w:p>
    <w:p w14:paraId="6C118CB1" w14:textId="4B3267C5" w:rsidR="000C3CD4" w:rsidRPr="00B548D2" w:rsidRDefault="000C3CD4" w:rsidP="00FC4EAC">
      <w:pPr>
        <w:pStyle w:val="Heading3"/>
        <w:rPr>
          <w:rFonts w:eastAsia="Times New Roman" w:cs="Times New Roman"/>
          <w:b w:val="0"/>
          <w:sz w:val="24"/>
        </w:rPr>
      </w:pPr>
      <w:r w:rsidRPr="00B548D2">
        <w:rPr>
          <w:rFonts w:eastAsia="Times New Roman" w:cs="Times New Roman"/>
          <w:b w:val="0"/>
          <w:sz w:val="24"/>
        </w:rPr>
        <w:lastRenderedPageBreak/>
        <w:t>Figure 1: Science</w:t>
      </w:r>
      <w:r w:rsidR="00F42D58" w:rsidRPr="00B548D2">
        <w:rPr>
          <w:rFonts w:eastAsia="Times New Roman" w:cs="Times New Roman"/>
          <w:b w:val="0"/>
          <w:sz w:val="24"/>
        </w:rPr>
        <w:t xml:space="preserve"> Indicator Card on the Dashboard</w:t>
      </w:r>
    </w:p>
    <w:p w14:paraId="3F765E2B" w14:textId="3C0377A3" w:rsidR="000C3CD4" w:rsidRPr="00B548D2" w:rsidRDefault="00002D91" w:rsidP="009C2DDF">
      <w:pPr>
        <w:jc w:val="center"/>
        <w:rPr>
          <w:b/>
        </w:rPr>
      </w:pPr>
      <w:r w:rsidRPr="00B548D2">
        <w:rPr>
          <w:rFonts w:ascii="Times New Roman" w:hAnsi="Times New Roman"/>
          <w:b/>
          <w:bCs/>
          <w:noProof/>
          <w:color w:val="000000"/>
        </w:rPr>
        <w:drawing>
          <wp:inline distT="0" distB="0" distL="0" distR="0" wp14:anchorId="3FEA5834" wp14:editId="32678046">
            <wp:extent cx="1809750" cy="2114550"/>
            <wp:effectExtent l="0" t="0" r="0" b="0"/>
            <wp:docPr id="90223632" name="Picture 1" descr="This graphic shows the Science metric as a baseball card. The card includes a picture of a gray colored dial with the words No Performance Color In 2024 with Prepared 32 percent, Increased 1.8 percent, and a link to View More Detai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23632" name="Picture 1" descr="This graphic shows the Science metric as a baseball card. The card includes a picture of a gray colored dial with the words No Performance Color In 2024 with Prepared 32 percent, Increased 1.8 percent, and a link to View More Details."/>
                    <pic:cNvPicPr>
                      <a:picLocks noChangeAspect="1" noChangeArrowheads="1"/>
                    </pic:cNvPicPr>
                  </pic:nvPicPr>
                  <pic:blipFill>
                    <a:blip r:embed="rId89" r:link="rId90" cstate="print">
                      <a:extLst>
                        <a:ext uri="{28A0092B-C50C-407E-A947-70E740481C1C}">
                          <a14:useLocalDpi xmlns:a14="http://schemas.microsoft.com/office/drawing/2010/main" val="0"/>
                        </a:ext>
                      </a:extLst>
                    </a:blip>
                    <a:srcRect/>
                    <a:stretch>
                      <a:fillRect/>
                    </a:stretch>
                  </pic:blipFill>
                  <pic:spPr bwMode="auto">
                    <a:xfrm>
                      <a:off x="0" y="0"/>
                      <a:ext cx="1809750" cy="2114550"/>
                    </a:xfrm>
                    <a:prstGeom prst="rect">
                      <a:avLst/>
                    </a:prstGeom>
                    <a:noFill/>
                    <a:ln>
                      <a:noFill/>
                    </a:ln>
                  </pic:spPr>
                </pic:pic>
              </a:graphicData>
            </a:graphic>
          </wp:inline>
        </w:drawing>
      </w:r>
    </w:p>
    <w:p w14:paraId="22D0385F" w14:textId="3B7830B9" w:rsidR="000C3CD4" w:rsidRPr="00B548D2" w:rsidRDefault="005B29CC" w:rsidP="00FC4EAC">
      <w:r w:rsidRPr="00B548D2">
        <w:t>When sharing options for the Dashboard card display, CPAG members expressed a preference for a Dashboard card option with a gray dial and felt like it appropriately displayed the data available.</w:t>
      </w:r>
    </w:p>
    <w:p w14:paraId="5533966E" w14:textId="0CF1EC59" w:rsidR="000269ED" w:rsidRPr="00B548D2" w:rsidRDefault="000269ED" w:rsidP="000269ED">
      <w:pPr>
        <w:pStyle w:val="Heading3"/>
        <w:rPr>
          <w:rFonts w:eastAsia="Arial" w:cs="Arial"/>
          <w:color w:val="000000" w:themeColor="text1"/>
          <w:szCs w:val="32"/>
        </w:rPr>
      </w:pPr>
      <w:r w:rsidRPr="00B548D2">
        <w:rPr>
          <w:rFonts w:eastAsia="Arial" w:cs="Arial"/>
          <w:bCs/>
          <w:i/>
          <w:color w:val="000000" w:themeColor="text1"/>
          <w:szCs w:val="32"/>
        </w:rPr>
        <w:t>New Student Population: Long-Term English Learners</w:t>
      </w:r>
    </w:p>
    <w:p w14:paraId="371EE868" w14:textId="3804BC38" w:rsidR="000269ED" w:rsidRPr="00B548D2" w:rsidRDefault="000269ED" w:rsidP="000269ED">
      <w:pPr>
        <w:spacing w:after="240"/>
      </w:pPr>
      <w:r w:rsidRPr="00B548D2">
        <w:t>Senate Bill 141 (</w:t>
      </w:r>
      <w:r w:rsidRPr="00B548D2">
        <w:rPr>
          <w:rFonts w:eastAsia="Arial" w:cs="Arial"/>
          <w:color w:val="000000" w:themeColor="text1"/>
        </w:rPr>
        <w:t xml:space="preserve">Chapter 194, Statutes of </w:t>
      </w:r>
      <w:r w:rsidRPr="00B548D2">
        <w:t xml:space="preserve">2023) </w:t>
      </w:r>
      <w:r w:rsidRPr="00B548D2">
        <w:rPr>
          <w:rFonts w:eastAsia="Arial" w:cs="Arial"/>
          <w:color w:val="000000" w:themeColor="text1"/>
        </w:rPr>
        <w:t xml:space="preserve">requires that Long-term English Learners (LTELs) be reported as a student group on the Dashboard and defines an LTEL for accountability purposes to mean a pupil who has not attained English language proficiency within seven years of initial classification as an English learner. Note: this new definition is specified for use in the accountability system. </w:t>
      </w:r>
      <w:r w:rsidRPr="00B548D2">
        <w:t xml:space="preserve">The LTEL student group becomes the </w:t>
      </w:r>
      <w:r w:rsidR="004C0F92" w:rsidRPr="00B548D2">
        <w:t>14th</w:t>
      </w:r>
      <w:r w:rsidRPr="00B548D2">
        <w:t xml:space="preserve"> student group on the Dashboard, and California is proud to be the sole state to include this unique student group in its accountability system.</w:t>
      </w:r>
    </w:p>
    <w:p w14:paraId="37C6AD95" w14:textId="77777777" w:rsidR="000269ED" w:rsidRPr="00B548D2" w:rsidRDefault="000269ED" w:rsidP="000269ED">
      <w:pPr>
        <w:pStyle w:val="Heading3"/>
      </w:pPr>
      <w:r w:rsidRPr="00B548D2">
        <w:t>Dashboard Principles</w:t>
      </w:r>
    </w:p>
    <w:p w14:paraId="5BFDF1C3" w14:textId="77777777" w:rsidR="000269ED" w:rsidRPr="00B548D2" w:rsidRDefault="000269ED" w:rsidP="000269ED">
      <w:pPr>
        <w:spacing w:after="240"/>
        <w:rPr>
          <w:rFonts w:eastAsia="Arial" w:cs="Arial"/>
          <w:color w:val="000000" w:themeColor="text1"/>
        </w:rPr>
      </w:pPr>
      <w:r w:rsidRPr="00B548D2">
        <w:rPr>
          <w:rFonts w:eastAsia="Arial" w:cs="Arial"/>
          <w:color w:val="000000" w:themeColor="text1"/>
        </w:rPr>
        <w:t>This work aligns with the following Dashboard Principles:</w:t>
      </w:r>
    </w:p>
    <w:p w14:paraId="3830AE5E" w14:textId="77777777" w:rsidR="000269ED" w:rsidRPr="00B548D2" w:rsidRDefault="000269ED" w:rsidP="00B058BC">
      <w:pPr>
        <w:pStyle w:val="Default"/>
        <w:numPr>
          <w:ilvl w:val="0"/>
          <w:numId w:val="24"/>
        </w:numPr>
        <w:spacing w:after="240"/>
        <w:rPr>
          <w:rFonts w:eastAsia="Arial"/>
          <w:color w:val="000000" w:themeColor="text1"/>
        </w:rPr>
      </w:pPr>
      <w:r w:rsidRPr="00B548D2">
        <w:rPr>
          <w:rFonts w:eastAsia="Arial"/>
          <w:color w:val="000000" w:themeColor="text1"/>
        </w:rPr>
        <w:t>Principle 1: Focuses on elements that express the commitment to a well-rounded, well-supported education and makes space for what is valued locally.</w:t>
      </w:r>
    </w:p>
    <w:p w14:paraId="3E9E0E89" w14:textId="77777777" w:rsidR="000269ED" w:rsidRPr="00B548D2" w:rsidRDefault="000269ED" w:rsidP="00B058BC">
      <w:pPr>
        <w:pStyle w:val="Default"/>
        <w:numPr>
          <w:ilvl w:val="0"/>
          <w:numId w:val="24"/>
        </w:numPr>
        <w:spacing w:after="240"/>
        <w:rPr>
          <w:rFonts w:eastAsia="Arial"/>
          <w:color w:val="000000" w:themeColor="text1"/>
        </w:rPr>
      </w:pPr>
      <w:r w:rsidRPr="00B548D2">
        <w:rPr>
          <w:rFonts w:eastAsia="Arial"/>
          <w:color w:val="000000" w:themeColor="text1"/>
        </w:rPr>
        <w:t>Principle 6: Reports transparently and comprehensively at the state, district, school, and student group levels.</w:t>
      </w:r>
    </w:p>
    <w:p w14:paraId="50A0750F" w14:textId="77777777" w:rsidR="000269ED" w:rsidRPr="00B548D2" w:rsidRDefault="000269ED" w:rsidP="00B058BC">
      <w:pPr>
        <w:pStyle w:val="Default"/>
        <w:numPr>
          <w:ilvl w:val="0"/>
          <w:numId w:val="24"/>
        </w:numPr>
        <w:spacing w:after="240"/>
      </w:pPr>
      <w:r w:rsidRPr="00B548D2">
        <w:rPr>
          <w:rFonts w:eastAsia="Arial"/>
          <w:color w:val="000000" w:themeColor="text1"/>
        </w:rPr>
        <w:t>Principle 11: Is subject to continuous revision and improvement</w:t>
      </w:r>
    </w:p>
    <w:p w14:paraId="36B7B1BE" w14:textId="239D408E" w:rsidR="000269ED" w:rsidRPr="00B548D2" w:rsidRDefault="000269ED" w:rsidP="000269ED">
      <w:pPr>
        <w:pStyle w:val="Heading3"/>
      </w:pPr>
      <w:r w:rsidRPr="00B548D2">
        <w:lastRenderedPageBreak/>
        <w:t xml:space="preserve">2024 Workplan for Adding </w:t>
      </w:r>
      <w:proofErr w:type="gramStart"/>
      <w:r w:rsidR="00090BF5" w:rsidRPr="00B548D2">
        <w:t>A</w:t>
      </w:r>
      <w:proofErr w:type="gramEnd"/>
      <w:r w:rsidR="00090BF5" w:rsidRPr="00B548D2">
        <w:t xml:space="preserve"> </w:t>
      </w:r>
      <w:r w:rsidRPr="00B548D2">
        <w:t xml:space="preserve">New Student </w:t>
      </w:r>
      <w:r w:rsidR="00090BF5" w:rsidRPr="00B548D2">
        <w:t>Group</w:t>
      </w:r>
      <w:r w:rsidRPr="00B548D2">
        <w:t>: LTELs</w:t>
      </w:r>
    </w:p>
    <w:p w14:paraId="402A9213" w14:textId="62C23CC9" w:rsidR="000269ED" w:rsidRPr="00B548D2" w:rsidRDefault="000269ED" w:rsidP="000269ED">
      <w:pPr>
        <w:spacing w:after="240"/>
        <w:rPr>
          <w:rFonts w:eastAsiaTheme="minorEastAsia"/>
        </w:rPr>
      </w:pPr>
      <w:r w:rsidRPr="00B548D2">
        <w:rPr>
          <w:rFonts w:eastAsiaTheme="minorEastAsia"/>
        </w:rPr>
        <w:t>The CDE conducted technical work in 2024 to operationalize the inclusion of the LTEL student group on the Dashboard for the following populations used within the Dashboard: cumulative enrollment, cohort calculations and assessment demographics. The TDG reviewed multiple options of how to implement the new definition within the Dashboard and recommended for CDE to align the LTEL definitions with the EL definitions for all three populations. This alignment ensures that LTEL students will always be counted in both the LTEL and EL student groups across all indicators on the Dashboard.</w:t>
      </w:r>
    </w:p>
    <w:p w14:paraId="3C32CAC1" w14:textId="77777777" w:rsidR="000269ED" w:rsidRPr="00B548D2" w:rsidRDefault="000269ED" w:rsidP="000269ED">
      <w:pPr>
        <w:spacing w:after="240"/>
      </w:pPr>
      <w:r w:rsidRPr="00B548D2">
        <w:t>Table 5 shows which student populations apply to the various state Indicators, along with the operationalized definition of when a student is considered an EL as well as when they are considered an LTEL.</w:t>
      </w:r>
    </w:p>
    <w:p w14:paraId="03991E84" w14:textId="77777777" w:rsidR="000269ED" w:rsidRPr="00B548D2" w:rsidRDefault="000269ED" w:rsidP="00E34F97">
      <w:pPr>
        <w:pStyle w:val="Heading4"/>
      </w:pPr>
      <w:r w:rsidRPr="00B548D2">
        <w:t>Table 5: Determining The Criteria for EL and LTEL Students on the Dashboard</w:t>
      </w:r>
    </w:p>
    <w:tbl>
      <w:tblPr>
        <w:tblStyle w:val="TableGrid"/>
        <w:tblW w:w="0" w:type="auto"/>
        <w:tblLook w:val="04A0" w:firstRow="1" w:lastRow="0" w:firstColumn="1" w:lastColumn="0" w:noHBand="0" w:noVBand="1"/>
        <w:tblCaption w:val="Table 5: Determining The Criteria for EL and LTEL Students on the Dashboard"/>
        <w:tblDescription w:val="Table 5: Determining The Criteria for EL and LTEL Students on the Dashboard"/>
      </w:tblPr>
      <w:tblGrid>
        <w:gridCol w:w="2337"/>
        <w:gridCol w:w="2337"/>
        <w:gridCol w:w="2338"/>
        <w:gridCol w:w="2338"/>
      </w:tblGrid>
      <w:tr w:rsidR="000269ED" w:rsidRPr="00B548D2" w14:paraId="250033B0" w14:textId="77777777" w:rsidTr="00E34F97">
        <w:trPr>
          <w:cantSplit/>
          <w:tblHeader/>
        </w:trPr>
        <w:tc>
          <w:tcPr>
            <w:tcW w:w="2337" w:type="dxa"/>
            <w:shd w:val="clear" w:color="auto" w:fill="BFBFBF" w:themeFill="background1" w:themeFillShade="BF"/>
            <w:vAlign w:val="center"/>
          </w:tcPr>
          <w:p w14:paraId="24345D9C" w14:textId="77777777" w:rsidR="000269ED" w:rsidRPr="00B548D2" w:rsidRDefault="000269ED">
            <w:pPr>
              <w:spacing w:after="240"/>
              <w:jc w:val="center"/>
            </w:pPr>
            <w:r w:rsidRPr="00B548D2">
              <w:rPr>
                <w:rFonts w:eastAsia="BIZ UDGothic" w:cs="Arial"/>
                <w:b/>
                <w:kern w:val="24"/>
              </w:rPr>
              <w:t>Student Population</w:t>
            </w:r>
          </w:p>
        </w:tc>
        <w:tc>
          <w:tcPr>
            <w:tcW w:w="2337" w:type="dxa"/>
            <w:shd w:val="clear" w:color="auto" w:fill="BFBFBF" w:themeFill="background1" w:themeFillShade="BF"/>
            <w:vAlign w:val="center"/>
          </w:tcPr>
          <w:p w14:paraId="07F7F13B" w14:textId="77777777" w:rsidR="000269ED" w:rsidRPr="00B548D2" w:rsidRDefault="000269ED">
            <w:pPr>
              <w:spacing w:after="240"/>
              <w:jc w:val="center"/>
            </w:pPr>
            <w:r w:rsidRPr="00B548D2">
              <w:rPr>
                <w:rFonts w:eastAsia="BIZ UDGothic" w:cs="Arial"/>
                <w:b/>
                <w:kern w:val="24"/>
              </w:rPr>
              <w:t>Applicable State Indicators</w:t>
            </w:r>
          </w:p>
        </w:tc>
        <w:tc>
          <w:tcPr>
            <w:tcW w:w="2338" w:type="dxa"/>
            <w:shd w:val="clear" w:color="auto" w:fill="BFBFBF" w:themeFill="background1" w:themeFillShade="BF"/>
            <w:vAlign w:val="center"/>
          </w:tcPr>
          <w:p w14:paraId="4DEE29D1" w14:textId="77777777" w:rsidR="000269ED" w:rsidRPr="00B548D2" w:rsidRDefault="000269ED">
            <w:pPr>
              <w:spacing w:after="240"/>
              <w:jc w:val="center"/>
              <w:rPr>
                <w:b/>
                <w:bCs/>
              </w:rPr>
            </w:pPr>
            <w:r w:rsidRPr="00B548D2">
              <w:rPr>
                <w:b/>
                <w:bCs/>
              </w:rPr>
              <w:t>EL Students</w:t>
            </w:r>
          </w:p>
        </w:tc>
        <w:tc>
          <w:tcPr>
            <w:tcW w:w="2338" w:type="dxa"/>
            <w:shd w:val="clear" w:color="auto" w:fill="BFBFBF" w:themeFill="background1" w:themeFillShade="BF"/>
            <w:vAlign w:val="center"/>
          </w:tcPr>
          <w:p w14:paraId="44C71868" w14:textId="77777777" w:rsidR="000269ED" w:rsidRPr="00B548D2" w:rsidRDefault="000269ED">
            <w:pPr>
              <w:spacing w:after="240"/>
              <w:jc w:val="center"/>
            </w:pPr>
            <w:r w:rsidRPr="00B548D2">
              <w:rPr>
                <w:rFonts w:eastAsia="BIZ UDGothic" w:cs="Arial"/>
                <w:b/>
                <w:kern w:val="24"/>
              </w:rPr>
              <w:t>LTEL Students</w:t>
            </w:r>
          </w:p>
        </w:tc>
      </w:tr>
      <w:tr w:rsidR="000269ED" w:rsidRPr="00B548D2" w14:paraId="10FB7B25" w14:textId="77777777" w:rsidTr="00E34F97">
        <w:trPr>
          <w:cantSplit/>
          <w:tblHeader/>
        </w:trPr>
        <w:tc>
          <w:tcPr>
            <w:tcW w:w="2337" w:type="dxa"/>
            <w:vAlign w:val="center"/>
          </w:tcPr>
          <w:p w14:paraId="13CB9B9D" w14:textId="77777777" w:rsidR="000269ED" w:rsidRPr="00B548D2" w:rsidRDefault="000269ED">
            <w:pPr>
              <w:spacing w:after="240"/>
            </w:pPr>
            <w:r w:rsidRPr="00B548D2">
              <w:rPr>
                <w:rFonts w:eastAsia="BIZ UDGothic" w:cs="Arial"/>
                <w:color w:val="000000" w:themeColor="dark1"/>
                <w:kern w:val="24"/>
              </w:rPr>
              <w:t>Cumulative Enrollment</w:t>
            </w:r>
          </w:p>
        </w:tc>
        <w:tc>
          <w:tcPr>
            <w:tcW w:w="2337" w:type="dxa"/>
            <w:vAlign w:val="center"/>
          </w:tcPr>
          <w:p w14:paraId="30D7946D" w14:textId="77777777" w:rsidR="008E2612" w:rsidRPr="00B548D2" w:rsidRDefault="000269ED">
            <w:pPr>
              <w:spacing w:after="240"/>
              <w:rPr>
                <w:rFonts w:eastAsia="BIZ UDGothic" w:cs="Arial"/>
                <w:color w:val="000000" w:themeColor="dark1"/>
                <w:kern w:val="24"/>
              </w:rPr>
            </w:pPr>
            <w:r w:rsidRPr="00B548D2">
              <w:rPr>
                <w:rFonts w:eastAsia="BIZ UDGothic" w:cs="Arial"/>
                <w:color w:val="000000" w:themeColor="dark1"/>
                <w:kern w:val="24"/>
              </w:rPr>
              <w:t>Chronic Absenteeism</w:t>
            </w:r>
          </w:p>
          <w:p w14:paraId="051DA41D" w14:textId="50A2C382" w:rsidR="000269ED" w:rsidRPr="00B548D2" w:rsidRDefault="000269ED">
            <w:pPr>
              <w:spacing w:after="240"/>
            </w:pPr>
            <w:r w:rsidRPr="00B548D2">
              <w:rPr>
                <w:rFonts w:eastAsia="BIZ UDGothic" w:cs="Arial"/>
                <w:color w:val="000000" w:themeColor="dark1"/>
                <w:kern w:val="24"/>
              </w:rPr>
              <w:t>Suspension Rate</w:t>
            </w:r>
          </w:p>
        </w:tc>
        <w:tc>
          <w:tcPr>
            <w:tcW w:w="2338" w:type="dxa"/>
            <w:vAlign w:val="center"/>
          </w:tcPr>
          <w:p w14:paraId="5D2DAA59" w14:textId="77777777" w:rsidR="000269ED" w:rsidRPr="00B548D2" w:rsidRDefault="000269ED">
            <w:pPr>
              <w:spacing w:after="240"/>
            </w:pPr>
            <w:r w:rsidRPr="00B548D2">
              <w:rPr>
                <w:rFonts w:eastAsia="BIZ UDGothic" w:cs="Arial"/>
                <w:color w:val="000000" w:themeColor="dark1"/>
                <w:kern w:val="24"/>
              </w:rPr>
              <w:t>EL at any point during the year</w:t>
            </w:r>
          </w:p>
        </w:tc>
        <w:tc>
          <w:tcPr>
            <w:tcW w:w="2338" w:type="dxa"/>
            <w:vAlign w:val="center"/>
          </w:tcPr>
          <w:p w14:paraId="3BED12EA" w14:textId="77777777" w:rsidR="000269ED" w:rsidRPr="00B548D2" w:rsidRDefault="000269ED">
            <w:pPr>
              <w:spacing w:after="240"/>
            </w:pPr>
            <w:r w:rsidRPr="00B548D2">
              <w:rPr>
                <w:rFonts w:eastAsia="BIZ UDGothic" w:cs="Arial"/>
                <w:color w:val="000000" w:themeColor="dark1"/>
                <w:kern w:val="24"/>
              </w:rPr>
              <w:t>LTEL at any point during the year</w:t>
            </w:r>
          </w:p>
        </w:tc>
      </w:tr>
      <w:tr w:rsidR="000269ED" w:rsidRPr="00B548D2" w14:paraId="26DDCE6A" w14:textId="77777777" w:rsidTr="00E34F97">
        <w:trPr>
          <w:cantSplit/>
          <w:tblHeader/>
        </w:trPr>
        <w:tc>
          <w:tcPr>
            <w:tcW w:w="2337" w:type="dxa"/>
            <w:vAlign w:val="center"/>
          </w:tcPr>
          <w:p w14:paraId="1AAFEFA5" w14:textId="77777777" w:rsidR="000269ED" w:rsidRPr="00B548D2" w:rsidRDefault="000269ED">
            <w:pPr>
              <w:spacing w:after="240"/>
            </w:pPr>
            <w:r w:rsidRPr="00B548D2">
              <w:rPr>
                <w:rFonts w:eastAsia="BIZ UDGothic" w:cs="Arial"/>
                <w:color w:val="000000" w:themeColor="dark1"/>
                <w:kern w:val="24"/>
              </w:rPr>
              <w:t>Cohort</w:t>
            </w:r>
          </w:p>
        </w:tc>
        <w:tc>
          <w:tcPr>
            <w:tcW w:w="2337" w:type="dxa"/>
            <w:vAlign w:val="center"/>
          </w:tcPr>
          <w:p w14:paraId="6A893F11" w14:textId="0F333FED" w:rsidR="000269ED" w:rsidRPr="00B548D2" w:rsidRDefault="000269ED">
            <w:pPr>
              <w:pStyle w:val="NormalWeb"/>
              <w:spacing w:before="0" w:beforeAutospacing="0" w:after="240" w:afterAutospacing="0"/>
              <w:rPr>
                <w:rFonts w:ascii="Arial" w:hAnsi="Arial" w:cs="Arial"/>
              </w:rPr>
            </w:pPr>
            <w:r w:rsidRPr="00B548D2">
              <w:rPr>
                <w:rFonts w:ascii="Arial" w:eastAsia="BIZ UDGothic" w:hAnsi="Arial" w:cs="Arial"/>
                <w:color w:val="000000" w:themeColor="dark1"/>
                <w:kern w:val="24"/>
              </w:rPr>
              <w:t xml:space="preserve">Graduation Rate </w:t>
            </w:r>
          </w:p>
          <w:p w14:paraId="2E455CDF" w14:textId="77777777" w:rsidR="000269ED" w:rsidRPr="00B548D2" w:rsidRDefault="000269ED">
            <w:pPr>
              <w:spacing w:after="240"/>
            </w:pPr>
            <w:r w:rsidRPr="00B548D2">
              <w:rPr>
                <w:rFonts w:eastAsia="BIZ UDGothic" w:cs="Arial"/>
                <w:color w:val="000000" w:themeColor="dark1"/>
                <w:kern w:val="24"/>
              </w:rPr>
              <w:t>CCI</w:t>
            </w:r>
          </w:p>
        </w:tc>
        <w:tc>
          <w:tcPr>
            <w:tcW w:w="2338" w:type="dxa"/>
            <w:vAlign w:val="center"/>
          </w:tcPr>
          <w:p w14:paraId="3608ADDB" w14:textId="77777777" w:rsidR="000269ED" w:rsidRPr="00B548D2" w:rsidRDefault="000269ED">
            <w:pPr>
              <w:spacing w:after="240"/>
            </w:pPr>
            <w:r w:rsidRPr="00B548D2">
              <w:rPr>
                <w:rFonts w:eastAsia="BIZ UDGothic" w:cs="Arial"/>
                <w:color w:val="000000" w:themeColor="dark1"/>
                <w:kern w:val="24"/>
              </w:rPr>
              <w:t>EL at any point during the cohort</w:t>
            </w:r>
          </w:p>
        </w:tc>
        <w:tc>
          <w:tcPr>
            <w:tcW w:w="2338" w:type="dxa"/>
            <w:vAlign w:val="center"/>
          </w:tcPr>
          <w:p w14:paraId="0602720B" w14:textId="77777777" w:rsidR="000269ED" w:rsidRPr="00B548D2" w:rsidRDefault="000269ED">
            <w:pPr>
              <w:spacing w:after="240"/>
            </w:pPr>
            <w:r w:rsidRPr="00B548D2">
              <w:rPr>
                <w:rFonts w:eastAsia="BIZ UDGothic" w:cs="Arial"/>
                <w:color w:val="000000" w:themeColor="dark1"/>
                <w:kern w:val="24"/>
              </w:rPr>
              <w:t>LTEL at any point during the cohort</w:t>
            </w:r>
          </w:p>
        </w:tc>
      </w:tr>
      <w:tr w:rsidR="000269ED" w:rsidRPr="00B548D2" w14:paraId="13C6F05E" w14:textId="77777777" w:rsidTr="00E34F97">
        <w:trPr>
          <w:cantSplit/>
          <w:tblHeader/>
        </w:trPr>
        <w:tc>
          <w:tcPr>
            <w:tcW w:w="2337" w:type="dxa"/>
            <w:vAlign w:val="center"/>
          </w:tcPr>
          <w:p w14:paraId="264477C0" w14:textId="77777777" w:rsidR="000269ED" w:rsidRPr="00B548D2" w:rsidRDefault="000269ED">
            <w:pPr>
              <w:spacing w:after="240"/>
            </w:pPr>
            <w:r w:rsidRPr="00B548D2">
              <w:rPr>
                <w:rFonts w:eastAsia="BIZ UDGothic" w:cs="Arial"/>
                <w:color w:val="000000" w:themeColor="dark1"/>
                <w:kern w:val="24"/>
              </w:rPr>
              <w:t>Academic Demographics</w:t>
            </w:r>
          </w:p>
        </w:tc>
        <w:tc>
          <w:tcPr>
            <w:tcW w:w="2337" w:type="dxa"/>
            <w:vAlign w:val="center"/>
          </w:tcPr>
          <w:p w14:paraId="1BC923FC" w14:textId="3C281794" w:rsidR="0052534E" w:rsidRPr="00B548D2" w:rsidRDefault="000269ED">
            <w:pPr>
              <w:spacing w:after="240"/>
              <w:rPr>
                <w:rFonts w:eastAsia="BIZ UDGothic" w:cs="Arial"/>
                <w:color w:val="000000" w:themeColor="dark1"/>
                <w:kern w:val="24"/>
              </w:rPr>
            </w:pPr>
            <w:r w:rsidRPr="00B548D2">
              <w:rPr>
                <w:rFonts w:eastAsia="BIZ UDGothic" w:cs="Arial"/>
                <w:color w:val="000000" w:themeColor="dark1"/>
                <w:kern w:val="24"/>
              </w:rPr>
              <w:t>Academic – ELA</w:t>
            </w:r>
          </w:p>
          <w:p w14:paraId="2BB2BFEB" w14:textId="2BE56E67" w:rsidR="000269ED" w:rsidRPr="00B548D2" w:rsidRDefault="000269ED">
            <w:pPr>
              <w:spacing w:after="240"/>
            </w:pPr>
            <w:r w:rsidRPr="00B548D2">
              <w:rPr>
                <w:rFonts w:eastAsia="BIZ UDGothic" w:cs="Arial"/>
                <w:color w:val="000000" w:themeColor="dark1"/>
                <w:kern w:val="24"/>
              </w:rPr>
              <w:t>Academic – Mathematics, ELPI</w:t>
            </w:r>
          </w:p>
        </w:tc>
        <w:tc>
          <w:tcPr>
            <w:tcW w:w="2338" w:type="dxa"/>
            <w:vAlign w:val="center"/>
          </w:tcPr>
          <w:p w14:paraId="03795292" w14:textId="77777777" w:rsidR="000269ED" w:rsidRPr="00B548D2" w:rsidRDefault="000269ED">
            <w:pPr>
              <w:spacing w:after="240"/>
            </w:pPr>
            <w:r w:rsidRPr="00B548D2">
              <w:rPr>
                <w:rFonts w:eastAsia="BIZ UDGothic" w:cs="Arial"/>
                <w:color w:val="000000" w:themeColor="dark1"/>
                <w:kern w:val="24"/>
              </w:rPr>
              <w:t>EL at any point during the year</w:t>
            </w:r>
          </w:p>
        </w:tc>
        <w:tc>
          <w:tcPr>
            <w:tcW w:w="2338" w:type="dxa"/>
            <w:vAlign w:val="center"/>
          </w:tcPr>
          <w:p w14:paraId="6061675B" w14:textId="77777777" w:rsidR="000269ED" w:rsidRPr="00B548D2" w:rsidRDefault="000269ED">
            <w:pPr>
              <w:spacing w:after="240"/>
            </w:pPr>
            <w:r w:rsidRPr="00B548D2">
              <w:rPr>
                <w:rFonts w:eastAsia="BIZ UDGothic" w:cs="Arial"/>
                <w:color w:val="000000" w:themeColor="dark1"/>
                <w:kern w:val="24"/>
              </w:rPr>
              <w:t>LTEL at any point during the year</w:t>
            </w:r>
          </w:p>
        </w:tc>
      </w:tr>
    </w:tbl>
    <w:p w14:paraId="5200059D" w14:textId="57BF288F" w:rsidR="000269ED" w:rsidRPr="00B548D2" w:rsidRDefault="000269ED" w:rsidP="000269ED">
      <w:pPr>
        <w:pStyle w:val="Heading4"/>
      </w:pPr>
      <w:r w:rsidRPr="00B548D2">
        <w:t>Adding a Student Group to the English Learner Progress Indicator</w:t>
      </w:r>
    </w:p>
    <w:p w14:paraId="65E42C1A" w14:textId="46FC4A67" w:rsidR="000269ED" w:rsidRPr="00B548D2" w:rsidRDefault="000269ED" w:rsidP="000269ED">
      <w:pPr>
        <w:spacing w:after="240"/>
        <w:rPr>
          <w:rFonts w:eastAsiaTheme="minorEastAsia"/>
        </w:rPr>
      </w:pPr>
      <w:r w:rsidRPr="00B548D2">
        <w:rPr>
          <w:rFonts w:eastAsiaTheme="minorEastAsia"/>
        </w:rPr>
        <w:t xml:space="preserve">The </w:t>
      </w:r>
      <w:r w:rsidR="00562E40" w:rsidRPr="00B548D2">
        <w:rPr>
          <w:rFonts w:eastAsiaTheme="minorEastAsia"/>
        </w:rPr>
        <w:t>English Learner Progress Indicator (</w:t>
      </w:r>
      <w:r w:rsidRPr="00B548D2">
        <w:rPr>
          <w:rFonts w:eastAsiaTheme="minorEastAsia"/>
        </w:rPr>
        <w:t>ELPI</w:t>
      </w:r>
      <w:r w:rsidR="00562E40" w:rsidRPr="00B548D2">
        <w:rPr>
          <w:rFonts w:eastAsiaTheme="minorEastAsia"/>
        </w:rPr>
        <w:t>)</w:t>
      </w:r>
      <w:r w:rsidRPr="00B548D2">
        <w:rPr>
          <w:rFonts w:eastAsiaTheme="minorEastAsia"/>
        </w:rPr>
        <w:t xml:space="preserve"> </w:t>
      </w:r>
      <w:r w:rsidR="00562E40" w:rsidRPr="00B548D2">
        <w:rPr>
          <w:rFonts w:eastAsiaTheme="minorEastAsia"/>
        </w:rPr>
        <w:t>is</w:t>
      </w:r>
      <w:r w:rsidRPr="00B548D2">
        <w:rPr>
          <w:rFonts w:eastAsiaTheme="minorEastAsia"/>
        </w:rPr>
        <w:t xml:space="preserve"> a unique indicator on the Dashboard because, unlike all other State Indicators, the overall performance level is also the performance level for a single student group. The ELPI results only apply to the EL student group, and it is therefore the only indicator on the Dashboard that does not include an Equity Report on its Dashboard card. However, with the addition of the LTEL student group, the ELPI will now display results for two student groups: ELs and LTELs.</w:t>
      </w:r>
    </w:p>
    <w:p w14:paraId="7D7CDA00" w14:textId="5B83D94E" w:rsidR="000269ED" w:rsidRPr="00B548D2" w:rsidRDefault="000269ED" w:rsidP="000269ED">
      <w:pPr>
        <w:spacing w:after="240"/>
      </w:pPr>
      <w:r w:rsidRPr="00B548D2">
        <w:lastRenderedPageBreak/>
        <w:t xml:space="preserve">The CDE </w:t>
      </w:r>
      <w:r w:rsidR="00A439AE" w:rsidRPr="00B548D2">
        <w:t>received feedback from</w:t>
      </w:r>
      <w:r w:rsidRPr="00B548D2">
        <w:t xml:space="preserve"> educational partners on </w:t>
      </w:r>
      <w:r w:rsidR="0079763B" w:rsidRPr="00B548D2">
        <w:t xml:space="preserve">updating </w:t>
      </w:r>
      <w:r w:rsidRPr="00B548D2">
        <w:t xml:space="preserve">the content and display of the ELPI baseball card for the 2024 Dashboard </w:t>
      </w:r>
      <w:r w:rsidR="0079763B" w:rsidRPr="00B548D2">
        <w:t xml:space="preserve">to reflect </w:t>
      </w:r>
      <w:r w:rsidRPr="00B548D2">
        <w:t xml:space="preserve">the addition of the LTEL student group. CPAG </w:t>
      </w:r>
      <w:r w:rsidR="00F42D58" w:rsidRPr="00B548D2">
        <w:t xml:space="preserve">members </w:t>
      </w:r>
      <w:r w:rsidRPr="00B548D2">
        <w:t xml:space="preserve">shared </w:t>
      </w:r>
      <w:r w:rsidR="00E94209" w:rsidRPr="00B548D2">
        <w:t xml:space="preserve">feedback on the nature of </w:t>
      </w:r>
      <w:r w:rsidR="00AE7C12" w:rsidRPr="00B548D2">
        <w:t xml:space="preserve">adding the LTEL student group as well as the equity report to the card may be too confusing. </w:t>
      </w:r>
      <w:r w:rsidR="009406A7" w:rsidRPr="00B548D2">
        <w:t xml:space="preserve">Some members </w:t>
      </w:r>
      <w:r w:rsidR="00731097" w:rsidRPr="00B548D2">
        <w:t>suggested</w:t>
      </w:r>
      <w:r w:rsidR="009406A7" w:rsidRPr="00B548D2">
        <w:t xml:space="preserve"> </w:t>
      </w:r>
      <w:r w:rsidR="00B02AC1" w:rsidRPr="00B548D2">
        <w:t>clarifying</w:t>
      </w:r>
      <w:r w:rsidR="00BD2AE5" w:rsidRPr="00B548D2">
        <w:t xml:space="preserve"> on the card</w:t>
      </w:r>
      <w:r w:rsidR="009406A7" w:rsidRPr="00B548D2">
        <w:t xml:space="preserve"> that the overall color was not for “all students” but rather “all EL students”</w:t>
      </w:r>
      <w:r w:rsidR="004C1479" w:rsidRPr="00B548D2">
        <w:t xml:space="preserve"> to assist in understanding its unique </w:t>
      </w:r>
      <w:r w:rsidR="00BA7277" w:rsidRPr="00B548D2">
        <w:t xml:space="preserve">characteristics. Additionally, there was </w:t>
      </w:r>
      <w:r w:rsidR="005B58DC" w:rsidRPr="00B548D2">
        <w:t xml:space="preserve">positive feedback </w:t>
      </w:r>
      <w:r w:rsidR="00BA7277" w:rsidRPr="00B548D2">
        <w:t xml:space="preserve">from </w:t>
      </w:r>
      <w:r w:rsidR="005B58DC" w:rsidRPr="00B548D2">
        <w:t xml:space="preserve">CPAG members to </w:t>
      </w:r>
      <w:r w:rsidR="00D526D3" w:rsidRPr="00B548D2">
        <w:t xml:space="preserve">feature </w:t>
      </w:r>
      <w:r w:rsidR="00B10BF2" w:rsidRPr="00B548D2">
        <w:t>LTEL performance on its own within the Equity Report.</w:t>
      </w:r>
    </w:p>
    <w:p w14:paraId="58F10FA0" w14:textId="46DD9C21" w:rsidR="3CA38B16" w:rsidRPr="00B548D2" w:rsidRDefault="3CA38B16" w:rsidP="00B548D2">
      <w:pPr>
        <w:spacing w:after="240"/>
      </w:pPr>
      <w:r w:rsidRPr="00B548D2">
        <w:t xml:space="preserve">Figure 2: </w:t>
      </w:r>
      <w:r w:rsidR="64895022" w:rsidRPr="00B548D2">
        <w:t xml:space="preserve">Preferred Option for </w:t>
      </w:r>
      <w:r w:rsidRPr="00B548D2">
        <w:t>English Learner Progress Indicator Card on the</w:t>
      </w:r>
      <w:r w:rsidR="7FB046ED" w:rsidRPr="00B548D2">
        <w:t xml:space="preserve"> 2024</w:t>
      </w:r>
      <w:r w:rsidRPr="00B548D2">
        <w:t xml:space="preserve"> Dashboard</w:t>
      </w:r>
    </w:p>
    <w:p w14:paraId="22364C23" w14:textId="3191B2DA" w:rsidR="493A7B89" w:rsidRPr="00B548D2" w:rsidRDefault="493A7B89" w:rsidP="68F97FE9">
      <w:pPr>
        <w:spacing w:after="240"/>
        <w:jc w:val="center"/>
        <w:rPr>
          <w:rFonts w:ascii="Times New Roman" w:hAnsi="Times New Roman"/>
        </w:rPr>
      </w:pPr>
      <w:r w:rsidRPr="00B548D2">
        <w:rPr>
          <w:noProof/>
        </w:rPr>
        <w:drawing>
          <wp:inline distT="0" distB="0" distL="0" distR="0" wp14:anchorId="511BCBC4" wp14:editId="38CC493E">
            <wp:extent cx="1642998" cy="2895254"/>
            <wp:effectExtent l="0" t="0" r="0" b="0"/>
            <wp:docPr id="1721353645" name="Picture 1721353645" descr="A baseball card titled English Learner Progress with a gauge pointing to Orange. At the bottom, there is an Equity Report with the title: Long Term EL Placemen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1353645"/>
                    <pic:cNvPicPr/>
                  </pic:nvPicPr>
                  <pic:blipFill>
                    <a:blip r:embed="rId91">
                      <a:extLst>
                        <a:ext uri="{28A0092B-C50C-407E-A947-70E740481C1C}">
                          <a14:useLocalDpi xmlns:a14="http://schemas.microsoft.com/office/drawing/2010/main" val="0"/>
                        </a:ext>
                      </a:extLst>
                    </a:blip>
                    <a:stretch>
                      <a:fillRect/>
                    </a:stretch>
                  </pic:blipFill>
                  <pic:spPr>
                    <a:xfrm>
                      <a:off x="0" y="0"/>
                      <a:ext cx="1642998" cy="2895254"/>
                    </a:xfrm>
                    <a:prstGeom prst="rect">
                      <a:avLst/>
                    </a:prstGeom>
                  </pic:spPr>
                </pic:pic>
              </a:graphicData>
            </a:graphic>
          </wp:inline>
        </w:drawing>
      </w:r>
    </w:p>
    <w:p w14:paraId="39C43C2B" w14:textId="4A01B577" w:rsidR="000269ED" w:rsidRPr="00B548D2" w:rsidRDefault="0034141F" w:rsidP="000269ED">
      <w:pPr>
        <w:pStyle w:val="Heading2"/>
        <w:rPr>
          <w:rFonts w:eastAsia="Arial" w:cs="Arial"/>
          <w:color w:val="000000" w:themeColor="text1"/>
          <w:szCs w:val="36"/>
        </w:rPr>
      </w:pPr>
      <w:r w:rsidRPr="00B548D2">
        <w:rPr>
          <w:rFonts w:eastAsia="Arial" w:cs="Arial"/>
          <w:bCs/>
          <w:color w:val="000000" w:themeColor="text1"/>
          <w:szCs w:val="36"/>
        </w:rPr>
        <w:t xml:space="preserve">LCFF </w:t>
      </w:r>
      <w:r w:rsidR="000269ED" w:rsidRPr="00B548D2">
        <w:rPr>
          <w:rFonts w:eastAsia="Arial" w:cs="Arial"/>
          <w:bCs/>
          <w:color w:val="000000" w:themeColor="text1"/>
          <w:szCs w:val="36"/>
        </w:rPr>
        <w:t>Differentiated Assistance Eligibility</w:t>
      </w:r>
    </w:p>
    <w:p w14:paraId="3845155D" w14:textId="55A9D41C" w:rsidR="000269ED" w:rsidRPr="00B548D2" w:rsidRDefault="000269ED" w:rsidP="000269ED">
      <w:pPr>
        <w:spacing w:after="240"/>
        <w:rPr>
          <w:rFonts w:eastAsia="Arial"/>
        </w:rPr>
      </w:pPr>
      <w:r w:rsidRPr="00B548D2">
        <w:rPr>
          <w:rFonts w:eastAsia="Arial"/>
        </w:rPr>
        <w:t xml:space="preserve">The Dashboard evolves on an annual basis to fit the needs of California schools and districts, and with that evolution comes modifications to the criteria used to identify LEAs for support under Differentiated Assistance. Adjustments made to the </w:t>
      </w:r>
      <w:r w:rsidR="00CD27ED" w:rsidRPr="00B548D2">
        <w:rPr>
          <w:rFonts w:eastAsia="Arial"/>
        </w:rPr>
        <w:t>2022 and 20</w:t>
      </w:r>
      <w:r w:rsidR="00A67E25" w:rsidRPr="00B548D2">
        <w:rPr>
          <w:rFonts w:eastAsia="Arial"/>
        </w:rPr>
        <w:t>2</w:t>
      </w:r>
      <w:r w:rsidR="00CD27ED" w:rsidRPr="00B548D2">
        <w:rPr>
          <w:rFonts w:eastAsia="Arial"/>
        </w:rPr>
        <w:t xml:space="preserve">3 </w:t>
      </w:r>
      <w:r w:rsidRPr="00B548D2">
        <w:rPr>
          <w:rFonts w:eastAsia="Arial"/>
        </w:rPr>
        <w:t>Dashboard</w:t>
      </w:r>
      <w:r w:rsidR="00CD27ED" w:rsidRPr="00B548D2">
        <w:rPr>
          <w:rFonts w:eastAsia="Arial"/>
        </w:rPr>
        <w:t>s</w:t>
      </w:r>
      <w:r w:rsidRPr="00B548D2">
        <w:rPr>
          <w:rFonts w:eastAsia="Arial"/>
        </w:rPr>
        <w:t xml:space="preserve"> due to Assembly Bill 130</w:t>
      </w:r>
      <w:r w:rsidR="00CD27ED" w:rsidRPr="00B548D2">
        <w:rPr>
          <w:rFonts w:eastAsia="Arial"/>
        </w:rPr>
        <w:t xml:space="preserve"> (Chapter </w:t>
      </w:r>
      <w:r w:rsidR="00B058BC" w:rsidRPr="00B548D2">
        <w:rPr>
          <w:rFonts w:eastAsia="Arial"/>
        </w:rPr>
        <w:t xml:space="preserve">44, Statutes of 2021) </w:t>
      </w:r>
      <w:r w:rsidRPr="00B548D2">
        <w:rPr>
          <w:rFonts w:eastAsia="Arial"/>
        </w:rPr>
        <w:t xml:space="preserve">required the SBE to adopt modified criteria each Fall. In 2024, California returns to using the </w:t>
      </w:r>
      <w:r w:rsidR="00730BDC" w:rsidRPr="00B548D2">
        <w:rPr>
          <w:rFonts w:eastAsia="Arial"/>
        </w:rPr>
        <w:t xml:space="preserve">previously SBE </w:t>
      </w:r>
      <w:r w:rsidRPr="00B548D2">
        <w:rPr>
          <w:rFonts w:eastAsia="Arial"/>
        </w:rPr>
        <w:t>adopted criteria in full, while adjusting to newly added components</w:t>
      </w:r>
      <w:r w:rsidR="00730BDC" w:rsidRPr="00B548D2">
        <w:rPr>
          <w:rFonts w:eastAsia="Arial"/>
        </w:rPr>
        <w:t xml:space="preserve"> required by</w:t>
      </w:r>
      <w:r w:rsidRPr="00B548D2" w:rsidDel="00730BDC">
        <w:rPr>
          <w:rFonts w:eastAsia="Arial"/>
        </w:rPr>
        <w:t xml:space="preserve"> </w:t>
      </w:r>
      <w:r w:rsidRPr="00B548D2">
        <w:rPr>
          <w:rFonts w:eastAsia="Arial"/>
        </w:rPr>
        <w:t>recent legislation.</w:t>
      </w:r>
    </w:p>
    <w:p w14:paraId="4D515F29" w14:textId="77777777" w:rsidR="000269ED" w:rsidRPr="00B548D2" w:rsidRDefault="000269ED" w:rsidP="000269ED">
      <w:pPr>
        <w:pStyle w:val="Heading3"/>
        <w:rPr>
          <w:rFonts w:eastAsia="Arial" w:cs="Arial"/>
          <w:bCs/>
          <w:i/>
          <w:color w:val="000000" w:themeColor="text1"/>
          <w:szCs w:val="32"/>
        </w:rPr>
      </w:pPr>
      <w:r w:rsidRPr="00B548D2">
        <w:rPr>
          <w:rFonts w:eastAsia="Arial" w:cs="Arial"/>
          <w:bCs/>
          <w:color w:val="000000" w:themeColor="text1"/>
          <w:szCs w:val="32"/>
        </w:rPr>
        <w:t>Dashboard Principles</w:t>
      </w:r>
    </w:p>
    <w:p w14:paraId="45BC8195" w14:textId="77777777" w:rsidR="000269ED" w:rsidRPr="00B548D2" w:rsidRDefault="000269ED" w:rsidP="000269ED">
      <w:pPr>
        <w:spacing w:after="240"/>
        <w:rPr>
          <w:rFonts w:eastAsia="Arial" w:cs="Arial"/>
          <w:color w:val="000000" w:themeColor="text1"/>
        </w:rPr>
      </w:pPr>
      <w:r w:rsidRPr="00B548D2">
        <w:rPr>
          <w:rFonts w:eastAsia="Arial" w:cs="Arial"/>
          <w:color w:val="000000" w:themeColor="text1"/>
        </w:rPr>
        <w:t>This work aligns with the following Dashboard Principles:</w:t>
      </w:r>
    </w:p>
    <w:p w14:paraId="6BC41B3A" w14:textId="77777777" w:rsidR="000269ED" w:rsidRPr="00B548D2" w:rsidRDefault="000269ED" w:rsidP="00B058BC">
      <w:pPr>
        <w:pStyle w:val="Default"/>
        <w:numPr>
          <w:ilvl w:val="0"/>
          <w:numId w:val="25"/>
        </w:numPr>
        <w:spacing w:after="240"/>
        <w:rPr>
          <w:rFonts w:eastAsia="Arial"/>
          <w:color w:val="000000" w:themeColor="text1"/>
        </w:rPr>
      </w:pPr>
      <w:r w:rsidRPr="00B548D2">
        <w:rPr>
          <w:rFonts w:eastAsia="Arial"/>
          <w:color w:val="000000" w:themeColor="text1"/>
        </w:rPr>
        <w:lastRenderedPageBreak/>
        <w:t>Principle 6: Reports transparently and comprehensively at the state, district, school, and student group levels.</w:t>
      </w:r>
    </w:p>
    <w:p w14:paraId="5D5561B3" w14:textId="77777777" w:rsidR="000269ED" w:rsidRPr="00B548D2" w:rsidRDefault="000269ED" w:rsidP="00B058BC">
      <w:pPr>
        <w:pStyle w:val="Default"/>
        <w:numPr>
          <w:ilvl w:val="0"/>
          <w:numId w:val="25"/>
        </w:numPr>
        <w:spacing w:after="240"/>
        <w:rPr>
          <w:rFonts w:eastAsia="Arial"/>
          <w:color w:val="000000" w:themeColor="text1"/>
        </w:rPr>
      </w:pPr>
      <w:r w:rsidRPr="00B548D2">
        <w:rPr>
          <w:rFonts w:eastAsia="Arial"/>
          <w:color w:val="000000" w:themeColor="text1"/>
        </w:rPr>
        <w:t>Principle 8: Reflects technical quality through measures that are valid and reliable.</w:t>
      </w:r>
    </w:p>
    <w:p w14:paraId="2F9203F1" w14:textId="77777777" w:rsidR="000269ED" w:rsidRPr="00B548D2" w:rsidRDefault="000269ED" w:rsidP="00B058BC">
      <w:pPr>
        <w:pStyle w:val="Default"/>
        <w:numPr>
          <w:ilvl w:val="0"/>
          <w:numId w:val="25"/>
        </w:numPr>
        <w:spacing w:after="240"/>
        <w:rPr>
          <w:rFonts w:eastAsia="Arial"/>
          <w:color w:val="000000" w:themeColor="text1"/>
        </w:rPr>
      </w:pPr>
      <w:r w:rsidRPr="00B548D2">
        <w:rPr>
          <w:rFonts w:eastAsia="Arial"/>
          <w:color w:val="000000" w:themeColor="text1"/>
        </w:rPr>
        <w:t>Principle 10: Promotes coherence between data reporting and support/improvement programs.</w:t>
      </w:r>
    </w:p>
    <w:p w14:paraId="0FAE0E51" w14:textId="77777777" w:rsidR="000269ED" w:rsidRPr="00B548D2" w:rsidRDefault="000269ED" w:rsidP="00B058BC">
      <w:pPr>
        <w:pStyle w:val="Default"/>
        <w:numPr>
          <w:ilvl w:val="0"/>
          <w:numId w:val="25"/>
        </w:numPr>
        <w:spacing w:after="240"/>
        <w:rPr>
          <w:rFonts w:eastAsia="Arial"/>
          <w:color w:val="000000" w:themeColor="text1"/>
        </w:rPr>
      </w:pPr>
      <w:r w:rsidRPr="00B548D2">
        <w:rPr>
          <w:rFonts w:eastAsia="Arial"/>
          <w:color w:val="000000" w:themeColor="text1"/>
        </w:rPr>
        <w:t>Principle 11: Is subject to continuous revision and improvement.</w:t>
      </w:r>
    </w:p>
    <w:p w14:paraId="23680422" w14:textId="77777777" w:rsidR="000269ED" w:rsidRPr="00B548D2" w:rsidRDefault="000269ED" w:rsidP="00E34F97">
      <w:pPr>
        <w:pStyle w:val="Heading3"/>
      </w:pPr>
      <w:r w:rsidRPr="00B548D2">
        <w:t>2024 Workplan for Differentiated Assistance Criteria</w:t>
      </w:r>
    </w:p>
    <w:p w14:paraId="6873437F" w14:textId="161A3496" w:rsidR="000269ED" w:rsidRPr="00B548D2" w:rsidRDefault="003D2D8F" w:rsidP="000269ED">
      <w:pPr>
        <w:spacing w:after="240"/>
      </w:pPr>
      <w:r w:rsidRPr="00B548D2">
        <w:t>In 2024,</w:t>
      </w:r>
      <w:r w:rsidR="000269ED" w:rsidRPr="00B548D2">
        <w:t xml:space="preserve"> LEAs (districts and charter schools) </w:t>
      </w:r>
      <w:r w:rsidR="00495EFE" w:rsidRPr="00B548D2">
        <w:t xml:space="preserve">will be eligible </w:t>
      </w:r>
      <w:r w:rsidR="000269ED" w:rsidRPr="00B548D2">
        <w:t xml:space="preserve">for LCFF Differentiated Assistance in 2024 based on the </w:t>
      </w:r>
      <w:r w:rsidR="004A64D2" w:rsidRPr="00B548D2">
        <w:t xml:space="preserve">previously </w:t>
      </w:r>
      <w:r w:rsidR="000269ED" w:rsidRPr="00B548D2">
        <w:t>adopted SBE criteria</w:t>
      </w:r>
      <w:r w:rsidR="004A64D2" w:rsidRPr="00B548D2">
        <w:t xml:space="preserve"> for state and local indicators</w:t>
      </w:r>
      <w:r w:rsidR="000269ED" w:rsidRPr="00B548D2">
        <w:t>. In 2023, the Dashboard had one remaining “status-only” Indicator due to AB 130</w:t>
      </w:r>
      <w:r w:rsidR="00F37CF3" w:rsidRPr="00B548D2">
        <w:t>,</w:t>
      </w:r>
      <w:r w:rsidR="00995DDF" w:rsidRPr="00B548D2">
        <w:t xml:space="preserve"> </w:t>
      </w:r>
      <w:r w:rsidR="000269ED" w:rsidRPr="00B548D2">
        <w:t xml:space="preserve">the College/Career Indicator (CCI). With two years of data, the CCI and all other state indicators will have a performance color on the 2024 Dashboard. As a result, there </w:t>
      </w:r>
      <w:r w:rsidR="009C74FC" w:rsidRPr="00B548D2">
        <w:t xml:space="preserve">are </w:t>
      </w:r>
      <w:r w:rsidR="000269ED" w:rsidRPr="00B548D2">
        <w:t>no</w:t>
      </w:r>
      <w:r w:rsidR="008A1CAF" w:rsidRPr="00B548D2">
        <w:t xml:space="preserve"> </w:t>
      </w:r>
      <w:r w:rsidR="000269ED" w:rsidRPr="00B548D2">
        <w:t>modifications</w:t>
      </w:r>
      <w:r w:rsidR="008A1CAF" w:rsidRPr="00B548D2">
        <w:t xml:space="preserve"> </w:t>
      </w:r>
      <w:r w:rsidR="000269ED" w:rsidRPr="00B548D2">
        <w:t xml:space="preserve">to the </w:t>
      </w:r>
      <w:r w:rsidR="009C74FC" w:rsidRPr="00B548D2">
        <w:t>use of state or local indicators for use in the</w:t>
      </w:r>
      <w:r w:rsidR="000269ED" w:rsidRPr="00B548D2">
        <w:t xml:space="preserve"> differentiated assistance eligibility criteria for 2024.</w:t>
      </w:r>
      <w:r w:rsidR="009C74FC" w:rsidRPr="00B548D2">
        <w:t xml:space="preserve"> The 2024 Workplan for differentiated assistance is focused on brin</w:t>
      </w:r>
      <w:r w:rsidR="00B12715" w:rsidRPr="00B548D2">
        <w:t>g</w:t>
      </w:r>
      <w:r w:rsidR="009C74FC" w:rsidRPr="00B548D2">
        <w:t xml:space="preserve">ing on LTELs as a new student group and failure to submit </w:t>
      </w:r>
      <w:r w:rsidR="00B44163" w:rsidRPr="00B548D2">
        <w:t xml:space="preserve">data </w:t>
      </w:r>
      <w:r w:rsidR="00C11F28" w:rsidRPr="00B548D2">
        <w:t xml:space="preserve">to </w:t>
      </w:r>
      <w:r w:rsidR="00CD64C6" w:rsidRPr="00B548D2">
        <w:t xml:space="preserve">the California </w:t>
      </w:r>
      <w:r w:rsidR="00C11F28" w:rsidRPr="00B548D2">
        <w:t>L</w:t>
      </w:r>
      <w:r w:rsidR="00CD64C6" w:rsidRPr="00B548D2">
        <w:t xml:space="preserve">ongitudinal </w:t>
      </w:r>
      <w:r w:rsidR="00C11F28" w:rsidRPr="00B548D2">
        <w:t>P</w:t>
      </w:r>
      <w:r w:rsidR="00CD64C6" w:rsidRPr="00B548D2">
        <w:t xml:space="preserve">upil </w:t>
      </w:r>
      <w:r w:rsidR="00C11F28" w:rsidRPr="00B548D2">
        <w:t>A</w:t>
      </w:r>
      <w:r w:rsidR="00CD64C6" w:rsidRPr="00B548D2">
        <w:t xml:space="preserve">chievement </w:t>
      </w:r>
      <w:r w:rsidR="00C11F28" w:rsidRPr="00B548D2">
        <w:t>D</w:t>
      </w:r>
      <w:r w:rsidR="00CD64C6" w:rsidRPr="00B548D2">
        <w:t>ata System (CALPADS)</w:t>
      </w:r>
      <w:r w:rsidR="00C11F28" w:rsidRPr="00B548D2">
        <w:t>.</w:t>
      </w:r>
      <w:r w:rsidR="00111797" w:rsidRPr="00B548D2">
        <w:t xml:space="preserve"> </w:t>
      </w:r>
      <w:r w:rsidR="00482B23" w:rsidRPr="00B548D2">
        <w:t>For d</w:t>
      </w:r>
      <w:r w:rsidR="00182037" w:rsidRPr="00B548D2">
        <w:t>istricts and COEs, any student group that meets the criteria outlined in Table 6</w:t>
      </w:r>
      <w:r w:rsidR="00482B23" w:rsidRPr="00B548D2">
        <w:t xml:space="preserve"> in two or more </w:t>
      </w:r>
      <w:r w:rsidR="00EE16C0" w:rsidRPr="00B548D2">
        <w:t xml:space="preserve">LCFF </w:t>
      </w:r>
      <w:r w:rsidR="00482B23" w:rsidRPr="00B548D2">
        <w:t>priority areas will be eligible for differentiated assistance</w:t>
      </w:r>
      <w:r w:rsidR="0019021B" w:rsidRPr="00B548D2">
        <w:t xml:space="preserve">. For </w:t>
      </w:r>
      <w:r w:rsidR="00EB4707" w:rsidRPr="00B548D2">
        <w:t xml:space="preserve">charter schools, the criteria </w:t>
      </w:r>
      <w:proofErr w:type="gramStart"/>
      <w:r w:rsidR="00EB4707" w:rsidRPr="00B548D2">
        <w:t>is</w:t>
      </w:r>
      <w:proofErr w:type="gramEnd"/>
      <w:r w:rsidR="00EB4707" w:rsidRPr="00B548D2">
        <w:t xml:space="preserve"> the exact same but</w:t>
      </w:r>
      <w:r w:rsidR="009C7CDE" w:rsidRPr="00B548D2">
        <w:t xml:space="preserve"> charter schools</w:t>
      </w:r>
      <w:r w:rsidR="003402F3" w:rsidRPr="00B548D2">
        <w:t xml:space="preserve"> have to meet the criteria in both the 2024 and 2023 Dashboards.</w:t>
      </w:r>
    </w:p>
    <w:p w14:paraId="08AC06EA" w14:textId="77777777" w:rsidR="0087459C" w:rsidRDefault="0087459C" w:rsidP="003D555F">
      <w:pPr>
        <w:rPr>
          <w:b/>
          <w:bCs/>
        </w:rPr>
      </w:pPr>
    </w:p>
    <w:p w14:paraId="5A97C1A9" w14:textId="77777777" w:rsidR="0087459C" w:rsidRDefault="0087459C" w:rsidP="003D555F">
      <w:pPr>
        <w:rPr>
          <w:b/>
          <w:bCs/>
        </w:rPr>
      </w:pPr>
    </w:p>
    <w:p w14:paraId="4C9ECD76" w14:textId="77777777" w:rsidR="0087459C" w:rsidRDefault="0087459C" w:rsidP="003D555F">
      <w:pPr>
        <w:rPr>
          <w:b/>
          <w:bCs/>
        </w:rPr>
      </w:pPr>
    </w:p>
    <w:p w14:paraId="5480450F" w14:textId="77777777" w:rsidR="0087459C" w:rsidRDefault="0087459C" w:rsidP="003D555F">
      <w:pPr>
        <w:rPr>
          <w:b/>
          <w:bCs/>
        </w:rPr>
      </w:pPr>
    </w:p>
    <w:p w14:paraId="32B7EFA8" w14:textId="77777777" w:rsidR="0087459C" w:rsidRDefault="0087459C" w:rsidP="003D555F">
      <w:pPr>
        <w:rPr>
          <w:b/>
          <w:bCs/>
        </w:rPr>
      </w:pPr>
    </w:p>
    <w:p w14:paraId="08A6B562" w14:textId="77777777" w:rsidR="0087459C" w:rsidRDefault="0087459C" w:rsidP="003D555F">
      <w:pPr>
        <w:rPr>
          <w:b/>
          <w:bCs/>
        </w:rPr>
      </w:pPr>
    </w:p>
    <w:p w14:paraId="6C233CFD" w14:textId="77777777" w:rsidR="0087459C" w:rsidRDefault="0087459C" w:rsidP="003D555F">
      <w:pPr>
        <w:rPr>
          <w:b/>
          <w:bCs/>
        </w:rPr>
      </w:pPr>
    </w:p>
    <w:p w14:paraId="3A144A5A" w14:textId="77777777" w:rsidR="0087459C" w:rsidRDefault="0087459C" w:rsidP="003D555F">
      <w:pPr>
        <w:rPr>
          <w:b/>
          <w:bCs/>
        </w:rPr>
      </w:pPr>
    </w:p>
    <w:p w14:paraId="2662D8D1" w14:textId="77777777" w:rsidR="0087459C" w:rsidRDefault="0087459C" w:rsidP="003D555F">
      <w:pPr>
        <w:rPr>
          <w:b/>
          <w:bCs/>
        </w:rPr>
      </w:pPr>
    </w:p>
    <w:p w14:paraId="488F82B8" w14:textId="77777777" w:rsidR="0087459C" w:rsidRDefault="0087459C" w:rsidP="003D555F">
      <w:pPr>
        <w:rPr>
          <w:b/>
          <w:bCs/>
        </w:rPr>
      </w:pPr>
    </w:p>
    <w:p w14:paraId="61BF022B" w14:textId="77777777" w:rsidR="0087459C" w:rsidRDefault="0087459C" w:rsidP="003D555F">
      <w:pPr>
        <w:rPr>
          <w:b/>
          <w:bCs/>
        </w:rPr>
      </w:pPr>
    </w:p>
    <w:p w14:paraId="12029708" w14:textId="77777777" w:rsidR="0087459C" w:rsidRDefault="0087459C" w:rsidP="003D555F">
      <w:pPr>
        <w:rPr>
          <w:b/>
          <w:bCs/>
        </w:rPr>
      </w:pPr>
    </w:p>
    <w:p w14:paraId="35A1A058" w14:textId="77777777" w:rsidR="0087459C" w:rsidRDefault="0087459C" w:rsidP="003D555F">
      <w:pPr>
        <w:rPr>
          <w:b/>
          <w:bCs/>
        </w:rPr>
      </w:pPr>
    </w:p>
    <w:p w14:paraId="1E4E8F46" w14:textId="77777777" w:rsidR="0087459C" w:rsidRDefault="0087459C" w:rsidP="003D555F">
      <w:pPr>
        <w:rPr>
          <w:b/>
          <w:bCs/>
        </w:rPr>
      </w:pPr>
    </w:p>
    <w:p w14:paraId="6092C63A" w14:textId="77777777" w:rsidR="0087459C" w:rsidRDefault="0087459C" w:rsidP="003D555F">
      <w:pPr>
        <w:rPr>
          <w:b/>
          <w:bCs/>
        </w:rPr>
      </w:pPr>
    </w:p>
    <w:p w14:paraId="103A79AE" w14:textId="77777777" w:rsidR="0087459C" w:rsidRDefault="0087459C" w:rsidP="003D555F">
      <w:pPr>
        <w:rPr>
          <w:b/>
          <w:bCs/>
        </w:rPr>
      </w:pPr>
    </w:p>
    <w:p w14:paraId="691029EB" w14:textId="77777777" w:rsidR="0087459C" w:rsidRDefault="0087459C" w:rsidP="003D555F">
      <w:pPr>
        <w:rPr>
          <w:b/>
          <w:bCs/>
        </w:rPr>
      </w:pPr>
    </w:p>
    <w:p w14:paraId="252DD771" w14:textId="77777777" w:rsidR="0087459C" w:rsidRDefault="0087459C" w:rsidP="003D555F">
      <w:pPr>
        <w:rPr>
          <w:b/>
          <w:bCs/>
        </w:rPr>
      </w:pPr>
    </w:p>
    <w:p w14:paraId="0136DE8D" w14:textId="6AAEC6D1" w:rsidR="000C4C8B" w:rsidRDefault="000C4C8B" w:rsidP="003D555F">
      <w:pPr>
        <w:rPr>
          <w:b/>
          <w:bCs/>
        </w:rPr>
      </w:pPr>
      <w:r w:rsidRPr="00B548D2">
        <w:rPr>
          <w:b/>
          <w:bCs/>
        </w:rPr>
        <w:lastRenderedPageBreak/>
        <w:t>Table 6: 2024 Differentiated Assistance Eligibility Criteria</w:t>
      </w:r>
    </w:p>
    <w:p w14:paraId="12E44062" w14:textId="77777777" w:rsidR="0087459C" w:rsidRPr="00B548D2" w:rsidRDefault="0087459C" w:rsidP="003D555F">
      <w:pPr>
        <w:rPr>
          <w:b/>
          <w:bCs/>
        </w:rPr>
      </w:pPr>
    </w:p>
    <w:tbl>
      <w:tblPr>
        <w:tblW w:w="0" w:type="auto"/>
        <w:tblLayout w:type="fixed"/>
        <w:tblLook w:val="04A0" w:firstRow="1" w:lastRow="0" w:firstColumn="1" w:lastColumn="0" w:noHBand="0" w:noVBand="1"/>
        <w:tblCaption w:val="Table 6: 2024 Differentiated Assistance Eligibility Criteria"/>
        <w:tblDescription w:val="Table 6: 2024 Differentiated Assistance Eligibility Criteria"/>
      </w:tblPr>
      <w:tblGrid>
        <w:gridCol w:w="2943"/>
        <w:gridCol w:w="6227"/>
      </w:tblGrid>
      <w:tr w:rsidR="00437984" w:rsidRPr="00B548D2" w14:paraId="0DC5D68D" w14:textId="77777777" w:rsidTr="007A46C1">
        <w:trPr>
          <w:cantSplit/>
          <w:trHeight w:val="570"/>
          <w:tblHeader/>
        </w:trPr>
        <w:tc>
          <w:tcPr>
            <w:tcW w:w="2943" w:type="dxa"/>
            <w:tcBorders>
              <w:top w:val="single" w:sz="8" w:space="0" w:color="auto"/>
              <w:left w:val="single" w:sz="8" w:space="0" w:color="auto"/>
              <w:bottom w:val="single" w:sz="8" w:space="0" w:color="auto"/>
              <w:right w:val="single" w:sz="8" w:space="0" w:color="auto"/>
            </w:tcBorders>
            <w:shd w:val="clear" w:color="auto" w:fill="FFFFFF" w:themeFill="background1"/>
            <w:tcMar>
              <w:top w:w="15" w:type="dxa"/>
              <w:left w:w="15" w:type="dxa"/>
              <w:bottom w:w="15" w:type="dxa"/>
              <w:right w:w="15" w:type="dxa"/>
            </w:tcMar>
          </w:tcPr>
          <w:p w14:paraId="74A1173F" w14:textId="7E299D89" w:rsidR="00437984" w:rsidRPr="00B548D2" w:rsidRDefault="00437984" w:rsidP="76B669D7">
            <w:pPr>
              <w:spacing w:after="160" w:line="257" w:lineRule="auto"/>
              <w:jc w:val="center"/>
              <w:rPr>
                <w:rFonts w:cs="Arial"/>
                <w:b/>
                <w:bCs/>
              </w:rPr>
            </w:pPr>
            <w:r w:rsidRPr="00B548D2">
              <w:rPr>
                <w:rFonts w:eastAsiaTheme="minorEastAsia" w:cs="Arial"/>
                <w:b/>
                <w:bCs/>
              </w:rPr>
              <w:t>LCFF Priority Area</w:t>
            </w:r>
          </w:p>
        </w:tc>
        <w:tc>
          <w:tcPr>
            <w:tcW w:w="6227" w:type="dxa"/>
            <w:tcBorders>
              <w:top w:val="single" w:sz="8" w:space="0" w:color="auto"/>
              <w:left w:val="single" w:sz="8" w:space="0" w:color="auto"/>
              <w:bottom w:val="single" w:sz="8" w:space="0" w:color="auto"/>
              <w:right w:val="single" w:sz="8" w:space="0" w:color="auto"/>
            </w:tcBorders>
            <w:shd w:val="clear" w:color="auto" w:fill="FFFFFF" w:themeFill="background1"/>
            <w:tcMar>
              <w:top w:w="15" w:type="dxa"/>
              <w:left w:w="15" w:type="dxa"/>
              <w:bottom w:w="15" w:type="dxa"/>
              <w:right w:w="15" w:type="dxa"/>
            </w:tcMar>
          </w:tcPr>
          <w:p w14:paraId="3F8D8E55" w14:textId="5643B2A7" w:rsidR="00437984" w:rsidRPr="00B548D2" w:rsidRDefault="00437984" w:rsidP="76B669D7">
            <w:pPr>
              <w:spacing w:after="160" w:line="257" w:lineRule="auto"/>
              <w:jc w:val="center"/>
              <w:rPr>
                <w:rFonts w:cs="Arial"/>
                <w:b/>
                <w:bCs/>
              </w:rPr>
            </w:pPr>
            <w:r w:rsidRPr="00B548D2">
              <w:rPr>
                <w:rFonts w:eastAsiaTheme="minorEastAsia" w:cs="Arial"/>
                <w:b/>
                <w:bCs/>
              </w:rPr>
              <w:t>Criteria</w:t>
            </w:r>
          </w:p>
        </w:tc>
      </w:tr>
      <w:tr w:rsidR="00437984" w:rsidRPr="00B548D2" w14:paraId="4DE0C053" w14:textId="77777777" w:rsidTr="007A46C1">
        <w:trPr>
          <w:cantSplit/>
          <w:trHeight w:val="570"/>
          <w:tblHeader/>
        </w:trPr>
        <w:tc>
          <w:tcPr>
            <w:tcW w:w="2943" w:type="dxa"/>
            <w:tcBorders>
              <w:top w:val="single" w:sz="8" w:space="0" w:color="auto"/>
              <w:left w:val="single" w:sz="8" w:space="0" w:color="auto"/>
              <w:bottom w:val="single" w:sz="8" w:space="0" w:color="auto"/>
              <w:right w:val="single" w:sz="8" w:space="0" w:color="auto"/>
            </w:tcBorders>
            <w:shd w:val="clear" w:color="auto" w:fill="FFFFFF" w:themeFill="background1"/>
            <w:tcMar>
              <w:top w:w="15" w:type="dxa"/>
              <w:left w:w="15" w:type="dxa"/>
              <w:bottom w:w="15" w:type="dxa"/>
              <w:right w:w="15" w:type="dxa"/>
            </w:tcMar>
          </w:tcPr>
          <w:p w14:paraId="40752466" w14:textId="1D8D8E0D" w:rsidR="00437984" w:rsidRPr="00B548D2" w:rsidRDefault="00437984" w:rsidP="76B669D7">
            <w:pPr>
              <w:spacing w:after="160" w:line="257" w:lineRule="auto"/>
              <w:rPr>
                <w:rFonts w:cs="Arial"/>
              </w:rPr>
            </w:pPr>
            <w:r w:rsidRPr="00B548D2">
              <w:rPr>
                <w:rFonts w:eastAsiaTheme="minorEastAsia" w:cs="Arial"/>
              </w:rPr>
              <w:t>1 – Basics</w:t>
            </w:r>
          </w:p>
        </w:tc>
        <w:tc>
          <w:tcPr>
            <w:tcW w:w="6227" w:type="dxa"/>
            <w:tcBorders>
              <w:top w:val="single" w:sz="8" w:space="0" w:color="auto"/>
              <w:left w:val="single" w:sz="8" w:space="0" w:color="auto"/>
              <w:bottom w:val="single" w:sz="8" w:space="0" w:color="auto"/>
              <w:right w:val="single" w:sz="8" w:space="0" w:color="auto"/>
            </w:tcBorders>
            <w:shd w:val="clear" w:color="auto" w:fill="FFFFFF" w:themeFill="background1"/>
            <w:tcMar>
              <w:top w:w="15" w:type="dxa"/>
              <w:left w:w="15" w:type="dxa"/>
              <w:bottom w:w="15" w:type="dxa"/>
              <w:right w:w="15" w:type="dxa"/>
            </w:tcMar>
          </w:tcPr>
          <w:p w14:paraId="03245D5F" w14:textId="5A8F572C" w:rsidR="00437984" w:rsidRPr="00B548D2" w:rsidRDefault="00437984" w:rsidP="76B669D7">
            <w:pPr>
              <w:pStyle w:val="ListParagraph"/>
              <w:numPr>
                <w:ilvl w:val="0"/>
                <w:numId w:val="9"/>
              </w:numPr>
              <w:tabs>
                <w:tab w:val="left" w:pos="0"/>
                <w:tab w:val="left" w:pos="720"/>
              </w:tabs>
              <w:spacing w:after="160" w:line="257" w:lineRule="auto"/>
              <w:rPr>
                <w:rFonts w:cs="Arial"/>
              </w:rPr>
            </w:pPr>
            <w:r w:rsidRPr="00B548D2">
              <w:rPr>
                <w:rFonts w:eastAsiaTheme="minorEastAsia" w:cs="Arial"/>
              </w:rPr>
              <w:t>Not Met for Two or More Years on Local Performance</w:t>
            </w:r>
          </w:p>
        </w:tc>
      </w:tr>
      <w:tr w:rsidR="00437984" w:rsidRPr="00B548D2" w14:paraId="0BBA2598" w14:textId="77777777" w:rsidTr="007A46C1">
        <w:trPr>
          <w:cantSplit/>
          <w:trHeight w:val="570"/>
          <w:tblHeader/>
        </w:trPr>
        <w:tc>
          <w:tcPr>
            <w:tcW w:w="2943" w:type="dxa"/>
            <w:tcBorders>
              <w:top w:val="single" w:sz="8" w:space="0" w:color="auto"/>
              <w:left w:val="single" w:sz="8" w:space="0" w:color="auto"/>
              <w:bottom w:val="single" w:sz="8" w:space="0" w:color="auto"/>
              <w:right w:val="single" w:sz="8" w:space="0" w:color="auto"/>
            </w:tcBorders>
            <w:shd w:val="clear" w:color="auto" w:fill="FFFFFF" w:themeFill="background1"/>
            <w:tcMar>
              <w:top w:w="15" w:type="dxa"/>
              <w:left w:w="15" w:type="dxa"/>
              <w:bottom w:w="15" w:type="dxa"/>
              <w:right w:w="15" w:type="dxa"/>
            </w:tcMar>
          </w:tcPr>
          <w:p w14:paraId="142F792B" w14:textId="6A8BD62C" w:rsidR="00437984" w:rsidRPr="00B548D2" w:rsidRDefault="00437984" w:rsidP="76B669D7">
            <w:pPr>
              <w:spacing w:after="160" w:line="257" w:lineRule="auto"/>
              <w:rPr>
                <w:rFonts w:cs="Arial"/>
              </w:rPr>
            </w:pPr>
            <w:r w:rsidRPr="00B548D2">
              <w:rPr>
                <w:rFonts w:eastAsiaTheme="minorEastAsia" w:cs="Arial"/>
              </w:rPr>
              <w:t>2 – Implementation of State Academic Standards</w:t>
            </w:r>
          </w:p>
        </w:tc>
        <w:tc>
          <w:tcPr>
            <w:tcW w:w="6227" w:type="dxa"/>
            <w:tcBorders>
              <w:top w:val="single" w:sz="8" w:space="0" w:color="auto"/>
              <w:left w:val="single" w:sz="8" w:space="0" w:color="auto"/>
              <w:bottom w:val="single" w:sz="8" w:space="0" w:color="auto"/>
              <w:right w:val="single" w:sz="8" w:space="0" w:color="auto"/>
            </w:tcBorders>
            <w:shd w:val="clear" w:color="auto" w:fill="FFFFFF" w:themeFill="background1"/>
            <w:tcMar>
              <w:top w:w="15" w:type="dxa"/>
              <w:left w:w="15" w:type="dxa"/>
              <w:bottom w:w="15" w:type="dxa"/>
              <w:right w:w="15" w:type="dxa"/>
            </w:tcMar>
          </w:tcPr>
          <w:p w14:paraId="0124FEF0" w14:textId="481013A4" w:rsidR="00437984" w:rsidRPr="00B548D2" w:rsidRDefault="00437984" w:rsidP="76B669D7">
            <w:pPr>
              <w:pStyle w:val="ListParagraph"/>
              <w:numPr>
                <w:ilvl w:val="0"/>
                <w:numId w:val="9"/>
              </w:numPr>
              <w:tabs>
                <w:tab w:val="left" w:pos="0"/>
                <w:tab w:val="left" w:pos="720"/>
              </w:tabs>
              <w:spacing w:after="160" w:line="257" w:lineRule="auto"/>
              <w:rPr>
                <w:rFonts w:cs="Arial"/>
              </w:rPr>
            </w:pPr>
            <w:r w:rsidRPr="00B548D2">
              <w:rPr>
                <w:rFonts w:eastAsiaTheme="minorEastAsia" w:cs="Arial"/>
              </w:rPr>
              <w:t>Not Met for Two or More Years on Local Performance</w:t>
            </w:r>
          </w:p>
        </w:tc>
      </w:tr>
      <w:tr w:rsidR="00437984" w:rsidRPr="00B548D2" w14:paraId="07DFB483" w14:textId="77777777" w:rsidTr="007A46C1">
        <w:trPr>
          <w:cantSplit/>
          <w:trHeight w:val="570"/>
          <w:tblHeader/>
        </w:trPr>
        <w:tc>
          <w:tcPr>
            <w:tcW w:w="2943" w:type="dxa"/>
            <w:tcBorders>
              <w:top w:val="single" w:sz="8" w:space="0" w:color="auto"/>
              <w:left w:val="single" w:sz="8" w:space="0" w:color="auto"/>
              <w:bottom w:val="single" w:sz="8" w:space="0" w:color="auto"/>
              <w:right w:val="single" w:sz="8" w:space="0" w:color="auto"/>
            </w:tcBorders>
            <w:shd w:val="clear" w:color="auto" w:fill="FFFFFF" w:themeFill="background1"/>
            <w:tcMar>
              <w:top w:w="15" w:type="dxa"/>
              <w:left w:w="15" w:type="dxa"/>
              <w:bottom w:w="15" w:type="dxa"/>
              <w:right w:w="15" w:type="dxa"/>
            </w:tcMar>
          </w:tcPr>
          <w:p w14:paraId="37596961" w14:textId="275B0998" w:rsidR="00437984" w:rsidRPr="00B548D2" w:rsidRDefault="00437984" w:rsidP="76B669D7">
            <w:pPr>
              <w:spacing w:after="160" w:line="257" w:lineRule="auto"/>
              <w:rPr>
                <w:rFonts w:cs="Arial"/>
              </w:rPr>
            </w:pPr>
            <w:r w:rsidRPr="00B548D2">
              <w:rPr>
                <w:rFonts w:eastAsiaTheme="minorEastAsia" w:cs="Arial"/>
              </w:rPr>
              <w:t>3 – Parent and Family Engagement</w:t>
            </w:r>
          </w:p>
        </w:tc>
        <w:tc>
          <w:tcPr>
            <w:tcW w:w="6227" w:type="dxa"/>
            <w:tcBorders>
              <w:top w:val="single" w:sz="8" w:space="0" w:color="auto"/>
              <w:left w:val="single" w:sz="8" w:space="0" w:color="auto"/>
              <w:bottom w:val="single" w:sz="8" w:space="0" w:color="auto"/>
              <w:right w:val="single" w:sz="8" w:space="0" w:color="auto"/>
            </w:tcBorders>
            <w:shd w:val="clear" w:color="auto" w:fill="FFFFFF" w:themeFill="background1"/>
            <w:tcMar>
              <w:top w:w="15" w:type="dxa"/>
              <w:left w:w="15" w:type="dxa"/>
              <w:bottom w:w="15" w:type="dxa"/>
              <w:right w:w="15" w:type="dxa"/>
            </w:tcMar>
          </w:tcPr>
          <w:p w14:paraId="5D11CBF5" w14:textId="2BCE608F" w:rsidR="00437984" w:rsidRPr="00B548D2" w:rsidRDefault="00437984" w:rsidP="76B669D7">
            <w:pPr>
              <w:pStyle w:val="ListParagraph"/>
              <w:numPr>
                <w:ilvl w:val="0"/>
                <w:numId w:val="9"/>
              </w:numPr>
              <w:tabs>
                <w:tab w:val="left" w:pos="0"/>
                <w:tab w:val="left" w:pos="720"/>
              </w:tabs>
              <w:spacing w:after="160" w:line="257" w:lineRule="auto"/>
              <w:rPr>
                <w:rFonts w:cs="Arial"/>
              </w:rPr>
            </w:pPr>
            <w:r w:rsidRPr="00B548D2">
              <w:rPr>
                <w:rFonts w:eastAsiaTheme="minorEastAsia" w:cs="Arial"/>
              </w:rPr>
              <w:t>Not Met for Two or More Years on Local Performance</w:t>
            </w:r>
          </w:p>
        </w:tc>
      </w:tr>
      <w:tr w:rsidR="00437984" w:rsidRPr="00B548D2" w14:paraId="260B8955" w14:textId="77777777" w:rsidTr="007A46C1">
        <w:trPr>
          <w:cantSplit/>
          <w:trHeight w:val="570"/>
          <w:tblHeader/>
        </w:trPr>
        <w:tc>
          <w:tcPr>
            <w:tcW w:w="2943" w:type="dxa"/>
            <w:tcBorders>
              <w:top w:val="single" w:sz="8" w:space="0" w:color="auto"/>
              <w:left w:val="single" w:sz="8" w:space="0" w:color="auto"/>
              <w:bottom w:val="single" w:sz="8" w:space="0" w:color="auto"/>
              <w:right w:val="single" w:sz="8" w:space="0" w:color="auto"/>
            </w:tcBorders>
            <w:shd w:val="clear" w:color="auto" w:fill="FFFFFF" w:themeFill="background1"/>
            <w:tcMar>
              <w:top w:w="15" w:type="dxa"/>
              <w:left w:w="15" w:type="dxa"/>
              <w:bottom w:w="15" w:type="dxa"/>
              <w:right w:w="15" w:type="dxa"/>
            </w:tcMar>
          </w:tcPr>
          <w:p w14:paraId="6452B920" w14:textId="11A43A8B" w:rsidR="00437984" w:rsidRPr="00B548D2" w:rsidRDefault="00437984" w:rsidP="76B669D7">
            <w:pPr>
              <w:spacing w:after="160" w:line="257" w:lineRule="auto"/>
              <w:rPr>
                <w:rFonts w:cs="Arial"/>
              </w:rPr>
            </w:pPr>
            <w:r w:rsidRPr="00B548D2">
              <w:rPr>
                <w:rFonts w:eastAsiaTheme="minorEastAsia" w:cs="Arial"/>
              </w:rPr>
              <w:t>4 – Pupil Achievement</w:t>
            </w:r>
          </w:p>
        </w:tc>
        <w:tc>
          <w:tcPr>
            <w:tcW w:w="6227" w:type="dxa"/>
            <w:tcBorders>
              <w:top w:val="single" w:sz="8" w:space="0" w:color="auto"/>
              <w:left w:val="single" w:sz="8" w:space="0" w:color="auto"/>
              <w:bottom w:val="single" w:sz="8" w:space="0" w:color="auto"/>
              <w:right w:val="single" w:sz="8" w:space="0" w:color="auto"/>
            </w:tcBorders>
            <w:shd w:val="clear" w:color="auto" w:fill="FFFFFF" w:themeFill="background1"/>
            <w:tcMar>
              <w:top w:w="15" w:type="dxa"/>
              <w:left w:w="15" w:type="dxa"/>
              <w:bottom w:w="15" w:type="dxa"/>
              <w:right w:w="15" w:type="dxa"/>
            </w:tcMar>
          </w:tcPr>
          <w:p w14:paraId="708C84A6" w14:textId="4DCF06E8" w:rsidR="00437984" w:rsidRPr="00B548D2" w:rsidRDefault="00437984" w:rsidP="76B669D7">
            <w:pPr>
              <w:pStyle w:val="ListParagraph"/>
              <w:numPr>
                <w:ilvl w:val="0"/>
                <w:numId w:val="9"/>
              </w:numPr>
              <w:tabs>
                <w:tab w:val="left" w:pos="0"/>
                <w:tab w:val="left" w:pos="720"/>
              </w:tabs>
              <w:spacing w:after="160" w:line="257" w:lineRule="auto"/>
              <w:rPr>
                <w:rFonts w:cs="Arial"/>
              </w:rPr>
            </w:pPr>
            <w:r w:rsidRPr="00B548D2">
              <w:rPr>
                <w:rFonts w:eastAsiaTheme="minorEastAsia" w:cs="Arial"/>
              </w:rPr>
              <w:t>Red on both English language arts and math tests, or</w:t>
            </w:r>
          </w:p>
          <w:p w14:paraId="4FA22DD2" w14:textId="11166602" w:rsidR="00437984" w:rsidRPr="00B548D2" w:rsidRDefault="00437984" w:rsidP="76B669D7">
            <w:pPr>
              <w:pStyle w:val="ListParagraph"/>
              <w:numPr>
                <w:ilvl w:val="0"/>
                <w:numId w:val="9"/>
              </w:numPr>
              <w:tabs>
                <w:tab w:val="left" w:pos="0"/>
                <w:tab w:val="left" w:pos="720"/>
              </w:tabs>
              <w:spacing w:after="160" w:line="257" w:lineRule="auto"/>
              <w:rPr>
                <w:rFonts w:cs="Arial"/>
              </w:rPr>
            </w:pPr>
            <w:r w:rsidRPr="00B548D2">
              <w:rPr>
                <w:rFonts w:eastAsiaTheme="minorEastAsia" w:cs="Arial"/>
              </w:rPr>
              <w:t>Red on English language arts or math test and Orange on the other test, or</w:t>
            </w:r>
          </w:p>
          <w:p w14:paraId="39D32A55" w14:textId="3E58CDD8" w:rsidR="00437984" w:rsidRPr="00B548D2" w:rsidRDefault="7A186D37" w:rsidP="76B669D7">
            <w:pPr>
              <w:pStyle w:val="ListParagraph"/>
              <w:numPr>
                <w:ilvl w:val="0"/>
                <w:numId w:val="9"/>
              </w:numPr>
              <w:tabs>
                <w:tab w:val="left" w:pos="0"/>
                <w:tab w:val="left" w:pos="720"/>
              </w:tabs>
              <w:spacing w:after="160" w:line="257" w:lineRule="auto"/>
              <w:rPr>
                <w:rFonts w:cs="Arial"/>
              </w:rPr>
            </w:pPr>
            <w:r w:rsidRPr="00B548D2">
              <w:rPr>
                <w:rFonts w:eastAsiaTheme="minorEastAsia" w:cs="Arial"/>
              </w:rPr>
              <w:t>Red on the English Learner Progress Indicator (ELPI) (English Learner student group or Long-Term English Learner student group)</w:t>
            </w:r>
          </w:p>
        </w:tc>
      </w:tr>
      <w:tr w:rsidR="00437984" w:rsidRPr="00B548D2" w14:paraId="2B835D15" w14:textId="77777777" w:rsidTr="007A46C1">
        <w:trPr>
          <w:cantSplit/>
          <w:trHeight w:val="570"/>
          <w:tblHeader/>
        </w:trPr>
        <w:tc>
          <w:tcPr>
            <w:tcW w:w="2943" w:type="dxa"/>
            <w:tcBorders>
              <w:top w:val="single" w:sz="8" w:space="0" w:color="auto"/>
              <w:left w:val="single" w:sz="8" w:space="0" w:color="auto"/>
              <w:bottom w:val="single" w:sz="8" w:space="0" w:color="auto"/>
              <w:right w:val="single" w:sz="8" w:space="0" w:color="auto"/>
            </w:tcBorders>
            <w:shd w:val="clear" w:color="auto" w:fill="FFFFFF" w:themeFill="background1"/>
            <w:tcMar>
              <w:top w:w="15" w:type="dxa"/>
              <w:left w:w="15" w:type="dxa"/>
              <w:bottom w:w="15" w:type="dxa"/>
              <w:right w:w="15" w:type="dxa"/>
            </w:tcMar>
          </w:tcPr>
          <w:p w14:paraId="4A8BCD53" w14:textId="196EAE97" w:rsidR="00437984" w:rsidRPr="00B548D2" w:rsidRDefault="00437984" w:rsidP="76B669D7">
            <w:pPr>
              <w:spacing w:after="160" w:line="257" w:lineRule="auto"/>
              <w:rPr>
                <w:rFonts w:cs="Arial"/>
              </w:rPr>
            </w:pPr>
            <w:r w:rsidRPr="00B548D2">
              <w:rPr>
                <w:rFonts w:eastAsiaTheme="minorEastAsia" w:cs="Arial"/>
              </w:rPr>
              <w:t>5 – Pupil Engagement</w:t>
            </w:r>
          </w:p>
        </w:tc>
        <w:tc>
          <w:tcPr>
            <w:tcW w:w="6227" w:type="dxa"/>
            <w:tcBorders>
              <w:top w:val="single" w:sz="8" w:space="0" w:color="auto"/>
              <w:left w:val="single" w:sz="8" w:space="0" w:color="auto"/>
              <w:bottom w:val="single" w:sz="8" w:space="0" w:color="auto"/>
              <w:right w:val="single" w:sz="8" w:space="0" w:color="auto"/>
            </w:tcBorders>
            <w:shd w:val="clear" w:color="auto" w:fill="FFFFFF" w:themeFill="background1"/>
            <w:tcMar>
              <w:top w:w="15" w:type="dxa"/>
              <w:left w:w="15" w:type="dxa"/>
              <w:bottom w:w="15" w:type="dxa"/>
              <w:right w:w="15" w:type="dxa"/>
            </w:tcMar>
          </w:tcPr>
          <w:p w14:paraId="7E5FF155" w14:textId="1A48CFB8" w:rsidR="00437984" w:rsidRPr="00B548D2" w:rsidRDefault="7A186D37" w:rsidP="76B669D7">
            <w:pPr>
              <w:pStyle w:val="ListParagraph"/>
              <w:numPr>
                <w:ilvl w:val="0"/>
                <w:numId w:val="9"/>
              </w:numPr>
              <w:tabs>
                <w:tab w:val="left" w:pos="0"/>
                <w:tab w:val="left" w:pos="720"/>
              </w:tabs>
              <w:spacing w:after="160" w:line="257" w:lineRule="auto"/>
              <w:rPr>
                <w:rFonts w:cs="Arial"/>
              </w:rPr>
            </w:pPr>
            <w:r w:rsidRPr="00B548D2">
              <w:rPr>
                <w:rFonts w:eastAsiaTheme="minorEastAsia" w:cs="Arial"/>
              </w:rPr>
              <w:t>Red on Graduation Rate Indicator, or</w:t>
            </w:r>
          </w:p>
          <w:p w14:paraId="2195FA61" w14:textId="4B048EF7" w:rsidR="00437984" w:rsidRPr="00B548D2" w:rsidRDefault="00437984" w:rsidP="76B669D7">
            <w:pPr>
              <w:pStyle w:val="ListParagraph"/>
              <w:numPr>
                <w:ilvl w:val="0"/>
                <w:numId w:val="8"/>
              </w:numPr>
              <w:spacing w:after="0" w:line="257" w:lineRule="auto"/>
              <w:rPr>
                <w:rFonts w:cs="Arial"/>
              </w:rPr>
            </w:pPr>
            <w:r w:rsidRPr="00B548D2">
              <w:rPr>
                <w:rFonts w:eastAsiaTheme="minorEastAsia" w:cs="Arial"/>
              </w:rPr>
              <w:t>Red on Chronic Absence Indicator</w:t>
            </w:r>
          </w:p>
        </w:tc>
      </w:tr>
      <w:tr w:rsidR="00437984" w:rsidRPr="00B548D2" w14:paraId="6D4A74C1" w14:textId="77777777" w:rsidTr="007A46C1">
        <w:trPr>
          <w:cantSplit/>
          <w:trHeight w:val="570"/>
          <w:tblHeader/>
        </w:trPr>
        <w:tc>
          <w:tcPr>
            <w:tcW w:w="2943" w:type="dxa"/>
            <w:tcBorders>
              <w:top w:val="single" w:sz="8" w:space="0" w:color="auto"/>
              <w:left w:val="single" w:sz="8" w:space="0" w:color="auto"/>
              <w:bottom w:val="single" w:sz="8" w:space="0" w:color="auto"/>
              <w:right w:val="single" w:sz="8" w:space="0" w:color="auto"/>
            </w:tcBorders>
            <w:shd w:val="clear" w:color="auto" w:fill="FFFFFF" w:themeFill="background1"/>
            <w:tcMar>
              <w:top w:w="15" w:type="dxa"/>
              <w:left w:w="15" w:type="dxa"/>
              <w:bottom w:w="15" w:type="dxa"/>
              <w:right w:w="15" w:type="dxa"/>
            </w:tcMar>
          </w:tcPr>
          <w:p w14:paraId="1B943C57" w14:textId="462CA71B" w:rsidR="00437984" w:rsidRPr="00B548D2" w:rsidRDefault="00437984" w:rsidP="76B669D7">
            <w:pPr>
              <w:spacing w:after="160" w:line="257" w:lineRule="auto"/>
              <w:rPr>
                <w:rFonts w:cs="Arial"/>
              </w:rPr>
            </w:pPr>
            <w:r w:rsidRPr="00B548D2">
              <w:rPr>
                <w:rFonts w:eastAsiaTheme="minorEastAsia" w:cs="Arial"/>
              </w:rPr>
              <w:t>6 – School Climate</w:t>
            </w:r>
          </w:p>
        </w:tc>
        <w:tc>
          <w:tcPr>
            <w:tcW w:w="6227" w:type="dxa"/>
            <w:tcBorders>
              <w:top w:val="single" w:sz="8" w:space="0" w:color="auto"/>
              <w:left w:val="single" w:sz="8" w:space="0" w:color="auto"/>
              <w:bottom w:val="single" w:sz="8" w:space="0" w:color="auto"/>
              <w:right w:val="single" w:sz="8" w:space="0" w:color="auto"/>
            </w:tcBorders>
            <w:shd w:val="clear" w:color="auto" w:fill="FFFFFF" w:themeFill="background1"/>
            <w:tcMar>
              <w:top w:w="15" w:type="dxa"/>
              <w:left w:w="15" w:type="dxa"/>
              <w:bottom w:w="15" w:type="dxa"/>
              <w:right w:w="15" w:type="dxa"/>
            </w:tcMar>
          </w:tcPr>
          <w:p w14:paraId="2F8871DF" w14:textId="4D419ED7" w:rsidR="00437984" w:rsidRPr="00B548D2" w:rsidRDefault="00437984" w:rsidP="76B669D7">
            <w:pPr>
              <w:pStyle w:val="ListParagraph"/>
              <w:numPr>
                <w:ilvl w:val="0"/>
                <w:numId w:val="9"/>
              </w:numPr>
              <w:tabs>
                <w:tab w:val="left" w:pos="0"/>
                <w:tab w:val="left" w:pos="720"/>
              </w:tabs>
              <w:spacing w:after="160" w:line="257" w:lineRule="auto"/>
              <w:rPr>
                <w:rFonts w:cs="Arial"/>
              </w:rPr>
            </w:pPr>
            <w:r w:rsidRPr="00B548D2">
              <w:rPr>
                <w:rFonts w:eastAsiaTheme="minorEastAsia" w:cs="Arial"/>
              </w:rPr>
              <w:t>Red on Suspension Rate Indicator, or</w:t>
            </w:r>
          </w:p>
          <w:p w14:paraId="78B6EF26" w14:textId="08ED7A04" w:rsidR="00437984" w:rsidRPr="00B548D2" w:rsidRDefault="7A186D37" w:rsidP="76B669D7">
            <w:pPr>
              <w:pStyle w:val="ListParagraph"/>
              <w:numPr>
                <w:ilvl w:val="0"/>
                <w:numId w:val="9"/>
              </w:numPr>
              <w:tabs>
                <w:tab w:val="left" w:pos="0"/>
                <w:tab w:val="left" w:pos="720"/>
              </w:tabs>
              <w:spacing w:after="160" w:line="257" w:lineRule="auto"/>
              <w:rPr>
                <w:rFonts w:cs="Arial"/>
              </w:rPr>
            </w:pPr>
            <w:r w:rsidRPr="00B548D2">
              <w:rPr>
                <w:rFonts w:eastAsiaTheme="minorEastAsia" w:cs="Arial"/>
              </w:rPr>
              <w:t>Not Met for Two or More Years on Local Performance</w:t>
            </w:r>
          </w:p>
        </w:tc>
      </w:tr>
      <w:tr w:rsidR="00437984" w:rsidRPr="00B548D2" w14:paraId="37EAD8E2" w14:textId="77777777" w:rsidTr="007A46C1">
        <w:trPr>
          <w:cantSplit/>
          <w:trHeight w:val="570"/>
          <w:tblHeader/>
        </w:trPr>
        <w:tc>
          <w:tcPr>
            <w:tcW w:w="2943" w:type="dxa"/>
            <w:tcBorders>
              <w:top w:val="single" w:sz="8" w:space="0" w:color="auto"/>
              <w:left w:val="single" w:sz="8" w:space="0" w:color="auto"/>
              <w:bottom w:val="single" w:sz="8" w:space="0" w:color="auto"/>
              <w:right w:val="single" w:sz="8" w:space="0" w:color="auto"/>
            </w:tcBorders>
            <w:shd w:val="clear" w:color="auto" w:fill="FFFFFF" w:themeFill="background1"/>
            <w:tcMar>
              <w:top w:w="15" w:type="dxa"/>
              <w:left w:w="15" w:type="dxa"/>
              <w:bottom w:w="15" w:type="dxa"/>
              <w:right w:w="15" w:type="dxa"/>
            </w:tcMar>
          </w:tcPr>
          <w:p w14:paraId="3191026E" w14:textId="3A137EE4" w:rsidR="00437984" w:rsidRPr="00B548D2" w:rsidRDefault="00437984" w:rsidP="76B669D7">
            <w:pPr>
              <w:spacing w:after="160" w:line="257" w:lineRule="auto"/>
              <w:rPr>
                <w:rFonts w:cs="Arial"/>
              </w:rPr>
            </w:pPr>
            <w:r w:rsidRPr="00B548D2">
              <w:rPr>
                <w:rFonts w:eastAsiaTheme="minorEastAsia" w:cs="Arial"/>
              </w:rPr>
              <w:t>7 – Access to a Broad Course of Study</w:t>
            </w:r>
          </w:p>
        </w:tc>
        <w:tc>
          <w:tcPr>
            <w:tcW w:w="6227" w:type="dxa"/>
            <w:tcBorders>
              <w:top w:val="single" w:sz="8" w:space="0" w:color="auto"/>
              <w:left w:val="single" w:sz="8" w:space="0" w:color="auto"/>
              <w:bottom w:val="single" w:sz="8" w:space="0" w:color="auto"/>
              <w:right w:val="single" w:sz="8" w:space="0" w:color="auto"/>
            </w:tcBorders>
            <w:shd w:val="clear" w:color="auto" w:fill="FFFFFF" w:themeFill="background1"/>
            <w:tcMar>
              <w:top w:w="15" w:type="dxa"/>
              <w:left w:w="15" w:type="dxa"/>
              <w:bottom w:w="15" w:type="dxa"/>
              <w:right w:w="15" w:type="dxa"/>
            </w:tcMar>
          </w:tcPr>
          <w:p w14:paraId="64C87877" w14:textId="27918DBE" w:rsidR="00437984" w:rsidRPr="00B548D2" w:rsidRDefault="00437984" w:rsidP="76B669D7">
            <w:pPr>
              <w:pStyle w:val="ListParagraph"/>
              <w:numPr>
                <w:ilvl w:val="0"/>
                <w:numId w:val="4"/>
              </w:numPr>
              <w:spacing w:after="160" w:line="257" w:lineRule="auto"/>
              <w:rPr>
                <w:rFonts w:cs="Arial"/>
              </w:rPr>
            </w:pPr>
            <w:r w:rsidRPr="00B548D2">
              <w:rPr>
                <w:rFonts w:eastAsiaTheme="minorEastAsia" w:cs="Arial"/>
              </w:rPr>
              <w:t>Not Met for Two or More Years on Local Performance</w:t>
            </w:r>
          </w:p>
        </w:tc>
      </w:tr>
      <w:tr w:rsidR="00437984" w:rsidRPr="00B548D2" w14:paraId="274651FC" w14:textId="77777777" w:rsidTr="007A46C1">
        <w:trPr>
          <w:cantSplit/>
          <w:trHeight w:val="570"/>
          <w:tblHeader/>
        </w:trPr>
        <w:tc>
          <w:tcPr>
            <w:tcW w:w="2943" w:type="dxa"/>
            <w:tcBorders>
              <w:top w:val="single" w:sz="8" w:space="0" w:color="auto"/>
              <w:left w:val="single" w:sz="8" w:space="0" w:color="auto"/>
              <w:bottom w:val="single" w:sz="8" w:space="0" w:color="auto"/>
              <w:right w:val="single" w:sz="8" w:space="0" w:color="auto"/>
            </w:tcBorders>
            <w:shd w:val="clear" w:color="auto" w:fill="FFFFFF" w:themeFill="background1"/>
            <w:tcMar>
              <w:top w:w="15" w:type="dxa"/>
              <w:left w:w="15" w:type="dxa"/>
              <w:bottom w:w="15" w:type="dxa"/>
              <w:right w:w="15" w:type="dxa"/>
            </w:tcMar>
          </w:tcPr>
          <w:p w14:paraId="3D8852BF" w14:textId="18F7C0A1" w:rsidR="00437984" w:rsidRPr="00B548D2" w:rsidRDefault="00437984" w:rsidP="76B669D7">
            <w:pPr>
              <w:spacing w:after="160" w:line="257" w:lineRule="auto"/>
              <w:rPr>
                <w:rFonts w:cs="Arial"/>
              </w:rPr>
            </w:pPr>
            <w:r w:rsidRPr="00B548D2">
              <w:rPr>
                <w:rFonts w:eastAsiaTheme="minorEastAsia" w:cs="Arial"/>
              </w:rPr>
              <w:t>8 – Outcomes in a Broad Course of Study</w:t>
            </w:r>
          </w:p>
        </w:tc>
        <w:tc>
          <w:tcPr>
            <w:tcW w:w="6227" w:type="dxa"/>
            <w:tcBorders>
              <w:top w:val="single" w:sz="8" w:space="0" w:color="auto"/>
              <w:left w:val="single" w:sz="8" w:space="0" w:color="auto"/>
              <w:bottom w:val="single" w:sz="8" w:space="0" w:color="auto"/>
              <w:right w:val="single" w:sz="8" w:space="0" w:color="auto"/>
            </w:tcBorders>
            <w:shd w:val="clear" w:color="auto" w:fill="FFFFFF" w:themeFill="background1"/>
            <w:tcMar>
              <w:top w:w="15" w:type="dxa"/>
              <w:left w:w="15" w:type="dxa"/>
              <w:bottom w:w="15" w:type="dxa"/>
              <w:right w:w="15" w:type="dxa"/>
            </w:tcMar>
          </w:tcPr>
          <w:p w14:paraId="4E34B8E4" w14:textId="6FDDB5BA" w:rsidR="00437984" w:rsidRPr="00B548D2" w:rsidRDefault="00437984" w:rsidP="76B669D7">
            <w:pPr>
              <w:pStyle w:val="ListParagraph"/>
              <w:numPr>
                <w:ilvl w:val="0"/>
                <w:numId w:val="3"/>
              </w:numPr>
              <w:spacing w:after="160" w:line="257" w:lineRule="auto"/>
              <w:rPr>
                <w:rFonts w:cs="Arial"/>
              </w:rPr>
            </w:pPr>
            <w:r w:rsidRPr="00B548D2">
              <w:rPr>
                <w:rFonts w:eastAsiaTheme="minorEastAsia" w:cs="Arial"/>
              </w:rPr>
              <w:t>Red on College/Career Indicator (CCI)</w:t>
            </w:r>
          </w:p>
        </w:tc>
      </w:tr>
      <w:tr w:rsidR="00437984" w:rsidRPr="00B548D2" w14:paraId="09FCD833" w14:textId="77777777" w:rsidTr="007A46C1">
        <w:trPr>
          <w:cantSplit/>
          <w:trHeight w:val="570"/>
          <w:tblHeader/>
        </w:trPr>
        <w:tc>
          <w:tcPr>
            <w:tcW w:w="2943" w:type="dxa"/>
            <w:tcBorders>
              <w:top w:val="single" w:sz="8" w:space="0" w:color="auto"/>
              <w:left w:val="single" w:sz="8" w:space="0" w:color="auto"/>
              <w:bottom w:val="single" w:sz="8" w:space="0" w:color="auto"/>
              <w:right w:val="single" w:sz="8" w:space="0" w:color="auto"/>
            </w:tcBorders>
            <w:shd w:val="clear" w:color="auto" w:fill="FFFFFF" w:themeFill="background1"/>
            <w:tcMar>
              <w:top w:w="15" w:type="dxa"/>
              <w:left w:w="15" w:type="dxa"/>
              <w:bottom w:w="15" w:type="dxa"/>
              <w:right w:w="15" w:type="dxa"/>
            </w:tcMar>
          </w:tcPr>
          <w:p w14:paraId="681485EC" w14:textId="73A5A51F" w:rsidR="00437984" w:rsidRPr="00B548D2" w:rsidRDefault="00437984" w:rsidP="76B669D7">
            <w:pPr>
              <w:spacing w:after="160" w:line="257" w:lineRule="auto"/>
              <w:rPr>
                <w:rFonts w:cs="Arial"/>
              </w:rPr>
            </w:pPr>
            <w:r w:rsidRPr="00B548D2">
              <w:rPr>
                <w:rFonts w:eastAsiaTheme="minorEastAsia" w:cs="Arial"/>
              </w:rPr>
              <w:t>9 – Coordination of Services for Expelled Pupils – COEs ONLY</w:t>
            </w:r>
          </w:p>
        </w:tc>
        <w:tc>
          <w:tcPr>
            <w:tcW w:w="6227" w:type="dxa"/>
            <w:tcBorders>
              <w:top w:val="single" w:sz="8" w:space="0" w:color="auto"/>
              <w:left w:val="single" w:sz="8" w:space="0" w:color="auto"/>
              <w:bottom w:val="single" w:sz="8" w:space="0" w:color="auto"/>
              <w:right w:val="single" w:sz="8" w:space="0" w:color="auto"/>
            </w:tcBorders>
            <w:shd w:val="clear" w:color="auto" w:fill="FFFFFF" w:themeFill="background1"/>
            <w:tcMar>
              <w:top w:w="15" w:type="dxa"/>
              <w:left w:w="15" w:type="dxa"/>
              <w:bottom w:w="15" w:type="dxa"/>
              <w:right w:w="15" w:type="dxa"/>
            </w:tcMar>
          </w:tcPr>
          <w:p w14:paraId="390EDBC8" w14:textId="15F77E87" w:rsidR="00437984" w:rsidRPr="00B548D2" w:rsidRDefault="00437984" w:rsidP="76B669D7">
            <w:pPr>
              <w:pStyle w:val="ListParagraph"/>
              <w:numPr>
                <w:ilvl w:val="0"/>
                <w:numId w:val="2"/>
              </w:numPr>
              <w:spacing w:after="160" w:line="257" w:lineRule="auto"/>
              <w:rPr>
                <w:rFonts w:cs="Arial"/>
              </w:rPr>
            </w:pPr>
            <w:r w:rsidRPr="00B548D2">
              <w:rPr>
                <w:rFonts w:eastAsiaTheme="minorEastAsia" w:cs="Arial"/>
              </w:rPr>
              <w:t>Not Met for Two or More Years on Local Performance</w:t>
            </w:r>
          </w:p>
        </w:tc>
      </w:tr>
      <w:tr w:rsidR="00437984" w:rsidRPr="00B548D2" w14:paraId="559489F6" w14:textId="77777777" w:rsidTr="007A46C1">
        <w:trPr>
          <w:cantSplit/>
          <w:trHeight w:val="570"/>
          <w:tblHeader/>
        </w:trPr>
        <w:tc>
          <w:tcPr>
            <w:tcW w:w="2943" w:type="dxa"/>
            <w:tcBorders>
              <w:top w:val="single" w:sz="8" w:space="0" w:color="auto"/>
              <w:left w:val="single" w:sz="8" w:space="0" w:color="auto"/>
              <w:bottom w:val="single" w:sz="8" w:space="0" w:color="auto"/>
              <w:right w:val="single" w:sz="8" w:space="0" w:color="auto"/>
            </w:tcBorders>
            <w:shd w:val="clear" w:color="auto" w:fill="FFFFFF" w:themeFill="background1"/>
            <w:tcMar>
              <w:top w:w="15" w:type="dxa"/>
              <w:left w:w="15" w:type="dxa"/>
              <w:bottom w:w="15" w:type="dxa"/>
              <w:right w:w="15" w:type="dxa"/>
            </w:tcMar>
          </w:tcPr>
          <w:p w14:paraId="5ED72C7D" w14:textId="34BC7ECA" w:rsidR="00437984" w:rsidRPr="00B548D2" w:rsidRDefault="00437984" w:rsidP="76B669D7">
            <w:pPr>
              <w:spacing w:after="160" w:line="257" w:lineRule="auto"/>
              <w:rPr>
                <w:rFonts w:cs="Arial"/>
              </w:rPr>
            </w:pPr>
            <w:r w:rsidRPr="00B548D2">
              <w:rPr>
                <w:rFonts w:eastAsiaTheme="minorEastAsia" w:cs="Arial"/>
              </w:rPr>
              <w:t>10 – Coordination of Services for Foster Youth – COEs Only</w:t>
            </w:r>
          </w:p>
        </w:tc>
        <w:tc>
          <w:tcPr>
            <w:tcW w:w="6227" w:type="dxa"/>
            <w:tcBorders>
              <w:top w:val="single" w:sz="8" w:space="0" w:color="auto"/>
              <w:left w:val="single" w:sz="8" w:space="0" w:color="auto"/>
              <w:bottom w:val="single" w:sz="8" w:space="0" w:color="auto"/>
              <w:right w:val="single" w:sz="8" w:space="0" w:color="auto"/>
            </w:tcBorders>
            <w:shd w:val="clear" w:color="auto" w:fill="FFFFFF" w:themeFill="background1"/>
            <w:tcMar>
              <w:top w:w="15" w:type="dxa"/>
              <w:left w:w="15" w:type="dxa"/>
              <w:bottom w:w="15" w:type="dxa"/>
              <w:right w:w="15" w:type="dxa"/>
            </w:tcMar>
          </w:tcPr>
          <w:p w14:paraId="38A476E8" w14:textId="6D7BB94A" w:rsidR="00437984" w:rsidRPr="00B548D2" w:rsidRDefault="00437984" w:rsidP="76B669D7">
            <w:pPr>
              <w:pStyle w:val="ListParagraph"/>
              <w:numPr>
                <w:ilvl w:val="0"/>
                <w:numId w:val="1"/>
              </w:numPr>
              <w:spacing w:after="160" w:line="257" w:lineRule="auto"/>
              <w:rPr>
                <w:rFonts w:cs="Arial"/>
              </w:rPr>
            </w:pPr>
            <w:r w:rsidRPr="00B548D2">
              <w:rPr>
                <w:rFonts w:eastAsiaTheme="minorEastAsia" w:cs="Arial"/>
              </w:rPr>
              <w:t>Not Met for Two or More Years on Local Performance</w:t>
            </w:r>
          </w:p>
        </w:tc>
      </w:tr>
    </w:tbl>
    <w:p w14:paraId="28F1535A" w14:textId="77777777" w:rsidR="000269ED" w:rsidRPr="00B548D2" w:rsidRDefault="000269ED" w:rsidP="00E34F97">
      <w:pPr>
        <w:pStyle w:val="Heading5"/>
        <w:rPr>
          <w:b/>
        </w:rPr>
      </w:pPr>
      <w:r w:rsidRPr="00B548D2">
        <w:lastRenderedPageBreak/>
        <w:t>LTELs and Differentiated Assistance Identification</w:t>
      </w:r>
    </w:p>
    <w:p w14:paraId="4D1772F8" w14:textId="1D086D78" w:rsidR="000269ED" w:rsidRPr="00B548D2" w:rsidRDefault="000269ED" w:rsidP="000269ED">
      <w:pPr>
        <w:spacing w:after="240"/>
      </w:pPr>
      <w:r w:rsidRPr="00B548D2">
        <w:t>With the addition of the LTEL student group to the Dashboard, there are</w:t>
      </w:r>
      <w:r w:rsidRPr="00B548D2" w:rsidDel="003155B5">
        <w:t xml:space="preserve"> </w:t>
      </w:r>
      <w:r w:rsidR="003155B5" w:rsidRPr="00B548D2">
        <w:t xml:space="preserve">now </w:t>
      </w:r>
      <w:r w:rsidRPr="00B548D2">
        <w:t>14 student groups eligible for differentiated assistance determinations. For differentiated assistance determinations, the LTEL student group will have the same n-size rules that govern Foster Youth and Homeless student groups:</w:t>
      </w:r>
    </w:p>
    <w:p w14:paraId="17A274AE" w14:textId="675C6165" w:rsidR="000269ED" w:rsidRPr="00B548D2" w:rsidRDefault="000269ED" w:rsidP="00B058BC">
      <w:pPr>
        <w:pStyle w:val="ListParagraph"/>
        <w:numPr>
          <w:ilvl w:val="0"/>
          <w:numId w:val="21"/>
        </w:numPr>
      </w:pPr>
      <w:r w:rsidRPr="00B548D2">
        <w:t>Districts/County Offices of Education (COEs)</w:t>
      </w:r>
      <w:r w:rsidR="003155B5" w:rsidRPr="00B548D2">
        <w:t>:</w:t>
      </w:r>
      <w:r w:rsidRPr="00B548D2" w:rsidDel="003155B5">
        <w:t xml:space="preserve"> </w:t>
      </w:r>
      <w:r w:rsidRPr="00B548D2">
        <w:t>15 or more students will be held accountable and receive a color</w:t>
      </w:r>
    </w:p>
    <w:p w14:paraId="4E62EFDB" w14:textId="5E11407F" w:rsidR="000269ED" w:rsidRPr="00B548D2" w:rsidRDefault="000269ED" w:rsidP="00B058BC">
      <w:pPr>
        <w:pStyle w:val="ListParagraph"/>
        <w:numPr>
          <w:ilvl w:val="0"/>
          <w:numId w:val="21"/>
        </w:numPr>
      </w:pPr>
      <w:r w:rsidRPr="00B548D2">
        <w:t>Charter Schools</w:t>
      </w:r>
      <w:r w:rsidR="003155B5" w:rsidRPr="00B548D2">
        <w:t>:</w:t>
      </w:r>
      <w:r w:rsidRPr="00B548D2" w:rsidDel="003155B5">
        <w:t xml:space="preserve"> </w:t>
      </w:r>
      <w:r w:rsidRPr="00B548D2">
        <w:t>30 or more students will be held accountable and receive a color</w:t>
      </w:r>
    </w:p>
    <w:p w14:paraId="44988AB0" w14:textId="77777777" w:rsidR="000269ED" w:rsidRPr="00B548D2" w:rsidRDefault="000269ED" w:rsidP="00E34F97">
      <w:pPr>
        <w:pStyle w:val="Heading5"/>
      </w:pPr>
      <w:r w:rsidRPr="00B548D2">
        <w:t>Eligibility for Technical Assistance Based Upon Failure to Submit Data</w:t>
      </w:r>
    </w:p>
    <w:p w14:paraId="1FD59D4B" w14:textId="6B05884A" w:rsidR="0021550F" w:rsidRPr="00B548D2" w:rsidRDefault="0021550F" w:rsidP="00E34F97">
      <w:pPr>
        <w:spacing w:after="240"/>
        <w:rPr>
          <w:rFonts w:eastAsiaTheme="minorEastAsia"/>
        </w:rPr>
      </w:pPr>
      <w:r w:rsidRPr="00B548D2">
        <w:rPr>
          <w:rFonts w:eastAsiaTheme="minorEastAsia"/>
        </w:rPr>
        <w:t>In 2023, SB 114 (Chapter 48, Statutes of 2023) established new differentiated assistance eligibility for districts that fail to submit data to CALPADS “according to the processes and timelines established by the Department” (</w:t>
      </w:r>
      <w:r w:rsidRPr="00B548D2">
        <w:rPr>
          <w:rFonts w:eastAsiaTheme="minorEastAsia"/>
          <w:i/>
          <w:iCs/>
        </w:rPr>
        <w:t>E</w:t>
      </w:r>
      <w:r w:rsidR="000241AF" w:rsidRPr="00B548D2">
        <w:rPr>
          <w:rFonts w:eastAsiaTheme="minorEastAsia"/>
          <w:i/>
          <w:iCs/>
        </w:rPr>
        <w:t xml:space="preserve">ducation </w:t>
      </w:r>
      <w:r w:rsidRPr="00B548D2">
        <w:rPr>
          <w:rFonts w:eastAsiaTheme="minorEastAsia"/>
          <w:i/>
          <w:iCs/>
        </w:rPr>
        <w:t>C</w:t>
      </w:r>
      <w:r w:rsidR="000241AF" w:rsidRPr="00B548D2">
        <w:rPr>
          <w:rFonts w:eastAsiaTheme="minorEastAsia"/>
          <w:i/>
          <w:iCs/>
        </w:rPr>
        <w:t xml:space="preserve">ode </w:t>
      </w:r>
      <w:r w:rsidR="000241AF" w:rsidRPr="00B548D2">
        <w:rPr>
          <w:rFonts w:eastAsiaTheme="minorEastAsia"/>
        </w:rPr>
        <w:t>Section</w:t>
      </w:r>
      <w:r w:rsidRPr="00B548D2">
        <w:rPr>
          <w:rFonts w:eastAsiaTheme="minorEastAsia"/>
        </w:rPr>
        <w:t xml:space="preserve"> 52071) and requires COEs to provide school districts that meet the </w:t>
      </w:r>
      <w:r w:rsidR="00235A44" w:rsidRPr="00B548D2">
        <w:rPr>
          <w:rFonts w:eastAsiaTheme="minorEastAsia"/>
        </w:rPr>
        <w:t>California Longitudinal Pupil Achievement System (CALPADS)</w:t>
      </w:r>
      <w:r w:rsidRPr="00B548D2">
        <w:rPr>
          <w:rFonts w:eastAsiaTheme="minorEastAsia"/>
        </w:rPr>
        <w:t xml:space="preserve"> </w:t>
      </w:r>
      <w:r w:rsidR="007E404B" w:rsidRPr="00B548D2">
        <w:rPr>
          <w:rFonts w:eastAsiaTheme="minorEastAsia"/>
        </w:rPr>
        <w:t>differentiated assistance</w:t>
      </w:r>
      <w:r w:rsidRPr="00B548D2">
        <w:rPr>
          <w:rFonts w:eastAsiaTheme="minorEastAsia"/>
        </w:rPr>
        <w:t xml:space="preserve"> eligibility criteria with “technical assistance focused on the school district’s data management processes.” SB 114 also applies this same requirement (</w:t>
      </w:r>
      <w:r w:rsidR="00550D9C" w:rsidRPr="00B548D2">
        <w:rPr>
          <w:rFonts w:eastAsiaTheme="minorEastAsia"/>
        </w:rPr>
        <w:t>per</w:t>
      </w:r>
      <w:r w:rsidRPr="00B548D2">
        <w:rPr>
          <w:rFonts w:eastAsiaTheme="minorEastAsia"/>
        </w:rPr>
        <w:t xml:space="preserve"> </w:t>
      </w:r>
      <w:r w:rsidRPr="00B548D2">
        <w:rPr>
          <w:rFonts w:eastAsiaTheme="minorEastAsia"/>
          <w:i/>
          <w:iCs/>
        </w:rPr>
        <w:t>EC</w:t>
      </w:r>
      <w:r w:rsidRPr="00B548D2">
        <w:rPr>
          <w:rFonts w:eastAsiaTheme="minorEastAsia"/>
        </w:rPr>
        <w:t xml:space="preserve"> </w:t>
      </w:r>
      <w:r w:rsidR="00550D9C" w:rsidRPr="00B548D2">
        <w:rPr>
          <w:rFonts w:eastAsiaTheme="minorEastAsia"/>
        </w:rPr>
        <w:t xml:space="preserve">Section </w:t>
      </w:r>
      <w:r w:rsidRPr="00B548D2">
        <w:rPr>
          <w:rFonts w:eastAsiaTheme="minorEastAsia"/>
        </w:rPr>
        <w:t>52071.5) to COEs who fail to meet the requirements of CALPADS and requires the Superintendent/</w:t>
      </w:r>
      <w:r w:rsidR="00235A44" w:rsidRPr="00B548D2">
        <w:rPr>
          <w:rFonts w:eastAsiaTheme="minorEastAsia"/>
        </w:rPr>
        <w:t xml:space="preserve"> </w:t>
      </w:r>
      <w:r w:rsidRPr="00B548D2">
        <w:rPr>
          <w:rFonts w:eastAsiaTheme="minorEastAsia"/>
        </w:rPr>
        <w:t>CDE to provide technical assistance to the COE. Note: These criteria do not apply to charter schools.</w:t>
      </w:r>
    </w:p>
    <w:p w14:paraId="2B0D4B85" w14:textId="5D8DB3CE" w:rsidR="000269ED" w:rsidRPr="00B548D2" w:rsidRDefault="0021550F" w:rsidP="591099FD">
      <w:pPr>
        <w:rPr>
          <w:rFonts w:eastAsiaTheme="minorEastAsia"/>
        </w:rPr>
      </w:pPr>
      <w:r w:rsidRPr="00B548D2">
        <w:rPr>
          <w:rFonts w:eastAsiaTheme="minorEastAsia"/>
        </w:rPr>
        <w:t xml:space="preserve">The CDE </w:t>
      </w:r>
      <w:r w:rsidR="003C6839" w:rsidRPr="00B548D2">
        <w:rPr>
          <w:rFonts w:eastAsiaTheme="minorEastAsia"/>
        </w:rPr>
        <w:t xml:space="preserve">is working collaboratively </w:t>
      </w:r>
      <w:r w:rsidRPr="00B548D2">
        <w:rPr>
          <w:rFonts w:eastAsiaTheme="minorEastAsia"/>
        </w:rPr>
        <w:t xml:space="preserve">with </w:t>
      </w:r>
      <w:r w:rsidR="003C6839" w:rsidRPr="00B548D2">
        <w:rPr>
          <w:rFonts w:eastAsiaTheme="minorEastAsia"/>
        </w:rPr>
        <w:t>educational partners, including</w:t>
      </w:r>
      <w:r w:rsidRPr="00B548D2">
        <w:rPr>
          <w:rFonts w:eastAsiaTheme="minorEastAsia"/>
        </w:rPr>
        <w:t xml:space="preserve"> leadership at the California School Information Services (CSIS), and COEs on </w:t>
      </w:r>
      <w:r w:rsidR="002363DD" w:rsidRPr="00B548D2">
        <w:rPr>
          <w:rFonts w:eastAsiaTheme="minorEastAsia"/>
        </w:rPr>
        <w:t>a</w:t>
      </w:r>
      <w:r w:rsidRPr="00B548D2">
        <w:rPr>
          <w:rFonts w:eastAsiaTheme="minorEastAsia"/>
        </w:rPr>
        <w:t xml:space="preserve"> three-year implementation plan to phase-in the eligibility criteria. The phased-in approach provides </w:t>
      </w:r>
      <w:proofErr w:type="gramStart"/>
      <w:r w:rsidRPr="00B548D2">
        <w:rPr>
          <w:rFonts w:eastAsiaTheme="minorEastAsia"/>
        </w:rPr>
        <w:t>COEs</w:t>
      </w:r>
      <w:proofErr w:type="gramEnd"/>
      <w:r w:rsidRPr="00B548D2">
        <w:rPr>
          <w:rFonts w:eastAsiaTheme="minorEastAsia"/>
        </w:rPr>
        <w:t xml:space="preserve"> and </w:t>
      </w:r>
      <w:proofErr w:type="gramStart"/>
      <w:r w:rsidRPr="00B548D2">
        <w:rPr>
          <w:rFonts w:eastAsiaTheme="minorEastAsia"/>
        </w:rPr>
        <w:t>districts</w:t>
      </w:r>
      <w:proofErr w:type="gramEnd"/>
      <w:r w:rsidRPr="00B548D2">
        <w:rPr>
          <w:rFonts w:eastAsiaTheme="minorEastAsia"/>
        </w:rPr>
        <w:t xml:space="preserve"> sufficient notice of the consequences should they fail to review and submit timely data and ensure its accuracy. This approach also allows the COEs and the CDE time to develop resources and adopt practices necessary to support COEs or districts who are eligible for </w:t>
      </w:r>
      <w:r w:rsidR="007E404B" w:rsidRPr="00B548D2">
        <w:rPr>
          <w:rFonts w:eastAsiaTheme="minorEastAsia"/>
        </w:rPr>
        <w:t>differentiated assistance</w:t>
      </w:r>
      <w:r w:rsidRPr="00B548D2">
        <w:rPr>
          <w:rFonts w:eastAsiaTheme="minorEastAsia"/>
        </w:rPr>
        <w:t xml:space="preserve"> under these new criteria. </w:t>
      </w:r>
      <w:r w:rsidR="00030F46" w:rsidRPr="00B548D2">
        <w:rPr>
          <w:rFonts w:eastAsiaTheme="minorEastAsia"/>
        </w:rPr>
        <w:t>The CDE will develop resources to share information on this new eligibility requirement as part of the 2024 Dashboard Toolkit.</w:t>
      </w:r>
    </w:p>
    <w:p w14:paraId="46DE57E6" w14:textId="32E74242" w:rsidR="00CD4C29" w:rsidRPr="00B548D2" w:rsidRDefault="00CD4C29" w:rsidP="00CD4C29">
      <w:pPr>
        <w:pStyle w:val="Heading3"/>
        <w:rPr>
          <w:rFonts w:cs="Arial"/>
          <w:b w:val="0"/>
          <w:bCs/>
          <w:i/>
          <w:iCs/>
          <w:sz w:val="24"/>
          <w:szCs w:val="20"/>
        </w:rPr>
      </w:pPr>
      <w:r w:rsidRPr="00B548D2">
        <w:rPr>
          <w:rFonts w:cs="Arial"/>
          <w:b w:val="0"/>
          <w:bCs/>
          <w:i/>
          <w:iCs/>
          <w:sz w:val="24"/>
          <w:szCs w:val="20"/>
        </w:rPr>
        <w:t>Eligibility of Chaters Meeting Criteria Under E</w:t>
      </w:r>
      <w:r w:rsidR="00D97237" w:rsidRPr="00B548D2">
        <w:rPr>
          <w:rFonts w:cs="Arial"/>
          <w:b w:val="0"/>
          <w:bCs/>
          <w:i/>
          <w:iCs/>
          <w:sz w:val="24"/>
          <w:szCs w:val="20"/>
        </w:rPr>
        <w:t xml:space="preserve">ducation </w:t>
      </w:r>
      <w:r w:rsidRPr="00B548D2">
        <w:rPr>
          <w:rFonts w:cs="Arial"/>
          <w:b w:val="0"/>
          <w:bCs/>
          <w:i/>
          <w:iCs/>
          <w:sz w:val="24"/>
          <w:szCs w:val="20"/>
        </w:rPr>
        <w:t>C</w:t>
      </w:r>
      <w:r w:rsidR="00D97237" w:rsidRPr="00B548D2">
        <w:rPr>
          <w:rFonts w:cs="Arial"/>
          <w:b w:val="0"/>
          <w:bCs/>
          <w:i/>
          <w:iCs/>
          <w:sz w:val="24"/>
          <w:szCs w:val="20"/>
        </w:rPr>
        <w:t>ode</w:t>
      </w:r>
      <w:r w:rsidRPr="00B548D2">
        <w:rPr>
          <w:rFonts w:cs="Arial"/>
          <w:b w:val="0"/>
          <w:bCs/>
          <w:i/>
          <w:iCs/>
          <w:sz w:val="24"/>
          <w:szCs w:val="20"/>
        </w:rPr>
        <w:t xml:space="preserve"> Section </w:t>
      </w:r>
      <w:r w:rsidR="00F1084C" w:rsidRPr="00B548D2">
        <w:rPr>
          <w:rFonts w:cs="Arial"/>
          <w:b w:val="0"/>
          <w:bCs/>
          <w:i/>
          <w:iCs/>
          <w:sz w:val="24"/>
          <w:szCs w:val="20"/>
        </w:rPr>
        <w:t>52072</w:t>
      </w:r>
    </w:p>
    <w:p w14:paraId="5ADEFF33" w14:textId="37B5FA93" w:rsidR="00CD4C29" w:rsidRPr="00B548D2" w:rsidRDefault="00CD4C29" w:rsidP="00CD4C29">
      <w:pPr>
        <w:spacing w:after="240"/>
        <w:rPr>
          <w:rStyle w:val="normaltextrun"/>
          <w:rFonts w:eastAsiaTheme="majorEastAsia" w:cs="Arial"/>
          <w:color w:val="000000" w:themeColor="text1"/>
        </w:rPr>
      </w:pPr>
      <w:r w:rsidRPr="00B548D2">
        <w:rPr>
          <w:rFonts w:eastAsiaTheme="majorEastAsia" w:cs="Arial"/>
        </w:rPr>
        <w:t xml:space="preserve">Additionally, the 2024 LCFF Charter Assistance Status Spreadsheet will for the first time include </w:t>
      </w:r>
      <w:r w:rsidR="00CA35D8" w:rsidRPr="00B548D2">
        <w:rPr>
          <w:rFonts w:eastAsia="Calibri" w:cs="Arial"/>
          <w:color w:val="333333"/>
        </w:rPr>
        <w:t>charter school</w:t>
      </w:r>
      <w:r w:rsidRPr="00B548D2">
        <w:rPr>
          <w:rFonts w:eastAsia="Calibri" w:cs="Arial"/>
          <w:color w:val="333333"/>
        </w:rPr>
        <w:t xml:space="preserve">s that </w:t>
      </w:r>
      <w:r w:rsidRPr="00B548D2">
        <w:rPr>
          <w:rStyle w:val="normaltextrun"/>
          <w:rFonts w:eastAsiaTheme="majorEastAsia" w:cs="Arial"/>
        </w:rPr>
        <w:t xml:space="preserve">meet the criteria set forth in </w:t>
      </w:r>
      <w:r w:rsidR="00D97237" w:rsidRPr="00B548D2">
        <w:rPr>
          <w:rStyle w:val="normaltextrun"/>
          <w:rFonts w:eastAsiaTheme="majorEastAsia" w:cs="Arial"/>
        </w:rPr>
        <w:t xml:space="preserve">California </w:t>
      </w:r>
      <w:r w:rsidRPr="00B548D2">
        <w:rPr>
          <w:rStyle w:val="normaltextrun"/>
          <w:rFonts w:eastAsiaTheme="majorEastAsia" w:cs="Arial"/>
          <w:i/>
          <w:iCs/>
        </w:rPr>
        <w:t>E</w:t>
      </w:r>
      <w:r w:rsidR="00D97237" w:rsidRPr="00B548D2">
        <w:rPr>
          <w:rStyle w:val="normaltextrun"/>
          <w:rFonts w:eastAsiaTheme="majorEastAsia" w:cs="Arial"/>
          <w:i/>
          <w:iCs/>
        </w:rPr>
        <w:t xml:space="preserve">ducation </w:t>
      </w:r>
      <w:r w:rsidRPr="00B548D2">
        <w:rPr>
          <w:rStyle w:val="normaltextrun"/>
          <w:rFonts w:eastAsiaTheme="majorEastAsia" w:cs="Arial"/>
          <w:i/>
          <w:iCs/>
        </w:rPr>
        <w:t>C</w:t>
      </w:r>
      <w:r w:rsidR="00D97237" w:rsidRPr="00B548D2">
        <w:rPr>
          <w:rStyle w:val="normaltextrun"/>
          <w:rFonts w:eastAsiaTheme="majorEastAsia" w:cs="Arial"/>
          <w:i/>
          <w:iCs/>
        </w:rPr>
        <w:t>ode</w:t>
      </w:r>
      <w:r w:rsidR="00BC7BF4" w:rsidRPr="00B548D2">
        <w:rPr>
          <w:rStyle w:val="normaltextrun"/>
          <w:rFonts w:eastAsiaTheme="majorEastAsia" w:cs="Arial"/>
          <w:i/>
          <w:iCs/>
        </w:rPr>
        <w:t xml:space="preserve"> </w:t>
      </w:r>
      <w:r w:rsidR="00BC7BF4" w:rsidRPr="00B548D2">
        <w:rPr>
          <w:rStyle w:val="normaltextrun"/>
          <w:rFonts w:eastAsiaTheme="majorEastAsia" w:cs="Arial"/>
        </w:rPr>
        <w:t>(</w:t>
      </w:r>
      <w:r w:rsidR="00BC7BF4" w:rsidRPr="00B548D2">
        <w:rPr>
          <w:rStyle w:val="normaltextrun"/>
          <w:rFonts w:eastAsiaTheme="majorEastAsia" w:cs="Arial"/>
          <w:i/>
          <w:iCs/>
        </w:rPr>
        <w:t>EC</w:t>
      </w:r>
      <w:r w:rsidR="00BC7BF4" w:rsidRPr="00B548D2">
        <w:rPr>
          <w:rStyle w:val="normaltextrun"/>
          <w:rFonts w:eastAsiaTheme="majorEastAsia" w:cs="Arial"/>
        </w:rPr>
        <w:t>)</w:t>
      </w:r>
      <w:r w:rsidRPr="00B548D2">
        <w:rPr>
          <w:rStyle w:val="normaltextrun"/>
          <w:rFonts w:eastAsiaTheme="majorEastAsia" w:cs="Arial"/>
        </w:rPr>
        <w:t xml:space="preserve"> section</w:t>
      </w:r>
      <w:r w:rsidR="00572071" w:rsidRPr="00B548D2">
        <w:rPr>
          <w:rStyle w:val="normaltextrun"/>
          <w:rFonts w:eastAsiaTheme="majorEastAsia" w:cs="Arial"/>
        </w:rPr>
        <w:t xml:space="preserve"> 52072</w:t>
      </w:r>
      <w:r w:rsidR="009C7E70" w:rsidRPr="00B548D2">
        <w:rPr>
          <w:rStyle w:val="normaltextrun"/>
          <w:rFonts w:eastAsiaTheme="majorEastAsia" w:cs="Arial"/>
        </w:rPr>
        <w:t xml:space="preserve">. Specifically, per </w:t>
      </w:r>
      <w:r w:rsidR="009C7E70" w:rsidRPr="00B548D2">
        <w:rPr>
          <w:rStyle w:val="normaltextrun"/>
          <w:rFonts w:eastAsiaTheme="majorEastAsia" w:cs="Arial"/>
          <w:i/>
          <w:iCs/>
        </w:rPr>
        <w:t>EC</w:t>
      </w:r>
      <w:r w:rsidR="009C7E70" w:rsidRPr="00B548D2">
        <w:rPr>
          <w:rStyle w:val="normaltextrun"/>
          <w:rFonts w:eastAsiaTheme="majorEastAsia" w:cs="Arial"/>
        </w:rPr>
        <w:t xml:space="preserve"> sections</w:t>
      </w:r>
      <w:r w:rsidRPr="00B548D2">
        <w:rPr>
          <w:rStyle w:val="normaltextrun"/>
          <w:rFonts w:eastAsiaTheme="majorEastAsia" w:cs="Arial"/>
        </w:rPr>
        <w:t xml:space="preserve"> </w:t>
      </w:r>
      <w:r w:rsidR="00D97237" w:rsidRPr="00B548D2">
        <w:rPr>
          <w:rStyle w:val="normaltextrun"/>
          <w:rFonts w:eastAsiaTheme="majorEastAsia" w:cs="Arial"/>
        </w:rPr>
        <w:t>47607.3(a) and</w:t>
      </w:r>
      <w:r w:rsidR="00CA35D8" w:rsidRPr="00B548D2">
        <w:rPr>
          <w:rStyle w:val="normaltextrun"/>
          <w:rFonts w:eastAsiaTheme="majorEastAsia" w:cs="Arial"/>
        </w:rPr>
        <w:t xml:space="preserve"> 47607.3 (c)</w:t>
      </w:r>
      <w:r w:rsidR="0043249F" w:rsidRPr="00B548D2">
        <w:rPr>
          <w:rStyle w:val="normaltextrun"/>
          <w:rFonts w:eastAsiaTheme="majorEastAsia" w:cs="Arial"/>
        </w:rPr>
        <w:t xml:space="preserve"> </w:t>
      </w:r>
      <w:r w:rsidR="009C7E70" w:rsidRPr="00B548D2">
        <w:rPr>
          <w:rStyle w:val="normaltextrun"/>
          <w:rFonts w:eastAsiaTheme="majorEastAsia" w:cs="Arial"/>
        </w:rPr>
        <w:t>t</w:t>
      </w:r>
      <w:r w:rsidRPr="00B548D2">
        <w:rPr>
          <w:rStyle w:val="normaltextrun"/>
          <w:rFonts w:eastAsiaTheme="majorEastAsia" w:cs="Arial"/>
        </w:rPr>
        <w:t xml:space="preserve">he criteria </w:t>
      </w:r>
      <w:r w:rsidRPr="00B548D2">
        <w:rPr>
          <w:rStyle w:val="normaltextrun"/>
          <w:rFonts w:eastAsiaTheme="majorEastAsia" w:cs="Arial"/>
          <w:color w:val="333333"/>
        </w:rPr>
        <w:t xml:space="preserve">are activated when </w:t>
      </w:r>
      <w:r w:rsidRPr="00B548D2">
        <w:rPr>
          <w:rStyle w:val="normaltextrun"/>
          <w:rFonts w:eastAsiaTheme="majorEastAsia" w:cs="Arial"/>
          <w:color w:val="000000" w:themeColor="text1"/>
        </w:rPr>
        <w:t xml:space="preserve">three or more pupil subgroups meet the differentiated assistance criteria for multiple LCFF priorities in three out of four consecutive years (or if an LEA has less than three student groups, </w:t>
      </w:r>
      <w:proofErr w:type="gramStart"/>
      <w:r w:rsidRPr="00B548D2">
        <w:rPr>
          <w:rStyle w:val="normaltextrun"/>
          <w:rFonts w:eastAsiaTheme="majorEastAsia" w:cs="Arial"/>
          <w:color w:val="000000" w:themeColor="text1"/>
        </w:rPr>
        <w:t>all of</w:t>
      </w:r>
      <w:proofErr w:type="gramEnd"/>
      <w:r w:rsidRPr="00B548D2">
        <w:rPr>
          <w:rStyle w:val="normaltextrun"/>
          <w:rFonts w:eastAsiaTheme="majorEastAsia" w:cs="Arial"/>
          <w:color w:val="000000" w:themeColor="text1"/>
        </w:rPr>
        <w:t xml:space="preserve"> the student groups have met the differentiated assistance criteria for three out of four consecutive years). For</w:t>
      </w:r>
      <w:r w:rsidR="00F87B64" w:rsidRPr="00B548D2">
        <w:rPr>
          <w:rStyle w:val="normaltextrun"/>
          <w:rFonts w:eastAsiaTheme="majorEastAsia" w:cs="Arial"/>
          <w:color w:val="000000" w:themeColor="text1"/>
        </w:rPr>
        <w:t xml:space="preserve"> charter schools</w:t>
      </w:r>
      <w:r w:rsidRPr="00B548D2">
        <w:rPr>
          <w:rStyle w:val="normaltextrun"/>
          <w:rFonts w:eastAsiaTheme="majorEastAsia" w:cs="Arial"/>
          <w:color w:val="000000" w:themeColor="text1"/>
        </w:rPr>
        <w:t xml:space="preserve"> meeting </w:t>
      </w:r>
      <w:r w:rsidRPr="00B548D2">
        <w:rPr>
          <w:rStyle w:val="normaltextrun"/>
          <w:rFonts w:eastAsiaTheme="majorEastAsia" w:cs="Arial"/>
          <w:color w:val="000000" w:themeColor="text1"/>
        </w:rPr>
        <w:lastRenderedPageBreak/>
        <w:t>th</w:t>
      </w:r>
      <w:r w:rsidR="0051469C" w:rsidRPr="00B548D2">
        <w:rPr>
          <w:rStyle w:val="normaltextrun"/>
          <w:rFonts w:eastAsiaTheme="majorEastAsia" w:cs="Arial"/>
          <w:color w:val="000000" w:themeColor="text1"/>
        </w:rPr>
        <w:t>e</w:t>
      </w:r>
      <w:r w:rsidRPr="00B548D2">
        <w:rPr>
          <w:rStyle w:val="normaltextrun"/>
          <w:rFonts w:eastAsiaTheme="majorEastAsia" w:cs="Arial"/>
          <w:color w:val="000000" w:themeColor="text1"/>
        </w:rPr>
        <w:t>s</w:t>
      </w:r>
      <w:r w:rsidR="0051469C" w:rsidRPr="00B548D2">
        <w:rPr>
          <w:rStyle w:val="normaltextrun"/>
          <w:rFonts w:eastAsiaTheme="majorEastAsia" w:cs="Arial"/>
          <w:color w:val="000000" w:themeColor="text1"/>
        </w:rPr>
        <w:t>e</w:t>
      </w:r>
      <w:r w:rsidRPr="00B548D2">
        <w:rPr>
          <w:rStyle w:val="normaltextrun"/>
          <w:rFonts w:eastAsiaTheme="majorEastAsia" w:cs="Arial"/>
          <w:color w:val="000000" w:themeColor="text1"/>
        </w:rPr>
        <w:t xml:space="preserve"> criteria, the </w:t>
      </w:r>
      <w:r w:rsidR="005C1EB9" w:rsidRPr="00B548D2">
        <w:rPr>
          <w:rStyle w:val="normaltextrun"/>
          <w:rFonts w:eastAsiaTheme="majorEastAsia" w:cs="Arial"/>
          <w:color w:val="000000" w:themeColor="text1"/>
        </w:rPr>
        <w:t>county superintendent of schools in the county which the charter school is located may request assistance from the California Collaborative for Educational Excellence</w:t>
      </w:r>
      <w:r w:rsidR="00BC7BF4" w:rsidRPr="00B548D2">
        <w:rPr>
          <w:rStyle w:val="normaltextrun"/>
          <w:rFonts w:eastAsiaTheme="majorEastAsia" w:cs="Arial"/>
          <w:color w:val="000000" w:themeColor="text1"/>
        </w:rPr>
        <w:t xml:space="preserve"> (CCEE)</w:t>
      </w:r>
      <w:r w:rsidR="005C1EB9" w:rsidRPr="00B548D2">
        <w:rPr>
          <w:rStyle w:val="normaltextrun"/>
          <w:rFonts w:eastAsiaTheme="majorEastAsia" w:cs="Arial"/>
          <w:color w:val="000000" w:themeColor="text1"/>
        </w:rPr>
        <w:t xml:space="preserve">. The </w:t>
      </w:r>
      <w:r w:rsidR="00BC7BF4" w:rsidRPr="00B548D2">
        <w:rPr>
          <w:rStyle w:val="normaltextrun"/>
          <w:rFonts w:eastAsiaTheme="majorEastAsia" w:cs="Arial"/>
          <w:color w:val="000000" w:themeColor="text1"/>
        </w:rPr>
        <w:t>CCEE</w:t>
      </w:r>
      <w:r w:rsidR="005C1EB9" w:rsidRPr="00B548D2">
        <w:rPr>
          <w:rStyle w:val="normaltextrun"/>
          <w:rFonts w:eastAsiaTheme="majorEastAsia" w:cs="Arial"/>
          <w:color w:val="000000" w:themeColor="text1"/>
        </w:rPr>
        <w:t xml:space="preserve"> may, after consulting with the Superintendent, and with the approval of the </w:t>
      </w:r>
      <w:r w:rsidR="00BC7BF4" w:rsidRPr="00B548D2">
        <w:rPr>
          <w:rStyle w:val="normaltextrun"/>
          <w:rFonts w:eastAsiaTheme="majorEastAsia" w:cs="Arial"/>
          <w:color w:val="000000" w:themeColor="text1"/>
        </w:rPr>
        <w:t>SBE</w:t>
      </w:r>
      <w:r w:rsidR="005C1EB9" w:rsidRPr="00B548D2">
        <w:rPr>
          <w:rStyle w:val="normaltextrun"/>
          <w:rFonts w:eastAsiaTheme="majorEastAsia" w:cs="Arial"/>
          <w:color w:val="000000" w:themeColor="text1"/>
        </w:rPr>
        <w:t xml:space="preserve">, provide advice and assistance to the charter school pursuant to </w:t>
      </w:r>
      <w:r w:rsidR="00BC7BF4" w:rsidRPr="00B548D2">
        <w:rPr>
          <w:rStyle w:val="normaltextrun"/>
          <w:rFonts w:eastAsiaTheme="majorEastAsia" w:cs="Arial"/>
          <w:i/>
          <w:iCs/>
          <w:color w:val="000000" w:themeColor="text1"/>
        </w:rPr>
        <w:t>EC</w:t>
      </w:r>
      <w:r w:rsidR="00BC7BF4" w:rsidRPr="00B548D2">
        <w:rPr>
          <w:rStyle w:val="normaltextrun"/>
          <w:rFonts w:eastAsiaTheme="majorEastAsia" w:cs="Arial"/>
          <w:color w:val="000000" w:themeColor="text1"/>
        </w:rPr>
        <w:t xml:space="preserve"> </w:t>
      </w:r>
      <w:r w:rsidR="005C1EB9" w:rsidRPr="00B548D2">
        <w:rPr>
          <w:rStyle w:val="normaltextrun"/>
          <w:rFonts w:eastAsiaTheme="majorEastAsia" w:cs="Arial"/>
          <w:color w:val="000000" w:themeColor="text1"/>
        </w:rPr>
        <w:t>Section 52074.</w:t>
      </w:r>
      <w:r w:rsidRPr="00B548D2">
        <w:rPr>
          <w:rStyle w:val="normaltextrun"/>
          <w:rFonts w:eastAsiaTheme="majorEastAsia" w:cs="Arial"/>
          <w:color w:val="000000" w:themeColor="text1"/>
        </w:rPr>
        <w:t xml:space="preserve"> </w:t>
      </w:r>
    </w:p>
    <w:p w14:paraId="3816EF08" w14:textId="181182E9" w:rsidR="000269ED" w:rsidRPr="00B548D2" w:rsidRDefault="000269ED" w:rsidP="000269ED">
      <w:pPr>
        <w:pStyle w:val="Heading2"/>
        <w:rPr>
          <w:rFonts w:eastAsia="Arial" w:cs="Arial"/>
          <w:bCs/>
          <w:color w:val="000000" w:themeColor="text1"/>
          <w:szCs w:val="36"/>
        </w:rPr>
      </w:pPr>
      <w:r w:rsidRPr="00B548D2">
        <w:rPr>
          <w:rFonts w:eastAsia="Arial" w:cs="Arial"/>
          <w:bCs/>
          <w:color w:val="000000" w:themeColor="text1"/>
          <w:szCs w:val="36"/>
        </w:rPr>
        <w:t>Every Student Succeeds Act Support Identification: Targeted Support and Improvement</w:t>
      </w:r>
    </w:p>
    <w:p w14:paraId="62DCC4D8" w14:textId="5AC8DDCF" w:rsidR="000269ED" w:rsidRPr="00B548D2" w:rsidRDefault="000269ED" w:rsidP="000269ED">
      <w:pPr>
        <w:spacing w:after="240"/>
        <w:rPr>
          <w:rFonts w:eastAsia="Arial"/>
        </w:rPr>
      </w:pPr>
      <w:r w:rsidRPr="00B548D2">
        <w:rPr>
          <w:rFonts w:eastAsia="Arial"/>
        </w:rPr>
        <w:t xml:space="preserve">ESSA support determinations under Comprehensive Support and Improvement (CSI) and Additional Targeted Support and Improvement (TSI) were made for California following the publication of the 2023 Dashboard on December 15, 2023. These determinations marked the first year of California’s three-year identification cycle for both CSI and ATSI. The publication of the 2024 Dashboard </w:t>
      </w:r>
      <w:r w:rsidR="00331C33" w:rsidRPr="00B548D2">
        <w:rPr>
          <w:rFonts w:eastAsia="Arial"/>
        </w:rPr>
        <w:t xml:space="preserve">requires </w:t>
      </w:r>
      <w:r w:rsidRPr="00B548D2">
        <w:rPr>
          <w:rFonts w:eastAsia="Arial"/>
        </w:rPr>
        <w:t>California to identify schools under Targeted Support and Improvement (TSI) for the first time since the SBE adopted California’s ESSA State Plan</w:t>
      </w:r>
      <w:r w:rsidR="00E82E93" w:rsidRPr="00B548D2">
        <w:rPr>
          <w:rFonts w:eastAsia="Arial"/>
        </w:rPr>
        <w:t xml:space="preserve"> in 2018</w:t>
      </w:r>
      <w:r w:rsidRPr="00B548D2">
        <w:rPr>
          <w:rFonts w:eastAsia="Arial"/>
        </w:rPr>
        <w:t>.</w:t>
      </w:r>
    </w:p>
    <w:p w14:paraId="4A78827C" w14:textId="77777777" w:rsidR="000269ED" w:rsidRPr="00B548D2" w:rsidRDefault="000269ED" w:rsidP="000269ED">
      <w:pPr>
        <w:pStyle w:val="Heading3"/>
        <w:rPr>
          <w:rFonts w:eastAsia="Arial" w:cs="Arial"/>
          <w:bCs/>
          <w:i/>
          <w:color w:val="000000" w:themeColor="text1"/>
          <w:szCs w:val="32"/>
        </w:rPr>
      </w:pPr>
      <w:r w:rsidRPr="00B548D2">
        <w:rPr>
          <w:rFonts w:eastAsia="Arial" w:cs="Arial"/>
          <w:bCs/>
          <w:color w:val="000000" w:themeColor="text1"/>
          <w:szCs w:val="32"/>
        </w:rPr>
        <w:t>Dashboard Principles</w:t>
      </w:r>
    </w:p>
    <w:p w14:paraId="0C32BE18" w14:textId="77777777" w:rsidR="000269ED" w:rsidRPr="00B548D2" w:rsidRDefault="000269ED" w:rsidP="000269ED">
      <w:pPr>
        <w:spacing w:after="240"/>
        <w:rPr>
          <w:rFonts w:eastAsia="Arial" w:cs="Arial"/>
          <w:color w:val="000000" w:themeColor="text1"/>
        </w:rPr>
      </w:pPr>
      <w:r w:rsidRPr="00B548D2">
        <w:rPr>
          <w:rFonts w:eastAsia="Arial" w:cs="Arial"/>
          <w:color w:val="000000" w:themeColor="text1"/>
        </w:rPr>
        <w:t>This work aligns with the following Dashboard Principles:</w:t>
      </w:r>
    </w:p>
    <w:p w14:paraId="11B3598A" w14:textId="77777777" w:rsidR="000269ED" w:rsidRPr="00B548D2" w:rsidRDefault="000269ED" w:rsidP="00B058BC">
      <w:pPr>
        <w:pStyle w:val="Default"/>
        <w:numPr>
          <w:ilvl w:val="0"/>
          <w:numId w:val="26"/>
        </w:numPr>
        <w:spacing w:after="240"/>
        <w:rPr>
          <w:rFonts w:eastAsia="Arial"/>
          <w:color w:val="000000" w:themeColor="text1"/>
        </w:rPr>
      </w:pPr>
      <w:r w:rsidRPr="00B548D2">
        <w:rPr>
          <w:rFonts w:eastAsia="Arial"/>
          <w:color w:val="000000" w:themeColor="text1"/>
        </w:rPr>
        <w:t>Principle 6: Reports transparently and comprehensively at the state, district, school, and student group levels.</w:t>
      </w:r>
    </w:p>
    <w:p w14:paraId="287ECD2A" w14:textId="77777777" w:rsidR="000269ED" w:rsidRPr="00B548D2" w:rsidRDefault="000269ED" w:rsidP="00B058BC">
      <w:pPr>
        <w:pStyle w:val="Default"/>
        <w:numPr>
          <w:ilvl w:val="0"/>
          <w:numId w:val="26"/>
        </w:numPr>
        <w:spacing w:after="240"/>
        <w:rPr>
          <w:rFonts w:eastAsia="Arial"/>
          <w:color w:val="000000" w:themeColor="text1"/>
        </w:rPr>
      </w:pPr>
      <w:r w:rsidRPr="00B548D2">
        <w:rPr>
          <w:rFonts w:eastAsia="Arial"/>
          <w:color w:val="000000" w:themeColor="text1"/>
        </w:rPr>
        <w:t>Principle 8: Reflects technical quality through measures that are valid and reliable.</w:t>
      </w:r>
    </w:p>
    <w:p w14:paraId="2391896B" w14:textId="77777777" w:rsidR="000269ED" w:rsidRPr="00B548D2" w:rsidRDefault="000269ED" w:rsidP="00B058BC">
      <w:pPr>
        <w:pStyle w:val="Default"/>
        <w:numPr>
          <w:ilvl w:val="0"/>
          <w:numId w:val="26"/>
        </w:numPr>
        <w:spacing w:after="240"/>
        <w:rPr>
          <w:rFonts w:eastAsia="Arial"/>
          <w:color w:val="000000" w:themeColor="text1"/>
        </w:rPr>
      </w:pPr>
      <w:r w:rsidRPr="00B548D2">
        <w:rPr>
          <w:rFonts w:eastAsia="Arial"/>
          <w:color w:val="000000" w:themeColor="text1"/>
        </w:rPr>
        <w:t>Principle 10: Promotes coherence between data reporting and support/improvement programs.</w:t>
      </w:r>
    </w:p>
    <w:p w14:paraId="21519A73" w14:textId="77777777" w:rsidR="000269ED" w:rsidRPr="00B548D2" w:rsidRDefault="000269ED" w:rsidP="00B058BC">
      <w:pPr>
        <w:pStyle w:val="Default"/>
        <w:numPr>
          <w:ilvl w:val="0"/>
          <w:numId w:val="26"/>
        </w:numPr>
        <w:spacing w:after="240"/>
        <w:rPr>
          <w:rFonts w:eastAsia="Arial"/>
          <w:color w:val="000000" w:themeColor="text1"/>
        </w:rPr>
      </w:pPr>
      <w:r w:rsidRPr="00B548D2">
        <w:rPr>
          <w:rFonts w:eastAsia="Arial"/>
          <w:color w:val="000000" w:themeColor="text1"/>
        </w:rPr>
        <w:t>Principle 11: Is subject to continuous revision and improvement.</w:t>
      </w:r>
    </w:p>
    <w:p w14:paraId="529EF9AE" w14:textId="77777777" w:rsidR="000269ED" w:rsidRPr="00B548D2" w:rsidRDefault="000269ED" w:rsidP="00E34F97">
      <w:pPr>
        <w:pStyle w:val="Heading3"/>
      </w:pPr>
      <w:r w:rsidRPr="00B548D2">
        <w:t>2024 Workplan for ESSA Identifications and Exits: CSI, ATSI and TSI</w:t>
      </w:r>
    </w:p>
    <w:p w14:paraId="4735B93A" w14:textId="77777777" w:rsidR="000269ED" w:rsidRPr="00B548D2" w:rsidRDefault="000269ED" w:rsidP="000269ED">
      <w:r w:rsidRPr="00B548D2">
        <w:t xml:space="preserve">California entered a three-year support cycle for CSI and ATSI following the publication of the 2023 Dashboard. Schools that qualified for support based on their Dashboard results will remain identified each year unless they meet the specific exit criteria on subsequent Dashboards. There will be no additional schools identified for CSI or ATSI based on the results of either the 2024 Dashboard or the 2025 Dashboard. However, CDE will identify schools eligible for Targeted Support and Improvement for the first time based on the results of the 2024 Dashboard, and again following the 2025 Dashboard. The criteria for TSI identification in both 2024 and 2025 will be identical to </w:t>
      </w:r>
      <w:r w:rsidRPr="00B548D2">
        <w:lastRenderedPageBreak/>
        <w:t>the criteria used for CSI and ATSI identification in 2023. CDE will make CSI and ATSI identifications again with the release of the 2026 Dashboard.</w:t>
      </w:r>
    </w:p>
    <w:p w14:paraId="62D7BDCD" w14:textId="77777777" w:rsidR="00CC20AB" w:rsidRPr="00B548D2" w:rsidRDefault="00CC20AB" w:rsidP="000269ED">
      <w:pPr>
        <w:sectPr w:rsidR="00CC20AB" w:rsidRPr="00B548D2" w:rsidSect="00D41983">
          <w:headerReference w:type="default" r:id="rId92"/>
          <w:headerReference w:type="first" r:id="rId93"/>
          <w:type w:val="continuous"/>
          <w:pgSz w:w="12240" w:h="15840"/>
          <w:pgMar w:top="1440" w:right="1440" w:bottom="1440" w:left="1440" w:header="720" w:footer="720" w:gutter="0"/>
          <w:pgNumType w:start="1"/>
          <w:cols w:space="720"/>
          <w:docGrid w:linePitch="360"/>
        </w:sectPr>
      </w:pPr>
    </w:p>
    <w:p w14:paraId="430A3E44" w14:textId="61C6885A" w:rsidR="000269ED" w:rsidRPr="009C2DDF" w:rsidRDefault="000269ED" w:rsidP="009C2DDF">
      <w:pPr>
        <w:pStyle w:val="Heading1"/>
        <w:spacing w:after="0"/>
        <w:jc w:val="left"/>
      </w:pPr>
      <w:r w:rsidRPr="00B548D2">
        <w:rPr>
          <w:rFonts w:eastAsia="Arial" w:cs="Arial"/>
          <w:bCs/>
          <w:color w:val="000000" w:themeColor="text1"/>
          <w:szCs w:val="40"/>
        </w:rPr>
        <w:lastRenderedPageBreak/>
        <w:t>Attachment 2</w:t>
      </w:r>
      <w:r w:rsidR="009C2DDF">
        <w:br/>
      </w:r>
      <w:r w:rsidRPr="00B548D2">
        <w:rPr>
          <w:rFonts w:eastAsia="Arial" w:cs="Arial"/>
          <w:bCs/>
          <w:color w:val="000000" w:themeColor="text1"/>
          <w:szCs w:val="40"/>
        </w:rPr>
        <w:t>California School Dashboard Educational Outreach Activities</w:t>
      </w:r>
    </w:p>
    <w:p w14:paraId="7B038BF8" w14:textId="77777777" w:rsidR="000269ED" w:rsidRPr="00B548D2" w:rsidRDefault="000269ED" w:rsidP="00E34F97">
      <w:pPr>
        <w:pStyle w:val="Heading4"/>
      </w:pPr>
      <w:r w:rsidRPr="00B548D2">
        <w:t>Table 1: California Department of Education Policy Work Group Meetings</w:t>
      </w:r>
    </w:p>
    <w:tbl>
      <w:tblPr>
        <w:tblStyle w:val="TableGrid"/>
        <w:tblW w:w="12592"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Caption w:val="Table 1: California Department of Education Policy Work Group Meetings"/>
        <w:tblDescription w:val="Table 1: California Department of Education Policy Work Group Meetings"/>
      </w:tblPr>
      <w:tblGrid>
        <w:gridCol w:w="1972"/>
        <w:gridCol w:w="3420"/>
        <w:gridCol w:w="7200"/>
      </w:tblGrid>
      <w:tr w:rsidR="000269ED" w:rsidRPr="00B548D2" w14:paraId="36385590" w14:textId="77777777" w:rsidTr="008739D8">
        <w:trPr>
          <w:cantSplit/>
          <w:trHeight w:val="300"/>
          <w:tblHeader/>
        </w:trPr>
        <w:tc>
          <w:tcPr>
            <w:tcW w:w="1972" w:type="dxa"/>
            <w:tcBorders>
              <w:top w:val="single" w:sz="6" w:space="0" w:color="auto"/>
              <w:left w:val="single" w:sz="6" w:space="0" w:color="auto"/>
              <w:bottom w:val="single" w:sz="6" w:space="0" w:color="auto"/>
              <w:right w:val="single" w:sz="6" w:space="0" w:color="auto"/>
            </w:tcBorders>
            <w:shd w:val="clear" w:color="auto" w:fill="DEEAF6" w:themeFill="accent1" w:themeFillTint="33"/>
            <w:tcMar>
              <w:left w:w="105" w:type="dxa"/>
              <w:right w:w="105" w:type="dxa"/>
            </w:tcMar>
            <w:vAlign w:val="center"/>
          </w:tcPr>
          <w:p w14:paraId="521D9E0E" w14:textId="77777777" w:rsidR="000269ED" w:rsidRPr="00B548D2" w:rsidRDefault="000269ED">
            <w:pPr>
              <w:spacing w:after="240"/>
              <w:jc w:val="center"/>
              <w:rPr>
                <w:rFonts w:eastAsia="Arial" w:cs="Arial"/>
              </w:rPr>
            </w:pPr>
            <w:r w:rsidRPr="00B548D2">
              <w:rPr>
                <w:rFonts w:eastAsia="Arial" w:cs="Arial"/>
                <w:b/>
                <w:bCs/>
              </w:rPr>
              <w:t>Date</w:t>
            </w:r>
          </w:p>
        </w:tc>
        <w:tc>
          <w:tcPr>
            <w:tcW w:w="3420" w:type="dxa"/>
            <w:tcBorders>
              <w:top w:val="single" w:sz="6" w:space="0" w:color="auto"/>
              <w:left w:val="single" w:sz="6" w:space="0" w:color="auto"/>
              <w:bottom w:val="single" w:sz="6" w:space="0" w:color="auto"/>
              <w:right w:val="single" w:sz="6" w:space="0" w:color="auto"/>
            </w:tcBorders>
            <w:shd w:val="clear" w:color="auto" w:fill="DEEAF6" w:themeFill="accent1" w:themeFillTint="33"/>
            <w:tcMar>
              <w:left w:w="105" w:type="dxa"/>
              <w:right w:w="105" w:type="dxa"/>
            </w:tcMar>
            <w:vAlign w:val="center"/>
          </w:tcPr>
          <w:p w14:paraId="55456DC1" w14:textId="77777777" w:rsidR="000269ED" w:rsidRPr="00B548D2" w:rsidRDefault="000269ED">
            <w:pPr>
              <w:spacing w:after="240"/>
              <w:jc w:val="center"/>
              <w:rPr>
                <w:rFonts w:eastAsia="Arial" w:cs="Arial"/>
              </w:rPr>
            </w:pPr>
            <w:r w:rsidRPr="00B548D2">
              <w:rPr>
                <w:rFonts w:eastAsia="Arial" w:cs="Arial"/>
                <w:b/>
                <w:bCs/>
              </w:rPr>
              <w:t>Title</w:t>
            </w:r>
          </w:p>
        </w:tc>
        <w:tc>
          <w:tcPr>
            <w:tcW w:w="7200" w:type="dxa"/>
            <w:tcBorders>
              <w:top w:val="single" w:sz="6" w:space="0" w:color="auto"/>
              <w:left w:val="single" w:sz="6" w:space="0" w:color="auto"/>
              <w:bottom w:val="single" w:sz="6" w:space="0" w:color="auto"/>
              <w:right w:val="single" w:sz="6" w:space="0" w:color="auto"/>
            </w:tcBorders>
            <w:shd w:val="clear" w:color="auto" w:fill="DEEAF6" w:themeFill="accent1" w:themeFillTint="33"/>
            <w:tcMar>
              <w:left w:w="105" w:type="dxa"/>
              <w:right w:w="105" w:type="dxa"/>
            </w:tcMar>
            <w:vAlign w:val="center"/>
          </w:tcPr>
          <w:p w14:paraId="639069D1" w14:textId="77777777" w:rsidR="000269ED" w:rsidRPr="00B548D2" w:rsidRDefault="000269ED">
            <w:pPr>
              <w:spacing w:after="240"/>
              <w:jc w:val="center"/>
              <w:rPr>
                <w:rFonts w:eastAsia="Arial" w:cs="Arial"/>
              </w:rPr>
            </w:pPr>
            <w:r w:rsidRPr="00B548D2">
              <w:rPr>
                <w:rFonts w:eastAsia="Arial" w:cs="Arial"/>
                <w:b/>
                <w:bCs/>
              </w:rPr>
              <w:t>Topics</w:t>
            </w:r>
          </w:p>
        </w:tc>
      </w:tr>
      <w:tr w:rsidR="000269ED" w:rsidRPr="00B548D2" w14:paraId="23F91525" w14:textId="77777777" w:rsidTr="008739D8">
        <w:trPr>
          <w:cantSplit/>
          <w:trHeight w:val="300"/>
          <w:tblHeader/>
        </w:trPr>
        <w:tc>
          <w:tcPr>
            <w:tcW w:w="197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A37389A" w14:textId="77777777" w:rsidR="000269ED" w:rsidRPr="00B548D2" w:rsidRDefault="000269ED">
            <w:pPr>
              <w:spacing w:after="240"/>
              <w:rPr>
                <w:rFonts w:eastAsia="Arial" w:cs="Arial"/>
                <w:color w:val="000000" w:themeColor="text1"/>
              </w:rPr>
            </w:pPr>
            <w:r w:rsidRPr="00B548D2">
              <w:rPr>
                <w:rFonts w:eastAsia="Arial" w:cs="Arial"/>
                <w:color w:val="000000" w:themeColor="text1"/>
              </w:rPr>
              <w:t>May 16, 2024</w:t>
            </w:r>
          </w:p>
        </w:tc>
        <w:tc>
          <w:tcPr>
            <w:tcW w:w="34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38323C5" w14:textId="0FD8E1AA" w:rsidR="000269ED" w:rsidRPr="00B548D2" w:rsidRDefault="000269ED">
            <w:pPr>
              <w:spacing w:after="240"/>
              <w:rPr>
                <w:rFonts w:eastAsia="Arial" w:cs="Arial"/>
                <w:color w:val="000000" w:themeColor="text1"/>
              </w:rPr>
            </w:pPr>
            <w:r w:rsidRPr="00B548D2">
              <w:rPr>
                <w:rFonts w:eastAsia="Arial" w:cs="Arial"/>
                <w:color w:val="000000" w:themeColor="text1"/>
              </w:rPr>
              <w:t>Technical Design Group Meeting</w:t>
            </w:r>
          </w:p>
        </w:tc>
        <w:tc>
          <w:tcPr>
            <w:tcW w:w="7200" w:type="dxa"/>
            <w:tcBorders>
              <w:top w:val="single" w:sz="6" w:space="0" w:color="auto"/>
              <w:left w:val="single" w:sz="6" w:space="0" w:color="auto"/>
              <w:bottom w:val="single" w:sz="6" w:space="0" w:color="auto"/>
              <w:right w:val="single" w:sz="6" w:space="0" w:color="auto"/>
            </w:tcBorders>
            <w:tcMar>
              <w:left w:w="105" w:type="dxa"/>
              <w:right w:w="105" w:type="dxa"/>
            </w:tcMar>
          </w:tcPr>
          <w:p w14:paraId="78FFFC67" w14:textId="77777777" w:rsidR="000269ED" w:rsidRPr="00B548D2" w:rsidRDefault="000269ED" w:rsidP="00B058BC">
            <w:pPr>
              <w:pStyle w:val="ListParagraph"/>
              <w:numPr>
                <w:ilvl w:val="0"/>
                <w:numId w:val="14"/>
              </w:numPr>
              <w:contextualSpacing/>
              <w:rPr>
                <w:rFonts w:eastAsia="Arial" w:cs="Arial"/>
              </w:rPr>
            </w:pPr>
            <w:r w:rsidRPr="00B548D2">
              <w:rPr>
                <w:rFonts w:eastAsia="Arial" w:cs="Arial"/>
              </w:rPr>
              <w:t>Science Indicator: Methodology</w:t>
            </w:r>
          </w:p>
          <w:p w14:paraId="0F82F255" w14:textId="270984A3" w:rsidR="000269ED" w:rsidRPr="00B548D2" w:rsidRDefault="000269ED" w:rsidP="00B058BC">
            <w:pPr>
              <w:pStyle w:val="ListParagraph"/>
              <w:numPr>
                <w:ilvl w:val="0"/>
                <w:numId w:val="14"/>
              </w:numPr>
              <w:contextualSpacing/>
              <w:rPr>
                <w:rFonts w:eastAsia="Arial" w:cs="Arial"/>
              </w:rPr>
            </w:pPr>
            <w:r w:rsidRPr="00B548D2">
              <w:rPr>
                <w:rFonts w:eastAsia="Arial" w:cs="Arial"/>
              </w:rPr>
              <w:t>New Student Populations: Transitional Kindergarten (TK) and Long-Term English Learners (LTELs)</w:t>
            </w:r>
          </w:p>
          <w:p w14:paraId="2D97648C" w14:textId="77777777" w:rsidR="000269ED" w:rsidRPr="00B548D2" w:rsidRDefault="000269ED" w:rsidP="00B058BC">
            <w:pPr>
              <w:pStyle w:val="ListParagraph"/>
              <w:numPr>
                <w:ilvl w:val="0"/>
                <w:numId w:val="14"/>
              </w:numPr>
              <w:contextualSpacing/>
              <w:rPr>
                <w:rFonts w:eastAsia="Arial" w:cs="Arial"/>
              </w:rPr>
            </w:pPr>
            <w:r w:rsidRPr="00B548D2">
              <w:rPr>
                <w:rFonts w:eastAsia="Arial" w:cs="Arial"/>
              </w:rPr>
              <w:t>Accountability Windows</w:t>
            </w:r>
          </w:p>
        </w:tc>
      </w:tr>
      <w:tr w:rsidR="000269ED" w:rsidRPr="00B548D2" w14:paraId="4B3CD301" w14:textId="77777777" w:rsidTr="008739D8">
        <w:trPr>
          <w:cantSplit/>
          <w:trHeight w:val="300"/>
          <w:tblHeader/>
        </w:trPr>
        <w:tc>
          <w:tcPr>
            <w:tcW w:w="197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5ACEE75" w14:textId="77777777" w:rsidR="000269ED" w:rsidRPr="00B548D2" w:rsidRDefault="000269ED">
            <w:pPr>
              <w:spacing w:after="240"/>
              <w:rPr>
                <w:rFonts w:eastAsia="Arial" w:cs="Arial"/>
                <w:color w:val="000000" w:themeColor="text1"/>
              </w:rPr>
            </w:pPr>
            <w:r w:rsidRPr="00B548D2">
              <w:rPr>
                <w:rFonts w:eastAsia="Arial" w:cs="Arial"/>
              </w:rPr>
              <w:t>June 14, 2024</w:t>
            </w:r>
          </w:p>
        </w:tc>
        <w:tc>
          <w:tcPr>
            <w:tcW w:w="34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644B2F3" w14:textId="3A752D5B" w:rsidR="000269ED" w:rsidRPr="00B548D2" w:rsidRDefault="000269ED">
            <w:pPr>
              <w:spacing w:after="240"/>
              <w:rPr>
                <w:rFonts w:eastAsia="Arial" w:cs="Arial"/>
                <w:color w:val="000000" w:themeColor="text1"/>
              </w:rPr>
            </w:pPr>
            <w:r w:rsidRPr="00B548D2">
              <w:rPr>
                <w:rFonts w:eastAsia="Arial" w:cs="Arial"/>
              </w:rPr>
              <w:t>California Practitioners Advisory Group</w:t>
            </w:r>
          </w:p>
        </w:tc>
        <w:tc>
          <w:tcPr>
            <w:tcW w:w="7200" w:type="dxa"/>
            <w:tcBorders>
              <w:top w:val="single" w:sz="6" w:space="0" w:color="auto"/>
              <w:left w:val="single" w:sz="6" w:space="0" w:color="auto"/>
              <w:bottom w:val="single" w:sz="6" w:space="0" w:color="auto"/>
              <w:right w:val="single" w:sz="6" w:space="0" w:color="auto"/>
            </w:tcBorders>
            <w:tcMar>
              <w:left w:w="105" w:type="dxa"/>
              <w:right w:w="105" w:type="dxa"/>
            </w:tcMar>
          </w:tcPr>
          <w:p w14:paraId="44921A2D" w14:textId="52721A8D" w:rsidR="000269ED" w:rsidRPr="00B548D2" w:rsidRDefault="000269ED" w:rsidP="00B058BC">
            <w:pPr>
              <w:pStyle w:val="ListParagraph"/>
              <w:numPr>
                <w:ilvl w:val="0"/>
                <w:numId w:val="18"/>
              </w:numPr>
              <w:contextualSpacing/>
            </w:pPr>
            <w:r w:rsidRPr="00B548D2">
              <w:t>Science Metric for the Dashboard</w:t>
            </w:r>
          </w:p>
          <w:p w14:paraId="3402FA9A" w14:textId="7E7167BD" w:rsidR="000269ED" w:rsidRPr="00B548D2" w:rsidRDefault="000269ED" w:rsidP="00B058BC">
            <w:pPr>
              <w:pStyle w:val="ListParagraph"/>
              <w:numPr>
                <w:ilvl w:val="0"/>
                <w:numId w:val="17"/>
              </w:numPr>
              <w:contextualSpacing/>
            </w:pPr>
            <w:r w:rsidRPr="00B548D2">
              <w:t>Long-Term English Learners (LTELs)</w:t>
            </w:r>
          </w:p>
          <w:p w14:paraId="7154C002" w14:textId="5FA5B9AA" w:rsidR="000269ED" w:rsidRPr="00B548D2" w:rsidRDefault="000269ED" w:rsidP="00B058BC">
            <w:pPr>
              <w:pStyle w:val="ListParagraph"/>
              <w:numPr>
                <w:ilvl w:val="0"/>
                <w:numId w:val="16"/>
              </w:numPr>
              <w:contextualSpacing/>
            </w:pPr>
            <w:r w:rsidRPr="00B548D2">
              <w:t xml:space="preserve">Local Control Funding Formula (LCFF) </w:t>
            </w:r>
            <w:r w:rsidRPr="00B548D2">
              <w:rPr>
                <w:rFonts w:eastAsia="Arial"/>
              </w:rPr>
              <w:t xml:space="preserve">Differentiated Assistance </w:t>
            </w:r>
            <w:r w:rsidRPr="00B548D2">
              <w:t xml:space="preserve">(DA) </w:t>
            </w:r>
            <w:r w:rsidRPr="00B548D2">
              <w:rPr>
                <w:rFonts w:eastAsia="Arial"/>
              </w:rPr>
              <w:t>Criteria</w:t>
            </w:r>
          </w:p>
          <w:p w14:paraId="5B56F34D" w14:textId="73D0A045" w:rsidR="000269ED" w:rsidRPr="00B548D2" w:rsidRDefault="000269ED" w:rsidP="00B058BC">
            <w:pPr>
              <w:pStyle w:val="ListParagraph"/>
              <w:numPr>
                <w:ilvl w:val="0"/>
                <w:numId w:val="15"/>
              </w:numPr>
              <w:contextualSpacing/>
            </w:pPr>
            <w:r w:rsidRPr="00B548D2">
              <w:t>Every Student Succeeds Act (ESSA) Eligibility</w:t>
            </w:r>
          </w:p>
          <w:p w14:paraId="31C0C470" w14:textId="06F3CFA8" w:rsidR="000269ED" w:rsidRPr="00B548D2" w:rsidRDefault="000269ED" w:rsidP="00B058BC">
            <w:pPr>
              <w:pStyle w:val="ListParagraph"/>
              <w:numPr>
                <w:ilvl w:val="0"/>
                <w:numId w:val="14"/>
              </w:numPr>
              <w:contextualSpacing/>
              <w:rPr>
                <w:rFonts w:eastAsia="Arial" w:cs="Arial"/>
              </w:rPr>
            </w:pPr>
            <w:r w:rsidRPr="00B548D2">
              <w:t>Targeted Support and Improvement (TSI) Criteria</w:t>
            </w:r>
          </w:p>
        </w:tc>
      </w:tr>
    </w:tbl>
    <w:p w14:paraId="7777B0CA" w14:textId="77777777" w:rsidR="000269ED" w:rsidRPr="00B548D2" w:rsidRDefault="000269ED" w:rsidP="008739D8">
      <w:pPr>
        <w:pStyle w:val="Heading4"/>
      </w:pPr>
      <w:r w:rsidRPr="00B548D2">
        <w:t>Table 2: Presentations at In-person Meetings/Conferences</w:t>
      </w:r>
    </w:p>
    <w:tbl>
      <w:tblPr>
        <w:tblStyle w:val="TableGrid"/>
        <w:tblW w:w="12592"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332"/>
        <w:gridCol w:w="3330"/>
        <w:gridCol w:w="1710"/>
        <w:gridCol w:w="5220"/>
      </w:tblGrid>
      <w:tr w:rsidR="000269ED" w:rsidRPr="00B548D2" w14:paraId="68FE0493" w14:textId="77777777" w:rsidTr="008739D8">
        <w:trPr>
          <w:cantSplit/>
          <w:trHeight w:val="300"/>
          <w:tblHeader/>
        </w:trPr>
        <w:tc>
          <w:tcPr>
            <w:tcW w:w="2332" w:type="dxa"/>
            <w:tcBorders>
              <w:top w:val="single" w:sz="6" w:space="0" w:color="auto"/>
              <w:left w:val="single" w:sz="6" w:space="0" w:color="auto"/>
              <w:bottom w:val="single" w:sz="6" w:space="0" w:color="auto"/>
              <w:right w:val="single" w:sz="6" w:space="0" w:color="auto"/>
            </w:tcBorders>
            <w:shd w:val="clear" w:color="auto" w:fill="DEEAF6" w:themeFill="accent1" w:themeFillTint="33"/>
            <w:tcMar>
              <w:left w:w="105" w:type="dxa"/>
              <w:right w:w="105" w:type="dxa"/>
            </w:tcMar>
            <w:vAlign w:val="center"/>
          </w:tcPr>
          <w:p w14:paraId="45C63702" w14:textId="77777777" w:rsidR="000269ED" w:rsidRPr="00B548D2" w:rsidRDefault="000269ED">
            <w:pPr>
              <w:spacing w:after="240"/>
              <w:jc w:val="center"/>
              <w:rPr>
                <w:rFonts w:eastAsia="Arial" w:cs="Arial"/>
              </w:rPr>
            </w:pPr>
            <w:r w:rsidRPr="00B548D2">
              <w:rPr>
                <w:rFonts w:eastAsia="Arial" w:cs="Arial"/>
                <w:b/>
                <w:bCs/>
              </w:rPr>
              <w:t>Date</w:t>
            </w:r>
          </w:p>
        </w:tc>
        <w:tc>
          <w:tcPr>
            <w:tcW w:w="3330" w:type="dxa"/>
            <w:tcBorders>
              <w:top w:val="single" w:sz="6" w:space="0" w:color="auto"/>
              <w:left w:val="single" w:sz="6" w:space="0" w:color="auto"/>
              <w:bottom w:val="single" w:sz="6" w:space="0" w:color="auto"/>
              <w:right w:val="single" w:sz="6" w:space="0" w:color="auto"/>
            </w:tcBorders>
            <w:shd w:val="clear" w:color="auto" w:fill="DEEAF6" w:themeFill="accent1" w:themeFillTint="33"/>
            <w:tcMar>
              <w:left w:w="105" w:type="dxa"/>
              <w:right w:w="105" w:type="dxa"/>
            </w:tcMar>
            <w:vAlign w:val="center"/>
          </w:tcPr>
          <w:p w14:paraId="60392ADB" w14:textId="77777777" w:rsidR="000269ED" w:rsidRPr="00B548D2" w:rsidRDefault="000269ED">
            <w:pPr>
              <w:spacing w:after="240"/>
              <w:jc w:val="center"/>
              <w:rPr>
                <w:rFonts w:eastAsia="Arial" w:cs="Arial"/>
              </w:rPr>
            </w:pPr>
            <w:r w:rsidRPr="00B548D2">
              <w:rPr>
                <w:rFonts w:eastAsia="Arial" w:cs="Arial"/>
                <w:b/>
                <w:bCs/>
              </w:rPr>
              <w:t>Title</w:t>
            </w:r>
          </w:p>
        </w:tc>
        <w:tc>
          <w:tcPr>
            <w:tcW w:w="1710" w:type="dxa"/>
            <w:tcBorders>
              <w:top w:val="single" w:sz="6" w:space="0" w:color="auto"/>
              <w:left w:val="single" w:sz="6" w:space="0" w:color="auto"/>
              <w:bottom w:val="single" w:sz="6" w:space="0" w:color="auto"/>
              <w:right w:val="single" w:sz="6" w:space="0" w:color="auto"/>
            </w:tcBorders>
            <w:shd w:val="clear" w:color="auto" w:fill="DEEAF6" w:themeFill="accent1" w:themeFillTint="33"/>
            <w:tcMar>
              <w:left w:w="105" w:type="dxa"/>
              <w:right w:w="105" w:type="dxa"/>
            </w:tcMar>
            <w:vAlign w:val="center"/>
          </w:tcPr>
          <w:p w14:paraId="0C2DF951" w14:textId="77777777" w:rsidR="000269ED" w:rsidRPr="00B548D2" w:rsidRDefault="000269ED">
            <w:pPr>
              <w:spacing w:after="240"/>
              <w:jc w:val="center"/>
              <w:rPr>
                <w:rFonts w:eastAsia="Arial" w:cs="Arial"/>
              </w:rPr>
            </w:pPr>
            <w:r w:rsidRPr="00B548D2">
              <w:rPr>
                <w:rFonts w:eastAsia="Arial" w:cs="Arial"/>
                <w:b/>
                <w:bCs/>
              </w:rPr>
              <w:t>Estimated Number of Attendees</w:t>
            </w:r>
          </w:p>
        </w:tc>
        <w:tc>
          <w:tcPr>
            <w:tcW w:w="5220" w:type="dxa"/>
            <w:tcBorders>
              <w:top w:val="single" w:sz="6" w:space="0" w:color="auto"/>
              <w:left w:val="single" w:sz="6" w:space="0" w:color="auto"/>
              <w:bottom w:val="single" w:sz="6" w:space="0" w:color="auto"/>
              <w:right w:val="single" w:sz="6" w:space="0" w:color="auto"/>
            </w:tcBorders>
            <w:shd w:val="clear" w:color="auto" w:fill="DEEAF6" w:themeFill="accent1" w:themeFillTint="33"/>
            <w:tcMar>
              <w:left w:w="105" w:type="dxa"/>
              <w:right w:w="105" w:type="dxa"/>
            </w:tcMar>
            <w:vAlign w:val="center"/>
          </w:tcPr>
          <w:p w14:paraId="5AC23F2A" w14:textId="77777777" w:rsidR="000269ED" w:rsidRPr="00B548D2" w:rsidRDefault="000269ED">
            <w:pPr>
              <w:spacing w:after="240"/>
              <w:jc w:val="center"/>
              <w:rPr>
                <w:rFonts w:eastAsia="Arial" w:cs="Arial"/>
              </w:rPr>
            </w:pPr>
            <w:r w:rsidRPr="00B548D2">
              <w:rPr>
                <w:rFonts w:eastAsia="Arial" w:cs="Arial"/>
                <w:b/>
                <w:bCs/>
              </w:rPr>
              <w:t>Topics</w:t>
            </w:r>
          </w:p>
        </w:tc>
      </w:tr>
      <w:tr w:rsidR="000269ED" w:rsidRPr="00B548D2" w14:paraId="61FC7BD5" w14:textId="77777777" w:rsidTr="003A4E00">
        <w:trPr>
          <w:trHeight w:val="300"/>
        </w:trPr>
        <w:tc>
          <w:tcPr>
            <w:tcW w:w="233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4025ED4" w14:textId="77777777" w:rsidR="000269ED" w:rsidRPr="00B548D2" w:rsidRDefault="000269ED">
            <w:pPr>
              <w:rPr>
                <w:rFonts w:eastAsia="Arial" w:cs="Arial"/>
                <w:color w:val="000000" w:themeColor="text1"/>
              </w:rPr>
            </w:pPr>
            <w:r w:rsidRPr="00B548D2">
              <w:rPr>
                <w:rFonts w:eastAsia="Arial" w:cs="Arial"/>
                <w:color w:val="000000" w:themeColor="text1"/>
              </w:rPr>
              <w:t>February 21 - 24, 2024</w:t>
            </w:r>
          </w:p>
        </w:tc>
        <w:tc>
          <w:tcPr>
            <w:tcW w:w="33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9FCECA5" w14:textId="77777777" w:rsidR="000269ED" w:rsidRPr="00B548D2" w:rsidRDefault="000269ED">
            <w:pPr>
              <w:rPr>
                <w:rFonts w:eastAsia="Arial" w:cs="Arial"/>
                <w:color w:val="000000" w:themeColor="text1"/>
              </w:rPr>
            </w:pPr>
            <w:r w:rsidRPr="00B548D2">
              <w:rPr>
                <w:rFonts w:eastAsia="Arial" w:cs="Arial"/>
                <w:color w:val="000000" w:themeColor="text1"/>
              </w:rPr>
              <w:t>California Association for Bilingual Education (CABE)</w:t>
            </w:r>
          </w:p>
        </w:tc>
        <w:tc>
          <w:tcPr>
            <w:tcW w:w="1710"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170F32B6" w14:textId="77777777" w:rsidR="000269ED" w:rsidRPr="00B548D2" w:rsidRDefault="000269ED">
            <w:pPr>
              <w:jc w:val="center"/>
              <w:rPr>
                <w:rFonts w:eastAsia="Arial" w:cs="Arial"/>
              </w:rPr>
            </w:pPr>
            <w:r w:rsidRPr="00B548D2">
              <w:rPr>
                <w:rFonts w:eastAsia="Arial" w:cs="Arial"/>
              </w:rPr>
              <w:t>180</w:t>
            </w:r>
          </w:p>
          <w:p w14:paraId="3D192F82" w14:textId="77777777" w:rsidR="000269ED" w:rsidRPr="00B548D2" w:rsidRDefault="000269ED">
            <w:pPr>
              <w:jc w:val="center"/>
              <w:rPr>
                <w:rFonts w:eastAsia="Arial" w:cs="Arial"/>
              </w:rPr>
            </w:pPr>
          </w:p>
        </w:tc>
        <w:tc>
          <w:tcPr>
            <w:tcW w:w="52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A405B55" w14:textId="77777777" w:rsidR="000269ED" w:rsidRPr="00B548D2" w:rsidRDefault="000269ED" w:rsidP="00B058BC">
            <w:pPr>
              <w:pStyle w:val="ListParagraph"/>
              <w:numPr>
                <w:ilvl w:val="0"/>
                <w:numId w:val="13"/>
              </w:numPr>
              <w:spacing w:after="0"/>
              <w:contextualSpacing/>
              <w:rPr>
                <w:rFonts w:eastAsia="Arial" w:cs="Arial"/>
              </w:rPr>
            </w:pPr>
            <w:r w:rsidRPr="00B548D2">
              <w:rPr>
                <w:rFonts w:eastAsia="Arial" w:cs="Arial"/>
              </w:rPr>
              <w:t>English Learner Students and the 2023 Dashboard.</w:t>
            </w:r>
          </w:p>
        </w:tc>
      </w:tr>
      <w:tr w:rsidR="000269ED" w:rsidRPr="00B548D2" w14:paraId="61B867A5" w14:textId="77777777" w:rsidTr="003A4E00">
        <w:trPr>
          <w:trHeight w:val="300"/>
        </w:trPr>
        <w:tc>
          <w:tcPr>
            <w:tcW w:w="233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E277DCF" w14:textId="77777777" w:rsidR="000269ED" w:rsidRPr="00B548D2" w:rsidRDefault="000269ED">
            <w:pPr>
              <w:rPr>
                <w:rFonts w:eastAsia="Arial" w:cs="Arial"/>
                <w:color w:val="000000" w:themeColor="text1"/>
              </w:rPr>
            </w:pPr>
            <w:r w:rsidRPr="00B548D2">
              <w:rPr>
                <w:rFonts w:eastAsia="Arial" w:cs="Arial"/>
                <w:color w:val="000000" w:themeColor="text1"/>
              </w:rPr>
              <w:t>February 14, 2024</w:t>
            </w:r>
          </w:p>
        </w:tc>
        <w:tc>
          <w:tcPr>
            <w:tcW w:w="33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C124976" w14:textId="5D2E424D" w:rsidR="000269ED" w:rsidRPr="00B548D2" w:rsidRDefault="000269ED">
            <w:pPr>
              <w:rPr>
                <w:rFonts w:eastAsia="Arial" w:cs="Arial"/>
                <w:color w:val="000000" w:themeColor="text1"/>
              </w:rPr>
            </w:pPr>
            <w:r w:rsidRPr="00B548D2">
              <w:rPr>
                <w:rFonts w:eastAsia="Arial" w:cs="Arial"/>
                <w:color w:val="000000" w:themeColor="text1"/>
              </w:rPr>
              <w:t>Bilingual Coordinators Network</w:t>
            </w:r>
            <w:r w:rsidR="0013192E" w:rsidRPr="00B548D2">
              <w:rPr>
                <w:rFonts w:eastAsia="Arial" w:cs="Arial"/>
                <w:color w:val="000000" w:themeColor="text1"/>
              </w:rPr>
              <w:t xml:space="preserve"> (BCN)</w:t>
            </w:r>
          </w:p>
        </w:tc>
        <w:tc>
          <w:tcPr>
            <w:tcW w:w="1710"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249916D9" w14:textId="77777777" w:rsidR="000269ED" w:rsidRPr="00B548D2" w:rsidRDefault="000269ED">
            <w:pPr>
              <w:jc w:val="center"/>
              <w:rPr>
                <w:rFonts w:eastAsia="Arial" w:cs="Arial"/>
              </w:rPr>
            </w:pPr>
            <w:r w:rsidRPr="00B548D2">
              <w:rPr>
                <w:rFonts w:eastAsia="Arial" w:cs="Arial"/>
              </w:rPr>
              <w:t>100</w:t>
            </w:r>
          </w:p>
        </w:tc>
        <w:tc>
          <w:tcPr>
            <w:tcW w:w="52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00E5AA6" w14:textId="77777777" w:rsidR="000269ED" w:rsidRPr="00B548D2" w:rsidRDefault="000269ED" w:rsidP="00B058BC">
            <w:pPr>
              <w:pStyle w:val="ListParagraph"/>
              <w:numPr>
                <w:ilvl w:val="0"/>
                <w:numId w:val="13"/>
              </w:numPr>
              <w:spacing w:after="0"/>
              <w:contextualSpacing/>
              <w:rPr>
                <w:rFonts w:eastAsia="Arial" w:cs="Arial"/>
              </w:rPr>
            </w:pPr>
            <w:r w:rsidRPr="00B548D2">
              <w:rPr>
                <w:rFonts w:eastAsiaTheme="minorEastAsia" w:cs="Arial"/>
              </w:rPr>
              <w:t>English Learner Students and the 2023 Dashboard</w:t>
            </w:r>
          </w:p>
        </w:tc>
      </w:tr>
      <w:tr w:rsidR="00F57954" w:rsidRPr="00B548D2" w14:paraId="0E514811" w14:textId="77777777" w:rsidTr="003A4E00">
        <w:trPr>
          <w:trHeight w:val="300"/>
        </w:trPr>
        <w:tc>
          <w:tcPr>
            <w:tcW w:w="233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F339B9D" w14:textId="6D099AEF" w:rsidR="00F57954" w:rsidRPr="00B548D2" w:rsidRDefault="00C8188E">
            <w:pPr>
              <w:rPr>
                <w:rFonts w:eastAsia="Arial" w:cs="Arial"/>
              </w:rPr>
            </w:pPr>
            <w:r w:rsidRPr="00B548D2">
              <w:rPr>
                <w:rFonts w:eastAsia="Arial" w:cs="Arial"/>
              </w:rPr>
              <w:lastRenderedPageBreak/>
              <w:t xml:space="preserve">April </w:t>
            </w:r>
            <w:r w:rsidR="000E51BA" w:rsidRPr="00B548D2">
              <w:rPr>
                <w:rFonts w:eastAsia="Arial" w:cs="Arial"/>
              </w:rPr>
              <w:t>12-14, 2024</w:t>
            </w:r>
          </w:p>
        </w:tc>
        <w:tc>
          <w:tcPr>
            <w:tcW w:w="333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9E59725" w14:textId="705936AE" w:rsidR="00F57954" w:rsidRPr="00B548D2" w:rsidRDefault="00C8188E">
            <w:pPr>
              <w:rPr>
                <w:rFonts w:eastAsia="Arial" w:cs="Arial"/>
              </w:rPr>
            </w:pPr>
            <w:r w:rsidRPr="00B548D2">
              <w:rPr>
                <w:rFonts w:eastAsia="Arial" w:cs="Arial"/>
              </w:rPr>
              <w:t>2024 National Council on Measurement in Education (NCME) Annual Meeting – Philadelphia, PA</w:t>
            </w:r>
          </w:p>
        </w:tc>
        <w:tc>
          <w:tcPr>
            <w:tcW w:w="1710" w:type="dxa"/>
            <w:tcBorders>
              <w:top w:val="single" w:sz="6" w:space="0" w:color="auto"/>
              <w:left w:val="single" w:sz="6" w:space="0" w:color="auto"/>
              <w:bottom w:val="single" w:sz="6" w:space="0" w:color="auto"/>
              <w:right w:val="single" w:sz="6" w:space="0" w:color="auto"/>
            </w:tcBorders>
            <w:shd w:val="clear" w:color="auto" w:fill="auto"/>
            <w:tcMar>
              <w:left w:w="105" w:type="dxa"/>
              <w:right w:w="105" w:type="dxa"/>
            </w:tcMar>
          </w:tcPr>
          <w:p w14:paraId="27E460BA" w14:textId="4F7E16FB" w:rsidR="00384145" w:rsidRPr="00B548D2" w:rsidRDefault="00384145" w:rsidP="009004F6">
            <w:pPr>
              <w:jc w:val="center"/>
              <w:rPr>
                <w:rFonts w:eastAsia="Arial"/>
                <w:shd w:val="clear" w:color="auto" w:fill="FFFF00"/>
              </w:rPr>
            </w:pPr>
            <w:r w:rsidRPr="00B548D2">
              <w:rPr>
                <w:rFonts w:eastAsia="Arial" w:cs="Arial"/>
              </w:rPr>
              <w:t>120</w:t>
            </w:r>
          </w:p>
        </w:tc>
        <w:tc>
          <w:tcPr>
            <w:tcW w:w="52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F5F83D4" w14:textId="42CB90AA" w:rsidR="00F57954" w:rsidRPr="00B548D2" w:rsidRDefault="00767EE5" w:rsidP="00B058BC">
            <w:pPr>
              <w:pStyle w:val="ListParagraph"/>
              <w:numPr>
                <w:ilvl w:val="0"/>
                <w:numId w:val="13"/>
              </w:numPr>
              <w:spacing w:after="0"/>
              <w:contextualSpacing/>
              <w:rPr>
                <w:rFonts w:eastAsia="Arial" w:cs="Arial"/>
              </w:rPr>
            </w:pPr>
            <w:r w:rsidRPr="00B548D2">
              <w:rPr>
                <w:rFonts w:eastAsia="Arial" w:cs="Arial"/>
              </w:rPr>
              <w:t>“A State’s Journey of Communicating School/District Summaries of Student Growth” – co-presented with Educational Testing Service (ETS)</w:t>
            </w:r>
          </w:p>
        </w:tc>
      </w:tr>
    </w:tbl>
    <w:p w14:paraId="48E8DC0E" w14:textId="77777777" w:rsidR="000269ED" w:rsidRPr="00B548D2" w:rsidRDefault="000269ED" w:rsidP="008739D8">
      <w:pPr>
        <w:pStyle w:val="Heading4"/>
      </w:pPr>
      <w:r w:rsidRPr="00B548D2">
        <w:t>Table 3: Presentations/Virtual Meetings</w:t>
      </w:r>
    </w:p>
    <w:tbl>
      <w:tblPr>
        <w:tblStyle w:val="TableGrid"/>
        <w:tblW w:w="12682"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Caption w:val="Table 3: Presentations/Virtual Meetings"/>
        <w:tblDescription w:val="Table 3: Presentations/Virtual Meetings"/>
      </w:tblPr>
      <w:tblGrid>
        <w:gridCol w:w="1882"/>
        <w:gridCol w:w="3240"/>
        <w:gridCol w:w="2250"/>
        <w:gridCol w:w="5310"/>
      </w:tblGrid>
      <w:tr w:rsidR="000269ED" w:rsidRPr="00B548D2" w14:paraId="25CC7C5E" w14:textId="77777777" w:rsidTr="008739D8">
        <w:trPr>
          <w:cantSplit/>
          <w:trHeight w:val="300"/>
          <w:tblHeader/>
        </w:trPr>
        <w:tc>
          <w:tcPr>
            <w:tcW w:w="1882" w:type="dxa"/>
            <w:tcBorders>
              <w:top w:val="single" w:sz="6" w:space="0" w:color="auto"/>
              <w:left w:val="single" w:sz="6" w:space="0" w:color="auto"/>
              <w:bottom w:val="single" w:sz="6" w:space="0" w:color="auto"/>
              <w:right w:val="single" w:sz="6" w:space="0" w:color="auto"/>
            </w:tcBorders>
            <w:shd w:val="clear" w:color="auto" w:fill="DEEAF6" w:themeFill="accent1" w:themeFillTint="33"/>
            <w:tcMar>
              <w:left w:w="105" w:type="dxa"/>
              <w:right w:w="105" w:type="dxa"/>
            </w:tcMar>
            <w:vAlign w:val="center"/>
          </w:tcPr>
          <w:p w14:paraId="284EF1FF" w14:textId="77777777" w:rsidR="000269ED" w:rsidRPr="00B548D2" w:rsidRDefault="000269ED">
            <w:pPr>
              <w:spacing w:after="240"/>
              <w:jc w:val="center"/>
              <w:rPr>
                <w:rFonts w:eastAsia="Arial" w:cs="Arial"/>
              </w:rPr>
            </w:pPr>
            <w:r w:rsidRPr="00B548D2">
              <w:rPr>
                <w:rFonts w:eastAsia="Arial" w:cs="Arial"/>
                <w:b/>
                <w:bCs/>
              </w:rPr>
              <w:t>Date</w:t>
            </w:r>
          </w:p>
        </w:tc>
        <w:tc>
          <w:tcPr>
            <w:tcW w:w="3240" w:type="dxa"/>
            <w:tcBorders>
              <w:top w:val="single" w:sz="6" w:space="0" w:color="auto"/>
              <w:left w:val="single" w:sz="6" w:space="0" w:color="auto"/>
              <w:bottom w:val="single" w:sz="6" w:space="0" w:color="auto"/>
              <w:right w:val="single" w:sz="6" w:space="0" w:color="auto"/>
            </w:tcBorders>
            <w:shd w:val="clear" w:color="auto" w:fill="DEEAF6" w:themeFill="accent1" w:themeFillTint="33"/>
            <w:tcMar>
              <w:left w:w="105" w:type="dxa"/>
              <w:right w:w="105" w:type="dxa"/>
            </w:tcMar>
            <w:vAlign w:val="center"/>
          </w:tcPr>
          <w:p w14:paraId="77A68AD1" w14:textId="77777777" w:rsidR="000269ED" w:rsidRPr="00B548D2" w:rsidRDefault="000269ED">
            <w:pPr>
              <w:spacing w:after="240"/>
              <w:jc w:val="center"/>
              <w:rPr>
                <w:rFonts w:eastAsia="Arial" w:cs="Arial"/>
              </w:rPr>
            </w:pPr>
            <w:r w:rsidRPr="00B548D2">
              <w:rPr>
                <w:rFonts w:eastAsia="Arial" w:cs="Arial"/>
                <w:b/>
                <w:bCs/>
              </w:rPr>
              <w:t>Title</w:t>
            </w:r>
          </w:p>
        </w:tc>
        <w:tc>
          <w:tcPr>
            <w:tcW w:w="2250" w:type="dxa"/>
            <w:tcBorders>
              <w:top w:val="single" w:sz="6" w:space="0" w:color="auto"/>
              <w:left w:val="single" w:sz="6" w:space="0" w:color="auto"/>
              <w:bottom w:val="single" w:sz="6" w:space="0" w:color="auto"/>
              <w:right w:val="single" w:sz="6" w:space="0" w:color="auto"/>
            </w:tcBorders>
            <w:shd w:val="clear" w:color="auto" w:fill="DEEAF6" w:themeFill="accent1" w:themeFillTint="33"/>
            <w:tcMar>
              <w:left w:w="105" w:type="dxa"/>
              <w:right w:w="105" w:type="dxa"/>
            </w:tcMar>
            <w:vAlign w:val="center"/>
          </w:tcPr>
          <w:p w14:paraId="4B286332" w14:textId="77777777" w:rsidR="000269ED" w:rsidRPr="00B548D2" w:rsidRDefault="000269ED">
            <w:pPr>
              <w:spacing w:after="240"/>
              <w:jc w:val="center"/>
              <w:rPr>
                <w:rFonts w:eastAsia="Arial" w:cs="Arial"/>
              </w:rPr>
            </w:pPr>
            <w:r w:rsidRPr="00B548D2">
              <w:rPr>
                <w:rFonts w:eastAsia="Arial" w:cs="Arial"/>
                <w:b/>
                <w:bCs/>
              </w:rPr>
              <w:t>Estimated Number of Attendees</w:t>
            </w:r>
          </w:p>
        </w:tc>
        <w:tc>
          <w:tcPr>
            <w:tcW w:w="5310" w:type="dxa"/>
            <w:tcBorders>
              <w:top w:val="single" w:sz="6" w:space="0" w:color="auto"/>
              <w:left w:val="single" w:sz="6" w:space="0" w:color="auto"/>
              <w:bottom w:val="single" w:sz="6" w:space="0" w:color="auto"/>
              <w:right w:val="single" w:sz="6" w:space="0" w:color="auto"/>
            </w:tcBorders>
            <w:shd w:val="clear" w:color="auto" w:fill="DEEAF6" w:themeFill="accent1" w:themeFillTint="33"/>
            <w:tcMar>
              <w:left w:w="105" w:type="dxa"/>
              <w:right w:w="105" w:type="dxa"/>
            </w:tcMar>
            <w:vAlign w:val="center"/>
          </w:tcPr>
          <w:p w14:paraId="677244F6" w14:textId="77777777" w:rsidR="000269ED" w:rsidRPr="00B548D2" w:rsidRDefault="000269ED">
            <w:pPr>
              <w:spacing w:after="240"/>
              <w:jc w:val="center"/>
              <w:rPr>
                <w:rFonts w:eastAsia="Arial" w:cs="Arial"/>
              </w:rPr>
            </w:pPr>
            <w:r w:rsidRPr="00B548D2">
              <w:rPr>
                <w:rFonts w:eastAsia="Arial" w:cs="Arial"/>
                <w:b/>
                <w:bCs/>
              </w:rPr>
              <w:t>Topics</w:t>
            </w:r>
          </w:p>
        </w:tc>
      </w:tr>
      <w:tr w:rsidR="00D912E8" w:rsidRPr="00B548D2" w14:paraId="0E3599F6" w14:textId="77777777" w:rsidTr="008739D8">
        <w:trPr>
          <w:cantSplit/>
          <w:trHeight w:val="300"/>
        </w:trPr>
        <w:tc>
          <w:tcPr>
            <w:tcW w:w="1882" w:type="dxa"/>
            <w:tcBorders>
              <w:top w:val="single" w:sz="6" w:space="0" w:color="auto"/>
              <w:left w:val="single" w:sz="6" w:space="0" w:color="auto"/>
              <w:bottom w:val="single" w:sz="6" w:space="0" w:color="auto"/>
              <w:right w:val="single" w:sz="6" w:space="0" w:color="auto"/>
            </w:tcBorders>
            <w:tcMar>
              <w:left w:w="105" w:type="dxa"/>
              <w:right w:w="105" w:type="dxa"/>
            </w:tcMar>
          </w:tcPr>
          <w:p w14:paraId="276C7E6B" w14:textId="65BDC54D" w:rsidR="00D912E8" w:rsidRPr="00B548D2" w:rsidRDefault="00F04C7A" w:rsidP="00D912E8">
            <w:pPr>
              <w:rPr>
                <w:rFonts w:eastAsia="Arial" w:cs="Arial"/>
              </w:rPr>
            </w:pPr>
            <w:r w:rsidRPr="00B548D2">
              <w:rPr>
                <w:rFonts w:eastAsia="Arial" w:cs="Arial"/>
              </w:rPr>
              <w:t>April</w:t>
            </w:r>
            <w:r w:rsidR="00782A81" w:rsidRPr="00B548D2">
              <w:rPr>
                <w:rFonts w:eastAsia="Arial" w:cs="Arial"/>
              </w:rPr>
              <w:t xml:space="preserve"> 11, </w:t>
            </w:r>
            <w:r w:rsidR="00D912E8" w:rsidRPr="00B548D2">
              <w:rPr>
                <w:rFonts w:eastAsia="Arial" w:cs="Arial"/>
              </w:rPr>
              <w:t>2024</w:t>
            </w:r>
          </w:p>
        </w:tc>
        <w:tc>
          <w:tcPr>
            <w:tcW w:w="3240" w:type="dxa"/>
            <w:tcBorders>
              <w:top w:val="single" w:sz="6" w:space="0" w:color="auto"/>
              <w:left w:val="single" w:sz="6" w:space="0" w:color="auto"/>
              <w:bottom w:val="single" w:sz="6" w:space="0" w:color="auto"/>
              <w:right w:val="single" w:sz="6" w:space="0" w:color="auto"/>
            </w:tcBorders>
            <w:tcMar>
              <w:left w:w="105" w:type="dxa"/>
              <w:right w:w="105" w:type="dxa"/>
            </w:tcMar>
          </w:tcPr>
          <w:p w14:paraId="083A9DED" w14:textId="15FDCF5D" w:rsidR="00D912E8" w:rsidRPr="00B548D2" w:rsidRDefault="00D912E8" w:rsidP="00D912E8">
            <w:pPr>
              <w:rPr>
                <w:rFonts w:eastAsia="Arial" w:cs="Arial"/>
              </w:rPr>
            </w:pPr>
            <w:r w:rsidRPr="00B548D2">
              <w:rPr>
                <w:rFonts w:eastAsia="Arial" w:cs="Arial"/>
              </w:rPr>
              <w:t xml:space="preserve">Additional Targeted Support and Improvement: </w:t>
            </w:r>
            <w:r w:rsidR="00F04C7A" w:rsidRPr="00B548D2">
              <w:t>Planning and Support</w:t>
            </w:r>
          </w:p>
        </w:tc>
        <w:tc>
          <w:tcPr>
            <w:tcW w:w="2250" w:type="dxa"/>
            <w:tcBorders>
              <w:top w:val="single" w:sz="6" w:space="0" w:color="auto"/>
              <w:left w:val="single" w:sz="6" w:space="0" w:color="auto"/>
              <w:bottom w:val="single" w:sz="6" w:space="0" w:color="auto"/>
              <w:right w:val="single" w:sz="6" w:space="0" w:color="auto"/>
            </w:tcBorders>
            <w:tcMar>
              <w:left w:w="105" w:type="dxa"/>
              <w:right w:w="105" w:type="dxa"/>
            </w:tcMar>
          </w:tcPr>
          <w:p w14:paraId="4BC93269" w14:textId="0D0A24EA" w:rsidR="00D912E8" w:rsidRPr="00B548D2" w:rsidRDefault="00D912E8" w:rsidP="00D912E8">
            <w:pPr>
              <w:jc w:val="center"/>
              <w:rPr>
                <w:rFonts w:eastAsia="Arial" w:cs="Arial"/>
              </w:rPr>
            </w:pPr>
            <w:r w:rsidRPr="00B548D2">
              <w:t>320</w:t>
            </w:r>
          </w:p>
        </w:tc>
        <w:tc>
          <w:tcPr>
            <w:tcW w:w="5310" w:type="dxa"/>
            <w:tcBorders>
              <w:top w:val="single" w:sz="6" w:space="0" w:color="auto"/>
              <w:left w:val="single" w:sz="6" w:space="0" w:color="auto"/>
              <w:bottom w:val="single" w:sz="6" w:space="0" w:color="auto"/>
              <w:right w:val="single" w:sz="6" w:space="0" w:color="auto"/>
            </w:tcBorders>
            <w:tcMar>
              <w:left w:w="105" w:type="dxa"/>
              <w:right w:w="105" w:type="dxa"/>
            </w:tcMar>
          </w:tcPr>
          <w:p w14:paraId="009FD185" w14:textId="5936E48C" w:rsidR="00D912E8" w:rsidRPr="00B548D2" w:rsidRDefault="00D912E8" w:rsidP="00D912E8">
            <w:pPr>
              <w:pStyle w:val="ListParagraph"/>
              <w:numPr>
                <w:ilvl w:val="0"/>
                <w:numId w:val="13"/>
              </w:numPr>
              <w:spacing w:after="0"/>
              <w:contextualSpacing/>
              <w:rPr>
                <w:rFonts w:eastAsia="Arial" w:cs="Arial"/>
              </w:rPr>
            </w:pPr>
            <w:r w:rsidRPr="00B548D2">
              <w:t>ATSI</w:t>
            </w:r>
          </w:p>
        </w:tc>
      </w:tr>
      <w:tr w:rsidR="00FB667C" w:rsidRPr="00B548D2" w14:paraId="3E51D314" w14:textId="77777777" w:rsidTr="008739D8">
        <w:trPr>
          <w:cantSplit/>
          <w:trHeight w:val="300"/>
        </w:trPr>
        <w:tc>
          <w:tcPr>
            <w:tcW w:w="1882" w:type="dxa"/>
            <w:tcBorders>
              <w:top w:val="single" w:sz="6" w:space="0" w:color="auto"/>
              <w:left w:val="single" w:sz="6" w:space="0" w:color="auto"/>
              <w:bottom w:val="single" w:sz="6" w:space="0" w:color="auto"/>
              <w:right w:val="single" w:sz="6" w:space="0" w:color="auto"/>
            </w:tcBorders>
            <w:tcMar>
              <w:left w:w="105" w:type="dxa"/>
              <w:right w:w="105" w:type="dxa"/>
            </w:tcMar>
          </w:tcPr>
          <w:p w14:paraId="37059D52" w14:textId="7AC74A9C" w:rsidR="00FB667C" w:rsidRPr="00B548D2" w:rsidRDefault="00FB667C" w:rsidP="00FB667C">
            <w:pPr>
              <w:rPr>
                <w:rFonts w:eastAsia="Arial" w:cs="Arial"/>
              </w:rPr>
            </w:pPr>
            <w:r w:rsidRPr="00B548D2">
              <w:t>April 11</w:t>
            </w:r>
            <w:r w:rsidR="00E92F42" w:rsidRPr="00B548D2">
              <w:t xml:space="preserve">, </w:t>
            </w:r>
            <w:r w:rsidRPr="00B548D2">
              <w:t>2024</w:t>
            </w:r>
          </w:p>
        </w:tc>
        <w:tc>
          <w:tcPr>
            <w:tcW w:w="3240" w:type="dxa"/>
            <w:tcBorders>
              <w:top w:val="single" w:sz="6" w:space="0" w:color="auto"/>
              <w:left w:val="single" w:sz="6" w:space="0" w:color="auto"/>
              <w:bottom w:val="single" w:sz="6" w:space="0" w:color="auto"/>
              <w:right w:val="single" w:sz="6" w:space="0" w:color="auto"/>
            </w:tcBorders>
            <w:tcMar>
              <w:left w:w="105" w:type="dxa"/>
              <w:right w:w="105" w:type="dxa"/>
            </w:tcMar>
          </w:tcPr>
          <w:p w14:paraId="6D7126EE" w14:textId="7CC7B333" w:rsidR="00FB667C" w:rsidRPr="00B548D2" w:rsidRDefault="00FB667C" w:rsidP="00FB667C">
            <w:pPr>
              <w:rPr>
                <w:rFonts w:eastAsia="Arial" w:cs="Arial"/>
              </w:rPr>
            </w:pPr>
            <w:r w:rsidRPr="00B548D2">
              <w:t>CDE Homeless Office: Data and Donuts</w:t>
            </w:r>
          </w:p>
        </w:tc>
        <w:tc>
          <w:tcPr>
            <w:tcW w:w="2250" w:type="dxa"/>
            <w:tcBorders>
              <w:top w:val="single" w:sz="6" w:space="0" w:color="auto"/>
              <w:left w:val="single" w:sz="6" w:space="0" w:color="auto"/>
              <w:bottom w:val="single" w:sz="6" w:space="0" w:color="auto"/>
              <w:right w:val="single" w:sz="6" w:space="0" w:color="auto"/>
            </w:tcBorders>
            <w:tcMar>
              <w:left w:w="105" w:type="dxa"/>
              <w:right w:w="105" w:type="dxa"/>
            </w:tcMar>
          </w:tcPr>
          <w:p w14:paraId="28EF77FE" w14:textId="1432A9EF" w:rsidR="00FB667C" w:rsidRPr="00B548D2" w:rsidRDefault="00FB667C" w:rsidP="00FB667C">
            <w:pPr>
              <w:jc w:val="center"/>
            </w:pPr>
            <w:r w:rsidRPr="00B548D2">
              <w:t>100</w:t>
            </w:r>
          </w:p>
        </w:tc>
        <w:tc>
          <w:tcPr>
            <w:tcW w:w="5310" w:type="dxa"/>
            <w:tcBorders>
              <w:top w:val="single" w:sz="6" w:space="0" w:color="auto"/>
              <w:left w:val="single" w:sz="6" w:space="0" w:color="auto"/>
              <w:bottom w:val="single" w:sz="6" w:space="0" w:color="auto"/>
              <w:right w:val="single" w:sz="6" w:space="0" w:color="auto"/>
            </w:tcBorders>
            <w:tcMar>
              <w:left w:w="105" w:type="dxa"/>
              <w:right w:w="105" w:type="dxa"/>
            </w:tcMar>
          </w:tcPr>
          <w:p w14:paraId="05DB04BF" w14:textId="76ADF9C8" w:rsidR="00FB667C" w:rsidRPr="00B548D2" w:rsidRDefault="00FB667C" w:rsidP="00FB667C">
            <w:pPr>
              <w:pStyle w:val="ListParagraph"/>
              <w:numPr>
                <w:ilvl w:val="0"/>
                <w:numId w:val="13"/>
              </w:numPr>
              <w:spacing w:after="0"/>
              <w:contextualSpacing/>
            </w:pPr>
            <w:r w:rsidRPr="00B548D2">
              <w:t>Chronic Absenteeism</w:t>
            </w:r>
          </w:p>
        </w:tc>
      </w:tr>
      <w:tr w:rsidR="00CC110D" w:rsidRPr="00B548D2" w14:paraId="648C7BD6" w14:textId="77777777" w:rsidTr="008739D8">
        <w:trPr>
          <w:cantSplit/>
          <w:trHeight w:val="300"/>
        </w:trPr>
        <w:tc>
          <w:tcPr>
            <w:tcW w:w="1882" w:type="dxa"/>
            <w:tcBorders>
              <w:top w:val="single" w:sz="6" w:space="0" w:color="auto"/>
              <w:left w:val="single" w:sz="6" w:space="0" w:color="auto"/>
              <w:bottom w:val="single" w:sz="6" w:space="0" w:color="auto"/>
              <w:right w:val="single" w:sz="6" w:space="0" w:color="auto"/>
            </w:tcBorders>
            <w:tcMar>
              <w:left w:w="105" w:type="dxa"/>
              <w:right w:w="105" w:type="dxa"/>
            </w:tcMar>
          </w:tcPr>
          <w:p w14:paraId="231C079A" w14:textId="141B290A" w:rsidR="00CC110D" w:rsidRPr="00B548D2" w:rsidRDefault="00782A81" w:rsidP="00CC110D">
            <w:pPr>
              <w:rPr>
                <w:rFonts w:eastAsia="Arial" w:cs="Arial"/>
              </w:rPr>
            </w:pPr>
            <w:r w:rsidRPr="00B548D2">
              <w:rPr>
                <w:rFonts w:eastAsia="Arial" w:cs="Arial"/>
              </w:rPr>
              <w:t>April 11, 2024</w:t>
            </w:r>
          </w:p>
        </w:tc>
        <w:tc>
          <w:tcPr>
            <w:tcW w:w="3240" w:type="dxa"/>
            <w:tcBorders>
              <w:top w:val="single" w:sz="6" w:space="0" w:color="auto"/>
              <w:left w:val="single" w:sz="6" w:space="0" w:color="auto"/>
              <w:bottom w:val="single" w:sz="6" w:space="0" w:color="auto"/>
              <w:right w:val="single" w:sz="6" w:space="0" w:color="auto"/>
            </w:tcBorders>
            <w:tcMar>
              <w:left w:w="105" w:type="dxa"/>
              <w:right w:w="105" w:type="dxa"/>
            </w:tcMar>
          </w:tcPr>
          <w:p w14:paraId="055C6B9A" w14:textId="21A7085F" w:rsidR="00CC110D" w:rsidRPr="00B548D2" w:rsidRDefault="00CC110D" w:rsidP="00CC110D">
            <w:pPr>
              <w:rPr>
                <w:rFonts w:eastAsia="Arial" w:cs="Arial"/>
              </w:rPr>
            </w:pPr>
            <w:r w:rsidRPr="00B548D2">
              <w:rPr>
                <w:rFonts w:eastAsia="Arial" w:cs="Arial"/>
              </w:rPr>
              <w:t>Curricular and Improvement Support Committee-Science Sub-committee</w:t>
            </w:r>
          </w:p>
        </w:tc>
        <w:tc>
          <w:tcPr>
            <w:tcW w:w="2250" w:type="dxa"/>
            <w:tcBorders>
              <w:top w:val="single" w:sz="6" w:space="0" w:color="auto"/>
              <w:left w:val="single" w:sz="6" w:space="0" w:color="auto"/>
              <w:bottom w:val="single" w:sz="6" w:space="0" w:color="auto"/>
              <w:right w:val="single" w:sz="6" w:space="0" w:color="auto"/>
            </w:tcBorders>
            <w:tcMar>
              <w:left w:w="105" w:type="dxa"/>
              <w:right w:w="105" w:type="dxa"/>
            </w:tcMar>
          </w:tcPr>
          <w:p w14:paraId="45989F74" w14:textId="1FF8F596" w:rsidR="00CC110D" w:rsidRPr="00B548D2" w:rsidRDefault="00CC110D" w:rsidP="00CC110D">
            <w:pPr>
              <w:jc w:val="center"/>
              <w:rPr>
                <w:rFonts w:eastAsia="Arial" w:cs="Arial"/>
              </w:rPr>
            </w:pPr>
            <w:r w:rsidRPr="00B548D2">
              <w:rPr>
                <w:rFonts w:eastAsia="Arial" w:cs="Arial"/>
              </w:rPr>
              <w:t>45</w:t>
            </w:r>
          </w:p>
        </w:tc>
        <w:tc>
          <w:tcPr>
            <w:tcW w:w="5310" w:type="dxa"/>
            <w:tcBorders>
              <w:top w:val="single" w:sz="6" w:space="0" w:color="auto"/>
              <w:left w:val="single" w:sz="6" w:space="0" w:color="auto"/>
              <w:bottom w:val="single" w:sz="6" w:space="0" w:color="auto"/>
              <w:right w:val="single" w:sz="6" w:space="0" w:color="auto"/>
            </w:tcBorders>
            <w:tcMar>
              <w:left w:w="105" w:type="dxa"/>
              <w:right w:w="105" w:type="dxa"/>
            </w:tcMar>
          </w:tcPr>
          <w:p w14:paraId="0B29FAF0" w14:textId="2CF24380" w:rsidR="00CC110D" w:rsidRPr="00B548D2" w:rsidRDefault="00CC110D" w:rsidP="00CC110D">
            <w:pPr>
              <w:pStyle w:val="ListParagraph"/>
              <w:numPr>
                <w:ilvl w:val="0"/>
                <w:numId w:val="13"/>
              </w:numPr>
              <w:spacing w:after="0"/>
              <w:contextualSpacing/>
              <w:rPr>
                <w:rFonts w:eastAsia="Arial" w:cs="Arial"/>
              </w:rPr>
            </w:pPr>
            <w:r w:rsidRPr="00B548D2">
              <w:rPr>
                <w:rFonts w:eastAsia="Arial" w:cs="Arial"/>
              </w:rPr>
              <w:t>Updates on the Development of Science Metric</w:t>
            </w:r>
          </w:p>
        </w:tc>
      </w:tr>
      <w:tr w:rsidR="00010FD7" w:rsidRPr="00B548D2" w14:paraId="484AA5D6" w14:textId="77777777" w:rsidTr="008739D8">
        <w:trPr>
          <w:cantSplit/>
          <w:trHeight w:val="300"/>
        </w:trPr>
        <w:tc>
          <w:tcPr>
            <w:tcW w:w="1882" w:type="dxa"/>
            <w:tcBorders>
              <w:top w:val="single" w:sz="6" w:space="0" w:color="auto"/>
              <w:left w:val="single" w:sz="6" w:space="0" w:color="auto"/>
              <w:bottom w:val="single" w:sz="6" w:space="0" w:color="auto"/>
              <w:right w:val="single" w:sz="6" w:space="0" w:color="auto"/>
            </w:tcBorders>
            <w:tcMar>
              <w:left w:w="105" w:type="dxa"/>
              <w:right w:w="105" w:type="dxa"/>
            </w:tcMar>
          </w:tcPr>
          <w:p w14:paraId="70849CD9" w14:textId="71929F73" w:rsidR="00010FD7" w:rsidRPr="00B548D2" w:rsidRDefault="00010FD7" w:rsidP="00010FD7">
            <w:r w:rsidRPr="00B548D2">
              <w:t>May 15, 2024</w:t>
            </w:r>
          </w:p>
        </w:tc>
        <w:tc>
          <w:tcPr>
            <w:tcW w:w="3240" w:type="dxa"/>
            <w:tcBorders>
              <w:top w:val="single" w:sz="6" w:space="0" w:color="auto"/>
              <w:left w:val="single" w:sz="6" w:space="0" w:color="auto"/>
              <w:bottom w:val="single" w:sz="6" w:space="0" w:color="auto"/>
              <w:right w:val="single" w:sz="6" w:space="0" w:color="auto"/>
            </w:tcBorders>
            <w:tcMar>
              <w:left w:w="105" w:type="dxa"/>
              <w:right w:w="105" w:type="dxa"/>
            </w:tcMar>
          </w:tcPr>
          <w:p w14:paraId="2A821A8F" w14:textId="20FBFFCE" w:rsidR="00010FD7" w:rsidRPr="00B548D2" w:rsidRDefault="00010FD7" w:rsidP="00010FD7">
            <w:r w:rsidRPr="00B548D2">
              <w:t>Regional Assessment Network</w:t>
            </w:r>
          </w:p>
        </w:tc>
        <w:tc>
          <w:tcPr>
            <w:tcW w:w="2250" w:type="dxa"/>
            <w:tcBorders>
              <w:top w:val="single" w:sz="6" w:space="0" w:color="auto"/>
              <w:left w:val="single" w:sz="6" w:space="0" w:color="auto"/>
              <w:bottom w:val="single" w:sz="6" w:space="0" w:color="auto"/>
              <w:right w:val="single" w:sz="6" w:space="0" w:color="auto"/>
            </w:tcBorders>
            <w:tcMar>
              <w:left w:w="105" w:type="dxa"/>
              <w:right w:w="105" w:type="dxa"/>
            </w:tcMar>
          </w:tcPr>
          <w:p w14:paraId="5C419ED0" w14:textId="7E915394" w:rsidR="00010FD7" w:rsidRPr="00B548D2" w:rsidRDefault="00010FD7" w:rsidP="00010FD7">
            <w:pPr>
              <w:jc w:val="center"/>
            </w:pPr>
            <w:r w:rsidRPr="00B548D2">
              <w:t>40</w:t>
            </w:r>
          </w:p>
        </w:tc>
        <w:tc>
          <w:tcPr>
            <w:tcW w:w="5310" w:type="dxa"/>
            <w:tcBorders>
              <w:top w:val="single" w:sz="6" w:space="0" w:color="auto"/>
              <w:left w:val="single" w:sz="6" w:space="0" w:color="auto"/>
              <w:bottom w:val="single" w:sz="6" w:space="0" w:color="auto"/>
              <w:right w:val="single" w:sz="6" w:space="0" w:color="auto"/>
            </w:tcBorders>
            <w:tcMar>
              <w:left w:w="105" w:type="dxa"/>
              <w:right w:w="105" w:type="dxa"/>
            </w:tcMar>
          </w:tcPr>
          <w:p w14:paraId="5C767A9C" w14:textId="28405B7D" w:rsidR="00010FD7" w:rsidRPr="00B548D2" w:rsidRDefault="00010FD7" w:rsidP="00010FD7">
            <w:pPr>
              <w:pStyle w:val="ListParagraph"/>
              <w:numPr>
                <w:ilvl w:val="0"/>
                <w:numId w:val="13"/>
              </w:numPr>
              <w:spacing w:after="0"/>
              <w:contextualSpacing/>
              <w:rPr>
                <w:rFonts w:eastAsia="Arial" w:cs="Arial"/>
              </w:rPr>
            </w:pPr>
            <w:r w:rsidRPr="00B548D2">
              <w:rPr>
                <w:rFonts w:eastAsia="Arial" w:cs="Arial"/>
              </w:rPr>
              <w:t>2024 Accountability Workplan Update</w:t>
            </w:r>
          </w:p>
        </w:tc>
      </w:tr>
      <w:tr w:rsidR="00CC110D" w:rsidRPr="00B548D2" w14:paraId="3EC60E71" w14:textId="77777777" w:rsidTr="008739D8">
        <w:trPr>
          <w:cantSplit/>
          <w:trHeight w:val="300"/>
        </w:trPr>
        <w:tc>
          <w:tcPr>
            <w:tcW w:w="1882" w:type="dxa"/>
            <w:tcBorders>
              <w:top w:val="single" w:sz="6" w:space="0" w:color="auto"/>
              <w:left w:val="single" w:sz="6" w:space="0" w:color="auto"/>
              <w:bottom w:val="single" w:sz="6" w:space="0" w:color="auto"/>
              <w:right w:val="single" w:sz="6" w:space="0" w:color="auto"/>
            </w:tcBorders>
            <w:tcMar>
              <w:left w:w="105" w:type="dxa"/>
              <w:right w:w="105" w:type="dxa"/>
            </w:tcMar>
          </w:tcPr>
          <w:p w14:paraId="4623F36D" w14:textId="493D40C6" w:rsidR="00CC110D" w:rsidRPr="00B548D2" w:rsidRDefault="00F05466" w:rsidP="00CC110D">
            <w:pPr>
              <w:rPr>
                <w:rFonts w:eastAsia="Arial" w:cs="Arial"/>
              </w:rPr>
            </w:pPr>
            <w:r w:rsidRPr="00B548D2">
              <w:t>May</w:t>
            </w:r>
            <w:r w:rsidR="004C4521" w:rsidRPr="00B548D2">
              <w:t xml:space="preserve"> </w:t>
            </w:r>
            <w:r w:rsidR="00CC110D" w:rsidRPr="00B548D2">
              <w:t>17</w:t>
            </w:r>
            <w:r w:rsidR="00CE2E67" w:rsidRPr="00B548D2">
              <w:t xml:space="preserve">, </w:t>
            </w:r>
            <w:r w:rsidR="00CC110D" w:rsidRPr="00B548D2">
              <w:t>2024</w:t>
            </w:r>
          </w:p>
        </w:tc>
        <w:tc>
          <w:tcPr>
            <w:tcW w:w="3240" w:type="dxa"/>
            <w:tcBorders>
              <w:top w:val="single" w:sz="6" w:space="0" w:color="auto"/>
              <w:left w:val="single" w:sz="6" w:space="0" w:color="auto"/>
              <w:bottom w:val="single" w:sz="6" w:space="0" w:color="auto"/>
              <w:right w:val="single" w:sz="6" w:space="0" w:color="auto"/>
            </w:tcBorders>
            <w:tcMar>
              <w:left w:w="105" w:type="dxa"/>
              <w:right w:w="105" w:type="dxa"/>
            </w:tcMar>
          </w:tcPr>
          <w:p w14:paraId="6C3E65BA" w14:textId="4EC33A3D" w:rsidR="00CC110D" w:rsidRPr="00B548D2" w:rsidRDefault="00CC110D" w:rsidP="00CC110D">
            <w:pPr>
              <w:rPr>
                <w:rFonts w:eastAsia="Arial" w:cs="Arial"/>
              </w:rPr>
            </w:pPr>
            <w:r w:rsidRPr="00B548D2">
              <w:t>State and Federal Program Directors</w:t>
            </w:r>
          </w:p>
        </w:tc>
        <w:tc>
          <w:tcPr>
            <w:tcW w:w="2250" w:type="dxa"/>
            <w:tcBorders>
              <w:top w:val="single" w:sz="6" w:space="0" w:color="auto"/>
              <w:left w:val="single" w:sz="6" w:space="0" w:color="auto"/>
              <w:bottom w:val="single" w:sz="6" w:space="0" w:color="auto"/>
              <w:right w:val="single" w:sz="6" w:space="0" w:color="auto"/>
            </w:tcBorders>
            <w:tcMar>
              <w:left w:w="105" w:type="dxa"/>
              <w:right w:w="105" w:type="dxa"/>
            </w:tcMar>
          </w:tcPr>
          <w:p w14:paraId="30D17533" w14:textId="329E0E21" w:rsidR="00CC110D" w:rsidRPr="00B548D2" w:rsidRDefault="00CC110D" w:rsidP="00CC110D">
            <w:pPr>
              <w:jc w:val="center"/>
              <w:rPr>
                <w:rFonts w:eastAsia="Arial" w:cs="Arial"/>
              </w:rPr>
            </w:pPr>
            <w:r w:rsidRPr="00B548D2">
              <w:t>135</w:t>
            </w:r>
          </w:p>
        </w:tc>
        <w:tc>
          <w:tcPr>
            <w:tcW w:w="5310" w:type="dxa"/>
            <w:tcBorders>
              <w:top w:val="single" w:sz="6" w:space="0" w:color="auto"/>
              <w:left w:val="single" w:sz="6" w:space="0" w:color="auto"/>
              <w:bottom w:val="single" w:sz="6" w:space="0" w:color="auto"/>
              <w:right w:val="single" w:sz="6" w:space="0" w:color="auto"/>
            </w:tcBorders>
            <w:tcMar>
              <w:left w:w="105" w:type="dxa"/>
              <w:right w:w="105" w:type="dxa"/>
            </w:tcMar>
          </w:tcPr>
          <w:p w14:paraId="6E89FD44" w14:textId="0EC134E7" w:rsidR="00CC110D" w:rsidRPr="00B548D2" w:rsidRDefault="4574AB4A" w:rsidP="00CC110D">
            <w:pPr>
              <w:pStyle w:val="ListParagraph"/>
              <w:numPr>
                <w:ilvl w:val="0"/>
                <w:numId w:val="13"/>
              </w:numPr>
              <w:spacing w:after="0"/>
              <w:contextualSpacing/>
              <w:rPr>
                <w:rFonts w:eastAsia="Arial" w:cs="Arial"/>
              </w:rPr>
            </w:pPr>
            <w:r w:rsidRPr="00B548D2">
              <w:rPr>
                <w:rFonts w:eastAsia="Arial" w:cs="Arial"/>
              </w:rPr>
              <w:t xml:space="preserve">2024 Accountability Workplan Update </w:t>
            </w:r>
          </w:p>
        </w:tc>
      </w:tr>
      <w:tr w:rsidR="004F5B77" w:rsidRPr="00B548D2" w14:paraId="36F7DFBE" w14:textId="77777777" w:rsidTr="008739D8">
        <w:trPr>
          <w:cantSplit/>
          <w:trHeight w:val="300"/>
        </w:trPr>
        <w:tc>
          <w:tcPr>
            <w:tcW w:w="188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FC85EFD" w14:textId="4CAE695F" w:rsidR="004F5B77" w:rsidRPr="00B548D2" w:rsidRDefault="004F5B77" w:rsidP="004F5B77">
            <w:r w:rsidRPr="00B548D2">
              <w:rPr>
                <w:rFonts w:eastAsia="Arial" w:cs="Arial"/>
              </w:rPr>
              <w:t>May 20, 2024</w:t>
            </w:r>
          </w:p>
        </w:tc>
        <w:tc>
          <w:tcPr>
            <w:tcW w:w="324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4F0C197" w14:textId="5A0D379A" w:rsidR="004F5B77" w:rsidRPr="00B548D2" w:rsidRDefault="004F5B77" w:rsidP="004F5B77">
            <w:r w:rsidRPr="00B548D2">
              <w:rPr>
                <w:rFonts w:eastAsia="Arial" w:cs="Arial"/>
              </w:rPr>
              <w:t>Dashboard Accountability Afternoon Session</w:t>
            </w:r>
          </w:p>
        </w:tc>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33F81BD" w14:textId="481B03D5" w:rsidR="004F5B77" w:rsidRPr="00B548D2" w:rsidRDefault="004F5B77" w:rsidP="004F5B77">
            <w:pPr>
              <w:jc w:val="center"/>
            </w:pPr>
            <w:r w:rsidRPr="00B548D2">
              <w:rPr>
                <w:rFonts w:eastAsia="Arial" w:cs="Arial"/>
              </w:rPr>
              <w:t>60</w:t>
            </w:r>
          </w:p>
        </w:tc>
        <w:tc>
          <w:tcPr>
            <w:tcW w:w="531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6611F3A" w14:textId="4F6EEA01" w:rsidR="004F5B77" w:rsidRPr="00B548D2" w:rsidRDefault="004F5B77" w:rsidP="004F5B77">
            <w:pPr>
              <w:pStyle w:val="ListParagraph"/>
              <w:numPr>
                <w:ilvl w:val="0"/>
                <w:numId w:val="13"/>
              </w:numPr>
              <w:spacing w:after="0"/>
              <w:contextualSpacing/>
              <w:rPr>
                <w:rFonts w:eastAsia="Arial" w:cs="Arial"/>
              </w:rPr>
            </w:pPr>
            <w:r w:rsidRPr="00B548D2">
              <w:rPr>
                <w:rFonts w:eastAsia="Arial" w:cs="Arial"/>
              </w:rPr>
              <w:t>CDE staff respond to questions from the field</w:t>
            </w:r>
          </w:p>
        </w:tc>
      </w:tr>
      <w:tr w:rsidR="004F5B77" w:rsidRPr="00B548D2" w14:paraId="7DE2FFDC" w14:textId="77777777" w:rsidTr="008739D8">
        <w:trPr>
          <w:cantSplit/>
          <w:trHeight w:val="300"/>
        </w:trPr>
        <w:tc>
          <w:tcPr>
            <w:tcW w:w="1882" w:type="dxa"/>
            <w:tcBorders>
              <w:top w:val="single" w:sz="6" w:space="0" w:color="auto"/>
              <w:left w:val="single" w:sz="6" w:space="0" w:color="auto"/>
              <w:bottom w:val="single" w:sz="6" w:space="0" w:color="auto"/>
              <w:right w:val="single" w:sz="6" w:space="0" w:color="auto"/>
            </w:tcBorders>
            <w:tcMar>
              <w:left w:w="105" w:type="dxa"/>
              <w:right w:w="105" w:type="dxa"/>
            </w:tcMar>
          </w:tcPr>
          <w:p w14:paraId="056790CF" w14:textId="0107F8B1" w:rsidR="004F5B77" w:rsidRPr="00B548D2" w:rsidRDefault="004F5B77" w:rsidP="004F5B77">
            <w:r w:rsidRPr="00B548D2">
              <w:rPr>
                <w:rFonts w:eastAsia="Arial" w:cs="Arial"/>
              </w:rPr>
              <w:lastRenderedPageBreak/>
              <w:t>June 3, 2024</w:t>
            </w:r>
          </w:p>
        </w:tc>
        <w:tc>
          <w:tcPr>
            <w:tcW w:w="3240" w:type="dxa"/>
            <w:tcBorders>
              <w:top w:val="single" w:sz="6" w:space="0" w:color="auto"/>
              <w:left w:val="single" w:sz="6" w:space="0" w:color="auto"/>
              <w:bottom w:val="single" w:sz="6" w:space="0" w:color="auto"/>
              <w:right w:val="single" w:sz="6" w:space="0" w:color="auto"/>
            </w:tcBorders>
            <w:tcMar>
              <w:left w:w="105" w:type="dxa"/>
              <w:right w:w="105" w:type="dxa"/>
            </w:tcMar>
          </w:tcPr>
          <w:p w14:paraId="712B090C" w14:textId="29DC4BC9" w:rsidR="004F5B77" w:rsidRPr="00B548D2" w:rsidRDefault="004F5B77" w:rsidP="004F5B77">
            <w:r w:rsidRPr="00B548D2">
              <w:rPr>
                <w:rFonts w:eastAsia="Arial" w:cs="Arial"/>
              </w:rPr>
              <w:t>Curricular and Improvement Support Committee</w:t>
            </w:r>
          </w:p>
        </w:tc>
        <w:tc>
          <w:tcPr>
            <w:tcW w:w="2250" w:type="dxa"/>
            <w:tcBorders>
              <w:top w:val="single" w:sz="6" w:space="0" w:color="auto"/>
              <w:left w:val="single" w:sz="6" w:space="0" w:color="auto"/>
              <w:bottom w:val="single" w:sz="6" w:space="0" w:color="auto"/>
              <w:right w:val="single" w:sz="6" w:space="0" w:color="auto"/>
            </w:tcBorders>
            <w:tcMar>
              <w:left w:w="105" w:type="dxa"/>
              <w:right w:w="105" w:type="dxa"/>
            </w:tcMar>
          </w:tcPr>
          <w:p w14:paraId="1B0705E0" w14:textId="03541B51" w:rsidR="004F5B77" w:rsidRPr="00B548D2" w:rsidRDefault="004F5B77" w:rsidP="004F5B77">
            <w:pPr>
              <w:jc w:val="center"/>
            </w:pPr>
            <w:r w:rsidRPr="00B548D2">
              <w:rPr>
                <w:rFonts w:eastAsia="Arial" w:cs="Arial"/>
              </w:rPr>
              <w:t>12</w:t>
            </w:r>
          </w:p>
        </w:tc>
        <w:tc>
          <w:tcPr>
            <w:tcW w:w="5310" w:type="dxa"/>
            <w:tcBorders>
              <w:top w:val="single" w:sz="6" w:space="0" w:color="auto"/>
              <w:left w:val="single" w:sz="6" w:space="0" w:color="auto"/>
              <w:bottom w:val="single" w:sz="6" w:space="0" w:color="auto"/>
              <w:right w:val="single" w:sz="6" w:space="0" w:color="auto"/>
            </w:tcBorders>
            <w:tcMar>
              <w:left w:w="105" w:type="dxa"/>
              <w:right w:w="105" w:type="dxa"/>
            </w:tcMar>
          </w:tcPr>
          <w:p w14:paraId="7779273B" w14:textId="4CA8A15E" w:rsidR="004F5B77" w:rsidRPr="00B548D2" w:rsidRDefault="004F5B77" w:rsidP="004F5B77">
            <w:pPr>
              <w:pStyle w:val="ListParagraph"/>
              <w:numPr>
                <w:ilvl w:val="0"/>
                <w:numId w:val="13"/>
              </w:numPr>
              <w:spacing w:after="0"/>
              <w:contextualSpacing/>
              <w:rPr>
                <w:rFonts w:eastAsia="Arial" w:cs="Arial"/>
              </w:rPr>
            </w:pPr>
            <w:r w:rsidRPr="00B548D2">
              <w:rPr>
                <w:rFonts w:eastAsia="Arial" w:cs="Arial"/>
              </w:rPr>
              <w:t>2024 Accountability Workplan and Updates on Development for a Science Metric</w:t>
            </w:r>
          </w:p>
        </w:tc>
      </w:tr>
      <w:tr w:rsidR="004F5B77" w:rsidRPr="00B548D2" w14:paraId="45ADA93F" w14:textId="77777777" w:rsidTr="008739D8">
        <w:trPr>
          <w:cantSplit/>
          <w:trHeight w:val="300"/>
        </w:trPr>
        <w:tc>
          <w:tcPr>
            <w:tcW w:w="1882" w:type="dxa"/>
            <w:tcBorders>
              <w:top w:val="single" w:sz="6" w:space="0" w:color="auto"/>
              <w:left w:val="single" w:sz="6" w:space="0" w:color="auto"/>
              <w:bottom w:val="single" w:sz="6" w:space="0" w:color="auto"/>
              <w:right w:val="single" w:sz="6" w:space="0" w:color="auto"/>
            </w:tcBorders>
            <w:tcMar>
              <w:left w:w="105" w:type="dxa"/>
              <w:right w:w="105" w:type="dxa"/>
            </w:tcMar>
          </w:tcPr>
          <w:p w14:paraId="17C2F8EA" w14:textId="21EA79D7" w:rsidR="004F5B77" w:rsidRPr="00B548D2" w:rsidRDefault="004F5B77" w:rsidP="004F5B77">
            <w:pPr>
              <w:rPr>
                <w:rFonts w:eastAsia="Arial" w:cs="Arial"/>
              </w:rPr>
            </w:pPr>
            <w:r w:rsidRPr="00B548D2">
              <w:rPr>
                <w:rFonts w:eastAsia="Arial" w:cs="Arial"/>
              </w:rPr>
              <w:t>June 13, 2024</w:t>
            </w:r>
          </w:p>
        </w:tc>
        <w:tc>
          <w:tcPr>
            <w:tcW w:w="3240" w:type="dxa"/>
            <w:tcBorders>
              <w:top w:val="single" w:sz="6" w:space="0" w:color="auto"/>
              <w:left w:val="single" w:sz="6" w:space="0" w:color="auto"/>
              <w:bottom w:val="single" w:sz="6" w:space="0" w:color="auto"/>
              <w:right w:val="single" w:sz="6" w:space="0" w:color="auto"/>
            </w:tcBorders>
            <w:tcMar>
              <w:left w:w="105" w:type="dxa"/>
              <w:right w:w="105" w:type="dxa"/>
            </w:tcMar>
          </w:tcPr>
          <w:p w14:paraId="2DD3E806" w14:textId="3B50EF91" w:rsidR="004F5B77" w:rsidRPr="00B548D2" w:rsidRDefault="004F5B77" w:rsidP="004F5B77">
            <w:pPr>
              <w:rPr>
                <w:rFonts w:eastAsia="Arial" w:cs="Arial"/>
              </w:rPr>
            </w:pPr>
            <w:r w:rsidRPr="00B548D2">
              <w:rPr>
                <w:rFonts w:eastAsia="Arial" w:cs="Arial"/>
              </w:rPr>
              <w:t>Curricular and Improvement Support Committee-Science Sub-committee</w:t>
            </w:r>
          </w:p>
        </w:tc>
        <w:tc>
          <w:tcPr>
            <w:tcW w:w="2250" w:type="dxa"/>
            <w:tcBorders>
              <w:top w:val="single" w:sz="6" w:space="0" w:color="auto"/>
              <w:left w:val="single" w:sz="6" w:space="0" w:color="auto"/>
              <w:bottom w:val="single" w:sz="6" w:space="0" w:color="auto"/>
              <w:right w:val="single" w:sz="6" w:space="0" w:color="auto"/>
            </w:tcBorders>
            <w:tcMar>
              <w:left w:w="105" w:type="dxa"/>
              <w:right w:w="105" w:type="dxa"/>
            </w:tcMar>
          </w:tcPr>
          <w:p w14:paraId="3578FECE" w14:textId="2B036BF0" w:rsidR="004F5B77" w:rsidRPr="00B548D2" w:rsidRDefault="004F5B77" w:rsidP="004F5B77">
            <w:pPr>
              <w:jc w:val="center"/>
              <w:rPr>
                <w:rFonts w:eastAsia="Arial" w:cs="Arial"/>
              </w:rPr>
            </w:pPr>
            <w:r w:rsidRPr="00B548D2">
              <w:rPr>
                <w:rFonts w:eastAsia="Arial" w:cs="Arial"/>
              </w:rPr>
              <w:t>65</w:t>
            </w:r>
          </w:p>
        </w:tc>
        <w:tc>
          <w:tcPr>
            <w:tcW w:w="5310" w:type="dxa"/>
            <w:tcBorders>
              <w:top w:val="single" w:sz="6" w:space="0" w:color="auto"/>
              <w:left w:val="single" w:sz="6" w:space="0" w:color="auto"/>
              <w:bottom w:val="single" w:sz="6" w:space="0" w:color="auto"/>
              <w:right w:val="single" w:sz="6" w:space="0" w:color="auto"/>
            </w:tcBorders>
            <w:tcMar>
              <w:left w:w="105" w:type="dxa"/>
              <w:right w:w="105" w:type="dxa"/>
            </w:tcMar>
          </w:tcPr>
          <w:p w14:paraId="7DD3E964" w14:textId="3D509CFF" w:rsidR="004F5B77" w:rsidRPr="00B548D2" w:rsidRDefault="004F5B77" w:rsidP="004F5B77">
            <w:pPr>
              <w:pStyle w:val="ListParagraph"/>
              <w:numPr>
                <w:ilvl w:val="0"/>
                <w:numId w:val="13"/>
              </w:numPr>
              <w:spacing w:after="0"/>
              <w:contextualSpacing/>
              <w:rPr>
                <w:rFonts w:eastAsia="Arial" w:cs="Arial"/>
              </w:rPr>
            </w:pPr>
            <w:r w:rsidRPr="00B548D2">
              <w:rPr>
                <w:rFonts w:eastAsia="Arial" w:cs="Arial"/>
              </w:rPr>
              <w:t>Updates on the Development of Science Metric</w:t>
            </w:r>
          </w:p>
        </w:tc>
      </w:tr>
      <w:tr w:rsidR="004F5B77" w:rsidRPr="00B548D2" w14:paraId="2F99D702" w14:textId="77777777" w:rsidTr="008739D8">
        <w:trPr>
          <w:cantSplit/>
          <w:trHeight w:val="300"/>
        </w:trPr>
        <w:tc>
          <w:tcPr>
            <w:tcW w:w="188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60B2D0C" w14:textId="1AE45BCA" w:rsidR="004F5B77" w:rsidRPr="00B548D2" w:rsidRDefault="004F5B77" w:rsidP="004F5B77">
            <w:r w:rsidRPr="00B548D2">
              <w:rPr>
                <w:rFonts w:eastAsia="Arial" w:cs="Arial"/>
              </w:rPr>
              <w:t>June 20, 2024</w:t>
            </w:r>
          </w:p>
        </w:tc>
        <w:tc>
          <w:tcPr>
            <w:tcW w:w="324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5CC2569" w14:textId="45A223BB" w:rsidR="004F5B77" w:rsidRPr="00B548D2" w:rsidRDefault="004F5B77" w:rsidP="004F5B77">
            <w:r w:rsidRPr="00B548D2">
              <w:rPr>
                <w:rFonts w:eastAsia="Arial" w:cs="Arial"/>
              </w:rPr>
              <w:t>Dashboard Accountability Afternoon Session</w:t>
            </w:r>
          </w:p>
        </w:tc>
        <w:tc>
          <w:tcPr>
            <w:tcW w:w="225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3C4173F" w14:textId="6E67CBA0" w:rsidR="004F5B77" w:rsidRPr="00B548D2" w:rsidRDefault="58FD5931" w:rsidP="004F5B77">
            <w:pPr>
              <w:jc w:val="center"/>
              <w:rPr>
                <w:rFonts w:eastAsia="Arial" w:cs="Arial"/>
              </w:rPr>
            </w:pPr>
            <w:r w:rsidRPr="00B548D2">
              <w:rPr>
                <w:rFonts w:eastAsia="Arial" w:cs="Arial"/>
              </w:rPr>
              <w:t>245</w:t>
            </w:r>
          </w:p>
        </w:tc>
        <w:tc>
          <w:tcPr>
            <w:tcW w:w="531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4BC8727" w14:textId="095003F0" w:rsidR="004F5B77" w:rsidRPr="00B548D2" w:rsidRDefault="004F5B77" w:rsidP="004F5B77">
            <w:pPr>
              <w:pStyle w:val="ListParagraph"/>
              <w:numPr>
                <w:ilvl w:val="0"/>
                <w:numId w:val="13"/>
              </w:numPr>
              <w:spacing w:after="0"/>
              <w:contextualSpacing/>
              <w:rPr>
                <w:rFonts w:eastAsia="Arial" w:cs="Arial"/>
              </w:rPr>
            </w:pPr>
            <w:r w:rsidRPr="00B548D2">
              <w:rPr>
                <w:rFonts w:eastAsia="Arial" w:cs="Arial"/>
              </w:rPr>
              <w:t>CDE staff responds to questions from the field on College/Career Indicator (CCI)</w:t>
            </w:r>
          </w:p>
        </w:tc>
      </w:tr>
    </w:tbl>
    <w:p w14:paraId="622ED479" w14:textId="77777777" w:rsidR="002C42D3" w:rsidRPr="00B548D2" w:rsidRDefault="002C42D3" w:rsidP="4729E234">
      <w:pPr>
        <w:jc w:val="center"/>
        <w:rPr>
          <w:rFonts w:eastAsia="Arial" w:cs="Arial"/>
        </w:rPr>
      </w:pPr>
    </w:p>
    <w:sectPr w:rsidR="002C42D3" w:rsidRPr="00B548D2" w:rsidSect="006E22F1">
      <w:headerReference w:type="default" r:id="rId94"/>
      <w:headerReference w:type="first" r:id="rId95"/>
      <w:footerReference w:type="first" r:id="rId96"/>
      <w:type w:val="continuous"/>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94EAAD" w14:textId="77777777" w:rsidR="000E422C" w:rsidRDefault="000E422C" w:rsidP="000E09DC">
      <w:r>
        <w:separator/>
      </w:r>
    </w:p>
  </w:endnote>
  <w:endnote w:type="continuationSeparator" w:id="0">
    <w:p w14:paraId="2A8E4247" w14:textId="77777777" w:rsidR="000E422C" w:rsidRDefault="000E422C" w:rsidP="000E09DC">
      <w:r>
        <w:continuationSeparator/>
      </w:r>
    </w:p>
  </w:endnote>
  <w:endnote w:type="continuationNotice" w:id="1">
    <w:p w14:paraId="18F8A974" w14:textId="77777777" w:rsidR="000E422C" w:rsidRDefault="000E42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IZ UDGothic">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Web3"/>
      <w:tblW w:w="0" w:type="auto"/>
      <w:tblLayout w:type="fixed"/>
      <w:tblLook w:val="06A0" w:firstRow="1" w:lastRow="0" w:firstColumn="1" w:lastColumn="0" w:noHBand="1" w:noVBand="1"/>
    </w:tblPr>
    <w:tblGrid>
      <w:gridCol w:w="1500"/>
      <w:gridCol w:w="1480"/>
      <w:gridCol w:w="1500"/>
    </w:tblGrid>
    <w:tr w:rsidR="002C6F40" w14:paraId="752F4A2F" w14:textId="77777777" w:rsidTr="005F1FB6">
      <w:trPr>
        <w:cnfStyle w:val="100000000000" w:firstRow="1" w:lastRow="0" w:firstColumn="0" w:lastColumn="0" w:oddVBand="0" w:evenVBand="0" w:oddHBand="0" w:evenHBand="0" w:firstRowFirstColumn="0" w:firstRowLastColumn="0" w:lastRowFirstColumn="0" w:lastRowLastColumn="0"/>
        <w:trHeight w:val="300"/>
      </w:trPr>
      <w:tc>
        <w:tcPr>
          <w:tcW w:w="1440" w:type="dxa"/>
        </w:tcPr>
        <w:p w14:paraId="2F4556BC" w14:textId="40D96435" w:rsidR="002C6F40" w:rsidRDefault="002C6F40" w:rsidP="00B12CB1">
          <w:pPr>
            <w:pStyle w:val="Header"/>
            <w:ind w:left="-115"/>
          </w:pPr>
        </w:p>
      </w:tc>
      <w:tc>
        <w:tcPr>
          <w:tcW w:w="1440" w:type="dxa"/>
        </w:tcPr>
        <w:p w14:paraId="70AE4395" w14:textId="247DE95C" w:rsidR="002C6F40" w:rsidRDefault="002C6F40" w:rsidP="00B12CB1">
          <w:pPr>
            <w:pStyle w:val="Header"/>
            <w:jc w:val="center"/>
          </w:pPr>
        </w:p>
      </w:tc>
      <w:tc>
        <w:tcPr>
          <w:tcW w:w="1440" w:type="dxa"/>
        </w:tcPr>
        <w:p w14:paraId="2B87C402" w14:textId="68A50A98" w:rsidR="002C6F40" w:rsidRDefault="002C6F40" w:rsidP="00B12CB1">
          <w:pPr>
            <w:pStyle w:val="Header"/>
            <w:ind w:right="-115"/>
            <w:jc w:val="right"/>
          </w:pPr>
        </w:p>
      </w:tc>
    </w:tr>
  </w:tbl>
  <w:p w14:paraId="76588371" w14:textId="111C1283" w:rsidR="002C6F40" w:rsidRDefault="002C6F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4D3936" w14:textId="10119CC0" w:rsidR="002C6F40" w:rsidRDefault="002C6F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Theme"/>
      <w:tblW w:w="0" w:type="auto"/>
      <w:tblLayout w:type="fixed"/>
      <w:tblLook w:val="06A0" w:firstRow="1" w:lastRow="0" w:firstColumn="1" w:lastColumn="0" w:noHBand="1" w:noVBand="1"/>
    </w:tblPr>
    <w:tblGrid>
      <w:gridCol w:w="3120"/>
      <w:gridCol w:w="3120"/>
      <w:gridCol w:w="3120"/>
    </w:tblGrid>
    <w:tr w:rsidR="002C6F40" w14:paraId="717ABBC2" w14:textId="77777777" w:rsidTr="008F6E2A">
      <w:trPr>
        <w:trHeight w:val="300"/>
      </w:trPr>
      <w:tc>
        <w:tcPr>
          <w:tcW w:w="3120" w:type="dxa"/>
        </w:tcPr>
        <w:p w14:paraId="39023AA5" w14:textId="281096C1" w:rsidR="002C6F40" w:rsidRDefault="002C6F40" w:rsidP="00B12CB1">
          <w:pPr>
            <w:pStyle w:val="Header"/>
            <w:ind w:left="-115"/>
          </w:pPr>
        </w:p>
      </w:tc>
      <w:tc>
        <w:tcPr>
          <w:tcW w:w="3120" w:type="dxa"/>
        </w:tcPr>
        <w:p w14:paraId="4CEDD1D8" w14:textId="548DF421" w:rsidR="002C6F40" w:rsidRDefault="002C6F40" w:rsidP="00B12CB1">
          <w:pPr>
            <w:pStyle w:val="Header"/>
            <w:jc w:val="center"/>
          </w:pPr>
        </w:p>
      </w:tc>
      <w:tc>
        <w:tcPr>
          <w:tcW w:w="3120" w:type="dxa"/>
        </w:tcPr>
        <w:p w14:paraId="565CEDE0" w14:textId="3E13AA35" w:rsidR="002C6F40" w:rsidRDefault="002C6F40" w:rsidP="00B12CB1">
          <w:pPr>
            <w:pStyle w:val="Header"/>
            <w:ind w:right="-115"/>
            <w:jc w:val="right"/>
          </w:pPr>
        </w:p>
      </w:tc>
    </w:tr>
  </w:tbl>
  <w:p w14:paraId="1D84281A" w14:textId="7681D588" w:rsidR="002C6F40" w:rsidRDefault="002C6F4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Theme"/>
      <w:tblW w:w="0" w:type="auto"/>
      <w:tblLayout w:type="fixed"/>
      <w:tblLook w:val="06A0" w:firstRow="1" w:lastRow="0" w:firstColumn="1" w:lastColumn="0" w:noHBand="1" w:noVBand="1"/>
    </w:tblPr>
    <w:tblGrid>
      <w:gridCol w:w="4800"/>
      <w:gridCol w:w="4800"/>
      <w:gridCol w:w="4800"/>
    </w:tblGrid>
    <w:tr w:rsidR="000269ED" w14:paraId="0360AF87" w14:textId="77777777" w:rsidTr="00120B16">
      <w:trPr>
        <w:trHeight w:val="300"/>
      </w:trPr>
      <w:tc>
        <w:tcPr>
          <w:tcW w:w="4800" w:type="dxa"/>
        </w:tcPr>
        <w:p w14:paraId="3BB9E9EC" w14:textId="77777777" w:rsidR="000269ED" w:rsidRDefault="000269ED" w:rsidP="00B12CB1">
          <w:pPr>
            <w:pStyle w:val="Header"/>
            <w:ind w:left="-115"/>
          </w:pPr>
        </w:p>
      </w:tc>
      <w:tc>
        <w:tcPr>
          <w:tcW w:w="4800" w:type="dxa"/>
        </w:tcPr>
        <w:p w14:paraId="664FD84D" w14:textId="77777777" w:rsidR="000269ED" w:rsidRDefault="000269ED" w:rsidP="00B12CB1">
          <w:pPr>
            <w:pStyle w:val="Header"/>
            <w:jc w:val="center"/>
          </w:pPr>
        </w:p>
      </w:tc>
      <w:tc>
        <w:tcPr>
          <w:tcW w:w="4800" w:type="dxa"/>
        </w:tcPr>
        <w:p w14:paraId="2029EC73" w14:textId="77777777" w:rsidR="000269ED" w:rsidRDefault="000269ED" w:rsidP="00B12CB1">
          <w:pPr>
            <w:pStyle w:val="Header"/>
            <w:ind w:right="-115"/>
            <w:jc w:val="right"/>
          </w:pPr>
        </w:p>
      </w:tc>
    </w:tr>
  </w:tbl>
  <w:p w14:paraId="2F3A86EA" w14:textId="77777777" w:rsidR="000269ED" w:rsidRDefault="000269E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6A841" w14:textId="62ADBC10" w:rsidR="002C6F40" w:rsidRDefault="002C6F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AA13D3" w14:textId="77777777" w:rsidR="000E422C" w:rsidRDefault="000E422C" w:rsidP="000E09DC">
      <w:r>
        <w:separator/>
      </w:r>
    </w:p>
  </w:footnote>
  <w:footnote w:type="continuationSeparator" w:id="0">
    <w:p w14:paraId="71B7C7A0" w14:textId="77777777" w:rsidR="000E422C" w:rsidRDefault="000E422C" w:rsidP="000E09DC">
      <w:r>
        <w:continuationSeparator/>
      </w:r>
    </w:p>
  </w:footnote>
  <w:footnote w:type="continuationNotice" w:id="1">
    <w:p w14:paraId="656FF289" w14:textId="77777777" w:rsidR="000E422C" w:rsidRDefault="000E42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3228CD" w14:textId="77777777" w:rsidR="002C6F40" w:rsidRPr="000E09DC" w:rsidRDefault="002C6F40"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23228CE" w14:textId="77777777" w:rsidR="002C6F40" w:rsidRDefault="002C6F40"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423228CF" w14:textId="77777777" w:rsidR="002C6F40" w:rsidRPr="00527B0E" w:rsidRDefault="002C6F40"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Theme"/>
      <w:tblW w:w="0" w:type="auto"/>
      <w:tblLayout w:type="fixed"/>
      <w:tblLook w:val="06A0" w:firstRow="1" w:lastRow="0" w:firstColumn="1" w:lastColumn="0" w:noHBand="1" w:noVBand="1"/>
    </w:tblPr>
    <w:tblGrid>
      <w:gridCol w:w="3120"/>
      <w:gridCol w:w="3120"/>
      <w:gridCol w:w="3120"/>
    </w:tblGrid>
    <w:tr w:rsidR="002C6F40" w14:paraId="7394D6DB" w14:textId="77777777" w:rsidTr="008F6E2A">
      <w:trPr>
        <w:trHeight w:val="300"/>
      </w:trPr>
      <w:tc>
        <w:tcPr>
          <w:tcW w:w="3120" w:type="dxa"/>
        </w:tcPr>
        <w:p w14:paraId="7E57F985" w14:textId="2AAA564F" w:rsidR="002C6F40" w:rsidRDefault="002C6F40" w:rsidP="00B12CB1">
          <w:pPr>
            <w:pStyle w:val="Header"/>
            <w:ind w:left="-115"/>
          </w:pPr>
        </w:p>
      </w:tc>
      <w:tc>
        <w:tcPr>
          <w:tcW w:w="3120" w:type="dxa"/>
        </w:tcPr>
        <w:p w14:paraId="05FA46E9" w14:textId="3CB1F4C5" w:rsidR="002C6F40" w:rsidRDefault="002C6F40" w:rsidP="00B12CB1">
          <w:pPr>
            <w:pStyle w:val="Header"/>
            <w:jc w:val="center"/>
          </w:pPr>
        </w:p>
      </w:tc>
      <w:tc>
        <w:tcPr>
          <w:tcW w:w="3120" w:type="dxa"/>
        </w:tcPr>
        <w:p w14:paraId="31B411F2" w14:textId="44A60D02" w:rsidR="002C6F40" w:rsidRDefault="002C6F40" w:rsidP="00B12CB1">
          <w:pPr>
            <w:pStyle w:val="Header"/>
            <w:ind w:right="-115"/>
            <w:jc w:val="right"/>
          </w:pPr>
        </w:p>
      </w:tc>
    </w:tr>
  </w:tbl>
  <w:p w14:paraId="514BD85C" w14:textId="0A2E26C7" w:rsidR="002C6F40" w:rsidRDefault="002C6F4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16718F" w14:textId="2503E1D0" w:rsidR="000269ED" w:rsidRPr="0094206D" w:rsidRDefault="000269ED" w:rsidP="005A0B39">
    <w:pPr>
      <w:jc w:val="right"/>
      <w:rPr>
        <w:rFonts w:cs="Arial"/>
        <w:color w:val="000000"/>
      </w:rPr>
    </w:pPr>
    <w:r>
      <w:rPr>
        <w:rFonts w:cs="Arial"/>
        <w:color w:val="000000"/>
      </w:rPr>
      <w:t>i</w:t>
    </w:r>
    <w:r w:rsidRPr="0094206D">
      <w:rPr>
        <w:rFonts w:cs="Arial"/>
        <w:color w:val="000000"/>
      </w:rPr>
      <w:t>tb-amard-</w:t>
    </w:r>
    <w:r>
      <w:rPr>
        <w:rFonts w:cs="Arial"/>
        <w:color w:val="000000"/>
      </w:rPr>
      <w:t>jul24</w:t>
    </w:r>
    <w:r w:rsidRPr="0094206D">
      <w:rPr>
        <w:rFonts w:cs="Arial"/>
        <w:color w:val="000000"/>
      </w:rPr>
      <w:t>item</w:t>
    </w:r>
    <w:r>
      <w:rPr>
        <w:rFonts w:cs="Arial"/>
        <w:color w:val="000000"/>
      </w:rPr>
      <w:t>01</w:t>
    </w:r>
  </w:p>
  <w:p w14:paraId="62DD59F3" w14:textId="01345FD7" w:rsidR="000269ED" w:rsidRPr="00F53604" w:rsidRDefault="000269ED">
    <w:pPr>
      <w:pStyle w:val="Header"/>
      <w:spacing w:after="480"/>
      <w:jc w:val="right"/>
      <w:rPr>
        <w:rFonts w:cs="Arial"/>
      </w:rPr>
    </w:pPr>
    <w:r w:rsidRPr="00F53604">
      <w:rPr>
        <w:rFonts w:cs="Arial"/>
      </w:rPr>
      <w:t xml:space="preserve">Page </w:t>
    </w:r>
    <w:r w:rsidRPr="00F53604">
      <w:rPr>
        <w:rFonts w:cs="Arial"/>
      </w:rPr>
      <w:fldChar w:fldCharType="begin"/>
    </w:r>
    <w:r w:rsidRPr="00F53604">
      <w:rPr>
        <w:rFonts w:cs="Arial"/>
      </w:rPr>
      <w:instrText xml:space="preserve"> PAGE  \* Arabic  \* MERGEFORMAT </w:instrText>
    </w:r>
    <w:r w:rsidRPr="00F53604">
      <w:rPr>
        <w:rFonts w:cs="Arial"/>
      </w:rPr>
      <w:fldChar w:fldCharType="separate"/>
    </w:r>
    <w:r w:rsidRPr="00F53604">
      <w:rPr>
        <w:rFonts w:cs="Arial"/>
        <w:noProof/>
      </w:rPr>
      <w:t>1</w:t>
    </w:r>
    <w:r w:rsidRPr="00F53604">
      <w:rPr>
        <w:rFonts w:cs="Arial"/>
      </w:rPr>
      <w:fldChar w:fldCharType="end"/>
    </w:r>
    <w:r w:rsidRPr="00F53604">
      <w:rPr>
        <w:rFonts w:cs="Arial"/>
      </w:rPr>
      <w:t xml:space="preserve"> of </w:t>
    </w:r>
    <w:r w:rsidR="00EE5E34">
      <w:rPr>
        <w:rFonts w:cs="Arial"/>
      </w:rPr>
      <w:t>10</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Theme"/>
      <w:tblW w:w="0" w:type="auto"/>
      <w:tblLayout w:type="fixed"/>
      <w:tblLook w:val="06A0" w:firstRow="1" w:lastRow="0" w:firstColumn="1" w:lastColumn="0" w:noHBand="1" w:noVBand="1"/>
    </w:tblPr>
    <w:tblGrid>
      <w:gridCol w:w="4800"/>
      <w:gridCol w:w="4800"/>
      <w:gridCol w:w="4800"/>
    </w:tblGrid>
    <w:tr w:rsidR="000269ED" w14:paraId="0509D819" w14:textId="77777777" w:rsidTr="008F6E2A">
      <w:trPr>
        <w:trHeight w:val="300"/>
      </w:trPr>
      <w:tc>
        <w:tcPr>
          <w:tcW w:w="4800" w:type="dxa"/>
        </w:tcPr>
        <w:p w14:paraId="3DBCE380" w14:textId="77777777" w:rsidR="000269ED" w:rsidRDefault="000269ED" w:rsidP="32BA3F26">
          <w:pPr>
            <w:pStyle w:val="Header"/>
            <w:ind w:left="-115"/>
          </w:pPr>
        </w:p>
      </w:tc>
      <w:tc>
        <w:tcPr>
          <w:tcW w:w="4800" w:type="dxa"/>
        </w:tcPr>
        <w:p w14:paraId="127089AF" w14:textId="77777777" w:rsidR="000269ED" w:rsidRDefault="000269ED" w:rsidP="00B12CB1">
          <w:pPr>
            <w:pStyle w:val="Header"/>
            <w:jc w:val="center"/>
          </w:pPr>
        </w:p>
      </w:tc>
      <w:tc>
        <w:tcPr>
          <w:tcW w:w="4800" w:type="dxa"/>
        </w:tcPr>
        <w:p w14:paraId="025EAC6F" w14:textId="77777777" w:rsidR="000269ED" w:rsidRDefault="000269ED" w:rsidP="00B12CB1">
          <w:pPr>
            <w:pStyle w:val="Header"/>
            <w:ind w:right="-115"/>
            <w:jc w:val="right"/>
          </w:pPr>
        </w:p>
      </w:tc>
    </w:tr>
  </w:tbl>
  <w:p w14:paraId="65B3EC48" w14:textId="77777777" w:rsidR="000269ED" w:rsidRDefault="000269E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6C376D" w14:textId="77777777" w:rsidR="000269ED" w:rsidRPr="0094206D" w:rsidRDefault="000269ED" w:rsidP="005A0B39">
    <w:pPr>
      <w:jc w:val="right"/>
      <w:rPr>
        <w:rFonts w:cs="Arial"/>
        <w:color w:val="000000"/>
      </w:rPr>
    </w:pPr>
    <w:r>
      <w:rPr>
        <w:rFonts w:cs="Arial"/>
        <w:color w:val="000000"/>
      </w:rPr>
      <w:t>i</w:t>
    </w:r>
    <w:r w:rsidRPr="0094206D">
      <w:rPr>
        <w:rFonts w:cs="Arial"/>
        <w:color w:val="000000"/>
      </w:rPr>
      <w:t>tb-amard-</w:t>
    </w:r>
    <w:r>
      <w:rPr>
        <w:rFonts w:cs="Arial"/>
        <w:color w:val="000000"/>
      </w:rPr>
      <w:t>jul24</w:t>
    </w:r>
    <w:r w:rsidRPr="0094206D">
      <w:rPr>
        <w:rFonts w:cs="Arial"/>
        <w:color w:val="000000"/>
      </w:rPr>
      <w:t>item</w:t>
    </w:r>
    <w:r>
      <w:rPr>
        <w:rFonts w:cs="Arial"/>
        <w:color w:val="000000"/>
      </w:rPr>
      <w:t>01</w:t>
    </w:r>
  </w:p>
  <w:p w14:paraId="619739DF" w14:textId="77777777" w:rsidR="000269ED" w:rsidRPr="0094206D" w:rsidRDefault="000269ED" w:rsidP="005A0B39">
    <w:pPr>
      <w:jc w:val="right"/>
      <w:rPr>
        <w:rFonts w:cs="Arial"/>
      </w:rPr>
    </w:pPr>
    <w:r>
      <w:rPr>
        <w:rFonts w:cs="Arial"/>
      </w:rPr>
      <w:t>Attachment 1</w:t>
    </w:r>
  </w:p>
  <w:p w14:paraId="019401B9" w14:textId="0F0AC9B2" w:rsidR="000269ED" w:rsidRPr="00EF74C1" w:rsidRDefault="000269ED">
    <w:pPr>
      <w:pStyle w:val="Header"/>
      <w:spacing w:after="480"/>
      <w:jc w:val="right"/>
      <w:rPr>
        <w:rFonts w:cs="Arial"/>
      </w:rPr>
    </w:pPr>
    <w:r w:rsidRPr="00EF74C1">
      <w:rPr>
        <w:rFonts w:cs="Arial"/>
      </w:rPr>
      <w:t xml:space="preserve">Page </w:t>
    </w:r>
    <w:r w:rsidRPr="00EF74C1">
      <w:rPr>
        <w:rFonts w:cs="Arial"/>
      </w:rPr>
      <w:fldChar w:fldCharType="begin"/>
    </w:r>
    <w:r w:rsidRPr="00EF74C1">
      <w:rPr>
        <w:rFonts w:cs="Arial"/>
      </w:rPr>
      <w:instrText xml:space="preserve"> PAGE  \* Arabic  \* MERGEFORMAT </w:instrText>
    </w:r>
    <w:r w:rsidRPr="00EF74C1">
      <w:rPr>
        <w:rFonts w:cs="Arial"/>
      </w:rPr>
      <w:fldChar w:fldCharType="separate"/>
    </w:r>
    <w:r w:rsidRPr="00EF74C1">
      <w:rPr>
        <w:rFonts w:cs="Arial"/>
        <w:noProof/>
      </w:rPr>
      <w:t>1</w:t>
    </w:r>
    <w:r w:rsidRPr="00EF74C1">
      <w:rPr>
        <w:rFonts w:cs="Arial"/>
      </w:rPr>
      <w:fldChar w:fldCharType="end"/>
    </w:r>
    <w:r w:rsidRPr="00EF74C1">
      <w:rPr>
        <w:rFonts w:cs="Arial"/>
      </w:rPr>
      <w:t xml:space="preserve"> of </w:t>
    </w:r>
    <w:r>
      <w:rPr>
        <w:rFonts w:cs="Arial"/>
      </w:rPr>
      <w:t>1</w:t>
    </w:r>
    <w:r w:rsidR="0087459C">
      <w:rPr>
        <w:rFonts w:cs="Arial"/>
      </w:rPr>
      <w:t>5</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Theme"/>
      <w:tblW w:w="0" w:type="auto"/>
      <w:tblLayout w:type="fixed"/>
      <w:tblLook w:val="06A0" w:firstRow="1" w:lastRow="0" w:firstColumn="1" w:lastColumn="0" w:noHBand="1" w:noVBand="1"/>
    </w:tblPr>
    <w:tblGrid>
      <w:gridCol w:w="4800"/>
      <w:gridCol w:w="4800"/>
      <w:gridCol w:w="4800"/>
    </w:tblGrid>
    <w:tr w:rsidR="00E762F6" w14:paraId="42CA15A1" w14:textId="77777777" w:rsidTr="008F6E2A">
      <w:trPr>
        <w:trHeight w:val="300"/>
      </w:trPr>
      <w:tc>
        <w:tcPr>
          <w:tcW w:w="4800" w:type="dxa"/>
        </w:tcPr>
        <w:p w14:paraId="5724750C" w14:textId="77777777" w:rsidR="00E762F6" w:rsidRDefault="00E762F6" w:rsidP="32BA3F26">
          <w:pPr>
            <w:pStyle w:val="Header"/>
            <w:ind w:left="-115"/>
          </w:pPr>
        </w:p>
      </w:tc>
      <w:tc>
        <w:tcPr>
          <w:tcW w:w="4800" w:type="dxa"/>
        </w:tcPr>
        <w:p w14:paraId="2CAB3729" w14:textId="77777777" w:rsidR="00E762F6" w:rsidRDefault="00E762F6" w:rsidP="00B12CB1">
          <w:pPr>
            <w:pStyle w:val="Header"/>
            <w:jc w:val="center"/>
          </w:pPr>
        </w:p>
      </w:tc>
      <w:tc>
        <w:tcPr>
          <w:tcW w:w="4800" w:type="dxa"/>
        </w:tcPr>
        <w:p w14:paraId="3F6FE5A7" w14:textId="77777777" w:rsidR="00E762F6" w:rsidRDefault="00E762F6" w:rsidP="00B12CB1">
          <w:pPr>
            <w:pStyle w:val="Header"/>
            <w:ind w:right="-115"/>
            <w:jc w:val="right"/>
          </w:pPr>
        </w:p>
      </w:tc>
    </w:tr>
  </w:tbl>
  <w:p w14:paraId="5DAC92C9" w14:textId="77777777" w:rsidR="00E762F6" w:rsidRDefault="00E762F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3228E3" w14:textId="54D302D4" w:rsidR="002C6F40" w:rsidRPr="0094206D" w:rsidRDefault="002C6F40" w:rsidP="005A0B39">
    <w:pPr>
      <w:jc w:val="right"/>
      <w:rPr>
        <w:rFonts w:cs="Arial"/>
        <w:color w:val="000000"/>
      </w:rPr>
    </w:pPr>
    <w:r>
      <w:rPr>
        <w:rFonts w:cs="Arial"/>
        <w:color w:val="000000"/>
      </w:rPr>
      <w:t>i</w:t>
    </w:r>
    <w:r w:rsidRPr="0094206D">
      <w:rPr>
        <w:rFonts w:cs="Arial"/>
        <w:color w:val="000000"/>
      </w:rPr>
      <w:t>tb-amard-</w:t>
    </w:r>
    <w:r w:rsidR="00151999">
      <w:rPr>
        <w:rFonts w:cs="Arial"/>
        <w:color w:val="000000"/>
      </w:rPr>
      <w:t>jul</w:t>
    </w:r>
    <w:r>
      <w:rPr>
        <w:rFonts w:cs="Arial"/>
        <w:color w:val="000000"/>
      </w:rPr>
      <w:t>2</w:t>
    </w:r>
    <w:r w:rsidR="004910D0">
      <w:rPr>
        <w:rFonts w:cs="Arial"/>
        <w:color w:val="000000"/>
      </w:rPr>
      <w:t>4</w:t>
    </w:r>
    <w:r w:rsidRPr="0094206D">
      <w:rPr>
        <w:rFonts w:cs="Arial"/>
        <w:color w:val="000000"/>
      </w:rPr>
      <w:t>item</w:t>
    </w:r>
    <w:r>
      <w:rPr>
        <w:rFonts w:cs="Arial"/>
        <w:color w:val="000000"/>
      </w:rPr>
      <w:t>01</w:t>
    </w:r>
  </w:p>
  <w:p w14:paraId="423228E4" w14:textId="629C25FA" w:rsidR="002C6F40" w:rsidRDefault="002C6F40" w:rsidP="005A0B39">
    <w:pPr>
      <w:jc w:val="right"/>
      <w:rPr>
        <w:rFonts w:cs="Arial"/>
      </w:rPr>
    </w:pPr>
    <w:r>
      <w:rPr>
        <w:rFonts w:cs="Arial"/>
      </w:rPr>
      <w:t xml:space="preserve">Attachment </w:t>
    </w:r>
    <w:r w:rsidR="008344B1">
      <w:rPr>
        <w:rFonts w:cs="Arial"/>
      </w:rPr>
      <w:t>2</w:t>
    </w:r>
  </w:p>
  <w:p w14:paraId="72A28862" w14:textId="1C65A564" w:rsidR="00151999" w:rsidRPr="00BD6E8D" w:rsidRDefault="00BD6E8D" w:rsidP="00A92A4D">
    <w:pPr>
      <w:spacing w:after="480"/>
      <w:jc w:val="right"/>
      <w:rPr>
        <w:rFonts w:cs="Arial"/>
      </w:rPr>
    </w:pPr>
    <w:r w:rsidRPr="00BD6E8D">
      <w:rPr>
        <w:rFonts w:cs="Arial"/>
      </w:rPr>
      <w:t xml:space="preserve">Page </w:t>
    </w:r>
    <w:r w:rsidRPr="00BD6E8D">
      <w:rPr>
        <w:rFonts w:cs="Arial"/>
      </w:rPr>
      <w:fldChar w:fldCharType="begin"/>
    </w:r>
    <w:r w:rsidRPr="00BD6E8D">
      <w:rPr>
        <w:rFonts w:cs="Arial"/>
      </w:rPr>
      <w:instrText xml:space="preserve"> PAGE  \* Arabic  \* MERGEFORMAT </w:instrText>
    </w:r>
    <w:r w:rsidRPr="00BD6E8D">
      <w:rPr>
        <w:rFonts w:cs="Arial"/>
      </w:rPr>
      <w:fldChar w:fldCharType="separate"/>
    </w:r>
    <w:r w:rsidRPr="00BD6E8D">
      <w:rPr>
        <w:rFonts w:cs="Arial"/>
        <w:noProof/>
      </w:rPr>
      <w:t>1</w:t>
    </w:r>
    <w:r w:rsidRPr="00BD6E8D">
      <w:rPr>
        <w:rFonts w:cs="Arial"/>
      </w:rPr>
      <w:fldChar w:fldCharType="end"/>
    </w:r>
    <w:r w:rsidRPr="00BD6E8D">
      <w:rPr>
        <w:rFonts w:cs="Arial"/>
      </w:rPr>
      <w:t xml:space="preserve"> of </w:t>
    </w:r>
    <w:r w:rsidR="0094415D">
      <w:rPr>
        <w:rFonts w:cs="Arial"/>
      </w:rPr>
      <w:t>3</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6161B5" w14:textId="1604ACCA" w:rsidR="002C6F40" w:rsidRPr="00F23783" w:rsidRDefault="00F23783" w:rsidP="00D41983">
    <w:pPr>
      <w:jc w:val="right"/>
    </w:pPr>
    <w:r w:rsidRPr="00F23783">
      <w:t>itb-amard-jul24item01</w:t>
    </w:r>
  </w:p>
  <w:p w14:paraId="60E4CE19" w14:textId="221397D8" w:rsidR="00F23783" w:rsidRPr="00F23783" w:rsidRDefault="00F23783" w:rsidP="00D41983">
    <w:pPr>
      <w:jc w:val="right"/>
    </w:pPr>
    <w:r w:rsidRPr="00F23783">
      <w:t>Attachment 1</w:t>
    </w:r>
  </w:p>
  <w:p w14:paraId="3A26BF84" w14:textId="456100E7" w:rsidR="00F23783" w:rsidRPr="00F23783" w:rsidRDefault="00F23783" w:rsidP="00D41983">
    <w:pPr>
      <w:spacing w:after="480"/>
      <w:jc w:val="right"/>
    </w:pPr>
    <w:r w:rsidRPr="00F23783">
      <w:t xml:space="preserve">Page </w:t>
    </w:r>
    <w:r w:rsidRPr="00D41983">
      <w:fldChar w:fldCharType="begin"/>
    </w:r>
    <w:r w:rsidRPr="00D41983">
      <w:instrText xml:space="preserve"> PAGE  \* Arabic  \* MERGEFORMAT </w:instrText>
    </w:r>
    <w:r w:rsidRPr="00D41983">
      <w:fldChar w:fldCharType="separate"/>
    </w:r>
    <w:r w:rsidRPr="00D41983">
      <w:rPr>
        <w:noProof/>
      </w:rPr>
      <w:t>1</w:t>
    </w:r>
    <w:r w:rsidRPr="00D41983">
      <w:fldChar w:fldCharType="end"/>
    </w:r>
    <w:r w:rsidRPr="00F23783">
      <w:t xml:space="preserve"> of </w:t>
    </w:r>
    <w:r w:rsidR="00BC38F2">
      <w:t>11</w:t>
    </w:r>
  </w:p>
</w:hdr>
</file>

<file path=word/intelligence2.xml><?xml version="1.0" encoding="utf-8"?>
<int2:intelligence xmlns:int2="http://schemas.microsoft.com/office/intelligence/2020/intelligence" xmlns:oel="http://schemas.microsoft.com/office/2019/extlst">
  <int2:observations>
    <int2:textHash int2:hashCode="TegdO70xWd5JWH" int2:id="PQHn8ASH">
      <int2:state int2:value="Rejected" int2:type="LegacyProofing"/>
    </int2:textHash>
  </int2:observations>
  <int2:intelligenceSettings>
    <int2:extLst>
      <oel:ext uri="74B372B9-2EFF-4315-9A3F-32BA87CA82B1">
        <int2:goals int2:version="1" int2:formality="0"/>
      </oel:ext>
    </int2:extLst>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32D18"/>
    <w:multiLevelType w:val="hybridMultilevel"/>
    <w:tmpl w:val="8D28D730"/>
    <w:lvl w:ilvl="0" w:tplc="DE68EE6C">
      <w:start w:val="1"/>
      <w:numFmt w:val="bullet"/>
      <w:lvlText w:val=""/>
      <w:lvlJc w:val="left"/>
      <w:pPr>
        <w:ind w:left="720" w:hanging="360"/>
      </w:pPr>
      <w:rPr>
        <w:rFonts w:ascii="Symbol" w:hAnsi="Symbol" w:hint="default"/>
      </w:rPr>
    </w:lvl>
    <w:lvl w:ilvl="1" w:tplc="4B2E809C">
      <w:start w:val="1"/>
      <w:numFmt w:val="bullet"/>
      <w:lvlText w:val="o"/>
      <w:lvlJc w:val="left"/>
      <w:pPr>
        <w:ind w:left="1440" w:hanging="360"/>
      </w:pPr>
      <w:rPr>
        <w:rFonts w:ascii="Courier New" w:hAnsi="Courier New" w:hint="default"/>
      </w:rPr>
    </w:lvl>
    <w:lvl w:ilvl="2" w:tplc="8182FB2E">
      <w:start w:val="1"/>
      <w:numFmt w:val="bullet"/>
      <w:lvlText w:val=""/>
      <w:lvlJc w:val="left"/>
      <w:pPr>
        <w:ind w:left="2160" w:hanging="360"/>
      </w:pPr>
      <w:rPr>
        <w:rFonts w:ascii="Wingdings" w:hAnsi="Wingdings" w:hint="default"/>
      </w:rPr>
    </w:lvl>
    <w:lvl w:ilvl="3" w:tplc="CF604412">
      <w:start w:val="1"/>
      <w:numFmt w:val="bullet"/>
      <w:lvlText w:val=""/>
      <w:lvlJc w:val="left"/>
      <w:pPr>
        <w:ind w:left="2880" w:hanging="360"/>
      </w:pPr>
      <w:rPr>
        <w:rFonts w:ascii="Symbol" w:hAnsi="Symbol" w:hint="default"/>
      </w:rPr>
    </w:lvl>
    <w:lvl w:ilvl="4" w:tplc="F66AF0D6">
      <w:start w:val="1"/>
      <w:numFmt w:val="bullet"/>
      <w:lvlText w:val="o"/>
      <w:lvlJc w:val="left"/>
      <w:pPr>
        <w:ind w:left="3600" w:hanging="360"/>
      </w:pPr>
      <w:rPr>
        <w:rFonts w:ascii="Courier New" w:hAnsi="Courier New" w:hint="default"/>
      </w:rPr>
    </w:lvl>
    <w:lvl w:ilvl="5" w:tplc="CA64F8E0">
      <w:start w:val="1"/>
      <w:numFmt w:val="bullet"/>
      <w:lvlText w:val=""/>
      <w:lvlJc w:val="left"/>
      <w:pPr>
        <w:ind w:left="4320" w:hanging="360"/>
      </w:pPr>
      <w:rPr>
        <w:rFonts w:ascii="Wingdings" w:hAnsi="Wingdings" w:hint="default"/>
      </w:rPr>
    </w:lvl>
    <w:lvl w:ilvl="6" w:tplc="64BAC910">
      <w:start w:val="1"/>
      <w:numFmt w:val="bullet"/>
      <w:lvlText w:val=""/>
      <w:lvlJc w:val="left"/>
      <w:pPr>
        <w:ind w:left="5040" w:hanging="360"/>
      </w:pPr>
      <w:rPr>
        <w:rFonts w:ascii="Symbol" w:hAnsi="Symbol" w:hint="default"/>
      </w:rPr>
    </w:lvl>
    <w:lvl w:ilvl="7" w:tplc="0206FE96">
      <w:start w:val="1"/>
      <w:numFmt w:val="bullet"/>
      <w:lvlText w:val="o"/>
      <w:lvlJc w:val="left"/>
      <w:pPr>
        <w:ind w:left="5760" w:hanging="360"/>
      </w:pPr>
      <w:rPr>
        <w:rFonts w:ascii="Courier New" w:hAnsi="Courier New" w:hint="default"/>
      </w:rPr>
    </w:lvl>
    <w:lvl w:ilvl="8" w:tplc="79BA3144">
      <w:start w:val="1"/>
      <w:numFmt w:val="bullet"/>
      <w:lvlText w:val=""/>
      <w:lvlJc w:val="left"/>
      <w:pPr>
        <w:ind w:left="6480" w:hanging="360"/>
      </w:pPr>
      <w:rPr>
        <w:rFonts w:ascii="Wingdings" w:hAnsi="Wingdings" w:hint="default"/>
      </w:rPr>
    </w:lvl>
  </w:abstractNum>
  <w:abstractNum w:abstractNumId="1" w15:restartNumberingAfterBreak="0">
    <w:nsid w:val="01CF571E"/>
    <w:multiLevelType w:val="hybridMultilevel"/>
    <w:tmpl w:val="042201FE"/>
    <w:lvl w:ilvl="0" w:tplc="E5744E12">
      <w:start w:val="1"/>
      <w:numFmt w:val="bullet"/>
      <w:lvlText w:val="·"/>
      <w:lvlJc w:val="left"/>
      <w:pPr>
        <w:ind w:left="720" w:hanging="360"/>
      </w:pPr>
      <w:rPr>
        <w:rFonts w:ascii="Symbol" w:hAnsi="Symbol" w:hint="default"/>
      </w:rPr>
    </w:lvl>
    <w:lvl w:ilvl="1" w:tplc="64B602D0">
      <w:start w:val="1"/>
      <w:numFmt w:val="bullet"/>
      <w:lvlText w:val="o"/>
      <w:lvlJc w:val="left"/>
      <w:pPr>
        <w:ind w:left="1440" w:hanging="360"/>
      </w:pPr>
      <w:rPr>
        <w:rFonts w:ascii="Courier New" w:hAnsi="Courier New" w:hint="default"/>
      </w:rPr>
    </w:lvl>
    <w:lvl w:ilvl="2" w:tplc="51545ED2">
      <w:start w:val="1"/>
      <w:numFmt w:val="bullet"/>
      <w:lvlText w:val=""/>
      <w:lvlJc w:val="left"/>
      <w:pPr>
        <w:ind w:left="2160" w:hanging="360"/>
      </w:pPr>
      <w:rPr>
        <w:rFonts w:ascii="Wingdings" w:hAnsi="Wingdings" w:hint="default"/>
      </w:rPr>
    </w:lvl>
    <w:lvl w:ilvl="3" w:tplc="0756D9D0">
      <w:start w:val="1"/>
      <w:numFmt w:val="bullet"/>
      <w:lvlText w:val=""/>
      <w:lvlJc w:val="left"/>
      <w:pPr>
        <w:ind w:left="2880" w:hanging="360"/>
      </w:pPr>
      <w:rPr>
        <w:rFonts w:ascii="Symbol" w:hAnsi="Symbol" w:hint="default"/>
      </w:rPr>
    </w:lvl>
    <w:lvl w:ilvl="4" w:tplc="83EA45B8">
      <w:start w:val="1"/>
      <w:numFmt w:val="bullet"/>
      <w:lvlText w:val="o"/>
      <w:lvlJc w:val="left"/>
      <w:pPr>
        <w:ind w:left="3600" w:hanging="360"/>
      </w:pPr>
      <w:rPr>
        <w:rFonts w:ascii="Courier New" w:hAnsi="Courier New" w:hint="default"/>
      </w:rPr>
    </w:lvl>
    <w:lvl w:ilvl="5" w:tplc="0FE66D50">
      <w:start w:val="1"/>
      <w:numFmt w:val="bullet"/>
      <w:lvlText w:val=""/>
      <w:lvlJc w:val="left"/>
      <w:pPr>
        <w:ind w:left="4320" w:hanging="360"/>
      </w:pPr>
      <w:rPr>
        <w:rFonts w:ascii="Wingdings" w:hAnsi="Wingdings" w:hint="default"/>
      </w:rPr>
    </w:lvl>
    <w:lvl w:ilvl="6" w:tplc="F5904F04">
      <w:start w:val="1"/>
      <w:numFmt w:val="bullet"/>
      <w:lvlText w:val=""/>
      <w:lvlJc w:val="left"/>
      <w:pPr>
        <w:ind w:left="5040" w:hanging="360"/>
      </w:pPr>
      <w:rPr>
        <w:rFonts w:ascii="Symbol" w:hAnsi="Symbol" w:hint="default"/>
      </w:rPr>
    </w:lvl>
    <w:lvl w:ilvl="7" w:tplc="BA6A07DA">
      <w:start w:val="1"/>
      <w:numFmt w:val="bullet"/>
      <w:lvlText w:val="o"/>
      <w:lvlJc w:val="left"/>
      <w:pPr>
        <w:ind w:left="5760" w:hanging="360"/>
      </w:pPr>
      <w:rPr>
        <w:rFonts w:ascii="Courier New" w:hAnsi="Courier New" w:hint="default"/>
      </w:rPr>
    </w:lvl>
    <w:lvl w:ilvl="8" w:tplc="8AE4ACC6">
      <w:start w:val="1"/>
      <w:numFmt w:val="bullet"/>
      <w:lvlText w:val=""/>
      <w:lvlJc w:val="left"/>
      <w:pPr>
        <w:ind w:left="6480" w:hanging="360"/>
      </w:pPr>
      <w:rPr>
        <w:rFonts w:ascii="Wingdings" w:hAnsi="Wingdings" w:hint="default"/>
      </w:rPr>
    </w:lvl>
  </w:abstractNum>
  <w:abstractNum w:abstractNumId="2" w15:restartNumberingAfterBreak="0">
    <w:nsid w:val="0695B1B4"/>
    <w:multiLevelType w:val="hybridMultilevel"/>
    <w:tmpl w:val="FFFFFFFF"/>
    <w:lvl w:ilvl="0" w:tplc="8B2A39D6">
      <w:start w:val="1"/>
      <w:numFmt w:val="bullet"/>
      <w:lvlText w:val=""/>
      <w:lvlJc w:val="left"/>
      <w:pPr>
        <w:ind w:left="720" w:hanging="360"/>
      </w:pPr>
      <w:rPr>
        <w:rFonts w:ascii="Symbol" w:hAnsi="Symbol" w:hint="default"/>
      </w:rPr>
    </w:lvl>
    <w:lvl w:ilvl="1" w:tplc="1408FEFC">
      <w:start w:val="1"/>
      <w:numFmt w:val="bullet"/>
      <w:lvlText w:val="o"/>
      <w:lvlJc w:val="left"/>
      <w:pPr>
        <w:ind w:left="1440" w:hanging="360"/>
      </w:pPr>
      <w:rPr>
        <w:rFonts w:ascii="Courier New" w:hAnsi="Courier New" w:hint="default"/>
      </w:rPr>
    </w:lvl>
    <w:lvl w:ilvl="2" w:tplc="A0A8F158">
      <w:start w:val="1"/>
      <w:numFmt w:val="bullet"/>
      <w:lvlText w:val=""/>
      <w:lvlJc w:val="left"/>
      <w:pPr>
        <w:ind w:left="2160" w:hanging="360"/>
      </w:pPr>
      <w:rPr>
        <w:rFonts w:ascii="Wingdings" w:hAnsi="Wingdings" w:hint="default"/>
      </w:rPr>
    </w:lvl>
    <w:lvl w:ilvl="3" w:tplc="624ECCBC">
      <w:start w:val="1"/>
      <w:numFmt w:val="bullet"/>
      <w:lvlText w:val=""/>
      <w:lvlJc w:val="left"/>
      <w:pPr>
        <w:ind w:left="2880" w:hanging="360"/>
      </w:pPr>
      <w:rPr>
        <w:rFonts w:ascii="Symbol" w:hAnsi="Symbol" w:hint="default"/>
      </w:rPr>
    </w:lvl>
    <w:lvl w:ilvl="4" w:tplc="E22E9860">
      <w:start w:val="1"/>
      <w:numFmt w:val="bullet"/>
      <w:lvlText w:val="o"/>
      <w:lvlJc w:val="left"/>
      <w:pPr>
        <w:ind w:left="3600" w:hanging="360"/>
      </w:pPr>
      <w:rPr>
        <w:rFonts w:ascii="Courier New" w:hAnsi="Courier New" w:hint="default"/>
      </w:rPr>
    </w:lvl>
    <w:lvl w:ilvl="5" w:tplc="4AA4D540">
      <w:start w:val="1"/>
      <w:numFmt w:val="bullet"/>
      <w:lvlText w:val=""/>
      <w:lvlJc w:val="left"/>
      <w:pPr>
        <w:ind w:left="4320" w:hanging="360"/>
      </w:pPr>
      <w:rPr>
        <w:rFonts w:ascii="Wingdings" w:hAnsi="Wingdings" w:hint="default"/>
      </w:rPr>
    </w:lvl>
    <w:lvl w:ilvl="6" w:tplc="7B444E4E">
      <w:start w:val="1"/>
      <w:numFmt w:val="bullet"/>
      <w:lvlText w:val=""/>
      <w:lvlJc w:val="left"/>
      <w:pPr>
        <w:ind w:left="5040" w:hanging="360"/>
      </w:pPr>
      <w:rPr>
        <w:rFonts w:ascii="Symbol" w:hAnsi="Symbol" w:hint="default"/>
      </w:rPr>
    </w:lvl>
    <w:lvl w:ilvl="7" w:tplc="82DA7BA0">
      <w:start w:val="1"/>
      <w:numFmt w:val="bullet"/>
      <w:lvlText w:val="o"/>
      <w:lvlJc w:val="left"/>
      <w:pPr>
        <w:ind w:left="5760" w:hanging="360"/>
      </w:pPr>
      <w:rPr>
        <w:rFonts w:ascii="Courier New" w:hAnsi="Courier New" w:hint="default"/>
      </w:rPr>
    </w:lvl>
    <w:lvl w:ilvl="8" w:tplc="1C9AC946">
      <w:start w:val="1"/>
      <w:numFmt w:val="bullet"/>
      <w:lvlText w:val=""/>
      <w:lvlJc w:val="left"/>
      <w:pPr>
        <w:ind w:left="6480" w:hanging="360"/>
      </w:pPr>
      <w:rPr>
        <w:rFonts w:ascii="Wingdings" w:hAnsi="Wingdings" w:hint="default"/>
      </w:rPr>
    </w:lvl>
  </w:abstractNum>
  <w:abstractNum w:abstractNumId="3" w15:restartNumberingAfterBreak="0">
    <w:nsid w:val="06ABA52D"/>
    <w:multiLevelType w:val="hybridMultilevel"/>
    <w:tmpl w:val="FFFFFFFF"/>
    <w:lvl w:ilvl="0" w:tplc="12A0C5E2">
      <w:start w:val="1"/>
      <w:numFmt w:val="bullet"/>
      <w:lvlText w:val=""/>
      <w:lvlJc w:val="left"/>
      <w:pPr>
        <w:ind w:left="720" w:hanging="360"/>
      </w:pPr>
      <w:rPr>
        <w:rFonts w:ascii="Symbol" w:hAnsi="Symbol" w:hint="default"/>
      </w:rPr>
    </w:lvl>
    <w:lvl w:ilvl="1" w:tplc="17CC3E0E">
      <w:start w:val="1"/>
      <w:numFmt w:val="bullet"/>
      <w:lvlText w:val="o"/>
      <w:lvlJc w:val="left"/>
      <w:pPr>
        <w:ind w:left="1440" w:hanging="360"/>
      </w:pPr>
      <w:rPr>
        <w:rFonts w:ascii="Courier New" w:hAnsi="Courier New" w:hint="default"/>
      </w:rPr>
    </w:lvl>
    <w:lvl w:ilvl="2" w:tplc="33E891A8">
      <w:start w:val="1"/>
      <w:numFmt w:val="bullet"/>
      <w:lvlText w:val=""/>
      <w:lvlJc w:val="left"/>
      <w:pPr>
        <w:ind w:left="2160" w:hanging="360"/>
      </w:pPr>
      <w:rPr>
        <w:rFonts w:ascii="Wingdings" w:hAnsi="Wingdings" w:hint="default"/>
      </w:rPr>
    </w:lvl>
    <w:lvl w:ilvl="3" w:tplc="68B2140A">
      <w:start w:val="1"/>
      <w:numFmt w:val="bullet"/>
      <w:lvlText w:val=""/>
      <w:lvlJc w:val="left"/>
      <w:pPr>
        <w:ind w:left="2880" w:hanging="360"/>
      </w:pPr>
      <w:rPr>
        <w:rFonts w:ascii="Symbol" w:hAnsi="Symbol" w:hint="default"/>
      </w:rPr>
    </w:lvl>
    <w:lvl w:ilvl="4" w:tplc="456E060C">
      <w:start w:val="1"/>
      <w:numFmt w:val="bullet"/>
      <w:lvlText w:val="o"/>
      <w:lvlJc w:val="left"/>
      <w:pPr>
        <w:ind w:left="3600" w:hanging="360"/>
      </w:pPr>
      <w:rPr>
        <w:rFonts w:ascii="Courier New" w:hAnsi="Courier New" w:hint="default"/>
      </w:rPr>
    </w:lvl>
    <w:lvl w:ilvl="5" w:tplc="486CD19A">
      <w:start w:val="1"/>
      <w:numFmt w:val="bullet"/>
      <w:lvlText w:val=""/>
      <w:lvlJc w:val="left"/>
      <w:pPr>
        <w:ind w:left="4320" w:hanging="360"/>
      </w:pPr>
      <w:rPr>
        <w:rFonts w:ascii="Wingdings" w:hAnsi="Wingdings" w:hint="default"/>
      </w:rPr>
    </w:lvl>
    <w:lvl w:ilvl="6" w:tplc="AFD40050">
      <w:start w:val="1"/>
      <w:numFmt w:val="bullet"/>
      <w:lvlText w:val=""/>
      <w:lvlJc w:val="left"/>
      <w:pPr>
        <w:ind w:left="5040" w:hanging="360"/>
      </w:pPr>
      <w:rPr>
        <w:rFonts w:ascii="Symbol" w:hAnsi="Symbol" w:hint="default"/>
      </w:rPr>
    </w:lvl>
    <w:lvl w:ilvl="7" w:tplc="6584E72C">
      <w:start w:val="1"/>
      <w:numFmt w:val="bullet"/>
      <w:lvlText w:val="o"/>
      <w:lvlJc w:val="left"/>
      <w:pPr>
        <w:ind w:left="5760" w:hanging="360"/>
      </w:pPr>
      <w:rPr>
        <w:rFonts w:ascii="Courier New" w:hAnsi="Courier New" w:hint="default"/>
      </w:rPr>
    </w:lvl>
    <w:lvl w:ilvl="8" w:tplc="30CED3AE">
      <w:start w:val="1"/>
      <w:numFmt w:val="bullet"/>
      <w:lvlText w:val=""/>
      <w:lvlJc w:val="left"/>
      <w:pPr>
        <w:ind w:left="6480" w:hanging="360"/>
      </w:pPr>
      <w:rPr>
        <w:rFonts w:ascii="Wingdings" w:hAnsi="Wingdings" w:hint="default"/>
      </w:rPr>
    </w:lvl>
  </w:abstractNum>
  <w:abstractNum w:abstractNumId="4" w15:restartNumberingAfterBreak="0">
    <w:nsid w:val="0FBF53A0"/>
    <w:multiLevelType w:val="hybridMultilevel"/>
    <w:tmpl w:val="E5FED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5094C7"/>
    <w:multiLevelType w:val="hybridMultilevel"/>
    <w:tmpl w:val="0B401B62"/>
    <w:lvl w:ilvl="0" w:tplc="DDC8C602">
      <w:start w:val="1"/>
      <w:numFmt w:val="bullet"/>
      <w:lvlText w:val=""/>
      <w:lvlJc w:val="left"/>
      <w:pPr>
        <w:ind w:left="720" w:hanging="360"/>
      </w:pPr>
      <w:rPr>
        <w:rFonts w:ascii="Symbol" w:hAnsi="Symbol" w:hint="default"/>
      </w:rPr>
    </w:lvl>
    <w:lvl w:ilvl="1" w:tplc="F2CACE9E">
      <w:start w:val="1"/>
      <w:numFmt w:val="bullet"/>
      <w:lvlText w:val="o"/>
      <w:lvlJc w:val="left"/>
      <w:pPr>
        <w:ind w:left="1440" w:hanging="360"/>
      </w:pPr>
      <w:rPr>
        <w:rFonts w:ascii="Courier New" w:hAnsi="Courier New" w:hint="default"/>
      </w:rPr>
    </w:lvl>
    <w:lvl w:ilvl="2" w:tplc="0B423A0A">
      <w:start w:val="1"/>
      <w:numFmt w:val="bullet"/>
      <w:lvlText w:val=""/>
      <w:lvlJc w:val="left"/>
      <w:pPr>
        <w:ind w:left="2160" w:hanging="360"/>
      </w:pPr>
      <w:rPr>
        <w:rFonts w:ascii="Wingdings" w:hAnsi="Wingdings" w:hint="default"/>
      </w:rPr>
    </w:lvl>
    <w:lvl w:ilvl="3" w:tplc="0770A324">
      <w:start w:val="1"/>
      <w:numFmt w:val="bullet"/>
      <w:lvlText w:val=""/>
      <w:lvlJc w:val="left"/>
      <w:pPr>
        <w:ind w:left="2880" w:hanging="360"/>
      </w:pPr>
      <w:rPr>
        <w:rFonts w:ascii="Symbol" w:hAnsi="Symbol" w:hint="default"/>
      </w:rPr>
    </w:lvl>
    <w:lvl w:ilvl="4" w:tplc="474CB14C">
      <w:start w:val="1"/>
      <w:numFmt w:val="bullet"/>
      <w:lvlText w:val="o"/>
      <w:lvlJc w:val="left"/>
      <w:pPr>
        <w:ind w:left="3600" w:hanging="360"/>
      </w:pPr>
      <w:rPr>
        <w:rFonts w:ascii="Courier New" w:hAnsi="Courier New" w:hint="default"/>
      </w:rPr>
    </w:lvl>
    <w:lvl w:ilvl="5" w:tplc="5956A620">
      <w:start w:val="1"/>
      <w:numFmt w:val="bullet"/>
      <w:lvlText w:val=""/>
      <w:lvlJc w:val="left"/>
      <w:pPr>
        <w:ind w:left="4320" w:hanging="360"/>
      </w:pPr>
      <w:rPr>
        <w:rFonts w:ascii="Wingdings" w:hAnsi="Wingdings" w:hint="default"/>
      </w:rPr>
    </w:lvl>
    <w:lvl w:ilvl="6" w:tplc="B3D0BF54">
      <w:start w:val="1"/>
      <w:numFmt w:val="bullet"/>
      <w:lvlText w:val=""/>
      <w:lvlJc w:val="left"/>
      <w:pPr>
        <w:ind w:left="5040" w:hanging="360"/>
      </w:pPr>
      <w:rPr>
        <w:rFonts w:ascii="Symbol" w:hAnsi="Symbol" w:hint="default"/>
      </w:rPr>
    </w:lvl>
    <w:lvl w:ilvl="7" w:tplc="9DE00D32">
      <w:start w:val="1"/>
      <w:numFmt w:val="bullet"/>
      <w:lvlText w:val="o"/>
      <w:lvlJc w:val="left"/>
      <w:pPr>
        <w:ind w:left="5760" w:hanging="360"/>
      </w:pPr>
      <w:rPr>
        <w:rFonts w:ascii="Courier New" w:hAnsi="Courier New" w:hint="default"/>
      </w:rPr>
    </w:lvl>
    <w:lvl w:ilvl="8" w:tplc="958A5D2A">
      <w:start w:val="1"/>
      <w:numFmt w:val="bullet"/>
      <w:lvlText w:val=""/>
      <w:lvlJc w:val="left"/>
      <w:pPr>
        <w:ind w:left="6480" w:hanging="360"/>
      </w:pPr>
      <w:rPr>
        <w:rFonts w:ascii="Wingdings" w:hAnsi="Wingdings" w:hint="default"/>
      </w:rPr>
    </w:lvl>
  </w:abstractNum>
  <w:abstractNum w:abstractNumId="6" w15:restartNumberingAfterBreak="0">
    <w:nsid w:val="1544085F"/>
    <w:multiLevelType w:val="hybridMultilevel"/>
    <w:tmpl w:val="D070E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4D6B79"/>
    <w:multiLevelType w:val="hybridMultilevel"/>
    <w:tmpl w:val="209C8060"/>
    <w:lvl w:ilvl="0" w:tplc="79B6A7AC">
      <w:start w:val="1"/>
      <w:numFmt w:val="bullet"/>
      <w:lvlText w:val=""/>
      <w:lvlJc w:val="left"/>
      <w:pPr>
        <w:ind w:left="720" w:hanging="360"/>
      </w:pPr>
      <w:rPr>
        <w:rFonts w:ascii="Symbol" w:hAnsi="Symbol" w:hint="default"/>
      </w:rPr>
    </w:lvl>
    <w:lvl w:ilvl="1" w:tplc="FD08A890">
      <w:start w:val="1"/>
      <w:numFmt w:val="bullet"/>
      <w:lvlText w:val="o"/>
      <w:lvlJc w:val="left"/>
      <w:pPr>
        <w:ind w:left="1440" w:hanging="360"/>
      </w:pPr>
      <w:rPr>
        <w:rFonts w:ascii="Courier New" w:hAnsi="Courier New" w:hint="default"/>
      </w:rPr>
    </w:lvl>
    <w:lvl w:ilvl="2" w:tplc="2EDAC5CE">
      <w:start w:val="1"/>
      <w:numFmt w:val="bullet"/>
      <w:lvlText w:val=""/>
      <w:lvlJc w:val="left"/>
      <w:pPr>
        <w:ind w:left="2160" w:hanging="360"/>
      </w:pPr>
      <w:rPr>
        <w:rFonts w:ascii="Wingdings" w:hAnsi="Wingdings" w:hint="default"/>
      </w:rPr>
    </w:lvl>
    <w:lvl w:ilvl="3" w:tplc="F98E3FEA">
      <w:start w:val="1"/>
      <w:numFmt w:val="bullet"/>
      <w:lvlText w:val=""/>
      <w:lvlJc w:val="left"/>
      <w:pPr>
        <w:ind w:left="2880" w:hanging="360"/>
      </w:pPr>
      <w:rPr>
        <w:rFonts w:ascii="Symbol" w:hAnsi="Symbol" w:hint="default"/>
      </w:rPr>
    </w:lvl>
    <w:lvl w:ilvl="4" w:tplc="674E831C">
      <w:start w:val="1"/>
      <w:numFmt w:val="bullet"/>
      <w:lvlText w:val="o"/>
      <w:lvlJc w:val="left"/>
      <w:pPr>
        <w:ind w:left="3600" w:hanging="360"/>
      </w:pPr>
      <w:rPr>
        <w:rFonts w:ascii="Courier New" w:hAnsi="Courier New" w:hint="default"/>
      </w:rPr>
    </w:lvl>
    <w:lvl w:ilvl="5" w:tplc="3AA8C3AA">
      <w:start w:val="1"/>
      <w:numFmt w:val="bullet"/>
      <w:lvlText w:val=""/>
      <w:lvlJc w:val="left"/>
      <w:pPr>
        <w:ind w:left="4320" w:hanging="360"/>
      </w:pPr>
      <w:rPr>
        <w:rFonts w:ascii="Wingdings" w:hAnsi="Wingdings" w:hint="default"/>
      </w:rPr>
    </w:lvl>
    <w:lvl w:ilvl="6" w:tplc="EB0816FC">
      <w:start w:val="1"/>
      <w:numFmt w:val="bullet"/>
      <w:lvlText w:val=""/>
      <w:lvlJc w:val="left"/>
      <w:pPr>
        <w:ind w:left="5040" w:hanging="360"/>
      </w:pPr>
      <w:rPr>
        <w:rFonts w:ascii="Symbol" w:hAnsi="Symbol" w:hint="default"/>
      </w:rPr>
    </w:lvl>
    <w:lvl w:ilvl="7" w:tplc="278A3B4E">
      <w:start w:val="1"/>
      <w:numFmt w:val="bullet"/>
      <w:lvlText w:val="o"/>
      <w:lvlJc w:val="left"/>
      <w:pPr>
        <w:ind w:left="5760" w:hanging="360"/>
      </w:pPr>
      <w:rPr>
        <w:rFonts w:ascii="Courier New" w:hAnsi="Courier New" w:hint="default"/>
      </w:rPr>
    </w:lvl>
    <w:lvl w:ilvl="8" w:tplc="6A2A2480">
      <w:start w:val="1"/>
      <w:numFmt w:val="bullet"/>
      <w:lvlText w:val=""/>
      <w:lvlJc w:val="left"/>
      <w:pPr>
        <w:ind w:left="6480" w:hanging="360"/>
      </w:pPr>
      <w:rPr>
        <w:rFonts w:ascii="Wingdings" w:hAnsi="Wingdings" w:hint="default"/>
      </w:rPr>
    </w:lvl>
  </w:abstractNum>
  <w:abstractNum w:abstractNumId="8" w15:restartNumberingAfterBreak="0">
    <w:nsid w:val="1C6DA5DB"/>
    <w:multiLevelType w:val="hybridMultilevel"/>
    <w:tmpl w:val="FFFFFFFF"/>
    <w:lvl w:ilvl="0" w:tplc="0890FEE8">
      <w:start w:val="1"/>
      <w:numFmt w:val="bullet"/>
      <w:lvlText w:val=""/>
      <w:lvlJc w:val="left"/>
      <w:pPr>
        <w:ind w:left="720" w:hanging="360"/>
      </w:pPr>
      <w:rPr>
        <w:rFonts w:ascii="Symbol" w:hAnsi="Symbol" w:hint="default"/>
      </w:rPr>
    </w:lvl>
    <w:lvl w:ilvl="1" w:tplc="9DDA6070">
      <w:start w:val="1"/>
      <w:numFmt w:val="bullet"/>
      <w:lvlText w:val="o"/>
      <w:lvlJc w:val="left"/>
      <w:pPr>
        <w:ind w:left="1440" w:hanging="360"/>
      </w:pPr>
      <w:rPr>
        <w:rFonts w:ascii="Courier New" w:hAnsi="Courier New" w:hint="default"/>
      </w:rPr>
    </w:lvl>
    <w:lvl w:ilvl="2" w:tplc="2D36C160">
      <w:start w:val="1"/>
      <w:numFmt w:val="bullet"/>
      <w:lvlText w:val=""/>
      <w:lvlJc w:val="left"/>
      <w:pPr>
        <w:ind w:left="2160" w:hanging="360"/>
      </w:pPr>
      <w:rPr>
        <w:rFonts w:ascii="Wingdings" w:hAnsi="Wingdings" w:hint="default"/>
      </w:rPr>
    </w:lvl>
    <w:lvl w:ilvl="3" w:tplc="0A26A68A">
      <w:start w:val="1"/>
      <w:numFmt w:val="bullet"/>
      <w:lvlText w:val=""/>
      <w:lvlJc w:val="left"/>
      <w:pPr>
        <w:ind w:left="2880" w:hanging="360"/>
      </w:pPr>
      <w:rPr>
        <w:rFonts w:ascii="Symbol" w:hAnsi="Symbol" w:hint="default"/>
      </w:rPr>
    </w:lvl>
    <w:lvl w:ilvl="4" w:tplc="A3044426">
      <w:start w:val="1"/>
      <w:numFmt w:val="bullet"/>
      <w:lvlText w:val="o"/>
      <w:lvlJc w:val="left"/>
      <w:pPr>
        <w:ind w:left="3600" w:hanging="360"/>
      </w:pPr>
      <w:rPr>
        <w:rFonts w:ascii="Courier New" w:hAnsi="Courier New" w:hint="default"/>
      </w:rPr>
    </w:lvl>
    <w:lvl w:ilvl="5" w:tplc="DFB4AC82">
      <w:start w:val="1"/>
      <w:numFmt w:val="bullet"/>
      <w:lvlText w:val=""/>
      <w:lvlJc w:val="left"/>
      <w:pPr>
        <w:ind w:left="4320" w:hanging="360"/>
      </w:pPr>
      <w:rPr>
        <w:rFonts w:ascii="Wingdings" w:hAnsi="Wingdings" w:hint="default"/>
      </w:rPr>
    </w:lvl>
    <w:lvl w:ilvl="6" w:tplc="A4AAAA2C">
      <w:start w:val="1"/>
      <w:numFmt w:val="bullet"/>
      <w:lvlText w:val=""/>
      <w:lvlJc w:val="left"/>
      <w:pPr>
        <w:ind w:left="5040" w:hanging="360"/>
      </w:pPr>
      <w:rPr>
        <w:rFonts w:ascii="Symbol" w:hAnsi="Symbol" w:hint="default"/>
      </w:rPr>
    </w:lvl>
    <w:lvl w:ilvl="7" w:tplc="EEA823FC">
      <w:start w:val="1"/>
      <w:numFmt w:val="bullet"/>
      <w:lvlText w:val="o"/>
      <w:lvlJc w:val="left"/>
      <w:pPr>
        <w:ind w:left="5760" w:hanging="360"/>
      </w:pPr>
      <w:rPr>
        <w:rFonts w:ascii="Courier New" w:hAnsi="Courier New" w:hint="default"/>
      </w:rPr>
    </w:lvl>
    <w:lvl w:ilvl="8" w:tplc="FDCAFD3E">
      <w:start w:val="1"/>
      <w:numFmt w:val="bullet"/>
      <w:lvlText w:val=""/>
      <w:lvlJc w:val="left"/>
      <w:pPr>
        <w:ind w:left="6480" w:hanging="360"/>
      </w:pPr>
      <w:rPr>
        <w:rFonts w:ascii="Wingdings" w:hAnsi="Wingdings" w:hint="default"/>
      </w:rPr>
    </w:lvl>
  </w:abstractNum>
  <w:abstractNum w:abstractNumId="9" w15:restartNumberingAfterBreak="0">
    <w:nsid w:val="1D1855E5"/>
    <w:multiLevelType w:val="hybridMultilevel"/>
    <w:tmpl w:val="E280D6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EB787E"/>
    <w:multiLevelType w:val="hybridMultilevel"/>
    <w:tmpl w:val="7200D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69A20E"/>
    <w:multiLevelType w:val="hybridMultilevel"/>
    <w:tmpl w:val="4930433A"/>
    <w:lvl w:ilvl="0" w:tplc="9702B1DA">
      <w:start w:val="1"/>
      <w:numFmt w:val="bullet"/>
      <w:lvlText w:val=""/>
      <w:lvlJc w:val="left"/>
      <w:pPr>
        <w:ind w:left="720" w:hanging="360"/>
      </w:pPr>
      <w:rPr>
        <w:rFonts w:ascii="Symbol" w:hAnsi="Symbol" w:hint="default"/>
      </w:rPr>
    </w:lvl>
    <w:lvl w:ilvl="1" w:tplc="AF2A8824">
      <w:start w:val="1"/>
      <w:numFmt w:val="bullet"/>
      <w:lvlText w:val="o"/>
      <w:lvlJc w:val="left"/>
      <w:pPr>
        <w:ind w:left="1440" w:hanging="360"/>
      </w:pPr>
      <w:rPr>
        <w:rFonts w:ascii="Courier New" w:hAnsi="Courier New" w:hint="default"/>
      </w:rPr>
    </w:lvl>
    <w:lvl w:ilvl="2" w:tplc="3A12345E">
      <w:start w:val="1"/>
      <w:numFmt w:val="bullet"/>
      <w:lvlText w:val=""/>
      <w:lvlJc w:val="left"/>
      <w:pPr>
        <w:ind w:left="2160" w:hanging="360"/>
      </w:pPr>
      <w:rPr>
        <w:rFonts w:ascii="Wingdings" w:hAnsi="Wingdings" w:hint="default"/>
      </w:rPr>
    </w:lvl>
    <w:lvl w:ilvl="3" w:tplc="413648D6">
      <w:start w:val="1"/>
      <w:numFmt w:val="bullet"/>
      <w:lvlText w:val=""/>
      <w:lvlJc w:val="left"/>
      <w:pPr>
        <w:ind w:left="2880" w:hanging="360"/>
      </w:pPr>
      <w:rPr>
        <w:rFonts w:ascii="Symbol" w:hAnsi="Symbol" w:hint="default"/>
      </w:rPr>
    </w:lvl>
    <w:lvl w:ilvl="4" w:tplc="B1CC7064">
      <w:start w:val="1"/>
      <w:numFmt w:val="bullet"/>
      <w:lvlText w:val="o"/>
      <w:lvlJc w:val="left"/>
      <w:pPr>
        <w:ind w:left="3600" w:hanging="360"/>
      </w:pPr>
      <w:rPr>
        <w:rFonts w:ascii="Courier New" w:hAnsi="Courier New" w:hint="default"/>
      </w:rPr>
    </w:lvl>
    <w:lvl w:ilvl="5" w:tplc="2C04046A">
      <w:start w:val="1"/>
      <w:numFmt w:val="bullet"/>
      <w:lvlText w:val=""/>
      <w:lvlJc w:val="left"/>
      <w:pPr>
        <w:ind w:left="4320" w:hanging="360"/>
      </w:pPr>
      <w:rPr>
        <w:rFonts w:ascii="Wingdings" w:hAnsi="Wingdings" w:hint="default"/>
      </w:rPr>
    </w:lvl>
    <w:lvl w:ilvl="6" w:tplc="9AB6C4A6">
      <w:start w:val="1"/>
      <w:numFmt w:val="bullet"/>
      <w:lvlText w:val=""/>
      <w:lvlJc w:val="left"/>
      <w:pPr>
        <w:ind w:left="5040" w:hanging="360"/>
      </w:pPr>
      <w:rPr>
        <w:rFonts w:ascii="Symbol" w:hAnsi="Symbol" w:hint="default"/>
      </w:rPr>
    </w:lvl>
    <w:lvl w:ilvl="7" w:tplc="96E41268">
      <w:start w:val="1"/>
      <w:numFmt w:val="bullet"/>
      <w:lvlText w:val="o"/>
      <w:lvlJc w:val="left"/>
      <w:pPr>
        <w:ind w:left="5760" w:hanging="360"/>
      </w:pPr>
      <w:rPr>
        <w:rFonts w:ascii="Courier New" w:hAnsi="Courier New" w:hint="default"/>
      </w:rPr>
    </w:lvl>
    <w:lvl w:ilvl="8" w:tplc="5C745B12">
      <w:start w:val="1"/>
      <w:numFmt w:val="bullet"/>
      <w:lvlText w:val=""/>
      <w:lvlJc w:val="left"/>
      <w:pPr>
        <w:ind w:left="6480" w:hanging="360"/>
      </w:pPr>
      <w:rPr>
        <w:rFonts w:ascii="Wingdings" w:hAnsi="Wingdings" w:hint="default"/>
      </w:rPr>
    </w:lvl>
  </w:abstractNum>
  <w:abstractNum w:abstractNumId="12" w15:restartNumberingAfterBreak="0">
    <w:nsid w:val="2EA936E6"/>
    <w:multiLevelType w:val="hybridMultilevel"/>
    <w:tmpl w:val="CAFCD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E253AE"/>
    <w:multiLevelType w:val="hybridMultilevel"/>
    <w:tmpl w:val="E74C12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8AA91D"/>
    <w:multiLevelType w:val="hybridMultilevel"/>
    <w:tmpl w:val="E416C0C4"/>
    <w:lvl w:ilvl="0" w:tplc="D3E0C6C6">
      <w:start w:val="1"/>
      <w:numFmt w:val="bullet"/>
      <w:lvlText w:val=""/>
      <w:lvlJc w:val="left"/>
      <w:pPr>
        <w:ind w:left="720" w:hanging="360"/>
      </w:pPr>
      <w:rPr>
        <w:rFonts w:ascii="Symbol" w:hAnsi="Symbol" w:hint="default"/>
      </w:rPr>
    </w:lvl>
    <w:lvl w:ilvl="1" w:tplc="584E2918">
      <w:start w:val="1"/>
      <w:numFmt w:val="bullet"/>
      <w:lvlText w:val="o"/>
      <w:lvlJc w:val="left"/>
      <w:pPr>
        <w:ind w:left="1440" w:hanging="360"/>
      </w:pPr>
      <w:rPr>
        <w:rFonts w:ascii="Courier New" w:hAnsi="Courier New" w:hint="default"/>
      </w:rPr>
    </w:lvl>
    <w:lvl w:ilvl="2" w:tplc="0BD2CBD8">
      <w:start w:val="1"/>
      <w:numFmt w:val="bullet"/>
      <w:lvlText w:val=""/>
      <w:lvlJc w:val="left"/>
      <w:pPr>
        <w:ind w:left="2160" w:hanging="360"/>
      </w:pPr>
      <w:rPr>
        <w:rFonts w:ascii="Wingdings" w:hAnsi="Wingdings" w:hint="default"/>
      </w:rPr>
    </w:lvl>
    <w:lvl w:ilvl="3" w:tplc="92347652">
      <w:start w:val="1"/>
      <w:numFmt w:val="bullet"/>
      <w:lvlText w:val=""/>
      <w:lvlJc w:val="left"/>
      <w:pPr>
        <w:ind w:left="2880" w:hanging="360"/>
      </w:pPr>
      <w:rPr>
        <w:rFonts w:ascii="Symbol" w:hAnsi="Symbol" w:hint="default"/>
      </w:rPr>
    </w:lvl>
    <w:lvl w:ilvl="4" w:tplc="B5A61404">
      <w:start w:val="1"/>
      <w:numFmt w:val="bullet"/>
      <w:lvlText w:val="o"/>
      <w:lvlJc w:val="left"/>
      <w:pPr>
        <w:ind w:left="3600" w:hanging="360"/>
      </w:pPr>
      <w:rPr>
        <w:rFonts w:ascii="Courier New" w:hAnsi="Courier New" w:hint="default"/>
      </w:rPr>
    </w:lvl>
    <w:lvl w:ilvl="5" w:tplc="1E9A671A">
      <w:start w:val="1"/>
      <w:numFmt w:val="bullet"/>
      <w:lvlText w:val=""/>
      <w:lvlJc w:val="left"/>
      <w:pPr>
        <w:ind w:left="4320" w:hanging="360"/>
      </w:pPr>
      <w:rPr>
        <w:rFonts w:ascii="Wingdings" w:hAnsi="Wingdings" w:hint="default"/>
      </w:rPr>
    </w:lvl>
    <w:lvl w:ilvl="6" w:tplc="B20AA658">
      <w:start w:val="1"/>
      <w:numFmt w:val="bullet"/>
      <w:lvlText w:val=""/>
      <w:lvlJc w:val="left"/>
      <w:pPr>
        <w:ind w:left="5040" w:hanging="360"/>
      </w:pPr>
      <w:rPr>
        <w:rFonts w:ascii="Symbol" w:hAnsi="Symbol" w:hint="default"/>
      </w:rPr>
    </w:lvl>
    <w:lvl w:ilvl="7" w:tplc="F9C23A32">
      <w:start w:val="1"/>
      <w:numFmt w:val="bullet"/>
      <w:lvlText w:val="o"/>
      <w:lvlJc w:val="left"/>
      <w:pPr>
        <w:ind w:left="5760" w:hanging="360"/>
      </w:pPr>
      <w:rPr>
        <w:rFonts w:ascii="Courier New" w:hAnsi="Courier New" w:hint="default"/>
      </w:rPr>
    </w:lvl>
    <w:lvl w:ilvl="8" w:tplc="20E20870">
      <w:start w:val="1"/>
      <w:numFmt w:val="bullet"/>
      <w:lvlText w:val=""/>
      <w:lvlJc w:val="left"/>
      <w:pPr>
        <w:ind w:left="6480" w:hanging="360"/>
      </w:pPr>
      <w:rPr>
        <w:rFonts w:ascii="Wingdings" w:hAnsi="Wingdings" w:hint="default"/>
      </w:rPr>
    </w:lvl>
  </w:abstractNum>
  <w:abstractNum w:abstractNumId="15" w15:restartNumberingAfterBreak="0">
    <w:nsid w:val="44DC771A"/>
    <w:multiLevelType w:val="hybridMultilevel"/>
    <w:tmpl w:val="6D50F790"/>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5A19DA"/>
    <w:multiLevelType w:val="hybridMultilevel"/>
    <w:tmpl w:val="FFFFFFFF"/>
    <w:lvl w:ilvl="0" w:tplc="77D471D2">
      <w:start w:val="1"/>
      <w:numFmt w:val="bullet"/>
      <w:lvlText w:val=""/>
      <w:lvlJc w:val="left"/>
      <w:pPr>
        <w:ind w:left="720" w:hanging="360"/>
      </w:pPr>
      <w:rPr>
        <w:rFonts w:ascii="Symbol" w:hAnsi="Symbol" w:hint="default"/>
      </w:rPr>
    </w:lvl>
    <w:lvl w:ilvl="1" w:tplc="F4E832A2">
      <w:start w:val="1"/>
      <w:numFmt w:val="bullet"/>
      <w:lvlText w:val="o"/>
      <w:lvlJc w:val="left"/>
      <w:pPr>
        <w:ind w:left="1440" w:hanging="360"/>
      </w:pPr>
      <w:rPr>
        <w:rFonts w:ascii="Courier New" w:hAnsi="Courier New" w:hint="default"/>
      </w:rPr>
    </w:lvl>
    <w:lvl w:ilvl="2" w:tplc="FD4630E8">
      <w:start w:val="1"/>
      <w:numFmt w:val="bullet"/>
      <w:lvlText w:val=""/>
      <w:lvlJc w:val="left"/>
      <w:pPr>
        <w:ind w:left="2160" w:hanging="360"/>
      </w:pPr>
      <w:rPr>
        <w:rFonts w:ascii="Wingdings" w:hAnsi="Wingdings" w:hint="default"/>
      </w:rPr>
    </w:lvl>
    <w:lvl w:ilvl="3" w:tplc="B74EE058">
      <w:start w:val="1"/>
      <w:numFmt w:val="bullet"/>
      <w:lvlText w:val=""/>
      <w:lvlJc w:val="left"/>
      <w:pPr>
        <w:ind w:left="2880" w:hanging="360"/>
      </w:pPr>
      <w:rPr>
        <w:rFonts w:ascii="Symbol" w:hAnsi="Symbol" w:hint="default"/>
      </w:rPr>
    </w:lvl>
    <w:lvl w:ilvl="4" w:tplc="4170BA10">
      <w:start w:val="1"/>
      <w:numFmt w:val="bullet"/>
      <w:lvlText w:val="o"/>
      <w:lvlJc w:val="left"/>
      <w:pPr>
        <w:ind w:left="3600" w:hanging="360"/>
      </w:pPr>
      <w:rPr>
        <w:rFonts w:ascii="Courier New" w:hAnsi="Courier New" w:hint="default"/>
      </w:rPr>
    </w:lvl>
    <w:lvl w:ilvl="5" w:tplc="A0380BBC">
      <w:start w:val="1"/>
      <w:numFmt w:val="bullet"/>
      <w:lvlText w:val=""/>
      <w:lvlJc w:val="left"/>
      <w:pPr>
        <w:ind w:left="4320" w:hanging="360"/>
      </w:pPr>
      <w:rPr>
        <w:rFonts w:ascii="Wingdings" w:hAnsi="Wingdings" w:hint="default"/>
      </w:rPr>
    </w:lvl>
    <w:lvl w:ilvl="6" w:tplc="9116A6AC">
      <w:start w:val="1"/>
      <w:numFmt w:val="bullet"/>
      <w:lvlText w:val=""/>
      <w:lvlJc w:val="left"/>
      <w:pPr>
        <w:ind w:left="5040" w:hanging="360"/>
      </w:pPr>
      <w:rPr>
        <w:rFonts w:ascii="Symbol" w:hAnsi="Symbol" w:hint="default"/>
      </w:rPr>
    </w:lvl>
    <w:lvl w:ilvl="7" w:tplc="9CDAFAD4">
      <w:start w:val="1"/>
      <w:numFmt w:val="bullet"/>
      <w:lvlText w:val="o"/>
      <w:lvlJc w:val="left"/>
      <w:pPr>
        <w:ind w:left="5760" w:hanging="360"/>
      </w:pPr>
      <w:rPr>
        <w:rFonts w:ascii="Courier New" w:hAnsi="Courier New" w:hint="default"/>
      </w:rPr>
    </w:lvl>
    <w:lvl w:ilvl="8" w:tplc="56AEB292">
      <w:start w:val="1"/>
      <w:numFmt w:val="bullet"/>
      <w:lvlText w:val=""/>
      <w:lvlJc w:val="left"/>
      <w:pPr>
        <w:ind w:left="6480" w:hanging="360"/>
      </w:pPr>
      <w:rPr>
        <w:rFonts w:ascii="Wingdings" w:hAnsi="Wingdings" w:hint="default"/>
      </w:rPr>
    </w:lvl>
  </w:abstractNum>
  <w:abstractNum w:abstractNumId="17" w15:restartNumberingAfterBreak="0">
    <w:nsid w:val="49923A6C"/>
    <w:multiLevelType w:val="hybridMultilevel"/>
    <w:tmpl w:val="0D70F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E5A590"/>
    <w:multiLevelType w:val="hybridMultilevel"/>
    <w:tmpl w:val="194C016E"/>
    <w:lvl w:ilvl="0" w:tplc="587E65FE">
      <w:start w:val="1"/>
      <w:numFmt w:val="bullet"/>
      <w:lvlText w:val=""/>
      <w:lvlJc w:val="left"/>
      <w:pPr>
        <w:ind w:left="720" w:hanging="360"/>
      </w:pPr>
      <w:rPr>
        <w:rFonts w:ascii="Symbol" w:hAnsi="Symbol" w:hint="default"/>
      </w:rPr>
    </w:lvl>
    <w:lvl w:ilvl="1" w:tplc="2AD21EBC">
      <w:start w:val="1"/>
      <w:numFmt w:val="bullet"/>
      <w:lvlText w:val="o"/>
      <w:lvlJc w:val="left"/>
      <w:pPr>
        <w:ind w:left="1440" w:hanging="360"/>
      </w:pPr>
      <w:rPr>
        <w:rFonts w:ascii="Courier New" w:hAnsi="Courier New" w:hint="default"/>
      </w:rPr>
    </w:lvl>
    <w:lvl w:ilvl="2" w:tplc="74CACB66">
      <w:start w:val="1"/>
      <w:numFmt w:val="bullet"/>
      <w:lvlText w:val=""/>
      <w:lvlJc w:val="left"/>
      <w:pPr>
        <w:ind w:left="2160" w:hanging="360"/>
      </w:pPr>
      <w:rPr>
        <w:rFonts w:ascii="Wingdings" w:hAnsi="Wingdings" w:hint="default"/>
      </w:rPr>
    </w:lvl>
    <w:lvl w:ilvl="3" w:tplc="ADEE0D4A">
      <w:start w:val="1"/>
      <w:numFmt w:val="bullet"/>
      <w:lvlText w:val=""/>
      <w:lvlJc w:val="left"/>
      <w:pPr>
        <w:ind w:left="2880" w:hanging="360"/>
      </w:pPr>
      <w:rPr>
        <w:rFonts w:ascii="Symbol" w:hAnsi="Symbol" w:hint="default"/>
      </w:rPr>
    </w:lvl>
    <w:lvl w:ilvl="4" w:tplc="2F5C5AA8">
      <w:start w:val="1"/>
      <w:numFmt w:val="bullet"/>
      <w:lvlText w:val="o"/>
      <w:lvlJc w:val="left"/>
      <w:pPr>
        <w:ind w:left="3600" w:hanging="360"/>
      </w:pPr>
      <w:rPr>
        <w:rFonts w:ascii="Courier New" w:hAnsi="Courier New" w:hint="default"/>
      </w:rPr>
    </w:lvl>
    <w:lvl w:ilvl="5" w:tplc="3B06E32A">
      <w:start w:val="1"/>
      <w:numFmt w:val="bullet"/>
      <w:lvlText w:val=""/>
      <w:lvlJc w:val="left"/>
      <w:pPr>
        <w:ind w:left="4320" w:hanging="360"/>
      </w:pPr>
      <w:rPr>
        <w:rFonts w:ascii="Wingdings" w:hAnsi="Wingdings" w:hint="default"/>
      </w:rPr>
    </w:lvl>
    <w:lvl w:ilvl="6" w:tplc="7982052A">
      <w:start w:val="1"/>
      <w:numFmt w:val="bullet"/>
      <w:lvlText w:val=""/>
      <w:lvlJc w:val="left"/>
      <w:pPr>
        <w:ind w:left="5040" w:hanging="360"/>
      </w:pPr>
      <w:rPr>
        <w:rFonts w:ascii="Symbol" w:hAnsi="Symbol" w:hint="default"/>
      </w:rPr>
    </w:lvl>
    <w:lvl w:ilvl="7" w:tplc="9962D388">
      <w:start w:val="1"/>
      <w:numFmt w:val="bullet"/>
      <w:lvlText w:val="o"/>
      <w:lvlJc w:val="left"/>
      <w:pPr>
        <w:ind w:left="5760" w:hanging="360"/>
      </w:pPr>
      <w:rPr>
        <w:rFonts w:ascii="Courier New" w:hAnsi="Courier New" w:hint="default"/>
      </w:rPr>
    </w:lvl>
    <w:lvl w:ilvl="8" w:tplc="9BCEA052">
      <w:start w:val="1"/>
      <w:numFmt w:val="bullet"/>
      <w:lvlText w:val=""/>
      <w:lvlJc w:val="left"/>
      <w:pPr>
        <w:ind w:left="6480" w:hanging="360"/>
      </w:pPr>
      <w:rPr>
        <w:rFonts w:ascii="Wingdings" w:hAnsi="Wingdings" w:hint="default"/>
      </w:rPr>
    </w:lvl>
  </w:abstractNum>
  <w:abstractNum w:abstractNumId="19" w15:restartNumberingAfterBreak="0">
    <w:nsid w:val="55B6CEFC"/>
    <w:multiLevelType w:val="hybridMultilevel"/>
    <w:tmpl w:val="8C9E1A60"/>
    <w:lvl w:ilvl="0" w:tplc="2320CF20">
      <w:start w:val="1"/>
      <w:numFmt w:val="bullet"/>
      <w:lvlText w:val=""/>
      <w:lvlJc w:val="left"/>
      <w:pPr>
        <w:ind w:left="720" w:hanging="360"/>
      </w:pPr>
      <w:rPr>
        <w:rFonts w:ascii="Symbol" w:hAnsi="Symbol" w:hint="default"/>
      </w:rPr>
    </w:lvl>
    <w:lvl w:ilvl="1" w:tplc="B5CA8B92">
      <w:start w:val="1"/>
      <w:numFmt w:val="bullet"/>
      <w:lvlText w:val="o"/>
      <w:lvlJc w:val="left"/>
      <w:pPr>
        <w:ind w:left="1440" w:hanging="360"/>
      </w:pPr>
      <w:rPr>
        <w:rFonts w:ascii="Courier New" w:hAnsi="Courier New" w:hint="default"/>
      </w:rPr>
    </w:lvl>
    <w:lvl w:ilvl="2" w:tplc="D0E8008C">
      <w:start w:val="1"/>
      <w:numFmt w:val="bullet"/>
      <w:lvlText w:val=""/>
      <w:lvlJc w:val="left"/>
      <w:pPr>
        <w:ind w:left="2160" w:hanging="360"/>
      </w:pPr>
      <w:rPr>
        <w:rFonts w:ascii="Wingdings" w:hAnsi="Wingdings" w:hint="default"/>
      </w:rPr>
    </w:lvl>
    <w:lvl w:ilvl="3" w:tplc="3BEC4ABA">
      <w:start w:val="1"/>
      <w:numFmt w:val="bullet"/>
      <w:lvlText w:val=""/>
      <w:lvlJc w:val="left"/>
      <w:pPr>
        <w:ind w:left="2880" w:hanging="360"/>
      </w:pPr>
      <w:rPr>
        <w:rFonts w:ascii="Symbol" w:hAnsi="Symbol" w:hint="default"/>
      </w:rPr>
    </w:lvl>
    <w:lvl w:ilvl="4" w:tplc="0EA06FF0">
      <w:start w:val="1"/>
      <w:numFmt w:val="bullet"/>
      <w:lvlText w:val="o"/>
      <w:lvlJc w:val="left"/>
      <w:pPr>
        <w:ind w:left="3600" w:hanging="360"/>
      </w:pPr>
      <w:rPr>
        <w:rFonts w:ascii="Courier New" w:hAnsi="Courier New" w:hint="default"/>
      </w:rPr>
    </w:lvl>
    <w:lvl w:ilvl="5" w:tplc="E5F44372">
      <w:start w:val="1"/>
      <w:numFmt w:val="bullet"/>
      <w:lvlText w:val=""/>
      <w:lvlJc w:val="left"/>
      <w:pPr>
        <w:ind w:left="4320" w:hanging="360"/>
      </w:pPr>
      <w:rPr>
        <w:rFonts w:ascii="Wingdings" w:hAnsi="Wingdings" w:hint="default"/>
      </w:rPr>
    </w:lvl>
    <w:lvl w:ilvl="6" w:tplc="E826AEA4">
      <w:start w:val="1"/>
      <w:numFmt w:val="bullet"/>
      <w:lvlText w:val=""/>
      <w:lvlJc w:val="left"/>
      <w:pPr>
        <w:ind w:left="5040" w:hanging="360"/>
      </w:pPr>
      <w:rPr>
        <w:rFonts w:ascii="Symbol" w:hAnsi="Symbol" w:hint="default"/>
      </w:rPr>
    </w:lvl>
    <w:lvl w:ilvl="7" w:tplc="49C2F216">
      <w:start w:val="1"/>
      <w:numFmt w:val="bullet"/>
      <w:lvlText w:val="o"/>
      <w:lvlJc w:val="left"/>
      <w:pPr>
        <w:ind w:left="5760" w:hanging="360"/>
      </w:pPr>
      <w:rPr>
        <w:rFonts w:ascii="Courier New" w:hAnsi="Courier New" w:hint="default"/>
      </w:rPr>
    </w:lvl>
    <w:lvl w:ilvl="8" w:tplc="D7CA1BE4">
      <w:start w:val="1"/>
      <w:numFmt w:val="bullet"/>
      <w:lvlText w:val=""/>
      <w:lvlJc w:val="left"/>
      <w:pPr>
        <w:ind w:left="6480" w:hanging="360"/>
      </w:pPr>
      <w:rPr>
        <w:rFonts w:ascii="Wingdings" w:hAnsi="Wingdings" w:hint="default"/>
      </w:rPr>
    </w:lvl>
  </w:abstractNum>
  <w:abstractNum w:abstractNumId="20" w15:restartNumberingAfterBreak="0">
    <w:nsid w:val="5CABF68A"/>
    <w:multiLevelType w:val="hybridMultilevel"/>
    <w:tmpl w:val="EA344B8A"/>
    <w:lvl w:ilvl="0" w:tplc="53B6CDD2">
      <w:start w:val="1"/>
      <w:numFmt w:val="bullet"/>
      <w:lvlText w:val=""/>
      <w:lvlJc w:val="left"/>
      <w:pPr>
        <w:ind w:left="720" w:hanging="360"/>
      </w:pPr>
      <w:rPr>
        <w:rFonts w:ascii="Symbol" w:hAnsi="Symbol" w:hint="default"/>
      </w:rPr>
    </w:lvl>
    <w:lvl w:ilvl="1" w:tplc="8F380454">
      <w:start w:val="1"/>
      <w:numFmt w:val="bullet"/>
      <w:lvlText w:val="o"/>
      <w:lvlJc w:val="left"/>
      <w:pPr>
        <w:ind w:left="1440" w:hanging="360"/>
      </w:pPr>
      <w:rPr>
        <w:rFonts w:ascii="Courier New" w:hAnsi="Courier New" w:hint="default"/>
      </w:rPr>
    </w:lvl>
    <w:lvl w:ilvl="2" w:tplc="772412D4">
      <w:start w:val="1"/>
      <w:numFmt w:val="bullet"/>
      <w:lvlText w:val=""/>
      <w:lvlJc w:val="left"/>
      <w:pPr>
        <w:ind w:left="2160" w:hanging="360"/>
      </w:pPr>
      <w:rPr>
        <w:rFonts w:ascii="Wingdings" w:hAnsi="Wingdings" w:hint="default"/>
      </w:rPr>
    </w:lvl>
    <w:lvl w:ilvl="3" w:tplc="AD8ECB02">
      <w:start w:val="1"/>
      <w:numFmt w:val="bullet"/>
      <w:lvlText w:val=""/>
      <w:lvlJc w:val="left"/>
      <w:pPr>
        <w:ind w:left="2880" w:hanging="360"/>
      </w:pPr>
      <w:rPr>
        <w:rFonts w:ascii="Symbol" w:hAnsi="Symbol" w:hint="default"/>
      </w:rPr>
    </w:lvl>
    <w:lvl w:ilvl="4" w:tplc="BE0E9FE8">
      <w:start w:val="1"/>
      <w:numFmt w:val="bullet"/>
      <w:lvlText w:val="o"/>
      <w:lvlJc w:val="left"/>
      <w:pPr>
        <w:ind w:left="3600" w:hanging="360"/>
      </w:pPr>
      <w:rPr>
        <w:rFonts w:ascii="Courier New" w:hAnsi="Courier New" w:hint="default"/>
      </w:rPr>
    </w:lvl>
    <w:lvl w:ilvl="5" w:tplc="0A84D666">
      <w:start w:val="1"/>
      <w:numFmt w:val="bullet"/>
      <w:lvlText w:val=""/>
      <w:lvlJc w:val="left"/>
      <w:pPr>
        <w:ind w:left="4320" w:hanging="360"/>
      </w:pPr>
      <w:rPr>
        <w:rFonts w:ascii="Wingdings" w:hAnsi="Wingdings" w:hint="default"/>
      </w:rPr>
    </w:lvl>
    <w:lvl w:ilvl="6" w:tplc="B144FEC8">
      <w:start w:val="1"/>
      <w:numFmt w:val="bullet"/>
      <w:lvlText w:val=""/>
      <w:lvlJc w:val="left"/>
      <w:pPr>
        <w:ind w:left="5040" w:hanging="360"/>
      </w:pPr>
      <w:rPr>
        <w:rFonts w:ascii="Symbol" w:hAnsi="Symbol" w:hint="default"/>
      </w:rPr>
    </w:lvl>
    <w:lvl w:ilvl="7" w:tplc="FF8E9C76">
      <w:start w:val="1"/>
      <w:numFmt w:val="bullet"/>
      <w:lvlText w:val="o"/>
      <w:lvlJc w:val="left"/>
      <w:pPr>
        <w:ind w:left="5760" w:hanging="360"/>
      </w:pPr>
      <w:rPr>
        <w:rFonts w:ascii="Courier New" w:hAnsi="Courier New" w:hint="default"/>
      </w:rPr>
    </w:lvl>
    <w:lvl w:ilvl="8" w:tplc="D7A4377E">
      <w:start w:val="1"/>
      <w:numFmt w:val="bullet"/>
      <w:lvlText w:val=""/>
      <w:lvlJc w:val="left"/>
      <w:pPr>
        <w:ind w:left="6480" w:hanging="360"/>
      </w:pPr>
      <w:rPr>
        <w:rFonts w:ascii="Wingdings" w:hAnsi="Wingdings" w:hint="default"/>
      </w:rPr>
    </w:lvl>
  </w:abstractNum>
  <w:abstractNum w:abstractNumId="21" w15:restartNumberingAfterBreak="0">
    <w:nsid w:val="6A95EFC6"/>
    <w:multiLevelType w:val="hybridMultilevel"/>
    <w:tmpl w:val="19DE9A30"/>
    <w:lvl w:ilvl="0" w:tplc="C8B44560">
      <w:start w:val="1"/>
      <w:numFmt w:val="bullet"/>
      <w:lvlText w:val=""/>
      <w:lvlJc w:val="left"/>
      <w:pPr>
        <w:ind w:left="720" w:hanging="360"/>
      </w:pPr>
      <w:rPr>
        <w:rFonts w:ascii="Symbol" w:hAnsi="Symbol" w:hint="default"/>
      </w:rPr>
    </w:lvl>
    <w:lvl w:ilvl="1" w:tplc="E98ADA74">
      <w:start w:val="1"/>
      <w:numFmt w:val="bullet"/>
      <w:lvlText w:val="o"/>
      <w:lvlJc w:val="left"/>
      <w:pPr>
        <w:ind w:left="1440" w:hanging="360"/>
      </w:pPr>
      <w:rPr>
        <w:rFonts w:ascii="Courier New" w:hAnsi="Courier New" w:hint="default"/>
      </w:rPr>
    </w:lvl>
    <w:lvl w:ilvl="2" w:tplc="4DA40C52">
      <w:start w:val="1"/>
      <w:numFmt w:val="bullet"/>
      <w:lvlText w:val=""/>
      <w:lvlJc w:val="left"/>
      <w:pPr>
        <w:ind w:left="2160" w:hanging="360"/>
      </w:pPr>
      <w:rPr>
        <w:rFonts w:ascii="Wingdings" w:hAnsi="Wingdings" w:hint="default"/>
      </w:rPr>
    </w:lvl>
    <w:lvl w:ilvl="3" w:tplc="10ECABCA">
      <w:start w:val="1"/>
      <w:numFmt w:val="bullet"/>
      <w:lvlText w:val=""/>
      <w:lvlJc w:val="left"/>
      <w:pPr>
        <w:ind w:left="2880" w:hanging="360"/>
      </w:pPr>
      <w:rPr>
        <w:rFonts w:ascii="Symbol" w:hAnsi="Symbol" w:hint="default"/>
      </w:rPr>
    </w:lvl>
    <w:lvl w:ilvl="4" w:tplc="FF3411B6">
      <w:start w:val="1"/>
      <w:numFmt w:val="bullet"/>
      <w:lvlText w:val="o"/>
      <w:lvlJc w:val="left"/>
      <w:pPr>
        <w:ind w:left="3600" w:hanging="360"/>
      </w:pPr>
      <w:rPr>
        <w:rFonts w:ascii="Courier New" w:hAnsi="Courier New" w:hint="default"/>
      </w:rPr>
    </w:lvl>
    <w:lvl w:ilvl="5" w:tplc="E1D43B68">
      <w:start w:val="1"/>
      <w:numFmt w:val="bullet"/>
      <w:lvlText w:val=""/>
      <w:lvlJc w:val="left"/>
      <w:pPr>
        <w:ind w:left="4320" w:hanging="360"/>
      </w:pPr>
      <w:rPr>
        <w:rFonts w:ascii="Wingdings" w:hAnsi="Wingdings" w:hint="default"/>
      </w:rPr>
    </w:lvl>
    <w:lvl w:ilvl="6" w:tplc="7BE21D4A">
      <w:start w:val="1"/>
      <w:numFmt w:val="bullet"/>
      <w:lvlText w:val=""/>
      <w:lvlJc w:val="left"/>
      <w:pPr>
        <w:ind w:left="5040" w:hanging="360"/>
      </w:pPr>
      <w:rPr>
        <w:rFonts w:ascii="Symbol" w:hAnsi="Symbol" w:hint="default"/>
      </w:rPr>
    </w:lvl>
    <w:lvl w:ilvl="7" w:tplc="13C27454">
      <w:start w:val="1"/>
      <w:numFmt w:val="bullet"/>
      <w:lvlText w:val="o"/>
      <w:lvlJc w:val="left"/>
      <w:pPr>
        <w:ind w:left="5760" w:hanging="360"/>
      </w:pPr>
      <w:rPr>
        <w:rFonts w:ascii="Courier New" w:hAnsi="Courier New" w:hint="default"/>
      </w:rPr>
    </w:lvl>
    <w:lvl w:ilvl="8" w:tplc="33767D42">
      <w:start w:val="1"/>
      <w:numFmt w:val="bullet"/>
      <w:lvlText w:val=""/>
      <w:lvlJc w:val="left"/>
      <w:pPr>
        <w:ind w:left="6480" w:hanging="360"/>
      </w:pPr>
      <w:rPr>
        <w:rFonts w:ascii="Wingdings" w:hAnsi="Wingdings" w:hint="default"/>
      </w:rPr>
    </w:lvl>
  </w:abstractNum>
  <w:abstractNum w:abstractNumId="22" w15:restartNumberingAfterBreak="0">
    <w:nsid w:val="6E200D10"/>
    <w:multiLevelType w:val="hybridMultilevel"/>
    <w:tmpl w:val="A976A0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889650"/>
    <w:multiLevelType w:val="hybridMultilevel"/>
    <w:tmpl w:val="25E670CE"/>
    <w:lvl w:ilvl="0" w:tplc="F5F8F468">
      <w:start w:val="1"/>
      <w:numFmt w:val="bullet"/>
      <w:lvlText w:val=""/>
      <w:lvlJc w:val="left"/>
      <w:pPr>
        <w:ind w:left="720" w:hanging="360"/>
      </w:pPr>
      <w:rPr>
        <w:rFonts w:ascii="Symbol" w:hAnsi="Symbol" w:hint="default"/>
      </w:rPr>
    </w:lvl>
    <w:lvl w:ilvl="1" w:tplc="FC3C34F8">
      <w:start w:val="1"/>
      <w:numFmt w:val="bullet"/>
      <w:lvlText w:val="o"/>
      <w:lvlJc w:val="left"/>
      <w:pPr>
        <w:ind w:left="1440" w:hanging="360"/>
      </w:pPr>
      <w:rPr>
        <w:rFonts w:ascii="Courier New" w:hAnsi="Courier New" w:hint="default"/>
      </w:rPr>
    </w:lvl>
    <w:lvl w:ilvl="2" w:tplc="8EE43B70">
      <w:start w:val="1"/>
      <w:numFmt w:val="bullet"/>
      <w:lvlText w:val=""/>
      <w:lvlJc w:val="left"/>
      <w:pPr>
        <w:ind w:left="2160" w:hanging="360"/>
      </w:pPr>
      <w:rPr>
        <w:rFonts w:ascii="Wingdings" w:hAnsi="Wingdings" w:hint="default"/>
      </w:rPr>
    </w:lvl>
    <w:lvl w:ilvl="3" w:tplc="8724EC56">
      <w:start w:val="1"/>
      <w:numFmt w:val="bullet"/>
      <w:lvlText w:val=""/>
      <w:lvlJc w:val="left"/>
      <w:pPr>
        <w:ind w:left="2880" w:hanging="360"/>
      </w:pPr>
      <w:rPr>
        <w:rFonts w:ascii="Symbol" w:hAnsi="Symbol" w:hint="default"/>
      </w:rPr>
    </w:lvl>
    <w:lvl w:ilvl="4" w:tplc="4308ECAE">
      <w:start w:val="1"/>
      <w:numFmt w:val="bullet"/>
      <w:lvlText w:val="o"/>
      <w:lvlJc w:val="left"/>
      <w:pPr>
        <w:ind w:left="3600" w:hanging="360"/>
      </w:pPr>
      <w:rPr>
        <w:rFonts w:ascii="Courier New" w:hAnsi="Courier New" w:hint="default"/>
      </w:rPr>
    </w:lvl>
    <w:lvl w:ilvl="5" w:tplc="82A8EDD4">
      <w:start w:val="1"/>
      <w:numFmt w:val="bullet"/>
      <w:lvlText w:val=""/>
      <w:lvlJc w:val="left"/>
      <w:pPr>
        <w:ind w:left="4320" w:hanging="360"/>
      </w:pPr>
      <w:rPr>
        <w:rFonts w:ascii="Wingdings" w:hAnsi="Wingdings" w:hint="default"/>
      </w:rPr>
    </w:lvl>
    <w:lvl w:ilvl="6" w:tplc="64FEE628">
      <w:start w:val="1"/>
      <w:numFmt w:val="bullet"/>
      <w:lvlText w:val=""/>
      <w:lvlJc w:val="left"/>
      <w:pPr>
        <w:ind w:left="5040" w:hanging="360"/>
      </w:pPr>
      <w:rPr>
        <w:rFonts w:ascii="Symbol" w:hAnsi="Symbol" w:hint="default"/>
      </w:rPr>
    </w:lvl>
    <w:lvl w:ilvl="7" w:tplc="11AAEAB2">
      <w:start w:val="1"/>
      <w:numFmt w:val="bullet"/>
      <w:lvlText w:val="o"/>
      <w:lvlJc w:val="left"/>
      <w:pPr>
        <w:ind w:left="5760" w:hanging="360"/>
      </w:pPr>
      <w:rPr>
        <w:rFonts w:ascii="Courier New" w:hAnsi="Courier New" w:hint="default"/>
      </w:rPr>
    </w:lvl>
    <w:lvl w:ilvl="8" w:tplc="45507A1C">
      <w:start w:val="1"/>
      <w:numFmt w:val="bullet"/>
      <w:lvlText w:val=""/>
      <w:lvlJc w:val="left"/>
      <w:pPr>
        <w:ind w:left="6480" w:hanging="360"/>
      </w:pPr>
      <w:rPr>
        <w:rFonts w:ascii="Wingdings" w:hAnsi="Wingdings" w:hint="default"/>
      </w:rPr>
    </w:lvl>
  </w:abstractNum>
  <w:abstractNum w:abstractNumId="24" w15:restartNumberingAfterBreak="0">
    <w:nsid w:val="77A790B7"/>
    <w:multiLevelType w:val="hybridMultilevel"/>
    <w:tmpl w:val="933E1F4E"/>
    <w:lvl w:ilvl="0" w:tplc="3FF4FB42">
      <w:start w:val="1"/>
      <w:numFmt w:val="bullet"/>
      <w:lvlText w:val=""/>
      <w:lvlJc w:val="left"/>
      <w:pPr>
        <w:ind w:left="720" w:hanging="360"/>
      </w:pPr>
      <w:rPr>
        <w:rFonts w:ascii="Symbol" w:hAnsi="Symbol" w:hint="default"/>
      </w:rPr>
    </w:lvl>
    <w:lvl w:ilvl="1" w:tplc="CC4C28DA">
      <w:start w:val="1"/>
      <w:numFmt w:val="bullet"/>
      <w:lvlText w:val="o"/>
      <w:lvlJc w:val="left"/>
      <w:pPr>
        <w:ind w:left="1440" w:hanging="360"/>
      </w:pPr>
      <w:rPr>
        <w:rFonts w:ascii="Courier New" w:hAnsi="Courier New" w:hint="default"/>
      </w:rPr>
    </w:lvl>
    <w:lvl w:ilvl="2" w:tplc="79122D58">
      <w:start w:val="1"/>
      <w:numFmt w:val="bullet"/>
      <w:lvlText w:val=""/>
      <w:lvlJc w:val="left"/>
      <w:pPr>
        <w:ind w:left="2160" w:hanging="360"/>
      </w:pPr>
      <w:rPr>
        <w:rFonts w:ascii="Wingdings" w:hAnsi="Wingdings" w:hint="default"/>
      </w:rPr>
    </w:lvl>
    <w:lvl w:ilvl="3" w:tplc="18164DBE">
      <w:start w:val="1"/>
      <w:numFmt w:val="bullet"/>
      <w:lvlText w:val=""/>
      <w:lvlJc w:val="left"/>
      <w:pPr>
        <w:ind w:left="2880" w:hanging="360"/>
      </w:pPr>
      <w:rPr>
        <w:rFonts w:ascii="Symbol" w:hAnsi="Symbol" w:hint="default"/>
      </w:rPr>
    </w:lvl>
    <w:lvl w:ilvl="4" w:tplc="F910A3BA">
      <w:start w:val="1"/>
      <w:numFmt w:val="bullet"/>
      <w:lvlText w:val="o"/>
      <w:lvlJc w:val="left"/>
      <w:pPr>
        <w:ind w:left="3600" w:hanging="360"/>
      </w:pPr>
      <w:rPr>
        <w:rFonts w:ascii="Courier New" w:hAnsi="Courier New" w:hint="default"/>
      </w:rPr>
    </w:lvl>
    <w:lvl w:ilvl="5" w:tplc="C93A6B4E">
      <w:start w:val="1"/>
      <w:numFmt w:val="bullet"/>
      <w:lvlText w:val=""/>
      <w:lvlJc w:val="left"/>
      <w:pPr>
        <w:ind w:left="4320" w:hanging="360"/>
      </w:pPr>
      <w:rPr>
        <w:rFonts w:ascii="Wingdings" w:hAnsi="Wingdings" w:hint="default"/>
      </w:rPr>
    </w:lvl>
    <w:lvl w:ilvl="6" w:tplc="E8B056B6">
      <w:start w:val="1"/>
      <w:numFmt w:val="bullet"/>
      <w:lvlText w:val=""/>
      <w:lvlJc w:val="left"/>
      <w:pPr>
        <w:ind w:left="5040" w:hanging="360"/>
      </w:pPr>
      <w:rPr>
        <w:rFonts w:ascii="Symbol" w:hAnsi="Symbol" w:hint="default"/>
      </w:rPr>
    </w:lvl>
    <w:lvl w:ilvl="7" w:tplc="16D8B3A4">
      <w:start w:val="1"/>
      <w:numFmt w:val="bullet"/>
      <w:lvlText w:val="o"/>
      <w:lvlJc w:val="left"/>
      <w:pPr>
        <w:ind w:left="5760" w:hanging="360"/>
      </w:pPr>
      <w:rPr>
        <w:rFonts w:ascii="Courier New" w:hAnsi="Courier New" w:hint="default"/>
      </w:rPr>
    </w:lvl>
    <w:lvl w:ilvl="8" w:tplc="1AF8196C">
      <w:start w:val="1"/>
      <w:numFmt w:val="bullet"/>
      <w:lvlText w:val=""/>
      <w:lvlJc w:val="left"/>
      <w:pPr>
        <w:ind w:left="6480" w:hanging="360"/>
      </w:pPr>
      <w:rPr>
        <w:rFonts w:ascii="Wingdings" w:hAnsi="Wingdings" w:hint="default"/>
      </w:rPr>
    </w:lvl>
  </w:abstractNum>
  <w:abstractNum w:abstractNumId="25" w15:restartNumberingAfterBreak="0">
    <w:nsid w:val="7C245F79"/>
    <w:multiLevelType w:val="hybridMultilevel"/>
    <w:tmpl w:val="FD66FE44"/>
    <w:lvl w:ilvl="0" w:tplc="128CC86E">
      <w:start w:val="1"/>
      <w:numFmt w:val="bullet"/>
      <w:lvlText w:val=""/>
      <w:lvlJc w:val="left"/>
      <w:pPr>
        <w:ind w:left="720" w:hanging="360"/>
      </w:pPr>
      <w:rPr>
        <w:rFonts w:ascii="Symbol" w:hAnsi="Symbol" w:hint="default"/>
      </w:rPr>
    </w:lvl>
    <w:lvl w:ilvl="1" w:tplc="DA68795E">
      <w:start w:val="1"/>
      <w:numFmt w:val="bullet"/>
      <w:lvlText w:val=""/>
      <w:lvlJc w:val="left"/>
      <w:pPr>
        <w:ind w:left="1440" w:hanging="360"/>
      </w:pPr>
      <w:rPr>
        <w:rFonts w:ascii="Symbol" w:hAnsi="Symbol" w:hint="default"/>
      </w:rPr>
    </w:lvl>
    <w:lvl w:ilvl="2" w:tplc="A5A8C8EC">
      <w:start w:val="1"/>
      <w:numFmt w:val="bullet"/>
      <w:lvlText w:val=""/>
      <w:lvlJc w:val="left"/>
      <w:pPr>
        <w:ind w:left="2160" w:hanging="360"/>
      </w:pPr>
      <w:rPr>
        <w:rFonts w:ascii="Wingdings" w:hAnsi="Wingdings" w:hint="default"/>
      </w:rPr>
    </w:lvl>
    <w:lvl w:ilvl="3" w:tplc="9B406444">
      <w:start w:val="1"/>
      <w:numFmt w:val="bullet"/>
      <w:lvlText w:val=""/>
      <w:lvlJc w:val="left"/>
      <w:pPr>
        <w:ind w:left="2880" w:hanging="360"/>
      </w:pPr>
      <w:rPr>
        <w:rFonts w:ascii="Symbol" w:hAnsi="Symbol" w:hint="default"/>
      </w:rPr>
    </w:lvl>
    <w:lvl w:ilvl="4" w:tplc="00F296A2">
      <w:start w:val="1"/>
      <w:numFmt w:val="bullet"/>
      <w:lvlText w:val="o"/>
      <w:lvlJc w:val="left"/>
      <w:pPr>
        <w:ind w:left="3600" w:hanging="360"/>
      </w:pPr>
      <w:rPr>
        <w:rFonts w:ascii="Courier New" w:hAnsi="Courier New" w:hint="default"/>
      </w:rPr>
    </w:lvl>
    <w:lvl w:ilvl="5" w:tplc="598CD5AA">
      <w:start w:val="1"/>
      <w:numFmt w:val="bullet"/>
      <w:lvlText w:val=""/>
      <w:lvlJc w:val="left"/>
      <w:pPr>
        <w:ind w:left="4320" w:hanging="360"/>
      </w:pPr>
      <w:rPr>
        <w:rFonts w:ascii="Wingdings" w:hAnsi="Wingdings" w:hint="default"/>
      </w:rPr>
    </w:lvl>
    <w:lvl w:ilvl="6" w:tplc="84F4FF8C">
      <w:start w:val="1"/>
      <w:numFmt w:val="bullet"/>
      <w:lvlText w:val=""/>
      <w:lvlJc w:val="left"/>
      <w:pPr>
        <w:ind w:left="5040" w:hanging="360"/>
      </w:pPr>
      <w:rPr>
        <w:rFonts w:ascii="Symbol" w:hAnsi="Symbol" w:hint="default"/>
      </w:rPr>
    </w:lvl>
    <w:lvl w:ilvl="7" w:tplc="65BC3934">
      <w:start w:val="1"/>
      <w:numFmt w:val="bullet"/>
      <w:lvlText w:val="o"/>
      <w:lvlJc w:val="left"/>
      <w:pPr>
        <w:ind w:left="5760" w:hanging="360"/>
      </w:pPr>
      <w:rPr>
        <w:rFonts w:ascii="Courier New" w:hAnsi="Courier New" w:hint="default"/>
      </w:rPr>
    </w:lvl>
    <w:lvl w:ilvl="8" w:tplc="05E2F668">
      <w:start w:val="1"/>
      <w:numFmt w:val="bullet"/>
      <w:lvlText w:val=""/>
      <w:lvlJc w:val="left"/>
      <w:pPr>
        <w:ind w:left="6480" w:hanging="360"/>
      </w:pPr>
      <w:rPr>
        <w:rFonts w:ascii="Wingdings" w:hAnsi="Wingdings" w:hint="default"/>
      </w:rPr>
    </w:lvl>
  </w:abstractNum>
  <w:abstractNum w:abstractNumId="26" w15:restartNumberingAfterBreak="0">
    <w:nsid w:val="7EB843A9"/>
    <w:multiLevelType w:val="hybridMultilevel"/>
    <w:tmpl w:val="4776FD52"/>
    <w:lvl w:ilvl="0" w:tplc="F2EA9EAC">
      <w:start w:val="1"/>
      <w:numFmt w:val="bullet"/>
      <w:lvlText w:val=""/>
      <w:lvlJc w:val="left"/>
      <w:pPr>
        <w:ind w:left="720" w:hanging="360"/>
      </w:pPr>
      <w:rPr>
        <w:rFonts w:ascii="Symbol" w:hAnsi="Symbol" w:hint="default"/>
      </w:rPr>
    </w:lvl>
    <w:lvl w:ilvl="1" w:tplc="DE70EF18">
      <w:start w:val="1"/>
      <w:numFmt w:val="bullet"/>
      <w:lvlText w:val="o"/>
      <w:lvlJc w:val="left"/>
      <w:pPr>
        <w:ind w:left="1440" w:hanging="360"/>
      </w:pPr>
      <w:rPr>
        <w:rFonts w:ascii="Courier New" w:hAnsi="Courier New" w:hint="default"/>
      </w:rPr>
    </w:lvl>
    <w:lvl w:ilvl="2" w:tplc="271EF6E2">
      <w:start w:val="1"/>
      <w:numFmt w:val="bullet"/>
      <w:lvlText w:val=""/>
      <w:lvlJc w:val="left"/>
      <w:pPr>
        <w:ind w:left="2160" w:hanging="360"/>
      </w:pPr>
      <w:rPr>
        <w:rFonts w:ascii="Wingdings" w:hAnsi="Wingdings" w:hint="default"/>
      </w:rPr>
    </w:lvl>
    <w:lvl w:ilvl="3" w:tplc="F20669CA">
      <w:start w:val="1"/>
      <w:numFmt w:val="bullet"/>
      <w:lvlText w:val=""/>
      <w:lvlJc w:val="left"/>
      <w:pPr>
        <w:ind w:left="2880" w:hanging="360"/>
      </w:pPr>
      <w:rPr>
        <w:rFonts w:ascii="Symbol" w:hAnsi="Symbol" w:hint="default"/>
      </w:rPr>
    </w:lvl>
    <w:lvl w:ilvl="4" w:tplc="EC785934">
      <w:start w:val="1"/>
      <w:numFmt w:val="bullet"/>
      <w:lvlText w:val="o"/>
      <w:lvlJc w:val="left"/>
      <w:pPr>
        <w:ind w:left="3600" w:hanging="360"/>
      </w:pPr>
      <w:rPr>
        <w:rFonts w:ascii="Courier New" w:hAnsi="Courier New" w:hint="default"/>
      </w:rPr>
    </w:lvl>
    <w:lvl w:ilvl="5" w:tplc="AF48D142">
      <w:start w:val="1"/>
      <w:numFmt w:val="bullet"/>
      <w:lvlText w:val=""/>
      <w:lvlJc w:val="left"/>
      <w:pPr>
        <w:ind w:left="4320" w:hanging="360"/>
      </w:pPr>
      <w:rPr>
        <w:rFonts w:ascii="Wingdings" w:hAnsi="Wingdings" w:hint="default"/>
      </w:rPr>
    </w:lvl>
    <w:lvl w:ilvl="6" w:tplc="6C28BAAC">
      <w:start w:val="1"/>
      <w:numFmt w:val="bullet"/>
      <w:lvlText w:val=""/>
      <w:lvlJc w:val="left"/>
      <w:pPr>
        <w:ind w:left="5040" w:hanging="360"/>
      </w:pPr>
      <w:rPr>
        <w:rFonts w:ascii="Symbol" w:hAnsi="Symbol" w:hint="default"/>
      </w:rPr>
    </w:lvl>
    <w:lvl w:ilvl="7" w:tplc="F000B5CA">
      <w:start w:val="1"/>
      <w:numFmt w:val="bullet"/>
      <w:lvlText w:val="o"/>
      <w:lvlJc w:val="left"/>
      <w:pPr>
        <w:ind w:left="5760" w:hanging="360"/>
      </w:pPr>
      <w:rPr>
        <w:rFonts w:ascii="Courier New" w:hAnsi="Courier New" w:hint="default"/>
      </w:rPr>
    </w:lvl>
    <w:lvl w:ilvl="8" w:tplc="A6B4B2F0">
      <w:start w:val="1"/>
      <w:numFmt w:val="bullet"/>
      <w:lvlText w:val=""/>
      <w:lvlJc w:val="left"/>
      <w:pPr>
        <w:ind w:left="6480" w:hanging="360"/>
      </w:pPr>
      <w:rPr>
        <w:rFonts w:ascii="Wingdings" w:hAnsi="Wingdings" w:hint="default"/>
      </w:rPr>
    </w:lvl>
  </w:abstractNum>
  <w:num w:numId="1" w16cid:durableId="1883209471">
    <w:abstractNumId w:val="24"/>
  </w:num>
  <w:num w:numId="2" w16cid:durableId="1629120007">
    <w:abstractNumId w:val="21"/>
  </w:num>
  <w:num w:numId="3" w16cid:durableId="438992894">
    <w:abstractNumId w:val="11"/>
  </w:num>
  <w:num w:numId="4" w16cid:durableId="1337999407">
    <w:abstractNumId w:val="5"/>
  </w:num>
  <w:num w:numId="5" w16cid:durableId="1340693708">
    <w:abstractNumId w:val="25"/>
  </w:num>
  <w:num w:numId="6" w16cid:durableId="1115364286">
    <w:abstractNumId w:val="18"/>
  </w:num>
  <w:num w:numId="7" w16cid:durableId="292711248">
    <w:abstractNumId w:val="14"/>
  </w:num>
  <w:num w:numId="8" w16cid:durableId="1378092590">
    <w:abstractNumId w:val="1"/>
  </w:num>
  <w:num w:numId="9" w16cid:durableId="1048333188">
    <w:abstractNumId w:val="10"/>
  </w:num>
  <w:num w:numId="10" w16cid:durableId="1209301577">
    <w:abstractNumId w:val="0"/>
  </w:num>
  <w:num w:numId="11" w16cid:durableId="1489638874">
    <w:abstractNumId w:val="23"/>
  </w:num>
  <w:num w:numId="12" w16cid:durableId="116224976">
    <w:abstractNumId w:val="19"/>
  </w:num>
  <w:num w:numId="13" w16cid:durableId="2038001543">
    <w:abstractNumId w:val="26"/>
  </w:num>
  <w:num w:numId="14" w16cid:durableId="486634885">
    <w:abstractNumId w:val="20"/>
  </w:num>
  <w:num w:numId="15" w16cid:durableId="494495933">
    <w:abstractNumId w:val="8"/>
  </w:num>
  <w:num w:numId="16" w16cid:durableId="34278247">
    <w:abstractNumId w:val="2"/>
  </w:num>
  <w:num w:numId="17" w16cid:durableId="1729063146">
    <w:abstractNumId w:val="16"/>
  </w:num>
  <w:num w:numId="18" w16cid:durableId="564724002">
    <w:abstractNumId w:val="3"/>
  </w:num>
  <w:num w:numId="19" w16cid:durableId="1611159639">
    <w:abstractNumId w:val="15"/>
  </w:num>
  <w:num w:numId="20" w16cid:durableId="425805239">
    <w:abstractNumId w:val="13"/>
  </w:num>
  <w:num w:numId="21" w16cid:durableId="468210284">
    <w:abstractNumId w:val="17"/>
  </w:num>
  <w:num w:numId="22" w16cid:durableId="1630626810">
    <w:abstractNumId w:val="12"/>
  </w:num>
  <w:num w:numId="23" w16cid:durableId="1043478164">
    <w:abstractNumId w:val="6"/>
  </w:num>
  <w:num w:numId="24" w16cid:durableId="1362169039">
    <w:abstractNumId w:val="9"/>
  </w:num>
  <w:num w:numId="25" w16cid:durableId="2095205094">
    <w:abstractNumId w:val="4"/>
  </w:num>
  <w:num w:numId="26" w16cid:durableId="2080133504">
    <w:abstractNumId w:val="22"/>
  </w:num>
  <w:num w:numId="27" w16cid:durableId="846676719">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460"/>
    <w:rsid w:val="00000D18"/>
    <w:rsid w:val="00001C48"/>
    <w:rsid w:val="00001C7E"/>
    <w:rsid w:val="00001E18"/>
    <w:rsid w:val="000021BB"/>
    <w:rsid w:val="0000234D"/>
    <w:rsid w:val="0000272A"/>
    <w:rsid w:val="00002B47"/>
    <w:rsid w:val="00002D91"/>
    <w:rsid w:val="0000321E"/>
    <w:rsid w:val="000040D5"/>
    <w:rsid w:val="0000416D"/>
    <w:rsid w:val="00004908"/>
    <w:rsid w:val="00004E4F"/>
    <w:rsid w:val="0000566C"/>
    <w:rsid w:val="0000571E"/>
    <w:rsid w:val="00005768"/>
    <w:rsid w:val="000077DC"/>
    <w:rsid w:val="00007E27"/>
    <w:rsid w:val="00010061"/>
    <w:rsid w:val="0001016F"/>
    <w:rsid w:val="0001041C"/>
    <w:rsid w:val="000108F3"/>
    <w:rsid w:val="00010D86"/>
    <w:rsid w:val="00010FD7"/>
    <w:rsid w:val="00011CD5"/>
    <w:rsid w:val="00012B40"/>
    <w:rsid w:val="00012B93"/>
    <w:rsid w:val="00012F2E"/>
    <w:rsid w:val="00013345"/>
    <w:rsid w:val="0001384A"/>
    <w:rsid w:val="0001395D"/>
    <w:rsid w:val="00013A2B"/>
    <w:rsid w:val="000141C9"/>
    <w:rsid w:val="0001450E"/>
    <w:rsid w:val="00014D00"/>
    <w:rsid w:val="00014F2B"/>
    <w:rsid w:val="00014F72"/>
    <w:rsid w:val="00015204"/>
    <w:rsid w:val="00015DFA"/>
    <w:rsid w:val="00015F76"/>
    <w:rsid w:val="00016200"/>
    <w:rsid w:val="00016293"/>
    <w:rsid w:val="00016346"/>
    <w:rsid w:val="00016513"/>
    <w:rsid w:val="00016715"/>
    <w:rsid w:val="00016759"/>
    <w:rsid w:val="00016B69"/>
    <w:rsid w:val="000170DE"/>
    <w:rsid w:val="0001752C"/>
    <w:rsid w:val="00017BFF"/>
    <w:rsid w:val="00017C8A"/>
    <w:rsid w:val="0001ECD9"/>
    <w:rsid w:val="00020915"/>
    <w:rsid w:val="00020ABD"/>
    <w:rsid w:val="00020CDB"/>
    <w:rsid w:val="00020E35"/>
    <w:rsid w:val="00020FAC"/>
    <w:rsid w:val="0002118B"/>
    <w:rsid w:val="00021EE3"/>
    <w:rsid w:val="00022F84"/>
    <w:rsid w:val="0002335A"/>
    <w:rsid w:val="00023413"/>
    <w:rsid w:val="000241AF"/>
    <w:rsid w:val="000245D2"/>
    <w:rsid w:val="000247E7"/>
    <w:rsid w:val="000248C2"/>
    <w:rsid w:val="00024DBC"/>
    <w:rsid w:val="00024E7E"/>
    <w:rsid w:val="000256E8"/>
    <w:rsid w:val="00025A6D"/>
    <w:rsid w:val="0002630A"/>
    <w:rsid w:val="00026482"/>
    <w:rsid w:val="000269ED"/>
    <w:rsid w:val="0002760F"/>
    <w:rsid w:val="00027B23"/>
    <w:rsid w:val="00030F41"/>
    <w:rsid w:val="00030F46"/>
    <w:rsid w:val="00031028"/>
    <w:rsid w:val="00031045"/>
    <w:rsid w:val="000310A3"/>
    <w:rsid w:val="000311E9"/>
    <w:rsid w:val="00031355"/>
    <w:rsid w:val="00031497"/>
    <w:rsid w:val="00031604"/>
    <w:rsid w:val="00031995"/>
    <w:rsid w:val="00031A14"/>
    <w:rsid w:val="00031BC6"/>
    <w:rsid w:val="000322A8"/>
    <w:rsid w:val="000324AD"/>
    <w:rsid w:val="00033334"/>
    <w:rsid w:val="00033547"/>
    <w:rsid w:val="00033796"/>
    <w:rsid w:val="0003410E"/>
    <w:rsid w:val="0003474D"/>
    <w:rsid w:val="000347D8"/>
    <w:rsid w:val="00034B65"/>
    <w:rsid w:val="00035278"/>
    <w:rsid w:val="00035FA4"/>
    <w:rsid w:val="00037061"/>
    <w:rsid w:val="0003718B"/>
    <w:rsid w:val="000375DA"/>
    <w:rsid w:val="00037768"/>
    <w:rsid w:val="00037930"/>
    <w:rsid w:val="00037B25"/>
    <w:rsid w:val="000405CE"/>
    <w:rsid w:val="00040737"/>
    <w:rsid w:val="000418AF"/>
    <w:rsid w:val="00042314"/>
    <w:rsid w:val="0004237B"/>
    <w:rsid w:val="000425D3"/>
    <w:rsid w:val="000426AA"/>
    <w:rsid w:val="000429A3"/>
    <w:rsid w:val="00043708"/>
    <w:rsid w:val="000437EE"/>
    <w:rsid w:val="00044BEC"/>
    <w:rsid w:val="0004562B"/>
    <w:rsid w:val="000460DC"/>
    <w:rsid w:val="00047220"/>
    <w:rsid w:val="000500BB"/>
    <w:rsid w:val="000502B8"/>
    <w:rsid w:val="000522B6"/>
    <w:rsid w:val="0005256A"/>
    <w:rsid w:val="000530D9"/>
    <w:rsid w:val="00053FBD"/>
    <w:rsid w:val="000546C4"/>
    <w:rsid w:val="00054B27"/>
    <w:rsid w:val="00054CF4"/>
    <w:rsid w:val="000557F6"/>
    <w:rsid w:val="00055CB6"/>
    <w:rsid w:val="00055D0A"/>
    <w:rsid w:val="00056326"/>
    <w:rsid w:val="000564F5"/>
    <w:rsid w:val="000566BB"/>
    <w:rsid w:val="00056961"/>
    <w:rsid w:val="00057319"/>
    <w:rsid w:val="000575C6"/>
    <w:rsid w:val="00057700"/>
    <w:rsid w:val="0005784D"/>
    <w:rsid w:val="00057AC0"/>
    <w:rsid w:val="00060387"/>
    <w:rsid w:val="00060673"/>
    <w:rsid w:val="00060C16"/>
    <w:rsid w:val="000616FC"/>
    <w:rsid w:val="0006196C"/>
    <w:rsid w:val="00062239"/>
    <w:rsid w:val="0006225F"/>
    <w:rsid w:val="0006282E"/>
    <w:rsid w:val="00063265"/>
    <w:rsid w:val="00063695"/>
    <w:rsid w:val="00063C6B"/>
    <w:rsid w:val="000647FA"/>
    <w:rsid w:val="00064E5C"/>
    <w:rsid w:val="00065308"/>
    <w:rsid w:val="00065E53"/>
    <w:rsid w:val="000660DB"/>
    <w:rsid w:val="000671FA"/>
    <w:rsid w:val="0006767E"/>
    <w:rsid w:val="00067B0D"/>
    <w:rsid w:val="00067F95"/>
    <w:rsid w:val="00068D26"/>
    <w:rsid w:val="000701CF"/>
    <w:rsid w:val="000711F2"/>
    <w:rsid w:val="00071D7D"/>
    <w:rsid w:val="00072680"/>
    <w:rsid w:val="000730A1"/>
    <w:rsid w:val="00073D89"/>
    <w:rsid w:val="000740D7"/>
    <w:rsid w:val="00074B2D"/>
    <w:rsid w:val="00075659"/>
    <w:rsid w:val="00075B73"/>
    <w:rsid w:val="00075EFE"/>
    <w:rsid w:val="00075F6C"/>
    <w:rsid w:val="000769BC"/>
    <w:rsid w:val="00076A00"/>
    <w:rsid w:val="00077017"/>
    <w:rsid w:val="000774DA"/>
    <w:rsid w:val="00077C1F"/>
    <w:rsid w:val="0008058C"/>
    <w:rsid w:val="000805C1"/>
    <w:rsid w:val="0008120E"/>
    <w:rsid w:val="00081A9B"/>
    <w:rsid w:val="00082796"/>
    <w:rsid w:val="00082A44"/>
    <w:rsid w:val="00083233"/>
    <w:rsid w:val="00083737"/>
    <w:rsid w:val="00083BD3"/>
    <w:rsid w:val="00083C54"/>
    <w:rsid w:val="00083CB6"/>
    <w:rsid w:val="00084206"/>
    <w:rsid w:val="000844A0"/>
    <w:rsid w:val="00084873"/>
    <w:rsid w:val="00084AF2"/>
    <w:rsid w:val="00084CF9"/>
    <w:rsid w:val="000853ED"/>
    <w:rsid w:val="00085EF9"/>
    <w:rsid w:val="0008606C"/>
    <w:rsid w:val="00086154"/>
    <w:rsid w:val="00086D1D"/>
    <w:rsid w:val="00086FB3"/>
    <w:rsid w:val="00087A1D"/>
    <w:rsid w:val="000901D2"/>
    <w:rsid w:val="00090609"/>
    <w:rsid w:val="000907B4"/>
    <w:rsid w:val="00090BF5"/>
    <w:rsid w:val="000927A9"/>
    <w:rsid w:val="0009296F"/>
    <w:rsid w:val="00092F28"/>
    <w:rsid w:val="00093145"/>
    <w:rsid w:val="0009331E"/>
    <w:rsid w:val="000937A2"/>
    <w:rsid w:val="00093ABE"/>
    <w:rsid w:val="00094545"/>
    <w:rsid w:val="00094620"/>
    <w:rsid w:val="000948C3"/>
    <w:rsid w:val="00094E96"/>
    <w:rsid w:val="00094F33"/>
    <w:rsid w:val="0009537A"/>
    <w:rsid w:val="00095CFD"/>
    <w:rsid w:val="00096701"/>
    <w:rsid w:val="00096DF3"/>
    <w:rsid w:val="0009729A"/>
    <w:rsid w:val="000A000B"/>
    <w:rsid w:val="000A0DD9"/>
    <w:rsid w:val="000A13DB"/>
    <w:rsid w:val="000A2670"/>
    <w:rsid w:val="000A2B09"/>
    <w:rsid w:val="000A2F88"/>
    <w:rsid w:val="000A30B5"/>
    <w:rsid w:val="000A324A"/>
    <w:rsid w:val="000A3A03"/>
    <w:rsid w:val="000A4E51"/>
    <w:rsid w:val="000A4EB8"/>
    <w:rsid w:val="000A694E"/>
    <w:rsid w:val="000B01C7"/>
    <w:rsid w:val="000B0E69"/>
    <w:rsid w:val="000B19C2"/>
    <w:rsid w:val="000B280E"/>
    <w:rsid w:val="000B28DA"/>
    <w:rsid w:val="000B2D42"/>
    <w:rsid w:val="000B2D76"/>
    <w:rsid w:val="000B369E"/>
    <w:rsid w:val="000B3AAF"/>
    <w:rsid w:val="000B47C7"/>
    <w:rsid w:val="000B4B35"/>
    <w:rsid w:val="000B5C90"/>
    <w:rsid w:val="000B6723"/>
    <w:rsid w:val="000B7007"/>
    <w:rsid w:val="000BB8A6"/>
    <w:rsid w:val="000C03F1"/>
    <w:rsid w:val="000C067E"/>
    <w:rsid w:val="000C0726"/>
    <w:rsid w:val="000C0E02"/>
    <w:rsid w:val="000C1856"/>
    <w:rsid w:val="000C20C6"/>
    <w:rsid w:val="000C2985"/>
    <w:rsid w:val="000C3A4C"/>
    <w:rsid w:val="000C3BA6"/>
    <w:rsid w:val="000C3CD4"/>
    <w:rsid w:val="000C3DBF"/>
    <w:rsid w:val="000C46C7"/>
    <w:rsid w:val="000C4704"/>
    <w:rsid w:val="000C4A51"/>
    <w:rsid w:val="000C4BF9"/>
    <w:rsid w:val="000C4C8B"/>
    <w:rsid w:val="000C53A3"/>
    <w:rsid w:val="000C6638"/>
    <w:rsid w:val="000C677D"/>
    <w:rsid w:val="000C67C2"/>
    <w:rsid w:val="000C6F1C"/>
    <w:rsid w:val="000C7A4A"/>
    <w:rsid w:val="000C7EC7"/>
    <w:rsid w:val="000D0E24"/>
    <w:rsid w:val="000D0F40"/>
    <w:rsid w:val="000D13C0"/>
    <w:rsid w:val="000D1517"/>
    <w:rsid w:val="000D17AF"/>
    <w:rsid w:val="000D1901"/>
    <w:rsid w:val="000D236D"/>
    <w:rsid w:val="000D239E"/>
    <w:rsid w:val="000D28FF"/>
    <w:rsid w:val="000D2C5B"/>
    <w:rsid w:val="000D3282"/>
    <w:rsid w:val="000D34DE"/>
    <w:rsid w:val="000D37C1"/>
    <w:rsid w:val="000D4280"/>
    <w:rsid w:val="000D4E88"/>
    <w:rsid w:val="000D57DC"/>
    <w:rsid w:val="000D5A71"/>
    <w:rsid w:val="000D5E1E"/>
    <w:rsid w:val="000D64C5"/>
    <w:rsid w:val="000D653C"/>
    <w:rsid w:val="000D66F6"/>
    <w:rsid w:val="000D6C4F"/>
    <w:rsid w:val="000D6D60"/>
    <w:rsid w:val="000D6F70"/>
    <w:rsid w:val="000D715C"/>
    <w:rsid w:val="000D7276"/>
    <w:rsid w:val="000D77EB"/>
    <w:rsid w:val="000D79C5"/>
    <w:rsid w:val="000D7CFC"/>
    <w:rsid w:val="000D7DA2"/>
    <w:rsid w:val="000D7F73"/>
    <w:rsid w:val="000E07F2"/>
    <w:rsid w:val="000E09DC"/>
    <w:rsid w:val="000E0CF0"/>
    <w:rsid w:val="000E0E9F"/>
    <w:rsid w:val="000E127F"/>
    <w:rsid w:val="000E1692"/>
    <w:rsid w:val="000E182A"/>
    <w:rsid w:val="000E2159"/>
    <w:rsid w:val="000E2361"/>
    <w:rsid w:val="000E24A7"/>
    <w:rsid w:val="000E35BD"/>
    <w:rsid w:val="000E3A29"/>
    <w:rsid w:val="000E40BC"/>
    <w:rsid w:val="000E422C"/>
    <w:rsid w:val="000E4B7C"/>
    <w:rsid w:val="000E4DA3"/>
    <w:rsid w:val="000E51BA"/>
    <w:rsid w:val="000E53B7"/>
    <w:rsid w:val="000E5497"/>
    <w:rsid w:val="000E5E95"/>
    <w:rsid w:val="000E676E"/>
    <w:rsid w:val="000E6D66"/>
    <w:rsid w:val="000E7238"/>
    <w:rsid w:val="000F04FD"/>
    <w:rsid w:val="000F06E7"/>
    <w:rsid w:val="000F0B28"/>
    <w:rsid w:val="000F0EC3"/>
    <w:rsid w:val="000F0F68"/>
    <w:rsid w:val="000F1386"/>
    <w:rsid w:val="000F14B1"/>
    <w:rsid w:val="000F17F8"/>
    <w:rsid w:val="000F1928"/>
    <w:rsid w:val="000F1B74"/>
    <w:rsid w:val="000F2005"/>
    <w:rsid w:val="000F3640"/>
    <w:rsid w:val="000F3C43"/>
    <w:rsid w:val="000F3FC6"/>
    <w:rsid w:val="000F4625"/>
    <w:rsid w:val="000F4A71"/>
    <w:rsid w:val="000F5035"/>
    <w:rsid w:val="000F528A"/>
    <w:rsid w:val="000F53ED"/>
    <w:rsid w:val="000F5B69"/>
    <w:rsid w:val="000F5C98"/>
    <w:rsid w:val="000F5FA9"/>
    <w:rsid w:val="000F7B1B"/>
    <w:rsid w:val="000F7B1E"/>
    <w:rsid w:val="000F7CE5"/>
    <w:rsid w:val="00100364"/>
    <w:rsid w:val="00100A25"/>
    <w:rsid w:val="00101411"/>
    <w:rsid w:val="00101694"/>
    <w:rsid w:val="00101698"/>
    <w:rsid w:val="00102021"/>
    <w:rsid w:val="001022CA"/>
    <w:rsid w:val="00104551"/>
    <w:rsid w:val="0010457A"/>
    <w:rsid w:val="001048F3"/>
    <w:rsid w:val="00104C06"/>
    <w:rsid w:val="0010523F"/>
    <w:rsid w:val="00105378"/>
    <w:rsid w:val="0010575A"/>
    <w:rsid w:val="00106157"/>
    <w:rsid w:val="001061C1"/>
    <w:rsid w:val="0010763D"/>
    <w:rsid w:val="00110104"/>
    <w:rsid w:val="001104D5"/>
    <w:rsid w:val="0011068E"/>
    <w:rsid w:val="0011072B"/>
    <w:rsid w:val="0011112A"/>
    <w:rsid w:val="00111797"/>
    <w:rsid w:val="00112129"/>
    <w:rsid w:val="001127B3"/>
    <w:rsid w:val="00112967"/>
    <w:rsid w:val="0011332C"/>
    <w:rsid w:val="0011333D"/>
    <w:rsid w:val="00114163"/>
    <w:rsid w:val="00114B6F"/>
    <w:rsid w:val="0011567D"/>
    <w:rsid w:val="00115A43"/>
    <w:rsid w:val="00115D80"/>
    <w:rsid w:val="00115E93"/>
    <w:rsid w:val="001206A9"/>
    <w:rsid w:val="00120B16"/>
    <w:rsid w:val="00120FF9"/>
    <w:rsid w:val="00121CEE"/>
    <w:rsid w:val="001220C5"/>
    <w:rsid w:val="001221EA"/>
    <w:rsid w:val="001225E1"/>
    <w:rsid w:val="001228D4"/>
    <w:rsid w:val="001230A8"/>
    <w:rsid w:val="001234B9"/>
    <w:rsid w:val="00123666"/>
    <w:rsid w:val="00124FEA"/>
    <w:rsid w:val="0012500C"/>
    <w:rsid w:val="001251A6"/>
    <w:rsid w:val="001253C3"/>
    <w:rsid w:val="00125452"/>
    <w:rsid w:val="001259B4"/>
    <w:rsid w:val="00125A81"/>
    <w:rsid w:val="0012617C"/>
    <w:rsid w:val="00126A17"/>
    <w:rsid w:val="00126EB5"/>
    <w:rsid w:val="001276BC"/>
    <w:rsid w:val="001278E7"/>
    <w:rsid w:val="001279A4"/>
    <w:rsid w:val="00130059"/>
    <w:rsid w:val="00130A46"/>
    <w:rsid w:val="00131400"/>
    <w:rsid w:val="0013192E"/>
    <w:rsid w:val="00131D6E"/>
    <w:rsid w:val="00131E58"/>
    <w:rsid w:val="001321E9"/>
    <w:rsid w:val="00132946"/>
    <w:rsid w:val="001336CD"/>
    <w:rsid w:val="0013388F"/>
    <w:rsid w:val="00133E2C"/>
    <w:rsid w:val="0013592F"/>
    <w:rsid w:val="00136947"/>
    <w:rsid w:val="00136F3F"/>
    <w:rsid w:val="00137249"/>
    <w:rsid w:val="0013780D"/>
    <w:rsid w:val="001379EF"/>
    <w:rsid w:val="00137AAE"/>
    <w:rsid w:val="00140964"/>
    <w:rsid w:val="00141DD9"/>
    <w:rsid w:val="001421F3"/>
    <w:rsid w:val="00142EF2"/>
    <w:rsid w:val="001430D2"/>
    <w:rsid w:val="00143309"/>
    <w:rsid w:val="00143773"/>
    <w:rsid w:val="00143890"/>
    <w:rsid w:val="00144229"/>
    <w:rsid w:val="00145B62"/>
    <w:rsid w:val="00145ECC"/>
    <w:rsid w:val="00146233"/>
    <w:rsid w:val="0014633C"/>
    <w:rsid w:val="00147368"/>
    <w:rsid w:val="00147484"/>
    <w:rsid w:val="0014784C"/>
    <w:rsid w:val="00147C1A"/>
    <w:rsid w:val="0014E4D4"/>
    <w:rsid w:val="0015184B"/>
    <w:rsid w:val="00151999"/>
    <w:rsid w:val="00151B5B"/>
    <w:rsid w:val="00151D97"/>
    <w:rsid w:val="00151DB3"/>
    <w:rsid w:val="00151DB9"/>
    <w:rsid w:val="00151E58"/>
    <w:rsid w:val="0015255E"/>
    <w:rsid w:val="00153202"/>
    <w:rsid w:val="00153742"/>
    <w:rsid w:val="00154399"/>
    <w:rsid w:val="001543C4"/>
    <w:rsid w:val="00154419"/>
    <w:rsid w:val="0015467C"/>
    <w:rsid w:val="0015529A"/>
    <w:rsid w:val="00156508"/>
    <w:rsid w:val="001571C7"/>
    <w:rsid w:val="001576FC"/>
    <w:rsid w:val="00160458"/>
    <w:rsid w:val="00160665"/>
    <w:rsid w:val="001610F8"/>
    <w:rsid w:val="001613BD"/>
    <w:rsid w:val="0016149E"/>
    <w:rsid w:val="001621BC"/>
    <w:rsid w:val="001627D8"/>
    <w:rsid w:val="00163BCB"/>
    <w:rsid w:val="001649D9"/>
    <w:rsid w:val="0016506E"/>
    <w:rsid w:val="001650A2"/>
    <w:rsid w:val="00165195"/>
    <w:rsid w:val="00165DD1"/>
    <w:rsid w:val="00166351"/>
    <w:rsid w:val="00166EEB"/>
    <w:rsid w:val="00166FCB"/>
    <w:rsid w:val="00167E8A"/>
    <w:rsid w:val="001715B1"/>
    <w:rsid w:val="00171E57"/>
    <w:rsid w:val="001720CA"/>
    <w:rsid w:val="00172B66"/>
    <w:rsid w:val="0017354A"/>
    <w:rsid w:val="00173715"/>
    <w:rsid w:val="001741B5"/>
    <w:rsid w:val="0017488E"/>
    <w:rsid w:val="00174D42"/>
    <w:rsid w:val="001756B0"/>
    <w:rsid w:val="001757D3"/>
    <w:rsid w:val="0017593B"/>
    <w:rsid w:val="0017601E"/>
    <w:rsid w:val="00176A36"/>
    <w:rsid w:val="00176CB6"/>
    <w:rsid w:val="001774F4"/>
    <w:rsid w:val="001775D9"/>
    <w:rsid w:val="00180157"/>
    <w:rsid w:val="00180173"/>
    <w:rsid w:val="001807CD"/>
    <w:rsid w:val="001808A3"/>
    <w:rsid w:val="00180C34"/>
    <w:rsid w:val="00180D08"/>
    <w:rsid w:val="00181123"/>
    <w:rsid w:val="0018131D"/>
    <w:rsid w:val="0018148D"/>
    <w:rsid w:val="00181554"/>
    <w:rsid w:val="00182037"/>
    <w:rsid w:val="00183BF9"/>
    <w:rsid w:val="001841EB"/>
    <w:rsid w:val="00184536"/>
    <w:rsid w:val="0018493C"/>
    <w:rsid w:val="001849A8"/>
    <w:rsid w:val="00186A1D"/>
    <w:rsid w:val="00186A20"/>
    <w:rsid w:val="0018756C"/>
    <w:rsid w:val="00187775"/>
    <w:rsid w:val="001879FB"/>
    <w:rsid w:val="00187E41"/>
    <w:rsid w:val="0019021B"/>
    <w:rsid w:val="001904B8"/>
    <w:rsid w:val="00190721"/>
    <w:rsid w:val="001914A5"/>
    <w:rsid w:val="0019183B"/>
    <w:rsid w:val="00191A6E"/>
    <w:rsid w:val="00191EF5"/>
    <w:rsid w:val="001924F9"/>
    <w:rsid w:val="00192F44"/>
    <w:rsid w:val="001931B1"/>
    <w:rsid w:val="00193750"/>
    <w:rsid w:val="0019382F"/>
    <w:rsid w:val="00193E52"/>
    <w:rsid w:val="00193FA2"/>
    <w:rsid w:val="0019486B"/>
    <w:rsid w:val="00194DD4"/>
    <w:rsid w:val="00196058"/>
    <w:rsid w:val="00196474"/>
    <w:rsid w:val="001965D7"/>
    <w:rsid w:val="00196671"/>
    <w:rsid w:val="00198794"/>
    <w:rsid w:val="001A0907"/>
    <w:rsid w:val="001A0CA5"/>
    <w:rsid w:val="001A0E09"/>
    <w:rsid w:val="001A1161"/>
    <w:rsid w:val="001A13AA"/>
    <w:rsid w:val="001A1D43"/>
    <w:rsid w:val="001A2242"/>
    <w:rsid w:val="001A2491"/>
    <w:rsid w:val="001A2D0E"/>
    <w:rsid w:val="001A3DAC"/>
    <w:rsid w:val="001A52DF"/>
    <w:rsid w:val="001A530E"/>
    <w:rsid w:val="001A5999"/>
    <w:rsid w:val="001A5C02"/>
    <w:rsid w:val="001A5D13"/>
    <w:rsid w:val="001A60E8"/>
    <w:rsid w:val="001A65B1"/>
    <w:rsid w:val="001B0517"/>
    <w:rsid w:val="001B062D"/>
    <w:rsid w:val="001B1528"/>
    <w:rsid w:val="001B166F"/>
    <w:rsid w:val="001B169B"/>
    <w:rsid w:val="001B1B3B"/>
    <w:rsid w:val="001B32A8"/>
    <w:rsid w:val="001B3958"/>
    <w:rsid w:val="001B3F58"/>
    <w:rsid w:val="001B402E"/>
    <w:rsid w:val="001B42CB"/>
    <w:rsid w:val="001B459C"/>
    <w:rsid w:val="001B463D"/>
    <w:rsid w:val="001B46A5"/>
    <w:rsid w:val="001B46C5"/>
    <w:rsid w:val="001B4CE7"/>
    <w:rsid w:val="001B4D51"/>
    <w:rsid w:val="001B500A"/>
    <w:rsid w:val="001B56C1"/>
    <w:rsid w:val="001B5C5D"/>
    <w:rsid w:val="001B695E"/>
    <w:rsid w:val="001B773D"/>
    <w:rsid w:val="001B7B4B"/>
    <w:rsid w:val="001B7FCB"/>
    <w:rsid w:val="001C01DD"/>
    <w:rsid w:val="001C01FB"/>
    <w:rsid w:val="001C0283"/>
    <w:rsid w:val="001C031A"/>
    <w:rsid w:val="001C12A3"/>
    <w:rsid w:val="001C19CF"/>
    <w:rsid w:val="001C223D"/>
    <w:rsid w:val="001C22AB"/>
    <w:rsid w:val="001C2341"/>
    <w:rsid w:val="001C29A8"/>
    <w:rsid w:val="001C29C3"/>
    <w:rsid w:val="001C2C36"/>
    <w:rsid w:val="001C2D80"/>
    <w:rsid w:val="001C356D"/>
    <w:rsid w:val="001C38AC"/>
    <w:rsid w:val="001C3BA6"/>
    <w:rsid w:val="001C3E8E"/>
    <w:rsid w:val="001C412F"/>
    <w:rsid w:val="001C48BB"/>
    <w:rsid w:val="001C4CA3"/>
    <w:rsid w:val="001C517C"/>
    <w:rsid w:val="001C5881"/>
    <w:rsid w:val="001C5C23"/>
    <w:rsid w:val="001C63CC"/>
    <w:rsid w:val="001C63EE"/>
    <w:rsid w:val="001C7869"/>
    <w:rsid w:val="001C7B1E"/>
    <w:rsid w:val="001C7D6C"/>
    <w:rsid w:val="001D0010"/>
    <w:rsid w:val="001D0258"/>
    <w:rsid w:val="001D07C7"/>
    <w:rsid w:val="001D0BEA"/>
    <w:rsid w:val="001D0C77"/>
    <w:rsid w:val="001D18D7"/>
    <w:rsid w:val="001D1B24"/>
    <w:rsid w:val="001D1BA9"/>
    <w:rsid w:val="001D2772"/>
    <w:rsid w:val="001D3A12"/>
    <w:rsid w:val="001D3B0C"/>
    <w:rsid w:val="001D423F"/>
    <w:rsid w:val="001D47E2"/>
    <w:rsid w:val="001D4B09"/>
    <w:rsid w:val="001D4D62"/>
    <w:rsid w:val="001D4E1C"/>
    <w:rsid w:val="001D53E0"/>
    <w:rsid w:val="001D5851"/>
    <w:rsid w:val="001D5E98"/>
    <w:rsid w:val="001D5ECE"/>
    <w:rsid w:val="001E03FE"/>
    <w:rsid w:val="001E0B1D"/>
    <w:rsid w:val="001E0FBF"/>
    <w:rsid w:val="001E1020"/>
    <w:rsid w:val="001E1925"/>
    <w:rsid w:val="001E1929"/>
    <w:rsid w:val="001E1D53"/>
    <w:rsid w:val="001E1E45"/>
    <w:rsid w:val="001E205A"/>
    <w:rsid w:val="001E25B2"/>
    <w:rsid w:val="001E2E8B"/>
    <w:rsid w:val="001E2FCC"/>
    <w:rsid w:val="001E301F"/>
    <w:rsid w:val="001E312E"/>
    <w:rsid w:val="001E3353"/>
    <w:rsid w:val="001E3721"/>
    <w:rsid w:val="001E4943"/>
    <w:rsid w:val="001E5ABA"/>
    <w:rsid w:val="001E60DC"/>
    <w:rsid w:val="001E61C9"/>
    <w:rsid w:val="001E6839"/>
    <w:rsid w:val="001E68E2"/>
    <w:rsid w:val="001E6A91"/>
    <w:rsid w:val="001E6C10"/>
    <w:rsid w:val="001E75BD"/>
    <w:rsid w:val="001E784C"/>
    <w:rsid w:val="001E7B33"/>
    <w:rsid w:val="001F08C9"/>
    <w:rsid w:val="001F0AB9"/>
    <w:rsid w:val="001F1703"/>
    <w:rsid w:val="001F192F"/>
    <w:rsid w:val="001F1CCE"/>
    <w:rsid w:val="001F1F4C"/>
    <w:rsid w:val="001F229B"/>
    <w:rsid w:val="001F2379"/>
    <w:rsid w:val="001F25E1"/>
    <w:rsid w:val="001F2FFE"/>
    <w:rsid w:val="001F314A"/>
    <w:rsid w:val="001F31EB"/>
    <w:rsid w:val="001F389F"/>
    <w:rsid w:val="001F3B8A"/>
    <w:rsid w:val="001F44E4"/>
    <w:rsid w:val="001F58E2"/>
    <w:rsid w:val="001F6650"/>
    <w:rsid w:val="001F6654"/>
    <w:rsid w:val="001F6791"/>
    <w:rsid w:val="001F717D"/>
    <w:rsid w:val="001F72B9"/>
    <w:rsid w:val="001F7AA0"/>
    <w:rsid w:val="00200C18"/>
    <w:rsid w:val="002010B9"/>
    <w:rsid w:val="00201B9B"/>
    <w:rsid w:val="002024B7"/>
    <w:rsid w:val="00202655"/>
    <w:rsid w:val="00204141"/>
    <w:rsid w:val="00204AC8"/>
    <w:rsid w:val="00204C47"/>
    <w:rsid w:val="00205D8D"/>
    <w:rsid w:val="00205DD1"/>
    <w:rsid w:val="0020700A"/>
    <w:rsid w:val="002103A3"/>
    <w:rsid w:val="0021158E"/>
    <w:rsid w:val="0021197E"/>
    <w:rsid w:val="00211ABD"/>
    <w:rsid w:val="00212127"/>
    <w:rsid w:val="0021217C"/>
    <w:rsid w:val="00212377"/>
    <w:rsid w:val="002125C5"/>
    <w:rsid w:val="002129CD"/>
    <w:rsid w:val="00212AE6"/>
    <w:rsid w:val="00212B8C"/>
    <w:rsid w:val="00212DE8"/>
    <w:rsid w:val="00212F7E"/>
    <w:rsid w:val="00213ABB"/>
    <w:rsid w:val="00213F5C"/>
    <w:rsid w:val="00214E5D"/>
    <w:rsid w:val="0021550F"/>
    <w:rsid w:val="0021560D"/>
    <w:rsid w:val="002156E1"/>
    <w:rsid w:val="002156F7"/>
    <w:rsid w:val="00215F03"/>
    <w:rsid w:val="002163A2"/>
    <w:rsid w:val="00217401"/>
    <w:rsid w:val="00217D67"/>
    <w:rsid w:val="00217FDC"/>
    <w:rsid w:val="00220BA2"/>
    <w:rsid w:val="002210DD"/>
    <w:rsid w:val="002214E0"/>
    <w:rsid w:val="00221B81"/>
    <w:rsid w:val="00222255"/>
    <w:rsid w:val="00222AD3"/>
    <w:rsid w:val="00222C06"/>
    <w:rsid w:val="00222C73"/>
    <w:rsid w:val="00223112"/>
    <w:rsid w:val="00224271"/>
    <w:rsid w:val="00224297"/>
    <w:rsid w:val="00224476"/>
    <w:rsid w:val="002246AA"/>
    <w:rsid w:val="002246F0"/>
    <w:rsid w:val="00224CD7"/>
    <w:rsid w:val="00225287"/>
    <w:rsid w:val="00225C57"/>
    <w:rsid w:val="00225F52"/>
    <w:rsid w:val="00226214"/>
    <w:rsid w:val="00226633"/>
    <w:rsid w:val="00227199"/>
    <w:rsid w:val="002273E7"/>
    <w:rsid w:val="002300BC"/>
    <w:rsid w:val="002303DD"/>
    <w:rsid w:val="002303E3"/>
    <w:rsid w:val="002306AA"/>
    <w:rsid w:val="002307C3"/>
    <w:rsid w:val="00230C43"/>
    <w:rsid w:val="00230CD6"/>
    <w:rsid w:val="00230F09"/>
    <w:rsid w:val="00231130"/>
    <w:rsid w:val="00231F23"/>
    <w:rsid w:val="00232960"/>
    <w:rsid w:val="00233BC2"/>
    <w:rsid w:val="002341B8"/>
    <w:rsid w:val="0023439D"/>
    <w:rsid w:val="00235A44"/>
    <w:rsid w:val="00235AAE"/>
    <w:rsid w:val="002363DD"/>
    <w:rsid w:val="0023650C"/>
    <w:rsid w:val="00236CD0"/>
    <w:rsid w:val="002377EC"/>
    <w:rsid w:val="00240046"/>
    <w:rsid w:val="00240B26"/>
    <w:rsid w:val="00241241"/>
    <w:rsid w:val="00241376"/>
    <w:rsid w:val="00243339"/>
    <w:rsid w:val="00243841"/>
    <w:rsid w:val="002439B4"/>
    <w:rsid w:val="00243BFB"/>
    <w:rsid w:val="00243E16"/>
    <w:rsid w:val="0024407D"/>
    <w:rsid w:val="00244FAC"/>
    <w:rsid w:val="002452C3"/>
    <w:rsid w:val="00245B99"/>
    <w:rsid w:val="00245E86"/>
    <w:rsid w:val="00245FE2"/>
    <w:rsid w:val="0024604E"/>
    <w:rsid w:val="002460BC"/>
    <w:rsid w:val="002460E9"/>
    <w:rsid w:val="0024621A"/>
    <w:rsid w:val="00246404"/>
    <w:rsid w:val="00246B1A"/>
    <w:rsid w:val="00246B3E"/>
    <w:rsid w:val="00247744"/>
    <w:rsid w:val="0024780F"/>
    <w:rsid w:val="00250A02"/>
    <w:rsid w:val="00250DC6"/>
    <w:rsid w:val="00250FFD"/>
    <w:rsid w:val="00251407"/>
    <w:rsid w:val="0025177A"/>
    <w:rsid w:val="00251C7B"/>
    <w:rsid w:val="00251F6F"/>
    <w:rsid w:val="0025220D"/>
    <w:rsid w:val="00252856"/>
    <w:rsid w:val="00253188"/>
    <w:rsid w:val="002533DC"/>
    <w:rsid w:val="0025370C"/>
    <w:rsid w:val="00253957"/>
    <w:rsid w:val="002542F6"/>
    <w:rsid w:val="00255299"/>
    <w:rsid w:val="002552AE"/>
    <w:rsid w:val="002556D4"/>
    <w:rsid w:val="002565CE"/>
    <w:rsid w:val="00256A71"/>
    <w:rsid w:val="002602F3"/>
    <w:rsid w:val="002605E9"/>
    <w:rsid w:val="002614EA"/>
    <w:rsid w:val="00261A9A"/>
    <w:rsid w:val="00261B12"/>
    <w:rsid w:val="002623E1"/>
    <w:rsid w:val="002628D6"/>
    <w:rsid w:val="00262BBD"/>
    <w:rsid w:val="00262DC2"/>
    <w:rsid w:val="00262E30"/>
    <w:rsid w:val="00262E4F"/>
    <w:rsid w:val="00264A04"/>
    <w:rsid w:val="00264C6E"/>
    <w:rsid w:val="002650C0"/>
    <w:rsid w:val="00265A21"/>
    <w:rsid w:val="00266038"/>
    <w:rsid w:val="0026639F"/>
    <w:rsid w:val="00266F2F"/>
    <w:rsid w:val="0026722A"/>
    <w:rsid w:val="00267879"/>
    <w:rsid w:val="002698FA"/>
    <w:rsid w:val="00271071"/>
    <w:rsid w:val="00271245"/>
    <w:rsid w:val="0027312D"/>
    <w:rsid w:val="002731DA"/>
    <w:rsid w:val="00274878"/>
    <w:rsid w:val="002761A2"/>
    <w:rsid w:val="00276B81"/>
    <w:rsid w:val="00280082"/>
    <w:rsid w:val="0028013D"/>
    <w:rsid w:val="0028106A"/>
    <w:rsid w:val="00281801"/>
    <w:rsid w:val="0028235F"/>
    <w:rsid w:val="00283541"/>
    <w:rsid w:val="00283C8D"/>
    <w:rsid w:val="00284DAE"/>
    <w:rsid w:val="002855FB"/>
    <w:rsid w:val="00285A91"/>
    <w:rsid w:val="00285F9D"/>
    <w:rsid w:val="00286AA6"/>
    <w:rsid w:val="0028784E"/>
    <w:rsid w:val="00287923"/>
    <w:rsid w:val="00287D20"/>
    <w:rsid w:val="00287FA4"/>
    <w:rsid w:val="00290410"/>
    <w:rsid w:val="00290930"/>
    <w:rsid w:val="002911EF"/>
    <w:rsid w:val="0029148A"/>
    <w:rsid w:val="00292661"/>
    <w:rsid w:val="0029324B"/>
    <w:rsid w:val="0029357C"/>
    <w:rsid w:val="00294427"/>
    <w:rsid w:val="002946FA"/>
    <w:rsid w:val="002954B6"/>
    <w:rsid w:val="002959C9"/>
    <w:rsid w:val="00295B09"/>
    <w:rsid w:val="002967F7"/>
    <w:rsid w:val="00296D16"/>
    <w:rsid w:val="00297426"/>
    <w:rsid w:val="002974EF"/>
    <w:rsid w:val="00297C50"/>
    <w:rsid w:val="00297FB9"/>
    <w:rsid w:val="002A053E"/>
    <w:rsid w:val="002A06E1"/>
    <w:rsid w:val="002A0898"/>
    <w:rsid w:val="002A1566"/>
    <w:rsid w:val="002A1F8E"/>
    <w:rsid w:val="002A235D"/>
    <w:rsid w:val="002A273F"/>
    <w:rsid w:val="002A2E83"/>
    <w:rsid w:val="002A2FC3"/>
    <w:rsid w:val="002A3089"/>
    <w:rsid w:val="002A363B"/>
    <w:rsid w:val="002A36E1"/>
    <w:rsid w:val="002A4329"/>
    <w:rsid w:val="002A4378"/>
    <w:rsid w:val="002A4E9B"/>
    <w:rsid w:val="002A63F4"/>
    <w:rsid w:val="002A66E6"/>
    <w:rsid w:val="002A6DCC"/>
    <w:rsid w:val="002A74F1"/>
    <w:rsid w:val="002A7CF0"/>
    <w:rsid w:val="002A7D82"/>
    <w:rsid w:val="002A7F26"/>
    <w:rsid w:val="002A7FE2"/>
    <w:rsid w:val="002B00C5"/>
    <w:rsid w:val="002B00E2"/>
    <w:rsid w:val="002B01FA"/>
    <w:rsid w:val="002B03BB"/>
    <w:rsid w:val="002B06CC"/>
    <w:rsid w:val="002B4B14"/>
    <w:rsid w:val="002B4B25"/>
    <w:rsid w:val="002B55BB"/>
    <w:rsid w:val="002B5A14"/>
    <w:rsid w:val="002B5EAF"/>
    <w:rsid w:val="002B619D"/>
    <w:rsid w:val="002B6E42"/>
    <w:rsid w:val="002B71CD"/>
    <w:rsid w:val="002B7BB9"/>
    <w:rsid w:val="002B7E8C"/>
    <w:rsid w:val="002C039F"/>
    <w:rsid w:val="002C03DD"/>
    <w:rsid w:val="002C06A7"/>
    <w:rsid w:val="002C10BE"/>
    <w:rsid w:val="002C208A"/>
    <w:rsid w:val="002C3196"/>
    <w:rsid w:val="002C31A0"/>
    <w:rsid w:val="002C37F2"/>
    <w:rsid w:val="002C385F"/>
    <w:rsid w:val="002C3A99"/>
    <w:rsid w:val="002C3D8F"/>
    <w:rsid w:val="002C4014"/>
    <w:rsid w:val="002C42D3"/>
    <w:rsid w:val="002C4729"/>
    <w:rsid w:val="002C49F2"/>
    <w:rsid w:val="002C61C8"/>
    <w:rsid w:val="002C6F40"/>
    <w:rsid w:val="002C6FEA"/>
    <w:rsid w:val="002C708D"/>
    <w:rsid w:val="002C7472"/>
    <w:rsid w:val="002C75DF"/>
    <w:rsid w:val="002C75FF"/>
    <w:rsid w:val="002C7E5C"/>
    <w:rsid w:val="002C7F75"/>
    <w:rsid w:val="002D03B3"/>
    <w:rsid w:val="002D07FE"/>
    <w:rsid w:val="002D15FE"/>
    <w:rsid w:val="002D1A82"/>
    <w:rsid w:val="002D267B"/>
    <w:rsid w:val="002D28DD"/>
    <w:rsid w:val="002D364C"/>
    <w:rsid w:val="002D3896"/>
    <w:rsid w:val="002D3934"/>
    <w:rsid w:val="002D3975"/>
    <w:rsid w:val="002D3FA5"/>
    <w:rsid w:val="002D440F"/>
    <w:rsid w:val="002D54CB"/>
    <w:rsid w:val="002D57FC"/>
    <w:rsid w:val="002D580A"/>
    <w:rsid w:val="002D7003"/>
    <w:rsid w:val="002D750C"/>
    <w:rsid w:val="002D76FD"/>
    <w:rsid w:val="002D7FDB"/>
    <w:rsid w:val="002D8366"/>
    <w:rsid w:val="002E05C1"/>
    <w:rsid w:val="002E11D0"/>
    <w:rsid w:val="002E1763"/>
    <w:rsid w:val="002E1A6D"/>
    <w:rsid w:val="002E2261"/>
    <w:rsid w:val="002E260F"/>
    <w:rsid w:val="002E2BFF"/>
    <w:rsid w:val="002E2F6E"/>
    <w:rsid w:val="002E3899"/>
    <w:rsid w:val="002E45CC"/>
    <w:rsid w:val="002E45FA"/>
    <w:rsid w:val="002E49ED"/>
    <w:rsid w:val="002E4C8E"/>
    <w:rsid w:val="002E4CB5"/>
    <w:rsid w:val="002E4F90"/>
    <w:rsid w:val="002E5B1A"/>
    <w:rsid w:val="002E5BCB"/>
    <w:rsid w:val="002E60A6"/>
    <w:rsid w:val="002E6FCA"/>
    <w:rsid w:val="002E740D"/>
    <w:rsid w:val="002E76D5"/>
    <w:rsid w:val="002F0837"/>
    <w:rsid w:val="002F1055"/>
    <w:rsid w:val="002F1C89"/>
    <w:rsid w:val="002F1E3A"/>
    <w:rsid w:val="002F1FE7"/>
    <w:rsid w:val="002F279B"/>
    <w:rsid w:val="002F27D0"/>
    <w:rsid w:val="002F2B2F"/>
    <w:rsid w:val="002F2BEF"/>
    <w:rsid w:val="002F313C"/>
    <w:rsid w:val="002F3AFE"/>
    <w:rsid w:val="002F3F7D"/>
    <w:rsid w:val="002F45C1"/>
    <w:rsid w:val="002F4B9C"/>
    <w:rsid w:val="002F4EBC"/>
    <w:rsid w:val="002F4FAB"/>
    <w:rsid w:val="002F563B"/>
    <w:rsid w:val="002F568D"/>
    <w:rsid w:val="002F56C4"/>
    <w:rsid w:val="002F5C03"/>
    <w:rsid w:val="002F6B97"/>
    <w:rsid w:val="002F6C31"/>
    <w:rsid w:val="002F75E7"/>
    <w:rsid w:val="002F7C97"/>
    <w:rsid w:val="002F7D11"/>
    <w:rsid w:val="002FB409"/>
    <w:rsid w:val="003003F2"/>
    <w:rsid w:val="00300849"/>
    <w:rsid w:val="00300C65"/>
    <w:rsid w:val="00300DFC"/>
    <w:rsid w:val="003012E1"/>
    <w:rsid w:val="0030139F"/>
    <w:rsid w:val="003018D3"/>
    <w:rsid w:val="00301CD5"/>
    <w:rsid w:val="00301E6B"/>
    <w:rsid w:val="003021B2"/>
    <w:rsid w:val="003031F7"/>
    <w:rsid w:val="003036CF"/>
    <w:rsid w:val="00303A25"/>
    <w:rsid w:val="00304520"/>
    <w:rsid w:val="003046AB"/>
    <w:rsid w:val="003048F9"/>
    <w:rsid w:val="00304B65"/>
    <w:rsid w:val="00306369"/>
    <w:rsid w:val="00306670"/>
    <w:rsid w:val="00306C50"/>
    <w:rsid w:val="00307992"/>
    <w:rsid w:val="00307F3B"/>
    <w:rsid w:val="003100FC"/>
    <w:rsid w:val="0031047E"/>
    <w:rsid w:val="00311B3B"/>
    <w:rsid w:val="0031267B"/>
    <w:rsid w:val="0031283B"/>
    <w:rsid w:val="00312B89"/>
    <w:rsid w:val="00312EB6"/>
    <w:rsid w:val="0031300E"/>
    <w:rsid w:val="00313767"/>
    <w:rsid w:val="00313B28"/>
    <w:rsid w:val="00313B3A"/>
    <w:rsid w:val="00313EAF"/>
    <w:rsid w:val="00314007"/>
    <w:rsid w:val="00314A19"/>
    <w:rsid w:val="00314AEE"/>
    <w:rsid w:val="00314BF7"/>
    <w:rsid w:val="00314D6C"/>
    <w:rsid w:val="00315131"/>
    <w:rsid w:val="003155B5"/>
    <w:rsid w:val="003155EE"/>
    <w:rsid w:val="00317030"/>
    <w:rsid w:val="00317551"/>
    <w:rsid w:val="00317CFB"/>
    <w:rsid w:val="00317DFE"/>
    <w:rsid w:val="00320E52"/>
    <w:rsid w:val="0032111A"/>
    <w:rsid w:val="00321292"/>
    <w:rsid w:val="00321333"/>
    <w:rsid w:val="00322958"/>
    <w:rsid w:val="00323467"/>
    <w:rsid w:val="00323A32"/>
    <w:rsid w:val="003244FE"/>
    <w:rsid w:val="00325151"/>
    <w:rsid w:val="0032530F"/>
    <w:rsid w:val="003256BF"/>
    <w:rsid w:val="00326136"/>
    <w:rsid w:val="0032644F"/>
    <w:rsid w:val="003269CC"/>
    <w:rsid w:val="00326EE3"/>
    <w:rsid w:val="00326F44"/>
    <w:rsid w:val="00326F47"/>
    <w:rsid w:val="00327684"/>
    <w:rsid w:val="0032CDE1"/>
    <w:rsid w:val="00330247"/>
    <w:rsid w:val="003305A2"/>
    <w:rsid w:val="00330C11"/>
    <w:rsid w:val="00330C91"/>
    <w:rsid w:val="00331C33"/>
    <w:rsid w:val="003329A8"/>
    <w:rsid w:val="00332EE7"/>
    <w:rsid w:val="00332FD2"/>
    <w:rsid w:val="00332FE1"/>
    <w:rsid w:val="003331C2"/>
    <w:rsid w:val="003333A9"/>
    <w:rsid w:val="003333BC"/>
    <w:rsid w:val="003346ED"/>
    <w:rsid w:val="0033480F"/>
    <w:rsid w:val="0033595B"/>
    <w:rsid w:val="00335961"/>
    <w:rsid w:val="00335A09"/>
    <w:rsid w:val="00335C72"/>
    <w:rsid w:val="003360A4"/>
    <w:rsid w:val="003362A3"/>
    <w:rsid w:val="00337895"/>
    <w:rsid w:val="00337FA3"/>
    <w:rsid w:val="0033AAB5"/>
    <w:rsid w:val="003400CB"/>
    <w:rsid w:val="003401A3"/>
    <w:rsid w:val="003402F3"/>
    <w:rsid w:val="0034074E"/>
    <w:rsid w:val="00340AD2"/>
    <w:rsid w:val="00340B51"/>
    <w:rsid w:val="003413A3"/>
    <w:rsid w:val="0034141F"/>
    <w:rsid w:val="003416B3"/>
    <w:rsid w:val="0034173A"/>
    <w:rsid w:val="0034204C"/>
    <w:rsid w:val="00342188"/>
    <w:rsid w:val="003421AF"/>
    <w:rsid w:val="00342455"/>
    <w:rsid w:val="00342A5C"/>
    <w:rsid w:val="003437C7"/>
    <w:rsid w:val="00343C67"/>
    <w:rsid w:val="00343F1F"/>
    <w:rsid w:val="003441CC"/>
    <w:rsid w:val="00344D3F"/>
    <w:rsid w:val="0034712E"/>
    <w:rsid w:val="00347E6D"/>
    <w:rsid w:val="0034ADE1"/>
    <w:rsid w:val="00350184"/>
    <w:rsid w:val="00350189"/>
    <w:rsid w:val="00350A99"/>
    <w:rsid w:val="00350BF3"/>
    <w:rsid w:val="003512BE"/>
    <w:rsid w:val="003515EB"/>
    <w:rsid w:val="00351C00"/>
    <w:rsid w:val="00351FC8"/>
    <w:rsid w:val="003524CA"/>
    <w:rsid w:val="003526B4"/>
    <w:rsid w:val="003541F7"/>
    <w:rsid w:val="00354A9A"/>
    <w:rsid w:val="00355908"/>
    <w:rsid w:val="0035627B"/>
    <w:rsid w:val="00357267"/>
    <w:rsid w:val="00357283"/>
    <w:rsid w:val="003572C9"/>
    <w:rsid w:val="003577EC"/>
    <w:rsid w:val="0036062D"/>
    <w:rsid w:val="003607AD"/>
    <w:rsid w:val="00360A35"/>
    <w:rsid w:val="0036162B"/>
    <w:rsid w:val="003624E9"/>
    <w:rsid w:val="003628D9"/>
    <w:rsid w:val="00362A3D"/>
    <w:rsid w:val="00362D98"/>
    <w:rsid w:val="00363520"/>
    <w:rsid w:val="00363838"/>
    <w:rsid w:val="003644BB"/>
    <w:rsid w:val="00364C9C"/>
    <w:rsid w:val="003650B2"/>
    <w:rsid w:val="003654DC"/>
    <w:rsid w:val="003664A6"/>
    <w:rsid w:val="00367008"/>
    <w:rsid w:val="00367B23"/>
    <w:rsid w:val="003705FC"/>
    <w:rsid w:val="003713F0"/>
    <w:rsid w:val="00371563"/>
    <w:rsid w:val="00371A60"/>
    <w:rsid w:val="00372E6E"/>
    <w:rsid w:val="0037314B"/>
    <w:rsid w:val="003731DD"/>
    <w:rsid w:val="00373EEF"/>
    <w:rsid w:val="003743DE"/>
    <w:rsid w:val="00374712"/>
    <w:rsid w:val="00374C7B"/>
    <w:rsid w:val="00377090"/>
    <w:rsid w:val="00377761"/>
    <w:rsid w:val="003802A7"/>
    <w:rsid w:val="003803EB"/>
    <w:rsid w:val="0038075C"/>
    <w:rsid w:val="0038213D"/>
    <w:rsid w:val="00383085"/>
    <w:rsid w:val="003830A2"/>
    <w:rsid w:val="00383C28"/>
    <w:rsid w:val="0038411C"/>
    <w:rsid w:val="00384145"/>
    <w:rsid w:val="00384531"/>
    <w:rsid w:val="00384ACF"/>
    <w:rsid w:val="00384DF2"/>
    <w:rsid w:val="00384F5E"/>
    <w:rsid w:val="003857E4"/>
    <w:rsid w:val="00385A64"/>
    <w:rsid w:val="00385B24"/>
    <w:rsid w:val="0038678A"/>
    <w:rsid w:val="0038678D"/>
    <w:rsid w:val="003869FA"/>
    <w:rsid w:val="0038721E"/>
    <w:rsid w:val="00391465"/>
    <w:rsid w:val="00391965"/>
    <w:rsid w:val="003919F9"/>
    <w:rsid w:val="00391A6B"/>
    <w:rsid w:val="00392301"/>
    <w:rsid w:val="0039235A"/>
    <w:rsid w:val="003928EC"/>
    <w:rsid w:val="00392C68"/>
    <w:rsid w:val="00392F29"/>
    <w:rsid w:val="00392FB5"/>
    <w:rsid w:val="0039357F"/>
    <w:rsid w:val="00393A6C"/>
    <w:rsid w:val="00394260"/>
    <w:rsid w:val="00394326"/>
    <w:rsid w:val="0039457A"/>
    <w:rsid w:val="003948DD"/>
    <w:rsid w:val="00395619"/>
    <w:rsid w:val="0039646D"/>
    <w:rsid w:val="003967BE"/>
    <w:rsid w:val="00396A4B"/>
    <w:rsid w:val="00396C4E"/>
    <w:rsid w:val="00396F50"/>
    <w:rsid w:val="003970B1"/>
    <w:rsid w:val="0039760E"/>
    <w:rsid w:val="003A134E"/>
    <w:rsid w:val="003A1355"/>
    <w:rsid w:val="003A19DE"/>
    <w:rsid w:val="003A373D"/>
    <w:rsid w:val="003A3858"/>
    <w:rsid w:val="003A3D4A"/>
    <w:rsid w:val="003A3EB6"/>
    <w:rsid w:val="003A4A5F"/>
    <w:rsid w:val="003A4DE6"/>
    <w:rsid w:val="003A4E00"/>
    <w:rsid w:val="003A4EAD"/>
    <w:rsid w:val="003A53CC"/>
    <w:rsid w:val="003A6335"/>
    <w:rsid w:val="003A73AB"/>
    <w:rsid w:val="003A7819"/>
    <w:rsid w:val="003B0875"/>
    <w:rsid w:val="003B0DC1"/>
    <w:rsid w:val="003B10EF"/>
    <w:rsid w:val="003B13F5"/>
    <w:rsid w:val="003B2DC5"/>
    <w:rsid w:val="003B4EA2"/>
    <w:rsid w:val="003B514F"/>
    <w:rsid w:val="003B5DDA"/>
    <w:rsid w:val="003B6358"/>
    <w:rsid w:val="003B750A"/>
    <w:rsid w:val="003B7BBC"/>
    <w:rsid w:val="003C0498"/>
    <w:rsid w:val="003C0654"/>
    <w:rsid w:val="003C0AC7"/>
    <w:rsid w:val="003C0DB2"/>
    <w:rsid w:val="003C0E7A"/>
    <w:rsid w:val="003C0F00"/>
    <w:rsid w:val="003C1B1D"/>
    <w:rsid w:val="003C1C5E"/>
    <w:rsid w:val="003C22D4"/>
    <w:rsid w:val="003C2338"/>
    <w:rsid w:val="003C2F46"/>
    <w:rsid w:val="003C2FD9"/>
    <w:rsid w:val="003C3356"/>
    <w:rsid w:val="003C3751"/>
    <w:rsid w:val="003C41F2"/>
    <w:rsid w:val="003C549D"/>
    <w:rsid w:val="003C565F"/>
    <w:rsid w:val="003C5DE1"/>
    <w:rsid w:val="003C658F"/>
    <w:rsid w:val="003C67FC"/>
    <w:rsid w:val="003C6839"/>
    <w:rsid w:val="003C762F"/>
    <w:rsid w:val="003C7C4B"/>
    <w:rsid w:val="003D19C9"/>
    <w:rsid w:val="003D1A67"/>
    <w:rsid w:val="003D1B10"/>
    <w:rsid w:val="003D1E4C"/>
    <w:rsid w:val="003D1ECD"/>
    <w:rsid w:val="003D1F69"/>
    <w:rsid w:val="003D2601"/>
    <w:rsid w:val="003D28D1"/>
    <w:rsid w:val="003D2B9A"/>
    <w:rsid w:val="003D2D8F"/>
    <w:rsid w:val="003D2E13"/>
    <w:rsid w:val="003D3465"/>
    <w:rsid w:val="003D3514"/>
    <w:rsid w:val="003D37FD"/>
    <w:rsid w:val="003D3C63"/>
    <w:rsid w:val="003D3D99"/>
    <w:rsid w:val="003D4E29"/>
    <w:rsid w:val="003D4E3F"/>
    <w:rsid w:val="003D5256"/>
    <w:rsid w:val="003D52D6"/>
    <w:rsid w:val="003D555F"/>
    <w:rsid w:val="003D5659"/>
    <w:rsid w:val="003D56FE"/>
    <w:rsid w:val="003D590C"/>
    <w:rsid w:val="003D6024"/>
    <w:rsid w:val="003D6622"/>
    <w:rsid w:val="003D6D60"/>
    <w:rsid w:val="003D6DB6"/>
    <w:rsid w:val="003D7249"/>
    <w:rsid w:val="003D75D5"/>
    <w:rsid w:val="003D77AC"/>
    <w:rsid w:val="003D7F56"/>
    <w:rsid w:val="003E0129"/>
    <w:rsid w:val="003E01BA"/>
    <w:rsid w:val="003E0678"/>
    <w:rsid w:val="003E0953"/>
    <w:rsid w:val="003E12F0"/>
    <w:rsid w:val="003E1C4A"/>
    <w:rsid w:val="003E1E8D"/>
    <w:rsid w:val="003E212D"/>
    <w:rsid w:val="003E2136"/>
    <w:rsid w:val="003E23DE"/>
    <w:rsid w:val="003E27B5"/>
    <w:rsid w:val="003E2C61"/>
    <w:rsid w:val="003E3A44"/>
    <w:rsid w:val="003E3AC7"/>
    <w:rsid w:val="003E44E8"/>
    <w:rsid w:val="003E450E"/>
    <w:rsid w:val="003E4C31"/>
    <w:rsid w:val="003E4DF7"/>
    <w:rsid w:val="003E4FDD"/>
    <w:rsid w:val="003E5026"/>
    <w:rsid w:val="003E53D8"/>
    <w:rsid w:val="003E5A81"/>
    <w:rsid w:val="003E5BDB"/>
    <w:rsid w:val="003E5C5A"/>
    <w:rsid w:val="003E62AE"/>
    <w:rsid w:val="003E67C9"/>
    <w:rsid w:val="003E68CD"/>
    <w:rsid w:val="003E6952"/>
    <w:rsid w:val="003E6A88"/>
    <w:rsid w:val="003E727B"/>
    <w:rsid w:val="003E75DF"/>
    <w:rsid w:val="003F055E"/>
    <w:rsid w:val="003F15BB"/>
    <w:rsid w:val="003F1832"/>
    <w:rsid w:val="003F2632"/>
    <w:rsid w:val="003F28AC"/>
    <w:rsid w:val="003F295D"/>
    <w:rsid w:val="003F2EA1"/>
    <w:rsid w:val="003F395B"/>
    <w:rsid w:val="003F4859"/>
    <w:rsid w:val="003F4AE1"/>
    <w:rsid w:val="003F5126"/>
    <w:rsid w:val="003F514B"/>
    <w:rsid w:val="003F587D"/>
    <w:rsid w:val="003F5CB5"/>
    <w:rsid w:val="003F713D"/>
    <w:rsid w:val="00400BA4"/>
    <w:rsid w:val="00400E2A"/>
    <w:rsid w:val="00400F3A"/>
    <w:rsid w:val="00401153"/>
    <w:rsid w:val="0040155A"/>
    <w:rsid w:val="00401871"/>
    <w:rsid w:val="004021D5"/>
    <w:rsid w:val="004026A6"/>
    <w:rsid w:val="00402A7D"/>
    <w:rsid w:val="004040E6"/>
    <w:rsid w:val="00404E6A"/>
    <w:rsid w:val="0040546C"/>
    <w:rsid w:val="00405AC8"/>
    <w:rsid w:val="00405E92"/>
    <w:rsid w:val="004068C3"/>
    <w:rsid w:val="0040691D"/>
    <w:rsid w:val="00406F50"/>
    <w:rsid w:val="0040703E"/>
    <w:rsid w:val="00407145"/>
    <w:rsid w:val="00407CA1"/>
    <w:rsid w:val="00407E9B"/>
    <w:rsid w:val="00407F07"/>
    <w:rsid w:val="00410232"/>
    <w:rsid w:val="004109D4"/>
    <w:rsid w:val="0041112F"/>
    <w:rsid w:val="0041118B"/>
    <w:rsid w:val="004111A9"/>
    <w:rsid w:val="004114AB"/>
    <w:rsid w:val="0041199F"/>
    <w:rsid w:val="00412831"/>
    <w:rsid w:val="00412C6E"/>
    <w:rsid w:val="00414263"/>
    <w:rsid w:val="004144DD"/>
    <w:rsid w:val="004146FA"/>
    <w:rsid w:val="00414C9B"/>
    <w:rsid w:val="004155E1"/>
    <w:rsid w:val="00415671"/>
    <w:rsid w:val="00415755"/>
    <w:rsid w:val="00415EF9"/>
    <w:rsid w:val="0041627D"/>
    <w:rsid w:val="004164A0"/>
    <w:rsid w:val="0041656A"/>
    <w:rsid w:val="0041664B"/>
    <w:rsid w:val="0041791A"/>
    <w:rsid w:val="0042031A"/>
    <w:rsid w:val="004203BC"/>
    <w:rsid w:val="00420875"/>
    <w:rsid w:val="00420FF1"/>
    <w:rsid w:val="0042150F"/>
    <w:rsid w:val="00421E92"/>
    <w:rsid w:val="00421F67"/>
    <w:rsid w:val="00422AAF"/>
    <w:rsid w:val="00423546"/>
    <w:rsid w:val="00423F34"/>
    <w:rsid w:val="00424251"/>
    <w:rsid w:val="004248EA"/>
    <w:rsid w:val="00424B5B"/>
    <w:rsid w:val="00426933"/>
    <w:rsid w:val="00426E9E"/>
    <w:rsid w:val="0042744C"/>
    <w:rsid w:val="004276F6"/>
    <w:rsid w:val="00427FD2"/>
    <w:rsid w:val="00430006"/>
    <w:rsid w:val="004304C2"/>
    <w:rsid w:val="00431205"/>
    <w:rsid w:val="004315D8"/>
    <w:rsid w:val="00431F0E"/>
    <w:rsid w:val="0043202F"/>
    <w:rsid w:val="0043249F"/>
    <w:rsid w:val="0043254F"/>
    <w:rsid w:val="004325CD"/>
    <w:rsid w:val="0043300D"/>
    <w:rsid w:val="0043337A"/>
    <w:rsid w:val="004338E2"/>
    <w:rsid w:val="004338E8"/>
    <w:rsid w:val="00433A12"/>
    <w:rsid w:val="00434229"/>
    <w:rsid w:val="00434A14"/>
    <w:rsid w:val="00434DAB"/>
    <w:rsid w:val="0043521A"/>
    <w:rsid w:val="004354BA"/>
    <w:rsid w:val="00435C27"/>
    <w:rsid w:val="004368AE"/>
    <w:rsid w:val="004368B0"/>
    <w:rsid w:val="00436B5A"/>
    <w:rsid w:val="0043715A"/>
    <w:rsid w:val="00437984"/>
    <w:rsid w:val="00440E35"/>
    <w:rsid w:val="0044190F"/>
    <w:rsid w:val="00441B43"/>
    <w:rsid w:val="00441E51"/>
    <w:rsid w:val="00441FBF"/>
    <w:rsid w:val="004423BB"/>
    <w:rsid w:val="00443317"/>
    <w:rsid w:val="0044369B"/>
    <w:rsid w:val="00443A0A"/>
    <w:rsid w:val="00445536"/>
    <w:rsid w:val="004457A4"/>
    <w:rsid w:val="00445BDF"/>
    <w:rsid w:val="00446657"/>
    <w:rsid w:val="0044670C"/>
    <w:rsid w:val="00446B3B"/>
    <w:rsid w:val="00446E21"/>
    <w:rsid w:val="00447338"/>
    <w:rsid w:val="004475F3"/>
    <w:rsid w:val="00447C6E"/>
    <w:rsid w:val="00450887"/>
    <w:rsid w:val="004509BC"/>
    <w:rsid w:val="00450BBD"/>
    <w:rsid w:val="0045189D"/>
    <w:rsid w:val="00451967"/>
    <w:rsid w:val="0045199C"/>
    <w:rsid w:val="00451A7C"/>
    <w:rsid w:val="0045214C"/>
    <w:rsid w:val="00452684"/>
    <w:rsid w:val="0045294C"/>
    <w:rsid w:val="00452F41"/>
    <w:rsid w:val="00453251"/>
    <w:rsid w:val="004532B0"/>
    <w:rsid w:val="004533B9"/>
    <w:rsid w:val="0045376D"/>
    <w:rsid w:val="0045390D"/>
    <w:rsid w:val="00453913"/>
    <w:rsid w:val="004559D6"/>
    <w:rsid w:val="00455A78"/>
    <w:rsid w:val="00455BF5"/>
    <w:rsid w:val="00455E50"/>
    <w:rsid w:val="00456A1F"/>
    <w:rsid w:val="00457B6E"/>
    <w:rsid w:val="00460040"/>
    <w:rsid w:val="00460346"/>
    <w:rsid w:val="00460C20"/>
    <w:rsid w:val="00460ED1"/>
    <w:rsid w:val="004611BC"/>
    <w:rsid w:val="00461957"/>
    <w:rsid w:val="00461BF6"/>
    <w:rsid w:val="00462115"/>
    <w:rsid w:val="00462E88"/>
    <w:rsid w:val="004631E8"/>
    <w:rsid w:val="00463743"/>
    <w:rsid w:val="00463EBA"/>
    <w:rsid w:val="00464C39"/>
    <w:rsid w:val="00464DE8"/>
    <w:rsid w:val="00465015"/>
    <w:rsid w:val="0046501B"/>
    <w:rsid w:val="0046517C"/>
    <w:rsid w:val="004651B4"/>
    <w:rsid w:val="0046545F"/>
    <w:rsid w:val="00465762"/>
    <w:rsid w:val="00466EA4"/>
    <w:rsid w:val="0046711A"/>
    <w:rsid w:val="00467984"/>
    <w:rsid w:val="00470DFC"/>
    <w:rsid w:val="004710CD"/>
    <w:rsid w:val="00471A1B"/>
    <w:rsid w:val="00471B8A"/>
    <w:rsid w:val="00472745"/>
    <w:rsid w:val="004729EB"/>
    <w:rsid w:val="00472CCB"/>
    <w:rsid w:val="00473798"/>
    <w:rsid w:val="00473BAA"/>
    <w:rsid w:val="004743A0"/>
    <w:rsid w:val="00474CDC"/>
    <w:rsid w:val="0047534A"/>
    <w:rsid w:val="00475874"/>
    <w:rsid w:val="00475B24"/>
    <w:rsid w:val="00475B27"/>
    <w:rsid w:val="00475C2E"/>
    <w:rsid w:val="00476427"/>
    <w:rsid w:val="004766BA"/>
    <w:rsid w:val="004768E6"/>
    <w:rsid w:val="0047696B"/>
    <w:rsid w:val="00476A29"/>
    <w:rsid w:val="00476FAF"/>
    <w:rsid w:val="004771AC"/>
    <w:rsid w:val="004775B3"/>
    <w:rsid w:val="004801DD"/>
    <w:rsid w:val="00480272"/>
    <w:rsid w:val="004804DC"/>
    <w:rsid w:val="00481218"/>
    <w:rsid w:val="0048148B"/>
    <w:rsid w:val="00481895"/>
    <w:rsid w:val="00481B4C"/>
    <w:rsid w:val="004829B0"/>
    <w:rsid w:val="00482B23"/>
    <w:rsid w:val="00482DEE"/>
    <w:rsid w:val="0048316D"/>
    <w:rsid w:val="00483587"/>
    <w:rsid w:val="0048377E"/>
    <w:rsid w:val="004838A4"/>
    <w:rsid w:val="00483BB9"/>
    <w:rsid w:val="00483FB9"/>
    <w:rsid w:val="004844C2"/>
    <w:rsid w:val="004847A7"/>
    <w:rsid w:val="00484B8E"/>
    <w:rsid w:val="00485262"/>
    <w:rsid w:val="00485A2F"/>
    <w:rsid w:val="0048688A"/>
    <w:rsid w:val="004869CB"/>
    <w:rsid w:val="00486B61"/>
    <w:rsid w:val="00487384"/>
    <w:rsid w:val="004877C1"/>
    <w:rsid w:val="00487C89"/>
    <w:rsid w:val="00490D44"/>
    <w:rsid w:val="00490F04"/>
    <w:rsid w:val="004910D0"/>
    <w:rsid w:val="00491C87"/>
    <w:rsid w:val="00492F62"/>
    <w:rsid w:val="004934BC"/>
    <w:rsid w:val="00493D71"/>
    <w:rsid w:val="0049472E"/>
    <w:rsid w:val="00494EEF"/>
    <w:rsid w:val="00495556"/>
    <w:rsid w:val="00495E00"/>
    <w:rsid w:val="00495EFE"/>
    <w:rsid w:val="004960C9"/>
    <w:rsid w:val="004966CF"/>
    <w:rsid w:val="00496824"/>
    <w:rsid w:val="00496C7E"/>
    <w:rsid w:val="004972A7"/>
    <w:rsid w:val="004A0358"/>
    <w:rsid w:val="004A04DA"/>
    <w:rsid w:val="004A0B47"/>
    <w:rsid w:val="004A0CE8"/>
    <w:rsid w:val="004A0F53"/>
    <w:rsid w:val="004A1CE5"/>
    <w:rsid w:val="004A2E5D"/>
    <w:rsid w:val="004A30D6"/>
    <w:rsid w:val="004A40CF"/>
    <w:rsid w:val="004A4219"/>
    <w:rsid w:val="004A43AF"/>
    <w:rsid w:val="004A4A84"/>
    <w:rsid w:val="004A4BC0"/>
    <w:rsid w:val="004A4FD0"/>
    <w:rsid w:val="004A5414"/>
    <w:rsid w:val="004A59FD"/>
    <w:rsid w:val="004A64D2"/>
    <w:rsid w:val="004A67A6"/>
    <w:rsid w:val="004A68BF"/>
    <w:rsid w:val="004A6D66"/>
    <w:rsid w:val="004A703B"/>
    <w:rsid w:val="004A7FA0"/>
    <w:rsid w:val="004B12AA"/>
    <w:rsid w:val="004B2116"/>
    <w:rsid w:val="004B2377"/>
    <w:rsid w:val="004B2C6F"/>
    <w:rsid w:val="004B30B5"/>
    <w:rsid w:val="004B34EF"/>
    <w:rsid w:val="004B376A"/>
    <w:rsid w:val="004B395C"/>
    <w:rsid w:val="004B48D6"/>
    <w:rsid w:val="004B4BCE"/>
    <w:rsid w:val="004B4EE1"/>
    <w:rsid w:val="004B5448"/>
    <w:rsid w:val="004B5493"/>
    <w:rsid w:val="004B5D7E"/>
    <w:rsid w:val="004B5E16"/>
    <w:rsid w:val="004B6397"/>
    <w:rsid w:val="004B6E5A"/>
    <w:rsid w:val="004B705D"/>
    <w:rsid w:val="004B76F2"/>
    <w:rsid w:val="004B7D5D"/>
    <w:rsid w:val="004C074F"/>
    <w:rsid w:val="004C08C8"/>
    <w:rsid w:val="004C0920"/>
    <w:rsid w:val="004C0B43"/>
    <w:rsid w:val="004C0F92"/>
    <w:rsid w:val="004C1479"/>
    <w:rsid w:val="004C14AF"/>
    <w:rsid w:val="004C153D"/>
    <w:rsid w:val="004C2257"/>
    <w:rsid w:val="004C23AD"/>
    <w:rsid w:val="004C2A65"/>
    <w:rsid w:val="004C2A93"/>
    <w:rsid w:val="004C303C"/>
    <w:rsid w:val="004C3A22"/>
    <w:rsid w:val="004C44E6"/>
    <w:rsid w:val="004C4521"/>
    <w:rsid w:val="004C5AC9"/>
    <w:rsid w:val="004C5DD4"/>
    <w:rsid w:val="004C64A6"/>
    <w:rsid w:val="004C6CE3"/>
    <w:rsid w:val="004C75BB"/>
    <w:rsid w:val="004C7756"/>
    <w:rsid w:val="004C77C8"/>
    <w:rsid w:val="004C7C61"/>
    <w:rsid w:val="004D0A2C"/>
    <w:rsid w:val="004D0B43"/>
    <w:rsid w:val="004D1775"/>
    <w:rsid w:val="004D1C2B"/>
    <w:rsid w:val="004D341E"/>
    <w:rsid w:val="004D3A87"/>
    <w:rsid w:val="004D3AAA"/>
    <w:rsid w:val="004D3EC8"/>
    <w:rsid w:val="004D413C"/>
    <w:rsid w:val="004D43DA"/>
    <w:rsid w:val="004D5AE8"/>
    <w:rsid w:val="004D6653"/>
    <w:rsid w:val="004D6D5B"/>
    <w:rsid w:val="004D76D6"/>
    <w:rsid w:val="004E0065"/>
    <w:rsid w:val="004E029B"/>
    <w:rsid w:val="004E0E14"/>
    <w:rsid w:val="004E0ED9"/>
    <w:rsid w:val="004E17F5"/>
    <w:rsid w:val="004E2BC3"/>
    <w:rsid w:val="004E2E23"/>
    <w:rsid w:val="004E2FFC"/>
    <w:rsid w:val="004E33E0"/>
    <w:rsid w:val="004E41D3"/>
    <w:rsid w:val="004E425D"/>
    <w:rsid w:val="004E451E"/>
    <w:rsid w:val="004E4E64"/>
    <w:rsid w:val="004E5472"/>
    <w:rsid w:val="004E5CF3"/>
    <w:rsid w:val="004E6B05"/>
    <w:rsid w:val="004E6FBF"/>
    <w:rsid w:val="004F0129"/>
    <w:rsid w:val="004F03E9"/>
    <w:rsid w:val="004F09A1"/>
    <w:rsid w:val="004F0CC3"/>
    <w:rsid w:val="004F1687"/>
    <w:rsid w:val="004F17FC"/>
    <w:rsid w:val="004F1B43"/>
    <w:rsid w:val="004F3547"/>
    <w:rsid w:val="004F3AF3"/>
    <w:rsid w:val="004F4255"/>
    <w:rsid w:val="004F45DF"/>
    <w:rsid w:val="004F47CC"/>
    <w:rsid w:val="004F480C"/>
    <w:rsid w:val="004F49C5"/>
    <w:rsid w:val="004F54B2"/>
    <w:rsid w:val="004F5B77"/>
    <w:rsid w:val="004F66D1"/>
    <w:rsid w:val="004F6C57"/>
    <w:rsid w:val="004F6DB9"/>
    <w:rsid w:val="004F6DF2"/>
    <w:rsid w:val="004F7207"/>
    <w:rsid w:val="005000D2"/>
    <w:rsid w:val="00500B40"/>
    <w:rsid w:val="00500C8C"/>
    <w:rsid w:val="00501281"/>
    <w:rsid w:val="00501393"/>
    <w:rsid w:val="0050189E"/>
    <w:rsid w:val="005023A4"/>
    <w:rsid w:val="00502665"/>
    <w:rsid w:val="005029D7"/>
    <w:rsid w:val="00503F36"/>
    <w:rsid w:val="0050440C"/>
    <w:rsid w:val="00505176"/>
    <w:rsid w:val="00505FDF"/>
    <w:rsid w:val="005064B0"/>
    <w:rsid w:val="00506660"/>
    <w:rsid w:val="00506DDE"/>
    <w:rsid w:val="00507582"/>
    <w:rsid w:val="00507FD7"/>
    <w:rsid w:val="005104C8"/>
    <w:rsid w:val="00510D33"/>
    <w:rsid w:val="005110C9"/>
    <w:rsid w:val="0051124C"/>
    <w:rsid w:val="00511379"/>
    <w:rsid w:val="005115D9"/>
    <w:rsid w:val="00511EFB"/>
    <w:rsid w:val="00512649"/>
    <w:rsid w:val="00512FDA"/>
    <w:rsid w:val="0051348E"/>
    <w:rsid w:val="0051469C"/>
    <w:rsid w:val="005148EE"/>
    <w:rsid w:val="00514BDB"/>
    <w:rsid w:val="00516721"/>
    <w:rsid w:val="00517159"/>
    <w:rsid w:val="00517276"/>
    <w:rsid w:val="00517595"/>
    <w:rsid w:val="00517C00"/>
    <w:rsid w:val="005203F7"/>
    <w:rsid w:val="00520E0E"/>
    <w:rsid w:val="0052169B"/>
    <w:rsid w:val="00521C76"/>
    <w:rsid w:val="005226FA"/>
    <w:rsid w:val="00522966"/>
    <w:rsid w:val="00522FD8"/>
    <w:rsid w:val="005230EB"/>
    <w:rsid w:val="005231F5"/>
    <w:rsid w:val="00523F44"/>
    <w:rsid w:val="005240A9"/>
    <w:rsid w:val="00524A13"/>
    <w:rsid w:val="0052534E"/>
    <w:rsid w:val="00525637"/>
    <w:rsid w:val="0052563E"/>
    <w:rsid w:val="00525F5E"/>
    <w:rsid w:val="00526855"/>
    <w:rsid w:val="00526B4A"/>
    <w:rsid w:val="00526D64"/>
    <w:rsid w:val="00526DBA"/>
    <w:rsid w:val="00527B0E"/>
    <w:rsid w:val="00527DF4"/>
    <w:rsid w:val="00527E6F"/>
    <w:rsid w:val="00527F4F"/>
    <w:rsid w:val="00530243"/>
    <w:rsid w:val="00530453"/>
    <w:rsid w:val="0053078A"/>
    <w:rsid w:val="005318F0"/>
    <w:rsid w:val="00531E02"/>
    <w:rsid w:val="00531F7B"/>
    <w:rsid w:val="0053235E"/>
    <w:rsid w:val="005323FA"/>
    <w:rsid w:val="005331F7"/>
    <w:rsid w:val="0053347D"/>
    <w:rsid w:val="0053383D"/>
    <w:rsid w:val="00533CEB"/>
    <w:rsid w:val="0053404A"/>
    <w:rsid w:val="00534923"/>
    <w:rsid w:val="00534C01"/>
    <w:rsid w:val="00534C47"/>
    <w:rsid w:val="00535C96"/>
    <w:rsid w:val="00536D84"/>
    <w:rsid w:val="005378EE"/>
    <w:rsid w:val="00537AF3"/>
    <w:rsid w:val="00537FDD"/>
    <w:rsid w:val="00540153"/>
    <w:rsid w:val="005408FE"/>
    <w:rsid w:val="00540A00"/>
    <w:rsid w:val="00540B48"/>
    <w:rsid w:val="00540BCE"/>
    <w:rsid w:val="005417DA"/>
    <w:rsid w:val="00541C82"/>
    <w:rsid w:val="00541F65"/>
    <w:rsid w:val="005421A4"/>
    <w:rsid w:val="005426AF"/>
    <w:rsid w:val="005435AA"/>
    <w:rsid w:val="0054460C"/>
    <w:rsid w:val="00544C28"/>
    <w:rsid w:val="00544E47"/>
    <w:rsid w:val="00545105"/>
    <w:rsid w:val="0054512B"/>
    <w:rsid w:val="005455E0"/>
    <w:rsid w:val="00545AF7"/>
    <w:rsid w:val="0054644D"/>
    <w:rsid w:val="0054655E"/>
    <w:rsid w:val="005468E9"/>
    <w:rsid w:val="0054718D"/>
    <w:rsid w:val="005475D9"/>
    <w:rsid w:val="00547CDB"/>
    <w:rsid w:val="00547D1D"/>
    <w:rsid w:val="0055017C"/>
    <w:rsid w:val="005501CD"/>
    <w:rsid w:val="005501FD"/>
    <w:rsid w:val="00550204"/>
    <w:rsid w:val="00550923"/>
    <w:rsid w:val="00550D9C"/>
    <w:rsid w:val="0055103D"/>
    <w:rsid w:val="005513DD"/>
    <w:rsid w:val="0055189C"/>
    <w:rsid w:val="00551C94"/>
    <w:rsid w:val="00551DBB"/>
    <w:rsid w:val="00552355"/>
    <w:rsid w:val="005528F3"/>
    <w:rsid w:val="005532AB"/>
    <w:rsid w:val="005533AD"/>
    <w:rsid w:val="00553528"/>
    <w:rsid w:val="0055359C"/>
    <w:rsid w:val="00554315"/>
    <w:rsid w:val="005543AD"/>
    <w:rsid w:val="005553CF"/>
    <w:rsid w:val="00555489"/>
    <w:rsid w:val="00555562"/>
    <w:rsid w:val="005561DB"/>
    <w:rsid w:val="00556745"/>
    <w:rsid w:val="00557584"/>
    <w:rsid w:val="00557D6C"/>
    <w:rsid w:val="005588A8"/>
    <w:rsid w:val="00560558"/>
    <w:rsid w:val="00560DB3"/>
    <w:rsid w:val="00560E8A"/>
    <w:rsid w:val="00561A58"/>
    <w:rsid w:val="0056255F"/>
    <w:rsid w:val="005625FD"/>
    <w:rsid w:val="00562676"/>
    <w:rsid w:val="00562AE7"/>
    <w:rsid w:val="00562E40"/>
    <w:rsid w:val="00563775"/>
    <w:rsid w:val="00563BA6"/>
    <w:rsid w:val="00564062"/>
    <w:rsid w:val="00565632"/>
    <w:rsid w:val="005660B0"/>
    <w:rsid w:val="00566B21"/>
    <w:rsid w:val="00570774"/>
    <w:rsid w:val="00570F17"/>
    <w:rsid w:val="00571C31"/>
    <w:rsid w:val="00571F6A"/>
    <w:rsid w:val="00572071"/>
    <w:rsid w:val="005723D3"/>
    <w:rsid w:val="0057244B"/>
    <w:rsid w:val="00572A1D"/>
    <w:rsid w:val="00573D0C"/>
    <w:rsid w:val="00573EE8"/>
    <w:rsid w:val="00573F01"/>
    <w:rsid w:val="00573FE2"/>
    <w:rsid w:val="0057456A"/>
    <w:rsid w:val="00574815"/>
    <w:rsid w:val="00574CC0"/>
    <w:rsid w:val="0057503B"/>
    <w:rsid w:val="005750A3"/>
    <w:rsid w:val="0057514D"/>
    <w:rsid w:val="00575918"/>
    <w:rsid w:val="00575E85"/>
    <w:rsid w:val="00576D16"/>
    <w:rsid w:val="0057703E"/>
    <w:rsid w:val="00577ECF"/>
    <w:rsid w:val="00580054"/>
    <w:rsid w:val="005800B4"/>
    <w:rsid w:val="0058037B"/>
    <w:rsid w:val="005806AB"/>
    <w:rsid w:val="005808CD"/>
    <w:rsid w:val="00580A27"/>
    <w:rsid w:val="00580BA4"/>
    <w:rsid w:val="00580E14"/>
    <w:rsid w:val="00581E6B"/>
    <w:rsid w:val="00581FEE"/>
    <w:rsid w:val="0058229B"/>
    <w:rsid w:val="00582F02"/>
    <w:rsid w:val="00583992"/>
    <w:rsid w:val="005847A6"/>
    <w:rsid w:val="005861F5"/>
    <w:rsid w:val="005864F7"/>
    <w:rsid w:val="00586580"/>
    <w:rsid w:val="005865E5"/>
    <w:rsid w:val="00586685"/>
    <w:rsid w:val="005868E9"/>
    <w:rsid w:val="0058770B"/>
    <w:rsid w:val="005903AB"/>
    <w:rsid w:val="0059077E"/>
    <w:rsid w:val="005916CF"/>
    <w:rsid w:val="00591760"/>
    <w:rsid w:val="00591774"/>
    <w:rsid w:val="005921DD"/>
    <w:rsid w:val="0059270A"/>
    <w:rsid w:val="005928C6"/>
    <w:rsid w:val="0059304C"/>
    <w:rsid w:val="00593207"/>
    <w:rsid w:val="00593489"/>
    <w:rsid w:val="00593847"/>
    <w:rsid w:val="005939F1"/>
    <w:rsid w:val="00594A62"/>
    <w:rsid w:val="00594F19"/>
    <w:rsid w:val="00594F6B"/>
    <w:rsid w:val="005952CA"/>
    <w:rsid w:val="0059555D"/>
    <w:rsid w:val="00595AEA"/>
    <w:rsid w:val="00596C9A"/>
    <w:rsid w:val="005977EC"/>
    <w:rsid w:val="00597840"/>
    <w:rsid w:val="005978D6"/>
    <w:rsid w:val="005A099E"/>
    <w:rsid w:val="005A0B39"/>
    <w:rsid w:val="005A0E30"/>
    <w:rsid w:val="005A1027"/>
    <w:rsid w:val="005A102F"/>
    <w:rsid w:val="005A14E9"/>
    <w:rsid w:val="005A18A5"/>
    <w:rsid w:val="005A1E34"/>
    <w:rsid w:val="005A2270"/>
    <w:rsid w:val="005A276F"/>
    <w:rsid w:val="005A3806"/>
    <w:rsid w:val="005A3D0D"/>
    <w:rsid w:val="005A3FC2"/>
    <w:rsid w:val="005A3FF5"/>
    <w:rsid w:val="005A439A"/>
    <w:rsid w:val="005A5440"/>
    <w:rsid w:val="005A56B1"/>
    <w:rsid w:val="005A5EBD"/>
    <w:rsid w:val="005A64CF"/>
    <w:rsid w:val="005A6631"/>
    <w:rsid w:val="005A6A7F"/>
    <w:rsid w:val="005A70EB"/>
    <w:rsid w:val="005A71E8"/>
    <w:rsid w:val="005A792E"/>
    <w:rsid w:val="005B02A8"/>
    <w:rsid w:val="005B0C9C"/>
    <w:rsid w:val="005B0D78"/>
    <w:rsid w:val="005B0FDC"/>
    <w:rsid w:val="005B123A"/>
    <w:rsid w:val="005B1FFC"/>
    <w:rsid w:val="005B220A"/>
    <w:rsid w:val="005B290A"/>
    <w:rsid w:val="005B29CC"/>
    <w:rsid w:val="005B2C85"/>
    <w:rsid w:val="005B34EC"/>
    <w:rsid w:val="005B3734"/>
    <w:rsid w:val="005B3D5A"/>
    <w:rsid w:val="005B47B9"/>
    <w:rsid w:val="005B5702"/>
    <w:rsid w:val="005B58DC"/>
    <w:rsid w:val="005B5A35"/>
    <w:rsid w:val="005B60EC"/>
    <w:rsid w:val="005B622E"/>
    <w:rsid w:val="005B6E8B"/>
    <w:rsid w:val="005B7429"/>
    <w:rsid w:val="005B7860"/>
    <w:rsid w:val="005B7BA5"/>
    <w:rsid w:val="005C0037"/>
    <w:rsid w:val="005C0576"/>
    <w:rsid w:val="005C0A29"/>
    <w:rsid w:val="005C1EB9"/>
    <w:rsid w:val="005C26AA"/>
    <w:rsid w:val="005C2A4B"/>
    <w:rsid w:val="005C2A6F"/>
    <w:rsid w:val="005C2DC2"/>
    <w:rsid w:val="005C395E"/>
    <w:rsid w:val="005C39F0"/>
    <w:rsid w:val="005C41CB"/>
    <w:rsid w:val="005C42D5"/>
    <w:rsid w:val="005C4661"/>
    <w:rsid w:val="005C47D3"/>
    <w:rsid w:val="005C48F1"/>
    <w:rsid w:val="005C5751"/>
    <w:rsid w:val="005C57AB"/>
    <w:rsid w:val="005C64E8"/>
    <w:rsid w:val="005C6A83"/>
    <w:rsid w:val="005C7E57"/>
    <w:rsid w:val="005D062D"/>
    <w:rsid w:val="005D0A2E"/>
    <w:rsid w:val="005D13F6"/>
    <w:rsid w:val="005D286F"/>
    <w:rsid w:val="005D31EE"/>
    <w:rsid w:val="005D35E9"/>
    <w:rsid w:val="005D3F03"/>
    <w:rsid w:val="005D53E5"/>
    <w:rsid w:val="005D5D8F"/>
    <w:rsid w:val="005D61F7"/>
    <w:rsid w:val="005D691D"/>
    <w:rsid w:val="005D710F"/>
    <w:rsid w:val="005D72F4"/>
    <w:rsid w:val="005D7368"/>
    <w:rsid w:val="005E0150"/>
    <w:rsid w:val="005E079D"/>
    <w:rsid w:val="005E119F"/>
    <w:rsid w:val="005E1B1B"/>
    <w:rsid w:val="005E1ED4"/>
    <w:rsid w:val="005E276A"/>
    <w:rsid w:val="005E2DCC"/>
    <w:rsid w:val="005E32E3"/>
    <w:rsid w:val="005E3609"/>
    <w:rsid w:val="005E3837"/>
    <w:rsid w:val="005E3859"/>
    <w:rsid w:val="005E3BBA"/>
    <w:rsid w:val="005E4D35"/>
    <w:rsid w:val="005E4E62"/>
    <w:rsid w:val="005E54C5"/>
    <w:rsid w:val="005E5C6F"/>
    <w:rsid w:val="005E602D"/>
    <w:rsid w:val="005E6266"/>
    <w:rsid w:val="005E6D8F"/>
    <w:rsid w:val="005E6E5F"/>
    <w:rsid w:val="005E6F1D"/>
    <w:rsid w:val="005E799A"/>
    <w:rsid w:val="005E7C89"/>
    <w:rsid w:val="005E7F47"/>
    <w:rsid w:val="005F0A46"/>
    <w:rsid w:val="005F1943"/>
    <w:rsid w:val="005F1FB6"/>
    <w:rsid w:val="005F2022"/>
    <w:rsid w:val="005F213A"/>
    <w:rsid w:val="005F21FF"/>
    <w:rsid w:val="005F24B0"/>
    <w:rsid w:val="005F2D81"/>
    <w:rsid w:val="005F2DC9"/>
    <w:rsid w:val="005F3FE8"/>
    <w:rsid w:val="005F4849"/>
    <w:rsid w:val="005F5501"/>
    <w:rsid w:val="005F5666"/>
    <w:rsid w:val="005F58B7"/>
    <w:rsid w:val="005F58E9"/>
    <w:rsid w:val="005F626F"/>
    <w:rsid w:val="005F6312"/>
    <w:rsid w:val="005F6707"/>
    <w:rsid w:val="005F73AE"/>
    <w:rsid w:val="005F772F"/>
    <w:rsid w:val="0060156F"/>
    <w:rsid w:val="00601734"/>
    <w:rsid w:val="006017B5"/>
    <w:rsid w:val="00601854"/>
    <w:rsid w:val="00601EF4"/>
    <w:rsid w:val="0060200A"/>
    <w:rsid w:val="00602338"/>
    <w:rsid w:val="006029FF"/>
    <w:rsid w:val="0060325F"/>
    <w:rsid w:val="00603AA6"/>
    <w:rsid w:val="00603B51"/>
    <w:rsid w:val="00603BC4"/>
    <w:rsid w:val="00603DD4"/>
    <w:rsid w:val="00604320"/>
    <w:rsid w:val="00604426"/>
    <w:rsid w:val="00604755"/>
    <w:rsid w:val="00604E81"/>
    <w:rsid w:val="006053C3"/>
    <w:rsid w:val="00605906"/>
    <w:rsid w:val="00605BE8"/>
    <w:rsid w:val="00606238"/>
    <w:rsid w:val="006063A8"/>
    <w:rsid w:val="006065E2"/>
    <w:rsid w:val="00606707"/>
    <w:rsid w:val="006067F6"/>
    <w:rsid w:val="006068D9"/>
    <w:rsid w:val="00606A2C"/>
    <w:rsid w:val="00606D85"/>
    <w:rsid w:val="00607048"/>
    <w:rsid w:val="00607553"/>
    <w:rsid w:val="00607602"/>
    <w:rsid w:val="00607626"/>
    <w:rsid w:val="00610BAC"/>
    <w:rsid w:val="00610C25"/>
    <w:rsid w:val="0061162C"/>
    <w:rsid w:val="00611C7D"/>
    <w:rsid w:val="006122A8"/>
    <w:rsid w:val="006122AC"/>
    <w:rsid w:val="006139EE"/>
    <w:rsid w:val="00613E22"/>
    <w:rsid w:val="00616C75"/>
    <w:rsid w:val="00616DDA"/>
    <w:rsid w:val="00616E52"/>
    <w:rsid w:val="00616E7C"/>
    <w:rsid w:val="006171BC"/>
    <w:rsid w:val="00617366"/>
    <w:rsid w:val="006175AF"/>
    <w:rsid w:val="006177FD"/>
    <w:rsid w:val="00617822"/>
    <w:rsid w:val="00617B70"/>
    <w:rsid w:val="006201E0"/>
    <w:rsid w:val="00620297"/>
    <w:rsid w:val="00620C1F"/>
    <w:rsid w:val="00621715"/>
    <w:rsid w:val="00621B67"/>
    <w:rsid w:val="00622993"/>
    <w:rsid w:val="0062372C"/>
    <w:rsid w:val="00623A1B"/>
    <w:rsid w:val="00623E39"/>
    <w:rsid w:val="00624498"/>
    <w:rsid w:val="00624C2F"/>
    <w:rsid w:val="006250FD"/>
    <w:rsid w:val="0062635B"/>
    <w:rsid w:val="00626543"/>
    <w:rsid w:val="0062687B"/>
    <w:rsid w:val="00626D52"/>
    <w:rsid w:val="0062745E"/>
    <w:rsid w:val="00627AF9"/>
    <w:rsid w:val="00627D32"/>
    <w:rsid w:val="00627E2B"/>
    <w:rsid w:val="0062F3B5"/>
    <w:rsid w:val="00631088"/>
    <w:rsid w:val="00631864"/>
    <w:rsid w:val="00631EB8"/>
    <w:rsid w:val="00634A23"/>
    <w:rsid w:val="00635337"/>
    <w:rsid w:val="00635344"/>
    <w:rsid w:val="00635591"/>
    <w:rsid w:val="0063611E"/>
    <w:rsid w:val="00636457"/>
    <w:rsid w:val="006369AF"/>
    <w:rsid w:val="0063713D"/>
    <w:rsid w:val="00637410"/>
    <w:rsid w:val="00637574"/>
    <w:rsid w:val="00641441"/>
    <w:rsid w:val="00641ACB"/>
    <w:rsid w:val="00641BA2"/>
    <w:rsid w:val="00641D67"/>
    <w:rsid w:val="0064205D"/>
    <w:rsid w:val="00642858"/>
    <w:rsid w:val="00642EAA"/>
    <w:rsid w:val="0064316D"/>
    <w:rsid w:val="00643AA6"/>
    <w:rsid w:val="00643C54"/>
    <w:rsid w:val="00643F92"/>
    <w:rsid w:val="006441F5"/>
    <w:rsid w:val="006443EB"/>
    <w:rsid w:val="0064446A"/>
    <w:rsid w:val="0064509F"/>
    <w:rsid w:val="006455C0"/>
    <w:rsid w:val="0064562F"/>
    <w:rsid w:val="00645FC9"/>
    <w:rsid w:val="006465AB"/>
    <w:rsid w:val="00646D57"/>
    <w:rsid w:val="00647DC6"/>
    <w:rsid w:val="00650632"/>
    <w:rsid w:val="00650D09"/>
    <w:rsid w:val="006514B6"/>
    <w:rsid w:val="0065173A"/>
    <w:rsid w:val="00651A1A"/>
    <w:rsid w:val="00652588"/>
    <w:rsid w:val="00652603"/>
    <w:rsid w:val="00652898"/>
    <w:rsid w:val="0065388C"/>
    <w:rsid w:val="00654031"/>
    <w:rsid w:val="00654076"/>
    <w:rsid w:val="00654AD7"/>
    <w:rsid w:val="00655641"/>
    <w:rsid w:val="006556C8"/>
    <w:rsid w:val="00655B46"/>
    <w:rsid w:val="00656515"/>
    <w:rsid w:val="0065720A"/>
    <w:rsid w:val="00657249"/>
    <w:rsid w:val="006572D9"/>
    <w:rsid w:val="00657555"/>
    <w:rsid w:val="00657949"/>
    <w:rsid w:val="00657BBC"/>
    <w:rsid w:val="0066033E"/>
    <w:rsid w:val="00660DF9"/>
    <w:rsid w:val="0066219C"/>
    <w:rsid w:val="00662330"/>
    <w:rsid w:val="006624A5"/>
    <w:rsid w:val="00662AC9"/>
    <w:rsid w:val="00663333"/>
    <w:rsid w:val="006643BC"/>
    <w:rsid w:val="0066501C"/>
    <w:rsid w:val="0066559F"/>
    <w:rsid w:val="00665B06"/>
    <w:rsid w:val="00665EB8"/>
    <w:rsid w:val="00666583"/>
    <w:rsid w:val="0066732E"/>
    <w:rsid w:val="00667CC0"/>
    <w:rsid w:val="0067148F"/>
    <w:rsid w:val="00671692"/>
    <w:rsid w:val="0067211E"/>
    <w:rsid w:val="006726A7"/>
    <w:rsid w:val="006727D6"/>
    <w:rsid w:val="00672932"/>
    <w:rsid w:val="00672BB0"/>
    <w:rsid w:val="00672BFF"/>
    <w:rsid w:val="0067303C"/>
    <w:rsid w:val="006734BD"/>
    <w:rsid w:val="00674187"/>
    <w:rsid w:val="006748C1"/>
    <w:rsid w:val="00674C30"/>
    <w:rsid w:val="00674CC9"/>
    <w:rsid w:val="0067577D"/>
    <w:rsid w:val="00675C48"/>
    <w:rsid w:val="00675E8A"/>
    <w:rsid w:val="00676AB2"/>
    <w:rsid w:val="00676B8C"/>
    <w:rsid w:val="00676F17"/>
    <w:rsid w:val="00677ABE"/>
    <w:rsid w:val="00677E76"/>
    <w:rsid w:val="006806B9"/>
    <w:rsid w:val="00680B17"/>
    <w:rsid w:val="00680B51"/>
    <w:rsid w:val="00680C37"/>
    <w:rsid w:val="00681E66"/>
    <w:rsid w:val="006823B1"/>
    <w:rsid w:val="00682AA9"/>
    <w:rsid w:val="00682EF9"/>
    <w:rsid w:val="0068381B"/>
    <w:rsid w:val="00683F14"/>
    <w:rsid w:val="006840D9"/>
    <w:rsid w:val="00684D9E"/>
    <w:rsid w:val="006857F4"/>
    <w:rsid w:val="00686A17"/>
    <w:rsid w:val="00686B14"/>
    <w:rsid w:val="00687436"/>
    <w:rsid w:val="00687564"/>
    <w:rsid w:val="00687971"/>
    <w:rsid w:val="00690796"/>
    <w:rsid w:val="00690958"/>
    <w:rsid w:val="00691248"/>
    <w:rsid w:val="006916CB"/>
    <w:rsid w:val="00691846"/>
    <w:rsid w:val="00692300"/>
    <w:rsid w:val="006924AA"/>
    <w:rsid w:val="00692E6C"/>
    <w:rsid w:val="00693063"/>
    <w:rsid w:val="00693176"/>
    <w:rsid w:val="00693720"/>
    <w:rsid w:val="00693951"/>
    <w:rsid w:val="00693C21"/>
    <w:rsid w:val="00693EBA"/>
    <w:rsid w:val="006950B1"/>
    <w:rsid w:val="00695E41"/>
    <w:rsid w:val="00696831"/>
    <w:rsid w:val="00696CA0"/>
    <w:rsid w:val="00696D1D"/>
    <w:rsid w:val="006972E3"/>
    <w:rsid w:val="0069731C"/>
    <w:rsid w:val="006974DD"/>
    <w:rsid w:val="0069787D"/>
    <w:rsid w:val="006A1580"/>
    <w:rsid w:val="006A17D5"/>
    <w:rsid w:val="006A1859"/>
    <w:rsid w:val="006A1E1C"/>
    <w:rsid w:val="006A21BF"/>
    <w:rsid w:val="006A283E"/>
    <w:rsid w:val="006A3107"/>
    <w:rsid w:val="006A3553"/>
    <w:rsid w:val="006A3B11"/>
    <w:rsid w:val="006A3D86"/>
    <w:rsid w:val="006A4E84"/>
    <w:rsid w:val="006A5874"/>
    <w:rsid w:val="006A5A91"/>
    <w:rsid w:val="006A63AC"/>
    <w:rsid w:val="006A6713"/>
    <w:rsid w:val="006A6C5A"/>
    <w:rsid w:val="006A7410"/>
    <w:rsid w:val="006A7436"/>
    <w:rsid w:val="006A7AB3"/>
    <w:rsid w:val="006A7CA3"/>
    <w:rsid w:val="006AA75F"/>
    <w:rsid w:val="006B109B"/>
    <w:rsid w:val="006B133D"/>
    <w:rsid w:val="006B2111"/>
    <w:rsid w:val="006B227E"/>
    <w:rsid w:val="006B259B"/>
    <w:rsid w:val="006B4A66"/>
    <w:rsid w:val="006B588F"/>
    <w:rsid w:val="006B5A19"/>
    <w:rsid w:val="006B5F0D"/>
    <w:rsid w:val="006B63FF"/>
    <w:rsid w:val="006B6E50"/>
    <w:rsid w:val="006B6FFF"/>
    <w:rsid w:val="006B7475"/>
    <w:rsid w:val="006B75AD"/>
    <w:rsid w:val="006B7CB5"/>
    <w:rsid w:val="006C0009"/>
    <w:rsid w:val="006C1018"/>
    <w:rsid w:val="006C120C"/>
    <w:rsid w:val="006C18C0"/>
    <w:rsid w:val="006C2E76"/>
    <w:rsid w:val="006C2FCB"/>
    <w:rsid w:val="006C3170"/>
    <w:rsid w:val="006C3257"/>
    <w:rsid w:val="006C379C"/>
    <w:rsid w:val="006C3ADD"/>
    <w:rsid w:val="006C3B76"/>
    <w:rsid w:val="006C4758"/>
    <w:rsid w:val="006C480F"/>
    <w:rsid w:val="006C4DC2"/>
    <w:rsid w:val="006C5003"/>
    <w:rsid w:val="006C5076"/>
    <w:rsid w:val="006C5E26"/>
    <w:rsid w:val="006C5F56"/>
    <w:rsid w:val="006C66A5"/>
    <w:rsid w:val="006C68AC"/>
    <w:rsid w:val="006C742B"/>
    <w:rsid w:val="006C744F"/>
    <w:rsid w:val="006D0223"/>
    <w:rsid w:val="006D10BE"/>
    <w:rsid w:val="006D1200"/>
    <w:rsid w:val="006D1206"/>
    <w:rsid w:val="006D1681"/>
    <w:rsid w:val="006D24B7"/>
    <w:rsid w:val="006D3458"/>
    <w:rsid w:val="006D3952"/>
    <w:rsid w:val="006D3BFF"/>
    <w:rsid w:val="006D4A68"/>
    <w:rsid w:val="006D4A7E"/>
    <w:rsid w:val="006D4B3A"/>
    <w:rsid w:val="006D5092"/>
    <w:rsid w:val="006D509E"/>
    <w:rsid w:val="006D535B"/>
    <w:rsid w:val="006D665B"/>
    <w:rsid w:val="006D698C"/>
    <w:rsid w:val="006D6C67"/>
    <w:rsid w:val="006E06C6"/>
    <w:rsid w:val="006E06F6"/>
    <w:rsid w:val="006E0A40"/>
    <w:rsid w:val="006E0CEB"/>
    <w:rsid w:val="006E1370"/>
    <w:rsid w:val="006E152D"/>
    <w:rsid w:val="006E1AD8"/>
    <w:rsid w:val="006E22F1"/>
    <w:rsid w:val="006E2448"/>
    <w:rsid w:val="006E25C9"/>
    <w:rsid w:val="006E2AD2"/>
    <w:rsid w:val="006E4741"/>
    <w:rsid w:val="006E4798"/>
    <w:rsid w:val="006E47D6"/>
    <w:rsid w:val="006E5249"/>
    <w:rsid w:val="006E5559"/>
    <w:rsid w:val="006E5934"/>
    <w:rsid w:val="006E5AC7"/>
    <w:rsid w:val="006E5F9F"/>
    <w:rsid w:val="006E733A"/>
    <w:rsid w:val="006E7EC2"/>
    <w:rsid w:val="006F00A3"/>
    <w:rsid w:val="006F077E"/>
    <w:rsid w:val="006F17EF"/>
    <w:rsid w:val="006F1A85"/>
    <w:rsid w:val="006F2AE7"/>
    <w:rsid w:val="006F2F3C"/>
    <w:rsid w:val="006F483F"/>
    <w:rsid w:val="006F507A"/>
    <w:rsid w:val="006F551C"/>
    <w:rsid w:val="006F5546"/>
    <w:rsid w:val="006F5B61"/>
    <w:rsid w:val="006F5EC8"/>
    <w:rsid w:val="006F711F"/>
    <w:rsid w:val="006F7155"/>
    <w:rsid w:val="006F7642"/>
    <w:rsid w:val="006F7EBA"/>
    <w:rsid w:val="007000CE"/>
    <w:rsid w:val="007004D0"/>
    <w:rsid w:val="007006FF"/>
    <w:rsid w:val="00700CF2"/>
    <w:rsid w:val="00700EC5"/>
    <w:rsid w:val="00701B60"/>
    <w:rsid w:val="00702232"/>
    <w:rsid w:val="00702511"/>
    <w:rsid w:val="0070281B"/>
    <w:rsid w:val="00702F89"/>
    <w:rsid w:val="0070368E"/>
    <w:rsid w:val="00703A23"/>
    <w:rsid w:val="00703D1D"/>
    <w:rsid w:val="00704472"/>
    <w:rsid w:val="00704695"/>
    <w:rsid w:val="00704A18"/>
    <w:rsid w:val="00705A98"/>
    <w:rsid w:val="00705D8C"/>
    <w:rsid w:val="00705FAA"/>
    <w:rsid w:val="00706BC9"/>
    <w:rsid w:val="00706E26"/>
    <w:rsid w:val="00706EA6"/>
    <w:rsid w:val="00707320"/>
    <w:rsid w:val="00707376"/>
    <w:rsid w:val="00707CF3"/>
    <w:rsid w:val="00710887"/>
    <w:rsid w:val="0071094D"/>
    <w:rsid w:val="00710BB3"/>
    <w:rsid w:val="00710E06"/>
    <w:rsid w:val="007129D8"/>
    <w:rsid w:val="00712FB7"/>
    <w:rsid w:val="00714862"/>
    <w:rsid w:val="00715100"/>
    <w:rsid w:val="0071587A"/>
    <w:rsid w:val="00715D68"/>
    <w:rsid w:val="00715E3F"/>
    <w:rsid w:val="00715FB3"/>
    <w:rsid w:val="007163FE"/>
    <w:rsid w:val="0071783D"/>
    <w:rsid w:val="0072060C"/>
    <w:rsid w:val="00721F82"/>
    <w:rsid w:val="00722450"/>
    <w:rsid w:val="00722552"/>
    <w:rsid w:val="00723137"/>
    <w:rsid w:val="0072357E"/>
    <w:rsid w:val="007236B7"/>
    <w:rsid w:val="00723771"/>
    <w:rsid w:val="00723DC6"/>
    <w:rsid w:val="00724122"/>
    <w:rsid w:val="00724871"/>
    <w:rsid w:val="007255F6"/>
    <w:rsid w:val="007259FA"/>
    <w:rsid w:val="00725ADD"/>
    <w:rsid w:val="00725DEA"/>
    <w:rsid w:val="00726883"/>
    <w:rsid w:val="00726BCE"/>
    <w:rsid w:val="00726EDA"/>
    <w:rsid w:val="0072750B"/>
    <w:rsid w:val="00727D98"/>
    <w:rsid w:val="00728DE6"/>
    <w:rsid w:val="0073058A"/>
    <w:rsid w:val="007306C0"/>
    <w:rsid w:val="00730BDC"/>
    <w:rsid w:val="00731097"/>
    <w:rsid w:val="007313A3"/>
    <w:rsid w:val="007318F9"/>
    <w:rsid w:val="0073196A"/>
    <w:rsid w:val="00734718"/>
    <w:rsid w:val="00735024"/>
    <w:rsid w:val="00735751"/>
    <w:rsid w:val="00735E8E"/>
    <w:rsid w:val="007363EA"/>
    <w:rsid w:val="00736646"/>
    <w:rsid w:val="00736B60"/>
    <w:rsid w:val="00736B73"/>
    <w:rsid w:val="00736CB6"/>
    <w:rsid w:val="0073799D"/>
    <w:rsid w:val="00740A88"/>
    <w:rsid w:val="00740D0A"/>
    <w:rsid w:val="00740D95"/>
    <w:rsid w:val="007412E5"/>
    <w:rsid w:val="0074151B"/>
    <w:rsid w:val="007424C0"/>
    <w:rsid w:val="0074289F"/>
    <w:rsid w:val="007428B8"/>
    <w:rsid w:val="00742CD0"/>
    <w:rsid w:val="007431B8"/>
    <w:rsid w:val="007433A5"/>
    <w:rsid w:val="00743499"/>
    <w:rsid w:val="007438D1"/>
    <w:rsid w:val="00743E2C"/>
    <w:rsid w:val="0074450A"/>
    <w:rsid w:val="007447BD"/>
    <w:rsid w:val="0074481C"/>
    <w:rsid w:val="00744BE1"/>
    <w:rsid w:val="00744EE6"/>
    <w:rsid w:val="00745435"/>
    <w:rsid w:val="0074570E"/>
    <w:rsid w:val="00745922"/>
    <w:rsid w:val="00746164"/>
    <w:rsid w:val="0074647B"/>
    <w:rsid w:val="00746F01"/>
    <w:rsid w:val="0074730D"/>
    <w:rsid w:val="00750047"/>
    <w:rsid w:val="0075055D"/>
    <w:rsid w:val="00750B7E"/>
    <w:rsid w:val="007511D4"/>
    <w:rsid w:val="00751CC8"/>
    <w:rsid w:val="00751E26"/>
    <w:rsid w:val="007524E2"/>
    <w:rsid w:val="00752A1D"/>
    <w:rsid w:val="00752F5C"/>
    <w:rsid w:val="00753471"/>
    <w:rsid w:val="00753887"/>
    <w:rsid w:val="00753AC5"/>
    <w:rsid w:val="0075405E"/>
    <w:rsid w:val="007541F4"/>
    <w:rsid w:val="00754317"/>
    <w:rsid w:val="0075431D"/>
    <w:rsid w:val="00754B12"/>
    <w:rsid w:val="00754DE8"/>
    <w:rsid w:val="007557DD"/>
    <w:rsid w:val="00756364"/>
    <w:rsid w:val="007566E1"/>
    <w:rsid w:val="007567D2"/>
    <w:rsid w:val="007573EC"/>
    <w:rsid w:val="00757526"/>
    <w:rsid w:val="00757BC6"/>
    <w:rsid w:val="00761C0C"/>
    <w:rsid w:val="0076206E"/>
    <w:rsid w:val="00762A65"/>
    <w:rsid w:val="00762A67"/>
    <w:rsid w:val="00762AFB"/>
    <w:rsid w:val="00762E92"/>
    <w:rsid w:val="0076343C"/>
    <w:rsid w:val="007634C2"/>
    <w:rsid w:val="00763B6D"/>
    <w:rsid w:val="00764303"/>
    <w:rsid w:val="00764ABD"/>
    <w:rsid w:val="00764DFE"/>
    <w:rsid w:val="00764EE0"/>
    <w:rsid w:val="00764FEA"/>
    <w:rsid w:val="0076689E"/>
    <w:rsid w:val="00766B9E"/>
    <w:rsid w:val="007670E0"/>
    <w:rsid w:val="00767892"/>
    <w:rsid w:val="007678EB"/>
    <w:rsid w:val="00767E6A"/>
    <w:rsid w:val="00767EE5"/>
    <w:rsid w:val="00770448"/>
    <w:rsid w:val="0077049F"/>
    <w:rsid w:val="0077060A"/>
    <w:rsid w:val="00771446"/>
    <w:rsid w:val="007714C2"/>
    <w:rsid w:val="00771D84"/>
    <w:rsid w:val="00771E70"/>
    <w:rsid w:val="00771F99"/>
    <w:rsid w:val="0077265A"/>
    <w:rsid w:val="007734A5"/>
    <w:rsid w:val="00773677"/>
    <w:rsid w:val="00773AD7"/>
    <w:rsid w:val="007740E5"/>
    <w:rsid w:val="007744E7"/>
    <w:rsid w:val="00776181"/>
    <w:rsid w:val="0077648A"/>
    <w:rsid w:val="0077677A"/>
    <w:rsid w:val="0077682C"/>
    <w:rsid w:val="007773E8"/>
    <w:rsid w:val="0077770F"/>
    <w:rsid w:val="007777C1"/>
    <w:rsid w:val="00780718"/>
    <w:rsid w:val="007808BC"/>
    <w:rsid w:val="00780BB6"/>
    <w:rsid w:val="007812E4"/>
    <w:rsid w:val="0078188B"/>
    <w:rsid w:val="00781BA2"/>
    <w:rsid w:val="007824F0"/>
    <w:rsid w:val="00782A81"/>
    <w:rsid w:val="007831B4"/>
    <w:rsid w:val="007832F1"/>
    <w:rsid w:val="00783402"/>
    <w:rsid w:val="0078344D"/>
    <w:rsid w:val="007834C9"/>
    <w:rsid w:val="00783EAC"/>
    <w:rsid w:val="00783F0A"/>
    <w:rsid w:val="00784904"/>
    <w:rsid w:val="00785178"/>
    <w:rsid w:val="007855F8"/>
    <w:rsid w:val="00785FFC"/>
    <w:rsid w:val="0078626B"/>
    <w:rsid w:val="0078627C"/>
    <w:rsid w:val="00786A5B"/>
    <w:rsid w:val="0078701B"/>
    <w:rsid w:val="007870ED"/>
    <w:rsid w:val="0078790D"/>
    <w:rsid w:val="007904CC"/>
    <w:rsid w:val="007904ED"/>
    <w:rsid w:val="0079126B"/>
    <w:rsid w:val="00791F51"/>
    <w:rsid w:val="00792432"/>
    <w:rsid w:val="00792B36"/>
    <w:rsid w:val="00793177"/>
    <w:rsid w:val="007936FC"/>
    <w:rsid w:val="007937FF"/>
    <w:rsid w:val="00793EF9"/>
    <w:rsid w:val="0079440F"/>
    <w:rsid w:val="007947C8"/>
    <w:rsid w:val="007955B0"/>
    <w:rsid w:val="007959BB"/>
    <w:rsid w:val="00796055"/>
    <w:rsid w:val="00796E45"/>
    <w:rsid w:val="00796FA7"/>
    <w:rsid w:val="0079763B"/>
    <w:rsid w:val="007A0B58"/>
    <w:rsid w:val="007A145D"/>
    <w:rsid w:val="007A16DA"/>
    <w:rsid w:val="007A198B"/>
    <w:rsid w:val="007A1AF5"/>
    <w:rsid w:val="007A2599"/>
    <w:rsid w:val="007A2DE8"/>
    <w:rsid w:val="007A42A2"/>
    <w:rsid w:val="007A46C1"/>
    <w:rsid w:val="007A4EBA"/>
    <w:rsid w:val="007A5779"/>
    <w:rsid w:val="007A59F6"/>
    <w:rsid w:val="007A77AC"/>
    <w:rsid w:val="007B1425"/>
    <w:rsid w:val="007B16CF"/>
    <w:rsid w:val="007B17DC"/>
    <w:rsid w:val="007B1F54"/>
    <w:rsid w:val="007B20BD"/>
    <w:rsid w:val="007B2511"/>
    <w:rsid w:val="007B2BEF"/>
    <w:rsid w:val="007B2DB5"/>
    <w:rsid w:val="007B40F9"/>
    <w:rsid w:val="007B45C4"/>
    <w:rsid w:val="007B5B82"/>
    <w:rsid w:val="007B5C52"/>
    <w:rsid w:val="007B5F0D"/>
    <w:rsid w:val="007B6901"/>
    <w:rsid w:val="007B6A7F"/>
    <w:rsid w:val="007B7078"/>
    <w:rsid w:val="007B748D"/>
    <w:rsid w:val="007B769A"/>
    <w:rsid w:val="007B77B8"/>
    <w:rsid w:val="007B7B5B"/>
    <w:rsid w:val="007C060B"/>
    <w:rsid w:val="007C0778"/>
    <w:rsid w:val="007C086B"/>
    <w:rsid w:val="007C10E0"/>
    <w:rsid w:val="007C2062"/>
    <w:rsid w:val="007C2077"/>
    <w:rsid w:val="007C207E"/>
    <w:rsid w:val="007C20E4"/>
    <w:rsid w:val="007C22AE"/>
    <w:rsid w:val="007C23E8"/>
    <w:rsid w:val="007C29D2"/>
    <w:rsid w:val="007C2D80"/>
    <w:rsid w:val="007C2F31"/>
    <w:rsid w:val="007C3AD4"/>
    <w:rsid w:val="007C3CA8"/>
    <w:rsid w:val="007C43C2"/>
    <w:rsid w:val="007C446E"/>
    <w:rsid w:val="007C5697"/>
    <w:rsid w:val="007C5FB8"/>
    <w:rsid w:val="007C6FF1"/>
    <w:rsid w:val="007C7308"/>
    <w:rsid w:val="007C73A8"/>
    <w:rsid w:val="007C74EC"/>
    <w:rsid w:val="007D1740"/>
    <w:rsid w:val="007D1B7C"/>
    <w:rsid w:val="007D1C0B"/>
    <w:rsid w:val="007D25A6"/>
    <w:rsid w:val="007D2E7F"/>
    <w:rsid w:val="007D3736"/>
    <w:rsid w:val="007D4103"/>
    <w:rsid w:val="007D464F"/>
    <w:rsid w:val="007D46E9"/>
    <w:rsid w:val="007D55EE"/>
    <w:rsid w:val="007D5865"/>
    <w:rsid w:val="007D6A8F"/>
    <w:rsid w:val="007D70B5"/>
    <w:rsid w:val="007D77D8"/>
    <w:rsid w:val="007D7E40"/>
    <w:rsid w:val="007E02FC"/>
    <w:rsid w:val="007E06E7"/>
    <w:rsid w:val="007E077C"/>
    <w:rsid w:val="007E0E9D"/>
    <w:rsid w:val="007E1094"/>
    <w:rsid w:val="007E1191"/>
    <w:rsid w:val="007E1197"/>
    <w:rsid w:val="007E138D"/>
    <w:rsid w:val="007E1FC2"/>
    <w:rsid w:val="007E307A"/>
    <w:rsid w:val="007E3BAE"/>
    <w:rsid w:val="007E404B"/>
    <w:rsid w:val="007E4520"/>
    <w:rsid w:val="007E494D"/>
    <w:rsid w:val="007E4BD6"/>
    <w:rsid w:val="007E556F"/>
    <w:rsid w:val="007E59FD"/>
    <w:rsid w:val="007E6346"/>
    <w:rsid w:val="007E63BF"/>
    <w:rsid w:val="007E6418"/>
    <w:rsid w:val="007E755C"/>
    <w:rsid w:val="007F0235"/>
    <w:rsid w:val="007F0784"/>
    <w:rsid w:val="007F0DB2"/>
    <w:rsid w:val="007F0F81"/>
    <w:rsid w:val="007F111E"/>
    <w:rsid w:val="007F1DE5"/>
    <w:rsid w:val="007F2100"/>
    <w:rsid w:val="007F21C0"/>
    <w:rsid w:val="007F2B45"/>
    <w:rsid w:val="007F318E"/>
    <w:rsid w:val="007F324B"/>
    <w:rsid w:val="007F3310"/>
    <w:rsid w:val="007F3A4D"/>
    <w:rsid w:val="007F3D74"/>
    <w:rsid w:val="007F3E0C"/>
    <w:rsid w:val="007F3F4B"/>
    <w:rsid w:val="007F49D2"/>
    <w:rsid w:val="007F4B16"/>
    <w:rsid w:val="007F51B1"/>
    <w:rsid w:val="007F5958"/>
    <w:rsid w:val="007F5D11"/>
    <w:rsid w:val="007F6BA3"/>
    <w:rsid w:val="007F6C52"/>
    <w:rsid w:val="007F6E69"/>
    <w:rsid w:val="007F76DB"/>
    <w:rsid w:val="007F790D"/>
    <w:rsid w:val="007F7C28"/>
    <w:rsid w:val="007F7C3E"/>
    <w:rsid w:val="008003E8"/>
    <w:rsid w:val="00800466"/>
    <w:rsid w:val="00800BF8"/>
    <w:rsid w:val="00801D94"/>
    <w:rsid w:val="00801F75"/>
    <w:rsid w:val="00802B0A"/>
    <w:rsid w:val="008032D3"/>
    <w:rsid w:val="00803BF1"/>
    <w:rsid w:val="00803DAB"/>
    <w:rsid w:val="00803F98"/>
    <w:rsid w:val="0080444F"/>
    <w:rsid w:val="00804D96"/>
    <w:rsid w:val="00805A63"/>
    <w:rsid w:val="00805C91"/>
    <w:rsid w:val="0080625D"/>
    <w:rsid w:val="0080663E"/>
    <w:rsid w:val="00806C07"/>
    <w:rsid w:val="00807CC5"/>
    <w:rsid w:val="008107A6"/>
    <w:rsid w:val="00810EA6"/>
    <w:rsid w:val="008111B5"/>
    <w:rsid w:val="008118F5"/>
    <w:rsid w:val="00811A56"/>
    <w:rsid w:val="00812400"/>
    <w:rsid w:val="00812644"/>
    <w:rsid w:val="00812901"/>
    <w:rsid w:val="00812DE4"/>
    <w:rsid w:val="0081308D"/>
    <w:rsid w:val="00813737"/>
    <w:rsid w:val="0081393D"/>
    <w:rsid w:val="00813D1F"/>
    <w:rsid w:val="008145E1"/>
    <w:rsid w:val="00816175"/>
    <w:rsid w:val="008166F3"/>
    <w:rsid w:val="00816BB1"/>
    <w:rsid w:val="00817350"/>
    <w:rsid w:val="00817E4F"/>
    <w:rsid w:val="008201E0"/>
    <w:rsid w:val="008204A3"/>
    <w:rsid w:val="00820B71"/>
    <w:rsid w:val="00820FE1"/>
    <w:rsid w:val="00821557"/>
    <w:rsid w:val="0082218E"/>
    <w:rsid w:val="008222B9"/>
    <w:rsid w:val="00822578"/>
    <w:rsid w:val="00822657"/>
    <w:rsid w:val="00822687"/>
    <w:rsid w:val="00823408"/>
    <w:rsid w:val="00823E28"/>
    <w:rsid w:val="0082460A"/>
    <w:rsid w:val="0082584D"/>
    <w:rsid w:val="00825C01"/>
    <w:rsid w:val="00825E77"/>
    <w:rsid w:val="00826000"/>
    <w:rsid w:val="008265EE"/>
    <w:rsid w:val="008267FA"/>
    <w:rsid w:val="00826E41"/>
    <w:rsid w:val="00827539"/>
    <w:rsid w:val="008277D6"/>
    <w:rsid w:val="0082786E"/>
    <w:rsid w:val="00827AFB"/>
    <w:rsid w:val="00827DB1"/>
    <w:rsid w:val="0083010A"/>
    <w:rsid w:val="008306EF"/>
    <w:rsid w:val="00830E22"/>
    <w:rsid w:val="00830E60"/>
    <w:rsid w:val="00830EF5"/>
    <w:rsid w:val="008312F5"/>
    <w:rsid w:val="0083176A"/>
    <w:rsid w:val="00831D62"/>
    <w:rsid w:val="00832269"/>
    <w:rsid w:val="008323B9"/>
    <w:rsid w:val="008326CB"/>
    <w:rsid w:val="00832845"/>
    <w:rsid w:val="00832BAC"/>
    <w:rsid w:val="00833621"/>
    <w:rsid w:val="00833657"/>
    <w:rsid w:val="00833725"/>
    <w:rsid w:val="008339FD"/>
    <w:rsid w:val="008340AB"/>
    <w:rsid w:val="008342CC"/>
    <w:rsid w:val="008344B1"/>
    <w:rsid w:val="00834983"/>
    <w:rsid w:val="00834F07"/>
    <w:rsid w:val="00835295"/>
    <w:rsid w:val="008357E3"/>
    <w:rsid w:val="00835A15"/>
    <w:rsid w:val="0083688A"/>
    <w:rsid w:val="00836BBA"/>
    <w:rsid w:val="0083772F"/>
    <w:rsid w:val="008405BA"/>
    <w:rsid w:val="00840C5F"/>
    <w:rsid w:val="00840D0A"/>
    <w:rsid w:val="00841B87"/>
    <w:rsid w:val="0084221B"/>
    <w:rsid w:val="008423BC"/>
    <w:rsid w:val="00843472"/>
    <w:rsid w:val="00843539"/>
    <w:rsid w:val="008438E0"/>
    <w:rsid w:val="00843AED"/>
    <w:rsid w:val="008441FE"/>
    <w:rsid w:val="0084426C"/>
    <w:rsid w:val="00844B00"/>
    <w:rsid w:val="00844B33"/>
    <w:rsid w:val="00844F81"/>
    <w:rsid w:val="00845331"/>
    <w:rsid w:val="00845958"/>
    <w:rsid w:val="008465FC"/>
    <w:rsid w:val="00846C43"/>
    <w:rsid w:val="008471F9"/>
    <w:rsid w:val="00847A28"/>
    <w:rsid w:val="00847F75"/>
    <w:rsid w:val="00850439"/>
    <w:rsid w:val="008511A6"/>
    <w:rsid w:val="00851610"/>
    <w:rsid w:val="00851839"/>
    <w:rsid w:val="00851B3F"/>
    <w:rsid w:val="00852CF3"/>
    <w:rsid w:val="00853716"/>
    <w:rsid w:val="0085388F"/>
    <w:rsid w:val="00853C3A"/>
    <w:rsid w:val="008545BF"/>
    <w:rsid w:val="0085464A"/>
    <w:rsid w:val="00854D93"/>
    <w:rsid w:val="00855119"/>
    <w:rsid w:val="0085535B"/>
    <w:rsid w:val="0085572C"/>
    <w:rsid w:val="00855A43"/>
    <w:rsid w:val="0085667B"/>
    <w:rsid w:val="00856A3F"/>
    <w:rsid w:val="00856CD0"/>
    <w:rsid w:val="00856F59"/>
    <w:rsid w:val="00857312"/>
    <w:rsid w:val="00857A08"/>
    <w:rsid w:val="00861078"/>
    <w:rsid w:val="008615E7"/>
    <w:rsid w:val="008622C4"/>
    <w:rsid w:val="008624D9"/>
    <w:rsid w:val="00862AED"/>
    <w:rsid w:val="00862B3B"/>
    <w:rsid w:val="00862F7B"/>
    <w:rsid w:val="00863A22"/>
    <w:rsid w:val="00863FC8"/>
    <w:rsid w:val="008642B5"/>
    <w:rsid w:val="008648F5"/>
    <w:rsid w:val="00864E91"/>
    <w:rsid w:val="00866309"/>
    <w:rsid w:val="00866A70"/>
    <w:rsid w:val="008700C0"/>
    <w:rsid w:val="008707C7"/>
    <w:rsid w:val="00870CAC"/>
    <w:rsid w:val="008711A9"/>
    <w:rsid w:val="00871920"/>
    <w:rsid w:val="00871C63"/>
    <w:rsid w:val="00872211"/>
    <w:rsid w:val="00872386"/>
    <w:rsid w:val="008723C4"/>
    <w:rsid w:val="00872521"/>
    <w:rsid w:val="0087275B"/>
    <w:rsid w:val="008727BA"/>
    <w:rsid w:val="00872FC1"/>
    <w:rsid w:val="008739D8"/>
    <w:rsid w:val="00873A70"/>
    <w:rsid w:val="00873C10"/>
    <w:rsid w:val="0087459C"/>
    <w:rsid w:val="00874A6A"/>
    <w:rsid w:val="00875363"/>
    <w:rsid w:val="00875A02"/>
    <w:rsid w:val="00875AB3"/>
    <w:rsid w:val="00876A88"/>
    <w:rsid w:val="00876FE9"/>
    <w:rsid w:val="00877B5B"/>
    <w:rsid w:val="00877D62"/>
    <w:rsid w:val="00880098"/>
    <w:rsid w:val="008803BF"/>
    <w:rsid w:val="00880D6D"/>
    <w:rsid w:val="008817EE"/>
    <w:rsid w:val="00881F04"/>
    <w:rsid w:val="00881FFE"/>
    <w:rsid w:val="008821C9"/>
    <w:rsid w:val="00883126"/>
    <w:rsid w:val="00883211"/>
    <w:rsid w:val="00883A26"/>
    <w:rsid w:val="008851CA"/>
    <w:rsid w:val="00886714"/>
    <w:rsid w:val="00886716"/>
    <w:rsid w:val="00886E3E"/>
    <w:rsid w:val="00887C7D"/>
    <w:rsid w:val="00887C81"/>
    <w:rsid w:val="008902DB"/>
    <w:rsid w:val="0089063A"/>
    <w:rsid w:val="008909A7"/>
    <w:rsid w:val="008909EE"/>
    <w:rsid w:val="00890A8A"/>
    <w:rsid w:val="00890B1B"/>
    <w:rsid w:val="0089133C"/>
    <w:rsid w:val="008915B1"/>
    <w:rsid w:val="0089190C"/>
    <w:rsid w:val="00891BF6"/>
    <w:rsid w:val="00891C90"/>
    <w:rsid w:val="00892CC7"/>
    <w:rsid w:val="008932A2"/>
    <w:rsid w:val="008932A8"/>
    <w:rsid w:val="00893997"/>
    <w:rsid w:val="00893E3F"/>
    <w:rsid w:val="00893F2A"/>
    <w:rsid w:val="00894662"/>
    <w:rsid w:val="0089484D"/>
    <w:rsid w:val="00894EE9"/>
    <w:rsid w:val="0089525E"/>
    <w:rsid w:val="00895395"/>
    <w:rsid w:val="00895A51"/>
    <w:rsid w:val="0089621B"/>
    <w:rsid w:val="00896874"/>
    <w:rsid w:val="00896BE5"/>
    <w:rsid w:val="008970E8"/>
    <w:rsid w:val="008976D8"/>
    <w:rsid w:val="008976F2"/>
    <w:rsid w:val="00897FC4"/>
    <w:rsid w:val="008A038C"/>
    <w:rsid w:val="008A03D7"/>
    <w:rsid w:val="008A0A45"/>
    <w:rsid w:val="008A0A46"/>
    <w:rsid w:val="008A0ED7"/>
    <w:rsid w:val="008A1642"/>
    <w:rsid w:val="008A1CAF"/>
    <w:rsid w:val="008A26BE"/>
    <w:rsid w:val="008A27E2"/>
    <w:rsid w:val="008A27F3"/>
    <w:rsid w:val="008A3020"/>
    <w:rsid w:val="008A3E02"/>
    <w:rsid w:val="008A3E08"/>
    <w:rsid w:val="008A3F3D"/>
    <w:rsid w:val="008A4348"/>
    <w:rsid w:val="008A4E9D"/>
    <w:rsid w:val="008A5322"/>
    <w:rsid w:val="008A6272"/>
    <w:rsid w:val="008A6280"/>
    <w:rsid w:val="008A6325"/>
    <w:rsid w:val="008A6414"/>
    <w:rsid w:val="008A6715"/>
    <w:rsid w:val="008A6CA5"/>
    <w:rsid w:val="008A73CB"/>
    <w:rsid w:val="008A750F"/>
    <w:rsid w:val="008A769F"/>
    <w:rsid w:val="008A78C2"/>
    <w:rsid w:val="008A79F4"/>
    <w:rsid w:val="008A7B7E"/>
    <w:rsid w:val="008B05E1"/>
    <w:rsid w:val="008B1057"/>
    <w:rsid w:val="008B2444"/>
    <w:rsid w:val="008B26AE"/>
    <w:rsid w:val="008B26D7"/>
    <w:rsid w:val="008B287A"/>
    <w:rsid w:val="008B2880"/>
    <w:rsid w:val="008B2D04"/>
    <w:rsid w:val="008B354E"/>
    <w:rsid w:val="008B3836"/>
    <w:rsid w:val="008B4B3C"/>
    <w:rsid w:val="008B4F81"/>
    <w:rsid w:val="008B53F5"/>
    <w:rsid w:val="008B5651"/>
    <w:rsid w:val="008B5BAE"/>
    <w:rsid w:val="008B6113"/>
    <w:rsid w:val="008B626C"/>
    <w:rsid w:val="008B67D7"/>
    <w:rsid w:val="008B69A7"/>
    <w:rsid w:val="008C0038"/>
    <w:rsid w:val="008C219F"/>
    <w:rsid w:val="008C2242"/>
    <w:rsid w:val="008C2946"/>
    <w:rsid w:val="008C29D1"/>
    <w:rsid w:val="008C2DFC"/>
    <w:rsid w:val="008C4AD0"/>
    <w:rsid w:val="008C4F81"/>
    <w:rsid w:val="008C54E1"/>
    <w:rsid w:val="008C5733"/>
    <w:rsid w:val="008C6387"/>
    <w:rsid w:val="008C736E"/>
    <w:rsid w:val="008C777F"/>
    <w:rsid w:val="008C7BC6"/>
    <w:rsid w:val="008C7C6A"/>
    <w:rsid w:val="008D0D9E"/>
    <w:rsid w:val="008D0F2E"/>
    <w:rsid w:val="008D12D7"/>
    <w:rsid w:val="008D2392"/>
    <w:rsid w:val="008D47BE"/>
    <w:rsid w:val="008D4929"/>
    <w:rsid w:val="008D4C0C"/>
    <w:rsid w:val="008D4CAC"/>
    <w:rsid w:val="008D4E14"/>
    <w:rsid w:val="008D4E53"/>
    <w:rsid w:val="008D5C0B"/>
    <w:rsid w:val="008D5CD5"/>
    <w:rsid w:val="008D60E4"/>
    <w:rsid w:val="008D63B7"/>
    <w:rsid w:val="008D64BE"/>
    <w:rsid w:val="008D6742"/>
    <w:rsid w:val="008D6A5B"/>
    <w:rsid w:val="008D6F92"/>
    <w:rsid w:val="008D71B1"/>
    <w:rsid w:val="008D7205"/>
    <w:rsid w:val="008D7695"/>
    <w:rsid w:val="008D785E"/>
    <w:rsid w:val="008D7CB9"/>
    <w:rsid w:val="008D7F67"/>
    <w:rsid w:val="008D7FD8"/>
    <w:rsid w:val="008E03D3"/>
    <w:rsid w:val="008E05F7"/>
    <w:rsid w:val="008E07B1"/>
    <w:rsid w:val="008E0F16"/>
    <w:rsid w:val="008E175B"/>
    <w:rsid w:val="008E1A5A"/>
    <w:rsid w:val="008E2612"/>
    <w:rsid w:val="008E3629"/>
    <w:rsid w:val="008E36A3"/>
    <w:rsid w:val="008E41CC"/>
    <w:rsid w:val="008E46DC"/>
    <w:rsid w:val="008E4AF8"/>
    <w:rsid w:val="008E4F26"/>
    <w:rsid w:val="008E5565"/>
    <w:rsid w:val="008E55BD"/>
    <w:rsid w:val="008E5702"/>
    <w:rsid w:val="008E6521"/>
    <w:rsid w:val="008E76FE"/>
    <w:rsid w:val="008E77CE"/>
    <w:rsid w:val="008F0004"/>
    <w:rsid w:val="008F1113"/>
    <w:rsid w:val="008F11B9"/>
    <w:rsid w:val="008F13F7"/>
    <w:rsid w:val="008F16AB"/>
    <w:rsid w:val="008F2533"/>
    <w:rsid w:val="008F3934"/>
    <w:rsid w:val="008F45F6"/>
    <w:rsid w:val="008F4617"/>
    <w:rsid w:val="008F476C"/>
    <w:rsid w:val="008F4873"/>
    <w:rsid w:val="008F5652"/>
    <w:rsid w:val="008F6A8E"/>
    <w:rsid w:val="008F6E2A"/>
    <w:rsid w:val="008F7234"/>
    <w:rsid w:val="008F7A9A"/>
    <w:rsid w:val="009004F6"/>
    <w:rsid w:val="00900A09"/>
    <w:rsid w:val="00900AB1"/>
    <w:rsid w:val="00900BAF"/>
    <w:rsid w:val="009014FF"/>
    <w:rsid w:val="00901D96"/>
    <w:rsid w:val="00901FFB"/>
    <w:rsid w:val="00902346"/>
    <w:rsid w:val="0090255A"/>
    <w:rsid w:val="00903EBF"/>
    <w:rsid w:val="00904307"/>
    <w:rsid w:val="009045F6"/>
    <w:rsid w:val="00904B87"/>
    <w:rsid w:val="00904FCE"/>
    <w:rsid w:val="009052F8"/>
    <w:rsid w:val="00905DC4"/>
    <w:rsid w:val="009066D0"/>
    <w:rsid w:val="00906875"/>
    <w:rsid w:val="0090688E"/>
    <w:rsid w:val="009070A7"/>
    <w:rsid w:val="00907B64"/>
    <w:rsid w:val="00907E01"/>
    <w:rsid w:val="00910018"/>
    <w:rsid w:val="009103F1"/>
    <w:rsid w:val="00910741"/>
    <w:rsid w:val="0091074B"/>
    <w:rsid w:val="0091117B"/>
    <w:rsid w:val="00911980"/>
    <w:rsid w:val="00911D20"/>
    <w:rsid w:val="009130E3"/>
    <w:rsid w:val="00913108"/>
    <w:rsid w:val="0091379F"/>
    <w:rsid w:val="009138C6"/>
    <w:rsid w:val="0091462E"/>
    <w:rsid w:val="009150FA"/>
    <w:rsid w:val="009154E2"/>
    <w:rsid w:val="00916ABE"/>
    <w:rsid w:val="00916E5C"/>
    <w:rsid w:val="0091708D"/>
    <w:rsid w:val="009173F2"/>
    <w:rsid w:val="00917D9D"/>
    <w:rsid w:val="009201ED"/>
    <w:rsid w:val="009202A4"/>
    <w:rsid w:val="009202D1"/>
    <w:rsid w:val="00920509"/>
    <w:rsid w:val="00920603"/>
    <w:rsid w:val="00920F1D"/>
    <w:rsid w:val="00921073"/>
    <w:rsid w:val="009212B6"/>
    <w:rsid w:val="00921806"/>
    <w:rsid w:val="009219B0"/>
    <w:rsid w:val="009227D0"/>
    <w:rsid w:val="009229F8"/>
    <w:rsid w:val="00923765"/>
    <w:rsid w:val="00923A09"/>
    <w:rsid w:val="0092421A"/>
    <w:rsid w:val="00924785"/>
    <w:rsid w:val="00924C86"/>
    <w:rsid w:val="00925A3D"/>
    <w:rsid w:val="00925BA9"/>
    <w:rsid w:val="00926811"/>
    <w:rsid w:val="009270A8"/>
    <w:rsid w:val="0092787A"/>
    <w:rsid w:val="00930CA6"/>
    <w:rsid w:val="00931293"/>
    <w:rsid w:val="009317A9"/>
    <w:rsid w:val="00931EC6"/>
    <w:rsid w:val="00932776"/>
    <w:rsid w:val="0093379B"/>
    <w:rsid w:val="009338B9"/>
    <w:rsid w:val="00933F26"/>
    <w:rsid w:val="00933FB5"/>
    <w:rsid w:val="0093407B"/>
    <w:rsid w:val="00934674"/>
    <w:rsid w:val="0093474C"/>
    <w:rsid w:val="00934E28"/>
    <w:rsid w:val="00935533"/>
    <w:rsid w:val="00935973"/>
    <w:rsid w:val="009363F0"/>
    <w:rsid w:val="00936713"/>
    <w:rsid w:val="00936AE7"/>
    <w:rsid w:val="0093728D"/>
    <w:rsid w:val="009372BE"/>
    <w:rsid w:val="009377F0"/>
    <w:rsid w:val="00937F4B"/>
    <w:rsid w:val="00940179"/>
    <w:rsid w:val="00940517"/>
    <w:rsid w:val="009406A7"/>
    <w:rsid w:val="00940CF8"/>
    <w:rsid w:val="009415A3"/>
    <w:rsid w:val="00943057"/>
    <w:rsid w:val="00943605"/>
    <w:rsid w:val="00943728"/>
    <w:rsid w:val="009439DA"/>
    <w:rsid w:val="00943DC5"/>
    <w:rsid w:val="0094415D"/>
    <w:rsid w:val="00944A13"/>
    <w:rsid w:val="00944F91"/>
    <w:rsid w:val="009454E8"/>
    <w:rsid w:val="009456EC"/>
    <w:rsid w:val="00946F8A"/>
    <w:rsid w:val="00946FE6"/>
    <w:rsid w:val="009471F1"/>
    <w:rsid w:val="00947815"/>
    <w:rsid w:val="00947C8C"/>
    <w:rsid w:val="009504A0"/>
    <w:rsid w:val="00950AD5"/>
    <w:rsid w:val="009517CE"/>
    <w:rsid w:val="00952108"/>
    <w:rsid w:val="0095243B"/>
    <w:rsid w:val="0095249F"/>
    <w:rsid w:val="009528DF"/>
    <w:rsid w:val="009531D2"/>
    <w:rsid w:val="00953277"/>
    <w:rsid w:val="00954180"/>
    <w:rsid w:val="00954381"/>
    <w:rsid w:val="00954A22"/>
    <w:rsid w:val="009550F6"/>
    <w:rsid w:val="00955257"/>
    <w:rsid w:val="00955448"/>
    <w:rsid w:val="009562AF"/>
    <w:rsid w:val="00957A75"/>
    <w:rsid w:val="00957BBF"/>
    <w:rsid w:val="009602A9"/>
    <w:rsid w:val="009604A2"/>
    <w:rsid w:val="009605A3"/>
    <w:rsid w:val="0096073D"/>
    <w:rsid w:val="00960B99"/>
    <w:rsid w:val="00960C82"/>
    <w:rsid w:val="00961C72"/>
    <w:rsid w:val="009621E0"/>
    <w:rsid w:val="0096338E"/>
    <w:rsid w:val="0096426A"/>
    <w:rsid w:val="00964ABB"/>
    <w:rsid w:val="0096524C"/>
    <w:rsid w:val="009655C6"/>
    <w:rsid w:val="0096573D"/>
    <w:rsid w:val="00965EE7"/>
    <w:rsid w:val="009660F2"/>
    <w:rsid w:val="0096648D"/>
    <w:rsid w:val="009667D3"/>
    <w:rsid w:val="00966A36"/>
    <w:rsid w:val="009670C2"/>
    <w:rsid w:val="00967150"/>
    <w:rsid w:val="00967B2D"/>
    <w:rsid w:val="00967BBE"/>
    <w:rsid w:val="00970132"/>
    <w:rsid w:val="0097076B"/>
    <w:rsid w:val="00970994"/>
    <w:rsid w:val="009718D3"/>
    <w:rsid w:val="00971B71"/>
    <w:rsid w:val="0097270F"/>
    <w:rsid w:val="00972C14"/>
    <w:rsid w:val="00973417"/>
    <w:rsid w:val="00973A5F"/>
    <w:rsid w:val="00973DA5"/>
    <w:rsid w:val="00973F5B"/>
    <w:rsid w:val="00974106"/>
    <w:rsid w:val="00974548"/>
    <w:rsid w:val="00974550"/>
    <w:rsid w:val="0097458D"/>
    <w:rsid w:val="00974672"/>
    <w:rsid w:val="00975E7C"/>
    <w:rsid w:val="0097650A"/>
    <w:rsid w:val="009766F7"/>
    <w:rsid w:val="00976B61"/>
    <w:rsid w:val="00976E6B"/>
    <w:rsid w:val="00977743"/>
    <w:rsid w:val="00977F9E"/>
    <w:rsid w:val="009801B1"/>
    <w:rsid w:val="009801D3"/>
    <w:rsid w:val="00980A9B"/>
    <w:rsid w:val="00981410"/>
    <w:rsid w:val="0098171A"/>
    <w:rsid w:val="00981C5C"/>
    <w:rsid w:val="00981ECE"/>
    <w:rsid w:val="00982B85"/>
    <w:rsid w:val="00982C40"/>
    <w:rsid w:val="00982C61"/>
    <w:rsid w:val="00983911"/>
    <w:rsid w:val="0098396F"/>
    <w:rsid w:val="009839F8"/>
    <w:rsid w:val="0098418C"/>
    <w:rsid w:val="009846A7"/>
    <w:rsid w:val="00984763"/>
    <w:rsid w:val="0098507A"/>
    <w:rsid w:val="00985895"/>
    <w:rsid w:val="00986347"/>
    <w:rsid w:val="00986571"/>
    <w:rsid w:val="009874F7"/>
    <w:rsid w:val="00987570"/>
    <w:rsid w:val="00987BE6"/>
    <w:rsid w:val="0098E8C3"/>
    <w:rsid w:val="0099039E"/>
    <w:rsid w:val="0099090E"/>
    <w:rsid w:val="009909D4"/>
    <w:rsid w:val="0099261C"/>
    <w:rsid w:val="00992628"/>
    <w:rsid w:val="00993630"/>
    <w:rsid w:val="009947CF"/>
    <w:rsid w:val="0099540C"/>
    <w:rsid w:val="00995A10"/>
    <w:rsid w:val="00995AA7"/>
    <w:rsid w:val="00995DDF"/>
    <w:rsid w:val="00996116"/>
    <w:rsid w:val="0099667A"/>
    <w:rsid w:val="00996934"/>
    <w:rsid w:val="00996996"/>
    <w:rsid w:val="00996D52"/>
    <w:rsid w:val="00997044"/>
    <w:rsid w:val="0099717E"/>
    <w:rsid w:val="00997D42"/>
    <w:rsid w:val="00997E37"/>
    <w:rsid w:val="009A022B"/>
    <w:rsid w:val="009A0612"/>
    <w:rsid w:val="009A06A1"/>
    <w:rsid w:val="009A12BA"/>
    <w:rsid w:val="009A140D"/>
    <w:rsid w:val="009A16EA"/>
    <w:rsid w:val="009A1FBB"/>
    <w:rsid w:val="009A2A4C"/>
    <w:rsid w:val="009A2D0A"/>
    <w:rsid w:val="009A32F9"/>
    <w:rsid w:val="009A4217"/>
    <w:rsid w:val="009A5BB5"/>
    <w:rsid w:val="009A5F19"/>
    <w:rsid w:val="009A6B90"/>
    <w:rsid w:val="009A7014"/>
    <w:rsid w:val="009A767E"/>
    <w:rsid w:val="009A78FF"/>
    <w:rsid w:val="009A7F64"/>
    <w:rsid w:val="009B04E1"/>
    <w:rsid w:val="009B096C"/>
    <w:rsid w:val="009B1951"/>
    <w:rsid w:val="009B1C37"/>
    <w:rsid w:val="009B214B"/>
    <w:rsid w:val="009B2C67"/>
    <w:rsid w:val="009B38F8"/>
    <w:rsid w:val="009B3BEA"/>
    <w:rsid w:val="009B426B"/>
    <w:rsid w:val="009B42EE"/>
    <w:rsid w:val="009B491B"/>
    <w:rsid w:val="009B5103"/>
    <w:rsid w:val="009B5253"/>
    <w:rsid w:val="009B5D67"/>
    <w:rsid w:val="009B60A5"/>
    <w:rsid w:val="009B663B"/>
    <w:rsid w:val="009B7D94"/>
    <w:rsid w:val="009B8885"/>
    <w:rsid w:val="009C02B4"/>
    <w:rsid w:val="009C096A"/>
    <w:rsid w:val="009C0A1C"/>
    <w:rsid w:val="009C119D"/>
    <w:rsid w:val="009C11BF"/>
    <w:rsid w:val="009C1472"/>
    <w:rsid w:val="009C201A"/>
    <w:rsid w:val="009C2C23"/>
    <w:rsid w:val="009C2DDF"/>
    <w:rsid w:val="009C305F"/>
    <w:rsid w:val="009C33B7"/>
    <w:rsid w:val="009C392F"/>
    <w:rsid w:val="009C4495"/>
    <w:rsid w:val="009C4A1C"/>
    <w:rsid w:val="009C4B28"/>
    <w:rsid w:val="009C4FB8"/>
    <w:rsid w:val="009C5DB8"/>
    <w:rsid w:val="009C60F1"/>
    <w:rsid w:val="009C6C01"/>
    <w:rsid w:val="009C6D56"/>
    <w:rsid w:val="009C7157"/>
    <w:rsid w:val="009C74FC"/>
    <w:rsid w:val="009C7CDE"/>
    <w:rsid w:val="009C7E70"/>
    <w:rsid w:val="009D0164"/>
    <w:rsid w:val="009D054C"/>
    <w:rsid w:val="009D0DF2"/>
    <w:rsid w:val="009D1162"/>
    <w:rsid w:val="009D14C7"/>
    <w:rsid w:val="009D1666"/>
    <w:rsid w:val="009D223B"/>
    <w:rsid w:val="009D243A"/>
    <w:rsid w:val="009D2620"/>
    <w:rsid w:val="009D2743"/>
    <w:rsid w:val="009D2744"/>
    <w:rsid w:val="009D2995"/>
    <w:rsid w:val="009D299A"/>
    <w:rsid w:val="009D34F2"/>
    <w:rsid w:val="009D3568"/>
    <w:rsid w:val="009D38CC"/>
    <w:rsid w:val="009D39F5"/>
    <w:rsid w:val="009D3ACC"/>
    <w:rsid w:val="009D3B82"/>
    <w:rsid w:val="009D407E"/>
    <w:rsid w:val="009D4200"/>
    <w:rsid w:val="009D4C71"/>
    <w:rsid w:val="009D4EF4"/>
    <w:rsid w:val="009D5028"/>
    <w:rsid w:val="009D5D80"/>
    <w:rsid w:val="009D6349"/>
    <w:rsid w:val="009D68EC"/>
    <w:rsid w:val="009D6EE5"/>
    <w:rsid w:val="009D6F47"/>
    <w:rsid w:val="009D7335"/>
    <w:rsid w:val="009D7447"/>
    <w:rsid w:val="009D7B82"/>
    <w:rsid w:val="009D7F40"/>
    <w:rsid w:val="009E05C4"/>
    <w:rsid w:val="009E077E"/>
    <w:rsid w:val="009E0A2C"/>
    <w:rsid w:val="009E11A3"/>
    <w:rsid w:val="009E13A0"/>
    <w:rsid w:val="009E1DC8"/>
    <w:rsid w:val="009E20AA"/>
    <w:rsid w:val="009E23F7"/>
    <w:rsid w:val="009E37AC"/>
    <w:rsid w:val="009E3A45"/>
    <w:rsid w:val="009E3DFD"/>
    <w:rsid w:val="009E3E5A"/>
    <w:rsid w:val="009E3FE8"/>
    <w:rsid w:val="009E404D"/>
    <w:rsid w:val="009E434C"/>
    <w:rsid w:val="009E4B94"/>
    <w:rsid w:val="009E4EBF"/>
    <w:rsid w:val="009E56BD"/>
    <w:rsid w:val="009E5736"/>
    <w:rsid w:val="009E674E"/>
    <w:rsid w:val="009E6D4E"/>
    <w:rsid w:val="009E73A2"/>
    <w:rsid w:val="009E7774"/>
    <w:rsid w:val="009F0583"/>
    <w:rsid w:val="009F0985"/>
    <w:rsid w:val="009F10F5"/>
    <w:rsid w:val="009F116E"/>
    <w:rsid w:val="009F1350"/>
    <w:rsid w:val="009F2008"/>
    <w:rsid w:val="009F267E"/>
    <w:rsid w:val="009F2911"/>
    <w:rsid w:val="009F2E54"/>
    <w:rsid w:val="009F2E78"/>
    <w:rsid w:val="009F35AD"/>
    <w:rsid w:val="009F3A0C"/>
    <w:rsid w:val="009F3DD1"/>
    <w:rsid w:val="009F4311"/>
    <w:rsid w:val="009F501C"/>
    <w:rsid w:val="009F522D"/>
    <w:rsid w:val="009F53D8"/>
    <w:rsid w:val="009F5781"/>
    <w:rsid w:val="009F5AA1"/>
    <w:rsid w:val="009F61A8"/>
    <w:rsid w:val="009F67AB"/>
    <w:rsid w:val="009F6AE8"/>
    <w:rsid w:val="009F6C15"/>
    <w:rsid w:val="009F6E3A"/>
    <w:rsid w:val="009F7547"/>
    <w:rsid w:val="009F7741"/>
    <w:rsid w:val="009F7D70"/>
    <w:rsid w:val="009F7E58"/>
    <w:rsid w:val="00A005EB"/>
    <w:rsid w:val="00A007E5"/>
    <w:rsid w:val="00A008DF"/>
    <w:rsid w:val="00A00CD1"/>
    <w:rsid w:val="00A00E38"/>
    <w:rsid w:val="00A011CE"/>
    <w:rsid w:val="00A01E59"/>
    <w:rsid w:val="00A02A20"/>
    <w:rsid w:val="00A03621"/>
    <w:rsid w:val="00A037DB"/>
    <w:rsid w:val="00A037E0"/>
    <w:rsid w:val="00A037E3"/>
    <w:rsid w:val="00A047B6"/>
    <w:rsid w:val="00A04B97"/>
    <w:rsid w:val="00A04C73"/>
    <w:rsid w:val="00A04CDB"/>
    <w:rsid w:val="00A04EBB"/>
    <w:rsid w:val="00A05586"/>
    <w:rsid w:val="00A05AE4"/>
    <w:rsid w:val="00A062A6"/>
    <w:rsid w:val="00A062D4"/>
    <w:rsid w:val="00A06908"/>
    <w:rsid w:val="00A06933"/>
    <w:rsid w:val="00A0715D"/>
    <w:rsid w:val="00A0750B"/>
    <w:rsid w:val="00A079AD"/>
    <w:rsid w:val="00A07F42"/>
    <w:rsid w:val="00A10CE6"/>
    <w:rsid w:val="00A11BAB"/>
    <w:rsid w:val="00A13AE5"/>
    <w:rsid w:val="00A13BED"/>
    <w:rsid w:val="00A14632"/>
    <w:rsid w:val="00A1524C"/>
    <w:rsid w:val="00A152D8"/>
    <w:rsid w:val="00A158F2"/>
    <w:rsid w:val="00A15917"/>
    <w:rsid w:val="00A15AE2"/>
    <w:rsid w:val="00A1608E"/>
    <w:rsid w:val="00A16315"/>
    <w:rsid w:val="00A16520"/>
    <w:rsid w:val="00A16624"/>
    <w:rsid w:val="00A16821"/>
    <w:rsid w:val="00A16A01"/>
    <w:rsid w:val="00A16A78"/>
    <w:rsid w:val="00A16C18"/>
    <w:rsid w:val="00A20660"/>
    <w:rsid w:val="00A20D41"/>
    <w:rsid w:val="00A20D63"/>
    <w:rsid w:val="00A2110C"/>
    <w:rsid w:val="00A213D1"/>
    <w:rsid w:val="00A217A1"/>
    <w:rsid w:val="00A21858"/>
    <w:rsid w:val="00A2195C"/>
    <w:rsid w:val="00A21A6A"/>
    <w:rsid w:val="00A21AB1"/>
    <w:rsid w:val="00A2234D"/>
    <w:rsid w:val="00A22481"/>
    <w:rsid w:val="00A22935"/>
    <w:rsid w:val="00A23105"/>
    <w:rsid w:val="00A23840"/>
    <w:rsid w:val="00A23A14"/>
    <w:rsid w:val="00A24AF4"/>
    <w:rsid w:val="00A24E54"/>
    <w:rsid w:val="00A253D8"/>
    <w:rsid w:val="00A26587"/>
    <w:rsid w:val="00A268E8"/>
    <w:rsid w:val="00A26909"/>
    <w:rsid w:val="00A27279"/>
    <w:rsid w:val="00A27340"/>
    <w:rsid w:val="00A274C1"/>
    <w:rsid w:val="00A276A9"/>
    <w:rsid w:val="00A27A2D"/>
    <w:rsid w:val="00A27F53"/>
    <w:rsid w:val="00A30B3C"/>
    <w:rsid w:val="00A30DF3"/>
    <w:rsid w:val="00A316EA"/>
    <w:rsid w:val="00A320D0"/>
    <w:rsid w:val="00A32365"/>
    <w:rsid w:val="00A323C3"/>
    <w:rsid w:val="00A325BB"/>
    <w:rsid w:val="00A33684"/>
    <w:rsid w:val="00A35090"/>
    <w:rsid w:val="00A3539A"/>
    <w:rsid w:val="00A35818"/>
    <w:rsid w:val="00A35876"/>
    <w:rsid w:val="00A35DDA"/>
    <w:rsid w:val="00A3649C"/>
    <w:rsid w:val="00A3702A"/>
    <w:rsid w:val="00A371BC"/>
    <w:rsid w:val="00A3753E"/>
    <w:rsid w:val="00A377AD"/>
    <w:rsid w:val="00A379C9"/>
    <w:rsid w:val="00A400B1"/>
    <w:rsid w:val="00A40484"/>
    <w:rsid w:val="00A404AD"/>
    <w:rsid w:val="00A40A0F"/>
    <w:rsid w:val="00A40D9B"/>
    <w:rsid w:val="00A4151B"/>
    <w:rsid w:val="00A41648"/>
    <w:rsid w:val="00A41AF7"/>
    <w:rsid w:val="00A41B3D"/>
    <w:rsid w:val="00A435A5"/>
    <w:rsid w:val="00A435C1"/>
    <w:rsid w:val="00A4386C"/>
    <w:rsid w:val="00A439AE"/>
    <w:rsid w:val="00A43C6D"/>
    <w:rsid w:val="00A43DEC"/>
    <w:rsid w:val="00A443BE"/>
    <w:rsid w:val="00A44B06"/>
    <w:rsid w:val="00A44BE9"/>
    <w:rsid w:val="00A4511B"/>
    <w:rsid w:val="00A45959"/>
    <w:rsid w:val="00A4659F"/>
    <w:rsid w:val="00A46680"/>
    <w:rsid w:val="00A47120"/>
    <w:rsid w:val="00A47B73"/>
    <w:rsid w:val="00A50428"/>
    <w:rsid w:val="00A50E32"/>
    <w:rsid w:val="00A515D6"/>
    <w:rsid w:val="00A51BB0"/>
    <w:rsid w:val="00A52704"/>
    <w:rsid w:val="00A52D88"/>
    <w:rsid w:val="00A5336C"/>
    <w:rsid w:val="00A5378A"/>
    <w:rsid w:val="00A53BED"/>
    <w:rsid w:val="00A53D23"/>
    <w:rsid w:val="00A54109"/>
    <w:rsid w:val="00A54A46"/>
    <w:rsid w:val="00A54B76"/>
    <w:rsid w:val="00A54BC2"/>
    <w:rsid w:val="00A54D02"/>
    <w:rsid w:val="00A54E4D"/>
    <w:rsid w:val="00A54F8F"/>
    <w:rsid w:val="00A55646"/>
    <w:rsid w:val="00A559EE"/>
    <w:rsid w:val="00A55E1D"/>
    <w:rsid w:val="00A562D4"/>
    <w:rsid w:val="00A5691E"/>
    <w:rsid w:val="00A56DF6"/>
    <w:rsid w:val="00A5719F"/>
    <w:rsid w:val="00A5798F"/>
    <w:rsid w:val="00A60106"/>
    <w:rsid w:val="00A6070E"/>
    <w:rsid w:val="00A608E5"/>
    <w:rsid w:val="00A60B21"/>
    <w:rsid w:val="00A6139E"/>
    <w:rsid w:val="00A615EB"/>
    <w:rsid w:val="00A61672"/>
    <w:rsid w:val="00A622EC"/>
    <w:rsid w:val="00A632D9"/>
    <w:rsid w:val="00A6342F"/>
    <w:rsid w:val="00A636F2"/>
    <w:rsid w:val="00A6389E"/>
    <w:rsid w:val="00A64496"/>
    <w:rsid w:val="00A64523"/>
    <w:rsid w:val="00A645A6"/>
    <w:rsid w:val="00A647E8"/>
    <w:rsid w:val="00A64F42"/>
    <w:rsid w:val="00A6593A"/>
    <w:rsid w:val="00A66C22"/>
    <w:rsid w:val="00A678D8"/>
    <w:rsid w:val="00A67E25"/>
    <w:rsid w:val="00A67F29"/>
    <w:rsid w:val="00A6AA8A"/>
    <w:rsid w:val="00A710C8"/>
    <w:rsid w:val="00A71246"/>
    <w:rsid w:val="00A71C85"/>
    <w:rsid w:val="00A71DC5"/>
    <w:rsid w:val="00A727E1"/>
    <w:rsid w:val="00A72D1E"/>
    <w:rsid w:val="00A7353D"/>
    <w:rsid w:val="00A73B72"/>
    <w:rsid w:val="00A7574F"/>
    <w:rsid w:val="00A76FE1"/>
    <w:rsid w:val="00A77C4C"/>
    <w:rsid w:val="00A77CFC"/>
    <w:rsid w:val="00A8017B"/>
    <w:rsid w:val="00A81BC3"/>
    <w:rsid w:val="00A82790"/>
    <w:rsid w:val="00A82803"/>
    <w:rsid w:val="00A82A98"/>
    <w:rsid w:val="00A83BB8"/>
    <w:rsid w:val="00A843F6"/>
    <w:rsid w:val="00A84BF3"/>
    <w:rsid w:val="00A84EAF"/>
    <w:rsid w:val="00A84F61"/>
    <w:rsid w:val="00A860D4"/>
    <w:rsid w:val="00A866A2"/>
    <w:rsid w:val="00A86C3A"/>
    <w:rsid w:val="00A86D8E"/>
    <w:rsid w:val="00A87022"/>
    <w:rsid w:val="00A9006F"/>
    <w:rsid w:val="00A909CD"/>
    <w:rsid w:val="00A90F49"/>
    <w:rsid w:val="00A90FC1"/>
    <w:rsid w:val="00A925DD"/>
    <w:rsid w:val="00A927E9"/>
    <w:rsid w:val="00A92A4D"/>
    <w:rsid w:val="00A92F95"/>
    <w:rsid w:val="00A930E7"/>
    <w:rsid w:val="00A93F51"/>
    <w:rsid w:val="00A94053"/>
    <w:rsid w:val="00A9423D"/>
    <w:rsid w:val="00A95316"/>
    <w:rsid w:val="00A953C6"/>
    <w:rsid w:val="00A95541"/>
    <w:rsid w:val="00A95902"/>
    <w:rsid w:val="00A95B29"/>
    <w:rsid w:val="00A968D7"/>
    <w:rsid w:val="00A96AA8"/>
    <w:rsid w:val="00A97C4E"/>
    <w:rsid w:val="00A97DC0"/>
    <w:rsid w:val="00A97F2B"/>
    <w:rsid w:val="00AA004C"/>
    <w:rsid w:val="00AA02FD"/>
    <w:rsid w:val="00AA0AD0"/>
    <w:rsid w:val="00AA19FC"/>
    <w:rsid w:val="00AA223A"/>
    <w:rsid w:val="00AA2B0E"/>
    <w:rsid w:val="00AA2B47"/>
    <w:rsid w:val="00AA315F"/>
    <w:rsid w:val="00AA351C"/>
    <w:rsid w:val="00AA3581"/>
    <w:rsid w:val="00AA445D"/>
    <w:rsid w:val="00AA54CC"/>
    <w:rsid w:val="00AA56F6"/>
    <w:rsid w:val="00AA6AC8"/>
    <w:rsid w:val="00AA6E87"/>
    <w:rsid w:val="00AA7398"/>
    <w:rsid w:val="00AA7C4B"/>
    <w:rsid w:val="00AB0F4A"/>
    <w:rsid w:val="00AB1209"/>
    <w:rsid w:val="00AB1448"/>
    <w:rsid w:val="00AB17B0"/>
    <w:rsid w:val="00AB201C"/>
    <w:rsid w:val="00AB263B"/>
    <w:rsid w:val="00AB2D0D"/>
    <w:rsid w:val="00AB2FB0"/>
    <w:rsid w:val="00AB399B"/>
    <w:rsid w:val="00AB3A22"/>
    <w:rsid w:val="00AB44E6"/>
    <w:rsid w:val="00AB6324"/>
    <w:rsid w:val="00AB6AF9"/>
    <w:rsid w:val="00AB795C"/>
    <w:rsid w:val="00AC0513"/>
    <w:rsid w:val="00AC05E0"/>
    <w:rsid w:val="00AC0A50"/>
    <w:rsid w:val="00AC0C48"/>
    <w:rsid w:val="00AC0D42"/>
    <w:rsid w:val="00AC0ED9"/>
    <w:rsid w:val="00AC12E0"/>
    <w:rsid w:val="00AC16C3"/>
    <w:rsid w:val="00AC194A"/>
    <w:rsid w:val="00AC3883"/>
    <w:rsid w:val="00AC3FA4"/>
    <w:rsid w:val="00AC41F5"/>
    <w:rsid w:val="00AC457C"/>
    <w:rsid w:val="00AC5342"/>
    <w:rsid w:val="00AC6295"/>
    <w:rsid w:val="00AC635C"/>
    <w:rsid w:val="00AC643F"/>
    <w:rsid w:val="00AC7009"/>
    <w:rsid w:val="00AC735B"/>
    <w:rsid w:val="00AC7601"/>
    <w:rsid w:val="00AC7783"/>
    <w:rsid w:val="00AC77B9"/>
    <w:rsid w:val="00AD0280"/>
    <w:rsid w:val="00AD044B"/>
    <w:rsid w:val="00AD0EB8"/>
    <w:rsid w:val="00AD135C"/>
    <w:rsid w:val="00AD1DA6"/>
    <w:rsid w:val="00AD1E44"/>
    <w:rsid w:val="00AD1F87"/>
    <w:rsid w:val="00AD2178"/>
    <w:rsid w:val="00AD2D53"/>
    <w:rsid w:val="00AD3590"/>
    <w:rsid w:val="00AD3ED5"/>
    <w:rsid w:val="00AD447A"/>
    <w:rsid w:val="00AD44F2"/>
    <w:rsid w:val="00AD49BA"/>
    <w:rsid w:val="00AD4AA2"/>
    <w:rsid w:val="00AD4E04"/>
    <w:rsid w:val="00AD5024"/>
    <w:rsid w:val="00AD5ED5"/>
    <w:rsid w:val="00AD5FBF"/>
    <w:rsid w:val="00AD605C"/>
    <w:rsid w:val="00AD656B"/>
    <w:rsid w:val="00AD6BCD"/>
    <w:rsid w:val="00AD6CFB"/>
    <w:rsid w:val="00AD71B2"/>
    <w:rsid w:val="00AE0E33"/>
    <w:rsid w:val="00AE143B"/>
    <w:rsid w:val="00AE20E7"/>
    <w:rsid w:val="00AE2268"/>
    <w:rsid w:val="00AE24B9"/>
    <w:rsid w:val="00AE2BFB"/>
    <w:rsid w:val="00AE2C59"/>
    <w:rsid w:val="00AE3089"/>
    <w:rsid w:val="00AE3214"/>
    <w:rsid w:val="00AE3491"/>
    <w:rsid w:val="00AE37FA"/>
    <w:rsid w:val="00AE390B"/>
    <w:rsid w:val="00AE4535"/>
    <w:rsid w:val="00AE5000"/>
    <w:rsid w:val="00AE7C12"/>
    <w:rsid w:val="00AF0C8B"/>
    <w:rsid w:val="00AF0FBC"/>
    <w:rsid w:val="00AF1026"/>
    <w:rsid w:val="00AF11A7"/>
    <w:rsid w:val="00AF1298"/>
    <w:rsid w:val="00AF1359"/>
    <w:rsid w:val="00AF23B1"/>
    <w:rsid w:val="00AF26B3"/>
    <w:rsid w:val="00AF2AFC"/>
    <w:rsid w:val="00AF2C70"/>
    <w:rsid w:val="00AF2E86"/>
    <w:rsid w:val="00AF3A78"/>
    <w:rsid w:val="00AF3ADC"/>
    <w:rsid w:val="00AF4200"/>
    <w:rsid w:val="00AF4480"/>
    <w:rsid w:val="00AF665B"/>
    <w:rsid w:val="00B00DA9"/>
    <w:rsid w:val="00B01293"/>
    <w:rsid w:val="00B013AF"/>
    <w:rsid w:val="00B017CE"/>
    <w:rsid w:val="00B01A58"/>
    <w:rsid w:val="00B01F1E"/>
    <w:rsid w:val="00B0226B"/>
    <w:rsid w:val="00B02530"/>
    <w:rsid w:val="00B02A57"/>
    <w:rsid w:val="00B02AC1"/>
    <w:rsid w:val="00B02BC4"/>
    <w:rsid w:val="00B03124"/>
    <w:rsid w:val="00B035F4"/>
    <w:rsid w:val="00B037AE"/>
    <w:rsid w:val="00B03A10"/>
    <w:rsid w:val="00B04554"/>
    <w:rsid w:val="00B04907"/>
    <w:rsid w:val="00B04B85"/>
    <w:rsid w:val="00B04D44"/>
    <w:rsid w:val="00B04E03"/>
    <w:rsid w:val="00B058BC"/>
    <w:rsid w:val="00B0661B"/>
    <w:rsid w:val="00B06979"/>
    <w:rsid w:val="00B06C5D"/>
    <w:rsid w:val="00B06DFE"/>
    <w:rsid w:val="00B07E87"/>
    <w:rsid w:val="00B100DA"/>
    <w:rsid w:val="00B108A5"/>
    <w:rsid w:val="00B109ED"/>
    <w:rsid w:val="00B10BF2"/>
    <w:rsid w:val="00B11106"/>
    <w:rsid w:val="00B1265D"/>
    <w:rsid w:val="00B12715"/>
    <w:rsid w:val="00B128FD"/>
    <w:rsid w:val="00B12CB1"/>
    <w:rsid w:val="00B12CC1"/>
    <w:rsid w:val="00B12D3E"/>
    <w:rsid w:val="00B12F1F"/>
    <w:rsid w:val="00B12F49"/>
    <w:rsid w:val="00B137E1"/>
    <w:rsid w:val="00B13DEC"/>
    <w:rsid w:val="00B143D0"/>
    <w:rsid w:val="00B15572"/>
    <w:rsid w:val="00B1590E"/>
    <w:rsid w:val="00B164C4"/>
    <w:rsid w:val="00B16AC9"/>
    <w:rsid w:val="00B176C6"/>
    <w:rsid w:val="00B203D1"/>
    <w:rsid w:val="00B20705"/>
    <w:rsid w:val="00B20BAA"/>
    <w:rsid w:val="00B20E11"/>
    <w:rsid w:val="00B211B4"/>
    <w:rsid w:val="00B213AB"/>
    <w:rsid w:val="00B21437"/>
    <w:rsid w:val="00B21DB3"/>
    <w:rsid w:val="00B22BC0"/>
    <w:rsid w:val="00B2318C"/>
    <w:rsid w:val="00B23ABC"/>
    <w:rsid w:val="00B23AF4"/>
    <w:rsid w:val="00B24268"/>
    <w:rsid w:val="00B24414"/>
    <w:rsid w:val="00B256F7"/>
    <w:rsid w:val="00B261C5"/>
    <w:rsid w:val="00B270CC"/>
    <w:rsid w:val="00B2738C"/>
    <w:rsid w:val="00B27A85"/>
    <w:rsid w:val="00B27E2A"/>
    <w:rsid w:val="00B30395"/>
    <w:rsid w:val="00B304C3"/>
    <w:rsid w:val="00B30647"/>
    <w:rsid w:val="00B31094"/>
    <w:rsid w:val="00B317E4"/>
    <w:rsid w:val="00B32227"/>
    <w:rsid w:val="00B32693"/>
    <w:rsid w:val="00B32845"/>
    <w:rsid w:val="00B33191"/>
    <w:rsid w:val="00B33346"/>
    <w:rsid w:val="00B33DA4"/>
    <w:rsid w:val="00B34523"/>
    <w:rsid w:val="00B3522D"/>
    <w:rsid w:val="00B3546F"/>
    <w:rsid w:val="00B35B08"/>
    <w:rsid w:val="00B35C39"/>
    <w:rsid w:val="00B362C3"/>
    <w:rsid w:val="00B3691D"/>
    <w:rsid w:val="00B3699A"/>
    <w:rsid w:val="00B369D0"/>
    <w:rsid w:val="00B369E0"/>
    <w:rsid w:val="00B379B1"/>
    <w:rsid w:val="00B40129"/>
    <w:rsid w:val="00B40315"/>
    <w:rsid w:val="00B4115A"/>
    <w:rsid w:val="00B4115C"/>
    <w:rsid w:val="00B4147F"/>
    <w:rsid w:val="00B414C4"/>
    <w:rsid w:val="00B43624"/>
    <w:rsid w:val="00B43D47"/>
    <w:rsid w:val="00B44163"/>
    <w:rsid w:val="00B4475C"/>
    <w:rsid w:val="00B44F0A"/>
    <w:rsid w:val="00B45A4F"/>
    <w:rsid w:val="00B45D18"/>
    <w:rsid w:val="00B473D1"/>
    <w:rsid w:val="00B477DA"/>
    <w:rsid w:val="00B47FE7"/>
    <w:rsid w:val="00B506F4"/>
    <w:rsid w:val="00B50C5E"/>
    <w:rsid w:val="00B51654"/>
    <w:rsid w:val="00B5170F"/>
    <w:rsid w:val="00B518C1"/>
    <w:rsid w:val="00B526E2"/>
    <w:rsid w:val="00B52F7C"/>
    <w:rsid w:val="00B5332B"/>
    <w:rsid w:val="00B53AD7"/>
    <w:rsid w:val="00B53D96"/>
    <w:rsid w:val="00B53F8F"/>
    <w:rsid w:val="00B548D2"/>
    <w:rsid w:val="00B5525B"/>
    <w:rsid w:val="00B552ED"/>
    <w:rsid w:val="00B554B7"/>
    <w:rsid w:val="00B556F3"/>
    <w:rsid w:val="00B56D60"/>
    <w:rsid w:val="00B572EA"/>
    <w:rsid w:val="00B60AA9"/>
    <w:rsid w:val="00B60CF1"/>
    <w:rsid w:val="00B6192D"/>
    <w:rsid w:val="00B623EC"/>
    <w:rsid w:val="00B62547"/>
    <w:rsid w:val="00B62AF8"/>
    <w:rsid w:val="00B6306B"/>
    <w:rsid w:val="00B63774"/>
    <w:rsid w:val="00B63912"/>
    <w:rsid w:val="00B63A4C"/>
    <w:rsid w:val="00B63E28"/>
    <w:rsid w:val="00B64644"/>
    <w:rsid w:val="00B64A58"/>
    <w:rsid w:val="00B64A99"/>
    <w:rsid w:val="00B650BE"/>
    <w:rsid w:val="00B657CB"/>
    <w:rsid w:val="00B658B8"/>
    <w:rsid w:val="00B65B68"/>
    <w:rsid w:val="00B65FF9"/>
    <w:rsid w:val="00B6658D"/>
    <w:rsid w:val="00B67431"/>
    <w:rsid w:val="00B67C9A"/>
    <w:rsid w:val="00B7023E"/>
    <w:rsid w:val="00B70BF9"/>
    <w:rsid w:val="00B72088"/>
    <w:rsid w:val="00B7216F"/>
    <w:rsid w:val="00B723BE"/>
    <w:rsid w:val="00B7288A"/>
    <w:rsid w:val="00B72E39"/>
    <w:rsid w:val="00B73105"/>
    <w:rsid w:val="00B7358F"/>
    <w:rsid w:val="00B73E1E"/>
    <w:rsid w:val="00B74655"/>
    <w:rsid w:val="00B748CB"/>
    <w:rsid w:val="00B74976"/>
    <w:rsid w:val="00B74C6D"/>
    <w:rsid w:val="00B74DC7"/>
    <w:rsid w:val="00B768B2"/>
    <w:rsid w:val="00B76AC1"/>
    <w:rsid w:val="00B801DA"/>
    <w:rsid w:val="00B809BE"/>
    <w:rsid w:val="00B81108"/>
    <w:rsid w:val="00B81F6D"/>
    <w:rsid w:val="00B82705"/>
    <w:rsid w:val="00B827FA"/>
    <w:rsid w:val="00B832DF"/>
    <w:rsid w:val="00B834F4"/>
    <w:rsid w:val="00B83873"/>
    <w:rsid w:val="00B8478B"/>
    <w:rsid w:val="00B84874"/>
    <w:rsid w:val="00B84CE4"/>
    <w:rsid w:val="00B84D33"/>
    <w:rsid w:val="00B85084"/>
    <w:rsid w:val="00B853E0"/>
    <w:rsid w:val="00B85825"/>
    <w:rsid w:val="00B858B5"/>
    <w:rsid w:val="00B85A53"/>
    <w:rsid w:val="00B86286"/>
    <w:rsid w:val="00B8637D"/>
    <w:rsid w:val="00B86796"/>
    <w:rsid w:val="00B87A35"/>
    <w:rsid w:val="00B9008D"/>
    <w:rsid w:val="00B90642"/>
    <w:rsid w:val="00B9079F"/>
    <w:rsid w:val="00B90B45"/>
    <w:rsid w:val="00B91AC5"/>
    <w:rsid w:val="00B91BA5"/>
    <w:rsid w:val="00B91E0B"/>
    <w:rsid w:val="00B92022"/>
    <w:rsid w:val="00B9247A"/>
    <w:rsid w:val="00B9285B"/>
    <w:rsid w:val="00B9293D"/>
    <w:rsid w:val="00B92E74"/>
    <w:rsid w:val="00B932B1"/>
    <w:rsid w:val="00B9358D"/>
    <w:rsid w:val="00B936B0"/>
    <w:rsid w:val="00B938A5"/>
    <w:rsid w:val="00B93B99"/>
    <w:rsid w:val="00B946D0"/>
    <w:rsid w:val="00B94DDD"/>
    <w:rsid w:val="00B953E2"/>
    <w:rsid w:val="00B959B0"/>
    <w:rsid w:val="00B95D13"/>
    <w:rsid w:val="00B961F5"/>
    <w:rsid w:val="00B966C7"/>
    <w:rsid w:val="00B96ED7"/>
    <w:rsid w:val="00B973FA"/>
    <w:rsid w:val="00B97C08"/>
    <w:rsid w:val="00B9D9ED"/>
    <w:rsid w:val="00BA109E"/>
    <w:rsid w:val="00BA1D88"/>
    <w:rsid w:val="00BA24A1"/>
    <w:rsid w:val="00BA2CA7"/>
    <w:rsid w:val="00BA310C"/>
    <w:rsid w:val="00BA335D"/>
    <w:rsid w:val="00BA3E23"/>
    <w:rsid w:val="00BA3F98"/>
    <w:rsid w:val="00BA4493"/>
    <w:rsid w:val="00BA48E1"/>
    <w:rsid w:val="00BA4BD0"/>
    <w:rsid w:val="00BA4EBD"/>
    <w:rsid w:val="00BA4F1A"/>
    <w:rsid w:val="00BA54C0"/>
    <w:rsid w:val="00BA5E09"/>
    <w:rsid w:val="00BA621A"/>
    <w:rsid w:val="00BA629D"/>
    <w:rsid w:val="00BA6845"/>
    <w:rsid w:val="00BA6B22"/>
    <w:rsid w:val="00BA6CED"/>
    <w:rsid w:val="00BA7277"/>
    <w:rsid w:val="00BA74C3"/>
    <w:rsid w:val="00BA7630"/>
    <w:rsid w:val="00BA7F64"/>
    <w:rsid w:val="00BB2A05"/>
    <w:rsid w:val="00BB2D15"/>
    <w:rsid w:val="00BB3107"/>
    <w:rsid w:val="00BB3EE4"/>
    <w:rsid w:val="00BB444C"/>
    <w:rsid w:val="00BB4F49"/>
    <w:rsid w:val="00BB4FE1"/>
    <w:rsid w:val="00BB5262"/>
    <w:rsid w:val="00BB5473"/>
    <w:rsid w:val="00BB573D"/>
    <w:rsid w:val="00BB5B12"/>
    <w:rsid w:val="00BB5CC5"/>
    <w:rsid w:val="00BB62B7"/>
    <w:rsid w:val="00BB67EA"/>
    <w:rsid w:val="00BB684D"/>
    <w:rsid w:val="00BB75E3"/>
    <w:rsid w:val="00BC0112"/>
    <w:rsid w:val="00BC0884"/>
    <w:rsid w:val="00BC102C"/>
    <w:rsid w:val="00BC1095"/>
    <w:rsid w:val="00BC187C"/>
    <w:rsid w:val="00BC19CB"/>
    <w:rsid w:val="00BC1C0E"/>
    <w:rsid w:val="00BC1CB3"/>
    <w:rsid w:val="00BC1F52"/>
    <w:rsid w:val="00BC2174"/>
    <w:rsid w:val="00BC2984"/>
    <w:rsid w:val="00BC2B40"/>
    <w:rsid w:val="00BC2FBE"/>
    <w:rsid w:val="00BC3116"/>
    <w:rsid w:val="00BC3714"/>
    <w:rsid w:val="00BC38F2"/>
    <w:rsid w:val="00BC3B22"/>
    <w:rsid w:val="00BC3D9A"/>
    <w:rsid w:val="00BC3E75"/>
    <w:rsid w:val="00BC41F2"/>
    <w:rsid w:val="00BC454D"/>
    <w:rsid w:val="00BC482A"/>
    <w:rsid w:val="00BC4872"/>
    <w:rsid w:val="00BC53A7"/>
    <w:rsid w:val="00BC5783"/>
    <w:rsid w:val="00BC622B"/>
    <w:rsid w:val="00BC6D51"/>
    <w:rsid w:val="00BC70F6"/>
    <w:rsid w:val="00BC739F"/>
    <w:rsid w:val="00BC7BF4"/>
    <w:rsid w:val="00BC7D01"/>
    <w:rsid w:val="00BC7D13"/>
    <w:rsid w:val="00BD0396"/>
    <w:rsid w:val="00BD03A1"/>
    <w:rsid w:val="00BD0671"/>
    <w:rsid w:val="00BD0ACF"/>
    <w:rsid w:val="00BD0D1F"/>
    <w:rsid w:val="00BD0E2B"/>
    <w:rsid w:val="00BD0FE6"/>
    <w:rsid w:val="00BD1407"/>
    <w:rsid w:val="00BD1BCD"/>
    <w:rsid w:val="00BD1D43"/>
    <w:rsid w:val="00BD28C9"/>
    <w:rsid w:val="00BD2A05"/>
    <w:rsid w:val="00BD2AE5"/>
    <w:rsid w:val="00BD36C6"/>
    <w:rsid w:val="00BD37D5"/>
    <w:rsid w:val="00BD384B"/>
    <w:rsid w:val="00BD3890"/>
    <w:rsid w:val="00BD3DD2"/>
    <w:rsid w:val="00BD4939"/>
    <w:rsid w:val="00BD4FB7"/>
    <w:rsid w:val="00BD5CD9"/>
    <w:rsid w:val="00BD60E3"/>
    <w:rsid w:val="00BD6E8D"/>
    <w:rsid w:val="00BD7C6A"/>
    <w:rsid w:val="00BE0033"/>
    <w:rsid w:val="00BE0579"/>
    <w:rsid w:val="00BE0F54"/>
    <w:rsid w:val="00BE14F2"/>
    <w:rsid w:val="00BE173B"/>
    <w:rsid w:val="00BE17B8"/>
    <w:rsid w:val="00BE1A41"/>
    <w:rsid w:val="00BE1D37"/>
    <w:rsid w:val="00BE1DB6"/>
    <w:rsid w:val="00BE1E84"/>
    <w:rsid w:val="00BE1EBE"/>
    <w:rsid w:val="00BE29EF"/>
    <w:rsid w:val="00BE2A7B"/>
    <w:rsid w:val="00BE3745"/>
    <w:rsid w:val="00BE42F0"/>
    <w:rsid w:val="00BE4511"/>
    <w:rsid w:val="00BE4779"/>
    <w:rsid w:val="00BE4DEE"/>
    <w:rsid w:val="00BE5634"/>
    <w:rsid w:val="00BE5714"/>
    <w:rsid w:val="00BE577B"/>
    <w:rsid w:val="00BE65D3"/>
    <w:rsid w:val="00BE75D0"/>
    <w:rsid w:val="00BF0E2D"/>
    <w:rsid w:val="00BF138C"/>
    <w:rsid w:val="00BF2390"/>
    <w:rsid w:val="00BF2B94"/>
    <w:rsid w:val="00BF337D"/>
    <w:rsid w:val="00BF3C54"/>
    <w:rsid w:val="00BF3CB8"/>
    <w:rsid w:val="00BF41C5"/>
    <w:rsid w:val="00BF474C"/>
    <w:rsid w:val="00BF505F"/>
    <w:rsid w:val="00BF52ED"/>
    <w:rsid w:val="00BF5DA6"/>
    <w:rsid w:val="00BF67D8"/>
    <w:rsid w:val="00BF6DFB"/>
    <w:rsid w:val="00BF7385"/>
    <w:rsid w:val="00BF7925"/>
    <w:rsid w:val="00C014B1"/>
    <w:rsid w:val="00C01546"/>
    <w:rsid w:val="00C01645"/>
    <w:rsid w:val="00C01825"/>
    <w:rsid w:val="00C01918"/>
    <w:rsid w:val="00C020FB"/>
    <w:rsid w:val="00C0216F"/>
    <w:rsid w:val="00C0221B"/>
    <w:rsid w:val="00C0268E"/>
    <w:rsid w:val="00C02A16"/>
    <w:rsid w:val="00C0360F"/>
    <w:rsid w:val="00C04643"/>
    <w:rsid w:val="00C046B9"/>
    <w:rsid w:val="00C04D70"/>
    <w:rsid w:val="00C04E8C"/>
    <w:rsid w:val="00C051DE"/>
    <w:rsid w:val="00C05753"/>
    <w:rsid w:val="00C05804"/>
    <w:rsid w:val="00C05B96"/>
    <w:rsid w:val="00C05C6A"/>
    <w:rsid w:val="00C06E82"/>
    <w:rsid w:val="00C0722F"/>
    <w:rsid w:val="00C106FA"/>
    <w:rsid w:val="00C109C1"/>
    <w:rsid w:val="00C10D06"/>
    <w:rsid w:val="00C11F28"/>
    <w:rsid w:val="00C124AB"/>
    <w:rsid w:val="00C12874"/>
    <w:rsid w:val="00C12C6A"/>
    <w:rsid w:val="00C12D5C"/>
    <w:rsid w:val="00C12D78"/>
    <w:rsid w:val="00C1368D"/>
    <w:rsid w:val="00C146BB"/>
    <w:rsid w:val="00C14FF5"/>
    <w:rsid w:val="00C15111"/>
    <w:rsid w:val="00C153F8"/>
    <w:rsid w:val="00C15837"/>
    <w:rsid w:val="00C158FC"/>
    <w:rsid w:val="00C17514"/>
    <w:rsid w:val="00C17835"/>
    <w:rsid w:val="00C17D91"/>
    <w:rsid w:val="00C1A720"/>
    <w:rsid w:val="00C202DA"/>
    <w:rsid w:val="00C20498"/>
    <w:rsid w:val="00C20E97"/>
    <w:rsid w:val="00C21AA1"/>
    <w:rsid w:val="00C21B79"/>
    <w:rsid w:val="00C21E1F"/>
    <w:rsid w:val="00C21ED9"/>
    <w:rsid w:val="00C2218B"/>
    <w:rsid w:val="00C223B4"/>
    <w:rsid w:val="00C22558"/>
    <w:rsid w:val="00C230F8"/>
    <w:rsid w:val="00C23436"/>
    <w:rsid w:val="00C25124"/>
    <w:rsid w:val="00C25302"/>
    <w:rsid w:val="00C25649"/>
    <w:rsid w:val="00C25CAB"/>
    <w:rsid w:val="00C263EB"/>
    <w:rsid w:val="00C2701C"/>
    <w:rsid w:val="00C27D57"/>
    <w:rsid w:val="00C304A5"/>
    <w:rsid w:val="00C3067F"/>
    <w:rsid w:val="00C30BE8"/>
    <w:rsid w:val="00C30C3B"/>
    <w:rsid w:val="00C31910"/>
    <w:rsid w:val="00C31FB7"/>
    <w:rsid w:val="00C323A2"/>
    <w:rsid w:val="00C32909"/>
    <w:rsid w:val="00C32AA1"/>
    <w:rsid w:val="00C32EC0"/>
    <w:rsid w:val="00C334D8"/>
    <w:rsid w:val="00C334E7"/>
    <w:rsid w:val="00C33560"/>
    <w:rsid w:val="00C33B0B"/>
    <w:rsid w:val="00C34504"/>
    <w:rsid w:val="00C3477E"/>
    <w:rsid w:val="00C352AA"/>
    <w:rsid w:val="00C354DF"/>
    <w:rsid w:val="00C355B8"/>
    <w:rsid w:val="00C35816"/>
    <w:rsid w:val="00C358EB"/>
    <w:rsid w:val="00C35D06"/>
    <w:rsid w:val="00C35D8D"/>
    <w:rsid w:val="00C35EFE"/>
    <w:rsid w:val="00C36D07"/>
    <w:rsid w:val="00C36E57"/>
    <w:rsid w:val="00C36F15"/>
    <w:rsid w:val="00C37B41"/>
    <w:rsid w:val="00C40466"/>
    <w:rsid w:val="00C40614"/>
    <w:rsid w:val="00C40EA8"/>
    <w:rsid w:val="00C4106D"/>
    <w:rsid w:val="00C413A5"/>
    <w:rsid w:val="00C41801"/>
    <w:rsid w:val="00C41A2E"/>
    <w:rsid w:val="00C428BF"/>
    <w:rsid w:val="00C42D5F"/>
    <w:rsid w:val="00C4346E"/>
    <w:rsid w:val="00C4375E"/>
    <w:rsid w:val="00C4384B"/>
    <w:rsid w:val="00C439DA"/>
    <w:rsid w:val="00C4406E"/>
    <w:rsid w:val="00C44583"/>
    <w:rsid w:val="00C453A6"/>
    <w:rsid w:val="00C45660"/>
    <w:rsid w:val="00C45EA0"/>
    <w:rsid w:val="00C4617E"/>
    <w:rsid w:val="00C461F9"/>
    <w:rsid w:val="00C4644A"/>
    <w:rsid w:val="00C4657F"/>
    <w:rsid w:val="00C467C1"/>
    <w:rsid w:val="00C47238"/>
    <w:rsid w:val="00C4789E"/>
    <w:rsid w:val="00C478E9"/>
    <w:rsid w:val="00C47F5D"/>
    <w:rsid w:val="00C505BD"/>
    <w:rsid w:val="00C506C9"/>
    <w:rsid w:val="00C50A24"/>
    <w:rsid w:val="00C50EE8"/>
    <w:rsid w:val="00C51417"/>
    <w:rsid w:val="00C515AD"/>
    <w:rsid w:val="00C519FF"/>
    <w:rsid w:val="00C52315"/>
    <w:rsid w:val="00C5259D"/>
    <w:rsid w:val="00C52906"/>
    <w:rsid w:val="00C52AF5"/>
    <w:rsid w:val="00C52C85"/>
    <w:rsid w:val="00C52E83"/>
    <w:rsid w:val="00C53CA4"/>
    <w:rsid w:val="00C54CB5"/>
    <w:rsid w:val="00C5508D"/>
    <w:rsid w:val="00C55436"/>
    <w:rsid w:val="00C5546B"/>
    <w:rsid w:val="00C568D8"/>
    <w:rsid w:val="00C56D80"/>
    <w:rsid w:val="00C5788A"/>
    <w:rsid w:val="00C57C96"/>
    <w:rsid w:val="00C57CD1"/>
    <w:rsid w:val="00C57F37"/>
    <w:rsid w:val="00C600C3"/>
    <w:rsid w:val="00C60270"/>
    <w:rsid w:val="00C604E4"/>
    <w:rsid w:val="00C6085A"/>
    <w:rsid w:val="00C62266"/>
    <w:rsid w:val="00C6290E"/>
    <w:rsid w:val="00C62F09"/>
    <w:rsid w:val="00C632E2"/>
    <w:rsid w:val="00C6384B"/>
    <w:rsid w:val="00C63A7A"/>
    <w:rsid w:val="00C64007"/>
    <w:rsid w:val="00C642AB"/>
    <w:rsid w:val="00C64912"/>
    <w:rsid w:val="00C64C22"/>
    <w:rsid w:val="00C64E6D"/>
    <w:rsid w:val="00C64FDE"/>
    <w:rsid w:val="00C654BA"/>
    <w:rsid w:val="00C6642C"/>
    <w:rsid w:val="00C66C37"/>
    <w:rsid w:val="00C6756A"/>
    <w:rsid w:val="00C67AC2"/>
    <w:rsid w:val="00C67CAC"/>
    <w:rsid w:val="00C6F676"/>
    <w:rsid w:val="00C7045B"/>
    <w:rsid w:val="00C70567"/>
    <w:rsid w:val="00C70762"/>
    <w:rsid w:val="00C7181A"/>
    <w:rsid w:val="00C7210A"/>
    <w:rsid w:val="00C73246"/>
    <w:rsid w:val="00C732F4"/>
    <w:rsid w:val="00C7407F"/>
    <w:rsid w:val="00C742AA"/>
    <w:rsid w:val="00C742B0"/>
    <w:rsid w:val="00C7452B"/>
    <w:rsid w:val="00C748CA"/>
    <w:rsid w:val="00C74BE6"/>
    <w:rsid w:val="00C74F0A"/>
    <w:rsid w:val="00C7542A"/>
    <w:rsid w:val="00C75D3E"/>
    <w:rsid w:val="00C75E75"/>
    <w:rsid w:val="00C75EB4"/>
    <w:rsid w:val="00C75F3E"/>
    <w:rsid w:val="00C762F4"/>
    <w:rsid w:val="00C76526"/>
    <w:rsid w:val="00C76A44"/>
    <w:rsid w:val="00C76AA8"/>
    <w:rsid w:val="00C772B8"/>
    <w:rsid w:val="00C77459"/>
    <w:rsid w:val="00C775A8"/>
    <w:rsid w:val="00C80420"/>
    <w:rsid w:val="00C80743"/>
    <w:rsid w:val="00C80968"/>
    <w:rsid w:val="00C816AE"/>
    <w:rsid w:val="00C81861"/>
    <w:rsid w:val="00C8188E"/>
    <w:rsid w:val="00C818FE"/>
    <w:rsid w:val="00C81F20"/>
    <w:rsid w:val="00C8230C"/>
    <w:rsid w:val="00C82898"/>
    <w:rsid w:val="00C82B57"/>
    <w:rsid w:val="00C82CBA"/>
    <w:rsid w:val="00C82D8F"/>
    <w:rsid w:val="00C839B1"/>
    <w:rsid w:val="00C843B3"/>
    <w:rsid w:val="00C843FC"/>
    <w:rsid w:val="00C85996"/>
    <w:rsid w:val="00C85DF1"/>
    <w:rsid w:val="00C85FB2"/>
    <w:rsid w:val="00C866B0"/>
    <w:rsid w:val="00C86CD0"/>
    <w:rsid w:val="00C86D7D"/>
    <w:rsid w:val="00C86DCB"/>
    <w:rsid w:val="00C86F29"/>
    <w:rsid w:val="00C87166"/>
    <w:rsid w:val="00C87979"/>
    <w:rsid w:val="00C91C08"/>
    <w:rsid w:val="00C91D91"/>
    <w:rsid w:val="00C92005"/>
    <w:rsid w:val="00C92030"/>
    <w:rsid w:val="00C92C99"/>
    <w:rsid w:val="00C92E12"/>
    <w:rsid w:val="00C9327C"/>
    <w:rsid w:val="00C9329D"/>
    <w:rsid w:val="00C93BD1"/>
    <w:rsid w:val="00C93F12"/>
    <w:rsid w:val="00C94D0A"/>
    <w:rsid w:val="00C94D76"/>
    <w:rsid w:val="00C95141"/>
    <w:rsid w:val="00C9636E"/>
    <w:rsid w:val="00C96613"/>
    <w:rsid w:val="00C96B08"/>
    <w:rsid w:val="00C974C8"/>
    <w:rsid w:val="00C978B0"/>
    <w:rsid w:val="00C97E0E"/>
    <w:rsid w:val="00CA0675"/>
    <w:rsid w:val="00CA08E8"/>
    <w:rsid w:val="00CA0BCE"/>
    <w:rsid w:val="00CA1661"/>
    <w:rsid w:val="00CA1B07"/>
    <w:rsid w:val="00CA2133"/>
    <w:rsid w:val="00CA238C"/>
    <w:rsid w:val="00CA31FF"/>
    <w:rsid w:val="00CA35D8"/>
    <w:rsid w:val="00CA3901"/>
    <w:rsid w:val="00CA3F6F"/>
    <w:rsid w:val="00CA51B2"/>
    <w:rsid w:val="00CA5201"/>
    <w:rsid w:val="00CA57D1"/>
    <w:rsid w:val="00CA57DA"/>
    <w:rsid w:val="00CA5B5F"/>
    <w:rsid w:val="00CA6021"/>
    <w:rsid w:val="00CA617D"/>
    <w:rsid w:val="00CA6226"/>
    <w:rsid w:val="00CA6F39"/>
    <w:rsid w:val="00CA7123"/>
    <w:rsid w:val="00CA74E8"/>
    <w:rsid w:val="00CA79A9"/>
    <w:rsid w:val="00CB0918"/>
    <w:rsid w:val="00CB1AA5"/>
    <w:rsid w:val="00CB208B"/>
    <w:rsid w:val="00CB20C1"/>
    <w:rsid w:val="00CB278F"/>
    <w:rsid w:val="00CB281D"/>
    <w:rsid w:val="00CB2AF2"/>
    <w:rsid w:val="00CB2C46"/>
    <w:rsid w:val="00CB31BC"/>
    <w:rsid w:val="00CB4801"/>
    <w:rsid w:val="00CB4A7A"/>
    <w:rsid w:val="00CB4C99"/>
    <w:rsid w:val="00CB55AE"/>
    <w:rsid w:val="00CB57DA"/>
    <w:rsid w:val="00CB5DFE"/>
    <w:rsid w:val="00CB64E9"/>
    <w:rsid w:val="00CB6A63"/>
    <w:rsid w:val="00CB7A5B"/>
    <w:rsid w:val="00CC0A42"/>
    <w:rsid w:val="00CC0E13"/>
    <w:rsid w:val="00CC0E74"/>
    <w:rsid w:val="00CC10F1"/>
    <w:rsid w:val="00CC110D"/>
    <w:rsid w:val="00CC1B6D"/>
    <w:rsid w:val="00CC1C07"/>
    <w:rsid w:val="00CC1E3B"/>
    <w:rsid w:val="00CC20AB"/>
    <w:rsid w:val="00CC2284"/>
    <w:rsid w:val="00CC2657"/>
    <w:rsid w:val="00CC339A"/>
    <w:rsid w:val="00CC3D22"/>
    <w:rsid w:val="00CC3D74"/>
    <w:rsid w:val="00CC49DC"/>
    <w:rsid w:val="00CC4DA2"/>
    <w:rsid w:val="00CC5254"/>
    <w:rsid w:val="00CC5C91"/>
    <w:rsid w:val="00CC5EA5"/>
    <w:rsid w:val="00CC5F4F"/>
    <w:rsid w:val="00CC66B0"/>
    <w:rsid w:val="00CC6879"/>
    <w:rsid w:val="00CC6EAB"/>
    <w:rsid w:val="00CC6F1F"/>
    <w:rsid w:val="00CC6F2F"/>
    <w:rsid w:val="00CC7A62"/>
    <w:rsid w:val="00CD0093"/>
    <w:rsid w:val="00CD0938"/>
    <w:rsid w:val="00CD0944"/>
    <w:rsid w:val="00CD0A29"/>
    <w:rsid w:val="00CD0BD8"/>
    <w:rsid w:val="00CD14B7"/>
    <w:rsid w:val="00CD172B"/>
    <w:rsid w:val="00CD1B1D"/>
    <w:rsid w:val="00CD27ED"/>
    <w:rsid w:val="00CD2FE4"/>
    <w:rsid w:val="00CD3289"/>
    <w:rsid w:val="00CD3290"/>
    <w:rsid w:val="00CD333F"/>
    <w:rsid w:val="00CD3532"/>
    <w:rsid w:val="00CD3978"/>
    <w:rsid w:val="00CD4244"/>
    <w:rsid w:val="00CD4B77"/>
    <w:rsid w:val="00CD4C29"/>
    <w:rsid w:val="00CD4E23"/>
    <w:rsid w:val="00CD5F04"/>
    <w:rsid w:val="00CD64C6"/>
    <w:rsid w:val="00CD6839"/>
    <w:rsid w:val="00CD6862"/>
    <w:rsid w:val="00CD696B"/>
    <w:rsid w:val="00CD6A03"/>
    <w:rsid w:val="00CD7B4E"/>
    <w:rsid w:val="00CE0938"/>
    <w:rsid w:val="00CE15A6"/>
    <w:rsid w:val="00CE1C84"/>
    <w:rsid w:val="00CE2148"/>
    <w:rsid w:val="00CE2C13"/>
    <w:rsid w:val="00CE2C6D"/>
    <w:rsid w:val="00CE2E67"/>
    <w:rsid w:val="00CE3967"/>
    <w:rsid w:val="00CE3AA0"/>
    <w:rsid w:val="00CE41F6"/>
    <w:rsid w:val="00CE45BD"/>
    <w:rsid w:val="00CE47EE"/>
    <w:rsid w:val="00CE4E06"/>
    <w:rsid w:val="00CE57D1"/>
    <w:rsid w:val="00CE594F"/>
    <w:rsid w:val="00CE5992"/>
    <w:rsid w:val="00CE5AD6"/>
    <w:rsid w:val="00CE5EF2"/>
    <w:rsid w:val="00CE65EF"/>
    <w:rsid w:val="00CE6B61"/>
    <w:rsid w:val="00CE747A"/>
    <w:rsid w:val="00CE7662"/>
    <w:rsid w:val="00CE7CA0"/>
    <w:rsid w:val="00CF0133"/>
    <w:rsid w:val="00CF03FE"/>
    <w:rsid w:val="00CF0717"/>
    <w:rsid w:val="00CF11A3"/>
    <w:rsid w:val="00CF131C"/>
    <w:rsid w:val="00CF169A"/>
    <w:rsid w:val="00CF1A3A"/>
    <w:rsid w:val="00CF2E69"/>
    <w:rsid w:val="00CF3052"/>
    <w:rsid w:val="00CF422D"/>
    <w:rsid w:val="00CF54E8"/>
    <w:rsid w:val="00CF5580"/>
    <w:rsid w:val="00CF6260"/>
    <w:rsid w:val="00CF6A88"/>
    <w:rsid w:val="00CF6BDF"/>
    <w:rsid w:val="00CF6EF5"/>
    <w:rsid w:val="00CF7D15"/>
    <w:rsid w:val="00CF7FBE"/>
    <w:rsid w:val="00D00038"/>
    <w:rsid w:val="00D0012B"/>
    <w:rsid w:val="00D00227"/>
    <w:rsid w:val="00D00562"/>
    <w:rsid w:val="00D00BCA"/>
    <w:rsid w:val="00D015EC"/>
    <w:rsid w:val="00D017AE"/>
    <w:rsid w:val="00D01A2E"/>
    <w:rsid w:val="00D020F0"/>
    <w:rsid w:val="00D02386"/>
    <w:rsid w:val="00D0278C"/>
    <w:rsid w:val="00D03381"/>
    <w:rsid w:val="00D03578"/>
    <w:rsid w:val="00D036E3"/>
    <w:rsid w:val="00D0415F"/>
    <w:rsid w:val="00D0475D"/>
    <w:rsid w:val="00D049DE"/>
    <w:rsid w:val="00D04DCB"/>
    <w:rsid w:val="00D04E6A"/>
    <w:rsid w:val="00D04F59"/>
    <w:rsid w:val="00D05A84"/>
    <w:rsid w:val="00D05B19"/>
    <w:rsid w:val="00D05D6B"/>
    <w:rsid w:val="00D063B3"/>
    <w:rsid w:val="00D06D0E"/>
    <w:rsid w:val="00D06D8F"/>
    <w:rsid w:val="00D073A0"/>
    <w:rsid w:val="00D079CB"/>
    <w:rsid w:val="00D07FA8"/>
    <w:rsid w:val="00D10292"/>
    <w:rsid w:val="00D10FA4"/>
    <w:rsid w:val="00D11296"/>
    <w:rsid w:val="00D117CD"/>
    <w:rsid w:val="00D11D97"/>
    <w:rsid w:val="00D12436"/>
    <w:rsid w:val="00D127A5"/>
    <w:rsid w:val="00D1354C"/>
    <w:rsid w:val="00D13AD8"/>
    <w:rsid w:val="00D13BDE"/>
    <w:rsid w:val="00D140B7"/>
    <w:rsid w:val="00D14F17"/>
    <w:rsid w:val="00D158E5"/>
    <w:rsid w:val="00D16685"/>
    <w:rsid w:val="00D17274"/>
    <w:rsid w:val="00D17653"/>
    <w:rsid w:val="00D178EA"/>
    <w:rsid w:val="00D17B72"/>
    <w:rsid w:val="00D17C3A"/>
    <w:rsid w:val="00D20019"/>
    <w:rsid w:val="00D20D56"/>
    <w:rsid w:val="00D20EDD"/>
    <w:rsid w:val="00D21048"/>
    <w:rsid w:val="00D23651"/>
    <w:rsid w:val="00D23D70"/>
    <w:rsid w:val="00D250B7"/>
    <w:rsid w:val="00D25391"/>
    <w:rsid w:val="00D2579C"/>
    <w:rsid w:val="00D25DDD"/>
    <w:rsid w:val="00D260B7"/>
    <w:rsid w:val="00D2671B"/>
    <w:rsid w:val="00D26BB5"/>
    <w:rsid w:val="00D27B49"/>
    <w:rsid w:val="00D30AA8"/>
    <w:rsid w:val="00D30BC5"/>
    <w:rsid w:val="00D311DB"/>
    <w:rsid w:val="00D31B38"/>
    <w:rsid w:val="00D31D36"/>
    <w:rsid w:val="00D31E6A"/>
    <w:rsid w:val="00D329BB"/>
    <w:rsid w:val="00D32CA3"/>
    <w:rsid w:val="00D32D29"/>
    <w:rsid w:val="00D337BD"/>
    <w:rsid w:val="00D3457D"/>
    <w:rsid w:val="00D35084"/>
    <w:rsid w:val="00D3597B"/>
    <w:rsid w:val="00D35AA1"/>
    <w:rsid w:val="00D35E01"/>
    <w:rsid w:val="00D36B4F"/>
    <w:rsid w:val="00D37BEC"/>
    <w:rsid w:val="00D37F8F"/>
    <w:rsid w:val="00D40FCA"/>
    <w:rsid w:val="00D41983"/>
    <w:rsid w:val="00D4203B"/>
    <w:rsid w:val="00D4234B"/>
    <w:rsid w:val="00D4295E"/>
    <w:rsid w:val="00D42B58"/>
    <w:rsid w:val="00D43F57"/>
    <w:rsid w:val="00D46795"/>
    <w:rsid w:val="00D46802"/>
    <w:rsid w:val="00D473A6"/>
    <w:rsid w:val="00D478F1"/>
    <w:rsid w:val="00D47BC7"/>
    <w:rsid w:val="00D47C6C"/>
    <w:rsid w:val="00D47D5A"/>
    <w:rsid w:val="00D47DAB"/>
    <w:rsid w:val="00D501AA"/>
    <w:rsid w:val="00D50DAA"/>
    <w:rsid w:val="00D5115F"/>
    <w:rsid w:val="00D526D3"/>
    <w:rsid w:val="00D526DC"/>
    <w:rsid w:val="00D52FEB"/>
    <w:rsid w:val="00D533D6"/>
    <w:rsid w:val="00D53FCB"/>
    <w:rsid w:val="00D54D61"/>
    <w:rsid w:val="00D5563B"/>
    <w:rsid w:val="00D55843"/>
    <w:rsid w:val="00D5588B"/>
    <w:rsid w:val="00D55A07"/>
    <w:rsid w:val="00D55E37"/>
    <w:rsid w:val="00D5628C"/>
    <w:rsid w:val="00D56BDF"/>
    <w:rsid w:val="00D57055"/>
    <w:rsid w:val="00D57C1A"/>
    <w:rsid w:val="00D57F3F"/>
    <w:rsid w:val="00D608E1"/>
    <w:rsid w:val="00D60EC4"/>
    <w:rsid w:val="00D6109E"/>
    <w:rsid w:val="00D61321"/>
    <w:rsid w:val="00D620AB"/>
    <w:rsid w:val="00D627F9"/>
    <w:rsid w:val="00D636E5"/>
    <w:rsid w:val="00D64224"/>
    <w:rsid w:val="00D64F9F"/>
    <w:rsid w:val="00D64FB3"/>
    <w:rsid w:val="00D65090"/>
    <w:rsid w:val="00D652EC"/>
    <w:rsid w:val="00D65E8D"/>
    <w:rsid w:val="00D65FC1"/>
    <w:rsid w:val="00D661A9"/>
    <w:rsid w:val="00D66800"/>
    <w:rsid w:val="00D66B8C"/>
    <w:rsid w:val="00D66E9B"/>
    <w:rsid w:val="00D6703A"/>
    <w:rsid w:val="00D67D9E"/>
    <w:rsid w:val="00D67EB9"/>
    <w:rsid w:val="00D715EE"/>
    <w:rsid w:val="00D722A4"/>
    <w:rsid w:val="00D726F8"/>
    <w:rsid w:val="00D72C3E"/>
    <w:rsid w:val="00D73022"/>
    <w:rsid w:val="00D73621"/>
    <w:rsid w:val="00D73705"/>
    <w:rsid w:val="00D7395B"/>
    <w:rsid w:val="00D73E14"/>
    <w:rsid w:val="00D7420C"/>
    <w:rsid w:val="00D743EC"/>
    <w:rsid w:val="00D747B5"/>
    <w:rsid w:val="00D74831"/>
    <w:rsid w:val="00D74CBA"/>
    <w:rsid w:val="00D74D04"/>
    <w:rsid w:val="00D74E97"/>
    <w:rsid w:val="00D76491"/>
    <w:rsid w:val="00D7665A"/>
    <w:rsid w:val="00D768D1"/>
    <w:rsid w:val="00D7731F"/>
    <w:rsid w:val="00D776E2"/>
    <w:rsid w:val="00D77BE9"/>
    <w:rsid w:val="00D8022E"/>
    <w:rsid w:val="00D828F8"/>
    <w:rsid w:val="00D82CC1"/>
    <w:rsid w:val="00D832A6"/>
    <w:rsid w:val="00D83567"/>
    <w:rsid w:val="00D843F3"/>
    <w:rsid w:val="00D847AF"/>
    <w:rsid w:val="00D847C2"/>
    <w:rsid w:val="00D84EC1"/>
    <w:rsid w:val="00D853AD"/>
    <w:rsid w:val="00D85ABC"/>
    <w:rsid w:val="00D85FDD"/>
    <w:rsid w:val="00D8600D"/>
    <w:rsid w:val="00D8667C"/>
    <w:rsid w:val="00D86916"/>
    <w:rsid w:val="00D86A13"/>
    <w:rsid w:val="00D86AB9"/>
    <w:rsid w:val="00D86CFF"/>
    <w:rsid w:val="00D86F62"/>
    <w:rsid w:val="00D87633"/>
    <w:rsid w:val="00D87874"/>
    <w:rsid w:val="00D879B8"/>
    <w:rsid w:val="00D900CC"/>
    <w:rsid w:val="00D900EF"/>
    <w:rsid w:val="00D90808"/>
    <w:rsid w:val="00D908F6"/>
    <w:rsid w:val="00D90ABE"/>
    <w:rsid w:val="00D912E8"/>
    <w:rsid w:val="00D91339"/>
    <w:rsid w:val="00D913F2"/>
    <w:rsid w:val="00D92374"/>
    <w:rsid w:val="00D92908"/>
    <w:rsid w:val="00D92CCA"/>
    <w:rsid w:val="00D937EA"/>
    <w:rsid w:val="00D942FF"/>
    <w:rsid w:val="00D94A3D"/>
    <w:rsid w:val="00D9529C"/>
    <w:rsid w:val="00D9534F"/>
    <w:rsid w:val="00D95B49"/>
    <w:rsid w:val="00D95C62"/>
    <w:rsid w:val="00D97237"/>
    <w:rsid w:val="00D979B3"/>
    <w:rsid w:val="00D97EE0"/>
    <w:rsid w:val="00DA0803"/>
    <w:rsid w:val="00DA0DBE"/>
    <w:rsid w:val="00DA0E9F"/>
    <w:rsid w:val="00DA2FDF"/>
    <w:rsid w:val="00DA331B"/>
    <w:rsid w:val="00DA3B6C"/>
    <w:rsid w:val="00DA4137"/>
    <w:rsid w:val="00DA46EC"/>
    <w:rsid w:val="00DA477F"/>
    <w:rsid w:val="00DA4C69"/>
    <w:rsid w:val="00DA4E1B"/>
    <w:rsid w:val="00DA5714"/>
    <w:rsid w:val="00DA589A"/>
    <w:rsid w:val="00DA5AAE"/>
    <w:rsid w:val="00DA6023"/>
    <w:rsid w:val="00DA64B2"/>
    <w:rsid w:val="00DA6881"/>
    <w:rsid w:val="00DA783F"/>
    <w:rsid w:val="00DA790A"/>
    <w:rsid w:val="00DB0136"/>
    <w:rsid w:val="00DB01AD"/>
    <w:rsid w:val="00DB0361"/>
    <w:rsid w:val="00DB0688"/>
    <w:rsid w:val="00DB0725"/>
    <w:rsid w:val="00DB15C2"/>
    <w:rsid w:val="00DB18E3"/>
    <w:rsid w:val="00DB22C2"/>
    <w:rsid w:val="00DB2D6B"/>
    <w:rsid w:val="00DB33A3"/>
    <w:rsid w:val="00DB369F"/>
    <w:rsid w:val="00DB3CD4"/>
    <w:rsid w:val="00DB41E3"/>
    <w:rsid w:val="00DB4D2D"/>
    <w:rsid w:val="00DB6CAF"/>
    <w:rsid w:val="00DB71F6"/>
    <w:rsid w:val="00DB730A"/>
    <w:rsid w:val="00DB7394"/>
    <w:rsid w:val="00DB7673"/>
    <w:rsid w:val="00DB78B9"/>
    <w:rsid w:val="00DB7A75"/>
    <w:rsid w:val="00DC0082"/>
    <w:rsid w:val="00DC0907"/>
    <w:rsid w:val="00DC09B8"/>
    <w:rsid w:val="00DC0D60"/>
    <w:rsid w:val="00DC0E66"/>
    <w:rsid w:val="00DC10BA"/>
    <w:rsid w:val="00DC1632"/>
    <w:rsid w:val="00DC1970"/>
    <w:rsid w:val="00DC2022"/>
    <w:rsid w:val="00DC255B"/>
    <w:rsid w:val="00DC2E27"/>
    <w:rsid w:val="00DC30B1"/>
    <w:rsid w:val="00DC354E"/>
    <w:rsid w:val="00DC4451"/>
    <w:rsid w:val="00DC4496"/>
    <w:rsid w:val="00DC4A66"/>
    <w:rsid w:val="00DC5501"/>
    <w:rsid w:val="00DC594B"/>
    <w:rsid w:val="00DC5AB0"/>
    <w:rsid w:val="00DC603B"/>
    <w:rsid w:val="00DC69C7"/>
    <w:rsid w:val="00DC6D62"/>
    <w:rsid w:val="00DC6E37"/>
    <w:rsid w:val="00DC7BE7"/>
    <w:rsid w:val="00DD01E2"/>
    <w:rsid w:val="00DD0266"/>
    <w:rsid w:val="00DD0578"/>
    <w:rsid w:val="00DD0788"/>
    <w:rsid w:val="00DD08AF"/>
    <w:rsid w:val="00DD150F"/>
    <w:rsid w:val="00DD1EDA"/>
    <w:rsid w:val="00DD218B"/>
    <w:rsid w:val="00DD2256"/>
    <w:rsid w:val="00DD227F"/>
    <w:rsid w:val="00DD2863"/>
    <w:rsid w:val="00DD2FA0"/>
    <w:rsid w:val="00DD30A5"/>
    <w:rsid w:val="00DD3122"/>
    <w:rsid w:val="00DD3309"/>
    <w:rsid w:val="00DD338C"/>
    <w:rsid w:val="00DD34A5"/>
    <w:rsid w:val="00DD3B96"/>
    <w:rsid w:val="00DD4067"/>
    <w:rsid w:val="00DD42C5"/>
    <w:rsid w:val="00DD42D3"/>
    <w:rsid w:val="00DD4451"/>
    <w:rsid w:val="00DD46A9"/>
    <w:rsid w:val="00DD47ED"/>
    <w:rsid w:val="00DD488F"/>
    <w:rsid w:val="00DD49E3"/>
    <w:rsid w:val="00DD4E69"/>
    <w:rsid w:val="00DD4F4D"/>
    <w:rsid w:val="00DD5142"/>
    <w:rsid w:val="00DD5583"/>
    <w:rsid w:val="00DD5E86"/>
    <w:rsid w:val="00DE022D"/>
    <w:rsid w:val="00DE029E"/>
    <w:rsid w:val="00DE0DB9"/>
    <w:rsid w:val="00DE1E34"/>
    <w:rsid w:val="00DE1F2F"/>
    <w:rsid w:val="00DE2AA7"/>
    <w:rsid w:val="00DE2FA3"/>
    <w:rsid w:val="00DE31B0"/>
    <w:rsid w:val="00DE3E03"/>
    <w:rsid w:val="00DE3ED6"/>
    <w:rsid w:val="00DE40FC"/>
    <w:rsid w:val="00DE4421"/>
    <w:rsid w:val="00DE443E"/>
    <w:rsid w:val="00DE5C86"/>
    <w:rsid w:val="00DE6344"/>
    <w:rsid w:val="00DE6B5E"/>
    <w:rsid w:val="00DE7899"/>
    <w:rsid w:val="00DF0097"/>
    <w:rsid w:val="00DF00A7"/>
    <w:rsid w:val="00DF0A09"/>
    <w:rsid w:val="00DF0AC4"/>
    <w:rsid w:val="00DF184F"/>
    <w:rsid w:val="00DF1A65"/>
    <w:rsid w:val="00DF212B"/>
    <w:rsid w:val="00DF222D"/>
    <w:rsid w:val="00DF259D"/>
    <w:rsid w:val="00DF2DF2"/>
    <w:rsid w:val="00DF2ECC"/>
    <w:rsid w:val="00DF307A"/>
    <w:rsid w:val="00DF3204"/>
    <w:rsid w:val="00DF3FAC"/>
    <w:rsid w:val="00DF4A75"/>
    <w:rsid w:val="00DF4B9D"/>
    <w:rsid w:val="00DF5445"/>
    <w:rsid w:val="00DF568E"/>
    <w:rsid w:val="00DF5E8C"/>
    <w:rsid w:val="00DF6AEE"/>
    <w:rsid w:val="00DF6B21"/>
    <w:rsid w:val="00DF7311"/>
    <w:rsid w:val="00DFD88E"/>
    <w:rsid w:val="00E00DF8"/>
    <w:rsid w:val="00E01794"/>
    <w:rsid w:val="00E01F96"/>
    <w:rsid w:val="00E0294F"/>
    <w:rsid w:val="00E02D68"/>
    <w:rsid w:val="00E02E5F"/>
    <w:rsid w:val="00E03C17"/>
    <w:rsid w:val="00E046E1"/>
    <w:rsid w:val="00E04E50"/>
    <w:rsid w:val="00E055D5"/>
    <w:rsid w:val="00E05D73"/>
    <w:rsid w:val="00E063B0"/>
    <w:rsid w:val="00E06BDF"/>
    <w:rsid w:val="00E07352"/>
    <w:rsid w:val="00E07AA7"/>
    <w:rsid w:val="00E07D35"/>
    <w:rsid w:val="00E10103"/>
    <w:rsid w:val="00E10602"/>
    <w:rsid w:val="00E1147F"/>
    <w:rsid w:val="00E13436"/>
    <w:rsid w:val="00E13F8E"/>
    <w:rsid w:val="00E14532"/>
    <w:rsid w:val="00E145C1"/>
    <w:rsid w:val="00E1464B"/>
    <w:rsid w:val="00E14747"/>
    <w:rsid w:val="00E1557B"/>
    <w:rsid w:val="00E15AA8"/>
    <w:rsid w:val="00E15BC8"/>
    <w:rsid w:val="00E15DCB"/>
    <w:rsid w:val="00E17DC8"/>
    <w:rsid w:val="00E17E4F"/>
    <w:rsid w:val="00E17EFE"/>
    <w:rsid w:val="00E1840A"/>
    <w:rsid w:val="00E20534"/>
    <w:rsid w:val="00E20726"/>
    <w:rsid w:val="00E20830"/>
    <w:rsid w:val="00E2087F"/>
    <w:rsid w:val="00E2163E"/>
    <w:rsid w:val="00E22148"/>
    <w:rsid w:val="00E227B4"/>
    <w:rsid w:val="00E22AB5"/>
    <w:rsid w:val="00E22B49"/>
    <w:rsid w:val="00E23745"/>
    <w:rsid w:val="00E240A9"/>
    <w:rsid w:val="00E242F8"/>
    <w:rsid w:val="00E24E38"/>
    <w:rsid w:val="00E25D47"/>
    <w:rsid w:val="00E26BCD"/>
    <w:rsid w:val="00E26F71"/>
    <w:rsid w:val="00E27249"/>
    <w:rsid w:val="00E274EE"/>
    <w:rsid w:val="00E300A8"/>
    <w:rsid w:val="00E3078C"/>
    <w:rsid w:val="00E30D5D"/>
    <w:rsid w:val="00E3123F"/>
    <w:rsid w:val="00E313A2"/>
    <w:rsid w:val="00E318B3"/>
    <w:rsid w:val="00E3288E"/>
    <w:rsid w:val="00E32F24"/>
    <w:rsid w:val="00E32FAA"/>
    <w:rsid w:val="00E33A13"/>
    <w:rsid w:val="00E34767"/>
    <w:rsid w:val="00E34F97"/>
    <w:rsid w:val="00E351FD"/>
    <w:rsid w:val="00E35B59"/>
    <w:rsid w:val="00E35CEE"/>
    <w:rsid w:val="00E35FBA"/>
    <w:rsid w:val="00E36178"/>
    <w:rsid w:val="00E36A73"/>
    <w:rsid w:val="00E36E81"/>
    <w:rsid w:val="00E36EED"/>
    <w:rsid w:val="00E370A5"/>
    <w:rsid w:val="00E3723D"/>
    <w:rsid w:val="00E374AD"/>
    <w:rsid w:val="00E3756E"/>
    <w:rsid w:val="00E379E7"/>
    <w:rsid w:val="00E37A88"/>
    <w:rsid w:val="00E37D2E"/>
    <w:rsid w:val="00E4002D"/>
    <w:rsid w:val="00E406CE"/>
    <w:rsid w:val="00E408BA"/>
    <w:rsid w:val="00E40B55"/>
    <w:rsid w:val="00E41055"/>
    <w:rsid w:val="00E412EA"/>
    <w:rsid w:val="00E41766"/>
    <w:rsid w:val="00E42959"/>
    <w:rsid w:val="00E43269"/>
    <w:rsid w:val="00E43485"/>
    <w:rsid w:val="00E4358F"/>
    <w:rsid w:val="00E43967"/>
    <w:rsid w:val="00E44846"/>
    <w:rsid w:val="00E454A6"/>
    <w:rsid w:val="00E458BE"/>
    <w:rsid w:val="00E4596B"/>
    <w:rsid w:val="00E46013"/>
    <w:rsid w:val="00E46091"/>
    <w:rsid w:val="00E46852"/>
    <w:rsid w:val="00E46CCF"/>
    <w:rsid w:val="00E47232"/>
    <w:rsid w:val="00E47C6E"/>
    <w:rsid w:val="00E47C93"/>
    <w:rsid w:val="00E50648"/>
    <w:rsid w:val="00E5071F"/>
    <w:rsid w:val="00E525B4"/>
    <w:rsid w:val="00E52F0B"/>
    <w:rsid w:val="00E532A4"/>
    <w:rsid w:val="00E53330"/>
    <w:rsid w:val="00E5396E"/>
    <w:rsid w:val="00E53CD4"/>
    <w:rsid w:val="00E55375"/>
    <w:rsid w:val="00E55825"/>
    <w:rsid w:val="00E577EA"/>
    <w:rsid w:val="00E57B51"/>
    <w:rsid w:val="00E57D0B"/>
    <w:rsid w:val="00E57E63"/>
    <w:rsid w:val="00E60432"/>
    <w:rsid w:val="00E60447"/>
    <w:rsid w:val="00E61598"/>
    <w:rsid w:val="00E62EA7"/>
    <w:rsid w:val="00E63189"/>
    <w:rsid w:val="00E6333B"/>
    <w:rsid w:val="00E63CCE"/>
    <w:rsid w:val="00E64210"/>
    <w:rsid w:val="00E64F49"/>
    <w:rsid w:val="00E65328"/>
    <w:rsid w:val="00E67A5B"/>
    <w:rsid w:val="00E67C6D"/>
    <w:rsid w:val="00E67D48"/>
    <w:rsid w:val="00E7024D"/>
    <w:rsid w:val="00E70499"/>
    <w:rsid w:val="00E70E62"/>
    <w:rsid w:val="00E70E73"/>
    <w:rsid w:val="00E70FC6"/>
    <w:rsid w:val="00E7120E"/>
    <w:rsid w:val="00E71685"/>
    <w:rsid w:val="00E7201B"/>
    <w:rsid w:val="00E73932"/>
    <w:rsid w:val="00E74096"/>
    <w:rsid w:val="00E74288"/>
    <w:rsid w:val="00E74D23"/>
    <w:rsid w:val="00E74F11"/>
    <w:rsid w:val="00E7500F"/>
    <w:rsid w:val="00E751FB"/>
    <w:rsid w:val="00E75275"/>
    <w:rsid w:val="00E762F6"/>
    <w:rsid w:val="00E773AF"/>
    <w:rsid w:val="00E7796B"/>
    <w:rsid w:val="00E77C44"/>
    <w:rsid w:val="00E802CE"/>
    <w:rsid w:val="00E8071D"/>
    <w:rsid w:val="00E80CA1"/>
    <w:rsid w:val="00E813B3"/>
    <w:rsid w:val="00E8160E"/>
    <w:rsid w:val="00E8288B"/>
    <w:rsid w:val="00E82A17"/>
    <w:rsid w:val="00E82DA5"/>
    <w:rsid w:val="00E82E93"/>
    <w:rsid w:val="00E82FC5"/>
    <w:rsid w:val="00E840A8"/>
    <w:rsid w:val="00E840D4"/>
    <w:rsid w:val="00E84FBF"/>
    <w:rsid w:val="00E853B0"/>
    <w:rsid w:val="00E85C61"/>
    <w:rsid w:val="00E863F3"/>
    <w:rsid w:val="00E868CA"/>
    <w:rsid w:val="00E86940"/>
    <w:rsid w:val="00E86E10"/>
    <w:rsid w:val="00E871FA"/>
    <w:rsid w:val="00E8729E"/>
    <w:rsid w:val="00E87EBB"/>
    <w:rsid w:val="00E90039"/>
    <w:rsid w:val="00E902BB"/>
    <w:rsid w:val="00E9118F"/>
    <w:rsid w:val="00E9216D"/>
    <w:rsid w:val="00E928AC"/>
    <w:rsid w:val="00E92F42"/>
    <w:rsid w:val="00E93D85"/>
    <w:rsid w:val="00E93FEE"/>
    <w:rsid w:val="00E941D9"/>
    <w:rsid w:val="00E94209"/>
    <w:rsid w:val="00E944AB"/>
    <w:rsid w:val="00E944AD"/>
    <w:rsid w:val="00E94854"/>
    <w:rsid w:val="00E95163"/>
    <w:rsid w:val="00E95ABC"/>
    <w:rsid w:val="00E9602F"/>
    <w:rsid w:val="00E9619B"/>
    <w:rsid w:val="00E96CB2"/>
    <w:rsid w:val="00E96CEC"/>
    <w:rsid w:val="00E978B2"/>
    <w:rsid w:val="00E97C1D"/>
    <w:rsid w:val="00EA049A"/>
    <w:rsid w:val="00EA0912"/>
    <w:rsid w:val="00EA108A"/>
    <w:rsid w:val="00EA10E1"/>
    <w:rsid w:val="00EA12CA"/>
    <w:rsid w:val="00EA1598"/>
    <w:rsid w:val="00EA1F63"/>
    <w:rsid w:val="00EA2E3D"/>
    <w:rsid w:val="00EA3A97"/>
    <w:rsid w:val="00EA3DDB"/>
    <w:rsid w:val="00EA417F"/>
    <w:rsid w:val="00EA4406"/>
    <w:rsid w:val="00EA478D"/>
    <w:rsid w:val="00EA4886"/>
    <w:rsid w:val="00EA48B4"/>
    <w:rsid w:val="00EA56E4"/>
    <w:rsid w:val="00EA5D1E"/>
    <w:rsid w:val="00EA6792"/>
    <w:rsid w:val="00EA6BE4"/>
    <w:rsid w:val="00EA7595"/>
    <w:rsid w:val="00EA7AD5"/>
    <w:rsid w:val="00EA7B35"/>
    <w:rsid w:val="00EA7B58"/>
    <w:rsid w:val="00EA7BD1"/>
    <w:rsid w:val="00EA7D44"/>
    <w:rsid w:val="00EA7D4F"/>
    <w:rsid w:val="00EA7F20"/>
    <w:rsid w:val="00EB049E"/>
    <w:rsid w:val="00EB073E"/>
    <w:rsid w:val="00EB0769"/>
    <w:rsid w:val="00EB0884"/>
    <w:rsid w:val="00EB1677"/>
    <w:rsid w:val="00EB16F7"/>
    <w:rsid w:val="00EB19F9"/>
    <w:rsid w:val="00EB1E0D"/>
    <w:rsid w:val="00EB1FE6"/>
    <w:rsid w:val="00EB21E8"/>
    <w:rsid w:val="00EB22A0"/>
    <w:rsid w:val="00EB27C6"/>
    <w:rsid w:val="00EB28C7"/>
    <w:rsid w:val="00EB36A4"/>
    <w:rsid w:val="00EB3795"/>
    <w:rsid w:val="00EB39BC"/>
    <w:rsid w:val="00EB3D6F"/>
    <w:rsid w:val="00EB4707"/>
    <w:rsid w:val="00EB5572"/>
    <w:rsid w:val="00EB56A6"/>
    <w:rsid w:val="00EB58A1"/>
    <w:rsid w:val="00EB5DF8"/>
    <w:rsid w:val="00EB6431"/>
    <w:rsid w:val="00EB6C5E"/>
    <w:rsid w:val="00EB6FF0"/>
    <w:rsid w:val="00EB729D"/>
    <w:rsid w:val="00EB7848"/>
    <w:rsid w:val="00EB7997"/>
    <w:rsid w:val="00EB79CB"/>
    <w:rsid w:val="00EB7BC1"/>
    <w:rsid w:val="00EC1801"/>
    <w:rsid w:val="00EC1F02"/>
    <w:rsid w:val="00EC2701"/>
    <w:rsid w:val="00EC275A"/>
    <w:rsid w:val="00EC3168"/>
    <w:rsid w:val="00EC3917"/>
    <w:rsid w:val="00EC3CE1"/>
    <w:rsid w:val="00EC3CE6"/>
    <w:rsid w:val="00EC43E0"/>
    <w:rsid w:val="00EC4781"/>
    <w:rsid w:val="00EC504C"/>
    <w:rsid w:val="00EC516B"/>
    <w:rsid w:val="00EC54D9"/>
    <w:rsid w:val="00EC5601"/>
    <w:rsid w:val="00EC5B6E"/>
    <w:rsid w:val="00EC6B2A"/>
    <w:rsid w:val="00EC6B6A"/>
    <w:rsid w:val="00EC72ED"/>
    <w:rsid w:val="00EC73FB"/>
    <w:rsid w:val="00EC7592"/>
    <w:rsid w:val="00EC79F8"/>
    <w:rsid w:val="00EC7A7B"/>
    <w:rsid w:val="00ED05F9"/>
    <w:rsid w:val="00ED0E75"/>
    <w:rsid w:val="00ED123B"/>
    <w:rsid w:val="00ED1C4B"/>
    <w:rsid w:val="00ED1CC6"/>
    <w:rsid w:val="00ED27BE"/>
    <w:rsid w:val="00ED2C0F"/>
    <w:rsid w:val="00ED32FF"/>
    <w:rsid w:val="00ED3FC6"/>
    <w:rsid w:val="00ED4150"/>
    <w:rsid w:val="00ED4470"/>
    <w:rsid w:val="00ED5172"/>
    <w:rsid w:val="00ED55E4"/>
    <w:rsid w:val="00ED5711"/>
    <w:rsid w:val="00ED657C"/>
    <w:rsid w:val="00ED65AE"/>
    <w:rsid w:val="00ED6658"/>
    <w:rsid w:val="00ED688F"/>
    <w:rsid w:val="00ED759C"/>
    <w:rsid w:val="00ED783D"/>
    <w:rsid w:val="00EE0373"/>
    <w:rsid w:val="00EE06DA"/>
    <w:rsid w:val="00EE079A"/>
    <w:rsid w:val="00EE0DCA"/>
    <w:rsid w:val="00EE1034"/>
    <w:rsid w:val="00EE16C0"/>
    <w:rsid w:val="00EE181C"/>
    <w:rsid w:val="00EE202E"/>
    <w:rsid w:val="00EE2E3E"/>
    <w:rsid w:val="00EE3139"/>
    <w:rsid w:val="00EE374F"/>
    <w:rsid w:val="00EE3FD6"/>
    <w:rsid w:val="00EE492F"/>
    <w:rsid w:val="00EE49C8"/>
    <w:rsid w:val="00EE5118"/>
    <w:rsid w:val="00EE54C7"/>
    <w:rsid w:val="00EE5E34"/>
    <w:rsid w:val="00EE60E5"/>
    <w:rsid w:val="00EE63E0"/>
    <w:rsid w:val="00EE6A1F"/>
    <w:rsid w:val="00EE6D73"/>
    <w:rsid w:val="00EE6DD9"/>
    <w:rsid w:val="00EE7959"/>
    <w:rsid w:val="00EF041D"/>
    <w:rsid w:val="00EF0DE2"/>
    <w:rsid w:val="00EF1F79"/>
    <w:rsid w:val="00EF233E"/>
    <w:rsid w:val="00EF2520"/>
    <w:rsid w:val="00EF28BA"/>
    <w:rsid w:val="00EF43FC"/>
    <w:rsid w:val="00EF45EC"/>
    <w:rsid w:val="00EF4CC9"/>
    <w:rsid w:val="00EF559B"/>
    <w:rsid w:val="00EF645D"/>
    <w:rsid w:val="00EF66BD"/>
    <w:rsid w:val="00EF77DF"/>
    <w:rsid w:val="00EF7AF7"/>
    <w:rsid w:val="00EF7B41"/>
    <w:rsid w:val="00F0010D"/>
    <w:rsid w:val="00F00510"/>
    <w:rsid w:val="00F0083E"/>
    <w:rsid w:val="00F00E8B"/>
    <w:rsid w:val="00F0147F"/>
    <w:rsid w:val="00F026FB"/>
    <w:rsid w:val="00F028C3"/>
    <w:rsid w:val="00F029A1"/>
    <w:rsid w:val="00F02B59"/>
    <w:rsid w:val="00F032B3"/>
    <w:rsid w:val="00F037E7"/>
    <w:rsid w:val="00F03813"/>
    <w:rsid w:val="00F03D36"/>
    <w:rsid w:val="00F03DD6"/>
    <w:rsid w:val="00F04856"/>
    <w:rsid w:val="00F04C7A"/>
    <w:rsid w:val="00F04F1C"/>
    <w:rsid w:val="00F05466"/>
    <w:rsid w:val="00F05564"/>
    <w:rsid w:val="00F058C5"/>
    <w:rsid w:val="00F05EB6"/>
    <w:rsid w:val="00F06058"/>
    <w:rsid w:val="00F06902"/>
    <w:rsid w:val="00F06FD7"/>
    <w:rsid w:val="00F0718A"/>
    <w:rsid w:val="00F07A6E"/>
    <w:rsid w:val="00F100D2"/>
    <w:rsid w:val="00F1084C"/>
    <w:rsid w:val="00F10FD1"/>
    <w:rsid w:val="00F111CC"/>
    <w:rsid w:val="00F1125E"/>
    <w:rsid w:val="00F11435"/>
    <w:rsid w:val="00F11C89"/>
    <w:rsid w:val="00F11C8A"/>
    <w:rsid w:val="00F11FF2"/>
    <w:rsid w:val="00F12528"/>
    <w:rsid w:val="00F1274F"/>
    <w:rsid w:val="00F12CD7"/>
    <w:rsid w:val="00F12D24"/>
    <w:rsid w:val="00F13CB6"/>
    <w:rsid w:val="00F14797"/>
    <w:rsid w:val="00F14A3D"/>
    <w:rsid w:val="00F14CF9"/>
    <w:rsid w:val="00F1508B"/>
    <w:rsid w:val="00F1538C"/>
    <w:rsid w:val="00F1589F"/>
    <w:rsid w:val="00F15BC2"/>
    <w:rsid w:val="00F15D2E"/>
    <w:rsid w:val="00F15F24"/>
    <w:rsid w:val="00F16037"/>
    <w:rsid w:val="00F1670F"/>
    <w:rsid w:val="00F16A67"/>
    <w:rsid w:val="00F16BEA"/>
    <w:rsid w:val="00F16FE8"/>
    <w:rsid w:val="00F170A8"/>
    <w:rsid w:val="00F1768C"/>
    <w:rsid w:val="00F17F43"/>
    <w:rsid w:val="00F202E4"/>
    <w:rsid w:val="00F205D8"/>
    <w:rsid w:val="00F20C69"/>
    <w:rsid w:val="00F20FDB"/>
    <w:rsid w:val="00F2129E"/>
    <w:rsid w:val="00F21DB0"/>
    <w:rsid w:val="00F21EEC"/>
    <w:rsid w:val="00F224A0"/>
    <w:rsid w:val="00F2345E"/>
    <w:rsid w:val="00F23783"/>
    <w:rsid w:val="00F23CD0"/>
    <w:rsid w:val="00F24154"/>
    <w:rsid w:val="00F243E3"/>
    <w:rsid w:val="00F24967"/>
    <w:rsid w:val="00F24B68"/>
    <w:rsid w:val="00F24EC2"/>
    <w:rsid w:val="00F25A88"/>
    <w:rsid w:val="00F25C0F"/>
    <w:rsid w:val="00F2759F"/>
    <w:rsid w:val="00F275B0"/>
    <w:rsid w:val="00F275F5"/>
    <w:rsid w:val="00F27A2D"/>
    <w:rsid w:val="00F27CBF"/>
    <w:rsid w:val="00F27DA0"/>
    <w:rsid w:val="00F3049D"/>
    <w:rsid w:val="00F30DA3"/>
    <w:rsid w:val="00F3137F"/>
    <w:rsid w:val="00F317B6"/>
    <w:rsid w:val="00F31B4E"/>
    <w:rsid w:val="00F31CBC"/>
    <w:rsid w:val="00F31D23"/>
    <w:rsid w:val="00F33F69"/>
    <w:rsid w:val="00F3486E"/>
    <w:rsid w:val="00F34AD9"/>
    <w:rsid w:val="00F34F0B"/>
    <w:rsid w:val="00F35069"/>
    <w:rsid w:val="00F35824"/>
    <w:rsid w:val="00F36135"/>
    <w:rsid w:val="00F37CF3"/>
    <w:rsid w:val="00F40426"/>
    <w:rsid w:val="00F404C5"/>
    <w:rsid w:val="00F40510"/>
    <w:rsid w:val="00F40A6D"/>
    <w:rsid w:val="00F40A73"/>
    <w:rsid w:val="00F40A98"/>
    <w:rsid w:val="00F414E8"/>
    <w:rsid w:val="00F4181E"/>
    <w:rsid w:val="00F429EE"/>
    <w:rsid w:val="00F42D58"/>
    <w:rsid w:val="00F42E2B"/>
    <w:rsid w:val="00F43C5C"/>
    <w:rsid w:val="00F44473"/>
    <w:rsid w:val="00F45029"/>
    <w:rsid w:val="00F45177"/>
    <w:rsid w:val="00F456B1"/>
    <w:rsid w:val="00F45B72"/>
    <w:rsid w:val="00F45C06"/>
    <w:rsid w:val="00F4608A"/>
    <w:rsid w:val="00F46566"/>
    <w:rsid w:val="00F46785"/>
    <w:rsid w:val="00F46F25"/>
    <w:rsid w:val="00F47050"/>
    <w:rsid w:val="00F472CA"/>
    <w:rsid w:val="00F476EC"/>
    <w:rsid w:val="00F47B98"/>
    <w:rsid w:val="00F50024"/>
    <w:rsid w:val="00F502EE"/>
    <w:rsid w:val="00F50C05"/>
    <w:rsid w:val="00F511DD"/>
    <w:rsid w:val="00F51262"/>
    <w:rsid w:val="00F514AA"/>
    <w:rsid w:val="00F516AF"/>
    <w:rsid w:val="00F518FB"/>
    <w:rsid w:val="00F52091"/>
    <w:rsid w:val="00F5252D"/>
    <w:rsid w:val="00F53514"/>
    <w:rsid w:val="00F53B99"/>
    <w:rsid w:val="00F53BE3"/>
    <w:rsid w:val="00F54886"/>
    <w:rsid w:val="00F54D6B"/>
    <w:rsid w:val="00F54E04"/>
    <w:rsid w:val="00F54E4C"/>
    <w:rsid w:val="00F55611"/>
    <w:rsid w:val="00F561E2"/>
    <w:rsid w:val="00F565DE"/>
    <w:rsid w:val="00F56848"/>
    <w:rsid w:val="00F5739D"/>
    <w:rsid w:val="00F57862"/>
    <w:rsid w:val="00F57954"/>
    <w:rsid w:val="00F57DFE"/>
    <w:rsid w:val="00F610E7"/>
    <w:rsid w:val="00F633D2"/>
    <w:rsid w:val="00F633EF"/>
    <w:rsid w:val="00F64401"/>
    <w:rsid w:val="00F6478A"/>
    <w:rsid w:val="00F6492B"/>
    <w:rsid w:val="00F64964"/>
    <w:rsid w:val="00F64A30"/>
    <w:rsid w:val="00F64A8C"/>
    <w:rsid w:val="00F64E0D"/>
    <w:rsid w:val="00F6543B"/>
    <w:rsid w:val="00F65BE9"/>
    <w:rsid w:val="00F66213"/>
    <w:rsid w:val="00F66F6B"/>
    <w:rsid w:val="00F67FED"/>
    <w:rsid w:val="00F70589"/>
    <w:rsid w:val="00F70697"/>
    <w:rsid w:val="00F70E9B"/>
    <w:rsid w:val="00F7142A"/>
    <w:rsid w:val="00F71BB4"/>
    <w:rsid w:val="00F71DEA"/>
    <w:rsid w:val="00F72402"/>
    <w:rsid w:val="00F72828"/>
    <w:rsid w:val="00F72B62"/>
    <w:rsid w:val="00F731EA"/>
    <w:rsid w:val="00F7376E"/>
    <w:rsid w:val="00F73DA6"/>
    <w:rsid w:val="00F743E7"/>
    <w:rsid w:val="00F74CC7"/>
    <w:rsid w:val="00F74DCB"/>
    <w:rsid w:val="00F75467"/>
    <w:rsid w:val="00F763F0"/>
    <w:rsid w:val="00F7690E"/>
    <w:rsid w:val="00F76B44"/>
    <w:rsid w:val="00F76B9E"/>
    <w:rsid w:val="00F77588"/>
    <w:rsid w:val="00F80007"/>
    <w:rsid w:val="00F80051"/>
    <w:rsid w:val="00F80CFC"/>
    <w:rsid w:val="00F81347"/>
    <w:rsid w:val="00F8162A"/>
    <w:rsid w:val="00F824B8"/>
    <w:rsid w:val="00F8324A"/>
    <w:rsid w:val="00F842C8"/>
    <w:rsid w:val="00F84589"/>
    <w:rsid w:val="00F849D3"/>
    <w:rsid w:val="00F85289"/>
    <w:rsid w:val="00F86123"/>
    <w:rsid w:val="00F862AF"/>
    <w:rsid w:val="00F86DAF"/>
    <w:rsid w:val="00F877EC"/>
    <w:rsid w:val="00F87B64"/>
    <w:rsid w:val="00F87F7D"/>
    <w:rsid w:val="00F87FDC"/>
    <w:rsid w:val="00F90E2A"/>
    <w:rsid w:val="00F9147A"/>
    <w:rsid w:val="00F91FE7"/>
    <w:rsid w:val="00F9275F"/>
    <w:rsid w:val="00F92D91"/>
    <w:rsid w:val="00F92E1B"/>
    <w:rsid w:val="00F93198"/>
    <w:rsid w:val="00F935E9"/>
    <w:rsid w:val="00F93816"/>
    <w:rsid w:val="00F94358"/>
    <w:rsid w:val="00F946FF"/>
    <w:rsid w:val="00F94CF2"/>
    <w:rsid w:val="00F955F8"/>
    <w:rsid w:val="00F95816"/>
    <w:rsid w:val="00F95A65"/>
    <w:rsid w:val="00F96278"/>
    <w:rsid w:val="00F970AE"/>
    <w:rsid w:val="00F9720C"/>
    <w:rsid w:val="00F974DC"/>
    <w:rsid w:val="00F9794B"/>
    <w:rsid w:val="00F97AB3"/>
    <w:rsid w:val="00F97BE3"/>
    <w:rsid w:val="00FA00D3"/>
    <w:rsid w:val="00FA0119"/>
    <w:rsid w:val="00FA0FEB"/>
    <w:rsid w:val="00FA1312"/>
    <w:rsid w:val="00FA133D"/>
    <w:rsid w:val="00FA14A3"/>
    <w:rsid w:val="00FA1640"/>
    <w:rsid w:val="00FA1B5C"/>
    <w:rsid w:val="00FA2CC1"/>
    <w:rsid w:val="00FA2D40"/>
    <w:rsid w:val="00FA2EDD"/>
    <w:rsid w:val="00FA319B"/>
    <w:rsid w:val="00FA357B"/>
    <w:rsid w:val="00FA3792"/>
    <w:rsid w:val="00FA42B7"/>
    <w:rsid w:val="00FA4585"/>
    <w:rsid w:val="00FA4ADB"/>
    <w:rsid w:val="00FA4D2A"/>
    <w:rsid w:val="00FA578A"/>
    <w:rsid w:val="00FA5ACE"/>
    <w:rsid w:val="00FA7860"/>
    <w:rsid w:val="00FB0E86"/>
    <w:rsid w:val="00FB138E"/>
    <w:rsid w:val="00FB141B"/>
    <w:rsid w:val="00FB172D"/>
    <w:rsid w:val="00FB17A5"/>
    <w:rsid w:val="00FB18FF"/>
    <w:rsid w:val="00FB1923"/>
    <w:rsid w:val="00FB1B1A"/>
    <w:rsid w:val="00FB20FC"/>
    <w:rsid w:val="00FB2435"/>
    <w:rsid w:val="00FB2463"/>
    <w:rsid w:val="00FB2C5C"/>
    <w:rsid w:val="00FB2E06"/>
    <w:rsid w:val="00FB394C"/>
    <w:rsid w:val="00FB3B57"/>
    <w:rsid w:val="00FB3C18"/>
    <w:rsid w:val="00FB47EA"/>
    <w:rsid w:val="00FB4A97"/>
    <w:rsid w:val="00FB4C45"/>
    <w:rsid w:val="00FB4DA4"/>
    <w:rsid w:val="00FB51A8"/>
    <w:rsid w:val="00FB5386"/>
    <w:rsid w:val="00FB5605"/>
    <w:rsid w:val="00FB641A"/>
    <w:rsid w:val="00FB667C"/>
    <w:rsid w:val="00FB6DB0"/>
    <w:rsid w:val="00FB6EA4"/>
    <w:rsid w:val="00FB73C7"/>
    <w:rsid w:val="00FB79BF"/>
    <w:rsid w:val="00FB7BE6"/>
    <w:rsid w:val="00FB7DC7"/>
    <w:rsid w:val="00FC0057"/>
    <w:rsid w:val="00FC00CC"/>
    <w:rsid w:val="00FC1E7E"/>
    <w:rsid w:val="00FC1FCE"/>
    <w:rsid w:val="00FC219E"/>
    <w:rsid w:val="00FC22CD"/>
    <w:rsid w:val="00FC2377"/>
    <w:rsid w:val="00FC23B6"/>
    <w:rsid w:val="00FC2652"/>
    <w:rsid w:val="00FC3A38"/>
    <w:rsid w:val="00FC4EAC"/>
    <w:rsid w:val="00FC5951"/>
    <w:rsid w:val="00FC596F"/>
    <w:rsid w:val="00FC5A5B"/>
    <w:rsid w:val="00FC6B12"/>
    <w:rsid w:val="00FC6D6F"/>
    <w:rsid w:val="00FC6FCE"/>
    <w:rsid w:val="00FC7721"/>
    <w:rsid w:val="00FD08CC"/>
    <w:rsid w:val="00FD0B21"/>
    <w:rsid w:val="00FD117B"/>
    <w:rsid w:val="00FD1D1C"/>
    <w:rsid w:val="00FD3419"/>
    <w:rsid w:val="00FD3CA0"/>
    <w:rsid w:val="00FD42A5"/>
    <w:rsid w:val="00FD43B9"/>
    <w:rsid w:val="00FD449C"/>
    <w:rsid w:val="00FD44FB"/>
    <w:rsid w:val="00FD4ADB"/>
    <w:rsid w:val="00FD67F6"/>
    <w:rsid w:val="00FD6B5F"/>
    <w:rsid w:val="00FE06B4"/>
    <w:rsid w:val="00FE136F"/>
    <w:rsid w:val="00FE15F6"/>
    <w:rsid w:val="00FE18D7"/>
    <w:rsid w:val="00FE1BC2"/>
    <w:rsid w:val="00FE1E0B"/>
    <w:rsid w:val="00FE2266"/>
    <w:rsid w:val="00FE23B6"/>
    <w:rsid w:val="00FE2686"/>
    <w:rsid w:val="00FE2805"/>
    <w:rsid w:val="00FE2B5F"/>
    <w:rsid w:val="00FE3007"/>
    <w:rsid w:val="00FE3571"/>
    <w:rsid w:val="00FE364F"/>
    <w:rsid w:val="00FE3840"/>
    <w:rsid w:val="00FE4220"/>
    <w:rsid w:val="00FE435E"/>
    <w:rsid w:val="00FE4378"/>
    <w:rsid w:val="00FE4BD6"/>
    <w:rsid w:val="00FE5404"/>
    <w:rsid w:val="00FE5ACA"/>
    <w:rsid w:val="00FE6C3A"/>
    <w:rsid w:val="00FE7BA3"/>
    <w:rsid w:val="00FF0584"/>
    <w:rsid w:val="00FF0765"/>
    <w:rsid w:val="00FF0ADD"/>
    <w:rsid w:val="00FF0F3D"/>
    <w:rsid w:val="00FF135F"/>
    <w:rsid w:val="00FF1448"/>
    <w:rsid w:val="00FF1602"/>
    <w:rsid w:val="00FF2648"/>
    <w:rsid w:val="00FF277C"/>
    <w:rsid w:val="00FF4362"/>
    <w:rsid w:val="00FF474A"/>
    <w:rsid w:val="00FF48E6"/>
    <w:rsid w:val="00FF4D61"/>
    <w:rsid w:val="00FF4F5C"/>
    <w:rsid w:val="00FF52D5"/>
    <w:rsid w:val="00FF540A"/>
    <w:rsid w:val="00FF55BE"/>
    <w:rsid w:val="00FF565C"/>
    <w:rsid w:val="00FF59D0"/>
    <w:rsid w:val="00FF5F1D"/>
    <w:rsid w:val="00FF67E3"/>
    <w:rsid w:val="00FF7065"/>
    <w:rsid w:val="00FF7A11"/>
    <w:rsid w:val="00FF7CAD"/>
    <w:rsid w:val="01069948"/>
    <w:rsid w:val="01191AC1"/>
    <w:rsid w:val="01195695"/>
    <w:rsid w:val="01285382"/>
    <w:rsid w:val="0134713B"/>
    <w:rsid w:val="0148CE19"/>
    <w:rsid w:val="014CD47E"/>
    <w:rsid w:val="0154CBC6"/>
    <w:rsid w:val="015570E3"/>
    <w:rsid w:val="01573374"/>
    <w:rsid w:val="015C1DBC"/>
    <w:rsid w:val="0160C4A0"/>
    <w:rsid w:val="017137D2"/>
    <w:rsid w:val="01776BFC"/>
    <w:rsid w:val="017BAF3D"/>
    <w:rsid w:val="017E3511"/>
    <w:rsid w:val="018770B6"/>
    <w:rsid w:val="018C6B8A"/>
    <w:rsid w:val="01966599"/>
    <w:rsid w:val="01A26A0D"/>
    <w:rsid w:val="01AEC7A0"/>
    <w:rsid w:val="01B37E61"/>
    <w:rsid w:val="01B3FD29"/>
    <w:rsid w:val="01BDED77"/>
    <w:rsid w:val="01BE51B4"/>
    <w:rsid w:val="01C12914"/>
    <w:rsid w:val="01C18079"/>
    <w:rsid w:val="01C60172"/>
    <w:rsid w:val="01D0C4D7"/>
    <w:rsid w:val="01DBDC72"/>
    <w:rsid w:val="01DDF031"/>
    <w:rsid w:val="01DEF4FC"/>
    <w:rsid w:val="01E13282"/>
    <w:rsid w:val="01E268B3"/>
    <w:rsid w:val="01E32B0C"/>
    <w:rsid w:val="01E43FB4"/>
    <w:rsid w:val="01EDF22D"/>
    <w:rsid w:val="01F0FD14"/>
    <w:rsid w:val="01FE051E"/>
    <w:rsid w:val="021114D1"/>
    <w:rsid w:val="0211EFF1"/>
    <w:rsid w:val="0225D646"/>
    <w:rsid w:val="022EBEC0"/>
    <w:rsid w:val="022F8E70"/>
    <w:rsid w:val="0240F759"/>
    <w:rsid w:val="024C9A0D"/>
    <w:rsid w:val="0253A338"/>
    <w:rsid w:val="0254A397"/>
    <w:rsid w:val="025614C5"/>
    <w:rsid w:val="025A3F9D"/>
    <w:rsid w:val="02627D94"/>
    <w:rsid w:val="0265AC0F"/>
    <w:rsid w:val="027B6C77"/>
    <w:rsid w:val="027E8ECA"/>
    <w:rsid w:val="0280B576"/>
    <w:rsid w:val="02848868"/>
    <w:rsid w:val="028FE780"/>
    <w:rsid w:val="02927DB1"/>
    <w:rsid w:val="02ABD7FB"/>
    <w:rsid w:val="02CFD310"/>
    <w:rsid w:val="02D6E5DB"/>
    <w:rsid w:val="02F7EE1D"/>
    <w:rsid w:val="02FC7A04"/>
    <w:rsid w:val="02FE24F9"/>
    <w:rsid w:val="030D103D"/>
    <w:rsid w:val="031E3561"/>
    <w:rsid w:val="03263183"/>
    <w:rsid w:val="0332A73D"/>
    <w:rsid w:val="0333360C"/>
    <w:rsid w:val="033DE94E"/>
    <w:rsid w:val="0340B34F"/>
    <w:rsid w:val="0343B6D8"/>
    <w:rsid w:val="03481C2E"/>
    <w:rsid w:val="0355925C"/>
    <w:rsid w:val="03595521"/>
    <w:rsid w:val="035DB667"/>
    <w:rsid w:val="036B00C5"/>
    <w:rsid w:val="036B4228"/>
    <w:rsid w:val="036D34AA"/>
    <w:rsid w:val="036E7E4F"/>
    <w:rsid w:val="03742423"/>
    <w:rsid w:val="03746259"/>
    <w:rsid w:val="038523EC"/>
    <w:rsid w:val="039396E4"/>
    <w:rsid w:val="03A46034"/>
    <w:rsid w:val="03B30B55"/>
    <w:rsid w:val="03BEA811"/>
    <w:rsid w:val="03C212E0"/>
    <w:rsid w:val="03C82166"/>
    <w:rsid w:val="03E230EE"/>
    <w:rsid w:val="03E5CB27"/>
    <w:rsid w:val="03E89625"/>
    <w:rsid w:val="03E8EBC8"/>
    <w:rsid w:val="03FB2988"/>
    <w:rsid w:val="04012FCD"/>
    <w:rsid w:val="040338E4"/>
    <w:rsid w:val="040C0A66"/>
    <w:rsid w:val="041CD0D6"/>
    <w:rsid w:val="0421729E"/>
    <w:rsid w:val="04257BD4"/>
    <w:rsid w:val="04268973"/>
    <w:rsid w:val="043CF933"/>
    <w:rsid w:val="043D3B4E"/>
    <w:rsid w:val="043E8CCA"/>
    <w:rsid w:val="04406C41"/>
    <w:rsid w:val="044158C5"/>
    <w:rsid w:val="04586AA5"/>
    <w:rsid w:val="04590CB5"/>
    <w:rsid w:val="046D77F2"/>
    <w:rsid w:val="04703F19"/>
    <w:rsid w:val="048A803B"/>
    <w:rsid w:val="048AD9C7"/>
    <w:rsid w:val="049A10CD"/>
    <w:rsid w:val="04ACF27C"/>
    <w:rsid w:val="04AD306B"/>
    <w:rsid w:val="04B39D65"/>
    <w:rsid w:val="04B59C13"/>
    <w:rsid w:val="04BEC7B5"/>
    <w:rsid w:val="04BF2C5C"/>
    <w:rsid w:val="04C0287B"/>
    <w:rsid w:val="04C46533"/>
    <w:rsid w:val="04D27665"/>
    <w:rsid w:val="04DA0ACF"/>
    <w:rsid w:val="04DCC682"/>
    <w:rsid w:val="04EC440A"/>
    <w:rsid w:val="04F5CD7A"/>
    <w:rsid w:val="04F6661A"/>
    <w:rsid w:val="04FAD4FF"/>
    <w:rsid w:val="050CB4BB"/>
    <w:rsid w:val="05138945"/>
    <w:rsid w:val="0515B8F0"/>
    <w:rsid w:val="051A9846"/>
    <w:rsid w:val="05214D85"/>
    <w:rsid w:val="0529A731"/>
    <w:rsid w:val="053B1A08"/>
    <w:rsid w:val="053DBFE8"/>
    <w:rsid w:val="0544D988"/>
    <w:rsid w:val="054ECA67"/>
    <w:rsid w:val="05508850"/>
    <w:rsid w:val="0551FFBB"/>
    <w:rsid w:val="0567BC12"/>
    <w:rsid w:val="0576D672"/>
    <w:rsid w:val="0578F113"/>
    <w:rsid w:val="058D32BD"/>
    <w:rsid w:val="058F7278"/>
    <w:rsid w:val="0598C2D9"/>
    <w:rsid w:val="05C3708C"/>
    <w:rsid w:val="05C3951E"/>
    <w:rsid w:val="05C8233A"/>
    <w:rsid w:val="05CF418C"/>
    <w:rsid w:val="05DB1BE1"/>
    <w:rsid w:val="05EF1E81"/>
    <w:rsid w:val="05F0F635"/>
    <w:rsid w:val="05F3103A"/>
    <w:rsid w:val="05F36C38"/>
    <w:rsid w:val="05FA1364"/>
    <w:rsid w:val="05FE2126"/>
    <w:rsid w:val="0600B3A7"/>
    <w:rsid w:val="060FB636"/>
    <w:rsid w:val="0613F847"/>
    <w:rsid w:val="061948A9"/>
    <w:rsid w:val="061B1C62"/>
    <w:rsid w:val="062BB331"/>
    <w:rsid w:val="0631C854"/>
    <w:rsid w:val="063E3898"/>
    <w:rsid w:val="0657C24E"/>
    <w:rsid w:val="065A6E74"/>
    <w:rsid w:val="066CD2EE"/>
    <w:rsid w:val="06722BE1"/>
    <w:rsid w:val="0675DB30"/>
    <w:rsid w:val="067854AE"/>
    <w:rsid w:val="068059D0"/>
    <w:rsid w:val="068B21F0"/>
    <w:rsid w:val="069680D9"/>
    <w:rsid w:val="06A3F758"/>
    <w:rsid w:val="06B2A953"/>
    <w:rsid w:val="06BA0524"/>
    <w:rsid w:val="06BE4EE3"/>
    <w:rsid w:val="06CF1400"/>
    <w:rsid w:val="06DF3B36"/>
    <w:rsid w:val="06F21338"/>
    <w:rsid w:val="06F4D374"/>
    <w:rsid w:val="06F899E7"/>
    <w:rsid w:val="06FE3866"/>
    <w:rsid w:val="0700FC87"/>
    <w:rsid w:val="07042306"/>
    <w:rsid w:val="070B9057"/>
    <w:rsid w:val="070BC773"/>
    <w:rsid w:val="070D9E49"/>
    <w:rsid w:val="071106A0"/>
    <w:rsid w:val="071EC2C1"/>
    <w:rsid w:val="071F4135"/>
    <w:rsid w:val="07287FC9"/>
    <w:rsid w:val="0728B65D"/>
    <w:rsid w:val="073991A0"/>
    <w:rsid w:val="0740D345"/>
    <w:rsid w:val="07444085"/>
    <w:rsid w:val="0745D8AF"/>
    <w:rsid w:val="07499D5D"/>
    <w:rsid w:val="07542A95"/>
    <w:rsid w:val="0755E5FE"/>
    <w:rsid w:val="07560D97"/>
    <w:rsid w:val="0756F314"/>
    <w:rsid w:val="075C3CFA"/>
    <w:rsid w:val="076933D4"/>
    <w:rsid w:val="076D64AC"/>
    <w:rsid w:val="07728790"/>
    <w:rsid w:val="0779AEC6"/>
    <w:rsid w:val="07882E58"/>
    <w:rsid w:val="0790F5EE"/>
    <w:rsid w:val="079E84BF"/>
    <w:rsid w:val="07A19777"/>
    <w:rsid w:val="07AB8697"/>
    <w:rsid w:val="07B03F3C"/>
    <w:rsid w:val="07B91612"/>
    <w:rsid w:val="07B9B838"/>
    <w:rsid w:val="07BAE96D"/>
    <w:rsid w:val="07C14006"/>
    <w:rsid w:val="07C247B8"/>
    <w:rsid w:val="07D0CDE3"/>
    <w:rsid w:val="07D7541D"/>
    <w:rsid w:val="07E63AD2"/>
    <w:rsid w:val="07EBDDE7"/>
    <w:rsid w:val="07F43353"/>
    <w:rsid w:val="07FD92B2"/>
    <w:rsid w:val="080DE00E"/>
    <w:rsid w:val="080F8541"/>
    <w:rsid w:val="08114CDE"/>
    <w:rsid w:val="082695D3"/>
    <w:rsid w:val="0833400A"/>
    <w:rsid w:val="08369102"/>
    <w:rsid w:val="083B5B0A"/>
    <w:rsid w:val="083DEA5D"/>
    <w:rsid w:val="084C9A3D"/>
    <w:rsid w:val="08550005"/>
    <w:rsid w:val="085A8871"/>
    <w:rsid w:val="085C4E04"/>
    <w:rsid w:val="085D3355"/>
    <w:rsid w:val="086356C0"/>
    <w:rsid w:val="086FFF98"/>
    <w:rsid w:val="08714356"/>
    <w:rsid w:val="087256E2"/>
    <w:rsid w:val="087269EA"/>
    <w:rsid w:val="087AF90C"/>
    <w:rsid w:val="0881DBBD"/>
    <w:rsid w:val="08893226"/>
    <w:rsid w:val="089F7E3A"/>
    <w:rsid w:val="08AEAC60"/>
    <w:rsid w:val="08C280A8"/>
    <w:rsid w:val="08C3F4FE"/>
    <w:rsid w:val="08CFA82B"/>
    <w:rsid w:val="08D9DC92"/>
    <w:rsid w:val="08DEBC23"/>
    <w:rsid w:val="08E23147"/>
    <w:rsid w:val="08F15AA4"/>
    <w:rsid w:val="08FCF4A4"/>
    <w:rsid w:val="0900FE43"/>
    <w:rsid w:val="091BAC79"/>
    <w:rsid w:val="092079AD"/>
    <w:rsid w:val="092BC6FB"/>
    <w:rsid w:val="092DA42A"/>
    <w:rsid w:val="0937F69E"/>
    <w:rsid w:val="0943FC73"/>
    <w:rsid w:val="094C0B58"/>
    <w:rsid w:val="094D10C1"/>
    <w:rsid w:val="09528975"/>
    <w:rsid w:val="09535A30"/>
    <w:rsid w:val="09561FFB"/>
    <w:rsid w:val="09576163"/>
    <w:rsid w:val="095B8957"/>
    <w:rsid w:val="0973A577"/>
    <w:rsid w:val="097AD6E3"/>
    <w:rsid w:val="097C28B0"/>
    <w:rsid w:val="09854846"/>
    <w:rsid w:val="0986C991"/>
    <w:rsid w:val="098B159B"/>
    <w:rsid w:val="099CAA81"/>
    <w:rsid w:val="09A20B78"/>
    <w:rsid w:val="09A29DCC"/>
    <w:rsid w:val="09B56978"/>
    <w:rsid w:val="09BBDFBB"/>
    <w:rsid w:val="09CE4622"/>
    <w:rsid w:val="09DAECE3"/>
    <w:rsid w:val="09DD121C"/>
    <w:rsid w:val="09F1795B"/>
    <w:rsid w:val="09F26427"/>
    <w:rsid w:val="09F3AB30"/>
    <w:rsid w:val="09FA5A97"/>
    <w:rsid w:val="09FEAFB1"/>
    <w:rsid w:val="0A01E546"/>
    <w:rsid w:val="0A094A19"/>
    <w:rsid w:val="0A0966BF"/>
    <w:rsid w:val="0A0B69DB"/>
    <w:rsid w:val="0A0DE565"/>
    <w:rsid w:val="0A116582"/>
    <w:rsid w:val="0A171C4F"/>
    <w:rsid w:val="0A1CCE75"/>
    <w:rsid w:val="0A34BBAD"/>
    <w:rsid w:val="0A35D51A"/>
    <w:rsid w:val="0A46FDE2"/>
    <w:rsid w:val="0A4C618B"/>
    <w:rsid w:val="0A4DBE37"/>
    <w:rsid w:val="0A51603A"/>
    <w:rsid w:val="0A6CF6B9"/>
    <w:rsid w:val="0A7A8C84"/>
    <w:rsid w:val="0A7AA9CD"/>
    <w:rsid w:val="0A7AD1E7"/>
    <w:rsid w:val="0A7DFDF5"/>
    <w:rsid w:val="0A90764D"/>
    <w:rsid w:val="0A972873"/>
    <w:rsid w:val="0A973DA0"/>
    <w:rsid w:val="0A99FC7A"/>
    <w:rsid w:val="0AA08515"/>
    <w:rsid w:val="0AABFD4E"/>
    <w:rsid w:val="0AB12D7C"/>
    <w:rsid w:val="0AB184FA"/>
    <w:rsid w:val="0AB25147"/>
    <w:rsid w:val="0AB635EF"/>
    <w:rsid w:val="0ABC1031"/>
    <w:rsid w:val="0AC65B4C"/>
    <w:rsid w:val="0AC794E2"/>
    <w:rsid w:val="0ACFE153"/>
    <w:rsid w:val="0AE594EC"/>
    <w:rsid w:val="0AE86B7B"/>
    <w:rsid w:val="0AEA3BCB"/>
    <w:rsid w:val="0AF29C03"/>
    <w:rsid w:val="0B253942"/>
    <w:rsid w:val="0B258456"/>
    <w:rsid w:val="0B283DC8"/>
    <w:rsid w:val="0B32D34F"/>
    <w:rsid w:val="0B3482B9"/>
    <w:rsid w:val="0B57D3BB"/>
    <w:rsid w:val="0B593E64"/>
    <w:rsid w:val="0B5A9C27"/>
    <w:rsid w:val="0B758B1F"/>
    <w:rsid w:val="0B75C64B"/>
    <w:rsid w:val="0B765D5C"/>
    <w:rsid w:val="0B7A553B"/>
    <w:rsid w:val="0B811B54"/>
    <w:rsid w:val="0B8A02A2"/>
    <w:rsid w:val="0BB0ABB7"/>
    <w:rsid w:val="0BB7E681"/>
    <w:rsid w:val="0BD25551"/>
    <w:rsid w:val="0BD7DE58"/>
    <w:rsid w:val="0BE2382F"/>
    <w:rsid w:val="0BE2CE43"/>
    <w:rsid w:val="0BE4D4F8"/>
    <w:rsid w:val="0BEC3150"/>
    <w:rsid w:val="0BF4B484"/>
    <w:rsid w:val="0BF65046"/>
    <w:rsid w:val="0C063B6D"/>
    <w:rsid w:val="0C123D16"/>
    <w:rsid w:val="0C27AD72"/>
    <w:rsid w:val="0C3BD279"/>
    <w:rsid w:val="0C50CAC2"/>
    <w:rsid w:val="0C51C7E3"/>
    <w:rsid w:val="0C670633"/>
    <w:rsid w:val="0C76691E"/>
    <w:rsid w:val="0C7867FB"/>
    <w:rsid w:val="0C7B4B98"/>
    <w:rsid w:val="0C7E2D44"/>
    <w:rsid w:val="0C866906"/>
    <w:rsid w:val="0C960C6A"/>
    <w:rsid w:val="0C9618F5"/>
    <w:rsid w:val="0CAC45D6"/>
    <w:rsid w:val="0CB50909"/>
    <w:rsid w:val="0CC629F2"/>
    <w:rsid w:val="0CC93192"/>
    <w:rsid w:val="0CD15B85"/>
    <w:rsid w:val="0CD2F515"/>
    <w:rsid w:val="0CD89A01"/>
    <w:rsid w:val="0CEAF120"/>
    <w:rsid w:val="0CF4F8E0"/>
    <w:rsid w:val="0D0019D5"/>
    <w:rsid w:val="0D06BB89"/>
    <w:rsid w:val="0D08B095"/>
    <w:rsid w:val="0D0BDCDE"/>
    <w:rsid w:val="0D0BDECE"/>
    <w:rsid w:val="0D0FB683"/>
    <w:rsid w:val="0D1385DB"/>
    <w:rsid w:val="0D149205"/>
    <w:rsid w:val="0D14B2DE"/>
    <w:rsid w:val="0D296FA5"/>
    <w:rsid w:val="0D297E4E"/>
    <w:rsid w:val="0D2A5232"/>
    <w:rsid w:val="0D2E9373"/>
    <w:rsid w:val="0D311EF1"/>
    <w:rsid w:val="0D37D861"/>
    <w:rsid w:val="0D3F922F"/>
    <w:rsid w:val="0D472BDB"/>
    <w:rsid w:val="0D50814A"/>
    <w:rsid w:val="0D6D77DD"/>
    <w:rsid w:val="0D730B60"/>
    <w:rsid w:val="0D7506EF"/>
    <w:rsid w:val="0D82F009"/>
    <w:rsid w:val="0D96F7FF"/>
    <w:rsid w:val="0DA610F1"/>
    <w:rsid w:val="0DC4ADD2"/>
    <w:rsid w:val="0DCB626D"/>
    <w:rsid w:val="0DE1D27E"/>
    <w:rsid w:val="0DECED57"/>
    <w:rsid w:val="0E085A0A"/>
    <w:rsid w:val="0E1000A2"/>
    <w:rsid w:val="0E18F544"/>
    <w:rsid w:val="0E20383A"/>
    <w:rsid w:val="0E2246A3"/>
    <w:rsid w:val="0E38395C"/>
    <w:rsid w:val="0E4157BA"/>
    <w:rsid w:val="0E46ED15"/>
    <w:rsid w:val="0E48DCC6"/>
    <w:rsid w:val="0E4E4806"/>
    <w:rsid w:val="0E5206C2"/>
    <w:rsid w:val="0E5A347B"/>
    <w:rsid w:val="0E5C02C2"/>
    <w:rsid w:val="0E6672AD"/>
    <w:rsid w:val="0E69E444"/>
    <w:rsid w:val="0E69E74A"/>
    <w:rsid w:val="0E7534E6"/>
    <w:rsid w:val="0E78D895"/>
    <w:rsid w:val="0E7A5CB7"/>
    <w:rsid w:val="0E7ABA6C"/>
    <w:rsid w:val="0E7BAA2F"/>
    <w:rsid w:val="0E88971E"/>
    <w:rsid w:val="0E8AB9C2"/>
    <w:rsid w:val="0E8DDC98"/>
    <w:rsid w:val="0E928B5A"/>
    <w:rsid w:val="0E92F23C"/>
    <w:rsid w:val="0E9E7B20"/>
    <w:rsid w:val="0EA0A4FB"/>
    <w:rsid w:val="0EA3C439"/>
    <w:rsid w:val="0EAB4972"/>
    <w:rsid w:val="0EC9EF6A"/>
    <w:rsid w:val="0ECA9686"/>
    <w:rsid w:val="0EF64237"/>
    <w:rsid w:val="0EFA7EE5"/>
    <w:rsid w:val="0F045C80"/>
    <w:rsid w:val="0F0987AC"/>
    <w:rsid w:val="0F16A10E"/>
    <w:rsid w:val="0F16ABBC"/>
    <w:rsid w:val="0F1A5ADC"/>
    <w:rsid w:val="0F237619"/>
    <w:rsid w:val="0F2449A6"/>
    <w:rsid w:val="0F246556"/>
    <w:rsid w:val="0F350BB7"/>
    <w:rsid w:val="0F3D12CB"/>
    <w:rsid w:val="0F409E34"/>
    <w:rsid w:val="0F40B8FB"/>
    <w:rsid w:val="0F41DB4A"/>
    <w:rsid w:val="0F43EACD"/>
    <w:rsid w:val="0F49DCBB"/>
    <w:rsid w:val="0F51B239"/>
    <w:rsid w:val="0F52C88A"/>
    <w:rsid w:val="0F5A78D6"/>
    <w:rsid w:val="0F673CE5"/>
    <w:rsid w:val="0F67AB65"/>
    <w:rsid w:val="0F6DBB11"/>
    <w:rsid w:val="0F6F70FF"/>
    <w:rsid w:val="0F6F7F2D"/>
    <w:rsid w:val="0F721DCA"/>
    <w:rsid w:val="0F85B8F0"/>
    <w:rsid w:val="0F860E2F"/>
    <w:rsid w:val="0F867B83"/>
    <w:rsid w:val="0F8BEB48"/>
    <w:rsid w:val="0F921638"/>
    <w:rsid w:val="0F9D6AFE"/>
    <w:rsid w:val="0FB9060F"/>
    <w:rsid w:val="0FBA70B1"/>
    <w:rsid w:val="0FBDF7C7"/>
    <w:rsid w:val="0FD68EA4"/>
    <w:rsid w:val="0FDAA070"/>
    <w:rsid w:val="0FDFB473"/>
    <w:rsid w:val="100AD056"/>
    <w:rsid w:val="1015CDEC"/>
    <w:rsid w:val="101639C1"/>
    <w:rsid w:val="1020F2A9"/>
    <w:rsid w:val="1030CA2B"/>
    <w:rsid w:val="103DD11D"/>
    <w:rsid w:val="103E83C5"/>
    <w:rsid w:val="1048FC42"/>
    <w:rsid w:val="105E1DF8"/>
    <w:rsid w:val="106B507D"/>
    <w:rsid w:val="1085146F"/>
    <w:rsid w:val="10A5189F"/>
    <w:rsid w:val="10A76B5B"/>
    <w:rsid w:val="10B64BAE"/>
    <w:rsid w:val="10B88D10"/>
    <w:rsid w:val="10B95B7F"/>
    <w:rsid w:val="10B98F24"/>
    <w:rsid w:val="10C41026"/>
    <w:rsid w:val="10CBC94B"/>
    <w:rsid w:val="10CFF68F"/>
    <w:rsid w:val="10D95E68"/>
    <w:rsid w:val="10FF2979"/>
    <w:rsid w:val="1109566C"/>
    <w:rsid w:val="1109D327"/>
    <w:rsid w:val="1115594D"/>
    <w:rsid w:val="111B8D7D"/>
    <w:rsid w:val="1125944F"/>
    <w:rsid w:val="1127BBA9"/>
    <w:rsid w:val="112CB728"/>
    <w:rsid w:val="112E50D5"/>
    <w:rsid w:val="11324711"/>
    <w:rsid w:val="11348AD6"/>
    <w:rsid w:val="113B584B"/>
    <w:rsid w:val="11483092"/>
    <w:rsid w:val="114EDAED"/>
    <w:rsid w:val="1154ADF1"/>
    <w:rsid w:val="1156AFA7"/>
    <w:rsid w:val="115D03B5"/>
    <w:rsid w:val="116319B7"/>
    <w:rsid w:val="116758FE"/>
    <w:rsid w:val="11786104"/>
    <w:rsid w:val="117F853B"/>
    <w:rsid w:val="118F19B4"/>
    <w:rsid w:val="119124BA"/>
    <w:rsid w:val="119B4E8C"/>
    <w:rsid w:val="11B16ADD"/>
    <w:rsid w:val="11B26447"/>
    <w:rsid w:val="11B2C7C4"/>
    <w:rsid w:val="11BDC8A0"/>
    <w:rsid w:val="11C3BC7A"/>
    <w:rsid w:val="11D11AE8"/>
    <w:rsid w:val="11D45C9E"/>
    <w:rsid w:val="11E4A97D"/>
    <w:rsid w:val="11FC731B"/>
    <w:rsid w:val="11FF094C"/>
    <w:rsid w:val="1200BF6D"/>
    <w:rsid w:val="12083551"/>
    <w:rsid w:val="120B8781"/>
    <w:rsid w:val="1210AE73"/>
    <w:rsid w:val="121EF5D8"/>
    <w:rsid w:val="1223017E"/>
    <w:rsid w:val="122B58D4"/>
    <w:rsid w:val="122E0AB2"/>
    <w:rsid w:val="123C8094"/>
    <w:rsid w:val="1240E900"/>
    <w:rsid w:val="1248721D"/>
    <w:rsid w:val="124CA2A6"/>
    <w:rsid w:val="124CD86D"/>
    <w:rsid w:val="125298E0"/>
    <w:rsid w:val="1259411E"/>
    <w:rsid w:val="1263786C"/>
    <w:rsid w:val="127105FA"/>
    <w:rsid w:val="1272887E"/>
    <w:rsid w:val="1279CEC3"/>
    <w:rsid w:val="127A3504"/>
    <w:rsid w:val="1282BC20"/>
    <w:rsid w:val="1286A8E0"/>
    <w:rsid w:val="128EBE56"/>
    <w:rsid w:val="1292A455"/>
    <w:rsid w:val="12B08F01"/>
    <w:rsid w:val="12B462ED"/>
    <w:rsid w:val="12B8115D"/>
    <w:rsid w:val="12B8F28C"/>
    <w:rsid w:val="12BE2E93"/>
    <w:rsid w:val="12CE65AB"/>
    <w:rsid w:val="12D533EE"/>
    <w:rsid w:val="12D9AD17"/>
    <w:rsid w:val="12DA3FBA"/>
    <w:rsid w:val="12E6FE76"/>
    <w:rsid w:val="12EB98BE"/>
    <w:rsid w:val="13023B9C"/>
    <w:rsid w:val="130BABA3"/>
    <w:rsid w:val="131A0BD3"/>
    <w:rsid w:val="131CF4A1"/>
    <w:rsid w:val="131F34D4"/>
    <w:rsid w:val="13349D3C"/>
    <w:rsid w:val="1344E7D6"/>
    <w:rsid w:val="1345F11F"/>
    <w:rsid w:val="1347DB85"/>
    <w:rsid w:val="134FAD5B"/>
    <w:rsid w:val="136811BA"/>
    <w:rsid w:val="136CF50F"/>
    <w:rsid w:val="13837B37"/>
    <w:rsid w:val="1389D105"/>
    <w:rsid w:val="13A4DC87"/>
    <w:rsid w:val="13A515BA"/>
    <w:rsid w:val="13BBE082"/>
    <w:rsid w:val="13CB0937"/>
    <w:rsid w:val="13E1E742"/>
    <w:rsid w:val="13EBAA0C"/>
    <w:rsid w:val="13EDE028"/>
    <w:rsid w:val="14438612"/>
    <w:rsid w:val="144CE5E0"/>
    <w:rsid w:val="145339B7"/>
    <w:rsid w:val="1460FB17"/>
    <w:rsid w:val="1461F4A5"/>
    <w:rsid w:val="148EC6AC"/>
    <w:rsid w:val="149E827A"/>
    <w:rsid w:val="14A456AB"/>
    <w:rsid w:val="14AA4F15"/>
    <w:rsid w:val="14AE4235"/>
    <w:rsid w:val="14B6924C"/>
    <w:rsid w:val="14D169BE"/>
    <w:rsid w:val="14D52EB0"/>
    <w:rsid w:val="14DB070A"/>
    <w:rsid w:val="14EDC3E1"/>
    <w:rsid w:val="15018471"/>
    <w:rsid w:val="1503FD26"/>
    <w:rsid w:val="1510BB60"/>
    <w:rsid w:val="151AC0C3"/>
    <w:rsid w:val="151DF757"/>
    <w:rsid w:val="15318F1B"/>
    <w:rsid w:val="1533C936"/>
    <w:rsid w:val="153CB87A"/>
    <w:rsid w:val="153CECF8"/>
    <w:rsid w:val="1550980C"/>
    <w:rsid w:val="155680B5"/>
    <w:rsid w:val="15573D50"/>
    <w:rsid w:val="15588592"/>
    <w:rsid w:val="155C0A0F"/>
    <w:rsid w:val="156A5803"/>
    <w:rsid w:val="156E1BF6"/>
    <w:rsid w:val="156FFB65"/>
    <w:rsid w:val="1571B1E8"/>
    <w:rsid w:val="157F21B4"/>
    <w:rsid w:val="1581AEEE"/>
    <w:rsid w:val="158A135E"/>
    <w:rsid w:val="158FF790"/>
    <w:rsid w:val="159B8DFB"/>
    <w:rsid w:val="15A6F8F8"/>
    <w:rsid w:val="15B99037"/>
    <w:rsid w:val="15C16C9B"/>
    <w:rsid w:val="15C21B4D"/>
    <w:rsid w:val="15C2D29E"/>
    <w:rsid w:val="15C577D4"/>
    <w:rsid w:val="15CFFCC9"/>
    <w:rsid w:val="15D3FDCF"/>
    <w:rsid w:val="15E4CBAF"/>
    <w:rsid w:val="15EC0377"/>
    <w:rsid w:val="15F6ED0F"/>
    <w:rsid w:val="1602B04C"/>
    <w:rsid w:val="160B53BE"/>
    <w:rsid w:val="161422EF"/>
    <w:rsid w:val="16164C82"/>
    <w:rsid w:val="161895B1"/>
    <w:rsid w:val="16195C36"/>
    <w:rsid w:val="161D96E7"/>
    <w:rsid w:val="161E5546"/>
    <w:rsid w:val="162A20CA"/>
    <w:rsid w:val="163D0FCB"/>
    <w:rsid w:val="1642DEE5"/>
    <w:rsid w:val="164A0E91"/>
    <w:rsid w:val="164E84D2"/>
    <w:rsid w:val="1654DD79"/>
    <w:rsid w:val="16568069"/>
    <w:rsid w:val="165A560A"/>
    <w:rsid w:val="1661917A"/>
    <w:rsid w:val="16676892"/>
    <w:rsid w:val="167638E9"/>
    <w:rsid w:val="16783D1C"/>
    <w:rsid w:val="167F63BF"/>
    <w:rsid w:val="16848698"/>
    <w:rsid w:val="16871623"/>
    <w:rsid w:val="16872967"/>
    <w:rsid w:val="169883CB"/>
    <w:rsid w:val="1699265E"/>
    <w:rsid w:val="16A01742"/>
    <w:rsid w:val="16A6252D"/>
    <w:rsid w:val="16B91DDE"/>
    <w:rsid w:val="16BA6532"/>
    <w:rsid w:val="16BD0492"/>
    <w:rsid w:val="16C1458A"/>
    <w:rsid w:val="16C6858A"/>
    <w:rsid w:val="16CC6E19"/>
    <w:rsid w:val="16CD5F7C"/>
    <w:rsid w:val="16CE33A0"/>
    <w:rsid w:val="16DF3199"/>
    <w:rsid w:val="16E347C9"/>
    <w:rsid w:val="16E39D18"/>
    <w:rsid w:val="16E706CD"/>
    <w:rsid w:val="16EE2664"/>
    <w:rsid w:val="170E14AB"/>
    <w:rsid w:val="1717D370"/>
    <w:rsid w:val="1735FECD"/>
    <w:rsid w:val="173B5EB5"/>
    <w:rsid w:val="173C52AD"/>
    <w:rsid w:val="17608BF3"/>
    <w:rsid w:val="17647340"/>
    <w:rsid w:val="176E3D83"/>
    <w:rsid w:val="1770B929"/>
    <w:rsid w:val="17748A9E"/>
    <w:rsid w:val="1778DC5C"/>
    <w:rsid w:val="177ECA8D"/>
    <w:rsid w:val="1780BE4F"/>
    <w:rsid w:val="178D7ADE"/>
    <w:rsid w:val="178F7473"/>
    <w:rsid w:val="1792DBDF"/>
    <w:rsid w:val="179849B3"/>
    <w:rsid w:val="179968E0"/>
    <w:rsid w:val="179B04A6"/>
    <w:rsid w:val="17A279C3"/>
    <w:rsid w:val="17A66B21"/>
    <w:rsid w:val="17A88465"/>
    <w:rsid w:val="17AB04B1"/>
    <w:rsid w:val="17ACAE03"/>
    <w:rsid w:val="17C72CB2"/>
    <w:rsid w:val="17DD8870"/>
    <w:rsid w:val="17E1630C"/>
    <w:rsid w:val="17E7CFE8"/>
    <w:rsid w:val="17EE191D"/>
    <w:rsid w:val="17F3FB5C"/>
    <w:rsid w:val="17F8E908"/>
    <w:rsid w:val="17FADFA0"/>
    <w:rsid w:val="17FAE9D9"/>
    <w:rsid w:val="17FAF35D"/>
    <w:rsid w:val="1804659E"/>
    <w:rsid w:val="1804CD99"/>
    <w:rsid w:val="1810648D"/>
    <w:rsid w:val="181215BE"/>
    <w:rsid w:val="18231868"/>
    <w:rsid w:val="1825D773"/>
    <w:rsid w:val="1826B2BD"/>
    <w:rsid w:val="182FF073"/>
    <w:rsid w:val="18301502"/>
    <w:rsid w:val="18323FAA"/>
    <w:rsid w:val="1836A1D8"/>
    <w:rsid w:val="18406632"/>
    <w:rsid w:val="18458C8E"/>
    <w:rsid w:val="184EED41"/>
    <w:rsid w:val="1856740F"/>
    <w:rsid w:val="185B3446"/>
    <w:rsid w:val="18603C7A"/>
    <w:rsid w:val="1869FA53"/>
    <w:rsid w:val="186EDE4C"/>
    <w:rsid w:val="186F8D90"/>
    <w:rsid w:val="1876EEB9"/>
    <w:rsid w:val="1883B1C6"/>
    <w:rsid w:val="188562A9"/>
    <w:rsid w:val="1887C1AC"/>
    <w:rsid w:val="18A07638"/>
    <w:rsid w:val="18A79C27"/>
    <w:rsid w:val="18B1F3CE"/>
    <w:rsid w:val="18B567B6"/>
    <w:rsid w:val="18B8057B"/>
    <w:rsid w:val="18B8839F"/>
    <w:rsid w:val="18C0C484"/>
    <w:rsid w:val="18D5FB88"/>
    <w:rsid w:val="18DD7604"/>
    <w:rsid w:val="18E715EE"/>
    <w:rsid w:val="18E9E727"/>
    <w:rsid w:val="18FE55FB"/>
    <w:rsid w:val="1914A090"/>
    <w:rsid w:val="192BA3D6"/>
    <w:rsid w:val="193AB890"/>
    <w:rsid w:val="194CC8D7"/>
    <w:rsid w:val="195D2FDD"/>
    <w:rsid w:val="19619F4B"/>
    <w:rsid w:val="1961B4C9"/>
    <w:rsid w:val="19647195"/>
    <w:rsid w:val="1971DE03"/>
    <w:rsid w:val="1975FE58"/>
    <w:rsid w:val="19875C66"/>
    <w:rsid w:val="19932208"/>
    <w:rsid w:val="19978672"/>
    <w:rsid w:val="19989D04"/>
    <w:rsid w:val="199C643E"/>
    <w:rsid w:val="19A3DC9A"/>
    <w:rsid w:val="19ADB584"/>
    <w:rsid w:val="19B8141E"/>
    <w:rsid w:val="19B879CB"/>
    <w:rsid w:val="19B8B1AF"/>
    <w:rsid w:val="19BE32B1"/>
    <w:rsid w:val="19BFC9C2"/>
    <w:rsid w:val="19C928A4"/>
    <w:rsid w:val="19CCBFF6"/>
    <w:rsid w:val="19D7210F"/>
    <w:rsid w:val="19D97A5D"/>
    <w:rsid w:val="19DFD9FE"/>
    <w:rsid w:val="19F0FBC1"/>
    <w:rsid w:val="19FB18C4"/>
    <w:rsid w:val="19FC463E"/>
    <w:rsid w:val="1A05329D"/>
    <w:rsid w:val="1A0A9043"/>
    <w:rsid w:val="1A14D7E7"/>
    <w:rsid w:val="1A1ED4E7"/>
    <w:rsid w:val="1A2B909C"/>
    <w:rsid w:val="1A2D38F7"/>
    <w:rsid w:val="1A31EFC2"/>
    <w:rsid w:val="1A34C82A"/>
    <w:rsid w:val="1A34E75F"/>
    <w:rsid w:val="1A3A01F2"/>
    <w:rsid w:val="1A406E70"/>
    <w:rsid w:val="1A4C57BD"/>
    <w:rsid w:val="1A4D5FA2"/>
    <w:rsid w:val="1A588C46"/>
    <w:rsid w:val="1A5FFBBA"/>
    <w:rsid w:val="1A80A430"/>
    <w:rsid w:val="1A86532F"/>
    <w:rsid w:val="1A8AB5ED"/>
    <w:rsid w:val="1A8B7B3B"/>
    <w:rsid w:val="1A8F2F03"/>
    <w:rsid w:val="1A95582B"/>
    <w:rsid w:val="1A97265B"/>
    <w:rsid w:val="1A99CCE0"/>
    <w:rsid w:val="1A9CA23E"/>
    <w:rsid w:val="1AB070F1"/>
    <w:rsid w:val="1AB54B83"/>
    <w:rsid w:val="1AB8EBD1"/>
    <w:rsid w:val="1AB9EC9E"/>
    <w:rsid w:val="1ABB096E"/>
    <w:rsid w:val="1AC51670"/>
    <w:rsid w:val="1AE63C12"/>
    <w:rsid w:val="1AE7476F"/>
    <w:rsid w:val="1AF792EF"/>
    <w:rsid w:val="1AFF241C"/>
    <w:rsid w:val="1B0BD2DB"/>
    <w:rsid w:val="1B103F15"/>
    <w:rsid w:val="1B1CF156"/>
    <w:rsid w:val="1B2D062F"/>
    <w:rsid w:val="1B42D7AA"/>
    <w:rsid w:val="1B55A6D7"/>
    <w:rsid w:val="1B584877"/>
    <w:rsid w:val="1B604DF0"/>
    <w:rsid w:val="1B70E50B"/>
    <w:rsid w:val="1B7CDEAD"/>
    <w:rsid w:val="1B8264E0"/>
    <w:rsid w:val="1B8AE6C3"/>
    <w:rsid w:val="1B928893"/>
    <w:rsid w:val="1BB4F366"/>
    <w:rsid w:val="1BBA82CA"/>
    <w:rsid w:val="1BBACC95"/>
    <w:rsid w:val="1BBFC1D8"/>
    <w:rsid w:val="1BC7C716"/>
    <w:rsid w:val="1BD6F8F3"/>
    <w:rsid w:val="1BD881EF"/>
    <w:rsid w:val="1BDB3622"/>
    <w:rsid w:val="1BE76E3F"/>
    <w:rsid w:val="1BE7CB46"/>
    <w:rsid w:val="1BED50DB"/>
    <w:rsid w:val="1BED5773"/>
    <w:rsid w:val="1BF2DCCE"/>
    <w:rsid w:val="1BFE28C2"/>
    <w:rsid w:val="1C05BCDD"/>
    <w:rsid w:val="1C0F02AB"/>
    <w:rsid w:val="1C13A5D3"/>
    <w:rsid w:val="1C1A9DE4"/>
    <w:rsid w:val="1C1B586A"/>
    <w:rsid w:val="1C1DB631"/>
    <w:rsid w:val="1C1F2375"/>
    <w:rsid w:val="1C2462A0"/>
    <w:rsid w:val="1C2E063F"/>
    <w:rsid w:val="1C41FA54"/>
    <w:rsid w:val="1C4E576F"/>
    <w:rsid w:val="1C4FCF37"/>
    <w:rsid w:val="1C51378B"/>
    <w:rsid w:val="1C55A8B6"/>
    <w:rsid w:val="1C5930BF"/>
    <w:rsid w:val="1C5D542C"/>
    <w:rsid w:val="1C5D6DA1"/>
    <w:rsid w:val="1C5FE511"/>
    <w:rsid w:val="1C6A0AF5"/>
    <w:rsid w:val="1C7F3932"/>
    <w:rsid w:val="1C818DDA"/>
    <w:rsid w:val="1C8D96CA"/>
    <w:rsid w:val="1C9A7426"/>
    <w:rsid w:val="1CB0A4F5"/>
    <w:rsid w:val="1CB27BDB"/>
    <w:rsid w:val="1CB2C7A2"/>
    <w:rsid w:val="1CC7E981"/>
    <w:rsid w:val="1CD0ABFD"/>
    <w:rsid w:val="1CD897FF"/>
    <w:rsid w:val="1CDCF66D"/>
    <w:rsid w:val="1CDEC9C5"/>
    <w:rsid w:val="1CF86B7F"/>
    <w:rsid w:val="1D1A77E5"/>
    <w:rsid w:val="1D306AE9"/>
    <w:rsid w:val="1D37A840"/>
    <w:rsid w:val="1D6F73A5"/>
    <w:rsid w:val="1D86EDF0"/>
    <w:rsid w:val="1D8764AC"/>
    <w:rsid w:val="1D87C761"/>
    <w:rsid w:val="1D95E36C"/>
    <w:rsid w:val="1D99430D"/>
    <w:rsid w:val="1DA1BB50"/>
    <w:rsid w:val="1DAA58D5"/>
    <w:rsid w:val="1DBE50A5"/>
    <w:rsid w:val="1DC547FD"/>
    <w:rsid w:val="1DD3BE42"/>
    <w:rsid w:val="1DE5FEC0"/>
    <w:rsid w:val="1DEBD7DB"/>
    <w:rsid w:val="1DF2A62D"/>
    <w:rsid w:val="1E004884"/>
    <w:rsid w:val="1E02F2C8"/>
    <w:rsid w:val="1E07BFFB"/>
    <w:rsid w:val="1E1CC492"/>
    <w:rsid w:val="1E1E2654"/>
    <w:rsid w:val="1E20CB0F"/>
    <w:rsid w:val="1E275A99"/>
    <w:rsid w:val="1E296B80"/>
    <w:rsid w:val="1E2E2002"/>
    <w:rsid w:val="1E36B000"/>
    <w:rsid w:val="1E46BBDC"/>
    <w:rsid w:val="1E549218"/>
    <w:rsid w:val="1E54C76A"/>
    <w:rsid w:val="1E6565A7"/>
    <w:rsid w:val="1E76AAE3"/>
    <w:rsid w:val="1E79D194"/>
    <w:rsid w:val="1E7DBB6B"/>
    <w:rsid w:val="1E7F83D5"/>
    <w:rsid w:val="1E8084AD"/>
    <w:rsid w:val="1E829A72"/>
    <w:rsid w:val="1E8DC4AE"/>
    <w:rsid w:val="1E8E94D4"/>
    <w:rsid w:val="1E93B42E"/>
    <w:rsid w:val="1E9EFE65"/>
    <w:rsid w:val="1EA01EB3"/>
    <w:rsid w:val="1EABB5EE"/>
    <w:rsid w:val="1EAC22F2"/>
    <w:rsid w:val="1EB1A1E3"/>
    <w:rsid w:val="1EB2E711"/>
    <w:rsid w:val="1EBA81CF"/>
    <w:rsid w:val="1EC0600D"/>
    <w:rsid w:val="1EC444C3"/>
    <w:rsid w:val="1ECD87DE"/>
    <w:rsid w:val="1EDAD1CB"/>
    <w:rsid w:val="1EE45083"/>
    <w:rsid w:val="1EEC394D"/>
    <w:rsid w:val="1EF3CF4C"/>
    <w:rsid w:val="1EF5C4AE"/>
    <w:rsid w:val="1EFB377A"/>
    <w:rsid w:val="1EFB7663"/>
    <w:rsid w:val="1F13F68A"/>
    <w:rsid w:val="1F2E8A46"/>
    <w:rsid w:val="1F343E8D"/>
    <w:rsid w:val="1F3815FA"/>
    <w:rsid w:val="1F391649"/>
    <w:rsid w:val="1F39D372"/>
    <w:rsid w:val="1F425AF6"/>
    <w:rsid w:val="1F49F4D6"/>
    <w:rsid w:val="1F4F9DC5"/>
    <w:rsid w:val="1F50A6DF"/>
    <w:rsid w:val="1F67DCEC"/>
    <w:rsid w:val="1F68B178"/>
    <w:rsid w:val="1F709A5E"/>
    <w:rsid w:val="1F768AEF"/>
    <w:rsid w:val="1F7DC41D"/>
    <w:rsid w:val="1F7E5D7B"/>
    <w:rsid w:val="1F7F0A50"/>
    <w:rsid w:val="1F8E335B"/>
    <w:rsid w:val="1F91A6E8"/>
    <w:rsid w:val="1FA03108"/>
    <w:rsid w:val="1FA1B83E"/>
    <w:rsid w:val="1FA43969"/>
    <w:rsid w:val="1FB1C51D"/>
    <w:rsid w:val="1FB4161B"/>
    <w:rsid w:val="1FB4B814"/>
    <w:rsid w:val="1FB7DAB3"/>
    <w:rsid w:val="1FBB7CA0"/>
    <w:rsid w:val="1FC37EA0"/>
    <w:rsid w:val="1FC509BF"/>
    <w:rsid w:val="1FCDD0DC"/>
    <w:rsid w:val="1FE8C509"/>
    <w:rsid w:val="1FE9E2DD"/>
    <w:rsid w:val="1FF11D16"/>
    <w:rsid w:val="1FF7B792"/>
    <w:rsid w:val="2002FAA2"/>
    <w:rsid w:val="2015A1F5"/>
    <w:rsid w:val="201C94A6"/>
    <w:rsid w:val="201FF361"/>
    <w:rsid w:val="202E9F1E"/>
    <w:rsid w:val="202F19D1"/>
    <w:rsid w:val="2038EA36"/>
    <w:rsid w:val="20461E00"/>
    <w:rsid w:val="2047BBE8"/>
    <w:rsid w:val="20603D8D"/>
    <w:rsid w:val="206105BC"/>
    <w:rsid w:val="206BC044"/>
    <w:rsid w:val="2074645D"/>
    <w:rsid w:val="207D0D95"/>
    <w:rsid w:val="20869547"/>
    <w:rsid w:val="208E166B"/>
    <w:rsid w:val="2090786B"/>
    <w:rsid w:val="209B3839"/>
    <w:rsid w:val="20A0B38C"/>
    <w:rsid w:val="20A32EF4"/>
    <w:rsid w:val="20ACF18F"/>
    <w:rsid w:val="20B873F7"/>
    <w:rsid w:val="20BBAB82"/>
    <w:rsid w:val="20C62CC1"/>
    <w:rsid w:val="20C83302"/>
    <w:rsid w:val="20D04B2B"/>
    <w:rsid w:val="20DACC45"/>
    <w:rsid w:val="20E26AD4"/>
    <w:rsid w:val="20EE0F07"/>
    <w:rsid w:val="21026FEB"/>
    <w:rsid w:val="21099077"/>
    <w:rsid w:val="210CF048"/>
    <w:rsid w:val="21171386"/>
    <w:rsid w:val="211BA319"/>
    <w:rsid w:val="212084E1"/>
    <w:rsid w:val="212A1DA5"/>
    <w:rsid w:val="212D38EA"/>
    <w:rsid w:val="2137EA2B"/>
    <w:rsid w:val="2149E713"/>
    <w:rsid w:val="214FE5F2"/>
    <w:rsid w:val="215C0EDD"/>
    <w:rsid w:val="2162C184"/>
    <w:rsid w:val="21643C58"/>
    <w:rsid w:val="216D00A7"/>
    <w:rsid w:val="216DB548"/>
    <w:rsid w:val="2180104F"/>
    <w:rsid w:val="2187BF17"/>
    <w:rsid w:val="2188266D"/>
    <w:rsid w:val="218C741A"/>
    <w:rsid w:val="2191F8DF"/>
    <w:rsid w:val="219410D8"/>
    <w:rsid w:val="21967D6F"/>
    <w:rsid w:val="21A670FF"/>
    <w:rsid w:val="21AECB4B"/>
    <w:rsid w:val="21B90983"/>
    <w:rsid w:val="21BCEA1D"/>
    <w:rsid w:val="21BD25AA"/>
    <w:rsid w:val="21C8FF7C"/>
    <w:rsid w:val="21D06022"/>
    <w:rsid w:val="21D13B7E"/>
    <w:rsid w:val="21D2BD8A"/>
    <w:rsid w:val="21DD22F1"/>
    <w:rsid w:val="21DD560B"/>
    <w:rsid w:val="21DFEC23"/>
    <w:rsid w:val="21E259AF"/>
    <w:rsid w:val="21E379F6"/>
    <w:rsid w:val="21E4602D"/>
    <w:rsid w:val="2202DDF3"/>
    <w:rsid w:val="22131C92"/>
    <w:rsid w:val="2215364B"/>
    <w:rsid w:val="221CD39E"/>
    <w:rsid w:val="221D622D"/>
    <w:rsid w:val="222592FC"/>
    <w:rsid w:val="2231432B"/>
    <w:rsid w:val="2234A591"/>
    <w:rsid w:val="2237089A"/>
    <w:rsid w:val="223CFC8E"/>
    <w:rsid w:val="223EF0D0"/>
    <w:rsid w:val="2259C151"/>
    <w:rsid w:val="225C1DC9"/>
    <w:rsid w:val="2260F1EF"/>
    <w:rsid w:val="2266E70A"/>
    <w:rsid w:val="227047B9"/>
    <w:rsid w:val="22783027"/>
    <w:rsid w:val="22894A7E"/>
    <w:rsid w:val="228AF724"/>
    <w:rsid w:val="2293EEA6"/>
    <w:rsid w:val="2294E01D"/>
    <w:rsid w:val="229A803F"/>
    <w:rsid w:val="22A34507"/>
    <w:rsid w:val="22A479A8"/>
    <w:rsid w:val="22A5E8DE"/>
    <w:rsid w:val="22B334AD"/>
    <w:rsid w:val="22B44B49"/>
    <w:rsid w:val="22CB51B3"/>
    <w:rsid w:val="22CC0FA0"/>
    <w:rsid w:val="22D84CF3"/>
    <w:rsid w:val="22DB0B6B"/>
    <w:rsid w:val="22EC98C1"/>
    <w:rsid w:val="22FBD595"/>
    <w:rsid w:val="2308ADE1"/>
    <w:rsid w:val="230F2AF7"/>
    <w:rsid w:val="231205BC"/>
    <w:rsid w:val="2319B0DD"/>
    <w:rsid w:val="232F5BFE"/>
    <w:rsid w:val="235948B7"/>
    <w:rsid w:val="235CEDEA"/>
    <w:rsid w:val="2365CE63"/>
    <w:rsid w:val="23712514"/>
    <w:rsid w:val="2385453D"/>
    <w:rsid w:val="238D26BB"/>
    <w:rsid w:val="2394C890"/>
    <w:rsid w:val="239992AC"/>
    <w:rsid w:val="239A7CEC"/>
    <w:rsid w:val="23A67364"/>
    <w:rsid w:val="23AB920F"/>
    <w:rsid w:val="23B3D2E9"/>
    <w:rsid w:val="23BD8D4D"/>
    <w:rsid w:val="23C35CF6"/>
    <w:rsid w:val="23C633D6"/>
    <w:rsid w:val="23C6EC3F"/>
    <w:rsid w:val="23C990B0"/>
    <w:rsid w:val="23CCE3B3"/>
    <w:rsid w:val="23DCB639"/>
    <w:rsid w:val="23E1EAB8"/>
    <w:rsid w:val="23E1FD22"/>
    <w:rsid w:val="23EE5A74"/>
    <w:rsid w:val="23F36EC4"/>
    <w:rsid w:val="23F57114"/>
    <w:rsid w:val="2404CBA6"/>
    <w:rsid w:val="240901FE"/>
    <w:rsid w:val="240A287F"/>
    <w:rsid w:val="24160459"/>
    <w:rsid w:val="2424E6B5"/>
    <w:rsid w:val="242899C4"/>
    <w:rsid w:val="242D760B"/>
    <w:rsid w:val="242F3128"/>
    <w:rsid w:val="2435D06F"/>
    <w:rsid w:val="243A3F52"/>
    <w:rsid w:val="243D2423"/>
    <w:rsid w:val="243ED4F2"/>
    <w:rsid w:val="244728F5"/>
    <w:rsid w:val="2449BF76"/>
    <w:rsid w:val="244D0E43"/>
    <w:rsid w:val="247B64E8"/>
    <w:rsid w:val="247F8052"/>
    <w:rsid w:val="248CBE27"/>
    <w:rsid w:val="248ED539"/>
    <w:rsid w:val="24996373"/>
    <w:rsid w:val="249BFB51"/>
    <w:rsid w:val="249E2647"/>
    <w:rsid w:val="24A89DA5"/>
    <w:rsid w:val="24BAC018"/>
    <w:rsid w:val="24C98A27"/>
    <w:rsid w:val="24D07399"/>
    <w:rsid w:val="24D4A72B"/>
    <w:rsid w:val="24D5A792"/>
    <w:rsid w:val="24E1C0FD"/>
    <w:rsid w:val="24E3819C"/>
    <w:rsid w:val="24E78D88"/>
    <w:rsid w:val="24FF5630"/>
    <w:rsid w:val="2503080D"/>
    <w:rsid w:val="2509EA4F"/>
    <w:rsid w:val="250B5224"/>
    <w:rsid w:val="25119311"/>
    <w:rsid w:val="2524ADB6"/>
    <w:rsid w:val="252926DC"/>
    <w:rsid w:val="25319D20"/>
    <w:rsid w:val="2535C5D6"/>
    <w:rsid w:val="253DA159"/>
    <w:rsid w:val="25409ADF"/>
    <w:rsid w:val="2551FB62"/>
    <w:rsid w:val="2553CB51"/>
    <w:rsid w:val="25613C34"/>
    <w:rsid w:val="2563760B"/>
    <w:rsid w:val="2567C3A6"/>
    <w:rsid w:val="2569212C"/>
    <w:rsid w:val="256B2092"/>
    <w:rsid w:val="256F65DC"/>
    <w:rsid w:val="2588F6EE"/>
    <w:rsid w:val="2593A577"/>
    <w:rsid w:val="259846E2"/>
    <w:rsid w:val="259FB897"/>
    <w:rsid w:val="25A2B95F"/>
    <w:rsid w:val="25ADA0D8"/>
    <w:rsid w:val="25B9F82F"/>
    <w:rsid w:val="25C1802A"/>
    <w:rsid w:val="25CF47DC"/>
    <w:rsid w:val="25D563E6"/>
    <w:rsid w:val="25D67C68"/>
    <w:rsid w:val="25DBDEF4"/>
    <w:rsid w:val="25DC4877"/>
    <w:rsid w:val="25E4F3DF"/>
    <w:rsid w:val="25EAC6A2"/>
    <w:rsid w:val="25F0DF0A"/>
    <w:rsid w:val="25F43AF8"/>
    <w:rsid w:val="25F8489C"/>
    <w:rsid w:val="25F983D0"/>
    <w:rsid w:val="260121E1"/>
    <w:rsid w:val="260196DB"/>
    <w:rsid w:val="260F5871"/>
    <w:rsid w:val="2615741D"/>
    <w:rsid w:val="261B4E78"/>
    <w:rsid w:val="261D8646"/>
    <w:rsid w:val="261E7CD5"/>
    <w:rsid w:val="262349B1"/>
    <w:rsid w:val="2631436B"/>
    <w:rsid w:val="263759E0"/>
    <w:rsid w:val="2642E100"/>
    <w:rsid w:val="2648C3F7"/>
    <w:rsid w:val="265AAE8A"/>
    <w:rsid w:val="265D3B2C"/>
    <w:rsid w:val="2669D42D"/>
    <w:rsid w:val="2678FF0B"/>
    <w:rsid w:val="267CBC93"/>
    <w:rsid w:val="268C705C"/>
    <w:rsid w:val="269B5618"/>
    <w:rsid w:val="269B8CA7"/>
    <w:rsid w:val="26CA6A40"/>
    <w:rsid w:val="26CA95BC"/>
    <w:rsid w:val="26CAC1ED"/>
    <w:rsid w:val="26CE9977"/>
    <w:rsid w:val="26D46CA7"/>
    <w:rsid w:val="26D65087"/>
    <w:rsid w:val="26D90AC9"/>
    <w:rsid w:val="26E45257"/>
    <w:rsid w:val="26E6AD8A"/>
    <w:rsid w:val="26E97682"/>
    <w:rsid w:val="270109CC"/>
    <w:rsid w:val="27068ACE"/>
    <w:rsid w:val="2708D847"/>
    <w:rsid w:val="270B9C48"/>
    <w:rsid w:val="2712BB15"/>
    <w:rsid w:val="271A27F3"/>
    <w:rsid w:val="27206699"/>
    <w:rsid w:val="272342F3"/>
    <w:rsid w:val="272EB70C"/>
    <w:rsid w:val="273024B4"/>
    <w:rsid w:val="2739CCC7"/>
    <w:rsid w:val="274695FB"/>
    <w:rsid w:val="2748AA74"/>
    <w:rsid w:val="2748D12C"/>
    <w:rsid w:val="2748EDD8"/>
    <w:rsid w:val="274E16F8"/>
    <w:rsid w:val="275988D1"/>
    <w:rsid w:val="275BDC25"/>
    <w:rsid w:val="276D36B6"/>
    <w:rsid w:val="2774C4E5"/>
    <w:rsid w:val="27797D73"/>
    <w:rsid w:val="2779D854"/>
    <w:rsid w:val="277E16C3"/>
    <w:rsid w:val="277EA84B"/>
    <w:rsid w:val="27963FE3"/>
    <w:rsid w:val="279FE56A"/>
    <w:rsid w:val="279FF204"/>
    <w:rsid w:val="27A217CE"/>
    <w:rsid w:val="27B07D77"/>
    <w:rsid w:val="27BAA801"/>
    <w:rsid w:val="27BB28C7"/>
    <w:rsid w:val="27BB81A0"/>
    <w:rsid w:val="27C13C74"/>
    <w:rsid w:val="27C338CF"/>
    <w:rsid w:val="27CBBAF1"/>
    <w:rsid w:val="27D33DE7"/>
    <w:rsid w:val="27D599C0"/>
    <w:rsid w:val="27D8B63D"/>
    <w:rsid w:val="27E0931D"/>
    <w:rsid w:val="27EB2AB5"/>
    <w:rsid w:val="27EB681E"/>
    <w:rsid w:val="27F7CEA9"/>
    <w:rsid w:val="27F83E78"/>
    <w:rsid w:val="2801DF07"/>
    <w:rsid w:val="28045A13"/>
    <w:rsid w:val="28162548"/>
    <w:rsid w:val="281F40DC"/>
    <w:rsid w:val="28355F22"/>
    <w:rsid w:val="283C174A"/>
    <w:rsid w:val="28409232"/>
    <w:rsid w:val="2854A5BB"/>
    <w:rsid w:val="285C4E78"/>
    <w:rsid w:val="285E4E16"/>
    <w:rsid w:val="286DBA86"/>
    <w:rsid w:val="28721F77"/>
    <w:rsid w:val="2879657C"/>
    <w:rsid w:val="287C141A"/>
    <w:rsid w:val="287FCE79"/>
    <w:rsid w:val="28820FCD"/>
    <w:rsid w:val="28836A02"/>
    <w:rsid w:val="2891C3A7"/>
    <w:rsid w:val="2894B4DC"/>
    <w:rsid w:val="289DEC07"/>
    <w:rsid w:val="28A04EE3"/>
    <w:rsid w:val="28AEA42F"/>
    <w:rsid w:val="28B5D3FE"/>
    <w:rsid w:val="28B7D622"/>
    <w:rsid w:val="28BB7048"/>
    <w:rsid w:val="28BE4CB8"/>
    <w:rsid w:val="28DFFBEA"/>
    <w:rsid w:val="28FDC156"/>
    <w:rsid w:val="290AB533"/>
    <w:rsid w:val="292558A1"/>
    <w:rsid w:val="292EB221"/>
    <w:rsid w:val="2931A3E0"/>
    <w:rsid w:val="29414061"/>
    <w:rsid w:val="29461150"/>
    <w:rsid w:val="294B5EEE"/>
    <w:rsid w:val="294D324E"/>
    <w:rsid w:val="29559A0C"/>
    <w:rsid w:val="2961A5B7"/>
    <w:rsid w:val="296C7276"/>
    <w:rsid w:val="2974AD84"/>
    <w:rsid w:val="297BFCF5"/>
    <w:rsid w:val="297F6604"/>
    <w:rsid w:val="2983E59B"/>
    <w:rsid w:val="299C84AA"/>
    <w:rsid w:val="29AAE8C1"/>
    <w:rsid w:val="29AE7508"/>
    <w:rsid w:val="29B00BF8"/>
    <w:rsid w:val="29B147F6"/>
    <w:rsid w:val="29BFD681"/>
    <w:rsid w:val="29C85A9D"/>
    <w:rsid w:val="29CADCF5"/>
    <w:rsid w:val="29CFEA7D"/>
    <w:rsid w:val="29D52E59"/>
    <w:rsid w:val="29DAD66F"/>
    <w:rsid w:val="29DF1471"/>
    <w:rsid w:val="29DFB9EE"/>
    <w:rsid w:val="29E1B10C"/>
    <w:rsid w:val="29E59E4D"/>
    <w:rsid w:val="29E69DD4"/>
    <w:rsid w:val="29EC185B"/>
    <w:rsid w:val="29EDA810"/>
    <w:rsid w:val="29F2372D"/>
    <w:rsid w:val="29F4F3FB"/>
    <w:rsid w:val="29F5789B"/>
    <w:rsid w:val="29F599B8"/>
    <w:rsid w:val="29FB7F3D"/>
    <w:rsid w:val="2A00E7A5"/>
    <w:rsid w:val="2A17E47B"/>
    <w:rsid w:val="2A2146AD"/>
    <w:rsid w:val="2A21B63D"/>
    <w:rsid w:val="2A2680EC"/>
    <w:rsid w:val="2A30C034"/>
    <w:rsid w:val="2A599052"/>
    <w:rsid w:val="2A75FF51"/>
    <w:rsid w:val="2A7C9895"/>
    <w:rsid w:val="2A7F0286"/>
    <w:rsid w:val="2A8577C9"/>
    <w:rsid w:val="2A89A15F"/>
    <w:rsid w:val="2A8B07B2"/>
    <w:rsid w:val="2A9651FE"/>
    <w:rsid w:val="2A973CF7"/>
    <w:rsid w:val="2A9E526E"/>
    <w:rsid w:val="2AA51F51"/>
    <w:rsid w:val="2AA81976"/>
    <w:rsid w:val="2AC5E5DE"/>
    <w:rsid w:val="2AC82EA7"/>
    <w:rsid w:val="2ACCF4F3"/>
    <w:rsid w:val="2AE06D94"/>
    <w:rsid w:val="2AEF0F5F"/>
    <w:rsid w:val="2AF48E5C"/>
    <w:rsid w:val="2AFD1076"/>
    <w:rsid w:val="2AFD2E9B"/>
    <w:rsid w:val="2AFE19AC"/>
    <w:rsid w:val="2B05159E"/>
    <w:rsid w:val="2B0A94A1"/>
    <w:rsid w:val="2B15130D"/>
    <w:rsid w:val="2B20A97A"/>
    <w:rsid w:val="2B24CC7D"/>
    <w:rsid w:val="2B3C27AC"/>
    <w:rsid w:val="2B4CA22C"/>
    <w:rsid w:val="2B58CB37"/>
    <w:rsid w:val="2B7D0BE0"/>
    <w:rsid w:val="2B7DDE89"/>
    <w:rsid w:val="2B821C6C"/>
    <w:rsid w:val="2B865230"/>
    <w:rsid w:val="2B89BAF3"/>
    <w:rsid w:val="2B8FBE4D"/>
    <w:rsid w:val="2B945982"/>
    <w:rsid w:val="2B9DD786"/>
    <w:rsid w:val="2BA3D97B"/>
    <w:rsid w:val="2BA8156B"/>
    <w:rsid w:val="2BAFFDFC"/>
    <w:rsid w:val="2BB0E5A9"/>
    <w:rsid w:val="2BB8C618"/>
    <w:rsid w:val="2BD53513"/>
    <w:rsid w:val="2BDE0B1D"/>
    <w:rsid w:val="2BF12A62"/>
    <w:rsid w:val="2BF560B3"/>
    <w:rsid w:val="2BF976CA"/>
    <w:rsid w:val="2BFD4E39"/>
    <w:rsid w:val="2C0C0060"/>
    <w:rsid w:val="2C0D6289"/>
    <w:rsid w:val="2C109520"/>
    <w:rsid w:val="2C10E18D"/>
    <w:rsid w:val="2C194C9F"/>
    <w:rsid w:val="2C1CBDCA"/>
    <w:rsid w:val="2C223DA8"/>
    <w:rsid w:val="2C2BF981"/>
    <w:rsid w:val="2C3D4383"/>
    <w:rsid w:val="2C480C5E"/>
    <w:rsid w:val="2C49F9ED"/>
    <w:rsid w:val="2C4F1479"/>
    <w:rsid w:val="2C570193"/>
    <w:rsid w:val="2C59993F"/>
    <w:rsid w:val="2C5FAA74"/>
    <w:rsid w:val="2C6DE32A"/>
    <w:rsid w:val="2C8BBA7C"/>
    <w:rsid w:val="2C98E0D7"/>
    <w:rsid w:val="2C9B6A12"/>
    <w:rsid w:val="2C9C6BC7"/>
    <w:rsid w:val="2CA08426"/>
    <w:rsid w:val="2CA0997A"/>
    <w:rsid w:val="2CAB85C9"/>
    <w:rsid w:val="2CAC0318"/>
    <w:rsid w:val="2CB7E9E1"/>
    <w:rsid w:val="2CBAA224"/>
    <w:rsid w:val="2CD1D780"/>
    <w:rsid w:val="2CD8CAAB"/>
    <w:rsid w:val="2CE012C3"/>
    <w:rsid w:val="2CF39A21"/>
    <w:rsid w:val="2D077055"/>
    <w:rsid w:val="2D124880"/>
    <w:rsid w:val="2D13F936"/>
    <w:rsid w:val="2D178EFD"/>
    <w:rsid w:val="2D1FEBC4"/>
    <w:rsid w:val="2D30193E"/>
    <w:rsid w:val="2D326149"/>
    <w:rsid w:val="2D328467"/>
    <w:rsid w:val="2D398E16"/>
    <w:rsid w:val="2D3B438E"/>
    <w:rsid w:val="2D3B55A9"/>
    <w:rsid w:val="2D3BF4E3"/>
    <w:rsid w:val="2D429126"/>
    <w:rsid w:val="2D56EE97"/>
    <w:rsid w:val="2D57E972"/>
    <w:rsid w:val="2D68C626"/>
    <w:rsid w:val="2D702E93"/>
    <w:rsid w:val="2D7D6FE6"/>
    <w:rsid w:val="2D8D1646"/>
    <w:rsid w:val="2D8FA910"/>
    <w:rsid w:val="2D9E5D7A"/>
    <w:rsid w:val="2DA61C22"/>
    <w:rsid w:val="2DAE9540"/>
    <w:rsid w:val="2DB2D828"/>
    <w:rsid w:val="2DB369B2"/>
    <w:rsid w:val="2DB7CBE3"/>
    <w:rsid w:val="2DC2A874"/>
    <w:rsid w:val="2DC31BE3"/>
    <w:rsid w:val="2DC37D9A"/>
    <w:rsid w:val="2DC8756B"/>
    <w:rsid w:val="2DD4F913"/>
    <w:rsid w:val="2DD90DF1"/>
    <w:rsid w:val="2DE58480"/>
    <w:rsid w:val="2E03FD07"/>
    <w:rsid w:val="2E044946"/>
    <w:rsid w:val="2E0765CB"/>
    <w:rsid w:val="2E0E3A33"/>
    <w:rsid w:val="2E0FAF0F"/>
    <w:rsid w:val="2E14852E"/>
    <w:rsid w:val="2E1A59A8"/>
    <w:rsid w:val="2E1FBAB9"/>
    <w:rsid w:val="2E2699AE"/>
    <w:rsid w:val="2E2A4851"/>
    <w:rsid w:val="2E2E5459"/>
    <w:rsid w:val="2E2E8EA4"/>
    <w:rsid w:val="2E389141"/>
    <w:rsid w:val="2E3A91E5"/>
    <w:rsid w:val="2E3F804D"/>
    <w:rsid w:val="2E41415B"/>
    <w:rsid w:val="2E61F4A0"/>
    <w:rsid w:val="2E636F2C"/>
    <w:rsid w:val="2E7646A5"/>
    <w:rsid w:val="2E7A7EDC"/>
    <w:rsid w:val="2E7BE324"/>
    <w:rsid w:val="2E8343C6"/>
    <w:rsid w:val="2E8A819B"/>
    <w:rsid w:val="2E92583F"/>
    <w:rsid w:val="2E95E49A"/>
    <w:rsid w:val="2E997A20"/>
    <w:rsid w:val="2EA1A28F"/>
    <w:rsid w:val="2EABD5FE"/>
    <w:rsid w:val="2EC248B1"/>
    <w:rsid w:val="2ECA3264"/>
    <w:rsid w:val="2ED24A5F"/>
    <w:rsid w:val="2ED48006"/>
    <w:rsid w:val="2EDAD910"/>
    <w:rsid w:val="2EDAEDCD"/>
    <w:rsid w:val="2EDCDCCB"/>
    <w:rsid w:val="2EDFC1D1"/>
    <w:rsid w:val="2EECB27B"/>
    <w:rsid w:val="2EF29F96"/>
    <w:rsid w:val="2F13BE2C"/>
    <w:rsid w:val="2F17BABA"/>
    <w:rsid w:val="2F35E495"/>
    <w:rsid w:val="2F41CAF4"/>
    <w:rsid w:val="2F4D4633"/>
    <w:rsid w:val="2F51A731"/>
    <w:rsid w:val="2F52E543"/>
    <w:rsid w:val="2F5E49C1"/>
    <w:rsid w:val="2F685DC4"/>
    <w:rsid w:val="2F686270"/>
    <w:rsid w:val="2F769468"/>
    <w:rsid w:val="2F769927"/>
    <w:rsid w:val="2F830722"/>
    <w:rsid w:val="2F8E5362"/>
    <w:rsid w:val="2F8FFF70"/>
    <w:rsid w:val="2F9C180F"/>
    <w:rsid w:val="2F9FCD68"/>
    <w:rsid w:val="2FA708BD"/>
    <w:rsid w:val="2FA82A30"/>
    <w:rsid w:val="2FA88C4C"/>
    <w:rsid w:val="2FB14FEC"/>
    <w:rsid w:val="2FB9F879"/>
    <w:rsid w:val="2FBC278E"/>
    <w:rsid w:val="2FBE534D"/>
    <w:rsid w:val="2FC0CC42"/>
    <w:rsid w:val="2FCB69DC"/>
    <w:rsid w:val="2FCC0ED5"/>
    <w:rsid w:val="2FD66246"/>
    <w:rsid w:val="2FD983DB"/>
    <w:rsid w:val="2FDE3FEF"/>
    <w:rsid w:val="2FE33E4A"/>
    <w:rsid w:val="2FE6B338"/>
    <w:rsid w:val="2FE838B2"/>
    <w:rsid w:val="2FF6200A"/>
    <w:rsid w:val="2FF8A15B"/>
    <w:rsid w:val="3005D095"/>
    <w:rsid w:val="3008063D"/>
    <w:rsid w:val="3027ED75"/>
    <w:rsid w:val="302FA462"/>
    <w:rsid w:val="3030F3B6"/>
    <w:rsid w:val="3042C605"/>
    <w:rsid w:val="304C41B3"/>
    <w:rsid w:val="304CABDF"/>
    <w:rsid w:val="30513F50"/>
    <w:rsid w:val="3053AC95"/>
    <w:rsid w:val="306C05A1"/>
    <w:rsid w:val="307B6043"/>
    <w:rsid w:val="30868E04"/>
    <w:rsid w:val="309767B9"/>
    <w:rsid w:val="309CCFAE"/>
    <w:rsid w:val="309E4EDC"/>
    <w:rsid w:val="309FA83F"/>
    <w:rsid w:val="30B04D07"/>
    <w:rsid w:val="30B0FCDC"/>
    <w:rsid w:val="30D04C8B"/>
    <w:rsid w:val="30D93B47"/>
    <w:rsid w:val="30F095EA"/>
    <w:rsid w:val="30F41727"/>
    <w:rsid w:val="31006FFB"/>
    <w:rsid w:val="3109DC56"/>
    <w:rsid w:val="310AFC64"/>
    <w:rsid w:val="310BC4F7"/>
    <w:rsid w:val="310C1094"/>
    <w:rsid w:val="310F7DEF"/>
    <w:rsid w:val="3120B002"/>
    <w:rsid w:val="3121F37B"/>
    <w:rsid w:val="312A72B6"/>
    <w:rsid w:val="312B8D26"/>
    <w:rsid w:val="313B126A"/>
    <w:rsid w:val="313D6AEF"/>
    <w:rsid w:val="3144198F"/>
    <w:rsid w:val="3146749B"/>
    <w:rsid w:val="314A2794"/>
    <w:rsid w:val="314BD7C5"/>
    <w:rsid w:val="31538F3F"/>
    <w:rsid w:val="3154A6DF"/>
    <w:rsid w:val="31650022"/>
    <w:rsid w:val="31657CF9"/>
    <w:rsid w:val="316D1732"/>
    <w:rsid w:val="317232A7"/>
    <w:rsid w:val="3183A1E1"/>
    <w:rsid w:val="31A2754A"/>
    <w:rsid w:val="31AA856A"/>
    <w:rsid w:val="31B8BC21"/>
    <w:rsid w:val="31B9DCE2"/>
    <w:rsid w:val="31C1AD74"/>
    <w:rsid w:val="31C4C713"/>
    <w:rsid w:val="31C4CDFB"/>
    <w:rsid w:val="31C79A13"/>
    <w:rsid w:val="31E13D6C"/>
    <w:rsid w:val="31E97251"/>
    <w:rsid w:val="31EFB28F"/>
    <w:rsid w:val="320F375B"/>
    <w:rsid w:val="32157576"/>
    <w:rsid w:val="321730A4"/>
    <w:rsid w:val="3226E6B4"/>
    <w:rsid w:val="322CDA9C"/>
    <w:rsid w:val="32355F0D"/>
    <w:rsid w:val="325387FD"/>
    <w:rsid w:val="32566578"/>
    <w:rsid w:val="3257E0E5"/>
    <w:rsid w:val="325911AC"/>
    <w:rsid w:val="325AF31F"/>
    <w:rsid w:val="325E0DB2"/>
    <w:rsid w:val="32651627"/>
    <w:rsid w:val="3265F59A"/>
    <w:rsid w:val="3277F9AE"/>
    <w:rsid w:val="327CF13A"/>
    <w:rsid w:val="327DA7B3"/>
    <w:rsid w:val="329061BF"/>
    <w:rsid w:val="32910A31"/>
    <w:rsid w:val="329AC6C7"/>
    <w:rsid w:val="329CA074"/>
    <w:rsid w:val="32A551A0"/>
    <w:rsid w:val="32A74CCE"/>
    <w:rsid w:val="32BA3F26"/>
    <w:rsid w:val="32BD7C82"/>
    <w:rsid w:val="32C09ACC"/>
    <w:rsid w:val="32C126CC"/>
    <w:rsid w:val="32C1807A"/>
    <w:rsid w:val="32CE7D33"/>
    <w:rsid w:val="32D6E2CB"/>
    <w:rsid w:val="32DA2616"/>
    <w:rsid w:val="32E2E0F1"/>
    <w:rsid w:val="32E78F6F"/>
    <w:rsid w:val="32F398A3"/>
    <w:rsid w:val="3304DFA7"/>
    <w:rsid w:val="330E0308"/>
    <w:rsid w:val="3318A8D1"/>
    <w:rsid w:val="331930B2"/>
    <w:rsid w:val="331BF843"/>
    <w:rsid w:val="331CF101"/>
    <w:rsid w:val="331E361C"/>
    <w:rsid w:val="332EECCA"/>
    <w:rsid w:val="33577E43"/>
    <w:rsid w:val="335C7988"/>
    <w:rsid w:val="3365EAD3"/>
    <w:rsid w:val="3373AC25"/>
    <w:rsid w:val="337E54F0"/>
    <w:rsid w:val="33818A04"/>
    <w:rsid w:val="33A9E076"/>
    <w:rsid w:val="33B77701"/>
    <w:rsid w:val="33D0A0FF"/>
    <w:rsid w:val="33D2D438"/>
    <w:rsid w:val="33DF3916"/>
    <w:rsid w:val="33DFDE2D"/>
    <w:rsid w:val="33E2DE16"/>
    <w:rsid w:val="33E75062"/>
    <w:rsid w:val="33EAC1C3"/>
    <w:rsid w:val="340604E2"/>
    <w:rsid w:val="3409F048"/>
    <w:rsid w:val="340C6BC4"/>
    <w:rsid w:val="3416CDF0"/>
    <w:rsid w:val="341F5524"/>
    <w:rsid w:val="341F5E54"/>
    <w:rsid w:val="3422AB36"/>
    <w:rsid w:val="342803DB"/>
    <w:rsid w:val="343C98C7"/>
    <w:rsid w:val="3446132E"/>
    <w:rsid w:val="34515898"/>
    <w:rsid w:val="346C8ABA"/>
    <w:rsid w:val="346CB7BA"/>
    <w:rsid w:val="34750BB1"/>
    <w:rsid w:val="347C9C65"/>
    <w:rsid w:val="347EF093"/>
    <w:rsid w:val="348A01CA"/>
    <w:rsid w:val="348C20F1"/>
    <w:rsid w:val="349B5E4E"/>
    <w:rsid w:val="349B719D"/>
    <w:rsid w:val="34A64652"/>
    <w:rsid w:val="34ABB57B"/>
    <w:rsid w:val="34BBE2C0"/>
    <w:rsid w:val="34BF75C8"/>
    <w:rsid w:val="34D830AD"/>
    <w:rsid w:val="34E95575"/>
    <w:rsid w:val="34EDC006"/>
    <w:rsid w:val="34FE22B5"/>
    <w:rsid w:val="3505C5B5"/>
    <w:rsid w:val="3507C1B5"/>
    <w:rsid w:val="350E2675"/>
    <w:rsid w:val="351A7EBB"/>
    <w:rsid w:val="351DB1D8"/>
    <w:rsid w:val="35247DA2"/>
    <w:rsid w:val="352B9998"/>
    <w:rsid w:val="352D2D16"/>
    <w:rsid w:val="352F6B6D"/>
    <w:rsid w:val="353D4F17"/>
    <w:rsid w:val="354313E4"/>
    <w:rsid w:val="355A0F84"/>
    <w:rsid w:val="355A882F"/>
    <w:rsid w:val="3561B88D"/>
    <w:rsid w:val="3568CEA4"/>
    <w:rsid w:val="356EC8D0"/>
    <w:rsid w:val="3578DD16"/>
    <w:rsid w:val="3580122D"/>
    <w:rsid w:val="35846DFF"/>
    <w:rsid w:val="358F3395"/>
    <w:rsid w:val="3590B848"/>
    <w:rsid w:val="35A37454"/>
    <w:rsid w:val="35A4DDD8"/>
    <w:rsid w:val="35A5E77D"/>
    <w:rsid w:val="35AEEF6F"/>
    <w:rsid w:val="35B885A3"/>
    <w:rsid w:val="35D3A706"/>
    <w:rsid w:val="35D9F172"/>
    <w:rsid w:val="35E00AF8"/>
    <w:rsid w:val="35ED35EA"/>
    <w:rsid w:val="35F16AD3"/>
    <w:rsid w:val="35FA5670"/>
    <w:rsid w:val="35FE5A4B"/>
    <w:rsid w:val="362D5913"/>
    <w:rsid w:val="362FBD62"/>
    <w:rsid w:val="36330C38"/>
    <w:rsid w:val="363D9DCC"/>
    <w:rsid w:val="3646DA84"/>
    <w:rsid w:val="364947FE"/>
    <w:rsid w:val="364A625A"/>
    <w:rsid w:val="364D5DEB"/>
    <w:rsid w:val="3650C781"/>
    <w:rsid w:val="365B8412"/>
    <w:rsid w:val="365FE813"/>
    <w:rsid w:val="3661A4F0"/>
    <w:rsid w:val="367D14BD"/>
    <w:rsid w:val="368273FE"/>
    <w:rsid w:val="368629E2"/>
    <w:rsid w:val="369990DE"/>
    <w:rsid w:val="36A027C2"/>
    <w:rsid w:val="36A0621A"/>
    <w:rsid w:val="36A0F60F"/>
    <w:rsid w:val="36AC98A8"/>
    <w:rsid w:val="36B6708B"/>
    <w:rsid w:val="36C7DD92"/>
    <w:rsid w:val="36C8AA6B"/>
    <w:rsid w:val="36C8D05D"/>
    <w:rsid w:val="36CE25D1"/>
    <w:rsid w:val="36D1E7C9"/>
    <w:rsid w:val="36DC0A46"/>
    <w:rsid w:val="36E3979B"/>
    <w:rsid w:val="36E8B253"/>
    <w:rsid w:val="371B77F7"/>
    <w:rsid w:val="371CB9DC"/>
    <w:rsid w:val="3733D240"/>
    <w:rsid w:val="3734A101"/>
    <w:rsid w:val="37366325"/>
    <w:rsid w:val="3741A1B3"/>
    <w:rsid w:val="3741A641"/>
    <w:rsid w:val="374A04F5"/>
    <w:rsid w:val="375098E9"/>
    <w:rsid w:val="375AF3EC"/>
    <w:rsid w:val="37603C15"/>
    <w:rsid w:val="3763FAD1"/>
    <w:rsid w:val="377948A6"/>
    <w:rsid w:val="377B4334"/>
    <w:rsid w:val="378E4BF7"/>
    <w:rsid w:val="3795F309"/>
    <w:rsid w:val="3798DDEA"/>
    <w:rsid w:val="3799D44B"/>
    <w:rsid w:val="379EE6D6"/>
    <w:rsid w:val="37A00900"/>
    <w:rsid w:val="37B49174"/>
    <w:rsid w:val="37B7FBD6"/>
    <w:rsid w:val="37BB24C3"/>
    <w:rsid w:val="37C2A805"/>
    <w:rsid w:val="37C2D0C3"/>
    <w:rsid w:val="37C4DB93"/>
    <w:rsid w:val="37DC081B"/>
    <w:rsid w:val="37EE164F"/>
    <w:rsid w:val="37F5BFB6"/>
    <w:rsid w:val="37FC33EA"/>
    <w:rsid w:val="37FF60D9"/>
    <w:rsid w:val="37FFD589"/>
    <w:rsid w:val="380CC9DC"/>
    <w:rsid w:val="38138198"/>
    <w:rsid w:val="38290270"/>
    <w:rsid w:val="3837A058"/>
    <w:rsid w:val="384C9AC8"/>
    <w:rsid w:val="384DF095"/>
    <w:rsid w:val="38535F4F"/>
    <w:rsid w:val="386EF088"/>
    <w:rsid w:val="387704BA"/>
    <w:rsid w:val="3877DAA7"/>
    <w:rsid w:val="387F04B6"/>
    <w:rsid w:val="388CB927"/>
    <w:rsid w:val="388F0A90"/>
    <w:rsid w:val="389018AE"/>
    <w:rsid w:val="38C81A0B"/>
    <w:rsid w:val="38CE6584"/>
    <w:rsid w:val="38DEC0B6"/>
    <w:rsid w:val="38E3CB08"/>
    <w:rsid w:val="38FCB67F"/>
    <w:rsid w:val="38FD62A4"/>
    <w:rsid w:val="38FE09DF"/>
    <w:rsid w:val="38FFB196"/>
    <w:rsid w:val="390A4D68"/>
    <w:rsid w:val="390E6B5F"/>
    <w:rsid w:val="39105B67"/>
    <w:rsid w:val="39114155"/>
    <w:rsid w:val="3914D02C"/>
    <w:rsid w:val="3928B4FA"/>
    <w:rsid w:val="392CB2E6"/>
    <w:rsid w:val="392E6D77"/>
    <w:rsid w:val="3930A90C"/>
    <w:rsid w:val="39327682"/>
    <w:rsid w:val="393478BB"/>
    <w:rsid w:val="3942F10B"/>
    <w:rsid w:val="3943FA24"/>
    <w:rsid w:val="394414F5"/>
    <w:rsid w:val="39474C6A"/>
    <w:rsid w:val="394F5B76"/>
    <w:rsid w:val="3957AA3D"/>
    <w:rsid w:val="396BD4D4"/>
    <w:rsid w:val="396C6D50"/>
    <w:rsid w:val="3974C8AC"/>
    <w:rsid w:val="397A5A84"/>
    <w:rsid w:val="3982B828"/>
    <w:rsid w:val="398C39DD"/>
    <w:rsid w:val="398F1CCB"/>
    <w:rsid w:val="3998959E"/>
    <w:rsid w:val="399C2D59"/>
    <w:rsid w:val="39AC6C11"/>
    <w:rsid w:val="39B1776A"/>
    <w:rsid w:val="39B1A8ED"/>
    <w:rsid w:val="39B5974F"/>
    <w:rsid w:val="39C1A5BC"/>
    <w:rsid w:val="39CD866A"/>
    <w:rsid w:val="39D92C2A"/>
    <w:rsid w:val="39DCEE35"/>
    <w:rsid w:val="39E57F8F"/>
    <w:rsid w:val="3A0C4292"/>
    <w:rsid w:val="3A1E37C5"/>
    <w:rsid w:val="3A1E57BD"/>
    <w:rsid w:val="3A1FCEB3"/>
    <w:rsid w:val="3A25A151"/>
    <w:rsid w:val="3A27A436"/>
    <w:rsid w:val="3A2C02BA"/>
    <w:rsid w:val="3A39A125"/>
    <w:rsid w:val="3A3CD1CB"/>
    <w:rsid w:val="3A422E46"/>
    <w:rsid w:val="3A4BA65E"/>
    <w:rsid w:val="3A5C19CE"/>
    <w:rsid w:val="3A5DB0EF"/>
    <w:rsid w:val="3A5FC0B9"/>
    <w:rsid w:val="3A6E4008"/>
    <w:rsid w:val="3A71A314"/>
    <w:rsid w:val="3A760B32"/>
    <w:rsid w:val="3A782CE2"/>
    <w:rsid w:val="3A78E916"/>
    <w:rsid w:val="3A8461C1"/>
    <w:rsid w:val="3A90FB33"/>
    <w:rsid w:val="3A94C30E"/>
    <w:rsid w:val="3AA48EBB"/>
    <w:rsid w:val="3AA9D3A5"/>
    <w:rsid w:val="3AAA879E"/>
    <w:rsid w:val="3AB14744"/>
    <w:rsid w:val="3AB163C3"/>
    <w:rsid w:val="3AB1FF78"/>
    <w:rsid w:val="3AB49820"/>
    <w:rsid w:val="3AC06FB0"/>
    <w:rsid w:val="3ACD2DE1"/>
    <w:rsid w:val="3AD2D456"/>
    <w:rsid w:val="3AD6EC24"/>
    <w:rsid w:val="3AEC165F"/>
    <w:rsid w:val="3AF05200"/>
    <w:rsid w:val="3AFA7185"/>
    <w:rsid w:val="3B001B61"/>
    <w:rsid w:val="3B005115"/>
    <w:rsid w:val="3B0BAD05"/>
    <w:rsid w:val="3B12B1FB"/>
    <w:rsid w:val="3B19B082"/>
    <w:rsid w:val="3B210273"/>
    <w:rsid w:val="3B21CAB5"/>
    <w:rsid w:val="3B29CE0B"/>
    <w:rsid w:val="3B3C4C5F"/>
    <w:rsid w:val="3B3DEAC0"/>
    <w:rsid w:val="3B460BF4"/>
    <w:rsid w:val="3B5341C2"/>
    <w:rsid w:val="3B63D5B8"/>
    <w:rsid w:val="3B66AFC5"/>
    <w:rsid w:val="3B6C8750"/>
    <w:rsid w:val="3B7A4FAA"/>
    <w:rsid w:val="3B846457"/>
    <w:rsid w:val="3B8C1C3B"/>
    <w:rsid w:val="3BA0D518"/>
    <w:rsid w:val="3BA1ABA2"/>
    <w:rsid w:val="3BB3DDA5"/>
    <w:rsid w:val="3BBA6278"/>
    <w:rsid w:val="3BBE12EA"/>
    <w:rsid w:val="3BBEC420"/>
    <w:rsid w:val="3BCC6C09"/>
    <w:rsid w:val="3BE25799"/>
    <w:rsid w:val="3BE72E65"/>
    <w:rsid w:val="3BE9D98E"/>
    <w:rsid w:val="3BEE9914"/>
    <w:rsid w:val="3BEEFB2B"/>
    <w:rsid w:val="3BFDD010"/>
    <w:rsid w:val="3BFE905A"/>
    <w:rsid w:val="3C03D207"/>
    <w:rsid w:val="3C0D5F10"/>
    <w:rsid w:val="3C116D58"/>
    <w:rsid w:val="3C177DA9"/>
    <w:rsid w:val="3C2326C8"/>
    <w:rsid w:val="3C46A002"/>
    <w:rsid w:val="3C593B7D"/>
    <w:rsid w:val="3C61BD1A"/>
    <w:rsid w:val="3C633B6B"/>
    <w:rsid w:val="3C66FFBB"/>
    <w:rsid w:val="3C71A923"/>
    <w:rsid w:val="3C8DE4B1"/>
    <w:rsid w:val="3C9D99DE"/>
    <w:rsid w:val="3C9DD5F7"/>
    <w:rsid w:val="3CA148AD"/>
    <w:rsid w:val="3CA15A74"/>
    <w:rsid w:val="3CA38B16"/>
    <w:rsid w:val="3CB44C0B"/>
    <w:rsid w:val="3CBEC982"/>
    <w:rsid w:val="3CBF4FF3"/>
    <w:rsid w:val="3CD84A85"/>
    <w:rsid w:val="3CDDE86A"/>
    <w:rsid w:val="3CE1E1C4"/>
    <w:rsid w:val="3CEBE058"/>
    <w:rsid w:val="3CEF4C56"/>
    <w:rsid w:val="3CFDFF01"/>
    <w:rsid w:val="3D15407C"/>
    <w:rsid w:val="3D160EDF"/>
    <w:rsid w:val="3D19D913"/>
    <w:rsid w:val="3D1A4276"/>
    <w:rsid w:val="3D1B1F8D"/>
    <w:rsid w:val="3D1FA4D0"/>
    <w:rsid w:val="3D2B2EE7"/>
    <w:rsid w:val="3D3E3AA8"/>
    <w:rsid w:val="3D404FA2"/>
    <w:rsid w:val="3D45134D"/>
    <w:rsid w:val="3D4CA0EC"/>
    <w:rsid w:val="3D536319"/>
    <w:rsid w:val="3D5C7DB2"/>
    <w:rsid w:val="3D62BD56"/>
    <w:rsid w:val="3D6B6285"/>
    <w:rsid w:val="3D772D74"/>
    <w:rsid w:val="3D776F1E"/>
    <w:rsid w:val="3D7E454B"/>
    <w:rsid w:val="3D7F9088"/>
    <w:rsid w:val="3D8358D5"/>
    <w:rsid w:val="3D96B681"/>
    <w:rsid w:val="3D9A25AD"/>
    <w:rsid w:val="3D9C9C1C"/>
    <w:rsid w:val="3D9F3581"/>
    <w:rsid w:val="3D9FD4DA"/>
    <w:rsid w:val="3DA3101E"/>
    <w:rsid w:val="3DA58E47"/>
    <w:rsid w:val="3DAD2C8D"/>
    <w:rsid w:val="3DC3AB94"/>
    <w:rsid w:val="3DD6B643"/>
    <w:rsid w:val="3DE12F22"/>
    <w:rsid w:val="3DE13AA7"/>
    <w:rsid w:val="3DE2482A"/>
    <w:rsid w:val="3DEEB971"/>
    <w:rsid w:val="3E068715"/>
    <w:rsid w:val="3E174315"/>
    <w:rsid w:val="3E1DBAC1"/>
    <w:rsid w:val="3E258459"/>
    <w:rsid w:val="3E279859"/>
    <w:rsid w:val="3E2E8779"/>
    <w:rsid w:val="3E387E30"/>
    <w:rsid w:val="3E4473E8"/>
    <w:rsid w:val="3E4A406E"/>
    <w:rsid w:val="3E621B8A"/>
    <w:rsid w:val="3E639FED"/>
    <w:rsid w:val="3E6A79A1"/>
    <w:rsid w:val="3E6DD22A"/>
    <w:rsid w:val="3E7346F4"/>
    <w:rsid w:val="3E7CADC9"/>
    <w:rsid w:val="3E8525B8"/>
    <w:rsid w:val="3E85D95F"/>
    <w:rsid w:val="3E93A057"/>
    <w:rsid w:val="3E9CCECF"/>
    <w:rsid w:val="3E9F992F"/>
    <w:rsid w:val="3EA019B5"/>
    <w:rsid w:val="3EAA1C65"/>
    <w:rsid w:val="3EB063F8"/>
    <w:rsid w:val="3EBBAFF5"/>
    <w:rsid w:val="3ECC2A31"/>
    <w:rsid w:val="3EDC2003"/>
    <w:rsid w:val="3EE190FE"/>
    <w:rsid w:val="3EF79132"/>
    <w:rsid w:val="3EF81B71"/>
    <w:rsid w:val="3F0C933D"/>
    <w:rsid w:val="3F1720F8"/>
    <w:rsid w:val="3F1B62A0"/>
    <w:rsid w:val="3F1BFE9B"/>
    <w:rsid w:val="3F1F269A"/>
    <w:rsid w:val="3F27CF61"/>
    <w:rsid w:val="3F306784"/>
    <w:rsid w:val="3F32B0A8"/>
    <w:rsid w:val="3F37787C"/>
    <w:rsid w:val="3F41CED6"/>
    <w:rsid w:val="3F4504F7"/>
    <w:rsid w:val="3F46A2A5"/>
    <w:rsid w:val="3F4D72AE"/>
    <w:rsid w:val="3F50A937"/>
    <w:rsid w:val="3F5983A2"/>
    <w:rsid w:val="3F62FCC8"/>
    <w:rsid w:val="3F63F5D5"/>
    <w:rsid w:val="3F6FCC38"/>
    <w:rsid w:val="3F727BE5"/>
    <w:rsid w:val="3F799474"/>
    <w:rsid w:val="3F7E188B"/>
    <w:rsid w:val="3F8276D2"/>
    <w:rsid w:val="3F85942B"/>
    <w:rsid w:val="3F8B960B"/>
    <w:rsid w:val="3F995DDC"/>
    <w:rsid w:val="3F9C072A"/>
    <w:rsid w:val="3FB1453B"/>
    <w:rsid w:val="3FB5BCBB"/>
    <w:rsid w:val="3FBD7E4B"/>
    <w:rsid w:val="3FC07EF9"/>
    <w:rsid w:val="3FCB4F56"/>
    <w:rsid w:val="3FD53949"/>
    <w:rsid w:val="3FD83FA5"/>
    <w:rsid w:val="3FE0FE33"/>
    <w:rsid w:val="3FE4CCED"/>
    <w:rsid w:val="3FF6F0B5"/>
    <w:rsid w:val="3FFAF2EF"/>
    <w:rsid w:val="3FFC92A4"/>
    <w:rsid w:val="40042899"/>
    <w:rsid w:val="4005DF4D"/>
    <w:rsid w:val="4008AC56"/>
    <w:rsid w:val="4012B958"/>
    <w:rsid w:val="401C42C5"/>
    <w:rsid w:val="401D6A56"/>
    <w:rsid w:val="4023002E"/>
    <w:rsid w:val="4025790B"/>
    <w:rsid w:val="40282DA7"/>
    <w:rsid w:val="402F0B7B"/>
    <w:rsid w:val="40325937"/>
    <w:rsid w:val="4039991B"/>
    <w:rsid w:val="40493D20"/>
    <w:rsid w:val="4050BD3F"/>
    <w:rsid w:val="4051A7AE"/>
    <w:rsid w:val="4059A0FE"/>
    <w:rsid w:val="405B374E"/>
    <w:rsid w:val="406347AC"/>
    <w:rsid w:val="4068A751"/>
    <w:rsid w:val="408807AF"/>
    <w:rsid w:val="408AD0C7"/>
    <w:rsid w:val="409A5E18"/>
    <w:rsid w:val="409F532F"/>
    <w:rsid w:val="40A1CBE4"/>
    <w:rsid w:val="40A3965C"/>
    <w:rsid w:val="40A416E6"/>
    <w:rsid w:val="40AED5EF"/>
    <w:rsid w:val="40AFDA96"/>
    <w:rsid w:val="40B681EA"/>
    <w:rsid w:val="40B9EE21"/>
    <w:rsid w:val="40C1F334"/>
    <w:rsid w:val="40C2045E"/>
    <w:rsid w:val="40CB5454"/>
    <w:rsid w:val="40CBDF08"/>
    <w:rsid w:val="40E84038"/>
    <w:rsid w:val="40EAF670"/>
    <w:rsid w:val="40EEECB0"/>
    <w:rsid w:val="40F3922A"/>
    <w:rsid w:val="40F64FAA"/>
    <w:rsid w:val="40F80E93"/>
    <w:rsid w:val="4100E8C8"/>
    <w:rsid w:val="4100F838"/>
    <w:rsid w:val="410C63B5"/>
    <w:rsid w:val="41158E6E"/>
    <w:rsid w:val="4118516F"/>
    <w:rsid w:val="4118EB88"/>
    <w:rsid w:val="411E4733"/>
    <w:rsid w:val="4120094F"/>
    <w:rsid w:val="41203CB5"/>
    <w:rsid w:val="412CA4DE"/>
    <w:rsid w:val="412CFFF7"/>
    <w:rsid w:val="412F1C50"/>
    <w:rsid w:val="41352457"/>
    <w:rsid w:val="413B720F"/>
    <w:rsid w:val="41653A4C"/>
    <w:rsid w:val="417012F1"/>
    <w:rsid w:val="417D836F"/>
    <w:rsid w:val="417E729F"/>
    <w:rsid w:val="41854700"/>
    <w:rsid w:val="4188F206"/>
    <w:rsid w:val="418ADA83"/>
    <w:rsid w:val="4191BA06"/>
    <w:rsid w:val="4192C116"/>
    <w:rsid w:val="419920FD"/>
    <w:rsid w:val="419E100C"/>
    <w:rsid w:val="41B40338"/>
    <w:rsid w:val="41B7B017"/>
    <w:rsid w:val="41BD0C00"/>
    <w:rsid w:val="41BEB5E2"/>
    <w:rsid w:val="41BFBACC"/>
    <w:rsid w:val="41C397A1"/>
    <w:rsid w:val="41CE2E87"/>
    <w:rsid w:val="41ECBE35"/>
    <w:rsid w:val="41F2F4C3"/>
    <w:rsid w:val="41FC34E0"/>
    <w:rsid w:val="42216519"/>
    <w:rsid w:val="422BD9AB"/>
    <w:rsid w:val="423CE2D0"/>
    <w:rsid w:val="42493D63"/>
    <w:rsid w:val="424D9BD2"/>
    <w:rsid w:val="42503E33"/>
    <w:rsid w:val="4250DC7F"/>
    <w:rsid w:val="4263A716"/>
    <w:rsid w:val="42641C9D"/>
    <w:rsid w:val="4266AC4E"/>
    <w:rsid w:val="42698B2A"/>
    <w:rsid w:val="42799762"/>
    <w:rsid w:val="427C05DB"/>
    <w:rsid w:val="427E21D8"/>
    <w:rsid w:val="4282510C"/>
    <w:rsid w:val="4287E550"/>
    <w:rsid w:val="4289BD2C"/>
    <w:rsid w:val="428A2C01"/>
    <w:rsid w:val="42A8117E"/>
    <w:rsid w:val="42A87E62"/>
    <w:rsid w:val="42BADC47"/>
    <w:rsid w:val="42C62933"/>
    <w:rsid w:val="42CA6105"/>
    <w:rsid w:val="42CA9D96"/>
    <w:rsid w:val="42E8128E"/>
    <w:rsid w:val="42EBF95E"/>
    <w:rsid w:val="42EF95C8"/>
    <w:rsid w:val="42F46AD7"/>
    <w:rsid w:val="42F6B3EA"/>
    <w:rsid w:val="42F917EC"/>
    <w:rsid w:val="42FE0CE1"/>
    <w:rsid w:val="42FE4097"/>
    <w:rsid w:val="4306B337"/>
    <w:rsid w:val="430D0B4E"/>
    <w:rsid w:val="43125BE9"/>
    <w:rsid w:val="4313685F"/>
    <w:rsid w:val="431B37AD"/>
    <w:rsid w:val="43252483"/>
    <w:rsid w:val="433281C9"/>
    <w:rsid w:val="4334E8F2"/>
    <w:rsid w:val="433E6943"/>
    <w:rsid w:val="433E9368"/>
    <w:rsid w:val="43435138"/>
    <w:rsid w:val="434C4B3F"/>
    <w:rsid w:val="43551347"/>
    <w:rsid w:val="43630EA3"/>
    <w:rsid w:val="436A72E3"/>
    <w:rsid w:val="436D626D"/>
    <w:rsid w:val="436FDC57"/>
    <w:rsid w:val="43779935"/>
    <w:rsid w:val="437A0DEE"/>
    <w:rsid w:val="4393BAF8"/>
    <w:rsid w:val="43954556"/>
    <w:rsid w:val="439D0AA3"/>
    <w:rsid w:val="43A40807"/>
    <w:rsid w:val="43AA1CBE"/>
    <w:rsid w:val="43AC4C00"/>
    <w:rsid w:val="43B9E0FD"/>
    <w:rsid w:val="43BED86F"/>
    <w:rsid w:val="43C95460"/>
    <w:rsid w:val="43CA45CA"/>
    <w:rsid w:val="43D38AF5"/>
    <w:rsid w:val="43DBD369"/>
    <w:rsid w:val="43E8C4A1"/>
    <w:rsid w:val="43F3AF98"/>
    <w:rsid w:val="43F77EB6"/>
    <w:rsid w:val="43FB597D"/>
    <w:rsid w:val="44022DAC"/>
    <w:rsid w:val="440727BF"/>
    <w:rsid w:val="4407AA01"/>
    <w:rsid w:val="441154B7"/>
    <w:rsid w:val="44116EC8"/>
    <w:rsid w:val="4412EC5E"/>
    <w:rsid w:val="44144E2A"/>
    <w:rsid w:val="4417B90A"/>
    <w:rsid w:val="44228D33"/>
    <w:rsid w:val="4436C81D"/>
    <w:rsid w:val="4437DBC5"/>
    <w:rsid w:val="443BB577"/>
    <w:rsid w:val="444321EC"/>
    <w:rsid w:val="444502E1"/>
    <w:rsid w:val="4457BD17"/>
    <w:rsid w:val="446F784D"/>
    <w:rsid w:val="447D20C7"/>
    <w:rsid w:val="4480F385"/>
    <w:rsid w:val="4480F644"/>
    <w:rsid w:val="4484E57F"/>
    <w:rsid w:val="4487EC52"/>
    <w:rsid w:val="44893783"/>
    <w:rsid w:val="449E7C1A"/>
    <w:rsid w:val="44A2F9F4"/>
    <w:rsid w:val="44A7AC7C"/>
    <w:rsid w:val="44B9730E"/>
    <w:rsid w:val="44BF16AE"/>
    <w:rsid w:val="44C5A420"/>
    <w:rsid w:val="44D0CBF1"/>
    <w:rsid w:val="44D486DD"/>
    <w:rsid w:val="44D6568E"/>
    <w:rsid w:val="44D6F375"/>
    <w:rsid w:val="44E6033D"/>
    <w:rsid w:val="44E98D89"/>
    <w:rsid w:val="44FA04D4"/>
    <w:rsid w:val="451020F2"/>
    <w:rsid w:val="4513D705"/>
    <w:rsid w:val="451515A0"/>
    <w:rsid w:val="45394C08"/>
    <w:rsid w:val="4540E5F5"/>
    <w:rsid w:val="4543B24F"/>
    <w:rsid w:val="45693308"/>
    <w:rsid w:val="4574AB4A"/>
    <w:rsid w:val="4576878E"/>
    <w:rsid w:val="45842067"/>
    <w:rsid w:val="458B9E7D"/>
    <w:rsid w:val="45903122"/>
    <w:rsid w:val="45A23CFD"/>
    <w:rsid w:val="45A819DE"/>
    <w:rsid w:val="45AAB6AE"/>
    <w:rsid w:val="45ADBDEE"/>
    <w:rsid w:val="45B183B2"/>
    <w:rsid w:val="45B1ED03"/>
    <w:rsid w:val="45B1FF0E"/>
    <w:rsid w:val="45B62861"/>
    <w:rsid w:val="45C66D5E"/>
    <w:rsid w:val="45C962B5"/>
    <w:rsid w:val="45C99226"/>
    <w:rsid w:val="45DC1E88"/>
    <w:rsid w:val="45F30D32"/>
    <w:rsid w:val="45F67A10"/>
    <w:rsid w:val="45FF37DB"/>
    <w:rsid w:val="46068E17"/>
    <w:rsid w:val="460819C7"/>
    <w:rsid w:val="461AC3AE"/>
    <w:rsid w:val="461F82C6"/>
    <w:rsid w:val="462A3B86"/>
    <w:rsid w:val="462E93ED"/>
    <w:rsid w:val="46333B17"/>
    <w:rsid w:val="463D152F"/>
    <w:rsid w:val="4644AC10"/>
    <w:rsid w:val="46461CE6"/>
    <w:rsid w:val="4647FDBB"/>
    <w:rsid w:val="46540694"/>
    <w:rsid w:val="4658B823"/>
    <w:rsid w:val="465BBBF0"/>
    <w:rsid w:val="466261B7"/>
    <w:rsid w:val="46638B82"/>
    <w:rsid w:val="466B0399"/>
    <w:rsid w:val="466F4DD5"/>
    <w:rsid w:val="46758B86"/>
    <w:rsid w:val="46809D67"/>
    <w:rsid w:val="46957BA6"/>
    <w:rsid w:val="46993964"/>
    <w:rsid w:val="469CAE52"/>
    <w:rsid w:val="46A08D44"/>
    <w:rsid w:val="46A09F14"/>
    <w:rsid w:val="46A56FD2"/>
    <w:rsid w:val="46B29264"/>
    <w:rsid w:val="46BE9952"/>
    <w:rsid w:val="46C2A456"/>
    <w:rsid w:val="46C79C12"/>
    <w:rsid w:val="46CB1FA0"/>
    <w:rsid w:val="46CEDC97"/>
    <w:rsid w:val="46DC661A"/>
    <w:rsid w:val="46DC767A"/>
    <w:rsid w:val="46E65864"/>
    <w:rsid w:val="46E70EC7"/>
    <w:rsid w:val="46EF6B89"/>
    <w:rsid w:val="46EFBCA9"/>
    <w:rsid w:val="46F4A704"/>
    <w:rsid w:val="46F50A63"/>
    <w:rsid w:val="46F9BEFF"/>
    <w:rsid w:val="471D41D8"/>
    <w:rsid w:val="4720D1ED"/>
    <w:rsid w:val="47222752"/>
    <w:rsid w:val="4729E234"/>
    <w:rsid w:val="4732CBA8"/>
    <w:rsid w:val="4738A72C"/>
    <w:rsid w:val="4738B98F"/>
    <w:rsid w:val="473E4834"/>
    <w:rsid w:val="47441F0E"/>
    <w:rsid w:val="4746E0D2"/>
    <w:rsid w:val="474D47C4"/>
    <w:rsid w:val="474F24D4"/>
    <w:rsid w:val="4750A673"/>
    <w:rsid w:val="47556B80"/>
    <w:rsid w:val="476C1574"/>
    <w:rsid w:val="476F3529"/>
    <w:rsid w:val="477A9F99"/>
    <w:rsid w:val="47837AEE"/>
    <w:rsid w:val="4789E64B"/>
    <w:rsid w:val="4797CA17"/>
    <w:rsid w:val="479C2CF4"/>
    <w:rsid w:val="47A1AD7D"/>
    <w:rsid w:val="47B31EF9"/>
    <w:rsid w:val="47BAC0F5"/>
    <w:rsid w:val="47C408E3"/>
    <w:rsid w:val="47CE0812"/>
    <w:rsid w:val="47D03E07"/>
    <w:rsid w:val="47D2E434"/>
    <w:rsid w:val="47D7670F"/>
    <w:rsid w:val="47DA9AE5"/>
    <w:rsid w:val="47E07C71"/>
    <w:rsid w:val="47E22B73"/>
    <w:rsid w:val="47F0A997"/>
    <w:rsid w:val="481BA02E"/>
    <w:rsid w:val="48225948"/>
    <w:rsid w:val="4822695C"/>
    <w:rsid w:val="4825C35B"/>
    <w:rsid w:val="48314884"/>
    <w:rsid w:val="483354F7"/>
    <w:rsid w:val="48415EC0"/>
    <w:rsid w:val="48435ACD"/>
    <w:rsid w:val="4853933C"/>
    <w:rsid w:val="4856FB7A"/>
    <w:rsid w:val="485E50CD"/>
    <w:rsid w:val="485F0881"/>
    <w:rsid w:val="48666039"/>
    <w:rsid w:val="48707D31"/>
    <w:rsid w:val="487C27D3"/>
    <w:rsid w:val="4884936A"/>
    <w:rsid w:val="48A18D9D"/>
    <w:rsid w:val="48BE3FDE"/>
    <w:rsid w:val="48C0E178"/>
    <w:rsid w:val="48C41DD6"/>
    <w:rsid w:val="48CB7D2D"/>
    <w:rsid w:val="48F0B3B2"/>
    <w:rsid w:val="48F44D08"/>
    <w:rsid w:val="48F4EB2E"/>
    <w:rsid w:val="48F51C30"/>
    <w:rsid w:val="48F984B9"/>
    <w:rsid w:val="491279A6"/>
    <w:rsid w:val="49128C06"/>
    <w:rsid w:val="49142084"/>
    <w:rsid w:val="492E05C8"/>
    <w:rsid w:val="492E9ACD"/>
    <w:rsid w:val="4939F175"/>
    <w:rsid w:val="493A7B89"/>
    <w:rsid w:val="493D6EDB"/>
    <w:rsid w:val="493F617D"/>
    <w:rsid w:val="494C314F"/>
    <w:rsid w:val="495048C6"/>
    <w:rsid w:val="496AB686"/>
    <w:rsid w:val="497279B6"/>
    <w:rsid w:val="49808E82"/>
    <w:rsid w:val="4991ABD0"/>
    <w:rsid w:val="49983D6E"/>
    <w:rsid w:val="499B5C81"/>
    <w:rsid w:val="49A5A3F5"/>
    <w:rsid w:val="49C0F1AC"/>
    <w:rsid w:val="49C37EBE"/>
    <w:rsid w:val="49C88428"/>
    <w:rsid w:val="49CC8FA1"/>
    <w:rsid w:val="49D84C41"/>
    <w:rsid w:val="49E46F8F"/>
    <w:rsid w:val="49EB786A"/>
    <w:rsid w:val="49FA4518"/>
    <w:rsid w:val="4A02C9B9"/>
    <w:rsid w:val="4A055BBB"/>
    <w:rsid w:val="4A0F69B5"/>
    <w:rsid w:val="4A1D260A"/>
    <w:rsid w:val="4A26317C"/>
    <w:rsid w:val="4A321168"/>
    <w:rsid w:val="4A39FA46"/>
    <w:rsid w:val="4A3B1FAA"/>
    <w:rsid w:val="4A432016"/>
    <w:rsid w:val="4A531FD3"/>
    <w:rsid w:val="4A55B835"/>
    <w:rsid w:val="4A5F8509"/>
    <w:rsid w:val="4A65F48F"/>
    <w:rsid w:val="4A66B7E8"/>
    <w:rsid w:val="4A793096"/>
    <w:rsid w:val="4A83B37A"/>
    <w:rsid w:val="4A841BD8"/>
    <w:rsid w:val="4A998034"/>
    <w:rsid w:val="4AA57C9E"/>
    <w:rsid w:val="4AA6732C"/>
    <w:rsid w:val="4AA9B959"/>
    <w:rsid w:val="4AC1D139"/>
    <w:rsid w:val="4AC5779C"/>
    <w:rsid w:val="4AC86184"/>
    <w:rsid w:val="4AC8791B"/>
    <w:rsid w:val="4ACF6AD9"/>
    <w:rsid w:val="4AD5320F"/>
    <w:rsid w:val="4ADCD5CD"/>
    <w:rsid w:val="4AE6CDC1"/>
    <w:rsid w:val="4AF7B7A1"/>
    <w:rsid w:val="4AF826FC"/>
    <w:rsid w:val="4AF8EBDD"/>
    <w:rsid w:val="4AF91EAE"/>
    <w:rsid w:val="4AFBA9A5"/>
    <w:rsid w:val="4AFDB89A"/>
    <w:rsid w:val="4B0426EF"/>
    <w:rsid w:val="4B046D8B"/>
    <w:rsid w:val="4B08F178"/>
    <w:rsid w:val="4B10D6D5"/>
    <w:rsid w:val="4B1A15FC"/>
    <w:rsid w:val="4B3151FB"/>
    <w:rsid w:val="4B34DCF2"/>
    <w:rsid w:val="4B37263D"/>
    <w:rsid w:val="4B37C1D2"/>
    <w:rsid w:val="4B540E8A"/>
    <w:rsid w:val="4B596B12"/>
    <w:rsid w:val="4B5EA52C"/>
    <w:rsid w:val="4B5FE6CB"/>
    <w:rsid w:val="4B771202"/>
    <w:rsid w:val="4B7A878E"/>
    <w:rsid w:val="4B95E60F"/>
    <w:rsid w:val="4BA521E2"/>
    <w:rsid w:val="4BA6EBA9"/>
    <w:rsid w:val="4BA77C59"/>
    <w:rsid w:val="4BA95D9C"/>
    <w:rsid w:val="4BB936BF"/>
    <w:rsid w:val="4BBDDC53"/>
    <w:rsid w:val="4BC2DCAC"/>
    <w:rsid w:val="4BC72E9A"/>
    <w:rsid w:val="4BD28B09"/>
    <w:rsid w:val="4BD4B2A0"/>
    <w:rsid w:val="4BE43BE0"/>
    <w:rsid w:val="4BEFEC7F"/>
    <w:rsid w:val="4BF59BDC"/>
    <w:rsid w:val="4BF6536E"/>
    <w:rsid w:val="4BFEEC80"/>
    <w:rsid w:val="4C040400"/>
    <w:rsid w:val="4C0547C8"/>
    <w:rsid w:val="4C0A80EF"/>
    <w:rsid w:val="4C15A46E"/>
    <w:rsid w:val="4C22905E"/>
    <w:rsid w:val="4C2DD625"/>
    <w:rsid w:val="4C2E8479"/>
    <w:rsid w:val="4C2F684D"/>
    <w:rsid w:val="4C401E0F"/>
    <w:rsid w:val="4C4B65CB"/>
    <w:rsid w:val="4C59CF16"/>
    <w:rsid w:val="4C5F2CD0"/>
    <w:rsid w:val="4C6EBD9C"/>
    <w:rsid w:val="4C75C7CD"/>
    <w:rsid w:val="4C777D63"/>
    <w:rsid w:val="4C812411"/>
    <w:rsid w:val="4C8906EA"/>
    <w:rsid w:val="4C9526A7"/>
    <w:rsid w:val="4C982D9A"/>
    <w:rsid w:val="4C991BAD"/>
    <w:rsid w:val="4C9AFC57"/>
    <w:rsid w:val="4CA1B9DC"/>
    <w:rsid w:val="4CAB4F20"/>
    <w:rsid w:val="4CB1225E"/>
    <w:rsid w:val="4CB3FDB1"/>
    <w:rsid w:val="4CB78347"/>
    <w:rsid w:val="4CBDCAA2"/>
    <w:rsid w:val="4CC14661"/>
    <w:rsid w:val="4CC7D6F0"/>
    <w:rsid w:val="4CCE65ED"/>
    <w:rsid w:val="4CDA9DF1"/>
    <w:rsid w:val="4CDD5E03"/>
    <w:rsid w:val="4CE2A26A"/>
    <w:rsid w:val="4CF9ED81"/>
    <w:rsid w:val="4CFF1D4F"/>
    <w:rsid w:val="4D06C6AE"/>
    <w:rsid w:val="4D09C475"/>
    <w:rsid w:val="4D0C8170"/>
    <w:rsid w:val="4D10BDB1"/>
    <w:rsid w:val="4D14B279"/>
    <w:rsid w:val="4D282A54"/>
    <w:rsid w:val="4D2C7C26"/>
    <w:rsid w:val="4D2CF096"/>
    <w:rsid w:val="4D307A51"/>
    <w:rsid w:val="4D39957E"/>
    <w:rsid w:val="4D47FA29"/>
    <w:rsid w:val="4D4CDBA5"/>
    <w:rsid w:val="4D658EB1"/>
    <w:rsid w:val="4D6E91D5"/>
    <w:rsid w:val="4D70C324"/>
    <w:rsid w:val="4D75FE22"/>
    <w:rsid w:val="4D9B170A"/>
    <w:rsid w:val="4DA96DEB"/>
    <w:rsid w:val="4DAC3915"/>
    <w:rsid w:val="4DAD9134"/>
    <w:rsid w:val="4DB4F197"/>
    <w:rsid w:val="4DBEE7A2"/>
    <w:rsid w:val="4DC65D91"/>
    <w:rsid w:val="4DD52542"/>
    <w:rsid w:val="4DD7BCF4"/>
    <w:rsid w:val="4DD83E03"/>
    <w:rsid w:val="4DEAC425"/>
    <w:rsid w:val="4DF6780A"/>
    <w:rsid w:val="4DFAAD1D"/>
    <w:rsid w:val="4E1A0714"/>
    <w:rsid w:val="4E1CBA46"/>
    <w:rsid w:val="4E243FE1"/>
    <w:rsid w:val="4E28D041"/>
    <w:rsid w:val="4E308207"/>
    <w:rsid w:val="4E384754"/>
    <w:rsid w:val="4E397644"/>
    <w:rsid w:val="4E3E8F4B"/>
    <w:rsid w:val="4E4AA1AB"/>
    <w:rsid w:val="4E53E38A"/>
    <w:rsid w:val="4E5462D3"/>
    <w:rsid w:val="4E555836"/>
    <w:rsid w:val="4E5EF7DF"/>
    <w:rsid w:val="4E5F55E2"/>
    <w:rsid w:val="4E606093"/>
    <w:rsid w:val="4E67B5EF"/>
    <w:rsid w:val="4E6D739C"/>
    <w:rsid w:val="4E6EC6FF"/>
    <w:rsid w:val="4E729D09"/>
    <w:rsid w:val="4E9BCFB3"/>
    <w:rsid w:val="4EA0EC68"/>
    <w:rsid w:val="4EA190EE"/>
    <w:rsid w:val="4EAE3DE6"/>
    <w:rsid w:val="4EB2E932"/>
    <w:rsid w:val="4EBD7135"/>
    <w:rsid w:val="4EBD9F0F"/>
    <w:rsid w:val="4EBDD17C"/>
    <w:rsid w:val="4EC0E602"/>
    <w:rsid w:val="4ECDB63B"/>
    <w:rsid w:val="4ED10E7F"/>
    <w:rsid w:val="4ED22778"/>
    <w:rsid w:val="4ED41C2D"/>
    <w:rsid w:val="4EDABDD5"/>
    <w:rsid w:val="4EE03F92"/>
    <w:rsid w:val="4EEBCC06"/>
    <w:rsid w:val="4F0086FA"/>
    <w:rsid w:val="4F0661D8"/>
    <w:rsid w:val="4F0DD0E4"/>
    <w:rsid w:val="4F113C5B"/>
    <w:rsid w:val="4F284436"/>
    <w:rsid w:val="4F2C6EEE"/>
    <w:rsid w:val="4F30002A"/>
    <w:rsid w:val="4F34FB9D"/>
    <w:rsid w:val="4F3B1A0F"/>
    <w:rsid w:val="4F42FE68"/>
    <w:rsid w:val="4F4B090C"/>
    <w:rsid w:val="4F5B9A1D"/>
    <w:rsid w:val="4F69AB28"/>
    <w:rsid w:val="4F6DC87D"/>
    <w:rsid w:val="4F70A4DF"/>
    <w:rsid w:val="4F97A03C"/>
    <w:rsid w:val="4F992C47"/>
    <w:rsid w:val="4F9A631A"/>
    <w:rsid w:val="4FA2E1DD"/>
    <w:rsid w:val="4FADDB0E"/>
    <w:rsid w:val="4FB8C3D7"/>
    <w:rsid w:val="4FBEEF0F"/>
    <w:rsid w:val="4FCB67DF"/>
    <w:rsid w:val="4FE6720C"/>
    <w:rsid w:val="4FE84992"/>
    <w:rsid w:val="4FE960A6"/>
    <w:rsid w:val="4FF580EE"/>
    <w:rsid w:val="4FF94729"/>
    <w:rsid w:val="4FFE0968"/>
    <w:rsid w:val="4FFF9A69"/>
    <w:rsid w:val="5000FC70"/>
    <w:rsid w:val="5001FC26"/>
    <w:rsid w:val="5008B7BC"/>
    <w:rsid w:val="500EFF66"/>
    <w:rsid w:val="50102A29"/>
    <w:rsid w:val="501608A0"/>
    <w:rsid w:val="501AB0CD"/>
    <w:rsid w:val="502123EB"/>
    <w:rsid w:val="5021553E"/>
    <w:rsid w:val="5024BB6E"/>
    <w:rsid w:val="5027224D"/>
    <w:rsid w:val="502DB510"/>
    <w:rsid w:val="50316D04"/>
    <w:rsid w:val="5031CF17"/>
    <w:rsid w:val="5033A4D3"/>
    <w:rsid w:val="5037EB41"/>
    <w:rsid w:val="503FDCCB"/>
    <w:rsid w:val="50421E2F"/>
    <w:rsid w:val="50471174"/>
    <w:rsid w:val="5057DEA2"/>
    <w:rsid w:val="506B81C4"/>
    <w:rsid w:val="50704C48"/>
    <w:rsid w:val="507C27DC"/>
    <w:rsid w:val="50817916"/>
    <w:rsid w:val="5081C91D"/>
    <w:rsid w:val="5084327E"/>
    <w:rsid w:val="50892AF1"/>
    <w:rsid w:val="50901B3A"/>
    <w:rsid w:val="5093F83E"/>
    <w:rsid w:val="50941B20"/>
    <w:rsid w:val="5095F436"/>
    <w:rsid w:val="5096DD9A"/>
    <w:rsid w:val="50983EBF"/>
    <w:rsid w:val="50A0072A"/>
    <w:rsid w:val="50A38867"/>
    <w:rsid w:val="50A74E6A"/>
    <w:rsid w:val="50A9DE1D"/>
    <w:rsid w:val="50AB4308"/>
    <w:rsid w:val="50B293FF"/>
    <w:rsid w:val="50C14F43"/>
    <w:rsid w:val="50C155C7"/>
    <w:rsid w:val="50C59F09"/>
    <w:rsid w:val="50CEF8D7"/>
    <w:rsid w:val="50D1236C"/>
    <w:rsid w:val="50D230CB"/>
    <w:rsid w:val="50DCD5CD"/>
    <w:rsid w:val="50DEBAAE"/>
    <w:rsid w:val="50E2C345"/>
    <w:rsid w:val="50EEAA4B"/>
    <w:rsid w:val="50EFD7BF"/>
    <w:rsid w:val="50F838CF"/>
    <w:rsid w:val="5103C7A1"/>
    <w:rsid w:val="5104B23B"/>
    <w:rsid w:val="5109A300"/>
    <w:rsid w:val="51108EC4"/>
    <w:rsid w:val="51129313"/>
    <w:rsid w:val="51199308"/>
    <w:rsid w:val="511F3710"/>
    <w:rsid w:val="51252FAB"/>
    <w:rsid w:val="5128524D"/>
    <w:rsid w:val="513ACF41"/>
    <w:rsid w:val="51406BF1"/>
    <w:rsid w:val="5141466D"/>
    <w:rsid w:val="5154FECD"/>
    <w:rsid w:val="515703AB"/>
    <w:rsid w:val="5159183E"/>
    <w:rsid w:val="5159AA79"/>
    <w:rsid w:val="515AED4C"/>
    <w:rsid w:val="51675880"/>
    <w:rsid w:val="5176300D"/>
    <w:rsid w:val="51782EB0"/>
    <w:rsid w:val="517BF89E"/>
    <w:rsid w:val="51805D32"/>
    <w:rsid w:val="51A65710"/>
    <w:rsid w:val="51B21C7E"/>
    <w:rsid w:val="51C5B19E"/>
    <w:rsid w:val="51C7F4F0"/>
    <w:rsid w:val="51C98571"/>
    <w:rsid w:val="51CBA982"/>
    <w:rsid w:val="51D911E2"/>
    <w:rsid w:val="51DBD623"/>
    <w:rsid w:val="51EA3392"/>
    <w:rsid w:val="51F5133D"/>
    <w:rsid w:val="51F81A4B"/>
    <w:rsid w:val="51FEE677"/>
    <w:rsid w:val="5208241F"/>
    <w:rsid w:val="52123071"/>
    <w:rsid w:val="52363123"/>
    <w:rsid w:val="523D0788"/>
    <w:rsid w:val="523FC6E1"/>
    <w:rsid w:val="5244B59D"/>
    <w:rsid w:val="52567B4F"/>
    <w:rsid w:val="526EAC5A"/>
    <w:rsid w:val="527270A8"/>
    <w:rsid w:val="5290E0CE"/>
    <w:rsid w:val="52923C22"/>
    <w:rsid w:val="52AB966B"/>
    <w:rsid w:val="52BB2396"/>
    <w:rsid w:val="52C3A2AA"/>
    <w:rsid w:val="52C3BC72"/>
    <w:rsid w:val="52C7C4E6"/>
    <w:rsid w:val="52C7F042"/>
    <w:rsid w:val="52CCFCF9"/>
    <w:rsid w:val="52DA1099"/>
    <w:rsid w:val="52E154F2"/>
    <w:rsid w:val="52E2F2DB"/>
    <w:rsid w:val="52EEF43E"/>
    <w:rsid w:val="52F0A5B4"/>
    <w:rsid w:val="52F21DD3"/>
    <w:rsid w:val="5300A00E"/>
    <w:rsid w:val="53124BB4"/>
    <w:rsid w:val="531E12CE"/>
    <w:rsid w:val="531E207F"/>
    <w:rsid w:val="5327BC62"/>
    <w:rsid w:val="532AAE15"/>
    <w:rsid w:val="532E4466"/>
    <w:rsid w:val="532EC726"/>
    <w:rsid w:val="5346B867"/>
    <w:rsid w:val="535A498A"/>
    <w:rsid w:val="536E17F0"/>
    <w:rsid w:val="536F2F29"/>
    <w:rsid w:val="53771FBB"/>
    <w:rsid w:val="5385167F"/>
    <w:rsid w:val="538A0106"/>
    <w:rsid w:val="538AD135"/>
    <w:rsid w:val="538B51D5"/>
    <w:rsid w:val="5391696F"/>
    <w:rsid w:val="5395586A"/>
    <w:rsid w:val="539A6BB2"/>
    <w:rsid w:val="539FA7AD"/>
    <w:rsid w:val="53A30D7C"/>
    <w:rsid w:val="53A4519A"/>
    <w:rsid w:val="53A97B7A"/>
    <w:rsid w:val="53C19C25"/>
    <w:rsid w:val="53C591CF"/>
    <w:rsid w:val="53CFCDCE"/>
    <w:rsid w:val="53E5618F"/>
    <w:rsid w:val="53E6D3B2"/>
    <w:rsid w:val="53EC3211"/>
    <w:rsid w:val="53ECACFC"/>
    <w:rsid w:val="53F58F3E"/>
    <w:rsid w:val="53F9A283"/>
    <w:rsid w:val="54202B30"/>
    <w:rsid w:val="543A5FE1"/>
    <w:rsid w:val="5441B16F"/>
    <w:rsid w:val="5441BA24"/>
    <w:rsid w:val="54500167"/>
    <w:rsid w:val="545E269B"/>
    <w:rsid w:val="545E763D"/>
    <w:rsid w:val="547024C8"/>
    <w:rsid w:val="5474BC95"/>
    <w:rsid w:val="5478CDC4"/>
    <w:rsid w:val="547D7601"/>
    <w:rsid w:val="54801D72"/>
    <w:rsid w:val="5482BA86"/>
    <w:rsid w:val="548350AA"/>
    <w:rsid w:val="5487D143"/>
    <w:rsid w:val="549A93E4"/>
    <w:rsid w:val="54A5BBBA"/>
    <w:rsid w:val="54AA416C"/>
    <w:rsid w:val="54B9508F"/>
    <w:rsid w:val="54BB5F60"/>
    <w:rsid w:val="54BC4F84"/>
    <w:rsid w:val="54BD4B0A"/>
    <w:rsid w:val="54C831B9"/>
    <w:rsid w:val="54D3E562"/>
    <w:rsid w:val="54D51A95"/>
    <w:rsid w:val="54D73511"/>
    <w:rsid w:val="54E6C95A"/>
    <w:rsid w:val="54F084AC"/>
    <w:rsid w:val="54F4B467"/>
    <w:rsid w:val="54F6EF3F"/>
    <w:rsid w:val="54FB0A25"/>
    <w:rsid w:val="54FB8F58"/>
    <w:rsid w:val="54FB9124"/>
    <w:rsid w:val="5507EEDA"/>
    <w:rsid w:val="550BDF1F"/>
    <w:rsid w:val="550D21D9"/>
    <w:rsid w:val="55132455"/>
    <w:rsid w:val="5517A528"/>
    <w:rsid w:val="55216870"/>
    <w:rsid w:val="55237A53"/>
    <w:rsid w:val="55262405"/>
    <w:rsid w:val="552A61BB"/>
    <w:rsid w:val="552D67FA"/>
    <w:rsid w:val="55307754"/>
    <w:rsid w:val="553152C1"/>
    <w:rsid w:val="55366AA5"/>
    <w:rsid w:val="553FB19D"/>
    <w:rsid w:val="5540988C"/>
    <w:rsid w:val="5559DC10"/>
    <w:rsid w:val="5571FD98"/>
    <w:rsid w:val="557A0223"/>
    <w:rsid w:val="559C6B08"/>
    <w:rsid w:val="55A5DCC5"/>
    <w:rsid w:val="55A7D21B"/>
    <w:rsid w:val="55AD7F8D"/>
    <w:rsid w:val="55B2331C"/>
    <w:rsid w:val="55B40037"/>
    <w:rsid w:val="55B46895"/>
    <w:rsid w:val="55B4F1DE"/>
    <w:rsid w:val="55BFF758"/>
    <w:rsid w:val="55C004D8"/>
    <w:rsid w:val="55CA36F3"/>
    <w:rsid w:val="55CA7985"/>
    <w:rsid w:val="55E21630"/>
    <w:rsid w:val="55E26B53"/>
    <w:rsid w:val="55E73326"/>
    <w:rsid w:val="55FD98FC"/>
    <w:rsid w:val="55FE951B"/>
    <w:rsid w:val="5600D545"/>
    <w:rsid w:val="5607A19C"/>
    <w:rsid w:val="56138751"/>
    <w:rsid w:val="561D5053"/>
    <w:rsid w:val="5629B50D"/>
    <w:rsid w:val="562B7DEB"/>
    <w:rsid w:val="563F79CD"/>
    <w:rsid w:val="5641076F"/>
    <w:rsid w:val="56425FD0"/>
    <w:rsid w:val="56471C0F"/>
    <w:rsid w:val="5654E893"/>
    <w:rsid w:val="565FDA9A"/>
    <w:rsid w:val="5662ABE9"/>
    <w:rsid w:val="566A3E96"/>
    <w:rsid w:val="5676F382"/>
    <w:rsid w:val="56788825"/>
    <w:rsid w:val="567DDA4B"/>
    <w:rsid w:val="567FFDFB"/>
    <w:rsid w:val="568317F5"/>
    <w:rsid w:val="5686931C"/>
    <w:rsid w:val="568F52A2"/>
    <w:rsid w:val="5691EA4C"/>
    <w:rsid w:val="56A02CFE"/>
    <w:rsid w:val="56A9EF4C"/>
    <w:rsid w:val="56AD558C"/>
    <w:rsid w:val="56AE11A8"/>
    <w:rsid w:val="56AEB3E4"/>
    <w:rsid w:val="56B1901B"/>
    <w:rsid w:val="56B64F1F"/>
    <w:rsid w:val="56C71AD0"/>
    <w:rsid w:val="56D048B8"/>
    <w:rsid w:val="56D6BC88"/>
    <w:rsid w:val="56D7F848"/>
    <w:rsid w:val="56DBBBE2"/>
    <w:rsid w:val="56E124E5"/>
    <w:rsid w:val="56EA45BF"/>
    <w:rsid w:val="56F16D18"/>
    <w:rsid w:val="56F4A7B7"/>
    <w:rsid w:val="56F7C7AF"/>
    <w:rsid w:val="56FC66F4"/>
    <w:rsid w:val="56FF70A4"/>
    <w:rsid w:val="570838CD"/>
    <w:rsid w:val="570DCDF9"/>
    <w:rsid w:val="57192E72"/>
    <w:rsid w:val="57346403"/>
    <w:rsid w:val="57371AEB"/>
    <w:rsid w:val="57402602"/>
    <w:rsid w:val="57424E6E"/>
    <w:rsid w:val="57438AC1"/>
    <w:rsid w:val="5743D4BE"/>
    <w:rsid w:val="574E92CD"/>
    <w:rsid w:val="5752A473"/>
    <w:rsid w:val="5775DFCD"/>
    <w:rsid w:val="577AEF0B"/>
    <w:rsid w:val="577CF6D6"/>
    <w:rsid w:val="579A2EB8"/>
    <w:rsid w:val="57AF8E60"/>
    <w:rsid w:val="57B09804"/>
    <w:rsid w:val="57B6F1BD"/>
    <w:rsid w:val="57C0FEF2"/>
    <w:rsid w:val="57C20629"/>
    <w:rsid w:val="57C554D5"/>
    <w:rsid w:val="57C5BF03"/>
    <w:rsid w:val="57E44192"/>
    <w:rsid w:val="57E9696D"/>
    <w:rsid w:val="57FF269C"/>
    <w:rsid w:val="57FF340E"/>
    <w:rsid w:val="5809F7E6"/>
    <w:rsid w:val="580F203F"/>
    <w:rsid w:val="58224624"/>
    <w:rsid w:val="5831C3F8"/>
    <w:rsid w:val="5842C638"/>
    <w:rsid w:val="5845C5A2"/>
    <w:rsid w:val="58466C66"/>
    <w:rsid w:val="585519FA"/>
    <w:rsid w:val="5859E0DE"/>
    <w:rsid w:val="586371BD"/>
    <w:rsid w:val="58681816"/>
    <w:rsid w:val="587088AF"/>
    <w:rsid w:val="58722EDB"/>
    <w:rsid w:val="5877AD86"/>
    <w:rsid w:val="587EAF12"/>
    <w:rsid w:val="588A0C25"/>
    <w:rsid w:val="58907818"/>
    <w:rsid w:val="58A0BA75"/>
    <w:rsid w:val="58A0E7F7"/>
    <w:rsid w:val="58AA9114"/>
    <w:rsid w:val="58B15986"/>
    <w:rsid w:val="58BE06F9"/>
    <w:rsid w:val="58C5183D"/>
    <w:rsid w:val="58CA6302"/>
    <w:rsid w:val="58DA2C70"/>
    <w:rsid w:val="58E6E72B"/>
    <w:rsid w:val="58F9F053"/>
    <w:rsid w:val="58FC882C"/>
    <w:rsid w:val="58FD5931"/>
    <w:rsid w:val="5907D55E"/>
    <w:rsid w:val="590D56B4"/>
    <w:rsid w:val="591099FD"/>
    <w:rsid w:val="5916FBF3"/>
    <w:rsid w:val="591D63F6"/>
    <w:rsid w:val="5926D654"/>
    <w:rsid w:val="5927E834"/>
    <w:rsid w:val="592C81BF"/>
    <w:rsid w:val="59391F2B"/>
    <w:rsid w:val="594C9A34"/>
    <w:rsid w:val="595A74EB"/>
    <w:rsid w:val="595ED3DC"/>
    <w:rsid w:val="595EDAF6"/>
    <w:rsid w:val="5960E0F1"/>
    <w:rsid w:val="5971E5F5"/>
    <w:rsid w:val="59720256"/>
    <w:rsid w:val="59849300"/>
    <w:rsid w:val="59880820"/>
    <w:rsid w:val="59890723"/>
    <w:rsid w:val="598BF950"/>
    <w:rsid w:val="598C82BB"/>
    <w:rsid w:val="598D5452"/>
    <w:rsid w:val="599042EC"/>
    <w:rsid w:val="599EE6B0"/>
    <w:rsid w:val="599EEC4E"/>
    <w:rsid w:val="59A7F7B5"/>
    <w:rsid w:val="59A842E8"/>
    <w:rsid w:val="59A9B724"/>
    <w:rsid w:val="59BF7007"/>
    <w:rsid w:val="59C1447C"/>
    <w:rsid w:val="59C8D21B"/>
    <w:rsid w:val="59C9755C"/>
    <w:rsid w:val="59D40AEB"/>
    <w:rsid w:val="59D471BA"/>
    <w:rsid w:val="59E05130"/>
    <w:rsid w:val="59E16AFC"/>
    <w:rsid w:val="59F1F8D2"/>
    <w:rsid w:val="5A007C72"/>
    <w:rsid w:val="5A0537A4"/>
    <w:rsid w:val="5A3091EB"/>
    <w:rsid w:val="5A392FD6"/>
    <w:rsid w:val="5A51F8B5"/>
    <w:rsid w:val="5A5EF00C"/>
    <w:rsid w:val="5A5F8589"/>
    <w:rsid w:val="5A6092A8"/>
    <w:rsid w:val="5A652B07"/>
    <w:rsid w:val="5A745A14"/>
    <w:rsid w:val="5A754344"/>
    <w:rsid w:val="5A7854A0"/>
    <w:rsid w:val="5A7DB175"/>
    <w:rsid w:val="5A86B697"/>
    <w:rsid w:val="5A94174C"/>
    <w:rsid w:val="5A94E8D6"/>
    <w:rsid w:val="5A96BA05"/>
    <w:rsid w:val="5A98B660"/>
    <w:rsid w:val="5A9A3FA2"/>
    <w:rsid w:val="5AA8433E"/>
    <w:rsid w:val="5AB172A3"/>
    <w:rsid w:val="5AB1D392"/>
    <w:rsid w:val="5ABD6C69"/>
    <w:rsid w:val="5AC6C9C8"/>
    <w:rsid w:val="5AD71362"/>
    <w:rsid w:val="5ADBBD05"/>
    <w:rsid w:val="5AE8A088"/>
    <w:rsid w:val="5AFF03C0"/>
    <w:rsid w:val="5AFF95B0"/>
    <w:rsid w:val="5B03BF84"/>
    <w:rsid w:val="5B1EE96B"/>
    <w:rsid w:val="5B274C0E"/>
    <w:rsid w:val="5B30DCFB"/>
    <w:rsid w:val="5B33FFDB"/>
    <w:rsid w:val="5B343C93"/>
    <w:rsid w:val="5B34E6F4"/>
    <w:rsid w:val="5B4B01B0"/>
    <w:rsid w:val="5B54AD5F"/>
    <w:rsid w:val="5B57610C"/>
    <w:rsid w:val="5B664887"/>
    <w:rsid w:val="5B6F2B8F"/>
    <w:rsid w:val="5B72F478"/>
    <w:rsid w:val="5B8136E9"/>
    <w:rsid w:val="5B8AA5FC"/>
    <w:rsid w:val="5B92AA18"/>
    <w:rsid w:val="5B942E94"/>
    <w:rsid w:val="5B9E181E"/>
    <w:rsid w:val="5BA2B0FB"/>
    <w:rsid w:val="5BA5529F"/>
    <w:rsid w:val="5BAEDBB5"/>
    <w:rsid w:val="5BAEEC60"/>
    <w:rsid w:val="5BB637C5"/>
    <w:rsid w:val="5BBD7704"/>
    <w:rsid w:val="5BCA4E89"/>
    <w:rsid w:val="5BD77199"/>
    <w:rsid w:val="5BDA6AC2"/>
    <w:rsid w:val="5BDC4BB6"/>
    <w:rsid w:val="5BDD87F9"/>
    <w:rsid w:val="5BE86ABD"/>
    <w:rsid w:val="5BEB1023"/>
    <w:rsid w:val="5BEE8403"/>
    <w:rsid w:val="5BFA8CF3"/>
    <w:rsid w:val="5BFB7B6F"/>
    <w:rsid w:val="5C046297"/>
    <w:rsid w:val="5C059062"/>
    <w:rsid w:val="5C169DD7"/>
    <w:rsid w:val="5C1A02CD"/>
    <w:rsid w:val="5C1D55E7"/>
    <w:rsid w:val="5C1F299F"/>
    <w:rsid w:val="5C1F38BA"/>
    <w:rsid w:val="5C2203F0"/>
    <w:rsid w:val="5C306B77"/>
    <w:rsid w:val="5C33F776"/>
    <w:rsid w:val="5C3486C1"/>
    <w:rsid w:val="5C35CCB9"/>
    <w:rsid w:val="5C35E10F"/>
    <w:rsid w:val="5C3C595D"/>
    <w:rsid w:val="5C40E6A1"/>
    <w:rsid w:val="5C4146EE"/>
    <w:rsid w:val="5C472064"/>
    <w:rsid w:val="5C5653E7"/>
    <w:rsid w:val="5C56FF7A"/>
    <w:rsid w:val="5C6CA7AF"/>
    <w:rsid w:val="5C85708E"/>
    <w:rsid w:val="5C87799C"/>
    <w:rsid w:val="5C96CD79"/>
    <w:rsid w:val="5C9AA212"/>
    <w:rsid w:val="5CA71FFB"/>
    <w:rsid w:val="5CAF5C21"/>
    <w:rsid w:val="5CAFB3FB"/>
    <w:rsid w:val="5CB3B53D"/>
    <w:rsid w:val="5CB4771E"/>
    <w:rsid w:val="5CC48DA2"/>
    <w:rsid w:val="5CC6CBFD"/>
    <w:rsid w:val="5CCC3FCA"/>
    <w:rsid w:val="5CCFC083"/>
    <w:rsid w:val="5CD4076C"/>
    <w:rsid w:val="5D066EF2"/>
    <w:rsid w:val="5D14130D"/>
    <w:rsid w:val="5D1DD101"/>
    <w:rsid w:val="5D1E0CED"/>
    <w:rsid w:val="5D1FB31D"/>
    <w:rsid w:val="5D241559"/>
    <w:rsid w:val="5D361A85"/>
    <w:rsid w:val="5D3B99BA"/>
    <w:rsid w:val="5D434CA6"/>
    <w:rsid w:val="5D4B7545"/>
    <w:rsid w:val="5D4FE550"/>
    <w:rsid w:val="5D537A56"/>
    <w:rsid w:val="5D55A64A"/>
    <w:rsid w:val="5D5D7E79"/>
    <w:rsid w:val="5D5F9179"/>
    <w:rsid w:val="5D74003C"/>
    <w:rsid w:val="5D7B46CC"/>
    <w:rsid w:val="5D8065E0"/>
    <w:rsid w:val="5D834927"/>
    <w:rsid w:val="5D84B014"/>
    <w:rsid w:val="5D8B8FC4"/>
    <w:rsid w:val="5D8DB8CE"/>
    <w:rsid w:val="5D8E22FD"/>
    <w:rsid w:val="5D9DB102"/>
    <w:rsid w:val="5DA78CA0"/>
    <w:rsid w:val="5DA7B917"/>
    <w:rsid w:val="5DAE3FA3"/>
    <w:rsid w:val="5DB76BD5"/>
    <w:rsid w:val="5DBD28BC"/>
    <w:rsid w:val="5DCB1BE9"/>
    <w:rsid w:val="5DE19A9E"/>
    <w:rsid w:val="5DF407DC"/>
    <w:rsid w:val="5DF8FA69"/>
    <w:rsid w:val="5DFAAF49"/>
    <w:rsid w:val="5E0B8332"/>
    <w:rsid w:val="5E1381A1"/>
    <w:rsid w:val="5E152A45"/>
    <w:rsid w:val="5E1624C4"/>
    <w:rsid w:val="5E1787D8"/>
    <w:rsid w:val="5E1FDA05"/>
    <w:rsid w:val="5E2342AC"/>
    <w:rsid w:val="5E3A100A"/>
    <w:rsid w:val="5E3F6785"/>
    <w:rsid w:val="5E411F38"/>
    <w:rsid w:val="5E4CA4B6"/>
    <w:rsid w:val="5E541D22"/>
    <w:rsid w:val="5E5540CB"/>
    <w:rsid w:val="5E5550EF"/>
    <w:rsid w:val="5E665D17"/>
    <w:rsid w:val="5E68D97C"/>
    <w:rsid w:val="5E69B648"/>
    <w:rsid w:val="5E6B81FD"/>
    <w:rsid w:val="5E6EF49C"/>
    <w:rsid w:val="5E7BFBA1"/>
    <w:rsid w:val="5E8AECD2"/>
    <w:rsid w:val="5E967819"/>
    <w:rsid w:val="5EA0AF75"/>
    <w:rsid w:val="5EBF34CF"/>
    <w:rsid w:val="5EC49E1C"/>
    <w:rsid w:val="5ED0444E"/>
    <w:rsid w:val="5ED1BBA1"/>
    <w:rsid w:val="5ED38B84"/>
    <w:rsid w:val="5EDA59E3"/>
    <w:rsid w:val="5EDAB340"/>
    <w:rsid w:val="5EE6913F"/>
    <w:rsid w:val="5EE8463B"/>
    <w:rsid w:val="5EFC3B03"/>
    <w:rsid w:val="5EFEEC47"/>
    <w:rsid w:val="5F043037"/>
    <w:rsid w:val="5F12A064"/>
    <w:rsid w:val="5F1EECCE"/>
    <w:rsid w:val="5F260000"/>
    <w:rsid w:val="5F26CCF9"/>
    <w:rsid w:val="5F2DFBDF"/>
    <w:rsid w:val="5F300343"/>
    <w:rsid w:val="5F314871"/>
    <w:rsid w:val="5F363BD0"/>
    <w:rsid w:val="5F519D39"/>
    <w:rsid w:val="5F567F86"/>
    <w:rsid w:val="5F5858E0"/>
    <w:rsid w:val="5F5E0D96"/>
    <w:rsid w:val="5F6BA676"/>
    <w:rsid w:val="5F6C2783"/>
    <w:rsid w:val="5F6DB0C5"/>
    <w:rsid w:val="5F77AFAC"/>
    <w:rsid w:val="5F793D84"/>
    <w:rsid w:val="5F7D3F78"/>
    <w:rsid w:val="5F859169"/>
    <w:rsid w:val="5F8980E4"/>
    <w:rsid w:val="5F8BF823"/>
    <w:rsid w:val="5F8EA825"/>
    <w:rsid w:val="5F94A1F2"/>
    <w:rsid w:val="5FA6A651"/>
    <w:rsid w:val="5FA6E82E"/>
    <w:rsid w:val="5FA90021"/>
    <w:rsid w:val="5FB6D5FC"/>
    <w:rsid w:val="5FC34112"/>
    <w:rsid w:val="5FC82EBB"/>
    <w:rsid w:val="5FC849BF"/>
    <w:rsid w:val="5FD62B1A"/>
    <w:rsid w:val="5FDE02EA"/>
    <w:rsid w:val="5FDFD315"/>
    <w:rsid w:val="5FE791C1"/>
    <w:rsid w:val="5FED5204"/>
    <w:rsid w:val="60166FB3"/>
    <w:rsid w:val="601C7B3A"/>
    <w:rsid w:val="6021CAE9"/>
    <w:rsid w:val="60250B64"/>
    <w:rsid w:val="6026F343"/>
    <w:rsid w:val="60295D41"/>
    <w:rsid w:val="6038A5C2"/>
    <w:rsid w:val="605074E1"/>
    <w:rsid w:val="60679084"/>
    <w:rsid w:val="60884F1E"/>
    <w:rsid w:val="60AE303A"/>
    <w:rsid w:val="60B755A9"/>
    <w:rsid w:val="60BA1FDD"/>
    <w:rsid w:val="60BAA013"/>
    <w:rsid w:val="60BD7205"/>
    <w:rsid w:val="60DA1F06"/>
    <w:rsid w:val="60DAF078"/>
    <w:rsid w:val="60DB2ABB"/>
    <w:rsid w:val="60E4D4C5"/>
    <w:rsid w:val="60F5CAA1"/>
    <w:rsid w:val="60FD4138"/>
    <w:rsid w:val="6109CF56"/>
    <w:rsid w:val="610B87D9"/>
    <w:rsid w:val="610D5FA8"/>
    <w:rsid w:val="611A56E6"/>
    <w:rsid w:val="611C1A69"/>
    <w:rsid w:val="611CF218"/>
    <w:rsid w:val="6121E275"/>
    <w:rsid w:val="612317B2"/>
    <w:rsid w:val="61306C0A"/>
    <w:rsid w:val="6137EE68"/>
    <w:rsid w:val="615A44FC"/>
    <w:rsid w:val="615E1570"/>
    <w:rsid w:val="617BCA1E"/>
    <w:rsid w:val="618FD854"/>
    <w:rsid w:val="61990D1C"/>
    <w:rsid w:val="61A8892E"/>
    <w:rsid w:val="61AC3DB7"/>
    <w:rsid w:val="61B89908"/>
    <w:rsid w:val="61C055CF"/>
    <w:rsid w:val="61CF5EEE"/>
    <w:rsid w:val="61D3DA25"/>
    <w:rsid w:val="61D49CF3"/>
    <w:rsid w:val="61D8A899"/>
    <w:rsid w:val="61D9307A"/>
    <w:rsid w:val="61D9D4E8"/>
    <w:rsid w:val="61DB8D67"/>
    <w:rsid w:val="61E02A45"/>
    <w:rsid w:val="61E7A0D6"/>
    <w:rsid w:val="61E97B62"/>
    <w:rsid w:val="61EAEA6F"/>
    <w:rsid w:val="61EBEFF6"/>
    <w:rsid w:val="61EE1BBA"/>
    <w:rsid w:val="61F134AC"/>
    <w:rsid w:val="61F539FB"/>
    <w:rsid w:val="61F71CCC"/>
    <w:rsid w:val="62001A3E"/>
    <w:rsid w:val="62028847"/>
    <w:rsid w:val="620B53FF"/>
    <w:rsid w:val="621DC0A7"/>
    <w:rsid w:val="6223684D"/>
    <w:rsid w:val="6223B981"/>
    <w:rsid w:val="623015D8"/>
    <w:rsid w:val="6233ACA9"/>
    <w:rsid w:val="623A69CF"/>
    <w:rsid w:val="623DB5F6"/>
    <w:rsid w:val="623FB681"/>
    <w:rsid w:val="6242B683"/>
    <w:rsid w:val="624B9CD9"/>
    <w:rsid w:val="6250625D"/>
    <w:rsid w:val="625879E6"/>
    <w:rsid w:val="625C76C2"/>
    <w:rsid w:val="625EBC10"/>
    <w:rsid w:val="6260A7F0"/>
    <w:rsid w:val="6265B30D"/>
    <w:rsid w:val="6266EE6D"/>
    <w:rsid w:val="627D91A9"/>
    <w:rsid w:val="6285EB4A"/>
    <w:rsid w:val="628C3465"/>
    <w:rsid w:val="628C6416"/>
    <w:rsid w:val="62B0AE21"/>
    <w:rsid w:val="62B4ECA9"/>
    <w:rsid w:val="62C43F3D"/>
    <w:rsid w:val="62C8ECAD"/>
    <w:rsid w:val="62DB89B5"/>
    <w:rsid w:val="62E0F28C"/>
    <w:rsid w:val="62E7C3C7"/>
    <w:rsid w:val="62E92C65"/>
    <w:rsid w:val="62F0D39C"/>
    <w:rsid w:val="62F15A1D"/>
    <w:rsid w:val="62FA09BE"/>
    <w:rsid w:val="6309EBF7"/>
    <w:rsid w:val="632407D3"/>
    <w:rsid w:val="63303629"/>
    <w:rsid w:val="6335644F"/>
    <w:rsid w:val="6335E451"/>
    <w:rsid w:val="6343D359"/>
    <w:rsid w:val="635089FD"/>
    <w:rsid w:val="63669B8F"/>
    <w:rsid w:val="636B016D"/>
    <w:rsid w:val="63830301"/>
    <w:rsid w:val="6384135D"/>
    <w:rsid w:val="6384177A"/>
    <w:rsid w:val="63896C33"/>
    <w:rsid w:val="63ABCE4F"/>
    <w:rsid w:val="63AD3BE0"/>
    <w:rsid w:val="63B4A7D1"/>
    <w:rsid w:val="63BCC4F1"/>
    <w:rsid w:val="63C36FF5"/>
    <w:rsid w:val="63C940DE"/>
    <w:rsid w:val="63CB50FA"/>
    <w:rsid w:val="63D13FBD"/>
    <w:rsid w:val="63F3300F"/>
    <w:rsid w:val="63FB3B4A"/>
    <w:rsid w:val="640273CD"/>
    <w:rsid w:val="6407D46B"/>
    <w:rsid w:val="641AFC09"/>
    <w:rsid w:val="641D7673"/>
    <w:rsid w:val="641DC145"/>
    <w:rsid w:val="64370FA4"/>
    <w:rsid w:val="64398BE9"/>
    <w:rsid w:val="643AC1BA"/>
    <w:rsid w:val="64464295"/>
    <w:rsid w:val="644B2E43"/>
    <w:rsid w:val="644C3D01"/>
    <w:rsid w:val="644E12C9"/>
    <w:rsid w:val="644F81B3"/>
    <w:rsid w:val="645261E4"/>
    <w:rsid w:val="645FC571"/>
    <w:rsid w:val="645FED89"/>
    <w:rsid w:val="64717D2A"/>
    <w:rsid w:val="647C1035"/>
    <w:rsid w:val="6488EAE7"/>
    <w:rsid w:val="64895022"/>
    <w:rsid w:val="648CBD16"/>
    <w:rsid w:val="64B26897"/>
    <w:rsid w:val="64B2FD90"/>
    <w:rsid w:val="64B613C0"/>
    <w:rsid w:val="64C56757"/>
    <w:rsid w:val="64C57BE1"/>
    <w:rsid w:val="64C77628"/>
    <w:rsid w:val="64CD52DF"/>
    <w:rsid w:val="64D1A2F9"/>
    <w:rsid w:val="64D1AAB0"/>
    <w:rsid w:val="64DA4593"/>
    <w:rsid w:val="64ECC1E7"/>
    <w:rsid w:val="64EDFE2B"/>
    <w:rsid w:val="64EE5679"/>
    <w:rsid w:val="64FB16EE"/>
    <w:rsid w:val="64FFE10A"/>
    <w:rsid w:val="6503A43C"/>
    <w:rsid w:val="65054168"/>
    <w:rsid w:val="651807C0"/>
    <w:rsid w:val="6518A012"/>
    <w:rsid w:val="651E663C"/>
    <w:rsid w:val="652442B5"/>
    <w:rsid w:val="652CB0AD"/>
    <w:rsid w:val="652F0456"/>
    <w:rsid w:val="652F5D73"/>
    <w:rsid w:val="653EB577"/>
    <w:rsid w:val="654071D8"/>
    <w:rsid w:val="654770E4"/>
    <w:rsid w:val="65495B84"/>
    <w:rsid w:val="654B820C"/>
    <w:rsid w:val="654DB428"/>
    <w:rsid w:val="6550C377"/>
    <w:rsid w:val="6555E0FA"/>
    <w:rsid w:val="655CD166"/>
    <w:rsid w:val="65614E60"/>
    <w:rsid w:val="656CAB77"/>
    <w:rsid w:val="65720A91"/>
    <w:rsid w:val="65A0BC9B"/>
    <w:rsid w:val="65A39D85"/>
    <w:rsid w:val="65A72DFE"/>
    <w:rsid w:val="65A91B16"/>
    <w:rsid w:val="65AA17AB"/>
    <w:rsid w:val="65B4602E"/>
    <w:rsid w:val="65BDBCD6"/>
    <w:rsid w:val="65C1C6BD"/>
    <w:rsid w:val="65D77118"/>
    <w:rsid w:val="65E62B75"/>
    <w:rsid w:val="65E9A202"/>
    <w:rsid w:val="65EBE948"/>
    <w:rsid w:val="65EC1C19"/>
    <w:rsid w:val="65EF66A8"/>
    <w:rsid w:val="65F83FB8"/>
    <w:rsid w:val="6600736D"/>
    <w:rsid w:val="661F9ED1"/>
    <w:rsid w:val="66220585"/>
    <w:rsid w:val="662757DE"/>
    <w:rsid w:val="663FDA22"/>
    <w:rsid w:val="66438F44"/>
    <w:rsid w:val="664EA174"/>
    <w:rsid w:val="66529E86"/>
    <w:rsid w:val="665DDDB9"/>
    <w:rsid w:val="666539E3"/>
    <w:rsid w:val="66701D5B"/>
    <w:rsid w:val="6687DC46"/>
    <w:rsid w:val="668C53AC"/>
    <w:rsid w:val="66A3394F"/>
    <w:rsid w:val="66B703BF"/>
    <w:rsid w:val="66C02D68"/>
    <w:rsid w:val="66C92EE7"/>
    <w:rsid w:val="66D0A70C"/>
    <w:rsid w:val="66D1A253"/>
    <w:rsid w:val="66D5677F"/>
    <w:rsid w:val="66D59854"/>
    <w:rsid w:val="66E36F11"/>
    <w:rsid w:val="66F9027B"/>
    <w:rsid w:val="66F95BBE"/>
    <w:rsid w:val="66FCCD9B"/>
    <w:rsid w:val="670824CC"/>
    <w:rsid w:val="6711A8D0"/>
    <w:rsid w:val="67176F10"/>
    <w:rsid w:val="6718FFA8"/>
    <w:rsid w:val="6732D4DB"/>
    <w:rsid w:val="6734EE8E"/>
    <w:rsid w:val="673A7E20"/>
    <w:rsid w:val="6741E9F4"/>
    <w:rsid w:val="674BF3DC"/>
    <w:rsid w:val="674F7D2B"/>
    <w:rsid w:val="6758E922"/>
    <w:rsid w:val="67630E54"/>
    <w:rsid w:val="6764C690"/>
    <w:rsid w:val="676B2AF6"/>
    <w:rsid w:val="677501E9"/>
    <w:rsid w:val="67781269"/>
    <w:rsid w:val="67840E30"/>
    <w:rsid w:val="6795ECF5"/>
    <w:rsid w:val="67971C39"/>
    <w:rsid w:val="6797A89B"/>
    <w:rsid w:val="679E84CC"/>
    <w:rsid w:val="67A78622"/>
    <w:rsid w:val="67ABE74A"/>
    <w:rsid w:val="67AC531F"/>
    <w:rsid w:val="67B94454"/>
    <w:rsid w:val="67C3B5EE"/>
    <w:rsid w:val="67C74E54"/>
    <w:rsid w:val="67D5676C"/>
    <w:rsid w:val="67D6F06B"/>
    <w:rsid w:val="67D907AA"/>
    <w:rsid w:val="67E9BBD9"/>
    <w:rsid w:val="67EB0D53"/>
    <w:rsid w:val="67ED99ED"/>
    <w:rsid w:val="681C6965"/>
    <w:rsid w:val="681CB8A4"/>
    <w:rsid w:val="681CE379"/>
    <w:rsid w:val="682B5DCB"/>
    <w:rsid w:val="682E6651"/>
    <w:rsid w:val="68301D49"/>
    <w:rsid w:val="68345B66"/>
    <w:rsid w:val="68353B06"/>
    <w:rsid w:val="683F512D"/>
    <w:rsid w:val="6849AF61"/>
    <w:rsid w:val="684E35B2"/>
    <w:rsid w:val="6857E21B"/>
    <w:rsid w:val="6870AF22"/>
    <w:rsid w:val="6873DAE6"/>
    <w:rsid w:val="6874595F"/>
    <w:rsid w:val="687B0B44"/>
    <w:rsid w:val="6883F770"/>
    <w:rsid w:val="6892FFD5"/>
    <w:rsid w:val="689DEBE5"/>
    <w:rsid w:val="68A057D8"/>
    <w:rsid w:val="68B77336"/>
    <w:rsid w:val="68CFD61B"/>
    <w:rsid w:val="68D37982"/>
    <w:rsid w:val="68D3F614"/>
    <w:rsid w:val="68D9F45E"/>
    <w:rsid w:val="68DE7352"/>
    <w:rsid w:val="68E0183D"/>
    <w:rsid w:val="68E0F0FB"/>
    <w:rsid w:val="68E6805C"/>
    <w:rsid w:val="68EDDADD"/>
    <w:rsid w:val="68F01FE5"/>
    <w:rsid w:val="68F5B7A7"/>
    <w:rsid w:val="68F97FE9"/>
    <w:rsid w:val="68FF289F"/>
    <w:rsid w:val="690335D9"/>
    <w:rsid w:val="6909F0AF"/>
    <w:rsid w:val="690C283E"/>
    <w:rsid w:val="6910D24A"/>
    <w:rsid w:val="69278BEC"/>
    <w:rsid w:val="6927F233"/>
    <w:rsid w:val="692FE718"/>
    <w:rsid w:val="69406577"/>
    <w:rsid w:val="696E438A"/>
    <w:rsid w:val="696F7DC1"/>
    <w:rsid w:val="6980E437"/>
    <w:rsid w:val="6989C152"/>
    <w:rsid w:val="698DFE8A"/>
    <w:rsid w:val="699F7A7F"/>
    <w:rsid w:val="69A01F18"/>
    <w:rsid w:val="69A2A583"/>
    <w:rsid w:val="69A6E6B4"/>
    <w:rsid w:val="69A97B43"/>
    <w:rsid w:val="69A9CB57"/>
    <w:rsid w:val="69BA4F6D"/>
    <w:rsid w:val="69C295AE"/>
    <w:rsid w:val="69D7A9A9"/>
    <w:rsid w:val="69E30B7B"/>
    <w:rsid w:val="69EC14FC"/>
    <w:rsid w:val="69F812C8"/>
    <w:rsid w:val="69FBDB3C"/>
    <w:rsid w:val="69FBE452"/>
    <w:rsid w:val="6A05142C"/>
    <w:rsid w:val="6A134656"/>
    <w:rsid w:val="6A19E1DD"/>
    <w:rsid w:val="6A1DE710"/>
    <w:rsid w:val="6A29BFEC"/>
    <w:rsid w:val="6A2DF105"/>
    <w:rsid w:val="6A2EA024"/>
    <w:rsid w:val="6A35788A"/>
    <w:rsid w:val="6A49A565"/>
    <w:rsid w:val="6A4A7C4B"/>
    <w:rsid w:val="6A4F7389"/>
    <w:rsid w:val="6A575A08"/>
    <w:rsid w:val="6A625063"/>
    <w:rsid w:val="6A65D35F"/>
    <w:rsid w:val="6A69D146"/>
    <w:rsid w:val="6A78C563"/>
    <w:rsid w:val="6A8EA0AA"/>
    <w:rsid w:val="6A90F535"/>
    <w:rsid w:val="6A97E022"/>
    <w:rsid w:val="6A9D846C"/>
    <w:rsid w:val="6AA09F8B"/>
    <w:rsid w:val="6AA58AA1"/>
    <w:rsid w:val="6AA8CD6D"/>
    <w:rsid w:val="6AA8F08F"/>
    <w:rsid w:val="6AB39DE1"/>
    <w:rsid w:val="6AB3D6FB"/>
    <w:rsid w:val="6AC3C294"/>
    <w:rsid w:val="6AC3EB15"/>
    <w:rsid w:val="6AC48149"/>
    <w:rsid w:val="6AC956C4"/>
    <w:rsid w:val="6ADD543B"/>
    <w:rsid w:val="6AE1F7FD"/>
    <w:rsid w:val="6AEEE234"/>
    <w:rsid w:val="6AF4E8C7"/>
    <w:rsid w:val="6AF6FC67"/>
    <w:rsid w:val="6B098407"/>
    <w:rsid w:val="6B0D689F"/>
    <w:rsid w:val="6B1343DE"/>
    <w:rsid w:val="6B2591B3"/>
    <w:rsid w:val="6B2E3F95"/>
    <w:rsid w:val="6B3451E3"/>
    <w:rsid w:val="6B3B290D"/>
    <w:rsid w:val="6B473603"/>
    <w:rsid w:val="6B4E5AD2"/>
    <w:rsid w:val="6B6FA017"/>
    <w:rsid w:val="6B7E3256"/>
    <w:rsid w:val="6B8ACFF0"/>
    <w:rsid w:val="6B93C318"/>
    <w:rsid w:val="6B95518C"/>
    <w:rsid w:val="6B98B33C"/>
    <w:rsid w:val="6B9BE2A7"/>
    <w:rsid w:val="6B9D4468"/>
    <w:rsid w:val="6BA13718"/>
    <w:rsid w:val="6BA19B3F"/>
    <w:rsid w:val="6BA48D0F"/>
    <w:rsid w:val="6BA60137"/>
    <w:rsid w:val="6BAD8D24"/>
    <w:rsid w:val="6BB247EA"/>
    <w:rsid w:val="6BB8BAA8"/>
    <w:rsid w:val="6BBDCFC1"/>
    <w:rsid w:val="6BC81B05"/>
    <w:rsid w:val="6BCA2009"/>
    <w:rsid w:val="6BD681F7"/>
    <w:rsid w:val="6BE59CC3"/>
    <w:rsid w:val="6BED6052"/>
    <w:rsid w:val="6BF0B926"/>
    <w:rsid w:val="6BF255DF"/>
    <w:rsid w:val="6BF5378F"/>
    <w:rsid w:val="6C0536F2"/>
    <w:rsid w:val="6C0B4B92"/>
    <w:rsid w:val="6C0EC82A"/>
    <w:rsid w:val="6C0EDECA"/>
    <w:rsid w:val="6C164A7C"/>
    <w:rsid w:val="6C18D098"/>
    <w:rsid w:val="6C21BF43"/>
    <w:rsid w:val="6C220288"/>
    <w:rsid w:val="6C2AB059"/>
    <w:rsid w:val="6C3673E4"/>
    <w:rsid w:val="6C39F13E"/>
    <w:rsid w:val="6C43FABB"/>
    <w:rsid w:val="6C48730C"/>
    <w:rsid w:val="6C71018C"/>
    <w:rsid w:val="6C728352"/>
    <w:rsid w:val="6C7FC442"/>
    <w:rsid w:val="6C86BDE4"/>
    <w:rsid w:val="6CA1B4CE"/>
    <w:rsid w:val="6CA5E6BC"/>
    <w:rsid w:val="6CA5E9D6"/>
    <w:rsid w:val="6CA6DF50"/>
    <w:rsid w:val="6CA9E6E6"/>
    <w:rsid w:val="6CAB3164"/>
    <w:rsid w:val="6CAD1045"/>
    <w:rsid w:val="6CC21781"/>
    <w:rsid w:val="6CC51E85"/>
    <w:rsid w:val="6CCEDD52"/>
    <w:rsid w:val="6CD3A22C"/>
    <w:rsid w:val="6CE210ED"/>
    <w:rsid w:val="6CE9DE07"/>
    <w:rsid w:val="6CF9E0C2"/>
    <w:rsid w:val="6CFC5A5F"/>
    <w:rsid w:val="6D1BE84D"/>
    <w:rsid w:val="6D1E90CF"/>
    <w:rsid w:val="6D1F6B43"/>
    <w:rsid w:val="6D221B52"/>
    <w:rsid w:val="6D2C6C50"/>
    <w:rsid w:val="6D32BADA"/>
    <w:rsid w:val="6D34839D"/>
    <w:rsid w:val="6D371D0E"/>
    <w:rsid w:val="6D3CAD91"/>
    <w:rsid w:val="6D4780E9"/>
    <w:rsid w:val="6D49083A"/>
    <w:rsid w:val="6D578DBB"/>
    <w:rsid w:val="6D59F43C"/>
    <w:rsid w:val="6D6DD798"/>
    <w:rsid w:val="6D6ECF98"/>
    <w:rsid w:val="6D9F79B1"/>
    <w:rsid w:val="6DA0075A"/>
    <w:rsid w:val="6DAD98F6"/>
    <w:rsid w:val="6DAE1A3A"/>
    <w:rsid w:val="6DB306B3"/>
    <w:rsid w:val="6DB365FF"/>
    <w:rsid w:val="6DB523CC"/>
    <w:rsid w:val="6DB8FB54"/>
    <w:rsid w:val="6DBB40AB"/>
    <w:rsid w:val="6DBF7E80"/>
    <w:rsid w:val="6DCEC68F"/>
    <w:rsid w:val="6DCFAC0E"/>
    <w:rsid w:val="6DDC576E"/>
    <w:rsid w:val="6DE5C2E2"/>
    <w:rsid w:val="6DEDA772"/>
    <w:rsid w:val="6DEE20F7"/>
    <w:rsid w:val="6DF0B8CE"/>
    <w:rsid w:val="6DF349B7"/>
    <w:rsid w:val="6DF9C60B"/>
    <w:rsid w:val="6E053A1D"/>
    <w:rsid w:val="6E0AE7F5"/>
    <w:rsid w:val="6E0B49CD"/>
    <w:rsid w:val="6E1C6174"/>
    <w:rsid w:val="6E21B9E9"/>
    <w:rsid w:val="6E27818C"/>
    <w:rsid w:val="6E36572D"/>
    <w:rsid w:val="6E41E669"/>
    <w:rsid w:val="6E4BCEB0"/>
    <w:rsid w:val="6E51D45C"/>
    <w:rsid w:val="6E5907E2"/>
    <w:rsid w:val="6E595094"/>
    <w:rsid w:val="6E5CC99B"/>
    <w:rsid w:val="6E62BDE8"/>
    <w:rsid w:val="6E6DB5D6"/>
    <w:rsid w:val="6E7C5876"/>
    <w:rsid w:val="6E7E772E"/>
    <w:rsid w:val="6E8470BC"/>
    <w:rsid w:val="6E8BCF1E"/>
    <w:rsid w:val="6E9BD355"/>
    <w:rsid w:val="6EA0B3C2"/>
    <w:rsid w:val="6EAD4B22"/>
    <w:rsid w:val="6EB8C123"/>
    <w:rsid w:val="6EC52569"/>
    <w:rsid w:val="6ED549D1"/>
    <w:rsid w:val="6EDA6CCE"/>
    <w:rsid w:val="6EDF0772"/>
    <w:rsid w:val="6EEC8C39"/>
    <w:rsid w:val="6EFB7B81"/>
    <w:rsid w:val="6F04C511"/>
    <w:rsid w:val="6F102F30"/>
    <w:rsid w:val="6F16FF14"/>
    <w:rsid w:val="6F1BAD19"/>
    <w:rsid w:val="6F1E099A"/>
    <w:rsid w:val="6F20DA5D"/>
    <w:rsid w:val="6F36BB1D"/>
    <w:rsid w:val="6F3A3861"/>
    <w:rsid w:val="6F3D6127"/>
    <w:rsid w:val="6F404FC6"/>
    <w:rsid w:val="6F408E4D"/>
    <w:rsid w:val="6F411D2F"/>
    <w:rsid w:val="6F4ADDE7"/>
    <w:rsid w:val="6F56BB22"/>
    <w:rsid w:val="6F61B56D"/>
    <w:rsid w:val="6F6C1C68"/>
    <w:rsid w:val="6F78D05B"/>
    <w:rsid w:val="6F7E7B66"/>
    <w:rsid w:val="6F7F69D0"/>
    <w:rsid w:val="6F7FA6F0"/>
    <w:rsid w:val="6F82C3BF"/>
    <w:rsid w:val="6F8FE778"/>
    <w:rsid w:val="6F9742F2"/>
    <w:rsid w:val="6F9DB19B"/>
    <w:rsid w:val="6FAB15A8"/>
    <w:rsid w:val="6FBD5384"/>
    <w:rsid w:val="6FC077A2"/>
    <w:rsid w:val="6FC8A316"/>
    <w:rsid w:val="6FC91B8C"/>
    <w:rsid w:val="6FD2CA65"/>
    <w:rsid w:val="6FFDCE57"/>
    <w:rsid w:val="7007A600"/>
    <w:rsid w:val="70092E04"/>
    <w:rsid w:val="700A3A5C"/>
    <w:rsid w:val="70128069"/>
    <w:rsid w:val="7013E225"/>
    <w:rsid w:val="702061FD"/>
    <w:rsid w:val="702899A8"/>
    <w:rsid w:val="702CB24F"/>
    <w:rsid w:val="703A1C2C"/>
    <w:rsid w:val="704B2777"/>
    <w:rsid w:val="704C9284"/>
    <w:rsid w:val="704F314B"/>
    <w:rsid w:val="70505406"/>
    <w:rsid w:val="70563CF7"/>
    <w:rsid w:val="705C6BF6"/>
    <w:rsid w:val="707128FA"/>
    <w:rsid w:val="70724E4B"/>
    <w:rsid w:val="7077C320"/>
    <w:rsid w:val="7085892A"/>
    <w:rsid w:val="708784B3"/>
    <w:rsid w:val="70892D00"/>
    <w:rsid w:val="708CB368"/>
    <w:rsid w:val="70913F53"/>
    <w:rsid w:val="709BB01E"/>
    <w:rsid w:val="709EC08F"/>
    <w:rsid w:val="70A275CE"/>
    <w:rsid w:val="70AAC654"/>
    <w:rsid w:val="70AD24AF"/>
    <w:rsid w:val="70B51F9A"/>
    <w:rsid w:val="70BEE181"/>
    <w:rsid w:val="70C233BB"/>
    <w:rsid w:val="70C45054"/>
    <w:rsid w:val="70D648B9"/>
    <w:rsid w:val="70D7DB8B"/>
    <w:rsid w:val="70E2FB65"/>
    <w:rsid w:val="70E57F26"/>
    <w:rsid w:val="70F09F8B"/>
    <w:rsid w:val="70F37C39"/>
    <w:rsid w:val="70F8B5C3"/>
    <w:rsid w:val="70F98915"/>
    <w:rsid w:val="71066942"/>
    <w:rsid w:val="7112A76E"/>
    <w:rsid w:val="7118E773"/>
    <w:rsid w:val="711BE42F"/>
    <w:rsid w:val="71254834"/>
    <w:rsid w:val="712ADE55"/>
    <w:rsid w:val="71340520"/>
    <w:rsid w:val="714185A5"/>
    <w:rsid w:val="7146BEF5"/>
    <w:rsid w:val="71493240"/>
    <w:rsid w:val="7158A453"/>
    <w:rsid w:val="715C63BA"/>
    <w:rsid w:val="715DBEAC"/>
    <w:rsid w:val="716ADC0A"/>
    <w:rsid w:val="716EF4A6"/>
    <w:rsid w:val="7178583B"/>
    <w:rsid w:val="717F925C"/>
    <w:rsid w:val="7184D661"/>
    <w:rsid w:val="71865800"/>
    <w:rsid w:val="71899E2B"/>
    <w:rsid w:val="718B5604"/>
    <w:rsid w:val="718FE4DE"/>
    <w:rsid w:val="71998688"/>
    <w:rsid w:val="71A56E9F"/>
    <w:rsid w:val="71B82BB3"/>
    <w:rsid w:val="71D7EE13"/>
    <w:rsid w:val="71D85484"/>
    <w:rsid w:val="71D9EA95"/>
    <w:rsid w:val="71DE9E94"/>
    <w:rsid w:val="71DEE19B"/>
    <w:rsid w:val="71E3683D"/>
    <w:rsid w:val="71F41DE4"/>
    <w:rsid w:val="71F44F16"/>
    <w:rsid w:val="7217792B"/>
    <w:rsid w:val="721D2E3F"/>
    <w:rsid w:val="722461AA"/>
    <w:rsid w:val="7227B4DF"/>
    <w:rsid w:val="722A40D5"/>
    <w:rsid w:val="72310D1D"/>
    <w:rsid w:val="7241014D"/>
    <w:rsid w:val="724432FC"/>
    <w:rsid w:val="7246F858"/>
    <w:rsid w:val="7247ED49"/>
    <w:rsid w:val="72587B1F"/>
    <w:rsid w:val="725B69A0"/>
    <w:rsid w:val="725F338E"/>
    <w:rsid w:val="72612EC9"/>
    <w:rsid w:val="726E136C"/>
    <w:rsid w:val="726EDFED"/>
    <w:rsid w:val="727B7080"/>
    <w:rsid w:val="727FD703"/>
    <w:rsid w:val="72823B05"/>
    <w:rsid w:val="72856A7E"/>
    <w:rsid w:val="72858C2F"/>
    <w:rsid w:val="72880B3B"/>
    <w:rsid w:val="72894D9C"/>
    <w:rsid w:val="7290E0E0"/>
    <w:rsid w:val="72914EA4"/>
    <w:rsid w:val="729C85C7"/>
    <w:rsid w:val="729F9455"/>
    <w:rsid w:val="72D225F3"/>
    <w:rsid w:val="72DC3552"/>
    <w:rsid w:val="72DD6053"/>
    <w:rsid w:val="72E121A5"/>
    <w:rsid w:val="72E169C7"/>
    <w:rsid w:val="72E31CA3"/>
    <w:rsid w:val="72E64B8C"/>
    <w:rsid w:val="72E74EBF"/>
    <w:rsid w:val="72EF395D"/>
    <w:rsid w:val="72F53862"/>
    <w:rsid w:val="7313E4CE"/>
    <w:rsid w:val="7337573A"/>
    <w:rsid w:val="733D330B"/>
    <w:rsid w:val="733DCED4"/>
    <w:rsid w:val="7346295B"/>
    <w:rsid w:val="734A82CF"/>
    <w:rsid w:val="73504F7B"/>
    <w:rsid w:val="73531CC9"/>
    <w:rsid w:val="735AB853"/>
    <w:rsid w:val="7373B4D6"/>
    <w:rsid w:val="7387E481"/>
    <w:rsid w:val="7396C725"/>
    <w:rsid w:val="73A7A55F"/>
    <w:rsid w:val="73BFA4F1"/>
    <w:rsid w:val="73C06B62"/>
    <w:rsid w:val="73C93296"/>
    <w:rsid w:val="73E15CBD"/>
    <w:rsid w:val="73E7BD96"/>
    <w:rsid w:val="73E94C6E"/>
    <w:rsid w:val="73F06D43"/>
    <w:rsid w:val="73F39A45"/>
    <w:rsid w:val="73F48EB5"/>
    <w:rsid w:val="74006F13"/>
    <w:rsid w:val="7406620C"/>
    <w:rsid w:val="7409AFAA"/>
    <w:rsid w:val="740D92E2"/>
    <w:rsid w:val="74184B41"/>
    <w:rsid w:val="741CE915"/>
    <w:rsid w:val="7420B83F"/>
    <w:rsid w:val="74293871"/>
    <w:rsid w:val="74451E80"/>
    <w:rsid w:val="74527F3B"/>
    <w:rsid w:val="745FB9D5"/>
    <w:rsid w:val="74622DBC"/>
    <w:rsid w:val="7474A4F2"/>
    <w:rsid w:val="747745B2"/>
    <w:rsid w:val="747A7FC8"/>
    <w:rsid w:val="74A2AF9D"/>
    <w:rsid w:val="74A2EABE"/>
    <w:rsid w:val="74B1B81E"/>
    <w:rsid w:val="74B58D1F"/>
    <w:rsid w:val="74DD2FA8"/>
    <w:rsid w:val="74E0DFEB"/>
    <w:rsid w:val="750093A9"/>
    <w:rsid w:val="750F9614"/>
    <w:rsid w:val="7515521B"/>
    <w:rsid w:val="7515DC42"/>
    <w:rsid w:val="751A5477"/>
    <w:rsid w:val="75266921"/>
    <w:rsid w:val="752C02CA"/>
    <w:rsid w:val="752D90DD"/>
    <w:rsid w:val="75323852"/>
    <w:rsid w:val="7535B0E8"/>
    <w:rsid w:val="7541D67D"/>
    <w:rsid w:val="754E6030"/>
    <w:rsid w:val="755E6A6E"/>
    <w:rsid w:val="7567378D"/>
    <w:rsid w:val="75785205"/>
    <w:rsid w:val="75901BE1"/>
    <w:rsid w:val="7598D0C2"/>
    <w:rsid w:val="759E8266"/>
    <w:rsid w:val="75A04CC1"/>
    <w:rsid w:val="75A572E8"/>
    <w:rsid w:val="75AAE6E2"/>
    <w:rsid w:val="75AF75DB"/>
    <w:rsid w:val="75AFF5E0"/>
    <w:rsid w:val="75BD1623"/>
    <w:rsid w:val="75BE2BF0"/>
    <w:rsid w:val="75C3A1E8"/>
    <w:rsid w:val="75C564F8"/>
    <w:rsid w:val="75C959D5"/>
    <w:rsid w:val="75D1C132"/>
    <w:rsid w:val="75EAAB1D"/>
    <w:rsid w:val="75EE5F12"/>
    <w:rsid w:val="75F64667"/>
    <w:rsid w:val="75F70FEE"/>
    <w:rsid w:val="75FC64A0"/>
    <w:rsid w:val="75FC70A2"/>
    <w:rsid w:val="76150115"/>
    <w:rsid w:val="7622731C"/>
    <w:rsid w:val="7629CD8C"/>
    <w:rsid w:val="7632CEB7"/>
    <w:rsid w:val="76378017"/>
    <w:rsid w:val="763A59C7"/>
    <w:rsid w:val="76479BD2"/>
    <w:rsid w:val="764831B5"/>
    <w:rsid w:val="76522D61"/>
    <w:rsid w:val="76548032"/>
    <w:rsid w:val="76669BA7"/>
    <w:rsid w:val="766D0FDB"/>
    <w:rsid w:val="766FB0E0"/>
    <w:rsid w:val="7674C78D"/>
    <w:rsid w:val="76755DBC"/>
    <w:rsid w:val="767C2019"/>
    <w:rsid w:val="768EB1E4"/>
    <w:rsid w:val="768FF8BA"/>
    <w:rsid w:val="769334DB"/>
    <w:rsid w:val="7694A26D"/>
    <w:rsid w:val="769804B2"/>
    <w:rsid w:val="769C99D4"/>
    <w:rsid w:val="769D3108"/>
    <w:rsid w:val="769D7B55"/>
    <w:rsid w:val="76B09171"/>
    <w:rsid w:val="76B61C9A"/>
    <w:rsid w:val="76B63E76"/>
    <w:rsid w:val="76B669D7"/>
    <w:rsid w:val="76B9A496"/>
    <w:rsid w:val="76BCD35B"/>
    <w:rsid w:val="76C2E631"/>
    <w:rsid w:val="76C92307"/>
    <w:rsid w:val="76CF118B"/>
    <w:rsid w:val="76E628C5"/>
    <w:rsid w:val="76F9D7F9"/>
    <w:rsid w:val="7701A49E"/>
    <w:rsid w:val="77146A7D"/>
    <w:rsid w:val="7714F8C1"/>
    <w:rsid w:val="7719FB72"/>
    <w:rsid w:val="7720ED30"/>
    <w:rsid w:val="7721C753"/>
    <w:rsid w:val="772DDCB3"/>
    <w:rsid w:val="7730C95C"/>
    <w:rsid w:val="7733A3B7"/>
    <w:rsid w:val="77395DEC"/>
    <w:rsid w:val="7748FA94"/>
    <w:rsid w:val="77532508"/>
    <w:rsid w:val="775407D7"/>
    <w:rsid w:val="7762C812"/>
    <w:rsid w:val="77632657"/>
    <w:rsid w:val="7768AE9D"/>
    <w:rsid w:val="77711AA6"/>
    <w:rsid w:val="77829979"/>
    <w:rsid w:val="77875531"/>
    <w:rsid w:val="778B60D7"/>
    <w:rsid w:val="778BB960"/>
    <w:rsid w:val="779451BE"/>
    <w:rsid w:val="77AE4718"/>
    <w:rsid w:val="77B0B431"/>
    <w:rsid w:val="77CA92F4"/>
    <w:rsid w:val="77D1F195"/>
    <w:rsid w:val="77EAF3BE"/>
    <w:rsid w:val="77F93A38"/>
    <w:rsid w:val="77FB87C6"/>
    <w:rsid w:val="7808E03C"/>
    <w:rsid w:val="780BB625"/>
    <w:rsid w:val="780F7F48"/>
    <w:rsid w:val="78100567"/>
    <w:rsid w:val="78226A1C"/>
    <w:rsid w:val="782B5F68"/>
    <w:rsid w:val="782CD978"/>
    <w:rsid w:val="784197D0"/>
    <w:rsid w:val="7852A9C1"/>
    <w:rsid w:val="7866238C"/>
    <w:rsid w:val="7867AEE5"/>
    <w:rsid w:val="786D7D19"/>
    <w:rsid w:val="7871352E"/>
    <w:rsid w:val="7875CF29"/>
    <w:rsid w:val="7879CFB5"/>
    <w:rsid w:val="78886847"/>
    <w:rsid w:val="789467D7"/>
    <w:rsid w:val="78965B1A"/>
    <w:rsid w:val="789790C0"/>
    <w:rsid w:val="789FA23C"/>
    <w:rsid w:val="78A61476"/>
    <w:rsid w:val="78B2162F"/>
    <w:rsid w:val="78BCE518"/>
    <w:rsid w:val="78C7BCA3"/>
    <w:rsid w:val="78CA6095"/>
    <w:rsid w:val="78CC7858"/>
    <w:rsid w:val="78D6E8E8"/>
    <w:rsid w:val="78D86693"/>
    <w:rsid w:val="78DE2FC9"/>
    <w:rsid w:val="78EF6F56"/>
    <w:rsid w:val="78F10251"/>
    <w:rsid w:val="78F54E5D"/>
    <w:rsid w:val="78FA9186"/>
    <w:rsid w:val="79028855"/>
    <w:rsid w:val="7914C8ED"/>
    <w:rsid w:val="79190D56"/>
    <w:rsid w:val="79191CAD"/>
    <w:rsid w:val="7930D269"/>
    <w:rsid w:val="793B0402"/>
    <w:rsid w:val="793B5B2E"/>
    <w:rsid w:val="79409603"/>
    <w:rsid w:val="79416889"/>
    <w:rsid w:val="794B97B3"/>
    <w:rsid w:val="794E51FB"/>
    <w:rsid w:val="79562F35"/>
    <w:rsid w:val="796392E5"/>
    <w:rsid w:val="796FFDD2"/>
    <w:rsid w:val="7982DB51"/>
    <w:rsid w:val="79852941"/>
    <w:rsid w:val="7989AF3E"/>
    <w:rsid w:val="79A3C96F"/>
    <w:rsid w:val="79A4B09D"/>
    <w:rsid w:val="79C1896C"/>
    <w:rsid w:val="79C2CE3E"/>
    <w:rsid w:val="79C5A5FB"/>
    <w:rsid w:val="79C98927"/>
    <w:rsid w:val="79CA9E2C"/>
    <w:rsid w:val="79D027C1"/>
    <w:rsid w:val="79D3A69A"/>
    <w:rsid w:val="79DA9A67"/>
    <w:rsid w:val="79E158F7"/>
    <w:rsid w:val="79E9F380"/>
    <w:rsid w:val="79FAD907"/>
    <w:rsid w:val="7A153856"/>
    <w:rsid w:val="7A186D37"/>
    <w:rsid w:val="7A2814EB"/>
    <w:rsid w:val="7A28EC91"/>
    <w:rsid w:val="7A2B3A3B"/>
    <w:rsid w:val="7A30EE27"/>
    <w:rsid w:val="7A331146"/>
    <w:rsid w:val="7A34F8AB"/>
    <w:rsid w:val="7A48E82E"/>
    <w:rsid w:val="7A4D4FC6"/>
    <w:rsid w:val="7A588DF2"/>
    <w:rsid w:val="7A600B3E"/>
    <w:rsid w:val="7A61C257"/>
    <w:rsid w:val="7A6B4479"/>
    <w:rsid w:val="7A6E65AF"/>
    <w:rsid w:val="7A71CCA2"/>
    <w:rsid w:val="7A75B9F8"/>
    <w:rsid w:val="7A7B77EF"/>
    <w:rsid w:val="7A7DDFE4"/>
    <w:rsid w:val="7A85535A"/>
    <w:rsid w:val="7A87CDB4"/>
    <w:rsid w:val="7A8BD119"/>
    <w:rsid w:val="7A9946C6"/>
    <w:rsid w:val="7A9C4279"/>
    <w:rsid w:val="7AA5645D"/>
    <w:rsid w:val="7AB1A6A2"/>
    <w:rsid w:val="7AB8C729"/>
    <w:rsid w:val="7AB8F765"/>
    <w:rsid w:val="7AC503E1"/>
    <w:rsid w:val="7AC85F9C"/>
    <w:rsid w:val="7AC95CD2"/>
    <w:rsid w:val="7ADC09FA"/>
    <w:rsid w:val="7ADD1BF1"/>
    <w:rsid w:val="7AE70B43"/>
    <w:rsid w:val="7AE7BE59"/>
    <w:rsid w:val="7AE84D26"/>
    <w:rsid w:val="7AF1831B"/>
    <w:rsid w:val="7AF259A2"/>
    <w:rsid w:val="7AF5E614"/>
    <w:rsid w:val="7AF9E664"/>
    <w:rsid w:val="7AFC22C3"/>
    <w:rsid w:val="7AFC6BA5"/>
    <w:rsid w:val="7B0050A8"/>
    <w:rsid w:val="7B071A1F"/>
    <w:rsid w:val="7B0C239F"/>
    <w:rsid w:val="7B0DCAEA"/>
    <w:rsid w:val="7B0E670C"/>
    <w:rsid w:val="7B111FF4"/>
    <w:rsid w:val="7B14C436"/>
    <w:rsid w:val="7B190A92"/>
    <w:rsid w:val="7B1EF6B3"/>
    <w:rsid w:val="7B285728"/>
    <w:rsid w:val="7B2940C2"/>
    <w:rsid w:val="7B2CC624"/>
    <w:rsid w:val="7B4080FE"/>
    <w:rsid w:val="7B4430F9"/>
    <w:rsid w:val="7B53A625"/>
    <w:rsid w:val="7B59B54A"/>
    <w:rsid w:val="7B60C241"/>
    <w:rsid w:val="7B67D44F"/>
    <w:rsid w:val="7B6A0C6F"/>
    <w:rsid w:val="7B6DB28D"/>
    <w:rsid w:val="7B734D4E"/>
    <w:rsid w:val="7B7AABAF"/>
    <w:rsid w:val="7B863853"/>
    <w:rsid w:val="7B897ED7"/>
    <w:rsid w:val="7B8EFE74"/>
    <w:rsid w:val="7B9C3813"/>
    <w:rsid w:val="7B9E67A0"/>
    <w:rsid w:val="7B9F988A"/>
    <w:rsid w:val="7BB24FA7"/>
    <w:rsid w:val="7BD49568"/>
    <w:rsid w:val="7BD5A732"/>
    <w:rsid w:val="7BDFCE3C"/>
    <w:rsid w:val="7BE0B3CB"/>
    <w:rsid w:val="7BE10DDA"/>
    <w:rsid w:val="7BE2E69C"/>
    <w:rsid w:val="7BEB06E8"/>
    <w:rsid w:val="7BEC2842"/>
    <w:rsid w:val="7BEDBA05"/>
    <w:rsid w:val="7BEEEDDA"/>
    <w:rsid w:val="7BEFE8B9"/>
    <w:rsid w:val="7BF18C6F"/>
    <w:rsid w:val="7BF6A029"/>
    <w:rsid w:val="7BFF5D65"/>
    <w:rsid w:val="7C00272F"/>
    <w:rsid w:val="7C04EE73"/>
    <w:rsid w:val="7C09E3B8"/>
    <w:rsid w:val="7C13E015"/>
    <w:rsid w:val="7C1F08BF"/>
    <w:rsid w:val="7C20A616"/>
    <w:rsid w:val="7C345861"/>
    <w:rsid w:val="7C42D899"/>
    <w:rsid w:val="7C44493A"/>
    <w:rsid w:val="7C4AB8F8"/>
    <w:rsid w:val="7C5917C0"/>
    <w:rsid w:val="7C62FD84"/>
    <w:rsid w:val="7C6B1A3C"/>
    <w:rsid w:val="7C6EC80F"/>
    <w:rsid w:val="7C75AB3B"/>
    <w:rsid w:val="7C862BB0"/>
    <w:rsid w:val="7C8D8E32"/>
    <w:rsid w:val="7C9C2109"/>
    <w:rsid w:val="7CAC5FAA"/>
    <w:rsid w:val="7CACDB40"/>
    <w:rsid w:val="7CB2808B"/>
    <w:rsid w:val="7CDC515F"/>
    <w:rsid w:val="7CE2F06B"/>
    <w:rsid w:val="7D0F193F"/>
    <w:rsid w:val="7D10235F"/>
    <w:rsid w:val="7D10E15D"/>
    <w:rsid w:val="7D12FC06"/>
    <w:rsid w:val="7D135D1F"/>
    <w:rsid w:val="7D1C25C9"/>
    <w:rsid w:val="7D20520D"/>
    <w:rsid w:val="7D23A33E"/>
    <w:rsid w:val="7D3B68EB"/>
    <w:rsid w:val="7D3EF0F2"/>
    <w:rsid w:val="7D4B1EA0"/>
    <w:rsid w:val="7D5163A2"/>
    <w:rsid w:val="7D5A3365"/>
    <w:rsid w:val="7D5ABEE1"/>
    <w:rsid w:val="7D5DC4C6"/>
    <w:rsid w:val="7D6266C9"/>
    <w:rsid w:val="7D62DAFD"/>
    <w:rsid w:val="7D6796A7"/>
    <w:rsid w:val="7D69CC2E"/>
    <w:rsid w:val="7D754AA9"/>
    <w:rsid w:val="7D82BEFA"/>
    <w:rsid w:val="7D85EAA6"/>
    <w:rsid w:val="7D89AAFF"/>
    <w:rsid w:val="7D931951"/>
    <w:rsid w:val="7D9340D5"/>
    <w:rsid w:val="7D981E0D"/>
    <w:rsid w:val="7D9A5AC8"/>
    <w:rsid w:val="7DB22074"/>
    <w:rsid w:val="7DB44358"/>
    <w:rsid w:val="7DBC26A7"/>
    <w:rsid w:val="7DBFF30E"/>
    <w:rsid w:val="7DC193CA"/>
    <w:rsid w:val="7DCB48D1"/>
    <w:rsid w:val="7DD20996"/>
    <w:rsid w:val="7DDEF3B0"/>
    <w:rsid w:val="7DDFA052"/>
    <w:rsid w:val="7DF08923"/>
    <w:rsid w:val="7E00FD94"/>
    <w:rsid w:val="7E09615D"/>
    <w:rsid w:val="7E0C97AC"/>
    <w:rsid w:val="7E0D51C8"/>
    <w:rsid w:val="7E13A82A"/>
    <w:rsid w:val="7E2CAB09"/>
    <w:rsid w:val="7E31574E"/>
    <w:rsid w:val="7E3DB0F7"/>
    <w:rsid w:val="7E442530"/>
    <w:rsid w:val="7E460080"/>
    <w:rsid w:val="7E4BB241"/>
    <w:rsid w:val="7E4EC0EB"/>
    <w:rsid w:val="7E621B68"/>
    <w:rsid w:val="7E6ACDF0"/>
    <w:rsid w:val="7E7F6D77"/>
    <w:rsid w:val="7E7FC0AE"/>
    <w:rsid w:val="7E864C88"/>
    <w:rsid w:val="7E865DE3"/>
    <w:rsid w:val="7E880819"/>
    <w:rsid w:val="7E9A5F74"/>
    <w:rsid w:val="7EA43C46"/>
    <w:rsid w:val="7EA7464F"/>
    <w:rsid w:val="7EB1F5E0"/>
    <w:rsid w:val="7EC9E4F8"/>
    <w:rsid w:val="7ED5C4D2"/>
    <w:rsid w:val="7ED9B630"/>
    <w:rsid w:val="7EF95A06"/>
    <w:rsid w:val="7EFCA89F"/>
    <w:rsid w:val="7F02F6CD"/>
    <w:rsid w:val="7F0F8D0B"/>
    <w:rsid w:val="7F1E0C32"/>
    <w:rsid w:val="7F280174"/>
    <w:rsid w:val="7F2A5078"/>
    <w:rsid w:val="7F436900"/>
    <w:rsid w:val="7F49335B"/>
    <w:rsid w:val="7F4BD05D"/>
    <w:rsid w:val="7F518450"/>
    <w:rsid w:val="7F5271FA"/>
    <w:rsid w:val="7F556D3A"/>
    <w:rsid w:val="7F5A59DF"/>
    <w:rsid w:val="7F6ADE53"/>
    <w:rsid w:val="7F72BB6B"/>
    <w:rsid w:val="7F8EEBA7"/>
    <w:rsid w:val="7F906F96"/>
    <w:rsid w:val="7F9BBF07"/>
    <w:rsid w:val="7F9E8BA1"/>
    <w:rsid w:val="7FACE028"/>
    <w:rsid w:val="7FAFE8F3"/>
    <w:rsid w:val="7FB046ED"/>
    <w:rsid w:val="7FB0DBED"/>
    <w:rsid w:val="7FC3ABCF"/>
    <w:rsid w:val="7FD98FA3"/>
    <w:rsid w:val="7FEA5788"/>
    <w:rsid w:val="7FF01F4C"/>
    <w:rsid w:val="7FF97BAA"/>
    <w:rsid w:val="7FFBC81A"/>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32279F"/>
  <w15:chartTrackingRefBased/>
  <w15:docId w15:val="{E43BECE2-CEF6-4B2D-861D-C36CF8872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557D6C"/>
    <w:pPr>
      <w:keepNext/>
      <w:keepLines/>
      <w:spacing w:after="240"/>
      <w:jc w:val="center"/>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B23AF4"/>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DA5AAE"/>
    <w:pPr>
      <w:keepNext/>
      <w:keepLines/>
      <w:spacing w:before="240" w:after="240"/>
      <w:outlineLvl w:val="2"/>
    </w:pPr>
    <w:rPr>
      <w:rFonts w:eastAsiaTheme="majorEastAsia" w:cstheme="majorBidi"/>
      <w:b/>
      <w:sz w:val="32"/>
    </w:rPr>
  </w:style>
  <w:style w:type="paragraph" w:styleId="Heading4">
    <w:name w:val="heading 4"/>
    <w:basedOn w:val="Normal"/>
    <w:next w:val="Normal"/>
    <w:link w:val="Heading4Char"/>
    <w:uiPriority w:val="9"/>
    <w:unhideWhenUsed/>
    <w:qFormat/>
    <w:rsid w:val="009227D0"/>
    <w:pPr>
      <w:keepNext/>
      <w:keepLines/>
      <w:spacing w:before="240" w:after="24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0C53A3"/>
    <w:pPr>
      <w:keepNext/>
      <w:keepLines/>
      <w:spacing w:before="240" w:after="240"/>
      <w:outlineLvl w:val="4"/>
    </w:pPr>
    <w:rPr>
      <w:rFonts w:eastAsiaTheme="majorEastAsia" w:cstheme="majorBidi"/>
      <w: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7D6C"/>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B23AF4"/>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DA5AAE"/>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EB79CB"/>
    <w:rPr>
      <w:rFonts w:ascii="Arial" w:eastAsiaTheme="majorEastAsia" w:hAnsi="Arial" w:cstheme="majorBidi"/>
      <w:b/>
      <w:iCs/>
      <w:sz w:val="28"/>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i/>
      <w:sz w:val="24"/>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list,Indented Paragraph,List1"/>
    <w:basedOn w:val="Normal"/>
    <w:link w:val="ListParagraphChar"/>
    <w:uiPriority w:val="34"/>
    <w:qFormat/>
    <w:rsid w:val="00C17514"/>
    <w:pPr>
      <w:spacing w:after="240"/>
      <w:ind w:left="720"/>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ListParagraphChar">
    <w:name w:val="List Paragraph Char"/>
    <w:aliases w:val="list Char,Indented Paragraph Char,List1 Char"/>
    <w:basedOn w:val="DefaultParagraphFont"/>
    <w:link w:val="ListParagraph"/>
    <w:uiPriority w:val="34"/>
    <w:locked/>
    <w:rsid w:val="00C17514"/>
    <w:rPr>
      <w:rFonts w:ascii="Arial" w:eastAsia="Times New Roman" w:hAnsi="Arial" w:cs="Times New Roman"/>
      <w:sz w:val="24"/>
      <w:szCs w:val="24"/>
    </w:rPr>
  </w:style>
  <w:style w:type="paragraph" w:styleId="MessageHeader">
    <w:name w:val="Message Header"/>
    <w:basedOn w:val="Normal"/>
    <w:link w:val="MessageHeaderChar"/>
    <w:uiPriority w:val="99"/>
    <w:unhideWhenUsed/>
    <w:rsid w:val="00820B71"/>
    <w:pPr>
      <w:shd w:val="clear" w:color="auto" w:fill="FFFFFF" w:themeFill="background1"/>
      <w:spacing w:after="360"/>
      <w:ind w:left="1440" w:hanging="1440"/>
    </w:pPr>
    <w:rPr>
      <w:rFonts w:eastAsiaTheme="majorEastAsia" w:cstheme="majorBidi"/>
    </w:rPr>
  </w:style>
  <w:style w:type="character" w:customStyle="1" w:styleId="MessageHeaderChar">
    <w:name w:val="Message Header Char"/>
    <w:basedOn w:val="DefaultParagraphFont"/>
    <w:link w:val="MessageHeader"/>
    <w:uiPriority w:val="99"/>
    <w:rsid w:val="00820B71"/>
    <w:rPr>
      <w:rFonts w:ascii="Arial" w:eastAsiaTheme="majorEastAsia" w:hAnsi="Arial" w:cstheme="majorBidi"/>
      <w:sz w:val="24"/>
      <w:szCs w:val="24"/>
      <w:shd w:val="clear" w:color="auto" w:fill="FFFFFF" w:themeFill="background1"/>
    </w:rPr>
  </w:style>
  <w:style w:type="paragraph" w:styleId="FootnoteText">
    <w:name w:val="footnote text"/>
    <w:basedOn w:val="Normal"/>
    <w:link w:val="FootnoteTextChar"/>
    <w:uiPriority w:val="99"/>
    <w:unhideWhenUsed/>
    <w:rsid w:val="00FE2686"/>
    <w:rPr>
      <w:sz w:val="20"/>
      <w:szCs w:val="20"/>
    </w:rPr>
  </w:style>
  <w:style w:type="character" w:customStyle="1" w:styleId="FootnoteTextChar">
    <w:name w:val="Footnote Text Char"/>
    <w:basedOn w:val="DefaultParagraphFont"/>
    <w:link w:val="FootnoteText"/>
    <w:uiPriority w:val="99"/>
    <w:rsid w:val="00FE2686"/>
    <w:rPr>
      <w:rFonts w:ascii="Arial" w:eastAsia="Times New Roman" w:hAnsi="Arial" w:cs="Times New Roman"/>
      <w:sz w:val="20"/>
      <w:szCs w:val="20"/>
    </w:rPr>
  </w:style>
  <w:style w:type="character" w:styleId="FootnoteReference">
    <w:name w:val="footnote reference"/>
    <w:basedOn w:val="DefaultParagraphFont"/>
    <w:uiPriority w:val="99"/>
    <w:unhideWhenUsed/>
    <w:rsid w:val="00FE2686"/>
    <w:rPr>
      <w:vertAlign w:val="superscript"/>
    </w:rPr>
  </w:style>
  <w:style w:type="paragraph" w:styleId="NormalWeb">
    <w:name w:val="Normal (Web)"/>
    <w:basedOn w:val="Normal"/>
    <w:uiPriority w:val="99"/>
    <w:unhideWhenUsed/>
    <w:rsid w:val="00FE2686"/>
    <w:pPr>
      <w:spacing w:before="100" w:beforeAutospacing="1" w:after="100" w:afterAutospacing="1"/>
    </w:pPr>
    <w:rPr>
      <w:rFonts w:ascii="Times New Roman" w:eastAsiaTheme="minorEastAsia" w:hAnsi="Times New Roman"/>
    </w:rPr>
  </w:style>
  <w:style w:type="table" w:styleId="TableGrid">
    <w:name w:val="Table Grid"/>
    <w:basedOn w:val="TableNormal"/>
    <w:uiPriority w:val="39"/>
    <w:rsid w:val="00C82D8F"/>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0625D"/>
    <w:pPr>
      <w:autoSpaceDE w:val="0"/>
      <w:autoSpaceDN w:val="0"/>
      <w:adjustRightInd w:val="0"/>
      <w:spacing w:after="0" w:line="240" w:lineRule="auto"/>
    </w:pPr>
    <w:rPr>
      <w:rFonts w:ascii="Arial" w:hAnsi="Arial" w:cs="Arial"/>
      <w:color w:val="000000"/>
      <w:sz w:val="24"/>
      <w:szCs w:val="24"/>
    </w:rPr>
  </w:style>
  <w:style w:type="character" w:styleId="FollowedHyperlink">
    <w:name w:val="FollowedHyperlink"/>
    <w:basedOn w:val="DefaultParagraphFont"/>
    <w:uiPriority w:val="99"/>
    <w:semiHidden/>
    <w:unhideWhenUsed/>
    <w:rsid w:val="0024780F"/>
    <w:rPr>
      <w:color w:val="954F72" w:themeColor="followedHyperlink"/>
      <w:u w:val="single"/>
    </w:rPr>
  </w:style>
  <w:style w:type="character" w:styleId="CommentReference">
    <w:name w:val="annotation reference"/>
    <w:basedOn w:val="DefaultParagraphFont"/>
    <w:uiPriority w:val="99"/>
    <w:semiHidden/>
    <w:unhideWhenUsed/>
    <w:rsid w:val="00A037DB"/>
    <w:rPr>
      <w:sz w:val="16"/>
      <w:szCs w:val="16"/>
    </w:rPr>
  </w:style>
  <w:style w:type="paragraph" w:styleId="CommentText">
    <w:name w:val="annotation text"/>
    <w:basedOn w:val="Normal"/>
    <w:link w:val="CommentTextChar"/>
    <w:uiPriority w:val="99"/>
    <w:unhideWhenUsed/>
    <w:rsid w:val="00A037DB"/>
    <w:rPr>
      <w:sz w:val="20"/>
      <w:szCs w:val="20"/>
    </w:rPr>
  </w:style>
  <w:style w:type="character" w:customStyle="1" w:styleId="CommentTextChar">
    <w:name w:val="Comment Text Char"/>
    <w:basedOn w:val="DefaultParagraphFont"/>
    <w:link w:val="CommentText"/>
    <w:uiPriority w:val="99"/>
    <w:rsid w:val="00A037DB"/>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037DB"/>
    <w:rPr>
      <w:b/>
      <w:bCs/>
    </w:rPr>
  </w:style>
  <w:style w:type="character" w:customStyle="1" w:styleId="CommentSubjectChar">
    <w:name w:val="Comment Subject Char"/>
    <w:basedOn w:val="CommentTextChar"/>
    <w:link w:val="CommentSubject"/>
    <w:uiPriority w:val="99"/>
    <w:semiHidden/>
    <w:rsid w:val="00A037DB"/>
    <w:rPr>
      <w:rFonts w:ascii="Arial" w:eastAsia="Times New Roman" w:hAnsi="Arial" w:cs="Times New Roman"/>
      <w:b/>
      <w:bCs/>
      <w:sz w:val="20"/>
      <w:szCs w:val="20"/>
    </w:rPr>
  </w:style>
  <w:style w:type="paragraph" w:customStyle="1" w:styleId="Field1">
    <w:name w:val="Field 1"/>
    <w:basedOn w:val="ListParagraph"/>
    <w:link w:val="Field1Char"/>
    <w:qFormat/>
    <w:rsid w:val="00451967"/>
    <w:pPr>
      <w:pBdr>
        <w:top w:val="single" w:sz="4" w:space="8" w:color="95B3D7"/>
        <w:left w:val="single" w:sz="4" w:space="4" w:color="95B3D7"/>
        <w:bottom w:val="single" w:sz="4" w:space="8" w:color="95B3D7"/>
        <w:right w:val="single" w:sz="4" w:space="4" w:color="95B3D7"/>
      </w:pBdr>
      <w:shd w:val="clear" w:color="auto" w:fill="D9E2F3"/>
      <w:spacing w:before="120"/>
      <w:ind w:left="360"/>
    </w:pPr>
    <w:rPr>
      <w:color w:val="000000"/>
      <w:szCs w:val="21"/>
      <w:lang w:val="en"/>
    </w:rPr>
  </w:style>
  <w:style w:type="character" w:customStyle="1" w:styleId="Field1Char">
    <w:name w:val="Field 1 Char"/>
    <w:basedOn w:val="ListParagraphChar"/>
    <w:link w:val="Field1"/>
    <w:rsid w:val="00451967"/>
    <w:rPr>
      <w:rFonts w:ascii="Arial" w:eastAsia="Times New Roman" w:hAnsi="Arial" w:cs="Times New Roman"/>
      <w:color w:val="000000"/>
      <w:sz w:val="24"/>
      <w:szCs w:val="21"/>
      <w:shd w:val="clear" w:color="auto" w:fill="D9E2F3"/>
      <w:lang w:val="en"/>
    </w:rPr>
  </w:style>
  <w:style w:type="character" w:customStyle="1" w:styleId="normaltextrun">
    <w:name w:val="normaltextrun"/>
    <w:basedOn w:val="DefaultParagraphFont"/>
    <w:rsid w:val="002F6B97"/>
  </w:style>
  <w:style w:type="character" w:customStyle="1" w:styleId="eop">
    <w:name w:val="eop"/>
    <w:basedOn w:val="DefaultParagraphFont"/>
    <w:rsid w:val="002F6B97"/>
  </w:style>
  <w:style w:type="paragraph" w:customStyle="1" w:styleId="paragraph">
    <w:name w:val="paragraph"/>
    <w:basedOn w:val="Normal"/>
    <w:rsid w:val="002F6B97"/>
    <w:pPr>
      <w:spacing w:before="100" w:beforeAutospacing="1" w:after="100" w:afterAutospacing="1"/>
    </w:pPr>
    <w:rPr>
      <w:rFonts w:ascii="Times New Roman" w:hAnsi="Times New Roman"/>
      <w:lang w:bidi="he-IL"/>
    </w:rPr>
  </w:style>
  <w:style w:type="character" w:customStyle="1" w:styleId="scxw96359127">
    <w:name w:val="scxw96359127"/>
    <w:basedOn w:val="DefaultParagraphFont"/>
    <w:rsid w:val="002F6B97"/>
  </w:style>
  <w:style w:type="character" w:styleId="UnresolvedMention">
    <w:name w:val="Unresolved Mention"/>
    <w:basedOn w:val="DefaultParagraphFont"/>
    <w:uiPriority w:val="99"/>
    <w:semiHidden/>
    <w:unhideWhenUsed/>
    <w:rsid w:val="004C14AF"/>
    <w:rPr>
      <w:color w:val="605E5C"/>
      <w:shd w:val="clear" w:color="auto" w:fill="E1DFDD"/>
    </w:rPr>
  </w:style>
  <w:style w:type="table" w:customStyle="1" w:styleId="TableGrid1">
    <w:name w:val="Table Grid1"/>
    <w:basedOn w:val="TableNormal"/>
    <w:next w:val="TableGrid"/>
    <w:uiPriority w:val="39"/>
    <w:rsid w:val="007B2B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806B9"/>
    <w:pPr>
      <w:spacing w:after="0" w:line="240" w:lineRule="auto"/>
    </w:pPr>
    <w:rPr>
      <w:rFonts w:ascii="Arial" w:eastAsia="Times New Roman" w:hAnsi="Arial" w:cs="Times New Roman"/>
      <w:sz w:val="24"/>
      <w:szCs w:val="24"/>
    </w:rPr>
  </w:style>
  <w:style w:type="paragraph" w:styleId="BodyText">
    <w:name w:val="Body Text"/>
    <w:basedOn w:val="Normal"/>
    <w:link w:val="BodyTextChar"/>
    <w:uiPriority w:val="1"/>
    <w:qFormat/>
    <w:rsid w:val="00B63A4C"/>
    <w:pPr>
      <w:widowControl w:val="0"/>
      <w:ind w:left="119"/>
    </w:pPr>
    <w:rPr>
      <w:rFonts w:ascii="Times New Roman" w:hAnsi="Times New Roman" w:cstheme="minorBidi"/>
    </w:rPr>
  </w:style>
  <w:style w:type="character" w:customStyle="1" w:styleId="BodyTextChar">
    <w:name w:val="Body Text Char"/>
    <w:basedOn w:val="DefaultParagraphFont"/>
    <w:link w:val="BodyText"/>
    <w:uiPriority w:val="1"/>
    <w:rsid w:val="00B63A4C"/>
    <w:rPr>
      <w:rFonts w:ascii="Times New Roman" w:eastAsia="Times New Roman" w:hAnsi="Times New Roman"/>
      <w:sz w:val="24"/>
      <w:szCs w:val="24"/>
    </w:rPr>
  </w:style>
  <w:style w:type="character" w:styleId="Emphasis">
    <w:name w:val="Emphasis"/>
    <w:basedOn w:val="DefaultParagraphFont"/>
    <w:uiPriority w:val="20"/>
    <w:qFormat/>
    <w:rsid w:val="00F46785"/>
    <w:rPr>
      <w:i/>
      <w:iCs/>
    </w:rPr>
  </w:style>
  <w:style w:type="character" w:customStyle="1" w:styleId="issue-underline">
    <w:name w:val="issue-underline"/>
    <w:basedOn w:val="DefaultParagraphFont"/>
    <w:rsid w:val="00E47C93"/>
  </w:style>
  <w:style w:type="character" w:styleId="Mention">
    <w:name w:val="Mention"/>
    <w:basedOn w:val="DefaultParagraphFont"/>
    <w:uiPriority w:val="99"/>
    <w:unhideWhenUsed/>
    <w:rsid w:val="007412E5"/>
    <w:rPr>
      <w:color w:val="2B579A"/>
      <w:shd w:val="clear" w:color="auto" w:fill="E1DFDD"/>
    </w:rPr>
  </w:style>
  <w:style w:type="character" w:styleId="Strong">
    <w:name w:val="Strong"/>
    <w:basedOn w:val="DefaultParagraphFont"/>
    <w:uiPriority w:val="22"/>
    <w:qFormat/>
    <w:rsid w:val="007A77AC"/>
    <w:rPr>
      <w:b/>
      <w:bCs/>
    </w:rPr>
  </w:style>
  <w:style w:type="table" w:styleId="TableWeb3">
    <w:name w:val="Table Web 3"/>
    <w:basedOn w:val="TableNormal"/>
    <w:uiPriority w:val="99"/>
    <w:rsid w:val="005F1FB6"/>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uiPriority w:val="99"/>
    <w:rsid w:val="008F6E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B65F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087613">
      <w:bodyDiv w:val="1"/>
      <w:marLeft w:val="0"/>
      <w:marRight w:val="0"/>
      <w:marTop w:val="0"/>
      <w:marBottom w:val="0"/>
      <w:divBdr>
        <w:top w:val="none" w:sz="0" w:space="0" w:color="auto"/>
        <w:left w:val="none" w:sz="0" w:space="0" w:color="auto"/>
        <w:bottom w:val="none" w:sz="0" w:space="0" w:color="auto"/>
        <w:right w:val="none" w:sz="0" w:space="0" w:color="auto"/>
      </w:divBdr>
    </w:div>
    <w:div w:id="41951780">
      <w:bodyDiv w:val="1"/>
      <w:marLeft w:val="0"/>
      <w:marRight w:val="0"/>
      <w:marTop w:val="0"/>
      <w:marBottom w:val="0"/>
      <w:divBdr>
        <w:top w:val="none" w:sz="0" w:space="0" w:color="auto"/>
        <w:left w:val="none" w:sz="0" w:space="0" w:color="auto"/>
        <w:bottom w:val="none" w:sz="0" w:space="0" w:color="auto"/>
        <w:right w:val="none" w:sz="0" w:space="0" w:color="auto"/>
      </w:divBdr>
    </w:div>
    <w:div w:id="62068094">
      <w:bodyDiv w:val="1"/>
      <w:marLeft w:val="0"/>
      <w:marRight w:val="0"/>
      <w:marTop w:val="0"/>
      <w:marBottom w:val="0"/>
      <w:divBdr>
        <w:top w:val="none" w:sz="0" w:space="0" w:color="auto"/>
        <w:left w:val="none" w:sz="0" w:space="0" w:color="auto"/>
        <w:bottom w:val="none" w:sz="0" w:space="0" w:color="auto"/>
        <w:right w:val="none" w:sz="0" w:space="0" w:color="auto"/>
      </w:divBdr>
    </w:div>
    <w:div w:id="78991752">
      <w:bodyDiv w:val="1"/>
      <w:marLeft w:val="0"/>
      <w:marRight w:val="0"/>
      <w:marTop w:val="0"/>
      <w:marBottom w:val="0"/>
      <w:divBdr>
        <w:top w:val="none" w:sz="0" w:space="0" w:color="auto"/>
        <w:left w:val="none" w:sz="0" w:space="0" w:color="auto"/>
        <w:bottom w:val="none" w:sz="0" w:space="0" w:color="auto"/>
        <w:right w:val="none" w:sz="0" w:space="0" w:color="auto"/>
      </w:divBdr>
    </w:div>
    <w:div w:id="98331168">
      <w:bodyDiv w:val="1"/>
      <w:marLeft w:val="0"/>
      <w:marRight w:val="0"/>
      <w:marTop w:val="0"/>
      <w:marBottom w:val="0"/>
      <w:divBdr>
        <w:top w:val="none" w:sz="0" w:space="0" w:color="auto"/>
        <w:left w:val="none" w:sz="0" w:space="0" w:color="auto"/>
        <w:bottom w:val="none" w:sz="0" w:space="0" w:color="auto"/>
        <w:right w:val="none" w:sz="0" w:space="0" w:color="auto"/>
      </w:divBdr>
    </w:div>
    <w:div w:id="143667291">
      <w:bodyDiv w:val="1"/>
      <w:marLeft w:val="0"/>
      <w:marRight w:val="0"/>
      <w:marTop w:val="0"/>
      <w:marBottom w:val="0"/>
      <w:divBdr>
        <w:top w:val="none" w:sz="0" w:space="0" w:color="auto"/>
        <w:left w:val="none" w:sz="0" w:space="0" w:color="auto"/>
        <w:bottom w:val="none" w:sz="0" w:space="0" w:color="auto"/>
        <w:right w:val="none" w:sz="0" w:space="0" w:color="auto"/>
      </w:divBdr>
      <w:divsChild>
        <w:div w:id="1795100628">
          <w:marLeft w:val="806"/>
          <w:marRight w:val="0"/>
          <w:marTop w:val="240"/>
          <w:marBottom w:val="240"/>
          <w:divBdr>
            <w:top w:val="none" w:sz="0" w:space="0" w:color="auto"/>
            <w:left w:val="none" w:sz="0" w:space="0" w:color="auto"/>
            <w:bottom w:val="none" w:sz="0" w:space="0" w:color="auto"/>
            <w:right w:val="none" w:sz="0" w:space="0" w:color="auto"/>
          </w:divBdr>
        </w:div>
        <w:div w:id="2049135085">
          <w:marLeft w:val="806"/>
          <w:marRight w:val="0"/>
          <w:marTop w:val="240"/>
          <w:marBottom w:val="240"/>
          <w:divBdr>
            <w:top w:val="none" w:sz="0" w:space="0" w:color="auto"/>
            <w:left w:val="none" w:sz="0" w:space="0" w:color="auto"/>
            <w:bottom w:val="none" w:sz="0" w:space="0" w:color="auto"/>
            <w:right w:val="none" w:sz="0" w:space="0" w:color="auto"/>
          </w:divBdr>
        </w:div>
        <w:div w:id="2131970066">
          <w:marLeft w:val="806"/>
          <w:marRight w:val="0"/>
          <w:marTop w:val="240"/>
          <w:marBottom w:val="240"/>
          <w:divBdr>
            <w:top w:val="none" w:sz="0" w:space="0" w:color="auto"/>
            <w:left w:val="none" w:sz="0" w:space="0" w:color="auto"/>
            <w:bottom w:val="none" w:sz="0" w:space="0" w:color="auto"/>
            <w:right w:val="none" w:sz="0" w:space="0" w:color="auto"/>
          </w:divBdr>
        </w:div>
      </w:divsChild>
    </w:div>
    <w:div w:id="292709056">
      <w:bodyDiv w:val="1"/>
      <w:marLeft w:val="0"/>
      <w:marRight w:val="0"/>
      <w:marTop w:val="0"/>
      <w:marBottom w:val="0"/>
      <w:divBdr>
        <w:top w:val="none" w:sz="0" w:space="0" w:color="auto"/>
        <w:left w:val="none" w:sz="0" w:space="0" w:color="auto"/>
        <w:bottom w:val="none" w:sz="0" w:space="0" w:color="auto"/>
        <w:right w:val="none" w:sz="0" w:space="0" w:color="auto"/>
      </w:divBdr>
      <w:divsChild>
        <w:div w:id="112794596">
          <w:marLeft w:val="600"/>
          <w:marRight w:val="0"/>
          <w:marTop w:val="0"/>
          <w:marBottom w:val="240"/>
          <w:divBdr>
            <w:top w:val="none" w:sz="0" w:space="0" w:color="auto"/>
            <w:left w:val="none" w:sz="0" w:space="0" w:color="auto"/>
            <w:bottom w:val="none" w:sz="0" w:space="0" w:color="auto"/>
            <w:right w:val="none" w:sz="0" w:space="0" w:color="auto"/>
          </w:divBdr>
        </w:div>
        <w:div w:id="332606558">
          <w:marLeft w:val="600"/>
          <w:marRight w:val="0"/>
          <w:marTop w:val="0"/>
          <w:marBottom w:val="240"/>
          <w:divBdr>
            <w:top w:val="none" w:sz="0" w:space="0" w:color="auto"/>
            <w:left w:val="none" w:sz="0" w:space="0" w:color="auto"/>
            <w:bottom w:val="none" w:sz="0" w:space="0" w:color="auto"/>
            <w:right w:val="none" w:sz="0" w:space="0" w:color="auto"/>
          </w:divBdr>
        </w:div>
        <w:div w:id="666203557">
          <w:marLeft w:val="600"/>
          <w:marRight w:val="0"/>
          <w:marTop w:val="0"/>
          <w:marBottom w:val="240"/>
          <w:divBdr>
            <w:top w:val="none" w:sz="0" w:space="0" w:color="auto"/>
            <w:left w:val="none" w:sz="0" w:space="0" w:color="auto"/>
            <w:bottom w:val="none" w:sz="0" w:space="0" w:color="auto"/>
            <w:right w:val="none" w:sz="0" w:space="0" w:color="auto"/>
          </w:divBdr>
        </w:div>
        <w:div w:id="831532709">
          <w:marLeft w:val="600"/>
          <w:marRight w:val="0"/>
          <w:marTop w:val="0"/>
          <w:marBottom w:val="240"/>
          <w:divBdr>
            <w:top w:val="none" w:sz="0" w:space="0" w:color="auto"/>
            <w:left w:val="none" w:sz="0" w:space="0" w:color="auto"/>
            <w:bottom w:val="none" w:sz="0" w:space="0" w:color="auto"/>
            <w:right w:val="none" w:sz="0" w:space="0" w:color="auto"/>
          </w:divBdr>
        </w:div>
        <w:div w:id="1296831343">
          <w:marLeft w:val="600"/>
          <w:marRight w:val="0"/>
          <w:marTop w:val="0"/>
          <w:marBottom w:val="240"/>
          <w:divBdr>
            <w:top w:val="none" w:sz="0" w:space="0" w:color="auto"/>
            <w:left w:val="none" w:sz="0" w:space="0" w:color="auto"/>
            <w:bottom w:val="none" w:sz="0" w:space="0" w:color="auto"/>
            <w:right w:val="none" w:sz="0" w:space="0" w:color="auto"/>
          </w:divBdr>
        </w:div>
        <w:div w:id="1538934220">
          <w:marLeft w:val="600"/>
          <w:marRight w:val="0"/>
          <w:marTop w:val="0"/>
          <w:marBottom w:val="240"/>
          <w:divBdr>
            <w:top w:val="none" w:sz="0" w:space="0" w:color="auto"/>
            <w:left w:val="none" w:sz="0" w:space="0" w:color="auto"/>
            <w:bottom w:val="none" w:sz="0" w:space="0" w:color="auto"/>
            <w:right w:val="none" w:sz="0" w:space="0" w:color="auto"/>
          </w:divBdr>
        </w:div>
        <w:div w:id="1633947230">
          <w:marLeft w:val="240"/>
          <w:marRight w:val="0"/>
          <w:marTop w:val="0"/>
          <w:marBottom w:val="240"/>
          <w:divBdr>
            <w:top w:val="none" w:sz="0" w:space="0" w:color="auto"/>
            <w:left w:val="none" w:sz="0" w:space="0" w:color="auto"/>
            <w:bottom w:val="none" w:sz="0" w:space="0" w:color="auto"/>
            <w:right w:val="none" w:sz="0" w:space="0" w:color="auto"/>
          </w:divBdr>
        </w:div>
      </w:divsChild>
    </w:div>
    <w:div w:id="329598302">
      <w:bodyDiv w:val="1"/>
      <w:marLeft w:val="0"/>
      <w:marRight w:val="0"/>
      <w:marTop w:val="0"/>
      <w:marBottom w:val="0"/>
      <w:divBdr>
        <w:top w:val="none" w:sz="0" w:space="0" w:color="auto"/>
        <w:left w:val="none" w:sz="0" w:space="0" w:color="auto"/>
        <w:bottom w:val="none" w:sz="0" w:space="0" w:color="auto"/>
        <w:right w:val="none" w:sz="0" w:space="0" w:color="auto"/>
      </w:divBdr>
    </w:div>
    <w:div w:id="380713260">
      <w:bodyDiv w:val="1"/>
      <w:marLeft w:val="0"/>
      <w:marRight w:val="0"/>
      <w:marTop w:val="0"/>
      <w:marBottom w:val="0"/>
      <w:divBdr>
        <w:top w:val="none" w:sz="0" w:space="0" w:color="auto"/>
        <w:left w:val="none" w:sz="0" w:space="0" w:color="auto"/>
        <w:bottom w:val="none" w:sz="0" w:space="0" w:color="auto"/>
        <w:right w:val="none" w:sz="0" w:space="0" w:color="auto"/>
      </w:divBdr>
    </w:div>
    <w:div w:id="453135537">
      <w:bodyDiv w:val="1"/>
      <w:marLeft w:val="0"/>
      <w:marRight w:val="0"/>
      <w:marTop w:val="0"/>
      <w:marBottom w:val="0"/>
      <w:divBdr>
        <w:top w:val="none" w:sz="0" w:space="0" w:color="auto"/>
        <w:left w:val="none" w:sz="0" w:space="0" w:color="auto"/>
        <w:bottom w:val="none" w:sz="0" w:space="0" w:color="auto"/>
        <w:right w:val="none" w:sz="0" w:space="0" w:color="auto"/>
      </w:divBdr>
    </w:div>
    <w:div w:id="749734317">
      <w:bodyDiv w:val="1"/>
      <w:marLeft w:val="0"/>
      <w:marRight w:val="0"/>
      <w:marTop w:val="0"/>
      <w:marBottom w:val="0"/>
      <w:divBdr>
        <w:top w:val="none" w:sz="0" w:space="0" w:color="auto"/>
        <w:left w:val="none" w:sz="0" w:space="0" w:color="auto"/>
        <w:bottom w:val="none" w:sz="0" w:space="0" w:color="auto"/>
        <w:right w:val="none" w:sz="0" w:space="0" w:color="auto"/>
      </w:divBdr>
      <w:divsChild>
        <w:div w:id="512230371">
          <w:marLeft w:val="576"/>
          <w:marRight w:val="0"/>
          <w:marTop w:val="120"/>
          <w:marBottom w:val="120"/>
          <w:divBdr>
            <w:top w:val="none" w:sz="0" w:space="0" w:color="auto"/>
            <w:left w:val="none" w:sz="0" w:space="0" w:color="auto"/>
            <w:bottom w:val="none" w:sz="0" w:space="0" w:color="auto"/>
            <w:right w:val="none" w:sz="0" w:space="0" w:color="auto"/>
          </w:divBdr>
        </w:div>
        <w:div w:id="1909918489">
          <w:marLeft w:val="576"/>
          <w:marRight w:val="0"/>
          <w:marTop w:val="120"/>
          <w:marBottom w:val="120"/>
          <w:divBdr>
            <w:top w:val="none" w:sz="0" w:space="0" w:color="auto"/>
            <w:left w:val="none" w:sz="0" w:space="0" w:color="auto"/>
            <w:bottom w:val="none" w:sz="0" w:space="0" w:color="auto"/>
            <w:right w:val="none" w:sz="0" w:space="0" w:color="auto"/>
          </w:divBdr>
        </w:div>
      </w:divsChild>
    </w:div>
    <w:div w:id="938103775">
      <w:bodyDiv w:val="1"/>
      <w:marLeft w:val="0"/>
      <w:marRight w:val="0"/>
      <w:marTop w:val="0"/>
      <w:marBottom w:val="0"/>
      <w:divBdr>
        <w:top w:val="none" w:sz="0" w:space="0" w:color="auto"/>
        <w:left w:val="none" w:sz="0" w:space="0" w:color="auto"/>
        <w:bottom w:val="none" w:sz="0" w:space="0" w:color="auto"/>
        <w:right w:val="none" w:sz="0" w:space="0" w:color="auto"/>
      </w:divBdr>
      <w:divsChild>
        <w:div w:id="742064268">
          <w:marLeft w:val="576"/>
          <w:marRight w:val="0"/>
          <w:marTop w:val="120"/>
          <w:marBottom w:val="120"/>
          <w:divBdr>
            <w:top w:val="none" w:sz="0" w:space="0" w:color="auto"/>
            <w:left w:val="none" w:sz="0" w:space="0" w:color="auto"/>
            <w:bottom w:val="none" w:sz="0" w:space="0" w:color="auto"/>
            <w:right w:val="none" w:sz="0" w:space="0" w:color="auto"/>
          </w:divBdr>
        </w:div>
        <w:div w:id="1290478326">
          <w:marLeft w:val="576"/>
          <w:marRight w:val="0"/>
          <w:marTop w:val="120"/>
          <w:marBottom w:val="120"/>
          <w:divBdr>
            <w:top w:val="none" w:sz="0" w:space="0" w:color="auto"/>
            <w:left w:val="none" w:sz="0" w:space="0" w:color="auto"/>
            <w:bottom w:val="none" w:sz="0" w:space="0" w:color="auto"/>
            <w:right w:val="none" w:sz="0" w:space="0" w:color="auto"/>
          </w:divBdr>
        </w:div>
      </w:divsChild>
    </w:div>
    <w:div w:id="946231294">
      <w:bodyDiv w:val="1"/>
      <w:marLeft w:val="0"/>
      <w:marRight w:val="0"/>
      <w:marTop w:val="0"/>
      <w:marBottom w:val="0"/>
      <w:divBdr>
        <w:top w:val="none" w:sz="0" w:space="0" w:color="auto"/>
        <w:left w:val="none" w:sz="0" w:space="0" w:color="auto"/>
        <w:bottom w:val="none" w:sz="0" w:space="0" w:color="auto"/>
        <w:right w:val="none" w:sz="0" w:space="0" w:color="auto"/>
      </w:divBdr>
    </w:div>
    <w:div w:id="1009212068">
      <w:bodyDiv w:val="1"/>
      <w:marLeft w:val="0"/>
      <w:marRight w:val="0"/>
      <w:marTop w:val="0"/>
      <w:marBottom w:val="0"/>
      <w:divBdr>
        <w:top w:val="none" w:sz="0" w:space="0" w:color="auto"/>
        <w:left w:val="none" w:sz="0" w:space="0" w:color="auto"/>
        <w:bottom w:val="none" w:sz="0" w:space="0" w:color="auto"/>
        <w:right w:val="none" w:sz="0" w:space="0" w:color="auto"/>
      </w:divBdr>
    </w:div>
    <w:div w:id="1018627904">
      <w:bodyDiv w:val="1"/>
      <w:marLeft w:val="0"/>
      <w:marRight w:val="0"/>
      <w:marTop w:val="0"/>
      <w:marBottom w:val="0"/>
      <w:divBdr>
        <w:top w:val="none" w:sz="0" w:space="0" w:color="auto"/>
        <w:left w:val="none" w:sz="0" w:space="0" w:color="auto"/>
        <w:bottom w:val="none" w:sz="0" w:space="0" w:color="auto"/>
        <w:right w:val="none" w:sz="0" w:space="0" w:color="auto"/>
      </w:divBdr>
    </w:div>
    <w:div w:id="1032657069">
      <w:bodyDiv w:val="1"/>
      <w:marLeft w:val="0"/>
      <w:marRight w:val="0"/>
      <w:marTop w:val="0"/>
      <w:marBottom w:val="0"/>
      <w:divBdr>
        <w:top w:val="none" w:sz="0" w:space="0" w:color="auto"/>
        <w:left w:val="none" w:sz="0" w:space="0" w:color="auto"/>
        <w:bottom w:val="none" w:sz="0" w:space="0" w:color="auto"/>
        <w:right w:val="none" w:sz="0" w:space="0" w:color="auto"/>
      </w:divBdr>
    </w:div>
    <w:div w:id="1035039062">
      <w:bodyDiv w:val="1"/>
      <w:marLeft w:val="0"/>
      <w:marRight w:val="0"/>
      <w:marTop w:val="0"/>
      <w:marBottom w:val="0"/>
      <w:divBdr>
        <w:top w:val="none" w:sz="0" w:space="0" w:color="auto"/>
        <w:left w:val="none" w:sz="0" w:space="0" w:color="auto"/>
        <w:bottom w:val="none" w:sz="0" w:space="0" w:color="auto"/>
        <w:right w:val="none" w:sz="0" w:space="0" w:color="auto"/>
      </w:divBdr>
    </w:div>
    <w:div w:id="1068696890">
      <w:bodyDiv w:val="1"/>
      <w:marLeft w:val="0"/>
      <w:marRight w:val="0"/>
      <w:marTop w:val="0"/>
      <w:marBottom w:val="0"/>
      <w:divBdr>
        <w:top w:val="none" w:sz="0" w:space="0" w:color="auto"/>
        <w:left w:val="none" w:sz="0" w:space="0" w:color="auto"/>
        <w:bottom w:val="none" w:sz="0" w:space="0" w:color="auto"/>
        <w:right w:val="none" w:sz="0" w:space="0" w:color="auto"/>
      </w:divBdr>
      <w:divsChild>
        <w:div w:id="1027759210">
          <w:marLeft w:val="1080"/>
          <w:marRight w:val="0"/>
          <w:marTop w:val="120"/>
          <w:marBottom w:val="120"/>
          <w:divBdr>
            <w:top w:val="none" w:sz="0" w:space="0" w:color="auto"/>
            <w:left w:val="none" w:sz="0" w:space="0" w:color="auto"/>
            <w:bottom w:val="none" w:sz="0" w:space="0" w:color="auto"/>
            <w:right w:val="none" w:sz="0" w:space="0" w:color="auto"/>
          </w:divBdr>
        </w:div>
        <w:div w:id="1061946576">
          <w:marLeft w:val="1080"/>
          <w:marRight w:val="0"/>
          <w:marTop w:val="120"/>
          <w:marBottom w:val="120"/>
          <w:divBdr>
            <w:top w:val="none" w:sz="0" w:space="0" w:color="auto"/>
            <w:left w:val="none" w:sz="0" w:space="0" w:color="auto"/>
            <w:bottom w:val="none" w:sz="0" w:space="0" w:color="auto"/>
            <w:right w:val="none" w:sz="0" w:space="0" w:color="auto"/>
          </w:divBdr>
        </w:div>
        <w:div w:id="1063408523">
          <w:marLeft w:val="1080"/>
          <w:marRight w:val="0"/>
          <w:marTop w:val="120"/>
          <w:marBottom w:val="120"/>
          <w:divBdr>
            <w:top w:val="none" w:sz="0" w:space="0" w:color="auto"/>
            <w:left w:val="none" w:sz="0" w:space="0" w:color="auto"/>
            <w:bottom w:val="none" w:sz="0" w:space="0" w:color="auto"/>
            <w:right w:val="none" w:sz="0" w:space="0" w:color="auto"/>
          </w:divBdr>
        </w:div>
        <w:div w:id="1438062057">
          <w:marLeft w:val="576"/>
          <w:marRight w:val="0"/>
          <w:marTop w:val="120"/>
          <w:marBottom w:val="120"/>
          <w:divBdr>
            <w:top w:val="none" w:sz="0" w:space="0" w:color="auto"/>
            <w:left w:val="none" w:sz="0" w:space="0" w:color="auto"/>
            <w:bottom w:val="none" w:sz="0" w:space="0" w:color="auto"/>
            <w:right w:val="none" w:sz="0" w:space="0" w:color="auto"/>
          </w:divBdr>
        </w:div>
        <w:div w:id="1531647022">
          <w:marLeft w:val="1080"/>
          <w:marRight w:val="0"/>
          <w:marTop w:val="120"/>
          <w:marBottom w:val="120"/>
          <w:divBdr>
            <w:top w:val="none" w:sz="0" w:space="0" w:color="auto"/>
            <w:left w:val="none" w:sz="0" w:space="0" w:color="auto"/>
            <w:bottom w:val="none" w:sz="0" w:space="0" w:color="auto"/>
            <w:right w:val="none" w:sz="0" w:space="0" w:color="auto"/>
          </w:divBdr>
        </w:div>
      </w:divsChild>
    </w:div>
    <w:div w:id="1143695151">
      <w:bodyDiv w:val="1"/>
      <w:marLeft w:val="0"/>
      <w:marRight w:val="0"/>
      <w:marTop w:val="0"/>
      <w:marBottom w:val="0"/>
      <w:divBdr>
        <w:top w:val="none" w:sz="0" w:space="0" w:color="auto"/>
        <w:left w:val="none" w:sz="0" w:space="0" w:color="auto"/>
        <w:bottom w:val="none" w:sz="0" w:space="0" w:color="auto"/>
        <w:right w:val="none" w:sz="0" w:space="0" w:color="auto"/>
      </w:divBdr>
    </w:div>
    <w:div w:id="1161387829">
      <w:bodyDiv w:val="1"/>
      <w:marLeft w:val="0"/>
      <w:marRight w:val="0"/>
      <w:marTop w:val="0"/>
      <w:marBottom w:val="0"/>
      <w:divBdr>
        <w:top w:val="none" w:sz="0" w:space="0" w:color="auto"/>
        <w:left w:val="none" w:sz="0" w:space="0" w:color="auto"/>
        <w:bottom w:val="none" w:sz="0" w:space="0" w:color="auto"/>
        <w:right w:val="none" w:sz="0" w:space="0" w:color="auto"/>
      </w:divBdr>
    </w:div>
    <w:div w:id="1187595943">
      <w:bodyDiv w:val="1"/>
      <w:marLeft w:val="0"/>
      <w:marRight w:val="0"/>
      <w:marTop w:val="0"/>
      <w:marBottom w:val="0"/>
      <w:divBdr>
        <w:top w:val="none" w:sz="0" w:space="0" w:color="auto"/>
        <w:left w:val="none" w:sz="0" w:space="0" w:color="auto"/>
        <w:bottom w:val="none" w:sz="0" w:space="0" w:color="auto"/>
        <w:right w:val="none" w:sz="0" w:space="0" w:color="auto"/>
      </w:divBdr>
      <w:divsChild>
        <w:div w:id="1338926833">
          <w:marLeft w:val="0"/>
          <w:marRight w:val="0"/>
          <w:marTop w:val="0"/>
          <w:marBottom w:val="0"/>
          <w:divBdr>
            <w:top w:val="none" w:sz="0" w:space="0" w:color="auto"/>
            <w:left w:val="none" w:sz="0" w:space="0" w:color="auto"/>
            <w:bottom w:val="none" w:sz="0" w:space="0" w:color="auto"/>
            <w:right w:val="none" w:sz="0" w:space="0" w:color="auto"/>
          </w:divBdr>
        </w:div>
        <w:div w:id="1430924840">
          <w:marLeft w:val="0"/>
          <w:marRight w:val="0"/>
          <w:marTop w:val="0"/>
          <w:marBottom w:val="0"/>
          <w:divBdr>
            <w:top w:val="none" w:sz="0" w:space="0" w:color="auto"/>
            <w:left w:val="none" w:sz="0" w:space="0" w:color="auto"/>
            <w:bottom w:val="none" w:sz="0" w:space="0" w:color="auto"/>
            <w:right w:val="none" w:sz="0" w:space="0" w:color="auto"/>
          </w:divBdr>
        </w:div>
      </w:divsChild>
    </w:div>
    <w:div w:id="1389264508">
      <w:bodyDiv w:val="1"/>
      <w:marLeft w:val="0"/>
      <w:marRight w:val="0"/>
      <w:marTop w:val="0"/>
      <w:marBottom w:val="0"/>
      <w:divBdr>
        <w:top w:val="none" w:sz="0" w:space="0" w:color="auto"/>
        <w:left w:val="none" w:sz="0" w:space="0" w:color="auto"/>
        <w:bottom w:val="none" w:sz="0" w:space="0" w:color="auto"/>
        <w:right w:val="none" w:sz="0" w:space="0" w:color="auto"/>
      </w:divBdr>
      <w:divsChild>
        <w:div w:id="771048008">
          <w:marLeft w:val="0"/>
          <w:marRight w:val="0"/>
          <w:marTop w:val="0"/>
          <w:marBottom w:val="0"/>
          <w:divBdr>
            <w:top w:val="none" w:sz="0" w:space="0" w:color="auto"/>
            <w:left w:val="none" w:sz="0" w:space="0" w:color="auto"/>
            <w:bottom w:val="none" w:sz="0" w:space="0" w:color="auto"/>
            <w:right w:val="none" w:sz="0" w:space="0" w:color="auto"/>
          </w:divBdr>
          <w:divsChild>
            <w:div w:id="451481405">
              <w:marLeft w:val="0"/>
              <w:marRight w:val="0"/>
              <w:marTop w:val="0"/>
              <w:marBottom w:val="0"/>
              <w:divBdr>
                <w:top w:val="none" w:sz="0" w:space="0" w:color="auto"/>
                <w:left w:val="none" w:sz="0" w:space="0" w:color="auto"/>
                <w:bottom w:val="none" w:sz="0" w:space="0" w:color="auto"/>
                <w:right w:val="none" w:sz="0" w:space="0" w:color="auto"/>
              </w:divBdr>
              <w:divsChild>
                <w:div w:id="1476683107">
                  <w:marLeft w:val="-225"/>
                  <w:marRight w:val="-225"/>
                  <w:marTop w:val="0"/>
                  <w:marBottom w:val="0"/>
                  <w:divBdr>
                    <w:top w:val="none" w:sz="0" w:space="0" w:color="auto"/>
                    <w:left w:val="none" w:sz="0" w:space="0" w:color="auto"/>
                    <w:bottom w:val="none" w:sz="0" w:space="0" w:color="auto"/>
                    <w:right w:val="none" w:sz="0" w:space="0" w:color="auto"/>
                  </w:divBdr>
                  <w:divsChild>
                    <w:div w:id="58176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178731">
      <w:bodyDiv w:val="1"/>
      <w:marLeft w:val="0"/>
      <w:marRight w:val="0"/>
      <w:marTop w:val="0"/>
      <w:marBottom w:val="0"/>
      <w:divBdr>
        <w:top w:val="none" w:sz="0" w:space="0" w:color="auto"/>
        <w:left w:val="none" w:sz="0" w:space="0" w:color="auto"/>
        <w:bottom w:val="none" w:sz="0" w:space="0" w:color="auto"/>
        <w:right w:val="none" w:sz="0" w:space="0" w:color="auto"/>
      </w:divBdr>
      <w:divsChild>
        <w:div w:id="20403802">
          <w:marLeft w:val="576"/>
          <w:marRight w:val="0"/>
          <w:marTop w:val="120"/>
          <w:marBottom w:val="120"/>
          <w:divBdr>
            <w:top w:val="none" w:sz="0" w:space="0" w:color="auto"/>
            <w:left w:val="none" w:sz="0" w:space="0" w:color="auto"/>
            <w:bottom w:val="none" w:sz="0" w:space="0" w:color="auto"/>
            <w:right w:val="none" w:sz="0" w:space="0" w:color="auto"/>
          </w:divBdr>
        </w:div>
        <w:div w:id="270088265">
          <w:marLeft w:val="576"/>
          <w:marRight w:val="0"/>
          <w:marTop w:val="120"/>
          <w:marBottom w:val="120"/>
          <w:divBdr>
            <w:top w:val="none" w:sz="0" w:space="0" w:color="auto"/>
            <w:left w:val="none" w:sz="0" w:space="0" w:color="auto"/>
            <w:bottom w:val="none" w:sz="0" w:space="0" w:color="auto"/>
            <w:right w:val="none" w:sz="0" w:space="0" w:color="auto"/>
          </w:divBdr>
        </w:div>
      </w:divsChild>
    </w:div>
    <w:div w:id="1448162616">
      <w:bodyDiv w:val="1"/>
      <w:marLeft w:val="0"/>
      <w:marRight w:val="0"/>
      <w:marTop w:val="0"/>
      <w:marBottom w:val="0"/>
      <w:divBdr>
        <w:top w:val="none" w:sz="0" w:space="0" w:color="auto"/>
        <w:left w:val="none" w:sz="0" w:space="0" w:color="auto"/>
        <w:bottom w:val="none" w:sz="0" w:space="0" w:color="auto"/>
        <w:right w:val="none" w:sz="0" w:space="0" w:color="auto"/>
      </w:divBdr>
    </w:div>
    <w:div w:id="1566450935">
      <w:bodyDiv w:val="1"/>
      <w:marLeft w:val="0"/>
      <w:marRight w:val="0"/>
      <w:marTop w:val="0"/>
      <w:marBottom w:val="0"/>
      <w:divBdr>
        <w:top w:val="none" w:sz="0" w:space="0" w:color="auto"/>
        <w:left w:val="none" w:sz="0" w:space="0" w:color="auto"/>
        <w:bottom w:val="none" w:sz="0" w:space="0" w:color="auto"/>
        <w:right w:val="none" w:sz="0" w:space="0" w:color="auto"/>
      </w:divBdr>
      <w:divsChild>
        <w:div w:id="1244756002">
          <w:marLeft w:val="0"/>
          <w:marRight w:val="0"/>
          <w:marTop w:val="0"/>
          <w:marBottom w:val="0"/>
          <w:divBdr>
            <w:top w:val="none" w:sz="0" w:space="0" w:color="auto"/>
            <w:left w:val="none" w:sz="0" w:space="0" w:color="auto"/>
            <w:bottom w:val="none" w:sz="0" w:space="0" w:color="auto"/>
            <w:right w:val="none" w:sz="0" w:space="0" w:color="auto"/>
          </w:divBdr>
        </w:div>
        <w:div w:id="1755394267">
          <w:marLeft w:val="0"/>
          <w:marRight w:val="0"/>
          <w:marTop w:val="0"/>
          <w:marBottom w:val="0"/>
          <w:divBdr>
            <w:top w:val="none" w:sz="0" w:space="0" w:color="auto"/>
            <w:left w:val="none" w:sz="0" w:space="0" w:color="auto"/>
            <w:bottom w:val="none" w:sz="0" w:space="0" w:color="auto"/>
            <w:right w:val="none" w:sz="0" w:space="0" w:color="auto"/>
          </w:divBdr>
        </w:div>
      </w:divsChild>
    </w:div>
    <w:div w:id="1577780318">
      <w:bodyDiv w:val="1"/>
      <w:marLeft w:val="0"/>
      <w:marRight w:val="0"/>
      <w:marTop w:val="0"/>
      <w:marBottom w:val="0"/>
      <w:divBdr>
        <w:top w:val="none" w:sz="0" w:space="0" w:color="auto"/>
        <w:left w:val="none" w:sz="0" w:space="0" w:color="auto"/>
        <w:bottom w:val="none" w:sz="0" w:space="0" w:color="auto"/>
        <w:right w:val="none" w:sz="0" w:space="0" w:color="auto"/>
      </w:divBdr>
    </w:div>
    <w:div w:id="1628732611">
      <w:bodyDiv w:val="1"/>
      <w:marLeft w:val="0"/>
      <w:marRight w:val="0"/>
      <w:marTop w:val="0"/>
      <w:marBottom w:val="0"/>
      <w:divBdr>
        <w:top w:val="none" w:sz="0" w:space="0" w:color="auto"/>
        <w:left w:val="none" w:sz="0" w:space="0" w:color="auto"/>
        <w:bottom w:val="none" w:sz="0" w:space="0" w:color="auto"/>
        <w:right w:val="none" w:sz="0" w:space="0" w:color="auto"/>
      </w:divBdr>
      <w:divsChild>
        <w:div w:id="196704703">
          <w:marLeft w:val="360"/>
          <w:marRight w:val="0"/>
          <w:marTop w:val="240"/>
          <w:marBottom w:val="240"/>
          <w:divBdr>
            <w:top w:val="none" w:sz="0" w:space="0" w:color="auto"/>
            <w:left w:val="none" w:sz="0" w:space="0" w:color="auto"/>
            <w:bottom w:val="none" w:sz="0" w:space="0" w:color="auto"/>
            <w:right w:val="none" w:sz="0" w:space="0" w:color="auto"/>
          </w:divBdr>
        </w:div>
        <w:div w:id="1309822919">
          <w:marLeft w:val="360"/>
          <w:marRight w:val="0"/>
          <w:marTop w:val="240"/>
          <w:marBottom w:val="240"/>
          <w:divBdr>
            <w:top w:val="none" w:sz="0" w:space="0" w:color="auto"/>
            <w:left w:val="none" w:sz="0" w:space="0" w:color="auto"/>
            <w:bottom w:val="none" w:sz="0" w:space="0" w:color="auto"/>
            <w:right w:val="none" w:sz="0" w:space="0" w:color="auto"/>
          </w:divBdr>
        </w:div>
        <w:div w:id="1712419692">
          <w:marLeft w:val="360"/>
          <w:marRight w:val="0"/>
          <w:marTop w:val="240"/>
          <w:marBottom w:val="240"/>
          <w:divBdr>
            <w:top w:val="none" w:sz="0" w:space="0" w:color="auto"/>
            <w:left w:val="none" w:sz="0" w:space="0" w:color="auto"/>
            <w:bottom w:val="none" w:sz="0" w:space="0" w:color="auto"/>
            <w:right w:val="none" w:sz="0" w:space="0" w:color="auto"/>
          </w:divBdr>
        </w:div>
        <w:div w:id="2117366187">
          <w:marLeft w:val="360"/>
          <w:marRight w:val="0"/>
          <w:marTop w:val="240"/>
          <w:marBottom w:val="240"/>
          <w:divBdr>
            <w:top w:val="none" w:sz="0" w:space="0" w:color="auto"/>
            <w:left w:val="none" w:sz="0" w:space="0" w:color="auto"/>
            <w:bottom w:val="none" w:sz="0" w:space="0" w:color="auto"/>
            <w:right w:val="none" w:sz="0" w:space="0" w:color="auto"/>
          </w:divBdr>
        </w:div>
      </w:divsChild>
    </w:div>
    <w:div w:id="1662585345">
      <w:bodyDiv w:val="1"/>
      <w:marLeft w:val="0"/>
      <w:marRight w:val="0"/>
      <w:marTop w:val="0"/>
      <w:marBottom w:val="0"/>
      <w:divBdr>
        <w:top w:val="none" w:sz="0" w:space="0" w:color="auto"/>
        <w:left w:val="none" w:sz="0" w:space="0" w:color="auto"/>
        <w:bottom w:val="none" w:sz="0" w:space="0" w:color="auto"/>
        <w:right w:val="none" w:sz="0" w:space="0" w:color="auto"/>
      </w:divBdr>
    </w:div>
    <w:div w:id="1687637296">
      <w:bodyDiv w:val="1"/>
      <w:marLeft w:val="0"/>
      <w:marRight w:val="0"/>
      <w:marTop w:val="0"/>
      <w:marBottom w:val="0"/>
      <w:divBdr>
        <w:top w:val="none" w:sz="0" w:space="0" w:color="auto"/>
        <w:left w:val="none" w:sz="0" w:space="0" w:color="auto"/>
        <w:bottom w:val="none" w:sz="0" w:space="0" w:color="auto"/>
        <w:right w:val="none" w:sz="0" w:space="0" w:color="auto"/>
      </w:divBdr>
    </w:div>
    <w:div w:id="1733187342">
      <w:bodyDiv w:val="1"/>
      <w:marLeft w:val="0"/>
      <w:marRight w:val="0"/>
      <w:marTop w:val="0"/>
      <w:marBottom w:val="0"/>
      <w:divBdr>
        <w:top w:val="none" w:sz="0" w:space="0" w:color="auto"/>
        <w:left w:val="none" w:sz="0" w:space="0" w:color="auto"/>
        <w:bottom w:val="none" w:sz="0" w:space="0" w:color="auto"/>
        <w:right w:val="none" w:sz="0" w:space="0" w:color="auto"/>
      </w:divBdr>
      <w:divsChild>
        <w:div w:id="53236184">
          <w:marLeft w:val="1008"/>
          <w:marRight w:val="0"/>
          <w:marTop w:val="120"/>
          <w:marBottom w:val="120"/>
          <w:divBdr>
            <w:top w:val="none" w:sz="0" w:space="0" w:color="auto"/>
            <w:left w:val="none" w:sz="0" w:space="0" w:color="auto"/>
            <w:bottom w:val="none" w:sz="0" w:space="0" w:color="auto"/>
            <w:right w:val="none" w:sz="0" w:space="0" w:color="auto"/>
          </w:divBdr>
        </w:div>
        <w:div w:id="677971235">
          <w:marLeft w:val="576"/>
          <w:marRight w:val="0"/>
          <w:marTop w:val="120"/>
          <w:marBottom w:val="120"/>
          <w:divBdr>
            <w:top w:val="none" w:sz="0" w:space="0" w:color="auto"/>
            <w:left w:val="none" w:sz="0" w:space="0" w:color="auto"/>
            <w:bottom w:val="none" w:sz="0" w:space="0" w:color="auto"/>
            <w:right w:val="none" w:sz="0" w:space="0" w:color="auto"/>
          </w:divBdr>
        </w:div>
        <w:div w:id="806170950">
          <w:marLeft w:val="576"/>
          <w:marRight w:val="0"/>
          <w:marTop w:val="120"/>
          <w:marBottom w:val="120"/>
          <w:divBdr>
            <w:top w:val="none" w:sz="0" w:space="0" w:color="auto"/>
            <w:left w:val="none" w:sz="0" w:space="0" w:color="auto"/>
            <w:bottom w:val="none" w:sz="0" w:space="0" w:color="auto"/>
            <w:right w:val="none" w:sz="0" w:space="0" w:color="auto"/>
          </w:divBdr>
        </w:div>
        <w:div w:id="963345573">
          <w:marLeft w:val="1008"/>
          <w:marRight w:val="0"/>
          <w:marTop w:val="120"/>
          <w:marBottom w:val="120"/>
          <w:divBdr>
            <w:top w:val="none" w:sz="0" w:space="0" w:color="auto"/>
            <w:left w:val="none" w:sz="0" w:space="0" w:color="auto"/>
            <w:bottom w:val="none" w:sz="0" w:space="0" w:color="auto"/>
            <w:right w:val="none" w:sz="0" w:space="0" w:color="auto"/>
          </w:divBdr>
        </w:div>
        <w:div w:id="1584872372">
          <w:marLeft w:val="576"/>
          <w:marRight w:val="0"/>
          <w:marTop w:val="120"/>
          <w:marBottom w:val="120"/>
          <w:divBdr>
            <w:top w:val="none" w:sz="0" w:space="0" w:color="auto"/>
            <w:left w:val="none" w:sz="0" w:space="0" w:color="auto"/>
            <w:bottom w:val="none" w:sz="0" w:space="0" w:color="auto"/>
            <w:right w:val="none" w:sz="0" w:space="0" w:color="auto"/>
          </w:divBdr>
        </w:div>
        <w:div w:id="1608124795">
          <w:marLeft w:val="1008"/>
          <w:marRight w:val="0"/>
          <w:marTop w:val="120"/>
          <w:marBottom w:val="120"/>
          <w:divBdr>
            <w:top w:val="none" w:sz="0" w:space="0" w:color="auto"/>
            <w:left w:val="none" w:sz="0" w:space="0" w:color="auto"/>
            <w:bottom w:val="none" w:sz="0" w:space="0" w:color="auto"/>
            <w:right w:val="none" w:sz="0" w:space="0" w:color="auto"/>
          </w:divBdr>
        </w:div>
        <w:div w:id="1688410169">
          <w:marLeft w:val="576"/>
          <w:marRight w:val="0"/>
          <w:marTop w:val="120"/>
          <w:marBottom w:val="120"/>
          <w:divBdr>
            <w:top w:val="none" w:sz="0" w:space="0" w:color="auto"/>
            <w:left w:val="none" w:sz="0" w:space="0" w:color="auto"/>
            <w:bottom w:val="none" w:sz="0" w:space="0" w:color="auto"/>
            <w:right w:val="none" w:sz="0" w:space="0" w:color="auto"/>
          </w:divBdr>
        </w:div>
      </w:divsChild>
    </w:div>
    <w:div w:id="1744638602">
      <w:bodyDiv w:val="1"/>
      <w:marLeft w:val="0"/>
      <w:marRight w:val="0"/>
      <w:marTop w:val="0"/>
      <w:marBottom w:val="0"/>
      <w:divBdr>
        <w:top w:val="none" w:sz="0" w:space="0" w:color="auto"/>
        <w:left w:val="none" w:sz="0" w:space="0" w:color="auto"/>
        <w:bottom w:val="none" w:sz="0" w:space="0" w:color="auto"/>
        <w:right w:val="none" w:sz="0" w:space="0" w:color="auto"/>
      </w:divBdr>
      <w:divsChild>
        <w:div w:id="22637645">
          <w:marLeft w:val="432"/>
          <w:marRight w:val="0"/>
          <w:marTop w:val="0"/>
          <w:marBottom w:val="120"/>
          <w:divBdr>
            <w:top w:val="none" w:sz="0" w:space="0" w:color="auto"/>
            <w:left w:val="none" w:sz="0" w:space="0" w:color="auto"/>
            <w:bottom w:val="none" w:sz="0" w:space="0" w:color="auto"/>
            <w:right w:val="none" w:sz="0" w:space="0" w:color="auto"/>
          </w:divBdr>
        </w:div>
        <w:div w:id="114257414">
          <w:marLeft w:val="432"/>
          <w:marRight w:val="0"/>
          <w:marTop w:val="0"/>
          <w:marBottom w:val="120"/>
          <w:divBdr>
            <w:top w:val="none" w:sz="0" w:space="0" w:color="auto"/>
            <w:left w:val="none" w:sz="0" w:space="0" w:color="auto"/>
            <w:bottom w:val="none" w:sz="0" w:space="0" w:color="auto"/>
            <w:right w:val="none" w:sz="0" w:space="0" w:color="auto"/>
          </w:divBdr>
        </w:div>
        <w:div w:id="255748179">
          <w:marLeft w:val="432"/>
          <w:marRight w:val="0"/>
          <w:marTop w:val="0"/>
          <w:marBottom w:val="120"/>
          <w:divBdr>
            <w:top w:val="none" w:sz="0" w:space="0" w:color="auto"/>
            <w:left w:val="none" w:sz="0" w:space="0" w:color="auto"/>
            <w:bottom w:val="none" w:sz="0" w:space="0" w:color="auto"/>
            <w:right w:val="none" w:sz="0" w:space="0" w:color="auto"/>
          </w:divBdr>
        </w:div>
        <w:div w:id="740951432">
          <w:marLeft w:val="432"/>
          <w:marRight w:val="0"/>
          <w:marTop w:val="0"/>
          <w:marBottom w:val="120"/>
          <w:divBdr>
            <w:top w:val="none" w:sz="0" w:space="0" w:color="auto"/>
            <w:left w:val="none" w:sz="0" w:space="0" w:color="auto"/>
            <w:bottom w:val="none" w:sz="0" w:space="0" w:color="auto"/>
            <w:right w:val="none" w:sz="0" w:space="0" w:color="auto"/>
          </w:divBdr>
        </w:div>
      </w:divsChild>
    </w:div>
    <w:div w:id="1929659143">
      <w:bodyDiv w:val="1"/>
      <w:marLeft w:val="0"/>
      <w:marRight w:val="0"/>
      <w:marTop w:val="0"/>
      <w:marBottom w:val="0"/>
      <w:divBdr>
        <w:top w:val="none" w:sz="0" w:space="0" w:color="auto"/>
        <w:left w:val="none" w:sz="0" w:space="0" w:color="auto"/>
        <w:bottom w:val="none" w:sz="0" w:space="0" w:color="auto"/>
        <w:right w:val="none" w:sz="0" w:space="0" w:color="auto"/>
      </w:divBdr>
      <w:divsChild>
        <w:div w:id="282688286">
          <w:marLeft w:val="576"/>
          <w:marRight w:val="0"/>
          <w:marTop w:val="120"/>
          <w:marBottom w:val="120"/>
          <w:divBdr>
            <w:top w:val="none" w:sz="0" w:space="0" w:color="auto"/>
            <w:left w:val="none" w:sz="0" w:space="0" w:color="auto"/>
            <w:bottom w:val="none" w:sz="0" w:space="0" w:color="auto"/>
            <w:right w:val="none" w:sz="0" w:space="0" w:color="auto"/>
          </w:divBdr>
        </w:div>
        <w:div w:id="706494002">
          <w:marLeft w:val="1080"/>
          <w:marRight w:val="0"/>
          <w:marTop w:val="120"/>
          <w:marBottom w:val="120"/>
          <w:divBdr>
            <w:top w:val="none" w:sz="0" w:space="0" w:color="auto"/>
            <w:left w:val="none" w:sz="0" w:space="0" w:color="auto"/>
            <w:bottom w:val="none" w:sz="0" w:space="0" w:color="auto"/>
            <w:right w:val="none" w:sz="0" w:space="0" w:color="auto"/>
          </w:divBdr>
        </w:div>
        <w:div w:id="738862111">
          <w:marLeft w:val="576"/>
          <w:marRight w:val="0"/>
          <w:marTop w:val="120"/>
          <w:marBottom w:val="120"/>
          <w:divBdr>
            <w:top w:val="none" w:sz="0" w:space="0" w:color="auto"/>
            <w:left w:val="none" w:sz="0" w:space="0" w:color="auto"/>
            <w:bottom w:val="none" w:sz="0" w:space="0" w:color="auto"/>
            <w:right w:val="none" w:sz="0" w:space="0" w:color="auto"/>
          </w:divBdr>
        </w:div>
        <w:div w:id="914319060">
          <w:marLeft w:val="1080"/>
          <w:marRight w:val="0"/>
          <w:marTop w:val="120"/>
          <w:marBottom w:val="120"/>
          <w:divBdr>
            <w:top w:val="none" w:sz="0" w:space="0" w:color="auto"/>
            <w:left w:val="none" w:sz="0" w:space="0" w:color="auto"/>
            <w:bottom w:val="none" w:sz="0" w:space="0" w:color="auto"/>
            <w:right w:val="none" w:sz="0" w:space="0" w:color="auto"/>
          </w:divBdr>
        </w:div>
        <w:div w:id="1653866926">
          <w:marLeft w:val="1080"/>
          <w:marRight w:val="0"/>
          <w:marTop w:val="120"/>
          <w:marBottom w:val="120"/>
          <w:divBdr>
            <w:top w:val="none" w:sz="0" w:space="0" w:color="auto"/>
            <w:left w:val="none" w:sz="0" w:space="0" w:color="auto"/>
            <w:bottom w:val="none" w:sz="0" w:space="0" w:color="auto"/>
            <w:right w:val="none" w:sz="0" w:space="0" w:color="auto"/>
          </w:divBdr>
        </w:div>
        <w:div w:id="1949653476">
          <w:marLeft w:val="576"/>
          <w:marRight w:val="0"/>
          <w:marTop w:val="120"/>
          <w:marBottom w:val="120"/>
          <w:divBdr>
            <w:top w:val="none" w:sz="0" w:space="0" w:color="auto"/>
            <w:left w:val="none" w:sz="0" w:space="0" w:color="auto"/>
            <w:bottom w:val="none" w:sz="0" w:space="0" w:color="auto"/>
            <w:right w:val="none" w:sz="0" w:space="0" w:color="auto"/>
          </w:divBdr>
        </w:div>
      </w:divsChild>
    </w:div>
    <w:div w:id="1960915898">
      <w:bodyDiv w:val="1"/>
      <w:marLeft w:val="0"/>
      <w:marRight w:val="0"/>
      <w:marTop w:val="0"/>
      <w:marBottom w:val="0"/>
      <w:divBdr>
        <w:top w:val="none" w:sz="0" w:space="0" w:color="auto"/>
        <w:left w:val="none" w:sz="0" w:space="0" w:color="auto"/>
        <w:bottom w:val="none" w:sz="0" w:space="0" w:color="auto"/>
        <w:right w:val="none" w:sz="0" w:space="0" w:color="auto"/>
      </w:divBdr>
    </w:div>
    <w:div w:id="2010786411">
      <w:bodyDiv w:val="1"/>
      <w:marLeft w:val="0"/>
      <w:marRight w:val="0"/>
      <w:marTop w:val="0"/>
      <w:marBottom w:val="0"/>
      <w:divBdr>
        <w:top w:val="none" w:sz="0" w:space="0" w:color="auto"/>
        <w:left w:val="none" w:sz="0" w:space="0" w:color="auto"/>
        <w:bottom w:val="none" w:sz="0" w:space="0" w:color="auto"/>
        <w:right w:val="none" w:sz="0" w:space="0" w:color="auto"/>
      </w:divBdr>
      <w:divsChild>
        <w:div w:id="294994256">
          <w:marLeft w:val="360"/>
          <w:marRight w:val="0"/>
          <w:marTop w:val="240"/>
          <w:marBottom w:val="0"/>
          <w:divBdr>
            <w:top w:val="none" w:sz="0" w:space="0" w:color="auto"/>
            <w:left w:val="none" w:sz="0" w:space="0" w:color="auto"/>
            <w:bottom w:val="none" w:sz="0" w:space="0" w:color="auto"/>
            <w:right w:val="none" w:sz="0" w:space="0" w:color="auto"/>
          </w:divBdr>
        </w:div>
        <w:div w:id="1660420331">
          <w:marLeft w:val="360"/>
          <w:marRight w:val="0"/>
          <w:marTop w:val="240"/>
          <w:marBottom w:val="0"/>
          <w:divBdr>
            <w:top w:val="none" w:sz="0" w:space="0" w:color="auto"/>
            <w:left w:val="none" w:sz="0" w:space="0" w:color="auto"/>
            <w:bottom w:val="none" w:sz="0" w:space="0" w:color="auto"/>
            <w:right w:val="none" w:sz="0" w:space="0" w:color="auto"/>
          </w:divBdr>
        </w:div>
        <w:div w:id="1836610057">
          <w:marLeft w:val="360"/>
          <w:marRight w:val="0"/>
          <w:marTop w:val="240"/>
          <w:marBottom w:val="0"/>
          <w:divBdr>
            <w:top w:val="none" w:sz="0" w:space="0" w:color="auto"/>
            <w:left w:val="none" w:sz="0" w:space="0" w:color="auto"/>
            <w:bottom w:val="none" w:sz="0" w:space="0" w:color="auto"/>
            <w:right w:val="none" w:sz="0" w:space="0" w:color="auto"/>
          </w:divBdr>
        </w:div>
      </w:divsChild>
    </w:div>
    <w:div w:id="2014987981">
      <w:bodyDiv w:val="1"/>
      <w:marLeft w:val="0"/>
      <w:marRight w:val="0"/>
      <w:marTop w:val="0"/>
      <w:marBottom w:val="0"/>
      <w:divBdr>
        <w:top w:val="none" w:sz="0" w:space="0" w:color="auto"/>
        <w:left w:val="none" w:sz="0" w:space="0" w:color="auto"/>
        <w:bottom w:val="none" w:sz="0" w:space="0" w:color="auto"/>
        <w:right w:val="none" w:sz="0" w:space="0" w:color="auto"/>
      </w:divBdr>
    </w:div>
    <w:div w:id="2030375731">
      <w:bodyDiv w:val="1"/>
      <w:marLeft w:val="0"/>
      <w:marRight w:val="0"/>
      <w:marTop w:val="0"/>
      <w:marBottom w:val="0"/>
      <w:divBdr>
        <w:top w:val="none" w:sz="0" w:space="0" w:color="auto"/>
        <w:left w:val="none" w:sz="0" w:space="0" w:color="auto"/>
        <w:bottom w:val="none" w:sz="0" w:space="0" w:color="auto"/>
        <w:right w:val="none" w:sz="0" w:space="0" w:color="auto"/>
      </w:divBdr>
      <w:divsChild>
        <w:div w:id="215706364">
          <w:marLeft w:val="576"/>
          <w:marRight w:val="0"/>
          <w:marTop w:val="120"/>
          <w:marBottom w:val="120"/>
          <w:divBdr>
            <w:top w:val="none" w:sz="0" w:space="0" w:color="auto"/>
            <w:left w:val="none" w:sz="0" w:space="0" w:color="auto"/>
            <w:bottom w:val="none" w:sz="0" w:space="0" w:color="auto"/>
            <w:right w:val="none" w:sz="0" w:space="0" w:color="auto"/>
          </w:divBdr>
        </w:div>
        <w:div w:id="301152538">
          <w:marLeft w:val="576"/>
          <w:marRight w:val="0"/>
          <w:marTop w:val="120"/>
          <w:marBottom w:val="120"/>
          <w:divBdr>
            <w:top w:val="none" w:sz="0" w:space="0" w:color="auto"/>
            <w:left w:val="none" w:sz="0" w:space="0" w:color="auto"/>
            <w:bottom w:val="none" w:sz="0" w:space="0" w:color="auto"/>
            <w:right w:val="none" w:sz="0" w:space="0" w:color="auto"/>
          </w:divBdr>
        </w:div>
      </w:divsChild>
    </w:div>
    <w:div w:id="2047244825">
      <w:bodyDiv w:val="1"/>
      <w:marLeft w:val="0"/>
      <w:marRight w:val="0"/>
      <w:marTop w:val="0"/>
      <w:marBottom w:val="0"/>
      <w:divBdr>
        <w:top w:val="none" w:sz="0" w:space="0" w:color="auto"/>
        <w:left w:val="none" w:sz="0" w:space="0" w:color="auto"/>
        <w:bottom w:val="none" w:sz="0" w:space="0" w:color="auto"/>
        <w:right w:val="none" w:sz="0" w:space="0" w:color="auto"/>
      </w:divBdr>
      <w:divsChild>
        <w:div w:id="5911309">
          <w:marLeft w:val="806"/>
          <w:marRight w:val="0"/>
          <w:marTop w:val="120"/>
          <w:marBottom w:val="120"/>
          <w:divBdr>
            <w:top w:val="none" w:sz="0" w:space="0" w:color="auto"/>
            <w:left w:val="none" w:sz="0" w:space="0" w:color="auto"/>
            <w:bottom w:val="none" w:sz="0" w:space="0" w:color="auto"/>
            <w:right w:val="none" w:sz="0" w:space="0" w:color="auto"/>
          </w:divBdr>
        </w:div>
        <w:div w:id="592783252">
          <w:marLeft w:val="1080"/>
          <w:marRight w:val="0"/>
          <w:marTop w:val="120"/>
          <w:marBottom w:val="120"/>
          <w:divBdr>
            <w:top w:val="none" w:sz="0" w:space="0" w:color="auto"/>
            <w:left w:val="none" w:sz="0" w:space="0" w:color="auto"/>
            <w:bottom w:val="none" w:sz="0" w:space="0" w:color="auto"/>
            <w:right w:val="none" w:sz="0" w:space="0" w:color="auto"/>
          </w:divBdr>
        </w:div>
        <w:div w:id="983043656">
          <w:marLeft w:val="806"/>
          <w:marRight w:val="0"/>
          <w:marTop w:val="120"/>
          <w:marBottom w:val="120"/>
          <w:divBdr>
            <w:top w:val="none" w:sz="0" w:space="0" w:color="auto"/>
            <w:left w:val="none" w:sz="0" w:space="0" w:color="auto"/>
            <w:bottom w:val="none" w:sz="0" w:space="0" w:color="auto"/>
            <w:right w:val="none" w:sz="0" w:space="0" w:color="auto"/>
          </w:divBdr>
        </w:div>
        <w:div w:id="1087384114">
          <w:marLeft w:val="806"/>
          <w:marRight w:val="0"/>
          <w:marTop w:val="120"/>
          <w:marBottom w:val="120"/>
          <w:divBdr>
            <w:top w:val="none" w:sz="0" w:space="0" w:color="auto"/>
            <w:left w:val="none" w:sz="0" w:space="0" w:color="auto"/>
            <w:bottom w:val="none" w:sz="0" w:space="0" w:color="auto"/>
            <w:right w:val="none" w:sz="0" w:space="0" w:color="auto"/>
          </w:divBdr>
        </w:div>
        <w:div w:id="1121723707">
          <w:marLeft w:val="806"/>
          <w:marRight w:val="0"/>
          <w:marTop w:val="120"/>
          <w:marBottom w:val="120"/>
          <w:divBdr>
            <w:top w:val="none" w:sz="0" w:space="0" w:color="auto"/>
            <w:left w:val="none" w:sz="0" w:space="0" w:color="auto"/>
            <w:bottom w:val="none" w:sz="0" w:space="0" w:color="auto"/>
            <w:right w:val="none" w:sz="0" w:space="0" w:color="auto"/>
          </w:divBdr>
        </w:div>
        <w:div w:id="1333487600">
          <w:marLeft w:val="806"/>
          <w:marRight w:val="0"/>
          <w:marTop w:val="120"/>
          <w:marBottom w:val="120"/>
          <w:divBdr>
            <w:top w:val="none" w:sz="0" w:space="0" w:color="auto"/>
            <w:left w:val="none" w:sz="0" w:space="0" w:color="auto"/>
            <w:bottom w:val="none" w:sz="0" w:space="0" w:color="auto"/>
            <w:right w:val="none" w:sz="0" w:space="0" w:color="auto"/>
          </w:divBdr>
        </w:div>
        <w:div w:id="1355502141">
          <w:marLeft w:val="1080"/>
          <w:marRight w:val="0"/>
          <w:marTop w:val="120"/>
          <w:marBottom w:val="120"/>
          <w:divBdr>
            <w:top w:val="none" w:sz="0" w:space="0" w:color="auto"/>
            <w:left w:val="none" w:sz="0" w:space="0" w:color="auto"/>
            <w:bottom w:val="none" w:sz="0" w:space="0" w:color="auto"/>
            <w:right w:val="none" w:sz="0" w:space="0" w:color="auto"/>
          </w:divBdr>
        </w:div>
        <w:div w:id="1455060077">
          <w:marLeft w:val="806"/>
          <w:marRight w:val="0"/>
          <w:marTop w:val="120"/>
          <w:marBottom w:val="120"/>
          <w:divBdr>
            <w:top w:val="none" w:sz="0" w:space="0" w:color="auto"/>
            <w:left w:val="none" w:sz="0" w:space="0" w:color="auto"/>
            <w:bottom w:val="none" w:sz="0" w:space="0" w:color="auto"/>
            <w:right w:val="none" w:sz="0" w:space="0" w:color="auto"/>
          </w:divBdr>
        </w:div>
        <w:div w:id="1897737797">
          <w:marLeft w:val="1080"/>
          <w:marRight w:val="0"/>
          <w:marTop w:val="12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de.ca.gov/be/ag/ag/yr16/documents/nov16item03.doc" TargetMode="External"/><Relationship Id="rId21" Type="http://schemas.openxmlformats.org/officeDocument/2006/relationships/hyperlink" Target="https://www.cde.ca.gov/be/ag/ag/yr24/documents/mar24item02.docx" TargetMode="External"/><Relationship Id="rId34" Type="http://schemas.openxmlformats.org/officeDocument/2006/relationships/hyperlink" Target="https://www.cde.ca.gov/be/ag/ag/yr23/documents/sep23item02.docx" TargetMode="External"/><Relationship Id="rId42" Type="http://schemas.openxmlformats.org/officeDocument/2006/relationships/hyperlink" Target="https://www.cde.ca.gov/be/ag/ag/yr18/documents/may18item02.docx" TargetMode="External"/><Relationship Id="rId47" Type="http://schemas.openxmlformats.org/officeDocument/2006/relationships/hyperlink" Target="https://www.cde.ca.gov/be/ag/ag/yr20/documents/mar20item05.docx" TargetMode="External"/><Relationship Id="rId50" Type="http://schemas.openxmlformats.org/officeDocument/2006/relationships/hyperlink" Target="https://www.cde.ca.gov/be/ag/ag/yr20/documents/sep20item02.docx" TargetMode="External"/><Relationship Id="rId55" Type="http://schemas.openxmlformats.org/officeDocument/2006/relationships/hyperlink" Target="https://www.cde.ca.gov/be/pn/im/documents/dec21memoamard01.docx" TargetMode="External"/><Relationship Id="rId63" Type="http://schemas.openxmlformats.org/officeDocument/2006/relationships/hyperlink" Target="https://www.cde.ca.gov/be/pn/im/documents/aug20amard01.docx" TargetMode="External"/><Relationship Id="rId68" Type="http://schemas.openxmlformats.org/officeDocument/2006/relationships/hyperlink" Target="https://www.cde.ca.gov/be/ag/ag/yr22/documents/sep22item02rev.docx" TargetMode="External"/><Relationship Id="rId76" Type="http://schemas.openxmlformats.org/officeDocument/2006/relationships/hyperlink" Target="about:blank" TargetMode="External"/><Relationship Id="rId84" Type="http://schemas.openxmlformats.org/officeDocument/2006/relationships/hyperlink" Target="https://www.cde.ca.gov/be/ag/ag/yr23/documents/sep23item08.docx" TargetMode="External"/><Relationship Id="rId89" Type="http://schemas.openxmlformats.org/officeDocument/2006/relationships/image" Target="media/image2.png"/><Relationship Id="rId97"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hyperlink" Target="https://www.cde.ca.gov/be/ag/ag/yr24/documents/mar24item02.docx" TargetMode="External"/><Relationship Id="rId92"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yperlink" Target="https://www.cde.ca.gov/be/ag/ag/yr17/documents/sep17item02.doc" TargetMode="External"/><Relationship Id="rId11" Type="http://schemas.openxmlformats.org/officeDocument/2006/relationships/image" Target="media/image1.png"/><Relationship Id="rId24" Type="http://schemas.openxmlformats.org/officeDocument/2006/relationships/hyperlink" Target="http://www.cde.ca.gov/be/ag/ag/yr16/documents/jul16item02.doc" TargetMode="External"/><Relationship Id="rId32" Type="http://schemas.openxmlformats.org/officeDocument/2006/relationships/hyperlink" Target="https://www.cde.ca.gov/be/pn/im/documents/memo-gad-lao-apr19item02.docx" TargetMode="External"/><Relationship Id="rId37" Type="http://schemas.openxmlformats.org/officeDocument/2006/relationships/hyperlink" Target="https://www.cde.ca.gov/be/pn/im/documents/memo-dsib-amard-jun16item01.doc" TargetMode="External"/><Relationship Id="rId40" Type="http://schemas.openxmlformats.org/officeDocument/2006/relationships/hyperlink" Target="https://www.cde.ca.gov/be/pn/im/documents/memo-asb-adad-jun17item03.doc" TargetMode="External"/><Relationship Id="rId45" Type="http://schemas.openxmlformats.org/officeDocument/2006/relationships/hyperlink" Target="https://www.cde.ca.gov/be/pn/im/documents/memo-pptb-amard-apr19item02.docx" TargetMode="External"/><Relationship Id="rId53" Type="http://schemas.openxmlformats.org/officeDocument/2006/relationships/hyperlink" Target="https://www.cde.ca.gov/be/ag/ag/yr21/documents/may21item03.docx" TargetMode="External"/><Relationship Id="rId58" Type="http://schemas.openxmlformats.org/officeDocument/2006/relationships/hyperlink" Target="https://www.cde.ca.gov/be/ag/ag/yr22/documents/jul22item02.docx" TargetMode="External"/><Relationship Id="rId66" Type="http://schemas.openxmlformats.org/officeDocument/2006/relationships/hyperlink" Target="https://www.cde.ca.gov/be/pn/im/documents/jun22memoamard01.docx" TargetMode="External"/><Relationship Id="rId74" Type="http://schemas.openxmlformats.org/officeDocument/2006/relationships/hyperlink" Target="about:blank" TargetMode="External"/><Relationship Id="rId79" Type="http://schemas.openxmlformats.org/officeDocument/2006/relationships/hyperlink" Target="about:blank" TargetMode="External"/><Relationship Id="rId87" Type="http://schemas.openxmlformats.org/officeDocument/2006/relationships/header" Target="header4.xml"/><Relationship Id="rId5" Type="http://schemas.openxmlformats.org/officeDocument/2006/relationships/numbering" Target="numbering.xml"/><Relationship Id="rId61" Type="http://schemas.openxmlformats.org/officeDocument/2006/relationships/hyperlink" Target="https://www.cde.ca.gov/be/ag/ag/yr24/documents/mar24item02.docx" TargetMode="External"/><Relationship Id="rId82" Type="http://schemas.openxmlformats.org/officeDocument/2006/relationships/hyperlink" Target="about:blank" TargetMode="External"/><Relationship Id="rId90" Type="http://schemas.openxmlformats.org/officeDocument/2006/relationships/image" Target="cid:902ffb37-ac3f-4b95-aef5-ce0a25dd2da9" TargetMode="External"/><Relationship Id="rId95" Type="http://schemas.openxmlformats.org/officeDocument/2006/relationships/header" Target="header8.xml"/><Relationship Id="rId19" Type="http://schemas.openxmlformats.org/officeDocument/2006/relationships/hyperlink" Target="https://www.cde.ca.gov/be/ag/ag/yr22/documents/mar22item04.docx" TargetMode="External"/><Relationship Id="rId14" Type="http://schemas.openxmlformats.org/officeDocument/2006/relationships/footer" Target="footer2.xml"/><Relationship Id="rId22" Type="http://schemas.openxmlformats.org/officeDocument/2006/relationships/hyperlink" Target="https://www.cde.ca.gov/be/ag/ag/yr16/documents/may16item02.doc" TargetMode="External"/><Relationship Id="rId27" Type="http://schemas.openxmlformats.org/officeDocument/2006/relationships/hyperlink" Target="https://www.cde.ca.gov/be/ag/ag/yr17/documents/jan17item02.doc" TargetMode="External"/><Relationship Id="rId30" Type="http://schemas.openxmlformats.org/officeDocument/2006/relationships/hyperlink" Target="https://www.cde.ca.gov/be/pn/im/documents/memo-dsib-amard-apr17item01.doc" TargetMode="External"/><Relationship Id="rId35" Type="http://schemas.openxmlformats.org/officeDocument/2006/relationships/hyperlink" Target="https://www.cde.ca.gov/be/pn/im/documents/dec23memoamard01.docx" TargetMode="External"/><Relationship Id="rId43" Type="http://schemas.openxmlformats.org/officeDocument/2006/relationships/hyperlink" Target="https://www.cde.ca.gov/be/ag/ag/yr18/documents/jul18item01.docx" TargetMode="External"/><Relationship Id="rId48" Type="http://schemas.openxmlformats.org/officeDocument/2006/relationships/hyperlink" Target="https://www.cde.ca.gov/be/pn/im/documents/memo-imb-amard-june20item01.docx" TargetMode="External"/><Relationship Id="rId56" Type="http://schemas.openxmlformats.org/officeDocument/2006/relationships/hyperlink" Target="https://www.cde.ca.gov/be/pn/im/infomemofeb2022.asp" TargetMode="External"/><Relationship Id="rId64" Type="http://schemas.openxmlformats.org/officeDocument/2006/relationships/hyperlink" Target="https://www.cde.ca.gov/be/ag/ag/yr20/documents/sep20item02.docx" TargetMode="External"/><Relationship Id="rId69" Type="http://schemas.openxmlformats.org/officeDocument/2006/relationships/hyperlink" Target="https://www.cde.ca.gov/be/ag/ag/yr23/documents/nov23item08.docx" TargetMode="External"/><Relationship Id="rId77" Type="http://schemas.openxmlformats.org/officeDocument/2006/relationships/hyperlink" Target="about:blank" TargetMode="External"/><Relationship Id="rId8" Type="http://schemas.openxmlformats.org/officeDocument/2006/relationships/webSettings" Target="webSettings.xml"/><Relationship Id="rId51" Type="http://schemas.openxmlformats.org/officeDocument/2006/relationships/hyperlink" Target="https://www.cde.ca.gov/be/ag/ag/yr20/documents/nov20item06.docx" TargetMode="External"/><Relationship Id="rId72" Type="http://schemas.openxmlformats.org/officeDocument/2006/relationships/hyperlink" Target="about:blank" TargetMode="External"/><Relationship Id="rId80" Type="http://schemas.openxmlformats.org/officeDocument/2006/relationships/hyperlink" Target="about:blank" TargetMode="External"/><Relationship Id="rId85" Type="http://schemas.openxmlformats.org/officeDocument/2006/relationships/hyperlink" Target="https://www.cde.ca.gov/be/ag/ag/yr24/documents/mar24item02.docx" TargetMode="External"/><Relationship Id="rId93" Type="http://schemas.openxmlformats.org/officeDocument/2006/relationships/header" Target="header6.xml"/><Relationship Id="rId98"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cde.ca.gov/be/ag/ag/yr16/documents/may16item02.doc" TargetMode="External"/><Relationship Id="rId25" Type="http://schemas.openxmlformats.org/officeDocument/2006/relationships/hyperlink" Target="https://www.cde.ca.gov/be/pn/im/documents/memo-dsib-amard-oct16item02.doc" TargetMode="External"/><Relationship Id="rId33" Type="http://schemas.openxmlformats.org/officeDocument/2006/relationships/hyperlink" Target="https://www.cde.ca.gov/be/ag/ag/yr19/documents/jul19item01.docx" TargetMode="External"/><Relationship Id="rId38" Type="http://schemas.openxmlformats.org/officeDocument/2006/relationships/hyperlink" Target="https://www.cde.ca.gov/be/pn/im/documents/memo-dsib-amard-feb16item01.doc" TargetMode="External"/><Relationship Id="rId46" Type="http://schemas.openxmlformats.org/officeDocument/2006/relationships/hyperlink" Target="https://www.cde.ca.gov/be/pn/im/documents/nov19memoamard01.docx" TargetMode="External"/><Relationship Id="rId59" Type="http://schemas.openxmlformats.org/officeDocument/2006/relationships/hyperlink" Target="https://www.cde.ca.gov/be/ag/ag/yr23/documents/sep23item08.docx" TargetMode="External"/><Relationship Id="rId67" Type="http://schemas.openxmlformats.org/officeDocument/2006/relationships/hyperlink" Target="https://www.cde.ca.gov/be/pn/im/documents/jun22memoamard01.docx" TargetMode="External"/><Relationship Id="rId20" Type="http://schemas.openxmlformats.org/officeDocument/2006/relationships/hyperlink" Target="https://www.cde.ca.gov/be/ag/ag/yr23/documents/mar23item03.docx" TargetMode="External"/><Relationship Id="rId41" Type="http://schemas.openxmlformats.org/officeDocument/2006/relationships/hyperlink" Target="https://www.cde.ca.gov/be/pn/im/documents/memo-pptb-amard-feb18item01.docx" TargetMode="External"/><Relationship Id="rId54" Type="http://schemas.openxmlformats.org/officeDocument/2006/relationships/hyperlink" Target="https://www.cde.ca.gov/be/pn/im/documents/oct21memoamard01.docx" TargetMode="External"/><Relationship Id="rId62" Type="http://schemas.openxmlformats.org/officeDocument/2006/relationships/hyperlink" Target="https://www.cde.ca.gov/be/ag/ag/yr19/documents/nov19item05rev.docx" TargetMode="External"/><Relationship Id="rId70" Type="http://schemas.openxmlformats.org/officeDocument/2006/relationships/hyperlink" Target="https://www.cde.ca.gov/be/ag/ag/yr23/documents/mar23item03.docx" TargetMode="External"/><Relationship Id="rId75" Type="http://schemas.openxmlformats.org/officeDocument/2006/relationships/hyperlink" Target="about:blank" TargetMode="External"/><Relationship Id="rId83" Type="http://schemas.openxmlformats.org/officeDocument/2006/relationships/hyperlink" Target="https://www.cde.ca.gov/be/pn/im/documents/feb23memoamard01revb.docx" TargetMode="External"/><Relationship Id="rId88" Type="http://schemas.openxmlformats.org/officeDocument/2006/relationships/footer" Target="footer4.xml"/><Relationship Id="rId91" Type="http://schemas.openxmlformats.org/officeDocument/2006/relationships/image" Target="media/image3.jpg"/><Relationship Id="rId9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2.xml"/><Relationship Id="rId23" Type="http://schemas.openxmlformats.org/officeDocument/2006/relationships/hyperlink" Target="https://www.cde.ca.gov/be/pn/im/documents/memo-sbe-jun16item01.doc" TargetMode="External"/><Relationship Id="rId28" Type="http://schemas.openxmlformats.org/officeDocument/2006/relationships/hyperlink" Target="https://www.cde.ca.gov/be/ag/ag/yr17/documents/mar17item02.doc" TargetMode="External"/><Relationship Id="rId36" Type="http://schemas.openxmlformats.org/officeDocument/2006/relationships/hyperlink" Target="https://www.cde.ca.gov/be/ag/ag/yr24/documents/mar24item02.docx" TargetMode="External"/><Relationship Id="rId49" Type="http://schemas.openxmlformats.org/officeDocument/2006/relationships/hyperlink" Target="https://www.cde.ca.gov/be/ag/ag/yr20/documents/jul20item02.docx" TargetMode="External"/><Relationship Id="rId57" Type="http://schemas.openxmlformats.org/officeDocument/2006/relationships/hyperlink" Target="https://www.cde.ca.gov/be/ag/ag/yr22/documents/mar22item04.docx" TargetMode="External"/><Relationship Id="rId10" Type="http://schemas.openxmlformats.org/officeDocument/2006/relationships/endnotes" Target="endnotes.xml"/><Relationship Id="rId31" Type="http://schemas.openxmlformats.org/officeDocument/2006/relationships/hyperlink" Target="https://www.cde.ca.gov/be/ag/ag/yr18/documents/apr18item01.docx" TargetMode="External"/><Relationship Id="rId44" Type="http://schemas.openxmlformats.org/officeDocument/2006/relationships/hyperlink" Target="https://www.cde.ca.gov/be/pn/im/documents/memo-pptb-amard-feb19item03.docx" TargetMode="External"/><Relationship Id="rId52" Type="http://schemas.openxmlformats.org/officeDocument/2006/relationships/hyperlink" Target="https://www.cde.ca.gov/be/pn/im/documents/feb21memoamard02.docx" TargetMode="External"/><Relationship Id="rId60" Type="http://schemas.openxmlformats.org/officeDocument/2006/relationships/hyperlink" Target="https://www.cde.ca.gov/be/ag/ag/yr23/documents/mar23item03.docx" TargetMode="External"/><Relationship Id="rId65" Type="http://schemas.openxmlformats.org/officeDocument/2006/relationships/hyperlink" Target="https://www.cde.ca.gov/be/ag/ag/yr21/documents/nov21item06.docx" TargetMode="External"/><Relationship Id="rId73" Type="http://schemas.openxmlformats.org/officeDocument/2006/relationships/hyperlink" Target="about:blank" TargetMode="External"/><Relationship Id="rId78" Type="http://schemas.openxmlformats.org/officeDocument/2006/relationships/hyperlink" Target="about:blank" TargetMode="External"/><Relationship Id="rId81" Type="http://schemas.openxmlformats.org/officeDocument/2006/relationships/hyperlink" Target="about:blank" TargetMode="External"/><Relationship Id="rId86" Type="http://schemas.openxmlformats.org/officeDocument/2006/relationships/header" Target="header3.xml"/><Relationship Id="rId94" Type="http://schemas.openxmlformats.org/officeDocument/2006/relationships/header" Target="header7.xml"/><Relationship Id="rId9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https://www.cde.ca.gov/be/ag/ag/yr20/documents/mar20item05.docx" TargetMode="External"/><Relationship Id="rId39" Type="http://schemas.openxmlformats.org/officeDocument/2006/relationships/hyperlink" Target="https://www.cde.ca.gov/be/ag/ag/yr17/documents/jan17item02.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8" ma:contentTypeDescription="Create a new document." ma:contentTypeScope="" ma:versionID="1e3c5d7525aa971930f6badcfb187731">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7aad772148af37a31026e1a08ab74d9e"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 (1).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1aae30ff-d7bc-47e3-882e-cd3423d00d62">
      <UserInfo>
        <DisplayName>Sara Pietrowski</DisplayName>
        <AccountId>54</AccountId>
        <AccountType/>
      </UserInfo>
      <UserInfo>
        <DisplayName>Cindy Kazanis</DisplayName>
        <AccountId>13</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386840-6F3C-4A4E-A3D4-6E2A4F3851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6EB1BB-FC5D-430F-8A08-A8F117CC4C06}">
  <ds:schemaRefs>
    <ds:schemaRef ds:uri="http://schemas.openxmlformats.org/officeDocument/2006/bibliography"/>
  </ds:schemaRefs>
</ds:datastoreItem>
</file>

<file path=customXml/itemProps3.xml><?xml version="1.0" encoding="utf-8"?>
<ds:datastoreItem xmlns:ds="http://schemas.openxmlformats.org/officeDocument/2006/customXml" ds:itemID="{298D0908-4DA1-41E7-9482-81FC5422800C}">
  <ds:schemaRefs>
    <ds:schemaRef ds:uri="http://schemas.microsoft.com/office/2006/metadata/properties"/>
    <ds:schemaRef ds:uri="http://schemas.microsoft.com/office/infopath/2007/PartnerControls"/>
    <ds:schemaRef ds:uri="1aae30ff-d7bc-47e3-882e-cd3423d00d62"/>
  </ds:schemaRefs>
</ds:datastoreItem>
</file>

<file path=customXml/itemProps4.xml><?xml version="1.0" encoding="utf-8"?>
<ds:datastoreItem xmlns:ds="http://schemas.openxmlformats.org/officeDocument/2006/customXml" ds:itemID="{F83163DB-21C3-4211-8DDE-31D62F1622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28</Pages>
  <Words>9277</Words>
  <Characters>52885</Characters>
  <DocSecurity>0</DocSecurity>
  <Lines>440</Lines>
  <Paragraphs>124</Paragraphs>
  <ScaleCrop>false</ScaleCrop>
  <HeadingPairs>
    <vt:vector size="2" baseType="variant">
      <vt:variant>
        <vt:lpstr>Title</vt:lpstr>
      </vt:variant>
      <vt:variant>
        <vt:i4>1</vt:i4>
      </vt:variant>
    </vt:vector>
  </HeadingPairs>
  <TitlesOfParts>
    <vt:vector size="1" baseType="lpstr">
      <vt:lpstr>March 2024 Agenda Item 02 - Meeting Agendas (CA State Board of Education)</vt:lpstr>
    </vt:vector>
  </TitlesOfParts>
  <Company>California State Board of Education</Company>
  <LinksUpToDate>false</LinksUpToDate>
  <CharactersWithSpaces>62038</CharactersWithSpaces>
  <SharedDoc>false</SharedDoc>
  <HLinks>
    <vt:vector size="414" baseType="variant">
      <vt:variant>
        <vt:i4>2097257</vt:i4>
      </vt:variant>
      <vt:variant>
        <vt:i4>204</vt:i4>
      </vt:variant>
      <vt:variant>
        <vt:i4>0</vt:i4>
      </vt:variant>
      <vt:variant>
        <vt:i4>5</vt:i4>
      </vt:variant>
      <vt:variant>
        <vt:lpwstr>https://www.cde.ca.gov/be/ag/ag/yr24/documents/mar24item02.docx</vt:lpwstr>
      </vt:variant>
      <vt:variant>
        <vt:lpwstr/>
      </vt:variant>
      <vt:variant>
        <vt:i4>3539053</vt:i4>
      </vt:variant>
      <vt:variant>
        <vt:i4>201</vt:i4>
      </vt:variant>
      <vt:variant>
        <vt:i4>0</vt:i4>
      </vt:variant>
      <vt:variant>
        <vt:i4>5</vt:i4>
      </vt:variant>
      <vt:variant>
        <vt:lpwstr>https://www.cde.ca.gov/be/ag/ag/yr23/documents/sep23item08.docx</vt:lpwstr>
      </vt:variant>
      <vt:variant>
        <vt:lpwstr/>
      </vt:variant>
      <vt:variant>
        <vt:i4>3211324</vt:i4>
      </vt:variant>
      <vt:variant>
        <vt:i4>198</vt:i4>
      </vt:variant>
      <vt:variant>
        <vt:i4>0</vt:i4>
      </vt:variant>
      <vt:variant>
        <vt:i4>5</vt:i4>
      </vt:variant>
      <vt:variant>
        <vt:lpwstr>https://www.cde.ca.gov/be/pn/im/documents/feb23memoamard01revb.docx</vt:lpwstr>
      </vt:variant>
      <vt:variant>
        <vt:lpwstr/>
      </vt:variant>
      <vt:variant>
        <vt:i4>3080313</vt:i4>
      </vt:variant>
      <vt:variant>
        <vt:i4>195</vt:i4>
      </vt:variant>
      <vt:variant>
        <vt:i4>0</vt:i4>
      </vt:variant>
      <vt:variant>
        <vt:i4>5</vt:i4>
      </vt:variant>
      <vt:variant>
        <vt:lpwstr>about:blank</vt:lpwstr>
      </vt:variant>
      <vt:variant>
        <vt:lpwstr/>
      </vt:variant>
      <vt:variant>
        <vt:i4>3080313</vt:i4>
      </vt:variant>
      <vt:variant>
        <vt:i4>192</vt:i4>
      </vt:variant>
      <vt:variant>
        <vt:i4>0</vt:i4>
      </vt:variant>
      <vt:variant>
        <vt:i4>5</vt:i4>
      </vt:variant>
      <vt:variant>
        <vt:lpwstr>about:blank</vt:lpwstr>
      </vt:variant>
      <vt:variant>
        <vt:lpwstr/>
      </vt:variant>
      <vt:variant>
        <vt:i4>3080313</vt:i4>
      </vt:variant>
      <vt:variant>
        <vt:i4>189</vt:i4>
      </vt:variant>
      <vt:variant>
        <vt:i4>0</vt:i4>
      </vt:variant>
      <vt:variant>
        <vt:i4>5</vt:i4>
      </vt:variant>
      <vt:variant>
        <vt:lpwstr>about:blank</vt:lpwstr>
      </vt:variant>
      <vt:variant>
        <vt:lpwstr/>
      </vt:variant>
      <vt:variant>
        <vt:i4>3080313</vt:i4>
      </vt:variant>
      <vt:variant>
        <vt:i4>186</vt:i4>
      </vt:variant>
      <vt:variant>
        <vt:i4>0</vt:i4>
      </vt:variant>
      <vt:variant>
        <vt:i4>5</vt:i4>
      </vt:variant>
      <vt:variant>
        <vt:lpwstr>about:blank</vt:lpwstr>
      </vt:variant>
      <vt:variant>
        <vt:lpwstr/>
      </vt:variant>
      <vt:variant>
        <vt:i4>3080313</vt:i4>
      </vt:variant>
      <vt:variant>
        <vt:i4>183</vt:i4>
      </vt:variant>
      <vt:variant>
        <vt:i4>0</vt:i4>
      </vt:variant>
      <vt:variant>
        <vt:i4>5</vt:i4>
      </vt:variant>
      <vt:variant>
        <vt:lpwstr>about:blank</vt:lpwstr>
      </vt:variant>
      <vt:variant>
        <vt:lpwstr/>
      </vt:variant>
      <vt:variant>
        <vt:i4>3080313</vt:i4>
      </vt:variant>
      <vt:variant>
        <vt:i4>180</vt:i4>
      </vt:variant>
      <vt:variant>
        <vt:i4>0</vt:i4>
      </vt:variant>
      <vt:variant>
        <vt:i4>5</vt:i4>
      </vt:variant>
      <vt:variant>
        <vt:lpwstr>about:blank</vt:lpwstr>
      </vt:variant>
      <vt:variant>
        <vt:lpwstr/>
      </vt:variant>
      <vt:variant>
        <vt:i4>3080313</vt:i4>
      </vt:variant>
      <vt:variant>
        <vt:i4>177</vt:i4>
      </vt:variant>
      <vt:variant>
        <vt:i4>0</vt:i4>
      </vt:variant>
      <vt:variant>
        <vt:i4>5</vt:i4>
      </vt:variant>
      <vt:variant>
        <vt:lpwstr>about:blank</vt:lpwstr>
      </vt:variant>
      <vt:variant>
        <vt:lpwstr/>
      </vt:variant>
      <vt:variant>
        <vt:i4>3080313</vt:i4>
      </vt:variant>
      <vt:variant>
        <vt:i4>174</vt:i4>
      </vt:variant>
      <vt:variant>
        <vt:i4>0</vt:i4>
      </vt:variant>
      <vt:variant>
        <vt:i4>5</vt:i4>
      </vt:variant>
      <vt:variant>
        <vt:lpwstr>about:blank</vt:lpwstr>
      </vt:variant>
      <vt:variant>
        <vt:lpwstr/>
      </vt:variant>
      <vt:variant>
        <vt:i4>3080313</vt:i4>
      </vt:variant>
      <vt:variant>
        <vt:i4>171</vt:i4>
      </vt:variant>
      <vt:variant>
        <vt:i4>0</vt:i4>
      </vt:variant>
      <vt:variant>
        <vt:i4>5</vt:i4>
      </vt:variant>
      <vt:variant>
        <vt:lpwstr>about:blank</vt:lpwstr>
      </vt:variant>
      <vt:variant>
        <vt:lpwstr/>
      </vt:variant>
      <vt:variant>
        <vt:i4>3080313</vt:i4>
      </vt:variant>
      <vt:variant>
        <vt:i4>168</vt:i4>
      </vt:variant>
      <vt:variant>
        <vt:i4>0</vt:i4>
      </vt:variant>
      <vt:variant>
        <vt:i4>5</vt:i4>
      </vt:variant>
      <vt:variant>
        <vt:lpwstr>about:blank</vt:lpwstr>
      </vt:variant>
      <vt:variant>
        <vt:lpwstr/>
      </vt:variant>
      <vt:variant>
        <vt:i4>3080313</vt:i4>
      </vt:variant>
      <vt:variant>
        <vt:i4>165</vt:i4>
      </vt:variant>
      <vt:variant>
        <vt:i4>0</vt:i4>
      </vt:variant>
      <vt:variant>
        <vt:i4>5</vt:i4>
      </vt:variant>
      <vt:variant>
        <vt:lpwstr>about:blank</vt:lpwstr>
      </vt:variant>
      <vt:variant>
        <vt:lpwstr/>
      </vt:variant>
      <vt:variant>
        <vt:i4>2097257</vt:i4>
      </vt:variant>
      <vt:variant>
        <vt:i4>162</vt:i4>
      </vt:variant>
      <vt:variant>
        <vt:i4>0</vt:i4>
      </vt:variant>
      <vt:variant>
        <vt:i4>5</vt:i4>
      </vt:variant>
      <vt:variant>
        <vt:lpwstr>https://www.cde.ca.gov/be/ag/ag/yr24/documents/mar24item02.docx</vt:lpwstr>
      </vt:variant>
      <vt:variant>
        <vt:lpwstr/>
      </vt:variant>
      <vt:variant>
        <vt:i4>2162793</vt:i4>
      </vt:variant>
      <vt:variant>
        <vt:i4>159</vt:i4>
      </vt:variant>
      <vt:variant>
        <vt:i4>0</vt:i4>
      </vt:variant>
      <vt:variant>
        <vt:i4>5</vt:i4>
      </vt:variant>
      <vt:variant>
        <vt:lpwstr>https://www.cde.ca.gov/be/ag/ag/yr23/documents/mar23item03.docx</vt:lpwstr>
      </vt:variant>
      <vt:variant>
        <vt:lpwstr/>
      </vt:variant>
      <vt:variant>
        <vt:i4>2949223</vt:i4>
      </vt:variant>
      <vt:variant>
        <vt:i4>156</vt:i4>
      </vt:variant>
      <vt:variant>
        <vt:i4>0</vt:i4>
      </vt:variant>
      <vt:variant>
        <vt:i4>5</vt:i4>
      </vt:variant>
      <vt:variant>
        <vt:lpwstr>https://www.cde.ca.gov/be/ag/ag/yr23/documents/nov23item08.docx</vt:lpwstr>
      </vt:variant>
      <vt:variant>
        <vt:lpwstr/>
      </vt:variant>
      <vt:variant>
        <vt:i4>6750255</vt:i4>
      </vt:variant>
      <vt:variant>
        <vt:i4>153</vt:i4>
      </vt:variant>
      <vt:variant>
        <vt:i4>0</vt:i4>
      </vt:variant>
      <vt:variant>
        <vt:i4>5</vt:i4>
      </vt:variant>
      <vt:variant>
        <vt:lpwstr>https://www.cde.ca.gov/be/ag/ag/yr22/documents/sep22item02rev.docx</vt:lpwstr>
      </vt:variant>
      <vt:variant>
        <vt:lpwstr/>
      </vt:variant>
      <vt:variant>
        <vt:i4>2490425</vt:i4>
      </vt:variant>
      <vt:variant>
        <vt:i4>150</vt:i4>
      </vt:variant>
      <vt:variant>
        <vt:i4>0</vt:i4>
      </vt:variant>
      <vt:variant>
        <vt:i4>5</vt:i4>
      </vt:variant>
      <vt:variant>
        <vt:lpwstr>https://www.cde.ca.gov/be/pn/im/documents/jun22memoamard01.docx</vt:lpwstr>
      </vt:variant>
      <vt:variant>
        <vt:lpwstr/>
      </vt:variant>
      <vt:variant>
        <vt:i4>2490425</vt:i4>
      </vt:variant>
      <vt:variant>
        <vt:i4>147</vt:i4>
      </vt:variant>
      <vt:variant>
        <vt:i4>0</vt:i4>
      </vt:variant>
      <vt:variant>
        <vt:i4>5</vt:i4>
      </vt:variant>
      <vt:variant>
        <vt:lpwstr>https://www.cde.ca.gov/be/pn/im/documents/jun22memoamard01.docx</vt:lpwstr>
      </vt:variant>
      <vt:variant>
        <vt:lpwstr/>
      </vt:variant>
      <vt:variant>
        <vt:i4>2293863</vt:i4>
      </vt:variant>
      <vt:variant>
        <vt:i4>144</vt:i4>
      </vt:variant>
      <vt:variant>
        <vt:i4>0</vt:i4>
      </vt:variant>
      <vt:variant>
        <vt:i4>5</vt:i4>
      </vt:variant>
      <vt:variant>
        <vt:lpwstr>https://www.cde.ca.gov/be/ag/ag/yr21/documents/nov21item06.docx</vt:lpwstr>
      </vt:variant>
      <vt:variant>
        <vt:lpwstr/>
      </vt:variant>
      <vt:variant>
        <vt:i4>3932269</vt:i4>
      </vt:variant>
      <vt:variant>
        <vt:i4>141</vt:i4>
      </vt:variant>
      <vt:variant>
        <vt:i4>0</vt:i4>
      </vt:variant>
      <vt:variant>
        <vt:i4>5</vt:i4>
      </vt:variant>
      <vt:variant>
        <vt:lpwstr>https://www.cde.ca.gov/be/ag/ag/yr20/documents/sep20item02.docx</vt:lpwstr>
      </vt:variant>
      <vt:variant>
        <vt:lpwstr/>
      </vt:variant>
      <vt:variant>
        <vt:i4>2490419</vt:i4>
      </vt:variant>
      <vt:variant>
        <vt:i4>138</vt:i4>
      </vt:variant>
      <vt:variant>
        <vt:i4>0</vt:i4>
      </vt:variant>
      <vt:variant>
        <vt:i4>5</vt:i4>
      </vt:variant>
      <vt:variant>
        <vt:lpwstr>https://www.cde.ca.gov/be/pn/im/documents/aug20amard01.docx</vt:lpwstr>
      </vt:variant>
      <vt:variant>
        <vt:lpwstr/>
      </vt:variant>
      <vt:variant>
        <vt:i4>8060965</vt:i4>
      </vt:variant>
      <vt:variant>
        <vt:i4>135</vt:i4>
      </vt:variant>
      <vt:variant>
        <vt:i4>0</vt:i4>
      </vt:variant>
      <vt:variant>
        <vt:i4>5</vt:i4>
      </vt:variant>
      <vt:variant>
        <vt:lpwstr>https://www.cde.ca.gov/be/ag/ag/yr19/documents/nov19item05rev.docx</vt:lpwstr>
      </vt:variant>
      <vt:variant>
        <vt:lpwstr/>
      </vt:variant>
      <vt:variant>
        <vt:i4>2097257</vt:i4>
      </vt:variant>
      <vt:variant>
        <vt:i4>132</vt:i4>
      </vt:variant>
      <vt:variant>
        <vt:i4>0</vt:i4>
      </vt:variant>
      <vt:variant>
        <vt:i4>5</vt:i4>
      </vt:variant>
      <vt:variant>
        <vt:lpwstr>https://www.cde.ca.gov/be/ag/ag/yr24/documents/mar24item02.docx</vt:lpwstr>
      </vt:variant>
      <vt:variant>
        <vt:lpwstr/>
      </vt:variant>
      <vt:variant>
        <vt:i4>2162793</vt:i4>
      </vt:variant>
      <vt:variant>
        <vt:i4>129</vt:i4>
      </vt:variant>
      <vt:variant>
        <vt:i4>0</vt:i4>
      </vt:variant>
      <vt:variant>
        <vt:i4>5</vt:i4>
      </vt:variant>
      <vt:variant>
        <vt:lpwstr>https://www.cde.ca.gov/be/ag/ag/yr23/documents/mar23item03.docx</vt:lpwstr>
      </vt:variant>
      <vt:variant>
        <vt:lpwstr/>
      </vt:variant>
      <vt:variant>
        <vt:i4>3539053</vt:i4>
      </vt:variant>
      <vt:variant>
        <vt:i4>126</vt:i4>
      </vt:variant>
      <vt:variant>
        <vt:i4>0</vt:i4>
      </vt:variant>
      <vt:variant>
        <vt:i4>5</vt:i4>
      </vt:variant>
      <vt:variant>
        <vt:lpwstr>https://www.cde.ca.gov/be/ag/ag/yr23/documents/sep23item08.docx</vt:lpwstr>
      </vt:variant>
      <vt:variant>
        <vt:lpwstr/>
      </vt:variant>
      <vt:variant>
        <vt:i4>3735677</vt:i4>
      </vt:variant>
      <vt:variant>
        <vt:i4>123</vt:i4>
      </vt:variant>
      <vt:variant>
        <vt:i4>0</vt:i4>
      </vt:variant>
      <vt:variant>
        <vt:i4>5</vt:i4>
      </vt:variant>
      <vt:variant>
        <vt:lpwstr>https://www.cde.ca.gov/be/ag/ag/yr22/documents/jul22item02.docx</vt:lpwstr>
      </vt:variant>
      <vt:variant>
        <vt:lpwstr/>
      </vt:variant>
      <vt:variant>
        <vt:i4>2490473</vt:i4>
      </vt:variant>
      <vt:variant>
        <vt:i4>120</vt:i4>
      </vt:variant>
      <vt:variant>
        <vt:i4>0</vt:i4>
      </vt:variant>
      <vt:variant>
        <vt:i4>5</vt:i4>
      </vt:variant>
      <vt:variant>
        <vt:lpwstr>https://www.cde.ca.gov/be/ag/ag/yr22/documents/mar22item04.docx</vt:lpwstr>
      </vt:variant>
      <vt:variant>
        <vt:lpwstr/>
      </vt:variant>
      <vt:variant>
        <vt:i4>2359412</vt:i4>
      </vt:variant>
      <vt:variant>
        <vt:i4>117</vt:i4>
      </vt:variant>
      <vt:variant>
        <vt:i4>0</vt:i4>
      </vt:variant>
      <vt:variant>
        <vt:i4>5</vt:i4>
      </vt:variant>
      <vt:variant>
        <vt:lpwstr>https://www.cde.ca.gov/be/pn/im/infomemofeb2022.asp</vt:lpwstr>
      </vt:variant>
      <vt:variant>
        <vt:lpwstr/>
      </vt:variant>
      <vt:variant>
        <vt:i4>3539001</vt:i4>
      </vt:variant>
      <vt:variant>
        <vt:i4>114</vt:i4>
      </vt:variant>
      <vt:variant>
        <vt:i4>0</vt:i4>
      </vt:variant>
      <vt:variant>
        <vt:i4>5</vt:i4>
      </vt:variant>
      <vt:variant>
        <vt:lpwstr>https://www.cde.ca.gov/be/pn/im/documents/dec21memoamard01.docx</vt:lpwstr>
      </vt:variant>
      <vt:variant>
        <vt:lpwstr/>
      </vt:variant>
      <vt:variant>
        <vt:i4>3145765</vt:i4>
      </vt:variant>
      <vt:variant>
        <vt:i4>111</vt:i4>
      </vt:variant>
      <vt:variant>
        <vt:i4>0</vt:i4>
      </vt:variant>
      <vt:variant>
        <vt:i4>5</vt:i4>
      </vt:variant>
      <vt:variant>
        <vt:lpwstr>https://www.cde.ca.gov/be/pn/im/documents/oct21memoamard01.docx</vt:lpwstr>
      </vt:variant>
      <vt:variant>
        <vt:lpwstr/>
      </vt:variant>
      <vt:variant>
        <vt:i4>2752617</vt:i4>
      </vt:variant>
      <vt:variant>
        <vt:i4>108</vt:i4>
      </vt:variant>
      <vt:variant>
        <vt:i4>0</vt:i4>
      </vt:variant>
      <vt:variant>
        <vt:i4>5</vt:i4>
      </vt:variant>
      <vt:variant>
        <vt:lpwstr>https://www.cde.ca.gov/be/ag/ag/yr21/documents/may21item03.docx</vt:lpwstr>
      </vt:variant>
      <vt:variant>
        <vt:lpwstr/>
      </vt:variant>
      <vt:variant>
        <vt:i4>3473466</vt:i4>
      </vt:variant>
      <vt:variant>
        <vt:i4>105</vt:i4>
      </vt:variant>
      <vt:variant>
        <vt:i4>0</vt:i4>
      </vt:variant>
      <vt:variant>
        <vt:i4>5</vt:i4>
      </vt:variant>
      <vt:variant>
        <vt:lpwstr>https://www.cde.ca.gov/be/pn/im/documents/feb21memoamard02.docx</vt:lpwstr>
      </vt:variant>
      <vt:variant>
        <vt:lpwstr/>
      </vt:variant>
      <vt:variant>
        <vt:i4>2293863</vt:i4>
      </vt:variant>
      <vt:variant>
        <vt:i4>102</vt:i4>
      </vt:variant>
      <vt:variant>
        <vt:i4>0</vt:i4>
      </vt:variant>
      <vt:variant>
        <vt:i4>5</vt:i4>
      </vt:variant>
      <vt:variant>
        <vt:lpwstr>https://www.cde.ca.gov/be/ag/ag/yr20/documents/nov20item06.docx</vt:lpwstr>
      </vt:variant>
      <vt:variant>
        <vt:lpwstr/>
      </vt:variant>
      <vt:variant>
        <vt:i4>3932269</vt:i4>
      </vt:variant>
      <vt:variant>
        <vt:i4>99</vt:i4>
      </vt:variant>
      <vt:variant>
        <vt:i4>0</vt:i4>
      </vt:variant>
      <vt:variant>
        <vt:i4>5</vt:i4>
      </vt:variant>
      <vt:variant>
        <vt:lpwstr>https://www.cde.ca.gov/be/ag/ag/yr20/documents/sep20item02.docx</vt:lpwstr>
      </vt:variant>
      <vt:variant>
        <vt:lpwstr/>
      </vt:variant>
      <vt:variant>
        <vt:i4>3735677</vt:i4>
      </vt:variant>
      <vt:variant>
        <vt:i4>96</vt:i4>
      </vt:variant>
      <vt:variant>
        <vt:i4>0</vt:i4>
      </vt:variant>
      <vt:variant>
        <vt:i4>5</vt:i4>
      </vt:variant>
      <vt:variant>
        <vt:lpwstr>https://www.cde.ca.gov/be/ag/ag/yr20/documents/jul20item02.docx</vt:lpwstr>
      </vt:variant>
      <vt:variant>
        <vt:lpwstr/>
      </vt:variant>
      <vt:variant>
        <vt:i4>6619195</vt:i4>
      </vt:variant>
      <vt:variant>
        <vt:i4>93</vt:i4>
      </vt:variant>
      <vt:variant>
        <vt:i4>0</vt:i4>
      </vt:variant>
      <vt:variant>
        <vt:i4>5</vt:i4>
      </vt:variant>
      <vt:variant>
        <vt:lpwstr>https://www.cde.ca.gov/be/pn/im/documents/memo-imb-amard-june20item01.docx</vt:lpwstr>
      </vt:variant>
      <vt:variant>
        <vt:lpwstr/>
      </vt:variant>
      <vt:variant>
        <vt:i4>2556009</vt:i4>
      </vt:variant>
      <vt:variant>
        <vt:i4>90</vt:i4>
      </vt:variant>
      <vt:variant>
        <vt:i4>0</vt:i4>
      </vt:variant>
      <vt:variant>
        <vt:i4>5</vt:i4>
      </vt:variant>
      <vt:variant>
        <vt:lpwstr>https://www.cde.ca.gov/be/ag/ag/yr20/documents/mar20item05.docx</vt:lpwstr>
      </vt:variant>
      <vt:variant>
        <vt:lpwstr/>
      </vt:variant>
      <vt:variant>
        <vt:i4>4128814</vt:i4>
      </vt:variant>
      <vt:variant>
        <vt:i4>87</vt:i4>
      </vt:variant>
      <vt:variant>
        <vt:i4>0</vt:i4>
      </vt:variant>
      <vt:variant>
        <vt:i4>5</vt:i4>
      </vt:variant>
      <vt:variant>
        <vt:lpwstr>https://www.cde.ca.gov/be/pn/im/documents/nov19memoamard01.docx</vt:lpwstr>
      </vt:variant>
      <vt:variant>
        <vt:lpwstr/>
      </vt:variant>
      <vt:variant>
        <vt:i4>6684726</vt:i4>
      </vt:variant>
      <vt:variant>
        <vt:i4>84</vt:i4>
      </vt:variant>
      <vt:variant>
        <vt:i4>0</vt:i4>
      </vt:variant>
      <vt:variant>
        <vt:i4>5</vt:i4>
      </vt:variant>
      <vt:variant>
        <vt:lpwstr>https://www.cde.ca.gov/be/pn/im/documents/memo-pptb-amard-apr19item02.docx</vt:lpwstr>
      </vt:variant>
      <vt:variant>
        <vt:lpwstr/>
      </vt:variant>
      <vt:variant>
        <vt:i4>7536672</vt:i4>
      </vt:variant>
      <vt:variant>
        <vt:i4>81</vt:i4>
      </vt:variant>
      <vt:variant>
        <vt:i4>0</vt:i4>
      </vt:variant>
      <vt:variant>
        <vt:i4>5</vt:i4>
      </vt:variant>
      <vt:variant>
        <vt:lpwstr>https://www.cde.ca.gov/be/pn/im/documents/memo-pptb-amard-feb19item03.docx</vt:lpwstr>
      </vt:variant>
      <vt:variant>
        <vt:lpwstr/>
      </vt:variant>
      <vt:variant>
        <vt:i4>3801213</vt:i4>
      </vt:variant>
      <vt:variant>
        <vt:i4>78</vt:i4>
      </vt:variant>
      <vt:variant>
        <vt:i4>0</vt:i4>
      </vt:variant>
      <vt:variant>
        <vt:i4>5</vt:i4>
      </vt:variant>
      <vt:variant>
        <vt:lpwstr>https://www.cde.ca.gov/be/ag/ag/yr18/documents/jul18item01.docx</vt:lpwstr>
      </vt:variant>
      <vt:variant>
        <vt:lpwstr/>
      </vt:variant>
      <vt:variant>
        <vt:i4>2818153</vt:i4>
      </vt:variant>
      <vt:variant>
        <vt:i4>75</vt:i4>
      </vt:variant>
      <vt:variant>
        <vt:i4>0</vt:i4>
      </vt:variant>
      <vt:variant>
        <vt:i4>5</vt:i4>
      </vt:variant>
      <vt:variant>
        <vt:lpwstr>https://www.cde.ca.gov/be/ag/ag/yr18/documents/may18item02.docx</vt:lpwstr>
      </vt:variant>
      <vt:variant>
        <vt:lpwstr/>
      </vt:variant>
      <vt:variant>
        <vt:i4>7536675</vt:i4>
      </vt:variant>
      <vt:variant>
        <vt:i4>72</vt:i4>
      </vt:variant>
      <vt:variant>
        <vt:i4>0</vt:i4>
      </vt:variant>
      <vt:variant>
        <vt:i4>5</vt:i4>
      </vt:variant>
      <vt:variant>
        <vt:lpwstr>https://www.cde.ca.gov/be/pn/im/documents/memo-pptb-amard-feb18item01.docx</vt:lpwstr>
      </vt:variant>
      <vt:variant>
        <vt:lpwstr/>
      </vt:variant>
      <vt:variant>
        <vt:i4>3014757</vt:i4>
      </vt:variant>
      <vt:variant>
        <vt:i4>69</vt:i4>
      </vt:variant>
      <vt:variant>
        <vt:i4>0</vt:i4>
      </vt:variant>
      <vt:variant>
        <vt:i4>5</vt:i4>
      </vt:variant>
      <vt:variant>
        <vt:lpwstr>https://www.cde.ca.gov/be/pn/im/documents/memo-asb-adad-jun17item03.doc</vt:lpwstr>
      </vt:variant>
      <vt:variant>
        <vt:lpwstr/>
      </vt:variant>
      <vt:variant>
        <vt:i4>3866729</vt:i4>
      </vt:variant>
      <vt:variant>
        <vt:i4>66</vt:i4>
      </vt:variant>
      <vt:variant>
        <vt:i4>0</vt:i4>
      </vt:variant>
      <vt:variant>
        <vt:i4>5</vt:i4>
      </vt:variant>
      <vt:variant>
        <vt:lpwstr>https://www.cde.ca.gov/be/ag/ag/yr17/documents/jan17item02.doc</vt:lpwstr>
      </vt:variant>
      <vt:variant>
        <vt:lpwstr/>
      </vt:variant>
      <vt:variant>
        <vt:i4>131149</vt:i4>
      </vt:variant>
      <vt:variant>
        <vt:i4>63</vt:i4>
      </vt:variant>
      <vt:variant>
        <vt:i4>0</vt:i4>
      </vt:variant>
      <vt:variant>
        <vt:i4>5</vt:i4>
      </vt:variant>
      <vt:variant>
        <vt:lpwstr>https://www.cde.ca.gov/be/pn/im/documents/memo-dsib-amard-feb16item01.doc</vt:lpwstr>
      </vt:variant>
      <vt:variant>
        <vt:lpwstr/>
      </vt:variant>
      <vt:variant>
        <vt:i4>1179725</vt:i4>
      </vt:variant>
      <vt:variant>
        <vt:i4>60</vt:i4>
      </vt:variant>
      <vt:variant>
        <vt:i4>0</vt:i4>
      </vt:variant>
      <vt:variant>
        <vt:i4>5</vt:i4>
      </vt:variant>
      <vt:variant>
        <vt:lpwstr>https://www.cde.ca.gov/be/pn/im/documents/memo-dsib-amard-jun16item01.doc</vt:lpwstr>
      </vt:variant>
      <vt:variant>
        <vt:lpwstr/>
      </vt:variant>
      <vt:variant>
        <vt:i4>2097257</vt:i4>
      </vt:variant>
      <vt:variant>
        <vt:i4>57</vt:i4>
      </vt:variant>
      <vt:variant>
        <vt:i4>0</vt:i4>
      </vt:variant>
      <vt:variant>
        <vt:i4>5</vt:i4>
      </vt:variant>
      <vt:variant>
        <vt:lpwstr>https://www.cde.ca.gov/be/ag/ag/yr24/documents/mar24item02.docx</vt:lpwstr>
      </vt:variant>
      <vt:variant>
        <vt:lpwstr/>
      </vt:variant>
      <vt:variant>
        <vt:i4>3539003</vt:i4>
      </vt:variant>
      <vt:variant>
        <vt:i4>54</vt:i4>
      </vt:variant>
      <vt:variant>
        <vt:i4>0</vt:i4>
      </vt:variant>
      <vt:variant>
        <vt:i4>5</vt:i4>
      </vt:variant>
      <vt:variant>
        <vt:lpwstr>https://www.cde.ca.gov/be/pn/im/documents/dec23memoamard01.docx</vt:lpwstr>
      </vt:variant>
      <vt:variant>
        <vt:lpwstr/>
      </vt:variant>
      <vt:variant>
        <vt:i4>3932269</vt:i4>
      </vt:variant>
      <vt:variant>
        <vt:i4>51</vt:i4>
      </vt:variant>
      <vt:variant>
        <vt:i4>0</vt:i4>
      </vt:variant>
      <vt:variant>
        <vt:i4>5</vt:i4>
      </vt:variant>
      <vt:variant>
        <vt:lpwstr>https://www.cde.ca.gov/be/ag/ag/yr23/documents/sep23item02.docx</vt:lpwstr>
      </vt:variant>
      <vt:variant>
        <vt:lpwstr/>
      </vt:variant>
      <vt:variant>
        <vt:i4>3801213</vt:i4>
      </vt:variant>
      <vt:variant>
        <vt:i4>48</vt:i4>
      </vt:variant>
      <vt:variant>
        <vt:i4>0</vt:i4>
      </vt:variant>
      <vt:variant>
        <vt:i4>5</vt:i4>
      </vt:variant>
      <vt:variant>
        <vt:lpwstr>https://www.cde.ca.gov/be/ag/ag/yr19/documents/jul19item01.docx</vt:lpwstr>
      </vt:variant>
      <vt:variant>
        <vt:lpwstr/>
      </vt:variant>
      <vt:variant>
        <vt:i4>4128890</vt:i4>
      </vt:variant>
      <vt:variant>
        <vt:i4>45</vt:i4>
      </vt:variant>
      <vt:variant>
        <vt:i4>0</vt:i4>
      </vt:variant>
      <vt:variant>
        <vt:i4>5</vt:i4>
      </vt:variant>
      <vt:variant>
        <vt:lpwstr>https://www.cde.ca.gov/be/pn/im/documents/memo-gad-lao-apr19item02.docx</vt:lpwstr>
      </vt:variant>
      <vt:variant>
        <vt:lpwstr/>
      </vt:variant>
      <vt:variant>
        <vt:i4>3080312</vt:i4>
      </vt:variant>
      <vt:variant>
        <vt:i4>42</vt:i4>
      </vt:variant>
      <vt:variant>
        <vt:i4>0</vt:i4>
      </vt:variant>
      <vt:variant>
        <vt:i4>5</vt:i4>
      </vt:variant>
      <vt:variant>
        <vt:lpwstr>https://www.cde.ca.gov/be/ag/ag/yr18/documents/apr18item01.docx</vt:lpwstr>
      </vt:variant>
      <vt:variant>
        <vt:lpwstr/>
      </vt:variant>
      <vt:variant>
        <vt:i4>1507419</vt:i4>
      </vt:variant>
      <vt:variant>
        <vt:i4>39</vt:i4>
      </vt:variant>
      <vt:variant>
        <vt:i4>0</vt:i4>
      </vt:variant>
      <vt:variant>
        <vt:i4>5</vt:i4>
      </vt:variant>
      <vt:variant>
        <vt:lpwstr>https://www.cde.ca.gov/be/pn/im/documents/memo-dsib-amard-apr17item01.doc</vt:lpwstr>
      </vt:variant>
      <vt:variant>
        <vt:lpwstr/>
      </vt:variant>
      <vt:variant>
        <vt:i4>3932269</vt:i4>
      </vt:variant>
      <vt:variant>
        <vt:i4>36</vt:i4>
      </vt:variant>
      <vt:variant>
        <vt:i4>0</vt:i4>
      </vt:variant>
      <vt:variant>
        <vt:i4>5</vt:i4>
      </vt:variant>
      <vt:variant>
        <vt:lpwstr>https://www.cde.ca.gov/be/ag/ag/yr17/documents/sep17item02.doc</vt:lpwstr>
      </vt:variant>
      <vt:variant>
        <vt:lpwstr/>
      </vt:variant>
      <vt:variant>
        <vt:i4>2097257</vt:i4>
      </vt:variant>
      <vt:variant>
        <vt:i4>33</vt:i4>
      </vt:variant>
      <vt:variant>
        <vt:i4>0</vt:i4>
      </vt:variant>
      <vt:variant>
        <vt:i4>5</vt:i4>
      </vt:variant>
      <vt:variant>
        <vt:lpwstr>https://www.cde.ca.gov/be/ag/ag/yr17/documents/mar17item02.doc</vt:lpwstr>
      </vt:variant>
      <vt:variant>
        <vt:lpwstr/>
      </vt:variant>
      <vt:variant>
        <vt:i4>3866729</vt:i4>
      </vt:variant>
      <vt:variant>
        <vt:i4>30</vt:i4>
      </vt:variant>
      <vt:variant>
        <vt:i4>0</vt:i4>
      </vt:variant>
      <vt:variant>
        <vt:i4>5</vt:i4>
      </vt:variant>
      <vt:variant>
        <vt:lpwstr>https://www.cde.ca.gov/be/ag/ag/yr17/documents/jan17item02.doc</vt:lpwstr>
      </vt:variant>
      <vt:variant>
        <vt:lpwstr/>
      </vt:variant>
      <vt:variant>
        <vt:i4>2490471</vt:i4>
      </vt:variant>
      <vt:variant>
        <vt:i4>27</vt:i4>
      </vt:variant>
      <vt:variant>
        <vt:i4>0</vt:i4>
      </vt:variant>
      <vt:variant>
        <vt:i4>5</vt:i4>
      </vt:variant>
      <vt:variant>
        <vt:lpwstr>https://www.cde.ca.gov/be/ag/ag/yr16/documents/nov16item03.doc</vt:lpwstr>
      </vt:variant>
      <vt:variant>
        <vt:lpwstr/>
      </vt:variant>
      <vt:variant>
        <vt:i4>262225</vt:i4>
      </vt:variant>
      <vt:variant>
        <vt:i4>24</vt:i4>
      </vt:variant>
      <vt:variant>
        <vt:i4>0</vt:i4>
      </vt:variant>
      <vt:variant>
        <vt:i4>5</vt:i4>
      </vt:variant>
      <vt:variant>
        <vt:lpwstr>https://www.cde.ca.gov/be/pn/im/documents/memo-dsib-amard-oct16item02.doc</vt:lpwstr>
      </vt:variant>
      <vt:variant>
        <vt:lpwstr/>
      </vt:variant>
      <vt:variant>
        <vt:i4>1441858</vt:i4>
      </vt:variant>
      <vt:variant>
        <vt:i4>21</vt:i4>
      </vt:variant>
      <vt:variant>
        <vt:i4>0</vt:i4>
      </vt:variant>
      <vt:variant>
        <vt:i4>5</vt:i4>
      </vt:variant>
      <vt:variant>
        <vt:lpwstr>http://www.cde.ca.gov/be/ag/ag/yr16/documents/jul16item02.doc</vt:lpwstr>
      </vt:variant>
      <vt:variant>
        <vt:lpwstr/>
      </vt:variant>
      <vt:variant>
        <vt:i4>3276848</vt:i4>
      </vt:variant>
      <vt:variant>
        <vt:i4>18</vt:i4>
      </vt:variant>
      <vt:variant>
        <vt:i4>0</vt:i4>
      </vt:variant>
      <vt:variant>
        <vt:i4>5</vt:i4>
      </vt:variant>
      <vt:variant>
        <vt:lpwstr>https://www.cde.ca.gov/be/pn/im/documents/memo-sbe-jun16item01.doc</vt:lpwstr>
      </vt:variant>
      <vt:variant>
        <vt:lpwstr/>
      </vt:variant>
      <vt:variant>
        <vt:i4>2818153</vt:i4>
      </vt:variant>
      <vt:variant>
        <vt:i4>15</vt:i4>
      </vt:variant>
      <vt:variant>
        <vt:i4>0</vt:i4>
      </vt:variant>
      <vt:variant>
        <vt:i4>5</vt:i4>
      </vt:variant>
      <vt:variant>
        <vt:lpwstr>https://www.cde.ca.gov/be/ag/ag/yr16/documents/may16item02.doc</vt:lpwstr>
      </vt:variant>
      <vt:variant>
        <vt:lpwstr/>
      </vt:variant>
      <vt:variant>
        <vt:i4>2097257</vt:i4>
      </vt:variant>
      <vt:variant>
        <vt:i4>12</vt:i4>
      </vt:variant>
      <vt:variant>
        <vt:i4>0</vt:i4>
      </vt:variant>
      <vt:variant>
        <vt:i4>5</vt:i4>
      </vt:variant>
      <vt:variant>
        <vt:lpwstr>https://www.cde.ca.gov/be/ag/ag/yr24/documents/mar24item02.docx</vt:lpwstr>
      </vt:variant>
      <vt:variant>
        <vt:lpwstr/>
      </vt:variant>
      <vt:variant>
        <vt:i4>2162793</vt:i4>
      </vt:variant>
      <vt:variant>
        <vt:i4>9</vt:i4>
      </vt:variant>
      <vt:variant>
        <vt:i4>0</vt:i4>
      </vt:variant>
      <vt:variant>
        <vt:i4>5</vt:i4>
      </vt:variant>
      <vt:variant>
        <vt:lpwstr>https://www.cde.ca.gov/be/ag/ag/yr23/documents/mar23item03.docx</vt:lpwstr>
      </vt:variant>
      <vt:variant>
        <vt:lpwstr/>
      </vt:variant>
      <vt:variant>
        <vt:i4>2490473</vt:i4>
      </vt:variant>
      <vt:variant>
        <vt:i4>6</vt:i4>
      </vt:variant>
      <vt:variant>
        <vt:i4>0</vt:i4>
      </vt:variant>
      <vt:variant>
        <vt:i4>5</vt:i4>
      </vt:variant>
      <vt:variant>
        <vt:lpwstr>https://www.cde.ca.gov/be/ag/ag/yr22/documents/mar22item04.docx</vt:lpwstr>
      </vt:variant>
      <vt:variant>
        <vt:lpwstr/>
      </vt:variant>
      <vt:variant>
        <vt:i4>2556009</vt:i4>
      </vt:variant>
      <vt:variant>
        <vt:i4>3</vt:i4>
      </vt:variant>
      <vt:variant>
        <vt:i4>0</vt:i4>
      </vt:variant>
      <vt:variant>
        <vt:i4>5</vt:i4>
      </vt:variant>
      <vt:variant>
        <vt:lpwstr>https://www.cde.ca.gov/be/ag/ag/yr20/documents/mar20item05.docx</vt:lpwstr>
      </vt:variant>
      <vt:variant>
        <vt:lpwstr/>
      </vt:variant>
      <vt:variant>
        <vt:i4>2818153</vt:i4>
      </vt:variant>
      <vt:variant>
        <vt:i4>0</vt:i4>
      </vt:variant>
      <vt:variant>
        <vt:i4>0</vt:i4>
      </vt:variant>
      <vt:variant>
        <vt:i4>5</vt:i4>
      </vt:variant>
      <vt:variant>
        <vt:lpwstr>https://www.cde.ca.gov/be/ag/ag/yr16/documents/may16item02.doc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2024 Agenda Item 02 - Meeting Agendas (CA State Board of Education)</dc:title>
  <dc:subject>Update on the Implementation of the Integrated Local, State, and Federal Accountability and Continuous Improvement System: Action to Implement the 2024 Accountability Workplan.</dc:subject>
  <cp:keywords/>
  <dc:description/>
  <cp:lastPrinted>2019-02-28T22:21:00Z</cp:lastPrinted>
  <dcterms:created xsi:type="dcterms:W3CDTF">2024-06-27T17:25:00Z</dcterms:created>
  <dcterms:modified xsi:type="dcterms:W3CDTF">2024-06-28T22:47:00Z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