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9CD75" w14:textId="77777777" w:rsidR="006E06C6" w:rsidRPr="00CA40CB" w:rsidRDefault="00D5115F" w:rsidP="00582C51">
      <w:pPr>
        <w:spacing w:after="240"/>
      </w:pPr>
      <w:r w:rsidRPr="00CA40CB">
        <w:rPr>
          <w:noProof/>
        </w:rPr>
        <w:drawing>
          <wp:inline distT="0" distB="0" distL="0" distR="0" wp14:anchorId="57D1047B" wp14:editId="08A5BABA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ABBF8B" w14:textId="77777777" w:rsidR="00B723BE" w:rsidRPr="00CA40CB" w:rsidRDefault="00FC1FCE" w:rsidP="00582C51">
      <w:pPr>
        <w:jc w:val="right"/>
      </w:pPr>
      <w:r w:rsidRPr="00CA40CB">
        <w:t>California Department of Education</w:t>
      </w:r>
    </w:p>
    <w:p w14:paraId="7DE0209E" w14:textId="77777777" w:rsidR="00B723BE" w:rsidRPr="00CA40CB" w:rsidRDefault="00FC1FCE" w:rsidP="00582C51">
      <w:pPr>
        <w:jc w:val="right"/>
      </w:pPr>
      <w:r w:rsidRPr="00CA40CB">
        <w:t>Executive Office</w:t>
      </w:r>
    </w:p>
    <w:p w14:paraId="1A504789" w14:textId="77777777" w:rsidR="002B4B14" w:rsidRPr="00CA40CB" w:rsidRDefault="00692300" w:rsidP="00582C51">
      <w:pPr>
        <w:jc w:val="right"/>
      </w:pPr>
      <w:r w:rsidRPr="00CA40CB">
        <w:t>SBE-00</w:t>
      </w:r>
      <w:r w:rsidR="000324AD" w:rsidRPr="00CA40CB">
        <w:t>3</w:t>
      </w:r>
      <w:r w:rsidRPr="00CA40CB">
        <w:t xml:space="preserve"> (REV. 1</w:t>
      </w:r>
      <w:r w:rsidR="00C27D57" w:rsidRPr="00CA40CB">
        <w:t>1</w:t>
      </w:r>
      <w:r w:rsidRPr="00CA40CB">
        <w:t>/2017</w:t>
      </w:r>
      <w:r w:rsidR="00FC1FCE" w:rsidRPr="00CA40CB">
        <w:t>)</w:t>
      </w:r>
    </w:p>
    <w:p w14:paraId="14D5093F" w14:textId="2127BF19" w:rsidR="00B723BE" w:rsidRPr="00CA40CB" w:rsidRDefault="000E5B90" w:rsidP="00582C51">
      <w:pPr>
        <w:jc w:val="right"/>
      </w:pPr>
      <w:r w:rsidRPr="00CA40CB">
        <w:t>sssb-cctd-</w:t>
      </w:r>
      <w:r w:rsidR="008819D2">
        <w:t>july</w:t>
      </w:r>
      <w:r w:rsidRPr="00CA40CB">
        <w:t>2</w:t>
      </w:r>
      <w:r w:rsidR="00226BA5" w:rsidRPr="00CA40CB">
        <w:t>4</w:t>
      </w:r>
      <w:r w:rsidRPr="00CA40CB">
        <w:t>item</w:t>
      </w:r>
      <w:r w:rsidR="00034DC3" w:rsidRPr="00CA40CB">
        <w:t>01</w:t>
      </w:r>
    </w:p>
    <w:p w14:paraId="4BD06B63" w14:textId="77777777" w:rsidR="00B723BE" w:rsidRPr="00CA40CB" w:rsidRDefault="00B723BE" w:rsidP="00582C51">
      <w:pPr>
        <w:pStyle w:val="Heading1"/>
        <w:spacing w:after="240"/>
        <w:jc w:val="center"/>
        <w:rPr>
          <w:sz w:val="40"/>
          <w:szCs w:val="40"/>
        </w:rPr>
        <w:sectPr w:rsidR="00B723BE" w:rsidRPr="00CA40CB" w:rsidSect="000E5DDB">
          <w:headerReference w:type="default" r:id="rId12"/>
          <w:footerReference w:type="default" r:id="rId13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15B482F8" w14:textId="77777777" w:rsidR="006E06C6" w:rsidRPr="00CA40CB" w:rsidRDefault="006E06C6" w:rsidP="00582C51">
      <w:pPr>
        <w:pStyle w:val="Heading1"/>
        <w:spacing w:after="240"/>
        <w:jc w:val="center"/>
        <w:rPr>
          <w:sz w:val="40"/>
          <w:szCs w:val="40"/>
        </w:rPr>
        <w:sectPr w:rsidR="006E06C6" w:rsidRPr="00CA40CB" w:rsidSect="000E5DD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49111AF1" w14:textId="2135FF00" w:rsidR="00FC1FCE" w:rsidRPr="00CA40CB" w:rsidRDefault="0091117B" w:rsidP="00582C51">
      <w:pPr>
        <w:pStyle w:val="Heading1"/>
        <w:spacing w:before="240" w:after="240"/>
        <w:jc w:val="center"/>
        <w:rPr>
          <w:sz w:val="40"/>
          <w:szCs w:val="40"/>
        </w:rPr>
      </w:pPr>
      <w:r w:rsidRPr="00CA40CB">
        <w:rPr>
          <w:sz w:val="40"/>
          <w:szCs w:val="40"/>
        </w:rPr>
        <w:t>Californ</w:t>
      </w:r>
      <w:r w:rsidR="00693951" w:rsidRPr="00CA40CB">
        <w:rPr>
          <w:sz w:val="40"/>
          <w:szCs w:val="40"/>
        </w:rPr>
        <w:t>ia State Board of Education</w:t>
      </w:r>
      <w:r w:rsidR="00693951" w:rsidRPr="00CA40CB">
        <w:rPr>
          <w:sz w:val="40"/>
          <w:szCs w:val="40"/>
        </w:rPr>
        <w:br/>
      </w:r>
      <w:r w:rsidR="005C491A">
        <w:rPr>
          <w:sz w:val="40"/>
          <w:szCs w:val="40"/>
        </w:rPr>
        <w:t>July</w:t>
      </w:r>
      <w:r w:rsidR="000E5B90" w:rsidRPr="00CA40CB">
        <w:rPr>
          <w:sz w:val="40"/>
          <w:szCs w:val="40"/>
        </w:rPr>
        <w:t xml:space="preserve"> 202</w:t>
      </w:r>
      <w:r w:rsidR="00226BA5" w:rsidRPr="00CA40CB">
        <w:rPr>
          <w:sz w:val="40"/>
          <w:szCs w:val="40"/>
        </w:rPr>
        <w:t>4</w:t>
      </w:r>
      <w:r w:rsidR="00130059" w:rsidRPr="00CA40CB">
        <w:rPr>
          <w:sz w:val="40"/>
          <w:szCs w:val="40"/>
        </w:rPr>
        <w:t xml:space="preserve"> </w:t>
      </w:r>
      <w:r w:rsidRPr="00CA40CB">
        <w:rPr>
          <w:sz w:val="40"/>
          <w:szCs w:val="40"/>
        </w:rPr>
        <w:t>Agenda</w:t>
      </w:r>
      <w:r w:rsidR="00FC1FCE" w:rsidRPr="00CA40CB">
        <w:rPr>
          <w:sz w:val="40"/>
          <w:szCs w:val="40"/>
        </w:rPr>
        <w:br/>
        <w:t>Item</w:t>
      </w:r>
      <w:r w:rsidR="00692300" w:rsidRPr="00CA40CB">
        <w:rPr>
          <w:sz w:val="40"/>
          <w:szCs w:val="40"/>
        </w:rPr>
        <w:t xml:space="preserve"> </w:t>
      </w:r>
      <w:r w:rsidR="002C5FD2" w:rsidRPr="00CA40CB">
        <w:rPr>
          <w:sz w:val="40"/>
          <w:szCs w:val="40"/>
        </w:rPr>
        <w:t>#</w:t>
      </w:r>
      <w:r w:rsidR="00F50B03">
        <w:rPr>
          <w:sz w:val="40"/>
          <w:szCs w:val="40"/>
        </w:rPr>
        <w:t>05</w:t>
      </w:r>
    </w:p>
    <w:p w14:paraId="304367E4" w14:textId="77777777" w:rsidR="00FC1FCE" w:rsidRPr="00CA40CB" w:rsidRDefault="00FC1FCE" w:rsidP="00582C51">
      <w:pPr>
        <w:pStyle w:val="Heading2"/>
        <w:spacing w:before="240" w:after="240"/>
        <w:rPr>
          <w:sz w:val="36"/>
          <w:szCs w:val="36"/>
        </w:rPr>
      </w:pPr>
      <w:r w:rsidRPr="00CA40CB">
        <w:rPr>
          <w:sz w:val="36"/>
          <w:szCs w:val="36"/>
        </w:rPr>
        <w:t>Subject</w:t>
      </w:r>
    </w:p>
    <w:p w14:paraId="24F57597" w14:textId="5B2C50AA" w:rsidR="00692300" w:rsidRPr="00CA40CB" w:rsidRDefault="000E5B90" w:rsidP="00582C51">
      <w:pPr>
        <w:spacing w:after="240"/>
      </w:pPr>
      <w:r w:rsidRPr="00CA40CB">
        <w:t xml:space="preserve">California Community Schools Partnership Program: Approval of Cohort </w:t>
      </w:r>
      <w:r w:rsidR="00226BA5" w:rsidRPr="00CA40CB">
        <w:t>3</w:t>
      </w:r>
      <w:r w:rsidRPr="00CA40CB">
        <w:t xml:space="preserve"> </w:t>
      </w:r>
      <w:r w:rsidR="00E211C8" w:rsidRPr="00CA40CB">
        <w:t>Implementation</w:t>
      </w:r>
      <w:r w:rsidRPr="00CA40CB">
        <w:t xml:space="preserve"> </w:t>
      </w:r>
      <w:r w:rsidR="00126C90" w:rsidRPr="00CA40CB">
        <w:t>Grantee</w:t>
      </w:r>
      <w:r w:rsidR="00126C90">
        <w:t xml:space="preserve"> Corrections</w:t>
      </w:r>
      <w:r w:rsidR="00E211C8" w:rsidRPr="00CA40CB">
        <w:t>.</w:t>
      </w:r>
    </w:p>
    <w:p w14:paraId="77ACDA93" w14:textId="77777777" w:rsidR="00FC1FCE" w:rsidRPr="00CA40CB" w:rsidRDefault="00FC1FCE" w:rsidP="00582C51">
      <w:pPr>
        <w:pStyle w:val="Heading2"/>
        <w:spacing w:before="240" w:after="240"/>
        <w:rPr>
          <w:sz w:val="36"/>
          <w:szCs w:val="36"/>
        </w:rPr>
      </w:pPr>
      <w:r w:rsidRPr="00CA40CB">
        <w:rPr>
          <w:sz w:val="36"/>
          <w:szCs w:val="36"/>
        </w:rPr>
        <w:t>Type of Action</w:t>
      </w:r>
    </w:p>
    <w:p w14:paraId="3D4A2680" w14:textId="4E1F64CC" w:rsidR="0091117B" w:rsidRPr="00CA40CB" w:rsidRDefault="00C961EB" w:rsidP="00582C51">
      <w:pPr>
        <w:spacing w:after="240"/>
      </w:pPr>
      <w:r w:rsidRPr="00CA40CB">
        <w:t>Action</w:t>
      </w:r>
      <w:r w:rsidR="000E5B90" w:rsidRPr="00CA40CB">
        <w:t>, Information</w:t>
      </w:r>
    </w:p>
    <w:p w14:paraId="60B3C1F5" w14:textId="77777777" w:rsidR="000324AD" w:rsidRPr="00CA40CB" w:rsidRDefault="00C961EB" w:rsidP="00582C51">
      <w:pPr>
        <w:pStyle w:val="Heading2"/>
        <w:spacing w:before="240" w:after="240"/>
        <w:rPr>
          <w:sz w:val="36"/>
          <w:szCs w:val="36"/>
        </w:rPr>
      </w:pPr>
      <w:r w:rsidRPr="00CA40CB">
        <w:rPr>
          <w:sz w:val="36"/>
          <w:szCs w:val="36"/>
        </w:rPr>
        <w:t>Summary of the Issue</w:t>
      </w:r>
    </w:p>
    <w:p w14:paraId="6B24BC74" w14:textId="5C7FBF84" w:rsidR="00C961EB" w:rsidRPr="00CA40CB" w:rsidRDefault="00B019DA" w:rsidP="00582C51">
      <w:pPr>
        <w:spacing w:after="240"/>
      </w:pPr>
      <w:r w:rsidRPr="00CA40CB">
        <w:t>The California Department of Education (</w:t>
      </w:r>
      <w:r w:rsidR="00C961EB" w:rsidRPr="00CA40CB">
        <w:t>CDE</w:t>
      </w:r>
      <w:r w:rsidRPr="00CA40CB">
        <w:t>)</w:t>
      </w:r>
      <w:r w:rsidR="00C961EB" w:rsidRPr="00CA40CB">
        <w:t xml:space="preserve"> is requesting the State Board of Education</w:t>
      </w:r>
      <w:r w:rsidRPr="00CA40CB">
        <w:t xml:space="preserve"> (SBE)</w:t>
      </w:r>
      <w:r w:rsidR="00C961EB" w:rsidRPr="00CA40CB">
        <w:t xml:space="preserve"> approve</w:t>
      </w:r>
      <w:r w:rsidRPr="00CA40CB">
        <w:t xml:space="preserve"> </w:t>
      </w:r>
      <w:r w:rsidR="00F407A0">
        <w:t>correction</w:t>
      </w:r>
      <w:r w:rsidR="003A6252">
        <w:t>s</w:t>
      </w:r>
      <w:r w:rsidR="00F407A0">
        <w:t xml:space="preserve"> </w:t>
      </w:r>
      <w:r w:rsidR="00CB4287">
        <w:t xml:space="preserve">to the </w:t>
      </w:r>
      <w:r w:rsidRPr="00CA40CB">
        <w:t>California Community Schools Part</w:t>
      </w:r>
      <w:r w:rsidR="002F326E" w:rsidRPr="00CA40CB">
        <w:t>nership Program</w:t>
      </w:r>
      <w:r w:rsidR="00C961EB" w:rsidRPr="00CA40CB">
        <w:t xml:space="preserve"> </w:t>
      </w:r>
      <w:r w:rsidR="002F326E" w:rsidRPr="00CA40CB">
        <w:t>(</w:t>
      </w:r>
      <w:r w:rsidR="00C961EB" w:rsidRPr="00CA40CB">
        <w:t>CCSPP</w:t>
      </w:r>
      <w:r w:rsidR="002F326E" w:rsidRPr="00CA40CB">
        <w:t>)</w:t>
      </w:r>
      <w:r w:rsidR="00C961EB" w:rsidRPr="00CA40CB">
        <w:t xml:space="preserve"> </w:t>
      </w:r>
      <w:r w:rsidR="00A02FFE" w:rsidRPr="00CA40CB">
        <w:t xml:space="preserve">Cohort </w:t>
      </w:r>
      <w:r w:rsidR="00226BA5" w:rsidRPr="00CA40CB">
        <w:t>3</w:t>
      </w:r>
      <w:r w:rsidR="00C961EB" w:rsidRPr="00CA40CB">
        <w:t xml:space="preserve"> </w:t>
      </w:r>
      <w:r w:rsidR="00E211C8" w:rsidRPr="00CA40CB">
        <w:t>Implementation</w:t>
      </w:r>
      <w:r w:rsidR="00C961EB" w:rsidRPr="00CA40CB">
        <w:t xml:space="preserve"> Grant</w:t>
      </w:r>
      <w:r w:rsidR="004909C3" w:rsidRPr="00CA40CB">
        <w:t xml:space="preserve"> Award</w:t>
      </w:r>
      <w:r w:rsidR="00C961EB" w:rsidRPr="00CA40CB">
        <w:t>s.</w:t>
      </w:r>
      <w:r w:rsidR="00AF56AA" w:rsidRPr="00CA40CB">
        <w:t xml:space="preserve"> </w:t>
      </w:r>
    </w:p>
    <w:p w14:paraId="7B5E8FEB" w14:textId="77777777" w:rsidR="003E4DF7" w:rsidRPr="00CA40CB" w:rsidRDefault="003E4DF7" w:rsidP="00582C51">
      <w:pPr>
        <w:pStyle w:val="Heading2"/>
        <w:spacing w:before="240" w:after="240"/>
        <w:rPr>
          <w:sz w:val="36"/>
          <w:szCs w:val="36"/>
        </w:rPr>
      </w:pPr>
      <w:r w:rsidRPr="00CA40CB">
        <w:rPr>
          <w:sz w:val="36"/>
          <w:szCs w:val="36"/>
        </w:rPr>
        <w:t>Recommendation</w:t>
      </w:r>
      <w:r w:rsidR="008325F4" w:rsidRPr="00CA40CB">
        <w:rPr>
          <w:sz w:val="36"/>
          <w:szCs w:val="36"/>
        </w:rPr>
        <w:t>s</w:t>
      </w:r>
    </w:p>
    <w:p w14:paraId="75C42C38" w14:textId="0AB4A384" w:rsidR="002832C4" w:rsidRPr="00CA40CB" w:rsidRDefault="00237DE6" w:rsidP="00237DE6">
      <w:pPr>
        <w:spacing w:after="240"/>
      </w:pPr>
      <w:r w:rsidRPr="00CA40CB">
        <w:t>T</w:t>
      </w:r>
      <w:r w:rsidR="003E4DF7" w:rsidRPr="00CA40CB">
        <w:t>he CDE recommends that the</w:t>
      </w:r>
      <w:r w:rsidR="00D93CA7" w:rsidRPr="00CA40CB">
        <w:t xml:space="preserve"> </w:t>
      </w:r>
      <w:r w:rsidR="002F326E" w:rsidRPr="00CA40CB">
        <w:t>SBE</w:t>
      </w:r>
      <w:r w:rsidR="00D93CA7" w:rsidRPr="00CA40CB">
        <w:t xml:space="preserve"> </w:t>
      </w:r>
      <w:r w:rsidR="002832C4" w:rsidRPr="00CA40CB">
        <w:t xml:space="preserve">approve </w:t>
      </w:r>
      <w:r w:rsidR="00D93CA7" w:rsidRPr="00CA40CB">
        <w:t xml:space="preserve">the CCSPP </w:t>
      </w:r>
      <w:r w:rsidR="00A02FFE" w:rsidRPr="00CA40CB">
        <w:t>Cohort</w:t>
      </w:r>
      <w:r w:rsidR="005551D4" w:rsidRPr="00CA40CB">
        <w:t xml:space="preserve"> </w:t>
      </w:r>
      <w:r w:rsidR="00226BA5" w:rsidRPr="00CA40CB">
        <w:t>3</w:t>
      </w:r>
      <w:r w:rsidR="00A02FFE" w:rsidRPr="00CA40CB">
        <w:t xml:space="preserve"> </w:t>
      </w:r>
      <w:r w:rsidR="00E55052" w:rsidRPr="00CA40CB">
        <w:t>Implementation</w:t>
      </w:r>
      <w:r w:rsidR="00D93CA7" w:rsidRPr="00CA40CB">
        <w:t xml:space="preserve"> Grant </w:t>
      </w:r>
      <w:r w:rsidR="00126C90">
        <w:t>Corrections</w:t>
      </w:r>
      <w:r w:rsidR="00D93CA7" w:rsidRPr="00CA40CB">
        <w:t xml:space="preserve"> (</w:t>
      </w:r>
      <w:r w:rsidRPr="00CA40CB">
        <w:t>Attachment 1</w:t>
      </w:r>
      <w:r w:rsidR="00D93CA7" w:rsidRPr="00CA40CB">
        <w:t>).</w:t>
      </w:r>
    </w:p>
    <w:p w14:paraId="01E1584F" w14:textId="77777777" w:rsidR="003E4DF7" w:rsidRPr="00CA40CB" w:rsidRDefault="00D93CA7" w:rsidP="00582C51">
      <w:pPr>
        <w:pStyle w:val="Heading2"/>
        <w:spacing w:before="240" w:after="240"/>
        <w:rPr>
          <w:sz w:val="36"/>
          <w:szCs w:val="36"/>
        </w:rPr>
      </w:pPr>
      <w:r w:rsidRPr="00CA40CB">
        <w:rPr>
          <w:sz w:val="36"/>
          <w:szCs w:val="36"/>
        </w:rPr>
        <w:t xml:space="preserve">Brief History </w:t>
      </w:r>
      <w:r w:rsidR="00B92858" w:rsidRPr="00CA40CB">
        <w:rPr>
          <w:sz w:val="36"/>
          <w:szCs w:val="36"/>
        </w:rPr>
        <w:t xml:space="preserve">and </w:t>
      </w:r>
      <w:r w:rsidR="003E4DF7" w:rsidRPr="00CA40CB">
        <w:rPr>
          <w:sz w:val="36"/>
          <w:szCs w:val="36"/>
        </w:rPr>
        <w:t>Key Issues</w:t>
      </w:r>
    </w:p>
    <w:p w14:paraId="3D057AD5" w14:textId="339A0D6F" w:rsidR="00237DE6" w:rsidRPr="00CA40CB" w:rsidRDefault="00237DE6" w:rsidP="001F31F7">
      <w:pPr>
        <w:pStyle w:val="Heading3"/>
        <w:spacing w:before="240" w:after="240"/>
      </w:pPr>
      <w:r w:rsidRPr="00CA40CB">
        <w:t xml:space="preserve">2021–31 California Community Schools Partnership Program </w:t>
      </w:r>
    </w:p>
    <w:p w14:paraId="02F95935" w14:textId="4B2BED2E" w:rsidR="00237DE6" w:rsidRPr="00CA40CB" w:rsidRDefault="00263C1C" w:rsidP="00263C1C">
      <w:pPr>
        <w:autoSpaceDE w:val="0"/>
        <w:autoSpaceDN w:val="0"/>
        <w:adjustRightInd w:val="0"/>
        <w:spacing w:after="240"/>
      </w:pPr>
      <w:r>
        <w:rPr>
          <w:rFonts w:cs="Arial"/>
        </w:rPr>
        <w:t xml:space="preserve">The CCSPP is </w:t>
      </w:r>
      <w:r w:rsidR="00240180">
        <w:rPr>
          <w:rFonts w:cs="Arial"/>
        </w:rPr>
        <w:t>a</w:t>
      </w:r>
      <w:r>
        <w:rPr>
          <w:rFonts w:cs="Arial"/>
        </w:rPr>
        <w:t xml:space="preserve"> $4.1 billion program the Legislature established in 2021</w:t>
      </w:r>
      <w:r w:rsidR="00237DE6" w:rsidRPr="00CA40CB">
        <w:rPr>
          <w:rFonts w:cs="Arial"/>
        </w:rPr>
        <w:t xml:space="preserve"> to establish new and expand existing community schools</w:t>
      </w:r>
      <w:r w:rsidR="00FE0C01">
        <w:rPr>
          <w:rFonts w:cs="Arial"/>
        </w:rPr>
        <w:t>,</w:t>
      </w:r>
      <w:r w:rsidR="001B4550" w:rsidRPr="00CA40CB">
        <w:rPr>
          <w:rFonts w:cs="Arial"/>
        </w:rPr>
        <w:t xml:space="preserve"> and to create a statewide technical assistance</w:t>
      </w:r>
      <w:r w:rsidR="00E04898" w:rsidRPr="00CA40CB">
        <w:rPr>
          <w:rFonts w:cs="Arial"/>
        </w:rPr>
        <w:t xml:space="preserve"> (TA)</w:t>
      </w:r>
      <w:r w:rsidR="001B4550" w:rsidRPr="00CA40CB">
        <w:rPr>
          <w:rFonts w:cs="Arial"/>
        </w:rPr>
        <w:t xml:space="preserve"> infrastructure to </w:t>
      </w:r>
      <w:r w:rsidR="00FE0C01">
        <w:rPr>
          <w:rFonts w:cs="Arial"/>
        </w:rPr>
        <w:t>support</w:t>
      </w:r>
      <w:r w:rsidR="001B4550" w:rsidRPr="00CA40CB">
        <w:rPr>
          <w:rFonts w:cs="Arial"/>
        </w:rPr>
        <w:t xml:space="preserve"> and sustain community school </w:t>
      </w:r>
      <w:r w:rsidR="00AD71C5" w:rsidRPr="00CA40CB">
        <w:rPr>
          <w:rFonts w:cs="Arial"/>
        </w:rPr>
        <w:t>implementation</w:t>
      </w:r>
      <w:r w:rsidR="00237DE6" w:rsidRPr="00CA40CB">
        <w:rPr>
          <w:rFonts w:cs="Arial"/>
        </w:rPr>
        <w:t xml:space="preserve">. </w:t>
      </w:r>
      <w:r>
        <w:rPr>
          <w:rFonts w:cs="Arial"/>
        </w:rPr>
        <w:t xml:space="preserve">Since 2022, the CDE has recommended and the SBE has approved over 400 planning grants to LEAs with no community schools, </w:t>
      </w:r>
      <w:r w:rsidR="00240180">
        <w:rPr>
          <w:rFonts w:cs="Arial"/>
        </w:rPr>
        <w:t xml:space="preserve">nearly 500 </w:t>
      </w:r>
      <w:r>
        <w:rPr>
          <w:rFonts w:cs="Arial"/>
        </w:rPr>
        <w:t>implementation grants to LEAs to establish and</w:t>
      </w:r>
      <w:r w:rsidR="00240180">
        <w:rPr>
          <w:rFonts w:cs="Arial"/>
        </w:rPr>
        <w:t>/or</w:t>
      </w:r>
      <w:r>
        <w:rPr>
          <w:rFonts w:cs="Arial"/>
        </w:rPr>
        <w:t xml:space="preserve"> expand community schools </w:t>
      </w:r>
      <w:r w:rsidR="003A6252">
        <w:rPr>
          <w:rFonts w:cs="Arial"/>
        </w:rPr>
        <w:t>to</w:t>
      </w:r>
      <w:r w:rsidR="00FE0C01">
        <w:rPr>
          <w:rFonts w:cs="Arial"/>
        </w:rPr>
        <w:t xml:space="preserve"> </w:t>
      </w:r>
      <w:r>
        <w:rPr>
          <w:rFonts w:cs="Arial"/>
        </w:rPr>
        <w:t>over 2,000 school</w:t>
      </w:r>
      <w:r w:rsidR="00240180">
        <w:rPr>
          <w:rFonts w:cs="Arial"/>
        </w:rPr>
        <w:t xml:space="preserve"> site</w:t>
      </w:r>
      <w:r>
        <w:rPr>
          <w:rFonts w:cs="Arial"/>
        </w:rPr>
        <w:t>s</w:t>
      </w:r>
      <w:r w:rsidR="003A6252">
        <w:rPr>
          <w:rFonts w:cs="Arial"/>
        </w:rPr>
        <w:t>,</w:t>
      </w:r>
      <w:r w:rsidR="009E5B94">
        <w:rPr>
          <w:rFonts w:cs="Arial"/>
        </w:rPr>
        <w:t xml:space="preserve"> and </w:t>
      </w:r>
      <w:r w:rsidR="003A6252">
        <w:rPr>
          <w:rFonts w:cs="Arial"/>
        </w:rPr>
        <w:t>eight regional and one lead for statewide technical assistance</w:t>
      </w:r>
      <w:r>
        <w:rPr>
          <w:rFonts w:cs="Arial"/>
        </w:rPr>
        <w:t xml:space="preserve">. </w:t>
      </w:r>
    </w:p>
    <w:p w14:paraId="32E004D2" w14:textId="14C5683C" w:rsidR="00803E08" w:rsidRPr="00CA40CB" w:rsidRDefault="00803E08" w:rsidP="00AD71C5">
      <w:pPr>
        <w:spacing w:after="240"/>
      </w:pPr>
      <w:r w:rsidRPr="00CA40CB">
        <w:lastRenderedPageBreak/>
        <w:t xml:space="preserve">For </w:t>
      </w:r>
      <w:r w:rsidR="00504857" w:rsidRPr="00CA40CB">
        <w:t>more information</w:t>
      </w:r>
      <w:r w:rsidR="005551D4" w:rsidRPr="00CA40CB">
        <w:t xml:space="preserve"> on the CCSPP please visit </w:t>
      </w:r>
      <w:r w:rsidR="00FA62E2" w:rsidRPr="00CA40CB">
        <w:t>the CDE</w:t>
      </w:r>
      <w:r w:rsidR="00214AF6" w:rsidRPr="00CA40CB">
        <w:t>’s</w:t>
      </w:r>
      <w:r w:rsidR="00FA62E2" w:rsidRPr="00CA40CB">
        <w:t xml:space="preserve"> CCSPP web</w:t>
      </w:r>
      <w:r w:rsidR="005551D4" w:rsidRPr="00CA40CB">
        <w:t xml:space="preserve"> </w:t>
      </w:r>
      <w:r w:rsidR="00FA62E2" w:rsidRPr="00CA40CB">
        <w:t>page</w:t>
      </w:r>
      <w:r w:rsidR="005551D4" w:rsidRPr="00CA40CB">
        <w:t xml:space="preserve"> at</w:t>
      </w:r>
      <w:r w:rsidRPr="00CA40CB">
        <w:t xml:space="preserve"> </w:t>
      </w:r>
      <w:hyperlink r:id="rId14" w:tooltip="CCSPP" w:history="1">
        <w:r w:rsidRPr="00CA40CB">
          <w:rPr>
            <w:rStyle w:val="Hyperlink"/>
          </w:rPr>
          <w:t>https://www.cde.ca.gov/ci/gs/hs/ccspp.asp</w:t>
        </w:r>
      </w:hyperlink>
      <w:r w:rsidR="005551D4" w:rsidRPr="00CA40CB">
        <w:rPr>
          <w:rStyle w:val="Hyperlink"/>
          <w:color w:val="auto"/>
          <w:u w:val="none"/>
        </w:rPr>
        <w:t>.</w:t>
      </w:r>
      <w:r w:rsidR="0013575E">
        <w:rPr>
          <w:rStyle w:val="Hyperlink"/>
          <w:color w:val="auto"/>
          <w:u w:val="none"/>
        </w:rPr>
        <w:t xml:space="preserve"> </w:t>
      </w:r>
    </w:p>
    <w:p w14:paraId="7C7253B5" w14:textId="2B7A3FF6" w:rsidR="001B4550" w:rsidRPr="00CA40CB" w:rsidRDefault="001B4550" w:rsidP="0015601D">
      <w:pPr>
        <w:pStyle w:val="Heading3"/>
        <w:spacing w:before="240" w:after="240"/>
        <w:rPr>
          <w:sz w:val="36"/>
          <w:szCs w:val="36"/>
        </w:rPr>
      </w:pPr>
      <w:r w:rsidRPr="00CA40CB">
        <w:rPr>
          <w:sz w:val="36"/>
          <w:szCs w:val="36"/>
        </w:rPr>
        <w:t xml:space="preserve">Implementation Grant – Cohort </w:t>
      </w:r>
      <w:r w:rsidR="00226BA5" w:rsidRPr="00CA40CB">
        <w:rPr>
          <w:sz w:val="36"/>
          <w:szCs w:val="36"/>
        </w:rPr>
        <w:t>Three</w:t>
      </w:r>
      <w:r w:rsidR="00A277CB">
        <w:rPr>
          <w:sz w:val="36"/>
          <w:szCs w:val="36"/>
        </w:rPr>
        <w:t xml:space="preserve"> Corrections</w:t>
      </w:r>
    </w:p>
    <w:p w14:paraId="0827F092" w14:textId="2B96F6B0" w:rsidR="007634BF" w:rsidRDefault="003F6BD4" w:rsidP="007634BF">
      <w:pPr>
        <w:spacing w:after="240"/>
      </w:pPr>
      <w:bookmarkStart w:id="0" w:name="_Hlk131766119"/>
      <w:r>
        <w:t>I</w:t>
      </w:r>
      <w:r w:rsidRPr="00CA40CB">
        <w:t>n the 2021 Budget Act</w:t>
      </w:r>
      <w:r>
        <w:t>,</w:t>
      </w:r>
      <w:r w:rsidRPr="00CA40CB">
        <w:t xml:space="preserve"> </w:t>
      </w:r>
      <w:r>
        <w:t>f</w:t>
      </w:r>
      <w:r w:rsidR="007634BF" w:rsidRPr="00CA40CB">
        <w:t xml:space="preserve">unding available for implementation grants </w:t>
      </w:r>
      <w:r>
        <w:t>wa</w:t>
      </w:r>
      <w:r w:rsidRPr="00CA40CB">
        <w:t xml:space="preserve">s </w:t>
      </w:r>
      <w:r w:rsidR="007634BF" w:rsidRPr="00CA40CB">
        <w:t xml:space="preserve">$2,011,914,800 and </w:t>
      </w:r>
      <w:r>
        <w:t xml:space="preserve">in 2022 </w:t>
      </w:r>
      <w:r w:rsidR="007634BF" w:rsidRPr="00CA40CB">
        <w:t xml:space="preserve">an additional $992,554,000 </w:t>
      </w:r>
      <w:r>
        <w:t xml:space="preserve">was </w:t>
      </w:r>
      <w:r w:rsidR="007634BF" w:rsidRPr="00CA40CB">
        <w:t xml:space="preserve">allocated </w:t>
      </w:r>
      <w:r>
        <w:t>for</w:t>
      </w:r>
      <w:r w:rsidR="007634BF" w:rsidRPr="00CA40CB">
        <w:t xml:space="preserve"> implementation and</w:t>
      </w:r>
      <w:r>
        <w:t>/or</w:t>
      </w:r>
      <w:r w:rsidR="007634BF" w:rsidRPr="00CA40CB">
        <w:t xml:space="preserve"> expansion grants. Statute also specifies that any remaining planning grant funds shall be made available for implementation grants.</w:t>
      </w:r>
      <w:r w:rsidR="00EC75BC" w:rsidRPr="00CA40CB">
        <w:t xml:space="preserve"> </w:t>
      </w:r>
    </w:p>
    <w:p w14:paraId="5A9E7FFD" w14:textId="77777777" w:rsidR="00263C1C" w:rsidRPr="00CA40CB" w:rsidRDefault="00263C1C" w:rsidP="00263C1C">
      <w:pPr>
        <w:autoSpaceDE w:val="0"/>
        <w:autoSpaceDN w:val="0"/>
        <w:adjustRightInd w:val="0"/>
        <w:spacing w:after="240"/>
      </w:pPr>
      <w:r>
        <w:t xml:space="preserve">In May 2024, the SBE approved </w:t>
      </w:r>
      <w:r w:rsidRPr="00CA40CB">
        <w:rPr>
          <w:rFonts w:cs="Arial"/>
        </w:rPr>
        <w:t>$1,292,007,500</w:t>
      </w:r>
      <w:r>
        <w:rPr>
          <w:rFonts w:cs="Arial"/>
        </w:rPr>
        <w:t xml:space="preserve"> to 288 LEAs, supporting 995 school sites (</w:t>
      </w:r>
      <w:hyperlink r:id="rId15" w:tooltip="May 2024 SBE Item, Attachment 1" w:history="1">
        <w:r w:rsidRPr="001B6D11">
          <w:rPr>
            <w:rStyle w:val="Hyperlink"/>
            <w:rFonts w:cs="Arial"/>
          </w:rPr>
          <w:t>https://www.cde.ca.gov/be/ag/ag/yr24/documents/may24item02a1.docx</w:t>
        </w:r>
      </w:hyperlink>
      <w:r>
        <w:rPr>
          <w:rFonts w:cs="Arial"/>
        </w:rPr>
        <w:t xml:space="preserve">). Of these school sites, </w:t>
      </w:r>
      <w:r w:rsidRPr="00CA40CB">
        <w:rPr>
          <w:rStyle w:val="ui-provider"/>
          <w:rFonts w:eastAsiaTheme="majorEastAsia" w:cs="Arial"/>
        </w:rPr>
        <w:t xml:space="preserve">836 </w:t>
      </w:r>
      <w:r>
        <w:rPr>
          <w:rStyle w:val="ui-provider"/>
          <w:rFonts w:eastAsiaTheme="majorEastAsia" w:cs="Arial"/>
        </w:rPr>
        <w:t xml:space="preserve">are at and above </w:t>
      </w:r>
      <w:r w:rsidRPr="00CA40CB">
        <w:rPr>
          <w:rStyle w:val="ui-provider"/>
          <w:rFonts w:cs="Arial"/>
        </w:rPr>
        <w:t>80</w:t>
      </w:r>
      <w:r w:rsidRPr="00CA40CB">
        <w:rPr>
          <w:rStyle w:val="ui-provider"/>
          <w:rFonts w:eastAsiaTheme="majorEastAsia" w:cs="Arial"/>
        </w:rPr>
        <w:t xml:space="preserve"> percent </w:t>
      </w:r>
      <w:r>
        <w:rPr>
          <w:rStyle w:val="ui-provider"/>
          <w:rFonts w:eastAsiaTheme="majorEastAsia" w:cs="Arial"/>
        </w:rPr>
        <w:t>UPC,</w:t>
      </w:r>
      <w:r w:rsidRPr="00CA40CB">
        <w:rPr>
          <w:rStyle w:val="ui-provider"/>
          <w:rFonts w:eastAsiaTheme="majorEastAsia" w:cs="Arial"/>
        </w:rPr>
        <w:t xml:space="preserve"> </w:t>
      </w:r>
      <w:r w:rsidRPr="00CA40CB">
        <w:rPr>
          <w:rStyle w:val="ui-provider"/>
          <w:rFonts w:cs="Arial"/>
        </w:rPr>
        <w:t xml:space="preserve">34 </w:t>
      </w:r>
      <w:r>
        <w:rPr>
          <w:rStyle w:val="ui-provider"/>
          <w:rFonts w:cs="Arial"/>
        </w:rPr>
        <w:t xml:space="preserve">are </w:t>
      </w:r>
      <w:r w:rsidRPr="00CA40CB">
        <w:rPr>
          <w:rStyle w:val="ui-provider"/>
          <w:rFonts w:cs="Arial"/>
        </w:rPr>
        <w:t xml:space="preserve">rural </w:t>
      </w:r>
      <w:r w:rsidRPr="00CA40CB">
        <w:rPr>
          <w:rStyle w:val="ui-provider"/>
          <w:rFonts w:eastAsiaTheme="majorEastAsia" w:cs="Arial"/>
        </w:rPr>
        <w:t xml:space="preserve">schools </w:t>
      </w:r>
      <w:r>
        <w:rPr>
          <w:rStyle w:val="ui-provider"/>
          <w:rFonts w:eastAsiaTheme="majorEastAsia" w:cs="Arial"/>
        </w:rPr>
        <w:t>serving</w:t>
      </w:r>
      <w:r w:rsidRPr="00CA40CB">
        <w:rPr>
          <w:rStyle w:val="ui-provider"/>
          <w:rFonts w:cs="Arial"/>
        </w:rPr>
        <w:t xml:space="preserve"> 70</w:t>
      </w:r>
      <w:r>
        <w:rPr>
          <w:rStyle w:val="ui-provider"/>
          <w:rFonts w:cs="Arial"/>
        </w:rPr>
        <w:t>–79</w:t>
      </w:r>
      <w:r w:rsidRPr="00CA40CB">
        <w:rPr>
          <w:rStyle w:val="ui-provider"/>
          <w:rFonts w:eastAsiaTheme="majorEastAsia" w:cs="Arial"/>
        </w:rPr>
        <w:t xml:space="preserve"> percent </w:t>
      </w:r>
      <w:r>
        <w:rPr>
          <w:rStyle w:val="ui-provider"/>
          <w:rFonts w:eastAsiaTheme="majorEastAsia" w:cs="Arial"/>
        </w:rPr>
        <w:t>UPC</w:t>
      </w:r>
      <w:r w:rsidRPr="00CA40CB">
        <w:rPr>
          <w:rStyle w:val="ui-provider"/>
          <w:rFonts w:eastAsiaTheme="majorEastAsia" w:cs="Arial"/>
        </w:rPr>
        <w:t>, 8 school</w:t>
      </w:r>
      <w:r>
        <w:rPr>
          <w:rStyle w:val="ui-provider"/>
          <w:rFonts w:eastAsiaTheme="majorEastAsia" w:cs="Arial"/>
        </w:rPr>
        <w:t xml:space="preserve"> sites have </w:t>
      </w:r>
      <w:r w:rsidRPr="00CA40CB">
        <w:rPr>
          <w:rStyle w:val="ui-provider"/>
          <w:rFonts w:cs="Arial"/>
        </w:rPr>
        <w:t xml:space="preserve">80 </w:t>
      </w:r>
      <w:r w:rsidRPr="00CA40CB">
        <w:rPr>
          <w:rStyle w:val="ui-provider"/>
          <w:rFonts w:eastAsiaTheme="majorEastAsia" w:cs="Arial"/>
        </w:rPr>
        <w:t xml:space="preserve">percent </w:t>
      </w:r>
      <w:r w:rsidRPr="00CA40CB">
        <w:t>and above Non-Stability Rate</w:t>
      </w:r>
      <w:r w:rsidRPr="00CA40CB">
        <w:rPr>
          <w:rStyle w:val="ui-provider"/>
          <w:rFonts w:eastAsiaTheme="majorEastAsia" w:cs="Arial"/>
        </w:rPr>
        <w:t xml:space="preserve">, 59 schools whose LEA was a planning grantee </w:t>
      </w:r>
      <w:r>
        <w:rPr>
          <w:rStyle w:val="ui-provider"/>
          <w:rFonts w:eastAsiaTheme="majorEastAsia" w:cs="Arial"/>
        </w:rPr>
        <w:t>that are serving</w:t>
      </w:r>
      <w:r w:rsidRPr="00CA40CB">
        <w:rPr>
          <w:rStyle w:val="ui-provider"/>
          <w:rFonts w:eastAsiaTheme="majorEastAsia" w:cs="Arial"/>
        </w:rPr>
        <w:t xml:space="preserve"> 70</w:t>
      </w:r>
      <w:r>
        <w:rPr>
          <w:rStyle w:val="ui-provider"/>
          <w:rFonts w:eastAsiaTheme="majorEastAsia" w:cs="Arial"/>
        </w:rPr>
        <w:t>–79</w:t>
      </w:r>
      <w:r w:rsidRPr="00CA40CB">
        <w:rPr>
          <w:rStyle w:val="ui-provider"/>
          <w:rFonts w:eastAsiaTheme="majorEastAsia" w:cs="Arial"/>
        </w:rPr>
        <w:t xml:space="preserve"> percent </w:t>
      </w:r>
      <w:r>
        <w:rPr>
          <w:rStyle w:val="ui-provider"/>
          <w:rFonts w:eastAsiaTheme="majorEastAsia" w:cs="Arial"/>
        </w:rPr>
        <w:t>UPC</w:t>
      </w:r>
      <w:r w:rsidRPr="00CA40CB">
        <w:rPr>
          <w:rStyle w:val="ui-provider"/>
          <w:rFonts w:eastAsiaTheme="majorEastAsia" w:cs="Arial"/>
        </w:rPr>
        <w:t xml:space="preserve">, and 58 rural schools whose LEA was a planning grantee </w:t>
      </w:r>
      <w:r>
        <w:rPr>
          <w:rStyle w:val="ui-provider"/>
          <w:rFonts w:eastAsiaTheme="majorEastAsia" w:cs="Arial"/>
        </w:rPr>
        <w:t>serving</w:t>
      </w:r>
      <w:r w:rsidRPr="00CA40CB">
        <w:rPr>
          <w:rStyle w:val="ui-provider"/>
          <w:rFonts w:eastAsiaTheme="majorEastAsia" w:cs="Arial"/>
        </w:rPr>
        <w:t xml:space="preserve"> 60</w:t>
      </w:r>
      <w:r>
        <w:rPr>
          <w:rStyle w:val="ui-provider"/>
          <w:rFonts w:eastAsiaTheme="majorEastAsia" w:cs="Arial"/>
        </w:rPr>
        <w:t>–69</w:t>
      </w:r>
      <w:r w:rsidRPr="00CA40CB">
        <w:rPr>
          <w:rStyle w:val="ui-provider"/>
          <w:rFonts w:eastAsiaTheme="majorEastAsia" w:cs="Arial"/>
        </w:rPr>
        <w:t xml:space="preserve"> percent </w:t>
      </w:r>
      <w:r>
        <w:rPr>
          <w:rStyle w:val="ui-provider"/>
          <w:rFonts w:eastAsiaTheme="majorEastAsia" w:cs="Arial"/>
        </w:rPr>
        <w:t>UPC.</w:t>
      </w:r>
    </w:p>
    <w:bookmarkEnd w:id="0"/>
    <w:p w14:paraId="7FFD9583" w14:textId="68649637" w:rsidR="00A277CB" w:rsidRDefault="00126C90" w:rsidP="004E4183">
      <w:pPr>
        <w:spacing w:after="240"/>
        <w:rPr>
          <w:rFonts w:cs="Arial"/>
        </w:rPr>
      </w:pPr>
      <w:r>
        <w:rPr>
          <w:rFonts w:cs="Arial"/>
        </w:rPr>
        <w:t xml:space="preserve">During </w:t>
      </w:r>
      <w:r w:rsidR="005C491A">
        <w:rPr>
          <w:rFonts w:cs="Arial"/>
        </w:rPr>
        <w:t xml:space="preserve">the </w:t>
      </w:r>
      <w:r w:rsidR="00263C1C">
        <w:rPr>
          <w:rFonts w:cs="Arial"/>
        </w:rPr>
        <w:t>a</w:t>
      </w:r>
      <w:r w:rsidR="005C491A">
        <w:rPr>
          <w:rFonts w:cs="Arial"/>
        </w:rPr>
        <w:t xml:space="preserve">ppeals </w:t>
      </w:r>
      <w:r w:rsidR="00263C1C">
        <w:rPr>
          <w:rFonts w:cs="Arial"/>
        </w:rPr>
        <w:t>p</w:t>
      </w:r>
      <w:r w:rsidR="005C491A">
        <w:rPr>
          <w:rFonts w:cs="Arial"/>
        </w:rPr>
        <w:t>rocess</w:t>
      </w:r>
      <w:r w:rsidR="00FE0C01">
        <w:rPr>
          <w:rFonts w:cs="Arial"/>
        </w:rPr>
        <w:t>,</w:t>
      </w:r>
      <w:r w:rsidR="00263C1C">
        <w:rPr>
          <w:rFonts w:cs="Arial"/>
        </w:rPr>
        <w:t xml:space="preserve"> immediately after SBE’s approval of these grants</w:t>
      </w:r>
      <w:r w:rsidR="005C491A">
        <w:rPr>
          <w:rFonts w:cs="Arial"/>
        </w:rPr>
        <w:t xml:space="preserve">, the CDE discovered a mistake in </w:t>
      </w:r>
      <w:r w:rsidR="00A277CB">
        <w:rPr>
          <w:rFonts w:cs="Arial"/>
        </w:rPr>
        <w:t xml:space="preserve">its </w:t>
      </w:r>
      <w:r w:rsidR="00263C1C">
        <w:rPr>
          <w:rFonts w:cs="Arial"/>
        </w:rPr>
        <w:t>appl</w:t>
      </w:r>
      <w:r w:rsidR="00A277CB">
        <w:rPr>
          <w:rFonts w:cs="Arial"/>
        </w:rPr>
        <w:t>ication of</w:t>
      </w:r>
      <w:r w:rsidR="00263C1C">
        <w:rPr>
          <w:rFonts w:cs="Arial"/>
        </w:rPr>
        <w:t xml:space="preserve"> the funding criteria </w:t>
      </w:r>
      <w:r w:rsidR="00A277CB">
        <w:rPr>
          <w:rFonts w:cs="Arial"/>
        </w:rPr>
        <w:t>to</w:t>
      </w:r>
      <w:r w:rsidR="005C491A">
        <w:rPr>
          <w:rFonts w:cs="Arial"/>
        </w:rPr>
        <w:t xml:space="preserve"> the data</w:t>
      </w:r>
      <w:r w:rsidR="00263C1C">
        <w:rPr>
          <w:rFonts w:cs="Arial"/>
        </w:rPr>
        <w:t xml:space="preserve"> </w:t>
      </w:r>
      <w:r w:rsidR="00A277CB">
        <w:rPr>
          <w:rFonts w:cs="Arial"/>
        </w:rPr>
        <w:t>associated with every applicant</w:t>
      </w:r>
      <w:r w:rsidR="00263C1C">
        <w:rPr>
          <w:rFonts w:cs="Arial"/>
        </w:rPr>
        <w:t xml:space="preserve"> school site</w:t>
      </w:r>
      <w:r w:rsidR="005C491A">
        <w:rPr>
          <w:rFonts w:cs="Arial"/>
        </w:rPr>
        <w:t xml:space="preserve">. The CDE has completed an in-depth review </w:t>
      </w:r>
      <w:r w:rsidR="006F5CEB">
        <w:rPr>
          <w:rFonts w:cs="Arial"/>
        </w:rPr>
        <w:t>of the data and is updating the funding recommendation for Cohort 3. Through the CDE’s discovery, eight schools should not have been recommended for funding (see Attachment 1, Table</w:t>
      </w:r>
      <w:r>
        <w:rPr>
          <w:rFonts w:cs="Arial"/>
        </w:rPr>
        <w:t xml:space="preserve"> </w:t>
      </w:r>
      <w:r w:rsidR="006F5CEB">
        <w:rPr>
          <w:rFonts w:cs="Arial"/>
        </w:rPr>
        <w:t>1)</w:t>
      </w:r>
      <w:r w:rsidR="00D9567A">
        <w:rPr>
          <w:rFonts w:cs="Arial"/>
        </w:rPr>
        <w:t xml:space="preserve">. After reviewing every appeal, the CDE recommends </w:t>
      </w:r>
      <w:r w:rsidR="003F6BD4">
        <w:rPr>
          <w:rFonts w:cs="Arial"/>
        </w:rPr>
        <w:t>funding</w:t>
      </w:r>
      <w:r w:rsidR="00D9567A">
        <w:rPr>
          <w:rFonts w:cs="Arial"/>
        </w:rPr>
        <w:t xml:space="preserve"> </w:t>
      </w:r>
      <w:r w:rsidR="003F6BD4">
        <w:rPr>
          <w:rFonts w:cs="Arial"/>
        </w:rPr>
        <w:t xml:space="preserve">for </w:t>
      </w:r>
      <w:r w:rsidR="00D9567A">
        <w:rPr>
          <w:rFonts w:cs="Arial"/>
        </w:rPr>
        <w:t>an additional</w:t>
      </w:r>
      <w:r w:rsidR="00EA2846">
        <w:rPr>
          <w:rFonts w:cs="Arial"/>
        </w:rPr>
        <w:t xml:space="preserve"> </w:t>
      </w:r>
      <w:r w:rsidR="00D527DF">
        <w:rPr>
          <w:rFonts w:cs="Arial"/>
        </w:rPr>
        <w:t>eleven</w:t>
      </w:r>
      <w:r w:rsidR="006F5CEB">
        <w:rPr>
          <w:rFonts w:cs="Arial"/>
        </w:rPr>
        <w:t xml:space="preserve"> schools (see Attachment 1, Table 2</w:t>
      </w:r>
      <w:r w:rsidR="00D9567A">
        <w:rPr>
          <w:rFonts w:cs="Arial"/>
        </w:rPr>
        <w:t>)</w:t>
      </w:r>
      <w:r w:rsidR="006F5CEB">
        <w:rPr>
          <w:rFonts w:cs="Arial"/>
        </w:rPr>
        <w:t xml:space="preserve"> bringing the total number of schools recommended for funding to 99</w:t>
      </w:r>
      <w:r w:rsidR="00D527DF">
        <w:rPr>
          <w:rFonts w:cs="Arial"/>
        </w:rPr>
        <w:t>8</w:t>
      </w:r>
      <w:r w:rsidR="006F5CEB">
        <w:rPr>
          <w:rFonts w:cs="Arial"/>
        </w:rPr>
        <w:t xml:space="preserve"> for a total of </w:t>
      </w:r>
      <w:r w:rsidR="006F5CEB" w:rsidRPr="006F5CEB">
        <w:rPr>
          <w:rFonts w:cs="Arial"/>
        </w:rPr>
        <w:t>$1,29</w:t>
      </w:r>
      <w:r w:rsidR="00D527DF">
        <w:rPr>
          <w:rFonts w:cs="Arial"/>
        </w:rPr>
        <w:t>8</w:t>
      </w:r>
      <w:r w:rsidR="006F5CEB" w:rsidRPr="006F5CEB">
        <w:rPr>
          <w:rFonts w:cs="Arial"/>
        </w:rPr>
        <w:t>,</w:t>
      </w:r>
      <w:r w:rsidR="00D527DF">
        <w:rPr>
          <w:rFonts w:cs="Arial"/>
        </w:rPr>
        <w:t>063</w:t>
      </w:r>
      <w:r w:rsidR="006F5CEB" w:rsidRPr="006F5CEB">
        <w:rPr>
          <w:rFonts w:cs="Arial"/>
        </w:rPr>
        <w:t>,</w:t>
      </w:r>
      <w:r w:rsidR="00D527DF">
        <w:rPr>
          <w:rFonts w:cs="Arial"/>
        </w:rPr>
        <w:t>5</w:t>
      </w:r>
      <w:r w:rsidR="006F5CEB" w:rsidRPr="006F5CEB">
        <w:rPr>
          <w:rFonts w:cs="Arial"/>
        </w:rPr>
        <w:t>00</w:t>
      </w:r>
      <w:r w:rsidR="006F5CEB">
        <w:rPr>
          <w:rFonts w:cs="Arial"/>
        </w:rPr>
        <w:t xml:space="preserve">. </w:t>
      </w:r>
    </w:p>
    <w:p w14:paraId="2896E012" w14:textId="75E3BB5B" w:rsidR="00834A4B" w:rsidRDefault="00A277CB" w:rsidP="004E4183">
      <w:pPr>
        <w:spacing w:after="240"/>
        <w:rPr>
          <w:rFonts w:cs="Arial"/>
        </w:rPr>
      </w:pPr>
      <w:r>
        <w:rPr>
          <w:rFonts w:cs="Arial"/>
        </w:rPr>
        <w:t xml:space="preserve">The criteria for funding remains unchanged from May 2024. </w:t>
      </w:r>
      <w:r w:rsidR="00A07DD7" w:rsidRPr="00CA40CB">
        <w:rPr>
          <w:rStyle w:val="ui-provider"/>
          <w:rFonts w:eastAsiaTheme="majorEastAsia" w:cs="Arial"/>
        </w:rPr>
        <w:t>The</w:t>
      </w:r>
      <w:r w:rsidR="00D9567A">
        <w:rPr>
          <w:rStyle w:val="ui-provider"/>
          <w:rFonts w:eastAsiaTheme="majorEastAsia" w:cs="Arial"/>
        </w:rPr>
        <w:t xml:space="preserve"> updated awards will </w:t>
      </w:r>
      <w:r w:rsidR="00A07DD7" w:rsidRPr="00CA40CB">
        <w:rPr>
          <w:rStyle w:val="ui-provider"/>
          <w:rFonts w:eastAsiaTheme="majorEastAsia" w:cs="Arial"/>
        </w:rPr>
        <w:t xml:space="preserve">represent </w:t>
      </w:r>
      <w:r w:rsidR="00871A97" w:rsidRPr="00CA40CB">
        <w:rPr>
          <w:rStyle w:val="ui-provider"/>
          <w:rFonts w:eastAsiaTheme="majorEastAsia" w:cs="Arial"/>
        </w:rPr>
        <w:t>8</w:t>
      </w:r>
      <w:r w:rsidR="006F5CEB">
        <w:rPr>
          <w:rStyle w:val="ui-provider"/>
          <w:rFonts w:eastAsiaTheme="majorEastAsia" w:cs="Arial"/>
        </w:rPr>
        <w:t>40</w:t>
      </w:r>
      <w:r w:rsidR="00A07DD7" w:rsidRPr="00CA40CB">
        <w:rPr>
          <w:rStyle w:val="ui-provider"/>
          <w:rFonts w:eastAsiaTheme="majorEastAsia" w:cs="Arial"/>
        </w:rPr>
        <w:t xml:space="preserve"> schools that</w:t>
      </w:r>
      <w:r w:rsidR="00811675" w:rsidRPr="00CA40CB">
        <w:rPr>
          <w:rStyle w:val="ui-provider"/>
          <w:rFonts w:eastAsiaTheme="majorEastAsia" w:cs="Arial"/>
        </w:rPr>
        <w:t xml:space="preserve"> serve </w:t>
      </w:r>
      <w:r w:rsidR="00F1650D" w:rsidRPr="00CA40CB">
        <w:rPr>
          <w:rStyle w:val="ui-provider"/>
          <w:rFonts w:cs="Arial"/>
        </w:rPr>
        <w:t>80</w:t>
      </w:r>
      <w:r w:rsidR="00811675" w:rsidRPr="00CA40CB">
        <w:rPr>
          <w:rStyle w:val="ui-provider"/>
          <w:rFonts w:eastAsiaTheme="majorEastAsia" w:cs="Arial"/>
        </w:rPr>
        <w:t xml:space="preserve"> percent or more </w:t>
      </w:r>
      <w:r w:rsidR="00A07DD7" w:rsidRPr="00CA40CB">
        <w:rPr>
          <w:rStyle w:val="ui-provider"/>
          <w:rFonts w:eastAsiaTheme="majorEastAsia" w:cs="Arial"/>
        </w:rPr>
        <w:t>unduplicated students</w:t>
      </w:r>
      <w:r w:rsidR="00811675" w:rsidRPr="00CA40CB">
        <w:rPr>
          <w:rStyle w:val="ui-provider"/>
          <w:rFonts w:eastAsiaTheme="majorEastAsia" w:cs="Arial"/>
        </w:rPr>
        <w:t xml:space="preserve">, </w:t>
      </w:r>
      <w:r w:rsidR="00765F2C" w:rsidRPr="00CA40CB">
        <w:rPr>
          <w:rStyle w:val="ui-provider"/>
          <w:rFonts w:cs="Arial"/>
        </w:rPr>
        <w:t>3</w:t>
      </w:r>
      <w:r w:rsidR="006F5CEB">
        <w:rPr>
          <w:rStyle w:val="ui-provider"/>
          <w:rFonts w:cs="Arial"/>
        </w:rPr>
        <w:t>6</w:t>
      </w:r>
      <w:r w:rsidR="00A07DD7" w:rsidRPr="00CA40CB">
        <w:rPr>
          <w:rStyle w:val="ui-provider"/>
          <w:rFonts w:cs="Arial"/>
        </w:rPr>
        <w:t xml:space="preserve"> rural </w:t>
      </w:r>
      <w:r w:rsidR="00A07DD7" w:rsidRPr="00CA40CB">
        <w:rPr>
          <w:rStyle w:val="ui-provider"/>
          <w:rFonts w:eastAsiaTheme="majorEastAsia" w:cs="Arial"/>
        </w:rPr>
        <w:t>schools that serve</w:t>
      </w:r>
      <w:r w:rsidR="00A07DD7" w:rsidRPr="00CA40CB">
        <w:rPr>
          <w:rStyle w:val="ui-provider"/>
          <w:rFonts w:cs="Arial"/>
        </w:rPr>
        <w:t xml:space="preserve"> </w:t>
      </w:r>
      <w:r w:rsidR="00F1650D" w:rsidRPr="00CA40CB">
        <w:rPr>
          <w:rStyle w:val="ui-provider"/>
          <w:rFonts w:cs="Arial"/>
        </w:rPr>
        <w:t>70</w:t>
      </w:r>
      <w:r w:rsidR="00811675" w:rsidRPr="00CA40CB">
        <w:rPr>
          <w:rStyle w:val="ui-provider"/>
          <w:rFonts w:eastAsiaTheme="majorEastAsia" w:cs="Arial"/>
        </w:rPr>
        <w:t xml:space="preserve"> percent or more </w:t>
      </w:r>
      <w:r w:rsidR="00A07DD7" w:rsidRPr="00CA40CB">
        <w:rPr>
          <w:rStyle w:val="ui-provider"/>
          <w:rFonts w:eastAsiaTheme="majorEastAsia" w:cs="Arial"/>
        </w:rPr>
        <w:t>unduplicated students</w:t>
      </w:r>
      <w:r w:rsidR="00811675" w:rsidRPr="00CA40CB">
        <w:rPr>
          <w:rStyle w:val="ui-provider"/>
          <w:rFonts w:eastAsiaTheme="majorEastAsia" w:cs="Arial"/>
        </w:rPr>
        <w:t xml:space="preserve">, </w:t>
      </w:r>
      <w:r w:rsidR="006F5CEB">
        <w:rPr>
          <w:rStyle w:val="ui-provider"/>
          <w:rFonts w:eastAsiaTheme="majorEastAsia" w:cs="Arial"/>
        </w:rPr>
        <w:t>one</w:t>
      </w:r>
      <w:r w:rsidR="00A07DD7" w:rsidRPr="00CA40CB">
        <w:rPr>
          <w:rStyle w:val="ui-provider"/>
          <w:rFonts w:eastAsiaTheme="majorEastAsia" w:cs="Arial"/>
        </w:rPr>
        <w:t xml:space="preserve"> school with a </w:t>
      </w:r>
      <w:r w:rsidR="00811675" w:rsidRPr="00CA40CB">
        <w:rPr>
          <w:rStyle w:val="ui-provider"/>
          <w:rFonts w:eastAsiaTheme="majorEastAsia" w:cs="Arial"/>
        </w:rPr>
        <w:t xml:space="preserve">non-stability rate of </w:t>
      </w:r>
      <w:r w:rsidR="00F1650D" w:rsidRPr="00CA40CB">
        <w:rPr>
          <w:rStyle w:val="ui-provider"/>
          <w:rFonts w:cs="Arial"/>
        </w:rPr>
        <w:t>80</w:t>
      </w:r>
      <w:r w:rsidR="00811675" w:rsidRPr="00CA40CB">
        <w:rPr>
          <w:rStyle w:val="ui-provider"/>
          <w:rFonts w:cs="Arial"/>
        </w:rPr>
        <w:t xml:space="preserve"> </w:t>
      </w:r>
      <w:r w:rsidR="00811675" w:rsidRPr="00CA40CB">
        <w:rPr>
          <w:rStyle w:val="ui-provider"/>
          <w:rFonts w:eastAsiaTheme="majorEastAsia" w:cs="Arial"/>
        </w:rPr>
        <w:t>percent or higher</w:t>
      </w:r>
      <w:r w:rsidR="00765F2C" w:rsidRPr="00CA40CB">
        <w:rPr>
          <w:rStyle w:val="ui-provider"/>
          <w:rFonts w:eastAsiaTheme="majorEastAsia" w:cs="Arial"/>
        </w:rPr>
        <w:t xml:space="preserve">, </w:t>
      </w:r>
      <w:r w:rsidR="006F5CEB">
        <w:rPr>
          <w:rStyle w:val="ui-provider"/>
          <w:rFonts w:eastAsiaTheme="majorEastAsia" w:cs="Arial"/>
        </w:rPr>
        <w:t>6</w:t>
      </w:r>
      <w:r w:rsidR="00D527DF">
        <w:rPr>
          <w:rStyle w:val="ui-provider"/>
          <w:rFonts w:eastAsiaTheme="majorEastAsia" w:cs="Arial"/>
        </w:rPr>
        <w:t>3</w:t>
      </w:r>
      <w:r w:rsidR="00765F2C" w:rsidRPr="00CA40CB">
        <w:rPr>
          <w:rStyle w:val="ui-provider"/>
          <w:rFonts w:eastAsiaTheme="majorEastAsia" w:cs="Arial"/>
        </w:rPr>
        <w:t xml:space="preserve"> schools whose LEA was a planning grantee and </w:t>
      </w:r>
      <w:r w:rsidR="00EC75BC" w:rsidRPr="00CA40CB">
        <w:rPr>
          <w:rStyle w:val="ui-provider"/>
          <w:rFonts w:eastAsiaTheme="majorEastAsia" w:cs="Arial"/>
        </w:rPr>
        <w:t xml:space="preserve">that </w:t>
      </w:r>
      <w:r w:rsidR="00765F2C" w:rsidRPr="00CA40CB">
        <w:rPr>
          <w:rStyle w:val="ui-provider"/>
          <w:rFonts w:eastAsiaTheme="majorEastAsia" w:cs="Arial"/>
        </w:rPr>
        <w:t xml:space="preserve">serve 70 percent or more unduplicated students, and 58 rural schools whose LEA was a planning grantee and </w:t>
      </w:r>
      <w:r w:rsidR="00EC75BC" w:rsidRPr="00CA40CB">
        <w:rPr>
          <w:rStyle w:val="ui-provider"/>
          <w:rFonts w:eastAsiaTheme="majorEastAsia" w:cs="Arial"/>
        </w:rPr>
        <w:t xml:space="preserve">that </w:t>
      </w:r>
      <w:r w:rsidR="00765F2C" w:rsidRPr="00CA40CB">
        <w:rPr>
          <w:rStyle w:val="ui-provider"/>
          <w:rFonts w:eastAsiaTheme="majorEastAsia" w:cs="Arial"/>
        </w:rPr>
        <w:t>serve 60 percent or more unduplicated students</w:t>
      </w:r>
      <w:r w:rsidR="00871A97" w:rsidRPr="00CA40CB">
        <w:rPr>
          <w:rStyle w:val="ui-provider"/>
          <w:rFonts w:eastAsiaTheme="majorEastAsia" w:cs="Arial"/>
        </w:rPr>
        <w:t>.</w:t>
      </w:r>
      <w:r w:rsidR="002677E5">
        <w:rPr>
          <w:rStyle w:val="ui-provider"/>
          <w:rFonts w:eastAsiaTheme="majorEastAsia" w:cs="Arial"/>
        </w:rPr>
        <w:t xml:space="preserve"> </w:t>
      </w:r>
      <w:r w:rsidR="002677E5">
        <w:rPr>
          <w:rFonts w:cs="Arial"/>
        </w:rPr>
        <w:t>The number of LEAs recommended for funding remains at 288.</w:t>
      </w:r>
    </w:p>
    <w:p w14:paraId="728878A2" w14:textId="3C978A2B" w:rsidR="00263C1C" w:rsidRDefault="00263C1C" w:rsidP="004E4183">
      <w:pPr>
        <w:spacing w:after="240"/>
        <w:rPr>
          <w:rFonts w:cs="Arial"/>
        </w:rPr>
      </w:pPr>
      <w:r>
        <w:rPr>
          <w:rFonts w:cs="Arial"/>
        </w:rPr>
        <w:t>As a reminder, the CDE allocates implementation grant funding to school sites according to their enrollment data, as follows:</w:t>
      </w:r>
    </w:p>
    <w:tbl>
      <w:tblPr>
        <w:tblStyle w:val="GridTable4"/>
        <w:tblW w:w="9445" w:type="dxa"/>
        <w:tblLook w:val="04A0" w:firstRow="1" w:lastRow="0" w:firstColumn="1" w:lastColumn="0" w:noHBand="0" w:noVBand="1"/>
        <w:tblDescription w:val="column 1, enrollment category; column 2, years 1 through 4 annual grant amount; column 3, year five grant amount; column 4, total grant amount."/>
      </w:tblPr>
      <w:tblGrid>
        <w:gridCol w:w="3325"/>
        <w:gridCol w:w="1980"/>
        <w:gridCol w:w="2070"/>
        <w:gridCol w:w="2070"/>
      </w:tblGrid>
      <w:tr w:rsidR="00263C1C" w:rsidRPr="00CA40CB" w14:paraId="25B2A4CD" w14:textId="77777777" w:rsidTr="004B1B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vAlign w:val="bottom"/>
            <w:hideMark/>
          </w:tcPr>
          <w:p w14:paraId="16D7E393" w14:textId="77777777" w:rsidR="00263C1C" w:rsidRPr="00CA40CB" w:rsidRDefault="00263C1C" w:rsidP="001162D2">
            <w:pPr>
              <w:spacing w:before="60" w:line="252" w:lineRule="auto"/>
              <w:jc w:val="center"/>
              <w:rPr>
                <w:rFonts w:cs="Arial"/>
              </w:rPr>
            </w:pPr>
            <w:r w:rsidRPr="00CA40CB">
              <w:rPr>
                <w:rFonts w:cs="Arial"/>
                <w:color w:val="FFFFFF"/>
              </w:rPr>
              <w:t>Enrollment Category</w:t>
            </w:r>
          </w:p>
        </w:tc>
        <w:tc>
          <w:tcPr>
            <w:tcW w:w="1980" w:type="dxa"/>
            <w:vAlign w:val="bottom"/>
            <w:hideMark/>
          </w:tcPr>
          <w:p w14:paraId="73424DAC" w14:textId="77777777" w:rsidR="00263C1C" w:rsidRPr="00CA40CB" w:rsidRDefault="00263C1C" w:rsidP="001162D2">
            <w:pPr>
              <w:spacing w:before="60"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/>
              </w:rPr>
            </w:pPr>
            <w:r w:rsidRPr="00CA40CB">
              <w:rPr>
                <w:rFonts w:cs="Arial"/>
                <w:color w:val="FFFFFF"/>
              </w:rPr>
              <w:t>Annual Grant Amount</w:t>
            </w:r>
          </w:p>
          <w:p w14:paraId="51AAC66E" w14:textId="77777777" w:rsidR="00263C1C" w:rsidRPr="00CA40CB" w:rsidRDefault="00263C1C" w:rsidP="001162D2">
            <w:pPr>
              <w:spacing w:before="60"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i/>
                <w:iCs/>
                <w:color w:val="FFFFFF"/>
              </w:rPr>
            </w:pPr>
            <w:r w:rsidRPr="00CA40CB">
              <w:rPr>
                <w:rFonts w:cs="Arial"/>
                <w:b w:val="0"/>
                <w:i/>
                <w:iCs/>
                <w:color w:val="FFFFFF"/>
              </w:rPr>
              <w:t>Years One through Four</w:t>
            </w:r>
          </w:p>
        </w:tc>
        <w:tc>
          <w:tcPr>
            <w:tcW w:w="2070" w:type="dxa"/>
            <w:vAlign w:val="bottom"/>
            <w:hideMark/>
          </w:tcPr>
          <w:p w14:paraId="1F8B490C" w14:textId="77777777" w:rsidR="00263C1C" w:rsidRPr="00CA40CB" w:rsidRDefault="00263C1C" w:rsidP="001162D2">
            <w:pPr>
              <w:spacing w:before="60"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/>
              </w:rPr>
            </w:pPr>
            <w:r w:rsidRPr="00CA40CB">
              <w:rPr>
                <w:rFonts w:cs="Arial"/>
                <w:color w:val="FFFFFF"/>
              </w:rPr>
              <w:t>Annual Grant Amount</w:t>
            </w:r>
          </w:p>
          <w:p w14:paraId="3D7E1818" w14:textId="77777777" w:rsidR="00263C1C" w:rsidRPr="00CA40CB" w:rsidRDefault="00263C1C" w:rsidP="001162D2">
            <w:pPr>
              <w:spacing w:before="60"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i/>
                <w:iCs/>
                <w:color w:val="FFFFFF"/>
              </w:rPr>
            </w:pPr>
            <w:r w:rsidRPr="00CA40CB">
              <w:rPr>
                <w:rFonts w:cs="Arial"/>
                <w:b w:val="0"/>
                <w:i/>
                <w:iCs/>
                <w:color w:val="FFFFFF"/>
              </w:rPr>
              <w:t>Year Five</w:t>
            </w:r>
          </w:p>
        </w:tc>
        <w:tc>
          <w:tcPr>
            <w:tcW w:w="2070" w:type="dxa"/>
            <w:vAlign w:val="bottom"/>
            <w:hideMark/>
          </w:tcPr>
          <w:p w14:paraId="296F162E" w14:textId="77777777" w:rsidR="00263C1C" w:rsidRPr="00CA40CB" w:rsidRDefault="00263C1C" w:rsidP="001162D2">
            <w:pPr>
              <w:spacing w:before="60" w:line="25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FFFF"/>
              </w:rPr>
            </w:pPr>
            <w:r w:rsidRPr="00CA40CB">
              <w:rPr>
                <w:rFonts w:cs="Arial"/>
                <w:color w:val="FFFFFF"/>
              </w:rPr>
              <w:t>Total Grant Amount over Five Years</w:t>
            </w:r>
          </w:p>
        </w:tc>
      </w:tr>
      <w:tr w:rsidR="00263C1C" w:rsidRPr="00CA40CB" w14:paraId="7C09110D" w14:textId="77777777" w:rsidTr="001162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</w:tcPr>
          <w:p w14:paraId="516907E4" w14:textId="77777777" w:rsidR="00263C1C" w:rsidRPr="00CA40CB" w:rsidRDefault="00263C1C" w:rsidP="00E844ED">
            <w:pPr>
              <w:spacing w:before="60" w:after="60" w:line="259" w:lineRule="auto"/>
            </w:pPr>
            <w:r w:rsidRPr="00CA40CB">
              <w:t>Very Small:</w:t>
            </w:r>
          </w:p>
          <w:p w14:paraId="4560913E" w14:textId="77777777" w:rsidR="00263C1C" w:rsidRPr="00CA40CB" w:rsidRDefault="00263C1C" w:rsidP="00E844ED">
            <w:pPr>
              <w:spacing w:before="60" w:line="252" w:lineRule="auto"/>
              <w:rPr>
                <w:rFonts w:cs="Arial"/>
                <w:color w:val="000000"/>
              </w:rPr>
            </w:pPr>
            <w:r w:rsidRPr="00CA40CB">
              <w:t>10–24 students</w:t>
            </w:r>
          </w:p>
        </w:tc>
        <w:tc>
          <w:tcPr>
            <w:tcW w:w="1980" w:type="dxa"/>
          </w:tcPr>
          <w:p w14:paraId="24B0C214" w14:textId="77777777" w:rsidR="00263C1C" w:rsidRPr="00CA40CB" w:rsidRDefault="00263C1C" w:rsidP="00E844ED">
            <w:pPr>
              <w:spacing w:before="60" w:line="25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A40CB">
              <w:t>$75,000</w:t>
            </w:r>
          </w:p>
        </w:tc>
        <w:tc>
          <w:tcPr>
            <w:tcW w:w="2070" w:type="dxa"/>
          </w:tcPr>
          <w:p w14:paraId="2C1248D7" w14:textId="77777777" w:rsidR="00263C1C" w:rsidRPr="00CA40CB" w:rsidRDefault="00263C1C" w:rsidP="00E844ED">
            <w:pPr>
              <w:spacing w:before="60" w:line="25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A40CB">
              <w:t>$56,500</w:t>
            </w:r>
          </w:p>
        </w:tc>
        <w:tc>
          <w:tcPr>
            <w:tcW w:w="2070" w:type="dxa"/>
          </w:tcPr>
          <w:p w14:paraId="54813632" w14:textId="77777777" w:rsidR="00263C1C" w:rsidRPr="00CA40CB" w:rsidRDefault="00263C1C" w:rsidP="00E844ED">
            <w:pPr>
              <w:spacing w:before="60" w:line="25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 w:rsidRPr="00CA40CB">
              <w:t>$356,500</w:t>
            </w:r>
          </w:p>
        </w:tc>
      </w:tr>
      <w:tr w:rsidR="00263C1C" w:rsidRPr="00CA40CB" w14:paraId="3F8A49B1" w14:textId="77777777" w:rsidTr="004B1B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vAlign w:val="center"/>
            <w:hideMark/>
          </w:tcPr>
          <w:p w14:paraId="4F0D9FB7" w14:textId="77777777" w:rsidR="00263C1C" w:rsidRPr="00CA40CB" w:rsidRDefault="00263C1C" w:rsidP="00E844ED">
            <w:pPr>
              <w:spacing w:before="60" w:after="60" w:line="259" w:lineRule="auto"/>
            </w:pPr>
            <w:r w:rsidRPr="00CA40CB">
              <w:t>Small:</w:t>
            </w:r>
          </w:p>
          <w:p w14:paraId="58B4FEC1" w14:textId="77777777" w:rsidR="00263C1C" w:rsidRPr="00CA40CB" w:rsidRDefault="00263C1C" w:rsidP="00E844ED">
            <w:pPr>
              <w:spacing w:before="60" w:line="252" w:lineRule="auto"/>
              <w:rPr>
                <w:rFonts w:cs="Arial"/>
                <w:b w:val="0"/>
                <w:bCs w:val="0"/>
              </w:rPr>
            </w:pPr>
            <w:r w:rsidRPr="00CA40CB">
              <w:t>25–150 students</w:t>
            </w:r>
          </w:p>
        </w:tc>
        <w:tc>
          <w:tcPr>
            <w:tcW w:w="1980" w:type="dxa"/>
            <w:vAlign w:val="center"/>
            <w:hideMark/>
          </w:tcPr>
          <w:p w14:paraId="329E12B2" w14:textId="77777777" w:rsidR="00263C1C" w:rsidRPr="00CA40CB" w:rsidRDefault="00263C1C" w:rsidP="00E844ED">
            <w:pPr>
              <w:spacing w:before="60"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A40CB">
              <w:rPr>
                <w:rFonts w:cs="Arial"/>
                <w:color w:val="000000"/>
              </w:rPr>
              <w:t>$150,000</w:t>
            </w:r>
          </w:p>
        </w:tc>
        <w:tc>
          <w:tcPr>
            <w:tcW w:w="2070" w:type="dxa"/>
            <w:vAlign w:val="center"/>
            <w:hideMark/>
          </w:tcPr>
          <w:p w14:paraId="754015AC" w14:textId="77777777" w:rsidR="00263C1C" w:rsidRPr="00CA40CB" w:rsidRDefault="00263C1C" w:rsidP="00E844ED">
            <w:pPr>
              <w:spacing w:before="60"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A40CB">
              <w:rPr>
                <w:rFonts w:cs="Arial"/>
                <w:color w:val="000000"/>
              </w:rPr>
              <w:t>$112,500</w:t>
            </w:r>
          </w:p>
        </w:tc>
        <w:tc>
          <w:tcPr>
            <w:tcW w:w="2070" w:type="dxa"/>
            <w:vAlign w:val="center"/>
            <w:hideMark/>
          </w:tcPr>
          <w:p w14:paraId="368C4D9D" w14:textId="77777777" w:rsidR="00263C1C" w:rsidRPr="00CA40CB" w:rsidRDefault="00263C1C" w:rsidP="00E844ED">
            <w:pPr>
              <w:spacing w:before="60"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A40CB">
              <w:rPr>
                <w:rFonts w:cs="Arial"/>
                <w:color w:val="000000"/>
              </w:rPr>
              <w:t>$712,500</w:t>
            </w:r>
          </w:p>
        </w:tc>
      </w:tr>
      <w:tr w:rsidR="00263C1C" w:rsidRPr="00CA40CB" w14:paraId="213C8DA1" w14:textId="77777777" w:rsidTr="004B1B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vAlign w:val="center"/>
            <w:hideMark/>
          </w:tcPr>
          <w:p w14:paraId="3739D3FB" w14:textId="77777777" w:rsidR="00263C1C" w:rsidRPr="00CA40CB" w:rsidRDefault="00263C1C" w:rsidP="00E844ED">
            <w:pPr>
              <w:spacing w:before="60" w:after="60"/>
            </w:pPr>
            <w:r w:rsidRPr="00CA40CB">
              <w:lastRenderedPageBreak/>
              <w:t>Small/Medium:</w:t>
            </w:r>
          </w:p>
          <w:p w14:paraId="4086255E" w14:textId="77777777" w:rsidR="00263C1C" w:rsidRPr="00CA40CB" w:rsidRDefault="00263C1C" w:rsidP="00E844ED">
            <w:pPr>
              <w:spacing w:before="60" w:line="252" w:lineRule="auto"/>
              <w:rPr>
                <w:rFonts w:cs="Arial"/>
                <w:b w:val="0"/>
                <w:bCs w:val="0"/>
              </w:rPr>
            </w:pPr>
            <w:r w:rsidRPr="00CA40CB">
              <w:t>151–400 students</w:t>
            </w:r>
          </w:p>
        </w:tc>
        <w:tc>
          <w:tcPr>
            <w:tcW w:w="1980" w:type="dxa"/>
            <w:vAlign w:val="center"/>
            <w:hideMark/>
          </w:tcPr>
          <w:p w14:paraId="7554512D" w14:textId="77777777" w:rsidR="00263C1C" w:rsidRPr="00CA40CB" w:rsidRDefault="00263C1C" w:rsidP="00E844ED">
            <w:pPr>
              <w:spacing w:before="60" w:line="25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CA40CB">
              <w:rPr>
                <w:rFonts w:cs="Arial"/>
              </w:rPr>
              <w:t>$250,000</w:t>
            </w:r>
          </w:p>
        </w:tc>
        <w:tc>
          <w:tcPr>
            <w:tcW w:w="2070" w:type="dxa"/>
            <w:vAlign w:val="center"/>
            <w:hideMark/>
          </w:tcPr>
          <w:p w14:paraId="3EBB16DF" w14:textId="77777777" w:rsidR="00263C1C" w:rsidRPr="00CA40CB" w:rsidRDefault="00263C1C" w:rsidP="00E844ED">
            <w:pPr>
              <w:spacing w:before="60" w:line="25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CA40CB">
              <w:rPr>
                <w:rFonts w:cs="Arial"/>
              </w:rPr>
              <w:t>$187,500</w:t>
            </w:r>
          </w:p>
        </w:tc>
        <w:tc>
          <w:tcPr>
            <w:tcW w:w="2070" w:type="dxa"/>
            <w:vAlign w:val="center"/>
            <w:hideMark/>
          </w:tcPr>
          <w:p w14:paraId="2A6935AA" w14:textId="77777777" w:rsidR="00263C1C" w:rsidRPr="00CA40CB" w:rsidRDefault="00263C1C" w:rsidP="00E844ED">
            <w:pPr>
              <w:spacing w:before="60" w:line="25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CA40CB">
              <w:rPr>
                <w:rFonts w:cs="Arial"/>
              </w:rPr>
              <w:t>$1,187,500</w:t>
            </w:r>
          </w:p>
        </w:tc>
      </w:tr>
      <w:tr w:rsidR="00263C1C" w:rsidRPr="00CA40CB" w14:paraId="7AB376DC" w14:textId="77777777" w:rsidTr="004B1B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vAlign w:val="center"/>
            <w:hideMark/>
          </w:tcPr>
          <w:p w14:paraId="2B122F48" w14:textId="77777777" w:rsidR="00263C1C" w:rsidRPr="00CA40CB" w:rsidRDefault="00263C1C" w:rsidP="00E844ED">
            <w:pPr>
              <w:spacing w:before="60" w:after="60" w:line="259" w:lineRule="auto"/>
            </w:pPr>
            <w:r w:rsidRPr="00CA40CB">
              <w:t>Medium:</w:t>
            </w:r>
          </w:p>
          <w:p w14:paraId="73ACB62B" w14:textId="77777777" w:rsidR="00263C1C" w:rsidRPr="00CA40CB" w:rsidRDefault="00263C1C" w:rsidP="00E844ED">
            <w:pPr>
              <w:spacing w:before="60" w:line="252" w:lineRule="auto"/>
              <w:rPr>
                <w:rFonts w:cs="Arial"/>
                <w:b w:val="0"/>
                <w:bCs w:val="0"/>
              </w:rPr>
            </w:pPr>
            <w:r w:rsidRPr="00CA40CB">
              <w:t>401–1,000 students</w:t>
            </w:r>
          </w:p>
        </w:tc>
        <w:tc>
          <w:tcPr>
            <w:tcW w:w="1980" w:type="dxa"/>
            <w:vAlign w:val="center"/>
            <w:hideMark/>
          </w:tcPr>
          <w:p w14:paraId="43D587BB" w14:textId="77777777" w:rsidR="00263C1C" w:rsidRPr="00CA40CB" w:rsidRDefault="00263C1C" w:rsidP="00E844ED">
            <w:pPr>
              <w:spacing w:before="60"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A40CB">
              <w:rPr>
                <w:rFonts w:cs="Arial"/>
                <w:color w:val="000000"/>
              </w:rPr>
              <w:t>$300,000</w:t>
            </w:r>
          </w:p>
        </w:tc>
        <w:tc>
          <w:tcPr>
            <w:tcW w:w="2070" w:type="dxa"/>
            <w:vAlign w:val="center"/>
            <w:hideMark/>
          </w:tcPr>
          <w:p w14:paraId="71C4F15D" w14:textId="77777777" w:rsidR="00263C1C" w:rsidRPr="00CA40CB" w:rsidRDefault="00263C1C" w:rsidP="00E844ED">
            <w:pPr>
              <w:spacing w:before="60"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A40CB">
              <w:rPr>
                <w:rFonts w:cs="Arial"/>
                <w:color w:val="000000"/>
              </w:rPr>
              <w:t>$225,000</w:t>
            </w:r>
          </w:p>
        </w:tc>
        <w:tc>
          <w:tcPr>
            <w:tcW w:w="2070" w:type="dxa"/>
            <w:vAlign w:val="center"/>
            <w:hideMark/>
          </w:tcPr>
          <w:p w14:paraId="2B6C7439" w14:textId="77777777" w:rsidR="00263C1C" w:rsidRPr="00CA40CB" w:rsidRDefault="00263C1C" w:rsidP="00E844ED">
            <w:pPr>
              <w:spacing w:before="60"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A40CB">
              <w:rPr>
                <w:rFonts w:cs="Arial"/>
                <w:color w:val="000000"/>
              </w:rPr>
              <w:t>$1,425,000</w:t>
            </w:r>
          </w:p>
        </w:tc>
      </w:tr>
      <w:tr w:rsidR="00263C1C" w:rsidRPr="00CA40CB" w14:paraId="1D29A835" w14:textId="77777777" w:rsidTr="004B1B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vAlign w:val="center"/>
            <w:hideMark/>
          </w:tcPr>
          <w:p w14:paraId="51E3D30D" w14:textId="77777777" w:rsidR="00263C1C" w:rsidRPr="00CA40CB" w:rsidRDefault="00263C1C" w:rsidP="00E844ED">
            <w:pPr>
              <w:spacing w:before="60" w:after="60" w:line="259" w:lineRule="auto"/>
            </w:pPr>
            <w:r w:rsidRPr="00CA40CB">
              <w:t>Medium/Large:</w:t>
            </w:r>
          </w:p>
          <w:p w14:paraId="2C2480C0" w14:textId="77777777" w:rsidR="00263C1C" w:rsidRPr="00CA40CB" w:rsidRDefault="00263C1C" w:rsidP="00E844ED">
            <w:pPr>
              <w:spacing w:before="60" w:line="252" w:lineRule="auto"/>
              <w:rPr>
                <w:rFonts w:cs="Arial"/>
                <w:b w:val="0"/>
                <w:bCs w:val="0"/>
              </w:rPr>
            </w:pPr>
            <w:r w:rsidRPr="00CA40CB">
              <w:t>1,001–2,000 students</w:t>
            </w:r>
          </w:p>
        </w:tc>
        <w:tc>
          <w:tcPr>
            <w:tcW w:w="1980" w:type="dxa"/>
            <w:vAlign w:val="center"/>
            <w:hideMark/>
          </w:tcPr>
          <w:p w14:paraId="0F6C163A" w14:textId="77777777" w:rsidR="00263C1C" w:rsidRPr="00CA40CB" w:rsidRDefault="00263C1C" w:rsidP="00E844ED">
            <w:pPr>
              <w:spacing w:before="60" w:line="25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CA40CB">
              <w:rPr>
                <w:rFonts w:cs="Arial"/>
              </w:rPr>
              <w:t>$400,000</w:t>
            </w:r>
          </w:p>
        </w:tc>
        <w:tc>
          <w:tcPr>
            <w:tcW w:w="2070" w:type="dxa"/>
            <w:vAlign w:val="center"/>
            <w:hideMark/>
          </w:tcPr>
          <w:p w14:paraId="409D65B1" w14:textId="77777777" w:rsidR="00263C1C" w:rsidRPr="00CA40CB" w:rsidRDefault="00263C1C" w:rsidP="00E844ED">
            <w:pPr>
              <w:spacing w:before="60" w:line="25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CA40CB">
              <w:rPr>
                <w:rFonts w:cs="Arial"/>
              </w:rPr>
              <w:t>$300,000</w:t>
            </w:r>
          </w:p>
        </w:tc>
        <w:tc>
          <w:tcPr>
            <w:tcW w:w="2070" w:type="dxa"/>
            <w:vAlign w:val="center"/>
            <w:hideMark/>
          </w:tcPr>
          <w:p w14:paraId="71532119" w14:textId="77777777" w:rsidR="00263C1C" w:rsidRPr="00CA40CB" w:rsidRDefault="00263C1C" w:rsidP="00E844ED">
            <w:pPr>
              <w:spacing w:before="60" w:line="25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CA40CB">
              <w:rPr>
                <w:rFonts w:cs="Arial"/>
              </w:rPr>
              <w:t>$1,900,000</w:t>
            </w:r>
          </w:p>
        </w:tc>
      </w:tr>
      <w:tr w:rsidR="00263C1C" w:rsidRPr="00CA40CB" w14:paraId="5C351112" w14:textId="77777777" w:rsidTr="004B1B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25" w:type="dxa"/>
            <w:vAlign w:val="center"/>
            <w:hideMark/>
          </w:tcPr>
          <w:p w14:paraId="6226B0ED" w14:textId="77777777" w:rsidR="00263C1C" w:rsidRPr="00CA40CB" w:rsidRDefault="00263C1C" w:rsidP="00E844ED">
            <w:pPr>
              <w:spacing w:before="60" w:after="60" w:line="259" w:lineRule="auto"/>
            </w:pPr>
            <w:r w:rsidRPr="00CA40CB">
              <w:t>Large:</w:t>
            </w:r>
          </w:p>
          <w:p w14:paraId="015E4C5E" w14:textId="77777777" w:rsidR="00263C1C" w:rsidRPr="00CA40CB" w:rsidRDefault="00263C1C" w:rsidP="00E844ED">
            <w:pPr>
              <w:spacing w:before="60" w:line="252" w:lineRule="auto"/>
              <w:rPr>
                <w:rFonts w:cs="Arial"/>
                <w:b w:val="0"/>
                <w:bCs w:val="0"/>
              </w:rPr>
            </w:pPr>
            <w:r w:rsidRPr="00CA40CB">
              <w:t>2,001 or more students</w:t>
            </w:r>
          </w:p>
        </w:tc>
        <w:tc>
          <w:tcPr>
            <w:tcW w:w="1980" w:type="dxa"/>
            <w:vAlign w:val="center"/>
            <w:hideMark/>
          </w:tcPr>
          <w:p w14:paraId="19A46494" w14:textId="77777777" w:rsidR="00263C1C" w:rsidRPr="00CA40CB" w:rsidRDefault="00263C1C" w:rsidP="00E844ED">
            <w:pPr>
              <w:spacing w:before="60"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A40CB">
              <w:rPr>
                <w:rFonts w:cs="Arial"/>
                <w:color w:val="000000"/>
              </w:rPr>
              <w:t>$500,000</w:t>
            </w:r>
          </w:p>
        </w:tc>
        <w:tc>
          <w:tcPr>
            <w:tcW w:w="2070" w:type="dxa"/>
            <w:vAlign w:val="center"/>
            <w:hideMark/>
          </w:tcPr>
          <w:p w14:paraId="52B33E9C" w14:textId="77777777" w:rsidR="00263C1C" w:rsidRPr="00CA40CB" w:rsidRDefault="00263C1C" w:rsidP="00E844ED">
            <w:pPr>
              <w:spacing w:before="60"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A40CB">
              <w:rPr>
                <w:rFonts w:cs="Arial"/>
                <w:color w:val="000000"/>
              </w:rPr>
              <w:t>$375,000</w:t>
            </w:r>
          </w:p>
        </w:tc>
        <w:tc>
          <w:tcPr>
            <w:tcW w:w="2070" w:type="dxa"/>
            <w:vAlign w:val="center"/>
            <w:hideMark/>
          </w:tcPr>
          <w:p w14:paraId="4175B888" w14:textId="77777777" w:rsidR="00263C1C" w:rsidRPr="00CA40CB" w:rsidRDefault="00263C1C" w:rsidP="00E844ED">
            <w:pPr>
              <w:spacing w:before="60" w:line="25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A40CB">
              <w:rPr>
                <w:rFonts w:cs="Arial"/>
                <w:color w:val="000000"/>
              </w:rPr>
              <w:t>$2,375,000</w:t>
            </w:r>
          </w:p>
        </w:tc>
      </w:tr>
    </w:tbl>
    <w:p w14:paraId="37AAC75E" w14:textId="5452F614" w:rsidR="0053729A" w:rsidRPr="00CA40CB" w:rsidRDefault="00830DE9" w:rsidP="004B1B69">
      <w:pPr>
        <w:spacing w:before="240" w:after="240"/>
      </w:pPr>
      <w:r>
        <w:rPr>
          <w:rFonts w:cs="Arial"/>
        </w:rPr>
        <w:t xml:space="preserve">The </w:t>
      </w:r>
      <w:r w:rsidR="00263C1C">
        <w:rPr>
          <w:rFonts w:cs="Arial"/>
        </w:rPr>
        <w:t xml:space="preserve">CDE has individually notified every LEA that will </w:t>
      </w:r>
      <w:r w:rsidR="00D9567A">
        <w:rPr>
          <w:rFonts w:cs="Arial"/>
        </w:rPr>
        <w:t>have a reduction in</w:t>
      </w:r>
      <w:r w:rsidR="00263C1C">
        <w:rPr>
          <w:rFonts w:cs="Arial"/>
        </w:rPr>
        <w:t xml:space="preserve"> funding. </w:t>
      </w:r>
      <w:r w:rsidR="00A277CB">
        <w:rPr>
          <w:rFonts w:cs="Arial"/>
        </w:rPr>
        <w:t xml:space="preserve">Declining to fund eight schools and funding an additional eleven schools </w:t>
      </w:r>
      <w:r>
        <w:rPr>
          <w:rFonts w:cs="Arial"/>
        </w:rPr>
        <w:t>will</w:t>
      </w:r>
      <w:r w:rsidR="00A277CB">
        <w:rPr>
          <w:rFonts w:cs="Arial"/>
        </w:rPr>
        <w:t xml:space="preserve"> affect the COE allocations described in May 2024.</w:t>
      </w:r>
      <w:r w:rsidR="00263C1C">
        <w:rPr>
          <w:rFonts w:cs="Arial"/>
        </w:rPr>
        <w:t xml:space="preserve"> </w:t>
      </w:r>
      <w:r w:rsidR="00A07DD7" w:rsidRPr="00CA40CB">
        <w:rPr>
          <w:rFonts w:cs="Arial"/>
        </w:rPr>
        <w:t xml:space="preserve">If </w:t>
      </w:r>
      <w:r w:rsidR="002677E5">
        <w:rPr>
          <w:rFonts w:cs="Arial"/>
        </w:rPr>
        <w:t xml:space="preserve">the </w:t>
      </w:r>
      <w:r w:rsidR="00A07DD7" w:rsidRPr="00CA40CB">
        <w:rPr>
          <w:rFonts w:cs="Arial"/>
        </w:rPr>
        <w:t>SBE approves the</w:t>
      </w:r>
      <w:r w:rsidR="002677E5">
        <w:rPr>
          <w:rFonts w:cs="Arial"/>
        </w:rPr>
        <w:t xml:space="preserve"> updated funding recommendation</w:t>
      </w:r>
      <w:r w:rsidR="00A07DD7" w:rsidRPr="00CA40CB">
        <w:rPr>
          <w:rFonts w:cs="Arial"/>
        </w:rPr>
        <w:t xml:space="preserve">, </w:t>
      </w:r>
      <w:r w:rsidR="007634BF" w:rsidRPr="00CA40CB">
        <w:rPr>
          <w:rFonts w:cs="Arial"/>
        </w:rPr>
        <w:t xml:space="preserve">approximately </w:t>
      </w:r>
      <w:r w:rsidR="00765F2C" w:rsidRPr="00CA40CB">
        <w:rPr>
          <w:rFonts w:cs="Arial"/>
        </w:rPr>
        <w:t>$59</w:t>
      </w:r>
      <w:r w:rsidR="00044495">
        <w:rPr>
          <w:rFonts w:cs="Arial"/>
        </w:rPr>
        <w:t>0</w:t>
      </w:r>
      <w:r w:rsidR="00CB4287">
        <w:rPr>
          <w:rFonts w:cs="Arial"/>
        </w:rPr>
        <w:t>,</w:t>
      </w:r>
      <w:r w:rsidR="00044495">
        <w:rPr>
          <w:rFonts w:cs="Arial"/>
        </w:rPr>
        <w:t>945</w:t>
      </w:r>
      <w:r w:rsidR="00CB4287">
        <w:rPr>
          <w:rFonts w:cs="Arial"/>
        </w:rPr>
        <w:t>,</w:t>
      </w:r>
      <w:r w:rsidR="00044495">
        <w:rPr>
          <w:rFonts w:cs="Arial"/>
        </w:rPr>
        <w:t>7</w:t>
      </w:r>
      <w:r w:rsidR="00CB4287">
        <w:rPr>
          <w:rFonts w:cs="Arial"/>
        </w:rPr>
        <w:t xml:space="preserve">46 </w:t>
      </w:r>
      <w:r w:rsidR="002677E5">
        <w:rPr>
          <w:rFonts w:cs="Arial"/>
        </w:rPr>
        <w:t xml:space="preserve">will be </w:t>
      </w:r>
      <w:r w:rsidR="00A07DD7" w:rsidRPr="00CA40CB">
        <w:rPr>
          <w:rFonts w:cs="Arial"/>
        </w:rPr>
        <w:t>remaining for</w:t>
      </w:r>
      <w:r w:rsidR="002677E5">
        <w:rPr>
          <w:rFonts w:cs="Arial"/>
        </w:rPr>
        <w:t xml:space="preserve"> Cohort 4</w:t>
      </w:r>
      <w:r w:rsidR="00A07DD7" w:rsidRPr="00CA40CB">
        <w:rPr>
          <w:rFonts w:cs="Arial"/>
        </w:rPr>
        <w:t xml:space="preserve"> Implementation Grant</w:t>
      </w:r>
      <w:r w:rsidR="002677E5">
        <w:rPr>
          <w:rFonts w:cs="Arial"/>
        </w:rPr>
        <w:t>s</w:t>
      </w:r>
      <w:r w:rsidR="00A07DD7" w:rsidRPr="00CA40CB">
        <w:rPr>
          <w:rFonts w:cs="Arial"/>
        </w:rPr>
        <w:t xml:space="preserve">. </w:t>
      </w:r>
    </w:p>
    <w:p w14:paraId="55C7F113" w14:textId="2D1E2E82" w:rsidR="00A07DD7" w:rsidRPr="00CA40CB" w:rsidRDefault="00A07DD7" w:rsidP="0015601D">
      <w:pPr>
        <w:spacing w:after="240"/>
        <w:rPr>
          <w:rFonts w:cs="Arial"/>
        </w:rPr>
      </w:pPr>
      <w:r w:rsidRPr="00CA40CB">
        <w:rPr>
          <w:rFonts w:cs="Arial"/>
        </w:rPr>
        <w:t>If approved, the CDE will issue Grant Award Notification</w:t>
      </w:r>
      <w:r w:rsidR="00830DE9">
        <w:rPr>
          <w:rFonts w:cs="Arial"/>
        </w:rPr>
        <w:t xml:space="preserve"> letters</w:t>
      </w:r>
      <w:r w:rsidRPr="00CA40CB">
        <w:rPr>
          <w:rFonts w:cs="Arial"/>
        </w:rPr>
        <w:t xml:space="preserve"> to each LEA</w:t>
      </w:r>
      <w:r w:rsidR="00830DE9">
        <w:rPr>
          <w:rFonts w:cs="Arial"/>
        </w:rPr>
        <w:t xml:space="preserve"> with the increase of funds as</w:t>
      </w:r>
      <w:r w:rsidR="00A277CB">
        <w:rPr>
          <w:rFonts w:cs="Arial"/>
        </w:rPr>
        <w:t xml:space="preserve"> </w:t>
      </w:r>
      <w:r w:rsidR="00830DE9">
        <w:rPr>
          <w:rFonts w:cs="Arial"/>
        </w:rPr>
        <w:t>reflected</w:t>
      </w:r>
      <w:r w:rsidR="00A277CB">
        <w:rPr>
          <w:rFonts w:cs="Arial"/>
        </w:rPr>
        <w:t xml:space="preserve"> in Attachment 1, Table 2.</w:t>
      </w:r>
    </w:p>
    <w:p w14:paraId="10D4536D" w14:textId="77777777" w:rsidR="001162D2" w:rsidRPr="00CA40CB" w:rsidRDefault="001162D2" w:rsidP="001162D2">
      <w:pPr>
        <w:pStyle w:val="Heading3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2024 Annual EMPOWER Summit</w:t>
      </w:r>
    </w:p>
    <w:p w14:paraId="11A590E7" w14:textId="21CACCD8" w:rsidR="001162D2" w:rsidRPr="001162D2" w:rsidRDefault="001162D2" w:rsidP="001162D2">
      <w:pPr>
        <w:spacing w:after="240"/>
      </w:pPr>
      <w:r w:rsidRPr="006B464F">
        <w:t xml:space="preserve">The annual </w:t>
      </w:r>
      <w:r>
        <w:t xml:space="preserve">California </w:t>
      </w:r>
      <w:r w:rsidRPr="006B464F">
        <w:t>community schools conference, the EMPOWER Summit, was held in Hollywood</w:t>
      </w:r>
      <w:r>
        <w:t xml:space="preserve">, California, </w:t>
      </w:r>
      <w:r w:rsidRPr="006B464F">
        <w:t>on June 13–14, 2024.</w:t>
      </w:r>
      <w:r>
        <w:t xml:space="preserve"> </w:t>
      </w:r>
      <w:r w:rsidRPr="001162D2">
        <w:t xml:space="preserve">The Summit drew </w:t>
      </w:r>
      <w:r>
        <w:t xml:space="preserve">over </w:t>
      </w:r>
      <w:r w:rsidRPr="001162D2">
        <w:t>1,30</w:t>
      </w:r>
      <w:r>
        <w:t>0</w:t>
      </w:r>
      <w:r w:rsidRPr="001162D2">
        <w:t xml:space="preserve"> attendees, including students</w:t>
      </w:r>
      <w:r w:rsidR="00830DE9">
        <w:t>, parents, community members,</w:t>
      </w:r>
      <w:r w:rsidRPr="001162D2">
        <w:t xml:space="preserve"> and </w:t>
      </w:r>
      <w:r w:rsidR="00830DE9">
        <w:t>educators</w:t>
      </w:r>
      <w:r w:rsidRPr="001162D2">
        <w:t xml:space="preserve"> </w:t>
      </w:r>
      <w:r w:rsidR="004B1B69">
        <w:t xml:space="preserve">representing </w:t>
      </w:r>
      <w:r w:rsidRPr="001162D2">
        <w:t>over 350 LEAs. This year's event, expanded to two full days in response to feedback from last year's one-day format</w:t>
      </w:r>
      <w:r w:rsidR="004B1B69">
        <w:t xml:space="preserve"> and</w:t>
      </w:r>
      <w:r w:rsidRPr="001162D2">
        <w:t xml:space="preserve"> featured a dynamic student emcee</w:t>
      </w:r>
      <w:r w:rsidR="004B1B69">
        <w:t xml:space="preserve"> and</w:t>
      </w:r>
      <w:r w:rsidRPr="001162D2">
        <w:t xml:space="preserve"> powerful keynote</w:t>
      </w:r>
      <w:r w:rsidR="00830DE9">
        <w:t xml:space="preserve"> speeche</w:t>
      </w:r>
      <w:r w:rsidRPr="001162D2">
        <w:t xml:space="preserve">s. Attendees had access to 111 general sessions, </w:t>
      </w:r>
      <w:r w:rsidR="00830DE9">
        <w:t xml:space="preserve">including </w:t>
      </w:r>
      <w:r w:rsidR="003A6252">
        <w:t>a Regional Technical Assistance Center</w:t>
      </w:r>
      <w:r w:rsidRPr="001162D2">
        <w:t xml:space="preserve"> networking session</w:t>
      </w:r>
      <w:r w:rsidR="00830DE9">
        <w:t xml:space="preserve"> for each region</w:t>
      </w:r>
      <w:r w:rsidRPr="001162D2">
        <w:t xml:space="preserve">, </w:t>
      </w:r>
      <w:r>
        <w:t>two</w:t>
      </w:r>
      <w:r w:rsidRPr="001162D2">
        <w:t xml:space="preserve"> student-led sessions, and </w:t>
      </w:r>
      <w:r>
        <w:t>two</w:t>
      </w:r>
      <w:r w:rsidRPr="001162D2">
        <w:t xml:space="preserve"> parent-led sessions highlighting a robust and diverse program. </w:t>
      </w:r>
      <w:r w:rsidR="00E46640">
        <w:t xml:space="preserve">The Community Schools Office held two “office hours” sessions to support individual grantees with specific questions. </w:t>
      </w:r>
    </w:p>
    <w:p w14:paraId="5B16C79C" w14:textId="2BBA52CC" w:rsidR="004B1B69" w:rsidRDefault="001162D2" w:rsidP="001162D2">
      <w:pPr>
        <w:spacing w:after="240"/>
      </w:pPr>
      <w:r w:rsidRPr="001162D2">
        <w:t xml:space="preserve">All sessions were aligned with </w:t>
      </w:r>
      <w:r w:rsidR="004B1B69">
        <w:t xml:space="preserve">at least </w:t>
      </w:r>
      <w:r>
        <w:t xml:space="preserve">one of the </w:t>
      </w:r>
      <w:r w:rsidRPr="001162D2">
        <w:t>five Capacity Building Strategies</w:t>
      </w:r>
      <w:r w:rsidR="003A6252">
        <w:t xml:space="preserve"> outlined by the Statewide Transformational Assistance Center</w:t>
      </w:r>
      <w:r w:rsidR="004B1B69">
        <w:t>:</w:t>
      </w:r>
    </w:p>
    <w:p w14:paraId="3675937F" w14:textId="2BC4CAD4" w:rsidR="004B1B69" w:rsidRDefault="001162D2" w:rsidP="004B1B69">
      <w:pPr>
        <w:pStyle w:val="ListParagraph"/>
        <w:numPr>
          <w:ilvl w:val="0"/>
          <w:numId w:val="27"/>
        </w:numPr>
        <w:spacing w:after="240"/>
      </w:pPr>
      <w:r w:rsidRPr="001162D2">
        <w:t xml:space="preserve">Shared Commitment </w:t>
      </w:r>
      <w:r w:rsidR="00E46640">
        <w:t>&amp;</w:t>
      </w:r>
      <w:r w:rsidRPr="001162D2">
        <w:t xml:space="preserve"> Understanding and Priorities, </w:t>
      </w:r>
    </w:p>
    <w:p w14:paraId="10035F9B" w14:textId="77777777" w:rsidR="004B1B69" w:rsidRDefault="001162D2" w:rsidP="004B1B69">
      <w:pPr>
        <w:pStyle w:val="ListParagraph"/>
        <w:numPr>
          <w:ilvl w:val="0"/>
          <w:numId w:val="27"/>
        </w:numPr>
        <w:spacing w:after="240"/>
      </w:pPr>
      <w:r w:rsidRPr="001162D2">
        <w:t xml:space="preserve">Collaborative Leadership, </w:t>
      </w:r>
    </w:p>
    <w:p w14:paraId="035E8563" w14:textId="77777777" w:rsidR="004B1B69" w:rsidRDefault="001162D2" w:rsidP="004B1B69">
      <w:pPr>
        <w:pStyle w:val="ListParagraph"/>
        <w:numPr>
          <w:ilvl w:val="0"/>
          <w:numId w:val="27"/>
        </w:numPr>
        <w:spacing w:after="240"/>
      </w:pPr>
      <w:r w:rsidRPr="001162D2">
        <w:t xml:space="preserve">Centering Community Based Learning, </w:t>
      </w:r>
    </w:p>
    <w:p w14:paraId="0C8FE956" w14:textId="77777777" w:rsidR="004B1B69" w:rsidRDefault="001162D2" w:rsidP="004B1B69">
      <w:pPr>
        <w:pStyle w:val="ListParagraph"/>
        <w:numPr>
          <w:ilvl w:val="0"/>
          <w:numId w:val="27"/>
        </w:numPr>
        <w:spacing w:after="240"/>
      </w:pPr>
      <w:r w:rsidRPr="001162D2">
        <w:t xml:space="preserve">Sustaining Staffing &amp; Resources, and </w:t>
      </w:r>
    </w:p>
    <w:p w14:paraId="040B6C28" w14:textId="6A9A2BAB" w:rsidR="004B1B69" w:rsidRDefault="001162D2" w:rsidP="004B1B69">
      <w:pPr>
        <w:pStyle w:val="ListParagraph"/>
        <w:numPr>
          <w:ilvl w:val="0"/>
          <w:numId w:val="27"/>
        </w:numPr>
        <w:spacing w:after="240"/>
      </w:pPr>
      <w:r w:rsidRPr="001162D2">
        <w:t>Strategic Community Partnerships.</w:t>
      </w:r>
    </w:p>
    <w:p w14:paraId="090D97F2" w14:textId="2203BA36" w:rsidR="001162D2" w:rsidRPr="001162D2" w:rsidRDefault="001162D2" w:rsidP="004B1B69">
      <w:pPr>
        <w:spacing w:after="240"/>
      </w:pPr>
      <w:r w:rsidRPr="001162D2">
        <w:lastRenderedPageBreak/>
        <w:t xml:space="preserve">Feedback received so far praises the rigorous, engaging, high-quality session content and presenters. </w:t>
      </w:r>
    </w:p>
    <w:p w14:paraId="2B5F02E9" w14:textId="165F43F1" w:rsidR="001162D2" w:rsidRPr="001162D2" w:rsidRDefault="001162D2" w:rsidP="001162D2">
      <w:pPr>
        <w:spacing w:after="240"/>
      </w:pPr>
      <w:r w:rsidRPr="001162D2">
        <w:t xml:space="preserve">In her address on Thursday morning, </w:t>
      </w:r>
      <w:r w:rsidR="0031729C">
        <w:t xml:space="preserve">Chief </w:t>
      </w:r>
      <w:r w:rsidRPr="001162D2">
        <w:t xml:space="preserve">Deputy Superintendent of Public Instruction, Nancy Kim Portillo, noted that </w:t>
      </w:r>
      <w:r w:rsidR="00E46640" w:rsidRPr="00E46640">
        <w:t>by the time</w:t>
      </w:r>
      <w:r w:rsidR="003A6252">
        <w:t xml:space="preserve"> the CDE</w:t>
      </w:r>
      <w:r w:rsidR="00E46640">
        <w:t xml:space="preserve"> </w:t>
      </w:r>
      <w:r w:rsidR="00BC16B2">
        <w:t xml:space="preserve">awards </w:t>
      </w:r>
      <w:r w:rsidR="003A6252">
        <w:t>all implementation grants</w:t>
      </w:r>
      <w:r w:rsidR="00E46640" w:rsidRPr="00E46640">
        <w:t xml:space="preserve">, a quarter of </w:t>
      </w:r>
      <w:r w:rsidR="00E46640">
        <w:t xml:space="preserve">California </w:t>
      </w:r>
      <w:r w:rsidR="00E46640" w:rsidRPr="00E46640">
        <w:t xml:space="preserve">schools </w:t>
      </w:r>
      <w:r w:rsidR="003A6252">
        <w:t>will be</w:t>
      </w:r>
      <w:r w:rsidR="00E46640" w:rsidRPr="00E46640">
        <w:t xml:space="preserve"> </w:t>
      </w:r>
      <w:r w:rsidR="003A6252">
        <w:t>c</w:t>
      </w:r>
      <w:r w:rsidR="00E46640" w:rsidRPr="00E46640">
        <w:t xml:space="preserve">ommunity </w:t>
      </w:r>
      <w:r w:rsidR="003A6252">
        <w:t>s</w:t>
      </w:r>
      <w:r w:rsidR="00E46640" w:rsidRPr="00E46640">
        <w:t>chool</w:t>
      </w:r>
      <w:r w:rsidR="003A6252">
        <w:t>s</w:t>
      </w:r>
      <w:r w:rsidR="00E46640">
        <w:t xml:space="preserve">. Currently, the CCSPP grantees </w:t>
      </w:r>
      <w:r w:rsidRPr="001162D2">
        <w:t xml:space="preserve">encompass 1.5 million students, families, and community members. </w:t>
      </w:r>
    </w:p>
    <w:p w14:paraId="65ECD63E" w14:textId="3D2ABB44" w:rsidR="003E4DF7" w:rsidRPr="00CA40CB" w:rsidRDefault="003E4DF7" w:rsidP="001162D2">
      <w:pPr>
        <w:pStyle w:val="Heading2"/>
        <w:spacing w:before="240" w:after="240"/>
        <w:rPr>
          <w:sz w:val="36"/>
          <w:szCs w:val="36"/>
        </w:rPr>
      </w:pPr>
      <w:r w:rsidRPr="00CA40CB">
        <w:rPr>
          <w:sz w:val="36"/>
          <w:szCs w:val="36"/>
        </w:rPr>
        <w:t>Summary of Previous State Board of Education Discussion and Action</w:t>
      </w:r>
    </w:p>
    <w:p w14:paraId="49E3FA90" w14:textId="62F75B37" w:rsidR="00CB2D84" w:rsidRPr="00CA40CB" w:rsidRDefault="00CB2D84" w:rsidP="004E4183">
      <w:pPr>
        <w:spacing w:after="240"/>
      </w:pPr>
      <w:r w:rsidRPr="00CA40CB">
        <w:t xml:space="preserve">In October 2021, </w:t>
      </w:r>
      <w:r w:rsidRPr="00CA40CB">
        <w:rPr>
          <w:color w:val="000000"/>
        </w:rPr>
        <w:t>the CDE provided an information memorandum providing the SBE with an introduction to the community school model and an o</w:t>
      </w:r>
      <w:r w:rsidRPr="00CA40CB">
        <w:rPr>
          <w:rFonts w:cs="Arial"/>
        </w:rPr>
        <w:t>verview of the CCSPP.</w:t>
      </w:r>
      <w:r w:rsidR="004E4183" w:rsidRPr="00CA40CB">
        <w:rPr>
          <w:rFonts w:cs="Arial"/>
        </w:rPr>
        <w:br/>
      </w:r>
      <w:r w:rsidRPr="00CA40CB">
        <w:rPr>
          <w:rFonts w:cs="Arial"/>
        </w:rPr>
        <w:t>(</w:t>
      </w:r>
      <w:hyperlink r:id="rId16" w:tooltip="October 2021 SBE Memo" w:history="1">
        <w:r w:rsidR="006543AF" w:rsidRPr="00CA40CB">
          <w:rPr>
            <w:rStyle w:val="Hyperlink"/>
          </w:rPr>
          <w:t>https://www.cde.ca.gov/be/pn/im/documents/oct21memocctd01.docx</w:t>
        </w:r>
      </w:hyperlink>
      <w:r w:rsidRPr="00CA40CB">
        <w:t>)</w:t>
      </w:r>
    </w:p>
    <w:p w14:paraId="4A1051AF" w14:textId="4DF7F1AE" w:rsidR="006866B5" w:rsidRPr="00CA40CB" w:rsidRDefault="00CB2D84" w:rsidP="004E4183">
      <w:pPr>
        <w:spacing w:after="240"/>
        <w:rPr>
          <w:rFonts w:eastAsia="Arial" w:cs="Arial"/>
          <w:color w:val="000000" w:themeColor="text1"/>
        </w:rPr>
      </w:pPr>
      <w:r w:rsidRPr="00CA40CB">
        <w:t xml:space="preserve">In November 2021, </w:t>
      </w:r>
      <w:r w:rsidRPr="00CA40CB">
        <w:rPr>
          <w:rFonts w:cs="Arial"/>
          <w:color w:val="000000"/>
          <w:shd w:val="clear" w:color="auto" w:fill="FFFFFF"/>
        </w:rPr>
        <w:t xml:space="preserve">the SBE approved the </w:t>
      </w:r>
      <w:r w:rsidR="00A01B2C" w:rsidRPr="00CA40CB">
        <w:rPr>
          <w:rFonts w:eastAsia="Arial" w:cs="Arial"/>
          <w:color w:val="000000" w:themeColor="text1"/>
        </w:rPr>
        <w:t xml:space="preserve">CCSPP </w:t>
      </w:r>
      <w:r w:rsidRPr="00CA40CB">
        <w:rPr>
          <w:rFonts w:eastAsia="Arial" w:cs="Arial"/>
          <w:color w:val="000000" w:themeColor="text1"/>
        </w:rPr>
        <w:t xml:space="preserve">proposed </w:t>
      </w:r>
      <w:r w:rsidR="00F576F6" w:rsidRPr="00CA40CB">
        <w:rPr>
          <w:rFonts w:eastAsia="Arial" w:cs="Arial"/>
          <w:color w:val="000000" w:themeColor="text1"/>
        </w:rPr>
        <w:t>2021</w:t>
      </w:r>
      <w:r w:rsidR="00DF44DF" w:rsidRPr="00CA40CB">
        <w:rPr>
          <w:rFonts w:eastAsia="Arial" w:cs="Arial"/>
          <w:color w:val="000000" w:themeColor="text1"/>
        </w:rPr>
        <w:t>–</w:t>
      </w:r>
      <w:r w:rsidR="00F576F6" w:rsidRPr="00CA40CB">
        <w:rPr>
          <w:rFonts w:eastAsia="Arial" w:cs="Arial"/>
          <w:color w:val="000000" w:themeColor="text1"/>
        </w:rPr>
        <w:t xml:space="preserve">22 </w:t>
      </w:r>
      <w:r w:rsidRPr="00CA40CB">
        <w:rPr>
          <w:rFonts w:eastAsia="Arial" w:cs="Arial"/>
          <w:color w:val="000000" w:themeColor="text1"/>
        </w:rPr>
        <w:t>application process and administration plan.</w:t>
      </w:r>
      <w:r w:rsidR="004E4183" w:rsidRPr="00CA40CB">
        <w:rPr>
          <w:rFonts w:eastAsia="Arial" w:cs="Arial"/>
          <w:color w:val="000000" w:themeColor="text1"/>
        </w:rPr>
        <w:br/>
      </w:r>
      <w:r w:rsidRPr="00CA40CB">
        <w:rPr>
          <w:rFonts w:eastAsia="Arial" w:cs="Arial"/>
          <w:color w:val="000000" w:themeColor="text1"/>
        </w:rPr>
        <w:t>(</w:t>
      </w:r>
      <w:hyperlink r:id="rId17" w:tooltip="November 2021 SBE Item" w:history="1">
        <w:r w:rsidRPr="00CA40CB">
          <w:rPr>
            <w:rStyle w:val="Hyperlink"/>
            <w:rFonts w:eastAsia="Arial" w:cs="Arial"/>
          </w:rPr>
          <w:t>https://www.cde.ca.gov/be/ag/ag/yr21/documents/nov21item17.docx</w:t>
        </w:r>
      </w:hyperlink>
      <w:r w:rsidRPr="00CA40CB">
        <w:rPr>
          <w:rFonts w:eastAsia="Arial" w:cs="Arial"/>
          <w:color w:val="000000" w:themeColor="text1"/>
        </w:rPr>
        <w:t>)</w:t>
      </w:r>
    </w:p>
    <w:p w14:paraId="6F1A8B93" w14:textId="5413C9B8" w:rsidR="006866B5" w:rsidRPr="00CA40CB" w:rsidRDefault="00CB2D84" w:rsidP="004E4183">
      <w:pPr>
        <w:spacing w:after="240"/>
        <w:rPr>
          <w:rFonts w:eastAsia="Arial" w:cs="Arial"/>
          <w:color w:val="000000" w:themeColor="text1"/>
        </w:rPr>
      </w:pPr>
      <w:r w:rsidRPr="00CA40CB">
        <w:t xml:space="preserve">In </w:t>
      </w:r>
      <w:r w:rsidR="006866B5" w:rsidRPr="00CA40CB">
        <w:t xml:space="preserve">January 2022, the SBE </w:t>
      </w:r>
      <w:r w:rsidRPr="00CA40CB">
        <w:t xml:space="preserve">approved </w:t>
      </w:r>
      <w:r w:rsidR="00F576F6" w:rsidRPr="00CA40CB">
        <w:rPr>
          <w:rFonts w:eastAsia="Arial" w:cs="Arial"/>
          <w:color w:val="000000" w:themeColor="text1"/>
        </w:rPr>
        <w:t>establishing</w:t>
      </w:r>
      <w:r w:rsidRPr="00CA40CB">
        <w:rPr>
          <w:rFonts w:eastAsia="Arial" w:cs="Arial"/>
          <w:color w:val="000000" w:themeColor="text1"/>
        </w:rPr>
        <w:t xml:space="preserve"> a </w:t>
      </w:r>
      <w:r w:rsidR="00D41523" w:rsidRPr="00CA40CB">
        <w:rPr>
          <w:rFonts w:eastAsia="Arial" w:cs="Arial"/>
          <w:color w:val="000000" w:themeColor="text1"/>
        </w:rPr>
        <w:t>l</w:t>
      </w:r>
      <w:r w:rsidRPr="00CA40CB">
        <w:rPr>
          <w:rFonts w:eastAsia="Arial" w:cs="Arial"/>
          <w:color w:val="000000" w:themeColor="text1"/>
        </w:rPr>
        <w:t xml:space="preserve">ead </w:t>
      </w:r>
      <w:r w:rsidR="00E04898" w:rsidRPr="00CA40CB">
        <w:rPr>
          <w:rFonts w:eastAsia="Arial" w:cs="Arial"/>
          <w:color w:val="000000" w:themeColor="text1"/>
        </w:rPr>
        <w:t>TA</w:t>
      </w:r>
      <w:r w:rsidR="00F47934" w:rsidRPr="00CA40CB">
        <w:rPr>
          <w:rFonts w:eastAsia="Arial" w:cs="Arial"/>
          <w:color w:val="000000" w:themeColor="text1"/>
        </w:rPr>
        <w:t xml:space="preserve"> </w:t>
      </w:r>
      <w:r w:rsidR="00F576F6" w:rsidRPr="00CA40CB">
        <w:rPr>
          <w:rFonts w:eastAsia="Arial" w:cs="Arial"/>
          <w:color w:val="000000" w:themeColor="text1"/>
        </w:rPr>
        <w:t>c</w:t>
      </w:r>
      <w:r w:rsidR="00F47934" w:rsidRPr="00CA40CB">
        <w:rPr>
          <w:rFonts w:eastAsia="Arial" w:cs="Arial"/>
          <w:color w:val="000000" w:themeColor="text1"/>
        </w:rPr>
        <w:t xml:space="preserve">enter </w:t>
      </w:r>
      <w:r w:rsidR="00F576F6" w:rsidRPr="00CA40CB">
        <w:rPr>
          <w:rFonts w:eastAsia="Arial" w:cs="Arial"/>
          <w:color w:val="000000" w:themeColor="text1"/>
        </w:rPr>
        <w:t>and</w:t>
      </w:r>
      <w:r w:rsidR="006B5A6E" w:rsidRPr="00CA40CB">
        <w:rPr>
          <w:rFonts w:eastAsia="Arial" w:cs="Arial"/>
          <w:color w:val="000000" w:themeColor="text1"/>
        </w:rPr>
        <w:t xml:space="preserve"> </w:t>
      </w:r>
      <w:r w:rsidR="00F576F6" w:rsidRPr="00CA40CB">
        <w:rPr>
          <w:rFonts w:eastAsia="Arial" w:cs="Arial"/>
          <w:color w:val="000000" w:themeColor="text1"/>
        </w:rPr>
        <w:t>giving</w:t>
      </w:r>
      <w:r w:rsidR="00E47AAF" w:rsidRPr="00CA40CB">
        <w:rPr>
          <w:rFonts w:eastAsia="Arial" w:cs="Arial"/>
          <w:color w:val="000000" w:themeColor="text1"/>
        </w:rPr>
        <w:t xml:space="preserve"> priority to applicants serving small and rural schools.</w:t>
      </w:r>
      <w:r w:rsidR="006B5A6E" w:rsidRPr="00CA40CB">
        <w:rPr>
          <w:rFonts w:eastAsia="Arial" w:cs="Arial"/>
          <w:color w:val="000000" w:themeColor="text1"/>
        </w:rPr>
        <w:t xml:space="preserve"> </w:t>
      </w:r>
      <w:r w:rsidRPr="00CA40CB">
        <w:rPr>
          <w:rFonts w:eastAsia="Arial" w:cs="Arial"/>
          <w:color w:val="000000" w:themeColor="text1"/>
        </w:rPr>
        <w:t>The SBE also adopted the California Community Schools Framework.</w:t>
      </w:r>
      <w:r w:rsidR="004E4183" w:rsidRPr="00CA40CB">
        <w:rPr>
          <w:rFonts w:eastAsia="Arial" w:cs="Arial"/>
          <w:color w:val="000000" w:themeColor="text1"/>
        </w:rPr>
        <w:br/>
      </w:r>
      <w:r w:rsidRPr="00CA40CB">
        <w:rPr>
          <w:rFonts w:eastAsia="Arial" w:cs="Arial"/>
          <w:color w:val="000000" w:themeColor="text1"/>
        </w:rPr>
        <w:t>(</w:t>
      </w:r>
      <w:hyperlink r:id="rId18" w:tooltip="January 2022 SBE Item" w:history="1">
        <w:r w:rsidR="00364036" w:rsidRPr="00CA40CB">
          <w:rPr>
            <w:rStyle w:val="Hyperlink"/>
            <w:rFonts w:eastAsia="Arial" w:cs="Arial"/>
          </w:rPr>
          <w:t>https://www.cde.ca.gov/be/ag/ag/yr22/documents/jan22item02.docx</w:t>
        </w:r>
      </w:hyperlink>
      <w:r w:rsidR="00172366" w:rsidRPr="00CA40CB">
        <w:rPr>
          <w:rFonts w:eastAsia="Arial" w:cs="Arial"/>
          <w:color w:val="000000" w:themeColor="text1"/>
        </w:rPr>
        <w:t>)</w:t>
      </w:r>
    </w:p>
    <w:p w14:paraId="686980E8" w14:textId="117279BA" w:rsidR="002B4CE3" w:rsidRPr="00CA40CB" w:rsidRDefault="002B4CE3" w:rsidP="004E4183">
      <w:pPr>
        <w:spacing w:after="240"/>
        <w:rPr>
          <w:rFonts w:eastAsia="Arial" w:cs="Arial"/>
          <w:color w:val="000000" w:themeColor="text1"/>
        </w:rPr>
      </w:pPr>
      <w:r w:rsidRPr="00CA40CB">
        <w:rPr>
          <w:rFonts w:eastAsia="Arial" w:cs="Arial"/>
          <w:color w:val="000000" w:themeColor="text1"/>
        </w:rPr>
        <w:t xml:space="preserve">In May 2022, the SBE approved the </w:t>
      </w:r>
      <w:bookmarkStart w:id="1" w:name="_Hlk131679831"/>
      <w:r w:rsidR="0006053A" w:rsidRPr="00CA40CB">
        <w:rPr>
          <w:rFonts w:eastAsia="Arial" w:cs="Arial"/>
          <w:color w:val="000000" w:themeColor="text1"/>
        </w:rPr>
        <w:t>CDE’s recommended p</w:t>
      </w:r>
      <w:r w:rsidRPr="00CA40CB">
        <w:rPr>
          <w:rFonts w:eastAsia="Arial" w:cs="Arial"/>
          <w:color w:val="000000" w:themeColor="text1"/>
        </w:rPr>
        <w:t xml:space="preserve">lanning and </w:t>
      </w:r>
      <w:r w:rsidR="0006053A" w:rsidRPr="00CA40CB">
        <w:rPr>
          <w:rFonts w:eastAsia="Arial" w:cs="Arial"/>
          <w:color w:val="000000" w:themeColor="text1"/>
        </w:rPr>
        <w:t>i</w:t>
      </w:r>
      <w:r w:rsidRPr="00CA40CB">
        <w:rPr>
          <w:rFonts w:eastAsia="Arial" w:cs="Arial"/>
          <w:color w:val="000000" w:themeColor="text1"/>
        </w:rPr>
        <w:t>mplementation proposed list of grantees</w:t>
      </w:r>
      <w:bookmarkEnd w:id="1"/>
      <w:r w:rsidRPr="00CA40CB">
        <w:rPr>
          <w:rFonts w:eastAsia="Arial" w:cs="Arial"/>
          <w:color w:val="000000" w:themeColor="text1"/>
        </w:rPr>
        <w:t xml:space="preserve"> and the Lead TAC.</w:t>
      </w:r>
      <w:r w:rsidR="004E4183" w:rsidRPr="00CA40CB">
        <w:rPr>
          <w:rFonts w:eastAsia="Arial" w:cs="Arial"/>
          <w:color w:val="000000" w:themeColor="text1"/>
        </w:rPr>
        <w:br/>
      </w:r>
      <w:r w:rsidR="006543AF" w:rsidRPr="00CA40CB">
        <w:rPr>
          <w:rFonts w:eastAsia="Arial" w:cs="Arial"/>
          <w:color w:val="000000" w:themeColor="text1"/>
        </w:rPr>
        <w:t>(</w:t>
      </w:r>
      <w:hyperlink r:id="rId19" w:tooltip="May 2022 SBE Item" w:history="1">
        <w:r w:rsidR="006543AF" w:rsidRPr="00CA40CB">
          <w:rPr>
            <w:rStyle w:val="Hyperlink"/>
            <w:rFonts w:eastAsia="Arial" w:cs="Arial"/>
          </w:rPr>
          <w:t>https://www.cde.ca.gov/be/ag/ag/yr22/documents/may22item02rev.docx</w:t>
        </w:r>
      </w:hyperlink>
      <w:r w:rsidR="006543AF" w:rsidRPr="00CA40CB">
        <w:rPr>
          <w:rFonts w:eastAsia="Arial" w:cs="Arial"/>
          <w:color w:val="000000" w:themeColor="text1"/>
        </w:rPr>
        <w:t>)</w:t>
      </w:r>
    </w:p>
    <w:p w14:paraId="00113574" w14:textId="77777777" w:rsidR="004E4183" w:rsidRPr="00CA40CB" w:rsidRDefault="002B4CE3" w:rsidP="004E4183">
      <w:pPr>
        <w:spacing w:after="240"/>
        <w:rPr>
          <w:rFonts w:eastAsia="Arial" w:cs="Arial"/>
          <w:color w:val="000000" w:themeColor="text1"/>
        </w:rPr>
      </w:pPr>
      <w:r w:rsidRPr="00CA40CB">
        <w:rPr>
          <w:rFonts w:eastAsia="Arial" w:cs="Arial"/>
          <w:color w:val="000000" w:themeColor="text1"/>
        </w:rPr>
        <w:t>In August 2022, the CDE provided a</w:t>
      </w:r>
      <w:r w:rsidR="00D33E6F" w:rsidRPr="00CA40CB">
        <w:rPr>
          <w:rFonts w:eastAsia="Arial" w:cs="Arial"/>
          <w:color w:val="000000" w:themeColor="text1"/>
        </w:rPr>
        <w:t xml:space="preserve"> </w:t>
      </w:r>
      <w:r w:rsidRPr="00CA40CB">
        <w:rPr>
          <w:rFonts w:eastAsia="Arial" w:cs="Arial"/>
          <w:color w:val="000000" w:themeColor="text1"/>
        </w:rPr>
        <w:t xml:space="preserve">memorandum updating the SBE </w:t>
      </w:r>
      <w:r w:rsidR="00F576F6" w:rsidRPr="00CA40CB">
        <w:rPr>
          <w:rFonts w:eastAsia="Arial" w:cs="Arial"/>
          <w:color w:val="000000" w:themeColor="text1"/>
        </w:rPr>
        <w:t xml:space="preserve">regarding </w:t>
      </w:r>
      <w:r w:rsidR="0006053A" w:rsidRPr="00CA40CB">
        <w:rPr>
          <w:rFonts w:eastAsia="Arial" w:cs="Arial"/>
          <w:color w:val="000000" w:themeColor="text1"/>
        </w:rPr>
        <w:t>support to</w:t>
      </w:r>
      <w:r w:rsidRPr="00CA40CB">
        <w:rPr>
          <w:rFonts w:eastAsia="Arial" w:cs="Arial"/>
          <w:color w:val="000000" w:themeColor="text1"/>
        </w:rPr>
        <w:t xml:space="preserve"> planning and implementation grantees</w:t>
      </w:r>
      <w:r w:rsidR="003F17AA" w:rsidRPr="00CA40CB">
        <w:rPr>
          <w:rFonts w:eastAsia="Arial" w:cs="Arial"/>
          <w:color w:val="000000" w:themeColor="text1"/>
        </w:rPr>
        <w:t>,</w:t>
      </w:r>
      <w:r w:rsidRPr="00CA40CB">
        <w:rPr>
          <w:rFonts w:eastAsia="Arial" w:cs="Arial"/>
          <w:color w:val="000000" w:themeColor="text1"/>
        </w:rPr>
        <w:t xml:space="preserve"> and</w:t>
      </w:r>
      <w:r w:rsidR="003F17AA" w:rsidRPr="00CA40CB">
        <w:rPr>
          <w:rFonts w:eastAsia="Arial" w:cs="Arial"/>
          <w:color w:val="000000" w:themeColor="text1"/>
        </w:rPr>
        <w:t xml:space="preserve"> an update </w:t>
      </w:r>
      <w:r w:rsidR="0006053A" w:rsidRPr="00CA40CB">
        <w:rPr>
          <w:rFonts w:eastAsia="Arial" w:cs="Arial"/>
          <w:color w:val="000000" w:themeColor="text1"/>
        </w:rPr>
        <w:t>on the R-TACs and TA system</w:t>
      </w:r>
      <w:r w:rsidRPr="00CA40CB">
        <w:rPr>
          <w:rFonts w:eastAsia="Arial" w:cs="Arial"/>
          <w:color w:val="000000" w:themeColor="text1"/>
        </w:rPr>
        <w:t>.</w:t>
      </w:r>
      <w:r w:rsidR="004E4183" w:rsidRPr="00CA40CB">
        <w:rPr>
          <w:rFonts w:eastAsia="Arial" w:cs="Arial"/>
          <w:color w:val="000000" w:themeColor="text1"/>
        </w:rPr>
        <w:br/>
      </w:r>
      <w:r w:rsidR="006543AF" w:rsidRPr="00CA40CB">
        <w:rPr>
          <w:rFonts w:eastAsia="Arial" w:cs="Arial"/>
          <w:color w:val="000000" w:themeColor="text1"/>
        </w:rPr>
        <w:t>(</w:t>
      </w:r>
      <w:hyperlink r:id="rId20" w:tooltip="August 2022 SBE Memo" w:history="1">
        <w:r w:rsidR="006543AF" w:rsidRPr="00CA40CB">
          <w:rPr>
            <w:rStyle w:val="Hyperlink"/>
            <w:rFonts w:eastAsia="Arial" w:cs="Arial"/>
          </w:rPr>
          <w:t>https://www.cde.ca.gov/be/pn/im/documents/aug22memocctd01.docx</w:t>
        </w:r>
      </w:hyperlink>
      <w:r w:rsidR="006543AF" w:rsidRPr="00CA40CB">
        <w:rPr>
          <w:rFonts w:eastAsia="Arial" w:cs="Arial"/>
          <w:color w:val="000000" w:themeColor="text1"/>
        </w:rPr>
        <w:t>)</w:t>
      </w:r>
      <w:bookmarkStart w:id="2" w:name="_Hlk131679764"/>
    </w:p>
    <w:p w14:paraId="70D01BC0" w14:textId="45EFCBD8" w:rsidR="002B4CE3" w:rsidRPr="00CA40CB" w:rsidRDefault="004E4183" w:rsidP="004E4183">
      <w:pPr>
        <w:spacing w:after="240"/>
        <w:rPr>
          <w:rFonts w:eastAsia="Arial" w:cs="Arial"/>
          <w:color w:val="000000" w:themeColor="text1"/>
        </w:rPr>
      </w:pPr>
      <w:r w:rsidRPr="00CA40CB">
        <w:rPr>
          <w:rFonts w:eastAsia="Arial" w:cs="Arial"/>
          <w:color w:val="000000" w:themeColor="text1"/>
        </w:rPr>
        <w:t>I</w:t>
      </w:r>
      <w:r w:rsidR="002B4CE3" w:rsidRPr="00CA40CB">
        <w:rPr>
          <w:rFonts w:eastAsia="Arial" w:cs="Arial"/>
          <w:color w:val="000000" w:themeColor="text1"/>
        </w:rPr>
        <w:t>n November 2022,</w:t>
      </w:r>
      <w:r w:rsidR="00D33E6F" w:rsidRPr="00CA40CB">
        <w:rPr>
          <w:rFonts w:eastAsia="Arial" w:cs="Arial"/>
          <w:color w:val="000000" w:themeColor="text1"/>
        </w:rPr>
        <w:t xml:space="preserve"> </w:t>
      </w:r>
      <w:r w:rsidR="003F17AA" w:rsidRPr="00CA40CB">
        <w:rPr>
          <w:rFonts w:eastAsia="Arial" w:cs="Arial"/>
          <w:color w:val="000000" w:themeColor="text1"/>
        </w:rPr>
        <w:t xml:space="preserve">the SBE approved the eight R-TACs and the proposed </w:t>
      </w:r>
      <w:r w:rsidR="00F576F6" w:rsidRPr="00CA40CB">
        <w:rPr>
          <w:rFonts w:eastAsia="Arial" w:cs="Arial"/>
          <w:color w:val="000000" w:themeColor="text1"/>
        </w:rPr>
        <w:t>2022</w:t>
      </w:r>
      <w:r w:rsidR="00DF44DF" w:rsidRPr="00CA40CB">
        <w:rPr>
          <w:rFonts w:eastAsia="Arial" w:cs="Arial"/>
          <w:color w:val="000000" w:themeColor="text1"/>
        </w:rPr>
        <w:t>–</w:t>
      </w:r>
      <w:r w:rsidR="00F576F6" w:rsidRPr="00CA40CB">
        <w:rPr>
          <w:rFonts w:eastAsia="Arial" w:cs="Arial"/>
          <w:color w:val="000000" w:themeColor="text1"/>
        </w:rPr>
        <w:t xml:space="preserve">23 </w:t>
      </w:r>
      <w:r w:rsidR="003F17AA" w:rsidRPr="00CA40CB">
        <w:rPr>
          <w:rFonts w:eastAsia="Arial" w:cs="Arial"/>
          <w:color w:val="000000" w:themeColor="text1"/>
        </w:rPr>
        <w:t>CCSPP Administrative Plan.</w:t>
      </w:r>
      <w:r w:rsidRPr="00CA40CB">
        <w:rPr>
          <w:rFonts w:eastAsia="Arial" w:cs="Arial"/>
          <w:color w:val="000000" w:themeColor="text1"/>
        </w:rPr>
        <w:br/>
      </w:r>
      <w:r w:rsidR="006543AF" w:rsidRPr="00CA40CB">
        <w:rPr>
          <w:rFonts w:eastAsia="Arial" w:cs="Arial"/>
          <w:color w:val="000000" w:themeColor="text1"/>
        </w:rPr>
        <w:t>(</w:t>
      </w:r>
      <w:hyperlink r:id="rId21" w:tooltip="November 2022 SBE Item" w:history="1">
        <w:r w:rsidR="006543AF" w:rsidRPr="00CA40CB">
          <w:rPr>
            <w:rStyle w:val="Hyperlink"/>
            <w:rFonts w:eastAsia="Arial" w:cs="Arial"/>
          </w:rPr>
          <w:t>https://www.cde.ca.gov/be/ag/ag/yr22/documents/nov22item04.docx</w:t>
        </w:r>
      </w:hyperlink>
      <w:r w:rsidR="006543AF" w:rsidRPr="00CA40CB">
        <w:rPr>
          <w:rFonts w:eastAsia="Arial" w:cs="Arial"/>
          <w:color w:val="000000" w:themeColor="text1"/>
        </w:rPr>
        <w:t>)</w:t>
      </w:r>
      <w:bookmarkEnd w:id="2"/>
    </w:p>
    <w:p w14:paraId="7AC58F1B" w14:textId="1A3A4982" w:rsidR="007D7FF1" w:rsidRPr="00CA40CB" w:rsidRDefault="007D7FF1" w:rsidP="004E4183">
      <w:pPr>
        <w:spacing w:after="240"/>
        <w:rPr>
          <w:rFonts w:eastAsia="Arial" w:cs="Arial"/>
          <w:color w:val="000000" w:themeColor="text1"/>
        </w:rPr>
      </w:pPr>
      <w:bookmarkStart w:id="3" w:name="_Hlk131765425"/>
      <w:r w:rsidRPr="00CA40CB">
        <w:rPr>
          <w:rFonts w:eastAsia="Arial" w:cs="Arial"/>
          <w:color w:val="000000" w:themeColor="text1"/>
        </w:rPr>
        <w:t xml:space="preserve">In March 2023, the SBE approved the CDE’s recommended </w:t>
      </w:r>
      <w:r w:rsidR="0007629E" w:rsidRPr="00CA40CB">
        <w:rPr>
          <w:rFonts w:eastAsia="Arial" w:cs="Arial"/>
          <w:color w:val="000000" w:themeColor="text1"/>
        </w:rPr>
        <w:t xml:space="preserve">Cohort 2 </w:t>
      </w:r>
      <w:r w:rsidRPr="00CA40CB">
        <w:rPr>
          <w:rFonts w:eastAsia="Arial" w:cs="Arial"/>
          <w:color w:val="000000" w:themeColor="text1"/>
        </w:rPr>
        <w:t>planning grant proposed list of grantees.</w:t>
      </w:r>
      <w:r w:rsidR="004E4183" w:rsidRPr="00CA40CB">
        <w:rPr>
          <w:rFonts w:eastAsia="Arial" w:cs="Arial"/>
          <w:color w:val="000000" w:themeColor="text1"/>
        </w:rPr>
        <w:br/>
      </w:r>
      <w:r w:rsidRPr="00CA40CB">
        <w:rPr>
          <w:rFonts w:eastAsia="Arial" w:cs="Arial"/>
          <w:color w:val="000000" w:themeColor="text1"/>
        </w:rPr>
        <w:t>(</w:t>
      </w:r>
      <w:hyperlink r:id="rId22" w:tooltip="March 2023 SBE Item" w:history="1">
        <w:r w:rsidR="003924CB" w:rsidRPr="00CA40CB">
          <w:rPr>
            <w:rStyle w:val="Hyperlink"/>
            <w:rFonts w:eastAsia="Arial" w:cs="Arial"/>
          </w:rPr>
          <w:t>https://www.cde.ca.gov/be/ag/ag/yr23/documents/mar23item09rev.docx</w:t>
        </w:r>
      </w:hyperlink>
      <w:r w:rsidRPr="00CA40CB">
        <w:rPr>
          <w:rFonts w:eastAsia="Arial" w:cs="Arial"/>
          <w:color w:val="000000" w:themeColor="text1"/>
        </w:rPr>
        <w:t>)</w:t>
      </w:r>
    </w:p>
    <w:p w14:paraId="278AB250" w14:textId="563A70B2" w:rsidR="00F1650D" w:rsidRPr="00CA40CB" w:rsidRDefault="00F1650D" w:rsidP="004E4183">
      <w:pPr>
        <w:spacing w:after="240"/>
        <w:rPr>
          <w:rFonts w:eastAsia="Arial" w:cs="Arial"/>
          <w:color w:val="000000" w:themeColor="text1"/>
        </w:rPr>
      </w:pPr>
      <w:r w:rsidRPr="00CA40CB">
        <w:rPr>
          <w:rFonts w:eastAsia="Arial" w:cs="Arial"/>
          <w:color w:val="000000" w:themeColor="text1"/>
        </w:rPr>
        <w:t xml:space="preserve">In May 2023, the SBE approved the </w:t>
      </w:r>
      <w:r w:rsidRPr="00CA40CB">
        <w:rPr>
          <w:rFonts w:ascii="Helvetica" w:hAnsi="Helvetica" w:cs="Helvetica"/>
          <w:color w:val="000000"/>
          <w:shd w:val="clear" w:color="auto" w:fill="FFFFFF"/>
        </w:rPr>
        <w:t>Cohort 2 Implementation Grantees.</w:t>
      </w:r>
      <w:r w:rsidR="004E4183" w:rsidRPr="00CA40CB">
        <w:rPr>
          <w:rFonts w:ascii="Helvetica" w:hAnsi="Helvetica" w:cs="Helvetica"/>
          <w:color w:val="000000"/>
          <w:shd w:val="clear" w:color="auto" w:fill="FFFFFF"/>
        </w:rPr>
        <w:br/>
      </w:r>
      <w:r w:rsidRPr="00CA40CB">
        <w:rPr>
          <w:rFonts w:ascii="Helvetica" w:hAnsi="Helvetica" w:cs="Helvetica"/>
          <w:color w:val="000000"/>
          <w:shd w:val="clear" w:color="auto" w:fill="FFFFFF"/>
        </w:rPr>
        <w:t>(</w:t>
      </w:r>
      <w:hyperlink r:id="rId23" w:tooltip="May 2023 SBE Item" w:history="1">
        <w:r w:rsidRPr="00CA40CB">
          <w:rPr>
            <w:rStyle w:val="Hyperlink"/>
          </w:rPr>
          <w:t>https://www.cde.ca.gov/be/ag/ag/yr23/documents/may23item09.docx</w:t>
        </w:r>
      </w:hyperlink>
      <w:r w:rsidRPr="00CA40CB">
        <w:rPr>
          <w:rFonts w:ascii="Helvetica" w:hAnsi="Helvetica" w:cs="Helvetica"/>
          <w:color w:val="000000"/>
          <w:shd w:val="clear" w:color="auto" w:fill="FFFFFF"/>
        </w:rPr>
        <w:t xml:space="preserve">) </w:t>
      </w:r>
    </w:p>
    <w:p w14:paraId="0A93365A" w14:textId="4084326E" w:rsidR="00416973" w:rsidRDefault="00F1650D" w:rsidP="004E4183">
      <w:pPr>
        <w:spacing w:after="240"/>
        <w:rPr>
          <w:rFonts w:eastAsia="Arial" w:cs="Arial"/>
          <w:color w:val="000000" w:themeColor="text1"/>
        </w:rPr>
      </w:pPr>
      <w:r w:rsidRPr="00CA40CB">
        <w:rPr>
          <w:rFonts w:eastAsia="Arial" w:cs="Arial"/>
          <w:color w:val="000000" w:themeColor="text1"/>
        </w:rPr>
        <w:t xml:space="preserve">In November 2023, the CDE provided an update on the CCSPP including presentations by the </w:t>
      </w:r>
      <w:r w:rsidR="00416973" w:rsidRPr="00CA40CB">
        <w:rPr>
          <w:rFonts w:eastAsia="Arial" w:cs="Arial"/>
          <w:color w:val="000000" w:themeColor="text1"/>
        </w:rPr>
        <w:t>S-TAC</w:t>
      </w:r>
      <w:r w:rsidRPr="00CA40CB">
        <w:rPr>
          <w:rFonts w:eastAsia="Arial" w:cs="Arial"/>
          <w:color w:val="000000" w:themeColor="text1"/>
        </w:rPr>
        <w:t xml:space="preserve"> and the Southern Inland </w:t>
      </w:r>
      <w:r w:rsidR="00416973" w:rsidRPr="00CA40CB">
        <w:rPr>
          <w:rFonts w:eastAsia="Arial" w:cs="Arial"/>
          <w:color w:val="000000" w:themeColor="text1"/>
        </w:rPr>
        <w:t>R-TAC</w:t>
      </w:r>
      <w:r w:rsidRPr="00CA40CB">
        <w:rPr>
          <w:rFonts w:eastAsia="Arial" w:cs="Arial"/>
          <w:color w:val="000000" w:themeColor="text1"/>
        </w:rPr>
        <w:t>.</w:t>
      </w:r>
      <w:r w:rsidR="004E4183" w:rsidRPr="00CA40CB">
        <w:rPr>
          <w:rFonts w:eastAsia="Arial" w:cs="Arial"/>
          <w:color w:val="000000" w:themeColor="text1"/>
        </w:rPr>
        <w:br/>
      </w:r>
      <w:r w:rsidR="00416973" w:rsidRPr="00CA40CB">
        <w:rPr>
          <w:rFonts w:eastAsia="Arial" w:cs="Arial"/>
          <w:color w:val="000000" w:themeColor="text1"/>
        </w:rPr>
        <w:t>(</w:t>
      </w:r>
      <w:hyperlink r:id="rId24" w:tooltip="November 2023 SBE Item" w:history="1">
        <w:r w:rsidR="00416973" w:rsidRPr="00CA40CB">
          <w:rPr>
            <w:rStyle w:val="Hyperlink"/>
            <w:rFonts w:eastAsia="Arial" w:cs="Arial"/>
          </w:rPr>
          <w:t>https://www.cde.ca.gov/be/ag/ag/yr23/documents/nov23item16.docx</w:t>
        </w:r>
      </w:hyperlink>
      <w:r w:rsidR="00416973" w:rsidRPr="00CA40CB">
        <w:rPr>
          <w:rFonts w:eastAsia="Arial" w:cs="Arial"/>
          <w:color w:val="000000" w:themeColor="text1"/>
        </w:rPr>
        <w:t>)</w:t>
      </w:r>
    </w:p>
    <w:p w14:paraId="48DB4585" w14:textId="308EA3BC" w:rsidR="005C491A" w:rsidRPr="00CA40CB" w:rsidRDefault="005C491A" w:rsidP="005C491A">
      <w:pPr>
        <w:spacing w:after="240"/>
        <w:rPr>
          <w:rFonts w:eastAsia="Arial" w:cs="Arial"/>
          <w:color w:val="000000" w:themeColor="text1"/>
        </w:rPr>
      </w:pPr>
      <w:r w:rsidRPr="00CA40CB">
        <w:rPr>
          <w:rFonts w:eastAsia="Arial" w:cs="Arial"/>
          <w:color w:val="000000" w:themeColor="text1"/>
        </w:rPr>
        <w:lastRenderedPageBreak/>
        <w:t>In May 202</w:t>
      </w:r>
      <w:r>
        <w:rPr>
          <w:rFonts w:eastAsia="Arial" w:cs="Arial"/>
          <w:color w:val="000000" w:themeColor="text1"/>
        </w:rPr>
        <w:t>4</w:t>
      </w:r>
      <w:r w:rsidRPr="00CA40CB">
        <w:rPr>
          <w:rFonts w:eastAsia="Arial" w:cs="Arial"/>
          <w:color w:val="000000" w:themeColor="text1"/>
        </w:rPr>
        <w:t xml:space="preserve">, the SBE approved the </w:t>
      </w:r>
      <w:r w:rsidRPr="00CA40CB">
        <w:rPr>
          <w:rFonts w:ascii="Helvetica" w:hAnsi="Helvetica" w:cs="Helvetica"/>
          <w:color w:val="000000"/>
          <w:shd w:val="clear" w:color="auto" w:fill="FFFFFF"/>
        </w:rPr>
        <w:t xml:space="preserve">Cohort </w:t>
      </w:r>
      <w:r>
        <w:rPr>
          <w:rFonts w:ascii="Helvetica" w:hAnsi="Helvetica" w:cs="Helvetica"/>
          <w:color w:val="000000"/>
          <w:shd w:val="clear" w:color="auto" w:fill="FFFFFF"/>
        </w:rPr>
        <w:t>3</w:t>
      </w:r>
      <w:r w:rsidRPr="00CA40CB">
        <w:rPr>
          <w:rFonts w:ascii="Helvetica" w:hAnsi="Helvetica" w:cs="Helvetica"/>
          <w:color w:val="000000"/>
          <w:shd w:val="clear" w:color="auto" w:fill="FFFFFF"/>
        </w:rPr>
        <w:t xml:space="preserve"> Implementation Grantees.</w:t>
      </w:r>
      <w:r w:rsidRPr="00CA40CB">
        <w:rPr>
          <w:rFonts w:ascii="Helvetica" w:hAnsi="Helvetica" w:cs="Helvetica"/>
          <w:color w:val="000000"/>
          <w:shd w:val="clear" w:color="auto" w:fill="FFFFFF"/>
        </w:rPr>
        <w:br/>
        <w:t>(</w:t>
      </w:r>
      <w:hyperlink r:id="rId25" w:tooltip="May 2024 SBE Item" w:history="1">
        <w:r>
          <w:rPr>
            <w:rStyle w:val="Hyperlink"/>
          </w:rPr>
          <w:t>https://www.cde.ca.gov/be/ag/ag/yr24/documents/may24item02.docx</w:t>
        </w:r>
      </w:hyperlink>
      <w:r w:rsidRPr="00CA40CB">
        <w:rPr>
          <w:rFonts w:ascii="Helvetica" w:hAnsi="Helvetica" w:cs="Helvetica"/>
          <w:color w:val="000000"/>
          <w:shd w:val="clear" w:color="auto" w:fill="FFFFFF"/>
        </w:rPr>
        <w:t xml:space="preserve">) </w:t>
      </w:r>
    </w:p>
    <w:bookmarkEnd w:id="3"/>
    <w:p w14:paraId="080FF07B" w14:textId="77777777" w:rsidR="003E4DF7" w:rsidRPr="00CA40CB" w:rsidRDefault="003E4DF7" w:rsidP="00582C51">
      <w:pPr>
        <w:pStyle w:val="Heading2"/>
        <w:spacing w:before="240" w:after="240"/>
        <w:rPr>
          <w:sz w:val="36"/>
          <w:szCs w:val="36"/>
        </w:rPr>
      </w:pPr>
      <w:r w:rsidRPr="00CA40CB">
        <w:rPr>
          <w:sz w:val="36"/>
          <w:szCs w:val="36"/>
        </w:rPr>
        <w:t>Fiscal Analysis</w:t>
      </w:r>
    </w:p>
    <w:p w14:paraId="668940EC" w14:textId="0E6899E5" w:rsidR="00B85FB4" w:rsidRPr="00CA40CB" w:rsidRDefault="00B85FB4" w:rsidP="00582C51">
      <w:pPr>
        <w:spacing w:after="240"/>
        <w:rPr>
          <w:rFonts w:cs="Arial"/>
          <w:b/>
          <w:color w:val="000000" w:themeColor="text1"/>
        </w:rPr>
      </w:pPr>
      <w:r w:rsidRPr="00CA40CB">
        <w:rPr>
          <w:rFonts w:eastAsia="Arial" w:cs="Arial"/>
        </w:rPr>
        <w:t>The 2021–22 Budget Act provides a total of $3,015,997,000</w:t>
      </w:r>
      <w:r w:rsidRPr="00CA40CB">
        <w:rPr>
          <w:rFonts w:cs="Arial"/>
        </w:rPr>
        <w:t xml:space="preserve"> </w:t>
      </w:r>
      <w:r w:rsidRPr="00CA40CB">
        <w:rPr>
          <w:rFonts w:eastAsia="Arial" w:cs="Arial"/>
        </w:rPr>
        <w:t>for the CCSPP</w:t>
      </w:r>
      <w:r w:rsidR="003F17AA" w:rsidRPr="00CA40CB">
        <w:rPr>
          <w:rFonts w:eastAsia="Arial" w:cs="Arial"/>
        </w:rPr>
        <w:t xml:space="preserve">. The 2022–23 Budget Act added a total of </w:t>
      </w:r>
      <w:r w:rsidR="003F17AA" w:rsidRPr="00CA40CB">
        <w:rPr>
          <w:rFonts w:cs="Arial"/>
        </w:rPr>
        <w:t>$1,132,554,000 to the CCSPP</w:t>
      </w:r>
      <w:r w:rsidRPr="00CA40CB">
        <w:rPr>
          <w:rFonts w:eastAsia="Arial" w:cs="Arial"/>
        </w:rPr>
        <w:t xml:space="preserve">, to be distributed as explained in the Brief History </w:t>
      </w:r>
      <w:r w:rsidR="0006053A" w:rsidRPr="00CA40CB">
        <w:rPr>
          <w:rFonts w:eastAsia="Arial" w:cs="Arial"/>
        </w:rPr>
        <w:t xml:space="preserve">and </w:t>
      </w:r>
      <w:r w:rsidRPr="00CA40CB">
        <w:rPr>
          <w:rFonts w:eastAsia="Arial" w:cs="Arial"/>
        </w:rPr>
        <w:t>Key Issues</w:t>
      </w:r>
      <w:r w:rsidR="003F17AA" w:rsidRPr="00CA40CB">
        <w:rPr>
          <w:rFonts w:eastAsia="Arial" w:cs="Arial"/>
        </w:rPr>
        <w:t xml:space="preserve"> section of </w:t>
      </w:r>
      <w:r w:rsidR="00A277CB" w:rsidRPr="00CA40CB">
        <w:rPr>
          <w:rFonts w:eastAsia="Arial" w:cs="Arial"/>
        </w:rPr>
        <w:t>th</w:t>
      </w:r>
      <w:r w:rsidR="00A277CB">
        <w:rPr>
          <w:rFonts w:eastAsia="Arial" w:cs="Arial"/>
        </w:rPr>
        <w:t>e May 2024</w:t>
      </w:r>
      <w:r w:rsidR="00A277CB" w:rsidRPr="00CA40CB">
        <w:rPr>
          <w:rFonts w:eastAsia="Arial" w:cs="Arial"/>
        </w:rPr>
        <w:t xml:space="preserve"> </w:t>
      </w:r>
      <w:r w:rsidR="003F17AA" w:rsidRPr="00CA40CB">
        <w:rPr>
          <w:rFonts w:eastAsia="Arial" w:cs="Arial"/>
        </w:rPr>
        <w:t>Agenda Item.</w:t>
      </w:r>
      <w:r w:rsidR="007F60E6" w:rsidRPr="00CA40CB">
        <w:rPr>
          <w:rFonts w:eastAsia="Arial" w:cs="Arial"/>
        </w:rPr>
        <w:t xml:space="preserve"> </w:t>
      </w:r>
    </w:p>
    <w:p w14:paraId="3A8C9E50" w14:textId="77777777" w:rsidR="00406F50" w:rsidRPr="00CA40CB" w:rsidRDefault="00406F50" w:rsidP="00582C51">
      <w:pPr>
        <w:pStyle w:val="Heading2"/>
        <w:spacing w:before="240" w:after="240"/>
        <w:rPr>
          <w:sz w:val="36"/>
          <w:szCs w:val="36"/>
        </w:rPr>
      </w:pPr>
      <w:r w:rsidRPr="00CA40CB">
        <w:rPr>
          <w:sz w:val="36"/>
          <w:szCs w:val="36"/>
        </w:rPr>
        <w:t>Attachment(s)</w:t>
      </w:r>
    </w:p>
    <w:p w14:paraId="3FA23137" w14:textId="1DFDDB57" w:rsidR="003E6159" w:rsidRPr="00CA40CB" w:rsidRDefault="003E6159" w:rsidP="0085582E">
      <w:pPr>
        <w:pStyle w:val="ListParagraph"/>
        <w:numPr>
          <w:ilvl w:val="0"/>
          <w:numId w:val="17"/>
        </w:numPr>
        <w:spacing w:after="240"/>
        <w:contextualSpacing w:val="0"/>
      </w:pPr>
      <w:r w:rsidRPr="00CA40CB">
        <w:rPr>
          <w:b/>
        </w:rPr>
        <w:t>Attachment 1:</w:t>
      </w:r>
      <w:r w:rsidRPr="00CA40CB">
        <w:t xml:space="preserve"> </w:t>
      </w:r>
      <w:r w:rsidR="006753D8" w:rsidRPr="006753D8">
        <w:t xml:space="preserve">California Community Schools Partnership Program, Cohort 3: Updated Proposed Funding </w:t>
      </w:r>
      <w:r w:rsidR="006753D8">
        <w:t>Sites</w:t>
      </w:r>
      <w:r w:rsidR="006753D8" w:rsidRPr="006753D8">
        <w:t xml:space="preserve"> </w:t>
      </w:r>
      <w:r w:rsidRPr="00CA40CB">
        <w:t>(</w:t>
      </w:r>
      <w:r w:rsidR="005C491A">
        <w:t>2</w:t>
      </w:r>
      <w:r w:rsidRPr="00CA40CB">
        <w:t xml:space="preserve"> Pages)</w:t>
      </w:r>
    </w:p>
    <w:sectPr w:rsidR="003E6159" w:rsidRPr="00CA40CB" w:rsidSect="000E5DDB">
      <w:headerReference w:type="default" r:id="rId26"/>
      <w:type w:val="continuous"/>
      <w:pgSz w:w="12240" w:h="15840"/>
      <w:pgMar w:top="72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32536" w14:textId="77777777" w:rsidR="004B1B69" w:rsidRDefault="004B1B69" w:rsidP="000E09DC">
      <w:r>
        <w:separator/>
      </w:r>
    </w:p>
  </w:endnote>
  <w:endnote w:type="continuationSeparator" w:id="0">
    <w:p w14:paraId="41FD0F05" w14:textId="77777777" w:rsidR="004B1B69" w:rsidRDefault="004B1B69" w:rsidP="000E09DC">
      <w:r>
        <w:continuationSeparator/>
      </w:r>
    </w:p>
  </w:endnote>
  <w:endnote w:type="continuationNotice" w:id="1">
    <w:p w14:paraId="7C32260A" w14:textId="77777777" w:rsidR="004B1B69" w:rsidRDefault="004B1B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6D2E6" w14:textId="77777777" w:rsidR="004B1B69" w:rsidRDefault="004B1B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6C242" w14:textId="77777777" w:rsidR="004B1B69" w:rsidRDefault="004B1B69" w:rsidP="000E09DC">
      <w:r>
        <w:separator/>
      </w:r>
    </w:p>
  </w:footnote>
  <w:footnote w:type="continuationSeparator" w:id="0">
    <w:p w14:paraId="13578218" w14:textId="77777777" w:rsidR="004B1B69" w:rsidRDefault="004B1B69" w:rsidP="000E09DC">
      <w:r>
        <w:continuationSeparator/>
      </w:r>
    </w:p>
  </w:footnote>
  <w:footnote w:type="continuationNotice" w:id="1">
    <w:p w14:paraId="578BCA2E" w14:textId="77777777" w:rsidR="004B1B69" w:rsidRDefault="004B1B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7F370" w14:textId="77777777" w:rsidR="00504857" w:rsidRPr="000E09DC" w:rsidRDefault="00504857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5DB31C1A" w14:textId="77777777" w:rsidR="00504857" w:rsidRDefault="00504857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>
      <w:rPr>
        <w:rFonts w:cs="Arial"/>
      </w:rPr>
      <w:t>3</w:t>
    </w:r>
  </w:p>
  <w:p w14:paraId="3B49FA92" w14:textId="77777777" w:rsidR="00504857" w:rsidRPr="00527B0E" w:rsidRDefault="00504857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08422B12" w14:textId="468C0491" w:rsidR="00504857" w:rsidRPr="00924644" w:rsidRDefault="00504857" w:rsidP="003F17AA">
        <w:pPr>
          <w:jc w:val="right"/>
        </w:pPr>
        <w:r w:rsidRPr="00924644">
          <w:t>sssb-cctd-</w:t>
        </w:r>
        <w:r w:rsidR="008819D2">
          <w:t>july</w:t>
        </w:r>
        <w:r w:rsidRPr="00924644">
          <w:t>2</w:t>
        </w:r>
        <w:r w:rsidR="00226BA5">
          <w:t>4</w:t>
        </w:r>
        <w:r w:rsidRPr="00924644">
          <w:t>item</w:t>
        </w:r>
        <w:r w:rsidR="00034DC3">
          <w:t>01</w:t>
        </w:r>
      </w:p>
      <w:p w14:paraId="6D7B0CCE" w14:textId="77777777" w:rsidR="00504857" w:rsidRPr="00364036" w:rsidRDefault="00504857" w:rsidP="00892E85">
        <w:pPr>
          <w:spacing w:after="240"/>
          <w:jc w:val="right"/>
        </w:pPr>
        <w:r w:rsidRPr="00364036">
          <w:t xml:space="preserve">Page </w:t>
        </w:r>
        <w:r w:rsidRPr="00364036">
          <w:rPr>
            <w:bCs/>
          </w:rPr>
          <w:fldChar w:fldCharType="begin"/>
        </w:r>
        <w:r w:rsidRPr="00364036">
          <w:rPr>
            <w:bCs/>
          </w:rPr>
          <w:instrText xml:space="preserve"> PAGE </w:instrText>
        </w:r>
        <w:r w:rsidRPr="00364036">
          <w:rPr>
            <w:bCs/>
          </w:rPr>
          <w:fldChar w:fldCharType="separate"/>
        </w:r>
        <w:r>
          <w:rPr>
            <w:bCs/>
            <w:noProof/>
          </w:rPr>
          <w:t>10</w:t>
        </w:r>
        <w:r w:rsidRPr="00364036">
          <w:rPr>
            <w:bCs/>
          </w:rPr>
          <w:fldChar w:fldCharType="end"/>
        </w:r>
        <w:r w:rsidRPr="00364036">
          <w:t xml:space="preserve"> of </w:t>
        </w:r>
        <w:r w:rsidRPr="00364036">
          <w:rPr>
            <w:bCs/>
          </w:rPr>
          <w:fldChar w:fldCharType="begin"/>
        </w:r>
        <w:r w:rsidRPr="00364036">
          <w:rPr>
            <w:bCs/>
          </w:rPr>
          <w:instrText xml:space="preserve"> NUMPAGES  </w:instrText>
        </w:r>
        <w:r w:rsidRPr="00364036">
          <w:rPr>
            <w:bCs/>
          </w:rPr>
          <w:fldChar w:fldCharType="separate"/>
        </w:r>
        <w:r>
          <w:rPr>
            <w:bCs/>
            <w:noProof/>
          </w:rPr>
          <w:t>10</w:t>
        </w:r>
        <w:r w:rsidRPr="00364036">
          <w:rPr>
            <w:bCs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E30D8"/>
    <w:multiLevelType w:val="hybridMultilevel"/>
    <w:tmpl w:val="30B63B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B2759"/>
    <w:multiLevelType w:val="multilevel"/>
    <w:tmpl w:val="7D8E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354A7"/>
    <w:multiLevelType w:val="hybridMultilevel"/>
    <w:tmpl w:val="99B0A4CE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5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0F5513C"/>
    <w:multiLevelType w:val="hybridMultilevel"/>
    <w:tmpl w:val="2EBA061A"/>
    <w:lvl w:ilvl="0" w:tplc="6AF25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F0055"/>
    <w:multiLevelType w:val="hybridMultilevel"/>
    <w:tmpl w:val="3DDC8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E7735D"/>
    <w:multiLevelType w:val="hybridMultilevel"/>
    <w:tmpl w:val="76FC43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75887"/>
    <w:multiLevelType w:val="hybridMultilevel"/>
    <w:tmpl w:val="9444A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65B26"/>
    <w:multiLevelType w:val="hybridMultilevel"/>
    <w:tmpl w:val="152ED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986382"/>
    <w:multiLevelType w:val="hybridMultilevel"/>
    <w:tmpl w:val="A2040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E27D8"/>
    <w:multiLevelType w:val="hybridMultilevel"/>
    <w:tmpl w:val="9E2EF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86D37"/>
    <w:multiLevelType w:val="hybridMultilevel"/>
    <w:tmpl w:val="37562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FC6C21"/>
    <w:multiLevelType w:val="hybridMultilevel"/>
    <w:tmpl w:val="EA600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43848"/>
    <w:multiLevelType w:val="hybridMultilevel"/>
    <w:tmpl w:val="526A3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B318F"/>
    <w:multiLevelType w:val="multilevel"/>
    <w:tmpl w:val="EC54F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5834935"/>
    <w:multiLevelType w:val="hybridMultilevel"/>
    <w:tmpl w:val="9788E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B500D"/>
    <w:multiLevelType w:val="hybridMultilevel"/>
    <w:tmpl w:val="830E2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D582A18"/>
    <w:multiLevelType w:val="hybridMultilevel"/>
    <w:tmpl w:val="0A20B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AA65A5"/>
    <w:multiLevelType w:val="hybridMultilevel"/>
    <w:tmpl w:val="0DD87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108610">
    <w:abstractNumId w:val="6"/>
  </w:num>
  <w:num w:numId="2" w16cid:durableId="423915593">
    <w:abstractNumId w:val="22"/>
  </w:num>
  <w:num w:numId="3" w16cid:durableId="1085148778">
    <w:abstractNumId w:val="3"/>
  </w:num>
  <w:num w:numId="4" w16cid:durableId="1588685020">
    <w:abstractNumId w:val="13"/>
  </w:num>
  <w:num w:numId="5" w16cid:durableId="1193880948">
    <w:abstractNumId w:val="20"/>
  </w:num>
  <w:num w:numId="6" w16cid:durableId="77604461">
    <w:abstractNumId w:val="0"/>
  </w:num>
  <w:num w:numId="7" w16cid:durableId="34356749">
    <w:abstractNumId w:val="5"/>
  </w:num>
  <w:num w:numId="8" w16cid:durableId="461003144">
    <w:abstractNumId w:val="12"/>
  </w:num>
  <w:num w:numId="9" w16cid:durableId="774861721">
    <w:abstractNumId w:val="21"/>
  </w:num>
  <w:num w:numId="10" w16cid:durableId="1968973913">
    <w:abstractNumId w:val="18"/>
  </w:num>
  <w:num w:numId="11" w16cid:durableId="889994889">
    <w:abstractNumId w:val="18"/>
  </w:num>
  <w:num w:numId="12" w16cid:durableId="1341395511">
    <w:abstractNumId w:val="24"/>
  </w:num>
  <w:num w:numId="13" w16cid:durableId="465315288">
    <w:abstractNumId w:val="24"/>
  </w:num>
  <w:num w:numId="14" w16cid:durableId="1293904176">
    <w:abstractNumId w:val="10"/>
  </w:num>
  <w:num w:numId="15" w16cid:durableId="90661994">
    <w:abstractNumId w:val="7"/>
  </w:num>
  <w:num w:numId="16" w16cid:durableId="584920276">
    <w:abstractNumId w:val="19"/>
  </w:num>
  <w:num w:numId="17" w16cid:durableId="247542736">
    <w:abstractNumId w:val="23"/>
  </w:num>
  <w:num w:numId="18" w16cid:durableId="405617597">
    <w:abstractNumId w:val="16"/>
  </w:num>
  <w:num w:numId="19" w16cid:durableId="1570068541">
    <w:abstractNumId w:val="8"/>
  </w:num>
  <w:num w:numId="20" w16cid:durableId="409273814">
    <w:abstractNumId w:val="11"/>
  </w:num>
  <w:num w:numId="21" w16cid:durableId="1827744532">
    <w:abstractNumId w:val="2"/>
  </w:num>
  <w:num w:numId="22" w16cid:durableId="114521220">
    <w:abstractNumId w:val="4"/>
  </w:num>
  <w:num w:numId="23" w16cid:durableId="205416393">
    <w:abstractNumId w:val="1"/>
  </w:num>
  <w:num w:numId="24" w16cid:durableId="1894543412">
    <w:abstractNumId w:val="15"/>
  </w:num>
  <w:num w:numId="25" w16cid:durableId="2008433436">
    <w:abstractNumId w:val="14"/>
  </w:num>
  <w:num w:numId="26" w16cid:durableId="1366976960">
    <w:abstractNumId w:val="9"/>
  </w:num>
  <w:num w:numId="27" w16cid:durableId="180665381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1335"/>
    <w:rsid w:val="000040D5"/>
    <w:rsid w:val="000324AD"/>
    <w:rsid w:val="00034DC3"/>
    <w:rsid w:val="00040EFF"/>
    <w:rsid w:val="00044495"/>
    <w:rsid w:val="00045528"/>
    <w:rsid w:val="00051CC7"/>
    <w:rsid w:val="0005275D"/>
    <w:rsid w:val="0006053A"/>
    <w:rsid w:val="000629E8"/>
    <w:rsid w:val="0007629E"/>
    <w:rsid w:val="00083F9A"/>
    <w:rsid w:val="000854C2"/>
    <w:rsid w:val="0009633E"/>
    <w:rsid w:val="000968B1"/>
    <w:rsid w:val="000A3FF1"/>
    <w:rsid w:val="000B21CE"/>
    <w:rsid w:val="000B38C2"/>
    <w:rsid w:val="000C730A"/>
    <w:rsid w:val="000D2979"/>
    <w:rsid w:val="000D54CD"/>
    <w:rsid w:val="000E09DC"/>
    <w:rsid w:val="000E2666"/>
    <w:rsid w:val="000E5B90"/>
    <w:rsid w:val="000E5DDB"/>
    <w:rsid w:val="000F4BFD"/>
    <w:rsid w:val="000F5BEE"/>
    <w:rsid w:val="00101D54"/>
    <w:rsid w:val="0010250A"/>
    <w:rsid w:val="00103F5E"/>
    <w:rsid w:val="001048F3"/>
    <w:rsid w:val="00106D05"/>
    <w:rsid w:val="00107FED"/>
    <w:rsid w:val="001162D2"/>
    <w:rsid w:val="00126C90"/>
    <w:rsid w:val="00130059"/>
    <w:rsid w:val="00130EE6"/>
    <w:rsid w:val="0013575E"/>
    <w:rsid w:val="00143EF4"/>
    <w:rsid w:val="00153D5A"/>
    <w:rsid w:val="0015601D"/>
    <w:rsid w:val="001700CA"/>
    <w:rsid w:val="00172366"/>
    <w:rsid w:val="00173616"/>
    <w:rsid w:val="00176488"/>
    <w:rsid w:val="0018148D"/>
    <w:rsid w:val="00187F83"/>
    <w:rsid w:val="001A0ACB"/>
    <w:rsid w:val="001A0CA5"/>
    <w:rsid w:val="001A0E93"/>
    <w:rsid w:val="001B04E7"/>
    <w:rsid w:val="001B3958"/>
    <w:rsid w:val="001B4550"/>
    <w:rsid w:val="001B5C0D"/>
    <w:rsid w:val="001C5F0C"/>
    <w:rsid w:val="001D1A28"/>
    <w:rsid w:val="001E1929"/>
    <w:rsid w:val="001E25F2"/>
    <w:rsid w:val="001F0ECF"/>
    <w:rsid w:val="001F31F7"/>
    <w:rsid w:val="00206239"/>
    <w:rsid w:val="00214AF6"/>
    <w:rsid w:val="0022288E"/>
    <w:rsid w:val="00223112"/>
    <w:rsid w:val="00224251"/>
    <w:rsid w:val="00226BA5"/>
    <w:rsid w:val="00230924"/>
    <w:rsid w:val="00237DE6"/>
    <w:rsid w:val="00240180"/>
    <w:rsid w:val="00240B26"/>
    <w:rsid w:val="00242350"/>
    <w:rsid w:val="00247E68"/>
    <w:rsid w:val="00263C1C"/>
    <w:rsid w:val="00266206"/>
    <w:rsid w:val="002677E5"/>
    <w:rsid w:val="002832C4"/>
    <w:rsid w:val="00285CA2"/>
    <w:rsid w:val="00295D68"/>
    <w:rsid w:val="002A1FF5"/>
    <w:rsid w:val="002A3CE0"/>
    <w:rsid w:val="002A4F3C"/>
    <w:rsid w:val="002A6A8B"/>
    <w:rsid w:val="002B4B14"/>
    <w:rsid w:val="002B4CE3"/>
    <w:rsid w:val="002C4C57"/>
    <w:rsid w:val="002C5FD2"/>
    <w:rsid w:val="002D1A82"/>
    <w:rsid w:val="002D2D8E"/>
    <w:rsid w:val="002E3CA2"/>
    <w:rsid w:val="002E4CB5"/>
    <w:rsid w:val="002E6FCA"/>
    <w:rsid w:val="002F071E"/>
    <w:rsid w:val="002F20AD"/>
    <w:rsid w:val="002F279B"/>
    <w:rsid w:val="002F326E"/>
    <w:rsid w:val="002F599E"/>
    <w:rsid w:val="003030AD"/>
    <w:rsid w:val="00304F01"/>
    <w:rsid w:val="00310BD3"/>
    <w:rsid w:val="003145A1"/>
    <w:rsid w:val="00315131"/>
    <w:rsid w:val="0031729C"/>
    <w:rsid w:val="003301D4"/>
    <w:rsid w:val="0034516E"/>
    <w:rsid w:val="00353317"/>
    <w:rsid w:val="00354420"/>
    <w:rsid w:val="003562D7"/>
    <w:rsid w:val="00360DD8"/>
    <w:rsid w:val="00363520"/>
    <w:rsid w:val="00363D23"/>
    <w:rsid w:val="00364036"/>
    <w:rsid w:val="00366309"/>
    <w:rsid w:val="00367916"/>
    <w:rsid w:val="003705FC"/>
    <w:rsid w:val="00376682"/>
    <w:rsid w:val="00381965"/>
    <w:rsid w:val="00384ACF"/>
    <w:rsid w:val="00387870"/>
    <w:rsid w:val="00387B20"/>
    <w:rsid w:val="0039028C"/>
    <w:rsid w:val="003924CB"/>
    <w:rsid w:val="003A2F48"/>
    <w:rsid w:val="003A3DBE"/>
    <w:rsid w:val="003A57C7"/>
    <w:rsid w:val="003A5A5F"/>
    <w:rsid w:val="003A6252"/>
    <w:rsid w:val="003B3083"/>
    <w:rsid w:val="003B62CB"/>
    <w:rsid w:val="003B6A4F"/>
    <w:rsid w:val="003D09CB"/>
    <w:rsid w:val="003D1ECD"/>
    <w:rsid w:val="003D68CD"/>
    <w:rsid w:val="003E0B2D"/>
    <w:rsid w:val="003E1E8D"/>
    <w:rsid w:val="003E3C50"/>
    <w:rsid w:val="003E4DF7"/>
    <w:rsid w:val="003E6159"/>
    <w:rsid w:val="003F0A83"/>
    <w:rsid w:val="003F17AA"/>
    <w:rsid w:val="003F6BD4"/>
    <w:rsid w:val="00406F50"/>
    <w:rsid w:val="00407E9B"/>
    <w:rsid w:val="00407FAD"/>
    <w:rsid w:val="00416973"/>
    <w:rsid w:val="004203BC"/>
    <w:rsid w:val="00420D6F"/>
    <w:rsid w:val="00421A11"/>
    <w:rsid w:val="00424954"/>
    <w:rsid w:val="00425BC0"/>
    <w:rsid w:val="004260C6"/>
    <w:rsid w:val="0043150B"/>
    <w:rsid w:val="0044670C"/>
    <w:rsid w:val="004468A7"/>
    <w:rsid w:val="004578E1"/>
    <w:rsid w:val="00464B1E"/>
    <w:rsid w:val="004737BB"/>
    <w:rsid w:val="0047534A"/>
    <w:rsid w:val="00477AD6"/>
    <w:rsid w:val="00484080"/>
    <w:rsid w:val="004909C3"/>
    <w:rsid w:val="0049138C"/>
    <w:rsid w:val="004A1398"/>
    <w:rsid w:val="004B1B69"/>
    <w:rsid w:val="004B4294"/>
    <w:rsid w:val="004B7849"/>
    <w:rsid w:val="004C1666"/>
    <w:rsid w:val="004C35D4"/>
    <w:rsid w:val="004C6946"/>
    <w:rsid w:val="004C7994"/>
    <w:rsid w:val="004E029B"/>
    <w:rsid w:val="004E1DB1"/>
    <w:rsid w:val="004E4183"/>
    <w:rsid w:val="00501CDD"/>
    <w:rsid w:val="00504857"/>
    <w:rsid w:val="00507D19"/>
    <w:rsid w:val="0051257C"/>
    <w:rsid w:val="005178C3"/>
    <w:rsid w:val="00517C00"/>
    <w:rsid w:val="0052290B"/>
    <w:rsid w:val="00527B0E"/>
    <w:rsid w:val="00532ADF"/>
    <w:rsid w:val="005351B3"/>
    <w:rsid w:val="00536B6E"/>
    <w:rsid w:val="0053729A"/>
    <w:rsid w:val="005402A7"/>
    <w:rsid w:val="00540EB6"/>
    <w:rsid w:val="00551761"/>
    <w:rsid w:val="005522EA"/>
    <w:rsid w:val="005551D4"/>
    <w:rsid w:val="005635A0"/>
    <w:rsid w:val="00576354"/>
    <w:rsid w:val="00581F18"/>
    <w:rsid w:val="00582C51"/>
    <w:rsid w:val="0058588B"/>
    <w:rsid w:val="00594AF0"/>
    <w:rsid w:val="00596CDB"/>
    <w:rsid w:val="005B4346"/>
    <w:rsid w:val="005C26B9"/>
    <w:rsid w:val="005C491A"/>
    <w:rsid w:val="005C56E5"/>
    <w:rsid w:val="005F205A"/>
    <w:rsid w:val="005F503A"/>
    <w:rsid w:val="00613137"/>
    <w:rsid w:val="00614ED8"/>
    <w:rsid w:val="0063715E"/>
    <w:rsid w:val="006375A2"/>
    <w:rsid w:val="006439DC"/>
    <w:rsid w:val="00644091"/>
    <w:rsid w:val="0065306A"/>
    <w:rsid w:val="006543AF"/>
    <w:rsid w:val="00660EC8"/>
    <w:rsid w:val="00672892"/>
    <w:rsid w:val="006753D8"/>
    <w:rsid w:val="00681F5C"/>
    <w:rsid w:val="006840C8"/>
    <w:rsid w:val="006866B5"/>
    <w:rsid w:val="006919A8"/>
    <w:rsid w:val="00692300"/>
    <w:rsid w:val="00693951"/>
    <w:rsid w:val="006A728B"/>
    <w:rsid w:val="006B05F9"/>
    <w:rsid w:val="006B1027"/>
    <w:rsid w:val="006B2111"/>
    <w:rsid w:val="006B464F"/>
    <w:rsid w:val="006B5A6E"/>
    <w:rsid w:val="006C5EA8"/>
    <w:rsid w:val="006D0223"/>
    <w:rsid w:val="006D249B"/>
    <w:rsid w:val="006D65B6"/>
    <w:rsid w:val="006E0685"/>
    <w:rsid w:val="006E06C6"/>
    <w:rsid w:val="006E37B8"/>
    <w:rsid w:val="006E78FA"/>
    <w:rsid w:val="006F0432"/>
    <w:rsid w:val="006F5CEB"/>
    <w:rsid w:val="00704B89"/>
    <w:rsid w:val="00704BD6"/>
    <w:rsid w:val="00705851"/>
    <w:rsid w:val="00717B82"/>
    <w:rsid w:val="00726EDA"/>
    <w:rsid w:val="00730E82"/>
    <w:rsid w:val="007313A3"/>
    <w:rsid w:val="00740901"/>
    <w:rsid w:val="007428B8"/>
    <w:rsid w:val="00746164"/>
    <w:rsid w:val="007577EA"/>
    <w:rsid w:val="007609C1"/>
    <w:rsid w:val="00760EDA"/>
    <w:rsid w:val="0076189E"/>
    <w:rsid w:val="00763231"/>
    <w:rsid w:val="007634BF"/>
    <w:rsid w:val="00765F2C"/>
    <w:rsid w:val="00766EA2"/>
    <w:rsid w:val="007739CF"/>
    <w:rsid w:val="007740ED"/>
    <w:rsid w:val="00774E6C"/>
    <w:rsid w:val="00780BB6"/>
    <w:rsid w:val="00781ECC"/>
    <w:rsid w:val="00785677"/>
    <w:rsid w:val="00793CD0"/>
    <w:rsid w:val="007A019B"/>
    <w:rsid w:val="007A3547"/>
    <w:rsid w:val="007A6C46"/>
    <w:rsid w:val="007C3D91"/>
    <w:rsid w:val="007C5697"/>
    <w:rsid w:val="007D4435"/>
    <w:rsid w:val="007D6A8F"/>
    <w:rsid w:val="007D7FF1"/>
    <w:rsid w:val="007E7759"/>
    <w:rsid w:val="007E7CFC"/>
    <w:rsid w:val="007F5193"/>
    <w:rsid w:val="007F60E6"/>
    <w:rsid w:val="00800583"/>
    <w:rsid w:val="00803E08"/>
    <w:rsid w:val="00811675"/>
    <w:rsid w:val="0081212A"/>
    <w:rsid w:val="00814DE0"/>
    <w:rsid w:val="008305B2"/>
    <w:rsid w:val="00830DE9"/>
    <w:rsid w:val="008325F4"/>
    <w:rsid w:val="00832EB9"/>
    <w:rsid w:val="00834A4B"/>
    <w:rsid w:val="00841DA1"/>
    <w:rsid w:val="00845194"/>
    <w:rsid w:val="00847E20"/>
    <w:rsid w:val="008522E8"/>
    <w:rsid w:val="00855090"/>
    <w:rsid w:val="0085582E"/>
    <w:rsid w:val="00861715"/>
    <w:rsid w:val="008617F3"/>
    <w:rsid w:val="00871A97"/>
    <w:rsid w:val="00877ECF"/>
    <w:rsid w:val="00880584"/>
    <w:rsid w:val="008819D2"/>
    <w:rsid w:val="0088297E"/>
    <w:rsid w:val="008908AE"/>
    <w:rsid w:val="008909EE"/>
    <w:rsid w:val="008911CC"/>
    <w:rsid w:val="00892E85"/>
    <w:rsid w:val="008A693C"/>
    <w:rsid w:val="008B2618"/>
    <w:rsid w:val="008C1204"/>
    <w:rsid w:val="008C7401"/>
    <w:rsid w:val="008D0427"/>
    <w:rsid w:val="008E3379"/>
    <w:rsid w:val="008E3C7C"/>
    <w:rsid w:val="008E653E"/>
    <w:rsid w:val="0091117B"/>
    <w:rsid w:val="00911878"/>
    <w:rsid w:val="00923DAE"/>
    <w:rsid w:val="00924644"/>
    <w:rsid w:val="0092640C"/>
    <w:rsid w:val="0092769E"/>
    <w:rsid w:val="00974E9E"/>
    <w:rsid w:val="0098176D"/>
    <w:rsid w:val="00981D49"/>
    <w:rsid w:val="00986CD6"/>
    <w:rsid w:val="00987059"/>
    <w:rsid w:val="009A59EB"/>
    <w:rsid w:val="009B04E1"/>
    <w:rsid w:val="009B26AB"/>
    <w:rsid w:val="009B2B15"/>
    <w:rsid w:val="009C7BE1"/>
    <w:rsid w:val="009D5028"/>
    <w:rsid w:val="009E0A63"/>
    <w:rsid w:val="009E3B71"/>
    <w:rsid w:val="009E5B94"/>
    <w:rsid w:val="00A01B2C"/>
    <w:rsid w:val="00A02FFE"/>
    <w:rsid w:val="00A07DD7"/>
    <w:rsid w:val="00A07F42"/>
    <w:rsid w:val="00A10ACA"/>
    <w:rsid w:val="00A16315"/>
    <w:rsid w:val="00A248DA"/>
    <w:rsid w:val="00A277CB"/>
    <w:rsid w:val="00A30B3C"/>
    <w:rsid w:val="00A3288B"/>
    <w:rsid w:val="00A34C7F"/>
    <w:rsid w:val="00A37992"/>
    <w:rsid w:val="00A5027E"/>
    <w:rsid w:val="00A51A27"/>
    <w:rsid w:val="00A57C10"/>
    <w:rsid w:val="00A60FA6"/>
    <w:rsid w:val="00A826A8"/>
    <w:rsid w:val="00A91FB2"/>
    <w:rsid w:val="00A94DF4"/>
    <w:rsid w:val="00A97754"/>
    <w:rsid w:val="00AA0991"/>
    <w:rsid w:val="00AB2826"/>
    <w:rsid w:val="00AB636F"/>
    <w:rsid w:val="00AD6F87"/>
    <w:rsid w:val="00AD71C5"/>
    <w:rsid w:val="00AE34DD"/>
    <w:rsid w:val="00AE3C27"/>
    <w:rsid w:val="00AE766E"/>
    <w:rsid w:val="00AF0089"/>
    <w:rsid w:val="00AF56AA"/>
    <w:rsid w:val="00B01691"/>
    <w:rsid w:val="00B019DA"/>
    <w:rsid w:val="00B13AE2"/>
    <w:rsid w:val="00B1544C"/>
    <w:rsid w:val="00B15EEF"/>
    <w:rsid w:val="00B270A9"/>
    <w:rsid w:val="00B459C7"/>
    <w:rsid w:val="00B53CD4"/>
    <w:rsid w:val="00B54DBF"/>
    <w:rsid w:val="00B61FE2"/>
    <w:rsid w:val="00B6365D"/>
    <w:rsid w:val="00B66796"/>
    <w:rsid w:val="00B66E9E"/>
    <w:rsid w:val="00B723BE"/>
    <w:rsid w:val="00B82705"/>
    <w:rsid w:val="00B83231"/>
    <w:rsid w:val="00B85954"/>
    <w:rsid w:val="00B85FB4"/>
    <w:rsid w:val="00B90F09"/>
    <w:rsid w:val="00B92858"/>
    <w:rsid w:val="00B930AC"/>
    <w:rsid w:val="00B94BC2"/>
    <w:rsid w:val="00B95724"/>
    <w:rsid w:val="00BA1E9A"/>
    <w:rsid w:val="00BA5896"/>
    <w:rsid w:val="00BB0D54"/>
    <w:rsid w:val="00BB6A6F"/>
    <w:rsid w:val="00BB74C6"/>
    <w:rsid w:val="00BB7D07"/>
    <w:rsid w:val="00BC0F15"/>
    <w:rsid w:val="00BC16B2"/>
    <w:rsid w:val="00BC28B6"/>
    <w:rsid w:val="00BC3312"/>
    <w:rsid w:val="00C032D2"/>
    <w:rsid w:val="00C12ACA"/>
    <w:rsid w:val="00C2044D"/>
    <w:rsid w:val="00C27D57"/>
    <w:rsid w:val="00C445C7"/>
    <w:rsid w:val="00C4769C"/>
    <w:rsid w:val="00C54230"/>
    <w:rsid w:val="00C81E43"/>
    <w:rsid w:val="00C82CBA"/>
    <w:rsid w:val="00C85C63"/>
    <w:rsid w:val="00C8702D"/>
    <w:rsid w:val="00C9386B"/>
    <w:rsid w:val="00C961EB"/>
    <w:rsid w:val="00CA0A59"/>
    <w:rsid w:val="00CA40CB"/>
    <w:rsid w:val="00CA6E13"/>
    <w:rsid w:val="00CB2BFB"/>
    <w:rsid w:val="00CB2D84"/>
    <w:rsid w:val="00CB4287"/>
    <w:rsid w:val="00CC6609"/>
    <w:rsid w:val="00CE1C84"/>
    <w:rsid w:val="00CF4FEF"/>
    <w:rsid w:val="00D001FF"/>
    <w:rsid w:val="00D0597E"/>
    <w:rsid w:val="00D078F8"/>
    <w:rsid w:val="00D12667"/>
    <w:rsid w:val="00D128F8"/>
    <w:rsid w:val="00D15554"/>
    <w:rsid w:val="00D27990"/>
    <w:rsid w:val="00D33E6F"/>
    <w:rsid w:val="00D41523"/>
    <w:rsid w:val="00D45B03"/>
    <w:rsid w:val="00D47DAB"/>
    <w:rsid w:val="00D5115F"/>
    <w:rsid w:val="00D52307"/>
    <w:rsid w:val="00D527DF"/>
    <w:rsid w:val="00D74319"/>
    <w:rsid w:val="00D7514F"/>
    <w:rsid w:val="00D817AC"/>
    <w:rsid w:val="00D82C00"/>
    <w:rsid w:val="00D84159"/>
    <w:rsid w:val="00D8667C"/>
    <w:rsid w:val="00D86AB9"/>
    <w:rsid w:val="00D93CA7"/>
    <w:rsid w:val="00D9567A"/>
    <w:rsid w:val="00DA30FE"/>
    <w:rsid w:val="00DC29D5"/>
    <w:rsid w:val="00DC4391"/>
    <w:rsid w:val="00DD0B19"/>
    <w:rsid w:val="00DD0F71"/>
    <w:rsid w:val="00DE0879"/>
    <w:rsid w:val="00DE0E28"/>
    <w:rsid w:val="00DF11DD"/>
    <w:rsid w:val="00DF44DF"/>
    <w:rsid w:val="00E04898"/>
    <w:rsid w:val="00E05E89"/>
    <w:rsid w:val="00E112CA"/>
    <w:rsid w:val="00E20857"/>
    <w:rsid w:val="00E211C8"/>
    <w:rsid w:val="00E37C5D"/>
    <w:rsid w:val="00E42669"/>
    <w:rsid w:val="00E46640"/>
    <w:rsid w:val="00E47AAF"/>
    <w:rsid w:val="00E52692"/>
    <w:rsid w:val="00E54BAB"/>
    <w:rsid w:val="00E55052"/>
    <w:rsid w:val="00E57AE4"/>
    <w:rsid w:val="00E61386"/>
    <w:rsid w:val="00E675F0"/>
    <w:rsid w:val="00E777DB"/>
    <w:rsid w:val="00E906B8"/>
    <w:rsid w:val="00E92EB3"/>
    <w:rsid w:val="00E95F3C"/>
    <w:rsid w:val="00EA1F48"/>
    <w:rsid w:val="00EA2846"/>
    <w:rsid w:val="00EA52F5"/>
    <w:rsid w:val="00EA7D4F"/>
    <w:rsid w:val="00EB16F7"/>
    <w:rsid w:val="00EB1A83"/>
    <w:rsid w:val="00EB2A65"/>
    <w:rsid w:val="00EC2260"/>
    <w:rsid w:val="00EC504C"/>
    <w:rsid w:val="00EC5257"/>
    <w:rsid w:val="00EC75BC"/>
    <w:rsid w:val="00EE14BC"/>
    <w:rsid w:val="00EE17B4"/>
    <w:rsid w:val="00EE3A9A"/>
    <w:rsid w:val="00F074E0"/>
    <w:rsid w:val="00F07E02"/>
    <w:rsid w:val="00F1325E"/>
    <w:rsid w:val="00F1650D"/>
    <w:rsid w:val="00F17D60"/>
    <w:rsid w:val="00F249BD"/>
    <w:rsid w:val="00F40510"/>
    <w:rsid w:val="00F407A0"/>
    <w:rsid w:val="00F47934"/>
    <w:rsid w:val="00F50968"/>
    <w:rsid w:val="00F50B03"/>
    <w:rsid w:val="00F526C8"/>
    <w:rsid w:val="00F55BFB"/>
    <w:rsid w:val="00F576F6"/>
    <w:rsid w:val="00F57F4F"/>
    <w:rsid w:val="00F7162A"/>
    <w:rsid w:val="00F72286"/>
    <w:rsid w:val="00F7622E"/>
    <w:rsid w:val="00F8462D"/>
    <w:rsid w:val="00F91960"/>
    <w:rsid w:val="00FA62E2"/>
    <w:rsid w:val="00FB54E8"/>
    <w:rsid w:val="00FB55B8"/>
    <w:rsid w:val="00FC1FCE"/>
    <w:rsid w:val="00FC2B71"/>
    <w:rsid w:val="00FC5665"/>
    <w:rsid w:val="00FD44F2"/>
    <w:rsid w:val="00FD4805"/>
    <w:rsid w:val="00FE0C01"/>
    <w:rsid w:val="00FE15C0"/>
    <w:rsid w:val="00FE3007"/>
    <w:rsid w:val="00FE4BD6"/>
    <w:rsid w:val="00FE7B95"/>
    <w:rsid w:val="00FF277C"/>
    <w:rsid w:val="00FF35B5"/>
    <w:rsid w:val="00FF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679262"/>
  <w15:docId w15:val="{FE9C3969-A3DF-48FB-993C-CC8DCB57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uiPriority w:val="99"/>
    <w:rsid w:val="00FC1FCE"/>
    <w:rPr>
      <w:color w:val="0000FF"/>
      <w:u w:val="single"/>
    </w:rPr>
  </w:style>
  <w:style w:type="paragraph" w:styleId="ListParagraph">
    <w:name w:val="List Paragraph"/>
    <w:aliases w:val="list,List1,List11,Step Paragraph,Numbered Paragraph"/>
    <w:basedOn w:val="Normal"/>
    <w:link w:val="ListParagraphChar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A6C46"/>
    <w:pPr>
      <w:spacing w:after="240" w:line="256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6C46"/>
    <w:rPr>
      <w:rFonts w:ascii="Arial" w:eastAsia="Times New Roman" w:hAnsi="Arial" w:cs="Times New Roman"/>
      <w:sz w:val="20"/>
      <w:szCs w:val="20"/>
    </w:rPr>
  </w:style>
  <w:style w:type="character" w:customStyle="1" w:styleId="ListParagraphChar">
    <w:name w:val="List Paragraph Char"/>
    <w:aliases w:val="list Char,List1 Char,List11 Char,Step Paragraph Char,Numbered Paragraph Char"/>
    <w:link w:val="ListParagraph"/>
    <w:uiPriority w:val="34"/>
    <w:locked/>
    <w:rsid w:val="007A6C46"/>
    <w:rPr>
      <w:rFonts w:ascii="Arial" w:eastAsia="Times New Roman" w:hAnsi="Arial"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7A6C46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B04E7"/>
    <w:rPr>
      <w:color w:val="605E5C"/>
      <w:shd w:val="clear" w:color="auto" w:fill="E1DFDD"/>
    </w:rPr>
  </w:style>
  <w:style w:type="table" w:styleId="GridTable4">
    <w:name w:val="Grid Table 4"/>
    <w:basedOn w:val="TableNormal"/>
    <w:uiPriority w:val="49"/>
    <w:rsid w:val="00507D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51A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1A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1A27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A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A27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81E43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nhideWhenUsed/>
    <w:rsid w:val="00C81E43"/>
    <w:pPr>
      <w:spacing w:after="120" w:line="259" w:lineRule="auto"/>
    </w:pPr>
    <w:rPr>
      <w:rFonts w:eastAsia="Calibri"/>
    </w:rPr>
  </w:style>
  <w:style w:type="character" w:customStyle="1" w:styleId="BodyTextChar">
    <w:name w:val="Body Text Char"/>
    <w:basedOn w:val="DefaultParagraphFont"/>
    <w:link w:val="BodyText"/>
    <w:rsid w:val="00C81E43"/>
    <w:rPr>
      <w:rFonts w:ascii="Arial" w:eastAsia="Calibri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387B20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F205A"/>
    <w:rPr>
      <w:color w:val="954F72" w:themeColor="followedHyperlink"/>
      <w:u w:val="single"/>
    </w:rPr>
  </w:style>
  <w:style w:type="table" w:styleId="ListTable3">
    <w:name w:val="List Table 3"/>
    <w:basedOn w:val="TableNormal"/>
    <w:uiPriority w:val="48"/>
    <w:rsid w:val="00237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03E0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5275D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ui-provider">
    <w:name w:val="ui-provider"/>
    <w:basedOn w:val="DefaultParagraphFont"/>
    <w:rsid w:val="00811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2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96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89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30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897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4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cde.ca.gov/be/ag/ag/yr22/documents/jan22item02.docx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de.ca.gov/be/ag/ag/yr22/documents/nov22item04.docx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www.cde.ca.gov/be/ag/ag/yr21/documents/nov21item17.docx" TargetMode="External"/><Relationship Id="rId25" Type="http://schemas.openxmlformats.org/officeDocument/2006/relationships/hyperlink" Target="https://www.cde.ca.gov/be/ag/ag/yr24/documents/may24item02.doc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de.ca.gov/be/pn/im/documents/oct21memocctd01.docx" TargetMode="External"/><Relationship Id="rId20" Type="http://schemas.openxmlformats.org/officeDocument/2006/relationships/hyperlink" Target="https://www.cde.ca.gov/be/pn/im/documents/aug22memocctd01.doc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www.cde.ca.gov/be/ag/ag/yr23/documents/nov23item16.docx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de.ca.gov/be/ag/ag/yr24/documents/may24item02a1.docx" TargetMode="External"/><Relationship Id="rId23" Type="http://schemas.openxmlformats.org/officeDocument/2006/relationships/hyperlink" Target="https://www.cde.ca.gov/be/ag/ag/yr23/documents/may23item09.docx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cde.ca.gov/be/ag/ag/yr22/documents/may22item02rev.doc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de.ca.gov/ci/gs/hs/ccspp.asp" TargetMode="External"/><Relationship Id="rId22" Type="http://schemas.openxmlformats.org/officeDocument/2006/relationships/hyperlink" Target="https://www.cde.ca.gov/be/ag/ag/yr23/documents/mar23item09rev.docx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2cb288c-02c7-46db-8d8e-f2924a70a8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79719B8BBAF541B3156AF94A3AD9EF" ma:contentTypeVersion="9" ma:contentTypeDescription="Create a new document." ma:contentTypeScope="" ma:versionID="1383d51695a3e5da1ea39aa0ab8f1853">
  <xsd:schema xmlns:xsd="http://www.w3.org/2001/XMLSchema" xmlns:xs="http://www.w3.org/2001/XMLSchema" xmlns:p="http://schemas.microsoft.com/office/2006/metadata/properties" xmlns:ns3="a2cb288c-02c7-46db-8d8e-f2924a70a86d" xmlns:ns4="3922b0b3-d3c6-4611-aaf1-dfef33c376c3" targetNamespace="http://schemas.microsoft.com/office/2006/metadata/properties" ma:root="true" ma:fieldsID="77318e424e5d9172a1bcf7cb4c6254c3" ns3:_="" ns4:_="">
    <xsd:import namespace="a2cb288c-02c7-46db-8d8e-f2924a70a86d"/>
    <xsd:import namespace="3922b0b3-d3c6-4611-aaf1-dfef33c376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3:MediaServiceSearchPropertie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cb288c-02c7-46db-8d8e-f2924a70a8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22b0b3-d3c6-4611-aaf1-dfef33c376c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E1ACB-6545-4CC3-9E1E-A37708068826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2cb288c-02c7-46db-8d8e-f2924a70a86d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3922b0b3-d3c6-4611-aaf1-dfef33c376c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540D8EB-340F-4663-A240-7F7B67BA2C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8A5725-EB3A-42C7-B21A-E3A52CE838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cb288c-02c7-46db-8d8e-f2924a70a86d"/>
    <ds:schemaRef ds:uri="3922b0b3-d3c6-4611-aaf1-dfef33c37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C43926-8342-48EA-B26A-B4BEEA716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1451</Words>
  <Characters>8272</Characters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2024 Agenda Item XX - Meeting Agendas (CA State Board of Education)</vt:lpstr>
    </vt:vector>
  </TitlesOfParts>
  <Company>California State Board of Education</Company>
  <LinksUpToDate>false</LinksUpToDate>
  <CharactersWithSpaces>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2024 Agenda Item 05 - Meeting Agendas (CA State Board of Education)</dc:title>
  <dc:subject>California Community Schools Partnership Program: Approval of Cohort 3 Implementation Grantee Corrections.</dc:subject>
  <cp:keywords/>
  <dc:description/>
  <cp:lastPrinted>2023-02-21T21:36:00Z</cp:lastPrinted>
  <dcterms:created xsi:type="dcterms:W3CDTF">2024-06-27T22:58:00Z</dcterms:created>
  <dcterms:modified xsi:type="dcterms:W3CDTF">2024-06-28T15:37:00Z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0x0101000279719B8BBAF541B3156AF94A3AD9EF</vt:lpwstr>
  </property>
</Properties>
</file>