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1EB37D" w14:textId="77777777" w:rsidR="006E06C6" w:rsidRDefault="00D5115F" w:rsidP="00B723BE">
      <w:r w:rsidRPr="00D5115F">
        <w:rPr>
          <w:noProof/>
        </w:rPr>
        <w:drawing>
          <wp:inline distT="0" distB="0" distL="0" distR="0" wp14:anchorId="2AFB40A0" wp14:editId="03EB03B5">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58D8BC18" w14:textId="77777777" w:rsidR="00B723BE" w:rsidRDefault="00FC1FCE" w:rsidP="00B723BE">
      <w:pPr>
        <w:jc w:val="right"/>
      </w:pPr>
      <w:r w:rsidRPr="00B723BE">
        <w:t>California Department of Education</w:t>
      </w:r>
    </w:p>
    <w:p w14:paraId="0DB4BDF6" w14:textId="77777777" w:rsidR="00B723BE" w:rsidRDefault="00FC1FCE" w:rsidP="00B723BE">
      <w:pPr>
        <w:jc w:val="right"/>
      </w:pPr>
      <w:r w:rsidRPr="00B723BE">
        <w:t>Executive Office</w:t>
      </w:r>
    </w:p>
    <w:p w14:paraId="69E846A7" w14:textId="77777777"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14:paraId="0EEB6F07" w14:textId="186230EC" w:rsidR="00B723BE" w:rsidRDefault="00103BC6" w:rsidP="00B723BE">
      <w:pPr>
        <w:jc w:val="right"/>
      </w:pPr>
      <w:r w:rsidRPr="001C7B46">
        <w:t>im</w:t>
      </w:r>
      <w:r w:rsidR="00D90A04" w:rsidRPr="001C7B46">
        <w:t>a</w:t>
      </w:r>
      <w:r w:rsidRPr="001C7B46">
        <w:t>b-adad-</w:t>
      </w:r>
      <w:r w:rsidR="0091590E">
        <w:t>jul</w:t>
      </w:r>
      <w:r w:rsidR="001C7B46" w:rsidRPr="001C7B46">
        <w:t>24</w:t>
      </w:r>
      <w:r w:rsidRPr="001C7B46">
        <w:t>item0</w:t>
      </w:r>
      <w:r w:rsidR="00D80774">
        <w:t>4</w:t>
      </w:r>
    </w:p>
    <w:p w14:paraId="04DAF2A5" w14:textId="77777777" w:rsidR="00B723BE" w:rsidRDefault="00B723BE" w:rsidP="00FC1FCE">
      <w:pPr>
        <w:pStyle w:val="Heading1"/>
        <w:jc w:val="center"/>
        <w:rPr>
          <w:sz w:val="40"/>
          <w:szCs w:val="40"/>
        </w:rPr>
        <w:sectPr w:rsidR="00B723BE" w:rsidSect="002222E7">
          <w:headerReference w:type="default" r:id="rId12"/>
          <w:footerReference w:type="default" r:id="rId13"/>
          <w:type w:val="continuous"/>
          <w:pgSz w:w="12240" w:h="15840"/>
          <w:pgMar w:top="720" w:right="1440" w:bottom="1440" w:left="1440" w:header="720" w:footer="720" w:gutter="0"/>
          <w:cols w:num="2" w:space="720"/>
          <w:titlePg/>
          <w:docGrid w:linePitch="360"/>
        </w:sectPr>
      </w:pPr>
    </w:p>
    <w:p w14:paraId="5E9B6640" w14:textId="77777777" w:rsidR="006E06C6" w:rsidRDefault="006E06C6" w:rsidP="00FC1FCE">
      <w:pPr>
        <w:pStyle w:val="Heading1"/>
        <w:jc w:val="center"/>
        <w:rPr>
          <w:sz w:val="40"/>
          <w:szCs w:val="40"/>
        </w:rPr>
        <w:sectPr w:rsidR="006E06C6" w:rsidSect="002222E7">
          <w:footerReference w:type="default" r:id="rId14"/>
          <w:type w:val="continuous"/>
          <w:pgSz w:w="12240" w:h="15840"/>
          <w:pgMar w:top="720" w:right="1440" w:bottom="1440" w:left="1440" w:header="720" w:footer="720" w:gutter="0"/>
          <w:cols w:space="720"/>
          <w:docGrid w:linePitch="360"/>
        </w:sectPr>
      </w:pPr>
    </w:p>
    <w:p w14:paraId="0AAE9BF1" w14:textId="0E0CEE8F"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91590E">
        <w:rPr>
          <w:sz w:val="40"/>
          <w:szCs w:val="40"/>
        </w:rPr>
        <w:t>July</w:t>
      </w:r>
      <w:r w:rsidR="001C7B46">
        <w:rPr>
          <w:sz w:val="40"/>
          <w:szCs w:val="40"/>
        </w:rPr>
        <w:t xml:space="preserve"> 2024</w:t>
      </w:r>
      <w:r w:rsidRPr="001B3958">
        <w:rPr>
          <w:sz w:val="40"/>
          <w:szCs w:val="40"/>
        </w:rPr>
        <w:t xml:space="preserve"> Agenda</w:t>
      </w:r>
      <w:r w:rsidR="00FC1FCE" w:rsidRPr="001B3958">
        <w:rPr>
          <w:sz w:val="40"/>
          <w:szCs w:val="40"/>
        </w:rPr>
        <w:br/>
      </w:r>
      <w:r w:rsidR="00FC1FCE" w:rsidRPr="00E266E1">
        <w:rPr>
          <w:sz w:val="40"/>
          <w:szCs w:val="40"/>
        </w:rPr>
        <w:t>Item</w:t>
      </w:r>
      <w:r w:rsidR="00692300" w:rsidRPr="00E266E1">
        <w:rPr>
          <w:sz w:val="40"/>
          <w:szCs w:val="40"/>
        </w:rPr>
        <w:t xml:space="preserve"> #</w:t>
      </w:r>
      <w:r w:rsidR="00130059" w:rsidRPr="00E266E1">
        <w:rPr>
          <w:sz w:val="40"/>
          <w:szCs w:val="40"/>
        </w:rPr>
        <w:t>0</w:t>
      </w:r>
      <w:r w:rsidR="00E266E1" w:rsidRPr="00E266E1">
        <w:rPr>
          <w:sz w:val="40"/>
          <w:szCs w:val="40"/>
        </w:rPr>
        <w:t>8</w:t>
      </w:r>
    </w:p>
    <w:p w14:paraId="67A1153C" w14:textId="77777777" w:rsidR="00FC1FCE" w:rsidRPr="001B3958" w:rsidRDefault="00FC1FCE" w:rsidP="002B4B14">
      <w:pPr>
        <w:pStyle w:val="Heading2"/>
        <w:spacing w:before="240" w:after="240"/>
        <w:rPr>
          <w:sz w:val="36"/>
          <w:szCs w:val="36"/>
        </w:rPr>
      </w:pPr>
      <w:r w:rsidRPr="001B3958">
        <w:rPr>
          <w:sz w:val="36"/>
          <w:szCs w:val="36"/>
        </w:rPr>
        <w:t>Subject</w:t>
      </w:r>
    </w:p>
    <w:p w14:paraId="619576B4" w14:textId="7C98FD59" w:rsidR="3A40D292" w:rsidRDefault="00521851" w:rsidP="5C7232D9">
      <w:pPr>
        <w:spacing w:after="240"/>
      </w:pPr>
      <w:r w:rsidRPr="007F528F">
        <w:rPr>
          <w:rFonts w:eastAsia="Arial" w:cs="Arial"/>
        </w:rPr>
        <w:t xml:space="preserve">Request to </w:t>
      </w:r>
      <w:r w:rsidR="0045673F" w:rsidRPr="007F528F">
        <w:rPr>
          <w:rFonts w:eastAsia="Arial" w:cs="Arial"/>
        </w:rPr>
        <w:t>A</w:t>
      </w:r>
      <w:r w:rsidRPr="007F528F">
        <w:rPr>
          <w:rFonts w:eastAsia="Arial" w:cs="Arial"/>
        </w:rPr>
        <w:t xml:space="preserve">pprove </w:t>
      </w:r>
      <w:r>
        <w:rPr>
          <w:rFonts w:eastAsia="Arial" w:cs="Arial"/>
        </w:rPr>
        <w:t xml:space="preserve">a </w:t>
      </w:r>
      <w:r w:rsidR="3A40D292" w:rsidRPr="5C7232D9">
        <w:rPr>
          <w:rFonts w:eastAsia="Arial" w:cs="Arial"/>
        </w:rPr>
        <w:t>Response Letter to the U.S. Department of Education Regarding the 1.0 Percent Cap on the Percentage of Eligible Students with the Most Significant Cognitive Disabilities Who May Be Assessed with an Alternate Assessment Aligned with Alternate Academic Achievement Standards for Reading/Language Arts, Mathematics, and Science.</w:t>
      </w:r>
    </w:p>
    <w:p w14:paraId="28994D1E" w14:textId="77777777" w:rsidR="00FC1FCE" w:rsidRPr="001B3958" w:rsidRDefault="00FC1FCE" w:rsidP="001C7B46">
      <w:pPr>
        <w:pStyle w:val="Heading2"/>
        <w:spacing w:before="480" w:after="240"/>
        <w:rPr>
          <w:sz w:val="36"/>
          <w:szCs w:val="36"/>
        </w:rPr>
      </w:pPr>
      <w:r w:rsidRPr="001B3958">
        <w:rPr>
          <w:sz w:val="36"/>
          <w:szCs w:val="36"/>
        </w:rPr>
        <w:t>Type of Action</w:t>
      </w:r>
    </w:p>
    <w:p w14:paraId="1C30368A" w14:textId="4190EAB1" w:rsidR="0091117B" w:rsidRPr="002B4B14" w:rsidRDefault="4FC803C0" w:rsidP="001C7B46">
      <w:pPr>
        <w:spacing w:after="240"/>
      </w:pPr>
      <w:r>
        <w:t xml:space="preserve">Action, </w:t>
      </w:r>
      <w:r w:rsidR="71122A8C">
        <w:t>Information</w:t>
      </w:r>
      <w:r w:rsidR="00E266E1">
        <w:t>, Consent</w:t>
      </w:r>
    </w:p>
    <w:p w14:paraId="00A92048" w14:textId="77777777" w:rsidR="00FC1FCE" w:rsidRPr="001B3958" w:rsidRDefault="75C0AFAF" w:rsidP="001C7B46">
      <w:pPr>
        <w:pStyle w:val="Heading2"/>
        <w:spacing w:before="480" w:after="240"/>
        <w:rPr>
          <w:sz w:val="36"/>
          <w:szCs w:val="36"/>
        </w:rPr>
      </w:pPr>
      <w:r w:rsidRPr="641FC911">
        <w:rPr>
          <w:sz w:val="36"/>
          <w:szCs w:val="36"/>
        </w:rPr>
        <w:t>Summary of the Issue(s)</w:t>
      </w:r>
    </w:p>
    <w:p w14:paraId="4751D79F" w14:textId="42AEC1B1" w:rsidR="7C3521A3" w:rsidRPr="006C72A2" w:rsidRDefault="2385075F" w:rsidP="0045673F">
      <w:pPr>
        <w:spacing w:after="240"/>
        <w:rPr>
          <w:rFonts w:eastAsiaTheme="minorEastAsia" w:cs="Arial"/>
        </w:rPr>
      </w:pPr>
      <w:r w:rsidRPr="4907B26F">
        <w:rPr>
          <w:rFonts w:eastAsia="Arial" w:cs="Arial"/>
        </w:rPr>
        <w:t xml:space="preserve">The </w:t>
      </w:r>
      <w:r w:rsidR="5BA2F144" w:rsidRPr="4907B26F">
        <w:rPr>
          <w:rFonts w:eastAsia="Arial" w:cs="Arial"/>
        </w:rPr>
        <w:t>California Department of Education (</w:t>
      </w:r>
      <w:r w:rsidRPr="4907B26F">
        <w:rPr>
          <w:rFonts w:eastAsia="Arial" w:cs="Arial"/>
        </w:rPr>
        <w:t>CDE</w:t>
      </w:r>
      <w:r w:rsidR="66645566" w:rsidRPr="4907B26F">
        <w:rPr>
          <w:rFonts w:eastAsia="Arial" w:cs="Arial"/>
        </w:rPr>
        <w:t>)</w:t>
      </w:r>
      <w:r w:rsidRPr="4907B26F">
        <w:rPr>
          <w:rFonts w:eastAsia="Arial" w:cs="Arial"/>
        </w:rPr>
        <w:t xml:space="preserve"> and</w:t>
      </w:r>
      <w:r w:rsidR="57C7E4E6" w:rsidRPr="4907B26F">
        <w:rPr>
          <w:rFonts w:eastAsia="Arial" w:cs="Arial"/>
        </w:rPr>
        <w:t xml:space="preserve"> State Board of Education</w:t>
      </w:r>
      <w:r w:rsidR="017BD219" w:rsidRPr="4907B26F">
        <w:rPr>
          <w:rFonts w:eastAsia="Arial" w:cs="Arial"/>
        </w:rPr>
        <w:t xml:space="preserve"> (SBE)—</w:t>
      </w:r>
      <w:r w:rsidRPr="4907B26F">
        <w:rPr>
          <w:rFonts w:eastAsia="Arial" w:cs="Arial"/>
        </w:rPr>
        <w:t>collectively, California</w:t>
      </w:r>
      <w:r w:rsidR="5C32A662" w:rsidRPr="4907B26F">
        <w:rPr>
          <w:rFonts w:eastAsia="Arial" w:cs="Arial"/>
        </w:rPr>
        <w:t>—</w:t>
      </w:r>
      <w:r w:rsidRPr="4907B26F">
        <w:rPr>
          <w:rFonts w:eastAsia="Arial" w:cs="Arial"/>
        </w:rPr>
        <w:t xml:space="preserve">received a letter on May 17, 2024, from the </w:t>
      </w:r>
      <w:r w:rsidR="348A967F" w:rsidRPr="4907B26F">
        <w:rPr>
          <w:rFonts w:eastAsia="Arial" w:cs="Arial"/>
        </w:rPr>
        <w:t>U.S. Department of Education (ED)</w:t>
      </w:r>
      <w:r w:rsidRPr="4907B26F">
        <w:rPr>
          <w:rFonts w:eastAsia="Arial" w:cs="Arial"/>
        </w:rPr>
        <w:t xml:space="preserve">, in response to California’s request for a one-year waiver </w:t>
      </w:r>
      <w:r w:rsidR="056B0427" w:rsidRPr="007F528F">
        <w:rPr>
          <w:rFonts w:eastAsia="Arial" w:cs="Arial"/>
        </w:rPr>
        <w:t>for the 2023</w:t>
      </w:r>
      <w:r w:rsidR="00DC012E" w:rsidRPr="007F528F">
        <w:rPr>
          <w:rFonts w:eastAsia="Arial" w:cs="Arial"/>
        </w:rPr>
        <w:t>–</w:t>
      </w:r>
      <w:r w:rsidR="056B0427" w:rsidRPr="007F528F">
        <w:rPr>
          <w:rFonts w:eastAsia="Arial" w:cs="Arial"/>
        </w:rPr>
        <w:t xml:space="preserve">24 school year </w:t>
      </w:r>
      <w:r w:rsidRPr="4907B26F">
        <w:rPr>
          <w:rFonts w:eastAsia="Arial" w:cs="Arial"/>
        </w:rPr>
        <w:t>of section 1111(b)(2)(D)(i)(I) of the</w:t>
      </w:r>
      <w:r w:rsidR="63B9178E" w:rsidRPr="4907B26F">
        <w:rPr>
          <w:rFonts w:eastAsia="Arial" w:cs="Arial"/>
        </w:rPr>
        <w:t xml:space="preserve"> Elementary and Secondary Education Act of 1965</w:t>
      </w:r>
      <w:r w:rsidRPr="4907B26F">
        <w:rPr>
          <w:rFonts w:eastAsia="Arial" w:cs="Arial"/>
        </w:rPr>
        <w:t xml:space="preserve">, which stipulates that a </w:t>
      </w:r>
      <w:r w:rsidR="69795EB8" w:rsidRPr="4907B26F">
        <w:rPr>
          <w:rFonts w:eastAsia="Arial" w:cs="Arial"/>
        </w:rPr>
        <w:t>s</w:t>
      </w:r>
      <w:r w:rsidRPr="4907B26F">
        <w:rPr>
          <w:rFonts w:eastAsia="Arial" w:cs="Arial"/>
        </w:rPr>
        <w:t xml:space="preserve">tate may not assess more than 1.0 percent of all students in the grades assessed using an alternate </w:t>
      </w:r>
      <w:r w:rsidR="504C7417" w:rsidRPr="136BAC63">
        <w:rPr>
          <w:rFonts w:eastAsia="Arial" w:cs="Arial"/>
        </w:rPr>
        <w:t>assessment</w:t>
      </w:r>
      <w:r w:rsidRPr="4907B26F">
        <w:rPr>
          <w:rFonts w:eastAsia="Arial" w:cs="Arial"/>
        </w:rPr>
        <w:t xml:space="preserve"> based on alternate academic achievement standards (AA-AAAS).</w:t>
      </w:r>
      <w:r w:rsidR="6FD6F0F5" w:rsidRPr="4907B26F">
        <w:rPr>
          <w:rFonts w:eastAsia="Arial" w:cs="Arial"/>
        </w:rPr>
        <w:t xml:space="preserve"> </w:t>
      </w:r>
      <w:r w:rsidR="6FD6F0F5" w:rsidRPr="007F528F">
        <w:rPr>
          <w:rFonts w:eastAsia="Arial" w:cs="Arial"/>
        </w:rPr>
        <w:t>This letter is included in Attachment 1.</w:t>
      </w:r>
      <w:r w:rsidR="6FD6F0F5" w:rsidRPr="007F528F">
        <w:rPr>
          <w:rFonts w:eastAsiaTheme="minorEastAsia" w:cs="Arial"/>
        </w:rPr>
        <w:t xml:space="preserve"> </w:t>
      </w:r>
      <w:r w:rsidR="6FD6F0F5" w:rsidRPr="007F528F">
        <w:rPr>
          <w:rFonts w:eastAsia="Arial" w:cs="Arial"/>
        </w:rPr>
        <w:t>California’s waiver request was approved by the SBE at the</w:t>
      </w:r>
      <w:r w:rsidR="5BD0456D" w:rsidRPr="007F528F">
        <w:rPr>
          <w:rFonts w:eastAsia="Arial" w:cs="Arial"/>
        </w:rPr>
        <w:t xml:space="preserve"> November 2023 </w:t>
      </w:r>
      <w:r w:rsidR="6FD6F0F5" w:rsidRPr="007F528F">
        <w:rPr>
          <w:rFonts w:eastAsia="Arial" w:cs="Arial"/>
        </w:rPr>
        <w:t>meeting and submitted to ED on</w:t>
      </w:r>
      <w:r w:rsidR="71297E75" w:rsidRPr="007F528F">
        <w:rPr>
          <w:rFonts w:eastAsia="Arial" w:cs="Arial"/>
        </w:rPr>
        <w:t xml:space="preserve"> December 6, 2023</w:t>
      </w:r>
      <w:r w:rsidR="00521851" w:rsidRPr="007F528F">
        <w:rPr>
          <w:rFonts w:eastAsia="Arial" w:cs="Arial"/>
        </w:rPr>
        <w:t>.</w:t>
      </w:r>
    </w:p>
    <w:p w14:paraId="3BE82F5F" w14:textId="07AB9CBF" w:rsidR="7C3521A3" w:rsidRDefault="14A29F2A" w:rsidP="005C7E4D">
      <w:pPr>
        <w:spacing w:after="240"/>
        <w:rPr>
          <w:rFonts w:eastAsia="Arial"/>
        </w:rPr>
      </w:pPr>
      <w:r w:rsidRPr="136BAC63">
        <w:rPr>
          <w:rFonts w:eastAsia="Arial"/>
        </w:rPr>
        <w:t>In its letter to California, ED notified California that because CDE’s rates of participation on the AA-AAAS in the 2022–23 school year were above</w:t>
      </w:r>
      <w:r w:rsidR="00CB2277">
        <w:rPr>
          <w:rFonts w:eastAsia="Arial"/>
        </w:rPr>
        <w:t xml:space="preserve"> the</w:t>
      </w:r>
      <w:r w:rsidRPr="136BAC63">
        <w:rPr>
          <w:rFonts w:eastAsia="Arial"/>
        </w:rPr>
        <w:t xml:space="preserve"> 1.0 percent </w:t>
      </w:r>
      <w:r w:rsidR="0F3F1611" w:rsidRPr="136BAC63">
        <w:rPr>
          <w:rFonts w:eastAsia="Arial"/>
        </w:rPr>
        <w:t xml:space="preserve">cap </w:t>
      </w:r>
      <w:r w:rsidRPr="136BAC63">
        <w:rPr>
          <w:rFonts w:eastAsia="Arial"/>
        </w:rPr>
        <w:t>in reading/language arts</w:t>
      </w:r>
      <w:r w:rsidR="002D79EC" w:rsidRPr="136BAC63">
        <w:rPr>
          <w:rFonts w:eastAsia="Arial"/>
        </w:rPr>
        <w:t xml:space="preserve"> </w:t>
      </w:r>
      <w:r w:rsidR="002D79EC" w:rsidRPr="000D124B">
        <w:rPr>
          <w:rFonts w:eastAsia="Arial"/>
        </w:rPr>
        <w:t>(RLA)</w:t>
      </w:r>
      <w:r w:rsidRPr="136BAC63">
        <w:rPr>
          <w:rFonts w:eastAsia="Arial"/>
        </w:rPr>
        <w:t xml:space="preserve"> and mathematics, ED is </w:t>
      </w:r>
      <w:r w:rsidR="00DB298B" w:rsidRPr="007F528F">
        <w:rPr>
          <w:rFonts w:eastAsia="Arial"/>
        </w:rPr>
        <w:t>declining the waiver request and</w:t>
      </w:r>
      <w:r w:rsidR="00DB298B">
        <w:rPr>
          <w:rFonts w:eastAsia="Arial"/>
        </w:rPr>
        <w:t xml:space="preserve"> </w:t>
      </w:r>
      <w:r w:rsidRPr="136BAC63">
        <w:rPr>
          <w:rFonts w:eastAsia="Arial"/>
        </w:rPr>
        <w:t>maintaining the condition on the CDE’s Title I, Part A grant award. For ED to remove the condition on the Title I, Part A grant award, CDE must:</w:t>
      </w:r>
    </w:p>
    <w:p w14:paraId="788B380C" w14:textId="00BAC1A2" w:rsidR="14A29F2A" w:rsidRDefault="14A29F2A" w:rsidP="136BAC63">
      <w:pPr>
        <w:pStyle w:val="ListParagraph"/>
        <w:numPr>
          <w:ilvl w:val="0"/>
          <w:numId w:val="10"/>
        </w:numPr>
        <w:spacing w:after="240"/>
        <w:contextualSpacing w:val="0"/>
        <w:rPr>
          <w:rFonts w:eastAsia="Arial" w:cs="Arial"/>
        </w:rPr>
      </w:pPr>
      <w:r w:rsidRPr="136BAC63">
        <w:rPr>
          <w:rFonts w:eastAsia="Arial" w:cs="Arial"/>
        </w:rPr>
        <w:t xml:space="preserve">Within 60 days of receiving the letter from ED, submit an updated plan for reducing the rate of AA-AAAS participation in future years </w:t>
      </w:r>
      <w:proofErr w:type="gramStart"/>
      <w:r w:rsidRPr="136BAC63">
        <w:rPr>
          <w:rFonts w:eastAsia="Arial" w:cs="Arial"/>
        </w:rPr>
        <w:t>in order to</w:t>
      </w:r>
      <w:proofErr w:type="gramEnd"/>
      <w:r w:rsidRPr="136BAC63">
        <w:rPr>
          <w:rFonts w:eastAsia="Arial" w:cs="Arial"/>
        </w:rPr>
        <w:t xml:space="preserve"> comply with </w:t>
      </w:r>
      <w:r w:rsidR="006D71A4" w:rsidRPr="004E0337">
        <w:t>the 1.0 percent requirement.</w:t>
      </w:r>
    </w:p>
    <w:p w14:paraId="1F44E335" w14:textId="64437F0E" w:rsidR="7C3521A3" w:rsidRDefault="7C3521A3" w:rsidP="641FC911">
      <w:pPr>
        <w:pStyle w:val="ListParagraph"/>
        <w:numPr>
          <w:ilvl w:val="0"/>
          <w:numId w:val="10"/>
        </w:numPr>
        <w:spacing w:after="240"/>
        <w:contextualSpacing w:val="0"/>
        <w:rPr>
          <w:rFonts w:eastAsia="Arial" w:cs="Arial"/>
        </w:rPr>
      </w:pPr>
      <w:r w:rsidRPr="136BAC63">
        <w:rPr>
          <w:rFonts w:eastAsia="Arial" w:cs="Arial"/>
        </w:rPr>
        <w:lastRenderedPageBreak/>
        <w:t xml:space="preserve">Submit evidence that the plan and timeline are made publicly available on the </w:t>
      </w:r>
      <w:r w:rsidR="3AE835F5" w:rsidRPr="136BAC63">
        <w:rPr>
          <w:rFonts w:eastAsia="Arial" w:cs="Arial"/>
        </w:rPr>
        <w:t>s</w:t>
      </w:r>
      <w:r w:rsidRPr="136BAC63">
        <w:rPr>
          <w:rFonts w:eastAsia="Arial" w:cs="Arial"/>
        </w:rPr>
        <w:t xml:space="preserve">tate’s website when the plan is provided to ED. </w:t>
      </w:r>
    </w:p>
    <w:p w14:paraId="65A4A258" w14:textId="5E7A62C4" w:rsidR="7C3521A3" w:rsidRPr="00CA1643" w:rsidRDefault="14A29F2A" w:rsidP="641FC911">
      <w:pPr>
        <w:pStyle w:val="ListParagraph"/>
        <w:numPr>
          <w:ilvl w:val="0"/>
          <w:numId w:val="10"/>
        </w:numPr>
        <w:spacing w:after="240"/>
        <w:contextualSpacing w:val="0"/>
        <w:rPr>
          <w:rFonts w:eastAsia="Arial" w:cs="Arial"/>
        </w:rPr>
      </w:pPr>
      <w:r w:rsidRPr="136BAC63">
        <w:rPr>
          <w:rFonts w:eastAsia="Arial" w:cs="Arial"/>
        </w:rPr>
        <w:t xml:space="preserve">Demonstrate progress in reducing the percentage of students tested on alternate assessments in the 2023–24 school year as validated by </w:t>
      </w:r>
      <w:r w:rsidRPr="00CA1643">
        <w:rPr>
          <w:rFonts w:eastAsia="Arial" w:cs="Arial"/>
        </w:rPr>
        <w:t xml:space="preserve">CDE </w:t>
      </w:r>
      <w:proofErr w:type="spellStart"/>
      <w:r w:rsidRPr="00CA1643">
        <w:rPr>
          <w:rFonts w:eastAsia="Arial" w:cs="Arial"/>
        </w:rPr>
        <w:t>EDFacts</w:t>
      </w:r>
      <w:proofErr w:type="spellEnd"/>
      <w:r w:rsidRPr="00CA1643">
        <w:rPr>
          <w:rFonts w:eastAsia="Arial" w:cs="Arial"/>
        </w:rPr>
        <w:t xml:space="preserve"> assessment participation data submission.</w:t>
      </w:r>
    </w:p>
    <w:p w14:paraId="0ED7DF73" w14:textId="23E33C45" w:rsidR="7C3521A3" w:rsidRDefault="36FED50A" w:rsidP="56A2F1E5">
      <w:pPr>
        <w:spacing w:after="240"/>
        <w:rPr>
          <w:rFonts w:eastAsia="Arial" w:cs="Arial"/>
        </w:rPr>
      </w:pPr>
      <w:r w:rsidRPr="00CA1643">
        <w:rPr>
          <w:rFonts w:eastAsia="Arial" w:cs="Arial"/>
        </w:rPr>
        <w:t xml:space="preserve">CDE intends to meet the </w:t>
      </w:r>
      <w:r w:rsidR="00C2788F" w:rsidRPr="00CA1643">
        <w:rPr>
          <w:rFonts w:eastAsia="Arial" w:cs="Arial"/>
        </w:rPr>
        <w:t>requirements</w:t>
      </w:r>
      <w:r w:rsidR="006B0F14">
        <w:rPr>
          <w:rFonts w:eastAsia="Arial" w:cs="Arial"/>
        </w:rPr>
        <w:t xml:space="preserve"> </w:t>
      </w:r>
      <w:r w:rsidRPr="00CA1643">
        <w:rPr>
          <w:rFonts w:eastAsia="Arial" w:cs="Arial"/>
        </w:rPr>
        <w:t xml:space="preserve">necessary to remove the condition placed on its Title I, Part A grant award. </w:t>
      </w:r>
      <w:r w:rsidR="56F280F8" w:rsidRPr="00CA1643">
        <w:rPr>
          <w:rFonts w:eastAsia="Arial" w:cs="Arial"/>
        </w:rPr>
        <w:t xml:space="preserve">In Attachment 2, </w:t>
      </w:r>
      <w:r w:rsidR="3300B19C" w:rsidRPr="00CA1643">
        <w:rPr>
          <w:rFonts w:eastAsia="Arial" w:cs="Arial"/>
        </w:rPr>
        <w:t>CDE</w:t>
      </w:r>
      <w:r w:rsidR="719DD71A" w:rsidRPr="00CA1643">
        <w:rPr>
          <w:rFonts w:eastAsia="Arial" w:cs="Arial"/>
        </w:rPr>
        <w:t xml:space="preserve"> provides California’s response letter</w:t>
      </w:r>
      <w:r w:rsidR="7C3F40CB" w:rsidRPr="00CA1643">
        <w:rPr>
          <w:rFonts w:eastAsia="Arial" w:cs="Arial"/>
        </w:rPr>
        <w:t xml:space="preserve"> to</w:t>
      </w:r>
      <w:r w:rsidR="006640D5" w:rsidRPr="00CA1643">
        <w:rPr>
          <w:rFonts w:eastAsia="Arial" w:cs="Arial"/>
        </w:rPr>
        <w:t xml:space="preserve"> </w:t>
      </w:r>
      <w:r w:rsidR="7C3F40CB" w:rsidRPr="00CA1643">
        <w:rPr>
          <w:rFonts w:eastAsia="Arial" w:cs="Arial"/>
        </w:rPr>
        <w:t>ED</w:t>
      </w:r>
      <w:r w:rsidR="785E17E5" w:rsidRPr="00CA1643">
        <w:rPr>
          <w:rFonts w:eastAsia="Arial" w:cs="Arial"/>
        </w:rPr>
        <w:t xml:space="preserve">, </w:t>
      </w:r>
      <w:r w:rsidR="71EC4EDF" w:rsidRPr="00CA1643">
        <w:rPr>
          <w:rFonts w:eastAsia="Arial" w:cs="Arial"/>
        </w:rPr>
        <w:t xml:space="preserve">which includes the </w:t>
      </w:r>
      <w:r w:rsidR="785E17E5" w:rsidRPr="00CA1643">
        <w:rPr>
          <w:rFonts w:eastAsia="Arial" w:cs="Arial"/>
        </w:rPr>
        <w:t>revised plan and timeline</w:t>
      </w:r>
      <w:r w:rsidR="5E5D22E6" w:rsidRPr="00CA1643">
        <w:rPr>
          <w:rFonts w:eastAsia="Arial" w:cs="Arial"/>
        </w:rPr>
        <w:t>, for SBE approval</w:t>
      </w:r>
      <w:r w:rsidR="00521851" w:rsidRPr="007F528F">
        <w:rPr>
          <w:rFonts w:eastAsia="Arial" w:cs="Arial"/>
        </w:rPr>
        <w:t>, to be jointly</w:t>
      </w:r>
      <w:r w:rsidR="5E5D22E6" w:rsidRPr="000A3651">
        <w:rPr>
          <w:rFonts w:eastAsia="Arial" w:cs="Arial"/>
        </w:rPr>
        <w:t xml:space="preserve"> </w:t>
      </w:r>
      <w:r w:rsidR="00521851" w:rsidRPr="007F528F">
        <w:rPr>
          <w:rFonts w:eastAsia="Arial" w:cs="Arial"/>
        </w:rPr>
        <w:t>submitted</w:t>
      </w:r>
      <w:r w:rsidR="5E5D22E6" w:rsidRPr="000A3651">
        <w:rPr>
          <w:rFonts w:eastAsia="Arial" w:cs="Arial"/>
        </w:rPr>
        <w:t xml:space="preserve"> by the </w:t>
      </w:r>
      <w:r w:rsidR="7F6255BB" w:rsidRPr="000A3651">
        <w:rPr>
          <w:rFonts w:eastAsia="Arial" w:cs="Arial"/>
        </w:rPr>
        <w:t>S</w:t>
      </w:r>
      <w:r w:rsidR="00EA7F6A" w:rsidRPr="000A3651">
        <w:rPr>
          <w:rFonts w:eastAsia="Arial" w:cs="Arial"/>
        </w:rPr>
        <w:t>tate Superintendent of Public Instruction</w:t>
      </w:r>
      <w:r w:rsidR="0068642B" w:rsidRPr="000A3651">
        <w:rPr>
          <w:rFonts w:eastAsia="Arial" w:cs="Arial"/>
        </w:rPr>
        <w:t xml:space="preserve"> </w:t>
      </w:r>
      <w:r w:rsidR="00554213" w:rsidRPr="000A3651">
        <w:rPr>
          <w:rFonts w:eastAsia="Arial" w:cs="Arial"/>
        </w:rPr>
        <w:t xml:space="preserve">(SSPI) </w:t>
      </w:r>
      <w:r w:rsidR="5E5D22E6" w:rsidRPr="000A3651">
        <w:rPr>
          <w:rFonts w:eastAsia="Arial" w:cs="Arial"/>
        </w:rPr>
        <w:t xml:space="preserve">and </w:t>
      </w:r>
      <w:r w:rsidR="0068642B" w:rsidRPr="000A3651">
        <w:rPr>
          <w:rFonts w:eastAsia="Arial" w:cs="Arial"/>
        </w:rPr>
        <w:t xml:space="preserve">SBE </w:t>
      </w:r>
      <w:r w:rsidR="00B3227B" w:rsidRPr="000A3651">
        <w:rPr>
          <w:rFonts w:eastAsia="Arial" w:cs="Arial"/>
        </w:rPr>
        <w:t>P</w:t>
      </w:r>
      <w:r w:rsidR="5E5D22E6" w:rsidRPr="000A3651">
        <w:rPr>
          <w:rFonts w:eastAsia="Arial" w:cs="Arial"/>
        </w:rPr>
        <w:t>resident</w:t>
      </w:r>
      <w:r w:rsidR="00521851" w:rsidRPr="000A3651">
        <w:rPr>
          <w:rFonts w:eastAsia="Arial" w:cs="Arial"/>
        </w:rPr>
        <w:t xml:space="preserve"> </w:t>
      </w:r>
      <w:r w:rsidR="00521851" w:rsidRPr="007F528F">
        <w:rPr>
          <w:rFonts w:eastAsia="Arial" w:cs="Arial"/>
        </w:rPr>
        <w:t xml:space="preserve">by </w:t>
      </w:r>
      <w:r w:rsidR="004B3CEC" w:rsidRPr="007F528F">
        <w:rPr>
          <w:rFonts w:eastAsia="Arial" w:cs="Arial"/>
        </w:rPr>
        <w:t>July 16, 2024, which is 60 days of receiving the letter from ED</w:t>
      </w:r>
      <w:r w:rsidR="2C2592EC" w:rsidRPr="007F528F">
        <w:rPr>
          <w:rFonts w:eastAsia="Arial" w:cs="Arial"/>
        </w:rPr>
        <w:t>.</w:t>
      </w:r>
    </w:p>
    <w:p w14:paraId="438508E6" w14:textId="52E25498" w:rsidR="00A75BCC" w:rsidRDefault="00C100EC" w:rsidP="56A2F1E5">
      <w:pPr>
        <w:spacing w:after="240"/>
        <w:rPr>
          <w:rFonts w:eastAsia="Arial" w:cs="Arial"/>
        </w:rPr>
      </w:pPr>
      <w:r w:rsidRPr="00237E0F">
        <w:rPr>
          <w:rFonts w:eastAsia="Arial" w:cs="Arial"/>
        </w:rPr>
        <w:t xml:space="preserve">In connection with </w:t>
      </w:r>
      <w:r w:rsidR="00196F26" w:rsidRPr="00237E0F">
        <w:rPr>
          <w:rFonts w:eastAsia="Arial" w:cs="Arial"/>
        </w:rPr>
        <w:t xml:space="preserve">California’s waiver request of the 1.0 percent cap for the </w:t>
      </w:r>
      <w:r w:rsidRPr="00237E0F">
        <w:rPr>
          <w:rFonts w:eastAsia="Arial" w:cs="Arial"/>
        </w:rPr>
        <w:t>2021-22</w:t>
      </w:r>
      <w:r w:rsidR="00196F26" w:rsidRPr="00237E0F">
        <w:rPr>
          <w:rFonts w:eastAsia="Arial" w:cs="Arial"/>
        </w:rPr>
        <w:t xml:space="preserve"> school year</w:t>
      </w:r>
      <w:r w:rsidRPr="00237E0F">
        <w:rPr>
          <w:rFonts w:eastAsia="Arial" w:cs="Arial"/>
        </w:rPr>
        <w:t xml:space="preserve">, ED made a similar request in </w:t>
      </w:r>
      <w:r w:rsidR="00C16710" w:rsidRPr="00237E0F">
        <w:rPr>
          <w:rFonts w:eastAsia="Arial" w:cs="Arial"/>
        </w:rPr>
        <w:t xml:space="preserve">an </w:t>
      </w:r>
      <w:r w:rsidRPr="00237E0F">
        <w:rPr>
          <w:rFonts w:eastAsia="Arial" w:cs="Arial"/>
        </w:rPr>
        <w:t xml:space="preserve">October </w:t>
      </w:r>
      <w:r w:rsidR="00C16710" w:rsidRPr="00237E0F">
        <w:rPr>
          <w:rFonts w:eastAsia="Arial" w:cs="Arial"/>
        </w:rPr>
        <w:t xml:space="preserve">27, </w:t>
      </w:r>
      <w:proofErr w:type="gramStart"/>
      <w:r w:rsidRPr="00237E0F">
        <w:rPr>
          <w:rFonts w:eastAsia="Arial" w:cs="Arial"/>
        </w:rPr>
        <w:t>2023</w:t>
      </w:r>
      <w:proofErr w:type="gramEnd"/>
      <w:r w:rsidR="00C16710" w:rsidRPr="00237E0F">
        <w:rPr>
          <w:rFonts w:eastAsia="Arial" w:cs="Arial"/>
        </w:rPr>
        <w:t xml:space="preserve"> letter</w:t>
      </w:r>
      <w:r w:rsidRPr="00237E0F">
        <w:rPr>
          <w:rFonts w:eastAsia="Arial" w:cs="Arial"/>
        </w:rPr>
        <w:t xml:space="preserve"> for additional information. California responded</w:t>
      </w:r>
      <w:r w:rsidR="00196F26" w:rsidRPr="00237E0F">
        <w:rPr>
          <w:rFonts w:eastAsia="Arial" w:cs="Arial"/>
        </w:rPr>
        <w:t xml:space="preserve"> on December 4, </w:t>
      </w:r>
      <w:proofErr w:type="gramStart"/>
      <w:r w:rsidR="00196F26" w:rsidRPr="00237E0F">
        <w:rPr>
          <w:rFonts w:eastAsia="Arial" w:cs="Arial"/>
        </w:rPr>
        <w:t>2023</w:t>
      </w:r>
      <w:proofErr w:type="gramEnd"/>
      <w:r w:rsidR="00C16710" w:rsidRPr="00237E0F">
        <w:rPr>
          <w:rFonts w:eastAsia="Arial" w:cs="Arial"/>
        </w:rPr>
        <w:t xml:space="preserve"> </w:t>
      </w:r>
      <w:r w:rsidR="00196F26" w:rsidRPr="00237E0F">
        <w:rPr>
          <w:rFonts w:eastAsia="Arial" w:cs="Arial"/>
        </w:rPr>
        <w:t>with a joint letter from the SSPI and SBE President, providing additional information</w:t>
      </w:r>
      <w:r w:rsidR="00C16710" w:rsidRPr="00237E0F">
        <w:rPr>
          <w:rFonts w:eastAsia="Arial" w:cs="Arial"/>
        </w:rPr>
        <w:t xml:space="preserve"> including a revised plan outlining how the state will come into compliance. The SBE took action at the January 18, </w:t>
      </w:r>
      <w:proofErr w:type="gramStart"/>
      <w:r w:rsidR="00C16710" w:rsidRPr="00237E0F">
        <w:rPr>
          <w:rFonts w:eastAsia="Arial" w:cs="Arial"/>
        </w:rPr>
        <w:t>2024</w:t>
      </w:r>
      <w:proofErr w:type="gramEnd"/>
      <w:r w:rsidR="00C16710" w:rsidRPr="00237E0F">
        <w:rPr>
          <w:rFonts w:eastAsia="Arial" w:cs="Arial"/>
        </w:rPr>
        <w:t xml:space="preserve"> meeting to ratify the December 2023 response.</w:t>
      </w:r>
    </w:p>
    <w:p w14:paraId="308BC2B1" w14:textId="77777777" w:rsidR="003E4DF7" w:rsidRPr="00CA1643" w:rsidRDefault="3BECFE89" w:rsidP="001C7B46">
      <w:pPr>
        <w:pStyle w:val="Heading2"/>
        <w:spacing w:before="480" w:after="240"/>
        <w:rPr>
          <w:sz w:val="36"/>
          <w:szCs w:val="36"/>
        </w:rPr>
      </w:pPr>
      <w:r w:rsidRPr="00CA1643">
        <w:rPr>
          <w:sz w:val="36"/>
          <w:szCs w:val="36"/>
        </w:rPr>
        <w:t>Recommendation</w:t>
      </w:r>
    </w:p>
    <w:p w14:paraId="530D135F" w14:textId="00654823" w:rsidR="78711BBE" w:rsidRPr="00CA1643" w:rsidRDefault="2CA88E9C">
      <w:pPr>
        <w:spacing w:after="240"/>
        <w:rPr>
          <w:rFonts w:eastAsia="Arial" w:cs="Arial"/>
        </w:rPr>
      </w:pPr>
      <w:r w:rsidRPr="00CA1643">
        <w:rPr>
          <w:rFonts w:eastAsiaTheme="minorEastAsia" w:cs="Arial"/>
        </w:rPr>
        <w:t xml:space="preserve">CDE requests that the SBE approve a letter for signature by the </w:t>
      </w:r>
      <w:r w:rsidR="48C49FF6" w:rsidRPr="00CA1643">
        <w:rPr>
          <w:rFonts w:eastAsiaTheme="minorEastAsia" w:cs="Arial"/>
        </w:rPr>
        <w:t>S</w:t>
      </w:r>
      <w:r w:rsidR="006C7EE8" w:rsidRPr="00CA1643">
        <w:rPr>
          <w:rFonts w:eastAsiaTheme="minorEastAsia" w:cs="Arial"/>
        </w:rPr>
        <w:t xml:space="preserve">SPI </w:t>
      </w:r>
      <w:r w:rsidRPr="00CA1643">
        <w:rPr>
          <w:rFonts w:eastAsiaTheme="minorEastAsia" w:cs="Arial"/>
        </w:rPr>
        <w:t xml:space="preserve">and </w:t>
      </w:r>
      <w:r w:rsidR="006C7EE8" w:rsidRPr="00CA1643">
        <w:rPr>
          <w:rFonts w:eastAsiaTheme="minorEastAsia" w:cs="Arial"/>
        </w:rPr>
        <w:t xml:space="preserve">SBE </w:t>
      </w:r>
      <w:r w:rsidR="00B3227B">
        <w:rPr>
          <w:rFonts w:eastAsiaTheme="minorEastAsia" w:cs="Arial"/>
        </w:rPr>
        <w:t>P</w:t>
      </w:r>
      <w:r w:rsidRPr="00CA1643">
        <w:rPr>
          <w:rFonts w:eastAsiaTheme="minorEastAsia" w:cs="Arial"/>
        </w:rPr>
        <w:t xml:space="preserve">resident in response to </w:t>
      </w:r>
      <w:r w:rsidR="006C7EE8" w:rsidRPr="00CA1643">
        <w:rPr>
          <w:rFonts w:eastAsiaTheme="minorEastAsia" w:cs="Arial"/>
        </w:rPr>
        <w:t>ED’s</w:t>
      </w:r>
      <w:r w:rsidRPr="00CA1643">
        <w:rPr>
          <w:rFonts w:eastAsiaTheme="minorEastAsia" w:cs="Arial"/>
        </w:rPr>
        <w:t xml:space="preserve"> denial of California's 2023</w:t>
      </w:r>
      <w:r w:rsidR="00793252">
        <w:rPr>
          <w:rFonts w:eastAsiaTheme="minorEastAsia" w:cs="Arial"/>
        </w:rPr>
        <w:t>–</w:t>
      </w:r>
      <w:r w:rsidRPr="00CA1643">
        <w:rPr>
          <w:rFonts w:eastAsiaTheme="minorEastAsia" w:cs="Arial"/>
        </w:rPr>
        <w:t xml:space="preserve">24 request to waive the 1.0 percent cap on the percentage of eligible students with the most significant cognitive disabilities who may be assessed with an </w:t>
      </w:r>
      <w:r w:rsidR="169B7E04" w:rsidRPr="00CA1643">
        <w:rPr>
          <w:rFonts w:eastAsiaTheme="minorEastAsia" w:cs="Arial"/>
        </w:rPr>
        <w:t>AA-AAAS</w:t>
      </w:r>
      <w:r w:rsidRPr="00CA1643">
        <w:rPr>
          <w:rFonts w:eastAsiaTheme="minorEastAsia" w:cs="Arial"/>
        </w:rPr>
        <w:t xml:space="preserve"> for </w:t>
      </w:r>
      <w:r w:rsidR="00155049" w:rsidRPr="00CA1643">
        <w:rPr>
          <w:rFonts w:eastAsiaTheme="minorEastAsia" w:cs="Arial"/>
        </w:rPr>
        <w:t>RLA</w:t>
      </w:r>
      <w:r w:rsidRPr="00CA1643">
        <w:rPr>
          <w:rFonts w:eastAsiaTheme="minorEastAsia" w:cs="Arial"/>
        </w:rPr>
        <w:t>, mathematics, and science</w:t>
      </w:r>
      <w:r w:rsidR="00521851" w:rsidRPr="007F528F">
        <w:rPr>
          <w:rFonts w:eastAsiaTheme="minorEastAsia" w:cs="Arial"/>
        </w:rPr>
        <w:t xml:space="preserve">, </w:t>
      </w:r>
      <w:r w:rsidR="00521851" w:rsidRPr="007F528F">
        <w:t xml:space="preserve">as provided in Attachment </w:t>
      </w:r>
      <w:r w:rsidR="0036365C" w:rsidRPr="007F528F">
        <w:t>2</w:t>
      </w:r>
      <w:r w:rsidRPr="000A3651">
        <w:rPr>
          <w:rFonts w:eastAsiaTheme="minorEastAsia" w:cs="Arial"/>
        </w:rPr>
        <w:t>.</w:t>
      </w:r>
    </w:p>
    <w:p w14:paraId="565119E5" w14:textId="77777777" w:rsidR="00F40510" w:rsidRPr="00CA1643" w:rsidRDefault="3BECFE89" w:rsidP="001C7B46">
      <w:pPr>
        <w:pStyle w:val="Heading2"/>
        <w:spacing w:before="480" w:after="240"/>
        <w:rPr>
          <w:sz w:val="36"/>
          <w:szCs w:val="36"/>
        </w:rPr>
      </w:pPr>
      <w:r w:rsidRPr="00CA1643">
        <w:rPr>
          <w:sz w:val="36"/>
          <w:szCs w:val="36"/>
        </w:rPr>
        <w:t>Brief History of Key Issues</w:t>
      </w:r>
    </w:p>
    <w:p w14:paraId="2867C794" w14:textId="6B3FBF54" w:rsidR="00FF34D2" w:rsidRPr="0035721C" w:rsidRDefault="47A2AE42" w:rsidP="0035721C">
      <w:pPr>
        <w:spacing w:after="240"/>
        <w:rPr>
          <w:rFonts w:eastAsia="Arial"/>
        </w:rPr>
      </w:pPr>
      <w:r w:rsidRPr="00CA1643">
        <w:rPr>
          <w:rFonts w:eastAsia="Arial"/>
        </w:rPr>
        <w:t>On February 4, 2020, ED placed a condition on CDE’s 2020 Title I, Part A grant award after California exceeded the 1.0 percent cap in</w:t>
      </w:r>
      <w:r w:rsidR="006433C3" w:rsidRPr="00CA1643">
        <w:rPr>
          <w:rFonts w:eastAsia="Arial"/>
        </w:rPr>
        <w:t xml:space="preserve"> RLA</w:t>
      </w:r>
      <w:r w:rsidRPr="00CA1643">
        <w:rPr>
          <w:rFonts w:eastAsia="Arial"/>
        </w:rPr>
        <w:t xml:space="preserve">, mathematics, and science for the 2018–19 school year. In the 2021‒22 school year, California exceeded the 1.0 percent cap for </w:t>
      </w:r>
      <w:r w:rsidR="00443A91" w:rsidRPr="00CA1643">
        <w:rPr>
          <w:rFonts w:eastAsia="Arial"/>
        </w:rPr>
        <w:t>RLA</w:t>
      </w:r>
      <w:r w:rsidRPr="00CA1643">
        <w:rPr>
          <w:rFonts w:eastAsia="Arial"/>
        </w:rPr>
        <w:t xml:space="preserve"> and mathematics. As a result, a condition </w:t>
      </w:r>
      <w:r w:rsidR="00703163" w:rsidRPr="00CA1643">
        <w:rPr>
          <w:rFonts w:eastAsia="Arial"/>
        </w:rPr>
        <w:t xml:space="preserve">was </w:t>
      </w:r>
      <w:r w:rsidRPr="00CA1643">
        <w:rPr>
          <w:rFonts w:eastAsia="Arial"/>
        </w:rPr>
        <w:t>placed on CDE’s fiscal year 2023 Title I, Part A grant award. CDE was required to submit by November 27, 2023, a revised plan for how the state would come into compliance with the requirement to assess no more than 1.0 percent of students with an AA-AAAS. On November 17, 2023, upon CDE request, ED confirmed an extension until December 15, 2023, for California to provide its response.</w:t>
      </w:r>
    </w:p>
    <w:p w14:paraId="66183BF0" w14:textId="6837A354" w:rsidR="0104D5DA" w:rsidRDefault="220E41F0" w:rsidP="641FC911">
      <w:pPr>
        <w:spacing w:after="240"/>
        <w:rPr>
          <w:rFonts w:eastAsia="Arial" w:cs="Arial"/>
        </w:rPr>
      </w:pPr>
      <w:r w:rsidRPr="00CA1643">
        <w:rPr>
          <w:rFonts w:eastAsia="Arial" w:cs="Arial"/>
        </w:rPr>
        <w:t>On January 18, 2024, SBE ratified the letter that was submitted to ED in response to the letter received on October 27, 2023, regarding the 1.0 percent cap</w:t>
      </w:r>
      <w:r w:rsidRPr="136BAC63">
        <w:rPr>
          <w:rFonts w:eastAsia="Arial" w:cs="Arial"/>
        </w:rPr>
        <w:t xml:space="preserve"> on the percentage of eligible students with the most significant cognitive disabilities who may be assessed with alternate assessments based on AA-AAAS. </w:t>
      </w:r>
      <w:r w:rsidR="00846059" w:rsidRPr="007F528F">
        <w:rPr>
          <w:rFonts w:eastAsia="Arial" w:cs="Arial"/>
        </w:rPr>
        <w:t xml:space="preserve">The letter sent by ED on October 27, </w:t>
      </w:r>
      <w:r w:rsidR="00846059" w:rsidRPr="007F528F">
        <w:rPr>
          <w:rFonts w:eastAsia="Arial" w:cs="Arial"/>
        </w:rPr>
        <w:lastRenderedPageBreak/>
        <w:t xml:space="preserve">2023, as well as </w:t>
      </w:r>
      <w:r w:rsidR="00E54336" w:rsidRPr="007F528F">
        <w:rPr>
          <w:rFonts w:eastAsia="Arial" w:cs="Arial"/>
        </w:rPr>
        <w:t>California’s</w:t>
      </w:r>
      <w:r w:rsidR="00846059" w:rsidRPr="007F528F">
        <w:rPr>
          <w:rFonts w:eastAsia="Arial" w:cs="Arial"/>
        </w:rPr>
        <w:t xml:space="preserve"> response letter </w:t>
      </w:r>
      <w:r w:rsidR="00793EE7" w:rsidRPr="007F528F">
        <w:rPr>
          <w:rFonts w:eastAsia="Arial" w:cs="Arial"/>
        </w:rPr>
        <w:t>ratified by the SBE in January 2024</w:t>
      </w:r>
      <w:r w:rsidR="009D3FC9" w:rsidRPr="007F528F">
        <w:rPr>
          <w:rFonts w:eastAsia="Arial" w:cs="Arial"/>
        </w:rPr>
        <w:t>, c</w:t>
      </w:r>
      <w:r w:rsidR="002659C3" w:rsidRPr="007F528F">
        <w:rPr>
          <w:rFonts w:eastAsia="Arial" w:cs="Arial"/>
        </w:rPr>
        <w:t>a</w:t>
      </w:r>
      <w:r w:rsidR="009D3FC9" w:rsidRPr="007F528F">
        <w:rPr>
          <w:rFonts w:eastAsia="Arial" w:cs="Arial"/>
        </w:rPr>
        <w:t xml:space="preserve">n be found in Item 07 of the </w:t>
      </w:r>
      <w:r w:rsidR="002659C3" w:rsidRPr="007F528F">
        <w:rPr>
          <w:rFonts w:eastAsia="Arial" w:cs="Arial"/>
        </w:rPr>
        <w:t xml:space="preserve">SBE’s January agenda at </w:t>
      </w:r>
      <w:hyperlink r:id="rId15" w:tooltip="This link opens the January 2024 SBE Agenda." w:history="1">
        <w:r w:rsidR="00377B89" w:rsidRPr="007F528F">
          <w:rPr>
            <w:rStyle w:val="Hyperlink"/>
            <w:rFonts w:eastAsia="Arial" w:cs="Arial"/>
          </w:rPr>
          <w:t>https://www.cde.ca.gov/be/ag/ag/yr24/agenda202401.asp</w:t>
        </w:r>
      </w:hyperlink>
      <w:r w:rsidR="009D3FC9" w:rsidRPr="007F528F">
        <w:rPr>
          <w:rFonts w:eastAsia="Arial" w:cs="Arial"/>
        </w:rPr>
        <w:t>.</w:t>
      </w:r>
    </w:p>
    <w:p w14:paraId="4214B861" w14:textId="2C2308CC" w:rsidR="008B6504" w:rsidRDefault="2655AF25" w:rsidP="136BAC63">
      <w:pPr>
        <w:spacing w:after="240"/>
        <w:rPr>
          <w:rFonts w:eastAsiaTheme="minorEastAsia" w:cs="Arial"/>
        </w:rPr>
      </w:pPr>
      <w:r w:rsidRPr="136BAC63">
        <w:rPr>
          <w:rFonts w:eastAsia="Arial" w:cs="Arial"/>
        </w:rPr>
        <w:t>On May 17, 2024, CDE received a letter from ED in response to California’s request for a one-year waiver of</w:t>
      </w:r>
      <w:r w:rsidR="09ED1658" w:rsidRPr="136BAC63">
        <w:rPr>
          <w:rFonts w:eastAsia="Arial" w:cs="Arial"/>
        </w:rPr>
        <w:t xml:space="preserve"> the requirement </w:t>
      </w:r>
      <w:r w:rsidR="09ED1658" w:rsidRPr="00CA1643">
        <w:rPr>
          <w:rFonts w:eastAsia="Arial" w:cs="Arial"/>
        </w:rPr>
        <w:t xml:space="preserve">that a </w:t>
      </w:r>
      <w:r w:rsidR="7B7EBCCF" w:rsidRPr="00CA1643">
        <w:rPr>
          <w:rFonts w:eastAsia="Arial" w:cs="Arial"/>
        </w:rPr>
        <w:t>s</w:t>
      </w:r>
      <w:r w:rsidR="09ED1658" w:rsidRPr="00CA1643">
        <w:rPr>
          <w:rFonts w:eastAsia="Arial" w:cs="Arial"/>
        </w:rPr>
        <w:t>tate</w:t>
      </w:r>
      <w:r w:rsidR="09ED1658" w:rsidRPr="136BAC63">
        <w:rPr>
          <w:rFonts w:eastAsia="Arial" w:cs="Arial"/>
        </w:rPr>
        <w:t xml:space="preserve"> may not assess more than 1.0 percent of all students in the grades assessed using an AA-AAAS.</w:t>
      </w:r>
      <w:r w:rsidR="77836233" w:rsidRPr="136BAC63">
        <w:rPr>
          <w:rFonts w:eastAsiaTheme="minorEastAsia" w:cs="Arial"/>
        </w:rPr>
        <w:t xml:space="preserve"> </w:t>
      </w:r>
      <w:r w:rsidR="17679579" w:rsidRPr="136BAC63">
        <w:rPr>
          <w:rFonts w:eastAsia="Arial" w:cs="Arial"/>
        </w:rPr>
        <w:t>This letter is included in Attachment 1.</w:t>
      </w:r>
    </w:p>
    <w:p w14:paraId="6D551147" w14:textId="660C2405" w:rsidR="008B6504" w:rsidRDefault="63E74F06" w:rsidP="136BAC63">
      <w:pPr>
        <w:spacing w:after="240"/>
        <w:rPr>
          <w:rFonts w:eastAsiaTheme="minorEastAsia" w:cs="Arial"/>
        </w:rPr>
      </w:pPr>
      <w:r w:rsidRPr="136BAC63">
        <w:rPr>
          <w:rFonts w:eastAsia="Calibri" w:cs="Arial"/>
        </w:rPr>
        <w:t xml:space="preserve">California has and will continue to work with our </w:t>
      </w:r>
      <w:r w:rsidR="00E75965">
        <w:rPr>
          <w:rFonts w:eastAsia="Calibri" w:cs="Arial"/>
        </w:rPr>
        <w:t>l</w:t>
      </w:r>
      <w:r w:rsidR="007E6595" w:rsidRPr="136BAC63">
        <w:rPr>
          <w:rFonts w:eastAsia="Calibri" w:cs="Arial"/>
        </w:rPr>
        <w:t xml:space="preserve">ocal </w:t>
      </w:r>
      <w:r w:rsidR="4370A63E" w:rsidRPr="136BAC63">
        <w:rPr>
          <w:rFonts w:eastAsia="Calibri" w:cs="Arial"/>
        </w:rPr>
        <w:t>e</w:t>
      </w:r>
      <w:r w:rsidR="007E6595" w:rsidRPr="136BAC63">
        <w:rPr>
          <w:rFonts w:eastAsia="Calibri" w:cs="Arial"/>
        </w:rPr>
        <w:t xml:space="preserve">ducational </w:t>
      </w:r>
      <w:r w:rsidR="15F48CD5" w:rsidRPr="136BAC63">
        <w:rPr>
          <w:rFonts w:eastAsia="Calibri" w:cs="Arial"/>
        </w:rPr>
        <w:t>a</w:t>
      </w:r>
      <w:r w:rsidR="007E6595" w:rsidRPr="136BAC63">
        <w:rPr>
          <w:rFonts w:eastAsia="Calibri" w:cs="Arial"/>
        </w:rPr>
        <w:t xml:space="preserve">gency </w:t>
      </w:r>
      <w:r w:rsidRPr="136BAC63">
        <w:rPr>
          <w:rFonts w:eastAsia="Calibri" w:cs="Arial"/>
        </w:rPr>
        <w:t>partners and interest holders to ensure maximum participation rates and that every student is taking the most appropriate assessment based on individual needs. Although California narrowly exceeded the 1.0 percent threshold set b</w:t>
      </w:r>
      <w:r w:rsidR="00CA1643">
        <w:rPr>
          <w:rFonts w:eastAsia="Calibri" w:cs="Arial"/>
        </w:rPr>
        <w:t>y</w:t>
      </w:r>
      <w:r w:rsidRPr="136BAC63">
        <w:rPr>
          <w:rFonts w:eastAsia="Calibri" w:cs="Arial"/>
        </w:rPr>
        <w:t xml:space="preserve"> ED, it asserts that students who took the AA-AAAS-based assessments were tested appropriately and in compliance with federal law as determined by each student’s </w:t>
      </w:r>
      <w:r w:rsidR="008F4588">
        <w:rPr>
          <w:rFonts w:eastAsia="Calibri" w:cs="Arial"/>
        </w:rPr>
        <w:t>I</w:t>
      </w:r>
      <w:r w:rsidRPr="136BAC63">
        <w:rPr>
          <w:rFonts w:eastAsia="Calibri" w:cs="Arial"/>
        </w:rPr>
        <w:t xml:space="preserve">ndividualized </w:t>
      </w:r>
      <w:r w:rsidR="008F4588">
        <w:rPr>
          <w:rFonts w:eastAsia="Calibri" w:cs="Arial"/>
        </w:rPr>
        <w:t>E</w:t>
      </w:r>
      <w:r w:rsidRPr="136BAC63">
        <w:rPr>
          <w:rFonts w:eastAsia="Calibri" w:cs="Arial"/>
        </w:rPr>
        <w:t xml:space="preserve">ducation </w:t>
      </w:r>
      <w:r w:rsidR="008F4588">
        <w:rPr>
          <w:rFonts w:eastAsia="Calibri" w:cs="Arial"/>
        </w:rPr>
        <w:t>P</w:t>
      </w:r>
      <w:r w:rsidRPr="136BAC63">
        <w:rPr>
          <w:rFonts w:eastAsia="Calibri" w:cs="Arial"/>
        </w:rPr>
        <w:t>rogram team.</w:t>
      </w:r>
    </w:p>
    <w:p w14:paraId="5FF9347B" w14:textId="2999E625" w:rsidR="008B6504" w:rsidRDefault="6FA7053D" w:rsidP="56A2F1E5">
      <w:pPr>
        <w:spacing w:after="240"/>
        <w:rPr>
          <w:rFonts w:eastAsiaTheme="minorEastAsia" w:cs="Arial"/>
        </w:rPr>
      </w:pPr>
      <w:r w:rsidRPr="56A2F1E5">
        <w:rPr>
          <w:rFonts w:eastAsiaTheme="minorEastAsia" w:cs="Arial"/>
        </w:rPr>
        <w:t>The revised plan and timeline are det</w:t>
      </w:r>
      <w:r w:rsidR="7187FCD3" w:rsidRPr="56A2F1E5">
        <w:rPr>
          <w:rFonts w:eastAsiaTheme="minorEastAsia" w:cs="Arial"/>
        </w:rPr>
        <w:t>a</w:t>
      </w:r>
      <w:r w:rsidRPr="56A2F1E5">
        <w:rPr>
          <w:rFonts w:eastAsiaTheme="minorEastAsia" w:cs="Arial"/>
        </w:rPr>
        <w:t xml:space="preserve">iled in </w:t>
      </w:r>
      <w:r w:rsidR="6413970E" w:rsidRPr="56A2F1E5">
        <w:rPr>
          <w:rFonts w:eastAsia="Arial" w:cs="Arial"/>
        </w:rPr>
        <w:t>California’s response letter to ED</w:t>
      </w:r>
      <w:r w:rsidR="00521851" w:rsidRPr="007F528F">
        <w:rPr>
          <w:rFonts w:eastAsia="Arial" w:cs="Arial"/>
        </w:rPr>
        <w:t>, which is included as</w:t>
      </w:r>
      <w:r w:rsidR="6413970E" w:rsidRPr="000A3651">
        <w:rPr>
          <w:rFonts w:eastAsiaTheme="minorEastAsia" w:cs="Arial"/>
        </w:rPr>
        <w:t xml:space="preserve"> Attachment 2</w:t>
      </w:r>
      <w:r w:rsidRPr="000A3651">
        <w:rPr>
          <w:rFonts w:eastAsiaTheme="minorEastAsia" w:cs="Arial"/>
        </w:rPr>
        <w:t>.</w:t>
      </w:r>
    </w:p>
    <w:p w14:paraId="7AC56900" w14:textId="40885B7B" w:rsidR="003E4DF7" w:rsidRDefault="13B8846F" w:rsidP="000D124B">
      <w:pPr>
        <w:pStyle w:val="Heading2"/>
        <w:spacing w:before="480" w:after="240"/>
        <w:rPr>
          <w:sz w:val="36"/>
          <w:szCs w:val="36"/>
        </w:rPr>
      </w:pPr>
      <w:r w:rsidRPr="6BEDCD4C">
        <w:rPr>
          <w:sz w:val="36"/>
          <w:szCs w:val="36"/>
        </w:rPr>
        <w:t>Summary of Previous State Board of Education Discussion and Action</w:t>
      </w:r>
    </w:p>
    <w:p w14:paraId="072501DA" w14:textId="776C1EA2" w:rsidR="7356DDE4" w:rsidRDefault="41ACFCA6" w:rsidP="04F69605">
      <w:pPr>
        <w:spacing w:after="240"/>
        <w:rPr>
          <w:rFonts w:eastAsia="Arial" w:cs="Arial"/>
        </w:rPr>
      </w:pPr>
      <w:r w:rsidRPr="6BEDCD4C">
        <w:rPr>
          <w:rFonts w:eastAsia="Arial" w:cs="Arial"/>
        </w:rPr>
        <w:t>In January 2024, SBE</w:t>
      </w:r>
      <w:r w:rsidR="0F20BF7D" w:rsidRPr="6BEDCD4C">
        <w:rPr>
          <w:rFonts w:eastAsia="Arial" w:cs="Arial"/>
        </w:rPr>
        <w:t xml:space="preserve"> ratified the letter that was submitted to ED in response to the letter received on October 27, 2023, </w:t>
      </w:r>
      <w:r w:rsidR="18F10874" w:rsidRPr="6BEDCD4C">
        <w:rPr>
          <w:rFonts w:eastAsia="Arial" w:cs="Arial"/>
        </w:rPr>
        <w:t xml:space="preserve">regarding the 1.0 percent cap on the percentage of eligible students with the most significant cognitive disabilities who may be assessed with AA-AAAS </w:t>
      </w:r>
      <w:r w:rsidR="3DF78A81" w:rsidRPr="6BEDCD4C">
        <w:rPr>
          <w:rFonts w:eastAsia="Arial" w:cs="Arial"/>
        </w:rPr>
        <w:t>(</w:t>
      </w:r>
      <w:hyperlink r:id="rId16" w:tooltip="This link opens January 2024 SBE Agenda Item 07.">
        <w:r w:rsidR="3DF78A81" w:rsidRPr="6BEDCD4C">
          <w:rPr>
            <w:rStyle w:val="Hyperlink"/>
            <w:rFonts w:eastAsia="Arial" w:cs="Arial"/>
          </w:rPr>
          <w:t>https://www.cde.ca.gov/be/ag/ag/yr24/documents/jan24item07.docx</w:t>
        </w:r>
      </w:hyperlink>
      <w:r w:rsidR="3DF78A81" w:rsidRPr="6BEDCD4C">
        <w:rPr>
          <w:rFonts w:eastAsia="Arial" w:cs="Arial"/>
        </w:rPr>
        <w:t>)</w:t>
      </w:r>
      <w:r w:rsidR="45617FDB" w:rsidRPr="6BEDCD4C">
        <w:rPr>
          <w:rFonts w:eastAsia="Arial" w:cs="Arial"/>
        </w:rPr>
        <w:t xml:space="preserve"> </w:t>
      </w:r>
      <w:r w:rsidR="3DF78A81" w:rsidRPr="6BEDCD4C">
        <w:rPr>
          <w:rFonts w:eastAsia="Arial" w:cs="Arial"/>
        </w:rPr>
        <w:t>(</w:t>
      </w:r>
      <w:hyperlink r:id="rId17" w:tooltip="This link opens January 2024 SBE Agenda Item 07 Attachment 1.">
        <w:r w:rsidR="3DF78A81" w:rsidRPr="6BEDCD4C">
          <w:rPr>
            <w:rStyle w:val="Hyperlink"/>
            <w:rFonts w:eastAsia="Arial" w:cs="Arial"/>
          </w:rPr>
          <w:t>https://www.cde.ca.gov/be/ag/ag/yr24/jan24item07a1.asp</w:t>
        </w:r>
      </w:hyperlink>
      <w:r w:rsidR="3DF78A81" w:rsidRPr="6BEDCD4C">
        <w:rPr>
          <w:rFonts w:eastAsia="Arial" w:cs="Arial"/>
        </w:rPr>
        <w:t>)</w:t>
      </w:r>
      <w:r w:rsidR="6D10797F" w:rsidRPr="6BEDCD4C">
        <w:rPr>
          <w:rFonts w:eastAsia="Arial" w:cs="Arial"/>
        </w:rPr>
        <w:t xml:space="preserve"> </w:t>
      </w:r>
      <w:r w:rsidR="3DF78A81" w:rsidRPr="6BEDCD4C">
        <w:rPr>
          <w:rFonts w:eastAsia="Arial" w:cs="Arial"/>
        </w:rPr>
        <w:t>(</w:t>
      </w:r>
      <w:hyperlink r:id="rId18" w:tooltip="This link opens January 2024 SBE Agenda Item 07 Attachment 2.">
        <w:r w:rsidR="3DF78A81" w:rsidRPr="6BEDCD4C">
          <w:rPr>
            <w:rStyle w:val="Hyperlink"/>
            <w:rFonts w:eastAsia="Arial" w:cs="Arial"/>
          </w:rPr>
          <w:t>https://www.cde.ca.gov/be/ag/ag/yr24/documents/jan24item07a2.pdf</w:t>
        </w:r>
      </w:hyperlink>
      <w:r w:rsidR="3DF78A81" w:rsidRPr="6BEDCD4C">
        <w:rPr>
          <w:rFonts w:eastAsia="Arial" w:cs="Arial"/>
        </w:rPr>
        <w:t>).</w:t>
      </w:r>
    </w:p>
    <w:p w14:paraId="3F179550" w14:textId="085C9D4D" w:rsidR="7356DDE4" w:rsidRDefault="76B9FC9B" w:rsidP="27F4EF57">
      <w:pPr>
        <w:spacing w:after="240"/>
      </w:pPr>
      <w:r w:rsidRPr="6BEDCD4C">
        <w:rPr>
          <w:rFonts w:eastAsia="Arial" w:cs="Arial"/>
        </w:rPr>
        <w:t xml:space="preserve">In November 2023, SBE authorized the </w:t>
      </w:r>
      <w:r w:rsidRPr="6BEDCD4C">
        <w:rPr>
          <w:rFonts w:eastAsia="Arial" w:cs="Arial"/>
          <w:color w:val="000000" w:themeColor="text1"/>
        </w:rPr>
        <w:t xml:space="preserve">CDE to submit to ED a request for the waiver of the requirement to assess less than 1.0 percent of eligible students with an alternate assessment for </w:t>
      </w:r>
      <w:r w:rsidRPr="00B775D2">
        <w:rPr>
          <w:rFonts w:eastAsia="Arial" w:cs="Arial"/>
          <w:color w:val="000000" w:themeColor="text1"/>
        </w:rPr>
        <w:t>English language arts/literacy (ELA)</w:t>
      </w:r>
      <w:r w:rsidRPr="6BEDCD4C">
        <w:rPr>
          <w:rFonts w:eastAsia="Arial" w:cs="Arial"/>
          <w:color w:val="000000" w:themeColor="text1"/>
        </w:rPr>
        <w:t>, mathematics, and science for the 2023–24 administration. SBE also authorized CDE to submit to the ED a request for a waiver of the requirement that a request for a waiver of the 1.0 percent cap be submitted at least 90 days before the beginning of the annual testing window for the California Alternate Assessment (CAA) for ELA, mathematics, and science (</w:t>
      </w:r>
      <w:hyperlink r:id="rId19" w:tooltip="This link opens November 2023 SBE Agenda Item 11.">
        <w:r w:rsidRPr="6BEDCD4C">
          <w:rPr>
            <w:rStyle w:val="Hyperlink"/>
            <w:rFonts w:eastAsia="Arial" w:cs="Arial"/>
          </w:rPr>
          <w:t>https://www.cde.ca.gov/be/ag/ag/yr23/documents/nov23item11.docx</w:t>
        </w:r>
      </w:hyperlink>
      <w:r w:rsidRPr="6BEDCD4C">
        <w:rPr>
          <w:rFonts w:eastAsia="Arial" w:cs="Arial"/>
          <w:color w:val="000000" w:themeColor="text1"/>
        </w:rPr>
        <w:t>).</w:t>
      </w:r>
    </w:p>
    <w:p w14:paraId="6A07ACDD" w14:textId="332A4997" w:rsidR="7356DDE4" w:rsidRDefault="76B9FC9B" w:rsidP="27F4EF57">
      <w:pPr>
        <w:spacing w:after="240"/>
      </w:pPr>
      <w:r w:rsidRPr="6BEDCD4C">
        <w:rPr>
          <w:rFonts w:eastAsia="Arial" w:cs="Arial"/>
          <w:color w:val="000000" w:themeColor="text1"/>
        </w:rPr>
        <w:t>In July 2022,</w:t>
      </w:r>
      <w:r w:rsidR="0007582B">
        <w:rPr>
          <w:rFonts w:eastAsia="Arial" w:cs="Arial"/>
          <w:color w:val="000000" w:themeColor="text1"/>
        </w:rPr>
        <w:t xml:space="preserve"> </w:t>
      </w:r>
      <w:r w:rsidRPr="6BEDCD4C">
        <w:rPr>
          <w:rFonts w:eastAsia="Arial" w:cs="Arial"/>
          <w:color w:val="000000" w:themeColor="text1"/>
        </w:rPr>
        <w:t xml:space="preserve">SBE authorized CDE to submit to ED a request for the waiver of the requirement to assess less than 1.0 percent of eligible students with an alternate assessment for ELA, mathematics, and science for the 2022–23 administration. SBE also authorized CDE to submit to ED a request for a waiver of the requirement that a request for a waiver of the 1.0 percent cap be submitted at least 90 days before the </w:t>
      </w:r>
      <w:r w:rsidRPr="6BEDCD4C">
        <w:rPr>
          <w:rFonts w:eastAsia="Arial" w:cs="Arial"/>
          <w:color w:val="000000" w:themeColor="text1"/>
        </w:rPr>
        <w:lastRenderedPageBreak/>
        <w:t>beginning of the annual testing window for the CAA for Science (</w:t>
      </w:r>
      <w:hyperlink r:id="rId20" w:tooltip="This link opens July 2022 SBE Agenda Item 06.">
        <w:r w:rsidRPr="6BEDCD4C">
          <w:rPr>
            <w:rStyle w:val="Hyperlink"/>
            <w:rFonts w:eastAsia="Arial" w:cs="Arial"/>
          </w:rPr>
          <w:t>https://www.cde.ca.gov/be/ag/ag/yr22/documents/jul22item06.docx</w:t>
        </w:r>
      </w:hyperlink>
      <w:r w:rsidRPr="6BEDCD4C">
        <w:rPr>
          <w:rFonts w:eastAsia="Arial" w:cs="Arial"/>
          <w:color w:val="000000" w:themeColor="text1"/>
        </w:rPr>
        <w:t>).</w:t>
      </w:r>
    </w:p>
    <w:p w14:paraId="507C386E" w14:textId="6BDFA412" w:rsidR="7356DDE4" w:rsidRDefault="7356DDE4" w:rsidP="27F4EF57">
      <w:pPr>
        <w:spacing w:after="240"/>
      </w:pPr>
      <w:r w:rsidRPr="27F4EF57">
        <w:rPr>
          <w:rFonts w:eastAsia="Arial" w:cs="Arial"/>
          <w:color w:val="000000" w:themeColor="text1"/>
        </w:rPr>
        <w:t xml:space="preserve">In March 2022, SBE authorized CDE to pursue a waiver of the 1.0 percent cap on the percentage of eligible students with the most significant cognitive disabilities who may be assessed with </w:t>
      </w:r>
      <w:r w:rsidRPr="00E94556">
        <w:rPr>
          <w:rFonts w:eastAsia="Arial" w:cs="Arial"/>
          <w:color w:val="000000" w:themeColor="text1"/>
        </w:rPr>
        <w:t>an alternate assessment aligned with alternate academic achievement standards</w:t>
      </w:r>
      <w:r w:rsidRPr="27F4EF57">
        <w:rPr>
          <w:rFonts w:eastAsia="Arial" w:cs="Arial"/>
          <w:color w:val="000000" w:themeColor="text1"/>
        </w:rPr>
        <w:t xml:space="preserve"> for ELA, mathematics, and science and other related waivers for the 2021–22 administration (</w:t>
      </w:r>
      <w:hyperlink r:id="rId21" w:tooltip="This link opens the March 2022 SBE Agenda Item 03.">
        <w:r w:rsidRPr="611F01CF">
          <w:rPr>
            <w:rStyle w:val="Hyperlink"/>
            <w:rFonts w:eastAsia="Arial" w:cs="Arial"/>
          </w:rPr>
          <w:t>https://www.cde.ca.gov/be/ag/ag/yr22/documents/mar22item03rev.docx</w:t>
        </w:r>
      </w:hyperlink>
      <w:r w:rsidRPr="27F4EF57">
        <w:rPr>
          <w:rFonts w:eastAsia="Arial" w:cs="Arial"/>
          <w:color w:val="000000" w:themeColor="text1"/>
        </w:rPr>
        <w:t>)</w:t>
      </w:r>
      <w:r w:rsidRPr="27F4EF57">
        <w:rPr>
          <w:rFonts w:eastAsia="Arial" w:cs="Arial"/>
        </w:rPr>
        <w:t>.</w:t>
      </w:r>
    </w:p>
    <w:p w14:paraId="76BF4F62" w14:textId="6AB4C05B" w:rsidR="7356DDE4" w:rsidRDefault="76B9FC9B" w:rsidP="27F4EF57">
      <w:pPr>
        <w:spacing w:after="240"/>
      </w:pPr>
      <w:r w:rsidRPr="6BEDCD4C">
        <w:rPr>
          <w:rFonts w:eastAsia="Arial" w:cs="Arial"/>
        </w:rPr>
        <w:t>In September 2020, SBE provided approval for CDE to r</w:t>
      </w:r>
      <w:r w:rsidRPr="6BEDCD4C">
        <w:rPr>
          <w:rFonts w:eastAsia="Arial" w:cs="Arial"/>
          <w:color w:val="000000" w:themeColor="text1"/>
        </w:rPr>
        <w:t xml:space="preserve">equest a waiver under the Every Student Succeeds Act, 34 </w:t>
      </w:r>
      <w:r w:rsidRPr="6BEDCD4C">
        <w:rPr>
          <w:rFonts w:eastAsia="Arial" w:cs="Arial"/>
          <w:i/>
          <w:iCs/>
          <w:color w:val="000000" w:themeColor="text1"/>
        </w:rPr>
        <w:t>Code of Federal Regulations</w:t>
      </w:r>
      <w:r w:rsidRPr="6BEDCD4C">
        <w:rPr>
          <w:rFonts w:eastAsia="Arial" w:cs="Arial"/>
          <w:color w:val="000000" w:themeColor="text1"/>
        </w:rPr>
        <w:t xml:space="preserve"> Section 200.6(c)(4), to waive the 1.0 percent threshold for the 2020–21 CAAs for ELA, mathematics, and science (</w:t>
      </w:r>
      <w:hyperlink r:id="rId22" w:tooltip="This link opens the September 2020 SBE Agenda Item 07.">
        <w:r w:rsidRPr="6BEDCD4C">
          <w:rPr>
            <w:rStyle w:val="Hyperlink"/>
            <w:rFonts w:eastAsia="Arial" w:cs="Arial"/>
          </w:rPr>
          <w:t>https://www.cde.ca.gov/be/ag/ag/yr20/documents/sep20item07.docx</w:t>
        </w:r>
      </w:hyperlink>
      <w:r w:rsidRPr="6BEDCD4C">
        <w:rPr>
          <w:rFonts w:eastAsia="Arial" w:cs="Arial"/>
          <w:color w:val="000000" w:themeColor="text1"/>
        </w:rPr>
        <w:t>).</w:t>
      </w:r>
    </w:p>
    <w:p w14:paraId="2E39D9AD" w14:textId="168BB512" w:rsidR="7356DDE4" w:rsidRDefault="76B9FC9B" w:rsidP="34E62006">
      <w:pPr>
        <w:spacing w:after="240"/>
        <w:rPr>
          <w:rFonts w:eastAsia="Arial" w:cs="Arial"/>
        </w:rPr>
      </w:pPr>
      <w:r w:rsidRPr="34E62006">
        <w:rPr>
          <w:rFonts w:eastAsia="Arial" w:cs="Arial"/>
        </w:rPr>
        <w:t xml:space="preserve">In April 2020, CDE provided SBE with </w:t>
      </w:r>
      <w:r w:rsidR="3FB5C072" w:rsidRPr="34E62006">
        <w:rPr>
          <w:rFonts w:eastAsia="Arial" w:cs="Arial"/>
        </w:rPr>
        <w:t>a</w:t>
      </w:r>
      <w:r w:rsidRPr="34E62006">
        <w:rPr>
          <w:rFonts w:eastAsia="Arial" w:cs="Arial"/>
        </w:rPr>
        <w:t xml:space="preserve"> notification from ED’s Office of Elementary and Secondary Education, which indicated that the state had exceeded the 1.0 percent threshold of students taking alternate assessments. In addition,</w:t>
      </w:r>
      <w:r w:rsidR="19A53BEF" w:rsidRPr="34E62006">
        <w:rPr>
          <w:rFonts w:eastAsia="Arial" w:cs="Arial"/>
        </w:rPr>
        <w:t xml:space="preserve"> the </w:t>
      </w:r>
      <w:r w:rsidRPr="34E62006">
        <w:rPr>
          <w:rFonts w:eastAsia="Arial" w:cs="Arial"/>
        </w:rPr>
        <w:t>CDE provided SBE with CDE’s response, which included an update to the plan to come into compliance (</w:t>
      </w:r>
      <w:hyperlink r:id="rId23" w:tooltip="This link opens the April 2020 Information Memorandum.">
        <w:r w:rsidRPr="34E62006">
          <w:rPr>
            <w:rStyle w:val="Hyperlink"/>
            <w:rFonts w:eastAsia="Arial" w:cs="Arial"/>
          </w:rPr>
          <w:t>https://www.cde.ca.gov/be/pn/im/documents/apr20memoadad02.docx</w:t>
        </w:r>
      </w:hyperlink>
      <w:r w:rsidRPr="34E62006">
        <w:rPr>
          <w:rFonts w:eastAsia="Arial" w:cs="Arial"/>
        </w:rPr>
        <w:t>).</w:t>
      </w:r>
    </w:p>
    <w:p w14:paraId="575D8D1E" w14:textId="1028BC7E" w:rsidR="003E4DF7" w:rsidRDefault="13B8846F" w:rsidP="001C7B46">
      <w:pPr>
        <w:pStyle w:val="Heading2"/>
        <w:spacing w:before="480" w:after="240"/>
        <w:rPr>
          <w:sz w:val="36"/>
          <w:szCs w:val="36"/>
        </w:rPr>
      </w:pPr>
      <w:r w:rsidRPr="6BEDCD4C">
        <w:rPr>
          <w:sz w:val="36"/>
          <w:szCs w:val="36"/>
        </w:rPr>
        <w:t>Fiscal Analysis (as appropriate)</w:t>
      </w:r>
    </w:p>
    <w:p w14:paraId="0E0CA0F0" w14:textId="3E6B5355" w:rsidR="3A73AA1A" w:rsidRDefault="3A73AA1A" w:rsidP="6C0361EE">
      <w:pPr>
        <w:spacing w:after="240"/>
      </w:pPr>
      <w:r>
        <w:t xml:space="preserve">Not Applicable. </w:t>
      </w:r>
    </w:p>
    <w:p w14:paraId="64545752" w14:textId="77777777" w:rsidR="00406F50" w:rsidRPr="001B3958" w:rsidRDefault="00406F50" w:rsidP="001C7B46">
      <w:pPr>
        <w:pStyle w:val="Heading2"/>
        <w:spacing w:before="480" w:after="240"/>
        <w:rPr>
          <w:sz w:val="36"/>
          <w:szCs w:val="36"/>
        </w:rPr>
      </w:pPr>
      <w:r w:rsidRPr="001B3958">
        <w:rPr>
          <w:sz w:val="36"/>
          <w:szCs w:val="36"/>
        </w:rPr>
        <w:t>Attachment(s)</w:t>
      </w:r>
    </w:p>
    <w:p w14:paraId="1B1DA252" w14:textId="5D556D0C" w:rsidR="46DB9507" w:rsidRPr="007669D6" w:rsidRDefault="46DB9507" w:rsidP="5C7232D9">
      <w:pPr>
        <w:pStyle w:val="ListParagraph"/>
        <w:numPr>
          <w:ilvl w:val="0"/>
          <w:numId w:val="11"/>
        </w:numPr>
        <w:spacing w:after="240"/>
        <w:contextualSpacing w:val="0"/>
        <w:rPr>
          <w:rFonts w:eastAsia="Arial" w:cs="Arial"/>
          <w:color w:val="000000" w:themeColor="text1"/>
        </w:rPr>
      </w:pPr>
      <w:r w:rsidRPr="007669D6">
        <w:t xml:space="preserve">Attachment 1: </w:t>
      </w:r>
      <w:r w:rsidR="00521851" w:rsidRPr="00A84A6F">
        <w:t xml:space="preserve">May 17, </w:t>
      </w:r>
      <w:proofErr w:type="gramStart"/>
      <w:r w:rsidR="00521851" w:rsidRPr="00A84A6F">
        <w:t>2024</w:t>
      </w:r>
      <w:proofErr w:type="gramEnd"/>
      <w:r w:rsidR="00521851">
        <w:t xml:space="preserve"> </w:t>
      </w:r>
      <w:r w:rsidRPr="007669D6">
        <w:rPr>
          <w:rFonts w:eastAsia="Arial" w:cs="Arial"/>
          <w:color w:val="000000" w:themeColor="text1"/>
        </w:rPr>
        <w:t>Letter from U.S. Department of Education Regarding 1.0 Percent Cap on Alternate Assessments to State Superintendent of Public Instruction Tony Thurmond and State Board President Linda Darling-Hammond (2 pages)</w:t>
      </w:r>
    </w:p>
    <w:p w14:paraId="4F3C3F5C" w14:textId="5C941761" w:rsidR="009B04E1" w:rsidRPr="00F44C3C" w:rsidRDefault="46DB9507" w:rsidP="5C7232D9">
      <w:pPr>
        <w:pStyle w:val="ListParagraph"/>
        <w:numPr>
          <w:ilvl w:val="0"/>
          <w:numId w:val="11"/>
        </w:numPr>
        <w:spacing w:after="240"/>
      </w:pPr>
      <w:r w:rsidRPr="5C7232D9">
        <w:rPr>
          <w:rFonts w:eastAsia="Arial" w:cs="Arial"/>
          <w:color w:val="000000" w:themeColor="text1"/>
        </w:rPr>
        <w:t>Attachment 2</w:t>
      </w:r>
      <w:r w:rsidRPr="000A3651">
        <w:rPr>
          <w:rFonts w:eastAsia="Arial" w:cs="Arial"/>
          <w:color w:val="000000" w:themeColor="text1"/>
        </w:rPr>
        <w:t xml:space="preserve">: </w:t>
      </w:r>
      <w:r w:rsidR="00521851" w:rsidRPr="00A84A6F">
        <w:rPr>
          <w:rFonts w:eastAsia="Arial" w:cs="Arial"/>
          <w:color w:val="000000" w:themeColor="text1"/>
        </w:rPr>
        <w:t>Draft</w:t>
      </w:r>
      <w:r w:rsidR="00521851">
        <w:rPr>
          <w:rFonts w:eastAsia="Arial" w:cs="Arial"/>
          <w:color w:val="000000" w:themeColor="text1"/>
        </w:rPr>
        <w:t xml:space="preserve"> </w:t>
      </w:r>
      <w:r w:rsidRPr="5C7232D9">
        <w:rPr>
          <w:rFonts w:eastAsia="Arial" w:cs="Arial"/>
          <w:color w:val="000000" w:themeColor="text1"/>
        </w:rPr>
        <w:t xml:space="preserve">Letter from </w:t>
      </w:r>
      <w:r w:rsidRPr="00C75FFD">
        <w:rPr>
          <w:rFonts w:eastAsia="Arial" w:cs="Arial"/>
          <w:color w:val="000000" w:themeColor="text1"/>
        </w:rPr>
        <w:t xml:space="preserve">State Superintendent of Public Instruction </w:t>
      </w:r>
      <w:r w:rsidRPr="00C75FFD">
        <w:br/>
      </w:r>
      <w:r w:rsidRPr="00C75FFD">
        <w:rPr>
          <w:rFonts w:eastAsia="Arial" w:cs="Arial"/>
          <w:color w:val="000000" w:themeColor="text1"/>
        </w:rPr>
        <w:t>Tony Thurmond and State Board President Linda Darling-Hammond to U.S. Department of Education Regarding 1.0 Percent Cap on Alternate Assessments</w:t>
      </w:r>
      <w:r w:rsidRPr="5C7232D9">
        <w:rPr>
          <w:rFonts w:eastAsia="Arial" w:cs="Arial"/>
          <w:color w:val="000000" w:themeColor="text1"/>
        </w:rPr>
        <w:t xml:space="preserve"> </w:t>
      </w:r>
      <w:r w:rsidR="00521851" w:rsidRPr="00A84A6F">
        <w:rPr>
          <w:rFonts w:eastAsia="Arial" w:cs="Arial"/>
          <w:color w:val="000000" w:themeColor="text1"/>
        </w:rPr>
        <w:t>in res</w:t>
      </w:r>
      <w:bookmarkStart w:id="0" w:name="_Hlk170386182"/>
      <w:r w:rsidR="00521851" w:rsidRPr="00A84A6F">
        <w:rPr>
          <w:rFonts w:eastAsia="Arial" w:cs="Arial"/>
          <w:color w:val="000000" w:themeColor="text1"/>
        </w:rPr>
        <w:t xml:space="preserve">ponse to May 17, </w:t>
      </w:r>
      <w:proofErr w:type="gramStart"/>
      <w:r w:rsidR="00521851" w:rsidRPr="00A84A6F">
        <w:rPr>
          <w:rFonts w:eastAsia="Arial" w:cs="Arial"/>
          <w:color w:val="000000" w:themeColor="text1"/>
        </w:rPr>
        <w:t>2024</w:t>
      </w:r>
      <w:proofErr w:type="gramEnd"/>
      <w:r w:rsidR="00521851" w:rsidRPr="00A84A6F">
        <w:rPr>
          <w:rFonts w:eastAsia="Arial" w:cs="Arial"/>
          <w:color w:val="000000" w:themeColor="text1"/>
        </w:rPr>
        <w:t xml:space="preserve"> ED letter</w:t>
      </w:r>
      <w:r w:rsidR="00521851" w:rsidRPr="000A3651">
        <w:rPr>
          <w:rFonts w:eastAsia="Arial" w:cs="Arial"/>
          <w:color w:val="000000" w:themeColor="text1"/>
        </w:rPr>
        <w:t xml:space="preserve"> </w:t>
      </w:r>
      <w:r w:rsidRPr="000A3651">
        <w:rPr>
          <w:rFonts w:eastAsia="Arial" w:cs="Arial"/>
          <w:color w:val="000000" w:themeColor="text1"/>
        </w:rPr>
        <w:t>(</w:t>
      </w:r>
      <w:r w:rsidR="006D2177" w:rsidRPr="00237E0F">
        <w:rPr>
          <w:rFonts w:eastAsia="Arial" w:cs="Arial"/>
          <w:color w:val="000000" w:themeColor="text1"/>
        </w:rPr>
        <w:t>7</w:t>
      </w:r>
      <w:r w:rsidRPr="000A3651">
        <w:rPr>
          <w:rFonts w:eastAsia="Arial" w:cs="Arial"/>
          <w:color w:val="000000" w:themeColor="text1"/>
        </w:rPr>
        <w:t xml:space="preserve"> pages</w:t>
      </w:r>
      <w:r w:rsidRPr="5C7232D9">
        <w:rPr>
          <w:rFonts w:eastAsia="Arial" w:cs="Arial"/>
          <w:color w:val="000000" w:themeColor="text1"/>
        </w:rPr>
        <w:t>)</w:t>
      </w:r>
    </w:p>
    <w:p w14:paraId="65DD8C65" w14:textId="77777777" w:rsidR="00F44C3C" w:rsidRDefault="00F44C3C" w:rsidP="00F44C3C">
      <w:pPr>
        <w:spacing w:after="240"/>
        <w:sectPr w:rsidR="00F44C3C" w:rsidSect="002222E7">
          <w:headerReference w:type="default" r:id="rId24"/>
          <w:footerReference w:type="default" r:id="rId25"/>
          <w:type w:val="continuous"/>
          <w:pgSz w:w="12240" w:h="15840"/>
          <w:pgMar w:top="720" w:right="1440" w:bottom="1440" w:left="1440" w:header="720" w:footer="720" w:gutter="0"/>
          <w:cols w:space="720"/>
          <w:docGrid w:linePitch="360"/>
        </w:sectPr>
      </w:pPr>
    </w:p>
    <w:p w14:paraId="25FC1BF7" w14:textId="77777777" w:rsidR="00F44C3C" w:rsidRPr="00F44C3C" w:rsidRDefault="00F44C3C" w:rsidP="00F44C3C">
      <w:pPr>
        <w:ind w:left="360" w:right="360"/>
        <w:jc w:val="center"/>
        <w:rPr>
          <w:rFonts w:eastAsiaTheme="majorEastAsia" w:cs="Arial"/>
          <w:spacing w:val="-10"/>
          <w:kern w:val="28"/>
        </w:rPr>
      </w:pPr>
      <w:r w:rsidRPr="00F44C3C">
        <w:rPr>
          <w:rFonts w:eastAsiaTheme="majorEastAsia" w:cs="Arial"/>
          <w:noProof/>
          <w:spacing w:val="-10"/>
          <w:kern w:val="28"/>
        </w:rPr>
        <w:lastRenderedPageBreak/>
        <w:drawing>
          <wp:inline distT="0" distB="0" distL="0" distR="0" wp14:anchorId="14E4B882" wp14:editId="25871AC9">
            <wp:extent cx="7319010" cy="2152650"/>
            <wp:effectExtent l="0" t="0" r="0" b="0"/>
            <wp:docPr id="869898749" name="Picture 869898749" descr="This image is the CDE and SBE letter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his image is the CDE and SBE letterhead."/>
                    <pic:cNvPicPr/>
                  </pic:nvPicPr>
                  <pic:blipFill>
                    <a:blip r:embed="rId26">
                      <a:extLst>
                        <a:ext uri="{28A0092B-C50C-407E-A947-70E740481C1C}">
                          <a14:useLocalDpi xmlns:a14="http://schemas.microsoft.com/office/drawing/2010/main" val="0"/>
                        </a:ext>
                      </a:extLst>
                    </a:blip>
                    <a:stretch>
                      <a:fillRect/>
                    </a:stretch>
                  </pic:blipFill>
                  <pic:spPr>
                    <a:xfrm>
                      <a:off x="0" y="0"/>
                      <a:ext cx="7324161" cy="2154165"/>
                    </a:xfrm>
                    <a:prstGeom prst="rect">
                      <a:avLst/>
                    </a:prstGeom>
                  </pic:spPr>
                </pic:pic>
              </a:graphicData>
            </a:graphic>
          </wp:inline>
        </w:drawing>
      </w:r>
    </w:p>
    <w:p w14:paraId="53C9A6CD" w14:textId="4B596B66" w:rsidR="00F44C3C" w:rsidRPr="00F44C3C" w:rsidRDefault="00F44C3C" w:rsidP="00F44C3C">
      <w:pPr>
        <w:spacing w:after="720"/>
        <w:jc w:val="center"/>
        <w:rPr>
          <w:rFonts w:eastAsia="Arial" w:cs="Arial"/>
          <w:b/>
          <w:bCs/>
        </w:rPr>
      </w:pPr>
      <w:r w:rsidRPr="00F44C3C">
        <w:rPr>
          <w:rFonts w:eastAsia="Arial" w:cs="Arial"/>
        </w:rPr>
        <w:t>DRAFT</w:t>
      </w:r>
      <w:r w:rsidR="0089462E">
        <w:rPr>
          <w:rFonts w:eastAsia="Arial" w:cs="Arial"/>
        </w:rPr>
        <w:t xml:space="preserve"> </w:t>
      </w:r>
      <w:proofErr w:type="gramStart"/>
      <w:r w:rsidRPr="00F44C3C">
        <w:rPr>
          <w:rFonts w:eastAsia="Arial" w:cs="Arial"/>
        </w:rPr>
        <w:t xml:space="preserve">July </w:t>
      </w:r>
      <w:r w:rsidRPr="00B15AE3">
        <w:rPr>
          <w:rFonts w:eastAsia="Arial" w:cs="Arial"/>
        </w:rPr>
        <w:t>XX</w:t>
      </w:r>
      <w:r w:rsidRPr="00F44C3C">
        <w:rPr>
          <w:rFonts w:eastAsia="Arial" w:cs="Arial"/>
        </w:rPr>
        <w:t>,</w:t>
      </w:r>
      <w:proofErr w:type="gramEnd"/>
      <w:r w:rsidRPr="00F44C3C">
        <w:rPr>
          <w:rFonts w:eastAsia="Arial" w:cs="Arial"/>
        </w:rPr>
        <w:t xml:space="preserve"> 2024</w:t>
      </w:r>
    </w:p>
    <w:p w14:paraId="7A10D8AA" w14:textId="77777777" w:rsidR="00F44C3C" w:rsidRPr="00F44C3C" w:rsidDel="00A76116" w:rsidRDefault="00F44C3C" w:rsidP="00F44C3C">
      <w:pPr>
        <w:ind w:left="1440"/>
        <w:rPr>
          <w:rFonts w:eastAsia="Calibri" w:cs="Arial"/>
        </w:rPr>
      </w:pPr>
      <w:r w:rsidRPr="00F44C3C">
        <w:rPr>
          <w:rFonts w:eastAsia="Calibri" w:cs="Arial"/>
        </w:rPr>
        <w:t xml:space="preserve">Adam Schott, Principal Deputy Assistant Secretary </w:t>
      </w:r>
    </w:p>
    <w:p w14:paraId="7354FBEC" w14:textId="77777777" w:rsidR="00F44C3C" w:rsidRPr="00F44C3C" w:rsidDel="00A76116" w:rsidRDefault="00F44C3C" w:rsidP="00F44C3C">
      <w:pPr>
        <w:ind w:left="1440"/>
        <w:rPr>
          <w:rFonts w:eastAsia="Calibri" w:cs="Arial"/>
        </w:rPr>
      </w:pPr>
      <w:r w:rsidRPr="00F44C3C">
        <w:rPr>
          <w:rFonts w:eastAsia="Calibri" w:cs="Arial"/>
        </w:rPr>
        <w:t xml:space="preserve">Office of Elementary and Secondary Education </w:t>
      </w:r>
    </w:p>
    <w:p w14:paraId="1E518AD7" w14:textId="77777777" w:rsidR="00F44C3C" w:rsidRPr="00F44C3C" w:rsidDel="00A76116" w:rsidRDefault="00F44C3C" w:rsidP="00F44C3C">
      <w:pPr>
        <w:ind w:left="1440"/>
        <w:rPr>
          <w:rFonts w:eastAsia="Calibri" w:cs="Arial"/>
        </w:rPr>
      </w:pPr>
      <w:r w:rsidRPr="00F44C3C">
        <w:rPr>
          <w:rFonts w:eastAsia="Calibri" w:cs="Arial"/>
        </w:rPr>
        <w:t>U.S. Department of Education</w:t>
      </w:r>
    </w:p>
    <w:p w14:paraId="3948288E" w14:textId="77777777" w:rsidR="00F44C3C" w:rsidRPr="00F44C3C" w:rsidDel="00A76116" w:rsidRDefault="00F44C3C" w:rsidP="00F44C3C">
      <w:pPr>
        <w:ind w:left="1440"/>
        <w:rPr>
          <w:rFonts w:eastAsia="Calibri" w:cs="Arial"/>
        </w:rPr>
      </w:pPr>
      <w:r w:rsidRPr="00F44C3C">
        <w:rPr>
          <w:rFonts w:eastAsia="Calibri" w:cs="Arial"/>
        </w:rPr>
        <w:t>400 Maryland Avenue SW</w:t>
      </w:r>
    </w:p>
    <w:p w14:paraId="2048B03F" w14:textId="77777777" w:rsidR="00F44C3C" w:rsidRPr="00F44C3C" w:rsidRDefault="00F44C3C" w:rsidP="00F44C3C">
      <w:pPr>
        <w:ind w:left="1440"/>
        <w:rPr>
          <w:rFonts w:eastAsia="Calibri" w:cs="Arial"/>
        </w:rPr>
      </w:pPr>
      <w:r w:rsidRPr="00F44C3C">
        <w:rPr>
          <w:rFonts w:eastAsia="Calibri" w:cs="Arial"/>
        </w:rPr>
        <w:t>Washington, DC 20202</w:t>
      </w:r>
    </w:p>
    <w:p w14:paraId="1F9E2081" w14:textId="77777777" w:rsidR="00F44C3C" w:rsidRPr="00F44C3C" w:rsidRDefault="00F44C3C" w:rsidP="0089462E">
      <w:pPr>
        <w:ind w:left="1440"/>
        <w:rPr>
          <w:rFonts w:eastAsia="Calibri" w:cs="Arial"/>
        </w:rPr>
      </w:pPr>
    </w:p>
    <w:p w14:paraId="1051B082" w14:textId="77777777" w:rsidR="00F44C3C" w:rsidRPr="00F44C3C" w:rsidRDefault="00F44C3C" w:rsidP="00F44C3C">
      <w:pPr>
        <w:ind w:left="1440"/>
        <w:rPr>
          <w:rFonts w:eastAsia="Calibri" w:cs="Arial"/>
        </w:rPr>
      </w:pPr>
      <w:r w:rsidRPr="00F44C3C" w:rsidDel="00A76116">
        <w:rPr>
          <w:rFonts w:eastAsia="Calibri" w:cs="Arial"/>
        </w:rPr>
        <w:t xml:space="preserve">Dear </w:t>
      </w:r>
      <w:r w:rsidRPr="00F44C3C">
        <w:rPr>
          <w:rFonts w:eastAsia="Calibri" w:cs="Arial"/>
        </w:rPr>
        <w:t xml:space="preserve">Principal Deputy </w:t>
      </w:r>
      <w:r w:rsidRPr="00F44C3C" w:rsidDel="00A76116">
        <w:rPr>
          <w:rFonts w:eastAsia="Calibri" w:cs="Arial"/>
        </w:rPr>
        <w:t xml:space="preserve">Assistant Secretary </w:t>
      </w:r>
      <w:r w:rsidRPr="00F44C3C">
        <w:rPr>
          <w:rFonts w:eastAsia="Calibri" w:cs="Arial"/>
        </w:rPr>
        <w:t>Schott:</w:t>
      </w:r>
    </w:p>
    <w:p w14:paraId="28ED352F" w14:textId="77777777" w:rsidR="00F44C3C" w:rsidRPr="00F44C3C" w:rsidDel="00A76116" w:rsidRDefault="00F44C3C" w:rsidP="00F44C3C">
      <w:pPr>
        <w:ind w:left="1440"/>
        <w:rPr>
          <w:rFonts w:eastAsia="Calibri" w:cs="Arial"/>
        </w:rPr>
      </w:pPr>
    </w:p>
    <w:p w14:paraId="2F1E0A44" w14:textId="77777777" w:rsidR="00F44C3C" w:rsidRPr="0089462E" w:rsidRDefault="00F44C3C" w:rsidP="0089462E">
      <w:pPr>
        <w:pStyle w:val="Heading1"/>
        <w:ind w:left="1440" w:right="1440"/>
        <w:rPr>
          <w:b w:val="0"/>
          <w:bCs/>
          <w:sz w:val="24"/>
          <w:szCs w:val="24"/>
        </w:rPr>
      </w:pPr>
      <w:r w:rsidRPr="0089462E">
        <w:rPr>
          <w:b w:val="0"/>
          <w:bCs/>
          <w:sz w:val="24"/>
          <w:szCs w:val="24"/>
        </w:rPr>
        <w:t>Subject: Response to Denial of California's 2023–24 Request to Waive the 1.0 Percent Threshold for Alternate Assessments</w:t>
      </w:r>
    </w:p>
    <w:p w14:paraId="2E7CA367" w14:textId="73581054" w:rsidR="00F44C3C" w:rsidRPr="00F44C3C" w:rsidRDefault="00F44C3C" w:rsidP="00F44C3C">
      <w:pPr>
        <w:spacing w:after="240"/>
        <w:ind w:left="1440" w:right="1440"/>
        <w:rPr>
          <w:rFonts w:eastAsia="Calibri" w:cs="Arial"/>
        </w:rPr>
      </w:pPr>
      <w:r w:rsidRPr="00F44C3C">
        <w:rPr>
          <w:rFonts w:eastAsia="Calibri" w:cs="Arial"/>
        </w:rPr>
        <w:t>The California Department of Education (CDE) and the California State Board of Education (SBE) (collectively, California) received a letter on May 17, 2024, from the U.S. Department of Education (ED), in response to California’s request for a one-year waiver of section 1111(b)(2)(D)(i)(I) of the Elementary and Secondary Education Act of 1965, which stipulates that a state may not assess more than 1.0 percent of all students in the grades assessed using an alternate assessment aligned with alternate academic achievement standards (AA-AAAS).</w:t>
      </w:r>
    </w:p>
    <w:p w14:paraId="7E9571F1" w14:textId="77777777" w:rsidR="00F44C3C" w:rsidRPr="00F44C3C" w:rsidRDefault="00F44C3C" w:rsidP="00F44C3C">
      <w:pPr>
        <w:spacing w:after="240"/>
        <w:ind w:left="1440" w:right="1440"/>
        <w:rPr>
          <w:rFonts w:eastAsia="Calibri" w:cs="Arial"/>
          <w:highlight w:val="green"/>
        </w:rPr>
      </w:pPr>
      <w:r w:rsidRPr="00F44C3C">
        <w:rPr>
          <w:rFonts w:eastAsia="Calibri" w:cs="Arial"/>
        </w:rPr>
        <w:t>In its letter to California, ED notified California that, because CDE’s rates of participation on the AA-AAAS in the 2022–23 school year were above 1.0 percent in reading/language arts and mathematics, ED is maintaining the condition on CDE’s Title I, Part A grant award. For ED to remove the condition on the Title I, Part A grant award, CDE must:</w:t>
      </w:r>
    </w:p>
    <w:p w14:paraId="46412E59" w14:textId="77777777" w:rsidR="00F44C3C" w:rsidRPr="00F44C3C" w:rsidRDefault="00F44C3C" w:rsidP="00F44C3C">
      <w:pPr>
        <w:numPr>
          <w:ilvl w:val="0"/>
          <w:numId w:val="13"/>
        </w:numPr>
        <w:spacing w:after="240"/>
        <w:ind w:right="1440"/>
        <w:rPr>
          <w:rFonts w:eastAsia="Calibri" w:cs="Arial"/>
        </w:rPr>
      </w:pPr>
      <w:r w:rsidRPr="00F44C3C">
        <w:rPr>
          <w:rFonts w:eastAsia="Calibri" w:cs="Arial"/>
        </w:rPr>
        <w:t xml:space="preserve">Within 60 days of receiving the letter from ED, submit an updated plan for reducing the rate of AA-AAAS participation in future years </w:t>
      </w:r>
      <w:proofErr w:type="gramStart"/>
      <w:r w:rsidRPr="00F44C3C">
        <w:rPr>
          <w:rFonts w:eastAsia="Calibri" w:cs="Arial"/>
        </w:rPr>
        <w:t>in order to</w:t>
      </w:r>
      <w:proofErr w:type="gramEnd"/>
      <w:r w:rsidRPr="00F44C3C">
        <w:rPr>
          <w:rFonts w:eastAsia="Calibri" w:cs="Arial"/>
        </w:rPr>
        <w:t xml:space="preserve"> comply with the 1.0 percent requirement. </w:t>
      </w:r>
    </w:p>
    <w:p w14:paraId="4D9BF9A7" w14:textId="77777777" w:rsidR="00F44C3C" w:rsidRPr="00F44C3C" w:rsidRDefault="00F44C3C" w:rsidP="00F44C3C">
      <w:pPr>
        <w:numPr>
          <w:ilvl w:val="0"/>
          <w:numId w:val="13"/>
        </w:numPr>
        <w:spacing w:after="240"/>
        <w:ind w:right="1440"/>
        <w:rPr>
          <w:rFonts w:eastAsia="Calibri" w:cs="Arial"/>
        </w:rPr>
      </w:pPr>
      <w:r w:rsidRPr="00F44C3C">
        <w:rPr>
          <w:rFonts w:eastAsia="Calibri" w:cs="Arial"/>
        </w:rPr>
        <w:lastRenderedPageBreak/>
        <w:t xml:space="preserve">Submit evidence that the plan and timeline are made publicly available on the state’s website when the plan is provided to ED. </w:t>
      </w:r>
    </w:p>
    <w:p w14:paraId="73C55607" w14:textId="77777777" w:rsidR="00F44C3C" w:rsidRPr="00F44C3C" w:rsidRDefault="00F44C3C" w:rsidP="00F44C3C">
      <w:pPr>
        <w:numPr>
          <w:ilvl w:val="0"/>
          <w:numId w:val="13"/>
        </w:numPr>
        <w:spacing w:after="240"/>
        <w:ind w:right="1440"/>
        <w:rPr>
          <w:rFonts w:eastAsia="Calibri" w:cs="Arial"/>
        </w:rPr>
      </w:pPr>
      <w:r w:rsidRPr="00F44C3C">
        <w:rPr>
          <w:rFonts w:eastAsia="Calibri" w:cs="Arial"/>
        </w:rPr>
        <w:t>Demonstrate progress in reducing the percentage of students tested on alternate assessments in the 2023</w:t>
      </w:r>
      <w:bookmarkStart w:id="1" w:name="_Hlk168654534"/>
      <w:r w:rsidRPr="00F44C3C">
        <w:rPr>
          <w:rFonts w:eastAsia="Calibri" w:cs="Arial"/>
        </w:rPr>
        <w:t>–</w:t>
      </w:r>
      <w:bookmarkEnd w:id="1"/>
      <w:r w:rsidRPr="00F44C3C">
        <w:rPr>
          <w:rFonts w:eastAsia="Calibri" w:cs="Arial"/>
        </w:rPr>
        <w:t xml:space="preserve">24 school year as validated by CDE </w:t>
      </w:r>
      <w:proofErr w:type="spellStart"/>
      <w:r w:rsidRPr="00F44C3C">
        <w:rPr>
          <w:rFonts w:eastAsia="Calibri" w:cs="Arial"/>
        </w:rPr>
        <w:t>EDFacts</w:t>
      </w:r>
      <w:proofErr w:type="spellEnd"/>
      <w:r w:rsidRPr="00F44C3C">
        <w:rPr>
          <w:rFonts w:eastAsia="Calibri" w:cs="Arial"/>
        </w:rPr>
        <w:t xml:space="preserve"> assessment participation data submission.</w:t>
      </w:r>
    </w:p>
    <w:p w14:paraId="74824CFE" w14:textId="115277B0" w:rsidR="00F44C3C" w:rsidRDefault="00F44C3C" w:rsidP="00F44C3C">
      <w:pPr>
        <w:spacing w:after="240" w:line="259" w:lineRule="auto"/>
        <w:ind w:left="1440" w:right="1440"/>
        <w:rPr>
          <w:rFonts w:eastAsia="Calibri" w:cs="Arial"/>
        </w:rPr>
      </w:pPr>
      <w:r w:rsidRPr="00F44C3C">
        <w:rPr>
          <w:rFonts w:eastAsia="Calibri" w:cs="Arial"/>
        </w:rPr>
        <w:t xml:space="preserve">California intends to meet the requirements necessary for the removal of the condition placed on its Title I, Part A grant award and provide ED updates to its plan and timeline (Table 1). These updates to the plan and timeline </w:t>
      </w:r>
      <w:r w:rsidR="00521851" w:rsidRPr="007F528F">
        <w:rPr>
          <w:rFonts w:eastAsia="Calibri" w:cs="Arial"/>
        </w:rPr>
        <w:t>were</w:t>
      </w:r>
      <w:r w:rsidRPr="00F44C3C">
        <w:rPr>
          <w:rFonts w:eastAsia="Calibri" w:cs="Arial"/>
        </w:rPr>
        <w:t xml:space="preserve"> shared at the July 2024 SBE meeting and are publicly available on the July 2024 SBE Agenda on the CDE website at </w:t>
      </w:r>
      <w:hyperlink r:id="rId27" w:tooltip="This link opens the SBE Agenda." w:history="1">
        <w:r w:rsidRPr="00F44C3C">
          <w:rPr>
            <w:rFonts w:eastAsia="Calibri" w:cs="Arial"/>
            <w:color w:val="0000FF"/>
            <w:u w:val="single"/>
          </w:rPr>
          <w:t>https://www.cde.ca.gov/be/ag/ag/</w:t>
        </w:r>
      </w:hyperlink>
      <w:r w:rsidRPr="00F44C3C">
        <w:rPr>
          <w:rFonts w:eastAsia="Calibri" w:cs="Arial"/>
        </w:rPr>
        <w:t>.</w:t>
      </w:r>
    </w:p>
    <w:p w14:paraId="3FDA6B1C" w14:textId="508FA306" w:rsidR="007F528F" w:rsidRPr="00237E0F" w:rsidRDefault="007F528F" w:rsidP="00095D02">
      <w:pPr>
        <w:spacing w:after="240" w:line="256" w:lineRule="auto"/>
        <w:ind w:left="1440" w:right="1440"/>
        <w:rPr>
          <w:rFonts w:cs="Arial"/>
          <w:color w:val="455F7C"/>
          <w:shd w:val="clear" w:color="auto" w:fill="FFFFFF"/>
        </w:rPr>
      </w:pPr>
      <w:r w:rsidRPr="00237E0F">
        <w:rPr>
          <w:rFonts w:eastAsia="Calibri" w:cs="Arial"/>
        </w:rPr>
        <w:t xml:space="preserve">While California </w:t>
      </w:r>
      <w:r w:rsidR="4B644C61" w:rsidRPr="00237E0F">
        <w:rPr>
          <w:rFonts w:eastAsia="Calibri" w:cs="Arial"/>
        </w:rPr>
        <w:t>complies</w:t>
      </w:r>
      <w:r w:rsidRPr="00237E0F">
        <w:rPr>
          <w:rFonts w:eastAsia="Calibri" w:cs="Arial"/>
        </w:rPr>
        <w:t xml:space="preserve"> with the federal policy, we also want to note that the purpose of the alternat</w:t>
      </w:r>
      <w:r w:rsidR="002918C8" w:rsidRPr="00237E0F">
        <w:rPr>
          <w:rFonts w:eastAsia="Calibri" w:cs="Arial"/>
        </w:rPr>
        <w:t>e</w:t>
      </w:r>
      <w:r w:rsidRPr="00237E0F">
        <w:rPr>
          <w:rFonts w:eastAsia="Calibri" w:cs="Arial"/>
        </w:rPr>
        <w:t xml:space="preserve"> assessments is to ensure that children are appropriately assessed in a one-on-one setting with authentic tasks, so that they can show what they know and be better supported in their learning and development. Our primary concern</w:t>
      </w:r>
      <w:r w:rsidR="002918C8" w:rsidRPr="00237E0F">
        <w:rPr>
          <w:rFonts w:eastAsia="Calibri" w:cs="Arial"/>
        </w:rPr>
        <w:t>—</w:t>
      </w:r>
      <w:r w:rsidRPr="00237E0F">
        <w:rPr>
          <w:rFonts w:eastAsia="Calibri" w:cs="Arial"/>
        </w:rPr>
        <w:t>like that of all educators</w:t>
      </w:r>
      <w:r w:rsidR="002918C8" w:rsidRPr="00237E0F">
        <w:rPr>
          <w:rFonts w:eastAsia="Calibri" w:cs="Arial"/>
        </w:rPr>
        <w:t>—</w:t>
      </w:r>
      <w:r w:rsidRPr="00237E0F">
        <w:rPr>
          <w:rFonts w:eastAsia="Calibri" w:cs="Arial"/>
        </w:rPr>
        <w:t xml:space="preserve">must be focused on the needs of our students. The increased need for special education </w:t>
      </w:r>
      <w:proofErr w:type="gramStart"/>
      <w:r w:rsidRPr="00237E0F">
        <w:rPr>
          <w:rFonts w:eastAsia="Calibri" w:cs="Arial"/>
        </w:rPr>
        <w:t>supports</w:t>
      </w:r>
      <w:proofErr w:type="gramEnd"/>
      <w:r w:rsidRPr="00237E0F">
        <w:rPr>
          <w:rFonts w:eastAsia="Calibri" w:cs="Arial"/>
        </w:rPr>
        <w:t xml:space="preserve"> is indicated by the increase in the number of students with disabilities in our student population. </w:t>
      </w:r>
      <w:r w:rsidR="40BAD0BF" w:rsidRPr="00237E0F">
        <w:rPr>
          <w:rFonts w:eastAsia="Calibri" w:cs="Arial"/>
        </w:rPr>
        <w:t>T</w:t>
      </w:r>
      <w:r w:rsidR="40BAD0BF" w:rsidRPr="00237E0F">
        <w:rPr>
          <w:rFonts w:cs="Arial"/>
          <w:shd w:val="clear" w:color="auto" w:fill="FFFFFF"/>
        </w:rPr>
        <w:t>he</w:t>
      </w:r>
      <w:r w:rsidR="006B2409" w:rsidRPr="00237E0F">
        <w:rPr>
          <w:rFonts w:cs="Arial"/>
          <w:shd w:val="clear" w:color="auto" w:fill="FFFFFF"/>
        </w:rPr>
        <w:t xml:space="preserve"> </w:t>
      </w:r>
      <w:r w:rsidR="3CBA7F36" w:rsidRPr="00237E0F">
        <w:rPr>
          <w:rFonts w:eastAsiaTheme="majorEastAsia" w:cs="Arial"/>
          <w:bdr w:val="none" w:sz="0" w:space="0" w:color="auto" w:frame="1"/>
          <w:shd w:val="clear" w:color="auto" w:fill="FFFFFF"/>
        </w:rPr>
        <w:t>Centers for Disease Control and Prevention</w:t>
      </w:r>
      <w:r w:rsidR="006B2409" w:rsidRPr="00237E0F">
        <w:rPr>
          <w:rFonts w:eastAsiaTheme="majorEastAsia" w:cs="Arial"/>
          <w:bdr w:val="none" w:sz="0" w:space="0" w:color="auto" w:frame="1"/>
          <w:shd w:val="clear" w:color="auto" w:fill="FFFFFF"/>
        </w:rPr>
        <w:t xml:space="preserve"> (CDC) </w:t>
      </w:r>
      <w:r w:rsidR="00C1313D" w:rsidRPr="00237E0F">
        <w:rPr>
          <w:rFonts w:eastAsiaTheme="majorEastAsia" w:cs="Arial"/>
          <w:bdr w:val="none" w:sz="0" w:space="0" w:color="auto" w:frame="1"/>
          <w:shd w:val="clear" w:color="auto" w:fill="FFFFFF"/>
        </w:rPr>
        <w:t xml:space="preserve">estimates, for example, that the prevalence of autism among U.S. children has risen from 1 in 150 children in 2000 to 1 in 36 children in 2020. </w:t>
      </w:r>
      <w:r w:rsidR="003F5758" w:rsidRPr="00237E0F">
        <w:rPr>
          <w:rFonts w:eastAsiaTheme="majorEastAsia" w:cs="Arial"/>
          <w:bdr w:val="none" w:sz="0" w:space="0" w:color="auto" w:frame="1"/>
          <w:shd w:val="clear" w:color="auto" w:fill="FFFFFF"/>
        </w:rPr>
        <w:t xml:space="preserve">As reported by the </w:t>
      </w:r>
      <w:r w:rsidRPr="00237E0F">
        <w:rPr>
          <w:rFonts w:eastAsia="Calibri" w:cs="Arial"/>
          <w:shd w:val="clear" w:color="auto" w:fill="FFFFFF"/>
        </w:rPr>
        <w:t>Autism and Developmental Disabilities Monitoring Network</w:t>
      </w:r>
      <w:r w:rsidRPr="00237E0F">
        <w:rPr>
          <w:rFonts w:eastAsia="Calibri" w:cs="Arial"/>
        </w:rPr>
        <w:t>,</w:t>
      </w:r>
      <w:r w:rsidRPr="00237E0F">
        <w:rPr>
          <w:rFonts w:cs="Arial"/>
        </w:rPr>
        <w:t xml:space="preserve"> California’s rates of autism spectrum disorder are 63</w:t>
      </w:r>
      <w:r w:rsidR="2CE46EA3" w:rsidRPr="00237E0F">
        <w:rPr>
          <w:rFonts w:cs="Arial"/>
          <w:shd w:val="clear" w:color="auto" w:fill="FFFFFF"/>
        </w:rPr>
        <w:t xml:space="preserve"> percent</w:t>
      </w:r>
      <w:r w:rsidRPr="00237E0F">
        <w:rPr>
          <w:rFonts w:cs="Arial"/>
          <w:shd w:val="clear" w:color="auto" w:fill="FFFFFF"/>
        </w:rPr>
        <w:t xml:space="preserve"> higher than the national average and the</w:t>
      </w:r>
      <w:r w:rsidRPr="00237E0F">
        <w:rPr>
          <w:rFonts w:cs="Arial"/>
          <w:color w:val="455F7C"/>
          <w:shd w:val="clear" w:color="auto" w:fill="FFFFFF"/>
        </w:rPr>
        <w:t xml:space="preserve"> </w:t>
      </w:r>
      <w:r w:rsidRPr="00237E0F">
        <w:rPr>
          <w:rFonts w:cs="Arial"/>
          <w:shd w:val="clear" w:color="auto" w:fill="FFFFFF"/>
        </w:rPr>
        <w:t>highest in the nation</w:t>
      </w:r>
      <w:r w:rsidR="40BAD0BF" w:rsidRPr="00237E0F">
        <w:rPr>
          <w:rFonts w:cs="Arial"/>
          <w:shd w:val="clear" w:color="auto" w:fill="FFFFFF"/>
        </w:rPr>
        <w:t>.</w:t>
      </w:r>
      <w:r w:rsidR="00636205" w:rsidRPr="00237E0F">
        <w:rPr>
          <w:rFonts w:eastAsia="Arial" w:cs="Arial"/>
          <w:shd w:val="clear" w:color="auto" w:fill="FFFFFF"/>
        </w:rPr>
        <w:t xml:space="preserve"> </w:t>
      </w:r>
      <w:r w:rsidR="2F638573" w:rsidRPr="00237E0F">
        <w:rPr>
          <w:rFonts w:eastAsia="Arial" w:cs="Arial"/>
          <w:shd w:val="clear" w:color="auto" w:fill="FFFFFF"/>
        </w:rPr>
        <w:t xml:space="preserve">The full report can be found on the CDC web page at </w:t>
      </w:r>
      <w:hyperlink r:id="rId28" w:history="1">
        <w:r w:rsidR="00835B03" w:rsidRPr="00237E0F">
          <w:rPr>
            <w:rStyle w:val="Hyperlink"/>
          </w:rPr>
          <w:t>https://www.cdc.gov/mmwr/volumes/72/ss/ss7202a1.htm?s_cid=ss7202a1_w</w:t>
        </w:r>
      </w:hyperlink>
      <w:r w:rsidR="2F638573" w:rsidRPr="00237E0F">
        <w:rPr>
          <w:rFonts w:eastAsia="Arial" w:cs="Arial"/>
          <w:color w:val="455F7C"/>
        </w:rPr>
        <w:t>.</w:t>
      </w:r>
      <w:r w:rsidRPr="00237E0F">
        <w:rPr>
          <w:rFonts w:eastAsia="Arial" w:cs="Arial"/>
        </w:rPr>
        <w:t xml:space="preserve"> </w:t>
      </w:r>
      <w:r w:rsidR="00636205" w:rsidRPr="00237E0F">
        <w:rPr>
          <w:rFonts w:cs="Arial"/>
          <w:shd w:val="clear" w:color="auto" w:fill="FFFFFF"/>
        </w:rPr>
        <w:t>According to</w:t>
      </w:r>
      <w:r w:rsidR="39279DEC" w:rsidRPr="00237E0F">
        <w:rPr>
          <w:rFonts w:cs="Arial"/>
          <w:shd w:val="clear" w:color="auto" w:fill="FFFFFF"/>
        </w:rPr>
        <w:t xml:space="preserve"> the National </w:t>
      </w:r>
      <w:r w:rsidR="00636205" w:rsidRPr="00237E0F">
        <w:rPr>
          <w:shd w:val="clear" w:color="auto" w:fill="FFFFFF"/>
        </w:rPr>
        <w:t>Institutes of Environmental Health</w:t>
      </w:r>
      <w:r w:rsidR="002E15A6" w:rsidRPr="00237E0F">
        <w:rPr>
          <w:shd w:val="clear" w:color="auto" w:fill="FFFFFF"/>
        </w:rPr>
        <w:t xml:space="preserve"> Sciences</w:t>
      </w:r>
      <w:r w:rsidR="005B0DBB" w:rsidRPr="00237E0F">
        <w:rPr>
          <w:shd w:val="clear" w:color="auto" w:fill="FFFFFF"/>
        </w:rPr>
        <w:t xml:space="preserve"> (NIEHS)</w:t>
      </w:r>
      <w:r w:rsidR="00636205" w:rsidRPr="00237E0F">
        <w:rPr>
          <w:rFonts w:cs="Arial"/>
          <w:shd w:val="clear" w:color="auto" w:fill="FFFFFF"/>
        </w:rPr>
        <w:t>,</w:t>
      </w:r>
      <w:r w:rsidR="40BAD0BF" w:rsidRPr="00237E0F">
        <w:rPr>
          <w:rFonts w:cs="Arial"/>
        </w:rPr>
        <w:t xml:space="preserve"> these increasing </w:t>
      </w:r>
      <w:r w:rsidR="40BAD0BF" w:rsidRPr="00237E0F">
        <w:rPr>
          <w:rFonts w:cs="Arial"/>
          <w:color w:val="000000" w:themeColor="text1"/>
        </w:rPr>
        <w:t>rates of autism are associated with exposure to air pollution, pesticides, or other toxins; prematurity or very low birth weight; and parental age, nutrition, an</w:t>
      </w:r>
      <w:r w:rsidR="40BAD0BF" w:rsidRPr="00237E0F">
        <w:rPr>
          <w:rFonts w:cs="Arial"/>
        </w:rPr>
        <w:t>d health, among other things</w:t>
      </w:r>
      <w:r w:rsidR="40BAD0BF" w:rsidRPr="00237E0F">
        <w:rPr>
          <w:rFonts w:cs="Arial"/>
          <w:color w:val="455F7C"/>
        </w:rPr>
        <w:t>.</w:t>
      </w:r>
      <w:r w:rsidR="40BAD0BF" w:rsidRPr="00237E0F">
        <w:rPr>
          <w:rFonts w:cs="Arial"/>
        </w:rPr>
        <w:t xml:space="preserve"> </w:t>
      </w:r>
      <w:r w:rsidR="280F0D4A" w:rsidRPr="00237E0F">
        <w:rPr>
          <w:rFonts w:cs="Arial"/>
        </w:rPr>
        <w:t xml:space="preserve">More information can be found on the </w:t>
      </w:r>
      <w:r w:rsidR="005B0DBB" w:rsidRPr="00237E0F">
        <w:rPr>
          <w:rFonts w:cs="Arial"/>
        </w:rPr>
        <w:t>NIEHS</w:t>
      </w:r>
      <w:r w:rsidR="280F0D4A" w:rsidRPr="00237E0F">
        <w:rPr>
          <w:rFonts w:cs="Arial"/>
        </w:rPr>
        <w:t xml:space="preserve"> Autism web page at</w:t>
      </w:r>
      <w:r w:rsidR="280F0D4A" w:rsidRPr="00237E0F">
        <w:rPr>
          <w:rFonts w:cs="Arial"/>
          <w:color w:val="455F7C"/>
        </w:rPr>
        <w:t xml:space="preserve"> </w:t>
      </w:r>
      <w:hyperlink r:id="rId29" w:tooltip="This link opens the National Institutes of Environmental Health Sciences Autism web page." w:history="1">
        <w:r w:rsidR="280F0D4A" w:rsidRPr="00237E0F">
          <w:rPr>
            <w:rStyle w:val="Hyperlink"/>
            <w:rFonts w:cs="Arial"/>
          </w:rPr>
          <w:t>https://www.niehs.nih.gov/health/topics/conditions/autism</w:t>
        </w:r>
      </w:hyperlink>
      <w:r w:rsidR="280F0D4A" w:rsidRPr="00237E0F">
        <w:rPr>
          <w:rFonts w:cs="Arial"/>
          <w:color w:val="455F7C"/>
        </w:rPr>
        <w:t>.</w:t>
      </w:r>
    </w:p>
    <w:p w14:paraId="1D9ABB0D" w14:textId="7656C3E9" w:rsidR="007F528F" w:rsidRPr="00237E0F" w:rsidRDefault="007F528F" w:rsidP="006A7A3B">
      <w:pPr>
        <w:spacing w:after="240"/>
        <w:ind w:left="1440" w:right="1440"/>
        <w:rPr>
          <w:rFonts w:eastAsia="Calibri" w:cs="Arial"/>
        </w:rPr>
      </w:pPr>
      <w:r w:rsidRPr="00237E0F">
        <w:rPr>
          <w:rFonts w:eastAsia="Calibri" w:cs="Arial"/>
        </w:rPr>
        <w:t xml:space="preserve">Many of the environmental conditions associated with this increase and </w:t>
      </w:r>
      <w:proofErr w:type="gramStart"/>
      <w:r w:rsidRPr="00237E0F">
        <w:rPr>
          <w:rFonts w:eastAsia="Calibri" w:cs="Arial"/>
        </w:rPr>
        <w:t>that</w:t>
      </w:r>
      <w:proofErr w:type="gramEnd"/>
      <w:r w:rsidRPr="00237E0F">
        <w:rPr>
          <w:rFonts w:eastAsia="Calibri" w:cs="Arial"/>
        </w:rPr>
        <w:t xml:space="preserve"> of other disabilities are more pronounced for children living in poverty.</w:t>
      </w:r>
      <w:r w:rsidR="00A21519" w:rsidRPr="00237E0F">
        <w:rPr>
          <w:rFonts w:eastAsia="Calibri" w:cs="Arial"/>
        </w:rPr>
        <w:t xml:space="preserve"> </w:t>
      </w:r>
      <w:r w:rsidRPr="00237E0F">
        <w:rPr>
          <w:rFonts w:eastAsia="Calibri" w:cs="Arial"/>
        </w:rPr>
        <w:t>California schools serve a large and steadily growing proportion of socioeconomically disadvantaged students</w:t>
      </w:r>
      <w:r w:rsidR="00A21519" w:rsidRPr="00237E0F">
        <w:rPr>
          <w:rFonts w:eastAsia="Calibri" w:cs="Arial"/>
        </w:rPr>
        <w:t>—</w:t>
      </w:r>
      <w:r w:rsidRPr="00237E0F">
        <w:rPr>
          <w:rFonts w:eastAsia="Calibri" w:cs="Arial"/>
        </w:rPr>
        <w:t>the proportion of tested students who are low-income increased from 58</w:t>
      </w:r>
      <w:r w:rsidR="73A72117" w:rsidRPr="00237E0F">
        <w:rPr>
          <w:rFonts w:eastAsia="Calibri" w:cs="Arial"/>
        </w:rPr>
        <w:t xml:space="preserve"> percent</w:t>
      </w:r>
      <w:r w:rsidRPr="00237E0F">
        <w:rPr>
          <w:rFonts w:eastAsia="Calibri" w:cs="Arial"/>
        </w:rPr>
        <w:t xml:space="preserve"> to 63</w:t>
      </w:r>
      <w:r w:rsidR="2D61385C" w:rsidRPr="00237E0F">
        <w:rPr>
          <w:rFonts w:eastAsia="Calibri" w:cs="Arial"/>
        </w:rPr>
        <w:t xml:space="preserve"> percent</w:t>
      </w:r>
      <w:r w:rsidRPr="00237E0F">
        <w:rPr>
          <w:rFonts w:eastAsia="Calibri" w:cs="Arial"/>
        </w:rPr>
        <w:t xml:space="preserve"> in the four years from 2019 and 2023</w:t>
      </w:r>
      <w:r w:rsidR="00A21519" w:rsidRPr="00237E0F">
        <w:rPr>
          <w:rFonts w:eastAsia="Calibri" w:cs="Arial"/>
        </w:rPr>
        <w:t>—</w:t>
      </w:r>
      <w:r w:rsidRPr="00237E0F">
        <w:rPr>
          <w:rFonts w:eastAsia="Calibri" w:cs="Arial"/>
        </w:rPr>
        <w:t>which also impacts the proportion of students identified as students with disabilities. Research consistently indicates a correlation between poverty and student identification for special education programs. This association is complex, influenced by factors such as less access to maternal and child nutrition and healthcare, environmental stressors associated with poverty, and limited access to early childhood education. While California has taken steps to ensure the appropriate assessment of all students</w:t>
      </w:r>
      <w:r w:rsidR="00A21519" w:rsidRPr="00237E0F">
        <w:rPr>
          <w:rFonts w:eastAsia="Calibri" w:cs="Arial"/>
        </w:rPr>
        <w:t>—</w:t>
      </w:r>
      <w:r w:rsidRPr="00237E0F">
        <w:rPr>
          <w:rFonts w:eastAsia="Calibri" w:cs="Arial"/>
        </w:rPr>
        <w:t>including its students with disabilities</w:t>
      </w:r>
      <w:r w:rsidR="00A21519" w:rsidRPr="00237E0F">
        <w:rPr>
          <w:rFonts w:eastAsia="Calibri" w:cs="Arial"/>
        </w:rPr>
        <w:t>—</w:t>
      </w:r>
      <w:r w:rsidRPr="00237E0F">
        <w:rPr>
          <w:rFonts w:eastAsia="Calibri" w:cs="Arial"/>
        </w:rPr>
        <w:t xml:space="preserve">by </w:t>
      </w:r>
      <w:r w:rsidRPr="00237E0F">
        <w:rPr>
          <w:rFonts w:eastAsia="Calibri" w:cs="Arial"/>
        </w:rPr>
        <w:lastRenderedPageBreak/>
        <w:t>making assessments more accessible, we want to ensure that students who need access to alternate assessments are able to participate in them, so all California students can demonstrate what they know.</w:t>
      </w:r>
    </w:p>
    <w:p w14:paraId="2C62186F" w14:textId="5218688B" w:rsidR="00CD45D9" w:rsidRPr="00F44C3C" w:rsidRDefault="00CD45D9" w:rsidP="00CD45D9">
      <w:pPr>
        <w:spacing w:after="240"/>
        <w:ind w:left="1440" w:right="1440"/>
        <w:rPr>
          <w:rFonts w:eastAsia="Calibri" w:cs="Arial"/>
        </w:rPr>
      </w:pPr>
      <w:r w:rsidRPr="00237E0F">
        <w:rPr>
          <w:rFonts w:eastAsia="Calibri" w:cs="Arial"/>
        </w:rPr>
        <w:t xml:space="preserve">Recognizing the tension between students’ needs, educators’ concerns to understand </w:t>
      </w:r>
      <w:r w:rsidR="004409F6" w:rsidRPr="00237E0F">
        <w:rPr>
          <w:rFonts w:eastAsia="Calibri" w:cs="Arial"/>
        </w:rPr>
        <w:t xml:space="preserve">true </w:t>
      </w:r>
      <w:r w:rsidR="00A21519" w:rsidRPr="00237E0F">
        <w:rPr>
          <w:rFonts w:eastAsia="Calibri" w:cs="Arial"/>
        </w:rPr>
        <w:t>student</w:t>
      </w:r>
      <w:r w:rsidRPr="00237E0F">
        <w:rPr>
          <w:rFonts w:eastAsia="Calibri" w:cs="Arial"/>
        </w:rPr>
        <w:t xml:space="preserve"> learning, and the administration of the federal rule, CDE continues to implement system improvements and monitor future administrations to avoid exceeding the 1.0 percent cap. Consistent with the plan submitted in its 2023</w:t>
      </w:r>
      <w:r w:rsidR="00A21519" w:rsidRPr="00237E0F">
        <w:rPr>
          <w:rFonts w:eastAsia="Calibri" w:cs="Arial"/>
        </w:rPr>
        <w:t>–</w:t>
      </w:r>
      <w:r w:rsidRPr="00237E0F">
        <w:rPr>
          <w:rFonts w:eastAsia="Calibri" w:cs="Arial"/>
        </w:rPr>
        <w:t>24 waiver request,</w:t>
      </w:r>
      <w:r>
        <w:rPr>
          <w:rFonts w:eastAsia="Calibri" w:cs="Arial"/>
        </w:rPr>
        <w:t xml:space="preserve"> </w:t>
      </w:r>
    </w:p>
    <w:p w14:paraId="6D148880" w14:textId="77777777" w:rsidR="00F44C3C" w:rsidRPr="00F44C3C" w:rsidRDefault="00F44C3C" w:rsidP="00F44C3C">
      <w:pPr>
        <w:numPr>
          <w:ilvl w:val="0"/>
          <w:numId w:val="14"/>
        </w:numPr>
        <w:spacing w:after="240"/>
        <w:ind w:left="2160" w:right="1440"/>
        <w:rPr>
          <w:rFonts w:eastAsia="Calibri" w:cs="Arial"/>
        </w:rPr>
      </w:pPr>
      <w:r w:rsidRPr="00F44C3C">
        <w:rPr>
          <w:rFonts w:eastAsia="Calibri" w:cs="Arial"/>
        </w:rPr>
        <w:t>CDE continues to improve the implementation of its guidelines for participation in the AA-AAAS, including reviewing the definition of students with the most significant cognitive disabilities so that the state meets the 1.0 percent cap requirement in each subject for which assessments are administered in future school years.</w:t>
      </w:r>
    </w:p>
    <w:p w14:paraId="47C5992D" w14:textId="77777777" w:rsidR="00F44C3C" w:rsidRPr="00F44C3C" w:rsidRDefault="00F44C3C" w:rsidP="00F44C3C">
      <w:pPr>
        <w:spacing w:after="240"/>
        <w:ind w:left="2160" w:right="1440"/>
        <w:rPr>
          <w:rFonts w:eastAsia="Calibri" w:cs="Arial"/>
        </w:rPr>
      </w:pPr>
      <w:r w:rsidRPr="00F44C3C">
        <w:rPr>
          <w:rFonts w:eastAsia="Calibri" w:cs="Arial"/>
        </w:rPr>
        <w:t xml:space="preserve">With feedback from interest holders, an updated Alternate Assessment Decision Confirmation Worksheet was posted in May 2024 on CDE California Alternate Assessments (CAAs) for English Language Art/Literacy (ELA) and Mathematics web page at </w:t>
      </w:r>
      <w:hyperlink r:id="rId30" w:tooltip="This link opens the CDE California Alternate Assessments for ELA and Mathematics web page.">
        <w:r w:rsidRPr="00F44C3C">
          <w:rPr>
            <w:rFonts w:eastAsia="Calibri" w:cs="Arial"/>
            <w:color w:val="0000FF"/>
            <w:u w:val="single"/>
          </w:rPr>
          <w:t>https://www.cde.ca.gov/ta/tg/ca/altassessment.asp</w:t>
        </w:r>
      </w:hyperlink>
      <w:r w:rsidRPr="00F44C3C">
        <w:rPr>
          <w:rFonts w:eastAsia="Calibri" w:cs="Arial"/>
        </w:rPr>
        <w:t xml:space="preserve"> and on the CDE CAA for Science web page at </w:t>
      </w:r>
      <w:hyperlink r:id="rId31" w:tooltip="This link opens the CDE CAA for Science web page.">
        <w:r w:rsidRPr="00F44C3C">
          <w:rPr>
            <w:rFonts w:eastAsia="Calibri" w:cs="Arial"/>
            <w:color w:val="0000FF"/>
            <w:u w:val="single"/>
          </w:rPr>
          <w:t>https://www.cde.ca.gov/ta/tg/ca/caascience.asp</w:t>
        </w:r>
      </w:hyperlink>
      <w:r w:rsidRPr="008F4588">
        <w:rPr>
          <w:rFonts w:eastAsia="Calibri" w:cs="Arial"/>
        </w:rPr>
        <w:t>.</w:t>
      </w:r>
      <w:r w:rsidRPr="00F44C3C">
        <w:rPr>
          <w:rFonts w:eastAsia="Calibri" w:cs="Arial"/>
        </w:rPr>
        <w:t xml:space="preserve"> CDE continues to expand and leverage existing outreach efforts to local educational agencies (LEAs)—such as workshops, conferences, newsletters, and other communications—to promote understanding and use of this decision-making tool. To date, this worksheet has been shared at CDE’s Pretest Workshop, the California Assessment Conference, the California Association of Bilingual Educators Conference, the California Association of Resource Specialists and Special Education Teachers, the California All Titles Conference, as well as the National Center on Educational Outcomes Conference.</w:t>
      </w:r>
    </w:p>
    <w:p w14:paraId="029224CC" w14:textId="77777777" w:rsidR="00F44C3C" w:rsidRPr="00F44C3C" w:rsidRDefault="00F44C3C" w:rsidP="00F44C3C">
      <w:pPr>
        <w:spacing w:after="240"/>
        <w:ind w:left="2160" w:right="1440"/>
        <w:rPr>
          <w:rFonts w:eastAsia="Calibri" w:cs="Arial"/>
        </w:rPr>
      </w:pPr>
      <w:r w:rsidRPr="00F44C3C">
        <w:rPr>
          <w:rFonts w:eastAsia="Calibri" w:cs="Arial"/>
        </w:rPr>
        <w:t xml:space="preserve">CDE continues to monitor and regularly evaluate each LEA to ensure that the LEA provides sufficient training to school staff who participate as members of an Individualized Education Program (IEP) team or other placement team to understand and implement the guidelines established by the state for participation in an AA-AAAS and that all students are appropriately assessed. </w:t>
      </w:r>
    </w:p>
    <w:p w14:paraId="3B9A6A98" w14:textId="77777777" w:rsidR="00F44C3C" w:rsidRPr="00F44C3C" w:rsidRDefault="00F44C3C" w:rsidP="00F44C3C">
      <w:pPr>
        <w:spacing w:after="240"/>
        <w:ind w:left="2160" w:right="1440"/>
        <w:rPr>
          <w:rFonts w:eastAsia="Calibri" w:cs="Arial"/>
        </w:rPr>
      </w:pPr>
      <w:r w:rsidRPr="00F44C3C">
        <w:rPr>
          <w:rFonts w:eastAsia="Calibri" w:cs="Arial"/>
        </w:rPr>
        <w:t xml:space="preserve">California’s special education monitoring framework uses a tiered system that differentiates the level of monitoring and technical assistance for each LEA to determine the LEA’s need for support and intervention. At the core of the monitoring framework is the Compliance and Improvement Monitoring (CIM) process. LEAs in Targeted or Intensive Monitoring Levels for performance are required to participate in and complete the CIM process as part of their ongoing, annual monitoring activity. The CIM process is a series of steps and activities which identify LEAs that need assistance with correction, improvement, and the development of an integrated action plan to address the identified problems of </w:t>
      </w:r>
      <w:r w:rsidRPr="00F44C3C">
        <w:rPr>
          <w:rFonts w:eastAsia="Calibri" w:cs="Arial"/>
        </w:rPr>
        <w:lastRenderedPageBreak/>
        <w:t xml:space="preserve">practice. LEAs identified with a disproportionate number of students assigned the CAAs participate in and complete the CIM process. </w:t>
      </w:r>
    </w:p>
    <w:p w14:paraId="2DF823D0" w14:textId="77777777" w:rsidR="00F44C3C" w:rsidRPr="00F44C3C" w:rsidRDefault="00F44C3C" w:rsidP="00F44C3C">
      <w:pPr>
        <w:spacing w:after="240"/>
        <w:ind w:left="2160" w:right="1440"/>
        <w:rPr>
          <w:rFonts w:eastAsia="Calibri" w:cs="Arial"/>
        </w:rPr>
      </w:pPr>
      <w:r w:rsidRPr="00F44C3C">
        <w:rPr>
          <w:rFonts w:eastAsia="Calibri" w:cs="Arial"/>
        </w:rPr>
        <w:t xml:space="preserve">In addition, current CDE procedures require all LEAs to submit a response to the annual 1.0 Percent Justification Survey regardless of whether they have exceeded the threshold. In the 2021–22 school year, over 500 LEAs (approximately 25 percent of all LEAs) did not complete the 1.0 Percent Justification Survey. Through the outreach efforts of CDE and its testing contractor, the 1.0 Percent Justification Survey response rate has been improved to only 92 LEAs (approximately 4 percent of all LEAs) not completing the survey in the 2023–24 school year. </w:t>
      </w:r>
    </w:p>
    <w:p w14:paraId="23829DD5" w14:textId="77777777" w:rsidR="00F44C3C" w:rsidRPr="00F44C3C" w:rsidRDefault="00F44C3C" w:rsidP="00F44C3C">
      <w:pPr>
        <w:spacing w:after="240"/>
        <w:ind w:left="2160" w:right="1440"/>
        <w:rPr>
          <w:rFonts w:eastAsia="Calibri" w:cs="Arial"/>
        </w:rPr>
      </w:pPr>
      <w:r w:rsidRPr="00F44C3C">
        <w:rPr>
          <w:rFonts w:eastAsia="Calibri" w:cs="Arial"/>
        </w:rPr>
        <w:t xml:space="preserve">CDE engaged with LEAs that exceeded the 1.0 percent threshold during the 2023–24 administration. That engagement includes, but is not limited to, the dissemination of information on the appropriate identification of students, the dissemination of general IEP team guidance, the use of targeted strategies for confirming and reducing participation rates in the alternate assessment, and the use of potential findings of noncompliance. </w:t>
      </w:r>
    </w:p>
    <w:p w14:paraId="64EDC1DA" w14:textId="77777777" w:rsidR="00F44C3C" w:rsidRPr="00F44C3C" w:rsidRDefault="00F44C3C" w:rsidP="00F44C3C">
      <w:pPr>
        <w:spacing w:after="240"/>
        <w:ind w:left="2160" w:right="1440"/>
        <w:rPr>
          <w:rFonts w:eastAsia="Calibri" w:cs="Arial"/>
        </w:rPr>
      </w:pPr>
      <w:r w:rsidRPr="00F44C3C">
        <w:rPr>
          <w:rFonts w:eastAsia="Calibri" w:cs="Arial"/>
        </w:rPr>
        <w:t>In addition, starting in September 2024, CDE will implement a new reporting feature on the home page of the LEA Test Operations Management System (TOMS) that displays the percentage of students assigned the alternate assessment over the prior three years at the LEA and state level. This longitudinal data will provide LEA testing coordinators quick and easy access to metrics to help them identify trends in their assignment of the alternate assessment and note where more than 1.0 percent of the students are assigned the alternate assessment. The 1.0 Percent Justification Survey will be linked alongside this report, helping LEAs understand the considerations surrounding appropriate test assignment.</w:t>
      </w:r>
    </w:p>
    <w:p w14:paraId="1032C15C" w14:textId="77777777" w:rsidR="00F44C3C" w:rsidRPr="00F44C3C" w:rsidRDefault="00F44C3C" w:rsidP="00F44C3C">
      <w:pPr>
        <w:numPr>
          <w:ilvl w:val="0"/>
          <w:numId w:val="14"/>
        </w:numPr>
        <w:spacing w:after="240"/>
        <w:ind w:left="2160" w:right="1440"/>
        <w:rPr>
          <w:rFonts w:eastAsia="Calibri" w:cs="Arial"/>
        </w:rPr>
      </w:pPr>
      <w:r w:rsidRPr="00F44C3C">
        <w:rPr>
          <w:rFonts w:eastAsia="Calibri" w:cs="Arial"/>
        </w:rPr>
        <w:t>CDE continues to address any disproportionality in the percentage of students taking an AA-AAAS.</w:t>
      </w:r>
    </w:p>
    <w:p w14:paraId="06308EE3" w14:textId="3212A297" w:rsidR="00F44C3C" w:rsidRPr="00F44C3C" w:rsidRDefault="00F44C3C" w:rsidP="00F44C3C">
      <w:pPr>
        <w:spacing w:after="240"/>
        <w:ind w:left="2160" w:right="1440"/>
        <w:rPr>
          <w:rFonts w:eastAsia="Calibri" w:cs="Arial"/>
        </w:rPr>
      </w:pPr>
      <w:r w:rsidRPr="00F44C3C">
        <w:rPr>
          <w:rFonts w:eastAsia="Calibri" w:cs="Arial"/>
        </w:rPr>
        <w:t xml:space="preserve">To determine a risk for disproportionality, CDE continues to examine the participation in the CAAs of each subgroup compared to the participation in the CAAs of students not in the subgroup. The analysis of this risk helps identify whether any of the subgroups are more likely than others not in the subgroup to participate in the CAAs. The analysis for the 2023–24 administration is expected to be completed in October 2024 and will provide CDE with anticipated participation and the potential risk of disproportionality of student subgroups taking the CAAs. In turn, the information will be used to provide the basis for engaging affected LEAs to provide oversight and monitoring through the implementation of CDE’s monitoring requirements under 34 </w:t>
      </w:r>
      <w:r w:rsidRPr="00F44C3C">
        <w:rPr>
          <w:rFonts w:eastAsia="Calibri" w:cs="Arial"/>
          <w:i/>
          <w:iCs/>
        </w:rPr>
        <w:t>C</w:t>
      </w:r>
      <w:r w:rsidR="008F4588">
        <w:rPr>
          <w:rFonts w:eastAsia="Calibri" w:cs="Arial"/>
          <w:i/>
          <w:iCs/>
        </w:rPr>
        <w:t>ode of Federal Regulations</w:t>
      </w:r>
      <w:r w:rsidRPr="00F44C3C">
        <w:rPr>
          <w:rFonts w:eastAsia="Calibri" w:cs="Arial"/>
        </w:rPr>
        <w:t>, Section 300.600.</w:t>
      </w:r>
    </w:p>
    <w:p w14:paraId="0FE6513E" w14:textId="77777777" w:rsidR="00F44C3C" w:rsidRPr="00F44C3C" w:rsidRDefault="00F44C3C" w:rsidP="00F44C3C">
      <w:pPr>
        <w:spacing w:after="240"/>
        <w:ind w:left="2160" w:right="1440"/>
        <w:rPr>
          <w:rFonts w:eastAsia="Calibri" w:cs="Arial"/>
        </w:rPr>
      </w:pPr>
      <w:r w:rsidRPr="00F44C3C">
        <w:rPr>
          <w:rFonts w:eastAsia="Calibri" w:cs="Arial"/>
        </w:rPr>
        <w:lastRenderedPageBreak/>
        <w:t xml:space="preserve">Following the analysis of 2023–24 administration data, CDE will be able to make more definitive statements regarding California’s progress in reducing the percentage of students tested with the alternate assessments, including an analysis of the proportion of various student groups participating in the alternate assessments. These statements will be validated by CDE </w:t>
      </w:r>
      <w:proofErr w:type="spellStart"/>
      <w:r w:rsidRPr="00F44C3C">
        <w:rPr>
          <w:rFonts w:eastAsia="Calibri" w:cs="Arial"/>
        </w:rPr>
        <w:t>EDFacts</w:t>
      </w:r>
      <w:proofErr w:type="spellEnd"/>
      <w:r w:rsidRPr="00F44C3C">
        <w:rPr>
          <w:rFonts w:eastAsia="Calibri" w:cs="Arial"/>
        </w:rPr>
        <w:t xml:space="preserve"> assessment participation data submission, which will be submitted to ED later this year.</w:t>
      </w:r>
    </w:p>
    <w:p w14:paraId="11C76289" w14:textId="77777777" w:rsidR="00F44C3C" w:rsidRPr="00F44C3C" w:rsidRDefault="00F44C3C" w:rsidP="00F44C3C">
      <w:pPr>
        <w:spacing w:after="240"/>
        <w:ind w:left="1440" w:right="1440"/>
        <w:rPr>
          <w:rFonts w:eastAsia="Calibri" w:cs="Arial"/>
        </w:rPr>
      </w:pPr>
      <w:r w:rsidRPr="00F44C3C">
        <w:rPr>
          <w:rFonts w:eastAsia="Calibri" w:cs="Arial"/>
        </w:rPr>
        <w:t xml:space="preserve">California has and will continue to work with our LEA partners and interest holders to ensure maximum participation rates and that every student is taking the most appropriate assessment based on individual needs. Although California narrowly exceeded the 1.0 percent threshold set by ED, it asserts that students who took the AA-AAAS-based assessments were tested appropriately and in compliance with federal law as determined by each student’s IEP team. This is a discussion that takes place at the local level and considers individual student needs as required by the Individuals with Disabilities Education Act and/or Section 504 of the Rehabilitation Act of 1973. </w:t>
      </w:r>
    </w:p>
    <w:p w14:paraId="291BDF4A" w14:textId="77777777" w:rsidR="00F44C3C" w:rsidRDefault="00F44C3C" w:rsidP="008F4588">
      <w:pPr>
        <w:keepNext/>
        <w:keepLines/>
        <w:spacing w:before="40" w:after="240" w:line="259" w:lineRule="auto"/>
        <w:ind w:left="1440" w:right="1440"/>
        <w:outlineLvl w:val="3"/>
        <w:rPr>
          <w:rFonts w:eastAsiaTheme="majorEastAsia" w:cs="Arial"/>
          <w:b/>
        </w:rPr>
      </w:pPr>
      <w:r w:rsidRPr="00F44C3C">
        <w:rPr>
          <w:rFonts w:eastAsiaTheme="majorEastAsia" w:cs="Arial"/>
          <w:b/>
        </w:rPr>
        <w:t>Table 1. Update to California’s Plan and Timeline</w:t>
      </w:r>
    </w:p>
    <w:tbl>
      <w:tblPr>
        <w:tblStyle w:val="TableGrid1"/>
        <w:tblW w:w="3790" w:type="pct"/>
        <w:tblInd w:w="1435" w:type="dxa"/>
        <w:tblLayout w:type="fixed"/>
        <w:tblLook w:val="04A0" w:firstRow="1" w:lastRow="0" w:firstColumn="1" w:lastColumn="0" w:noHBand="0" w:noVBand="1"/>
        <w:tblCaption w:val="California’s Timeline "/>
        <w:tblDescription w:val="This table display California’s Timeline."/>
      </w:tblPr>
      <w:tblGrid>
        <w:gridCol w:w="4318"/>
        <w:gridCol w:w="2521"/>
        <w:gridCol w:w="2431"/>
      </w:tblGrid>
      <w:tr w:rsidR="00186FF6" w:rsidRPr="00F44C3C" w14:paraId="43B88132" w14:textId="77777777" w:rsidTr="00186FF6">
        <w:trPr>
          <w:cantSplit/>
          <w:tblHeader/>
        </w:trPr>
        <w:tc>
          <w:tcPr>
            <w:tcW w:w="2329" w:type="pct"/>
            <w:shd w:val="clear" w:color="auto" w:fill="D9D9D9" w:themeFill="background1" w:themeFillShade="D9"/>
            <w:tcMar>
              <w:top w:w="58" w:type="dxa"/>
              <w:left w:w="115" w:type="dxa"/>
              <w:bottom w:w="58" w:type="dxa"/>
              <w:right w:w="115" w:type="dxa"/>
            </w:tcMar>
            <w:vAlign w:val="center"/>
          </w:tcPr>
          <w:p w14:paraId="74D5D395" w14:textId="77777777" w:rsidR="00186FF6" w:rsidRPr="00F44C3C" w:rsidRDefault="00186FF6">
            <w:pPr>
              <w:ind w:right="-15"/>
              <w:jc w:val="center"/>
              <w:rPr>
                <w:rFonts w:eastAsia="Arial" w:cs="Arial"/>
                <w:color w:val="000000"/>
              </w:rPr>
            </w:pPr>
            <w:r w:rsidRPr="00F44C3C">
              <w:rPr>
                <w:rFonts w:eastAsia="Arial" w:cs="Arial"/>
                <w:b/>
                <w:bCs/>
                <w:color w:val="000000"/>
              </w:rPr>
              <w:t>Description of Activity</w:t>
            </w:r>
          </w:p>
        </w:tc>
        <w:tc>
          <w:tcPr>
            <w:tcW w:w="1360" w:type="pct"/>
            <w:shd w:val="clear" w:color="auto" w:fill="D9D9D9" w:themeFill="background1" w:themeFillShade="D9"/>
            <w:tcMar>
              <w:top w:w="58" w:type="dxa"/>
              <w:left w:w="115" w:type="dxa"/>
              <w:bottom w:w="58" w:type="dxa"/>
              <w:right w:w="115" w:type="dxa"/>
            </w:tcMar>
            <w:vAlign w:val="center"/>
          </w:tcPr>
          <w:p w14:paraId="4A22EF31" w14:textId="789ED085" w:rsidR="00186FF6" w:rsidRPr="00B15AE3" w:rsidRDefault="00186FF6">
            <w:pPr>
              <w:ind w:right="-18"/>
              <w:jc w:val="center"/>
              <w:rPr>
                <w:rFonts w:eastAsia="Arial" w:cs="Arial"/>
                <w:color w:val="000000"/>
              </w:rPr>
            </w:pPr>
            <w:r w:rsidRPr="00B15AE3">
              <w:rPr>
                <w:rFonts w:eastAsia="Arial" w:cs="Arial"/>
                <w:b/>
                <w:bCs/>
                <w:color w:val="000000"/>
              </w:rPr>
              <w:t>Condition Requirements for F</w:t>
            </w:r>
            <w:r w:rsidR="008042BA" w:rsidRPr="00B15AE3">
              <w:rPr>
                <w:rFonts w:eastAsia="Arial" w:cs="Arial"/>
                <w:b/>
                <w:bCs/>
                <w:color w:val="000000"/>
              </w:rPr>
              <w:t>iscal Year</w:t>
            </w:r>
            <w:r w:rsidRPr="00B15AE3">
              <w:rPr>
                <w:rFonts w:eastAsia="Arial" w:cs="Arial"/>
                <w:b/>
                <w:bCs/>
                <w:color w:val="000000"/>
              </w:rPr>
              <w:t xml:space="preserve"> 2023 Title, Part A </w:t>
            </w:r>
            <w:r w:rsidR="008042BA" w:rsidRPr="00B15AE3">
              <w:rPr>
                <w:rFonts w:eastAsia="Arial" w:cs="Arial"/>
                <w:b/>
                <w:bCs/>
                <w:color w:val="000000"/>
              </w:rPr>
              <w:t>G</w:t>
            </w:r>
            <w:r w:rsidRPr="00B15AE3">
              <w:rPr>
                <w:rFonts w:eastAsia="Arial" w:cs="Arial"/>
                <w:b/>
                <w:bCs/>
                <w:color w:val="000000"/>
              </w:rPr>
              <w:t xml:space="preserve">rant </w:t>
            </w:r>
            <w:r w:rsidR="008042BA" w:rsidRPr="00B15AE3">
              <w:rPr>
                <w:rFonts w:eastAsia="Arial" w:cs="Arial"/>
                <w:b/>
                <w:bCs/>
                <w:color w:val="000000"/>
              </w:rPr>
              <w:t>A</w:t>
            </w:r>
            <w:r w:rsidRPr="00B15AE3">
              <w:rPr>
                <w:rFonts w:eastAsia="Arial" w:cs="Arial"/>
                <w:b/>
                <w:bCs/>
                <w:color w:val="000000"/>
              </w:rPr>
              <w:t>ward Completion Period and Status</w:t>
            </w:r>
          </w:p>
        </w:tc>
        <w:tc>
          <w:tcPr>
            <w:tcW w:w="1311" w:type="pct"/>
            <w:shd w:val="clear" w:color="auto" w:fill="D9D9D9" w:themeFill="background1" w:themeFillShade="D9"/>
            <w:tcMar>
              <w:top w:w="58" w:type="dxa"/>
              <w:left w:w="115" w:type="dxa"/>
              <w:bottom w:w="58" w:type="dxa"/>
              <w:right w:w="115" w:type="dxa"/>
            </w:tcMar>
            <w:vAlign w:val="center"/>
          </w:tcPr>
          <w:p w14:paraId="393F1294" w14:textId="2C92C515" w:rsidR="00186FF6" w:rsidRPr="00B15AE3" w:rsidRDefault="00186FF6">
            <w:pPr>
              <w:ind w:right="-5"/>
              <w:jc w:val="center"/>
              <w:rPr>
                <w:rFonts w:eastAsia="Arial" w:cs="Arial"/>
                <w:b/>
                <w:bCs/>
                <w:color w:val="000000"/>
              </w:rPr>
            </w:pPr>
            <w:r w:rsidRPr="00B15AE3">
              <w:rPr>
                <w:rFonts w:eastAsia="Arial" w:cs="Arial"/>
                <w:b/>
                <w:color w:val="000000" w:themeColor="text1"/>
              </w:rPr>
              <w:t>2023</w:t>
            </w:r>
            <w:r w:rsidR="00534562" w:rsidRPr="00B15AE3">
              <w:rPr>
                <w:rFonts w:eastAsia="Arial" w:cs="Arial"/>
                <w:b/>
                <w:color w:val="000000" w:themeColor="text1"/>
              </w:rPr>
              <w:t>–</w:t>
            </w:r>
            <w:r w:rsidRPr="00B15AE3">
              <w:rPr>
                <w:rFonts w:eastAsia="Arial" w:cs="Arial"/>
                <w:b/>
                <w:color w:val="000000" w:themeColor="text1"/>
              </w:rPr>
              <w:t xml:space="preserve">24 </w:t>
            </w:r>
            <w:r w:rsidR="00534562" w:rsidRPr="00B15AE3">
              <w:rPr>
                <w:rFonts w:eastAsia="Arial" w:cs="Arial"/>
                <w:b/>
                <w:color w:val="000000" w:themeColor="text1"/>
              </w:rPr>
              <w:t>S</w:t>
            </w:r>
            <w:r w:rsidRPr="00B15AE3">
              <w:rPr>
                <w:rFonts w:eastAsia="Arial" w:cs="Arial"/>
                <w:b/>
                <w:color w:val="000000" w:themeColor="text1"/>
              </w:rPr>
              <w:t xml:space="preserve">chool </w:t>
            </w:r>
            <w:r w:rsidR="00534562" w:rsidRPr="00B15AE3">
              <w:rPr>
                <w:rFonts w:eastAsia="Arial" w:cs="Arial"/>
                <w:b/>
                <w:color w:val="000000" w:themeColor="text1"/>
              </w:rPr>
              <w:t>Y</w:t>
            </w:r>
            <w:r w:rsidRPr="00B15AE3">
              <w:rPr>
                <w:rFonts w:eastAsia="Arial" w:cs="Arial"/>
                <w:b/>
                <w:color w:val="000000" w:themeColor="text1"/>
              </w:rPr>
              <w:t xml:space="preserve">ear </w:t>
            </w:r>
            <w:r w:rsidR="00534562" w:rsidRPr="00B15AE3">
              <w:rPr>
                <w:rFonts w:eastAsia="Arial" w:cs="Arial"/>
                <w:b/>
                <w:color w:val="000000" w:themeColor="text1"/>
              </w:rPr>
              <w:t>W</w:t>
            </w:r>
            <w:r w:rsidRPr="00B15AE3">
              <w:rPr>
                <w:rFonts w:eastAsia="Arial" w:cs="Arial"/>
                <w:b/>
                <w:color w:val="000000" w:themeColor="text1"/>
              </w:rPr>
              <w:t>aiver Anticipated Completion Period and Status</w:t>
            </w:r>
          </w:p>
        </w:tc>
      </w:tr>
      <w:tr w:rsidR="00186FF6" w:rsidRPr="00F44C3C" w14:paraId="4C6948EC" w14:textId="77777777" w:rsidTr="00186FF6">
        <w:trPr>
          <w:cantSplit/>
        </w:trPr>
        <w:tc>
          <w:tcPr>
            <w:tcW w:w="2329" w:type="pct"/>
            <w:tcMar>
              <w:top w:w="58" w:type="dxa"/>
              <w:left w:w="115" w:type="dxa"/>
              <w:bottom w:w="58" w:type="dxa"/>
              <w:right w:w="115" w:type="dxa"/>
            </w:tcMar>
          </w:tcPr>
          <w:p w14:paraId="1841354E" w14:textId="77777777" w:rsidR="00186FF6" w:rsidRPr="00F44C3C" w:rsidRDefault="00186FF6">
            <w:pPr>
              <w:numPr>
                <w:ilvl w:val="0"/>
                <w:numId w:val="12"/>
              </w:numPr>
              <w:ind w:left="516"/>
              <w:rPr>
                <w:rFonts w:eastAsia="MS Mincho" w:cs="Arial"/>
                <w:color w:val="000000"/>
              </w:rPr>
            </w:pPr>
            <w:r w:rsidRPr="00F44C3C">
              <w:rPr>
                <w:rFonts w:eastAsia="Arial" w:cs="Arial"/>
                <w:color w:val="000000"/>
              </w:rPr>
              <w:t xml:space="preserve">Notification to LEA superintendents about the requirement to test all students and the importance of reporting and providing justification for potentially exceeding the 1.0 percent threshold; Administration of the 1.0 Percent Threshold Survey to LEAs </w:t>
            </w:r>
            <w:hyperlink r:id="rId32" w:tooltip="This link opens the CDE 1.0 Percent Threshold on Alternate Assessments web page.">
              <w:r w:rsidRPr="00F44C3C">
                <w:rPr>
                  <w:rFonts w:eastAsia="Arial" w:cs="Arial"/>
                  <w:color w:val="0000FF"/>
                  <w:u w:val="single"/>
                </w:rPr>
                <w:t>https://www.cde.ca.gov/ta/tg/ca/caaonepercent.asp</w:t>
              </w:r>
            </w:hyperlink>
          </w:p>
        </w:tc>
        <w:tc>
          <w:tcPr>
            <w:tcW w:w="1360" w:type="pct"/>
            <w:tcMar>
              <w:top w:w="58" w:type="dxa"/>
              <w:left w:w="115" w:type="dxa"/>
              <w:bottom w:w="58" w:type="dxa"/>
              <w:right w:w="115" w:type="dxa"/>
            </w:tcMar>
            <w:vAlign w:val="center"/>
          </w:tcPr>
          <w:p w14:paraId="18A6B885" w14:textId="77777777" w:rsidR="00186FF6" w:rsidRPr="00B15AE3" w:rsidRDefault="00186FF6">
            <w:pPr>
              <w:ind w:right="-18"/>
              <w:jc w:val="center"/>
              <w:rPr>
                <w:rFonts w:eastAsia="Arial" w:cs="Arial"/>
                <w:color w:val="000000"/>
              </w:rPr>
            </w:pPr>
            <w:r w:rsidRPr="00B15AE3">
              <w:rPr>
                <w:rFonts w:eastAsia="Arial" w:cs="Arial"/>
                <w:color w:val="000000"/>
              </w:rPr>
              <w:t>October 2022–January 2023</w:t>
            </w:r>
          </w:p>
          <w:p w14:paraId="4F018F39" w14:textId="77777777" w:rsidR="00186FF6" w:rsidRPr="00B15AE3" w:rsidRDefault="00186FF6">
            <w:pPr>
              <w:ind w:right="-18"/>
              <w:jc w:val="center"/>
              <w:rPr>
                <w:rFonts w:eastAsia="Arial" w:cs="Arial"/>
                <w:color w:val="000000"/>
              </w:rPr>
            </w:pPr>
          </w:p>
          <w:p w14:paraId="09E04D6F" w14:textId="77777777" w:rsidR="00186FF6" w:rsidRPr="00B15AE3" w:rsidRDefault="00186FF6">
            <w:pPr>
              <w:ind w:right="-18"/>
              <w:jc w:val="center"/>
              <w:rPr>
                <w:rFonts w:eastAsia="Arial" w:cs="Arial"/>
                <w:color w:val="000000"/>
              </w:rPr>
            </w:pPr>
            <w:r w:rsidRPr="00B15AE3">
              <w:rPr>
                <w:rFonts w:eastAsia="Arial" w:cs="Arial"/>
                <w:color w:val="000000"/>
              </w:rPr>
              <w:t>Completed</w:t>
            </w:r>
          </w:p>
        </w:tc>
        <w:tc>
          <w:tcPr>
            <w:tcW w:w="1311" w:type="pct"/>
            <w:tcMar>
              <w:top w:w="58" w:type="dxa"/>
              <w:left w:w="115" w:type="dxa"/>
              <w:bottom w:w="58" w:type="dxa"/>
              <w:right w:w="115" w:type="dxa"/>
            </w:tcMar>
            <w:vAlign w:val="center"/>
          </w:tcPr>
          <w:p w14:paraId="7D0758FD" w14:textId="77777777" w:rsidR="00186FF6" w:rsidRPr="00B15AE3" w:rsidRDefault="00186FF6">
            <w:pPr>
              <w:ind w:right="-18"/>
              <w:jc w:val="center"/>
              <w:rPr>
                <w:rFonts w:eastAsia="Arial" w:cs="Arial"/>
                <w:color w:val="000000"/>
              </w:rPr>
            </w:pPr>
            <w:r w:rsidRPr="00B15AE3">
              <w:rPr>
                <w:rFonts w:eastAsia="Arial" w:cs="Arial"/>
                <w:color w:val="000000"/>
              </w:rPr>
              <w:t>August 2023–October 2023</w:t>
            </w:r>
          </w:p>
          <w:p w14:paraId="1DEDCE8F" w14:textId="77777777" w:rsidR="00186FF6" w:rsidRPr="00B15AE3" w:rsidRDefault="00186FF6">
            <w:pPr>
              <w:ind w:right="-18"/>
              <w:jc w:val="center"/>
              <w:rPr>
                <w:rFonts w:eastAsia="Arial" w:cs="Arial"/>
                <w:color w:val="000000"/>
              </w:rPr>
            </w:pPr>
          </w:p>
          <w:p w14:paraId="471A061C" w14:textId="77777777" w:rsidR="00186FF6" w:rsidRPr="00B15AE3" w:rsidRDefault="00186FF6">
            <w:pPr>
              <w:ind w:right="-18"/>
              <w:jc w:val="center"/>
              <w:rPr>
                <w:rFonts w:eastAsia="Arial" w:cs="Arial"/>
                <w:color w:val="000000"/>
              </w:rPr>
            </w:pPr>
            <w:r w:rsidRPr="00B15AE3">
              <w:rPr>
                <w:rFonts w:eastAsia="Arial" w:cs="Arial"/>
                <w:color w:val="000000"/>
              </w:rPr>
              <w:t>Completed</w:t>
            </w:r>
          </w:p>
        </w:tc>
      </w:tr>
      <w:tr w:rsidR="00186FF6" w:rsidRPr="00F44C3C" w14:paraId="55EC8146" w14:textId="77777777" w:rsidTr="00186FF6">
        <w:trPr>
          <w:cantSplit/>
        </w:trPr>
        <w:tc>
          <w:tcPr>
            <w:tcW w:w="2329" w:type="pct"/>
            <w:tcMar>
              <w:top w:w="58" w:type="dxa"/>
              <w:left w:w="115" w:type="dxa"/>
              <w:bottom w:w="58" w:type="dxa"/>
              <w:right w:w="115" w:type="dxa"/>
            </w:tcMar>
          </w:tcPr>
          <w:p w14:paraId="7E1F5D06" w14:textId="77777777" w:rsidR="00186FF6" w:rsidRPr="00F44C3C" w:rsidRDefault="00186FF6">
            <w:pPr>
              <w:numPr>
                <w:ilvl w:val="0"/>
                <w:numId w:val="12"/>
              </w:numPr>
              <w:ind w:left="516"/>
              <w:contextualSpacing/>
              <w:rPr>
                <w:rFonts w:eastAsia="MS Mincho" w:cs="Arial"/>
                <w:color w:val="000000"/>
              </w:rPr>
            </w:pPr>
            <w:r w:rsidRPr="00F44C3C">
              <w:rPr>
                <w:rFonts w:eastAsia="Arial" w:cs="Arial"/>
                <w:color w:val="000000"/>
              </w:rPr>
              <w:t>Analysis of assessment data to identify LEAs that exceeded the 1.0 percent cap and did not complete the 1.0 Percent Threshold Survey</w:t>
            </w:r>
          </w:p>
        </w:tc>
        <w:tc>
          <w:tcPr>
            <w:tcW w:w="1360" w:type="pct"/>
            <w:tcMar>
              <w:top w:w="58" w:type="dxa"/>
              <w:left w:w="115" w:type="dxa"/>
              <w:bottom w:w="58" w:type="dxa"/>
              <w:right w:w="115" w:type="dxa"/>
            </w:tcMar>
            <w:vAlign w:val="center"/>
          </w:tcPr>
          <w:p w14:paraId="1440A079" w14:textId="77777777" w:rsidR="00186FF6" w:rsidRPr="00B15AE3" w:rsidRDefault="00186FF6">
            <w:pPr>
              <w:ind w:right="-18"/>
              <w:jc w:val="center"/>
              <w:rPr>
                <w:rFonts w:eastAsia="Arial" w:cs="Arial"/>
                <w:color w:val="000000"/>
              </w:rPr>
            </w:pPr>
            <w:r w:rsidRPr="00B15AE3">
              <w:rPr>
                <w:rFonts w:eastAsia="Arial" w:cs="Arial"/>
                <w:color w:val="000000"/>
              </w:rPr>
              <w:t>Fall 2023</w:t>
            </w:r>
          </w:p>
          <w:p w14:paraId="03653337" w14:textId="77777777" w:rsidR="004B258E" w:rsidRPr="00B15AE3" w:rsidRDefault="004B258E">
            <w:pPr>
              <w:ind w:right="-18"/>
              <w:jc w:val="center"/>
              <w:rPr>
                <w:rFonts w:eastAsia="Arial" w:cs="Arial"/>
                <w:color w:val="000000"/>
              </w:rPr>
            </w:pPr>
          </w:p>
          <w:p w14:paraId="0E590E03" w14:textId="77777777" w:rsidR="00186FF6" w:rsidRPr="00B15AE3" w:rsidRDefault="00186FF6">
            <w:pPr>
              <w:ind w:right="-18"/>
              <w:jc w:val="center"/>
              <w:rPr>
                <w:rFonts w:eastAsia="Arial" w:cs="Arial"/>
                <w:color w:val="000000"/>
              </w:rPr>
            </w:pPr>
            <w:r w:rsidRPr="00B15AE3">
              <w:rPr>
                <w:rFonts w:eastAsia="Arial" w:cs="Arial"/>
                <w:color w:val="000000"/>
              </w:rPr>
              <w:t>Completed</w:t>
            </w:r>
          </w:p>
        </w:tc>
        <w:tc>
          <w:tcPr>
            <w:tcW w:w="1311" w:type="pct"/>
            <w:tcMar>
              <w:top w:w="58" w:type="dxa"/>
              <w:left w:w="115" w:type="dxa"/>
              <w:bottom w:w="58" w:type="dxa"/>
              <w:right w:w="115" w:type="dxa"/>
            </w:tcMar>
            <w:vAlign w:val="center"/>
          </w:tcPr>
          <w:p w14:paraId="097B4A95" w14:textId="77777777" w:rsidR="00186FF6" w:rsidRPr="00B15AE3" w:rsidRDefault="00186FF6">
            <w:pPr>
              <w:ind w:right="-18"/>
              <w:jc w:val="center"/>
              <w:rPr>
                <w:rFonts w:eastAsia="Arial" w:cs="Arial"/>
                <w:color w:val="000000"/>
              </w:rPr>
            </w:pPr>
            <w:r w:rsidRPr="00B15AE3">
              <w:rPr>
                <w:rFonts w:eastAsia="Arial" w:cs="Arial"/>
                <w:color w:val="000000"/>
              </w:rPr>
              <w:t>Fall 2024</w:t>
            </w:r>
          </w:p>
          <w:p w14:paraId="7C794837" w14:textId="77777777" w:rsidR="004B258E" w:rsidRPr="00B15AE3" w:rsidRDefault="004B258E">
            <w:pPr>
              <w:ind w:right="-18"/>
              <w:jc w:val="center"/>
              <w:rPr>
                <w:rFonts w:eastAsia="Arial" w:cs="Arial"/>
                <w:color w:val="000000"/>
              </w:rPr>
            </w:pPr>
          </w:p>
          <w:p w14:paraId="59E8E02A" w14:textId="77777777" w:rsidR="00186FF6" w:rsidRPr="00B15AE3" w:rsidRDefault="00186FF6">
            <w:pPr>
              <w:ind w:right="-18"/>
              <w:jc w:val="center"/>
              <w:rPr>
                <w:rFonts w:eastAsia="Arial" w:cs="Arial"/>
                <w:color w:val="000000"/>
              </w:rPr>
            </w:pPr>
            <w:r w:rsidRPr="00B15AE3">
              <w:rPr>
                <w:rFonts w:eastAsia="Arial" w:cs="Arial"/>
                <w:color w:val="000000"/>
              </w:rPr>
              <w:t>To be completed</w:t>
            </w:r>
          </w:p>
        </w:tc>
      </w:tr>
      <w:tr w:rsidR="00186FF6" w:rsidRPr="00F44C3C" w14:paraId="4F83C738" w14:textId="77777777" w:rsidTr="00186FF6">
        <w:trPr>
          <w:cantSplit/>
          <w:trHeight w:val="300"/>
        </w:trPr>
        <w:tc>
          <w:tcPr>
            <w:tcW w:w="2329" w:type="pct"/>
            <w:tcMar>
              <w:top w:w="58" w:type="dxa"/>
              <w:left w:w="115" w:type="dxa"/>
              <w:bottom w:w="58" w:type="dxa"/>
              <w:right w:w="115" w:type="dxa"/>
            </w:tcMar>
          </w:tcPr>
          <w:p w14:paraId="6D284859" w14:textId="083A8D63" w:rsidR="00186FF6" w:rsidRPr="00F44C3C" w:rsidRDefault="00186FF6">
            <w:pPr>
              <w:numPr>
                <w:ilvl w:val="0"/>
                <w:numId w:val="12"/>
              </w:numPr>
              <w:spacing w:line="259" w:lineRule="auto"/>
              <w:ind w:left="516"/>
              <w:rPr>
                <w:rFonts w:eastAsia="Arial" w:cs="Arial"/>
                <w:color w:val="000000"/>
              </w:rPr>
            </w:pPr>
            <w:r w:rsidRPr="00F44C3C">
              <w:rPr>
                <w:rFonts w:eastAsia="Arial" w:cs="Arial"/>
                <w:color w:val="000000"/>
              </w:rPr>
              <w:lastRenderedPageBreak/>
              <w:t>Presentation of the 1.0 percent threshold requirements and Alternative Assessment Decision-Making worksheet to the California Special Education Local Planning Area administrators</w:t>
            </w:r>
          </w:p>
        </w:tc>
        <w:tc>
          <w:tcPr>
            <w:tcW w:w="1360" w:type="pct"/>
            <w:tcMar>
              <w:top w:w="58" w:type="dxa"/>
              <w:left w:w="115" w:type="dxa"/>
              <w:bottom w:w="58" w:type="dxa"/>
              <w:right w:w="115" w:type="dxa"/>
            </w:tcMar>
            <w:vAlign w:val="center"/>
          </w:tcPr>
          <w:p w14:paraId="3D6C6A14" w14:textId="77777777" w:rsidR="00186FF6" w:rsidRPr="00B15AE3" w:rsidRDefault="00186FF6">
            <w:pPr>
              <w:jc w:val="center"/>
              <w:rPr>
                <w:rFonts w:eastAsia="Arial" w:cs="Arial"/>
                <w:color w:val="000000"/>
              </w:rPr>
            </w:pPr>
            <w:r w:rsidRPr="00B15AE3">
              <w:rPr>
                <w:rFonts w:eastAsia="Arial" w:cs="Arial"/>
                <w:color w:val="000000"/>
              </w:rPr>
              <w:t>July 2023</w:t>
            </w:r>
          </w:p>
          <w:p w14:paraId="14C01DA7" w14:textId="77777777" w:rsidR="004B258E" w:rsidRPr="00B15AE3" w:rsidRDefault="004B258E">
            <w:pPr>
              <w:jc w:val="center"/>
              <w:rPr>
                <w:rFonts w:eastAsia="Arial" w:cs="Arial"/>
                <w:color w:val="000000"/>
              </w:rPr>
            </w:pPr>
          </w:p>
          <w:p w14:paraId="032E62E7" w14:textId="77777777" w:rsidR="00186FF6" w:rsidRPr="00B15AE3" w:rsidRDefault="00186FF6">
            <w:pPr>
              <w:jc w:val="center"/>
              <w:rPr>
                <w:rFonts w:eastAsia="Arial" w:cs="Arial"/>
                <w:color w:val="000000"/>
              </w:rPr>
            </w:pPr>
            <w:r w:rsidRPr="00B15AE3">
              <w:rPr>
                <w:rFonts w:eastAsia="Arial" w:cs="Arial"/>
                <w:color w:val="000000"/>
              </w:rPr>
              <w:t>Completed</w:t>
            </w:r>
          </w:p>
        </w:tc>
        <w:tc>
          <w:tcPr>
            <w:tcW w:w="1311" w:type="pct"/>
            <w:tcMar>
              <w:top w:w="58" w:type="dxa"/>
              <w:left w:w="115" w:type="dxa"/>
              <w:bottom w:w="58" w:type="dxa"/>
              <w:right w:w="115" w:type="dxa"/>
            </w:tcMar>
            <w:vAlign w:val="center"/>
          </w:tcPr>
          <w:p w14:paraId="2594DF08" w14:textId="77777777" w:rsidR="00186FF6" w:rsidRPr="00B15AE3" w:rsidRDefault="00186FF6">
            <w:pPr>
              <w:jc w:val="center"/>
              <w:rPr>
                <w:rFonts w:eastAsia="Arial" w:cs="Arial"/>
                <w:color w:val="000000"/>
              </w:rPr>
            </w:pPr>
            <w:r w:rsidRPr="00B15AE3">
              <w:rPr>
                <w:rFonts w:eastAsia="Arial" w:cs="Arial"/>
                <w:color w:val="000000"/>
              </w:rPr>
              <w:t>July 2024</w:t>
            </w:r>
          </w:p>
          <w:p w14:paraId="543858E6" w14:textId="77777777" w:rsidR="004B258E" w:rsidRPr="00B15AE3" w:rsidRDefault="004B258E">
            <w:pPr>
              <w:jc w:val="center"/>
              <w:rPr>
                <w:rFonts w:eastAsia="Arial" w:cs="Arial"/>
                <w:color w:val="000000"/>
              </w:rPr>
            </w:pPr>
          </w:p>
          <w:p w14:paraId="5B3D08B4" w14:textId="77777777" w:rsidR="00186FF6" w:rsidRPr="00B15AE3" w:rsidRDefault="00186FF6">
            <w:pPr>
              <w:jc w:val="center"/>
              <w:rPr>
                <w:rFonts w:eastAsia="Arial" w:cs="Arial"/>
                <w:color w:val="000000"/>
              </w:rPr>
            </w:pPr>
            <w:r w:rsidRPr="00B15AE3">
              <w:rPr>
                <w:rFonts w:eastAsia="Arial" w:cs="Arial"/>
                <w:color w:val="000000"/>
              </w:rPr>
              <w:t>To be completed</w:t>
            </w:r>
          </w:p>
        </w:tc>
      </w:tr>
      <w:tr w:rsidR="00186FF6" w:rsidRPr="00F44C3C" w14:paraId="2E723998" w14:textId="77777777" w:rsidTr="00186FF6">
        <w:trPr>
          <w:cantSplit/>
          <w:trHeight w:val="300"/>
        </w:trPr>
        <w:tc>
          <w:tcPr>
            <w:tcW w:w="2329" w:type="pct"/>
            <w:tcMar>
              <w:top w:w="58" w:type="dxa"/>
              <w:left w:w="115" w:type="dxa"/>
              <w:bottom w:w="58" w:type="dxa"/>
              <w:right w:w="115" w:type="dxa"/>
            </w:tcMar>
          </w:tcPr>
          <w:p w14:paraId="0D7E836B" w14:textId="77777777" w:rsidR="00186FF6" w:rsidRPr="00F44C3C" w:rsidRDefault="00186FF6">
            <w:pPr>
              <w:numPr>
                <w:ilvl w:val="0"/>
                <w:numId w:val="12"/>
              </w:numPr>
              <w:spacing w:line="259" w:lineRule="auto"/>
              <w:ind w:left="516"/>
              <w:rPr>
                <w:rFonts w:eastAsia="Arial" w:cs="Arial"/>
                <w:color w:val="000000"/>
              </w:rPr>
            </w:pPr>
            <w:r w:rsidRPr="00F44C3C">
              <w:rPr>
                <w:rFonts w:eastAsia="Arial" w:cs="Arial"/>
                <w:color w:val="000000"/>
              </w:rPr>
              <w:t>Presentation of 1.0 percent threshold requirements to LEA coordinators at the annual statewide Assessment Information Meeting</w:t>
            </w:r>
          </w:p>
        </w:tc>
        <w:tc>
          <w:tcPr>
            <w:tcW w:w="1360" w:type="pct"/>
            <w:tcMar>
              <w:top w:w="58" w:type="dxa"/>
              <w:left w:w="115" w:type="dxa"/>
              <w:bottom w:w="58" w:type="dxa"/>
              <w:right w:w="115" w:type="dxa"/>
            </w:tcMar>
            <w:vAlign w:val="center"/>
          </w:tcPr>
          <w:p w14:paraId="49844BB4" w14:textId="77777777" w:rsidR="00186FF6" w:rsidRPr="00B15AE3" w:rsidRDefault="00186FF6">
            <w:pPr>
              <w:jc w:val="center"/>
              <w:rPr>
                <w:rFonts w:eastAsia="Arial" w:cs="Arial"/>
                <w:color w:val="000000"/>
              </w:rPr>
            </w:pPr>
            <w:r w:rsidRPr="00B15AE3">
              <w:rPr>
                <w:rFonts w:eastAsia="Arial" w:cs="Arial"/>
                <w:color w:val="000000"/>
              </w:rPr>
              <w:t>August 2023</w:t>
            </w:r>
          </w:p>
          <w:p w14:paraId="234E3619" w14:textId="77777777" w:rsidR="00534562" w:rsidRPr="00B15AE3" w:rsidRDefault="00534562">
            <w:pPr>
              <w:jc w:val="center"/>
              <w:rPr>
                <w:rFonts w:eastAsia="Arial" w:cs="Arial"/>
                <w:color w:val="000000"/>
              </w:rPr>
            </w:pPr>
          </w:p>
          <w:p w14:paraId="73591C31" w14:textId="77777777" w:rsidR="00186FF6" w:rsidRPr="00B15AE3" w:rsidRDefault="00186FF6">
            <w:pPr>
              <w:jc w:val="center"/>
              <w:rPr>
                <w:rFonts w:eastAsia="Arial" w:cs="Arial"/>
                <w:color w:val="000000"/>
              </w:rPr>
            </w:pPr>
            <w:r w:rsidRPr="00B15AE3">
              <w:rPr>
                <w:rFonts w:eastAsia="Arial" w:cs="Arial"/>
                <w:color w:val="000000"/>
              </w:rPr>
              <w:t>Completed</w:t>
            </w:r>
          </w:p>
        </w:tc>
        <w:tc>
          <w:tcPr>
            <w:tcW w:w="1311" w:type="pct"/>
            <w:tcMar>
              <w:top w:w="58" w:type="dxa"/>
              <w:left w:w="115" w:type="dxa"/>
              <w:bottom w:w="58" w:type="dxa"/>
              <w:right w:w="115" w:type="dxa"/>
            </w:tcMar>
            <w:vAlign w:val="center"/>
          </w:tcPr>
          <w:p w14:paraId="3C9B81E8" w14:textId="77777777" w:rsidR="00186FF6" w:rsidRPr="00B15AE3" w:rsidRDefault="00186FF6">
            <w:pPr>
              <w:jc w:val="center"/>
              <w:rPr>
                <w:rFonts w:eastAsia="Arial" w:cs="Arial"/>
                <w:color w:val="000000"/>
              </w:rPr>
            </w:pPr>
            <w:r w:rsidRPr="00B15AE3">
              <w:rPr>
                <w:rFonts w:eastAsia="Arial" w:cs="Arial"/>
                <w:color w:val="000000"/>
              </w:rPr>
              <w:t>August 2024</w:t>
            </w:r>
          </w:p>
          <w:p w14:paraId="05DA5E18" w14:textId="77777777" w:rsidR="00534562" w:rsidRPr="00B15AE3" w:rsidRDefault="00534562">
            <w:pPr>
              <w:jc w:val="center"/>
              <w:rPr>
                <w:rFonts w:eastAsia="Arial" w:cs="Arial"/>
                <w:color w:val="000000"/>
              </w:rPr>
            </w:pPr>
          </w:p>
          <w:p w14:paraId="34D36FBB" w14:textId="77777777" w:rsidR="00186FF6" w:rsidRPr="00B15AE3" w:rsidRDefault="00186FF6">
            <w:pPr>
              <w:jc w:val="center"/>
              <w:rPr>
                <w:rFonts w:eastAsia="Arial" w:cs="Arial"/>
                <w:color w:val="000000"/>
              </w:rPr>
            </w:pPr>
            <w:r w:rsidRPr="00B15AE3">
              <w:rPr>
                <w:rFonts w:eastAsia="Arial" w:cs="Arial"/>
                <w:color w:val="000000"/>
              </w:rPr>
              <w:t>To be completed</w:t>
            </w:r>
          </w:p>
        </w:tc>
      </w:tr>
      <w:tr w:rsidR="00186FF6" w:rsidRPr="00F44C3C" w14:paraId="67792BA3" w14:textId="77777777" w:rsidTr="00186FF6">
        <w:trPr>
          <w:cantSplit/>
        </w:trPr>
        <w:tc>
          <w:tcPr>
            <w:tcW w:w="2329" w:type="pct"/>
            <w:tcMar>
              <w:top w:w="58" w:type="dxa"/>
              <w:left w:w="115" w:type="dxa"/>
              <w:bottom w:w="58" w:type="dxa"/>
              <w:right w:w="115" w:type="dxa"/>
            </w:tcMar>
          </w:tcPr>
          <w:p w14:paraId="6F183BD5" w14:textId="77777777" w:rsidR="00186FF6" w:rsidRPr="00F44C3C" w:rsidRDefault="00186FF6">
            <w:pPr>
              <w:numPr>
                <w:ilvl w:val="0"/>
                <w:numId w:val="12"/>
              </w:numPr>
              <w:ind w:left="516"/>
              <w:rPr>
                <w:rFonts w:eastAsia="MS Mincho" w:cs="Arial"/>
                <w:color w:val="000000"/>
              </w:rPr>
            </w:pPr>
            <w:r w:rsidRPr="00F44C3C">
              <w:rPr>
                <w:rFonts w:eastAsia="Arial" w:cs="Arial"/>
                <w:color w:val="000000" w:themeColor="text1"/>
              </w:rPr>
              <w:t>Submission of the request for a waiver of the 1.0 percent cap if a review of the spring prior-administration data indicates a need for such a request</w:t>
            </w:r>
          </w:p>
        </w:tc>
        <w:tc>
          <w:tcPr>
            <w:tcW w:w="1360" w:type="pct"/>
            <w:tcMar>
              <w:top w:w="58" w:type="dxa"/>
              <w:left w:w="115" w:type="dxa"/>
              <w:bottom w:w="58" w:type="dxa"/>
              <w:right w:w="115" w:type="dxa"/>
            </w:tcMar>
            <w:vAlign w:val="center"/>
          </w:tcPr>
          <w:p w14:paraId="0FBC3C63" w14:textId="77777777" w:rsidR="00186FF6" w:rsidRPr="00B15AE3" w:rsidRDefault="00186FF6">
            <w:pPr>
              <w:ind w:right="-18"/>
              <w:jc w:val="center"/>
              <w:rPr>
                <w:rFonts w:eastAsia="Arial" w:cs="Arial"/>
                <w:color w:val="000000"/>
              </w:rPr>
            </w:pPr>
            <w:r w:rsidRPr="00B15AE3">
              <w:rPr>
                <w:rFonts w:eastAsia="Arial" w:cs="Arial"/>
                <w:color w:val="000000"/>
              </w:rPr>
              <w:t>Fall 2023</w:t>
            </w:r>
          </w:p>
          <w:p w14:paraId="24D4A704" w14:textId="77777777" w:rsidR="00534562" w:rsidRPr="00B15AE3" w:rsidRDefault="00534562">
            <w:pPr>
              <w:ind w:right="-18"/>
              <w:jc w:val="center"/>
              <w:rPr>
                <w:rFonts w:eastAsia="Arial" w:cs="Arial"/>
                <w:color w:val="000000"/>
              </w:rPr>
            </w:pPr>
          </w:p>
          <w:p w14:paraId="43656BEB" w14:textId="77777777" w:rsidR="00186FF6" w:rsidRPr="00B15AE3" w:rsidRDefault="00186FF6">
            <w:pPr>
              <w:ind w:right="-18"/>
              <w:jc w:val="center"/>
              <w:rPr>
                <w:rFonts w:cs="Arial"/>
              </w:rPr>
            </w:pPr>
            <w:r w:rsidRPr="00B15AE3">
              <w:rPr>
                <w:rFonts w:cs="Arial"/>
              </w:rPr>
              <w:t>Completed</w:t>
            </w:r>
          </w:p>
        </w:tc>
        <w:tc>
          <w:tcPr>
            <w:tcW w:w="1311" w:type="pct"/>
            <w:tcMar>
              <w:top w:w="58" w:type="dxa"/>
              <w:left w:w="115" w:type="dxa"/>
              <w:bottom w:w="58" w:type="dxa"/>
              <w:right w:w="115" w:type="dxa"/>
            </w:tcMar>
            <w:vAlign w:val="center"/>
          </w:tcPr>
          <w:p w14:paraId="24E9FAED" w14:textId="77777777" w:rsidR="00186FF6" w:rsidRPr="00B15AE3" w:rsidRDefault="00186FF6">
            <w:pPr>
              <w:ind w:right="-18"/>
              <w:jc w:val="center"/>
              <w:rPr>
                <w:rFonts w:eastAsia="Arial" w:cs="Arial"/>
                <w:color w:val="000000"/>
              </w:rPr>
            </w:pPr>
            <w:r w:rsidRPr="00B15AE3">
              <w:rPr>
                <w:rFonts w:eastAsia="Arial" w:cs="Arial"/>
                <w:color w:val="000000"/>
              </w:rPr>
              <w:t>Fall 2024</w:t>
            </w:r>
          </w:p>
          <w:p w14:paraId="6D0AA60F" w14:textId="77777777" w:rsidR="00534562" w:rsidRPr="00B15AE3" w:rsidRDefault="00534562">
            <w:pPr>
              <w:ind w:right="-18"/>
              <w:jc w:val="center"/>
              <w:rPr>
                <w:rFonts w:eastAsia="Arial" w:cs="Arial"/>
                <w:color w:val="000000"/>
              </w:rPr>
            </w:pPr>
          </w:p>
          <w:p w14:paraId="3F4C26CC" w14:textId="77777777" w:rsidR="00186FF6" w:rsidRPr="00B15AE3" w:rsidRDefault="00186FF6">
            <w:pPr>
              <w:ind w:right="-18"/>
              <w:jc w:val="center"/>
              <w:rPr>
                <w:rFonts w:eastAsia="Arial" w:cs="Arial"/>
                <w:color w:val="000000"/>
              </w:rPr>
            </w:pPr>
            <w:r w:rsidRPr="00B15AE3">
              <w:rPr>
                <w:rFonts w:eastAsia="Arial" w:cs="Arial"/>
                <w:color w:val="000000"/>
              </w:rPr>
              <w:t>To be completed</w:t>
            </w:r>
          </w:p>
        </w:tc>
      </w:tr>
      <w:tr w:rsidR="00186FF6" w:rsidRPr="00F44C3C" w14:paraId="3082C38D" w14:textId="77777777" w:rsidTr="00186FF6">
        <w:trPr>
          <w:cantSplit/>
        </w:trPr>
        <w:tc>
          <w:tcPr>
            <w:tcW w:w="2329" w:type="pct"/>
            <w:tcMar>
              <w:top w:w="58" w:type="dxa"/>
              <w:left w:w="115" w:type="dxa"/>
              <w:bottom w:w="58" w:type="dxa"/>
              <w:right w:w="115" w:type="dxa"/>
            </w:tcMar>
          </w:tcPr>
          <w:p w14:paraId="2E8BE9A7" w14:textId="77777777" w:rsidR="00186FF6" w:rsidRPr="00F44C3C" w:rsidRDefault="00186FF6">
            <w:pPr>
              <w:numPr>
                <w:ilvl w:val="0"/>
                <w:numId w:val="12"/>
              </w:numPr>
              <w:ind w:left="516"/>
              <w:rPr>
                <w:rFonts w:eastAsia="Arial" w:cs="Arial"/>
                <w:color w:val="000000"/>
              </w:rPr>
            </w:pPr>
            <w:r w:rsidRPr="00F44C3C">
              <w:rPr>
                <w:rFonts w:eastAsia="Arial" w:cs="Arial"/>
                <w:color w:val="000000"/>
              </w:rPr>
              <w:t>P</w:t>
            </w:r>
            <w:r w:rsidRPr="00F44C3C">
              <w:rPr>
                <w:rFonts w:eastAsia="MS Mincho" w:cs="Arial"/>
                <w:color w:val="000000"/>
              </w:rPr>
              <w:t>resentation of the 1.0</w:t>
            </w:r>
            <w:r w:rsidRPr="00F44C3C">
              <w:rPr>
                <w:rFonts w:eastAsia="Arial" w:cs="Arial"/>
                <w:color w:val="000000"/>
              </w:rPr>
              <w:t xml:space="preserve"> percent </w:t>
            </w:r>
            <w:r w:rsidRPr="00F44C3C">
              <w:rPr>
                <w:rFonts w:eastAsia="MS Mincho" w:cs="Arial"/>
                <w:color w:val="000000"/>
              </w:rPr>
              <w:t>threshold requirements and Alternative Assessment Decision-Making worksheet</w:t>
            </w:r>
            <w:r w:rsidRPr="00F44C3C">
              <w:rPr>
                <w:rFonts w:eastAsia="Arial" w:cs="Arial"/>
                <w:color w:val="000000"/>
              </w:rPr>
              <w:t xml:space="preserve"> at </w:t>
            </w:r>
            <w:proofErr w:type="spellStart"/>
            <w:r w:rsidRPr="00F44C3C">
              <w:rPr>
                <w:rFonts w:eastAsia="Arial" w:cs="Arial"/>
                <w:color w:val="000000"/>
              </w:rPr>
              <w:t>CodeStack</w:t>
            </w:r>
            <w:proofErr w:type="spellEnd"/>
            <w:r w:rsidRPr="00F44C3C">
              <w:rPr>
                <w:rFonts w:eastAsia="Arial" w:cs="Arial"/>
                <w:color w:val="000000"/>
              </w:rPr>
              <w:t xml:space="preserve"> Conference</w:t>
            </w:r>
          </w:p>
        </w:tc>
        <w:tc>
          <w:tcPr>
            <w:tcW w:w="1360" w:type="pct"/>
            <w:tcMar>
              <w:top w:w="58" w:type="dxa"/>
              <w:left w:w="115" w:type="dxa"/>
              <w:bottom w:w="58" w:type="dxa"/>
              <w:right w:w="115" w:type="dxa"/>
            </w:tcMar>
            <w:vAlign w:val="center"/>
          </w:tcPr>
          <w:p w14:paraId="488F728D" w14:textId="77777777" w:rsidR="00186FF6" w:rsidRPr="00B15AE3" w:rsidRDefault="00186FF6">
            <w:pPr>
              <w:ind w:right="-18"/>
              <w:jc w:val="center"/>
              <w:rPr>
                <w:rFonts w:eastAsia="Arial" w:cs="Arial"/>
                <w:color w:val="000000"/>
              </w:rPr>
            </w:pPr>
            <w:r w:rsidRPr="00B15AE3">
              <w:rPr>
                <w:rFonts w:eastAsia="Arial" w:cs="Arial"/>
                <w:color w:val="000000"/>
              </w:rPr>
              <w:t>October 2023</w:t>
            </w:r>
          </w:p>
          <w:p w14:paraId="221FF726" w14:textId="77777777" w:rsidR="00534562" w:rsidRPr="00B15AE3" w:rsidRDefault="00534562">
            <w:pPr>
              <w:ind w:right="-18"/>
              <w:jc w:val="center"/>
              <w:rPr>
                <w:rFonts w:eastAsia="Arial" w:cs="Arial"/>
                <w:color w:val="000000"/>
              </w:rPr>
            </w:pPr>
          </w:p>
          <w:p w14:paraId="422A5E9E" w14:textId="77777777" w:rsidR="00186FF6" w:rsidRPr="00B15AE3" w:rsidRDefault="00186FF6">
            <w:pPr>
              <w:ind w:right="-18"/>
              <w:jc w:val="center"/>
              <w:rPr>
                <w:rFonts w:eastAsia="Arial" w:cs="Arial"/>
                <w:color w:val="000000"/>
              </w:rPr>
            </w:pPr>
            <w:r w:rsidRPr="00B15AE3">
              <w:rPr>
                <w:rFonts w:eastAsia="Arial" w:cs="Arial"/>
                <w:color w:val="000000"/>
              </w:rPr>
              <w:t>Completed</w:t>
            </w:r>
          </w:p>
        </w:tc>
        <w:tc>
          <w:tcPr>
            <w:tcW w:w="1311" w:type="pct"/>
            <w:tcMar>
              <w:top w:w="58" w:type="dxa"/>
              <w:left w:w="115" w:type="dxa"/>
              <w:bottom w:w="58" w:type="dxa"/>
              <w:right w:w="115" w:type="dxa"/>
            </w:tcMar>
            <w:vAlign w:val="center"/>
          </w:tcPr>
          <w:p w14:paraId="6E7CB39B" w14:textId="77777777" w:rsidR="00186FF6" w:rsidRPr="00B15AE3" w:rsidRDefault="00186FF6">
            <w:pPr>
              <w:ind w:right="-18"/>
              <w:jc w:val="center"/>
              <w:rPr>
                <w:rFonts w:eastAsia="Arial" w:cs="Arial"/>
                <w:color w:val="000000"/>
              </w:rPr>
            </w:pPr>
            <w:r w:rsidRPr="00B15AE3">
              <w:rPr>
                <w:rFonts w:eastAsia="Arial" w:cs="Arial"/>
                <w:color w:val="000000"/>
              </w:rPr>
              <w:t>October 2024</w:t>
            </w:r>
          </w:p>
          <w:p w14:paraId="4B642DE2" w14:textId="77777777" w:rsidR="00534562" w:rsidRPr="00B15AE3" w:rsidRDefault="00534562">
            <w:pPr>
              <w:ind w:right="-18"/>
              <w:jc w:val="center"/>
              <w:rPr>
                <w:rFonts w:eastAsia="Arial" w:cs="Arial"/>
                <w:color w:val="000000"/>
              </w:rPr>
            </w:pPr>
          </w:p>
          <w:p w14:paraId="410323D7" w14:textId="77777777" w:rsidR="00186FF6" w:rsidRPr="00B15AE3" w:rsidRDefault="00186FF6">
            <w:pPr>
              <w:ind w:right="-18"/>
              <w:jc w:val="center"/>
              <w:rPr>
                <w:rFonts w:eastAsia="Arial" w:cs="Arial"/>
                <w:color w:val="000000"/>
              </w:rPr>
            </w:pPr>
            <w:r w:rsidRPr="00B15AE3">
              <w:rPr>
                <w:rFonts w:eastAsia="Arial" w:cs="Arial"/>
                <w:color w:val="000000"/>
              </w:rPr>
              <w:t>To be completed</w:t>
            </w:r>
          </w:p>
        </w:tc>
      </w:tr>
      <w:tr w:rsidR="00186FF6" w:rsidRPr="00F44C3C" w14:paraId="4BC41CA1" w14:textId="77777777" w:rsidTr="00186FF6">
        <w:trPr>
          <w:cantSplit/>
        </w:trPr>
        <w:tc>
          <w:tcPr>
            <w:tcW w:w="2329" w:type="pct"/>
            <w:tcMar>
              <w:top w:w="58" w:type="dxa"/>
              <w:left w:w="115" w:type="dxa"/>
              <w:bottom w:w="58" w:type="dxa"/>
              <w:right w:w="115" w:type="dxa"/>
            </w:tcMar>
          </w:tcPr>
          <w:p w14:paraId="2394C6E6" w14:textId="77777777" w:rsidR="00186FF6" w:rsidRPr="00F44C3C" w:rsidRDefault="00186FF6">
            <w:pPr>
              <w:numPr>
                <w:ilvl w:val="0"/>
                <w:numId w:val="12"/>
              </w:numPr>
              <w:ind w:left="516"/>
              <w:rPr>
                <w:rFonts w:eastAsia="MS Mincho" w:cs="Arial"/>
                <w:color w:val="000000"/>
              </w:rPr>
            </w:pPr>
            <w:r w:rsidRPr="00F44C3C">
              <w:rPr>
                <w:rFonts w:eastAsia="Arial" w:cs="Arial"/>
                <w:color w:val="000000"/>
              </w:rPr>
              <w:t>Review of guidelines and provision of guidance on eligibility for participation in the AA-AAAS included as part of pretest workshops throughout the state to ensure the appropriate identification of students for alternate assessments</w:t>
            </w:r>
          </w:p>
        </w:tc>
        <w:tc>
          <w:tcPr>
            <w:tcW w:w="1360" w:type="pct"/>
            <w:tcMar>
              <w:top w:w="58" w:type="dxa"/>
              <w:left w:w="115" w:type="dxa"/>
              <w:bottom w:w="58" w:type="dxa"/>
              <w:right w:w="115" w:type="dxa"/>
            </w:tcMar>
            <w:vAlign w:val="center"/>
          </w:tcPr>
          <w:p w14:paraId="1D9F34C2" w14:textId="77777777" w:rsidR="00186FF6" w:rsidRPr="00B15AE3" w:rsidRDefault="00186FF6">
            <w:pPr>
              <w:ind w:right="-18"/>
              <w:jc w:val="center"/>
              <w:rPr>
                <w:rFonts w:eastAsia="Arial" w:cs="Arial"/>
                <w:color w:val="000000"/>
              </w:rPr>
            </w:pPr>
            <w:r w:rsidRPr="00B15AE3">
              <w:rPr>
                <w:rFonts w:eastAsia="Arial" w:cs="Arial"/>
                <w:color w:val="000000"/>
              </w:rPr>
              <w:t>September 2022–February 2023</w:t>
            </w:r>
          </w:p>
          <w:p w14:paraId="5E2BE2CB" w14:textId="77777777" w:rsidR="00534562" w:rsidRPr="00B15AE3" w:rsidRDefault="00534562">
            <w:pPr>
              <w:ind w:right="-18"/>
              <w:jc w:val="center"/>
              <w:rPr>
                <w:rFonts w:eastAsia="Arial" w:cs="Arial"/>
                <w:color w:val="000000"/>
              </w:rPr>
            </w:pPr>
          </w:p>
          <w:p w14:paraId="7FB7A9B9" w14:textId="77777777" w:rsidR="00186FF6" w:rsidRPr="00B15AE3" w:rsidRDefault="00186FF6">
            <w:pPr>
              <w:ind w:right="-18"/>
              <w:jc w:val="center"/>
              <w:rPr>
                <w:rFonts w:eastAsia="Arial" w:cs="Arial"/>
                <w:color w:val="000000"/>
              </w:rPr>
            </w:pPr>
            <w:r w:rsidRPr="00B15AE3">
              <w:rPr>
                <w:rFonts w:eastAsia="Arial" w:cs="Arial"/>
                <w:color w:val="000000"/>
              </w:rPr>
              <w:t>Completed</w:t>
            </w:r>
          </w:p>
        </w:tc>
        <w:tc>
          <w:tcPr>
            <w:tcW w:w="1311" w:type="pct"/>
            <w:tcMar>
              <w:top w:w="58" w:type="dxa"/>
              <w:left w:w="115" w:type="dxa"/>
              <w:bottom w:w="58" w:type="dxa"/>
              <w:right w:w="115" w:type="dxa"/>
            </w:tcMar>
            <w:vAlign w:val="center"/>
          </w:tcPr>
          <w:p w14:paraId="43F727B3" w14:textId="77777777" w:rsidR="00186FF6" w:rsidRPr="00B15AE3" w:rsidRDefault="00186FF6">
            <w:pPr>
              <w:ind w:right="-18"/>
              <w:jc w:val="center"/>
              <w:rPr>
                <w:rFonts w:eastAsia="Arial" w:cs="Arial"/>
                <w:color w:val="000000"/>
              </w:rPr>
            </w:pPr>
            <w:r w:rsidRPr="00B15AE3">
              <w:rPr>
                <w:rFonts w:eastAsia="Arial" w:cs="Arial"/>
                <w:color w:val="000000"/>
              </w:rPr>
              <w:t>September 2023–February 2024</w:t>
            </w:r>
          </w:p>
          <w:p w14:paraId="5DF1466D" w14:textId="77777777" w:rsidR="00534562" w:rsidRPr="00B15AE3" w:rsidRDefault="00534562">
            <w:pPr>
              <w:ind w:right="-18"/>
              <w:jc w:val="center"/>
              <w:rPr>
                <w:rFonts w:eastAsia="Arial" w:cs="Arial"/>
                <w:color w:val="000000"/>
              </w:rPr>
            </w:pPr>
          </w:p>
          <w:p w14:paraId="7BBAE3DA" w14:textId="77777777" w:rsidR="00186FF6" w:rsidRPr="00B15AE3" w:rsidRDefault="00186FF6">
            <w:pPr>
              <w:ind w:right="-18"/>
              <w:jc w:val="center"/>
              <w:rPr>
                <w:rFonts w:eastAsia="Arial" w:cs="Arial"/>
                <w:color w:val="000000"/>
              </w:rPr>
            </w:pPr>
            <w:r w:rsidRPr="00B15AE3">
              <w:rPr>
                <w:rFonts w:eastAsia="Arial" w:cs="Arial"/>
                <w:color w:val="000000"/>
              </w:rPr>
              <w:t>Completed</w:t>
            </w:r>
          </w:p>
        </w:tc>
      </w:tr>
      <w:tr w:rsidR="00186FF6" w:rsidRPr="00F44C3C" w14:paraId="2079FE34" w14:textId="77777777" w:rsidTr="00186FF6">
        <w:trPr>
          <w:cantSplit/>
        </w:trPr>
        <w:tc>
          <w:tcPr>
            <w:tcW w:w="2329" w:type="pct"/>
            <w:tcMar>
              <w:top w:w="58" w:type="dxa"/>
              <w:left w:w="115" w:type="dxa"/>
              <w:bottom w:w="58" w:type="dxa"/>
              <w:right w:w="115" w:type="dxa"/>
            </w:tcMar>
          </w:tcPr>
          <w:p w14:paraId="3D8B1ED6" w14:textId="77777777" w:rsidR="00186FF6" w:rsidRPr="00F44C3C" w:rsidRDefault="00186FF6">
            <w:pPr>
              <w:numPr>
                <w:ilvl w:val="0"/>
                <w:numId w:val="12"/>
              </w:numPr>
              <w:ind w:left="516"/>
              <w:rPr>
                <w:rFonts w:eastAsia="MS Mincho" w:cs="Arial"/>
                <w:color w:val="000000"/>
              </w:rPr>
            </w:pPr>
            <w:r w:rsidRPr="00F44C3C">
              <w:rPr>
                <w:rFonts w:eastAsia="Arial" w:cs="Arial"/>
                <w:color w:val="000000"/>
              </w:rPr>
              <w:lastRenderedPageBreak/>
              <w:t>Review of data to determine LEAs exceeding the 1.0 percent cap and potential disproportionality; engage with LEAs that exceed the 1.0 percent cap and/or indicate potential disproportionality</w:t>
            </w:r>
          </w:p>
        </w:tc>
        <w:tc>
          <w:tcPr>
            <w:tcW w:w="1360" w:type="pct"/>
            <w:tcMar>
              <w:top w:w="58" w:type="dxa"/>
              <w:left w:w="115" w:type="dxa"/>
              <w:bottom w:w="58" w:type="dxa"/>
              <w:right w:w="115" w:type="dxa"/>
            </w:tcMar>
            <w:vAlign w:val="center"/>
          </w:tcPr>
          <w:p w14:paraId="1D2AC31F" w14:textId="77777777" w:rsidR="00186FF6" w:rsidRPr="00B15AE3" w:rsidRDefault="00186FF6">
            <w:pPr>
              <w:ind w:right="-18"/>
              <w:jc w:val="center"/>
              <w:rPr>
                <w:rFonts w:eastAsia="Arial" w:cs="Arial"/>
                <w:color w:val="000000" w:themeColor="text1"/>
              </w:rPr>
            </w:pPr>
            <w:r w:rsidRPr="00B15AE3">
              <w:rPr>
                <w:rFonts w:eastAsia="Arial" w:cs="Arial"/>
                <w:color w:val="000000" w:themeColor="text1"/>
              </w:rPr>
              <w:t>January 2023–July 2023</w:t>
            </w:r>
          </w:p>
          <w:p w14:paraId="67ACF966" w14:textId="77777777" w:rsidR="00534562" w:rsidRPr="00B15AE3" w:rsidRDefault="00534562">
            <w:pPr>
              <w:ind w:right="-18"/>
              <w:jc w:val="center"/>
              <w:rPr>
                <w:rFonts w:eastAsia="Arial" w:cs="Arial"/>
                <w:color w:val="000000" w:themeColor="text1"/>
              </w:rPr>
            </w:pPr>
          </w:p>
          <w:p w14:paraId="0C8C4BC4" w14:textId="0A509DF8" w:rsidR="00186FF6" w:rsidRPr="00B15AE3" w:rsidRDefault="00186FF6">
            <w:pPr>
              <w:ind w:right="-18"/>
              <w:jc w:val="center"/>
              <w:rPr>
                <w:rFonts w:eastAsia="Arial" w:cs="Arial"/>
                <w:color w:val="000000"/>
              </w:rPr>
            </w:pPr>
            <w:r w:rsidRPr="00B15AE3">
              <w:rPr>
                <w:rFonts w:eastAsia="Arial" w:cs="Arial"/>
                <w:color w:val="000000" w:themeColor="text1"/>
              </w:rPr>
              <w:t>Completed</w:t>
            </w:r>
          </w:p>
        </w:tc>
        <w:tc>
          <w:tcPr>
            <w:tcW w:w="1311" w:type="pct"/>
            <w:tcMar>
              <w:top w:w="58" w:type="dxa"/>
              <w:left w:w="115" w:type="dxa"/>
              <w:bottom w:w="58" w:type="dxa"/>
              <w:right w:w="115" w:type="dxa"/>
            </w:tcMar>
            <w:vAlign w:val="center"/>
          </w:tcPr>
          <w:p w14:paraId="7D4346F6" w14:textId="77777777" w:rsidR="00186FF6" w:rsidRPr="00B15AE3" w:rsidRDefault="00186FF6">
            <w:pPr>
              <w:ind w:right="-18"/>
              <w:jc w:val="center"/>
              <w:rPr>
                <w:rFonts w:eastAsia="Arial" w:cs="Arial"/>
                <w:color w:val="000000" w:themeColor="text1"/>
              </w:rPr>
            </w:pPr>
            <w:r w:rsidRPr="00B15AE3">
              <w:rPr>
                <w:rFonts w:eastAsia="Arial" w:cs="Arial"/>
                <w:color w:val="000000" w:themeColor="text1"/>
              </w:rPr>
              <w:t>January 2024–October 2024</w:t>
            </w:r>
          </w:p>
          <w:p w14:paraId="0736EE68" w14:textId="77777777" w:rsidR="00534562" w:rsidRPr="00B15AE3" w:rsidRDefault="00534562">
            <w:pPr>
              <w:ind w:right="-18"/>
              <w:jc w:val="center"/>
              <w:rPr>
                <w:rFonts w:eastAsia="Arial" w:cs="Arial"/>
                <w:color w:val="000000" w:themeColor="text1"/>
              </w:rPr>
            </w:pPr>
          </w:p>
          <w:p w14:paraId="19064461" w14:textId="77777777" w:rsidR="00186FF6" w:rsidRPr="00B15AE3" w:rsidRDefault="00186FF6">
            <w:pPr>
              <w:ind w:right="-18"/>
              <w:jc w:val="center"/>
              <w:rPr>
                <w:rFonts w:eastAsia="Arial" w:cs="Arial"/>
                <w:color w:val="000000"/>
              </w:rPr>
            </w:pPr>
            <w:r w:rsidRPr="00B15AE3">
              <w:rPr>
                <w:rFonts w:eastAsia="Arial" w:cs="Arial"/>
                <w:color w:val="000000" w:themeColor="text1"/>
              </w:rPr>
              <w:t>In progress</w:t>
            </w:r>
          </w:p>
        </w:tc>
      </w:tr>
      <w:tr w:rsidR="00186FF6" w:rsidRPr="00F44C3C" w14:paraId="79C1B5E0" w14:textId="77777777" w:rsidTr="00186FF6">
        <w:trPr>
          <w:cantSplit/>
        </w:trPr>
        <w:tc>
          <w:tcPr>
            <w:tcW w:w="2329" w:type="pct"/>
            <w:tcMar>
              <w:top w:w="58" w:type="dxa"/>
              <w:left w:w="115" w:type="dxa"/>
              <w:bottom w:w="58" w:type="dxa"/>
              <w:right w:w="115" w:type="dxa"/>
            </w:tcMar>
          </w:tcPr>
          <w:p w14:paraId="0319D6E1" w14:textId="77777777" w:rsidR="00186FF6" w:rsidRPr="00F44C3C" w:rsidRDefault="00186FF6">
            <w:pPr>
              <w:numPr>
                <w:ilvl w:val="0"/>
                <w:numId w:val="12"/>
              </w:numPr>
              <w:ind w:left="516"/>
              <w:rPr>
                <w:rFonts w:eastAsia="Arial" w:cs="Arial"/>
                <w:color w:val="000000"/>
              </w:rPr>
            </w:pPr>
            <w:r w:rsidRPr="00F44C3C">
              <w:rPr>
                <w:rFonts w:eastAsia="Arial" w:cs="Arial"/>
                <w:color w:val="000000"/>
              </w:rPr>
              <w:t>Post Alternate Assessment Participation Decision-Making Tool</w:t>
            </w:r>
          </w:p>
        </w:tc>
        <w:tc>
          <w:tcPr>
            <w:tcW w:w="1360" w:type="pct"/>
            <w:tcMar>
              <w:top w:w="58" w:type="dxa"/>
              <w:left w:w="115" w:type="dxa"/>
              <w:bottom w:w="58" w:type="dxa"/>
              <w:right w:w="115" w:type="dxa"/>
            </w:tcMar>
            <w:vAlign w:val="center"/>
          </w:tcPr>
          <w:p w14:paraId="11551BE1" w14:textId="77777777" w:rsidR="00186FF6" w:rsidRPr="00B15AE3" w:rsidRDefault="00186FF6">
            <w:pPr>
              <w:ind w:right="-18"/>
              <w:jc w:val="center"/>
              <w:rPr>
                <w:rFonts w:eastAsia="Arial" w:cs="Arial"/>
                <w:color w:val="000000" w:themeColor="text1"/>
              </w:rPr>
            </w:pPr>
            <w:r w:rsidRPr="00B15AE3">
              <w:rPr>
                <w:rFonts w:eastAsia="Arial" w:cs="Arial"/>
                <w:color w:val="000000" w:themeColor="text1"/>
              </w:rPr>
              <w:t>N/A</w:t>
            </w:r>
          </w:p>
        </w:tc>
        <w:tc>
          <w:tcPr>
            <w:tcW w:w="1311" w:type="pct"/>
            <w:tcMar>
              <w:top w:w="58" w:type="dxa"/>
              <w:left w:w="115" w:type="dxa"/>
              <w:bottom w:w="58" w:type="dxa"/>
              <w:right w:w="115" w:type="dxa"/>
            </w:tcMar>
            <w:vAlign w:val="center"/>
          </w:tcPr>
          <w:p w14:paraId="091B4BAE" w14:textId="77777777" w:rsidR="00186FF6" w:rsidRPr="00B15AE3" w:rsidRDefault="00186FF6">
            <w:pPr>
              <w:ind w:right="-18"/>
              <w:jc w:val="center"/>
              <w:rPr>
                <w:rFonts w:eastAsia="Arial" w:cs="Arial"/>
                <w:color w:val="000000"/>
              </w:rPr>
            </w:pPr>
            <w:r w:rsidRPr="00B15AE3">
              <w:rPr>
                <w:rFonts w:eastAsia="Arial" w:cs="Arial"/>
                <w:color w:val="000000"/>
              </w:rPr>
              <w:t>May 2024</w:t>
            </w:r>
          </w:p>
          <w:p w14:paraId="26501D89" w14:textId="77777777" w:rsidR="00534562" w:rsidRPr="00B15AE3" w:rsidRDefault="00534562">
            <w:pPr>
              <w:ind w:right="-18"/>
              <w:jc w:val="center"/>
              <w:rPr>
                <w:rFonts w:eastAsia="Arial" w:cs="Arial"/>
                <w:color w:val="000000"/>
              </w:rPr>
            </w:pPr>
          </w:p>
          <w:p w14:paraId="7732FA85" w14:textId="77777777" w:rsidR="00186FF6" w:rsidRPr="00B15AE3" w:rsidRDefault="00186FF6">
            <w:pPr>
              <w:ind w:right="-18"/>
              <w:jc w:val="center"/>
              <w:rPr>
                <w:rFonts w:eastAsia="Arial" w:cs="Arial"/>
                <w:color w:val="000000"/>
              </w:rPr>
            </w:pPr>
            <w:r w:rsidRPr="00B15AE3">
              <w:rPr>
                <w:rFonts w:eastAsia="Arial" w:cs="Arial"/>
                <w:color w:val="000000"/>
              </w:rPr>
              <w:t>Completed</w:t>
            </w:r>
          </w:p>
        </w:tc>
      </w:tr>
      <w:tr w:rsidR="00186FF6" w:rsidRPr="00F44C3C" w14:paraId="5FB6E6FD" w14:textId="77777777" w:rsidTr="00186FF6">
        <w:trPr>
          <w:cantSplit/>
        </w:trPr>
        <w:tc>
          <w:tcPr>
            <w:tcW w:w="2329" w:type="pct"/>
            <w:tcMar>
              <w:top w:w="58" w:type="dxa"/>
              <w:left w:w="115" w:type="dxa"/>
              <w:bottom w:w="58" w:type="dxa"/>
              <w:right w:w="115" w:type="dxa"/>
            </w:tcMar>
          </w:tcPr>
          <w:p w14:paraId="176B526E" w14:textId="77777777" w:rsidR="00186FF6" w:rsidRPr="00F44C3C" w:rsidRDefault="00186FF6">
            <w:pPr>
              <w:numPr>
                <w:ilvl w:val="0"/>
                <w:numId w:val="12"/>
              </w:numPr>
              <w:ind w:left="516"/>
              <w:rPr>
                <w:rFonts w:eastAsia="Arial" w:cs="Arial"/>
                <w:color w:val="000000"/>
              </w:rPr>
            </w:pPr>
            <w:r w:rsidRPr="00F44C3C">
              <w:rPr>
                <w:rFonts w:eastAsia="Arial" w:cs="Arial"/>
                <w:color w:val="000000"/>
              </w:rPr>
              <w:t>Launch Alternate Assessment Reporting Widget in LEA TOMS</w:t>
            </w:r>
          </w:p>
        </w:tc>
        <w:tc>
          <w:tcPr>
            <w:tcW w:w="1360" w:type="pct"/>
            <w:tcMar>
              <w:top w:w="58" w:type="dxa"/>
              <w:left w:w="115" w:type="dxa"/>
              <w:bottom w:w="58" w:type="dxa"/>
              <w:right w:w="115" w:type="dxa"/>
            </w:tcMar>
            <w:vAlign w:val="center"/>
          </w:tcPr>
          <w:p w14:paraId="0B4609C6" w14:textId="77777777" w:rsidR="00186FF6" w:rsidRPr="00B15AE3" w:rsidRDefault="00186FF6">
            <w:pPr>
              <w:ind w:right="-18"/>
              <w:jc w:val="center"/>
              <w:rPr>
                <w:rFonts w:eastAsia="Arial" w:cs="Arial"/>
                <w:color w:val="000000" w:themeColor="text1"/>
              </w:rPr>
            </w:pPr>
            <w:r w:rsidRPr="00B15AE3">
              <w:rPr>
                <w:rFonts w:eastAsia="Arial" w:cs="Arial"/>
                <w:color w:val="000000" w:themeColor="text1"/>
              </w:rPr>
              <w:t>N/A</w:t>
            </w:r>
          </w:p>
        </w:tc>
        <w:tc>
          <w:tcPr>
            <w:tcW w:w="1311" w:type="pct"/>
            <w:tcMar>
              <w:top w:w="58" w:type="dxa"/>
              <w:left w:w="115" w:type="dxa"/>
              <w:bottom w:w="58" w:type="dxa"/>
              <w:right w:w="115" w:type="dxa"/>
            </w:tcMar>
            <w:vAlign w:val="center"/>
          </w:tcPr>
          <w:p w14:paraId="18F1B32B" w14:textId="77777777" w:rsidR="00186FF6" w:rsidRPr="00B15AE3" w:rsidRDefault="00186FF6">
            <w:pPr>
              <w:ind w:right="-18"/>
              <w:jc w:val="center"/>
              <w:rPr>
                <w:rFonts w:eastAsia="Arial" w:cs="Arial"/>
                <w:color w:val="000000"/>
              </w:rPr>
            </w:pPr>
            <w:r w:rsidRPr="00B15AE3">
              <w:rPr>
                <w:rFonts w:eastAsia="Arial" w:cs="Arial"/>
                <w:color w:val="000000"/>
              </w:rPr>
              <w:t>September 2024</w:t>
            </w:r>
          </w:p>
          <w:p w14:paraId="46A7039B" w14:textId="77777777" w:rsidR="00534562" w:rsidRPr="00B15AE3" w:rsidRDefault="00534562">
            <w:pPr>
              <w:ind w:right="-18"/>
              <w:jc w:val="center"/>
              <w:rPr>
                <w:rFonts w:eastAsia="Arial" w:cs="Arial"/>
                <w:color w:val="000000"/>
              </w:rPr>
            </w:pPr>
          </w:p>
          <w:p w14:paraId="0B7341FB" w14:textId="77777777" w:rsidR="00186FF6" w:rsidRPr="00B15AE3" w:rsidRDefault="00186FF6">
            <w:pPr>
              <w:ind w:right="-18"/>
              <w:jc w:val="center"/>
              <w:rPr>
                <w:rFonts w:eastAsia="Arial" w:cs="Arial"/>
                <w:color w:val="000000"/>
              </w:rPr>
            </w:pPr>
            <w:r w:rsidRPr="00B15AE3">
              <w:rPr>
                <w:rFonts w:eastAsia="Arial" w:cs="Arial"/>
                <w:color w:val="000000"/>
              </w:rPr>
              <w:t>In progress</w:t>
            </w:r>
          </w:p>
        </w:tc>
      </w:tr>
    </w:tbl>
    <w:p w14:paraId="082E9C41" w14:textId="77777777" w:rsidR="0097276A" w:rsidRPr="00F44C3C" w:rsidRDefault="0097276A" w:rsidP="0097276A">
      <w:pPr>
        <w:ind w:left="1440"/>
        <w:rPr>
          <w:rFonts w:eastAsiaTheme="majorEastAsia"/>
        </w:rPr>
      </w:pPr>
    </w:p>
    <w:p w14:paraId="5A526CD9" w14:textId="13E60221" w:rsidR="00F44C3C" w:rsidRPr="00F44C3C" w:rsidRDefault="00F44C3C" w:rsidP="00F44C3C">
      <w:pPr>
        <w:keepNext/>
        <w:spacing w:before="120" w:after="240" w:line="259" w:lineRule="auto"/>
        <w:ind w:left="1440" w:right="1440"/>
        <w:rPr>
          <w:rFonts w:eastAsia="Calibri" w:cs="Arial"/>
        </w:rPr>
      </w:pPr>
      <w:r w:rsidRPr="00F44C3C">
        <w:rPr>
          <w:rFonts w:eastAsia="Calibri" w:cs="Arial"/>
        </w:rPr>
        <w:t xml:space="preserve">For questions related to this letter, please contact Mao Vang, Director, Assessment Development and Administration Division, </w:t>
      </w:r>
      <w:r w:rsidR="008F4588">
        <w:rPr>
          <w:rFonts w:eastAsia="Calibri" w:cs="Arial"/>
        </w:rPr>
        <w:t xml:space="preserve">by phone </w:t>
      </w:r>
      <w:r w:rsidRPr="00F44C3C">
        <w:rPr>
          <w:rFonts w:eastAsia="Calibri" w:cs="Arial"/>
        </w:rPr>
        <w:t xml:space="preserve">at 916-324-9566 or </w:t>
      </w:r>
      <w:r w:rsidR="008F4588">
        <w:rPr>
          <w:rFonts w:eastAsia="Calibri" w:cs="Arial"/>
        </w:rPr>
        <w:t xml:space="preserve">by email at </w:t>
      </w:r>
      <w:hyperlink r:id="rId33" w:history="1">
        <w:r w:rsidR="008F4588" w:rsidRPr="00D315D7">
          <w:rPr>
            <w:rStyle w:val="Hyperlink"/>
            <w:rFonts w:eastAsia="Calibri" w:cs="Arial"/>
          </w:rPr>
          <w:t>mvang@cde.ca.gov</w:t>
        </w:r>
      </w:hyperlink>
      <w:r w:rsidRPr="00F44C3C">
        <w:rPr>
          <w:rFonts w:eastAsia="Arial" w:cs="Arial"/>
        </w:rPr>
        <w:t>.</w:t>
      </w:r>
    </w:p>
    <w:p w14:paraId="2726B6D9" w14:textId="77777777" w:rsidR="00F44C3C" w:rsidRPr="00F44C3C" w:rsidRDefault="00F44C3C" w:rsidP="00F44C3C">
      <w:pPr>
        <w:spacing w:before="240" w:after="240"/>
        <w:ind w:left="1440" w:right="1440"/>
        <w:rPr>
          <w:rFonts w:eastAsia="Calibri" w:cs="Arial"/>
        </w:rPr>
      </w:pPr>
      <w:r w:rsidRPr="00F44C3C">
        <w:rPr>
          <w:rFonts w:eastAsia="Calibri" w:cs="Arial"/>
        </w:rPr>
        <w:t>Sincerely,</w:t>
      </w:r>
    </w:p>
    <w:p w14:paraId="13415988" w14:textId="77777777" w:rsidR="00F44C3C" w:rsidRPr="00F44C3C" w:rsidRDefault="00F44C3C" w:rsidP="00F44C3C">
      <w:pPr>
        <w:spacing w:before="240" w:after="240"/>
        <w:ind w:left="1440" w:right="1440"/>
        <w:rPr>
          <w:rFonts w:eastAsia="Calibri" w:cs="Arial"/>
          <w:b/>
          <w:bCs/>
          <w:i/>
          <w:iCs/>
        </w:rPr>
      </w:pPr>
      <w:r w:rsidRPr="00B15AE3">
        <w:rPr>
          <w:rFonts w:eastAsia="Calibri" w:cs="Arial"/>
          <w:i/>
          <w:iCs/>
        </w:rPr>
        <w:t>Signed by</w:t>
      </w:r>
      <w:r w:rsidRPr="00F44C3C">
        <w:rPr>
          <w:rFonts w:ascii="Times New Roman" w:hAnsi="Times New Roman"/>
        </w:rPr>
        <w:tab/>
      </w:r>
      <w:r w:rsidRPr="00F44C3C">
        <w:rPr>
          <w:rFonts w:ascii="Times New Roman" w:hAnsi="Times New Roman"/>
        </w:rPr>
        <w:tab/>
      </w:r>
      <w:r w:rsidRPr="00F44C3C">
        <w:rPr>
          <w:rFonts w:ascii="Times New Roman" w:hAnsi="Times New Roman"/>
        </w:rPr>
        <w:tab/>
      </w:r>
      <w:r w:rsidRPr="00F44C3C">
        <w:rPr>
          <w:rFonts w:ascii="Times New Roman" w:hAnsi="Times New Roman"/>
        </w:rPr>
        <w:tab/>
      </w:r>
      <w:r w:rsidRPr="00F44C3C">
        <w:rPr>
          <w:rFonts w:ascii="Times New Roman" w:hAnsi="Times New Roman"/>
        </w:rPr>
        <w:tab/>
      </w:r>
      <w:r w:rsidRPr="00F44C3C">
        <w:rPr>
          <w:rFonts w:ascii="Times New Roman" w:hAnsi="Times New Roman"/>
        </w:rPr>
        <w:tab/>
      </w:r>
    </w:p>
    <w:p w14:paraId="4D1480CF" w14:textId="77777777" w:rsidR="00F44C3C" w:rsidRPr="00F44C3C" w:rsidRDefault="00F44C3C" w:rsidP="00F44C3C">
      <w:pPr>
        <w:spacing w:before="240"/>
        <w:ind w:left="1440" w:right="1440"/>
        <w:rPr>
          <w:rFonts w:eastAsia="Calibri" w:cs="Arial"/>
          <w:b/>
          <w:bCs/>
        </w:rPr>
      </w:pPr>
      <w:r w:rsidRPr="00F44C3C">
        <w:rPr>
          <w:rFonts w:eastAsia="Calibri" w:cs="Arial"/>
        </w:rPr>
        <w:t>Tony Thurmond</w:t>
      </w:r>
      <w:r w:rsidRPr="00F44C3C">
        <w:rPr>
          <w:rFonts w:ascii="Times New Roman" w:hAnsi="Times New Roman"/>
        </w:rPr>
        <w:tab/>
      </w:r>
      <w:r w:rsidRPr="00F44C3C">
        <w:rPr>
          <w:rFonts w:ascii="Times New Roman" w:hAnsi="Times New Roman"/>
        </w:rPr>
        <w:tab/>
      </w:r>
      <w:r w:rsidRPr="00F44C3C">
        <w:rPr>
          <w:rFonts w:ascii="Times New Roman" w:hAnsi="Times New Roman"/>
        </w:rPr>
        <w:tab/>
      </w:r>
      <w:r w:rsidRPr="00F44C3C">
        <w:rPr>
          <w:rFonts w:ascii="Times New Roman" w:hAnsi="Times New Roman"/>
        </w:rPr>
        <w:tab/>
      </w:r>
      <w:r w:rsidRPr="00F44C3C">
        <w:rPr>
          <w:rFonts w:ascii="Times New Roman" w:hAnsi="Times New Roman"/>
        </w:rPr>
        <w:tab/>
      </w:r>
    </w:p>
    <w:p w14:paraId="269E6D34" w14:textId="77777777" w:rsidR="00F44C3C" w:rsidRPr="00F44C3C" w:rsidRDefault="00F44C3C" w:rsidP="00F44C3C">
      <w:pPr>
        <w:ind w:left="1440" w:right="1440"/>
        <w:rPr>
          <w:rFonts w:eastAsia="Calibri" w:cs="Arial"/>
          <w:b/>
          <w:bCs/>
        </w:rPr>
      </w:pPr>
      <w:r w:rsidRPr="00F44C3C">
        <w:rPr>
          <w:rFonts w:eastAsia="Calibri" w:cs="Arial"/>
        </w:rPr>
        <w:t>State Superintendent of Public Instruction</w:t>
      </w:r>
      <w:r w:rsidRPr="00F44C3C">
        <w:rPr>
          <w:rFonts w:ascii="Times New Roman" w:hAnsi="Times New Roman"/>
        </w:rPr>
        <w:tab/>
      </w:r>
    </w:p>
    <w:p w14:paraId="26D01BDD" w14:textId="77777777" w:rsidR="00F44C3C" w:rsidRPr="00F44C3C" w:rsidRDefault="00F44C3C" w:rsidP="00F44C3C">
      <w:pPr>
        <w:spacing w:after="240"/>
        <w:ind w:left="1440" w:right="1440"/>
        <w:rPr>
          <w:rFonts w:eastAsia="Calibri" w:cs="Arial"/>
        </w:rPr>
      </w:pPr>
      <w:r w:rsidRPr="00F44C3C">
        <w:rPr>
          <w:rFonts w:eastAsia="Calibri" w:cs="Arial"/>
        </w:rPr>
        <w:t>California Department of Education</w:t>
      </w:r>
      <w:r w:rsidRPr="00F44C3C">
        <w:rPr>
          <w:rFonts w:ascii="Times New Roman" w:hAnsi="Times New Roman"/>
        </w:rPr>
        <w:tab/>
      </w:r>
      <w:r w:rsidRPr="00F44C3C">
        <w:rPr>
          <w:rFonts w:ascii="Times New Roman" w:hAnsi="Times New Roman"/>
        </w:rPr>
        <w:tab/>
      </w:r>
    </w:p>
    <w:p w14:paraId="18C9BB10" w14:textId="77777777" w:rsidR="00F44C3C" w:rsidRPr="00F44C3C" w:rsidRDefault="00F44C3C" w:rsidP="00F44C3C">
      <w:pPr>
        <w:keepNext/>
        <w:spacing w:before="240" w:after="240" w:line="259" w:lineRule="auto"/>
        <w:ind w:left="1440"/>
        <w:rPr>
          <w:rFonts w:eastAsia="Calibri" w:cs="Arial"/>
          <w:b/>
          <w:bCs/>
          <w:i/>
          <w:iCs/>
        </w:rPr>
      </w:pPr>
      <w:r w:rsidRPr="00B15AE3">
        <w:rPr>
          <w:rFonts w:eastAsia="Calibri" w:cs="Arial"/>
          <w:i/>
          <w:iCs/>
        </w:rPr>
        <w:t>Signed by</w:t>
      </w:r>
    </w:p>
    <w:p w14:paraId="0E1A1D1F" w14:textId="77777777" w:rsidR="00F44C3C" w:rsidRPr="00F44C3C" w:rsidRDefault="00F44C3C" w:rsidP="00F44C3C">
      <w:pPr>
        <w:keepNext/>
        <w:spacing w:line="259" w:lineRule="auto"/>
        <w:ind w:left="1440"/>
        <w:rPr>
          <w:rFonts w:eastAsia="Calibri" w:cs="Arial"/>
          <w:b/>
          <w:bCs/>
        </w:rPr>
      </w:pPr>
      <w:r w:rsidRPr="00F44C3C">
        <w:rPr>
          <w:rFonts w:eastAsia="Calibri" w:cs="Arial"/>
        </w:rPr>
        <w:t>Linda Darling-Hammond</w:t>
      </w:r>
    </w:p>
    <w:p w14:paraId="1ADBEC9B" w14:textId="77777777" w:rsidR="00F44C3C" w:rsidRPr="00F44C3C" w:rsidRDefault="00F44C3C" w:rsidP="00F44C3C">
      <w:pPr>
        <w:keepNext/>
        <w:spacing w:line="259" w:lineRule="auto"/>
        <w:ind w:left="1440"/>
        <w:rPr>
          <w:rFonts w:eastAsia="Calibri" w:cs="Arial"/>
          <w:b/>
          <w:bCs/>
        </w:rPr>
      </w:pPr>
      <w:r w:rsidRPr="00F44C3C">
        <w:rPr>
          <w:rFonts w:eastAsia="Calibri" w:cs="Arial"/>
        </w:rPr>
        <w:t>President</w:t>
      </w:r>
    </w:p>
    <w:p w14:paraId="0210AE95" w14:textId="77777777" w:rsidR="00F44C3C" w:rsidRPr="00F44C3C" w:rsidRDefault="00F44C3C" w:rsidP="00F44C3C">
      <w:pPr>
        <w:keepNext/>
        <w:spacing w:line="259" w:lineRule="auto"/>
        <w:ind w:left="1440"/>
        <w:rPr>
          <w:rFonts w:eastAsia="Calibri" w:cs="Arial"/>
        </w:rPr>
      </w:pPr>
      <w:r w:rsidRPr="00F44C3C">
        <w:rPr>
          <w:rFonts w:eastAsia="Calibri" w:cs="Arial"/>
        </w:rPr>
        <w:t>California State Board of Education</w:t>
      </w:r>
    </w:p>
    <w:p w14:paraId="55064D6A" w14:textId="77777777" w:rsidR="00F44C3C" w:rsidRPr="00F44C3C" w:rsidRDefault="00F44C3C" w:rsidP="00F44C3C">
      <w:pPr>
        <w:keepNext/>
        <w:spacing w:before="240" w:after="240" w:line="259" w:lineRule="auto"/>
        <w:ind w:left="1440"/>
        <w:rPr>
          <w:rFonts w:eastAsia="Calibri" w:cs="Arial"/>
        </w:rPr>
        <w:sectPr w:rsidR="00F44C3C" w:rsidRPr="00F44C3C" w:rsidSect="00F44C3C">
          <w:headerReference w:type="default" r:id="rId34"/>
          <w:footerReference w:type="default" r:id="rId35"/>
          <w:headerReference w:type="first" r:id="rId36"/>
          <w:footerReference w:type="first" r:id="rId37"/>
          <w:pgSz w:w="12240" w:h="15840" w:code="1"/>
          <w:pgMar w:top="0" w:right="0" w:bottom="1530" w:left="0" w:header="720" w:footer="720" w:gutter="0"/>
          <w:pgNumType w:start="1"/>
          <w:cols w:space="720"/>
          <w:docGrid w:linePitch="360"/>
        </w:sectPr>
      </w:pPr>
      <w:r w:rsidRPr="00F44C3C">
        <w:rPr>
          <w:rFonts w:eastAsia="Calibri" w:cs="Arial"/>
        </w:rPr>
        <w:t>TT/</w:t>
      </w:r>
      <w:proofErr w:type="spellStart"/>
      <w:proofErr w:type="gramStart"/>
      <w:r w:rsidRPr="00F44C3C">
        <w:rPr>
          <w:rFonts w:eastAsia="Calibri" w:cs="Arial"/>
        </w:rPr>
        <w:t>LDH:dt</w:t>
      </w:r>
      <w:proofErr w:type="spellEnd"/>
      <w:proofErr w:type="gramEnd"/>
    </w:p>
    <w:bookmarkEnd w:id="0"/>
    <w:p w14:paraId="23F2DB0F" w14:textId="77777777" w:rsidR="00F44C3C" w:rsidRDefault="00F44C3C" w:rsidP="00F44C3C">
      <w:pPr>
        <w:spacing w:after="240"/>
      </w:pPr>
    </w:p>
    <w:sectPr w:rsidR="00F44C3C" w:rsidSect="00F44C3C">
      <w:footerReference w:type="default" r:id="rId38"/>
      <w:headerReference w:type="first" r:id="rId39"/>
      <w:footerReference w:type="first" r:id="rId40"/>
      <w:type w:val="continuous"/>
      <w:pgSz w:w="12240" w:h="15840" w:code="1"/>
      <w:pgMar w:top="0" w:right="0" w:bottom="1440" w:left="0" w:header="720" w:footer="720" w:gutter="0"/>
      <w:cols w:num="2" w:space="1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16B562" w14:textId="77777777" w:rsidR="000C5678" w:rsidRDefault="000C5678" w:rsidP="000E09DC">
      <w:r>
        <w:separator/>
      </w:r>
    </w:p>
  </w:endnote>
  <w:endnote w:type="continuationSeparator" w:id="0">
    <w:p w14:paraId="615AEE3F" w14:textId="77777777" w:rsidR="000C5678" w:rsidRDefault="000C5678" w:rsidP="000E09DC">
      <w:r>
        <w:continuationSeparator/>
      </w:r>
    </w:p>
  </w:endnote>
  <w:endnote w:type="continuationNotice" w:id="1">
    <w:p w14:paraId="69800164" w14:textId="77777777" w:rsidR="000C5678" w:rsidRDefault="000C56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1440"/>
      <w:gridCol w:w="1440"/>
      <w:gridCol w:w="1440"/>
    </w:tblGrid>
    <w:tr w:rsidR="771A04C2" w14:paraId="6EFCED86" w14:textId="77777777" w:rsidTr="00E266E1">
      <w:trPr>
        <w:trHeight w:val="300"/>
      </w:trPr>
      <w:tc>
        <w:tcPr>
          <w:tcW w:w="1440" w:type="dxa"/>
        </w:tcPr>
        <w:p w14:paraId="0E120513" w14:textId="7F8E4D3E" w:rsidR="771A04C2" w:rsidRDefault="771A04C2" w:rsidP="00E266E1">
          <w:pPr>
            <w:pStyle w:val="Header"/>
            <w:ind w:left="-115"/>
          </w:pPr>
        </w:p>
      </w:tc>
      <w:tc>
        <w:tcPr>
          <w:tcW w:w="1440" w:type="dxa"/>
        </w:tcPr>
        <w:p w14:paraId="4594A35F" w14:textId="26F4B4EC" w:rsidR="771A04C2" w:rsidRDefault="771A04C2" w:rsidP="00E266E1">
          <w:pPr>
            <w:pStyle w:val="Header"/>
            <w:jc w:val="center"/>
          </w:pPr>
        </w:p>
      </w:tc>
      <w:tc>
        <w:tcPr>
          <w:tcW w:w="1440" w:type="dxa"/>
        </w:tcPr>
        <w:p w14:paraId="73245FE6" w14:textId="6E29AB77" w:rsidR="771A04C2" w:rsidRDefault="771A04C2" w:rsidP="00E266E1">
          <w:pPr>
            <w:pStyle w:val="Header"/>
            <w:ind w:right="-115"/>
            <w:jc w:val="right"/>
          </w:pPr>
        </w:p>
      </w:tc>
    </w:tr>
  </w:tbl>
  <w:p w14:paraId="2AA8EB84" w14:textId="2FCA1C08" w:rsidR="009A56A3" w:rsidRDefault="009A56A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771A04C2" w14:paraId="61A82C47" w14:textId="77777777" w:rsidTr="00E266E1">
      <w:trPr>
        <w:trHeight w:val="300"/>
      </w:trPr>
      <w:tc>
        <w:tcPr>
          <w:tcW w:w="3120" w:type="dxa"/>
        </w:tcPr>
        <w:p w14:paraId="4FF02B87" w14:textId="4089FADE" w:rsidR="771A04C2" w:rsidRDefault="771A04C2" w:rsidP="00E266E1">
          <w:pPr>
            <w:pStyle w:val="Header"/>
            <w:ind w:left="-115"/>
          </w:pPr>
        </w:p>
      </w:tc>
      <w:tc>
        <w:tcPr>
          <w:tcW w:w="3120" w:type="dxa"/>
        </w:tcPr>
        <w:p w14:paraId="61FAA478" w14:textId="6C5B1821" w:rsidR="771A04C2" w:rsidRDefault="771A04C2" w:rsidP="00E266E1">
          <w:pPr>
            <w:pStyle w:val="Header"/>
            <w:jc w:val="center"/>
          </w:pPr>
        </w:p>
      </w:tc>
      <w:tc>
        <w:tcPr>
          <w:tcW w:w="3120" w:type="dxa"/>
        </w:tcPr>
        <w:p w14:paraId="2B36E0C3" w14:textId="3DA03161" w:rsidR="771A04C2" w:rsidRDefault="771A04C2" w:rsidP="00E266E1">
          <w:pPr>
            <w:pStyle w:val="Header"/>
            <w:ind w:right="-115"/>
            <w:jc w:val="right"/>
          </w:pPr>
        </w:p>
      </w:tc>
    </w:tr>
  </w:tbl>
  <w:p w14:paraId="50864435" w14:textId="4ADCA2DC" w:rsidR="009A56A3" w:rsidRDefault="009A56A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BC6CF0" w14:textId="72796568" w:rsidR="009A56A3" w:rsidRDefault="009A56A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24AA8B" w14:textId="77777777" w:rsidR="00F44C3C" w:rsidRDefault="00F44C3C" w:rsidP="00996A5B">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B4F917" w14:textId="77777777" w:rsidR="00F44C3C" w:rsidRDefault="00F44C3C" w:rsidP="00996A5B">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010"/>
      <w:gridCol w:w="2010"/>
      <w:gridCol w:w="2010"/>
    </w:tblGrid>
    <w:tr w:rsidR="00996A5B" w14:paraId="1543C88D" w14:textId="77777777" w:rsidTr="00996A5B">
      <w:trPr>
        <w:trHeight w:val="300"/>
      </w:trPr>
      <w:tc>
        <w:tcPr>
          <w:tcW w:w="2010" w:type="dxa"/>
        </w:tcPr>
        <w:p w14:paraId="1ABEBDA7" w14:textId="77777777" w:rsidR="00212A27" w:rsidRDefault="00212A27" w:rsidP="00996A5B">
          <w:pPr>
            <w:pStyle w:val="Header"/>
            <w:ind w:left="-115"/>
          </w:pPr>
        </w:p>
      </w:tc>
      <w:tc>
        <w:tcPr>
          <w:tcW w:w="2010" w:type="dxa"/>
        </w:tcPr>
        <w:p w14:paraId="227E6159" w14:textId="77777777" w:rsidR="00212A27" w:rsidRDefault="00212A27" w:rsidP="00996A5B">
          <w:pPr>
            <w:pStyle w:val="Header"/>
            <w:jc w:val="center"/>
          </w:pPr>
        </w:p>
      </w:tc>
      <w:tc>
        <w:tcPr>
          <w:tcW w:w="2010" w:type="dxa"/>
        </w:tcPr>
        <w:p w14:paraId="65695737" w14:textId="77777777" w:rsidR="00212A27" w:rsidRDefault="00212A27" w:rsidP="00996A5B">
          <w:pPr>
            <w:pStyle w:val="Header"/>
            <w:ind w:right="-115"/>
            <w:jc w:val="right"/>
          </w:pPr>
        </w:p>
      </w:tc>
    </w:tr>
  </w:tbl>
  <w:p w14:paraId="64718E74" w14:textId="77777777" w:rsidR="00212A27" w:rsidRDefault="00212A27">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2010"/>
      <w:gridCol w:w="2010"/>
      <w:gridCol w:w="2010"/>
    </w:tblGrid>
    <w:tr w:rsidR="00996A5B" w14:paraId="08A75183" w14:textId="77777777" w:rsidTr="00996A5B">
      <w:trPr>
        <w:trHeight w:val="300"/>
      </w:trPr>
      <w:tc>
        <w:tcPr>
          <w:tcW w:w="2010" w:type="dxa"/>
        </w:tcPr>
        <w:p w14:paraId="00A97CE7" w14:textId="77777777" w:rsidR="00212A27" w:rsidRDefault="00212A27" w:rsidP="00996A5B">
          <w:pPr>
            <w:pStyle w:val="Header"/>
            <w:ind w:left="-115"/>
          </w:pPr>
        </w:p>
      </w:tc>
      <w:tc>
        <w:tcPr>
          <w:tcW w:w="2010" w:type="dxa"/>
        </w:tcPr>
        <w:p w14:paraId="01294D10" w14:textId="77777777" w:rsidR="00212A27" w:rsidRDefault="00212A27" w:rsidP="00996A5B">
          <w:pPr>
            <w:pStyle w:val="Header"/>
            <w:jc w:val="center"/>
          </w:pPr>
        </w:p>
      </w:tc>
      <w:tc>
        <w:tcPr>
          <w:tcW w:w="2010" w:type="dxa"/>
        </w:tcPr>
        <w:p w14:paraId="287E198F" w14:textId="77777777" w:rsidR="00212A27" w:rsidRDefault="00212A27" w:rsidP="00996A5B">
          <w:pPr>
            <w:pStyle w:val="Header"/>
            <w:ind w:right="-115"/>
            <w:jc w:val="right"/>
          </w:pPr>
        </w:p>
      </w:tc>
    </w:tr>
  </w:tbl>
  <w:p w14:paraId="15EECF85" w14:textId="77777777" w:rsidR="00212A27" w:rsidRDefault="00212A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EDEDE5" w14:textId="77777777" w:rsidR="000C5678" w:rsidRDefault="000C5678" w:rsidP="000E09DC">
      <w:r>
        <w:separator/>
      </w:r>
    </w:p>
  </w:footnote>
  <w:footnote w:type="continuationSeparator" w:id="0">
    <w:p w14:paraId="35F56F11" w14:textId="77777777" w:rsidR="000C5678" w:rsidRDefault="000C5678" w:rsidP="000E09DC">
      <w:r>
        <w:continuationSeparator/>
      </w:r>
    </w:p>
  </w:footnote>
  <w:footnote w:type="continuationNotice" w:id="1">
    <w:p w14:paraId="179960D9" w14:textId="77777777" w:rsidR="000C5678" w:rsidRDefault="000C567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E8AF7E" w14:textId="77777777" w:rsidR="000E09DC" w:rsidRPr="000E09DC" w:rsidRDefault="00240B26"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5AA14C37" w14:textId="77777777" w:rsidR="000E09DC" w:rsidRDefault="000E09DC"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47534A">
      <w:rPr>
        <w:rFonts w:cs="Arial"/>
        <w:noProof/>
      </w:rPr>
      <w:t>2</w:t>
    </w:r>
    <w:r w:rsidRPr="000E09DC">
      <w:rPr>
        <w:rFonts w:cs="Arial"/>
        <w:noProof/>
      </w:rPr>
      <w:fldChar w:fldCharType="end"/>
    </w:r>
    <w:r w:rsidRPr="000E09DC">
      <w:rPr>
        <w:rFonts w:cs="Arial"/>
      </w:rPr>
      <w:t xml:space="preserve"> of </w:t>
    </w:r>
    <w:r w:rsidR="00527B0E">
      <w:rPr>
        <w:rFonts w:cs="Arial"/>
      </w:rPr>
      <w:t>3</w:t>
    </w:r>
  </w:p>
  <w:p w14:paraId="78F5B2D8" w14:textId="77777777" w:rsidR="00527B0E" w:rsidRPr="00527B0E" w:rsidRDefault="00527B0E"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18336367"/>
      <w:docPartObj>
        <w:docPartGallery w:val="Page Numbers (Top of Page)"/>
        <w:docPartUnique/>
      </w:docPartObj>
    </w:sdtPr>
    <w:sdtContent>
      <w:p w14:paraId="121C5C1A" w14:textId="45943E9B" w:rsidR="00103BC6" w:rsidRDefault="00103BC6">
        <w:pPr>
          <w:pStyle w:val="Header"/>
          <w:jc w:val="right"/>
        </w:pPr>
        <w:r>
          <w:t>im</w:t>
        </w:r>
        <w:r w:rsidR="00D90A04">
          <w:t>a</w:t>
        </w:r>
        <w:r>
          <w:t>b-adad-</w:t>
        </w:r>
        <w:r w:rsidR="00044EB7">
          <w:t>jul</w:t>
        </w:r>
        <w:r w:rsidR="001C7B46">
          <w:t>24</w:t>
        </w:r>
        <w:r>
          <w:t>item</w:t>
        </w:r>
        <w:r w:rsidR="00616E13">
          <w:t>0</w:t>
        </w:r>
        <w:r w:rsidR="00D80774">
          <w:t>4</w:t>
        </w:r>
      </w:p>
      <w:p w14:paraId="650600CC" w14:textId="3FB8ED7D" w:rsidR="00223112" w:rsidRPr="00103BC6" w:rsidRDefault="00103BC6" w:rsidP="00103BC6">
        <w:pPr>
          <w:pStyle w:val="Header"/>
          <w:spacing w:after="360"/>
          <w:jc w:val="right"/>
        </w:pPr>
        <w:r>
          <w:t xml:space="preserve">Page </w:t>
        </w:r>
        <w:r w:rsidRPr="00103BC6">
          <w:rPr>
            <w:bCs/>
          </w:rPr>
          <w:fldChar w:fldCharType="begin"/>
        </w:r>
        <w:r w:rsidRPr="00103BC6">
          <w:rPr>
            <w:bCs/>
          </w:rPr>
          <w:instrText xml:space="preserve"> PAGE </w:instrText>
        </w:r>
        <w:r w:rsidRPr="00103BC6">
          <w:rPr>
            <w:bCs/>
          </w:rPr>
          <w:fldChar w:fldCharType="separate"/>
        </w:r>
        <w:r w:rsidRPr="00103BC6">
          <w:rPr>
            <w:bCs/>
            <w:noProof/>
          </w:rPr>
          <w:t>2</w:t>
        </w:r>
        <w:r w:rsidRPr="00103BC6">
          <w:rPr>
            <w:bCs/>
          </w:rPr>
          <w:fldChar w:fldCharType="end"/>
        </w:r>
        <w:r>
          <w:t xml:space="preserve"> of </w:t>
        </w:r>
        <w:r w:rsidR="006C2CB5">
          <w:rPr>
            <w:bCs/>
          </w:rPr>
          <w:t>4</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87588484"/>
      <w:docPartObj>
        <w:docPartGallery w:val="Page Numbers (Top of Page)"/>
        <w:docPartUnique/>
      </w:docPartObj>
    </w:sdtPr>
    <w:sdtContent>
      <w:p w14:paraId="7A678089" w14:textId="77777777" w:rsidR="00F44C3C" w:rsidRDefault="00F44C3C" w:rsidP="00F44C3C">
        <w:pPr>
          <w:pStyle w:val="Header"/>
          <w:ind w:right="1440"/>
          <w:jc w:val="right"/>
        </w:pPr>
        <w:r>
          <w:t>imab-adad-jul24item04</w:t>
        </w:r>
      </w:p>
      <w:p w14:paraId="648B0ADE" w14:textId="6F278DF0" w:rsidR="00F44C3C" w:rsidRDefault="00F44C3C" w:rsidP="00F44C3C">
        <w:pPr>
          <w:pStyle w:val="Header"/>
          <w:ind w:right="1440"/>
          <w:jc w:val="right"/>
        </w:pPr>
        <w:r>
          <w:t>Attachment 2</w:t>
        </w:r>
      </w:p>
      <w:p w14:paraId="6FBB0AAB" w14:textId="0AF5110F" w:rsidR="00F44C3C" w:rsidRPr="00103BC6" w:rsidRDefault="00F44C3C" w:rsidP="00F44C3C">
        <w:pPr>
          <w:pStyle w:val="Header"/>
          <w:spacing w:after="360"/>
          <w:ind w:right="1440"/>
          <w:jc w:val="right"/>
        </w:pPr>
        <w:r>
          <w:t xml:space="preserve">Page </w:t>
        </w:r>
        <w:r w:rsidRPr="00103BC6">
          <w:rPr>
            <w:bCs/>
          </w:rPr>
          <w:fldChar w:fldCharType="begin"/>
        </w:r>
        <w:r w:rsidRPr="00103BC6">
          <w:rPr>
            <w:bCs/>
          </w:rPr>
          <w:instrText xml:space="preserve"> PAGE </w:instrText>
        </w:r>
        <w:r w:rsidRPr="00103BC6">
          <w:rPr>
            <w:bCs/>
          </w:rPr>
          <w:fldChar w:fldCharType="separate"/>
        </w:r>
        <w:r w:rsidRPr="00103BC6">
          <w:rPr>
            <w:bCs/>
            <w:noProof/>
          </w:rPr>
          <w:t>2</w:t>
        </w:r>
        <w:r w:rsidRPr="00103BC6">
          <w:rPr>
            <w:bCs/>
          </w:rPr>
          <w:fldChar w:fldCharType="end"/>
        </w:r>
        <w:r>
          <w:t xml:space="preserve"> of </w:t>
        </w:r>
        <w:r w:rsidR="006D2177" w:rsidRPr="00237E0F">
          <w:rPr>
            <w:bCs/>
          </w:rPr>
          <w:t>7</w:t>
        </w: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8381352"/>
      <w:docPartObj>
        <w:docPartGallery w:val="Page Numbers (Top of Page)"/>
        <w:docPartUnique/>
      </w:docPartObj>
    </w:sdtPr>
    <w:sdtContent>
      <w:p w14:paraId="61F9CCF9" w14:textId="45B8C79A" w:rsidR="00F44C3C" w:rsidRDefault="00F44C3C" w:rsidP="00F44C3C">
        <w:pPr>
          <w:pStyle w:val="Header"/>
          <w:ind w:left="1440" w:right="1440"/>
          <w:jc w:val="right"/>
        </w:pPr>
        <w:r>
          <w:t>imab-adad-jul24item04</w:t>
        </w:r>
      </w:p>
      <w:p w14:paraId="1CFE8AAD" w14:textId="4802FAE3" w:rsidR="00F44C3C" w:rsidRDefault="00F44C3C" w:rsidP="00F44C3C">
        <w:pPr>
          <w:pStyle w:val="Header"/>
          <w:ind w:left="1440" w:right="1440"/>
          <w:jc w:val="right"/>
        </w:pPr>
        <w:r>
          <w:t>Attachment 2</w:t>
        </w:r>
      </w:p>
      <w:p w14:paraId="780E9675" w14:textId="399C2D4A" w:rsidR="00F44C3C" w:rsidRPr="00F44C3C" w:rsidRDefault="00F44C3C" w:rsidP="00F44C3C">
        <w:pPr>
          <w:pStyle w:val="Header"/>
          <w:spacing w:after="360"/>
          <w:ind w:left="1440" w:right="1440"/>
          <w:jc w:val="right"/>
          <w:rPr>
            <w:b/>
            <w:bCs/>
          </w:rPr>
        </w:pPr>
        <w:r w:rsidRPr="00F44C3C">
          <w:t xml:space="preserve">Page </w:t>
        </w:r>
        <w:r w:rsidRPr="00F44C3C">
          <w:fldChar w:fldCharType="begin"/>
        </w:r>
        <w:r w:rsidRPr="00F44C3C">
          <w:instrText xml:space="preserve"> PAGE </w:instrText>
        </w:r>
        <w:r w:rsidRPr="00F44C3C">
          <w:fldChar w:fldCharType="separate"/>
        </w:r>
        <w:r w:rsidRPr="00F44C3C">
          <w:rPr>
            <w:noProof/>
          </w:rPr>
          <w:t>2</w:t>
        </w:r>
        <w:r w:rsidRPr="00F44C3C">
          <w:fldChar w:fldCharType="end"/>
        </w:r>
        <w:r w:rsidRPr="00F44C3C">
          <w:t xml:space="preserve"> of </w:t>
        </w:r>
        <w:r w:rsidR="007F745D">
          <w:fldChar w:fldCharType="begin"/>
        </w:r>
        <w:r w:rsidR="007F745D">
          <w:instrText xml:space="preserve"> NUMPAGES  </w:instrText>
        </w:r>
        <w:r w:rsidR="007F745D">
          <w:fldChar w:fldCharType="separate"/>
        </w:r>
        <w:r w:rsidRPr="00F44C3C">
          <w:rPr>
            <w:noProof/>
          </w:rPr>
          <w:t>2</w:t>
        </w:r>
        <w:r w:rsidR="007F745D">
          <w:rPr>
            <w:noProof/>
          </w:rPr>
          <w:fldChar w:fldCharType="end"/>
        </w:r>
      </w:p>
    </w:sdtContent>
  </w:sdt>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072ABE" w14:textId="77777777" w:rsidR="00212A27" w:rsidRDefault="00212A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F50A7D"/>
    <w:multiLevelType w:val="hybridMultilevel"/>
    <w:tmpl w:val="769247AC"/>
    <w:lvl w:ilvl="0" w:tplc="F33E4B48">
      <w:start w:val="3"/>
      <w:numFmt w:val="decimal"/>
      <w:lvlText w:val="%1."/>
      <w:lvlJc w:val="left"/>
      <w:pPr>
        <w:ind w:left="720" w:hanging="360"/>
      </w:pPr>
    </w:lvl>
    <w:lvl w:ilvl="1" w:tplc="85660E76">
      <w:start w:val="1"/>
      <w:numFmt w:val="lowerLetter"/>
      <w:lvlText w:val="%2."/>
      <w:lvlJc w:val="left"/>
      <w:pPr>
        <w:ind w:left="1440" w:hanging="360"/>
      </w:pPr>
    </w:lvl>
    <w:lvl w:ilvl="2" w:tplc="45CAB23A">
      <w:start w:val="1"/>
      <w:numFmt w:val="lowerRoman"/>
      <w:lvlText w:val="%3."/>
      <w:lvlJc w:val="right"/>
      <w:pPr>
        <w:ind w:left="2160" w:hanging="180"/>
      </w:pPr>
    </w:lvl>
    <w:lvl w:ilvl="3" w:tplc="FD146D28">
      <w:start w:val="1"/>
      <w:numFmt w:val="decimal"/>
      <w:lvlText w:val="%4."/>
      <w:lvlJc w:val="left"/>
      <w:pPr>
        <w:ind w:left="2880" w:hanging="360"/>
      </w:pPr>
    </w:lvl>
    <w:lvl w:ilvl="4" w:tplc="FEF6DD0E">
      <w:start w:val="1"/>
      <w:numFmt w:val="lowerLetter"/>
      <w:lvlText w:val="%5."/>
      <w:lvlJc w:val="left"/>
      <w:pPr>
        <w:ind w:left="3600" w:hanging="360"/>
      </w:pPr>
    </w:lvl>
    <w:lvl w:ilvl="5" w:tplc="1C02C872">
      <w:start w:val="1"/>
      <w:numFmt w:val="lowerRoman"/>
      <w:lvlText w:val="%6."/>
      <w:lvlJc w:val="right"/>
      <w:pPr>
        <w:ind w:left="4320" w:hanging="180"/>
      </w:pPr>
    </w:lvl>
    <w:lvl w:ilvl="6" w:tplc="324276EC">
      <w:start w:val="1"/>
      <w:numFmt w:val="decimal"/>
      <w:lvlText w:val="%7."/>
      <w:lvlJc w:val="left"/>
      <w:pPr>
        <w:ind w:left="5040" w:hanging="360"/>
      </w:pPr>
    </w:lvl>
    <w:lvl w:ilvl="7" w:tplc="A1D4EB9E">
      <w:start w:val="1"/>
      <w:numFmt w:val="lowerLetter"/>
      <w:lvlText w:val="%8."/>
      <w:lvlJc w:val="left"/>
      <w:pPr>
        <w:ind w:left="5760" w:hanging="360"/>
      </w:pPr>
    </w:lvl>
    <w:lvl w:ilvl="8" w:tplc="BD446EA6">
      <w:start w:val="1"/>
      <w:numFmt w:val="lowerRoman"/>
      <w:lvlText w:val="%9."/>
      <w:lvlJc w:val="right"/>
      <w:pPr>
        <w:ind w:left="6480" w:hanging="180"/>
      </w:p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117C723"/>
    <w:multiLevelType w:val="hybridMultilevel"/>
    <w:tmpl w:val="310AAF9A"/>
    <w:lvl w:ilvl="0" w:tplc="2AF2CCD6">
      <w:start w:val="1"/>
      <w:numFmt w:val="bullet"/>
      <w:lvlText w:val=""/>
      <w:lvlJc w:val="left"/>
      <w:pPr>
        <w:ind w:left="720" w:hanging="360"/>
      </w:pPr>
      <w:rPr>
        <w:rFonts w:ascii="Symbol" w:hAnsi="Symbol" w:hint="default"/>
      </w:rPr>
    </w:lvl>
    <w:lvl w:ilvl="1" w:tplc="E708A7EA">
      <w:start w:val="1"/>
      <w:numFmt w:val="bullet"/>
      <w:lvlText w:val="o"/>
      <w:lvlJc w:val="left"/>
      <w:pPr>
        <w:ind w:left="1440" w:hanging="360"/>
      </w:pPr>
      <w:rPr>
        <w:rFonts w:ascii="Courier New" w:hAnsi="Courier New" w:hint="default"/>
      </w:rPr>
    </w:lvl>
    <w:lvl w:ilvl="2" w:tplc="39FCFFB2">
      <w:start w:val="1"/>
      <w:numFmt w:val="bullet"/>
      <w:lvlText w:val=""/>
      <w:lvlJc w:val="left"/>
      <w:pPr>
        <w:ind w:left="2160" w:hanging="360"/>
      </w:pPr>
      <w:rPr>
        <w:rFonts w:ascii="Wingdings" w:hAnsi="Wingdings" w:hint="default"/>
      </w:rPr>
    </w:lvl>
    <w:lvl w:ilvl="3" w:tplc="EFD6713E">
      <w:start w:val="1"/>
      <w:numFmt w:val="bullet"/>
      <w:lvlText w:val=""/>
      <w:lvlJc w:val="left"/>
      <w:pPr>
        <w:ind w:left="2880" w:hanging="360"/>
      </w:pPr>
      <w:rPr>
        <w:rFonts w:ascii="Symbol" w:hAnsi="Symbol" w:hint="default"/>
      </w:rPr>
    </w:lvl>
    <w:lvl w:ilvl="4" w:tplc="F3BC1F12">
      <w:start w:val="1"/>
      <w:numFmt w:val="bullet"/>
      <w:lvlText w:val="o"/>
      <w:lvlJc w:val="left"/>
      <w:pPr>
        <w:ind w:left="3600" w:hanging="360"/>
      </w:pPr>
      <w:rPr>
        <w:rFonts w:ascii="Courier New" w:hAnsi="Courier New" w:hint="default"/>
      </w:rPr>
    </w:lvl>
    <w:lvl w:ilvl="5" w:tplc="61E030BC">
      <w:start w:val="1"/>
      <w:numFmt w:val="bullet"/>
      <w:lvlText w:val=""/>
      <w:lvlJc w:val="left"/>
      <w:pPr>
        <w:ind w:left="4320" w:hanging="360"/>
      </w:pPr>
      <w:rPr>
        <w:rFonts w:ascii="Wingdings" w:hAnsi="Wingdings" w:hint="default"/>
      </w:rPr>
    </w:lvl>
    <w:lvl w:ilvl="6" w:tplc="0C88004A">
      <w:start w:val="1"/>
      <w:numFmt w:val="bullet"/>
      <w:lvlText w:val=""/>
      <w:lvlJc w:val="left"/>
      <w:pPr>
        <w:ind w:left="5040" w:hanging="360"/>
      </w:pPr>
      <w:rPr>
        <w:rFonts w:ascii="Symbol" w:hAnsi="Symbol" w:hint="default"/>
      </w:rPr>
    </w:lvl>
    <w:lvl w:ilvl="7" w:tplc="956A69F2">
      <w:start w:val="1"/>
      <w:numFmt w:val="bullet"/>
      <w:lvlText w:val="o"/>
      <w:lvlJc w:val="left"/>
      <w:pPr>
        <w:ind w:left="5760" w:hanging="360"/>
      </w:pPr>
      <w:rPr>
        <w:rFonts w:ascii="Courier New" w:hAnsi="Courier New" w:hint="default"/>
      </w:rPr>
    </w:lvl>
    <w:lvl w:ilvl="8" w:tplc="0480144A">
      <w:start w:val="1"/>
      <w:numFmt w:val="bullet"/>
      <w:lvlText w:val=""/>
      <w:lvlJc w:val="left"/>
      <w:pPr>
        <w:ind w:left="6480" w:hanging="360"/>
      </w:pPr>
      <w:rPr>
        <w:rFonts w:ascii="Wingdings" w:hAnsi="Wingdings" w:hint="default"/>
      </w:rPr>
    </w:lvl>
  </w:abstractNum>
  <w:abstractNum w:abstractNumId="6" w15:restartNumberingAfterBreak="0">
    <w:nsid w:val="3C9C695C"/>
    <w:multiLevelType w:val="hybridMultilevel"/>
    <w:tmpl w:val="83EEEBCC"/>
    <w:lvl w:ilvl="0" w:tplc="E9AE6E3C">
      <w:start w:val="1"/>
      <w:numFmt w:val="upp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7"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663BE106"/>
    <w:multiLevelType w:val="hybridMultilevel"/>
    <w:tmpl w:val="1284B6C2"/>
    <w:lvl w:ilvl="0" w:tplc="C5BC6456">
      <w:start w:val="1"/>
      <w:numFmt w:val="decimal"/>
      <w:lvlText w:val="%1."/>
      <w:lvlJc w:val="left"/>
      <w:pPr>
        <w:ind w:left="720" w:hanging="360"/>
      </w:pPr>
    </w:lvl>
    <w:lvl w:ilvl="1" w:tplc="BFC0D382">
      <w:start w:val="1"/>
      <w:numFmt w:val="lowerLetter"/>
      <w:lvlText w:val="%2."/>
      <w:lvlJc w:val="left"/>
      <w:pPr>
        <w:ind w:left="1440" w:hanging="360"/>
      </w:pPr>
    </w:lvl>
    <w:lvl w:ilvl="2" w:tplc="D062B6EA">
      <w:start w:val="1"/>
      <w:numFmt w:val="lowerRoman"/>
      <w:lvlText w:val="%3."/>
      <w:lvlJc w:val="right"/>
      <w:pPr>
        <w:ind w:left="2160" w:hanging="180"/>
      </w:pPr>
    </w:lvl>
    <w:lvl w:ilvl="3" w:tplc="AA367D12">
      <w:start w:val="1"/>
      <w:numFmt w:val="decimal"/>
      <w:lvlText w:val="%4."/>
      <w:lvlJc w:val="left"/>
      <w:pPr>
        <w:ind w:left="2880" w:hanging="360"/>
      </w:pPr>
    </w:lvl>
    <w:lvl w:ilvl="4" w:tplc="7F9E4592">
      <w:start w:val="1"/>
      <w:numFmt w:val="lowerLetter"/>
      <w:lvlText w:val="%5."/>
      <w:lvlJc w:val="left"/>
      <w:pPr>
        <w:ind w:left="3600" w:hanging="360"/>
      </w:pPr>
    </w:lvl>
    <w:lvl w:ilvl="5" w:tplc="41F6EF82">
      <w:start w:val="1"/>
      <w:numFmt w:val="lowerRoman"/>
      <w:lvlText w:val="%6."/>
      <w:lvlJc w:val="right"/>
      <w:pPr>
        <w:ind w:left="4320" w:hanging="180"/>
      </w:pPr>
    </w:lvl>
    <w:lvl w:ilvl="6" w:tplc="DCF2B792">
      <w:start w:val="1"/>
      <w:numFmt w:val="decimal"/>
      <w:lvlText w:val="%7."/>
      <w:lvlJc w:val="left"/>
      <w:pPr>
        <w:ind w:left="5040" w:hanging="360"/>
      </w:pPr>
    </w:lvl>
    <w:lvl w:ilvl="7" w:tplc="DA2A1938">
      <w:start w:val="1"/>
      <w:numFmt w:val="lowerLetter"/>
      <w:lvlText w:val="%8."/>
      <w:lvlJc w:val="left"/>
      <w:pPr>
        <w:ind w:left="5760" w:hanging="360"/>
      </w:pPr>
    </w:lvl>
    <w:lvl w:ilvl="8" w:tplc="F23A544A">
      <w:start w:val="1"/>
      <w:numFmt w:val="lowerRoman"/>
      <w:lvlText w:val="%9."/>
      <w:lvlJc w:val="right"/>
      <w:pPr>
        <w:ind w:left="6480" w:hanging="180"/>
      </w:pPr>
    </w:lvl>
  </w:abstractNum>
  <w:abstractNum w:abstractNumId="11" w15:restartNumberingAfterBreak="0">
    <w:nsid w:val="6D7914D7"/>
    <w:multiLevelType w:val="hybridMultilevel"/>
    <w:tmpl w:val="65C014EE"/>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67E74EA"/>
    <w:multiLevelType w:val="hybridMultilevel"/>
    <w:tmpl w:val="378C7536"/>
    <w:lvl w:ilvl="0" w:tplc="1BD4EC56">
      <w:start w:val="2"/>
      <w:numFmt w:val="decimal"/>
      <w:lvlText w:val="%1."/>
      <w:lvlJc w:val="left"/>
      <w:pPr>
        <w:ind w:left="720" w:hanging="360"/>
      </w:pPr>
    </w:lvl>
    <w:lvl w:ilvl="1" w:tplc="404E5440">
      <w:start w:val="1"/>
      <w:numFmt w:val="lowerLetter"/>
      <w:lvlText w:val="%2."/>
      <w:lvlJc w:val="left"/>
      <w:pPr>
        <w:ind w:left="1440" w:hanging="360"/>
      </w:pPr>
    </w:lvl>
    <w:lvl w:ilvl="2" w:tplc="92F8AF40">
      <w:start w:val="1"/>
      <w:numFmt w:val="lowerRoman"/>
      <w:lvlText w:val="%3."/>
      <w:lvlJc w:val="right"/>
      <w:pPr>
        <w:ind w:left="2160" w:hanging="180"/>
      </w:pPr>
    </w:lvl>
    <w:lvl w:ilvl="3" w:tplc="B0E028EC">
      <w:start w:val="1"/>
      <w:numFmt w:val="decimal"/>
      <w:lvlText w:val="%4."/>
      <w:lvlJc w:val="left"/>
      <w:pPr>
        <w:ind w:left="2880" w:hanging="360"/>
      </w:pPr>
    </w:lvl>
    <w:lvl w:ilvl="4" w:tplc="4A064300">
      <w:start w:val="1"/>
      <w:numFmt w:val="lowerLetter"/>
      <w:lvlText w:val="%5."/>
      <w:lvlJc w:val="left"/>
      <w:pPr>
        <w:ind w:left="3600" w:hanging="360"/>
      </w:pPr>
    </w:lvl>
    <w:lvl w:ilvl="5" w:tplc="E21256C4">
      <w:start w:val="1"/>
      <w:numFmt w:val="lowerRoman"/>
      <w:lvlText w:val="%6."/>
      <w:lvlJc w:val="right"/>
      <w:pPr>
        <w:ind w:left="4320" w:hanging="180"/>
      </w:pPr>
    </w:lvl>
    <w:lvl w:ilvl="6" w:tplc="06BA8BB0">
      <w:start w:val="1"/>
      <w:numFmt w:val="decimal"/>
      <w:lvlText w:val="%7."/>
      <w:lvlJc w:val="left"/>
      <w:pPr>
        <w:ind w:left="5040" w:hanging="360"/>
      </w:pPr>
    </w:lvl>
    <w:lvl w:ilvl="7" w:tplc="611CE2C6">
      <w:start w:val="1"/>
      <w:numFmt w:val="lowerLetter"/>
      <w:lvlText w:val="%8."/>
      <w:lvlJc w:val="left"/>
      <w:pPr>
        <w:ind w:left="5760" w:hanging="360"/>
      </w:pPr>
    </w:lvl>
    <w:lvl w:ilvl="8" w:tplc="6C429D46">
      <w:start w:val="1"/>
      <w:numFmt w:val="lowerRoman"/>
      <w:lvlText w:val="%9."/>
      <w:lvlJc w:val="right"/>
      <w:pPr>
        <w:ind w:left="6480" w:hanging="180"/>
      </w:pPr>
    </w:lvl>
  </w:abstractNum>
  <w:abstractNum w:abstractNumId="13" w15:restartNumberingAfterBreak="0">
    <w:nsid w:val="7C4D6C10"/>
    <w:multiLevelType w:val="hybridMultilevel"/>
    <w:tmpl w:val="CFDCDC5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16cid:durableId="1470630264">
    <w:abstractNumId w:val="4"/>
  </w:num>
  <w:num w:numId="2" w16cid:durableId="1591352247">
    <w:abstractNumId w:val="9"/>
  </w:num>
  <w:num w:numId="3" w16cid:durableId="1892569255">
    <w:abstractNumId w:val="2"/>
  </w:num>
  <w:num w:numId="4" w16cid:durableId="1364552899">
    <w:abstractNumId w:val="7"/>
  </w:num>
  <w:num w:numId="5" w16cid:durableId="1451053400">
    <w:abstractNumId w:val="8"/>
  </w:num>
  <w:num w:numId="6" w16cid:durableId="1718890016">
    <w:abstractNumId w:val="1"/>
  </w:num>
  <w:num w:numId="7" w16cid:durableId="809204654">
    <w:abstractNumId w:val="3"/>
  </w:num>
  <w:num w:numId="8" w16cid:durableId="235558651">
    <w:abstractNumId w:val="0"/>
  </w:num>
  <w:num w:numId="9" w16cid:durableId="647826927">
    <w:abstractNumId w:val="12"/>
  </w:num>
  <w:num w:numId="10" w16cid:durableId="903686908">
    <w:abstractNumId w:val="10"/>
  </w:num>
  <w:num w:numId="11" w16cid:durableId="833568832">
    <w:abstractNumId w:val="5"/>
  </w:num>
  <w:num w:numId="12" w16cid:durableId="321351813">
    <w:abstractNumId w:val="11"/>
  </w:num>
  <w:num w:numId="13" w16cid:durableId="14429543">
    <w:abstractNumId w:val="13"/>
  </w:num>
  <w:num w:numId="14" w16cid:durableId="895900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1186"/>
    <w:rsid w:val="00002234"/>
    <w:rsid w:val="000040D5"/>
    <w:rsid w:val="00010B70"/>
    <w:rsid w:val="00011E29"/>
    <w:rsid w:val="000136BA"/>
    <w:rsid w:val="000234C7"/>
    <w:rsid w:val="000234F9"/>
    <w:rsid w:val="000324AD"/>
    <w:rsid w:val="00032838"/>
    <w:rsid w:val="00044C96"/>
    <w:rsid w:val="00044EB7"/>
    <w:rsid w:val="00047490"/>
    <w:rsid w:val="000551BA"/>
    <w:rsid w:val="00055585"/>
    <w:rsid w:val="00061DFC"/>
    <w:rsid w:val="00062CFF"/>
    <w:rsid w:val="000637F1"/>
    <w:rsid w:val="00064A20"/>
    <w:rsid w:val="000724FD"/>
    <w:rsid w:val="00072E0F"/>
    <w:rsid w:val="000738F3"/>
    <w:rsid w:val="0007582B"/>
    <w:rsid w:val="00077031"/>
    <w:rsid w:val="00077436"/>
    <w:rsid w:val="00082817"/>
    <w:rsid w:val="00082912"/>
    <w:rsid w:val="00095D02"/>
    <w:rsid w:val="000970EA"/>
    <w:rsid w:val="000A0490"/>
    <w:rsid w:val="000A1CAC"/>
    <w:rsid w:val="000A3651"/>
    <w:rsid w:val="000A3AE3"/>
    <w:rsid w:val="000A71E9"/>
    <w:rsid w:val="000B1043"/>
    <w:rsid w:val="000C5678"/>
    <w:rsid w:val="000D124B"/>
    <w:rsid w:val="000D12DF"/>
    <w:rsid w:val="000D4DDA"/>
    <w:rsid w:val="000D5723"/>
    <w:rsid w:val="000D751E"/>
    <w:rsid w:val="000D7E98"/>
    <w:rsid w:val="000E09DC"/>
    <w:rsid w:val="000E53F4"/>
    <w:rsid w:val="000E66AC"/>
    <w:rsid w:val="00103BC6"/>
    <w:rsid w:val="001048F3"/>
    <w:rsid w:val="00105FE2"/>
    <w:rsid w:val="00117F47"/>
    <w:rsid w:val="00122447"/>
    <w:rsid w:val="001233E3"/>
    <w:rsid w:val="00130059"/>
    <w:rsid w:val="00131589"/>
    <w:rsid w:val="00141F35"/>
    <w:rsid w:val="00151A68"/>
    <w:rsid w:val="00153846"/>
    <w:rsid w:val="00155049"/>
    <w:rsid w:val="001554F5"/>
    <w:rsid w:val="00155E75"/>
    <w:rsid w:val="00164972"/>
    <w:rsid w:val="0017285A"/>
    <w:rsid w:val="00175007"/>
    <w:rsid w:val="00177794"/>
    <w:rsid w:val="0018148D"/>
    <w:rsid w:val="00186FF6"/>
    <w:rsid w:val="001905CB"/>
    <w:rsid w:val="00193676"/>
    <w:rsid w:val="00193C46"/>
    <w:rsid w:val="00196F26"/>
    <w:rsid w:val="001A0CA5"/>
    <w:rsid w:val="001B110F"/>
    <w:rsid w:val="001B2DBA"/>
    <w:rsid w:val="001B3958"/>
    <w:rsid w:val="001C7B46"/>
    <w:rsid w:val="001E1929"/>
    <w:rsid w:val="001F103F"/>
    <w:rsid w:val="001F2E03"/>
    <w:rsid w:val="00200CB2"/>
    <w:rsid w:val="002031C1"/>
    <w:rsid w:val="00205D50"/>
    <w:rsid w:val="00212A27"/>
    <w:rsid w:val="00216517"/>
    <w:rsid w:val="00216FA4"/>
    <w:rsid w:val="002222E7"/>
    <w:rsid w:val="00223112"/>
    <w:rsid w:val="00223947"/>
    <w:rsid w:val="00231438"/>
    <w:rsid w:val="00233FC3"/>
    <w:rsid w:val="00237E0F"/>
    <w:rsid w:val="00240B26"/>
    <w:rsid w:val="00242B54"/>
    <w:rsid w:val="00251AFA"/>
    <w:rsid w:val="00260297"/>
    <w:rsid w:val="00261FDB"/>
    <w:rsid w:val="002659C3"/>
    <w:rsid w:val="002756FC"/>
    <w:rsid w:val="002814E1"/>
    <w:rsid w:val="002918C8"/>
    <w:rsid w:val="00296603"/>
    <w:rsid w:val="002A28AA"/>
    <w:rsid w:val="002B4B14"/>
    <w:rsid w:val="002B5103"/>
    <w:rsid w:val="002C175B"/>
    <w:rsid w:val="002C3119"/>
    <w:rsid w:val="002C3A99"/>
    <w:rsid w:val="002D19B5"/>
    <w:rsid w:val="002D1A82"/>
    <w:rsid w:val="002D3686"/>
    <w:rsid w:val="002D62F5"/>
    <w:rsid w:val="002D65BB"/>
    <w:rsid w:val="002D79EC"/>
    <w:rsid w:val="002E15A6"/>
    <w:rsid w:val="002E3A47"/>
    <w:rsid w:val="002E4CB5"/>
    <w:rsid w:val="002E6FCA"/>
    <w:rsid w:val="002E746F"/>
    <w:rsid w:val="002F279B"/>
    <w:rsid w:val="002F35E0"/>
    <w:rsid w:val="0030186D"/>
    <w:rsid w:val="0031384B"/>
    <w:rsid w:val="00313BE6"/>
    <w:rsid w:val="00315131"/>
    <w:rsid w:val="0032490E"/>
    <w:rsid w:val="00324FD4"/>
    <w:rsid w:val="00341639"/>
    <w:rsid w:val="0034467F"/>
    <w:rsid w:val="0035163A"/>
    <w:rsid w:val="00354B4F"/>
    <w:rsid w:val="0035721C"/>
    <w:rsid w:val="00357E7A"/>
    <w:rsid w:val="0035D1BE"/>
    <w:rsid w:val="00362F9F"/>
    <w:rsid w:val="00363520"/>
    <w:rsid w:val="0036365C"/>
    <w:rsid w:val="0036799F"/>
    <w:rsid w:val="00370181"/>
    <w:rsid w:val="003705FC"/>
    <w:rsid w:val="003744EB"/>
    <w:rsid w:val="003772F1"/>
    <w:rsid w:val="00377B89"/>
    <w:rsid w:val="00384ACF"/>
    <w:rsid w:val="00385583"/>
    <w:rsid w:val="00385CAC"/>
    <w:rsid w:val="003947A5"/>
    <w:rsid w:val="003A6129"/>
    <w:rsid w:val="003A743E"/>
    <w:rsid w:val="003A7B1C"/>
    <w:rsid w:val="003C60D4"/>
    <w:rsid w:val="003D0956"/>
    <w:rsid w:val="003D1ECD"/>
    <w:rsid w:val="003D5E69"/>
    <w:rsid w:val="003E1E8D"/>
    <w:rsid w:val="003E4DF7"/>
    <w:rsid w:val="003E5786"/>
    <w:rsid w:val="003F2385"/>
    <w:rsid w:val="003F4C0E"/>
    <w:rsid w:val="003F5758"/>
    <w:rsid w:val="00401B4E"/>
    <w:rsid w:val="0040579F"/>
    <w:rsid w:val="00406F50"/>
    <w:rsid w:val="00407E9B"/>
    <w:rsid w:val="0041145E"/>
    <w:rsid w:val="004177FB"/>
    <w:rsid w:val="004203BC"/>
    <w:rsid w:val="00421A6F"/>
    <w:rsid w:val="004368C8"/>
    <w:rsid w:val="004409F6"/>
    <w:rsid w:val="00443A91"/>
    <w:rsid w:val="0044670C"/>
    <w:rsid w:val="0045123C"/>
    <w:rsid w:val="0045147B"/>
    <w:rsid w:val="0045673F"/>
    <w:rsid w:val="0047534A"/>
    <w:rsid w:val="00486D64"/>
    <w:rsid w:val="00490688"/>
    <w:rsid w:val="00490DB2"/>
    <w:rsid w:val="004964AF"/>
    <w:rsid w:val="004A51D7"/>
    <w:rsid w:val="004B258E"/>
    <w:rsid w:val="004B3CEC"/>
    <w:rsid w:val="004C2D37"/>
    <w:rsid w:val="004C7628"/>
    <w:rsid w:val="004E029B"/>
    <w:rsid w:val="0051118D"/>
    <w:rsid w:val="0051170A"/>
    <w:rsid w:val="00517C00"/>
    <w:rsid w:val="0052072B"/>
    <w:rsid w:val="00521851"/>
    <w:rsid w:val="005220AA"/>
    <w:rsid w:val="00527B0E"/>
    <w:rsid w:val="00532B52"/>
    <w:rsid w:val="00534562"/>
    <w:rsid w:val="00534CE4"/>
    <w:rsid w:val="00534E67"/>
    <w:rsid w:val="00534E82"/>
    <w:rsid w:val="00536A19"/>
    <w:rsid w:val="00536D7E"/>
    <w:rsid w:val="005409AC"/>
    <w:rsid w:val="005427AB"/>
    <w:rsid w:val="00543EDE"/>
    <w:rsid w:val="005522A8"/>
    <w:rsid w:val="00552658"/>
    <w:rsid w:val="00554213"/>
    <w:rsid w:val="005600CF"/>
    <w:rsid w:val="00571020"/>
    <w:rsid w:val="005764DD"/>
    <w:rsid w:val="005775B0"/>
    <w:rsid w:val="005779E6"/>
    <w:rsid w:val="00591D77"/>
    <w:rsid w:val="00593287"/>
    <w:rsid w:val="005A0C1B"/>
    <w:rsid w:val="005A2B81"/>
    <w:rsid w:val="005B0DBB"/>
    <w:rsid w:val="005B31C7"/>
    <w:rsid w:val="005B7BFF"/>
    <w:rsid w:val="005C673F"/>
    <w:rsid w:val="005C7319"/>
    <w:rsid w:val="005C7E4D"/>
    <w:rsid w:val="005E152F"/>
    <w:rsid w:val="005F2743"/>
    <w:rsid w:val="005F6D1D"/>
    <w:rsid w:val="005F7A56"/>
    <w:rsid w:val="0060416D"/>
    <w:rsid w:val="00616E13"/>
    <w:rsid w:val="00616E2C"/>
    <w:rsid w:val="00625A33"/>
    <w:rsid w:val="0063176D"/>
    <w:rsid w:val="00634919"/>
    <w:rsid w:val="00634C12"/>
    <w:rsid w:val="00636205"/>
    <w:rsid w:val="00642B54"/>
    <w:rsid w:val="006433C3"/>
    <w:rsid w:val="0064497F"/>
    <w:rsid w:val="00657F7B"/>
    <w:rsid w:val="006608E7"/>
    <w:rsid w:val="006640D5"/>
    <w:rsid w:val="0068642B"/>
    <w:rsid w:val="00692300"/>
    <w:rsid w:val="00693951"/>
    <w:rsid w:val="006A6AD0"/>
    <w:rsid w:val="006A7A3B"/>
    <w:rsid w:val="006B0F14"/>
    <w:rsid w:val="006B2111"/>
    <w:rsid w:val="006B2409"/>
    <w:rsid w:val="006C2CB5"/>
    <w:rsid w:val="006C5D9D"/>
    <w:rsid w:val="006C72A2"/>
    <w:rsid w:val="006C7EE8"/>
    <w:rsid w:val="006D0223"/>
    <w:rsid w:val="006D0669"/>
    <w:rsid w:val="006D2177"/>
    <w:rsid w:val="006D2E41"/>
    <w:rsid w:val="006D3ADD"/>
    <w:rsid w:val="006D71A4"/>
    <w:rsid w:val="006D7EB3"/>
    <w:rsid w:val="006E06C6"/>
    <w:rsid w:val="006E2527"/>
    <w:rsid w:val="006E531A"/>
    <w:rsid w:val="006E6BE9"/>
    <w:rsid w:val="006F3B13"/>
    <w:rsid w:val="006F5EDD"/>
    <w:rsid w:val="00700EF1"/>
    <w:rsid w:val="00703163"/>
    <w:rsid w:val="00704D18"/>
    <w:rsid w:val="007106F3"/>
    <w:rsid w:val="00715666"/>
    <w:rsid w:val="00715FF4"/>
    <w:rsid w:val="00725EBA"/>
    <w:rsid w:val="00726EDA"/>
    <w:rsid w:val="00727840"/>
    <w:rsid w:val="007313A3"/>
    <w:rsid w:val="00731FC6"/>
    <w:rsid w:val="00741C87"/>
    <w:rsid w:val="007428B8"/>
    <w:rsid w:val="00746164"/>
    <w:rsid w:val="00746AFF"/>
    <w:rsid w:val="00752850"/>
    <w:rsid w:val="00753B29"/>
    <w:rsid w:val="00755AF0"/>
    <w:rsid w:val="007606ED"/>
    <w:rsid w:val="0076471E"/>
    <w:rsid w:val="007669D6"/>
    <w:rsid w:val="00775A18"/>
    <w:rsid w:val="00780BB6"/>
    <w:rsid w:val="0078320A"/>
    <w:rsid w:val="00793252"/>
    <w:rsid w:val="00793EE7"/>
    <w:rsid w:val="00796633"/>
    <w:rsid w:val="007A2EF7"/>
    <w:rsid w:val="007B43E9"/>
    <w:rsid w:val="007C2C4B"/>
    <w:rsid w:val="007C5697"/>
    <w:rsid w:val="007D6964"/>
    <w:rsid w:val="007D6A8F"/>
    <w:rsid w:val="007E6595"/>
    <w:rsid w:val="007F1C4F"/>
    <w:rsid w:val="007F3933"/>
    <w:rsid w:val="007F528F"/>
    <w:rsid w:val="007F745D"/>
    <w:rsid w:val="008042BA"/>
    <w:rsid w:val="00815C98"/>
    <w:rsid w:val="00835B03"/>
    <w:rsid w:val="00845FDE"/>
    <w:rsid w:val="00846059"/>
    <w:rsid w:val="008464DF"/>
    <w:rsid w:val="00850E89"/>
    <w:rsid w:val="0085564E"/>
    <w:rsid w:val="00857D8E"/>
    <w:rsid w:val="00860B79"/>
    <w:rsid w:val="008644EB"/>
    <w:rsid w:val="008658A9"/>
    <w:rsid w:val="0087209E"/>
    <w:rsid w:val="0087614B"/>
    <w:rsid w:val="00877798"/>
    <w:rsid w:val="008807B3"/>
    <w:rsid w:val="00886A6F"/>
    <w:rsid w:val="008909EE"/>
    <w:rsid w:val="00893E8C"/>
    <w:rsid w:val="0089462E"/>
    <w:rsid w:val="008A49B3"/>
    <w:rsid w:val="008B6504"/>
    <w:rsid w:val="008B6BE9"/>
    <w:rsid w:val="008C0B7B"/>
    <w:rsid w:val="008D10CC"/>
    <w:rsid w:val="008E0490"/>
    <w:rsid w:val="008E2B33"/>
    <w:rsid w:val="008E357B"/>
    <w:rsid w:val="008F2F99"/>
    <w:rsid w:val="008F43AE"/>
    <w:rsid w:val="008F4451"/>
    <w:rsid w:val="008F4588"/>
    <w:rsid w:val="00900C71"/>
    <w:rsid w:val="0091117B"/>
    <w:rsid w:val="009154A6"/>
    <w:rsid w:val="0091567E"/>
    <w:rsid w:val="0091590E"/>
    <w:rsid w:val="00920E82"/>
    <w:rsid w:val="00926E6B"/>
    <w:rsid w:val="00930BEE"/>
    <w:rsid w:val="0093210E"/>
    <w:rsid w:val="00940DD8"/>
    <w:rsid w:val="00950444"/>
    <w:rsid w:val="009569AC"/>
    <w:rsid w:val="0097276A"/>
    <w:rsid w:val="00983493"/>
    <w:rsid w:val="009851DC"/>
    <w:rsid w:val="00993389"/>
    <w:rsid w:val="00996A5B"/>
    <w:rsid w:val="009A3D1A"/>
    <w:rsid w:val="009A56A3"/>
    <w:rsid w:val="009B04E1"/>
    <w:rsid w:val="009B5DC0"/>
    <w:rsid w:val="009B6C52"/>
    <w:rsid w:val="009C3538"/>
    <w:rsid w:val="009C574C"/>
    <w:rsid w:val="009D0E8E"/>
    <w:rsid w:val="009D3FC9"/>
    <w:rsid w:val="009D5028"/>
    <w:rsid w:val="009E07BD"/>
    <w:rsid w:val="009E67F4"/>
    <w:rsid w:val="009E768B"/>
    <w:rsid w:val="009E7803"/>
    <w:rsid w:val="009F2085"/>
    <w:rsid w:val="009F2DE9"/>
    <w:rsid w:val="009F622F"/>
    <w:rsid w:val="00A02DC0"/>
    <w:rsid w:val="00A07F42"/>
    <w:rsid w:val="00A15BA2"/>
    <w:rsid w:val="00A16315"/>
    <w:rsid w:val="00A21519"/>
    <w:rsid w:val="00A235E2"/>
    <w:rsid w:val="00A30B3C"/>
    <w:rsid w:val="00A31593"/>
    <w:rsid w:val="00A3535B"/>
    <w:rsid w:val="00A4427F"/>
    <w:rsid w:val="00A55D9B"/>
    <w:rsid w:val="00A55DA6"/>
    <w:rsid w:val="00A61173"/>
    <w:rsid w:val="00A71F5E"/>
    <w:rsid w:val="00A73186"/>
    <w:rsid w:val="00A73DB8"/>
    <w:rsid w:val="00A75BCC"/>
    <w:rsid w:val="00A7620B"/>
    <w:rsid w:val="00A84A6F"/>
    <w:rsid w:val="00A90C22"/>
    <w:rsid w:val="00A9367E"/>
    <w:rsid w:val="00AB2E1B"/>
    <w:rsid w:val="00AB34A3"/>
    <w:rsid w:val="00AB46DB"/>
    <w:rsid w:val="00AB5BFD"/>
    <w:rsid w:val="00AC27FD"/>
    <w:rsid w:val="00AC6FA7"/>
    <w:rsid w:val="00AC733B"/>
    <w:rsid w:val="00AD512C"/>
    <w:rsid w:val="00AD5BC5"/>
    <w:rsid w:val="00AE401C"/>
    <w:rsid w:val="00AE6CD1"/>
    <w:rsid w:val="00AF300E"/>
    <w:rsid w:val="00AF47AA"/>
    <w:rsid w:val="00B016AE"/>
    <w:rsid w:val="00B15AE3"/>
    <w:rsid w:val="00B24935"/>
    <w:rsid w:val="00B3227B"/>
    <w:rsid w:val="00B32689"/>
    <w:rsid w:val="00B37214"/>
    <w:rsid w:val="00B378D8"/>
    <w:rsid w:val="00B417B7"/>
    <w:rsid w:val="00B44355"/>
    <w:rsid w:val="00B5787B"/>
    <w:rsid w:val="00B717B7"/>
    <w:rsid w:val="00B723BE"/>
    <w:rsid w:val="00B73483"/>
    <w:rsid w:val="00B775D2"/>
    <w:rsid w:val="00B82705"/>
    <w:rsid w:val="00B854C4"/>
    <w:rsid w:val="00B85CD3"/>
    <w:rsid w:val="00B93A53"/>
    <w:rsid w:val="00B93D64"/>
    <w:rsid w:val="00BA2A1A"/>
    <w:rsid w:val="00BA3EAA"/>
    <w:rsid w:val="00BA7CF4"/>
    <w:rsid w:val="00BB14DC"/>
    <w:rsid w:val="00BB265B"/>
    <w:rsid w:val="00BD2EFB"/>
    <w:rsid w:val="00BD5F0A"/>
    <w:rsid w:val="00BD747F"/>
    <w:rsid w:val="00BE16A4"/>
    <w:rsid w:val="00BE789C"/>
    <w:rsid w:val="00BF4582"/>
    <w:rsid w:val="00C03771"/>
    <w:rsid w:val="00C100EC"/>
    <w:rsid w:val="00C11C70"/>
    <w:rsid w:val="00C125BE"/>
    <w:rsid w:val="00C1313D"/>
    <w:rsid w:val="00C14E50"/>
    <w:rsid w:val="00C16710"/>
    <w:rsid w:val="00C1694F"/>
    <w:rsid w:val="00C20E83"/>
    <w:rsid w:val="00C21743"/>
    <w:rsid w:val="00C2788F"/>
    <w:rsid w:val="00C27D57"/>
    <w:rsid w:val="00C30E9E"/>
    <w:rsid w:val="00C4439A"/>
    <w:rsid w:val="00C445AA"/>
    <w:rsid w:val="00C46895"/>
    <w:rsid w:val="00C47002"/>
    <w:rsid w:val="00C51288"/>
    <w:rsid w:val="00C605F3"/>
    <w:rsid w:val="00C613C0"/>
    <w:rsid w:val="00C67A8C"/>
    <w:rsid w:val="00C70F6D"/>
    <w:rsid w:val="00C74C8B"/>
    <w:rsid w:val="00C75FFD"/>
    <w:rsid w:val="00C76CA1"/>
    <w:rsid w:val="00C82B14"/>
    <w:rsid w:val="00C82CBA"/>
    <w:rsid w:val="00C8404E"/>
    <w:rsid w:val="00C93C57"/>
    <w:rsid w:val="00C94576"/>
    <w:rsid w:val="00C969F6"/>
    <w:rsid w:val="00CA1643"/>
    <w:rsid w:val="00CA1ABA"/>
    <w:rsid w:val="00CB00C7"/>
    <w:rsid w:val="00CB2277"/>
    <w:rsid w:val="00CB4629"/>
    <w:rsid w:val="00CC4131"/>
    <w:rsid w:val="00CD2B05"/>
    <w:rsid w:val="00CD45D9"/>
    <w:rsid w:val="00CD6059"/>
    <w:rsid w:val="00CD78F7"/>
    <w:rsid w:val="00CE1C84"/>
    <w:rsid w:val="00CF033C"/>
    <w:rsid w:val="00D01B61"/>
    <w:rsid w:val="00D030D9"/>
    <w:rsid w:val="00D135A9"/>
    <w:rsid w:val="00D14421"/>
    <w:rsid w:val="00D2235A"/>
    <w:rsid w:val="00D25F8A"/>
    <w:rsid w:val="00D35F1C"/>
    <w:rsid w:val="00D457D7"/>
    <w:rsid w:val="00D47DAB"/>
    <w:rsid w:val="00D5115F"/>
    <w:rsid w:val="00D55638"/>
    <w:rsid w:val="00D62843"/>
    <w:rsid w:val="00D646BF"/>
    <w:rsid w:val="00D66172"/>
    <w:rsid w:val="00D6711A"/>
    <w:rsid w:val="00D72488"/>
    <w:rsid w:val="00D80774"/>
    <w:rsid w:val="00D823EC"/>
    <w:rsid w:val="00D82E50"/>
    <w:rsid w:val="00D83999"/>
    <w:rsid w:val="00D8667C"/>
    <w:rsid w:val="00D86AB9"/>
    <w:rsid w:val="00D90A04"/>
    <w:rsid w:val="00D92585"/>
    <w:rsid w:val="00D93F11"/>
    <w:rsid w:val="00DA16BC"/>
    <w:rsid w:val="00DA722F"/>
    <w:rsid w:val="00DB298B"/>
    <w:rsid w:val="00DC012E"/>
    <w:rsid w:val="00DE5695"/>
    <w:rsid w:val="00DE6FD2"/>
    <w:rsid w:val="00DF1368"/>
    <w:rsid w:val="00DF39EB"/>
    <w:rsid w:val="00DF656A"/>
    <w:rsid w:val="00E17386"/>
    <w:rsid w:val="00E237D3"/>
    <w:rsid w:val="00E266E1"/>
    <w:rsid w:val="00E322E3"/>
    <w:rsid w:val="00E42809"/>
    <w:rsid w:val="00E448C1"/>
    <w:rsid w:val="00E460BA"/>
    <w:rsid w:val="00E46374"/>
    <w:rsid w:val="00E525EB"/>
    <w:rsid w:val="00E54336"/>
    <w:rsid w:val="00E72698"/>
    <w:rsid w:val="00E752A8"/>
    <w:rsid w:val="00E75965"/>
    <w:rsid w:val="00E81209"/>
    <w:rsid w:val="00E8125B"/>
    <w:rsid w:val="00E83F84"/>
    <w:rsid w:val="00E92F1C"/>
    <w:rsid w:val="00E94556"/>
    <w:rsid w:val="00E9751D"/>
    <w:rsid w:val="00E97D38"/>
    <w:rsid w:val="00EA6B80"/>
    <w:rsid w:val="00EA6BF0"/>
    <w:rsid w:val="00EA7146"/>
    <w:rsid w:val="00EA7D4F"/>
    <w:rsid w:val="00EA7F6A"/>
    <w:rsid w:val="00EB16F7"/>
    <w:rsid w:val="00EB372C"/>
    <w:rsid w:val="00EC1F73"/>
    <w:rsid w:val="00EC504C"/>
    <w:rsid w:val="00EC6144"/>
    <w:rsid w:val="00ED5EBA"/>
    <w:rsid w:val="00EE0A60"/>
    <w:rsid w:val="00EE0CC3"/>
    <w:rsid w:val="00EE717C"/>
    <w:rsid w:val="00F03C19"/>
    <w:rsid w:val="00F40510"/>
    <w:rsid w:val="00F44C3C"/>
    <w:rsid w:val="00F52F4E"/>
    <w:rsid w:val="00F53EAB"/>
    <w:rsid w:val="00F560CB"/>
    <w:rsid w:val="00F60188"/>
    <w:rsid w:val="00F65B87"/>
    <w:rsid w:val="00F7162E"/>
    <w:rsid w:val="00F754A4"/>
    <w:rsid w:val="00F76A32"/>
    <w:rsid w:val="00F8287C"/>
    <w:rsid w:val="00F83D07"/>
    <w:rsid w:val="00F90394"/>
    <w:rsid w:val="00F94390"/>
    <w:rsid w:val="00FA396B"/>
    <w:rsid w:val="00FB1A8F"/>
    <w:rsid w:val="00FC1FCE"/>
    <w:rsid w:val="00FC34EC"/>
    <w:rsid w:val="00FD5C4D"/>
    <w:rsid w:val="00FE0394"/>
    <w:rsid w:val="00FE27DA"/>
    <w:rsid w:val="00FE3007"/>
    <w:rsid w:val="00FE34C2"/>
    <w:rsid w:val="00FE4BD6"/>
    <w:rsid w:val="00FF24B4"/>
    <w:rsid w:val="00FF277C"/>
    <w:rsid w:val="00FF34D2"/>
    <w:rsid w:val="00FF65EB"/>
    <w:rsid w:val="0104D5DA"/>
    <w:rsid w:val="017BD219"/>
    <w:rsid w:val="01C51FF6"/>
    <w:rsid w:val="01D8D172"/>
    <w:rsid w:val="0277E124"/>
    <w:rsid w:val="0278EDD1"/>
    <w:rsid w:val="02EB16EA"/>
    <w:rsid w:val="0302EE8F"/>
    <w:rsid w:val="03D94921"/>
    <w:rsid w:val="03EE6EB1"/>
    <w:rsid w:val="04052E01"/>
    <w:rsid w:val="04B6FC22"/>
    <w:rsid w:val="04DD8A76"/>
    <w:rsid w:val="04F69605"/>
    <w:rsid w:val="05672997"/>
    <w:rsid w:val="056B0427"/>
    <w:rsid w:val="059B162A"/>
    <w:rsid w:val="05CD97AF"/>
    <w:rsid w:val="069A3B92"/>
    <w:rsid w:val="0727E4D0"/>
    <w:rsid w:val="072D351D"/>
    <w:rsid w:val="08C3B531"/>
    <w:rsid w:val="09ED1658"/>
    <w:rsid w:val="0A102CDD"/>
    <w:rsid w:val="0AF73203"/>
    <w:rsid w:val="0B2E634E"/>
    <w:rsid w:val="0B7058AB"/>
    <w:rsid w:val="0BC1E2F7"/>
    <w:rsid w:val="0BEC5457"/>
    <w:rsid w:val="0D17202F"/>
    <w:rsid w:val="0D2C679E"/>
    <w:rsid w:val="0DD739A4"/>
    <w:rsid w:val="0F20BF7D"/>
    <w:rsid w:val="0F2A7B4B"/>
    <w:rsid w:val="0F3F1611"/>
    <w:rsid w:val="0F54E073"/>
    <w:rsid w:val="0F595DCB"/>
    <w:rsid w:val="0F7A35B2"/>
    <w:rsid w:val="1001DD25"/>
    <w:rsid w:val="102AE6F2"/>
    <w:rsid w:val="10640860"/>
    <w:rsid w:val="10C64BAC"/>
    <w:rsid w:val="1168DF88"/>
    <w:rsid w:val="1201E81E"/>
    <w:rsid w:val="12E15E19"/>
    <w:rsid w:val="136BAC63"/>
    <w:rsid w:val="13B8846F"/>
    <w:rsid w:val="140C916F"/>
    <w:rsid w:val="146101D0"/>
    <w:rsid w:val="14A29F2A"/>
    <w:rsid w:val="14F064E9"/>
    <w:rsid w:val="14F76618"/>
    <w:rsid w:val="15768EFD"/>
    <w:rsid w:val="15F48CD5"/>
    <w:rsid w:val="1663B7CB"/>
    <w:rsid w:val="169B7E04"/>
    <w:rsid w:val="16C27ED4"/>
    <w:rsid w:val="16CE8F28"/>
    <w:rsid w:val="173A0C67"/>
    <w:rsid w:val="17679579"/>
    <w:rsid w:val="1772DF97"/>
    <w:rsid w:val="18A9E212"/>
    <w:rsid w:val="18F10874"/>
    <w:rsid w:val="19A53BEF"/>
    <w:rsid w:val="19E1803A"/>
    <w:rsid w:val="1A0D71FC"/>
    <w:rsid w:val="1A7C001D"/>
    <w:rsid w:val="1AB164C3"/>
    <w:rsid w:val="1AEC3154"/>
    <w:rsid w:val="1C01EAD1"/>
    <w:rsid w:val="1C4A7305"/>
    <w:rsid w:val="1C797E75"/>
    <w:rsid w:val="1CA0D397"/>
    <w:rsid w:val="1D662FF5"/>
    <w:rsid w:val="1D6BB096"/>
    <w:rsid w:val="1FBF778C"/>
    <w:rsid w:val="2027BD4C"/>
    <w:rsid w:val="20528497"/>
    <w:rsid w:val="20B74DFD"/>
    <w:rsid w:val="2190A582"/>
    <w:rsid w:val="220E41F0"/>
    <w:rsid w:val="222DF4FD"/>
    <w:rsid w:val="229A52DD"/>
    <w:rsid w:val="22D06BDA"/>
    <w:rsid w:val="22F9582E"/>
    <w:rsid w:val="235DAD90"/>
    <w:rsid w:val="2385075F"/>
    <w:rsid w:val="25750A02"/>
    <w:rsid w:val="25BF9512"/>
    <w:rsid w:val="25FE70BC"/>
    <w:rsid w:val="2655AF25"/>
    <w:rsid w:val="267B2516"/>
    <w:rsid w:val="268BD356"/>
    <w:rsid w:val="268CACCC"/>
    <w:rsid w:val="26CCC984"/>
    <w:rsid w:val="27F4EF57"/>
    <w:rsid w:val="280F0D4A"/>
    <w:rsid w:val="28435D86"/>
    <w:rsid w:val="290D7C00"/>
    <w:rsid w:val="2911834D"/>
    <w:rsid w:val="29440FC5"/>
    <w:rsid w:val="2A55D69C"/>
    <w:rsid w:val="2A9CE4D9"/>
    <w:rsid w:val="2ACD887E"/>
    <w:rsid w:val="2B31F3E9"/>
    <w:rsid w:val="2B44E4FD"/>
    <w:rsid w:val="2B5DEC52"/>
    <w:rsid w:val="2C1153B9"/>
    <w:rsid w:val="2C2592EC"/>
    <w:rsid w:val="2CA69DAA"/>
    <w:rsid w:val="2CA88E9C"/>
    <w:rsid w:val="2CE46EA3"/>
    <w:rsid w:val="2D5FB53A"/>
    <w:rsid w:val="2D61385C"/>
    <w:rsid w:val="2DB400F0"/>
    <w:rsid w:val="2EE3EA84"/>
    <w:rsid w:val="2EF69C0E"/>
    <w:rsid w:val="2F438636"/>
    <w:rsid w:val="2F638573"/>
    <w:rsid w:val="301568D9"/>
    <w:rsid w:val="30675351"/>
    <w:rsid w:val="30C7DE19"/>
    <w:rsid w:val="323A16E8"/>
    <w:rsid w:val="32ED928E"/>
    <w:rsid w:val="3300B19C"/>
    <w:rsid w:val="3392BFB8"/>
    <w:rsid w:val="33ED8C62"/>
    <w:rsid w:val="3433A50F"/>
    <w:rsid w:val="348A967F"/>
    <w:rsid w:val="34CB6926"/>
    <w:rsid w:val="34E62006"/>
    <w:rsid w:val="350C7B07"/>
    <w:rsid w:val="355E38B2"/>
    <w:rsid w:val="35F1D983"/>
    <w:rsid w:val="36298B57"/>
    <w:rsid w:val="3639E83A"/>
    <w:rsid w:val="3679BAA9"/>
    <w:rsid w:val="36DDD4FB"/>
    <w:rsid w:val="36FED50A"/>
    <w:rsid w:val="38F39251"/>
    <w:rsid w:val="39279DEC"/>
    <w:rsid w:val="3A40D292"/>
    <w:rsid w:val="3A73AA1A"/>
    <w:rsid w:val="3AE835F5"/>
    <w:rsid w:val="3BECFE89"/>
    <w:rsid w:val="3CBA7F36"/>
    <w:rsid w:val="3CFA44F5"/>
    <w:rsid w:val="3D7C9754"/>
    <w:rsid w:val="3DA6BCF9"/>
    <w:rsid w:val="3DBE9855"/>
    <w:rsid w:val="3DF78A81"/>
    <w:rsid w:val="3E759DA2"/>
    <w:rsid w:val="3EDE6111"/>
    <w:rsid w:val="3F1893EF"/>
    <w:rsid w:val="3FB5C072"/>
    <w:rsid w:val="40BAD0BF"/>
    <w:rsid w:val="4150D475"/>
    <w:rsid w:val="41ACFCA6"/>
    <w:rsid w:val="41F9E6C0"/>
    <w:rsid w:val="4370A63E"/>
    <w:rsid w:val="43A923F3"/>
    <w:rsid w:val="43C24C50"/>
    <w:rsid w:val="43E4FD06"/>
    <w:rsid w:val="440B81E4"/>
    <w:rsid w:val="45617FDB"/>
    <w:rsid w:val="4598C9E5"/>
    <w:rsid w:val="45EC1415"/>
    <w:rsid w:val="45F7A021"/>
    <w:rsid w:val="461F3267"/>
    <w:rsid w:val="466D6E7F"/>
    <w:rsid w:val="467269DA"/>
    <w:rsid w:val="46DB9507"/>
    <w:rsid w:val="4791673E"/>
    <w:rsid w:val="47A2AE42"/>
    <w:rsid w:val="47D28DED"/>
    <w:rsid w:val="4843763C"/>
    <w:rsid w:val="486CEC70"/>
    <w:rsid w:val="48C49FF6"/>
    <w:rsid w:val="4907B26F"/>
    <w:rsid w:val="4942CE90"/>
    <w:rsid w:val="4A136BE3"/>
    <w:rsid w:val="4A74FF6B"/>
    <w:rsid w:val="4AA1250D"/>
    <w:rsid w:val="4B0A3B0F"/>
    <w:rsid w:val="4B20DDE3"/>
    <w:rsid w:val="4B644C61"/>
    <w:rsid w:val="4BC16C2F"/>
    <w:rsid w:val="4C9F822E"/>
    <w:rsid w:val="4D035091"/>
    <w:rsid w:val="4EB5BB3C"/>
    <w:rsid w:val="4FC803C0"/>
    <w:rsid w:val="50344482"/>
    <w:rsid w:val="504C7417"/>
    <w:rsid w:val="505F85E0"/>
    <w:rsid w:val="50A69957"/>
    <w:rsid w:val="50CB6D94"/>
    <w:rsid w:val="50D2A550"/>
    <w:rsid w:val="50F62C70"/>
    <w:rsid w:val="527DEF78"/>
    <w:rsid w:val="533DD343"/>
    <w:rsid w:val="535A0514"/>
    <w:rsid w:val="5397CE88"/>
    <w:rsid w:val="540C5E83"/>
    <w:rsid w:val="54711273"/>
    <w:rsid w:val="564EDB11"/>
    <w:rsid w:val="56A2F1E5"/>
    <w:rsid w:val="56F280F8"/>
    <w:rsid w:val="57C7E4E6"/>
    <w:rsid w:val="59137E1D"/>
    <w:rsid w:val="592490FB"/>
    <w:rsid w:val="5A3676C7"/>
    <w:rsid w:val="5BA2F144"/>
    <w:rsid w:val="5BD0456D"/>
    <w:rsid w:val="5BD24728"/>
    <w:rsid w:val="5C077423"/>
    <w:rsid w:val="5C32A662"/>
    <w:rsid w:val="5C7232D9"/>
    <w:rsid w:val="5D22CFE4"/>
    <w:rsid w:val="5D558A2F"/>
    <w:rsid w:val="5E5D22E6"/>
    <w:rsid w:val="5EB2A838"/>
    <w:rsid w:val="5F09E7EA"/>
    <w:rsid w:val="60443020"/>
    <w:rsid w:val="6073C611"/>
    <w:rsid w:val="60A5B84B"/>
    <w:rsid w:val="611F01CF"/>
    <w:rsid w:val="61AFBB09"/>
    <w:rsid w:val="61BA8369"/>
    <w:rsid w:val="61EE2633"/>
    <w:rsid w:val="62379192"/>
    <w:rsid w:val="63B9178E"/>
    <w:rsid w:val="63E54427"/>
    <w:rsid w:val="63E74F06"/>
    <w:rsid w:val="640C88FD"/>
    <w:rsid w:val="6413970E"/>
    <w:rsid w:val="641FC911"/>
    <w:rsid w:val="6443D1C2"/>
    <w:rsid w:val="64F79FA0"/>
    <w:rsid w:val="650FCFDA"/>
    <w:rsid w:val="656A5CDC"/>
    <w:rsid w:val="65D8C388"/>
    <w:rsid w:val="6617EEF5"/>
    <w:rsid w:val="665D8A85"/>
    <w:rsid w:val="66645566"/>
    <w:rsid w:val="670DE26C"/>
    <w:rsid w:val="672DC9B5"/>
    <w:rsid w:val="68195328"/>
    <w:rsid w:val="682B6D78"/>
    <w:rsid w:val="6894D9EC"/>
    <w:rsid w:val="69795EB8"/>
    <w:rsid w:val="69B52389"/>
    <w:rsid w:val="6AAEA2F3"/>
    <w:rsid w:val="6B1F7A71"/>
    <w:rsid w:val="6BEDCD4C"/>
    <w:rsid w:val="6C0361EE"/>
    <w:rsid w:val="6D10797F"/>
    <w:rsid w:val="6D8FFDE2"/>
    <w:rsid w:val="6F913CDB"/>
    <w:rsid w:val="6F99CD10"/>
    <w:rsid w:val="6FA7053D"/>
    <w:rsid w:val="6FD6F0F5"/>
    <w:rsid w:val="702C61AF"/>
    <w:rsid w:val="7084B5EA"/>
    <w:rsid w:val="70B3F1B3"/>
    <w:rsid w:val="711172A7"/>
    <w:rsid w:val="71122A8C"/>
    <w:rsid w:val="71297E75"/>
    <w:rsid w:val="7187FCD3"/>
    <w:rsid w:val="719DD71A"/>
    <w:rsid w:val="71EC4EDF"/>
    <w:rsid w:val="721898F9"/>
    <w:rsid w:val="72716889"/>
    <w:rsid w:val="72FB84CC"/>
    <w:rsid w:val="7356DDE4"/>
    <w:rsid w:val="73A72117"/>
    <w:rsid w:val="73A8352C"/>
    <w:rsid w:val="741E1C79"/>
    <w:rsid w:val="74C1CA64"/>
    <w:rsid w:val="7514DE2E"/>
    <w:rsid w:val="7547323C"/>
    <w:rsid w:val="75C0AFAF"/>
    <w:rsid w:val="75C38AF5"/>
    <w:rsid w:val="7669D3E7"/>
    <w:rsid w:val="769F14C9"/>
    <w:rsid w:val="76B366C2"/>
    <w:rsid w:val="76B9FC9B"/>
    <w:rsid w:val="76D40F8D"/>
    <w:rsid w:val="771A04C2"/>
    <w:rsid w:val="77836233"/>
    <w:rsid w:val="77AF9797"/>
    <w:rsid w:val="77C87994"/>
    <w:rsid w:val="785E17E5"/>
    <w:rsid w:val="78711BBE"/>
    <w:rsid w:val="78BF5D06"/>
    <w:rsid w:val="7A1E18F9"/>
    <w:rsid w:val="7A422423"/>
    <w:rsid w:val="7A76FAC3"/>
    <w:rsid w:val="7A9B6322"/>
    <w:rsid w:val="7B7EBCCF"/>
    <w:rsid w:val="7B972972"/>
    <w:rsid w:val="7C3521A3"/>
    <w:rsid w:val="7C3F40CB"/>
    <w:rsid w:val="7C53CC9A"/>
    <w:rsid w:val="7C6A03F8"/>
    <w:rsid w:val="7D5E164E"/>
    <w:rsid w:val="7E74F9B3"/>
    <w:rsid w:val="7F0C73DF"/>
    <w:rsid w:val="7F6255BB"/>
    <w:rsid w:val="7F8B6D5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71DEFA"/>
  <w15:chartTrackingRefBased/>
  <w15:docId w15:val="{6838F28D-7A98-4AEC-8E66-DE7AC4C6E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table" w:customStyle="1" w:styleId="TableGrid1">
    <w:name w:val="Table Grid1"/>
    <w:basedOn w:val="TableNormal"/>
    <w:next w:val="TableGrid"/>
    <w:uiPriority w:val="39"/>
    <w:rsid w:val="008B6504"/>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39"/>
    <w:rsid w:val="008B65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D6711A"/>
    <w:rPr>
      <w:color w:val="954F72" w:themeColor="followedHyperlink"/>
      <w:u w:val="single"/>
    </w:rPr>
  </w:style>
  <w:style w:type="paragraph" w:styleId="Revision">
    <w:name w:val="Revision"/>
    <w:hidden/>
    <w:uiPriority w:val="99"/>
    <w:semiHidden/>
    <w:rsid w:val="00FE0394"/>
    <w:pPr>
      <w:spacing w:after="0" w:line="240" w:lineRule="auto"/>
    </w:pPr>
    <w:rPr>
      <w:rFonts w:ascii="Arial" w:eastAsia="Times New Roman" w:hAnsi="Arial" w:cs="Times New Roman"/>
      <w:sz w:val="24"/>
      <w:szCs w:val="24"/>
    </w:rPr>
  </w:style>
  <w:style w:type="character" w:styleId="CommentReference">
    <w:name w:val="annotation reference"/>
    <w:basedOn w:val="DefaultParagraphFont"/>
    <w:uiPriority w:val="99"/>
    <w:semiHidden/>
    <w:unhideWhenUsed/>
    <w:rsid w:val="002E3A47"/>
    <w:rPr>
      <w:sz w:val="16"/>
      <w:szCs w:val="16"/>
    </w:rPr>
  </w:style>
  <w:style w:type="paragraph" w:styleId="CommentText">
    <w:name w:val="annotation text"/>
    <w:basedOn w:val="Normal"/>
    <w:link w:val="CommentTextChar"/>
    <w:uiPriority w:val="99"/>
    <w:unhideWhenUsed/>
    <w:rsid w:val="002E3A47"/>
    <w:rPr>
      <w:sz w:val="20"/>
      <w:szCs w:val="20"/>
    </w:rPr>
  </w:style>
  <w:style w:type="character" w:customStyle="1" w:styleId="CommentTextChar">
    <w:name w:val="Comment Text Char"/>
    <w:basedOn w:val="DefaultParagraphFont"/>
    <w:link w:val="CommentText"/>
    <w:uiPriority w:val="99"/>
    <w:rsid w:val="002E3A47"/>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2E3A47"/>
    <w:rPr>
      <w:b/>
      <w:bCs/>
    </w:rPr>
  </w:style>
  <w:style w:type="character" w:customStyle="1" w:styleId="CommentSubjectChar">
    <w:name w:val="Comment Subject Char"/>
    <w:basedOn w:val="CommentTextChar"/>
    <w:link w:val="CommentSubject"/>
    <w:uiPriority w:val="99"/>
    <w:semiHidden/>
    <w:rsid w:val="002E3A47"/>
    <w:rPr>
      <w:rFonts w:ascii="Arial" w:eastAsia="Times New Roman" w:hAnsi="Arial" w:cs="Times New Roman"/>
      <w:b/>
      <w:bCs/>
      <w:sz w:val="20"/>
      <w:szCs w:val="20"/>
    </w:rPr>
  </w:style>
  <w:style w:type="character" w:styleId="UnresolvedMention">
    <w:name w:val="Unresolved Mention"/>
    <w:basedOn w:val="DefaultParagraphFont"/>
    <w:uiPriority w:val="99"/>
    <w:unhideWhenUsed/>
    <w:rsid w:val="008F4588"/>
    <w:rPr>
      <w:color w:val="605E5C"/>
      <w:shd w:val="clear" w:color="auto" w:fill="E1DFDD"/>
    </w:rPr>
  </w:style>
  <w:style w:type="character" w:styleId="Mention">
    <w:name w:val="Mention"/>
    <w:basedOn w:val="DefaultParagraphFont"/>
    <w:uiPriority w:val="99"/>
    <w:unhideWhenUsed/>
    <w:rsid w:val="00C4439A"/>
    <w:rPr>
      <w:color w:val="2B579A"/>
      <w:shd w:val="clear" w:color="auto" w:fill="E1DFDD"/>
    </w:rPr>
  </w:style>
  <w:style w:type="paragraph" w:styleId="FootnoteText">
    <w:name w:val="footnote text"/>
    <w:basedOn w:val="Normal"/>
    <w:link w:val="FootnoteTextChar"/>
    <w:uiPriority w:val="99"/>
    <w:semiHidden/>
    <w:unhideWhenUsed/>
    <w:rsid w:val="007F528F"/>
    <w:rPr>
      <w:sz w:val="20"/>
      <w:szCs w:val="20"/>
    </w:rPr>
  </w:style>
  <w:style w:type="character" w:customStyle="1" w:styleId="FootnoteTextChar">
    <w:name w:val="Footnote Text Char"/>
    <w:basedOn w:val="DefaultParagraphFont"/>
    <w:link w:val="FootnoteText"/>
    <w:uiPriority w:val="99"/>
    <w:semiHidden/>
    <w:rsid w:val="007F528F"/>
    <w:rPr>
      <w:rFonts w:ascii="Arial" w:eastAsia="Times New Roman" w:hAnsi="Arial" w:cs="Times New Roman"/>
      <w:sz w:val="20"/>
      <w:szCs w:val="20"/>
    </w:rPr>
  </w:style>
  <w:style w:type="character" w:styleId="FootnoteReference">
    <w:name w:val="footnote reference"/>
    <w:basedOn w:val="DefaultParagraphFont"/>
    <w:uiPriority w:val="99"/>
    <w:semiHidden/>
    <w:unhideWhenUsed/>
    <w:rsid w:val="007F528F"/>
    <w:rPr>
      <w:vertAlign w:val="superscript"/>
    </w:rPr>
  </w:style>
  <w:style w:type="character" w:customStyle="1" w:styleId="cf01">
    <w:name w:val="cf01"/>
    <w:basedOn w:val="DefaultParagraphFont"/>
    <w:rsid w:val="007F528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93851517">
      <w:bodyDiv w:val="1"/>
      <w:marLeft w:val="0"/>
      <w:marRight w:val="0"/>
      <w:marTop w:val="0"/>
      <w:marBottom w:val="0"/>
      <w:divBdr>
        <w:top w:val="none" w:sz="0" w:space="0" w:color="auto"/>
        <w:left w:val="none" w:sz="0" w:space="0" w:color="auto"/>
        <w:bottom w:val="none" w:sz="0" w:space="0" w:color="auto"/>
        <w:right w:val="none" w:sz="0" w:space="0" w:color="auto"/>
      </w:divBdr>
    </w:div>
    <w:div w:id="2141921871">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cde.ca.gov/be/ag/ag/yr24/documents/jan24item07a2.pdf" TargetMode="External"/><Relationship Id="rId26" Type="http://schemas.openxmlformats.org/officeDocument/2006/relationships/image" Target="media/image2.jpg"/><Relationship Id="rId39"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yperlink" Target="https://www.cde.ca.gov/be/ag/ag/yr22/documents/mar22item03rev.docx" TargetMode="External"/><Relationship Id="rId34" Type="http://schemas.openxmlformats.org/officeDocument/2006/relationships/header" Target="header3.xml"/><Relationship Id="rId42"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de.ca.gov/be/ag/ag/yr24/jan24item07a1.asp" TargetMode="External"/><Relationship Id="rId25" Type="http://schemas.openxmlformats.org/officeDocument/2006/relationships/footer" Target="footer3.xml"/><Relationship Id="rId33" Type="http://schemas.openxmlformats.org/officeDocument/2006/relationships/hyperlink" Target="mailto:mvang@cde.ca.gov" TargetMode="External"/><Relationship Id="rId38"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hyperlink" Target="https://www.cde.ca.gov/be/ag/ag/yr24/documents/jan24item07.docx" TargetMode="External"/><Relationship Id="rId20" Type="http://schemas.openxmlformats.org/officeDocument/2006/relationships/hyperlink" Target="https://www.cde.ca.gov/be/ag/ag/yr22/documents/jul22item06.docx" TargetMode="External"/><Relationship Id="rId29" Type="http://schemas.openxmlformats.org/officeDocument/2006/relationships/hyperlink" Target="https://www.niehs.nih.gov/health/topics/conditions/autism"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2.xml"/><Relationship Id="rId32" Type="http://schemas.openxmlformats.org/officeDocument/2006/relationships/hyperlink" Target="https://www.cde.ca.gov/ta/tg/ca/caaonepercent.asp" TargetMode="External"/><Relationship Id="rId37" Type="http://schemas.openxmlformats.org/officeDocument/2006/relationships/footer" Target="footer5.xml"/><Relationship Id="rId40"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hyperlink" Target="https://www.cde.ca.gov/be/ag/ag/yr24/agenda202401.asp" TargetMode="External"/><Relationship Id="rId23" Type="http://schemas.openxmlformats.org/officeDocument/2006/relationships/hyperlink" Target="https://www.cde.ca.gov/be/pn/im/documents/apr20memoadad02.docx" TargetMode="External"/><Relationship Id="rId28" Type="http://schemas.openxmlformats.org/officeDocument/2006/relationships/hyperlink" Target="https://www.cdc.gov/mmwr/volumes/72/ss/ss7202a1.htm?s_cid=ss7202a1_w" TargetMode="External"/><Relationship Id="rId36"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yperlink" Target="https://www.cde.ca.gov/be/ag/ag/yr23/documents/nov23item11.docx" TargetMode="External"/><Relationship Id="rId31" Type="http://schemas.openxmlformats.org/officeDocument/2006/relationships/hyperlink" Target="https://www.cde.ca.gov/ta/tg/ca/caascience.asp"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www.cde.ca.gov/be/ag/ag/yr20/documents/sep20item07.docx" TargetMode="External"/><Relationship Id="rId27" Type="http://schemas.openxmlformats.org/officeDocument/2006/relationships/hyperlink" Target="https://www.cde.ca.gov/be/ag/ag/" TargetMode="External"/><Relationship Id="rId30" Type="http://schemas.openxmlformats.org/officeDocument/2006/relationships/hyperlink" Target="https://www.cde.ca.gov/ta/tg/ca/altassessment.asp" TargetMode="External"/><Relationship Id="rId35"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1aae30ff-d7bc-47e3-882e-cd3423d00d62" xsi:nil="true"/>
    <lcf76f155ced4ddcb4097134ff3c332f xmlns="f89dec18-d0c2-45d2-8a15-31051f2519f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17" ma:contentTypeDescription="Create a new document." ma:contentTypeScope="" ma:versionID="a97d6933f39f04cfd109dd0f07d6aa84">
  <xsd:schema xmlns:xsd="http://www.w3.org/2001/XMLSchema" xmlns:xs="http://www.w3.org/2001/XMLSchema" xmlns:p="http://schemas.microsoft.com/office/2006/metadata/properties" xmlns:ns2="1aae30ff-d7bc-47e3-882e-cd3423d00d62" xmlns:ns3="f89dec18-d0c2-45d2-8a15-31051f2519f8" targetNamespace="http://schemas.microsoft.com/office/2006/metadata/properties" ma:root="true" ma:fieldsID="56b87715104447ef79ccde77fe337f74" ns2:_="" ns3:_="">
    <xsd:import namespace="1aae30ff-d7bc-47e3-882e-cd3423d00d62"/>
    <xsd:import namespace="f89dec18-d0c2-45d2-8a15-31051f2519f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ObjectDetectorVersion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0030727d-e339-4747-a48e-d67eefbe9f9f}" ma:internalName="TaxCatchAll" ma:showField="CatchAllData" ma:web="1aae30ff-d7bc-47e3-882e-cd3423d00d6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c2487d89-012e-44bc-975c-10dd49798f89"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A03E86D-4421-4A28-B6C9-5C9F5DA525BC}">
  <ds:schemaRefs>
    <ds:schemaRef ds:uri="http://schemas.openxmlformats.org/officeDocument/2006/bibliography"/>
  </ds:schemaRefs>
</ds:datastoreItem>
</file>

<file path=customXml/itemProps2.xml><?xml version="1.0" encoding="utf-8"?>
<ds:datastoreItem xmlns:ds="http://schemas.openxmlformats.org/officeDocument/2006/customXml" ds:itemID="{855A353B-21C0-4695-A451-37546C91DCF8}">
  <ds:schemaRefs>
    <ds:schemaRef ds:uri="http://schemas.microsoft.com/office/2006/metadata/properties"/>
    <ds:schemaRef ds:uri="http://schemas.microsoft.com/office/infopath/2007/PartnerControls"/>
    <ds:schemaRef ds:uri="1aae30ff-d7bc-47e3-882e-cd3423d00d62"/>
    <ds:schemaRef ds:uri="f89dec18-d0c2-45d2-8a15-31051f2519f8"/>
  </ds:schemaRefs>
</ds:datastoreItem>
</file>

<file path=customXml/itemProps3.xml><?xml version="1.0" encoding="utf-8"?>
<ds:datastoreItem xmlns:ds="http://schemas.openxmlformats.org/officeDocument/2006/customXml" ds:itemID="{289935B0-6B11-4610-996D-F9574B4DCCEB}">
  <ds:schemaRefs>
    <ds:schemaRef ds:uri="http://schemas.microsoft.com/sharepoint/v3/contenttype/forms"/>
  </ds:schemaRefs>
</ds:datastoreItem>
</file>

<file path=customXml/itemProps4.xml><?xml version="1.0" encoding="utf-8"?>
<ds:datastoreItem xmlns:ds="http://schemas.openxmlformats.org/officeDocument/2006/customXml" ds:itemID="{B5C2A6DD-817D-4BE2-A46A-7C51B743B3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ae30ff-d7bc-47e3-882e-cd3423d00d62"/>
    <ds:schemaRef ds:uri="f89dec18-d0c2-45d2-8a15-31051f2519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11</Pages>
  <Words>3764</Words>
  <Characters>21456</Characters>
  <DocSecurity>0</DocSecurity>
  <Lines>178</Lines>
  <Paragraphs>50</Paragraphs>
  <ScaleCrop>false</ScaleCrop>
  <HeadingPairs>
    <vt:vector size="2" baseType="variant">
      <vt:variant>
        <vt:lpstr>Title</vt:lpstr>
      </vt:variant>
      <vt:variant>
        <vt:i4>1</vt:i4>
      </vt:variant>
    </vt:vector>
  </HeadingPairs>
  <TitlesOfParts>
    <vt:vector size="1" baseType="lpstr">
      <vt:lpstr>July 2024 Agenda Item 00 - Meeting Agendas (CA State Board of Education)</vt:lpstr>
    </vt:vector>
  </TitlesOfParts>
  <Company>California State Board of Education</Company>
  <LinksUpToDate>false</LinksUpToDate>
  <CharactersWithSpaces>25170</CharactersWithSpaces>
  <SharedDoc>false</SharedDoc>
  <HLinks>
    <vt:vector size="96" baseType="variant">
      <vt:variant>
        <vt:i4>2949214</vt:i4>
      </vt:variant>
      <vt:variant>
        <vt:i4>45</vt:i4>
      </vt:variant>
      <vt:variant>
        <vt:i4>0</vt:i4>
      </vt:variant>
      <vt:variant>
        <vt:i4>5</vt:i4>
      </vt:variant>
      <vt:variant>
        <vt:lpwstr>mailto:mvang@cde.ca.gov</vt:lpwstr>
      </vt:variant>
      <vt:variant>
        <vt:lpwstr/>
      </vt:variant>
      <vt:variant>
        <vt:i4>6029326</vt:i4>
      </vt:variant>
      <vt:variant>
        <vt:i4>42</vt:i4>
      </vt:variant>
      <vt:variant>
        <vt:i4>0</vt:i4>
      </vt:variant>
      <vt:variant>
        <vt:i4>5</vt:i4>
      </vt:variant>
      <vt:variant>
        <vt:lpwstr>https://www.cde.ca.gov/ta/tg/ca/caaonepercent.asp</vt:lpwstr>
      </vt:variant>
      <vt:variant>
        <vt:lpwstr/>
      </vt:variant>
      <vt:variant>
        <vt:i4>6488106</vt:i4>
      </vt:variant>
      <vt:variant>
        <vt:i4>39</vt:i4>
      </vt:variant>
      <vt:variant>
        <vt:i4>0</vt:i4>
      </vt:variant>
      <vt:variant>
        <vt:i4>5</vt:i4>
      </vt:variant>
      <vt:variant>
        <vt:lpwstr>https://www.cde.ca.gov/ta/tg/ca/caascience.asp</vt:lpwstr>
      </vt:variant>
      <vt:variant>
        <vt:lpwstr/>
      </vt:variant>
      <vt:variant>
        <vt:i4>5308432</vt:i4>
      </vt:variant>
      <vt:variant>
        <vt:i4>36</vt:i4>
      </vt:variant>
      <vt:variant>
        <vt:i4>0</vt:i4>
      </vt:variant>
      <vt:variant>
        <vt:i4>5</vt:i4>
      </vt:variant>
      <vt:variant>
        <vt:lpwstr>https://www.cde.ca.gov/ta/tg/ca/altassessment.asp</vt:lpwstr>
      </vt:variant>
      <vt:variant>
        <vt:lpwstr/>
      </vt:variant>
      <vt:variant>
        <vt:i4>4980824</vt:i4>
      </vt:variant>
      <vt:variant>
        <vt:i4>33</vt:i4>
      </vt:variant>
      <vt:variant>
        <vt:i4>0</vt:i4>
      </vt:variant>
      <vt:variant>
        <vt:i4>5</vt:i4>
      </vt:variant>
      <vt:variant>
        <vt:lpwstr>https://www.niehs.nih.gov/health/topics/conditions/autism</vt:lpwstr>
      </vt:variant>
      <vt:variant>
        <vt:lpwstr/>
      </vt:variant>
      <vt:variant>
        <vt:i4>8126499</vt:i4>
      </vt:variant>
      <vt:variant>
        <vt:i4>30</vt:i4>
      </vt:variant>
      <vt:variant>
        <vt:i4>0</vt:i4>
      </vt:variant>
      <vt:variant>
        <vt:i4>5</vt:i4>
      </vt:variant>
      <vt:variant>
        <vt:lpwstr>https://www.cdc.gov/mmwr/volumes/72/ss/ss7202a1.htm?s_cid=ss7202a1_w</vt:lpwstr>
      </vt:variant>
      <vt:variant>
        <vt:lpwstr/>
      </vt:variant>
      <vt:variant>
        <vt:i4>1441799</vt:i4>
      </vt:variant>
      <vt:variant>
        <vt:i4>27</vt:i4>
      </vt:variant>
      <vt:variant>
        <vt:i4>0</vt:i4>
      </vt:variant>
      <vt:variant>
        <vt:i4>5</vt:i4>
      </vt:variant>
      <vt:variant>
        <vt:lpwstr>https://www.cde.ca.gov/be/ag/ag/</vt:lpwstr>
      </vt:variant>
      <vt:variant>
        <vt:lpwstr/>
      </vt:variant>
      <vt:variant>
        <vt:i4>7864439</vt:i4>
      </vt:variant>
      <vt:variant>
        <vt:i4>24</vt:i4>
      </vt:variant>
      <vt:variant>
        <vt:i4>0</vt:i4>
      </vt:variant>
      <vt:variant>
        <vt:i4>5</vt:i4>
      </vt:variant>
      <vt:variant>
        <vt:lpwstr>https://www.cde.ca.gov/be/pn/im/documents/apr20memoadad02.docx</vt:lpwstr>
      </vt:variant>
      <vt:variant>
        <vt:lpwstr/>
      </vt:variant>
      <vt:variant>
        <vt:i4>3735661</vt:i4>
      </vt:variant>
      <vt:variant>
        <vt:i4>21</vt:i4>
      </vt:variant>
      <vt:variant>
        <vt:i4>0</vt:i4>
      </vt:variant>
      <vt:variant>
        <vt:i4>5</vt:i4>
      </vt:variant>
      <vt:variant>
        <vt:lpwstr>https://www.cde.ca.gov/be/ag/ag/yr20/documents/sep20item07.docx</vt:lpwstr>
      </vt:variant>
      <vt:variant>
        <vt:lpwstr/>
      </vt:variant>
      <vt:variant>
        <vt:i4>7995435</vt:i4>
      </vt:variant>
      <vt:variant>
        <vt:i4>18</vt:i4>
      </vt:variant>
      <vt:variant>
        <vt:i4>0</vt:i4>
      </vt:variant>
      <vt:variant>
        <vt:i4>5</vt:i4>
      </vt:variant>
      <vt:variant>
        <vt:lpwstr>https://www.cde.ca.gov/be/ag/ag/yr22/documents/mar22item03rev.docx</vt:lpwstr>
      </vt:variant>
      <vt:variant>
        <vt:lpwstr/>
      </vt:variant>
      <vt:variant>
        <vt:i4>3997821</vt:i4>
      </vt:variant>
      <vt:variant>
        <vt:i4>15</vt:i4>
      </vt:variant>
      <vt:variant>
        <vt:i4>0</vt:i4>
      </vt:variant>
      <vt:variant>
        <vt:i4>5</vt:i4>
      </vt:variant>
      <vt:variant>
        <vt:lpwstr>https://www.cde.ca.gov/be/ag/ag/yr22/documents/jul22item06.docx</vt:lpwstr>
      </vt:variant>
      <vt:variant>
        <vt:lpwstr/>
      </vt:variant>
      <vt:variant>
        <vt:i4>2359398</vt:i4>
      </vt:variant>
      <vt:variant>
        <vt:i4>12</vt:i4>
      </vt:variant>
      <vt:variant>
        <vt:i4>0</vt:i4>
      </vt:variant>
      <vt:variant>
        <vt:i4>5</vt:i4>
      </vt:variant>
      <vt:variant>
        <vt:lpwstr>https://www.cde.ca.gov/be/ag/ag/yr23/documents/nov23item11.docx</vt:lpwstr>
      </vt:variant>
      <vt:variant>
        <vt:lpwstr/>
      </vt:variant>
      <vt:variant>
        <vt:i4>1900547</vt:i4>
      </vt:variant>
      <vt:variant>
        <vt:i4>9</vt:i4>
      </vt:variant>
      <vt:variant>
        <vt:i4>0</vt:i4>
      </vt:variant>
      <vt:variant>
        <vt:i4>5</vt:i4>
      </vt:variant>
      <vt:variant>
        <vt:lpwstr>https://www.cde.ca.gov/be/ag/ag/yr24/documents/jan24item07a2.pdf</vt:lpwstr>
      </vt:variant>
      <vt:variant>
        <vt:lpwstr/>
      </vt:variant>
      <vt:variant>
        <vt:i4>7209008</vt:i4>
      </vt:variant>
      <vt:variant>
        <vt:i4>6</vt:i4>
      </vt:variant>
      <vt:variant>
        <vt:i4>0</vt:i4>
      </vt:variant>
      <vt:variant>
        <vt:i4>5</vt:i4>
      </vt:variant>
      <vt:variant>
        <vt:lpwstr>https://www.cde.ca.gov/be/ag/ag/yr24/jan24item07a1.asp</vt:lpwstr>
      </vt:variant>
      <vt:variant>
        <vt:lpwstr/>
      </vt:variant>
      <vt:variant>
        <vt:i4>4063337</vt:i4>
      </vt:variant>
      <vt:variant>
        <vt:i4>3</vt:i4>
      </vt:variant>
      <vt:variant>
        <vt:i4>0</vt:i4>
      </vt:variant>
      <vt:variant>
        <vt:i4>5</vt:i4>
      </vt:variant>
      <vt:variant>
        <vt:lpwstr>https://www.cde.ca.gov/be/ag/ag/yr24/documents/jan24item07.docx</vt:lpwstr>
      </vt:variant>
      <vt:variant>
        <vt:lpwstr/>
      </vt:variant>
      <vt:variant>
        <vt:i4>6094943</vt:i4>
      </vt:variant>
      <vt:variant>
        <vt:i4>0</vt:i4>
      </vt:variant>
      <vt:variant>
        <vt:i4>0</vt:i4>
      </vt:variant>
      <vt:variant>
        <vt:i4>5</vt:i4>
      </vt:variant>
      <vt:variant>
        <vt:lpwstr>https://www.cde.ca.gov/be/ag/ag/yr24/agenda202401.asp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2024 Agenda Item 08 - Meeting Agendas (CA State Board of Education)</dc:title>
  <dc:subject>Request to Approve a Response Letter to the U.S. Department of Education Regarding the 1.0 Percent Cap on the Percentage of Eligible Students with the Most Significant Cognitive Disabilities.</dc:subject>
  <cp:keywords/>
  <dc:description/>
  <cp:lastPrinted>2024-06-28T19:54:00Z</cp:lastPrinted>
  <dcterms:created xsi:type="dcterms:W3CDTF">2024-06-28T20:10:00Z</dcterms:created>
  <dcterms:modified xsi:type="dcterms:W3CDTF">2024-06-28T22:30:00Z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y fmtid="{D5CDD505-2E9C-101B-9397-08002B2CF9AE}" pid="3" name="GrammarlyDocumentId">
    <vt:lpwstr>e1a0173bdb0157a1caa09523f13cfd08cbe049231e5742f71c2458e903a2eaab</vt:lpwstr>
  </property>
  <property fmtid="{D5CDD505-2E9C-101B-9397-08002B2CF9AE}" pid="4" name="MediaServiceImageTags">
    <vt:lpwstr/>
  </property>
</Properties>
</file>