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6E06C6" w:rsidRPr="00C872E7" w:rsidRDefault="00D5115F" w:rsidP="00B723BE">
      <w:r w:rsidRPr="00C872E7">
        <w:rPr>
          <w:noProof/>
        </w:rPr>
        <w:drawing>
          <wp:inline distT="0" distB="0" distL="0" distR="0" wp14:anchorId="29142DEA" wp14:editId="07777777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84A02" w14:textId="77777777" w:rsidR="00B723BE" w:rsidRPr="00C872E7" w:rsidRDefault="00FC1FCE" w:rsidP="00B723BE">
      <w:pPr>
        <w:jc w:val="right"/>
      </w:pPr>
      <w:r w:rsidRPr="00C872E7">
        <w:t>California Department of Education</w:t>
      </w:r>
    </w:p>
    <w:p w14:paraId="1CAF1CB7" w14:textId="77777777" w:rsidR="00B723BE" w:rsidRPr="00C872E7" w:rsidRDefault="00FC1FCE" w:rsidP="00B723BE">
      <w:pPr>
        <w:jc w:val="right"/>
      </w:pPr>
      <w:r w:rsidRPr="00C872E7">
        <w:t>Executive Office</w:t>
      </w:r>
    </w:p>
    <w:p w14:paraId="18A2FE91" w14:textId="77777777" w:rsidR="002B4B14" w:rsidRPr="00C872E7" w:rsidRDefault="00692300" w:rsidP="00B723BE">
      <w:pPr>
        <w:jc w:val="right"/>
      </w:pPr>
      <w:r w:rsidRPr="00C872E7">
        <w:t>SBE-00</w:t>
      </w:r>
      <w:r w:rsidR="000324AD" w:rsidRPr="00C872E7">
        <w:t>3</w:t>
      </w:r>
      <w:r w:rsidRPr="00C872E7">
        <w:t xml:space="preserve"> (REV. 1</w:t>
      </w:r>
      <w:r w:rsidR="00C27D57" w:rsidRPr="00C872E7">
        <w:t>1</w:t>
      </w:r>
      <w:r w:rsidRPr="00C872E7">
        <w:t>/2017</w:t>
      </w:r>
      <w:r w:rsidR="00FC1FCE" w:rsidRPr="00C872E7">
        <w:t>)</w:t>
      </w:r>
    </w:p>
    <w:p w14:paraId="0A37501D" w14:textId="76BB0F75" w:rsidR="00B723BE" w:rsidRPr="00BF362D" w:rsidRDefault="00C872E7" w:rsidP="00BF362D">
      <w:pPr>
        <w:jc w:val="right"/>
        <w:sectPr w:rsidR="00B723BE" w:rsidRPr="00BF362D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 w:rsidRPr="00C872E7">
        <w:t>sbe-</w:t>
      </w:r>
      <w:r w:rsidR="000C56FD">
        <w:t>sep</w:t>
      </w:r>
      <w:r w:rsidRPr="00C872E7">
        <w:t>24item</w:t>
      </w:r>
      <w:r w:rsidR="00BF362D">
        <w:t>03</w:t>
      </w:r>
    </w:p>
    <w:p w14:paraId="5DAB6C7B" w14:textId="77777777" w:rsidR="006E06C6" w:rsidRPr="00C872E7" w:rsidRDefault="006E06C6" w:rsidP="00FC1FCE">
      <w:pPr>
        <w:pStyle w:val="Heading1"/>
        <w:jc w:val="center"/>
        <w:rPr>
          <w:sz w:val="40"/>
          <w:szCs w:val="40"/>
        </w:rPr>
        <w:sectPr w:rsidR="006E06C6" w:rsidRPr="00C872E7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02C2D70" w14:textId="7A324DA1" w:rsidR="00FC1FCE" w:rsidRPr="00C872E7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C872E7">
        <w:rPr>
          <w:sz w:val="40"/>
          <w:szCs w:val="40"/>
        </w:rPr>
        <w:t>Californ</w:t>
      </w:r>
      <w:r w:rsidR="00693951" w:rsidRPr="00C872E7">
        <w:rPr>
          <w:sz w:val="40"/>
          <w:szCs w:val="40"/>
        </w:rPr>
        <w:t>ia State Board of Education</w:t>
      </w:r>
      <w:r w:rsidR="00693951" w:rsidRPr="00C872E7">
        <w:rPr>
          <w:sz w:val="40"/>
          <w:szCs w:val="40"/>
        </w:rPr>
        <w:br/>
      </w:r>
      <w:r w:rsidR="00BC0D9A">
        <w:rPr>
          <w:sz w:val="40"/>
          <w:szCs w:val="40"/>
        </w:rPr>
        <w:t>September</w:t>
      </w:r>
      <w:r w:rsidR="00130059" w:rsidRPr="00C872E7">
        <w:rPr>
          <w:sz w:val="40"/>
          <w:szCs w:val="40"/>
        </w:rPr>
        <w:t xml:space="preserve"> </w:t>
      </w:r>
      <w:r w:rsidR="008E1BBC" w:rsidRPr="00C872E7">
        <w:rPr>
          <w:sz w:val="40"/>
          <w:szCs w:val="40"/>
        </w:rPr>
        <w:t>20</w:t>
      </w:r>
      <w:r w:rsidR="000A72EC" w:rsidRPr="00C872E7">
        <w:rPr>
          <w:sz w:val="40"/>
          <w:szCs w:val="40"/>
        </w:rPr>
        <w:t>24</w:t>
      </w:r>
      <w:r w:rsidRPr="00C872E7">
        <w:rPr>
          <w:sz w:val="40"/>
          <w:szCs w:val="40"/>
        </w:rPr>
        <w:t xml:space="preserve"> </w:t>
      </w:r>
      <w:r w:rsidR="00BC0D9A">
        <w:rPr>
          <w:sz w:val="40"/>
          <w:szCs w:val="40"/>
        </w:rPr>
        <w:t>Agenda</w:t>
      </w:r>
      <w:r w:rsidR="00FC1FCE" w:rsidRPr="00C872E7">
        <w:rPr>
          <w:sz w:val="40"/>
          <w:szCs w:val="40"/>
        </w:rPr>
        <w:br/>
        <w:t>Item</w:t>
      </w:r>
      <w:r w:rsidR="00692300" w:rsidRPr="00C872E7">
        <w:rPr>
          <w:sz w:val="40"/>
          <w:szCs w:val="40"/>
        </w:rPr>
        <w:t xml:space="preserve"> #</w:t>
      </w:r>
      <w:r w:rsidR="00BF362D">
        <w:rPr>
          <w:sz w:val="40"/>
          <w:szCs w:val="40"/>
        </w:rPr>
        <w:t>04</w:t>
      </w:r>
    </w:p>
    <w:p w14:paraId="27B6226E" w14:textId="77777777" w:rsidR="00FC1FCE" w:rsidRPr="00C872E7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Subject</w:t>
      </w:r>
    </w:p>
    <w:p w14:paraId="11D279AF" w14:textId="3ACDDF1F" w:rsidR="003655AF" w:rsidRPr="00C872E7" w:rsidRDefault="00BC0D9A" w:rsidP="06AF4BE7">
      <w:pPr>
        <w:spacing w:after="480"/>
      </w:pPr>
      <w:r>
        <w:t>Follow</w:t>
      </w:r>
      <w:r w:rsidR="00324CAB">
        <w:t>-</w:t>
      </w:r>
      <w:r>
        <w:t xml:space="preserve">up to the July 2024 State Board of Education </w:t>
      </w:r>
      <w:r w:rsidR="001C437D" w:rsidRPr="00C872E7">
        <w:t xml:space="preserve">Study Session on </w:t>
      </w:r>
      <w:r w:rsidR="008D15E4" w:rsidRPr="00C872E7">
        <w:t xml:space="preserve">The California Way: </w:t>
      </w:r>
      <w:r>
        <w:t xml:space="preserve">Strategies for Supporting Local </w:t>
      </w:r>
      <w:r w:rsidR="00A554FB">
        <w:t xml:space="preserve">Educational Agency and </w:t>
      </w:r>
      <w:r>
        <w:t xml:space="preserve">School Innovations </w:t>
      </w:r>
      <w:r w:rsidR="008D15E4" w:rsidRPr="00C872E7">
        <w:t xml:space="preserve"> </w:t>
      </w:r>
    </w:p>
    <w:p w14:paraId="19FA46C3" w14:textId="77777777" w:rsidR="00FC1FCE" w:rsidRPr="00C872E7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Type of Action</w:t>
      </w:r>
    </w:p>
    <w:p w14:paraId="421C6183" w14:textId="77777777" w:rsidR="0091117B" w:rsidRPr="00C872E7" w:rsidRDefault="008909EE" w:rsidP="000E09DC">
      <w:pPr>
        <w:spacing w:after="480"/>
      </w:pPr>
      <w:r w:rsidRPr="00C872E7">
        <w:t>Information</w:t>
      </w:r>
    </w:p>
    <w:p w14:paraId="0043DF74" w14:textId="77777777" w:rsidR="002E3473" w:rsidRDefault="00FC1FCE" w:rsidP="002E3473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Summary of the Issue(s)</w:t>
      </w:r>
    </w:p>
    <w:p w14:paraId="6E72FF4C" w14:textId="3AB3C417" w:rsidR="002E3473" w:rsidRPr="002E3473" w:rsidRDefault="002E3473" w:rsidP="002E3473">
      <w:pPr>
        <w:pStyle w:val="Heading2"/>
        <w:spacing w:before="240" w:after="240"/>
        <w:rPr>
          <w:sz w:val="36"/>
          <w:szCs w:val="36"/>
        </w:rPr>
      </w:pPr>
      <w:r w:rsidRPr="002E3473">
        <w:rPr>
          <w:rFonts w:eastAsia="Times New Roman" w:cs="Times New Roman"/>
          <w:b w:val="0"/>
          <w:sz w:val="24"/>
          <w:szCs w:val="24"/>
        </w:rPr>
        <w:t>In this follow up to the July 2024 State Board of Education</w:t>
      </w:r>
      <w:r w:rsidR="003C5678">
        <w:rPr>
          <w:rFonts w:eastAsia="Times New Roman" w:cs="Times New Roman"/>
          <w:b w:val="0"/>
          <w:sz w:val="24"/>
          <w:szCs w:val="24"/>
        </w:rPr>
        <w:t xml:space="preserve"> (SBE)</w:t>
      </w:r>
      <w:r w:rsidRPr="002E3473">
        <w:rPr>
          <w:rFonts w:eastAsia="Times New Roman" w:cs="Times New Roman"/>
          <w:b w:val="0"/>
          <w:sz w:val="24"/>
          <w:szCs w:val="24"/>
        </w:rPr>
        <w:t xml:space="preserve"> study session, SBE Board members will hear from Paolo </w:t>
      </w:r>
      <w:proofErr w:type="spellStart"/>
      <w:r w:rsidRPr="002E3473">
        <w:rPr>
          <w:rFonts w:eastAsia="Times New Roman" w:cs="Times New Roman"/>
          <w:b w:val="0"/>
          <w:sz w:val="24"/>
          <w:szCs w:val="24"/>
        </w:rPr>
        <w:t>DeMaria</w:t>
      </w:r>
      <w:proofErr w:type="spellEnd"/>
      <w:r w:rsidRPr="002E3473">
        <w:rPr>
          <w:rFonts w:eastAsia="Times New Roman" w:cs="Times New Roman"/>
          <w:b w:val="0"/>
          <w:sz w:val="24"/>
          <w:szCs w:val="24"/>
        </w:rPr>
        <w:t xml:space="preserve">, President and CEO of the National Association of State Boards of Education (NASBE). Mr. </w:t>
      </w:r>
      <w:proofErr w:type="spellStart"/>
      <w:r w:rsidRPr="002E3473">
        <w:rPr>
          <w:rFonts w:eastAsia="Times New Roman" w:cs="Times New Roman"/>
          <w:b w:val="0"/>
          <w:sz w:val="24"/>
          <w:szCs w:val="24"/>
        </w:rPr>
        <w:t>DeMaria</w:t>
      </w:r>
      <w:proofErr w:type="spellEnd"/>
      <w:r w:rsidRPr="002E3473">
        <w:rPr>
          <w:rFonts w:eastAsia="Times New Roman" w:cs="Times New Roman"/>
          <w:b w:val="0"/>
          <w:sz w:val="24"/>
          <w:szCs w:val="24"/>
        </w:rPr>
        <w:t xml:space="preserve"> will present on the ways in which state boards of education across the country are evolving their </w:t>
      </w:r>
      <w:r w:rsidRPr="00E874C6">
        <w:rPr>
          <w:rFonts w:eastAsia="Times New Roman" w:cs="Times New Roman"/>
          <w:b w:val="0"/>
          <w:sz w:val="24"/>
          <w:szCs w:val="24"/>
        </w:rPr>
        <w:t>state</w:t>
      </w:r>
      <w:r w:rsidR="003C5678">
        <w:rPr>
          <w:rFonts w:eastAsia="Times New Roman" w:cs="Times New Roman"/>
          <w:b w:val="0"/>
          <w:sz w:val="24"/>
          <w:szCs w:val="24"/>
        </w:rPr>
        <w:t>’</w:t>
      </w:r>
      <w:r w:rsidRPr="00E874C6">
        <w:rPr>
          <w:rFonts w:eastAsia="Times New Roman" w:cs="Times New Roman"/>
          <w:b w:val="0"/>
          <w:sz w:val="24"/>
          <w:szCs w:val="24"/>
        </w:rPr>
        <w:t>s public education</w:t>
      </w:r>
      <w:r>
        <w:rPr>
          <w:rFonts w:eastAsia="Times New Roman" w:cs="Times New Roman"/>
          <w:b w:val="0"/>
          <w:sz w:val="24"/>
          <w:szCs w:val="24"/>
        </w:rPr>
        <w:t xml:space="preserve"> </w:t>
      </w:r>
      <w:r w:rsidRPr="002E3473">
        <w:rPr>
          <w:rFonts w:eastAsia="Times New Roman" w:cs="Times New Roman"/>
          <w:b w:val="0"/>
          <w:sz w:val="24"/>
          <w:szCs w:val="24"/>
        </w:rPr>
        <w:t>systems and supporting innovation to meet contemporary needs for whole child education and new kinds of learning in our rapidly changing society.</w:t>
      </w:r>
    </w:p>
    <w:p w14:paraId="08BF9F4B" w14:textId="2CA26E6C" w:rsidR="003E4DF7" w:rsidRPr="00C872E7" w:rsidRDefault="00241C8D" w:rsidP="00E30737">
      <w:pPr>
        <w:pStyle w:val="Heading2"/>
        <w:spacing w:before="480" w:after="240"/>
        <w:rPr>
          <w:sz w:val="36"/>
          <w:szCs w:val="36"/>
        </w:rPr>
      </w:pPr>
      <w:r w:rsidRPr="00C872E7">
        <w:rPr>
          <w:sz w:val="36"/>
          <w:szCs w:val="36"/>
        </w:rPr>
        <w:t>R</w:t>
      </w:r>
      <w:r w:rsidR="003E4DF7" w:rsidRPr="00C872E7">
        <w:rPr>
          <w:sz w:val="36"/>
          <w:szCs w:val="36"/>
        </w:rPr>
        <w:t>ecommendation</w:t>
      </w:r>
    </w:p>
    <w:p w14:paraId="14B4F9ED" w14:textId="77777777" w:rsidR="003E4DF7" w:rsidRPr="00C872E7" w:rsidRDefault="008E1BBC" w:rsidP="002B4B14">
      <w:pPr>
        <w:spacing w:after="480"/>
      </w:pPr>
      <w:r w:rsidRPr="00C872E7">
        <w:t xml:space="preserve">No specific action is recommended </w:t>
      </w:r>
      <w:proofErr w:type="gramStart"/>
      <w:r w:rsidRPr="00C872E7">
        <w:t>at this time</w:t>
      </w:r>
      <w:proofErr w:type="gramEnd"/>
      <w:r w:rsidRPr="00C872E7">
        <w:t>.</w:t>
      </w:r>
    </w:p>
    <w:p w14:paraId="28788C28" w14:textId="77777777" w:rsidR="00F40510" w:rsidRPr="00C872E7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Brief History of Key Issues</w:t>
      </w:r>
    </w:p>
    <w:p w14:paraId="39C2F5D9" w14:textId="02CF60A3" w:rsidR="00CB41A2" w:rsidRDefault="0069154B" w:rsidP="00CB41A2">
      <w:r>
        <w:t xml:space="preserve">The July </w:t>
      </w:r>
      <w:r w:rsidR="003C5678">
        <w:t>2024 SBE</w:t>
      </w:r>
      <w:r>
        <w:t xml:space="preserve"> </w:t>
      </w:r>
      <w:r w:rsidR="003C5678">
        <w:t xml:space="preserve">Meeting </w:t>
      </w:r>
      <w:r>
        <w:t>included a Study Session on the California Way</w:t>
      </w:r>
      <w:r w:rsidR="003C5678">
        <w:t xml:space="preserve">: </w:t>
      </w:r>
      <w:r w:rsidR="003C5678" w:rsidRPr="00A554FB">
        <w:t>Policies Designed for School and Student Success; Accomplishments, Future Work, and Perspectives from California’s local educational agencies and other states</w:t>
      </w:r>
      <w:r>
        <w:t xml:space="preserve">. Following an overview of the current landscape of major investments and presentations from education leaders in Kentucky and New York, the </w:t>
      </w:r>
      <w:r w:rsidR="003C5678">
        <w:t xml:space="preserve">Board Members </w:t>
      </w:r>
      <w:r>
        <w:t xml:space="preserve">discussed ideas for future growth.  </w:t>
      </w:r>
      <w:r w:rsidR="004F292E">
        <w:t xml:space="preserve">Among the topics that emerged from the small group conversations were </w:t>
      </w:r>
      <w:r w:rsidR="004F292E">
        <w:lastRenderedPageBreak/>
        <w:t>considerations around</w:t>
      </w:r>
      <w:r>
        <w:t xml:space="preserve"> assessment, teacher credentialing, innovation, profile of a graduate, and</w:t>
      </w:r>
      <w:r w:rsidR="004D5F43">
        <w:t xml:space="preserve"> use of</w:t>
      </w:r>
      <w:r>
        <w:t xml:space="preserve"> local indicators</w:t>
      </w:r>
      <w:r w:rsidR="004F292E">
        <w:t>, as summarized below</w:t>
      </w:r>
      <w:r>
        <w:t xml:space="preserve">.  </w:t>
      </w:r>
    </w:p>
    <w:p w14:paraId="626C10F7" w14:textId="77777777" w:rsidR="004F292E" w:rsidRDefault="004F292E" w:rsidP="00CB41A2"/>
    <w:p w14:paraId="3B5A4D42" w14:textId="5FEA2CD5" w:rsidR="004F292E" w:rsidRDefault="004F292E" w:rsidP="00CB41A2">
      <w:r>
        <w:t xml:space="preserve">This summary records key points in the conversation. It does not represent decisions about what the SBE will take up. </w:t>
      </w:r>
      <w:r w:rsidR="006C6306" w:rsidRPr="006C6306">
        <w:t>Indeed, some areas that were discussed are outside of the SBE’s authority</w:t>
      </w:r>
      <w:r>
        <w:t>. The study sessions are a vehicle to enhance the Board members’ learning, and do not include action items for the SBE.</w:t>
      </w:r>
    </w:p>
    <w:p w14:paraId="4137A183" w14:textId="77777777" w:rsidR="0069154B" w:rsidRDefault="0069154B" w:rsidP="00CB41A2"/>
    <w:p w14:paraId="3F9ED86E" w14:textId="77777777" w:rsidR="0069154B" w:rsidRDefault="0069154B" w:rsidP="00CB41A2"/>
    <w:p w14:paraId="12753CBC" w14:textId="77777777" w:rsidR="0069154B" w:rsidRPr="00BF362D" w:rsidRDefault="0069154B" w:rsidP="00BF362D">
      <w:pPr>
        <w:pStyle w:val="Heading2"/>
      </w:pPr>
      <w:r w:rsidRPr="00BF362D">
        <w:t>Assessment</w:t>
      </w:r>
    </w:p>
    <w:p w14:paraId="49AC50E2" w14:textId="1C7CB602" w:rsidR="0069154B" w:rsidRPr="0069154B" w:rsidRDefault="0069154B" w:rsidP="0069154B">
      <w:pPr>
        <w:pStyle w:val="ListParagraph"/>
        <w:numPr>
          <w:ilvl w:val="0"/>
          <w:numId w:val="12"/>
        </w:numPr>
        <w:rPr>
          <w:u w:val="single"/>
        </w:rPr>
      </w:pPr>
      <w:r>
        <w:t>Significant interest and support expressed for performance-based assessment</w:t>
      </w:r>
      <w:r w:rsidR="003E428F">
        <w:t>.</w:t>
      </w:r>
    </w:p>
    <w:p w14:paraId="61E01246" w14:textId="32BCDD56" w:rsidR="0069154B" w:rsidRPr="0069154B" w:rsidRDefault="0069154B" w:rsidP="0069154B">
      <w:pPr>
        <w:pStyle w:val="ListParagraph"/>
        <w:numPr>
          <w:ilvl w:val="0"/>
          <w:numId w:val="12"/>
        </w:numPr>
        <w:rPr>
          <w:u w:val="single"/>
        </w:rPr>
      </w:pPr>
      <w:r>
        <w:t>Continue to improve the performance elements of the Smarter Balanced assessments</w:t>
      </w:r>
      <w:r w:rsidR="00E874C6">
        <w:t>.</w:t>
      </w:r>
    </w:p>
    <w:p w14:paraId="1B27F7F4" w14:textId="1283F035" w:rsidR="0069154B" w:rsidRPr="0069154B" w:rsidRDefault="0069154B" w:rsidP="0069154B">
      <w:pPr>
        <w:pStyle w:val="ListParagraph"/>
        <w:numPr>
          <w:ilvl w:val="0"/>
          <w:numId w:val="12"/>
        </w:numPr>
        <w:rPr>
          <w:u w:val="single"/>
        </w:rPr>
      </w:pPr>
      <w:r>
        <w:t>Looking forward to future updates on the upcoming changes to the CAST and potentially using the Use changes to CAST as template for improving all other assessments</w:t>
      </w:r>
      <w:r w:rsidR="00E874C6">
        <w:t>.</w:t>
      </w:r>
    </w:p>
    <w:p w14:paraId="5723E3AA" w14:textId="6AA2CB10" w:rsidR="0069154B" w:rsidRPr="0069154B" w:rsidRDefault="0069154B" w:rsidP="0069154B">
      <w:pPr>
        <w:pStyle w:val="ListParagraph"/>
        <w:numPr>
          <w:ilvl w:val="0"/>
          <w:numId w:val="12"/>
        </w:numPr>
        <w:rPr>
          <w:u w:val="single"/>
        </w:rPr>
      </w:pPr>
      <w:r>
        <w:t>Desire for assessments to require application of skills, not just recall of information, and to be more embedded in the curriculum to inform the teaching and learning process</w:t>
      </w:r>
      <w:r w:rsidR="00E874C6">
        <w:t>.</w:t>
      </w:r>
    </w:p>
    <w:p w14:paraId="11D9FDFB" w14:textId="77777777" w:rsidR="0069154B" w:rsidRPr="0069154B" w:rsidRDefault="0069154B" w:rsidP="0069154B">
      <w:pPr>
        <w:pStyle w:val="ListParagraph"/>
        <w:rPr>
          <w:u w:val="single"/>
        </w:rPr>
      </w:pPr>
    </w:p>
    <w:p w14:paraId="20E0C706" w14:textId="77777777" w:rsidR="0069154B" w:rsidRDefault="0069154B" w:rsidP="00BF362D">
      <w:pPr>
        <w:pStyle w:val="Heading2"/>
      </w:pPr>
      <w:r w:rsidRPr="0069154B">
        <w:t>Teacher Credentialing</w:t>
      </w:r>
    </w:p>
    <w:p w14:paraId="2761EA3D" w14:textId="02550C4B" w:rsidR="0069154B" w:rsidRPr="0069154B" w:rsidRDefault="0069154B" w:rsidP="0069154B">
      <w:pPr>
        <w:pStyle w:val="ListParagraph"/>
        <w:numPr>
          <w:ilvl w:val="0"/>
          <w:numId w:val="13"/>
        </w:numPr>
        <w:rPr>
          <w:u w:val="single"/>
        </w:rPr>
      </w:pPr>
      <w:r>
        <w:t xml:space="preserve">Consider competency-based credentialing to allow teachers who have the right skills to serve students who have </w:t>
      </w:r>
      <w:proofErr w:type="gramStart"/>
      <w:r>
        <w:t>particular needs</w:t>
      </w:r>
      <w:proofErr w:type="gramEnd"/>
      <w:r w:rsidR="00E874C6">
        <w:t>.</w:t>
      </w:r>
      <w:r>
        <w:t xml:space="preserve"> </w:t>
      </w:r>
    </w:p>
    <w:p w14:paraId="34A9460D" w14:textId="13C546CE" w:rsidR="0069154B" w:rsidRPr="0069154B" w:rsidRDefault="0069154B" w:rsidP="0069154B">
      <w:pPr>
        <w:pStyle w:val="ListParagraph"/>
        <w:numPr>
          <w:ilvl w:val="0"/>
          <w:numId w:val="13"/>
        </w:numPr>
        <w:rPr>
          <w:u w:val="single"/>
        </w:rPr>
      </w:pPr>
      <w:r>
        <w:t>Consider micro credentialing for fields where there are specific skills that are needed, especially for new fields in the rapidly changing economy and education system (CTE, computer science)</w:t>
      </w:r>
      <w:r w:rsidR="00E874C6">
        <w:t>.</w:t>
      </w:r>
    </w:p>
    <w:p w14:paraId="017D9062" w14:textId="77777777" w:rsidR="0069154B" w:rsidRPr="0069154B" w:rsidRDefault="0069154B" w:rsidP="0069154B">
      <w:pPr>
        <w:rPr>
          <w:u w:val="single"/>
        </w:rPr>
      </w:pPr>
    </w:p>
    <w:p w14:paraId="46B83831" w14:textId="77777777" w:rsidR="0069154B" w:rsidRDefault="0069154B" w:rsidP="00BF362D">
      <w:pPr>
        <w:pStyle w:val="Heading2"/>
      </w:pPr>
      <w:r w:rsidRPr="0069154B">
        <w:t>Innovation</w:t>
      </w:r>
    </w:p>
    <w:p w14:paraId="21C11B21" w14:textId="77777777" w:rsidR="0069154B" w:rsidRPr="0069154B" w:rsidRDefault="0069154B" w:rsidP="0069154B">
      <w:pPr>
        <w:pStyle w:val="ListParagraph"/>
        <w:numPr>
          <w:ilvl w:val="0"/>
          <w:numId w:val="14"/>
        </w:numPr>
        <w:rPr>
          <w:u w:val="single"/>
        </w:rPr>
      </w:pPr>
      <w:r>
        <w:t xml:space="preserve">Lift up successful models of education that allow for meaningful, experiential education that is attuned to students’ lives and needs. </w:t>
      </w:r>
    </w:p>
    <w:p w14:paraId="775AAE11" w14:textId="77777777" w:rsidR="0069154B" w:rsidRPr="0069154B" w:rsidRDefault="0069154B" w:rsidP="0069154B">
      <w:pPr>
        <w:pStyle w:val="ListParagraph"/>
        <w:numPr>
          <w:ilvl w:val="0"/>
          <w:numId w:val="14"/>
        </w:numPr>
        <w:rPr>
          <w:u w:val="single"/>
        </w:rPr>
      </w:pPr>
      <w:r>
        <w:t>Create sense of safety and encouragement for innovation at the local level; identify incentives for responsible innovation that will move the system forward</w:t>
      </w:r>
    </w:p>
    <w:p w14:paraId="3B0A5A5C" w14:textId="340A160D" w:rsidR="0069154B" w:rsidRPr="0069154B" w:rsidRDefault="0069154B" w:rsidP="0069154B">
      <w:pPr>
        <w:pStyle w:val="ListParagraph"/>
        <w:numPr>
          <w:ilvl w:val="0"/>
          <w:numId w:val="14"/>
        </w:numPr>
        <w:rPr>
          <w:u w:val="single"/>
        </w:rPr>
      </w:pPr>
      <w:r>
        <w:t>Evaluate current systems and regulations to understand what is and is not working and what could</w:t>
      </w:r>
      <w:r w:rsidR="003E428F">
        <w:t xml:space="preserve"> and/or </w:t>
      </w:r>
      <w:r>
        <w:t>should be changed</w:t>
      </w:r>
      <w:r w:rsidR="00E874C6">
        <w:t>.</w:t>
      </w:r>
    </w:p>
    <w:p w14:paraId="38F9F0A7" w14:textId="58AEC8C4" w:rsidR="0069154B" w:rsidRPr="0069154B" w:rsidRDefault="0069154B" w:rsidP="0069154B">
      <w:pPr>
        <w:pStyle w:val="ListParagraph"/>
        <w:numPr>
          <w:ilvl w:val="0"/>
          <w:numId w:val="14"/>
        </w:numPr>
        <w:rPr>
          <w:u w:val="single"/>
        </w:rPr>
      </w:pPr>
      <w:r>
        <w:t>Continue to seek and incorporate student voice, families, and educator voice in building a system for the future</w:t>
      </w:r>
      <w:r w:rsidR="00E874C6">
        <w:t>.</w:t>
      </w:r>
      <w:r>
        <w:t xml:space="preserve"> </w:t>
      </w:r>
    </w:p>
    <w:p w14:paraId="45C01021" w14:textId="4458FB7E" w:rsidR="0069154B" w:rsidRPr="0069154B" w:rsidRDefault="0069154B" w:rsidP="0069154B">
      <w:pPr>
        <w:pStyle w:val="ListParagraph"/>
        <w:numPr>
          <w:ilvl w:val="0"/>
          <w:numId w:val="14"/>
        </w:numPr>
        <w:rPr>
          <w:u w:val="single"/>
        </w:rPr>
      </w:pPr>
      <w:r>
        <w:t>Support competency-based learning</w:t>
      </w:r>
      <w:r w:rsidR="00E874C6">
        <w:t>.</w:t>
      </w:r>
    </w:p>
    <w:p w14:paraId="686AEA16" w14:textId="77777777" w:rsidR="0069154B" w:rsidRDefault="0069154B" w:rsidP="0069154B">
      <w:pPr>
        <w:ind w:left="360"/>
        <w:rPr>
          <w:u w:val="single"/>
        </w:rPr>
      </w:pPr>
    </w:p>
    <w:p w14:paraId="2CEA172D" w14:textId="77777777" w:rsidR="0069154B" w:rsidRDefault="0069154B" w:rsidP="00BF362D">
      <w:pPr>
        <w:pStyle w:val="Heading2"/>
      </w:pPr>
      <w:r w:rsidRPr="0069154B">
        <w:lastRenderedPageBreak/>
        <w:t>Profile of a Graduate</w:t>
      </w:r>
    </w:p>
    <w:p w14:paraId="4461BA88" w14:textId="7FBCA558" w:rsidR="008C1D74" w:rsidRDefault="008C1D74" w:rsidP="008C1D74">
      <w:pPr>
        <w:pStyle w:val="ListParagraph"/>
        <w:numPr>
          <w:ilvl w:val="0"/>
          <w:numId w:val="15"/>
        </w:numPr>
      </w:pPr>
      <w:r>
        <w:t>Discuss next steps in developing a statewide portrait of a graduate.  Next steps will include a review of existing locally developed graduate portraits to determine common characteristics identified in the district-adopted portraits.</w:t>
      </w:r>
    </w:p>
    <w:p w14:paraId="2A6E18E9" w14:textId="439104A0" w:rsidR="004D5F43" w:rsidRPr="00BF362D" w:rsidRDefault="008C1D74" w:rsidP="00BF362D">
      <w:pPr>
        <w:pStyle w:val="ListParagraph"/>
        <w:numPr>
          <w:ilvl w:val="0"/>
          <w:numId w:val="15"/>
        </w:numPr>
        <w:rPr>
          <w:u w:val="single"/>
        </w:rPr>
      </w:pPr>
      <w:r>
        <w:t>Desire for a state-developed portrait of a graduate to guide decision-making but not be a mandate for LEAs to adopt or use</w:t>
      </w:r>
      <w:r w:rsidR="00E874C6">
        <w:t>.</w:t>
      </w:r>
    </w:p>
    <w:p w14:paraId="5FEC1BEA" w14:textId="77777777" w:rsidR="0069154B" w:rsidRPr="0069154B" w:rsidRDefault="0069154B" w:rsidP="0069154B">
      <w:pPr>
        <w:ind w:left="360"/>
        <w:rPr>
          <w:u w:val="single"/>
        </w:rPr>
      </w:pPr>
    </w:p>
    <w:p w14:paraId="11085CD2" w14:textId="77777777" w:rsidR="0069154B" w:rsidRDefault="0069154B" w:rsidP="00BF362D">
      <w:pPr>
        <w:pStyle w:val="Heading2"/>
      </w:pPr>
      <w:r w:rsidRPr="0069154B">
        <w:t>Local Indicators</w:t>
      </w:r>
    </w:p>
    <w:p w14:paraId="7D07756A" w14:textId="2805D065" w:rsidR="0069154B" w:rsidRPr="0069154B" w:rsidRDefault="0069154B" w:rsidP="0069154B">
      <w:pPr>
        <w:pStyle w:val="ListParagraph"/>
        <w:numPr>
          <w:ilvl w:val="0"/>
          <w:numId w:val="16"/>
        </w:numPr>
        <w:rPr>
          <w:u w:val="single"/>
        </w:rPr>
      </w:pPr>
      <w:r>
        <w:t>Increase attention to local data about local needs and progress on valued measures, including feedback from students</w:t>
      </w:r>
      <w:r w:rsidR="00E874C6">
        <w:t>.</w:t>
      </w:r>
    </w:p>
    <w:p w14:paraId="447098E3" w14:textId="010CD402" w:rsidR="0069154B" w:rsidRPr="0069154B" w:rsidRDefault="0069154B" w:rsidP="0069154B">
      <w:pPr>
        <w:pStyle w:val="ListParagraph"/>
        <w:numPr>
          <w:ilvl w:val="0"/>
          <w:numId w:val="16"/>
        </w:numPr>
        <w:rPr>
          <w:u w:val="single"/>
        </w:rPr>
      </w:pPr>
      <w:r>
        <w:t xml:space="preserve">Bring local indicators to the forefront in accountability systems, including the way they are represented on the </w:t>
      </w:r>
      <w:r w:rsidR="00C76D3F">
        <w:t>D</w:t>
      </w:r>
      <w:r>
        <w:t>ashboard and in the LCAP</w:t>
      </w:r>
      <w:r w:rsidR="00E874C6">
        <w:t>.</w:t>
      </w:r>
    </w:p>
    <w:p w14:paraId="31CC0CB3" w14:textId="22236F46" w:rsidR="0069154B" w:rsidRPr="0069154B" w:rsidRDefault="0069154B" w:rsidP="0069154B">
      <w:pPr>
        <w:pStyle w:val="ListParagraph"/>
        <w:numPr>
          <w:ilvl w:val="0"/>
          <w:numId w:val="16"/>
        </w:numPr>
        <w:rPr>
          <w:u w:val="single"/>
        </w:rPr>
      </w:pPr>
      <w:r>
        <w:t>Allow LCAPs to present a strategic vision for education at the start and link other elements to that vision.</w:t>
      </w:r>
    </w:p>
    <w:p w14:paraId="3D47E909" w14:textId="77777777" w:rsidR="003E4DF7" w:rsidRPr="00C872E7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Summary of Previous State Board of Education Discussion and Action</w:t>
      </w:r>
    </w:p>
    <w:p w14:paraId="5EEC69CF" w14:textId="03D409F7" w:rsidR="00BC0D9A" w:rsidRDefault="00BC0D9A" w:rsidP="000F26F2">
      <w:r>
        <w:t>In July 2024, the SBE held a study session on</w:t>
      </w:r>
      <w:r w:rsidR="00A554FB" w:rsidRPr="00A554FB">
        <w:t xml:space="preserve"> The California Way: Policies Designed for School and Student Success; Accomplishments, Future Work, and Perspectives from California’s local educational agencies and other states.</w:t>
      </w:r>
    </w:p>
    <w:p w14:paraId="1E3AE847" w14:textId="758A4A4F" w:rsidR="00A554FB" w:rsidRDefault="00A554FB" w:rsidP="000F26F2">
      <w:r>
        <w:t>(</w:t>
      </w:r>
      <w:hyperlink r:id="rId13" w:tooltip="SBE Agenda for July 2024 Item 17" w:history="1">
        <w:r w:rsidRPr="00496F31">
          <w:rPr>
            <w:rStyle w:val="Hyperlink"/>
          </w:rPr>
          <w:t>https://www.cde.ca.gov/be/ag/ag/yr24/documents/jul24item17.docx</w:t>
        </w:r>
      </w:hyperlink>
      <w:r>
        <w:t>)</w:t>
      </w:r>
    </w:p>
    <w:p w14:paraId="3B48E8A3" w14:textId="77777777" w:rsidR="00A554FB" w:rsidRDefault="00A554FB" w:rsidP="000F26F2"/>
    <w:p w14:paraId="5E173B23" w14:textId="3A22EC70" w:rsidR="000F26F2" w:rsidRPr="00C872E7" w:rsidRDefault="000F26F2" w:rsidP="000F26F2">
      <w:r w:rsidRPr="00C872E7">
        <w:t>In March 2023, the SBE held a study session on Assessment Innovations That Can Better Support Teaching and Learning.</w:t>
      </w:r>
    </w:p>
    <w:p w14:paraId="54C2AA5D" w14:textId="59CBEAFD" w:rsidR="00214C58" w:rsidRPr="00C872E7" w:rsidRDefault="000F26F2" w:rsidP="000F26F2">
      <w:r w:rsidRPr="00C872E7">
        <w:t>(</w:t>
      </w:r>
      <w:hyperlink r:id="rId14" w:tooltip="SBE Agenda for March 2023 Item 01" w:history="1">
        <w:r w:rsidRPr="00C872E7">
          <w:rPr>
            <w:rStyle w:val="Hyperlink"/>
          </w:rPr>
          <w:t>https://www.cde.ca.gov/be/ag/ag/yr23/documents/mar23item01.docx</w:t>
        </w:r>
      </w:hyperlink>
      <w:r w:rsidRPr="00C872E7">
        <w:t>).</w:t>
      </w:r>
    </w:p>
    <w:p w14:paraId="222ADC6A" w14:textId="77777777" w:rsidR="00214C58" w:rsidRPr="00C872E7" w:rsidRDefault="00214C58" w:rsidP="000F26F2"/>
    <w:p w14:paraId="387FBC50" w14:textId="17EEFD84" w:rsidR="000F26F2" w:rsidRPr="00C872E7" w:rsidRDefault="000F26F2" w:rsidP="000F26F2">
      <w:r w:rsidRPr="00C872E7">
        <w:t>In May 2019, the SBE held a study session on the College/Career Indicator including the Development History, Implementation, and the Purpose of Indicator in the Accountability System.</w:t>
      </w:r>
    </w:p>
    <w:p w14:paraId="05504D4F" w14:textId="19D00729" w:rsidR="000F26F2" w:rsidRPr="00C872E7" w:rsidRDefault="000F26F2" w:rsidP="000F26F2">
      <w:r w:rsidRPr="00C872E7">
        <w:t>(</w:t>
      </w:r>
      <w:hyperlink r:id="rId15" w:tooltip="SBE Agenda for May 2019 Item 01 Study Session" w:history="1">
        <w:r w:rsidRPr="00C872E7">
          <w:rPr>
            <w:rStyle w:val="Hyperlink"/>
          </w:rPr>
          <w:t>https://www.cde.ca.gov/be/ag/ag/yr19/documents/may19item01studysession.docx</w:t>
        </w:r>
      </w:hyperlink>
      <w:r w:rsidRPr="00C872E7">
        <w:t>).</w:t>
      </w:r>
    </w:p>
    <w:p w14:paraId="5E6B385F" w14:textId="77777777" w:rsidR="003E4DF7" w:rsidRPr="00C872E7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Fiscal Analysis (as appropriate)</w:t>
      </w:r>
    </w:p>
    <w:p w14:paraId="18BDC154" w14:textId="77777777" w:rsidR="000A72EC" w:rsidRPr="00C872E7" w:rsidRDefault="000A72EC" w:rsidP="000A72EC">
      <w:pPr>
        <w:spacing w:beforeAutospacing="1" w:afterAutospacing="1"/>
        <w:rPr>
          <w:rFonts w:cs="Arial"/>
          <w:color w:val="000000" w:themeColor="text1"/>
        </w:rPr>
      </w:pPr>
      <w:r w:rsidRPr="00C872E7">
        <w:rPr>
          <w:rFonts w:cs="Arial"/>
          <w:color w:val="000000" w:themeColor="text1"/>
        </w:rPr>
        <w:t>California’s total kindergarten through grade twelve funding within the 2023–24 California Budget Act is $127.8 billion from the following sources:</w:t>
      </w:r>
    </w:p>
    <w:p w14:paraId="42AE7155" w14:textId="77777777" w:rsidR="000A72EC" w:rsidRPr="00C872E7" w:rsidRDefault="000A72EC" w:rsidP="000A72EC">
      <w:pPr>
        <w:pStyle w:val="ListParagraph"/>
        <w:numPr>
          <w:ilvl w:val="0"/>
          <w:numId w:val="11"/>
        </w:numPr>
        <w:spacing w:beforeAutospacing="1" w:afterAutospacing="1"/>
        <w:rPr>
          <w:rFonts w:cs="Arial"/>
          <w:color w:val="000000" w:themeColor="text1"/>
        </w:rPr>
      </w:pPr>
      <w:r w:rsidRPr="00C872E7">
        <w:rPr>
          <w:rFonts w:cs="Arial"/>
          <w:color w:val="000000" w:themeColor="text1"/>
        </w:rPr>
        <w:t>State: $80.0 billion (62.6 percent)</w:t>
      </w:r>
    </w:p>
    <w:p w14:paraId="393E9E19" w14:textId="77777777" w:rsidR="000A72EC" w:rsidRPr="00C872E7" w:rsidRDefault="000A72EC" w:rsidP="000A72EC">
      <w:pPr>
        <w:pStyle w:val="ListParagraph"/>
        <w:numPr>
          <w:ilvl w:val="0"/>
          <w:numId w:val="10"/>
        </w:numPr>
        <w:spacing w:beforeAutospacing="1" w:afterAutospacing="1"/>
        <w:rPr>
          <w:rFonts w:cs="Arial"/>
          <w:color w:val="000000" w:themeColor="text1"/>
        </w:rPr>
      </w:pPr>
      <w:r w:rsidRPr="00C872E7">
        <w:rPr>
          <w:rFonts w:cs="Arial"/>
          <w:color w:val="000000" w:themeColor="text1"/>
        </w:rPr>
        <w:t>Federal: $8.4 billion (6.6 percent)</w:t>
      </w:r>
    </w:p>
    <w:p w14:paraId="32440537" w14:textId="77777777" w:rsidR="000A72EC" w:rsidRPr="00C872E7" w:rsidRDefault="000A72EC" w:rsidP="000A72EC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rFonts w:cs="Arial"/>
          <w:color w:val="000000" w:themeColor="text1"/>
        </w:rPr>
      </w:pPr>
      <w:r w:rsidRPr="00C872E7">
        <w:rPr>
          <w:rFonts w:cs="Arial"/>
          <w:color w:val="000000" w:themeColor="text1"/>
        </w:rPr>
        <w:t>Local: $38.0 billion (29.7 percent)</w:t>
      </w:r>
    </w:p>
    <w:p w14:paraId="679B1EC2" w14:textId="77777777" w:rsidR="00406F50" w:rsidRPr="00C872E7" w:rsidRDefault="00406F50" w:rsidP="00E30737">
      <w:pPr>
        <w:pStyle w:val="Heading2"/>
        <w:spacing w:before="480" w:after="240"/>
        <w:rPr>
          <w:sz w:val="36"/>
          <w:szCs w:val="36"/>
        </w:rPr>
      </w:pPr>
      <w:r w:rsidRPr="00C872E7">
        <w:rPr>
          <w:sz w:val="36"/>
          <w:szCs w:val="36"/>
        </w:rPr>
        <w:lastRenderedPageBreak/>
        <w:t>Attachment(s)</w:t>
      </w:r>
    </w:p>
    <w:p w14:paraId="13A4642E" w14:textId="276E7511" w:rsidR="009B04E1" w:rsidRPr="00170A80" w:rsidRDefault="000F26F2" w:rsidP="000A72EC">
      <w:pPr>
        <w:spacing w:after="480"/>
      </w:pPr>
      <w:r w:rsidRPr="00C872E7">
        <w:t>None.</w:t>
      </w:r>
      <w:r>
        <w:t xml:space="preserve"> </w:t>
      </w:r>
    </w:p>
    <w:sectPr w:rsidR="009B04E1" w:rsidRPr="00170A80" w:rsidSect="00407E9B">
      <w:headerReference w:type="default" r:id="rId16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19933" w14:textId="77777777" w:rsidR="004D337B" w:rsidRDefault="004D337B" w:rsidP="000E09DC">
      <w:r>
        <w:separator/>
      </w:r>
    </w:p>
  </w:endnote>
  <w:endnote w:type="continuationSeparator" w:id="0">
    <w:p w14:paraId="674553AE" w14:textId="77777777" w:rsidR="004D337B" w:rsidRDefault="004D337B" w:rsidP="000E09DC">
      <w:r>
        <w:continuationSeparator/>
      </w:r>
    </w:p>
  </w:endnote>
  <w:endnote w:type="continuationNotice" w:id="1">
    <w:p w14:paraId="7406FB00" w14:textId="77777777" w:rsidR="004D337B" w:rsidRDefault="004D33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850847" w14:textId="77777777" w:rsidR="004D337B" w:rsidRDefault="004D337B" w:rsidP="000E09DC">
      <w:r>
        <w:separator/>
      </w:r>
    </w:p>
  </w:footnote>
  <w:footnote w:type="continuationSeparator" w:id="0">
    <w:p w14:paraId="0EF6534D" w14:textId="77777777" w:rsidR="004D337B" w:rsidRDefault="004D337B" w:rsidP="000E09DC">
      <w:r>
        <w:continuationSeparator/>
      </w:r>
    </w:p>
  </w:footnote>
  <w:footnote w:type="continuationNotice" w:id="1">
    <w:p w14:paraId="11D99646" w14:textId="77777777" w:rsidR="004D337B" w:rsidRDefault="004D33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B7CFA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03AB83D6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02EB378F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Content>
      <w:p w14:paraId="3C4A7ADB" w14:textId="465CA920" w:rsidR="00C872E7" w:rsidRDefault="00C872E7" w:rsidP="00C872E7">
        <w:pPr>
          <w:pStyle w:val="Header"/>
          <w:jc w:val="right"/>
        </w:pPr>
        <w:r w:rsidRPr="00C872E7">
          <w:t>sbe-</w:t>
        </w:r>
        <w:r w:rsidR="000C56FD">
          <w:t>sep</w:t>
        </w:r>
        <w:r w:rsidRPr="00C872E7">
          <w:t>24item</w:t>
        </w:r>
        <w:r w:rsidR="00BF362D">
          <w:t>03</w:t>
        </w:r>
      </w:p>
      <w:p w14:paraId="3E3E6E1B" w14:textId="77777777" w:rsidR="00BF362D" w:rsidRDefault="008E1BBC" w:rsidP="00C872E7">
        <w:pPr>
          <w:pStyle w:val="Header"/>
          <w:jc w:val="right"/>
          <w:rPr>
            <w:bCs/>
          </w:rPr>
        </w:pPr>
        <w:r w:rsidRPr="008E1BBC">
          <w:t xml:space="preserve">Page </w:t>
        </w:r>
        <w:r w:rsidRPr="008E1BBC">
          <w:rPr>
            <w:bCs/>
          </w:rPr>
          <w:fldChar w:fldCharType="begin"/>
        </w:r>
        <w:r w:rsidRPr="008E1BBC">
          <w:rPr>
            <w:bCs/>
          </w:rPr>
          <w:instrText xml:space="preserve"> PAGE </w:instrText>
        </w:r>
        <w:r w:rsidRPr="008E1BBC">
          <w:rPr>
            <w:bCs/>
          </w:rPr>
          <w:fldChar w:fldCharType="separate"/>
        </w:r>
        <w:r w:rsidRPr="008E1BBC">
          <w:rPr>
            <w:bCs/>
            <w:noProof/>
          </w:rPr>
          <w:t>2</w:t>
        </w:r>
        <w:r w:rsidRPr="008E1BBC">
          <w:rPr>
            <w:bCs/>
          </w:rPr>
          <w:fldChar w:fldCharType="end"/>
        </w:r>
        <w:r w:rsidRPr="008E1BBC">
          <w:t xml:space="preserve"> of </w:t>
        </w:r>
        <w:r w:rsidRPr="008E1BBC">
          <w:rPr>
            <w:bCs/>
          </w:rPr>
          <w:fldChar w:fldCharType="begin"/>
        </w:r>
        <w:r w:rsidRPr="008E1BBC">
          <w:rPr>
            <w:bCs/>
          </w:rPr>
          <w:instrText xml:space="preserve"> NUMPAGES  </w:instrText>
        </w:r>
        <w:r w:rsidRPr="008E1BBC">
          <w:rPr>
            <w:bCs/>
          </w:rPr>
          <w:fldChar w:fldCharType="separate"/>
        </w:r>
        <w:r w:rsidRPr="008E1BBC">
          <w:rPr>
            <w:bCs/>
            <w:noProof/>
          </w:rPr>
          <w:t>2</w:t>
        </w:r>
        <w:r w:rsidRPr="008E1BBC">
          <w:rPr>
            <w:bCs/>
          </w:rPr>
          <w:fldChar w:fldCharType="end"/>
        </w:r>
      </w:p>
      <w:p w14:paraId="6CB141C1" w14:textId="11106D51" w:rsidR="008E1BBC" w:rsidRPr="008E1BBC" w:rsidRDefault="00000000" w:rsidP="00C872E7">
        <w:pPr>
          <w:pStyle w:val="Header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2D18"/>
    <w:multiLevelType w:val="hybridMultilevel"/>
    <w:tmpl w:val="8D28D730"/>
    <w:lvl w:ilvl="0" w:tplc="DE68E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E80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82F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044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F0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64F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AC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6F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BA31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61D8D"/>
    <w:multiLevelType w:val="hybridMultilevel"/>
    <w:tmpl w:val="A77EF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5137A"/>
    <w:multiLevelType w:val="hybridMultilevel"/>
    <w:tmpl w:val="B086A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3C2A"/>
    <w:multiLevelType w:val="hybridMultilevel"/>
    <w:tmpl w:val="BBB83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CA2E10"/>
    <w:multiLevelType w:val="hybridMultilevel"/>
    <w:tmpl w:val="B3403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B6CEFC"/>
    <w:multiLevelType w:val="hybridMultilevel"/>
    <w:tmpl w:val="8C9E1A60"/>
    <w:lvl w:ilvl="0" w:tplc="2320C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A8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E800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EC4A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06F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F44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6A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2F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CA1B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427C0"/>
    <w:multiLevelType w:val="hybridMultilevel"/>
    <w:tmpl w:val="6A0E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36656BC"/>
    <w:multiLevelType w:val="hybridMultilevel"/>
    <w:tmpl w:val="889C6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889650"/>
    <w:multiLevelType w:val="hybridMultilevel"/>
    <w:tmpl w:val="25E670CE"/>
    <w:lvl w:ilvl="0" w:tplc="F5F8F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C34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43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4E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08EC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A8ED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FEE6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AAEA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507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258771">
    <w:abstractNumId w:val="8"/>
  </w:num>
  <w:num w:numId="2" w16cid:durableId="960722794">
    <w:abstractNumId w:val="13"/>
  </w:num>
  <w:num w:numId="3" w16cid:durableId="787772327">
    <w:abstractNumId w:val="5"/>
  </w:num>
  <w:num w:numId="4" w16cid:durableId="1066762074">
    <w:abstractNumId w:val="9"/>
  </w:num>
  <w:num w:numId="5" w16cid:durableId="126509068">
    <w:abstractNumId w:val="11"/>
  </w:num>
  <w:num w:numId="6" w16cid:durableId="626202364">
    <w:abstractNumId w:val="2"/>
  </w:num>
  <w:num w:numId="7" w16cid:durableId="97020191">
    <w:abstractNumId w:val="6"/>
  </w:num>
  <w:num w:numId="8" w16cid:durableId="2066634546">
    <w:abstractNumId w:val="12"/>
  </w:num>
  <w:num w:numId="9" w16cid:durableId="1209301577">
    <w:abstractNumId w:val="0"/>
  </w:num>
  <w:num w:numId="10" w16cid:durableId="1489638874">
    <w:abstractNumId w:val="15"/>
  </w:num>
  <w:num w:numId="11" w16cid:durableId="116224976">
    <w:abstractNumId w:val="10"/>
  </w:num>
  <w:num w:numId="12" w16cid:durableId="1239629225">
    <w:abstractNumId w:val="7"/>
  </w:num>
  <w:num w:numId="13" w16cid:durableId="733428506">
    <w:abstractNumId w:val="1"/>
  </w:num>
  <w:num w:numId="14" w16cid:durableId="257449306">
    <w:abstractNumId w:val="4"/>
  </w:num>
  <w:num w:numId="15" w16cid:durableId="1145203542">
    <w:abstractNumId w:val="3"/>
  </w:num>
  <w:num w:numId="16" w16cid:durableId="1497546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45D4F"/>
    <w:rsid w:val="00055140"/>
    <w:rsid w:val="00062C45"/>
    <w:rsid w:val="000663D4"/>
    <w:rsid w:val="00083262"/>
    <w:rsid w:val="00092D9C"/>
    <w:rsid w:val="000A2D07"/>
    <w:rsid w:val="000A72EC"/>
    <w:rsid w:val="000C56FD"/>
    <w:rsid w:val="000E09DC"/>
    <w:rsid w:val="000F0C90"/>
    <w:rsid w:val="000F26F2"/>
    <w:rsid w:val="000F34C6"/>
    <w:rsid w:val="000F7C1C"/>
    <w:rsid w:val="001048F3"/>
    <w:rsid w:val="00104B87"/>
    <w:rsid w:val="00107A8C"/>
    <w:rsid w:val="00114E9A"/>
    <w:rsid w:val="0011720F"/>
    <w:rsid w:val="001247E5"/>
    <w:rsid w:val="00130059"/>
    <w:rsid w:val="00131084"/>
    <w:rsid w:val="00142E7E"/>
    <w:rsid w:val="00143C8B"/>
    <w:rsid w:val="00145DC6"/>
    <w:rsid w:val="00155105"/>
    <w:rsid w:val="00166D49"/>
    <w:rsid w:val="00170A80"/>
    <w:rsid w:val="0018148D"/>
    <w:rsid w:val="00197B34"/>
    <w:rsid w:val="001A0CA5"/>
    <w:rsid w:val="001A10C5"/>
    <w:rsid w:val="001B3958"/>
    <w:rsid w:val="001B61A8"/>
    <w:rsid w:val="001C437D"/>
    <w:rsid w:val="001D119A"/>
    <w:rsid w:val="001D38F1"/>
    <w:rsid w:val="001D7C76"/>
    <w:rsid w:val="001E1929"/>
    <w:rsid w:val="001F77B1"/>
    <w:rsid w:val="00214C58"/>
    <w:rsid w:val="00215D8D"/>
    <w:rsid w:val="002215CC"/>
    <w:rsid w:val="00223112"/>
    <w:rsid w:val="00224BC0"/>
    <w:rsid w:val="00240B26"/>
    <w:rsid w:val="00241C8D"/>
    <w:rsid w:val="00245492"/>
    <w:rsid w:val="002502DB"/>
    <w:rsid w:val="0028134E"/>
    <w:rsid w:val="00281668"/>
    <w:rsid w:val="00282D0D"/>
    <w:rsid w:val="00296CF0"/>
    <w:rsid w:val="002972FA"/>
    <w:rsid w:val="002A28B1"/>
    <w:rsid w:val="002B25FD"/>
    <w:rsid w:val="002B4B14"/>
    <w:rsid w:val="002D1A82"/>
    <w:rsid w:val="002D37FA"/>
    <w:rsid w:val="002D3C4F"/>
    <w:rsid w:val="002D6D9E"/>
    <w:rsid w:val="002E2340"/>
    <w:rsid w:val="002E3473"/>
    <w:rsid w:val="002E4CB5"/>
    <w:rsid w:val="002E51B4"/>
    <w:rsid w:val="002E6FCA"/>
    <w:rsid w:val="002F279B"/>
    <w:rsid w:val="00315131"/>
    <w:rsid w:val="00324CAB"/>
    <w:rsid w:val="003328AF"/>
    <w:rsid w:val="003545AE"/>
    <w:rsid w:val="00360000"/>
    <w:rsid w:val="00360258"/>
    <w:rsid w:val="00363520"/>
    <w:rsid w:val="00364692"/>
    <w:rsid w:val="003655AF"/>
    <w:rsid w:val="003705FC"/>
    <w:rsid w:val="00376364"/>
    <w:rsid w:val="00383BC4"/>
    <w:rsid w:val="00384ACF"/>
    <w:rsid w:val="00393A4F"/>
    <w:rsid w:val="00393ECB"/>
    <w:rsid w:val="0039619A"/>
    <w:rsid w:val="003C5678"/>
    <w:rsid w:val="003C6D48"/>
    <w:rsid w:val="003D1ECD"/>
    <w:rsid w:val="003D3164"/>
    <w:rsid w:val="003D37F5"/>
    <w:rsid w:val="003D7A65"/>
    <w:rsid w:val="003E1E8D"/>
    <w:rsid w:val="003E428F"/>
    <w:rsid w:val="003E4DF7"/>
    <w:rsid w:val="003E4FA9"/>
    <w:rsid w:val="003E66DF"/>
    <w:rsid w:val="003F01F0"/>
    <w:rsid w:val="003F4F04"/>
    <w:rsid w:val="00406F50"/>
    <w:rsid w:val="00407E9B"/>
    <w:rsid w:val="00412984"/>
    <w:rsid w:val="00414E7B"/>
    <w:rsid w:val="004203BC"/>
    <w:rsid w:val="004234B4"/>
    <w:rsid w:val="0042497D"/>
    <w:rsid w:val="004448B9"/>
    <w:rsid w:val="0044670C"/>
    <w:rsid w:val="00455789"/>
    <w:rsid w:val="004717C7"/>
    <w:rsid w:val="0047534A"/>
    <w:rsid w:val="00481801"/>
    <w:rsid w:val="004A2C8D"/>
    <w:rsid w:val="004A2F10"/>
    <w:rsid w:val="004A6979"/>
    <w:rsid w:val="004C231C"/>
    <w:rsid w:val="004C2F94"/>
    <w:rsid w:val="004D337B"/>
    <w:rsid w:val="004D5F43"/>
    <w:rsid w:val="004E029B"/>
    <w:rsid w:val="004E2573"/>
    <w:rsid w:val="004F0E15"/>
    <w:rsid w:val="004F292E"/>
    <w:rsid w:val="004F7187"/>
    <w:rsid w:val="00505212"/>
    <w:rsid w:val="00506BF7"/>
    <w:rsid w:val="00517C00"/>
    <w:rsid w:val="00527B0E"/>
    <w:rsid w:val="00535BAE"/>
    <w:rsid w:val="005569A9"/>
    <w:rsid w:val="00567BF6"/>
    <w:rsid w:val="00581FEA"/>
    <w:rsid w:val="00584D77"/>
    <w:rsid w:val="005A4FF3"/>
    <w:rsid w:val="005A6688"/>
    <w:rsid w:val="005C16AF"/>
    <w:rsid w:val="005D61EF"/>
    <w:rsid w:val="005F31A0"/>
    <w:rsid w:val="005F4AF0"/>
    <w:rsid w:val="005F75E5"/>
    <w:rsid w:val="00624060"/>
    <w:rsid w:val="00645D09"/>
    <w:rsid w:val="006504B2"/>
    <w:rsid w:val="006510F5"/>
    <w:rsid w:val="00654108"/>
    <w:rsid w:val="006715CD"/>
    <w:rsid w:val="00682A70"/>
    <w:rsid w:val="0069154B"/>
    <w:rsid w:val="00692300"/>
    <w:rsid w:val="006924C8"/>
    <w:rsid w:val="00693951"/>
    <w:rsid w:val="00694443"/>
    <w:rsid w:val="006946F5"/>
    <w:rsid w:val="006B2111"/>
    <w:rsid w:val="006C6306"/>
    <w:rsid w:val="006C766B"/>
    <w:rsid w:val="006D0223"/>
    <w:rsid w:val="006D46AC"/>
    <w:rsid w:val="006D55E5"/>
    <w:rsid w:val="006E06C6"/>
    <w:rsid w:val="006E42B2"/>
    <w:rsid w:val="006E6ED1"/>
    <w:rsid w:val="00707456"/>
    <w:rsid w:val="007100AF"/>
    <w:rsid w:val="00711D6A"/>
    <w:rsid w:val="00711F1D"/>
    <w:rsid w:val="00720E4D"/>
    <w:rsid w:val="00726EDA"/>
    <w:rsid w:val="007313A3"/>
    <w:rsid w:val="00740B89"/>
    <w:rsid w:val="007428B8"/>
    <w:rsid w:val="00746164"/>
    <w:rsid w:val="00746981"/>
    <w:rsid w:val="00750CA9"/>
    <w:rsid w:val="0075545E"/>
    <w:rsid w:val="0075591D"/>
    <w:rsid w:val="00780BB6"/>
    <w:rsid w:val="00782A43"/>
    <w:rsid w:val="007A33D7"/>
    <w:rsid w:val="007B6331"/>
    <w:rsid w:val="007C39CA"/>
    <w:rsid w:val="007C5697"/>
    <w:rsid w:val="007D2DC0"/>
    <w:rsid w:val="007D6A8F"/>
    <w:rsid w:val="007E2094"/>
    <w:rsid w:val="007F2683"/>
    <w:rsid w:val="0081247A"/>
    <w:rsid w:val="00812765"/>
    <w:rsid w:val="00822A01"/>
    <w:rsid w:val="008602E7"/>
    <w:rsid w:val="00867B16"/>
    <w:rsid w:val="0087392B"/>
    <w:rsid w:val="0087669B"/>
    <w:rsid w:val="00880AC2"/>
    <w:rsid w:val="00881729"/>
    <w:rsid w:val="008909EE"/>
    <w:rsid w:val="00893019"/>
    <w:rsid w:val="008A1B8A"/>
    <w:rsid w:val="008A2799"/>
    <w:rsid w:val="008A7A95"/>
    <w:rsid w:val="008C1D74"/>
    <w:rsid w:val="008C566E"/>
    <w:rsid w:val="008D15E4"/>
    <w:rsid w:val="008E1BBC"/>
    <w:rsid w:val="008F0A69"/>
    <w:rsid w:val="008F22F3"/>
    <w:rsid w:val="008F43C0"/>
    <w:rsid w:val="00905A97"/>
    <w:rsid w:val="009060F4"/>
    <w:rsid w:val="0091117B"/>
    <w:rsid w:val="00925428"/>
    <w:rsid w:val="009278C7"/>
    <w:rsid w:val="00930249"/>
    <w:rsid w:val="00930B2C"/>
    <w:rsid w:val="00947102"/>
    <w:rsid w:val="00947F31"/>
    <w:rsid w:val="00962130"/>
    <w:rsid w:val="00963135"/>
    <w:rsid w:val="009655B2"/>
    <w:rsid w:val="00970A0F"/>
    <w:rsid w:val="00975771"/>
    <w:rsid w:val="009844F5"/>
    <w:rsid w:val="00985DBB"/>
    <w:rsid w:val="00993071"/>
    <w:rsid w:val="0099404F"/>
    <w:rsid w:val="009A39A7"/>
    <w:rsid w:val="009A78D8"/>
    <w:rsid w:val="009B04E1"/>
    <w:rsid w:val="009B23A8"/>
    <w:rsid w:val="009C163D"/>
    <w:rsid w:val="009D5028"/>
    <w:rsid w:val="009D5D66"/>
    <w:rsid w:val="009D5E10"/>
    <w:rsid w:val="009D786F"/>
    <w:rsid w:val="009E0D13"/>
    <w:rsid w:val="009F78B2"/>
    <w:rsid w:val="00A07F42"/>
    <w:rsid w:val="00A134C5"/>
    <w:rsid w:val="00A16315"/>
    <w:rsid w:val="00A165AB"/>
    <w:rsid w:val="00A25939"/>
    <w:rsid w:val="00A26B23"/>
    <w:rsid w:val="00A30B3C"/>
    <w:rsid w:val="00A317FA"/>
    <w:rsid w:val="00A47063"/>
    <w:rsid w:val="00A554FB"/>
    <w:rsid w:val="00A61C1A"/>
    <w:rsid w:val="00A65739"/>
    <w:rsid w:val="00A92324"/>
    <w:rsid w:val="00A95246"/>
    <w:rsid w:val="00AA1DCC"/>
    <w:rsid w:val="00AA2990"/>
    <w:rsid w:val="00AA3015"/>
    <w:rsid w:val="00AC2110"/>
    <w:rsid w:val="00AC6E54"/>
    <w:rsid w:val="00AF6630"/>
    <w:rsid w:val="00B022FF"/>
    <w:rsid w:val="00B1129D"/>
    <w:rsid w:val="00B36A65"/>
    <w:rsid w:val="00B4355F"/>
    <w:rsid w:val="00B47704"/>
    <w:rsid w:val="00B723BE"/>
    <w:rsid w:val="00B82705"/>
    <w:rsid w:val="00B97AE6"/>
    <w:rsid w:val="00BA6919"/>
    <w:rsid w:val="00BB4773"/>
    <w:rsid w:val="00BB5437"/>
    <w:rsid w:val="00BC0D9A"/>
    <w:rsid w:val="00BC3760"/>
    <w:rsid w:val="00BE15C1"/>
    <w:rsid w:val="00BF0ADC"/>
    <w:rsid w:val="00BF2708"/>
    <w:rsid w:val="00BF362D"/>
    <w:rsid w:val="00C06EAD"/>
    <w:rsid w:val="00C12E7B"/>
    <w:rsid w:val="00C1604A"/>
    <w:rsid w:val="00C27D57"/>
    <w:rsid w:val="00C30ED7"/>
    <w:rsid w:val="00C409F5"/>
    <w:rsid w:val="00C43F0F"/>
    <w:rsid w:val="00C51A35"/>
    <w:rsid w:val="00C65FB6"/>
    <w:rsid w:val="00C76D3F"/>
    <w:rsid w:val="00C82CBA"/>
    <w:rsid w:val="00C85258"/>
    <w:rsid w:val="00C872E7"/>
    <w:rsid w:val="00C96025"/>
    <w:rsid w:val="00CA3E9D"/>
    <w:rsid w:val="00CB41A2"/>
    <w:rsid w:val="00CC1C19"/>
    <w:rsid w:val="00CC228A"/>
    <w:rsid w:val="00CC41EE"/>
    <w:rsid w:val="00CD346F"/>
    <w:rsid w:val="00CE1C84"/>
    <w:rsid w:val="00CF1799"/>
    <w:rsid w:val="00D03577"/>
    <w:rsid w:val="00D04AC5"/>
    <w:rsid w:val="00D1794E"/>
    <w:rsid w:val="00D47DAB"/>
    <w:rsid w:val="00D5115F"/>
    <w:rsid w:val="00D8667C"/>
    <w:rsid w:val="00D86AB9"/>
    <w:rsid w:val="00DB7695"/>
    <w:rsid w:val="00DD1437"/>
    <w:rsid w:val="00DD2176"/>
    <w:rsid w:val="00DD7842"/>
    <w:rsid w:val="00DE2207"/>
    <w:rsid w:val="00E128C5"/>
    <w:rsid w:val="00E17535"/>
    <w:rsid w:val="00E30737"/>
    <w:rsid w:val="00E3180E"/>
    <w:rsid w:val="00E332BB"/>
    <w:rsid w:val="00E426B2"/>
    <w:rsid w:val="00E5104F"/>
    <w:rsid w:val="00E56677"/>
    <w:rsid w:val="00E57AB4"/>
    <w:rsid w:val="00E63C3E"/>
    <w:rsid w:val="00E63DDF"/>
    <w:rsid w:val="00E65140"/>
    <w:rsid w:val="00E83EE2"/>
    <w:rsid w:val="00E874C6"/>
    <w:rsid w:val="00E9053B"/>
    <w:rsid w:val="00E93147"/>
    <w:rsid w:val="00E968EA"/>
    <w:rsid w:val="00EA293D"/>
    <w:rsid w:val="00EA7D4F"/>
    <w:rsid w:val="00EB16F7"/>
    <w:rsid w:val="00EB31BE"/>
    <w:rsid w:val="00EC504C"/>
    <w:rsid w:val="00EC50B4"/>
    <w:rsid w:val="00EE05DC"/>
    <w:rsid w:val="00EE2BB9"/>
    <w:rsid w:val="00EE547D"/>
    <w:rsid w:val="00F00DB8"/>
    <w:rsid w:val="00F03BFD"/>
    <w:rsid w:val="00F12AAB"/>
    <w:rsid w:val="00F23847"/>
    <w:rsid w:val="00F2681A"/>
    <w:rsid w:val="00F40510"/>
    <w:rsid w:val="00F41B7A"/>
    <w:rsid w:val="00F518CD"/>
    <w:rsid w:val="00F61EAD"/>
    <w:rsid w:val="00F82C0A"/>
    <w:rsid w:val="00F84C02"/>
    <w:rsid w:val="00F90591"/>
    <w:rsid w:val="00FC1CA4"/>
    <w:rsid w:val="00FC1FCE"/>
    <w:rsid w:val="00FC683D"/>
    <w:rsid w:val="00FE075F"/>
    <w:rsid w:val="00FE1BC5"/>
    <w:rsid w:val="00FE204B"/>
    <w:rsid w:val="00FE3007"/>
    <w:rsid w:val="00FE4BD6"/>
    <w:rsid w:val="00FF277C"/>
    <w:rsid w:val="00FF5CC9"/>
    <w:rsid w:val="034FA5D1"/>
    <w:rsid w:val="048E85D6"/>
    <w:rsid w:val="05137B86"/>
    <w:rsid w:val="06AF4BE7"/>
    <w:rsid w:val="27240529"/>
    <w:rsid w:val="295E6859"/>
    <w:rsid w:val="2B28D388"/>
    <w:rsid w:val="33AB75FA"/>
    <w:rsid w:val="40E5D096"/>
    <w:rsid w:val="53C91A06"/>
    <w:rsid w:val="5A825936"/>
    <w:rsid w:val="5B24C689"/>
    <w:rsid w:val="64369E0F"/>
    <w:rsid w:val="66C87610"/>
    <w:rsid w:val="701EE5A5"/>
    <w:rsid w:val="778EA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32DBE370"/>
  <w15:chartTrackingRefBased/>
  <w15:docId w15:val="{09502ABE-D6A0-41B4-B9D6-670C873F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aliases w:val="list,Indented Paragraph,List1"/>
    <w:basedOn w:val="Normal"/>
    <w:link w:val="ListParagraphChar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C39CA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8739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392B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7392B"/>
    <w:rPr>
      <w:sz w:val="16"/>
      <w:szCs w:val="16"/>
    </w:rPr>
  </w:style>
  <w:style w:type="paragraph" w:styleId="Revision">
    <w:name w:val="Revision"/>
    <w:hidden/>
    <w:uiPriority w:val="99"/>
    <w:semiHidden/>
    <w:rsid w:val="00FC68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063"/>
    <w:rPr>
      <w:rFonts w:ascii="Arial" w:eastAsia="Times New Roman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30737"/>
    <w:rPr>
      <w:color w:val="954F72" w:themeColor="followedHyperlink"/>
      <w:u w:val="single"/>
    </w:rPr>
  </w:style>
  <w:style w:type="character" w:customStyle="1" w:styleId="ListParagraphChar">
    <w:name w:val="List Paragraph Char"/>
    <w:aliases w:val="list Char,Indented Paragraph Char,List1 Char"/>
    <w:basedOn w:val="DefaultParagraphFont"/>
    <w:link w:val="ListParagraph"/>
    <w:uiPriority w:val="34"/>
    <w:locked/>
    <w:rsid w:val="000A72EC"/>
    <w:rPr>
      <w:rFonts w:ascii="Arial" w:eastAsia="Times New Roman" w:hAnsi="Arial" w:cs="Times New Roman"/>
      <w:sz w:val="24"/>
      <w:szCs w:val="24"/>
    </w:rPr>
  </w:style>
  <w:style w:type="character" w:customStyle="1" w:styleId="ui-provider">
    <w:name w:val="ui-provider"/>
    <w:basedOn w:val="DefaultParagraphFont"/>
    <w:rsid w:val="00985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de.ca.gov/be/ag/ag/yr24/documents/jul24item17.doc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cde.ca.gov/be/ag/ag/yr19/documents/may19item01studysession.docx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de.ca.gov/be/ag/ag/yr23/documents/mar23item01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9" ma:contentTypeDescription="Create a new document." ma:contentTypeScope="" ma:versionID="fa343b666238b0856af313b226b43208">
  <xsd:schema xmlns:xsd="http://www.w3.org/2001/XMLSchema" xmlns:xs="http://www.w3.org/2001/XMLSchema" xmlns:p="http://schemas.microsoft.com/office/2006/metadata/properties" xmlns:ns2="1aae30ff-d7bc-47e3-882e-cd3423d00d62" xmlns:ns3="f89dec18-d0c2-45d2-8a15-31051f2519f8" targetNamespace="http://schemas.microsoft.com/office/2006/metadata/properties" ma:root="true" ma:fieldsID="9a58c1f7c58f005b60310e52beb88771" ns2:_="" ns3:_="">
    <xsd:import namespace="1aae30ff-d7bc-47e3-882e-cd3423d00d62"/>
    <xsd:import namespace="f89dec18-d0c2-45d2-8a15-31051f2519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428ADB-FCBE-4EDB-B0BF-6DD8366BD8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EF5B4BE-ACED-41B5-846C-8917E640E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ae30ff-d7bc-47e3-882e-cd3423d00d62"/>
    <ds:schemaRef ds:uri="f89dec18-d0c2-45d2-8a15-31051f251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169684-0CEB-4EFB-AF09-E7A6D97FA3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DA5834-88AB-4266-8619-1E59B46A8A2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838</Words>
  <Characters>4779</Characters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2024 Agenda Item 17 - Meeting Agendas (CA State Board of Education)</vt:lpstr>
    </vt:vector>
  </TitlesOfParts>
  <Company>California State Board of Education</Company>
  <LinksUpToDate>false</LinksUpToDate>
  <CharactersWithSpaces>5606</CharactersWithSpaces>
  <SharedDoc>false</SharedDoc>
  <HLinks>
    <vt:vector size="24" baseType="variant">
      <vt:variant>
        <vt:i4>5767239</vt:i4>
      </vt:variant>
      <vt:variant>
        <vt:i4>9</vt:i4>
      </vt:variant>
      <vt:variant>
        <vt:i4>0</vt:i4>
      </vt:variant>
      <vt:variant>
        <vt:i4>5</vt:i4>
      </vt:variant>
      <vt:variant>
        <vt:lpwstr>https://knowledgeworks.org/wp-content/uploads/2021/11/assessment-innovation-state-trends.pdf</vt:lpwstr>
      </vt:variant>
      <vt:variant>
        <vt:lpwstr/>
      </vt:variant>
      <vt:variant>
        <vt:i4>2490473</vt:i4>
      </vt:variant>
      <vt:variant>
        <vt:i4>6</vt:i4>
      </vt:variant>
      <vt:variant>
        <vt:i4>0</vt:i4>
      </vt:variant>
      <vt:variant>
        <vt:i4>5</vt:i4>
      </vt:variant>
      <vt:variant>
        <vt:lpwstr>https://www.cde.ca.gov/be/ag/ag/yr15/documents/mar15item04.doc</vt:lpwstr>
      </vt:variant>
      <vt:variant>
        <vt:lpwstr/>
      </vt:variant>
      <vt:variant>
        <vt:i4>2949223</vt:i4>
      </vt:variant>
      <vt:variant>
        <vt:i4>3</vt:i4>
      </vt:variant>
      <vt:variant>
        <vt:i4>0</vt:i4>
      </vt:variant>
      <vt:variant>
        <vt:i4>5</vt:i4>
      </vt:variant>
      <vt:variant>
        <vt:lpwstr>https://www.cde.ca.gov/be/ag/ag/yr18/documents/nov18item08.docx</vt:lpwstr>
      </vt:variant>
      <vt:variant>
        <vt:lpwstr/>
      </vt:variant>
      <vt:variant>
        <vt:i4>2162791</vt:i4>
      </vt:variant>
      <vt:variant>
        <vt:i4>0</vt:i4>
      </vt:variant>
      <vt:variant>
        <vt:i4>0</vt:i4>
      </vt:variant>
      <vt:variant>
        <vt:i4>5</vt:i4>
      </vt:variant>
      <vt:variant>
        <vt:lpwstr>https://www.cde.ca.gov/be/ag/ag/yr21/documents/nov21item04.docx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2024 Agenda Item 04 - Meeting Agendas (CA State Board of Education)</dc:title>
  <dc:subject>Follow-up to the July 2024 State Board of Education Study Session on The California Way: Strategies for Supporting Local Educational Agency and School Innovations.</dc:subject>
  <cp:keywords/>
  <dc:description/>
  <cp:lastPrinted>2017-10-30T17:36:00Z</cp:lastPrinted>
  <dcterms:created xsi:type="dcterms:W3CDTF">2024-08-30T19:16:00Z</dcterms:created>
  <dcterms:modified xsi:type="dcterms:W3CDTF">2024-08-30T19:37:00Z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</Properties>
</file>