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5D6A7" w14:textId="65B4F665" w:rsidR="00935A67" w:rsidRDefault="00935A67" w:rsidP="00935A67">
      <w:pPr>
        <w:spacing w:after="0" w:line="240" w:lineRule="auto"/>
        <w:jc w:val="right"/>
        <w:rPr>
          <w:rFonts w:ascii="Arial" w:hAnsi="Arial" w:cs="Arial"/>
          <w:sz w:val="24"/>
          <w:szCs w:val="24"/>
        </w:rPr>
      </w:pPr>
      <w:r>
        <w:rPr>
          <w:rFonts w:ascii="Arial" w:hAnsi="Arial" w:cs="Arial"/>
          <w:sz w:val="24"/>
          <w:szCs w:val="24"/>
        </w:rPr>
        <w:t>imab-cfird-jan25item03a02</w:t>
      </w:r>
    </w:p>
    <w:p w14:paraId="13D31403" w14:textId="5D220CC5" w:rsidR="00935A67" w:rsidRDefault="00935A67" w:rsidP="00935A67">
      <w:pPr>
        <w:spacing w:after="0" w:line="240" w:lineRule="auto"/>
        <w:jc w:val="right"/>
        <w:rPr>
          <w:rFonts w:ascii="Arial" w:hAnsi="Arial" w:cs="Arial"/>
          <w:sz w:val="24"/>
          <w:szCs w:val="24"/>
        </w:rPr>
      </w:pPr>
      <w:r>
        <w:rPr>
          <w:rFonts w:ascii="Arial" w:hAnsi="Arial" w:cs="Arial"/>
          <w:sz w:val="24"/>
          <w:szCs w:val="24"/>
        </w:rPr>
        <w:t>Attachment 2</w:t>
      </w:r>
    </w:p>
    <w:p w14:paraId="7A8B7271" w14:textId="2A7A287F" w:rsidR="00935A67" w:rsidRPr="00935A67" w:rsidRDefault="00935A67" w:rsidP="00935A67">
      <w:pPr>
        <w:spacing w:after="240" w:line="240" w:lineRule="auto"/>
        <w:jc w:val="right"/>
        <w:rPr>
          <w:rFonts w:ascii="Arial" w:hAnsi="Arial" w:cs="Arial"/>
          <w:sz w:val="24"/>
          <w:szCs w:val="24"/>
        </w:rPr>
      </w:pPr>
      <w:r w:rsidRPr="00935A67">
        <w:rPr>
          <w:rFonts w:ascii="Arial" w:hAnsi="Arial" w:cs="Arial"/>
          <w:sz w:val="24"/>
          <w:szCs w:val="24"/>
        </w:rPr>
        <w:t xml:space="preserve">Page </w:t>
      </w:r>
      <w:r w:rsidRPr="00935A67">
        <w:rPr>
          <w:rFonts w:ascii="Arial" w:hAnsi="Arial" w:cs="Arial"/>
          <w:sz w:val="24"/>
          <w:szCs w:val="24"/>
        </w:rPr>
        <w:fldChar w:fldCharType="begin"/>
      </w:r>
      <w:r w:rsidRPr="00935A67">
        <w:rPr>
          <w:rFonts w:ascii="Arial" w:hAnsi="Arial" w:cs="Arial"/>
          <w:sz w:val="24"/>
          <w:szCs w:val="24"/>
        </w:rPr>
        <w:instrText xml:space="preserve"> PAGE  \* Arabic  \* MERGEFORMAT </w:instrText>
      </w:r>
      <w:r w:rsidRPr="00935A67">
        <w:rPr>
          <w:rFonts w:ascii="Arial" w:hAnsi="Arial" w:cs="Arial"/>
          <w:sz w:val="24"/>
          <w:szCs w:val="24"/>
        </w:rPr>
        <w:fldChar w:fldCharType="separate"/>
      </w:r>
      <w:r w:rsidRPr="00935A67">
        <w:rPr>
          <w:rFonts w:ascii="Arial" w:hAnsi="Arial" w:cs="Arial"/>
          <w:noProof/>
          <w:sz w:val="24"/>
          <w:szCs w:val="24"/>
        </w:rPr>
        <w:t>1</w:t>
      </w:r>
      <w:r w:rsidRPr="00935A67">
        <w:rPr>
          <w:rFonts w:ascii="Arial" w:hAnsi="Arial" w:cs="Arial"/>
          <w:sz w:val="24"/>
          <w:szCs w:val="24"/>
        </w:rPr>
        <w:fldChar w:fldCharType="end"/>
      </w:r>
      <w:r w:rsidRPr="00935A67">
        <w:rPr>
          <w:rFonts w:ascii="Arial" w:hAnsi="Arial" w:cs="Arial"/>
          <w:sz w:val="24"/>
          <w:szCs w:val="24"/>
        </w:rPr>
        <w:t xml:space="preserve"> of </w:t>
      </w:r>
      <w:r w:rsidR="003C5F0F">
        <w:rPr>
          <w:rFonts w:ascii="Arial" w:hAnsi="Arial" w:cs="Arial"/>
          <w:sz w:val="24"/>
          <w:szCs w:val="24"/>
        </w:rPr>
        <w:t>5</w:t>
      </w:r>
    </w:p>
    <w:p w14:paraId="1181040D" w14:textId="3C58BFBF" w:rsidR="00A35266" w:rsidRPr="001D1ACB" w:rsidRDefault="001D1ACB" w:rsidP="000F6269">
      <w:pPr>
        <w:pStyle w:val="Heading1"/>
        <w:spacing w:after="360" w:line="240" w:lineRule="auto"/>
        <w:rPr>
          <w:color w:val="auto"/>
        </w:rPr>
      </w:pPr>
      <w:r w:rsidRPr="001D1ACB">
        <w:rPr>
          <w:color w:val="auto"/>
        </w:rPr>
        <w:t xml:space="preserve">Attachment 2: </w:t>
      </w:r>
      <w:r w:rsidR="00BD3717" w:rsidRPr="001D1ACB">
        <w:rPr>
          <w:color w:val="auto"/>
        </w:rPr>
        <w:t xml:space="preserve">Draft </w:t>
      </w:r>
      <w:r w:rsidR="00DB6CB5" w:rsidRPr="001D1ACB">
        <w:rPr>
          <w:color w:val="auto"/>
        </w:rPr>
        <w:t xml:space="preserve">2026 </w:t>
      </w:r>
      <w:r w:rsidR="00BB7CEB" w:rsidRPr="001D1ACB">
        <w:rPr>
          <w:color w:val="auto"/>
        </w:rPr>
        <w:t>Personal Finance</w:t>
      </w:r>
      <w:r w:rsidR="00A35266" w:rsidRPr="001D1ACB">
        <w:rPr>
          <w:color w:val="auto"/>
        </w:rPr>
        <w:t xml:space="preserve"> </w:t>
      </w:r>
      <w:r w:rsidR="00BB7CEB" w:rsidRPr="001D1ACB">
        <w:rPr>
          <w:color w:val="auto"/>
        </w:rPr>
        <w:t xml:space="preserve">Curriculum </w:t>
      </w:r>
      <w:r w:rsidR="00A35266" w:rsidRPr="001D1ACB">
        <w:rPr>
          <w:color w:val="auto"/>
        </w:rPr>
        <w:t>Guide</w:t>
      </w:r>
      <w:r w:rsidR="00BB7CEB" w:rsidRPr="001D1ACB">
        <w:rPr>
          <w:color w:val="auto"/>
        </w:rPr>
        <w:t xml:space="preserve"> Foundational Principles</w:t>
      </w:r>
    </w:p>
    <w:p w14:paraId="5A757347" w14:textId="2849C25B" w:rsidR="00A35266" w:rsidRPr="00A35266" w:rsidRDefault="5C1B464C" w:rsidP="008C7E83">
      <w:pPr>
        <w:spacing w:after="240" w:line="240" w:lineRule="auto"/>
        <w:rPr>
          <w:rFonts w:ascii="Arial" w:eastAsia="Times New Roman" w:hAnsi="Arial" w:cs="Arial"/>
          <w:color w:val="000000"/>
          <w:kern w:val="0"/>
          <w:sz w:val="24"/>
          <w:szCs w:val="24"/>
          <w14:ligatures w14:val="none"/>
        </w:rPr>
      </w:pPr>
      <w:r w:rsidRPr="00A35266">
        <w:rPr>
          <w:rFonts w:ascii="Arial" w:eastAsia="Times New Roman" w:hAnsi="Arial" w:cs="Arial"/>
          <w:color w:val="000000"/>
          <w:kern w:val="0"/>
          <w:sz w:val="24"/>
          <w:szCs w:val="24"/>
          <w14:ligatures w14:val="none"/>
        </w:rPr>
        <w:t xml:space="preserve">The following </w:t>
      </w:r>
      <w:r w:rsidR="00345EA1">
        <w:rPr>
          <w:rFonts w:ascii="Arial" w:eastAsia="Times New Roman" w:hAnsi="Arial" w:cs="Arial"/>
          <w:color w:val="000000"/>
          <w:kern w:val="0"/>
          <w:sz w:val="24"/>
          <w:szCs w:val="24"/>
          <w14:ligatures w14:val="none"/>
        </w:rPr>
        <w:t xml:space="preserve">proposed </w:t>
      </w:r>
      <w:r w:rsidR="00A17C0A">
        <w:rPr>
          <w:rFonts w:ascii="Arial" w:eastAsia="Times New Roman" w:hAnsi="Arial" w:cs="Arial"/>
          <w:color w:val="000000"/>
          <w:kern w:val="0"/>
          <w:sz w:val="24"/>
          <w:szCs w:val="24"/>
          <w14:ligatures w14:val="none"/>
        </w:rPr>
        <w:t>foundational principles</w:t>
      </w:r>
      <w:r w:rsidRPr="00A35266">
        <w:rPr>
          <w:rFonts w:ascii="Arial" w:eastAsia="Times New Roman" w:hAnsi="Arial" w:cs="Arial"/>
          <w:color w:val="000000"/>
          <w:kern w:val="0"/>
          <w:sz w:val="24"/>
          <w:szCs w:val="24"/>
          <w14:ligatures w14:val="none"/>
        </w:rPr>
        <w:t xml:space="preserve"> are</w:t>
      </w:r>
      <w:r w:rsidR="00345EA1">
        <w:rPr>
          <w:rFonts w:ascii="Arial" w:eastAsia="Times New Roman" w:hAnsi="Arial" w:cs="Arial"/>
          <w:color w:val="000000"/>
          <w:kern w:val="0"/>
          <w:sz w:val="24"/>
          <w:szCs w:val="24"/>
          <w14:ligatures w14:val="none"/>
        </w:rPr>
        <w:t xml:space="preserve"> provided to guide the work of those tasked with recommending a draft curriculum guide to the State Board of Education (SBE) for approval on or before May 31, 2026. These principles are</w:t>
      </w:r>
      <w:r w:rsidRPr="00A35266">
        <w:rPr>
          <w:rFonts w:ascii="Arial" w:eastAsia="Times New Roman" w:hAnsi="Arial" w:cs="Arial"/>
          <w:color w:val="000000"/>
          <w:kern w:val="0"/>
          <w:sz w:val="24"/>
          <w:szCs w:val="24"/>
          <w14:ligatures w14:val="none"/>
        </w:rPr>
        <w:t xml:space="preserve"> based on requirements in the authorizing statute (Assembly Bill </w:t>
      </w:r>
      <w:r w:rsidR="1F1B9A4B" w:rsidRPr="00CD0696">
        <w:rPr>
          <w:rFonts w:ascii="Arial" w:eastAsia="Times New Roman" w:hAnsi="Arial" w:cs="Arial"/>
          <w:color w:val="000000"/>
          <w:kern w:val="0"/>
          <w:sz w:val="24"/>
          <w:szCs w:val="24"/>
          <w14:ligatures w14:val="none"/>
        </w:rPr>
        <w:t>2927</w:t>
      </w:r>
      <w:r w:rsidRPr="00A35266">
        <w:rPr>
          <w:rFonts w:ascii="Arial" w:eastAsia="Times New Roman" w:hAnsi="Arial" w:cs="Arial"/>
          <w:color w:val="000000"/>
          <w:kern w:val="0"/>
          <w:sz w:val="24"/>
          <w:szCs w:val="24"/>
          <w14:ligatures w14:val="none"/>
        </w:rPr>
        <w:t>, Chapter 37 of the Statutes of 20</w:t>
      </w:r>
      <w:r w:rsidR="1F1B9A4B" w:rsidRPr="00CD0696">
        <w:rPr>
          <w:rFonts w:ascii="Arial" w:eastAsia="Times New Roman" w:hAnsi="Arial" w:cs="Arial"/>
          <w:color w:val="000000"/>
          <w:kern w:val="0"/>
          <w:sz w:val="24"/>
          <w:szCs w:val="24"/>
          <w14:ligatures w14:val="none"/>
        </w:rPr>
        <w:t>24</w:t>
      </w:r>
      <w:r w:rsidRPr="00A35266">
        <w:rPr>
          <w:rFonts w:ascii="Arial" w:eastAsia="Times New Roman" w:hAnsi="Arial" w:cs="Arial"/>
          <w:color w:val="000000"/>
          <w:kern w:val="0"/>
          <w:sz w:val="24"/>
          <w:szCs w:val="24"/>
          <w14:ligatures w14:val="none"/>
        </w:rPr>
        <w:t xml:space="preserve">), feedback collected </w:t>
      </w:r>
      <w:r w:rsidR="1F1B9A4B" w:rsidRPr="00CD0696">
        <w:rPr>
          <w:rFonts w:ascii="Arial" w:eastAsia="Times New Roman" w:hAnsi="Arial" w:cs="Arial"/>
          <w:color w:val="000000"/>
          <w:kern w:val="0"/>
          <w:sz w:val="24"/>
          <w:szCs w:val="24"/>
          <w14:ligatures w14:val="none"/>
        </w:rPr>
        <w:t>as requested</w:t>
      </w:r>
      <w:r w:rsidR="00DA1544">
        <w:rPr>
          <w:rFonts w:ascii="Arial" w:eastAsia="Times New Roman" w:hAnsi="Arial" w:cs="Arial"/>
          <w:color w:val="000000"/>
          <w:kern w:val="0"/>
          <w:sz w:val="24"/>
          <w:szCs w:val="24"/>
          <w14:ligatures w14:val="none"/>
        </w:rPr>
        <w:t xml:space="preserve"> in</w:t>
      </w:r>
      <w:r w:rsidR="1F1B9A4B" w:rsidRPr="00CD0696">
        <w:rPr>
          <w:rFonts w:ascii="Arial" w:eastAsia="Times New Roman" w:hAnsi="Arial" w:cs="Arial"/>
          <w:color w:val="000000"/>
          <w:kern w:val="0"/>
          <w:sz w:val="24"/>
          <w:szCs w:val="24"/>
          <w14:ligatures w14:val="none"/>
        </w:rPr>
        <w:t xml:space="preserve"> </w:t>
      </w:r>
      <w:r w:rsidR="000677E6">
        <w:rPr>
          <w:rFonts w:ascii="Arial" w:eastAsia="Times New Roman" w:hAnsi="Arial" w:cs="Arial"/>
          <w:color w:val="000000"/>
          <w:kern w:val="0"/>
          <w:sz w:val="24"/>
          <w:szCs w:val="24"/>
          <w14:ligatures w14:val="none"/>
        </w:rPr>
        <w:t>the California Department of Education’s (CDE’s) December 12</w:t>
      </w:r>
      <w:r w:rsidRPr="00A35266">
        <w:rPr>
          <w:rFonts w:ascii="Arial" w:eastAsia="Times New Roman" w:hAnsi="Arial" w:cs="Arial"/>
          <w:color w:val="000000"/>
          <w:kern w:val="0"/>
          <w:sz w:val="24"/>
          <w:szCs w:val="24"/>
          <w14:ligatures w14:val="none"/>
        </w:rPr>
        <w:t>, 20</w:t>
      </w:r>
      <w:r w:rsidR="1F1B9A4B" w:rsidRPr="00CD0696">
        <w:rPr>
          <w:rFonts w:ascii="Arial" w:eastAsia="Times New Roman" w:hAnsi="Arial" w:cs="Arial"/>
          <w:color w:val="000000"/>
          <w:kern w:val="0"/>
          <w:sz w:val="24"/>
          <w:szCs w:val="24"/>
          <w14:ligatures w14:val="none"/>
        </w:rPr>
        <w:t>24</w:t>
      </w:r>
      <w:r w:rsidRPr="00A35266">
        <w:rPr>
          <w:rFonts w:ascii="Arial" w:eastAsia="Times New Roman" w:hAnsi="Arial" w:cs="Arial"/>
          <w:color w:val="000000"/>
          <w:kern w:val="0"/>
          <w:sz w:val="24"/>
          <w:szCs w:val="24"/>
          <w14:ligatures w14:val="none"/>
        </w:rPr>
        <w:t xml:space="preserve">, </w:t>
      </w:r>
      <w:r w:rsidR="000677E6">
        <w:rPr>
          <w:rFonts w:ascii="Arial" w:eastAsia="Times New Roman" w:hAnsi="Arial" w:cs="Arial"/>
          <w:color w:val="000000"/>
          <w:kern w:val="0"/>
          <w:sz w:val="24"/>
          <w:szCs w:val="24"/>
          <w14:ligatures w14:val="none"/>
        </w:rPr>
        <w:t xml:space="preserve">public input webinar </w:t>
      </w:r>
      <w:r w:rsidRPr="00A35266">
        <w:rPr>
          <w:rFonts w:ascii="Arial" w:eastAsia="Times New Roman" w:hAnsi="Arial" w:cs="Arial"/>
          <w:color w:val="000000"/>
          <w:kern w:val="0"/>
          <w:sz w:val="24"/>
          <w:szCs w:val="24"/>
          <w14:ligatures w14:val="none"/>
        </w:rPr>
        <w:t>and other public comment</w:t>
      </w:r>
      <w:r w:rsidR="2718755B" w:rsidRPr="00A35266">
        <w:rPr>
          <w:rFonts w:ascii="Arial" w:eastAsia="Times New Roman" w:hAnsi="Arial" w:cs="Arial"/>
          <w:color w:val="000000"/>
          <w:kern w:val="0"/>
          <w:sz w:val="24"/>
          <w:szCs w:val="24"/>
          <w14:ligatures w14:val="none"/>
        </w:rPr>
        <w:t xml:space="preserve"> collected during regularly scheduled public meetings.</w:t>
      </w:r>
    </w:p>
    <w:p w14:paraId="2750D794" w14:textId="77777777" w:rsidR="007927D6" w:rsidRPr="007927D6" w:rsidRDefault="00A35266" w:rsidP="00473682">
      <w:pPr>
        <w:pStyle w:val="Heading2"/>
      </w:pPr>
      <w:r w:rsidRPr="007927D6">
        <w:t>Statutory</w:t>
      </w:r>
      <w:r w:rsidRPr="00A35266">
        <w:t xml:space="preserve"> </w:t>
      </w:r>
      <w:r w:rsidRPr="007927D6">
        <w:t>Requirements</w:t>
      </w:r>
    </w:p>
    <w:p w14:paraId="7B0BAD7B" w14:textId="49B17B91" w:rsidR="00A35266" w:rsidRPr="00A35266" w:rsidRDefault="00A35266" w:rsidP="007927D6">
      <w:pPr>
        <w:spacing w:before="100" w:beforeAutospacing="1" w:after="100" w:afterAutospacing="1" w:line="240" w:lineRule="auto"/>
        <w:ind w:left="720"/>
        <w:rPr>
          <w:rFonts w:ascii="Arial" w:eastAsia="Times New Roman" w:hAnsi="Arial" w:cs="Arial"/>
          <w:color w:val="000000"/>
          <w:kern w:val="0"/>
          <w:sz w:val="24"/>
          <w:szCs w:val="24"/>
          <w14:ligatures w14:val="none"/>
        </w:rPr>
      </w:pPr>
      <w:r w:rsidRPr="00A35266">
        <w:rPr>
          <w:rFonts w:ascii="Arial" w:eastAsia="Times New Roman" w:hAnsi="Arial" w:cs="Arial"/>
          <w:color w:val="000000"/>
          <w:kern w:val="0"/>
          <w:sz w:val="24"/>
          <w:szCs w:val="24"/>
          <w14:ligatures w14:val="none"/>
        </w:rPr>
        <w:t xml:space="preserve">The </w:t>
      </w:r>
      <w:r w:rsidR="00BB7CEB" w:rsidRPr="00CD0696">
        <w:rPr>
          <w:rFonts w:ascii="Arial" w:eastAsia="Times New Roman" w:hAnsi="Arial" w:cs="Arial"/>
          <w:color w:val="000000"/>
          <w:kern w:val="0"/>
          <w:sz w:val="24"/>
          <w:szCs w:val="24"/>
          <w14:ligatures w14:val="none"/>
        </w:rPr>
        <w:t>Personal Finance Curriculum Guide</w:t>
      </w:r>
      <w:r w:rsidRPr="00A35266">
        <w:rPr>
          <w:rFonts w:ascii="Arial" w:eastAsia="Times New Roman" w:hAnsi="Arial" w:cs="Arial"/>
          <w:color w:val="000000"/>
          <w:kern w:val="0"/>
          <w:sz w:val="24"/>
          <w:szCs w:val="24"/>
          <w14:ligatures w14:val="none"/>
        </w:rPr>
        <w:t xml:space="preserve"> must </w:t>
      </w:r>
      <w:r w:rsidR="005553AD">
        <w:rPr>
          <w:rFonts w:ascii="Arial" w:eastAsia="Times New Roman" w:hAnsi="Arial" w:cs="Arial"/>
          <w:color w:val="000000"/>
          <w:kern w:val="0"/>
          <w:sz w:val="24"/>
          <w:szCs w:val="24"/>
          <w14:ligatures w14:val="none"/>
        </w:rPr>
        <w:t>meet</w:t>
      </w:r>
      <w:r w:rsidRPr="00A35266">
        <w:rPr>
          <w:rFonts w:ascii="Arial" w:eastAsia="Times New Roman" w:hAnsi="Arial" w:cs="Arial"/>
          <w:color w:val="000000"/>
          <w:kern w:val="0"/>
          <w:sz w:val="24"/>
          <w:szCs w:val="24"/>
          <w14:ligatures w14:val="none"/>
        </w:rPr>
        <w:t xml:space="preserve"> the requirements in the authorizing statute as well as other legal requirements for curriculum in California. These </w:t>
      </w:r>
      <w:r w:rsidR="00814B2A">
        <w:rPr>
          <w:rFonts w:ascii="Arial" w:eastAsia="Times New Roman" w:hAnsi="Arial" w:cs="Arial"/>
          <w:color w:val="000000"/>
          <w:kern w:val="0"/>
          <w:sz w:val="24"/>
          <w:szCs w:val="24"/>
          <w14:ligatures w14:val="none"/>
        </w:rPr>
        <w:t xml:space="preserve">requirements </w:t>
      </w:r>
      <w:r w:rsidRPr="00A35266">
        <w:rPr>
          <w:rFonts w:ascii="Arial" w:eastAsia="Times New Roman" w:hAnsi="Arial" w:cs="Arial"/>
          <w:color w:val="000000"/>
          <w:kern w:val="0"/>
          <w:sz w:val="24"/>
          <w:szCs w:val="24"/>
          <w14:ligatures w14:val="none"/>
        </w:rPr>
        <w:t>include, but are not necessarily limited to, the fol</w:t>
      </w:r>
      <w:r w:rsidR="00814B2A">
        <w:rPr>
          <w:rFonts w:ascii="Arial" w:eastAsia="Times New Roman" w:hAnsi="Arial" w:cs="Arial"/>
          <w:color w:val="000000"/>
          <w:kern w:val="0"/>
          <w:sz w:val="24"/>
          <w:szCs w:val="24"/>
          <w14:ligatures w14:val="none"/>
        </w:rPr>
        <w:t>lowing</w:t>
      </w:r>
      <w:r w:rsidRPr="00A35266">
        <w:rPr>
          <w:rFonts w:ascii="Arial" w:eastAsia="Times New Roman" w:hAnsi="Arial" w:cs="Arial"/>
          <w:color w:val="000000"/>
          <w:kern w:val="0"/>
          <w:sz w:val="24"/>
          <w:szCs w:val="24"/>
          <w14:ligatures w14:val="none"/>
        </w:rPr>
        <w:t>:</w:t>
      </w:r>
    </w:p>
    <w:p w14:paraId="52999A06" w14:textId="4283E8C1" w:rsidR="00BB7CEB" w:rsidRPr="00A35266" w:rsidRDefault="5C1B464C" w:rsidP="007927D6">
      <w:pPr>
        <w:numPr>
          <w:ilvl w:val="1"/>
          <w:numId w:val="1"/>
        </w:numPr>
        <w:spacing w:beforeAutospacing="1" w:after="240" w:line="240" w:lineRule="auto"/>
        <w:rPr>
          <w:rFonts w:ascii="Arial" w:eastAsia="Times New Roman" w:hAnsi="Arial" w:cs="Arial"/>
          <w:color w:val="000000" w:themeColor="text1"/>
          <w:sz w:val="24"/>
          <w:szCs w:val="24"/>
        </w:rPr>
      </w:pPr>
      <w:r w:rsidRPr="00A35266">
        <w:rPr>
          <w:rFonts w:ascii="Arial" w:eastAsia="Times New Roman" w:hAnsi="Arial" w:cs="Arial"/>
          <w:color w:val="000000"/>
          <w:kern w:val="0"/>
          <w:sz w:val="24"/>
          <w:szCs w:val="24"/>
          <w14:ligatures w14:val="none"/>
        </w:rPr>
        <w:t xml:space="preserve">The curriculum </w:t>
      </w:r>
      <w:r w:rsidR="1F1B9A4B" w:rsidRPr="00CD0696">
        <w:rPr>
          <w:rFonts w:ascii="Arial" w:eastAsia="Times New Roman" w:hAnsi="Arial" w:cs="Arial"/>
          <w:color w:val="000000"/>
          <w:kern w:val="0"/>
          <w:sz w:val="24"/>
          <w:szCs w:val="24"/>
          <w14:ligatures w14:val="none"/>
        </w:rPr>
        <w:t xml:space="preserve">guide </w:t>
      </w:r>
      <w:r w:rsidRPr="00A35266">
        <w:rPr>
          <w:rFonts w:ascii="Arial" w:eastAsia="Times New Roman" w:hAnsi="Arial" w:cs="Arial"/>
          <w:color w:val="000000"/>
          <w:kern w:val="0"/>
          <w:sz w:val="24"/>
          <w:szCs w:val="24"/>
          <w14:ligatures w14:val="none"/>
        </w:rPr>
        <w:t xml:space="preserve">shall be written </w:t>
      </w:r>
      <w:r w:rsidR="1F1B9A4B" w:rsidRPr="00CD0696">
        <w:rPr>
          <w:rFonts w:ascii="Arial" w:eastAsia="Times New Roman" w:hAnsi="Arial" w:cs="Arial"/>
          <w:color w:val="000000"/>
          <w:kern w:val="0"/>
          <w:sz w:val="24"/>
          <w:szCs w:val="24"/>
          <w14:ligatures w14:val="none"/>
        </w:rPr>
        <w:t>to support a “separate, stand-alone one-semester course in personal finance, that is not combined with any other course” (</w:t>
      </w:r>
      <w:r w:rsidR="1F1B9A4B" w:rsidRPr="00DA3DB6">
        <w:rPr>
          <w:rFonts w:ascii="Arial" w:eastAsia="Times New Roman" w:hAnsi="Arial" w:cs="Arial"/>
          <w:color w:val="000000"/>
          <w:kern w:val="0"/>
          <w:sz w:val="24"/>
          <w:szCs w:val="24"/>
          <w14:ligatures w14:val="none"/>
        </w:rPr>
        <w:t>California</w:t>
      </w:r>
      <w:r w:rsidR="1F1B9A4B" w:rsidRPr="53B4C149">
        <w:rPr>
          <w:rFonts w:ascii="Arial" w:eastAsia="Times New Roman" w:hAnsi="Arial" w:cs="Arial"/>
          <w:i/>
          <w:iCs/>
          <w:color w:val="000000"/>
          <w:kern w:val="0"/>
          <w:sz w:val="24"/>
          <w:szCs w:val="24"/>
          <w14:ligatures w14:val="none"/>
        </w:rPr>
        <w:t xml:space="preserve"> Education Code</w:t>
      </w:r>
      <w:r w:rsidR="1F1B9A4B" w:rsidRPr="00CD0696">
        <w:rPr>
          <w:rFonts w:ascii="Arial" w:eastAsia="Times New Roman" w:hAnsi="Arial" w:cs="Arial"/>
          <w:color w:val="000000"/>
          <w:kern w:val="0"/>
          <w:sz w:val="24"/>
          <w:szCs w:val="24"/>
          <w14:ligatures w14:val="none"/>
        </w:rPr>
        <w:t xml:space="preserve"> </w:t>
      </w:r>
      <w:r w:rsidR="00DA3DB6">
        <w:rPr>
          <w:rFonts w:ascii="Arial" w:eastAsia="Times New Roman" w:hAnsi="Arial" w:cs="Arial"/>
          <w:color w:val="000000"/>
          <w:kern w:val="0"/>
          <w:sz w:val="24"/>
          <w:szCs w:val="24"/>
          <w14:ligatures w14:val="none"/>
        </w:rPr>
        <w:t>[</w:t>
      </w:r>
      <w:r w:rsidR="00DA3DB6" w:rsidRPr="00DA3DB6">
        <w:rPr>
          <w:rFonts w:ascii="Arial" w:eastAsia="Times New Roman" w:hAnsi="Arial" w:cs="Arial"/>
          <w:i/>
          <w:iCs/>
          <w:color w:val="000000"/>
          <w:kern w:val="0"/>
          <w:sz w:val="24"/>
          <w:szCs w:val="24"/>
          <w14:ligatures w14:val="none"/>
        </w:rPr>
        <w:t>EC</w:t>
      </w:r>
      <w:r w:rsidR="00DA3DB6">
        <w:rPr>
          <w:rFonts w:ascii="Arial" w:eastAsia="Times New Roman" w:hAnsi="Arial" w:cs="Arial"/>
          <w:color w:val="000000"/>
          <w:kern w:val="0"/>
          <w:sz w:val="24"/>
          <w:szCs w:val="24"/>
          <w14:ligatures w14:val="none"/>
        </w:rPr>
        <w:t xml:space="preserve">] </w:t>
      </w:r>
      <w:r w:rsidR="1F1B9A4B" w:rsidRPr="00CD0696">
        <w:rPr>
          <w:rFonts w:ascii="Arial" w:eastAsia="Times New Roman" w:hAnsi="Arial" w:cs="Arial"/>
          <w:color w:val="000000"/>
          <w:kern w:val="0"/>
          <w:sz w:val="24"/>
          <w:szCs w:val="24"/>
          <w14:ligatures w14:val="none"/>
        </w:rPr>
        <w:t>Section 51225.32).</w:t>
      </w:r>
      <w:r w:rsidR="6DD57D55" w:rsidRPr="53B4C149">
        <w:rPr>
          <w:rFonts w:eastAsiaTheme="minorEastAsia"/>
          <w:color w:val="000000" w:themeColor="text1"/>
          <w:sz w:val="24"/>
          <w:szCs w:val="24"/>
        </w:rPr>
        <w:t xml:space="preserve"> </w:t>
      </w:r>
      <w:r w:rsidR="6DD57D55" w:rsidRPr="007E3D90">
        <w:rPr>
          <w:rFonts w:ascii="Arial" w:eastAsiaTheme="minorEastAsia" w:hAnsi="Arial" w:cs="Arial"/>
          <w:color w:val="000000" w:themeColor="text1"/>
          <w:sz w:val="24"/>
          <w:szCs w:val="24"/>
        </w:rPr>
        <w:t>The authorizing legislation also allows personal finance to be offered as a year-long course.</w:t>
      </w:r>
    </w:p>
    <w:p w14:paraId="1A6F555B" w14:textId="799789D1" w:rsidR="00CD0696" w:rsidRPr="00CD0696" w:rsidRDefault="00A35266" w:rsidP="007927D6">
      <w:pPr>
        <w:numPr>
          <w:ilvl w:val="1"/>
          <w:numId w:val="1"/>
        </w:numPr>
        <w:spacing w:beforeAutospacing="1" w:after="240" w:line="240" w:lineRule="auto"/>
        <w:rPr>
          <w:rFonts w:ascii="Arial" w:eastAsia="Times New Roman" w:hAnsi="Arial" w:cs="Arial"/>
          <w:color w:val="000000"/>
          <w:kern w:val="0"/>
          <w:sz w:val="24"/>
          <w:szCs w:val="24"/>
          <w14:ligatures w14:val="none"/>
        </w:rPr>
      </w:pPr>
      <w:r w:rsidRPr="00A35266">
        <w:rPr>
          <w:rFonts w:ascii="Arial" w:eastAsia="Times New Roman" w:hAnsi="Arial" w:cs="Arial"/>
          <w:color w:val="000000"/>
          <w:kern w:val="0"/>
          <w:sz w:val="24"/>
          <w:szCs w:val="24"/>
          <w14:ligatures w14:val="none"/>
        </w:rPr>
        <w:t xml:space="preserve">The </w:t>
      </w:r>
      <w:r w:rsidR="00BB7CEB" w:rsidRPr="00CD0696">
        <w:rPr>
          <w:rFonts w:ascii="Arial" w:eastAsia="Times New Roman" w:hAnsi="Arial" w:cs="Arial"/>
          <w:color w:val="000000"/>
          <w:kern w:val="0"/>
          <w:sz w:val="24"/>
          <w:szCs w:val="24"/>
          <w14:ligatures w14:val="none"/>
        </w:rPr>
        <w:t>curriculum guide</w:t>
      </w:r>
      <w:r w:rsidRPr="00A35266">
        <w:rPr>
          <w:rFonts w:ascii="Arial" w:eastAsia="Times New Roman" w:hAnsi="Arial" w:cs="Arial"/>
          <w:color w:val="000000"/>
          <w:kern w:val="0"/>
          <w:sz w:val="24"/>
          <w:szCs w:val="24"/>
          <w14:ligatures w14:val="none"/>
        </w:rPr>
        <w:t xml:space="preserve"> shall include </w:t>
      </w:r>
      <w:r w:rsidR="00CD0696" w:rsidRPr="00CD0696">
        <w:rPr>
          <w:rFonts w:ascii="Arial" w:hAnsi="Arial" w:cs="Arial"/>
          <w:color w:val="333333"/>
          <w:sz w:val="24"/>
          <w:szCs w:val="24"/>
          <w:shd w:val="clear" w:color="auto" w:fill="FFFFFF"/>
        </w:rPr>
        <w:t xml:space="preserve">“all of, and only, the personal finance content specified in paragraphs (1) to (13), inclusive, of subdivision (a) of </w:t>
      </w:r>
      <w:r w:rsidR="007E6FE2">
        <w:rPr>
          <w:rFonts w:ascii="Arial" w:hAnsi="Arial" w:cs="Arial"/>
          <w:color w:val="333333"/>
          <w:sz w:val="24"/>
          <w:szCs w:val="24"/>
          <w:shd w:val="clear" w:color="auto" w:fill="FFFFFF"/>
        </w:rPr>
        <w:t>[</w:t>
      </w:r>
      <w:r w:rsidR="007E6FE2" w:rsidRPr="007E6FE2">
        <w:rPr>
          <w:rFonts w:ascii="Arial" w:hAnsi="Arial" w:cs="Arial"/>
          <w:i/>
          <w:iCs/>
          <w:color w:val="333333"/>
          <w:sz w:val="24"/>
          <w:szCs w:val="24"/>
          <w:shd w:val="clear" w:color="auto" w:fill="FFFFFF"/>
        </w:rPr>
        <w:t>EC</w:t>
      </w:r>
      <w:r w:rsidR="007E6FE2">
        <w:rPr>
          <w:rFonts w:ascii="Arial" w:hAnsi="Arial" w:cs="Arial"/>
          <w:color w:val="333333"/>
          <w:sz w:val="24"/>
          <w:szCs w:val="24"/>
          <w:shd w:val="clear" w:color="auto" w:fill="FFFFFF"/>
        </w:rPr>
        <w:t xml:space="preserve">] </w:t>
      </w:r>
      <w:r w:rsidR="00CD0696" w:rsidRPr="00CD0696">
        <w:rPr>
          <w:rFonts w:ascii="Arial" w:hAnsi="Arial" w:cs="Arial"/>
          <w:color w:val="333333"/>
          <w:sz w:val="24"/>
          <w:szCs w:val="24"/>
          <w:shd w:val="clear" w:color="auto" w:fill="FFFFFF"/>
        </w:rPr>
        <w:t>Section 51284.5.” These topics are as follows:</w:t>
      </w:r>
    </w:p>
    <w:p w14:paraId="21A43139" w14:textId="073FA4E8"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Fundamentals of banking for personal use, including, but not limited to, savings and checking and managing to minimize fees.</w:t>
      </w:r>
    </w:p>
    <w:p w14:paraId="330116B9" w14:textId="7F5DCA67"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Principles of budgeting for independent living.</w:t>
      </w:r>
    </w:p>
    <w:p w14:paraId="4BD187D4" w14:textId="719BD53A"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Employment and understanding factors that affect net income, including the topics described in subdivision (a) of Section 49110.5.</w:t>
      </w:r>
    </w:p>
    <w:p w14:paraId="4054BAF0" w14:textId="40D861B4"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Uses and effects of credit, including managing credit scores and the relation of debt and interest to credit.</w:t>
      </w:r>
    </w:p>
    <w:p w14:paraId="0D946ABF" w14:textId="13EC9645"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Uses and costs of loans, including student loans, as well as policies that provide student loan forgiveness.</w:t>
      </w:r>
    </w:p>
    <w:p w14:paraId="11CFE7E6" w14:textId="3FB885DF"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lastRenderedPageBreak/>
        <w:t>Types and costs of insurance, including home, auto, health, and life insurance.</w:t>
      </w:r>
    </w:p>
    <w:p w14:paraId="7000131B" w14:textId="46D2D6DE"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Impacts of the tax system, including its impact on personal income, the process to file taxes, and how to read tax forms and pay stubs.</w:t>
      </w:r>
    </w:p>
    <w:p w14:paraId="4DE9E79F" w14:textId="184EB6E9"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Principles of investing and building wealth, including investment alternatives to build financial security, including tax-advantaged investments such as pensions and 401(k) plans, individual retirement accounts (IRAs), and stocks, bonds, mutual funds, and index funds.</w:t>
      </w:r>
    </w:p>
    <w:p w14:paraId="21679F7F" w14:textId="72420CD0"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Enhancing consumer protection skills by raising awareness of common scams and frauds and preventing identity theft.</w:t>
      </w:r>
    </w:p>
    <w:p w14:paraId="1F5E91B9" w14:textId="76929507"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Identifying means to finance college, workforce education, low-cost community college options, and other career technical educational pathways or apprenticeships. Financing options covered may include scholarships, merit aid, and student loans.</w:t>
      </w:r>
    </w:p>
    <w:p w14:paraId="0A091DBC" w14:textId="706C3469"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Understanding how psychology can impact one’s financial well-being.</w:t>
      </w:r>
    </w:p>
    <w:p w14:paraId="1AC65944" w14:textId="02239E8D" w:rsidR="00CD0696" w:rsidRPr="00CD0696"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Charitable giving.</w:t>
      </w:r>
    </w:p>
    <w:p w14:paraId="3B1A0F03" w14:textId="2B864B2F" w:rsidR="00CD0696" w:rsidRPr="007E6FE2" w:rsidRDefault="00CD0696" w:rsidP="007927D6">
      <w:pPr>
        <w:pStyle w:val="NormalWeb"/>
        <w:numPr>
          <w:ilvl w:val="0"/>
          <w:numId w:val="2"/>
        </w:numPr>
        <w:shd w:val="clear" w:color="auto" w:fill="FFFFFF"/>
        <w:spacing w:before="0" w:beforeAutospacing="0" w:after="240" w:afterAutospacing="0"/>
        <w:ind w:left="2160"/>
        <w:textAlignment w:val="baseline"/>
        <w:rPr>
          <w:rFonts w:ascii="Arial" w:hAnsi="Arial" w:cs="Arial"/>
          <w:color w:val="333333"/>
        </w:rPr>
      </w:pPr>
      <w:r w:rsidRPr="00CD0696">
        <w:rPr>
          <w:rFonts w:ascii="Arial" w:hAnsi="Arial" w:cs="Arial"/>
          <w:color w:val="333333"/>
        </w:rPr>
        <w:t>Other topics that are directly and specifically relevant to personal finance</w:t>
      </w:r>
      <w:r w:rsidR="00680CEE">
        <w:rPr>
          <w:rFonts w:ascii="Arial" w:hAnsi="Arial" w:cs="Arial"/>
          <w:color w:val="333333"/>
        </w:rPr>
        <w:t xml:space="preserve"> (see “Other topics” below).</w:t>
      </w:r>
    </w:p>
    <w:p w14:paraId="474A4D63" w14:textId="34C7161E" w:rsidR="00A35266" w:rsidRPr="00A35266" w:rsidRDefault="00A35266" w:rsidP="007927D6">
      <w:pPr>
        <w:numPr>
          <w:ilvl w:val="1"/>
          <w:numId w:val="1"/>
        </w:numPr>
        <w:spacing w:beforeAutospacing="1" w:after="240" w:line="240" w:lineRule="auto"/>
        <w:rPr>
          <w:rFonts w:ascii="Arial" w:eastAsia="Times New Roman" w:hAnsi="Arial" w:cs="Arial"/>
          <w:color w:val="000000"/>
          <w:kern w:val="0"/>
          <w:sz w:val="24"/>
          <w:szCs w:val="24"/>
          <w14:ligatures w14:val="none"/>
        </w:rPr>
      </w:pPr>
      <w:r w:rsidRPr="00A35266">
        <w:rPr>
          <w:rFonts w:ascii="Arial" w:eastAsia="Times New Roman" w:hAnsi="Arial" w:cs="Arial"/>
          <w:color w:val="000000"/>
          <w:kern w:val="0"/>
          <w:sz w:val="24"/>
          <w:szCs w:val="24"/>
          <w14:ligatures w14:val="none"/>
        </w:rPr>
        <w:t xml:space="preserve">The </w:t>
      </w:r>
      <w:r w:rsidR="00BC4457">
        <w:rPr>
          <w:rFonts w:ascii="Arial" w:eastAsia="Times New Roman" w:hAnsi="Arial" w:cs="Arial"/>
          <w:color w:val="000000"/>
          <w:kern w:val="0"/>
          <w:sz w:val="24"/>
          <w:szCs w:val="24"/>
          <w14:ligatures w14:val="none"/>
        </w:rPr>
        <w:t>curriculum guide</w:t>
      </w:r>
      <w:r w:rsidRPr="00A35266">
        <w:rPr>
          <w:rFonts w:ascii="Arial" w:eastAsia="Times New Roman" w:hAnsi="Arial" w:cs="Arial"/>
          <w:color w:val="000000"/>
          <w:kern w:val="0"/>
          <w:sz w:val="24"/>
          <w:szCs w:val="24"/>
          <w14:ligatures w14:val="none"/>
        </w:rPr>
        <w:t xml:space="preserve"> must meet federal accessibility requirements pursuant to Section 508 of the United States Workforce Rehabilitation Act. Content that cannot be made accessible may not be included in the document.</w:t>
      </w:r>
    </w:p>
    <w:p w14:paraId="08879A6C" w14:textId="68369624" w:rsidR="00A35266" w:rsidRPr="00A35266" w:rsidRDefault="00A35266" w:rsidP="007927D6">
      <w:pPr>
        <w:pStyle w:val="Heading2"/>
      </w:pPr>
      <w:r w:rsidRPr="00A35266">
        <w:t xml:space="preserve">General </w:t>
      </w:r>
      <w:r w:rsidRPr="007927D6">
        <w:t>principles</w:t>
      </w:r>
      <w:r w:rsidRPr="00A35266">
        <w:t>. Th</w:t>
      </w:r>
      <w:r w:rsidR="00552917">
        <w:t xml:space="preserve">e Personal Finance </w:t>
      </w:r>
      <w:r w:rsidRPr="00A35266">
        <w:t xml:space="preserve">Curriculum </w:t>
      </w:r>
      <w:r w:rsidR="00552917">
        <w:t xml:space="preserve">Guide </w:t>
      </w:r>
      <w:r w:rsidRPr="00A35266">
        <w:t>shall</w:t>
      </w:r>
    </w:p>
    <w:p w14:paraId="4D4250B1" w14:textId="5E435C98" w:rsidR="00A35266" w:rsidRPr="00A35266" w:rsidRDefault="008E5B25" w:rsidP="008E5B25">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i</w:t>
      </w:r>
      <w:r w:rsidR="00A35266" w:rsidRPr="00A35266">
        <w:rPr>
          <w:rFonts w:ascii="Arial" w:eastAsia="Times New Roman" w:hAnsi="Arial" w:cs="Arial"/>
          <w:color w:val="000000"/>
          <w:kern w:val="0"/>
          <w:sz w:val="24"/>
          <w:szCs w:val="24"/>
          <w14:ligatures w14:val="none"/>
        </w:rPr>
        <w:t xml:space="preserve">nclude accurate information </w:t>
      </w:r>
      <w:r w:rsidR="0068416F">
        <w:rPr>
          <w:rFonts w:ascii="Arial" w:eastAsia="Times New Roman" w:hAnsi="Arial" w:cs="Arial"/>
          <w:color w:val="000000"/>
          <w:kern w:val="0"/>
          <w:sz w:val="24"/>
          <w:szCs w:val="24"/>
          <w14:ligatures w14:val="none"/>
        </w:rPr>
        <w:t xml:space="preserve">about all areas of personal finance included in the curriculum </w:t>
      </w:r>
      <w:proofErr w:type="gramStart"/>
      <w:r w:rsidR="0068416F">
        <w:rPr>
          <w:rFonts w:ascii="Arial" w:eastAsia="Times New Roman" w:hAnsi="Arial" w:cs="Arial"/>
          <w:color w:val="000000"/>
          <w:kern w:val="0"/>
          <w:sz w:val="24"/>
          <w:szCs w:val="24"/>
          <w14:ligatures w14:val="none"/>
        </w:rPr>
        <w:t>guide</w:t>
      </w:r>
      <w:r>
        <w:rPr>
          <w:rFonts w:ascii="Arial" w:eastAsia="Times New Roman" w:hAnsi="Arial" w:cs="Arial"/>
          <w:color w:val="000000"/>
          <w:kern w:val="0"/>
          <w:sz w:val="24"/>
          <w:szCs w:val="24"/>
          <w14:ligatures w14:val="none"/>
        </w:rPr>
        <w:t>;</w:t>
      </w:r>
      <w:proofErr w:type="gramEnd"/>
    </w:p>
    <w:p w14:paraId="6FE8B2B7" w14:textId="304CC92A" w:rsidR="00552917" w:rsidRDefault="005553AD" w:rsidP="008E5B25">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a</w:t>
      </w:r>
      <w:r w:rsidRPr="00BB218C">
        <w:rPr>
          <w:rFonts w:ascii="Arial" w:eastAsia="Times New Roman" w:hAnsi="Arial" w:cs="Arial"/>
          <w:color w:val="000000"/>
          <w:kern w:val="0"/>
          <w:sz w:val="24"/>
          <w:szCs w:val="24"/>
          <w14:ligatures w14:val="none"/>
        </w:rPr>
        <w:t>lign to the California Common Core State Standards for English Language Arts and Literacy in History/Social Studies, Science, and Technical Subjects, as appropriate (Reading Standards for Literacy in History/Social Studies 6</w:t>
      </w:r>
      <w:r w:rsidR="0011219C">
        <w:rPr>
          <w:rFonts w:ascii="Arial" w:eastAsia="Times New Roman" w:hAnsi="Arial" w:cs="Arial"/>
          <w:color w:val="000000"/>
          <w:kern w:val="0"/>
          <w:sz w:val="24"/>
          <w:szCs w:val="24"/>
          <w14:ligatures w14:val="none"/>
        </w:rPr>
        <w:t>–</w:t>
      </w:r>
      <w:r w:rsidRPr="00BB218C">
        <w:rPr>
          <w:rFonts w:ascii="Arial" w:eastAsia="Times New Roman" w:hAnsi="Arial" w:cs="Arial"/>
          <w:color w:val="000000"/>
          <w:kern w:val="0"/>
          <w:sz w:val="24"/>
          <w:szCs w:val="24"/>
          <w14:ligatures w14:val="none"/>
        </w:rPr>
        <w:t>12, p</w:t>
      </w:r>
      <w:r w:rsidR="0011219C">
        <w:rPr>
          <w:rFonts w:ascii="Arial" w:eastAsia="Times New Roman" w:hAnsi="Arial" w:cs="Arial"/>
          <w:color w:val="000000"/>
          <w:kern w:val="0"/>
          <w:sz w:val="24"/>
          <w:szCs w:val="24"/>
          <w14:ligatures w14:val="none"/>
        </w:rPr>
        <w:t>p.</w:t>
      </w:r>
      <w:r w:rsidRPr="00BB218C">
        <w:rPr>
          <w:rFonts w:ascii="Arial" w:eastAsia="Times New Roman" w:hAnsi="Arial" w:cs="Arial"/>
          <w:color w:val="000000"/>
          <w:kern w:val="0"/>
          <w:sz w:val="24"/>
          <w:szCs w:val="24"/>
          <w14:ligatures w14:val="none"/>
        </w:rPr>
        <w:t xml:space="preserve"> 81</w:t>
      </w:r>
      <w:r w:rsidR="0011219C">
        <w:rPr>
          <w:rFonts w:ascii="Arial" w:eastAsia="Times New Roman" w:hAnsi="Arial" w:cs="Arial"/>
          <w:color w:val="000000"/>
          <w:kern w:val="0"/>
          <w:sz w:val="24"/>
          <w:szCs w:val="24"/>
          <w14:ligatures w14:val="none"/>
        </w:rPr>
        <w:t>–</w:t>
      </w:r>
      <w:r w:rsidRPr="00BB218C">
        <w:rPr>
          <w:rFonts w:ascii="Arial" w:eastAsia="Times New Roman" w:hAnsi="Arial" w:cs="Arial"/>
          <w:color w:val="000000"/>
          <w:kern w:val="0"/>
          <w:sz w:val="24"/>
          <w:szCs w:val="24"/>
          <w14:ligatures w14:val="none"/>
        </w:rPr>
        <w:t>82; Writing Standards for Literacy in History/Social Studies, Science and Technical Subjects 6</w:t>
      </w:r>
      <w:r w:rsidR="0011219C">
        <w:rPr>
          <w:rFonts w:ascii="Arial" w:eastAsia="Times New Roman" w:hAnsi="Arial" w:cs="Arial"/>
          <w:color w:val="000000"/>
          <w:kern w:val="0"/>
          <w:sz w:val="24"/>
          <w:szCs w:val="24"/>
          <w14:ligatures w14:val="none"/>
        </w:rPr>
        <w:t>–</w:t>
      </w:r>
      <w:r w:rsidRPr="00BB218C">
        <w:rPr>
          <w:rFonts w:ascii="Arial" w:eastAsia="Times New Roman" w:hAnsi="Arial" w:cs="Arial"/>
          <w:color w:val="000000"/>
          <w:kern w:val="0"/>
          <w:sz w:val="24"/>
          <w:szCs w:val="24"/>
          <w14:ligatures w14:val="none"/>
        </w:rPr>
        <w:t>12, p</w:t>
      </w:r>
      <w:r w:rsidR="0011219C">
        <w:rPr>
          <w:rFonts w:ascii="Arial" w:eastAsia="Times New Roman" w:hAnsi="Arial" w:cs="Arial"/>
          <w:color w:val="000000"/>
          <w:kern w:val="0"/>
          <w:sz w:val="24"/>
          <w:szCs w:val="24"/>
          <w14:ligatures w14:val="none"/>
        </w:rPr>
        <w:t>p.</w:t>
      </w:r>
      <w:r w:rsidRPr="00BB218C">
        <w:rPr>
          <w:rFonts w:ascii="Arial" w:eastAsia="Times New Roman" w:hAnsi="Arial" w:cs="Arial"/>
          <w:color w:val="000000"/>
          <w:kern w:val="0"/>
          <w:sz w:val="24"/>
          <w:szCs w:val="24"/>
          <w14:ligatures w14:val="none"/>
        </w:rPr>
        <w:t xml:space="preserve"> 86</w:t>
      </w:r>
      <w:r w:rsidR="0011219C">
        <w:rPr>
          <w:rFonts w:ascii="Arial" w:eastAsia="Times New Roman" w:hAnsi="Arial" w:cs="Arial"/>
          <w:color w:val="000000"/>
          <w:kern w:val="0"/>
          <w:sz w:val="24"/>
          <w:szCs w:val="24"/>
          <w14:ligatures w14:val="none"/>
        </w:rPr>
        <w:t>–</w:t>
      </w:r>
      <w:r w:rsidRPr="00BB218C">
        <w:rPr>
          <w:rFonts w:ascii="Arial" w:eastAsia="Times New Roman" w:hAnsi="Arial" w:cs="Arial"/>
          <w:color w:val="000000"/>
          <w:kern w:val="0"/>
          <w:sz w:val="24"/>
          <w:szCs w:val="24"/>
          <w14:ligatures w14:val="none"/>
        </w:rPr>
        <w:t>89</w:t>
      </w:r>
      <w:proofErr w:type="gramStart"/>
      <w:r w:rsidR="0031387A">
        <w:rPr>
          <w:rFonts w:ascii="Arial" w:eastAsia="Times New Roman" w:hAnsi="Arial" w:cs="Arial"/>
          <w:color w:val="000000"/>
          <w:kern w:val="0"/>
          <w:sz w:val="24"/>
          <w:szCs w:val="24"/>
          <w14:ligatures w14:val="none"/>
        </w:rPr>
        <w:t>)</w:t>
      </w:r>
      <w:r w:rsidR="008E5B25">
        <w:rPr>
          <w:rFonts w:ascii="Arial" w:eastAsia="Times New Roman" w:hAnsi="Arial" w:cs="Arial"/>
          <w:color w:val="000000"/>
          <w:kern w:val="0"/>
          <w:sz w:val="24"/>
          <w:szCs w:val="24"/>
          <w14:ligatures w14:val="none"/>
        </w:rPr>
        <w:t>;</w:t>
      </w:r>
      <w:proofErr w:type="gramEnd"/>
    </w:p>
    <w:p w14:paraId="6C8C87D2" w14:textId="7A5E1E3A" w:rsidR="00552917" w:rsidRDefault="008E5B25" w:rsidP="008E5B25">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lastRenderedPageBreak/>
        <w:t>a</w:t>
      </w:r>
      <w:r w:rsidR="00552917">
        <w:rPr>
          <w:rFonts w:ascii="Arial" w:eastAsia="Times New Roman" w:hAnsi="Arial" w:cs="Arial"/>
          <w:color w:val="000000"/>
          <w:kern w:val="0"/>
          <w:sz w:val="24"/>
          <w:szCs w:val="24"/>
          <w14:ligatures w14:val="none"/>
        </w:rPr>
        <w:t xml:space="preserve">lign, when relevant, with the media literacy content in the Model School Library Standards developed pursuant to </w:t>
      </w:r>
      <w:r w:rsidR="00552917" w:rsidRPr="00146C76">
        <w:rPr>
          <w:rFonts w:ascii="Arial" w:eastAsia="Times New Roman" w:hAnsi="Arial" w:cs="Arial"/>
          <w:i/>
          <w:iCs/>
          <w:color w:val="000000"/>
          <w:kern w:val="0"/>
          <w:sz w:val="24"/>
          <w:szCs w:val="24"/>
          <w14:ligatures w14:val="none"/>
        </w:rPr>
        <w:t>EC</w:t>
      </w:r>
      <w:r w:rsidR="00552917">
        <w:rPr>
          <w:rFonts w:ascii="Arial" w:eastAsia="Times New Roman" w:hAnsi="Arial" w:cs="Arial"/>
          <w:color w:val="000000"/>
          <w:kern w:val="0"/>
          <w:sz w:val="24"/>
          <w:szCs w:val="24"/>
          <w14:ligatures w14:val="none"/>
        </w:rPr>
        <w:t xml:space="preserve"> Section 18101 and incorporated into content area frameworks pursuant to </w:t>
      </w:r>
      <w:r w:rsidRPr="008E5B25">
        <w:rPr>
          <w:rFonts w:ascii="Arial" w:eastAsia="Times New Roman" w:hAnsi="Arial" w:cs="Arial"/>
          <w:i/>
          <w:iCs/>
          <w:color w:val="000000"/>
          <w:kern w:val="0"/>
          <w:sz w:val="24"/>
          <w:szCs w:val="24"/>
          <w14:ligatures w14:val="none"/>
        </w:rPr>
        <w:t>EC</w:t>
      </w:r>
      <w:r>
        <w:rPr>
          <w:rFonts w:ascii="Arial" w:eastAsia="Times New Roman" w:hAnsi="Arial" w:cs="Arial"/>
          <w:color w:val="000000"/>
          <w:kern w:val="0"/>
          <w:sz w:val="24"/>
          <w:szCs w:val="24"/>
          <w14:ligatures w14:val="none"/>
        </w:rPr>
        <w:t xml:space="preserve"> </w:t>
      </w:r>
      <w:r w:rsidR="00552917">
        <w:rPr>
          <w:rFonts w:ascii="Arial" w:eastAsia="Times New Roman" w:hAnsi="Arial" w:cs="Arial"/>
          <w:color w:val="000000"/>
          <w:kern w:val="0"/>
          <w:sz w:val="24"/>
          <w:szCs w:val="24"/>
          <w14:ligatures w14:val="none"/>
        </w:rPr>
        <w:t xml:space="preserve">Section </w:t>
      </w:r>
      <w:proofErr w:type="gramStart"/>
      <w:r w:rsidR="00552917">
        <w:rPr>
          <w:rFonts w:ascii="Arial" w:eastAsia="Times New Roman" w:hAnsi="Arial" w:cs="Arial"/>
          <w:color w:val="000000"/>
          <w:kern w:val="0"/>
          <w:sz w:val="24"/>
          <w:szCs w:val="24"/>
          <w14:ligatures w14:val="none"/>
        </w:rPr>
        <w:t>33548</w:t>
      </w:r>
      <w:r>
        <w:rPr>
          <w:rFonts w:ascii="Arial" w:eastAsia="Times New Roman" w:hAnsi="Arial" w:cs="Arial"/>
          <w:color w:val="000000"/>
          <w:kern w:val="0"/>
          <w:sz w:val="24"/>
          <w:szCs w:val="24"/>
          <w14:ligatures w14:val="none"/>
        </w:rPr>
        <w:t>;</w:t>
      </w:r>
      <w:proofErr w:type="gramEnd"/>
    </w:p>
    <w:p w14:paraId="3651D1E1" w14:textId="4D103E0A" w:rsidR="00641816" w:rsidRDefault="00641816" w:rsidP="008E5B25">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 xml:space="preserve">be appropriate for use with students from all geographic and socio-economic </w:t>
      </w:r>
      <w:proofErr w:type="gramStart"/>
      <w:r>
        <w:rPr>
          <w:rFonts w:ascii="Arial" w:eastAsia="Times New Roman" w:hAnsi="Arial" w:cs="Arial"/>
          <w:color w:val="000000"/>
          <w:kern w:val="0"/>
          <w:sz w:val="24"/>
          <w:szCs w:val="24"/>
          <w14:ligatures w14:val="none"/>
        </w:rPr>
        <w:t>backgrounds;</w:t>
      </w:r>
      <w:proofErr w:type="gramEnd"/>
    </w:p>
    <w:p w14:paraId="203C55AE" w14:textId="4A1D4B8D" w:rsidR="00A35266" w:rsidRDefault="008E5B25" w:rsidP="008E5B25">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p</w:t>
      </w:r>
      <w:r w:rsidR="00552917" w:rsidRPr="00A35266">
        <w:rPr>
          <w:rFonts w:ascii="Arial" w:eastAsia="Times New Roman" w:hAnsi="Arial" w:cs="Arial"/>
          <w:color w:val="000000"/>
          <w:kern w:val="0"/>
          <w:sz w:val="24"/>
          <w:szCs w:val="24"/>
          <w14:ligatures w14:val="none"/>
        </w:rPr>
        <w:t xml:space="preserve">romote the values of </w:t>
      </w:r>
      <w:r w:rsidR="00641816" w:rsidRPr="00BB218C">
        <w:rPr>
          <w:rFonts w:ascii="Arial" w:eastAsia="Times New Roman" w:hAnsi="Arial" w:cs="Arial"/>
          <w:color w:val="000000"/>
          <w:kern w:val="0"/>
          <w:sz w:val="24"/>
          <w:szCs w:val="24"/>
          <w14:ligatures w14:val="none"/>
        </w:rPr>
        <w:t xml:space="preserve">financial responsibility and economic empowerment, emphasizing that financial knowledge and skills can help all students advance economically throughout their </w:t>
      </w:r>
      <w:proofErr w:type="gramStart"/>
      <w:r w:rsidR="00641816" w:rsidRPr="00BB218C">
        <w:rPr>
          <w:rFonts w:ascii="Arial" w:eastAsia="Times New Roman" w:hAnsi="Arial" w:cs="Arial"/>
          <w:color w:val="000000"/>
          <w:kern w:val="0"/>
          <w:sz w:val="24"/>
          <w:szCs w:val="24"/>
          <w14:ligatures w14:val="none"/>
        </w:rPr>
        <w:t>lifetimes</w:t>
      </w:r>
      <w:r w:rsidR="00641816">
        <w:rPr>
          <w:rFonts w:ascii="Arial" w:eastAsia="Times New Roman" w:hAnsi="Arial" w:cs="Arial"/>
          <w:color w:val="000000"/>
          <w:kern w:val="0"/>
          <w:sz w:val="24"/>
          <w:szCs w:val="24"/>
          <w14:ligatures w14:val="none"/>
        </w:rPr>
        <w:t>;</w:t>
      </w:r>
      <w:proofErr w:type="gramEnd"/>
    </w:p>
    <w:p w14:paraId="3916B5FC" w14:textId="3B61A419" w:rsidR="00A35266" w:rsidRDefault="008E5B25" w:rsidP="008E5B25">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b</w:t>
      </w:r>
      <w:r w:rsidR="5C1B464C" w:rsidRPr="00A35266">
        <w:rPr>
          <w:rFonts w:ascii="Arial" w:eastAsia="Times New Roman" w:hAnsi="Arial" w:cs="Arial"/>
          <w:color w:val="000000"/>
          <w:kern w:val="0"/>
          <w:sz w:val="24"/>
          <w:szCs w:val="24"/>
          <w14:ligatures w14:val="none"/>
        </w:rPr>
        <w:t xml:space="preserve">e written in </w:t>
      </w:r>
      <w:bookmarkStart w:id="0" w:name="_Int_brHMS6lD"/>
      <w:r w:rsidR="5C1B464C" w:rsidRPr="00A35266">
        <w:rPr>
          <w:rFonts w:ascii="Arial" w:eastAsia="Times New Roman" w:hAnsi="Arial" w:cs="Arial"/>
          <w:color w:val="000000"/>
          <w:kern w:val="0"/>
          <w:sz w:val="24"/>
          <w:szCs w:val="24"/>
          <w14:ligatures w14:val="none"/>
        </w:rPr>
        <w:t>language</w:t>
      </w:r>
      <w:bookmarkEnd w:id="0"/>
      <w:r w:rsidR="5C1B464C" w:rsidRPr="00A35266">
        <w:rPr>
          <w:rFonts w:ascii="Arial" w:eastAsia="Times New Roman" w:hAnsi="Arial" w:cs="Arial"/>
          <w:color w:val="000000"/>
          <w:kern w:val="0"/>
          <w:sz w:val="24"/>
          <w:szCs w:val="24"/>
          <w14:ligatures w14:val="none"/>
        </w:rPr>
        <w:t xml:space="preserve"> that is </w:t>
      </w:r>
      <w:r w:rsidR="00641816">
        <w:rPr>
          <w:rFonts w:ascii="Arial" w:eastAsia="Times New Roman" w:hAnsi="Arial" w:cs="Arial"/>
          <w:color w:val="000000"/>
          <w:kern w:val="0"/>
          <w:sz w:val="24"/>
          <w:szCs w:val="24"/>
          <w14:ligatures w14:val="none"/>
        </w:rPr>
        <w:t xml:space="preserve">consistent with California’s curriculum guidance and is </w:t>
      </w:r>
      <w:r w:rsidR="009F1CE8">
        <w:rPr>
          <w:rFonts w:ascii="Arial" w:eastAsia="Times New Roman" w:hAnsi="Arial" w:cs="Arial"/>
          <w:color w:val="000000"/>
          <w:kern w:val="0"/>
          <w:sz w:val="24"/>
          <w:szCs w:val="24"/>
          <w14:ligatures w14:val="none"/>
        </w:rPr>
        <w:t xml:space="preserve">accessible to </w:t>
      </w:r>
      <w:r w:rsidR="5C1B464C" w:rsidRPr="00A35266">
        <w:rPr>
          <w:rFonts w:ascii="Arial" w:eastAsia="Times New Roman" w:hAnsi="Arial" w:cs="Arial"/>
          <w:color w:val="000000"/>
          <w:kern w:val="0"/>
          <w:sz w:val="24"/>
          <w:szCs w:val="24"/>
          <w14:ligatures w14:val="none"/>
        </w:rPr>
        <w:t xml:space="preserve">multiple users, including </w:t>
      </w:r>
      <w:r w:rsidR="3367539C">
        <w:rPr>
          <w:rFonts w:ascii="Arial" w:eastAsia="Times New Roman" w:hAnsi="Arial" w:cs="Arial"/>
          <w:color w:val="000000"/>
          <w:kern w:val="0"/>
          <w:sz w:val="24"/>
          <w:szCs w:val="24"/>
          <w14:ligatures w14:val="none"/>
        </w:rPr>
        <w:t xml:space="preserve">high school </w:t>
      </w:r>
      <w:r w:rsidR="5C1B464C" w:rsidRPr="00A35266">
        <w:rPr>
          <w:rFonts w:ascii="Arial" w:eastAsia="Times New Roman" w:hAnsi="Arial" w:cs="Arial"/>
          <w:color w:val="000000"/>
          <w:kern w:val="0"/>
          <w:sz w:val="24"/>
          <w:szCs w:val="24"/>
          <w14:ligatures w14:val="none"/>
        </w:rPr>
        <w:t xml:space="preserve">teachers, support staff, administrators, </w:t>
      </w:r>
      <w:r w:rsidR="5ABB27E0" w:rsidRPr="00A35266">
        <w:rPr>
          <w:rFonts w:ascii="Arial" w:eastAsia="Times New Roman" w:hAnsi="Arial" w:cs="Arial"/>
          <w:color w:val="000000"/>
          <w:kern w:val="0"/>
          <w:sz w:val="24"/>
          <w:szCs w:val="24"/>
          <w14:ligatures w14:val="none"/>
        </w:rPr>
        <w:t>parents and guardians</w:t>
      </w:r>
      <w:r w:rsidR="007E3D90">
        <w:rPr>
          <w:rFonts w:ascii="Arial" w:eastAsia="Times New Roman" w:hAnsi="Arial" w:cs="Arial"/>
          <w:color w:val="000000"/>
          <w:kern w:val="0"/>
          <w:sz w:val="24"/>
          <w:szCs w:val="24"/>
          <w14:ligatures w14:val="none"/>
        </w:rPr>
        <w:t>,</w:t>
      </w:r>
      <w:r w:rsidR="5ABB27E0" w:rsidRPr="00A35266">
        <w:rPr>
          <w:rFonts w:ascii="Arial" w:eastAsia="Times New Roman" w:hAnsi="Arial" w:cs="Arial"/>
          <w:color w:val="000000"/>
          <w:kern w:val="0"/>
          <w:sz w:val="24"/>
          <w:szCs w:val="24"/>
          <w14:ligatures w14:val="none"/>
        </w:rPr>
        <w:t xml:space="preserve"> </w:t>
      </w:r>
      <w:r w:rsidR="5C1B464C" w:rsidRPr="00A35266">
        <w:rPr>
          <w:rFonts w:ascii="Arial" w:eastAsia="Times New Roman" w:hAnsi="Arial" w:cs="Arial"/>
          <w:color w:val="000000"/>
          <w:kern w:val="0"/>
          <w:sz w:val="24"/>
          <w:szCs w:val="24"/>
          <w14:ligatures w14:val="none"/>
        </w:rPr>
        <w:t xml:space="preserve">and the </w:t>
      </w:r>
      <w:r w:rsidR="02772BC8" w:rsidRPr="00A35266">
        <w:rPr>
          <w:rFonts w:ascii="Arial" w:eastAsia="Times New Roman" w:hAnsi="Arial" w:cs="Arial"/>
          <w:color w:val="000000"/>
          <w:kern w:val="0"/>
          <w:sz w:val="24"/>
          <w:szCs w:val="24"/>
          <w14:ligatures w14:val="none"/>
        </w:rPr>
        <w:t xml:space="preserve">larger </w:t>
      </w:r>
      <w:r w:rsidR="5C1B464C" w:rsidRPr="00A35266">
        <w:rPr>
          <w:rFonts w:ascii="Arial" w:eastAsia="Times New Roman" w:hAnsi="Arial" w:cs="Arial"/>
          <w:color w:val="000000"/>
          <w:kern w:val="0"/>
          <w:sz w:val="24"/>
          <w:szCs w:val="24"/>
          <w14:ligatures w14:val="none"/>
        </w:rPr>
        <w:t>community</w:t>
      </w:r>
      <w:r w:rsidR="007E3D90">
        <w:rPr>
          <w:rFonts w:ascii="Arial" w:eastAsia="Times New Roman" w:hAnsi="Arial" w:cs="Arial"/>
          <w:color w:val="000000"/>
          <w:kern w:val="0"/>
          <w:sz w:val="24"/>
          <w:szCs w:val="24"/>
          <w14:ligatures w14:val="none"/>
        </w:rPr>
        <w:t xml:space="preserve"> of interest holders</w:t>
      </w:r>
      <w:r w:rsidR="009F1CE8">
        <w:rPr>
          <w:rFonts w:ascii="Arial" w:eastAsia="Times New Roman" w:hAnsi="Arial" w:cs="Arial"/>
          <w:color w:val="000000"/>
          <w:kern w:val="0"/>
          <w:sz w:val="24"/>
          <w:szCs w:val="24"/>
          <w14:ligatures w14:val="none"/>
        </w:rPr>
        <w:t xml:space="preserve">; and </w:t>
      </w:r>
    </w:p>
    <w:p w14:paraId="764EE4E1" w14:textId="06711D84" w:rsidR="009F1CE8" w:rsidRPr="00A35266" w:rsidRDefault="009F1CE8" w:rsidP="008E5B25">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 xml:space="preserve">be consistent with all applicable statutes and regulations and be appropriate for use with pupils of all races, religions, nationalities, genders, sexual orientations, and diverse ethnic and cultural backgrounds; pupils with disabilities; and English learners and not include any content that would subject a pupil to unlawful discrimination pursuant to </w:t>
      </w:r>
      <w:r w:rsidRPr="0009090D">
        <w:rPr>
          <w:rFonts w:ascii="Arial" w:eastAsia="Times New Roman" w:hAnsi="Arial" w:cs="Arial"/>
          <w:i/>
          <w:iCs/>
          <w:color w:val="000000"/>
          <w:kern w:val="0"/>
          <w:sz w:val="24"/>
          <w:szCs w:val="24"/>
          <w14:ligatures w14:val="none"/>
        </w:rPr>
        <w:t>EC</w:t>
      </w:r>
      <w:r w:rsidR="009165D5">
        <w:rPr>
          <w:rFonts w:ascii="Arial" w:eastAsia="Times New Roman" w:hAnsi="Arial" w:cs="Arial"/>
          <w:color w:val="000000"/>
          <w:kern w:val="0"/>
          <w:sz w:val="24"/>
          <w:szCs w:val="24"/>
          <w14:ligatures w14:val="none"/>
        </w:rPr>
        <w:t> </w:t>
      </w:r>
      <w:r>
        <w:rPr>
          <w:rFonts w:ascii="Arial" w:eastAsia="Times New Roman" w:hAnsi="Arial" w:cs="Arial"/>
          <w:color w:val="000000"/>
          <w:kern w:val="0"/>
          <w:sz w:val="24"/>
          <w:szCs w:val="24"/>
          <w14:ligatures w14:val="none"/>
        </w:rPr>
        <w:t>Section 220.</w:t>
      </w:r>
    </w:p>
    <w:p w14:paraId="5D8AB0A3" w14:textId="65F14AC1" w:rsidR="005D4175" w:rsidRPr="00267BCD" w:rsidRDefault="005D4175" w:rsidP="007927D6">
      <w:pPr>
        <w:pStyle w:val="Heading2"/>
      </w:pPr>
      <w:r w:rsidRPr="00A35266">
        <w:t>Audience. Th</w:t>
      </w:r>
      <w:r>
        <w:t xml:space="preserve">e Personal Finance </w:t>
      </w:r>
      <w:r w:rsidRPr="00A35266">
        <w:t xml:space="preserve">Curriculum </w:t>
      </w:r>
      <w:r>
        <w:t xml:space="preserve">Guide </w:t>
      </w:r>
      <w:r w:rsidRPr="00A35266">
        <w:t>shall</w:t>
      </w:r>
    </w:p>
    <w:p w14:paraId="7AE952B3" w14:textId="3340ACB7" w:rsidR="009165D5" w:rsidRDefault="008E5B25"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p</w:t>
      </w:r>
      <w:r w:rsidR="6DF6F635" w:rsidRPr="00A35266">
        <w:rPr>
          <w:rFonts w:ascii="Arial" w:eastAsia="Times New Roman" w:hAnsi="Arial" w:cs="Arial"/>
          <w:color w:val="000000"/>
          <w:kern w:val="0"/>
          <w:sz w:val="24"/>
          <w:szCs w:val="24"/>
          <w14:ligatures w14:val="none"/>
        </w:rPr>
        <w:t xml:space="preserve">rovide guidance </w:t>
      </w:r>
      <w:r w:rsidR="102EEDA4" w:rsidRPr="00A35266">
        <w:rPr>
          <w:rFonts w:ascii="Arial" w:eastAsia="Times New Roman" w:hAnsi="Arial" w:cs="Arial"/>
          <w:color w:val="000000"/>
          <w:kern w:val="0"/>
          <w:sz w:val="24"/>
          <w:szCs w:val="24"/>
          <w14:ligatures w14:val="none"/>
        </w:rPr>
        <w:t xml:space="preserve">sensitive to the needs of </w:t>
      </w:r>
      <w:r w:rsidR="102EEDA4">
        <w:rPr>
          <w:rFonts w:ascii="Arial" w:eastAsia="Times New Roman" w:hAnsi="Arial" w:cs="Arial"/>
          <w:color w:val="000000"/>
          <w:kern w:val="0"/>
          <w:sz w:val="24"/>
          <w:szCs w:val="24"/>
          <w14:ligatures w14:val="none"/>
        </w:rPr>
        <w:t xml:space="preserve">teachers </w:t>
      </w:r>
      <w:r w:rsidR="3B25E126">
        <w:rPr>
          <w:rFonts w:ascii="Arial" w:eastAsia="Times New Roman" w:hAnsi="Arial" w:cs="Arial"/>
          <w:color w:val="000000"/>
          <w:kern w:val="0"/>
          <w:sz w:val="24"/>
          <w:szCs w:val="24"/>
          <w14:ligatures w14:val="none"/>
        </w:rPr>
        <w:t>with</w:t>
      </w:r>
      <w:r w:rsidR="102EEDA4">
        <w:rPr>
          <w:rFonts w:ascii="Arial" w:eastAsia="Times New Roman" w:hAnsi="Arial" w:cs="Arial"/>
          <w:color w:val="000000"/>
          <w:kern w:val="0"/>
          <w:sz w:val="24"/>
          <w:szCs w:val="24"/>
          <w14:ligatures w14:val="none"/>
        </w:rPr>
        <w:t xml:space="preserve"> various content area</w:t>
      </w:r>
      <w:r w:rsidR="11CE46DB">
        <w:rPr>
          <w:rFonts w:ascii="Arial" w:eastAsia="Times New Roman" w:hAnsi="Arial" w:cs="Arial"/>
          <w:color w:val="000000"/>
          <w:kern w:val="0"/>
          <w:sz w:val="24"/>
          <w:szCs w:val="24"/>
          <w14:ligatures w14:val="none"/>
        </w:rPr>
        <w:t xml:space="preserve"> expertise and teaching </w:t>
      </w:r>
      <w:r w:rsidR="102EEDA4">
        <w:rPr>
          <w:rFonts w:ascii="Arial" w:eastAsia="Times New Roman" w:hAnsi="Arial" w:cs="Arial"/>
          <w:color w:val="000000"/>
          <w:kern w:val="0"/>
          <w:sz w:val="24"/>
          <w:szCs w:val="24"/>
          <w14:ligatures w14:val="none"/>
        </w:rPr>
        <w:t xml:space="preserve">various grade </w:t>
      </w:r>
      <w:proofErr w:type="gramStart"/>
      <w:r w:rsidR="102EEDA4">
        <w:rPr>
          <w:rFonts w:ascii="Arial" w:eastAsia="Times New Roman" w:hAnsi="Arial" w:cs="Arial"/>
          <w:color w:val="000000"/>
          <w:kern w:val="0"/>
          <w:sz w:val="24"/>
          <w:szCs w:val="24"/>
          <w14:ligatures w14:val="none"/>
        </w:rPr>
        <w:t>levels</w:t>
      </w:r>
      <w:r>
        <w:rPr>
          <w:rFonts w:ascii="Arial" w:eastAsia="Times New Roman" w:hAnsi="Arial" w:cs="Arial"/>
          <w:color w:val="000000"/>
          <w:kern w:val="0"/>
          <w:sz w:val="24"/>
          <w:szCs w:val="24"/>
          <w14:ligatures w14:val="none"/>
        </w:rPr>
        <w:t>;</w:t>
      </w:r>
      <w:proofErr w:type="gramEnd"/>
    </w:p>
    <w:p w14:paraId="2CA7442B" w14:textId="1F5A01AB" w:rsidR="005D4175" w:rsidRDefault="009165D5"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o</w:t>
      </w:r>
      <w:r w:rsidRPr="00BB218C">
        <w:rPr>
          <w:rFonts w:ascii="Arial" w:eastAsia="Times New Roman" w:hAnsi="Arial" w:cs="Arial"/>
          <w:color w:val="000000"/>
          <w:kern w:val="0"/>
          <w:sz w:val="24"/>
          <w:szCs w:val="24"/>
          <w14:ligatures w14:val="none"/>
        </w:rPr>
        <w:t xml:space="preserve">ffer guidance on the qualifications and credentials required for educators to teach a personal finance course, consistent with </w:t>
      </w:r>
      <w:r w:rsidRPr="00BB218C">
        <w:rPr>
          <w:rFonts w:ascii="Arial" w:eastAsia="Times New Roman" w:hAnsi="Arial" w:cs="Arial"/>
          <w:i/>
          <w:iCs/>
          <w:color w:val="000000"/>
          <w:kern w:val="0"/>
          <w:sz w:val="24"/>
          <w:szCs w:val="24"/>
          <w14:ligatures w14:val="none"/>
        </w:rPr>
        <w:t>EC</w:t>
      </w:r>
      <w:r w:rsidRPr="00BB218C">
        <w:rPr>
          <w:rFonts w:ascii="Arial" w:eastAsia="Times New Roman" w:hAnsi="Arial" w:cs="Arial"/>
          <w:color w:val="000000"/>
          <w:kern w:val="0"/>
          <w:sz w:val="24"/>
          <w:szCs w:val="24"/>
          <w14:ligatures w14:val="none"/>
        </w:rPr>
        <w:t xml:space="preserve"> Section 44257</w:t>
      </w:r>
      <w:r>
        <w:rPr>
          <w:rFonts w:ascii="Arial" w:eastAsia="Times New Roman" w:hAnsi="Arial" w:cs="Arial"/>
          <w:color w:val="000000"/>
          <w:kern w:val="0"/>
          <w:sz w:val="24"/>
          <w:szCs w:val="24"/>
          <w14:ligatures w14:val="none"/>
        </w:rPr>
        <w:t xml:space="preserve">; </w:t>
      </w:r>
      <w:r w:rsidR="008E5B25">
        <w:rPr>
          <w:rFonts w:ascii="Arial" w:eastAsia="Times New Roman" w:hAnsi="Arial" w:cs="Arial"/>
          <w:color w:val="000000"/>
          <w:kern w:val="0"/>
          <w:sz w:val="24"/>
          <w:szCs w:val="24"/>
          <w14:ligatures w14:val="none"/>
        </w:rPr>
        <w:t>and</w:t>
      </w:r>
    </w:p>
    <w:p w14:paraId="2678626F" w14:textId="7DEE6E82" w:rsidR="00A35266" w:rsidRPr="009C1782" w:rsidRDefault="008E5B25"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i</w:t>
      </w:r>
      <w:r w:rsidR="005D4175" w:rsidRPr="009C1782">
        <w:rPr>
          <w:rFonts w:ascii="Arial" w:eastAsia="Times New Roman" w:hAnsi="Arial" w:cs="Arial"/>
          <w:color w:val="000000"/>
          <w:kern w:val="0"/>
          <w:sz w:val="24"/>
          <w:szCs w:val="24"/>
          <w14:ligatures w14:val="none"/>
        </w:rPr>
        <w:t>nclude strategies that will allow access to the course content for all students, including students with disabilities, multilingual learners, and students in a range of socio-economic levels.</w:t>
      </w:r>
    </w:p>
    <w:p w14:paraId="6A6ABF0E" w14:textId="3F126AD6" w:rsidR="00A35266" w:rsidRPr="009C1782" w:rsidRDefault="00A35266" w:rsidP="007927D6">
      <w:pPr>
        <w:pStyle w:val="Heading2"/>
      </w:pPr>
      <w:r w:rsidRPr="009C1782">
        <w:t xml:space="preserve">Administrative and Teacher Support. </w:t>
      </w:r>
      <w:r w:rsidR="00552917" w:rsidRPr="009C1782">
        <w:t>The Personal Finance Curriculum Guide shall</w:t>
      </w:r>
    </w:p>
    <w:p w14:paraId="4FEE0E5B" w14:textId="182A29C4" w:rsidR="00A35266" w:rsidRDefault="009165D5"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b</w:t>
      </w:r>
      <w:r w:rsidRPr="00BB218C">
        <w:rPr>
          <w:rFonts w:ascii="Arial" w:eastAsia="Times New Roman" w:hAnsi="Arial" w:cs="Arial"/>
          <w:color w:val="000000"/>
          <w:kern w:val="0"/>
          <w:sz w:val="24"/>
          <w:szCs w:val="24"/>
          <w14:ligatures w14:val="none"/>
        </w:rPr>
        <w:t xml:space="preserve">e easy to use for teachers both with and without educational backgrounds in personal finance, and for those credentialed in the various content areas included in </w:t>
      </w:r>
      <w:r w:rsidRPr="00BB218C">
        <w:rPr>
          <w:rFonts w:ascii="Arial" w:eastAsia="Times New Roman" w:hAnsi="Arial" w:cs="Arial"/>
          <w:i/>
          <w:iCs/>
          <w:color w:val="000000"/>
          <w:kern w:val="0"/>
          <w:sz w:val="24"/>
          <w:szCs w:val="24"/>
          <w14:ligatures w14:val="none"/>
        </w:rPr>
        <w:t>EC</w:t>
      </w:r>
      <w:r w:rsidRPr="00BB218C">
        <w:rPr>
          <w:rFonts w:ascii="Arial" w:eastAsia="Times New Roman" w:hAnsi="Arial" w:cs="Arial"/>
          <w:color w:val="000000"/>
          <w:kern w:val="0"/>
          <w:sz w:val="24"/>
          <w:szCs w:val="24"/>
          <w14:ligatures w14:val="none"/>
        </w:rPr>
        <w:t xml:space="preserve"> Section </w:t>
      </w:r>
      <w:proofErr w:type="gramStart"/>
      <w:r w:rsidRPr="00BB218C">
        <w:rPr>
          <w:rFonts w:ascii="Arial" w:eastAsia="Times New Roman" w:hAnsi="Arial" w:cs="Arial"/>
          <w:color w:val="000000"/>
          <w:kern w:val="0"/>
          <w:sz w:val="24"/>
          <w:szCs w:val="24"/>
          <w14:ligatures w14:val="none"/>
        </w:rPr>
        <w:t>44257</w:t>
      </w:r>
      <w:r w:rsidR="008E5B25">
        <w:rPr>
          <w:rFonts w:ascii="Arial" w:eastAsia="Times New Roman" w:hAnsi="Arial" w:cs="Arial"/>
          <w:color w:val="000000"/>
          <w:kern w:val="0"/>
          <w:sz w:val="24"/>
          <w:szCs w:val="24"/>
          <w14:ligatures w14:val="none"/>
        </w:rPr>
        <w:t>;</w:t>
      </w:r>
      <w:proofErr w:type="gramEnd"/>
    </w:p>
    <w:p w14:paraId="6CA6B831" w14:textId="50ADBDA7" w:rsidR="003D096F" w:rsidRPr="009C1782" w:rsidRDefault="003D096F"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d</w:t>
      </w:r>
      <w:r w:rsidRPr="00BB218C">
        <w:rPr>
          <w:rFonts w:ascii="Arial" w:eastAsia="Times New Roman" w:hAnsi="Arial" w:cs="Arial"/>
          <w:color w:val="000000"/>
          <w:kern w:val="0"/>
          <w:sz w:val="24"/>
          <w:szCs w:val="24"/>
          <w14:ligatures w14:val="none"/>
        </w:rPr>
        <w:t xml:space="preserve">raw upon the National Standards for Personal Finance Education as well as curricular materials posted on the CDE website and those adopted by local educational agencies in California and in other </w:t>
      </w:r>
      <w:proofErr w:type="gramStart"/>
      <w:r w:rsidRPr="00BB218C">
        <w:rPr>
          <w:rFonts w:ascii="Arial" w:eastAsia="Times New Roman" w:hAnsi="Arial" w:cs="Arial"/>
          <w:color w:val="000000"/>
          <w:kern w:val="0"/>
          <w:sz w:val="24"/>
          <w:szCs w:val="24"/>
          <w14:ligatures w14:val="none"/>
        </w:rPr>
        <w:t>states</w:t>
      </w:r>
      <w:r>
        <w:rPr>
          <w:rFonts w:ascii="Arial" w:eastAsia="Times New Roman" w:hAnsi="Arial" w:cs="Arial"/>
          <w:color w:val="000000"/>
          <w:kern w:val="0"/>
          <w:sz w:val="24"/>
          <w:szCs w:val="24"/>
          <w14:ligatures w14:val="none"/>
        </w:rPr>
        <w:t>;</w:t>
      </w:r>
      <w:proofErr w:type="gramEnd"/>
    </w:p>
    <w:p w14:paraId="2B2C5B5E" w14:textId="4631BF43" w:rsidR="00A35266" w:rsidRPr="009C1782" w:rsidRDefault="00666A81"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lastRenderedPageBreak/>
        <w:t>p</w:t>
      </w:r>
      <w:r w:rsidR="5C1B464C" w:rsidRPr="009C1782">
        <w:rPr>
          <w:rFonts w:ascii="Arial" w:eastAsia="Times New Roman" w:hAnsi="Arial" w:cs="Arial"/>
          <w:color w:val="000000"/>
          <w:kern w:val="0"/>
          <w:sz w:val="24"/>
          <w:szCs w:val="24"/>
          <w14:ligatures w14:val="none"/>
        </w:rPr>
        <w:t>rovide examples of different methods of instruction and pedagogical approaches</w:t>
      </w:r>
      <w:r w:rsidR="72961234" w:rsidRPr="009C1782">
        <w:rPr>
          <w:rFonts w:ascii="Arial" w:eastAsia="Times New Roman" w:hAnsi="Arial" w:cs="Arial"/>
          <w:color w:val="000000"/>
          <w:kern w:val="0"/>
          <w:sz w:val="24"/>
          <w:szCs w:val="24"/>
          <w14:ligatures w14:val="none"/>
        </w:rPr>
        <w:t xml:space="preserve"> (e.g.</w:t>
      </w:r>
      <w:r>
        <w:rPr>
          <w:rFonts w:ascii="Arial" w:eastAsia="Times New Roman" w:hAnsi="Arial" w:cs="Arial"/>
          <w:color w:val="000000"/>
          <w:kern w:val="0"/>
          <w:sz w:val="24"/>
          <w:szCs w:val="24"/>
          <w14:ligatures w14:val="none"/>
        </w:rPr>
        <w:t>,</w:t>
      </w:r>
      <w:r w:rsidR="72961234" w:rsidRPr="009C1782">
        <w:rPr>
          <w:rFonts w:ascii="Arial" w:eastAsia="Times New Roman" w:hAnsi="Arial" w:cs="Arial"/>
          <w:color w:val="000000"/>
          <w:kern w:val="0"/>
          <w:sz w:val="24"/>
          <w:szCs w:val="24"/>
          <w14:ligatures w14:val="none"/>
        </w:rPr>
        <w:t xml:space="preserve"> real</w:t>
      </w:r>
      <w:r w:rsidR="599D363C" w:rsidRPr="009C1782">
        <w:rPr>
          <w:rFonts w:ascii="Arial" w:eastAsia="Times New Roman" w:hAnsi="Arial" w:cs="Arial"/>
          <w:color w:val="000000"/>
          <w:kern w:val="0"/>
          <w:sz w:val="24"/>
          <w:szCs w:val="24"/>
          <w14:ligatures w14:val="none"/>
        </w:rPr>
        <w:t>-</w:t>
      </w:r>
      <w:r w:rsidR="72961234" w:rsidRPr="009C1782">
        <w:rPr>
          <w:rFonts w:ascii="Arial" w:eastAsia="Times New Roman" w:hAnsi="Arial" w:cs="Arial"/>
          <w:color w:val="000000"/>
          <w:kern w:val="0"/>
          <w:sz w:val="24"/>
          <w:szCs w:val="24"/>
          <w14:ligatures w14:val="none"/>
        </w:rPr>
        <w:t>world scenarios, project-based learning, case studies, multimedia resources, guest speakers, etc.</w:t>
      </w:r>
      <w:proofErr w:type="gramStart"/>
      <w:r w:rsidR="72961234" w:rsidRPr="009C1782">
        <w:rPr>
          <w:rFonts w:ascii="Arial" w:eastAsia="Times New Roman" w:hAnsi="Arial" w:cs="Arial"/>
          <w:color w:val="000000"/>
          <w:kern w:val="0"/>
          <w:sz w:val="24"/>
          <w:szCs w:val="24"/>
          <w14:ligatures w14:val="none"/>
        </w:rPr>
        <w:t>)</w:t>
      </w:r>
      <w:r w:rsidR="008E5B25">
        <w:rPr>
          <w:rFonts w:ascii="Arial" w:eastAsia="Times New Roman" w:hAnsi="Arial" w:cs="Arial"/>
          <w:color w:val="000000"/>
          <w:kern w:val="0"/>
          <w:sz w:val="24"/>
          <w:szCs w:val="24"/>
          <w14:ligatures w14:val="none"/>
        </w:rPr>
        <w:t>;</w:t>
      </w:r>
      <w:proofErr w:type="gramEnd"/>
    </w:p>
    <w:p w14:paraId="68E119BA" w14:textId="2F740B37" w:rsidR="00426CC5" w:rsidRPr="009C1782" w:rsidRDefault="00666A81"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h</w:t>
      </w:r>
      <w:r w:rsidR="00426CC5" w:rsidRPr="009C1782">
        <w:rPr>
          <w:rFonts w:ascii="Arial" w:eastAsia="Times New Roman" w:hAnsi="Arial" w:cs="Arial"/>
          <w:color w:val="000000"/>
          <w:kern w:val="0"/>
          <w:sz w:val="24"/>
          <w:szCs w:val="24"/>
          <w14:ligatures w14:val="none"/>
        </w:rPr>
        <w:t xml:space="preserve">ighlight successful examples of personal finance education from various schools and districts to guide administrators in implementing similar </w:t>
      </w:r>
      <w:proofErr w:type="gramStart"/>
      <w:r w:rsidR="00426CC5" w:rsidRPr="009C1782">
        <w:rPr>
          <w:rFonts w:ascii="Arial" w:eastAsia="Times New Roman" w:hAnsi="Arial" w:cs="Arial"/>
          <w:color w:val="000000"/>
          <w:kern w:val="0"/>
          <w:sz w:val="24"/>
          <w:szCs w:val="24"/>
          <w14:ligatures w14:val="none"/>
        </w:rPr>
        <w:t>programs</w:t>
      </w:r>
      <w:r w:rsidR="008E5B25">
        <w:rPr>
          <w:rFonts w:ascii="Arial" w:eastAsia="Times New Roman" w:hAnsi="Arial" w:cs="Arial"/>
          <w:color w:val="000000"/>
          <w:kern w:val="0"/>
          <w:sz w:val="24"/>
          <w:szCs w:val="24"/>
          <w14:ligatures w14:val="none"/>
        </w:rPr>
        <w:t>;</w:t>
      </w:r>
      <w:proofErr w:type="gramEnd"/>
    </w:p>
    <w:p w14:paraId="5592E3FE" w14:textId="31A17FD5" w:rsidR="00AF5FD1" w:rsidRPr="009C1782" w:rsidRDefault="00666A81"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i</w:t>
      </w:r>
      <w:r w:rsidR="711C7BA2" w:rsidRPr="009C1782">
        <w:rPr>
          <w:rFonts w:ascii="Arial" w:eastAsia="Times New Roman" w:hAnsi="Arial" w:cs="Arial"/>
          <w:color w:val="000000"/>
          <w:kern w:val="0"/>
          <w:sz w:val="24"/>
          <w:szCs w:val="24"/>
          <w14:ligatures w14:val="none"/>
        </w:rPr>
        <w:t>nclude strategies for effectively engaging with students, parents, and communities (e.g., community partnerships, personal finance town halls, informational flyers, showcase events, social media leveraging</w:t>
      </w:r>
      <w:proofErr w:type="gramStart"/>
      <w:r w:rsidR="711C7BA2" w:rsidRPr="009C1782">
        <w:rPr>
          <w:rFonts w:ascii="Arial" w:eastAsia="Times New Roman" w:hAnsi="Arial" w:cs="Arial"/>
          <w:color w:val="000000"/>
          <w:kern w:val="0"/>
          <w:sz w:val="24"/>
          <w:szCs w:val="24"/>
          <w14:ligatures w14:val="none"/>
        </w:rPr>
        <w:t>)</w:t>
      </w:r>
      <w:r w:rsidR="008E5B25">
        <w:rPr>
          <w:rFonts w:ascii="Arial" w:eastAsia="Times New Roman" w:hAnsi="Arial" w:cs="Arial"/>
          <w:color w:val="000000"/>
          <w:kern w:val="0"/>
          <w:sz w:val="24"/>
          <w:szCs w:val="24"/>
          <w14:ligatures w14:val="none"/>
        </w:rPr>
        <w:t>;</w:t>
      </w:r>
      <w:proofErr w:type="gramEnd"/>
    </w:p>
    <w:p w14:paraId="2C73CBF4" w14:textId="0FAB661C" w:rsidR="00814B2A" w:rsidRPr="009C1782" w:rsidRDefault="00666A81"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e</w:t>
      </w:r>
      <w:r w:rsidR="0013736B" w:rsidRPr="009C1782">
        <w:rPr>
          <w:rFonts w:ascii="Arial" w:eastAsia="Times New Roman" w:hAnsi="Arial" w:cs="Arial"/>
          <w:color w:val="000000"/>
          <w:kern w:val="0"/>
          <w:sz w:val="24"/>
          <w:szCs w:val="24"/>
          <w14:ligatures w14:val="none"/>
        </w:rPr>
        <w:t xml:space="preserve">ncourage scheduling strategies that would allow interested middle school students to take personal finance courses on their own campuses or </w:t>
      </w:r>
      <w:r w:rsidR="00267BCD" w:rsidRPr="009C1782">
        <w:rPr>
          <w:rFonts w:ascii="Arial" w:eastAsia="Times New Roman" w:hAnsi="Arial" w:cs="Arial"/>
          <w:color w:val="000000"/>
          <w:kern w:val="0"/>
          <w:sz w:val="24"/>
          <w:szCs w:val="24"/>
          <w14:ligatures w14:val="none"/>
        </w:rPr>
        <w:t xml:space="preserve">to accelerate to a high school level </w:t>
      </w:r>
      <w:proofErr w:type="gramStart"/>
      <w:r w:rsidR="00267BCD" w:rsidRPr="009C1782">
        <w:rPr>
          <w:rFonts w:ascii="Arial" w:eastAsia="Times New Roman" w:hAnsi="Arial" w:cs="Arial"/>
          <w:color w:val="000000"/>
          <w:kern w:val="0"/>
          <w:sz w:val="24"/>
          <w:szCs w:val="24"/>
          <w14:ligatures w14:val="none"/>
        </w:rPr>
        <w:t>course</w:t>
      </w:r>
      <w:r w:rsidR="008E5B25">
        <w:rPr>
          <w:rFonts w:ascii="Arial" w:eastAsia="Times New Roman" w:hAnsi="Arial" w:cs="Arial"/>
          <w:color w:val="000000"/>
          <w:kern w:val="0"/>
          <w:sz w:val="24"/>
          <w:szCs w:val="24"/>
          <w14:ligatures w14:val="none"/>
        </w:rPr>
        <w:t>;</w:t>
      </w:r>
      <w:proofErr w:type="gramEnd"/>
    </w:p>
    <w:p w14:paraId="20BF4966" w14:textId="65D165D6" w:rsidR="00814B2A" w:rsidRPr="009C1782" w:rsidRDefault="00666A81"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i</w:t>
      </w:r>
      <w:r w:rsidR="599D363C" w:rsidRPr="009C1782">
        <w:rPr>
          <w:rFonts w:ascii="Arial" w:eastAsia="Times New Roman" w:hAnsi="Arial" w:cs="Arial"/>
          <w:color w:val="000000"/>
          <w:kern w:val="0"/>
          <w:sz w:val="24"/>
          <w:szCs w:val="24"/>
          <w14:ligatures w14:val="none"/>
        </w:rPr>
        <w:t xml:space="preserve">nclude examples of </w:t>
      </w:r>
      <w:r w:rsidR="0EBFF9CD" w:rsidRPr="009C1782">
        <w:rPr>
          <w:rFonts w:ascii="Arial" w:eastAsia="Times New Roman" w:hAnsi="Arial" w:cs="Arial"/>
          <w:color w:val="000000"/>
          <w:kern w:val="0"/>
          <w:sz w:val="24"/>
          <w:szCs w:val="24"/>
          <w14:ligatures w14:val="none"/>
        </w:rPr>
        <w:t>high</w:t>
      </w:r>
      <w:r w:rsidR="007E5D37" w:rsidRPr="009C1782">
        <w:rPr>
          <w:rFonts w:ascii="Arial" w:eastAsia="Times New Roman" w:hAnsi="Arial" w:cs="Arial"/>
          <w:color w:val="000000"/>
          <w:kern w:val="0"/>
          <w:sz w:val="24"/>
          <w:szCs w:val="24"/>
          <w14:ligatures w14:val="none"/>
        </w:rPr>
        <w:t>-</w:t>
      </w:r>
      <w:r w:rsidR="0EBFF9CD" w:rsidRPr="009C1782">
        <w:rPr>
          <w:rFonts w:ascii="Arial" w:eastAsia="Times New Roman" w:hAnsi="Arial" w:cs="Arial"/>
          <w:color w:val="000000"/>
          <w:kern w:val="0"/>
          <w:sz w:val="24"/>
          <w:szCs w:val="24"/>
          <w14:ligatures w14:val="none"/>
        </w:rPr>
        <w:t>quality, publicly available</w:t>
      </w:r>
      <w:r w:rsidR="599D363C" w:rsidRPr="009C1782">
        <w:rPr>
          <w:rFonts w:ascii="Arial" w:eastAsia="Times New Roman" w:hAnsi="Arial" w:cs="Arial"/>
          <w:color w:val="000000"/>
          <w:kern w:val="0"/>
          <w:sz w:val="24"/>
          <w:szCs w:val="24"/>
          <w14:ligatures w14:val="none"/>
        </w:rPr>
        <w:t xml:space="preserve"> resources for instruction (e.g., lesson plans, curricula, and other resources) that are currently being used in schools and that are provided at no cost</w:t>
      </w:r>
      <w:r w:rsidR="008E5B25">
        <w:rPr>
          <w:rFonts w:ascii="Arial" w:eastAsia="Times New Roman" w:hAnsi="Arial" w:cs="Arial"/>
          <w:color w:val="000000"/>
          <w:kern w:val="0"/>
          <w:sz w:val="24"/>
          <w:szCs w:val="24"/>
          <w14:ligatures w14:val="none"/>
        </w:rPr>
        <w:t>; and</w:t>
      </w:r>
    </w:p>
    <w:p w14:paraId="656F97B5" w14:textId="09D40BDB" w:rsidR="00814B2A" w:rsidRPr="009C1782" w:rsidRDefault="00666A81"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i</w:t>
      </w:r>
      <w:r w:rsidR="00814B2A" w:rsidRPr="009C1782">
        <w:rPr>
          <w:rFonts w:ascii="Arial" w:eastAsia="Times New Roman" w:hAnsi="Arial" w:cs="Arial"/>
          <w:color w:val="000000"/>
          <w:kern w:val="0"/>
          <w:sz w:val="24"/>
          <w:szCs w:val="24"/>
          <w14:ligatures w14:val="none"/>
        </w:rPr>
        <w:t>nclude examples of currently available professional development resources and encourage teachers and administrators to pursue professional learning opportunities to stay current with personal finance trends and effective teaching strategies.</w:t>
      </w:r>
    </w:p>
    <w:p w14:paraId="54501637" w14:textId="26D785D6" w:rsidR="005D4175" w:rsidRPr="009C1782" w:rsidRDefault="005D4175" w:rsidP="007927D6">
      <w:pPr>
        <w:pStyle w:val="Heading2"/>
      </w:pPr>
      <w:r w:rsidRPr="009C1782">
        <w:t>Course Outlines. The Personal Finance Curriculum Guide shall</w:t>
      </w:r>
    </w:p>
    <w:p w14:paraId="408E6D9F" w14:textId="5F4A2BF9" w:rsidR="005D4175" w:rsidRPr="009C1782" w:rsidRDefault="00666A81"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i</w:t>
      </w:r>
      <w:r w:rsidR="102EEDA4" w:rsidRPr="009C1782">
        <w:rPr>
          <w:rFonts w:ascii="Arial" w:eastAsia="Times New Roman" w:hAnsi="Arial" w:cs="Arial"/>
          <w:color w:val="000000"/>
          <w:kern w:val="0"/>
          <w:sz w:val="24"/>
          <w:szCs w:val="24"/>
          <w14:ligatures w14:val="none"/>
        </w:rPr>
        <w:t>nclude outlines of personal finance courses currently being taught in California</w:t>
      </w:r>
      <w:r w:rsidR="00404D3F">
        <w:rPr>
          <w:rFonts w:ascii="Arial" w:eastAsia="Times New Roman" w:hAnsi="Arial" w:cs="Arial"/>
          <w:color w:val="000000"/>
          <w:kern w:val="0"/>
          <w:sz w:val="24"/>
          <w:szCs w:val="24"/>
          <w14:ligatures w14:val="none"/>
        </w:rPr>
        <w:t xml:space="preserve"> kindergarten through grade twelve</w:t>
      </w:r>
      <w:r w:rsidR="007E3D90" w:rsidRPr="009C1782">
        <w:rPr>
          <w:rFonts w:ascii="Arial" w:eastAsia="Times New Roman" w:hAnsi="Arial" w:cs="Arial"/>
          <w:color w:val="000000"/>
          <w:kern w:val="0"/>
          <w:sz w:val="24"/>
          <w:szCs w:val="24"/>
          <w14:ligatures w14:val="none"/>
        </w:rPr>
        <w:t xml:space="preserve"> schools</w:t>
      </w:r>
      <w:r w:rsidR="102EEDA4" w:rsidRPr="009C1782">
        <w:rPr>
          <w:rFonts w:ascii="Arial" w:eastAsia="Times New Roman" w:hAnsi="Arial" w:cs="Arial"/>
          <w:color w:val="000000"/>
          <w:kern w:val="0"/>
          <w:sz w:val="24"/>
          <w:szCs w:val="24"/>
          <w14:ligatures w14:val="none"/>
        </w:rPr>
        <w:t xml:space="preserve"> to serve as examples for school districts and teachers</w:t>
      </w:r>
      <w:r>
        <w:rPr>
          <w:rFonts w:ascii="Arial" w:eastAsia="Times New Roman" w:hAnsi="Arial" w:cs="Arial"/>
          <w:color w:val="000000"/>
          <w:kern w:val="0"/>
          <w:sz w:val="24"/>
          <w:szCs w:val="24"/>
          <w14:ligatures w14:val="none"/>
        </w:rPr>
        <w:t>; and</w:t>
      </w:r>
    </w:p>
    <w:p w14:paraId="768D2254" w14:textId="7A9C3C6F" w:rsidR="005D4175" w:rsidRPr="009C1782" w:rsidRDefault="00404D3F" w:rsidP="00377716">
      <w:pPr>
        <w:numPr>
          <w:ilvl w:val="1"/>
          <w:numId w:val="1"/>
        </w:numPr>
        <w:spacing w:after="240" w:line="240" w:lineRule="auto"/>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p</w:t>
      </w:r>
      <w:r w:rsidR="569B9779" w:rsidRPr="009C1782">
        <w:rPr>
          <w:rFonts w:ascii="Arial" w:eastAsia="Times New Roman" w:hAnsi="Arial" w:cs="Arial"/>
          <w:color w:val="000000"/>
          <w:kern w:val="0"/>
          <w:sz w:val="24"/>
          <w:szCs w:val="24"/>
          <w14:ligatures w14:val="none"/>
        </w:rPr>
        <w:t xml:space="preserve">rovide examples of </w:t>
      </w:r>
      <w:r w:rsidR="102EEDA4" w:rsidRPr="009C1782">
        <w:rPr>
          <w:rFonts w:ascii="Arial" w:eastAsia="Times New Roman" w:hAnsi="Arial" w:cs="Arial"/>
          <w:color w:val="000000"/>
          <w:kern w:val="0"/>
          <w:sz w:val="24"/>
          <w:szCs w:val="24"/>
          <w14:ligatures w14:val="none"/>
        </w:rPr>
        <w:t>how a personal finance course can be designed to meet the University of California’s A</w:t>
      </w:r>
      <w:r w:rsidR="102EEDA4" w:rsidRPr="009C1782">
        <w:t xml:space="preserve"> </w:t>
      </w:r>
      <w:r w:rsidR="102EEDA4" w:rsidRPr="009C1782">
        <w:rPr>
          <w:rFonts w:ascii="Arial" w:eastAsia="Times New Roman" w:hAnsi="Arial" w:cs="Arial"/>
          <w:color w:val="000000"/>
          <w:kern w:val="0"/>
          <w:sz w:val="24"/>
          <w:szCs w:val="24"/>
          <w14:ligatures w14:val="none"/>
        </w:rPr>
        <w:t>–G requirements.</w:t>
      </w:r>
    </w:p>
    <w:p w14:paraId="7F22122F" w14:textId="3F5771A0" w:rsidR="00680CEE" w:rsidRPr="009C1782" w:rsidRDefault="00680CEE" w:rsidP="007927D6">
      <w:pPr>
        <w:pStyle w:val="Heading2"/>
        <w:rPr>
          <w:shd w:val="clear" w:color="auto" w:fill="FFFFFF"/>
        </w:rPr>
      </w:pPr>
      <w:r w:rsidRPr="009C1782">
        <w:t xml:space="preserve">Other Topics </w:t>
      </w:r>
      <w:r w:rsidR="00C72D70">
        <w:t>(</w:t>
      </w:r>
      <w:r w:rsidR="00C51F32">
        <w:t>t</w:t>
      </w:r>
      <w:r w:rsidR="00EF35FD" w:rsidRPr="009C1782">
        <w:t>opic 13</w:t>
      </w:r>
      <w:r w:rsidR="00E35AF1">
        <w:t>,</w:t>
      </w:r>
      <w:r w:rsidR="00EF35FD" w:rsidRPr="009C1782">
        <w:t xml:space="preserve"> </w:t>
      </w:r>
      <w:r w:rsidRPr="009C1782">
        <w:t xml:space="preserve">required by </w:t>
      </w:r>
      <w:r w:rsidRPr="009C1782">
        <w:rPr>
          <w:i/>
          <w:iCs/>
        </w:rPr>
        <w:t>EC</w:t>
      </w:r>
      <w:r w:rsidRPr="009C1782">
        <w:t xml:space="preserve"> </w:t>
      </w:r>
      <w:r w:rsidRPr="009C1782">
        <w:rPr>
          <w:shd w:val="clear" w:color="auto" w:fill="FFFFFF"/>
        </w:rPr>
        <w:t>Section 51284.5</w:t>
      </w:r>
      <w:r w:rsidR="00C72D70">
        <w:rPr>
          <w:shd w:val="clear" w:color="auto" w:fill="FFFFFF"/>
        </w:rPr>
        <w:t>).</w:t>
      </w:r>
      <w:r w:rsidRPr="009C1782">
        <w:rPr>
          <w:shd w:val="clear" w:color="auto" w:fill="FFFFFF"/>
        </w:rPr>
        <w:t xml:space="preserve"> </w:t>
      </w:r>
      <w:r w:rsidR="00C72D70">
        <w:rPr>
          <w:shd w:val="clear" w:color="auto" w:fill="FFFFFF"/>
        </w:rPr>
        <w:t>T</w:t>
      </w:r>
      <w:r w:rsidRPr="009C1782">
        <w:rPr>
          <w:shd w:val="clear" w:color="auto" w:fill="FFFFFF"/>
        </w:rPr>
        <w:t xml:space="preserve">he </w:t>
      </w:r>
      <w:r w:rsidR="002A3C74">
        <w:rPr>
          <w:shd w:val="clear" w:color="auto" w:fill="FFFFFF"/>
        </w:rPr>
        <w:t xml:space="preserve">developers of the </w:t>
      </w:r>
      <w:r w:rsidRPr="009C1782">
        <w:rPr>
          <w:shd w:val="clear" w:color="auto" w:fill="FFFFFF"/>
        </w:rPr>
        <w:t xml:space="preserve">Personal Finance Curriculum Guide shall </w:t>
      </w:r>
      <w:r w:rsidR="002A3C74">
        <w:rPr>
          <w:shd w:val="clear" w:color="auto" w:fill="FFFFFF"/>
        </w:rPr>
        <w:t>consider for inclusion other relevant content including</w:t>
      </w:r>
      <w:r w:rsidR="00A1304C">
        <w:rPr>
          <w:shd w:val="clear" w:color="auto" w:fill="FFFFFF"/>
        </w:rPr>
        <w:t>,</w:t>
      </w:r>
      <w:r w:rsidR="002A3C74">
        <w:rPr>
          <w:shd w:val="clear" w:color="auto" w:fill="FFFFFF"/>
        </w:rPr>
        <w:t xml:space="preserve"> but not limited to,</w:t>
      </w:r>
      <w:r w:rsidRPr="009C1782">
        <w:rPr>
          <w:shd w:val="clear" w:color="auto" w:fill="FFFFFF"/>
        </w:rPr>
        <w:t xml:space="preserve"> </w:t>
      </w:r>
      <w:r w:rsidR="002A3C74">
        <w:rPr>
          <w:shd w:val="clear" w:color="auto" w:fill="FFFFFF"/>
        </w:rPr>
        <w:t xml:space="preserve">information about </w:t>
      </w:r>
      <w:r w:rsidR="00404D3F">
        <w:rPr>
          <w:shd w:val="clear" w:color="auto" w:fill="FFFFFF"/>
        </w:rPr>
        <w:t>the following</w:t>
      </w:r>
      <w:r w:rsidRPr="009C1782">
        <w:rPr>
          <w:shd w:val="clear" w:color="auto" w:fill="FFFFFF"/>
        </w:rPr>
        <w:t>:</w:t>
      </w:r>
    </w:p>
    <w:p w14:paraId="417318AD" w14:textId="1E80E129" w:rsidR="00680CEE" w:rsidRPr="009C1782" w:rsidRDefault="72961234" w:rsidP="00377716">
      <w:pPr>
        <w:pStyle w:val="ListParagraph"/>
        <w:numPr>
          <w:ilvl w:val="0"/>
          <w:numId w:val="6"/>
        </w:numPr>
        <w:spacing w:after="240" w:line="240" w:lineRule="auto"/>
        <w:ind w:left="1526" w:hanging="446"/>
        <w:contextualSpacing w:val="0"/>
        <w:rPr>
          <w:rFonts w:ascii="Arial" w:eastAsia="Times New Roman" w:hAnsi="Arial" w:cs="Arial"/>
          <w:color w:val="000000"/>
          <w:kern w:val="0"/>
          <w:sz w:val="24"/>
          <w:szCs w:val="24"/>
          <w14:ligatures w14:val="none"/>
        </w:rPr>
      </w:pPr>
      <w:r w:rsidRPr="009C1782">
        <w:rPr>
          <w:rFonts w:ascii="Arial" w:eastAsia="Times New Roman" w:hAnsi="Arial" w:cs="Arial"/>
          <w:color w:val="000000"/>
          <w:kern w:val="0"/>
          <w:sz w:val="24"/>
          <w:szCs w:val="24"/>
          <w14:ligatures w14:val="none"/>
        </w:rPr>
        <w:t xml:space="preserve">Purchasing </w:t>
      </w:r>
      <w:r w:rsidR="599D363C" w:rsidRPr="009C1782">
        <w:rPr>
          <w:rFonts w:ascii="Arial" w:eastAsia="Times New Roman" w:hAnsi="Arial" w:cs="Arial"/>
          <w:color w:val="000000"/>
          <w:kern w:val="0"/>
          <w:sz w:val="24"/>
          <w:szCs w:val="24"/>
          <w14:ligatures w14:val="none"/>
        </w:rPr>
        <w:t>versus</w:t>
      </w:r>
      <w:r w:rsidRPr="009C1782">
        <w:rPr>
          <w:rFonts w:ascii="Arial" w:eastAsia="Times New Roman" w:hAnsi="Arial" w:cs="Arial"/>
          <w:color w:val="000000"/>
          <w:kern w:val="0"/>
          <w:sz w:val="24"/>
          <w:szCs w:val="24"/>
          <w14:ligatures w14:val="none"/>
        </w:rPr>
        <w:t xml:space="preserve"> leasing a vehicle</w:t>
      </w:r>
    </w:p>
    <w:p w14:paraId="03A58A0A" w14:textId="52D2AD58" w:rsidR="00DD5171" w:rsidRPr="009C1782" w:rsidRDefault="00DD5171" w:rsidP="00377716">
      <w:pPr>
        <w:pStyle w:val="ListParagraph"/>
        <w:numPr>
          <w:ilvl w:val="0"/>
          <w:numId w:val="6"/>
        </w:numPr>
        <w:spacing w:after="240" w:line="240" w:lineRule="auto"/>
        <w:ind w:left="1526" w:hanging="446"/>
        <w:contextualSpacing w:val="0"/>
        <w:rPr>
          <w:rFonts w:ascii="Arial" w:eastAsia="Times New Roman" w:hAnsi="Arial" w:cs="Arial"/>
          <w:color w:val="000000"/>
          <w:kern w:val="0"/>
          <w:sz w:val="24"/>
          <w:szCs w:val="24"/>
          <w14:ligatures w14:val="none"/>
        </w:rPr>
      </w:pPr>
      <w:r w:rsidRPr="009C1782">
        <w:rPr>
          <w:rFonts w:ascii="Arial" w:eastAsia="Times New Roman" w:hAnsi="Arial" w:cs="Arial"/>
          <w:color w:val="000000"/>
          <w:kern w:val="0"/>
          <w:sz w:val="24"/>
          <w:szCs w:val="24"/>
          <w14:ligatures w14:val="none"/>
        </w:rPr>
        <w:t>Renting an apartment</w:t>
      </w:r>
    </w:p>
    <w:p w14:paraId="7A09D1B8" w14:textId="5AEE2CDA" w:rsidR="00680CEE" w:rsidRPr="009C1782" w:rsidRDefault="00A1304C" w:rsidP="00377716">
      <w:pPr>
        <w:pStyle w:val="ListParagraph"/>
        <w:numPr>
          <w:ilvl w:val="0"/>
          <w:numId w:val="6"/>
        </w:numPr>
        <w:spacing w:after="240" w:line="240" w:lineRule="auto"/>
        <w:ind w:left="1526" w:hanging="446"/>
        <w:contextualSpacing w:val="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Buying a home</w:t>
      </w:r>
    </w:p>
    <w:p w14:paraId="53FD5131" w14:textId="3AEC43C4" w:rsidR="00680CEE" w:rsidRPr="009C1782" w:rsidRDefault="00DD5171" w:rsidP="00377716">
      <w:pPr>
        <w:pStyle w:val="ListParagraph"/>
        <w:numPr>
          <w:ilvl w:val="0"/>
          <w:numId w:val="6"/>
        </w:numPr>
        <w:spacing w:after="240" w:line="240" w:lineRule="auto"/>
        <w:ind w:left="1526" w:hanging="446"/>
        <w:contextualSpacing w:val="0"/>
        <w:rPr>
          <w:rFonts w:ascii="Arial" w:eastAsia="Times New Roman" w:hAnsi="Arial" w:cs="Arial"/>
          <w:color w:val="000000"/>
          <w:kern w:val="0"/>
          <w:sz w:val="24"/>
          <w:szCs w:val="24"/>
          <w14:ligatures w14:val="none"/>
        </w:rPr>
      </w:pPr>
      <w:r w:rsidRPr="009C1782">
        <w:rPr>
          <w:rFonts w:ascii="Arial" w:eastAsia="Times New Roman" w:hAnsi="Arial" w:cs="Arial"/>
          <w:color w:val="000000"/>
          <w:kern w:val="0"/>
          <w:sz w:val="24"/>
          <w:szCs w:val="24"/>
          <w14:ligatures w14:val="none"/>
        </w:rPr>
        <w:t>Digital finance (online banking, digital wallets, c</w:t>
      </w:r>
      <w:r w:rsidR="00680CEE" w:rsidRPr="009C1782">
        <w:rPr>
          <w:rFonts w:ascii="Arial" w:eastAsia="Times New Roman" w:hAnsi="Arial" w:cs="Arial"/>
          <w:color w:val="000000"/>
          <w:kern w:val="0"/>
          <w:sz w:val="24"/>
          <w:szCs w:val="24"/>
          <w14:ligatures w14:val="none"/>
        </w:rPr>
        <w:t>ryptocurrency</w:t>
      </w:r>
      <w:r w:rsidRPr="009C1782">
        <w:rPr>
          <w:rFonts w:ascii="Arial" w:eastAsia="Times New Roman" w:hAnsi="Arial" w:cs="Arial"/>
          <w:color w:val="000000"/>
          <w:kern w:val="0"/>
          <w:sz w:val="24"/>
          <w:szCs w:val="24"/>
          <w14:ligatures w14:val="none"/>
        </w:rPr>
        <w:t>)</w:t>
      </w:r>
    </w:p>
    <w:p w14:paraId="3AB358FD" w14:textId="11618803" w:rsidR="00DD5171" w:rsidRPr="009C1782" w:rsidRDefault="00DD5171" w:rsidP="00377716">
      <w:pPr>
        <w:pStyle w:val="ListParagraph"/>
        <w:numPr>
          <w:ilvl w:val="0"/>
          <w:numId w:val="6"/>
        </w:numPr>
        <w:spacing w:after="240" w:line="240" w:lineRule="auto"/>
        <w:ind w:left="1526" w:hanging="446"/>
        <w:contextualSpacing w:val="0"/>
        <w:rPr>
          <w:rFonts w:ascii="Arial" w:eastAsia="Times New Roman" w:hAnsi="Arial" w:cs="Arial"/>
          <w:color w:val="000000"/>
          <w:kern w:val="0"/>
          <w:sz w:val="24"/>
          <w:szCs w:val="24"/>
          <w14:ligatures w14:val="none"/>
        </w:rPr>
      </w:pPr>
      <w:r w:rsidRPr="009C1782">
        <w:rPr>
          <w:rFonts w:ascii="Arial" w:eastAsia="Times New Roman" w:hAnsi="Arial" w:cs="Arial"/>
          <w:color w:val="000000"/>
          <w:kern w:val="0"/>
          <w:sz w:val="24"/>
          <w:szCs w:val="24"/>
          <w14:ligatures w14:val="none"/>
        </w:rPr>
        <w:lastRenderedPageBreak/>
        <w:t>Predatory lending</w:t>
      </w:r>
    </w:p>
    <w:p w14:paraId="4106188F" w14:textId="11641A3D" w:rsidR="00680CEE" w:rsidRPr="009C1782" w:rsidRDefault="008F552F" w:rsidP="00377716">
      <w:pPr>
        <w:pStyle w:val="ListParagraph"/>
        <w:numPr>
          <w:ilvl w:val="0"/>
          <w:numId w:val="6"/>
        </w:numPr>
        <w:spacing w:after="240" w:line="240" w:lineRule="auto"/>
        <w:ind w:left="1526" w:hanging="446"/>
        <w:contextualSpacing w:val="0"/>
        <w:rPr>
          <w:rFonts w:ascii="Arial" w:hAnsi="Arial" w:cs="Arial"/>
          <w:color w:val="333333"/>
          <w:sz w:val="24"/>
          <w:szCs w:val="24"/>
          <w:shd w:val="clear" w:color="auto" w:fill="FFFFFF"/>
        </w:rPr>
      </w:pPr>
      <w:r w:rsidRPr="00C6310D">
        <w:rPr>
          <w:rFonts w:ascii="Arial" w:eastAsia="Times New Roman" w:hAnsi="Arial" w:cs="Arial"/>
          <w:color w:val="000000"/>
          <w:kern w:val="0"/>
          <w:sz w:val="24"/>
          <w:szCs w:val="24"/>
          <w14:ligatures w14:val="none"/>
        </w:rPr>
        <w:t xml:space="preserve">California-specific financial information (e.g., California Dream Act, Cal Grant Programs, California Kids Investment and Development Savings </w:t>
      </w:r>
      <w:r>
        <w:rPr>
          <w:rFonts w:ascii="Arial" w:eastAsia="Times New Roman" w:hAnsi="Arial" w:cs="Arial"/>
          <w:color w:val="000000"/>
          <w:kern w:val="0"/>
          <w:sz w:val="24"/>
          <w:szCs w:val="24"/>
          <w14:ligatures w14:val="none"/>
        </w:rPr>
        <w:t>[</w:t>
      </w:r>
      <w:proofErr w:type="spellStart"/>
      <w:r w:rsidRPr="00C6310D">
        <w:rPr>
          <w:rFonts w:ascii="Arial" w:eastAsia="Times New Roman" w:hAnsi="Arial" w:cs="Arial"/>
          <w:color w:val="000000"/>
          <w:kern w:val="0"/>
          <w:sz w:val="24"/>
          <w:szCs w:val="24"/>
          <w14:ligatures w14:val="none"/>
        </w:rPr>
        <w:t>CalKIDS</w:t>
      </w:r>
      <w:proofErr w:type="spellEnd"/>
      <w:r>
        <w:rPr>
          <w:rFonts w:ascii="Arial" w:eastAsia="Times New Roman" w:hAnsi="Arial" w:cs="Arial"/>
          <w:color w:val="000000"/>
          <w:kern w:val="0"/>
          <w:sz w:val="24"/>
          <w:szCs w:val="24"/>
          <w14:ligatures w14:val="none"/>
        </w:rPr>
        <w:t>]</w:t>
      </w:r>
      <w:r w:rsidRPr="00C6310D">
        <w:rPr>
          <w:rFonts w:ascii="Arial" w:eastAsia="Times New Roman" w:hAnsi="Arial" w:cs="Arial"/>
          <w:color w:val="000000"/>
          <w:kern w:val="0"/>
          <w:sz w:val="24"/>
          <w:szCs w:val="24"/>
          <w14:ligatures w14:val="none"/>
        </w:rPr>
        <w:t xml:space="preserve"> Program, state-specific salary information</w:t>
      </w:r>
      <w:r>
        <w:rPr>
          <w:rFonts w:ascii="Arial" w:eastAsia="Times New Roman" w:hAnsi="Arial" w:cs="Arial"/>
          <w:color w:val="000000"/>
          <w:kern w:val="0"/>
          <w:sz w:val="24"/>
          <w:szCs w:val="24"/>
          <w14:ligatures w14:val="none"/>
        </w:rPr>
        <w:t>)</w:t>
      </w:r>
    </w:p>
    <w:p w14:paraId="714BC840" w14:textId="2E9B868D" w:rsidR="00AF5FD1" w:rsidRPr="009C1782" w:rsidRDefault="008F552F" w:rsidP="00377716">
      <w:pPr>
        <w:pStyle w:val="ListParagraph"/>
        <w:numPr>
          <w:ilvl w:val="0"/>
          <w:numId w:val="6"/>
        </w:numPr>
        <w:spacing w:after="720" w:line="240" w:lineRule="auto"/>
        <w:ind w:left="1530" w:hanging="446"/>
        <w:rPr>
          <w:rFonts w:ascii="Arial" w:hAnsi="Arial" w:cs="Arial"/>
          <w:color w:val="333333"/>
          <w:sz w:val="24"/>
          <w:szCs w:val="24"/>
          <w:shd w:val="clear" w:color="auto" w:fill="FFFFFF"/>
        </w:rPr>
      </w:pPr>
      <w:r>
        <w:rPr>
          <w:rFonts w:ascii="Arial" w:eastAsia="Times New Roman" w:hAnsi="Arial" w:cs="Arial"/>
          <w:color w:val="000000"/>
          <w:kern w:val="0"/>
          <w:sz w:val="24"/>
          <w:szCs w:val="24"/>
          <w14:ligatures w14:val="none"/>
        </w:rPr>
        <w:t>Additional topics as determined during development.</w:t>
      </w:r>
    </w:p>
    <w:p w14:paraId="01AB2E8B" w14:textId="382D5CBE" w:rsidR="00680CEE" w:rsidRPr="00680CEE" w:rsidRDefault="00BD3717" w:rsidP="008C7E83">
      <w:pPr>
        <w:tabs>
          <w:tab w:val="num" w:pos="1170"/>
        </w:tabs>
        <w:spacing w:line="240" w:lineRule="auto"/>
        <w:rPr>
          <w:rFonts w:ascii="Arial" w:hAnsi="Arial" w:cs="Arial"/>
          <w:sz w:val="24"/>
          <w:szCs w:val="24"/>
        </w:rPr>
      </w:pPr>
      <w:r>
        <w:rPr>
          <w:rFonts w:ascii="Arial" w:hAnsi="Arial" w:cs="Arial"/>
          <w:sz w:val="24"/>
          <w:szCs w:val="24"/>
        </w:rPr>
        <w:t>California Department of Education, January 2025</w:t>
      </w:r>
    </w:p>
    <w:sectPr w:rsidR="00680CEE" w:rsidRPr="00680CEE" w:rsidSect="00473682">
      <w:headerReference w:type="defaul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E3AE2D" w14:textId="77777777" w:rsidR="004A4941" w:rsidRDefault="004A4941" w:rsidP="00F90E2B">
      <w:pPr>
        <w:spacing w:after="0" w:line="240" w:lineRule="auto"/>
      </w:pPr>
      <w:r>
        <w:separator/>
      </w:r>
    </w:p>
  </w:endnote>
  <w:endnote w:type="continuationSeparator" w:id="0">
    <w:p w14:paraId="4764197F" w14:textId="77777777" w:rsidR="004A4941" w:rsidRDefault="004A4941" w:rsidP="00F90E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AFC9E" w14:textId="77777777" w:rsidR="004A4941" w:rsidRDefault="004A4941" w:rsidP="00F90E2B">
      <w:pPr>
        <w:spacing w:after="0" w:line="240" w:lineRule="auto"/>
      </w:pPr>
      <w:r>
        <w:separator/>
      </w:r>
    </w:p>
  </w:footnote>
  <w:footnote w:type="continuationSeparator" w:id="0">
    <w:p w14:paraId="5B8470E5" w14:textId="77777777" w:rsidR="004A4941" w:rsidRDefault="004A4941" w:rsidP="00F90E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27ACB" w14:textId="55EF9F68" w:rsidR="00473682" w:rsidRDefault="00473682" w:rsidP="00473682">
    <w:pPr>
      <w:spacing w:after="0" w:line="240" w:lineRule="auto"/>
      <w:jc w:val="right"/>
      <w:rPr>
        <w:rFonts w:ascii="Arial" w:hAnsi="Arial" w:cs="Arial"/>
        <w:sz w:val="24"/>
        <w:szCs w:val="24"/>
      </w:rPr>
    </w:pPr>
    <w:r>
      <w:rPr>
        <w:rFonts w:ascii="Arial" w:hAnsi="Arial" w:cs="Arial"/>
        <w:sz w:val="24"/>
        <w:szCs w:val="24"/>
      </w:rPr>
      <w:t>imab-cfird-jan25item03a02</w:t>
    </w:r>
  </w:p>
  <w:p w14:paraId="406DC6DD" w14:textId="77777777" w:rsidR="00473682" w:rsidRDefault="00473682" w:rsidP="00473682">
    <w:pPr>
      <w:spacing w:after="0" w:line="240" w:lineRule="auto"/>
      <w:jc w:val="right"/>
      <w:rPr>
        <w:rFonts w:ascii="Arial" w:hAnsi="Arial" w:cs="Arial"/>
        <w:sz w:val="24"/>
        <w:szCs w:val="24"/>
      </w:rPr>
    </w:pPr>
    <w:r>
      <w:rPr>
        <w:rFonts w:ascii="Arial" w:hAnsi="Arial" w:cs="Arial"/>
        <w:sz w:val="24"/>
        <w:szCs w:val="24"/>
      </w:rPr>
      <w:t>Attachment 2</w:t>
    </w:r>
  </w:p>
  <w:p w14:paraId="4E72F5B5" w14:textId="77777777" w:rsidR="00473682" w:rsidRPr="00935A67" w:rsidRDefault="00473682" w:rsidP="00473682">
    <w:pPr>
      <w:spacing w:after="240" w:line="240" w:lineRule="auto"/>
      <w:jc w:val="right"/>
      <w:rPr>
        <w:rFonts w:ascii="Arial" w:hAnsi="Arial" w:cs="Arial"/>
        <w:sz w:val="24"/>
        <w:szCs w:val="24"/>
      </w:rPr>
    </w:pPr>
    <w:r w:rsidRPr="00935A67">
      <w:rPr>
        <w:rFonts w:ascii="Arial" w:hAnsi="Arial" w:cs="Arial"/>
        <w:sz w:val="24"/>
        <w:szCs w:val="24"/>
      </w:rPr>
      <w:t xml:space="preserve">Page </w:t>
    </w:r>
    <w:r w:rsidRPr="00935A67">
      <w:rPr>
        <w:rFonts w:ascii="Arial" w:hAnsi="Arial" w:cs="Arial"/>
        <w:sz w:val="24"/>
        <w:szCs w:val="24"/>
      </w:rPr>
      <w:fldChar w:fldCharType="begin"/>
    </w:r>
    <w:r w:rsidRPr="00935A67">
      <w:rPr>
        <w:rFonts w:ascii="Arial" w:hAnsi="Arial" w:cs="Arial"/>
        <w:sz w:val="24"/>
        <w:szCs w:val="24"/>
      </w:rPr>
      <w:instrText xml:space="preserve"> PAGE  \* Arabic  \* MERGEFORMAT </w:instrText>
    </w:r>
    <w:r w:rsidRPr="00935A67">
      <w:rPr>
        <w:rFonts w:ascii="Arial" w:hAnsi="Arial" w:cs="Arial"/>
        <w:sz w:val="24"/>
        <w:szCs w:val="24"/>
      </w:rPr>
      <w:fldChar w:fldCharType="separate"/>
    </w:r>
    <w:r w:rsidRPr="00935A67">
      <w:rPr>
        <w:rFonts w:ascii="Arial" w:hAnsi="Arial" w:cs="Arial"/>
        <w:noProof/>
        <w:sz w:val="24"/>
        <w:szCs w:val="24"/>
      </w:rPr>
      <w:t>1</w:t>
    </w:r>
    <w:r w:rsidRPr="00935A67">
      <w:rPr>
        <w:rFonts w:ascii="Arial" w:hAnsi="Arial" w:cs="Arial"/>
        <w:sz w:val="24"/>
        <w:szCs w:val="24"/>
      </w:rPr>
      <w:fldChar w:fldCharType="end"/>
    </w:r>
    <w:r w:rsidRPr="00935A67">
      <w:rPr>
        <w:rFonts w:ascii="Arial" w:hAnsi="Arial" w:cs="Arial"/>
        <w:sz w:val="24"/>
        <w:szCs w:val="24"/>
      </w:rPr>
      <w:t xml:space="preserve"> of </w:t>
    </w:r>
    <w:r w:rsidRPr="00935A67">
      <w:rPr>
        <w:rFonts w:ascii="Arial" w:hAnsi="Arial" w:cs="Arial"/>
        <w:sz w:val="24"/>
        <w:szCs w:val="24"/>
      </w:rPr>
      <w:fldChar w:fldCharType="begin"/>
    </w:r>
    <w:r w:rsidRPr="00935A67">
      <w:rPr>
        <w:rFonts w:ascii="Arial" w:hAnsi="Arial" w:cs="Arial"/>
        <w:sz w:val="24"/>
        <w:szCs w:val="24"/>
      </w:rPr>
      <w:instrText xml:space="preserve"> NUMPAGES  \* Arabic  \* MERGEFORMAT </w:instrText>
    </w:r>
    <w:r w:rsidRPr="00935A67">
      <w:rPr>
        <w:rFonts w:ascii="Arial" w:hAnsi="Arial" w:cs="Arial"/>
        <w:sz w:val="24"/>
        <w:szCs w:val="24"/>
      </w:rPr>
      <w:fldChar w:fldCharType="separate"/>
    </w:r>
    <w:r w:rsidRPr="00935A67">
      <w:rPr>
        <w:rFonts w:ascii="Arial" w:hAnsi="Arial" w:cs="Arial"/>
        <w:noProof/>
        <w:sz w:val="24"/>
        <w:szCs w:val="24"/>
      </w:rPr>
      <w:t>4</w:t>
    </w:r>
    <w:r w:rsidRPr="00935A67">
      <w:rPr>
        <w:rFonts w:ascii="Arial" w:hAnsi="Arial" w:cs="Arial"/>
        <w:sz w:val="24"/>
        <w:szCs w:val="24"/>
      </w:rPr>
      <w:fldChar w:fldCharType="end"/>
    </w:r>
  </w:p>
</w:hdr>
</file>

<file path=word/intelligence2.xml><?xml version="1.0" encoding="utf-8"?>
<int2:intelligence xmlns:int2="http://schemas.microsoft.com/office/intelligence/2020/intelligence" xmlns:oel="http://schemas.microsoft.com/office/2019/extlst">
  <int2:observations>
    <int2:bookmark int2:bookmarkName="_Int_brHMS6lD" int2:invalidationBookmarkName="" int2:hashCode="4RUjxf8j/BYArK" int2:id="C2Qgi63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511C8"/>
    <w:multiLevelType w:val="multilevel"/>
    <w:tmpl w:val="277635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8A749A"/>
    <w:multiLevelType w:val="multilevel"/>
    <w:tmpl w:val="00AE5008"/>
    <w:lvl w:ilvl="0">
      <w:start w:val="1"/>
      <w:numFmt w:val="decimal"/>
      <w:pStyle w:val="Heading2"/>
      <w:lvlText w:val="%1."/>
      <w:lvlJc w:val="left"/>
      <w:pPr>
        <w:tabs>
          <w:tab w:val="num" w:pos="720"/>
        </w:tabs>
        <w:ind w:left="720" w:hanging="360"/>
      </w:pPr>
    </w:lvl>
    <w:lvl w:ilvl="1">
      <w:start w:val="1"/>
      <w:numFmt w:val="bullet"/>
      <w:lvlText w:val=""/>
      <w:lvlJc w:val="left"/>
      <w:pPr>
        <w:ind w:left="1440" w:hanging="360"/>
      </w:pPr>
      <w:rPr>
        <w:rFonts w:ascii="Symbol" w:hAnsi="Symbol" w:hint="default"/>
        <w:sz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9F2D24"/>
    <w:multiLevelType w:val="multilevel"/>
    <w:tmpl w:val="277635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5003A22"/>
    <w:multiLevelType w:val="multilevel"/>
    <w:tmpl w:val="2776357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3420C4B"/>
    <w:multiLevelType w:val="hybridMultilevel"/>
    <w:tmpl w:val="CC3476D0"/>
    <w:lvl w:ilvl="0" w:tplc="55480F86">
      <w:start w:val="1"/>
      <w:numFmt w:val="bullet"/>
      <w:lvlText w:val=""/>
      <w:lvlJc w:val="left"/>
      <w:pPr>
        <w:ind w:left="1260" w:hanging="360"/>
      </w:pPr>
      <w:rPr>
        <w:rFonts w:ascii="Symbol" w:hAnsi="Symbol" w:hint="default"/>
        <w:sz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15:restartNumberingAfterBreak="0">
    <w:nsid w:val="7AD81195"/>
    <w:multiLevelType w:val="hybridMultilevel"/>
    <w:tmpl w:val="A8904A2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7B472DB6"/>
    <w:multiLevelType w:val="hybridMultilevel"/>
    <w:tmpl w:val="91E45514"/>
    <w:lvl w:ilvl="0" w:tplc="54629FDA">
      <w:start w:val="1"/>
      <w:numFmt w:val="decimal"/>
      <w:lvlText w:val="%1) "/>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986318524">
    <w:abstractNumId w:val="1"/>
  </w:num>
  <w:num w:numId="2" w16cid:durableId="156727136">
    <w:abstractNumId w:val="5"/>
  </w:num>
  <w:num w:numId="3" w16cid:durableId="167603629">
    <w:abstractNumId w:val="3"/>
  </w:num>
  <w:num w:numId="4" w16cid:durableId="686521633">
    <w:abstractNumId w:val="2"/>
  </w:num>
  <w:num w:numId="5" w16cid:durableId="65231387">
    <w:abstractNumId w:val="0"/>
  </w:num>
  <w:num w:numId="6" w16cid:durableId="8258749">
    <w:abstractNumId w:val="4"/>
  </w:num>
  <w:num w:numId="7" w16cid:durableId="17768260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266"/>
    <w:rsid w:val="000677E6"/>
    <w:rsid w:val="0007630E"/>
    <w:rsid w:val="000965DA"/>
    <w:rsid w:val="000F6269"/>
    <w:rsid w:val="0011219C"/>
    <w:rsid w:val="0013736B"/>
    <w:rsid w:val="00146C76"/>
    <w:rsid w:val="001D1ACB"/>
    <w:rsid w:val="00267BCD"/>
    <w:rsid w:val="002A3C74"/>
    <w:rsid w:val="002B3244"/>
    <w:rsid w:val="002E6B5B"/>
    <w:rsid w:val="002EA35B"/>
    <w:rsid w:val="0031387A"/>
    <w:rsid w:val="00333648"/>
    <w:rsid w:val="00345EA1"/>
    <w:rsid w:val="0036006B"/>
    <w:rsid w:val="00377716"/>
    <w:rsid w:val="003C5F0F"/>
    <w:rsid w:val="003D096F"/>
    <w:rsid w:val="003D4900"/>
    <w:rsid w:val="00404D3F"/>
    <w:rsid w:val="00426CC5"/>
    <w:rsid w:val="00433527"/>
    <w:rsid w:val="00473682"/>
    <w:rsid w:val="004777AD"/>
    <w:rsid w:val="00484466"/>
    <w:rsid w:val="004A032D"/>
    <w:rsid w:val="004A4941"/>
    <w:rsid w:val="004D2AF1"/>
    <w:rsid w:val="004D3B9A"/>
    <w:rsid w:val="00520730"/>
    <w:rsid w:val="00536DAB"/>
    <w:rsid w:val="00552917"/>
    <w:rsid w:val="005553AD"/>
    <w:rsid w:val="005C1580"/>
    <w:rsid w:val="005D4175"/>
    <w:rsid w:val="005F1DD0"/>
    <w:rsid w:val="00615286"/>
    <w:rsid w:val="00641816"/>
    <w:rsid w:val="00666A81"/>
    <w:rsid w:val="00677212"/>
    <w:rsid w:val="00680CEE"/>
    <w:rsid w:val="0068416F"/>
    <w:rsid w:val="00697DAC"/>
    <w:rsid w:val="006B31C2"/>
    <w:rsid w:val="00716CE4"/>
    <w:rsid w:val="00771E29"/>
    <w:rsid w:val="00782536"/>
    <w:rsid w:val="007927D6"/>
    <w:rsid w:val="007C3522"/>
    <w:rsid w:val="007E3D90"/>
    <w:rsid w:val="007E5D37"/>
    <w:rsid w:val="007E6FE2"/>
    <w:rsid w:val="00814B2A"/>
    <w:rsid w:val="008C6FAE"/>
    <w:rsid w:val="008C7E83"/>
    <w:rsid w:val="008D11EB"/>
    <w:rsid w:val="008D4896"/>
    <w:rsid w:val="008E5B25"/>
    <w:rsid w:val="008F145A"/>
    <w:rsid w:val="008F552F"/>
    <w:rsid w:val="009165D5"/>
    <w:rsid w:val="00925003"/>
    <w:rsid w:val="00935A67"/>
    <w:rsid w:val="00971683"/>
    <w:rsid w:val="009C1782"/>
    <w:rsid w:val="009F1CE8"/>
    <w:rsid w:val="00A1304C"/>
    <w:rsid w:val="00A17C0A"/>
    <w:rsid w:val="00A35266"/>
    <w:rsid w:val="00AF5FD1"/>
    <w:rsid w:val="00B44C5A"/>
    <w:rsid w:val="00B94282"/>
    <w:rsid w:val="00BA4EDB"/>
    <w:rsid w:val="00BB0670"/>
    <w:rsid w:val="00BB455C"/>
    <w:rsid w:val="00BB7CEB"/>
    <w:rsid w:val="00BC018C"/>
    <w:rsid w:val="00BC4457"/>
    <w:rsid w:val="00BD3717"/>
    <w:rsid w:val="00BE47F4"/>
    <w:rsid w:val="00BF70FD"/>
    <w:rsid w:val="00C3205B"/>
    <w:rsid w:val="00C35A86"/>
    <w:rsid w:val="00C47C95"/>
    <w:rsid w:val="00C51F32"/>
    <w:rsid w:val="00C72D70"/>
    <w:rsid w:val="00CA2429"/>
    <w:rsid w:val="00CD03A0"/>
    <w:rsid w:val="00CD0696"/>
    <w:rsid w:val="00D5109B"/>
    <w:rsid w:val="00DA1544"/>
    <w:rsid w:val="00DA3DB6"/>
    <w:rsid w:val="00DB6CB5"/>
    <w:rsid w:val="00DC7823"/>
    <w:rsid w:val="00DD5171"/>
    <w:rsid w:val="00DF3654"/>
    <w:rsid w:val="00E35AF1"/>
    <w:rsid w:val="00EA00CA"/>
    <w:rsid w:val="00EE0323"/>
    <w:rsid w:val="00EF35FD"/>
    <w:rsid w:val="00F50D41"/>
    <w:rsid w:val="00F90E2B"/>
    <w:rsid w:val="00FF1FE3"/>
    <w:rsid w:val="02772BC8"/>
    <w:rsid w:val="0B6D8C7C"/>
    <w:rsid w:val="0EBFF9CD"/>
    <w:rsid w:val="102EEDA4"/>
    <w:rsid w:val="11CE46DB"/>
    <w:rsid w:val="1461C219"/>
    <w:rsid w:val="1D57F44B"/>
    <w:rsid w:val="1DD37871"/>
    <w:rsid w:val="1F1B9A4B"/>
    <w:rsid w:val="2718755B"/>
    <w:rsid w:val="2C654A6B"/>
    <w:rsid w:val="2FFEF20B"/>
    <w:rsid w:val="3367539C"/>
    <w:rsid w:val="33E50FEE"/>
    <w:rsid w:val="381AA7D3"/>
    <w:rsid w:val="3B25E126"/>
    <w:rsid w:val="3B9096DC"/>
    <w:rsid w:val="433CBA81"/>
    <w:rsid w:val="53B4C149"/>
    <w:rsid w:val="551BEBB0"/>
    <w:rsid w:val="55AD1D7A"/>
    <w:rsid w:val="569B9779"/>
    <w:rsid w:val="599D363C"/>
    <w:rsid w:val="59BBCE04"/>
    <w:rsid w:val="5ABB27E0"/>
    <w:rsid w:val="5C1B464C"/>
    <w:rsid w:val="5C94EAB9"/>
    <w:rsid w:val="6CA3ED1A"/>
    <w:rsid w:val="6DD57D55"/>
    <w:rsid w:val="6DF6F635"/>
    <w:rsid w:val="711C7BA2"/>
    <w:rsid w:val="72961234"/>
    <w:rsid w:val="755B0DDC"/>
    <w:rsid w:val="7DAF89BF"/>
    <w:rsid w:val="7F7DF3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E4B88"/>
  <w15:chartTrackingRefBased/>
  <w15:docId w15:val="{20B13150-C192-42B9-B390-036AA55EF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4175"/>
  </w:style>
  <w:style w:type="paragraph" w:styleId="Heading1">
    <w:name w:val="heading 1"/>
    <w:basedOn w:val="Normal"/>
    <w:next w:val="Normal"/>
    <w:link w:val="Heading1Char"/>
    <w:uiPriority w:val="9"/>
    <w:qFormat/>
    <w:rsid w:val="00BD3717"/>
    <w:pPr>
      <w:spacing w:after="0" w:line="525" w:lineRule="atLeast"/>
      <w:jc w:val="center"/>
      <w:outlineLvl w:val="0"/>
    </w:pPr>
    <w:rPr>
      <w:rFonts w:ascii="Arial" w:eastAsia="Times New Roman" w:hAnsi="Arial" w:cs="Arial"/>
      <w:color w:val="000099"/>
      <w:kern w:val="36"/>
      <w:sz w:val="36"/>
      <w:szCs w:val="36"/>
      <w14:ligatures w14:val="none"/>
    </w:rPr>
  </w:style>
  <w:style w:type="paragraph" w:styleId="Heading2">
    <w:name w:val="heading 2"/>
    <w:basedOn w:val="Normal"/>
    <w:next w:val="Normal"/>
    <w:link w:val="Heading2Char"/>
    <w:uiPriority w:val="9"/>
    <w:unhideWhenUsed/>
    <w:qFormat/>
    <w:rsid w:val="007927D6"/>
    <w:pPr>
      <w:numPr>
        <w:numId w:val="1"/>
      </w:numPr>
      <w:tabs>
        <w:tab w:val="clear" w:pos="720"/>
      </w:tabs>
      <w:spacing w:before="100" w:beforeAutospacing="1" w:after="240" w:line="240" w:lineRule="auto"/>
      <w:outlineLvl w:val="1"/>
    </w:pPr>
    <w:rPr>
      <w:rFonts w:ascii="Arial" w:eastAsia="Times New Roman" w:hAnsi="Arial" w:cs="Arial"/>
      <w:b/>
      <w:bCs/>
      <w:color w:val="000000"/>
      <w:kern w:val="0"/>
      <w:sz w:val="24"/>
      <w:szCs w:val="24"/>
      <w14:ligatures w14:val="none"/>
    </w:rPr>
  </w:style>
  <w:style w:type="paragraph" w:styleId="Heading3">
    <w:name w:val="heading 3"/>
    <w:basedOn w:val="Normal"/>
    <w:next w:val="Normal"/>
    <w:link w:val="Heading3Char"/>
    <w:uiPriority w:val="9"/>
    <w:semiHidden/>
    <w:unhideWhenUsed/>
    <w:qFormat/>
    <w:rsid w:val="00A352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52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52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52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52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52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52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3717"/>
    <w:rPr>
      <w:rFonts w:ascii="Arial" w:eastAsia="Times New Roman" w:hAnsi="Arial" w:cs="Arial"/>
      <w:color w:val="000099"/>
      <w:kern w:val="36"/>
      <w:sz w:val="36"/>
      <w:szCs w:val="36"/>
      <w14:ligatures w14:val="none"/>
    </w:rPr>
  </w:style>
  <w:style w:type="character" w:customStyle="1" w:styleId="Heading2Char">
    <w:name w:val="Heading 2 Char"/>
    <w:basedOn w:val="DefaultParagraphFont"/>
    <w:link w:val="Heading2"/>
    <w:uiPriority w:val="9"/>
    <w:rsid w:val="007927D6"/>
    <w:rPr>
      <w:rFonts w:ascii="Arial" w:eastAsia="Times New Roman" w:hAnsi="Arial" w:cs="Arial"/>
      <w:b/>
      <w:bCs/>
      <w:color w:val="000000"/>
      <w:kern w:val="0"/>
      <w:sz w:val="24"/>
      <w:szCs w:val="24"/>
      <w14:ligatures w14:val="none"/>
    </w:rPr>
  </w:style>
  <w:style w:type="character" w:customStyle="1" w:styleId="Heading3Char">
    <w:name w:val="Heading 3 Char"/>
    <w:basedOn w:val="DefaultParagraphFont"/>
    <w:link w:val="Heading3"/>
    <w:uiPriority w:val="9"/>
    <w:semiHidden/>
    <w:rsid w:val="00A352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52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52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52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52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52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5266"/>
    <w:rPr>
      <w:rFonts w:eastAsiaTheme="majorEastAsia" w:cstheme="majorBidi"/>
      <w:color w:val="272727" w:themeColor="text1" w:themeTint="D8"/>
    </w:rPr>
  </w:style>
  <w:style w:type="paragraph" w:styleId="Title">
    <w:name w:val="Title"/>
    <w:basedOn w:val="Normal"/>
    <w:next w:val="Normal"/>
    <w:link w:val="TitleChar"/>
    <w:uiPriority w:val="10"/>
    <w:qFormat/>
    <w:rsid w:val="00A352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52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52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52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5266"/>
    <w:pPr>
      <w:spacing w:before="160"/>
      <w:jc w:val="center"/>
    </w:pPr>
    <w:rPr>
      <w:i/>
      <w:iCs/>
      <w:color w:val="404040" w:themeColor="text1" w:themeTint="BF"/>
    </w:rPr>
  </w:style>
  <w:style w:type="character" w:customStyle="1" w:styleId="QuoteChar">
    <w:name w:val="Quote Char"/>
    <w:basedOn w:val="DefaultParagraphFont"/>
    <w:link w:val="Quote"/>
    <w:uiPriority w:val="29"/>
    <w:rsid w:val="00A35266"/>
    <w:rPr>
      <w:i/>
      <w:iCs/>
      <w:color w:val="404040" w:themeColor="text1" w:themeTint="BF"/>
    </w:rPr>
  </w:style>
  <w:style w:type="paragraph" w:styleId="ListParagraph">
    <w:name w:val="List Paragraph"/>
    <w:basedOn w:val="Normal"/>
    <w:uiPriority w:val="34"/>
    <w:qFormat/>
    <w:rsid w:val="00A35266"/>
    <w:pPr>
      <w:ind w:left="720"/>
      <w:contextualSpacing/>
    </w:pPr>
  </w:style>
  <w:style w:type="character" w:styleId="IntenseEmphasis">
    <w:name w:val="Intense Emphasis"/>
    <w:basedOn w:val="DefaultParagraphFont"/>
    <w:uiPriority w:val="21"/>
    <w:qFormat/>
    <w:rsid w:val="00A35266"/>
    <w:rPr>
      <w:i/>
      <w:iCs/>
      <w:color w:val="0F4761" w:themeColor="accent1" w:themeShade="BF"/>
    </w:rPr>
  </w:style>
  <w:style w:type="paragraph" w:styleId="IntenseQuote">
    <w:name w:val="Intense Quote"/>
    <w:basedOn w:val="Normal"/>
    <w:next w:val="Normal"/>
    <w:link w:val="IntenseQuoteChar"/>
    <w:uiPriority w:val="30"/>
    <w:qFormat/>
    <w:rsid w:val="00A352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5266"/>
    <w:rPr>
      <w:i/>
      <w:iCs/>
      <w:color w:val="0F4761" w:themeColor="accent1" w:themeShade="BF"/>
    </w:rPr>
  </w:style>
  <w:style w:type="character" w:styleId="IntenseReference">
    <w:name w:val="Intense Reference"/>
    <w:basedOn w:val="DefaultParagraphFont"/>
    <w:uiPriority w:val="32"/>
    <w:qFormat/>
    <w:rsid w:val="00A35266"/>
    <w:rPr>
      <w:b/>
      <w:bCs/>
      <w:smallCaps/>
      <w:color w:val="0F4761" w:themeColor="accent1" w:themeShade="BF"/>
      <w:spacing w:val="5"/>
    </w:rPr>
  </w:style>
  <w:style w:type="paragraph" w:styleId="NormalWeb">
    <w:name w:val="Normal (Web)"/>
    <w:basedOn w:val="Normal"/>
    <w:uiPriority w:val="99"/>
    <w:unhideWhenUsed/>
    <w:rsid w:val="00A3526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A35266"/>
    <w:rPr>
      <w:b/>
      <w:bCs/>
    </w:rPr>
  </w:style>
  <w:style w:type="character" w:styleId="Hyperlink">
    <w:name w:val="Hyperlink"/>
    <w:basedOn w:val="DefaultParagraphFont"/>
    <w:uiPriority w:val="99"/>
    <w:semiHidden/>
    <w:unhideWhenUsed/>
    <w:rsid w:val="00971683"/>
    <w:rPr>
      <w:color w:val="0000FF"/>
      <w:u w:val="single"/>
    </w:rPr>
  </w:style>
  <w:style w:type="character" w:styleId="CommentReference">
    <w:name w:val="annotation reference"/>
    <w:basedOn w:val="DefaultParagraphFont"/>
    <w:uiPriority w:val="99"/>
    <w:semiHidden/>
    <w:unhideWhenUsed/>
    <w:rsid w:val="006B31C2"/>
    <w:rPr>
      <w:sz w:val="16"/>
      <w:szCs w:val="16"/>
    </w:rPr>
  </w:style>
  <w:style w:type="paragraph" w:styleId="CommentText">
    <w:name w:val="annotation text"/>
    <w:basedOn w:val="Normal"/>
    <w:link w:val="CommentTextChar"/>
    <w:uiPriority w:val="99"/>
    <w:unhideWhenUsed/>
    <w:rsid w:val="006B31C2"/>
    <w:pPr>
      <w:spacing w:line="240" w:lineRule="auto"/>
    </w:pPr>
    <w:rPr>
      <w:sz w:val="20"/>
      <w:szCs w:val="20"/>
    </w:rPr>
  </w:style>
  <w:style w:type="character" w:customStyle="1" w:styleId="CommentTextChar">
    <w:name w:val="Comment Text Char"/>
    <w:basedOn w:val="DefaultParagraphFont"/>
    <w:link w:val="CommentText"/>
    <w:uiPriority w:val="99"/>
    <w:rsid w:val="006B31C2"/>
    <w:rPr>
      <w:sz w:val="20"/>
      <w:szCs w:val="20"/>
    </w:rPr>
  </w:style>
  <w:style w:type="paragraph" w:styleId="CommentSubject">
    <w:name w:val="annotation subject"/>
    <w:basedOn w:val="CommentText"/>
    <w:next w:val="CommentText"/>
    <w:link w:val="CommentSubjectChar"/>
    <w:uiPriority w:val="99"/>
    <w:semiHidden/>
    <w:unhideWhenUsed/>
    <w:rsid w:val="006B31C2"/>
    <w:rPr>
      <w:b/>
      <w:bCs/>
    </w:rPr>
  </w:style>
  <w:style w:type="character" w:customStyle="1" w:styleId="CommentSubjectChar">
    <w:name w:val="Comment Subject Char"/>
    <w:basedOn w:val="CommentTextChar"/>
    <w:link w:val="CommentSubject"/>
    <w:uiPriority w:val="99"/>
    <w:semiHidden/>
    <w:rsid w:val="006B31C2"/>
    <w:rPr>
      <w:b/>
      <w:bCs/>
      <w:sz w:val="20"/>
      <w:szCs w:val="20"/>
    </w:rPr>
  </w:style>
  <w:style w:type="paragraph" w:styleId="Header">
    <w:name w:val="header"/>
    <w:basedOn w:val="Normal"/>
    <w:link w:val="HeaderChar"/>
    <w:uiPriority w:val="99"/>
    <w:unhideWhenUsed/>
    <w:rsid w:val="00F90E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0E2B"/>
  </w:style>
  <w:style w:type="paragraph" w:styleId="Footer">
    <w:name w:val="footer"/>
    <w:basedOn w:val="Normal"/>
    <w:link w:val="FooterChar"/>
    <w:uiPriority w:val="99"/>
    <w:unhideWhenUsed/>
    <w:rsid w:val="00F90E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E2B"/>
  </w:style>
  <w:style w:type="paragraph" w:styleId="Revision">
    <w:name w:val="Revision"/>
    <w:hidden/>
    <w:uiPriority w:val="99"/>
    <w:semiHidden/>
    <w:rsid w:val="00DB6C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654430">
      <w:bodyDiv w:val="1"/>
      <w:marLeft w:val="0"/>
      <w:marRight w:val="0"/>
      <w:marTop w:val="0"/>
      <w:marBottom w:val="0"/>
      <w:divBdr>
        <w:top w:val="none" w:sz="0" w:space="0" w:color="auto"/>
        <w:left w:val="none" w:sz="0" w:space="0" w:color="auto"/>
        <w:bottom w:val="none" w:sz="0" w:space="0" w:color="auto"/>
        <w:right w:val="none" w:sz="0" w:space="0" w:color="auto"/>
      </w:divBdr>
      <w:divsChild>
        <w:div w:id="1776562030">
          <w:marLeft w:val="0"/>
          <w:marRight w:val="0"/>
          <w:marTop w:val="0"/>
          <w:marBottom w:val="0"/>
          <w:divBdr>
            <w:top w:val="none" w:sz="0" w:space="0" w:color="auto"/>
            <w:left w:val="none" w:sz="0" w:space="0" w:color="auto"/>
            <w:bottom w:val="none" w:sz="0" w:space="0" w:color="auto"/>
            <w:right w:val="none" w:sz="0" w:space="0" w:color="auto"/>
          </w:divBdr>
        </w:div>
        <w:div w:id="546452103">
          <w:marLeft w:val="-225"/>
          <w:marRight w:val="-225"/>
          <w:marTop w:val="0"/>
          <w:marBottom w:val="0"/>
          <w:divBdr>
            <w:top w:val="none" w:sz="0" w:space="0" w:color="auto"/>
            <w:left w:val="none" w:sz="0" w:space="0" w:color="auto"/>
            <w:bottom w:val="none" w:sz="0" w:space="0" w:color="auto"/>
            <w:right w:val="none" w:sz="0" w:space="0" w:color="auto"/>
          </w:divBdr>
          <w:divsChild>
            <w:div w:id="36618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80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24" ma:contentTypeDescription="Create a new document." ma:contentTypeScope="" ma:versionID="8f2055e64a681f8cd0c056dd330209c8">
  <xsd:schema xmlns:xsd="http://www.w3.org/2001/XMLSchema" xmlns:xs="http://www.w3.org/2001/XMLSchema" xmlns:p="http://schemas.microsoft.com/office/2006/metadata/properties" xmlns:ns2="fcc10b13-693b-4108-82e6-a022af39983a" xmlns:ns3="3d27bdd8-aa24-4715-8252-5cc1057583fa" xmlns:ns4="a54ddd65-a5b1-4159-8c8e-f8b6e560b733" targetNamespace="http://schemas.microsoft.com/office/2006/metadata/properties" ma:root="true" ma:fieldsID="0843b289a4c23b3cd4eecdc56727db13" ns2:_="" ns3:_="" ns4:_="">
    <xsd:import namespace="fcc10b13-693b-4108-82e6-a022af39983a"/>
    <xsd:import namespace="3d27bdd8-aa24-4715-8252-5cc1057583fa"/>
    <xsd:import namespace="a54ddd65-a5b1-4159-8c8e-f8b6e560b733"/>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4ddd65-a5b1-4159-8c8e-f8b6e560b733"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134fd93f-5071-4d8d-a93d-5d6cf665368b}" ma:internalName="TaxCatchAll" ma:showField="CatchAllData" ma:web="a54ddd65-a5b1-4159-8c8e-f8b6e560b7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54ddd65-a5b1-4159-8c8e-f8b6e560b733" xsi:nil="true"/>
    <_Flow_SignoffStatus xmlns="fcc10b13-693b-4108-82e6-a022af39983a" xsi:nil="true"/>
    <lcf76f155ced4ddcb4097134ff3c332f xmlns="fcc10b13-693b-4108-82e6-a022af39983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386729-2C45-4456-B00F-50352FDD8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a54ddd65-a5b1-4159-8c8e-f8b6e560b7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9DCBC3-E636-48A7-B7B0-4197648D1B21}">
  <ds:schemaRefs>
    <ds:schemaRef ds:uri="http://schemas.microsoft.com/office/2006/metadata/properties"/>
    <ds:schemaRef ds:uri="http://schemas.microsoft.com/office/2006/documentManagement/types"/>
    <ds:schemaRef ds:uri="3d27bdd8-aa24-4715-8252-5cc1057583fa"/>
    <ds:schemaRef ds:uri="http://purl.org/dc/elements/1.1/"/>
    <ds:schemaRef ds:uri="http://schemas.openxmlformats.org/package/2006/metadata/core-properties"/>
    <ds:schemaRef ds:uri="fcc10b13-693b-4108-82e6-a022af39983a"/>
    <ds:schemaRef ds:uri="http://schemas.microsoft.com/office/infopath/2007/PartnerControls"/>
    <ds:schemaRef ds:uri="http://purl.org/dc/terms/"/>
    <ds:schemaRef ds:uri="a54ddd65-a5b1-4159-8c8e-f8b6e560b733"/>
    <ds:schemaRef ds:uri="http://www.w3.org/XML/1998/namespace"/>
    <ds:schemaRef ds:uri="http://purl.org/dc/dcmitype/"/>
  </ds:schemaRefs>
</ds:datastoreItem>
</file>

<file path=customXml/itemProps3.xml><?xml version="1.0" encoding="utf-8"?>
<ds:datastoreItem xmlns:ds="http://schemas.openxmlformats.org/officeDocument/2006/customXml" ds:itemID="{57ED8088-5095-41E4-8F2C-5473362951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1211</Words>
  <Characters>6905</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January 2025 Agenda Item 3 Addendum 1 Attachment 2 -  Meeting Agendas (CA State Board of Education)</vt:lpstr>
    </vt:vector>
  </TitlesOfParts>
  <Company>California State Board of Education</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04 Attachment 2 - Meeting Agendas (CA State Board of Education)</dc:title>
  <dc:subject>Draft 2026 Personal Finance Curriculum Guide Foundational Principles.</dc:subject>
  <cp:keywords/>
  <dc:description/>
  <dcterms:created xsi:type="dcterms:W3CDTF">2025-01-10T23:25:00Z</dcterms:created>
  <dcterms:modified xsi:type="dcterms:W3CDTF">2025-01-10T23:39:00Z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y fmtid="{D5CDD505-2E9C-101B-9397-08002B2CF9AE}" pid="3" name="MediaServiceImageTags">
    <vt:lpwstr/>
  </property>
</Properties>
</file>